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博时中证有色金属矿业主题指数证券投资基金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交通银行股份有限公司</w:t>
      </w:r>
      <w:r>
        <w:rPr>
          <w:rFonts w:ascii="宋体" w:hAnsi="宋体" w:eastAsia="宋体"/>
          <w:b/>
          <w:sz w:val="30"/>
        </w:rPr>
        <w:br w:type="page"/>
      </w:r>
    </w:p>
    <w:p>
      <w:pPr>
        <w:pStyle w:val="2"/>
        <w:jc w:val="center"/>
        <w:rPr>
          <w:rFonts w:ascii="宋体" w:hAnsi="宋体" w:eastAsia="宋体"/>
          <w:sz w:val="30"/>
        </w:rPr>
      </w:pPr>
      <w:bookmarkStart w:id="0" w:name="_Toc151126539"/>
      <w:r>
        <w:rPr>
          <w:rFonts w:hint="eastAsia" w:ascii="宋体" w:hAnsi="宋体" w:eastAsia="宋体"/>
          <w:sz w:val="30"/>
        </w:rPr>
        <w:t>【重要提示】</w:t>
      </w:r>
      <w:bookmarkEnd w:id="0"/>
    </w:p>
    <w:p>
      <w:pPr>
        <w:pStyle w:val="9"/>
        <w:spacing w:before="0" w:beforeAutospacing="0" w:after="0" w:afterAutospacing="0" w:line="360" w:lineRule="auto"/>
        <w:ind w:firstLine="420"/>
        <w:rPr>
          <w:sz w:val="21"/>
          <w:szCs w:val="21"/>
        </w:rPr>
      </w:pPr>
      <w:r>
        <w:rPr>
          <w:rFonts w:hint="eastAsia"/>
          <w:sz w:val="21"/>
          <w:szCs w:val="21"/>
        </w:rPr>
        <w:t xml:space="preserve">本基金经中国证监会2023年2月2日证监许可[2023]231号文注册募集。基金管理人保证招募说明书的内容真实、准确、完整。本招募说明书经中国证监会注册，但中国证监会对本基金募集的注册，并不表明其对本基金的投资价值、市场前景和收益做出实质性判断或保证，也不表明投资于本基金没有风险。 </w:t>
      </w:r>
    </w:p>
    <w:p>
      <w:pPr>
        <w:pStyle w:val="9"/>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 </w:t>
      </w:r>
    </w:p>
    <w:p>
      <w:pPr>
        <w:pStyle w:val="9"/>
        <w:spacing w:before="0" w:beforeAutospacing="0" w:after="0" w:afterAutospacing="0" w:line="360" w:lineRule="auto"/>
        <w:ind w:firstLine="420"/>
        <w:rPr>
          <w:sz w:val="21"/>
          <w:szCs w:val="21"/>
        </w:rPr>
      </w:pPr>
      <w:r>
        <w:rPr>
          <w:rFonts w:hint="eastAsia"/>
          <w:sz w:val="21"/>
          <w:szCs w:val="21"/>
        </w:rPr>
        <w:t xml:space="preserve">本基金的标的指数为中证有色金属矿业主题指数，编制方案如下： </w:t>
      </w:r>
    </w:p>
    <w:p>
      <w:pPr>
        <w:pStyle w:val="9"/>
        <w:spacing w:before="0" w:beforeAutospacing="0" w:after="0" w:afterAutospacing="0" w:line="360" w:lineRule="auto"/>
        <w:ind w:firstLine="420"/>
        <w:rPr>
          <w:sz w:val="21"/>
          <w:szCs w:val="21"/>
        </w:rPr>
      </w:pPr>
      <w:r>
        <w:rPr>
          <w:rFonts w:hint="eastAsia"/>
          <w:sz w:val="21"/>
          <w:szCs w:val="21"/>
        </w:rPr>
        <w:t xml:space="preserve">（1）样本空间 </w:t>
      </w:r>
    </w:p>
    <w:p>
      <w:pPr>
        <w:pStyle w:val="9"/>
        <w:spacing w:before="0" w:beforeAutospacing="0" w:after="0" w:afterAutospacing="0" w:line="360" w:lineRule="auto"/>
        <w:ind w:firstLine="420"/>
        <w:rPr>
          <w:sz w:val="21"/>
          <w:szCs w:val="21"/>
        </w:rPr>
      </w:pPr>
      <w:r>
        <w:rPr>
          <w:rFonts w:hint="eastAsia"/>
          <w:sz w:val="21"/>
          <w:szCs w:val="21"/>
        </w:rPr>
        <w:t xml:space="preserve">同中证全指指数的样本空间。 </w:t>
      </w:r>
    </w:p>
    <w:p>
      <w:pPr>
        <w:pStyle w:val="9"/>
        <w:spacing w:before="0" w:beforeAutospacing="0" w:after="0" w:afterAutospacing="0" w:line="360" w:lineRule="auto"/>
        <w:ind w:firstLine="420"/>
        <w:rPr>
          <w:sz w:val="21"/>
          <w:szCs w:val="21"/>
        </w:rPr>
      </w:pPr>
      <w:r>
        <w:rPr>
          <w:rFonts w:hint="eastAsia"/>
          <w:sz w:val="21"/>
          <w:szCs w:val="21"/>
        </w:rPr>
        <w:t xml:space="preserve">（2）可投资性筛选 </w:t>
      </w:r>
    </w:p>
    <w:p>
      <w:pPr>
        <w:pStyle w:val="9"/>
        <w:spacing w:before="0" w:beforeAutospacing="0" w:after="0" w:afterAutospacing="0" w:line="360" w:lineRule="auto"/>
        <w:ind w:firstLine="420"/>
        <w:rPr>
          <w:sz w:val="21"/>
          <w:szCs w:val="21"/>
        </w:rPr>
      </w:pPr>
      <w:r>
        <w:rPr>
          <w:rFonts w:hint="eastAsia"/>
          <w:sz w:val="21"/>
          <w:szCs w:val="21"/>
        </w:rPr>
        <w:t xml:space="preserve">过去一年日均成交金额排名位于样本空间前 90%。 </w:t>
      </w:r>
    </w:p>
    <w:p>
      <w:pPr>
        <w:pStyle w:val="9"/>
        <w:spacing w:before="0" w:beforeAutospacing="0" w:after="0" w:afterAutospacing="0" w:line="360" w:lineRule="auto"/>
        <w:ind w:firstLine="420"/>
        <w:rPr>
          <w:sz w:val="21"/>
          <w:szCs w:val="21"/>
        </w:rPr>
      </w:pPr>
      <w:r>
        <w:rPr>
          <w:rFonts w:hint="eastAsia"/>
          <w:sz w:val="21"/>
          <w:szCs w:val="21"/>
        </w:rPr>
        <w:t xml:space="preserve">（3）选样方法 </w:t>
      </w:r>
    </w:p>
    <w:p>
      <w:pPr>
        <w:pStyle w:val="9"/>
        <w:spacing w:before="0" w:beforeAutospacing="0" w:after="0" w:afterAutospacing="0" w:line="360" w:lineRule="auto"/>
        <w:ind w:firstLine="420"/>
        <w:rPr>
          <w:sz w:val="21"/>
          <w:szCs w:val="21"/>
        </w:rPr>
      </w:pPr>
      <w:r>
        <w:rPr>
          <w:rFonts w:hint="eastAsia"/>
          <w:sz w:val="21"/>
          <w:szCs w:val="21"/>
        </w:rPr>
        <w:t xml:space="preserve">1）对于样本空间内符合可投资性筛选条件的证券，选取有色金属行业中拥有有色金属矿产资源储量的上市公司证券作为待选样本； </w:t>
      </w:r>
    </w:p>
    <w:p>
      <w:pPr>
        <w:pStyle w:val="9"/>
        <w:spacing w:before="0" w:beforeAutospacing="0" w:after="0" w:afterAutospacing="0" w:line="360" w:lineRule="auto"/>
        <w:ind w:firstLine="420"/>
        <w:rPr>
          <w:sz w:val="21"/>
          <w:szCs w:val="21"/>
        </w:rPr>
      </w:pPr>
      <w:r>
        <w:rPr>
          <w:rFonts w:hint="eastAsia"/>
          <w:sz w:val="21"/>
          <w:szCs w:val="21"/>
        </w:rPr>
        <w:t xml:space="preserve">2）在待选样本中，按照过去一年日均总市值由高到低排名，从中证四级行业中分别选取排名靠前的 3 只证券作为指数样本，不足 3 只时则全部入选；在剩余待选样中，按照过去一年日均总市值由高到低排名依次递补进入指数，直至样本数量达到 40 只。 </w:t>
      </w:r>
    </w:p>
    <w:p>
      <w:pPr>
        <w:pStyle w:val="9"/>
        <w:spacing w:before="0" w:beforeAutospacing="0" w:after="0" w:afterAutospacing="0" w:line="360" w:lineRule="auto"/>
        <w:ind w:firstLine="420"/>
        <w:rPr>
          <w:sz w:val="21"/>
          <w:szCs w:val="21"/>
        </w:rPr>
      </w:pPr>
      <w:r>
        <w:rPr>
          <w:rFonts w:hint="eastAsia"/>
          <w:sz w:val="21"/>
          <w:szCs w:val="21"/>
        </w:rPr>
        <w:t xml:space="preserve">（4）指数计算 </w:t>
      </w:r>
    </w:p>
    <w:p>
      <w:pPr>
        <w:pStyle w:val="9"/>
        <w:spacing w:before="0" w:beforeAutospacing="0" w:after="0" w:afterAutospacing="0" w:line="360" w:lineRule="auto"/>
        <w:ind w:firstLine="420"/>
        <w:rPr>
          <w:sz w:val="21"/>
          <w:szCs w:val="21"/>
        </w:rPr>
      </w:pPr>
      <w:r>
        <w:rPr>
          <w:rFonts w:hint="eastAsia"/>
          <w:sz w:val="21"/>
          <w:szCs w:val="21"/>
        </w:rPr>
        <w:t xml:space="preserve">指数计算公式为：报告期指数=报告期样本的调整市值/除数×1000 </w:t>
      </w:r>
    </w:p>
    <w:p>
      <w:pPr>
        <w:pStyle w:val="9"/>
        <w:spacing w:before="0" w:beforeAutospacing="0" w:after="0" w:afterAutospacing="0" w:line="360" w:lineRule="auto"/>
        <w:ind w:firstLine="420"/>
        <w:rPr>
          <w:sz w:val="21"/>
          <w:szCs w:val="21"/>
        </w:rPr>
      </w:pPr>
      <w:r>
        <w:rPr>
          <w:rFonts w:hint="eastAsia"/>
          <w:sz w:val="21"/>
          <w:szCs w:val="21"/>
        </w:rPr>
        <w:t xml:space="preserve">其中，调整市值＝ ∑(证券价格×调整股本数×权重因子)。调整股本数的计算方法、除数修正方法参见计算与维护细则。权重因子介于0和1之间，以使单个样本权重不超过10%。有关标的指数具体编制方案及成份股信息详见中证指数有限公司网站，网址：http://www.csindex.com.cn/。 </w:t>
      </w:r>
    </w:p>
    <w:p>
      <w:pPr>
        <w:pStyle w:val="9"/>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9"/>
        <w:spacing w:before="0" w:beforeAutospacing="0" w:after="0" w:afterAutospacing="0" w:line="360" w:lineRule="auto"/>
        <w:ind w:firstLine="420"/>
        <w:rPr>
          <w:sz w:val="21"/>
          <w:szCs w:val="21"/>
        </w:rPr>
      </w:pPr>
      <w:r>
        <w:rPr>
          <w:rFonts w:hint="eastAsia"/>
          <w:sz w:val="21"/>
          <w:szCs w:val="21"/>
        </w:rPr>
        <w:t xml:space="preserve">本基金主要投资于标的指数成份股和备选成份股（含存托凭证）。 </w:t>
      </w:r>
    </w:p>
    <w:p>
      <w:pPr>
        <w:pStyle w:val="9"/>
        <w:spacing w:before="0" w:beforeAutospacing="0" w:after="0" w:afterAutospacing="0" w:line="360" w:lineRule="auto"/>
        <w:ind w:firstLine="420"/>
        <w:rPr>
          <w:sz w:val="21"/>
          <w:szCs w:val="21"/>
        </w:rPr>
      </w:pPr>
      <w:r>
        <w:rPr>
          <w:rFonts w:hint="eastAsia"/>
          <w:sz w:val="21"/>
          <w:szCs w:val="21"/>
        </w:rPr>
        <w:t xml:space="preserve">为更好地实现基金的投资目标，本基金可能会少量投资于依法发行上市的非成份股（包括创业板及其他经中国证监会核准或注册上市的股票、存托凭证）、港股通标的股票、债券（包括国债、金融债、地方政府债、政府支持机构债券、政府支持债券、企业债、公司债、可转换债券（含分离交易可转债的纯债部分）、可交换债券、央行票据、短期融资券、超短期融资券、中期票据、公开发行的次级债等）、资产支持证券、衍生工具（股指期货、国债期货、股票期权）、债券回购、货币市场工具（包括银行存款、同业存单等）以及法律法规或中国证监会允许基金投资的其他金融工具（但须符合中国证监会的相关规定）。 </w:t>
      </w:r>
    </w:p>
    <w:p>
      <w:pPr>
        <w:pStyle w:val="9"/>
        <w:spacing w:before="0" w:beforeAutospacing="0" w:after="0" w:afterAutospacing="0" w:line="360" w:lineRule="auto"/>
        <w:ind w:firstLine="420"/>
        <w:rPr>
          <w:sz w:val="21"/>
          <w:szCs w:val="21"/>
        </w:rPr>
      </w:pPr>
      <w:r>
        <w:rPr>
          <w:rFonts w:hint="eastAsia"/>
          <w:sz w:val="21"/>
          <w:szCs w:val="21"/>
        </w:rPr>
        <w:t xml:space="preserve">本基金将根据法律法规的规定参与融资及转融通证券出借业务。未来在法律法规允许的前提下，本基金可根据相关法律法规规定参与融券业务。 </w:t>
      </w:r>
    </w:p>
    <w:p>
      <w:pPr>
        <w:pStyle w:val="9"/>
        <w:spacing w:before="0" w:beforeAutospacing="0" w:after="0" w:afterAutospacing="0" w:line="360" w:lineRule="auto"/>
        <w:ind w:firstLine="420"/>
        <w:rPr>
          <w:sz w:val="21"/>
          <w:szCs w:val="21"/>
        </w:rPr>
      </w:pPr>
      <w:r>
        <w:rPr>
          <w:rFonts w:hint="eastAsia"/>
          <w:sz w:val="21"/>
          <w:szCs w:val="21"/>
        </w:rPr>
        <w:t xml:space="preserve">本基金根据相关法律法规或中国证监会要求履行相关手续后，还可以投资于法律法规或中国证监会未来允许基金投资的其他金融工具。 </w:t>
      </w:r>
    </w:p>
    <w:p>
      <w:pPr>
        <w:pStyle w:val="9"/>
        <w:spacing w:before="0" w:beforeAutospacing="0" w:after="0" w:afterAutospacing="0" w:line="360" w:lineRule="auto"/>
        <w:ind w:firstLine="420"/>
        <w:rPr>
          <w:sz w:val="21"/>
          <w:szCs w:val="21"/>
        </w:rPr>
      </w:pPr>
      <w:r>
        <w:rPr>
          <w:rFonts w:hint="eastAsia"/>
          <w:sz w:val="21"/>
          <w:szCs w:val="21"/>
        </w:rPr>
        <w:t xml:space="preserve">本基金的股票资产投资比例不低于基金资产的90%，其中投资于标的指数成份股和备选成份股的资产不低于非现金基金资产的80%，投资港股通标的股票的比例不超过本基金股票资产的10%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 </w:t>
      </w:r>
    </w:p>
    <w:p>
      <w:pPr>
        <w:pStyle w:val="9"/>
        <w:spacing w:before="0" w:beforeAutospacing="0" w:after="0" w:afterAutospacing="0" w:line="360" w:lineRule="auto"/>
        <w:ind w:firstLine="420"/>
        <w:rPr>
          <w:sz w:val="21"/>
          <w:szCs w:val="21"/>
        </w:rPr>
      </w:pPr>
      <w:r>
        <w:rPr>
          <w:rFonts w:hint="eastAsia"/>
          <w:sz w:val="21"/>
          <w:szCs w:val="21"/>
        </w:rPr>
        <w:t xml:space="preserve">若法律法规的相关规定发生变更或监管机构允许，本基金管理人在履行适当程序后，可对上述资产配置比例进行调整。 </w:t>
      </w:r>
    </w:p>
    <w:p>
      <w:pPr>
        <w:pStyle w:val="9"/>
        <w:spacing w:before="0" w:beforeAutospacing="0" w:after="0" w:afterAutospacing="0" w:line="360" w:lineRule="auto"/>
        <w:ind w:firstLine="420"/>
        <w:rPr>
          <w:sz w:val="21"/>
          <w:szCs w:val="21"/>
        </w:rPr>
      </w:pPr>
      <w:r>
        <w:rPr>
          <w:rFonts w:hint="eastAsia"/>
          <w:sz w:val="21"/>
          <w:szCs w:val="21"/>
        </w:rPr>
        <w:t xml:space="preserve">本基金属于股票型基金，其预期收益及预期风险水平高于混合型基金、债券型基金与货币市场基金。本基金为被动式投资的股票型指数基金，跟踪中证有色金属矿业主题指数，其风险收益特征与标的指数所表征的市场组合的风险收益特征相似。本基金如果投资港股通标的股票，需承担汇率风险以及境外市场的风险。 </w:t>
      </w:r>
    </w:p>
    <w:p>
      <w:pPr>
        <w:pStyle w:val="9"/>
        <w:spacing w:before="0" w:beforeAutospacing="0" w:after="0" w:afterAutospacing="0" w:line="360" w:lineRule="auto"/>
        <w:ind w:firstLine="420"/>
        <w:rPr>
          <w:sz w:val="21"/>
          <w:szCs w:val="21"/>
        </w:rPr>
      </w:pPr>
      <w:r>
        <w:rPr>
          <w:rFonts w:hint="eastAsia"/>
          <w:sz w:val="21"/>
          <w:szCs w:val="21"/>
        </w:rPr>
        <w:t xml:space="preserve">本基金为指数基金，投资者投资于本基金面临跟踪误差控制未达约定目标、指数编制机构停止服务、成份股停牌或退市等潜在风险，具体风险详见本基金招募说明书“风险揭示”章节。 </w:t>
      </w:r>
    </w:p>
    <w:p>
      <w:pPr>
        <w:pStyle w:val="9"/>
        <w:spacing w:before="0" w:beforeAutospacing="0" w:after="0" w:afterAutospacing="0" w:line="360" w:lineRule="auto"/>
        <w:ind w:firstLine="420"/>
        <w:rPr>
          <w:sz w:val="21"/>
          <w:szCs w:val="21"/>
        </w:rPr>
      </w:pPr>
      <w:r>
        <w:rPr>
          <w:rFonts w:hint="eastAsia"/>
          <w:sz w:val="21"/>
          <w:szCs w:val="21"/>
        </w:rPr>
        <w:t xml:space="preserve">本基金可投资资产支持证券（ABS）。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9"/>
        <w:spacing w:before="0" w:beforeAutospacing="0" w:after="0" w:afterAutospacing="0" w:line="360" w:lineRule="auto"/>
        <w:ind w:firstLine="420"/>
        <w:rPr>
          <w:sz w:val="21"/>
          <w:szCs w:val="21"/>
        </w:rPr>
      </w:pPr>
      <w:r>
        <w:rPr>
          <w:rFonts w:hint="eastAsia"/>
          <w:sz w:val="21"/>
          <w:szCs w:val="21"/>
        </w:rPr>
        <w:t xml:space="preserve">本基金可投资股指期货、国债期货。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pPr>
        <w:pStyle w:val="9"/>
        <w:spacing w:before="0" w:beforeAutospacing="0" w:after="0" w:afterAutospacing="0" w:line="360" w:lineRule="auto"/>
        <w:ind w:firstLine="420"/>
        <w:rPr>
          <w:sz w:val="21"/>
          <w:szCs w:val="21"/>
        </w:rPr>
      </w:pPr>
      <w:r>
        <w:rPr>
          <w:rFonts w:hint="eastAsia"/>
          <w:sz w:val="21"/>
          <w:szCs w:val="21"/>
        </w:rPr>
        <w:t xml:space="preserve">本基金可参与股票期权交易，以套期保值为主要目的，若参与股票期权交易，可能面临价格波动风险、市场流动性风险、强制平仓风险、合约到期风险、行权失败风险、交易违约风险等。 </w:t>
      </w:r>
    </w:p>
    <w:p>
      <w:pPr>
        <w:pStyle w:val="9"/>
        <w:spacing w:before="0" w:beforeAutospacing="0" w:after="0" w:afterAutospacing="0" w:line="360" w:lineRule="auto"/>
        <w:ind w:firstLine="420"/>
        <w:rPr>
          <w:sz w:val="21"/>
          <w:szCs w:val="21"/>
        </w:rPr>
      </w:pPr>
      <w:r>
        <w:rPr>
          <w:rFonts w:hint="eastAsia"/>
          <w:sz w:val="21"/>
          <w:szCs w:val="21"/>
        </w:rPr>
        <w:t xml:space="preserve">基金可根据法律法规的规定参与融资及转融通证券出借业务。本基金将在充分考虑风险和收益特征的基础上，审慎参与融资及转融通证券出借业务。投资者需承担相应的风险。 </w:t>
      </w:r>
    </w:p>
    <w:p>
      <w:pPr>
        <w:pStyle w:val="9"/>
        <w:spacing w:before="0" w:beforeAutospacing="0" w:after="0" w:afterAutospacing="0" w:line="360" w:lineRule="auto"/>
        <w:ind w:firstLine="420"/>
        <w:rPr>
          <w:sz w:val="21"/>
          <w:szCs w:val="21"/>
        </w:rPr>
      </w:pPr>
      <w:r>
        <w:rPr>
          <w:rFonts w:hint="eastAsia"/>
          <w:sz w:val="21"/>
          <w:szCs w:val="21"/>
        </w:rPr>
        <w:t xml:space="preserve">本基金基金资产可少量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 </w:t>
      </w:r>
    </w:p>
    <w:p>
      <w:pPr>
        <w:pStyle w:val="9"/>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境内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9"/>
        <w:spacing w:before="0" w:beforeAutospacing="0" w:after="0" w:afterAutospacing="0" w:line="360" w:lineRule="auto"/>
        <w:ind w:firstLine="420"/>
        <w:rPr>
          <w:sz w:val="21"/>
          <w:szCs w:val="21"/>
        </w:rPr>
      </w:pPr>
      <w:r>
        <w:rPr>
          <w:rFonts w:hint="eastAsia"/>
          <w:sz w:val="21"/>
          <w:szCs w:val="21"/>
        </w:rPr>
        <w:t xml:space="preserve">出现标的指数不符合要求（因成份股价格波动等指数编制方法变动之外的因素致使标的指数不符合要求以及法律法规、监管机构另有规定的情形除外）、指数编制机构退出等情形，基金管理人召集基金份额持有人大会对解决方案进行表决，基金份额持有人大会未成功召开或就上述事项表决未通过的，基金合同终止。因此本基金面临自动清算的风险。 </w:t>
      </w:r>
    </w:p>
    <w:p>
      <w:pPr>
        <w:pStyle w:val="9"/>
        <w:spacing w:before="0" w:beforeAutospacing="0" w:after="0" w:afterAutospacing="0" w:line="360" w:lineRule="auto"/>
        <w:ind w:firstLine="420"/>
        <w:rPr>
          <w:sz w:val="21"/>
          <w:szCs w:val="21"/>
        </w:rPr>
      </w:pPr>
      <w:r>
        <w:rPr>
          <w:rFonts w:hint="eastAsia"/>
          <w:sz w:val="21"/>
          <w:szCs w:val="21"/>
        </w:rPr>
        <w:t xml:space="preserve">当本基金持有特定资产且存在或潜在大额赎回申请时，基金管理人履行相应程序后，可以启用侧袋机制，具体详见基金合同和本招募说明书“侧袋机制”等有关章节。侧袋机制实施期间，基金管理人将对基金简称进行特殊标识，投资者不得办理侧袋账户份额的申购赎回等业务。请基金份额持有人仔细阅读相关内容并关注本基金启用侧袋机制时的特定风险。 </w:t>
      </w:r>
    </w:p>
    <w:p>
      <w:pPr>
        <w:pStyle w:val="9"/>
        <w:spacing w:before="0" w:beforeAutospacing="0" w:after="0" w:afterAutospacing="0" w:line="360" w:lineRule="auto"/>
        <w:ind w:firstLine="420"/>
        <w:rPr>
          <w:sz w:val="21"/>
          <w:szCs w:val="21"/>
        </w:rPr>
      </w:pPr>
      <w:r>
        <w:rPr>
          <w:rFonts w:hint="eastAsia"/>
          <w:sz w:val="21"/>
          <w:szCs w:val="21"/>
        </w:rPr>
        <w:t xml:space="preserve">本基金以1.00元初始面值募集基金份额，在市场波动等因素的影响下，基金投资有可能出现亏损或基金份额净值低于初始面值。 </w:t>
      </w:r>
    </w:p>
    <w:p>
      <w:pPr>
        <w:pStyle w:val="9"/>
        <w:spacing w:before="0" w:beforeAutospacing="0" w:after="0" w:afterAutospacing="0" w:line="360" w:lineRule="auto"/>
        <w:ind w:firstLine="420"/>
        <w:rPr>
          <w:sz w:val="21"/>
          <w:szCs w:val="21"/>
        </w:rPr>
      </w:pPr>
      <w:r>
        <w:rPr>
          <w:rFonts w:hint="eastAsia"/>
          <w:sz w:val="21"/>
          <w:szCs w:val="21"/>
        </w:rPr>
        <w:t xml:space="preserve">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 </w:t>
      </w:r>
    </w:p>
    <w:p>
      <w:pPr>
        <w:pStyle w:val="9"/>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pPr>
        <w:pStyle w:val="9"/>
        <w:spacing w:before="0" w:beforeAutospacing="0" w:after="0" w:afterAutospacing="0" w:line="360" w:lineRule="auto"/>
        <w:ind w:firstLine="420"/>
        <w:rPr>
          <w:sz w:val="21"/>
          <w:szCs w:val="21"/>
        </w:rPr>
      </w:pPr>
      <w:r>
        <w:rPr>
          <w:rFonts w:hint="eastAsia"/>
          <w:sz w:val="21"/>
          <w:szCs w:val="21"/>
        </w:rPr>
        <w:t>本招募说明书（更新）所载内容截止日</w:t>
      </w:r>
      <w:bookmarkStart w:id="1" w:name="field_2343_infoendday_1"/>
      <w:r>
        <w:rPr>
          <w:sz w:val="21"/>
          <w:szCs w:val="21"/>
        </w:rPr>
        <w:t>20</w:t>
      </w:r>
      <w:r>
        <w:rPr>
          <w:rFonts w:hint="eastAsia"/>
          <w:sz w:val="21"/>
          <w:szCs w:val="21"/>
          <w:lang w:val="en-US" w:eastAsia="zh-CN"/>
        </w:rPr>
        <w:t>24</w:t>
      </w:r>
      <w:r>
        <w:rPr>
          <w:sz w:val="21"/>
          <w:szCs w:val="21"/>
        </w:rPr>
        <w:t>年</w:t>
      </w:r>
      <w:r>
        <w:rPr>
          <w:rFonts w:hint="eastAsia"/>
          <w:sz w:val="21"/>
          <w:szCs w:val="21"/>
          <w:lang w:val="en-US" w:eastAsia="zh-CN"/>
        </w:rPr>
        <w:t>4</w:t>
      </w:r>
      <w:r>
        <w:rPr>
          <w:sz w:val="21"/>
          <w:szCs w:val="21"/>
        </w:rPr>
        <w:t>月</w:t>
      </w:r>
      <w:r>
        <w:rPr>
          <w:rFonts w:hint="eastAsia"/>
          <w:sz w:val="21"/>
          <w:szCs w:val="21"/>
          <w:lang w:val="en-US" w:eastAsia="zh-CN"/>
        </w:rPr>
        <w:t>12</w:t>
      </w:r>
      <w:r>
        <w:rPr>
          <w:sz w:val="21"/>
          <w:szCs w:val="21"/>
        </w:rPr>
        <w:t>日</w:t>
      </w:r>
      <w:bookmarkEnd w:id="1"/>
      <w:r>
        <w:rPr>
          <w:rFonts w:hint="eastAsia"/>
          <w:sz w:val="21"/>
          <w:szCs w:val="21"/>
        </w:rPr>
        <w:t>，有关财务数据和净值表现截止日为</w:t>
      </w:r>
      <w:bookmarkStart w:id="2" w:name="field_2343_financeendday_1"/>
      <w:r>
        <w:rPr>
          <w:sz w:val="21"/>
          <w:szCs w:val="21"/>
        </w:rPr>
        <w:t>2023年9月30日</w:t>
      </w:r>
      <w:bookmarkEnd w:id="2"/>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8"/>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"_Toc151126539" </w:instrText>
      </w:r>
      <w:r>
        <w:fldChar w:fldCharType="separate"/>
      </w:r>
      <w:r>
        <w:rPr>
          <w:rStyle w:val="15"/>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_Toc151126539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"_Toc151126540" </w:instrText>
      </w:r>
      <w:r>
        <w:fldChar w:fldCharType="separate"/>
      </w:r>
      <w:r>
        <w:rPr>
          <w:rStyle w:val="15"/>
          <w:rFonts w:hint="eastAsia" w:ascii="宋体" w:hAnsi="宋体" w:eastAsia="宋体"/>
          <w:u w:val="none"/>
        </w:rPr>
        <w:t>第一部分</w:t>
      </w:r>
      <w:r>
        <w:rPr>
          <w:rStyle w:val="15"/>
          <w:rFonts w:ascii="宋体" w:hAnsi="宋体" w:eastAsia="宋体"/>
          <w:u w:val="none"/>
        </w:rPr>
        <w:t xml:space="preserve">  </w:t>
      </w:r>
      <w:r>
        <w:rPr>
          <w:rStyle w:val="15"/>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_Toc151126540 \h </w:instrText>
      </w:r>
      <w:r>
        <w:rPr>
          <w:rFonts w:ascii="宋体" w:hAnsi="宋体" w:eastAsia="宋体"/>
        </w:rPr>
        <w:fldChar w:fldCharType="separate"/>
      </w:r>
      <w:r>
        <w:rPr>
          <w:rFonts w:ascii="宋体" w:hAnsi="宋体" w:eastAsia="宋体"/>
        </w:rPr>
        <w:t>8</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"_Toc151126541" </w:instrText>
      </w:r>
      <w:r>
        <w:fldChar w:fldCharType="separate"/>
      </w:r>
      <w:r>
        <w:rPr>
          <w:rStyle w:val="15"/>
          <w:rFonts w:hint="eastAsia" w:ascii="宋体" w:hAnsi="宋体" w:eastAsia="宋体"/>
          <w:u w:val="none"/>
        </w:rPr>
        <w:t>第二部分</w:t>
      </w:r>
      <w:r>
        <w:rPr>
          <w:rStyle w:val="15"/>
          <w:rFonts w:ascii="宋体" w:hAnsi="宋体" w:eastAsia="宋体"/>
          <w:u w:val="none"/>
        </w:rPr>
        <w:t xml:space="preserve">  </w:t>
      </w:r>
      <w:r>
        <w:rPr>
          <w:rStyle w:val="15"/>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_Toc151126541 \h </w:instrText>
      </w:r>
      <w:r>
        <w:rPr>
          <w:rFonts w:ascii="宋体" w:hAnsi="宋体" w:eastAsia="宋体"/>
        </w:rPr>
        <w:fldChar w:fldCharType="separate"/>
      </w:r>
      <w:r>
        <w:rPr>
          <w:rFonts w:ascii="宋体" w:hAnsi="宋体" w:eastAsia="宋体"/>
        </w:rPr>
        <w:t>9</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"_Toc151126542" </w:instrText>
      </w:r>
      <w:r>
        <w:fldChar w:fldCharType="separate"/>
      </w:r>
      <w:r>
        <w:rPr>
          <w:rStyle w:val="15"/>
          <w:rFonts w:hint="eastAsia" w:ascii="宋体" w:hAnsi="宋体" w:eastAsia="宋体"/>
          <w:u w:val="none"/>
        </w:rPr>
        <w:t>第三部分</w:t>
      </w:r>
      <w:r>
        <w:rPr>
          <w:rStyle w:val="15"/>
          <w:rFonts w:ascii="宋体" w:hAnsi="宋体" w:eastAsia="宋体"/>
          <w:u w:val="none"/>
        </w:rPr>
        <w:t xml:space="preserve">  </w:t>
      </w:r>
      <w:r>
        <w:rPr>
          <w:rStyle w:val="15"/>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_Toc151126542 \h </w:instrText>
      </w:r>
      <w:r>
        <w:rPr>
          <w:rFonts w:ascii="宋体" w:hAnsi="宋体" w:eastAsia="宋体"/>
        </w:rPr>
        <w:fldChar w:fldCharType="separate"/>
      </w:r>
      <w:r>
        <w:rPr>
          <w:rFonts w:ascii="宋体" w:hAnsi="宋体" w:eastAsia="宋体"/>
        </w:rPr>
        <w:t>15</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"_Toc151126543" </w:instrText>
      </w:r>
      <w:r>
        <w:fldChar w:fldCharType="separate"/>
      </w:r>
      <w:r>
        <w:rPr>
          <w:rStyle w:val="15"/>
          <w:rFonts w:hint="eastAsia" w:ascii="宋体" w:hAnsi="宋体" w:eastAsia="宋体"/>
          <w:u w:val="none"/>
        </w:rPr>
        <w:t>第四部分</w:t>
      </w:r>
      <w:r>
        <w:rPr>
          <w:rStyle w:val="15"/>
          <w:rFonts w:ascii="宋体" w:hAnsi="宋体" w:eastAsia="宋体"/>
          <w:u w:val="none"/>
        </w:rPr>
        <w:t xml:space="preserve">  </w:t>
      </w:r>
      <w:r>
        <w:rPr>
          <w:rStyle w:val="15"/>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_Toc151126543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"_Toc151126544" </w:instrText>
      </w:r>
      <w:r>
        <w:fldChar w:fldCharType="separate"/>
      </w:r>
      <w:r>
        <w:rPr>
          <w:rStyle w:val="15"/>
          <w:rFonts w:hint="eastAsia" w:ascii="宋体" w:hAnsi="宋体" w:eastAsia="宋体"/>
          <w:u w:val="none"/>
        </w:rPr>
        <w:t>第五部分</w:t>
      </w:r>
      <w:r>
        <w:rPr>
          <w:rStyle w:val="15"/>
          <w:rFonts w:ascii="宋体" w:hAnsi="宋体" w:eastAsia="宋体"/>
          <w:u w:val="none"/>
        </w:rPr>
        <w:t xml:space="preserve">  </w:t>
      </w:r>
      <w:r>
        <w:rPr>
          <w:rStyle w:val="15"/>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_Toc151126544 \h </w:instrText>
      </w:r>
      <w:r>
        <w:rPr>
          <w:rFonts w:ascii="宋体" w:hAnsi="宋体" w:eastAsia="宋体"/>
        </w:rPr>
        <w:fldChar w:fldCharType="separate"/>
      </w:r>
      <w:r>
        <w:rPr>
          <w:rFonts w:ascii="宋体" w:hAnsi="宋体" w:eastAsia="宋体"/>
        </w:rPr>
        <w:t>30</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"_Toc151126545" </w:instrText>
      </w:r>
      <w:r>
        <w:fldChar w:fldCharType="separate"/>
      </w:r>
      <w:r>
        <w:rPr>
          <w:rStyle w:val="15"/>
          <w:rFonts w:hint="eastAsia" w:ascii="宋体" w:hAnsi="宋体" w:eastAsia="宋体"/>
          <w:u w:val="none"/>
        </w:rPr>
        <w:t>第六部分</w:t>
      </w:r>
      <w:r>
        <w:rPr>
          <w:rStyle w:val="15"/>
          <w:rFonts w:ascii="宋体" w:hAnsi="宋体" w:eastAsia="宋体"/>
          <w:u w:val="none"/>
        </w:rPr>
        <w:t xml:space="preserve"> </w:t>
      </w:r>
      <w:r>
        <w:rPr>
          <w:rStyle w:val="15"/>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_Toc151126545 \h </w:instrText>
      </w:r>
      <w:r>
        <w:rPr>
          <w:rFonts w:ascii="宋体" w:hAnsi="宋体" w:eastAsia="宋体"/>
        </w:rPr>
        <w:fldChar w:fldCharType="separate"/>
      </w:r>
      <w:r>
        <w:rPr>
          <w:rFonts w:ascii="宋体" w:hAnsi="宋体" w:eastAsia="宋体"/>
        </w:rPr>
        <w:t>54</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"_Toc151126546" </w:instrText>
      </w:r>
      <w:r>
        <w:fldChar w:fldCharType="separate"/>
      </w:r>
      <w:r>
        <w:rPr>
          <w:rStyle w:val="15"/>
          <w:rFonts w:hint="eastAsia" w:ascii="宋体" w:hAnsi="宋体" w:eastAsia="宋体"/>
          <w:u w:val="none"/>
        </w:rPr>
        <w:t>第七部分</w:t>
      </w:r>
      <w:r>
        <w:rPr>
          <w:rStyle w:val="15"/>
          <w:rFonts w:ascii="宋体" w:hAnsi="宋体" w:eastAsia="宋体"/>
          <w:u w:val="none"/>
        </w:rPr>
        <w:t xml:space="preserve">  </w:t>
      </w:r>
      <w:r>
        <w:rPr>
          <w:rStyle w:val="15"/>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_Toc151126546 \h </w:instrText>
      </w:r>
      <w:r>
        <w:rPr>
          <w:rFonts w:ascii="宋体" w:hAnsi="宋体" w:eastAsia="宋体"/>
        </w:rPr>
        <w:fldChar w:fldCharType="separate"/>
      </w:r>
      <w:r>
        <w:rPr>
          <w:rFonts w:ascii="宋体" w:hAnsi="宋体" w:eastAsia="宋体"/>
        </w:rPr>
        <w:t>55</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"_Toc151126547" </w:instrText>
      </w:r>
      <w:r>
        <w:fldChar w:fldCharType="separate"/>
      </w:r>
      <w:r>
        <w:rPr>
          <w:rStyle w:val="15"/>
          <w:rFonts w:hint="eastAsia" w:ascii="宋体" w:hAnsi="宋体" w:eastAsia="宋体"/>
          <w:u w:val="none"/>
        </w:rPr>
        <w:t>第八部分</w:t>
      </w:r>
      <w:r>
        <w:rPr>
          <w:rStyle w:val="15"/>
          <w:rFonts w:ascii="宋体" w:hAnsi="宋体" w:eastAsia="宋体"/>
          <w:u w:val="none"/>
        </w:rPr>
        <w:t xml:space="preserve">  </w:t>
      </w:r>
      <w:r>
        <w:rPr>
          <w:rStyle w:val="15"/>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_Toc151126547 \h </w:instrText>
      </w:r>
      <w:r>
        <w:rPr>
          <w:rFonts w:ascii="宋体" w:hAnsi="宋体" w:eastAsia="宋体"/>
        </w:rPr>
        <w:fldChar w:fldCharType="separate"/>
      </w:r>
      <w:r>
        <w:rPr>
          <w:rFonts w:ascii="宋体" w:hAnsi="宋体" w:eastAsia="宋体"/>
        </w:rPr>
        <w:t>66</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"_Toc151126548" </w:instrText>
      </w:r>
      <w:r>
        <w:fldChar w:fldCharType="separate"/>
      </w:r>
      <w:r>
        <w:rPr>
          <w:rStyle w:val="15"/>
          <w:rFonts w:hint="eastAsia" w:ascii="宋体" w:hAnsi="宋体" w:eastAsia="宋体"/>
          <w:u w:val="none"/>
        </w:rPr>
        <w:t>第九部分</w:t>
      </w:r>
      <w:r>
        <w:rPr>
          <w:rStyle w:val="15"/>
          <w:rFonts w:ascii="宋体" w:hAnsi="宋体" w:eastAsia="宋体"/>
          <w:u w:val="none"/>
        </w:rPr>
        <w:t xml:space="preserve"> </w:t>
      </w:r>
      <w:r>
        <w:rPr>
          <w:rStyle w:val="15"/>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_Toc151126548 \h </w:instrText>
      </w:r>
      <w:r>
        <w:rPr>
          <w:rFonts w:ascii="宋体" w:hAnsi="宋体" w:eastAsia="宋体"/>
        </w:rPr>
        <w:fldChar w:fldCharType="separate"/>
      </w:r>
      <w:r>
        <w:rPr>
          <w:rFonts w:ascii="宋体" w:hAnsi="宋体" w:eastAsia="宋体"/>
        </w:rPr>
        <w:t>79</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"_Toc151126549" </w:instrText>
      </w:r>
      <w:r>
        <w:fldChar w:fldCharType="separate"/>
      </w:r>
      <w:r>
        <w:rPr>
          <w:rStyle w:val="15"/>
          <w:rFonts w:hint="eastAsia" w:ascii="宋体" w:hAnsi="宋体" w:eastAsia="宋体"/>
          <w:u w:val="none"/>
        </w:rPr>
        <w:t>第十部分</w:t>
      </w:r>
      <w:r>
        <w:rPr>
          <w:rStyle w:val="15"/>
          <w:rFonts w:ascii="宋体" w:hAnsi="宋体" w:eastAsia="宋体"/>
          <w:u w:val="none"/>
        </w:rPr>
        <w:t xml:space="preserve">  </w:t>
      </w:r>
      <w:r>
        <w:rPr>
          <w:rStyle w:val="15"/>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_Toc151126549 \h </w:instrText>
      </w:r>
      <w:r>
        <w:rPr>
          <w:rFonts w:ascii="宋体" w:hAnsi="宋体" w:eastAsia="宋体"/>
        </w:rPr>
        <w:fldChar w:fldCharType="separate"/>
      </w:r>
      <w:r>
        <w:rPr>
          <w:rFonts w:ascii="宋体" w:hAnsi="宋体" w:eastAsia="宋体"/>
        </w:rPr>
        <w:t>80</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"_Toc151126550" </w:instrText>
      </w:r>
      <w:r>
        <w:fldChar w:fldCharType="separate"/>
      </w:r>
      <w:r>
        <w:rPr>
          <w:rStyle w:val="15"/>
          <w:rFonts w:hint="eastAsia" w:ascii="宋体" w:hAnsi="宋体" w:eastAsia="宋体"/>
          <w:u w:val="none"/>
        </w:rPr>
        <w:t>第十一部分</w:t>
      </w:r>
      <w:r>
        <w:rPr>
          <w:rStyle w:val="15"/>
          <w:rFonts w:ascii="宋体" w:hAnsi="宋体" w:eastAsia="宋体"/>
          <w:u w:val="none"/>
        </w:rPr>
        <w:t xml:space="preserve">  </w:t>
      </w:r>
      <w:r>
        <w:rPr>
          <w:rStyle w:val="15"/>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_Toc151126550 \h </w:instrText>
      </w:r>
      <w:r>
        <w:rPr>
          <w:rFonts w:ascii="宋体" w:hAnsi="宋体" w:eastAsia="宋体"/>
        </w:rPr>
        <w:fldChar w:fldCharType="separate"/>
      </w:r>
      <w:r>
        <w:rPr>
          <w:rFonts w:ascii="宋体" w:hAnsi="宋体" w:eastAsia="宋体"/>
        </w:rPr>
        <w:t>81</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"_Toc151126551" </w:instrText>
      </w:r>
      <w:r>
        <w:fldChar w:fldCharType="separate"/>
      </w:r>
      <w:r>
        <w:rPr>
          <w:rStyle w:val="15"/>
          <w:rFonts w:hint="eastAsia" w:ascii="宋体" w:hAnsi="宋体" w:eastAsia="宋体"/>
          <w:u w:val="none"/>
        </w:rPr>
        <w:t>第十二部分</w:t>
      </w:r>
      <w:r>
        <w:rPr>
          <w:rStyle w:val="15"/>
          <w:rFonts w:ascii="宋体" w:hAnsi="宋体" w:eastAsia="宋体"/>
          <w:u w:val="none"/>
        </w:rPr>
        <w:t xml:space="preserve">  </w:t>
      </w:r>
      <w:r>
        <w:rPr>
          <w:rStyle w:val="15"/>
          <w:rFonts w:hint="eastAsia" w:ascii="宋体" w:hAnsi="宋体" w:eastAsia="宋体"/>
          <w:u w:val="none"/>
        </w:rPr>
        <w:t>基金的收益与分配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_Toc151126551 \h </w:instrText>
      </w:r>
      <w:r>
        <w:rPr>
          <w:rFonts w:ascii="宋体" w:hAnsi="宋体" w:eastAsia="宋体"/>
        </w:rPr>
        <w:fldChar w:fldCharType="separate"/>
      </w:r>
      <w:r>
        <w:rPr>
          <w:rFonts w:ascii="宋体" w:hAnsi="宋体" w:eastAsia="宋体"/>
        </w:rPr>
        <w:t>87</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"_Toc151126552" </w:instrText>
      </w:r>
      <w:r>
        <w:fldChar w:fldCharType="separate"/>
      </w:r>
      <w:r>
        <w:rPr>
          <w:rStyle w:val="15"/>
          <w:rFonts w:hint="eastAsia" w:ascii="宋体" w:hAnsi="宋体" w:eastAsia="宋体"/>
          <w:u w:val="none"/>
        </w:rPr>
        <w:t>第十三部分</w:t>
      </w:r>
      <w:r>
        <w:rPr>
          <w:rStyle w:val="15"/>
          <w:rFonts w:ascii="宋体" w:hAnsi="宋体" w:eastAsia="宋体"/>
          <w:u w:val="none"/>
        </w:rPr>
        <w:t xml:space="preserve">  </w:t>
      </w:r>
      <w:r>
        <w:rPr>
          <w:rStyle w:val="15"/>
          <w:rFonts w:hint="eastAsia" w:ascii="宋体" w:hAnsi="宋体" w:eastAsia="宋体"/>
          <w:u w:val="none"/>
        </w:rPr>
        <w:t>基金的费用与税收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_Toc151126552 \h </w:instrText>
      </w:r>
      <w:r>
        <w:rPr>
          <w:rFonts w:ascii="宋体" w:hAnsi="宋体" w:eastAsia="宋体"/>
        </w:rPr>
        <w:fldChar w:fldCharType="separate"/>
      </w:r>
      <w:r>
        <w:rPr>
          <w:rFonts w:ascii="宋体" w:hAnsi="宋体" w:eastAsia="宋体"/>
        </w:rPr>
        <w:t>89</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"_Toc151126578" </w:instrText>
      </w:r>
      <w:r>
        <w:fldChar w:fldCharType="separate"/>
      </w:r>
      <w:r>
        <w:rPr>
          <w:rStyle w:val="15"/>
          <w:rFonts w:hint="eastAsia" w:ascii="宋体" w:hAnsi="宋体" w:eastAsia="宋体"/>
          <w:u w:val="none"/>
        </w:rPr>
        <w:t>第十四部分</w:t>
      </w:r>
      <w:r>
        <w:rPr>
          <w:rStyle w:val="15"/>
          <w:rFonts w:ascii="宋体" w:hAnsi="宋体" w:eastAsia="宋体"/>
          <w:u w:val="none"/>
        </w:rPr>
        <w:t xml:space="preserve">  </w:t>
      </w:r>
      <w:r>
        <w:rPr>
          <w:rStyle w:val="15"/>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_Toc151126578 \h </w:instrText>
      </w:r>
      <w:r>
        <w:rPr>
          <w:rFonts w:ascii="宋体" w:hAnsi="宋体" w:eastAsia="宋体"/>
        </w:rPr>
        <w:fldChar w:fldCharType="separate"/>
      </w:r>
      <w:r>
        <w:rPr>
          <w:rFonts w:ascii="宋体" w:hAnsi="宋体" w:eastAsia="宋体"/>
        </w:rPr>
        <w:t>92</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"_Toc151126579" </w:instrText>
      </w:r>
      <w:r>
        <w:fldChar w:fldCharType="separate"/>
      </w:r>
      <w:r>
        <w:rPr>
          <w:rStyle w:val="15"/>
          <w:rFonts w:hint="eastAsia" w:ascii="宋体" w:hAnsi="宋体" w:eastAsia="宋体"/>
          <w:u w:val="none"/>
        </w:rPr>
        <w:t>第十五部分</w:t>
      </w:r>
      <w:r>
        <w:rPr>
          <w:rStyle w:val="15"/>
          <w:rFonts w:ascii="宋体" w:hAnsi="宋体" w:eastAsia="宋体"/>
          <w:u w:val="none"/>
        </w:rPr>
        <w:t xml:space="preserve">  </w:t>
      </w:r>
      <w:r>
        <w:rPr>
          <w:rStyle w:val="15"/>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_Toc151126579 \h </w:instrText>
      </w:r>
      <w:r>
        <w:rPr>
          <w:rFonts w:ascii="宋体" w:hAnsi="宋体" w:eastAsia="宋体"/>
        </w:rPr>
        <w:fldChar w:fldCharType="separate"/>
      </w:r>
      <w:r>
        <w:rPr>
          <w:rFonts w:ascii="宋体" w:hAnsi="宋体" w:eastAsia="宋体"/>
        </w:rPr>
        <w:t>93</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"_Toc151126580" </w:instrText>
      </w:r>
      <w:r>
        <w:fldChar w:fldCharType="separate"/>
      </w:r>
      <w:r>
        <w:rPr>
          <w:rStyle w:val="15"/>
          <w:rFonts w:hint="eastAsia" w:ascii="宋体" w:hAnsi="宋体" w:eastAsia="宋体"/>
          <w:u w:val="none"/>
        </w:rPr>
        <w:t>第十六部分</w:t>
      </w:r>
      <w:r>
        <w:rPr>
          <w:rStyle w:val="15"/>
          <w:rFonts w:ascii="宋体" w:hAnsi="宋体" w:eastAsia="宋体"/>
          <w:u w:val="none"/>
        </w:rPr>
        <w:t xml:space="preserve"> </w:t>
      </w:r>
      <w:r>
        <w:rPr>
          <w:rStyle w:val="15"/>
          <w:rFonts w:hint="eastAsia" w:ascii="宋体" w:hAnsi="宋体" w:eastAsia="宋体"/>
          <w:u w:val="none"/>
        </w:rPr>
        <w:t>侧袋机制</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_Toc151126580 \h </w:instrText>
      </w:r>
      <w:r>
        <w:rPr>
          <w:rFonts w:ascii="宋体" w:hAnsi="宋体" w:eastAsia="宋体"/>
        </w:rPr>
        <w:fldChar w:fldCharType="separate"/>
      </w:r>
      <w:r>
        <w:rPr>
          <w:rFonts w:ascii="宋体" w:hAnsi="宋体" w:eastAsia="宋体"/>
        </w:rPr>
        <w:t>100</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"_Toc151126581" </w:instrText>
      </w:r>
      <w:r>
        <w:fldChar w:fldCharType="separate"/>
      </w:r>
      <w:r>
        <w:rPr>
          <w:rStyle w:val="15"/>
          <w:rFonts w:hint="eastAsia" w:ascii="宋体" w:hAnsi="宋体" w:eastAsia="宋体"/>
          <w:u w:val="none"/>
        </w:rPr>
        <w:t>第十七部分</w:t>
      </w:r>
      <w:r>
        <w:rPr>
          <w:rStyle w:val="15"/>
          <w:rFonts w:ascii="宋体" w:hAnsi="宋体" w:eastAsia="宋体"/>
          <w:u w:val="none"/>
        </w:rPr>
        <w:t xml:space="preserve">  </w:t>
      </w:r>
      <w:r>
        <w:rPr>
          <w:rStyle w:val="15"/>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_Toc151126581 \h </w:instrText>
      </w:r>
      <w:r>
        <w:rPr>
          <w:rFonts w:ascii="宋体" w:hAnsi="宋体" w:eastAsia="宋体"/>
        </w:rPr>
        <w:fldChar w:fldCharType="separate"/>
      </w:r>
      <w:r>
        <w:rPr>
          <w:rFonts w:ascii="宋体" w:hAnsi="宋体" w:eastAsia="宋体"/>
        </w:rPr>
        <w:t>104</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"_Toc151126582" </w:instrText>
      </w:r>
      <w:r>
        <w:fldChar w:fldCharType="separate"/>
      </w:r>
      <w:r>
        <w:rPr>
          <w:rStyle w:val="15"/>
          <w:rFonts w:hint="eastAsia" w:ascii="宋体" w:hAnsi="宋体" w:eastAsia="宋体"/>
          <w:u w:val="none"/>
        </w:rPr>
        <w:t>第十八部分</w:t>
      </w:r>
      <w:r>
        <w:rPr>
          <w:rStyle w:val="15"/>
          <w:rFonts w:ascii="宋体" w:hAnsi="宋体" w:eastAsia="宋体"/>
          <w:u w:val="none"/>
        </w:rPr>
        <w:t xml:space="preserve">  </w:t>
      </w:r>
      <w:r>
        <w:rPr>
          <w:rStyle w:val="15"/>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_Toc151126582 \h </w:instrText>
      </w:r>
      <w:r>
        <w:rPr>
          <w:rFonts w:ascii="宋体" w:hAnsi="宋体" w:eastAsia="宋体"/>
        </w:rPr>
        <w:fldChar w:fldCharType="separate"/>
      </w:r>
      <w:r>
        <w:rPr>
          <w:rFonts w:ascii="宋体" w:hAnsi="宋体" w:eastAsia="宋体"/>
        </w:rPr>
        <w:t>115</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"_Toc151126583" </w:instrText>
      </w:r>
      <w:r>
        <w:fldChar w:fldCharType="separate"/>
      </w:r>
      <w:r>
        <w:rPr>
          <w:rStyle w:val="15"/>
          <w:rFonts w:hint="eastAsia" w:ascii="宋体" w:hAnsi="宋体" w:eastAsia="宋体"/>
          <w:u w:val="none"/>
        </w:rPr>
        <w:t>第十九部分</w:t>
      </w:r>
      <w:r>
        <w:rPr>
          <w:rStyle w:val="15"/>
          <w:rFonts w:ascii="宋体" w:hAnsi="宋体" w:eastAsia="宋体"/>
          <w:u w:val="none"/>
        </w:rPr>
        <w:t xml:space="preserve">  </w:t>
      </w:r>
      <w:r>
        <w:rPr>
          <w:rStyle w:val="15"/>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_Toc151126583 \h </w:instrText>
      </w:r>
      <w:r>
        <w:rPr>
          <w:rFonts w:ascii="宋体" w:hAnsi="宋体" w:eastAsia="宋体"/>
        </w:rPr>
        <w:fldChar w:fldCharType="separate"/>
      </w:r>
      <w:r>
        <w:rPr>
          <w:rFonts w:ascii="宋体" w:hAnsi="宋体" w:eastAsia="宋体"/>
        </w:rPr>
        <w:t>118</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"_Toc151126584" </w:instrText>
      </w:r>
      <w:r>
        <w:fldChar w:fldCharType="separate"/>
      </w:r>
      <w:r>
        <w:rPr>
          <w:rStyle w:val="15"/>
          <w:rFonts w:hint="eastAsia" w:ascii="宋体" w:hAnsi="宋体" w:eastAsia="宋体"/>
          <w:u w:val="none"/>
        </w:rPr>
        <w:t>第二十部分</w:t>
      </w:r>
      <w:r>
        <w:rPr>
          <w:rStyle w:val="15"/>
          <w:rFonts w:ascii="宋体" w:hAnsi="宋体" w:eastAsia="宋体"/>
          <w:u w:val="none"/>
        </w:rPr>
        <w:t xml:space="preserve">  </w:t>
      </w:r>
      <w:r>
        <w:rPr>
          <w:rStyle w:val="15"/>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_Toc151126584 \h </w:instrText>
      </w:r>
      <w:r>
        <w:rPr>
          <w:rFonts w:ascii="宋体" w:hAnsi="宋体" w:eastAsia="宋体"/>
        </w:rPr>
        <w:fldChar w:fldCharType="separate"/>
      </w:r>
      <w:r>
        <w:rPr>
          <w:rFonts w:ascii="宋体" w:hAnsi="宋体" w:eastAsia="宋体"/>
        </w:rPr>
        <w:t>135</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"_Toc151126585" </w:instrText>
      </w:r>
      <w:r>
        <w:fldChar w:fldCharType="separate"/>
      </w:r>
      <w:r>
        <w:rPr>
          <w:rStyle w:val="15"/>
          <w:rFonts w:hint="eastAsia" w:ascii="宋体" w:hAnsi="宋体" w:eastAsia="宋体"/>
          <w:u w:val="none"/>
        </w:rPr>
        <w:t>第二十一部分</w:t>
      </w:r>
      <w:r>
        <w:rPr>
          <w:rStyle w:val="15"/>
          <w:rFonts w:ascii="宋体" w:hAnsi="宋体" w:eastAsia="宋体"/>
          <w:u w:val="none"/>
        </w:rPr>
        <w:t xml:space="preserve">  </w:t>
      </w:r>
      <w:r>
        <w:rPr>
          <w:rStyle w:val="15"/>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_Toc151126585 \h </w:instrText>
      </w:r>
      <w:r>
        <w:rPr>
          <w:rFonts w:ascii="宋体" w:hAnsi="宋体" w:eastAsia="宋体"/>
        </w:rPr>
        <w:fldChar w:fldCharType="separate"/>
      </w:r>
      <w:r>
        <w:rPr>
          <w:rFonts w:ascii="宋体" w:hAnsi="宋体" w:eastAsia="宋体"/>
        </w:rPr>
        <w:t>154</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"_Toc151126586" </w:instrText>
      </w:r>
      <w:r>
        <w:fldChar w:fldCharType="separate"/>
      </w:r>
      <w:r>
        <w:rPr>
          <w:rStyle w:val="15"/>
          <w:rFonts w:hint="eastAsia" w:ascii="宋体" w:hAnsi="宋体" w:eastAsia="宋体"/>
          <w:u w:val="none"/>
        </w:rPr>
        <w:t>第二十二部分</w:t>
      </w:r>
      <w:r>
        <w:rPr>
          <w:rStyle w:val="15"/>
          <w:rFonts w:ascii="宋体" w:hAnsi="宋体" w:eastAsia="宋体"/>
          <w:u w:val="none"/>
        </w:rPr>
        <w:t xml:space="preserve"> </w:t>
      </w:r>
      <w:r>
        <w:rPr>
          <w:rStyle w:val="15"/>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_Toc151126586 \h </w:instrText>
      </w:r>
      <w:r>
        <w:rPr>
          <w:rFonts w:ascii="宋体" w:hAnsi="宋体" w:eastAsia="宋体"/>
        </w:rPr>
        <w:fldChar w:fldCharType="separate"/>
      </w:r>
      <w:r>
        <w:rPr>
          <w:rFonts w:ascii="宋体" w:hAnsi="宋体" w:eastAsia="宋体"/>
        </w:rPr>
        <w:t>157</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"_Toc151126587" </w:instrText>
      </w:r>
      <w:r>
        <w:fldChar w:fldCharType="separate"/>
      </w:r>
      <w:r>
        <w:rPr>
          <w:rStyle w:val="15"/>
          <w:rFonts w:hint="eastAsia" w:ascii="宋体" w:hAnsi="宋体" w:eastAsia="宋体"/>
          <w:u w:val="none"/>
        </w:rPr>
        <w:t>第二十三部分</w:t>
      </w:r>
      <w:r>
        <w:rPr>
          <w:rStyle w:val="15"/>
          <w:rFonts w:ascii="宋体" w:hAnsi="宋体" w:eastAsia="宋体"/>
          <w:u w:val="none"/>
        </w:rPr>
        <w:t xml:space="preserve">  </w:t>
      </w:r>
      <w:r>
        <w:rPr>
          <w:rStyle w:val="15"/>
          <w:rFonts w:hint="eastAsia" w:ascii="宋体" w:hAnsi="宋体" w:eastAsia="宋体"/>
          <w:u w:val="none"/>
        </w:rPr>
        <w:t>招募说明书的存放及查阅方式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_Toc151126587 \h </w:instrText>
      </w:r>
      <w:r>
        <w:rPr>
          <w:rFonts w:ascii="宋体" w:hAnsi="宋体" w:eastAsia="宋体"/>
        </w:rPr>
        <w:fldChar w:fldCharType="separate"/>
      </w:r>
      <w:r>
        <w:rPr>
          <w:rFonts w:ascii="宋体" w:hAnsi="宋体" w:eastAsia="宋体"/>
        </w:rPr>
        <w:t>159</w:t>
      </w:r>
      <w:r>
        <w:rPr>
          <w:rFonts w:ascii="宋体" w:hAnsi="宋体" w:eastAsia="宋体"/>
        </w:rPr>
        <w:fldChar w:fldCharType="end"/>
      </w:r>
      <w:r>
        <w:rPr>
          <w:rFonts w:ascii="宋体" w:hAnsi="宋体" w:eastAsia="宋体"/>
        </w:rPr>
        <w:fldChar w:fldCharType="end"/>
      </w:r>
    </w:p>
    <w:p>
      <w:pPr>
        <w:pStyle w:val="8"/>
        <w:tabs>
          <w:tab w:val="right" w:leader="dot" w:pos="8290"/>
        </w:tabs>
        <w:spacing w:line="360" w:lineRule="auto"/>
        <w:rPr>
          <w:rFonts w:ascii="宋体" w:hAnsi="宋体" w:eastAsia="宋体"/>
        </w:rPr>
      </w:pPr>
      <w:r>
        <w:fldChar w:fldCharType="begin"/>
      </w:r>
      <w:r>
        <w:instrText xml:space="preserve"> HYPERLINK \l "_Toc151126588" </w:instrText>
      </w:r>
      <w:r>
        <w:fldChar w:fldCharType="separate"/>
      </w:r>
      <w:r>
        <w:rPr>
          <w:rStyle w:val="15"/>
          <w:rFonts w:hint="eastAsia" w:ascii="宋体" w:hAnsi="宋体" w:eastAsia="宋体"/>
          <w:u w:val="none"/>
        </w:rPr>
        <w:t>第二十四部分</w:t>
      </w:r>
      <w:r>
        <w:rPr>
          <w:rStyle w:val="15"/>
          <w:rFonts w:ascii="宋体" w:hAnsi="宋体" w:eastAsia="宋体"/>
          <w:u w:val="none"/>
        </w:rPr>
        <w:t xml:space="preserve">  </w:t>
      </w:r>
      <w:r>
        <w:rPr>
          <w:rStyle w:val="15"/>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_Toc151126588 \h </w:instrText>
      </w:r>
      <w:r>
        <w:rPr>
          <w:rFonts w:ascii="宋体" w:hAnsi="宋体" w:eastAsia="宋体"/>
        </w:rPr>
        <w:fldChar w:fldCharType="separate"/>
      </w:r>
      <w:r>
        <w:rPr>
          <w:rFonts w:ascii="宋体" w:hAnsi="宋体" w:eastAsia="宋体"/>
        </w:rPr>
        <w:t>160</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 w:name="_Toc151126540"/>
      <w:bookmarkStart w:id="4" w:name="chapter_level1_3_2344"/>
      <w:r>
        <w:rPr>
          <w:rFonts w:hint="eastAsia" w:ascii="宋体" w:hAnsi="宋体" w:eastAsia="宋体"/>
          <w:sz w:val="30"/>
        </w:rPr>
        <w:t>第一部分  绪言</w:t>
      </w:r>
      <w:bookmarkEnd w:id="3"/>
      <w:bookmarkEnd w:id="4"/>
    </w:p>
    <w:p>
      <w:pPr>
        <w:pStyle w:val="9"/>
        <w:spacing w:before="0" w:beforeAutospacing="0" w:after="0" w:afterAutospacing="0" w:line="360" w:lineRule="auto"/>
        <w:ind w:firstLine="420"/>
        <w:rPr>
          <w:sz w:val="21"/>
          <w:szCs w:val="21"/>
        </w:rPr>
      </w:pPr>
      <w:bookmarkStart w:id="5" w:name="chapter_level1_3_2344_section_1"/>
      <w:bookmarkEnd w:id="5"/>
      <w:r>
        <w:rPr>
          <w:rFonts w:hint="eastAsia"/>
          <w:sz w:val="21"/>
          <w:szCs w:val="21"/>
        </w:rPr>
        <w:t>本招募说明书依据《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以及《</w:t>
      </w:r>
      <w:bookmarkStart w:id="6" w:name="field_0_productfullname_1"/>
      <w:r>
        <w:rPr>
          <w:rFonts w:hint="eastAsia"/>
          <w:sz w:val="21"/>
          <w:szCs w:val="21"/>
        </w:rPr>
        <w:t>博时中证有色金属矿业主题指数证券投资基金</w:t>
      </w:r>
      <w:bookmarkEnd w:id="6"/>
      <w:r>
        <w:rPr>
          <w:rFonts w:hint="eastAsia"/>
          <w:sz w:val="21"/>
          <w:szCs w:val="21"/>
        </w:rPr>
        <w:t>基金合同》编写。</w:t>
      </w:r>
    </w:p>
    <w:p>
      <w:pPr>
        <w:pStyle w:val="9"/>
        <w:spacing w:before="0" w:beforeAutospacing="0" w:after="0" w:afterAutospacing="0" w:line="360" w:lineRule="auto"/>
        <w:ind w:firstLine="420"/>
        <w:rPr>
          <w:sz w:val="21"/>
          <w:szCs w:val="21"/>
        </w:rPr>
      </w:pPr>
      <w:r>
        <w:rPr>
          <w:rFonts w:hint="eastAsia"/>
          <w:sz w:val="21"/>
          <w:szCs w:val="21"/>
        </w:rPr>
        <w:t>本招募说明书阐述了</w:t>
      </w:r>
      <w:bookmarkStart w:id="7" w:name="field_0_productfullname_2"/>
      <w:r>
        <w:rPr>
          <w:rFonts w:hint="eastAsia"/>
          <w:sz w:val="21"/>
          <w:szCs w:val="21"/>
        </w:rPr>
        <w:t>博时中证有色金属矿业主题指数证券投资基金</w:t>
      </w:r>
      <w:bookmarkEnd w:id="7"/>
      <w:r>
        <w:rPr>
          <w:rFonts w:hint="eastAsia"/>
          <w:sz w:val="21"/>
          <w:szCs w:val="21"/>
        </w:rPr>
        <w:t>的投资目标、策略、风险、费率等与投资人投资决策有关的必要事项，投资人在作出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pPr>
        <w:pStyle w:val="9"/>
        <w:spacing w:before="0" w:beforeAutospacing="0" w:after="0" w:afterAutospacing="0" w:line="360" w:lineRule="auto"/>
        <w:ind w:firstLine="420"/>
        <w:rPr>
          <w:sz w:val="21"/>
          <w:szCs w:val="21"/>
        </w:rPr>
      </w:pPr>
      <w:r>
        <w:rPr>
          <w:rFonts w:hint="eastAsia"/>
          <w:sz w:val="21"/>
          <w:szCs w:val="21"/>
        </w:rPr>
        <w:t>本招募说明书根据本基金的基金合同编写，并经中国证监会注册。基金合同是约定基金合同当事人之间权利、义务的法律文件。基金投资人自依基金合同取得基金份额，即成为基金份额持有人和本基金基金合同的当事人，其持有基金份额的行为本身即表明其对基金合同的承认和接受，并按照《基金法》、基金合同及其他有关规定享有权利、承担义务。基金投</w:t>
      </w:r>
      <w:bookmarkStart w:id="8" w:name="chapter_level1_3_2344_section_1_end"/>
      <w:bookmarkEnd w:id="8"/>
      <w:r>
        <w:rPr>
          <w:rFonts w:hint="eastAsia"/>
          <w:sz w:val="21"/>
          <w:szCs w:val="21"/>
        </w:rPr>
        <w:t>资人欲了解基金份额持有人的权利和义务，应详细查阅基金合同。</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9" w:name="chapter_level1_4_49"/>
      <w:bookmarkStart w:id="10" w:name="_Toc151126541"/>
      <w:r>
        <w:rPr>
          <w:rFonts w:hint="eastAsia" w:ascii="宋体" w:hAnsi="宋体" w:eastAsia="宋体"/>
          <w:sz w:val="30"/>
        </w:rPr>
        <w:t>第二部分  释义</w:t>
      </w:r>
      <w:bookmarkEnd w:id="9"/>
      <w:bookmarkEnd w:id="10"/>
    </w:p>
    <w:p>
      <w:pPr>
        <w:pStyle w:val="9"/>
        <w:spacing w:before="0" w:beforeAutospacing="0" w:after="0" w:afterAutospacing="0" w:line="360" w:lineRule="auto"/>
        <w:ind w:firstLine="420"/>
        <w:rPr>
          <w:sz w:val="21"/>
          <w:szCs w:val="21"/>
        </w:rPr>
      </w:pPr>
      <w:bookmarkStart w:id="11" w:name="chapter_level1_4_49_section_1"/>
      <w:bookmarkEnd w:id="11"/>
      <w:r>
        <w:rPr>
          <w:rFonts w:hint="eastAsia"/>
          <w:sz w:val="21"/>
          <w:szCs w:val="21"/>
        </w:rPr>
        <w:t>在本招募说明书中，除非文意另有所指，下列词语或简称具有如下含义：</w:t>
      </w:r>
    </w:p>
    <w:p>
      <w:pPr>
        <w:pStyle w:val="9"/>
        <w:spacing w:before="0" w:beforeAutospacing="0" w:after="0" w:afterAutospacing="0" w:line="360" w:lineRule="auto"/>
        <w:ind w:firstLine="420"/>
        <w:rPr>
          <w:sz w:val="21"/>
          <w:szCs w:val="21"/>
        </w:rPr>
      </w:pPr>
      <w:r>
        <w:rPr>
          <w:rFonts w:hint="eastAsia"/>
          <w:sz w:val="21"/>
          <w:szCs w:val="21"/>
        </w:rPr>
        <w:t>1、基金或本基金：指</w:t>
      </w:r>
      <w:bookmarkStart w:id="12" w:name="field_0_productfullname_3"/>
      <w:r>
        <w:rPr>
          <w:rFonts w:hint="eastAsia"/>
          <w:sz w:val="21"/>
          <w:szCs w:val="21"/>
        </w:rPr>
        <w:t>博时中证有色金属矿业主题指数证券投资基金</w:t>
      </w:r>
      <w:bookmarkEnd w:id="12"/>
    </w:p>
    <w:p>
      <w:pPr>
        <w:pStyle w:val="9"/>
        <w:spacing w:before="0" w:beforeAutospacing="0" w:after="0" w:afterAutospacing="0" w:line="360" w:lineRule="auto"/>
        <w:ind w:firstLine="420"/>
        <w:rPr>
          <w:sz w:val="21"/>
          <w:szCs w:val="21"/>
        </w:rPr>
      </w:pPr>
      <w:r>
        <w:rPr>
          <w:rFonts w:hint="eastAsia"/>
          <w:sz w:val="21"/>
          <w:szCs w:val="21"/>
        </w:rPr>
        <w:t>2、基金管理人：指博时基金管理有限公司</w:t>
      </w:r>
    </w:p>
    <w:p>
      <w:pPr>
        <w:pStyle w:val="9"/>
        <w:spacing w:before="0" w:beforeAutospacing="0" w:after="0" w:afterAutospacing="0" w:line="360" w:lineRule="auto"/>
        <w:ind w:firstLine="420"/>
        <w:rPr>
          <w:sz w:val="21"/>
          <w:szCs w:val="21"/>
        </w:rPr>
      </w:pPr>
      <w:r>
        <w:rPr>
          <w:rFonts w:hint="eastAsia"/>
          <w:sz w:val="21"/>
          <w:szCs w:val="21"/>
        </w:rPr>
        <w:t>3、基金托管人：指</w:t>
      </w:r>
      <w:bookmarkStart w:id="13" w:name="field_0_trustorgfullname_1"/>
      <w:r>
        <w:rPr>
          <w:rFonts w:hint="eastAsia"/>
          <w:sz w:val="21"/>
          <w:szCs w:val="21"/>
        </w:rPr>
        <w:t>交通银行股份有限公司</w:t>
      </w:r>
      <w:bookmarkEnd w:id="13"/>
    </w:p>
    <w:p>
      <w:pPr>
        <w:pStyle w:val="9"/>
        <w:spacing w:before="0" w:beforeAutospacing="0" w:after="0" w:afterAutospacing="0" w:line="360" w:lineRule="auto"/>
        <w:ind w:firstLine="420"/>
        <w:rPr>
          <w:sz w:val="21"/>
          <w:szCs w:val="21"/>
        </w:rPr>
      </w:pPr>
      <w:r>
        <w:rPr>
          <w:rFonts w:hint="eastAsia"/>
          <w:sz w:val="21"/>
          <w:szCs w:val="21"/>
        </w:rPr>
        <w:t>4、基金合同：指《</w:t>
      </w:r>
      <w:bookmarkStart w:id="14" w:name="field_0_productfullname_4"/>
      <w:r>
        <w:rPr>
          <w:rFonts w:hint="eastAsia"/>
          <w:sz w:val="21"/>
          <w:szCs w:val="21"/>
        </w:rPr>
        <w:t>博时中证有色金属矿业主题指数证券投资基金</w:t>
      </w:r>
      <w:bookmarkEnd w:id="14"/>
      <w:r>
        <w:rPr>
          <w:rFonts w:hint="eastAsia"/>
          <w:sz w:val="21"/>
          <w:szCs w:val="21"/>
        </w:rPr>
        <w:t>基金合同》及对基金合同的任何有效修订和补充</w:t>
      </w:r>
    </w:p>
    <w:p>
      <w:pPr>
        <w:pStyle w:val="9"/>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15" w:name="field_0_productfullname_5"/>
      <w:r>
        <w:rPr>
          <w:rFonts w:hint="eastAsia"/>
          <w:sz w:val="21"/>
          <w:szCs w:val="21"/>
        </w:rPr>
        <w:t>博时中证有色金属矿业主题指数证券投资基金</w:t>
      </w:r>
      <w:bookmarkEnd w:id="15"/>
      <w:r>
        <w:rPr>
          <w:rFonts w:hint="eastAsia"/>
          <w:sz w:val="21"/>
          <w:szCs w:val="21"/>
        </w:rPr>
        <w:t>托管协议》及对该托管协议的任何有效修订和补充</w:t>
      </w:r>
    </w:p>
    <w:p>
      <w:pPr>
        <w:pStyle w:val="9"/>
        <w:spacing w:before="0" w:beforeAutospacing="0" w:after="0" w:afterAutospacing="0" w:line="360" w:lineRule="auto"/>
        <w:ind w:firstLine="420"/>
        <w:rPr>
          <w:sz w:val="21"/>
          <w:szCs w:val="21"/>
        </w:rPr>
      </w:pPr>
      <w:r>
        <w:rPr>
          <w:rFonts w:hint="eastAsia"/>
          <w:sz w:val="21"/>
          <w:szCs w:val="21"/>
        </w:rPr>
        <w:t>6、招募说明书或者本招募说明书：指《</w:t>
      </w:r>
      <w:bookmarkStart w:id="16" w:name="field_0_productfullname_6"/>
      <w:r>
        <w:rPr>
          <w:rFonts w:hint="eastAsia"/>
          <w:sz w:val="21"/>
          <w:szCs w:val="21"/>
        </w:rPr>
        <w:t>博时中证有色金属矿业主题指数证券投资基金</w:t>
      </w:r>
      <w:bookmarkEnd w:id="16"/>
      <w:r>
        <w:rPr>
          <w:rFonts w:hint="eastAsia"/>
          <w:sz w:val="21"/>
          <w:szCs w:val="21"/>
        </w:rPr>
        <w:t>招募说明书》及其更新</w:t>
      </w:r>
    </w:p>
    <w:p>
      <w:pPr>
        <w:pStyle w:val="9"/>
        <w:spacing w:before="0" w:beforeAutospacing="0" w:after="0" w:afterAutospacing="0" w:line="360" w:lineRule="auto"/>
        <w:ind w:firstLine="420"/>
        <w:rPr>
          <w:sz w:val="21"/>
          <w:szCs w:val="21"/>
        </w:rPr>
      </w:pPr>
      <w:r>
        <w:rPr>
          <w:rFonts w:hint="eastAsia"/>
          <w:sz w:val="21"/>
          <w:szCs w:val="21"/>
        </w:rPr>
        <w:t>7、基金份额发售公告：指《</w:t>
      </w:r>
      <w:bookmarkStart w:id="17" w:name="field_0_productfullname_7"/>
      <w:r>
        <w:rPr>
          <w:rFonts w:hint="eastAsia"/>
          <w:sz w:val="21"/>
          <w:szCs w:val="21"/>
        </w:rPr>
        <w:t>博时中证有色金属矿业主题指数证券投资基金</w:t>
      </w:r>
      <w:bookmarkEnd w:id="17"/>
      <w:r>
        <w:rPr>
          <w:rFonts w:hint="eastAsia"/>
          <w:sz w:val="21"/>
          <w:szCs w:val="21"/>
        </w:rPr>
        <w:t>基金份额发售公告》</w:t>
      </w:r>
    </w:p>
    <w:p>
      <w:pPr>
        <w:pStyle w:val="9"/>
        <w:spacing w:before="0" w:beforeAutospacing="0" w:after="0" w:afterAutospacing="0" w:line="360" w:lineRule="auto"/>
        <w:ind w:firstLine="420"/>
        <w:rPr>
          <w:sz w:val="21"/>
          <w:szCs w:val="21"/>
        </w:rPr>
      </w:pPr>
      <w:r>
        <w:rPr>
          <w:rFonts w:hint="eastAsia"/>
          <w:sz w:val="21"/>
          <w:szCs w:val="21"/>
        </w:rPr>
        <w:t>8、基金产品资料概要：指《</w:t>
      </w:r>
      <w:bookmarkStart w:id="18" w:name="field_0_productfullname_8"/>
      <w:r>
        <w:rPr>
          <w:rFonts w:hint="eastAsia"/>
          <w:sz w:val="21"/>
          <w:szCs w:val="21"/>
        </w:rPr>
        <w:t>博时中证有色金属矿业主题指数证券投资基金</w:t>
      </w:r>
      <w:bookmarkEnd w:id="18"/>
      <w:r>
        <w:rPr>
          <w:rFonts w:hint="eastAsia"/>
          <w:sz w:val="21"/>
          <w:szCs w:val="21"/>
        </w:rPr>
        <w:t>基金产品资料概要》及其更新</w:t>
      </w:r>
    </w:p>
    <w:p>
      <w:pPr>
        <w:pStyle w:val="9"/>
        <w:spacing w:before="0" w:beforeAutospacing="0" w:after="0" w:afterAutospacing="0" w:line="360" w:lineRule="auto"/>
        <w:ind w:firstLine="420"/>
        <w:rPr>
          <w:sz w:val="21"/>
          <w:szCs w:val="21"/>
        </w:rPr>
      </w:pPr>
      <w:r>
        <w:rPr>
          <w:rFonts w:hint="eastAsia"/>
          <w:sz w:val="21"/>
          <w:szCs w:val="21"/>
        </w:rPr>
        <w:t>9、法律法规：指中国现行有效并公布实施的法律、行政法规、规范性文件司法解释、行政规章以及其他对基金合同当事人有约束力的决定、决议、通知等</w:t>
      </w:r>
    </w:p>
    <w:p>
      <w:pPr>
        <w:pStyle w:val="9"/>
        <w:spacing w:before="0" w:beforeAutospacing="0" w:after="0" w:afterAutospacing="0" w:line="360" w:lineRule="auto"/>
        <w:ind w:firstLine="420"/>
        <w:rPr>
          <w:sz w:val="21"/>
          <w:szCs w:val="21"/>
        </w:rPr>
      </w:pPr>
      <w:r>
        <w:rPr>
          <w:rFonts w:hint="eastAsia"/>
          <w:sz w:val="21"/>
          <w:szCs w:val="21"/>
        </w:rPr>
        <w:t>10、《基金法》：指2003年10月28日经第十届全国人民代表大会常务委员会第五次会议通过，经2012年12月28日第十一届全国人民代表大会常务委员会第30 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pPr>
        <w:pStyle w:val="9"/>
        <w:spacing w:before="0" w:beforeAutospacing="0" w:after="0" w:afterAutospacing="0" w:line="360" w:lineRule="auto"/>
        <w:ind w:firstLine="420"/>
        <w:rPr>
          <w:sz w:val="21"/>
          <w:szCs w:val="21"/>
        </w:rPr>
      </w:pPr>
      <w:r>
        <w:rPr>
          <w:rFonts w:hint="eastAsia"/>
          <w:sz w:val="21"/>
          <w:szCs w:val="21"/>
        </w:rPr>
        <w:t>11、《销售办法》：指中国证监会2020年8月28日颁布、同年10月1日实施的《公开募集证券投资基金销售机构监督管理办法》及颁布机关对其不时做出的修订</w:t>
      </w:r>
    </w:p>
    <w:p>
      <w:pPr>
        <w:pStyle w:val="9"/>
        <w:spacing w:before="0" w:beforeAutospacing="0" w:after="0" w:afterAutospacing="0" w:line="360" w:lineRule="auto"/>
        <w:ind w:firstLine="420"/>
        <w:rPr>
          <w:sz w:val="21"/>
          <w:szCs w:val="21"/>
        </w:rPr>
      </w:pPr>
      <w:r>
        <w:rPr>
          <w:rFonts w:hint="eastAsia"/>
          <w:sz w:val="21"/>
          <w:szCs w:val="21"/>
        </w:rPr>
        <w:t>12、《信息披露办法》：指中国证监会2019年7月26日颁布、同年9月1日实施，并经2020年3月20日中国证监会《关于修改部分证券期货规章的决定》修改的《公开募集证券投资基金信息披露管理办法》及颁布机关对其不时做出的修订</w:t>
      </w:r>
    </w:p>
    <w:p>
      <w:pPr>
        <w:pStyle w:val="9"/>
        <w:spacing w:before="0" w:beforeAutospacing="0" w:after="0" w:afterAutospacing="0" w:line="360" w:lineRule="auto"/>
        <w:ind w:firstLine="420"/>
        <w:rPr>
          <w:sz w:val="21"/>
          <w:szCs w:val="21"/>
        </w:rPr>
      </w:pPr>
      <w:r>
        <w:rPr>
          <w:rFonts w:hint="eastAsia"/>
          <w:sz w:val="21"/>
          <w:szCs w:val="21"/>
        </w:rPr>
        <w:t>13、《运作办法》：指中国证监会2014年7月7日颁布、同年8月8日实施的《公开募集证券投资基金运作管理办法》及颁布机关对其不时做出的修订</w:t>
      </w:r>
    </w:p>
    <w:p>
      <w:pPr>
        <w:pStyle w:val="9"/>
        <w:spacing w:before="0" w:beforeAutospacing="0" w:after="0" w:afterAutospacing="0" w:line="360" w:lineRule="auto"/>
        <w:ind w:firstLine="420"/>
        <w:rPr>
          <w:sz w:val="21"/>
          <w:szCs w:val="21"/>
        </w:rPr>
      </w:pPr>
      <w:r>
        <w:rPr>
          <w:rFonts w:hint="eastAsia"/>
          <w:sz w:val="21"/>
          <w:szCs w:val="21"/>
        </w:rPr>
        <w:t>14、《流动性风险管理规定》：指中国证监会2017年8月31日颁布、同年10月1日实施的《公开募集开放式证券投资基金流动性风险管理规定》及颁布机关对其不时做出的修订</w:t>
      </w:r>
    </w:p>
    <w:p>
      <w:pPr>
        <w:pStyle w:val="9"/>
        <w:spacing w:before="0" w:beforeAutospacing="0" w:after="0" w:afterAutospacing="0" w:line="360" w:lineRule="auto"/>
        <w:ind w:firstLine="420"/>
        <w:rPr>
          <w:sz w:val="21"/>
          <w:szCs w:val="21"/>
        </w:rPr>
      </w:pPr>
      <w:r>
        <w:rPr>
          <w:rFonts w:hint="eastAsia"/>
          <w:sz w:val="21"/>
          <w:szCs w:val="21"/>
        </w:rPr>
        <w:t>15、中国证监会：指中国证券监督管理委员会</w:t>
      </w:r>
    </w:p>
    <w:p>
      <w:pPr>
        <w:pStyle w:val="9"/>
        <w:spacing w:before="0" w:beforeAutospacing="0" w:after="0" w:afterAutospacing="0" w:line="360" w:lineRule="auto"/>
        <w:ind w:firstLine="420"/>
        <w:rPr>
          <w:sz w:val="21"/>
          <w:szCs w:val="21"/>
        </w:rPr>
      </w:pPr>
      <w:r>
        <w:rPr>
          <w:rFonts w:hint="eastAsia"/>
          <w:sz w:val="21"/>
          <w:szCs w:val="21"/>
        </w:rPr>
        <w:t>16、银行业监督管理机构：指中国人民银行和/或中国银行保险监督管理委员会</w:t>
      </w:r>
    </w:p>
    <w:p>
      <w:pPr>
        <w:pStyle w:val="9"/>
        <w:spacing w:before="0" w:beforeAutospacing="0" w:after="0" w:afterAutospacing="0" w:line="360" w:lineRule="auto"/>
        <w:ind w:firstLine="420"/>
        <w:rPr>
          <w:sz w:val="21"/>
          <w:szCs w:val="21"/>
        </w:rPr>
      </w:pPr>
      <w:r>
        <w:rPr>
          <w:rFonts w:hint="eastAsia"/>
          <w:sz w:val="21"/>
          <w:szCs w:val="21"/>
        </w:rPr>
        <w:t>17、基金合同当事人：指受基金合同约束，根据基金合同享有权利并承担义务的法律主体，包括基金管理人、基金托管人和基金份额持有人</w:t>
      </w:r>
    </w:p>
    <w:p>
      <w:pPr>
        <w:pStyle w:val="9"/>
        <w:spacing w:before="0" w:beforeAutospacing="0" w:after="0" w:afterAutospacing="0" w:line="360" w:lineRule="auto"/>
        <w:ind w:firstLine="420"/>
        <w:rPr>
          <w:sz w:val="21"/>
          <w:szCs w:val="21"/>
        </w:rPr>
      </w:pPr>
      <w:r>
        <w:rPr>
          <w:rFonts w:hint="eastAsia"/>
          <w:sz w:val="21"/>
          <w:szCs w:val="21"/>
        </w:rPr>
        <w:t>18、个人投资者：指依据有关法律法规规定可投资于证券投资基金的自然人</w:t>
      </w:r>
    </w:p>
    <w:p>
      <w:pPr>
        <w:pStyle w:val="9"/>
        <w:spacing w:before="0" w:beforeAutospacing="0" w:after="0" w:afterAutospacing="0" w:line="360" w:lineRule="auto"/>
        <w:ind w:firstLine="420"/>
        <w:rPr>
          <w:sz w:val="21"/>
          <w:szCs w:val="21"/>
        </w:rPr>
      </w:pPr>
      <w:r>
        <w:rPr>
          <w:rFonts w:hint="eastAsia"/>
          <w:sz w:val="21"/>
          <w:szCs w:val="21"/>
        </w:rPr>
        <w:t>19、机构投资者：指依法可以投资证券投资基金的、在中华人民共和国境内合法登记并存续或经有关政府部门批准设立并存续的企业法人、事业法人、社会团体或其他组织</w:t>
      </w:r>
    </w:p>
    <w:p>
      <w:pPr>
        <w:pStyle w:val="9"/>
        <w:spacing w:before="0" w:beforeAutospacing="0" w:after="0" w:afterAutospacing="0" w:line="360" w:lineRule="auto"/>
        <w:ind w:firstLine="420"/>
        <w:rPr>
          <w:sz w:val="21"/>
          <w:szCs w:val="21"/>
        </w:rPr>
      </w:pPr>
      <w:r>
        <w:rPr>
          <w:rFonts w:hint="eastAsia"/>
          <w:sz w:val="21"/>
          <w:szCs w:val="21"/>
        </w:rPr>
        <w:t>20、合格境外机构投资者：指符合《合格境外机构投资者和人民币合格境外机构投资者境内证券期货投资管理办法》及相关法律法规规定可以投资于在中国境内依法募集的证券投资基金的中国境外的机构投资者</w:t>
      </w:r>
    </w:p>
    <w:p>
      <w:pPr>
        <w:pStyle w:val="9"/>
        <w:spacing w:before="0" w:beforeAutospacing="0" w:after="0" w:afterAutospacing="0" w:line="360" w:lineRule="auto"/>
        <w:ind w:firstLine="420"/>
        <w:rPr>
          <w:sz w:val="21"/>
          <w:szCs w:val="21"/>
        </w:rPr>
      </w:pPr>
      <w:r>
        <w:rPr>
          <w:rFonts w:hint="eastAsia"/>
          <w:sz w:val="21"/>
          <w:szCs w:val="21"/>
        </w:rPr>
        <w:t>21、人民币合格境外机构投资者：指按照《合格境外机构投资者和人民币合格境外机构投资者境内证券期货投资管理办法》及相关法律法规规定，运用来自境外的人民币资金进行境内证券投资的境外法人</w:t>
      </w:r>
    </w:p>
    <w:p>
      <w:pPr>
        <w:pStyle w:val="9"/>
        <w:spacing w:before="0" w:beforeAutospacing="0" w:after="0" w:afterAutospacing="0" w:line="360" w:lineRule="auto"/>
        <w:ind w:firstLine="420"/>
        <w:rPr>
          <w:sz w:val="21"/>
          <w:szCs w:val="21"/>
        </w:rPr>
      </w:pPr>
      <w:r>
        <w:rPr>
          <w:rFonts w:hint="eastAsia"/>
          <w:sz w:val="21"/>
          <w:szCs w:val="21"/>
        </w:rPr>
        <w:t>22、投资人、投资者：指个人投资者、机构投资者、合格境外机构投资者和人民币合格境外机构投资者以及法律法规或中国证监会允许购买证券投资基金的其他投资人的合称</w:t>
      </w:r>
    </w:p>
    <w:p>
      <w:pPr>
        <w:pStyle w:val="9"/>
        <w:spacing w:before="0" w:beforeAutospacing="0" w:after="0" w:afterAutospacing="0" w:line="360" w:lineRule="auto"/>
        <w:ind w:firstLine="420"/>
        <w:rPr>
          <w:sz w:val="21"/>
          <w:szCs w:val="21"/>
        </w:rPr>
      </w:pPr>
      <w:r>
        <w:rPr>
          <w:rFonts w:hint="eastAsia"/>
          <w:sz w:val="21"/>
          <w:szCs w:val="21"/>
        </w:rPr>
        <w:t>23、基金份额持有人：指依基金合同和招募说明书合法取得基金份额的投资人</w:t>
      </w:r>
    </w:p>
    <w:p>
      <w:pPr>
        <w:pStyle w:val="9"/>
        <w:spacing w:before="0" w:beforeAutospacing="0" w:after="0" w:afterAutospacing="0" w:line="360" w:lineRule="auto"/>
        <w:ind w:firstLine="420"/>
        <w:rPr>
          <w:sz w:val="21"/>
          <w:szCs w:val="21"/>
        </w:rPr>
      </w:pPr>
      <w:r>
        <w:rPr>
          <w:rFonts w:hint="eastAsia"/>
          <w:sz w:val="21"/>
          <w:szCs w:val="21"/>
        </w:rPr>
        <w:t>24、基金销售业务：指基金管理人或销售机构宣传推介基金，发售基金份额，办理基金份额的申购、赎回、转换、转托管及定期定额投资等业务</w:t>
      </w:r>
    </w:p>
    <w:p>
      <w:pPr>
        <w:pStyle w:val="9"/>
        <w:spacing w:before="0" w:beforeAutospacing="0" w:after="0" w:afterAutospacing="0" w:line="360" w:lineRule="auto"/>
        <w:ind w:firstLine="420"/>
        <w:rPr>
          <w:sz w:val="21"/>
          <w:szCs w:val="21"/>
        </w:rPr>
      </w:pPr>
      <w:r>
        <w:rPr>
          <w:rFonts w:hint="eastAsia"/>
          <w:sz w:val="21"/>
          <w:szCs w:val="21"/>
        </w:rPr>
        <w:t>25、销售机构：指博时基金管理有限公司以及符合《销售办法》和中国证监会规定的其他条件，取得基金销售业务资格并与基金管理人签订了基金销售服务协议，办理基金销售业务的机构</w:t>
      </w:r>
    </w:p>
    <w:p>
      <w:pPr>
        <w:pStyle w:val="9"/>
        <w:spacing w:before="0" w:beforeAutospacing="0" w:after="0" w:afterAutospacing="0" w:line="360" w:lineRule="auto"/>
        <w:ind w:firstLine="420"/>
        <w:rPr>
          <w:sz w:val="21"/>
          <w:szCs w:val="21"/>
        </w:rPr>
      </w:pPr>
      <w:r>
        <w:rPr>
          <w:rFonts w:hint="eastAsia"/>
          <w:sz w:val="21"/>
          <w:szCs w:val="21"/>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pStyle w:val="9"/>
        <w:spacing w:before="0" w:beforeAutospacing="0" w:after="0" w:afterAutospacing="0" w:line="360" w:lineRule="auto"/>
        <w:ind w:firstLine="420"/>
        <w:rPr>
          <w:sz w:val="21"/>
          <w:szCs w:val="21"/>
        </w:rPr>
      </w:pPr>
      <w:r>
        <w:rPr>
          <w:rFonts w:hint="eastAsia"/>
          <w:sz w:val="21"/>
          <w:szCs w:val="21"/>
        </w:rPr>
        <w:t>27、登记机构：指办理登记业务的机构。本基金的登记机构为博时基金管理有限公司</w:t>
      </w:r>
    </w:p>
    <w:p>
      <w:pPr>
        <w:pStyle w:val="9"/>
        <w:spacing w:before="0" w:beforeAutospacing="0" w:after="0" w:afterAutospacing="0" w:line="360" w:lineRule="auto"/>
        <w:ind w:firstLine="420"/>
        <w:rPr>
          <w:sz w:val="21"/>
          <w:szCs w:val="21"/>
        </w:rPr>
      </w:pPr>
      <w:r>
        <w:rPr>
          <w:rFonts w:hint="eastAsia"/>
          <w:sz w:val="21"/>
          <w:szCs w:val="21"/>
        </w:rPr>
        <w:t>28、基金账户：指登记机构为投资人开立的、记录其持有的、基金管理人所管理的基金份额余额及其变动情况的账户</w:t>
      </w:r>
    </w:p>
    <w:p>
      <w:pPr>
        <w:pStyle w:val="9"/>
        <w:spacing w:before="0" w:beforeAutospacing="0" w:after="0" w:afterAutospacing="0" w:line="360" w:lineRule="auto"/>
        <w:ind w:firstLine="420"/>
        <w:rPr>
          <w:sz w:val="21"/>
          <w:szCs w:val="21"/>
        </w:rPr>
      </w:pPr>
      <w:r>
        <w:rPr>
          <w:rFonts w:hint="eastAsia"/>
          <w:sz w:val="21"/>
          <w:szCs w:val="21"/>
        </w:rPr>
        <w:t>29、基金交易账户：指销售机构为投资人开立的、记录投资人通过该销售机构办理认购、申购、赎回、转换、转托管及定期定额投资等业务而引起的基金份额变动及结余情况的账户</w:t>
      </w:r>
    </w:p>
    <w:p>
      <w:pPr>
        <w:pStyle w:val="9"/>
        <w:spacing w:before="0" w:beforeAutospacing="0" w:after="0" w:afterAutospacing="0" w:line="360" w:lineRule="auto"/>
        <w:ind w:firstLine="420"/>
        <w:rPr>
          <w:sz w:val="21"/>
          <w:szCs w:val="21"/>
        </w:rPr>
      </w:pPr>
      <w:r>
        <w:rPr>
          <w:rFonts w:hint="eastAsia"/>
          <w:sz w:val="21"/>
          <w:szCs w:val="21"/>
        </w:rPr>
        <w:t>30、基金合同生效日：指基金募集达到法律法规规定及基金合同规定的条件，基金管理人向中国证监会办理基金备案手续完毕，并获得中国证监会书面确认的日期</w:t>
      </w:r>
    </w:p>
    <w:p>
      <w:pPr>
        <w:pStyle w:val="9"/>
        <w:spacing w:before="0" w:beforeAutospacing="0" w:after="0" w:afterAutospacing="0" w:line="360" w:lineRule="auto"/>
        <w:ind w:firstLine="420"/>
        <w:rPr>
          <w:sz w:val="21"/>
          <w:szCs w:val="21"/>
        </w:rPr>
      </w:pPr>
      <w:r>
        <w:rPr>
          <w:rFonts w:hint="eastAsia"/>
          <w:sz w:val="21"/>
          <w:szCs w:val="21"/>
        </w:rPr>
        <w:t>31、基金合同终止日：指基金合同规定的基金合同终止事由出现后，基金财产清算完毕，清算结果报中国证监会备案并予以公告的日期</w:t>
      </w:r>
    </w:p>
    <w:p>
      <w:pPr>
        <w:pStyle w:val="9"/>
        <w:spacing w:before="0" w:beforeAutospacing="0" w:after="0" w:afterAutospacing="0" w:line="360" w:lineRule="auto"/>
        <w:ind w:firstLine="420"/>
        <w:rPr>
          <w:sz w:val="21"/>
          <w:szCs w:val="21"/>
        </w:rPr>
      </w:pPr>
      <w:r>
        <w:rPr>
          <w:rFonts w:hint="eastAsia"/>
          <w:sz w:val="21"/>
          <w:szCs w:val="21"/>
        </w:rPr>
        <w:t>32、基金募集期：指自基金份额发售之日起至发售结束之日止的期间，最长不得超过3个月</w:t>
      </w:r>
    </w:p>
    <w:p>
      <w:pPr>
        <w:pStyle w:val="9"/>
        <w:spacing w:before="0" w:beforeAutospacing="0" w:after="0" w:afterAutospacing="0" w:line="360" w:lineRule="auto"/>
        <w:ind w:firstLine="420"/>
        <w:rPr>
          <w:sz w:val="21"/>
          <w:szCs w:val="21"/>
        </w:rPr>
      </w:pPr>
      <w:r>
        <w:rPr>
          <w:rFonts w:hint="eastAsia"/>
          <w:sz w:val="21"/>
          <w:szCs w:val="21"/>
        </w:rPr>
        <w:t>33、存续期：指基金合同生效至终止之间的不定期期限</w:t>
      </w:r>
    </w:p>
    <w:p>
      <w:pPr>
        <w:pStyle w:val="9"/>
        <w:spacing w:before="0" w:beforeAutospacing="0" w:after="0" w:afterAutospacing="0" w:line="360" w:lineRule="auto"/>
        <w:ind w:firstLine="420"/>
        <w:rPr>
          <w:sz w:val="21"/>
          <w:szCs w:val="21"/>
        </w:rPr>
      </w:pPr>
      <w:r>
        <w:rPr>
          <w:rFonts w:hint="eastAsia"/>
          <w:sz w:val="21"/>
          <w:szCs w:val="21"/>
        </w:rPr>
        <w:t>34、工作日：指上海证券交易所、深圳证券交易所及相关期货交易所的正常交易日</w:t>
      </w:r>
    </w:p>
    <w:p>
      <w:pPr>
        <w:pStyle w:val="9"/>
        <w:spacing w:before="0" w:beforeAutospacing="0" w:after="0" w:afterAutospacing="0" w:line="360" w:lineRule="auto"/>
        <w:ind w:firstLine="420"/>
        <w:rPr>
          <w:sz w:val="21"/>
          <w:szCs w:val="21"/>
        </w:rPr>
      </w:pPr>
      <w:r>
        <w:rPr>
          <w:rFonts w:hint="eastAsia"/>
          <w:sz w:val="21"/>
          <w:szCs w:val="21"/>
        </w:rPr>
        <w:t>35、T日：指销售机构在规定时间受理投资人申购、赎回或其他业务申请的开放日</w:t>
      </w:r>
    </w:p>
    <w:p>
      <w:pPr>
        <w:pStyle w:val="9"/>
        <w:spacing w:before="0" w:beforeAutospacing="0" w:after="0" w:afterAutospacing="0" w:line="360" w:lineRule="auto"/>
        <w:ind w:firstLine="420"/>
        <w:rPr>
          <w:sz w:val="21"/>
          <w:szCs w:val="21"/>
        </w:rPr>
      </w:pPr>
      <w:r>
        <w:rPr>
          <w:rFonts w:hint="eastAsia"/>
          <w:sz w:val="21"/>
          <w:szCs w:val="21"/>
        </w:rPr>
        <w:t>36、T+n日：指自T日起第n个工作日（不包含T日），n为自然数</w:t>
      </w:r>
    </w:p>
    <w:p>
      <w:pPr>
        <w:pStyle w:val="9"/>
        <w:spacing w:before="0" w:beforeAutospacing="0" w:after="0" w:afterAutospacing="0" w:line="360" w:lineRule="auto"/>
        <w:ind w:firstLine="420"/>
        <w:rPr>
          <w:sz w:val="21"/>
          <w:szCs w:val="21"/>
        </w:rPr>
      </w:pPr>
      <w:r>
        <w:rPr>
          <w:rFonts w:hint="eastAsia"/>
          <w:sz w:val="21"/>
          <w:szCs w:val="21"/>
        </w:rPr>
        <w:t>37、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w:t>
      </w:r>
    </w:p>
    <w:p>
      <w:pPr>
        <w:pStyle w:val="9"/>
        <w:spacing w:before="0" w:beforeAutospacing="0" w:after="0" w:afterAutospacing="0" w:line="360" w:lineRule="auto"/>
        <w:ind w:firstLine="420"/>
        <w:rPr>
          <w:sz w:val="21"/>
          <w:szCs w:val="21"/>
        </w:rPr>
      </w:pPr>
      <w:r>
        <w:rPr>
          <w:rFonts w:hint="eastAsia"/>
          <w:sz w:val="21"/>
          <w:szCs w:val="21"/>
        </w:rPr>
        <w:t>38、开放时间：指开放日基金接受申购、赎回或其他交易的时间段</w:t>
      </w:r>
    </w:p>
    <w:p>
      <w:pPr>
        <w:pStyle w:val="9"/>
        <w:spacing w:before="0" w:beforeAutospacing="0" w:after="0" w:afterAutospacing="0" w:line="360" w:lineRule="auto"/>
        <w:ind w:firstLine="420"/>
        <w:rPr>
          <w:sz w:val="21"/>
          <w:szCs w:val="21"/>
        </w:rPr>
      </w:pPr>
      <w:r>
        <w:rPr>
          <w:rFonts w:hint="eastAsia"/>
          <w:sz w:val="21"/>
          <w:szCs w:val="21"/>
        </w:rPr>
        <w:t>39、《业务规则》：指《博时基金管理有限公司开放式基金业务规则》，是规范基金管理人所管理的开放式证券投资基金登记方面的业务规则，由基金管理人、销售机构和投资人共同遵守</w:t>
      </w:r>
    </w:p>
    <w:p>
      <w:pPr>
        <w:pStyle w:val="9"/>
        <w:spacing w:before="0" w:beforeAutospacing="0" w:after="0" w:afterAutospacing="0" w:line="360" w:lineRule="auto"/>
        <w:ind w:firstLine="420"/>
        <w:rPr>
          <w:sz w:val="21"/>
          <w:szCs w:val="21"/>
        </w:rPr>
      </w:pPr>
      <w:r>
        <w:rPr>
          <w:rFonts w:hint="eastAsia"/>
          <w:sz w:val="21"/>
          <w:szCs w:val="21"/>
        </w:rPr>
        <w:t>40、认购：指在基金募集期内，投资人根据基金合同和招募说明书的规定，申请购买基金份额的行为</w:t>
      </w:r>
    </w:p>
    <w:p>
      <w:pPr>
        <w:pStyle w:val="9"/>
        <w:spacing w:before="0" w:beforeAutospacing="0" w:after="0" w:afterAutospacing="0" w:line="360" w:lineRule="auto"/>
        <w:ind w:firstLine="420"/>
        <w:rPr>
          <w:sz w:val="21"/>
          <w:szCs w:val="21"/>
        </w:rPr>
      </w:pPr>
      <w:r>
        <w:rPr>
          <w:rFonts w:hint="eastAsia"/>
          <w:sz w:val="21"/>
          <w:szCs w:val="21"/>
        </w:rPr>
        <w:t>41、申购：指基金合同生效后，投资人根据基金合同和招募说明书的规定，申请购买基金份额的行为</w:t>
      </w:r>
    </w:p>
    <w:p>
      <w:pPr>
        <w:pStyle w:val="9"/>
        <w:spacing w:before="0" w:beforeAutospacing="0" w:after="0" w:afterAutospacing="0" w:line="360" w:lineRule="auto"/>
        <w:ind w:firstLine="420"/>
        <w:rPr>
          <w:sz w:val="21"/>
          <w:szCs w:val="21"/>
        </w:rPr>
      </w:pPr>
      <w:r>
        <w:rPr>
          <w:rFonts w:hint="eastAsia"/>
          <w:sz w:val="21"/>
          <w:szCs w:val="21"/>
        </w:rPr>
        <w:t>42、赎回：指基金合同生效后，基金份额持有人按基金合同和招募说明书规定的条件，要求将基金份额兑换为现金的行为</w:t>
      </w:r>
    </w:p>
    <w:p>
      <w:pPr>
        <w:pStyle w:val="9"/>
        <w:spacing w:before="0" w:beforeAutospacing="0" w:after="0" w:afterAutospacing="0" w:line="360" w:lineRule="auto"/>
        <w:ind w:firstLine="420"/>
        <w:rPr>
          <w:sz w:val="21"/>
          <w:szCs w:val="21"/>
        </w:rPr>
      </w:pPr>
      <w:r>
        <w:rPr>
          <w:rFonts w:hint="eastAsia"/>
          <w:sz w:val="21"/>
          <w:szCs w:val="21"/>
        </w:rPr>
        <w:t>43、基金转换：指基金份额持有人按照基金合同和基金管理人届时有效公告规定的条件，申请将其持有基金管理人管理的、某一基金的基金份额转换为基金管理人管理的其他基金基金份额的行为</w:t>
      </w:r>
    </w:p>
    <w:p>
      <w:pPr>
        <w:pStyle w:val="9"/>
        <w:spacing w:before="0" w:beforeAutospacing="0" w:after="0" w:afterAutospacing="0" w:line="360" w:lineRule="auto"/>
        <w:ind w:firstLine="420"/>
        <w:rPr>
          <w:sz w:val="21"/>
          <w:szCs w:val="21"/>
        </w:rPr>
      </w:pPr>
      <w:r>
        <w:rPr>
          <w:rFonts w:hint="eastAsia"/>
          <w:sz w:val="21"/>
          <w:szCs w:val="21"/>
        </w:rPr>
        <w:t>44、转托管：指基金份额持有人在本基金的不同销售机构之间实施的变更所持基金份额销售机构的操作</w:t>
      </w:r>
    </w:p>
    <w:p>
      <w:pPr>
        <w:pStyle w:val="9"/>
        <w:spacing w:before="0" w:beforeAutospacing="0" w:after="0" w:afterAutospacing="0" w:line="360" w:lineRule="auto"/>
        <w:ind w:firstLine="420"/>
        <w:rPr>
          <w:sz w:val="21"/>
          <w:szCs w:val="21"/>
        </w:rPr>
      </w:pPr>
      <w:r>
        <w:rPr>
          <w:rFonts w:hint="eastAsia"/>
          <w:sz w:val="21"/>
          <w:szCs w:val="21"/>
        </w:rPr>
        <w:t>45、定期定额投资计划：指投资人通过有关销售机构提出申请，约定每期申购日、扣款金额及扣款方式，由销售机构于每期约定扣款日在投资人指定银行账户内自动完成扣款及受理基金申购申请的一种投资方式</w:t>
      </w:r>
    </w:p>
    <w:p>
      <w:pPr>
        <w:pStyle w:val="9"/>
        <w:spacing w:before="0" w:beforeAutospacing="0" w:after="0" w:afterAutospacing="0" w:line="360" w:lineRule="auto"/>
        <w:ind w:firstLine="420"/>
        <w:rPr>
          <w:sz w:val="21"/>
          <w:szCs w:val="21"/>
        </w:rPr>
      </w:pPr>
      <w:r>
        <w:rPr>
          <w:rFonts w:hint="eastAsia"/>
          <w:sz w:val="21"/>
          <w:szCs w:val="21"/>
        </w:rPr>
        <w:t>46、巨额赎回：指本基金单个开放日，基金净赎回申请（赎回申请份额总数加上基金转换中转出申请份额总数后扣除申购申请份额总数及基金转换中转入申请份额总数后的余额）超过上一开放日基金总份额的</w:t>
      </w:r>
      <w:bookmarkStart w:id="19" w:name="field_49_mintredeemscale_1"/>
      <w:r>
        <w:rPr>
          <w:sz w:val="21"/>
          <w:szCs w:val="21"/>
        </w:rPr>
        <w:t>10</w:t>
      </w:r>
      <w:bookmarkEnd w:id="19"/>
      <w:r>
        <w:rPr>
          <w:rFonts w:hint="eastAsia"/>
          <w:sz w:val="21"/>
          <w:szCs w:val="21"/>
        </w:rPr>
        <w:t>%</w:t>
      </w:r>
    </w:p>
    <w:p>
      <w:pPr>
        <w:pStyle w:val="9"/>
        <w:spacing w:before="0" w:beforeAutospacing="0" w:after="0" w:afterAutospacing="0" w:line="360" w:lineRule="auto"/>
        <w:ind w:firstLine="420"/>
        <w:rPr>
          <w:sz w:val="21"/>
          <w:szCs w:val="21"/>
        </w:rPr>
      </w:pPr>
      <w:r>
        <w:rPr>
          <w:rFonts w:hint="eastAsia"/>
          <w:sz w:val="21"/>
          <w:szCs w:val="21"/>
        </w:rPr>
        <w:t>47、元：指人民币元</w:t>
      </w:r>
    </w:p>
    <w:p>
      <w:pPr>
        <w:pStyle w:val="9"/>
        <w:spacing w:before="0" w:beforeAutospacing="0" w:after="0" w:afterAutospacing="0" w:line="360" w:lineRule="auto"/>
        <w:ind w:firstLine="420"/>
        <w:rPr>
          <w:sz w:val="21"/>
          <w:szCs w:val="21"/>
        </w:rPr>
      </w:pPr>
      <w:r>
        <w:rPr>
          <w:rFonts w:hint="eastAsia"/>
          <w:sz w:val="21"/>
          <w:szCs w:val="21"/>
        </w:rPr>
        <w:t>48、基金收益：指基金投资所得红利、股息、债券利息、买卖证券价差、证券持有期间的公允价值变动、银行存款利息、已实现的其他合法收入及因运用基金财产带来的成本和费用的节约</w:t>
      </w:r>
    </w:p>
    <w:p>
      <w:pPr>
        <w:pStyle w:val="9"/>
        <w:spacing w:before="0" w:beforeAutospacing="0" w:after="0" w:afterAutospacing="0" w:line="360" w:lineRule="auto"/>
        <w:ind w:firstLine="420"/>
        <w:rPr>
          <w:sz w:val="21"/>
          <w:szCs w:val="21"/>
        </w:rPr>
      </w:pPr>
      <w:r>
        <w:rPr>
          <w:rFonts w:hint="eastAsia"/>
          <w:sz w:val="21"/>
          <w:szCs w:val="21"/>
        </w:rPr>
        <w:t>49、基金资产总值：指基金拥有的各类有价证券、银行存款本息、基金应收款项及其他资产的价值总和</w:t>
      </w:r>
    </w:p>
    <w:p>
      <w:pPr>
        <w:pStyle w:val="9"/>
        <w:spacing w:before="0" w:beforeAutospacing="0" w:after="0" w:afterAutospacing="0" w:line="360" w:lineRule="auto"/>
        <w:ind w:firstLine="420"/>
        <w:rPr>
          <w:sz w:val="21"/>
          <w:szCs w:val="21"/>
        </w:rPr>
      </w:pPr>
      <w:r>
        <w:rPr>
          <w:rFonts w:hint="eastAsia"/>
          <w:sz w:val="21"/>
          <w:szCs w:val="21"/>
        </w:rPr>
        <w:t>50、基金资产净值：指基金资产总值减去基金负债后的价值</w:t>
      </w:r>
    </w:p>
    <w:p>
      <w:pPr>
        <w:pStyle w:val="9"/>
        <w:spacing w:before="0" w:beforeAutospacing="0" w:after="0" w:afterAutospacing="0" w:line="360" w:lineRule="auto"/>
        <w:ind w:firstLine="420"/>
        <w:rPr>
          <w:sz w:val="21"/>
          <w:szCs w:val="21"/>
        </w:rPr>
      </w:pPr>
      <w:r>
        <w:rPr>
          <w:rFonts w:hint="eastAsia"/>
          <w:sz w:val="21"/>
          <w:szCs w:val="21"/>
        </w:rPr>
        <w:t>51、基金份额净值：指计算日基金资产净值除以计算日基金份额总数</w:t>
      </w:r>
    </w:p>
    <w:p>
      <w:pPr>
        <w:pStyle w:val="9"/>
        <w:spacing w:before="0" w:beforeAutospacing="0" w:after="0" w:afterAutospacing="0" w:line="360" w:lineRule="auto"/>
        <w:ind w:firstLine="420"/>
        <w:rPr>
          <w:sz w:val="21"/>
          <w:szCs w:val="21"/>
        </w:rPr>
      </w:pPr>
      <w:r>
        <w:rPr>
          <w:rFonts w:hint="eastAsia"/>
          <w:sz w:val="21"/>
          <w:szCs w:val="21"/>
        </w:rPr>
        <w:t>52、基金资产估值：指计算评估基金资产和负债的价值，以确定基金资产净值和基金份额净值的过程</w:t>
      </w:r>
    </w:p>
    <w:p>
      <w:pPr>
        <w:pStyle w:val="9"/>
        <w:spacing w:before="0" w:beforeAutospacing="0" w:after="0" w:afterAutospacing="0" w:line="360" w:lineRule="auto"/>
        <w:ind w:firstLine="420"/>
        <w:rPr>
          <w:sz w:val="21"/>
          <w:szCs w:val="21"/>
        </w:rPr>
      </w:pPr>
      <w:r>
        <w:rPr>
          <w:rFonts w:hint="eastAsia"/>
          <w:sz w:val="21"/>
          <w:szCs w:val="21"/>
        </w:rPr>
        <w:t>53、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pPr>
        <w:pStyle w:val="9"/>
        <w:spacing w:before="0" w:beforeAutospacing="0" w:after="0" w:afterAutospacing="0" w:line="360" w:lineRule="auto"/>
        <w:ind w:firstLine="420"/>
        <w:rPr>
          <w:sz w:val="21"/>
          <w:szCs w:val="21"/>
        </w:rPr>
      </w:pPr>
      <w:r>
        <w:rPr>
          <w:rFonts w:hint="eastAsia"/>
          <w:sz w:val="21"/>
          <w:szCs w:val="21"/>
        </w:rPr>
        <w:t>54、A类基金份额：指在投资者认购、申购时收取认购、申购费用，在赎回时根据持有期限收取赎回费用，但不从本类别基金资产中计提销售服务费的基金份额类别</w:t>
      </w:r>
    </w:p>
    <w:p>
      <w:pPr>
        <w:pStyle w:val="9"/>
        <w:spacing w:before="0" w:beforeAutospacing="0" w:after="0" w:afterAutospacing="0" w:line="360" w:lineRule="auto"/>
        <w:ind w:firstLine="420"/>
        <w:rPr>
          <w:sz w:val="21"/>
          <w:szCs w:val="21"/>
        </w:rPr>
      </w:pPr>
      <w:r>
        <w:rPr>
          <w:rFonts w:hint="eastAsia"/>
          <w:sz w:val="21"/>
          <w:szCs w:val="21"/>
        </w:rPr>
        <w:t>55、C类基金份额：指在投资者认购、申购时不收取认购、申购费用，在赎回时根据持有期限收取赎回费用，且从本类别基金资产中计提销售服务费的基金份额类别</w:t>
      </w:r>
    </w:p>
    <w:p>
      <w:pPr>
        <w:pStyle w:val="9"/>
        <w:spacing w:before="0" w:beforeAutospacing="0" w:after="0" w:afterAutospacing="0" w:line="360" w:lineRule="auto"/>
        <w:ind w:firstLine="420"/>
        <w:rPr>
          <w:sz w:val="21"/>
          <w:szCs w:val="21"/>
        </w:rPr>
      </w:pPr>
      <w:r>
        <w:rPr>
          <w:rFonts w:hint="eastAsia"/>
          <w:sz w:val="21"/>
          <w:szCs w:val="21"/>
        </w:rPr>
        <w:t>56、销售服务费：指从基金财产中计提的，用于本基金市场推广、销售以及基金份额持有人服务的费用</w:t>
      </w:r>
    </w:p>
    <w:p>
      <w:pPr>
        <w:pStyle w:val="9"/>
        <w:spacing w:before="0" w:beforeAutospacing="0" w:after="0" w:afterAutospacing="0" w:line="360" w:lineRule="auto"/>
        <w:ind w:firstLine="420"/>
        <w:rPr>
          <w:sz w:val="21"/>
          <w:szCs w:val="21"/>
        </w:rPr>
      </w:pPr>
      <w:r>
        <w:rPr>
          <w:rFonts w:hint="eastAsia"/>
          <w:sz w:val="21"/>
          <w:szCs w:val="21"/>
        </w:rPr>
        <w:t>57、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pPr>
        <w:pStyle w:val="9"/>
        <w:spacing w:before="0" w:beforeAutospacing="0" w:after="0" w:afterAutospacing="0" w:line="360" w:lineRule="auto"/>
        <w:ind w:firstLine="420"/>
        <w:rPr>
          <w:sz w:val="21"/>
          <w:szCs w:val="21"/>
        </w:rPr>
      </w:pPr>
      <w:r>
        <w:rPr>
          <w:rFonts w:hint="eastAsia"/>
          <w:sz w:val="21"/>
          <w:szCs w:val="21"/>
        </w:rPr>
        <w:t>58、港股通：指内地投资者委托内地证券公司，经由上海证券交易所、深圳证券交易所或经中国证监会认可的机构设立的证券交易服务公司，向香港联合交易所有限公司进行申报，买卖沪港通、深港通规定范围内的香港联合交易所上市的股票</w:t>
      </w:r>
    </w:p>
    <w:p>
      <w:pPr>
        <w:pStyle w:val="9"/>
        <w:spacing w:before="0" w:beforeAutospacing="0" w:after="0" w:afterAutospacing="0" w:line="360" w:lineRule="auto"/>
        <w:ind w:firstLine="420"/>
        <w:rPr>
          <w:sz w:val="21"/>
          <w:szCs w:val="21"/>
        </w:rPr>
      </w:pPr>
      <w:r>
        <w:rPr>
          <w:rFonts w:hint="eastAsia"/>
          <w:sz w:val="21"/>
          <w:szCs w:val="21"/>
        </w:rPr>
        <w:t>59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pStyle w:val="9"/>
        <w:spacing w:before="0" w:beforeAutospacing="0" w:after="0" w:afterAutospacing="0" w:line="360" w:lineRule="auto"/>
        <w:ind w:firstLine="420"/>
        <w:rPr>
          <w:sz w:val="21"/>
          <w:szCs w:val="21"/>
        </w:rPr>
      </w:pPr>
      <w:r>
        <w:rPr>
          <w:rFonts w:hint="eastAsia"/>
          <w:sz w:val="21"/>
          <w:szCs w:val="21"/>
        </w:rPr>
        <w:t>60、摆动定价机制：指当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pStyle w:val="9"/>
        <w:spacing w:before="0" w:beforeAutospacing="0" w:after="0" w:afterAutospacing="0" w:line="360" w:lineRule="auto"/>
        <w:ind w:firstLine="420"/>
        <w:rPr>
          <w:sz w:val="21"/>
          <w:szCs w:val="21"/>
        </w:rPr>
      </w:pPr>
      <w:r>
        <w:rPr>
          <w:rFonts w:hint="eastAsia"/>
          <w:sz w:val="21"/>
          <w:szCs w:val="21"/>
        </w:rPr>
        <w:t>61、转融通证券出借业务：指基金以一定的费率通过证券交易所综合业务平台向中国证券金融股份有限公司（以下简称证券金融公司）出借证券，证券金融公司到期归还所借证券及相应权益补偿并支付费用的业务</w:t>
      </w:r>
    </w:p>
    <w:p>
      <w:pPr>
        <w:pStyle w:val="9"/>
        <w:spacing w:before="0" w:beforeAutospacing="0" w:after="0" w:afterAutospacing="0" w:line="360" w:lineRule="auto"/>
        <w:ind w:firstLine="420"/>
        <w:rPr>
          <w:sz w:val="21"/>
          <w:szCs w:val="21"/>
        </w:rPr>
      </w:pPr>
      <w:r>
        <w:rPr>
          <w:rFonts w:hint="eastAsia"/>
          <w:sz w:val="21"/>
          <w:szCs w:val="21"/>
        </w:rPr>
        <w:t>62、规定媒介：指符合中国证监会规定条件的用以进行信息披露的全国性报刊及《信息披露办法》规定的互联网网站（包括基金管理人网站、基金托管人网站、中国证监会基金电子披露网站）等媒介</w:t>
      </w:r>
    </w:p>
    <w:p>
      <w:pPr>
        <w:pStyle w:val="9"/>
        <w:spacing w:before="0" w:beforeAutospacing="0" w:after="0" w:afterAutospacing="0" w:line="360" w:lineRule="auto"/>
        <w:ind w:firstLine="420"/>
        <w:rPr>
          <w:sz w:val="21"/>
          <w:szCs w:val="21"/>
        </w:rPr>
      </w:pPr>
      <w:r>
        <w:rPr>
          <w:rFonts w:hint="eastAsia"/>
          <w:sz w:val="21"/>
          <w:szCs w:val="21"/>
        </w:rPr>
        <w:t>63、中国法律：指中华人民共和国法律，就基金合同而言，不包括香港特别行政区、澳门特别行政区和台湾地区法律</w:t>
      </w:r>
    </w:p>
    <w:p>
      <w:pPr>
        <w:pStyle w:val="9"/>
        <w:spacing w:before="0" w:beforeAutospacing="0" w:after="0" w:afterAutospacing="0" w:line="360" w:lineRule="auto"/>
        <w:ind w:firstLine="420"/>
        <w:rPr>
          <w:sz w:val="21"/>
          <w:szCs w:val="21"/>
        </w:rPr>
      </w:pPr>
      <w:r>
        <w:rPr>
          <w:rFonts w:hint="eastAsia"/>
          <w:sz w:val="21"/>
          <w:szCs w:val="21"/>
        </w:rPr>
        <w:t>64、不可抗力：指基金合同当事人不能预见、不能避免且不能克服的客观事件</w:t>
      </w:r>
    </w:p>
    <w:p>
      <w:pPr>
        <w:pStyle w:val="9"/>
        <w:spacing w:before="0" w:beforeAutospacing="0" w:after="0" w:afterAutospacing="0" w:line="360" w:lineRule="auto"/>
        <w:ind w:firstLine="420"/>
        <w:rPr>
          <w:sz w:val="21"/>
          <w:szCs w:val="21"/>
        </w:rPr>
      </w:pPr>
      <w:r>
        <w:rPr>
          <w:rFonts w:hint="eastAsia"/>
          <w:sz w:val="21"/>
          <w:szCs w:val="21"/>
        </w:rPr>
        <w:t>65、《指数基金指引》：指中国证监会2021年1月22日颁布、同年2月1日实施的《公开募集证券投资基金运作指引第3号——指数基金指引》及颁布机关对其不时做出的修订</w:t>
      </w:r>
    </w:p>
    <w:p>
      <w:pPr>
        <w:pStyle w:val="9"/>
        <w:spacing w:before="0" w:beforeAutospacing="0" w:after="0" w:afterAutospacing="0" w:line="360" w:lineRule="auto"/>
        <w:ind w:firstLine="420"/>
        <w:rPr>
          <w:sz w:val="21"/>
          <w:szCs w:val="21"/>
        </w:rPr>
      </w:pPr>
      <w:r>
        <w:rPr>
          <w:rFonts w:hint="eastAsia"/>
          <w:sz w:val="21"/>
          <w:szCs w:val="21"/>
        </w:rPr>
        <w:t>66、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pPr>
        <w:pStyle w:val="9"/>
        <w:spacing w:before="0" w:beforeAutospacing="0" w:after="0" w:afterAutospacing="0" w:line="360" w:lineRule="auto"/>
        <w:ind w:firstLine="420"/>
        <w:rPr>
          <w:sz w:val="21"/>
          <w:szCs w:val="21"/>
        </w:rPr>
      </w:pPr>
      <w:r>
        <w:rPr>
          <w:rFonts w:hint="eastAsia"/>
          <w:sz w:val="21"/>
          <w:szCs w:val="21"/>
        </w:rPr>
        <w:t>67、特定资产：包括：（1）无可参考的活跃市场价格且采用估值技术仍导致公允价值存在重大不确定性的资产；（2）按摊余成本计量且计提资产减值准备仍导致资产价值存在</w:t>
      </w:r>
      <w:bookmarkStart w:id="20" w:name="chapter_level1_4_49_section_1_end"/>
      <w:bookmarkEnd w:id="20"/>
      <w:r>
        <w:rPr>
          <w:rFonts w:hint="eastAsia"/>
          <w:sz w:val="21"/>
          <w:szCs w:val="21"/>
        </w:rPr>
        <w:t>重大不确定性的资产；（3）其他资产价值存在重大不确定性的资产</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 w:name="_Toc151126542"/>
      <w:bookmarkStart w:id="22" w:name="chapter_level1_5_53"/>
      <w:r>
        <w:rPr>
          <w:rFonts w:hint="eastAsia" w:ascii="宋体" w:hAnsi="宋体" w:eastAsia="宋体"/>
          <w:sz w:val="30"/>
        </w:rPr>
        <w:t>第三部分  基金管理人</w:t>
      </w:r>
      <w:bookmarkEnd w:id="21"/>
      <w:bookmarkEnd w:id="22"/>
    </w:p>
    <w:p>
      <w:pPr>
        <w:pStyle w:val="9"/>
        <w:spacing w:before="0" w:beforeAutospacing="0" w:after="0" w:afterAutospacing="0" w:line="360" w:lineRule="auto"/>
        <w:ind w:firstLine="420"/>
        <w:rPr>
          <w:sz w:val="21"/>
          <w:szCs w:val="21"/>
        </w:rPr>
      </w:pPr>
      <w:bookmarkStart w:id="23" w:name="chapter_level1_5_53_section_1"/>
      <w:bookmarkEnd w:id="23"/>
      <w:r>
        <w:rPr>
          <w:rStyle w:val="14"/>
          <w:rFonts w:hint="eastAsia"/>
          <w:sz w:val="21"/>
          <w:szCs w:val="21"/>
        </w:rPr>
        <w:t>一、基金管理人概况</w:t>
      </w:r>
    </w:p>
    <w:p>
      <w:pPr>
        <w:pStyle w:val="9"/>
        <w:spacing w:before="0" w:beforeAutospacing="0" w:after="0" w:afterAutospacing="0" w:line="360" w:lineRule="auto"/>
        <w:ind w:firstLine="420"/>
        <w:rPr>
          <w:sz w:val="21"/>
          <w:szCs w:val="21"/>
        </w:rPr>
      </w:pPr>
      <w:bookmarkStart w:id="24" w:name="field_0_managercompanyinfo_1_start"/>
      <w:bookmarkEnd w:id="24"/>
      <w:r>
        <w:rPr>
          <w:rFonts w:hint="eastAsia"/>
          <w:sz w:val="21"/>
          <w:szCs w:val="21"/>
        </w:rPr>
        <w:t xml:space="preserve">名称： 博时基金管理有限公司 </w:t>
      </w:r>
    </w:p>
    <w:p>
      <w:pPr>
        <w:pStyle w:val="9"/>
        <w:spacing w:before="0" w:beforeAutospacing="0" w:after="0" w:afterAutospacing="0" w:line="360" w:lineRule="auto"/>
        <w:ind w:firstLine="420"/>
        <w:rPr>
          <w:sz w:val="21"/>
          <w:szCs w:val="21"/>
        </w:rPr>
      </w:pPr>
      <w:r>
        <w:rPr>
          <w:rFonts w:hint="eastAsia"/>
          <w:sz w:val="21"/>
          <w:szCs w:val="21"/>
        </w:rPr>
        <w:t xml:space="preserve">住所： 深圳市福田区莲花街道福新社区益田路5999号基金大厦21层 </w:t>
      </w:r>
    </w:p>
    <w:p>
      <w:pPr>
        <w:pStyle w:val="9"/>
        <w:spacing w:before="0" w:beforeAutospacing="0" w:after="0" w:afterAutospacing="0" w:line="360" w:lineRule="auto"/>
        <w:ind w:firstLine="420"/>
        <w:rPr>
          <w:sz w:val="21"/>
          <w:szCs w:val="21"/>
        </w:rPr>
      </w:pPr>
      <w:r>
        <w:rPr>
          <w:rFonts w:hint="eastAsia"/>
          <w:sz w:val="21"/>
          <w:szCs w:val="21"/>
        </w:rPr>
        <w:t xml:space="preserve">办公地址： 广东省深圳市福田区益田路5999号基金大厦21层 </w:t>
      </w:r>
    </w:p>
    <w:p>
      <w:pPr>
        <w:pStyle w:val="9"/>
        <w:spacing w:before="0" w:beforeAutospacing="0" w:after="0" w:afterAutospacing="0" w:line="360" w:lineRule="auto"/>
        <w:ind w:firstLine="420"/>
        <w:rPr>
          <w:sz w:val="21"/>
          <w:szCs w:val="21"/>
        </w:rPr>
      </w:pPr>
      <w:r>
        <w:rPr>
          <w:rFonts w:hint="eastAsia"/>
          <w:sz w:val="21"/>
          <w:szCs w:val="21"/>
        </w:rPr>
        <w:t xml:space="preserve">法定代表人：江向阳 </w:t>
      </w:r>
    </w:p>
    <w:p>
      <w:pPr>
        <w:pStyle w:val="9"/>
        <w:spacing w:before="0" w:beforeAutospacing="0" w:after="0" w:afterAutospacing="0" w:line="360" w:lineRule="auto"/>
        <w:ind w:firstLine="420"/>
        <w:rPr>
          <w:sz w:val="21"/>
          <w:szCs w:val="21"/>
        </w:rPr>
      </w:pPr>
      <w:r>
        <w:rPr>
          <w:rFonts w:hint="eastAsia"/>
          <w:sz w:val="21"/>
          <w:szCs w:val="21"/>
        </w:rPr>
        <w:t xml:space="preserve">成立时间：  1998年7月13日 </w:t>
      </w:r>
    </w:p>
    <w:p>
      <w:pPr>
        <w:pStyle w:val="9"/>
        <w:spacing w:before="0" w:beforeAutospacing="0" w:after="0" w:afterAutospacing="0" w:line="360" w:lineRule="auto"/>
        <w:ind w:firstLine="420"/>
        <w:rPr>
          <w:sz w:val="21"/>
          <w:szCs w:val="21"/>
        </w:rPr>
      </w:pPr>
      <w:r>
        <w:rPr>
          <w:rFonts w:hint="eastAsia"/>
          <w:sz w:val="21"/>
          <w:szCs w:val="21"/>
        </w:rPr>
        <w:t xml:space="preserve">注册资本：  2.5亿元人民币 </w:t>
      </w:r>
    </w:p>
    <w:p>
      <w:pPr>
        <w:pStyle w:val="9"/>
        <w:spacing w:before="0" w:beforeAutospacing="0" w:after="0" w:afterAutospacing="0" w:line="360" w:lineRule="auto"/>
        <w:ind w:firstLine="420"/>
        <w:rPr>
          <w:sz w:val="21"/>
          <w:szCs w:val="21"/>
        </w:rPr>
      </w:pPr>
      <w:r>
        <w:rPr>
          <w:rFonts w:hint="eastAsia"/>
          <w:sz w:val="21"/>
          <w:szCs w:val="21"/>
        </w:rPr>
        <w:t xml:space="preserve">存续期间： 持续经营 </w:t>
      </w:r>
    </w:p>
    <w:p>
      <w:pPr>
        <w:pStyle w:val="9"/>
        <w:spacing w:before="0" w:beforeAutospacing="0" w:after="0" w:afterAutospacing="0" w:line="360" w:lineRule="auto"/>
        <w:ind w:firstLine="420"/>
        <w:rPr>
          <w:sz w:val="21"/>
          <w:szCs w:val="21"/>
        </w:rPr>
      </w:pPr>
      <w:r>
        <w:rPr>
          <w:rFonts w:hint="eastAsia"/>
          <w:sz w:val="21"/>
          <w:szCs w:val="21"/>
        </w:rPr>
        <w:t xml:space="preserve">联系人：   王济帆 </w:t>
      </w:r>
    </w:p>
    <w:p>
      <w:pPr>
        <w:pStyle w:val="9"/>
        <w:spacing w:before="0" w:beforeAutospacing="0" w:after="0" w:afterAutospacing="0" w:line="360" w:lineRule="auto"/>
        <w:ind w:firstLine="420"/>
        <w:rPr>
          <w:sz w:val="21"/>
          <w:szCs w:val="21"/>
        </w:rPr>
      </w:pPr>
      <w:r>
        <w:rPr>
          <w:rFonts w:hint="eastAsia"/>
          <w:sz w:val="21"/>
          <w:szCs w:val="21"/>
        </w:rPr>
        <w:t xml:space="preserve">联系电话： （0755）8316 9999 </w:t>
      </w:r>
    </w:p>
    <w:p>
      <w:pPr>
        <w:pStyle w:val="9"/>
        <w:spacing w:before="0" w:beforeAutospacing="0" w:after="0" w:afterAutospacing="0" w:line="360" w:lineRule="auto"/>
        <w:ind w:firstLine="420"/>
        <w:rPr>
          <w:sz w:val="21"/>
          <w:szCs w:val="21"/>
        </w:rPr>
      </w:pPr>
      <w:r>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浙江省国贸集团资产经营有限公司，持有股份2%。注册资本为2.5亿元人民币。 </w:t>
      </w:r>
    </w:p>
    <w:p>
      <w:pPr>
        <w:pStyle w:val="9"/>
        <w:spacing w:before="0" w:beforeAutospacing="0" w:after="0" w:afterAutospacing="0" w:line="360" w:lineRule="auto"/>
        <w:ind w:firstLine="420"/>
        <w:rPr>
          <w:sz w:val="21"/>
          <w:szCs w:val="21"/>
        </w:rPr>
      </w:pPr>
      <w:r>
        <w:rPr>
          <w:rFonts w:hint="eastAsia"/>
          <w:sz w:val="21"/>
          <w:szCs w:val="21"/>
        </w:rPr>
        <w:t xml:space="preserve">公司设立了投资决策委员会。投资决策委员会负责指导基金资产的运作、确定基本的投资策略和投资组合的原则。 </w:t>
      </w:r>
    </w:p>
    <w:p>
      <w:pPr>
        <w:pStyle w:val="9"/>
        <w:spacing w:before="0" w:beforeAutospacing="0" w:after="0" w:afterAutospacing="0" w:line="360" w:lineRule="auto"/>
        <w:ind w:firstLine="420"/>
        <w:rPr>
          <w:sz w:val="21"/>
          <w:szCs w:val="21"/>
        </w:rPr>
      </w:pPr>
      <w:r>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25" w:name="field_0_managercompanyinfo_1_end"/>
      <w:bookmarkEnd w:id="25"/>
      <w:r>
        <w:rPr>
          <w:rFonts w:hint="eastAsia"/>
          <w:sz w:val="21"/>
          <w:szCs w:val="21"/>
        </w:rPr>
        <w:t xml:space="preserve">  </w:t>
      </w:r>
    </w:p>
    <w:p>
      <w:pPr>
        <w:pStyle w:val="9"/>
        <w:spacing w:before="0" w:beforeAutospacing="0" w:after="0" w:afterAutospacing="0" w:line="360" w:lineRule="auto"/>
        <w:ind w:firstLine="420"/>
        <w:rPr>
          <w:sz w:val="21"/>
          <w:szCs w:val="21"/>
        </w:rPr>
      </w:pPr>
      <w:r>
        <w:rPr>
          <w:rStyle w:val="14"/>
          <w:rFonts w:hint="eastAsia"/>
          <w:sz w:val="21"/>
          <w:szCs w:val="21"/>
        </w:rPr>
        <w:t>二、主要成员情况</w:t>
      </w:r>
    </w:p>
    <w:p>
      <w:pPr>
        <w:pStyle w:val="9"/>
        <w:spacing w:before="0" w:beforeAutospacing="0" w:after="0" w:afterAutospacing="0" w:line="360" w:lineRule="auto"/>
        <w:ind w:firstLine="420"/>
        <w:rPr>
          <w:sz w:val="21"/>
          <w:szCs w:val="21"/>
        </w:rPr>
      </w:pPr>
      <w:bookmarkStart w:id="26" w:name="field_0_managerpersoninfo_1_start"/>
      <w:bookmarkEnd w:id="26"/>
      <w:r>
        <w:rPr>
          <w:rFonts w:hint="eastAsia"/>
          <w:sz w:val="21"/>
          <w:szCs w:val="21"/>
        </w:rPr>
        <w:t xml:space="preserve">1、基金管理人董事会成员 </w:t>
      </w:r>
    </w:p>
    <w:p>
      <w:pPr>
        <w:pStyle w:val="9"/>
        <w:spacing w:before="0" w:beforeAutospacing="0" w:after="0" w:afterAutospacing="0" w:line="360" w:lineRule="auto"/>
        <w:ind w:firstLine="420"/>
        <w:rPr>
          <w:sz w:val="21"/>
          <w:szCs w:val="21"/>
        </w:rPr>
      </w:pPr>
      <w:r>
        <w:rPr>
          <w:rFonts w:hint="eastAsia"/>
          <w:sz w:val="21"/>
          <w:szCs w:val="21"/>
        </w:rPr>
        <w:t xml:space="preserve">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自2023年11月10日起，代为履行博时基金管理有限公司总经理职务。 </w:t>
      </w:r>
    </w:p>
    <w:p>
      <w:pPr>
        <w:pStyle w:val="9"/>
        <w:spacing w:before="0" w:beforeAutospacing="0" w:after="0" w:afterAutospacing="0" w:line="360" w:lineRule="auto"/>
        <w:ind w:firstLine="420"/>
        <w:rPr>
          <w:sz w:val="21"/>
          <w:szCs w:val="21"/>
        </w:rPr>
      </w:pPr>
      <w:r>
        <w:rPr>
          <w:rFonts w:hint="eastAsia"/>
          <w:sz w:val="21"/>
          <w:szCs w:val="21"/>
        </w:rPr>
        <w:t xml:space="preserve">余志良先生，会计师。本科毕业于厦门大学会计学系，获管理学学士学位，研究生毕业于香港中文大学，获金融工商管理硕士（FMBA）。现任招商局集团有限公司财务部（产权部）副部长。历任招商局蛇口工业区控股股份有限公司董事会秘书、总经理助理、财务管理部总经理，招商局置地有限公司总经理，招商局地产控股股份有限公司厦门公司财务总监、瑞嘉投资实业有限公司财务总监。 </w:t>
      </w:r>
    </w:p>
    <w:p>
      <w:pPr>
        <w:pStyle w:val="9"/>
        <w:spacing w:before="0" w:beforeAutospacing="0" w:after="0" w:afterAutospacing="0" w:line="360" w:lineRule="auto"/>
        <w:ind w:firstLine="420"/>
        <w:rPr>
          <w:sz w:val="21"/>
          <w:szCs w:val="21"/>
        </w:rPr>
      </w:pPr>
      <w:r>
        <w:rPr>
          <w:rFonts w:hint="eastAsia"/>
          <w:sz w:val="21"/>
          <w:szCs w:val="21"/>
        </w:rPr>
        <w:t xml:space="preserve">马伯寅先生，博士。分别于1997年7月、2001年7月、2010年1月在北京大学法学院获得法学学士学位、法学硕士学位和法学博士学位。自1997年7月至2004年9月，就职于北京大学团委，分别任干部、宣传部部长、副书记；2004年9月至2014年4月，就职于中国保险监督管理委员会，分别任党委组织部组织处副处级干部、党委组织部组织处副处长、党委组织部组织处处长；2010年3月至2011年8月任中国保险监督管理委员会驻中华保险风险处置工作组成员、广深工作组组长，中华财产保险股份公司党委委员、副总经理。2014年4月至2015年10月任中国保险监督管理委员会青岛监管局党委委员、副局长；2015年10月至2018年9月任中国保险监督管理委员会办公厅副巡视员；2016年8月至2018年9月任深圳市政府副秘书长（挂职）；2018年9月至2019年2月任招商局金融集团有限公司党委委员、副总经理；2018年9月至2022年9月任招商局金融事业群/平台党委委员、执行委员会执行委员（常务）；2022年9月至今招商局金融控股有限公司党委委员、副总经理、首席合规官。 </w:t>
      </w:r>
    </w:p>
    <w:p>
      <w:pPr>
        <w:pStyle w:val="9"/>
        <w:spacing w:before="0" w:beforeAutospacing="0" w:after="0" w:afterAutospacing="0" w:line="360" w:lineRule="auto"/>
        <w:ind w:firstLine="420"/>
        <w:rPr>
          <w:sz w:val="21"/>
          <w:szCs w:val="21"/>
        </w:rPr>
      </w:pPr>
      <w:r>
        <w:rPr>
          <w:rFonts w:hint="eastAsia"/>
          <w:sz w:val="21"/>
          <w:szCs w:val="21"/>
        </w:rPr>
        <w:t xml:space="preserve">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2021年2月5日至2023年11月10日，任博时基金管理有限公司总经理。自2021年4月7日起，任博时基金管理有限公司第八届董事会董事。 </w:t>
      </w:r>
    </w:p>
    <w:p>
      <w:pPr>
        <w:pStyle w:val="9"/>
        <w:spacing w:before="0" w:beforeAutospacing="0" w:after="0" w:afterAutospacing="0" w:line="360" w:lineRule="auto"/>
        <w:ind w:firstLine="420"/>
        <w:rPr>
          <w:sz w:val="21"/>
          <w:szCs w:val="21"/>
        </w:rPr>
      </w:pPr>
      <w:r>
        <w:rPr>
          <w:rFonts w:hint="eastAsia"/>
          <w:sz w:val="21"/>
          <w:szCs w:val="21"/>
        </w:rPr>
        <w:t xml:space="preserve">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 </w:t>
      </w:r>
    </w:p>
    <w:p>
      <w:pPr>
        <w:pStyle w:val="9"/>
        <w:spacing w:before="0" w:beforeAutospacing="0" w:after="0" w:afterAutospacing="0" w:line="360" w:lineRule="auto"/>
        <w:ind w:firstLine="420"/>
        <w:rPr>
          <w:sz w:val="21"/>
          <w:szCs w:val="21"/>
        </w:rPr>
      </w:pPr>
      <w:r>
        <w:rPr>
          <w:rFonts w:hint="eastAsia"/>
          <w:sz w:val="21"/>
          <w:szCs w:val="21"/>
        </w:rPr>
        <w:t xml:space="preserve">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 </w:t>
      </w:r>
    </w:p>
    <w:p>
      <w:pPr>
        <w:pStyle w:val="9"/>
        <w:spacing w:before="0" w:beforeAutospacing="0" w:after="0" w:afterAutospacing="0" w:line="360" w:lineRule="auto"/>
        <w:ind w:firstLine="420"/>
        <w:rPr>
          <w:sz w:val="21"/>
          <w:szCs w:val="21"/>
        </w:rPr>
      </w:pPr>
      <w:r>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 </w:t>
      </w:r>
    </w:p>
    <w:p>
      <w:pPr>
        <w:pStyle w:val="9"/>
        <w:spacing w:before="0" w:beforeAutospacing="0" w:after="0" w:afterAutospacing="0" w:line="360" w:lineRule="auto"/>
        <w:ind w:firstLine="420"/>
        <w:rPr>
          <w:sz w:val="21"/>
          <w:szCs w:val="21"/>
        </w:rPr>
      </w:pPr>
      <w:r>
        <w:rPr>
          <w:rFonts w:hint="eastAsia"/>
          <w:sz w:val="21"/>
          <w:szCs w:val="21"/>
        </w:rPr>
        <w:t xml:space="preserve">赵如冰先生，1956年生，教授级高级工程师，国际金融专业经济学硕士研究生。赵如冰先生历任葛洲坝水力发电厂工程师、高级工程师、葛洲坝二江电厂电气分厂主任、书记；1989年7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赵如冰先生任景顺长城基金管理公司董事长、景顺长城资产管理（深圳）公司董事长兼长城证券公司党委副书记。2016年8月至2020年3月,赵如冰先生任阳光资产管理股份有限公司副董事长；2016年8月至今,任西南证券、百隆东方独立董事，2020年3月至今深圳市深粮控股股份有限公司独立董事。自2017年11月3日起，任博时基金管理有限公司独立董事。 </w:t>
      </w:r>
    </w:p>
    <w:p>
      <w:pPr>
        <w:pStyle w:val="9"/>
        <w:spacing w:before="0" w:beforeAutospacing="0" w:after="0" w:afterAutospacing="0" w:line="360" w:lineRule="auto"/>
        <w:ind w:firstLine="420"/>
        <w:rPr>
          <w:sz w:val="21"/>
          <w:szCs w:val="21"/>
        </w:rPr>
      </w:pPr>
      <w:r>
        <w:rPr>
          <w:rFonts w:hint="eastAsia"/>
          <w:sz w:val="21"/>
          <w:szCs w:val="21"/>
        </w:rPr>
        <w:t xml:space="preserve">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 </w:t>
      </w:r>
    </w:p>
    <w:p>
      <w:pPr>
        <w:pStyle w:val="9"/>
        <w:spacing w:before="0" w:beforeAutospacing="0" w:after="0" w:afterAutospacing="0" w:line="360" w:lineRule="auto"/>
        <w:ind w:firstLine="420"/>
        <w:rPr>
          <w:sz w:val="21"/>
          <w:szCs w:val="21"/>
        </w:rPr>
      </w:pPr>
      <w:r>
        <w:rPr>
          <w:rFonts w:hint="eastAsia"/>
          <w:sz w:val="21"/>
          <w:szCs w:val="21"/>
        </w:rPr>
        <w:t xml:space="preserve">2、基金管理人监事会成员 </w:t>
      </w:r>
      <w:bookmarkStart w:id="209" w:name="_GoBack"/>
      <w:bookmarkEnd w:id="209"/>
    </w:p>
    <w:p>
      <w:pPr>
        <w:pStyle w:val="9"/>
        <w:spacing w:before="0" w:beforeAutospacing="0" w:after="0" w:afterAutospacing="0" w:line="360" w:lineRule="auto"/>
        <w:ind w:firstLine="420"/>
        <w:rPr>
          <w:sz w:val="21"/>
          <w:szCs w:val="21"/>
        </w:rPr>
      </w:pPr>
      <w:r>
        <w:rPr>
          <w:rFonts w:hint="eastAsia"/>
          <w:sz w:val="21"/>
          <w:szCs w:val="21"/>
        </w:rPr>
        <w:t xml:space="preserve">张日忠先生，硕士，会计师、英国特许会计师。先后在中央财经大学获得学士学位、在The University of Westminster获得硕士学位。自1991年7月起加入招商局集团，先后任招商局集团财务部文员，副主任、主任、总经理助理，招商局控股（英国）有限公司财务总监，招商局集团财务部副总经理，招商局国际有限公司（招商局港口）财务总监、纪委书记、副总经理、党委副书记，招商局投资发展有限公司总经理、党委书记，招商局资本管理有限责任公司总经理、CEO、党委书记。2021年8月至2024年3月，任招商局投资发展有限公司总经理、2024年3月至今任招商局检测技术控股有限公司党委书记。 </w:t>
      </w:r>
    </w:p>
    <w:p>
      <w:pPr>
        <w:pStyle w:val="9"/>
        <w:spacing w:before="0" w:beforeAutospacing="0" w:after="0" w:afterAutospacing="0" w:line="360" w:lineRule="auto"/>
        <w:ind w:firstLine="420"/>
        <w:rPr>
          <w:sz w:val="21"/>
          <w:szCs w:val="21"/>
        </w:rPr>
      </w:pPr>
      <w:r>
        <w:rPr>
          <w:rFonts w:hint="eastAsia"/>
          <w:sz w:val="21"/>
          <w:szCs w:val="21"/>
        </w:rPr>
        <w:t xml:space="preserve">蒋伟先生，硕士。2011年3月至2017年5月就职于中国长城资产管理公司，分别任办公室外事处一级业务员、业务副主管、业务主管。2017年5月至2020年7月就职于长城罗斯基金管理有限公司任行政总监/执行董事。2020年7月至今任中国长城资产管理有限公司资产经营三部副高级经理（处室负责人）。 </w:t>
      </w:r>
    </w:p>
    <w:p>
      <w:pPr>
        <w:pStyle w:val="9"/>
        <w:spacing w:before="0" w:beforeAutospacing="0" w:after="0" w:afterAutospacing="0" w:line="360" w:lineRule="auto"/>
        <w:ind w:firstLine="420"/>
        <w:rPr>
          <w:sz w:val="21"/>
          <w:szCs w:val="21"/>
        </w:rPr>
      </w:pPr>
      <w:r>
        <w:rPr>
          <w:rFonts w:hint="eastAsia"/>
          <w:sz w:val="21"/>
          <w:szCs w:val="21"/>
        </w:rPr>
        <w:t xml:space="preserve">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 </w:t>
      </w:r>
    </w:p>
    <w:p>
      <w:pPr>
        <w:pStyle w:val="9"/>
        <w:spacing w:before="0" w:beforeAutospacing="0" w:after="0" w:afterAutospacing="0" w:line="360" w:lineRule="auto"/>
        <w:ind w:firstLine="420"/>
        <w:rPr>
          <w:sz w:val="21"/>
          <w:szCs w:val="21"/>
        </w:rPr>
      </w:pPr>
      <w:r>
        <w:rPr>
          <w:rFonts w:hint="eastAsia"/>
          <w:sz w:val="21"/>
          <w:szCs w:val="21"/>
        </w:rPr>
        <w:t xml:space="preserve">严斌先生，硕士。1997年7月起先后在华侨城集团公司、博时基金管理有限公司工作。现任博时基金管理有限公司财务部总经理。自2015年5月起，任博时基金管理有限公司监事。 </w:t>
      </w:r>
    </w:p>
    <w:p>
      <w:pPr>
        <w:pStyle w:val="9"/>
        <w:spacing w:before="0" w:beforeAutospacing="0" w:after="0" w:afterAutospacing="0" w:line="360" w:lineRule="auto"/>
        <w:ind w:firstLine="420"/>
        <w:rPr>
          <w:sz w:val="21"/>
          <w:szCs w:val="21"/>
        </w:rPr>
      </w:pPr>
      <w:r>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 </w:t>
      </w:r>
    </w:p>
    <w:p>
      <w:pPr>
        <w:pStyle w:val="9"/>
        <w:spacing w:before="0" w:beforeAutospacing="0" w:after="0" w:afterAutospacing="0" w:line="360" w:lineRule="auto"/>
        <w:ind w:firstLine="420"/>
        <w:rPr>
          <w:sz w:val="21"/>
          <w:szCs w:val="21"/>
        </w:rPr>
      </w:pPr>
      <w:r>
        <w:rPr>
          <w:rFonts w:hint="eastAsia"/>
          <w:sz w:val="21"/>
          <w:szCs w:val="21"/>
        </w:rPr>
        <w:t xml:space="preserve">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 </w:t>
      </w:r>
    </w:p>
    <w:p>
      <w:pPr>
        <w:pStyle w:val="9"/>
        <w:spacing w:before="0" w:beforeAutospacing="0" w:after="0" w:afterAutospacing="0" w:line="360" w:lineRule="auto"/>
        <w:ind w:firstLine="420"/>
        <w:rPr>
          <w:sz w:val="21"/>
          <w:szCs w:val="21"/>
        </w:rPr>
      </w:pPr>
      <w:r>
        <w:rPr>
          <w:rFonts w:hint="eastAsia"/>
          <w:sz w:val="21"/>
          <w:szCs w:val="21"/>
        </w:rPr>
        <w:t xml:space="preserve">3、高级管理人员 </w:t>
      </w:r>
    </w:p>
    <w:p>
      <w:pPr>
        <w:pStyle w:val="9"/>
        <w:spacing w:before="0" w:beforeAutospacing="0" w:after="0" w:afterAutospacing="0" w:line="360" w:lineRule="auto"/>
        <w:ind w:firstLine="420"/>
        <w:rPr>
          <w:sz w:val="21"/>
          <w:szCs w:val="21"/>
        </w:rPr>
      </w:pPr>
      <w:r>
        <w:rPr>
          <w:rFonts w:hint="eastAsia"/>
          <w:sz w:val="21"/>
          <w:szCs w:val="21"/>
        </w:rPr>
        <w:t xml:space="preserve">江向阳先生，简历同上。 </w:t>
      </w:r>
    </w:p>
    <w:p>
      <w:pPr>
        <w:pStyle w:val="9"/>
        <w:spacing w:before="0" w:beforeAutospacing="0" w:after="0" w:afterAutospacing="0" w:line="360" w:lineRule="auto"/>
        <w:ind w:firstLine="420"/>
        <w:rPr>
          <w:sz w:val="21"/>
          <w:szCs w:val="21"/>
        </w:rPr>
      </w:pPr>
      <w:r>
        <w:rPr>
          <w:rFonts w:hint="eastAsia"/>
          <w:sz w:val="21"/>
          <w:szCs w:val="21"/>
        </w:rPr>
        <w:t xml:space="preserve">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 </w:t>
      </w:r>
    </w:p>
    <w:p>
      <w:pPr>
        <w:pStyle w:val="9"/>
        <w:spacing w:before="0" w:beforeAutospacing="0" w:after="0" w:afterAutospacing="0" w:line="360" w:lineRule="auto"/>
        <w:ind w:firstLine="420"/>
        <w:rPr>
          <w:sz w:val="21"/>
          <w:szCs w:val="21"/>
        </w:rPr>
      </w:pPr>
      <w:r>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 </w:t>
      </w:r>
    </w:p>
    <w:p>
      <w:pPr>
        <w:pStyle w:val="9"/>
        <w:spacing w:before="0" w:beforeAutospacing="0" w:after="0" w:afterAutospacing="0" w:line="360" w:lineRule="auto"/>
        <w:ind w:firstLine="420"/>
        <w:rPr>
          <w:sz w:val="21"/>
          <w:szCs w:val="21"/>
        </w:rPr>
      </w:pPr>
      <w:r>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财富基金销售有限公司董事。 </w:t>
      </w:r>
    </w:p>
    <w:p>
      <w:pPr>
        <w:pStyle w:val="9"/>
        <w:spacing w:before="0" w:beforeAutospacing="0" w:after="0" w:afterAutospacing="0" w:line="360" w:lineRule="auto"/>
        <w:ind w:firstLine="420"/>
        <w:rPr>
          <w:sz w:val="21"/>
          <w:szCs w:val="21"/>
        </w:rPr>
      </w:pPr>
      <w:r>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27" w:name="chapter_level1_5_53_section_1_end"/>
      <w:bookmarkEnd w:id="27"/>
      <w:r>
        <w:rPr>
          <w:rFonts w:hint="eastAsia"/>
          <w:sz w:val="21"/>
          <w:szCs w:val="21"/>
        </w:rPr>
        <w:t xml:space="preserve">博时资本管理有限公司副董事长、博时财富基金销售有限公司董事。 </w:t>
      </w:r>
      <w:bookmarkStart w:id="28" w:name="field_0_managerpersoninfo_1_end"/>
      <w:bookmarkEnd w:id="28"/>
      <w:r>
        <w:rPr>
          <w:rFonts w:hint="eastAsia"/>
          <w:sz w:val="21"/>
          <w:szCs w:val="21"/>
        </w:rPr>
        <w:t xml:space="preserve">  </w:t>
      </w:r>
    </w:p>
    <w:p>
      <w:pPr>
        <w:pStyle w:val="9"/>
        <w:spacing w:before="0" w:beforeAutospacing="0" w:after="0" w:afterAutospacing="0" w:line="360" w:lineRule="auto"/>
        <w:ind w:firstLine="420"/>
        <w:rPr>
          <w:sz w:val="21"/>
          <w:szCs w:val="21"/>
        </w:rPr>
      </w:pPr>
      <w:bookmarkStart w:id="29" w:name="chapter_level1_5_53_section_2"/>
      <w:bookmarkEnd w:id="29"/>
      <w:r>
        <w:rPr>
          <w:rFonts w:hint="eastAsia"/>
          <w:sz w:val="21"/>
          <w:szCs w:val="21"/>
        </w:rPr>
        <w:t xml:space="preserve">4、本基金基金经理 </w:t>
      </w:r>
    </w:p>
    <w:p>
      <w:pPr>
        <w:pStyle w:val="9"/>
        <w:spacing w:before="0" w:beforeAutospacing="0" w:after="0" w:afterAutospacing="0" w:line="360" w:lineRule="auto"/>
        <w:ind w:firstLine="420"/>
        <w:rPr>
          <w:sz w:val="21"/>
          <w:szCs w:val="21"/>
        </w:rPr>
      </w:pPr>
      <w:bookmarkStart w:id="30" w:name="field_0_fundmanagerresume_1_start"/>
      <w:bookmarkEnd w:id="30"/>
      <w:r>
        <w:rPr>
          <w:rFonts w:hint="eastAsia"/>
          <w:sz w:val="21"/>
          <w:szCs w:val="21"/>
        </w:rPr>
        <w:t>王祥先生，学士。2006年起先后在中粮期货、工商银行总行工作。2015年加入博时基金管理有限公司。曾任基金经理助理。现任上证自然资源交易型开放式指数证券投资基金(2016年11月2日—至今)、博时黄金交易型开放式证券投资基金(2016年11月2日—至今)、博时黄金交易型开放式证券投资基金联接基金(2016年11月2日—至今)、博时上证自然资源交易型开放式指数证券投资基金联接基金(2016年11月2日—至今)、博时中证光伏产业指数证券投资基金(2022年8月16日—至今)、博时中证疫苗与生物技术交易型开放式指数证券投资基金(2022年11月8日—至今)、博时中证农业主题指数型发起式证券投资基金(2022年12月13日—至今)、博时中证有色金属矿业主题指数证券投资基金(2023年5月16日—至今)、博时标普石油天然气勘探及生产精选行业指数型</w:t>
      </w:r>
      <w:bookmarkStart w:id="31" w:name="chapter_level1_5_53_section_2_end"/>
      <w:bookmarkEnd w:id="31"/>
      <w:r>
        <w:rPr>
          <w:rFonts w:hint="eastAsia"/>
          <w:sz w:val="21"/>
          <w:szCs w:val="21"/>
        </w:rPr>
        <w:t>发起式证券投资基金（QDII）(2023年9月5日—至今)的基金经理。</w:t>
      </w:r>
      <w:bookmarkStart w:id="32" w:name="field_0_fundmanagerresume_1_end"/>
      <w:bookmarkEnd w:id="32"/>
      <w:r>
        <w:rPr>
          <w:rFonts w:hint="eastAsia"/>
          <w:sz w:val="21"/>
          <w:szCs w:val="21"/>
        </w:rPr>
        <w:t xml:space="preserve">  </w:t>
      </w:r>
    </w:p>
    <w:p>
      <w:pPr>
        <w:pStyle w:val="9"/>
        <w:spacing w:before="0" w:beforeAutospacing="0" w:after="0" w:afterAutospacing="0" w:line="360" w:lineRule="auto"/>
        <w:ind w:firstLine="420"/>
        <w:rPr>
          <w:sz w:val="21"/>
          <w:szCs w:val="21"/>
        </w:rPr>
      </w:pPr>
      <w:bookmarkStart w:id="33" w:name="chapter_level1_5_53_section_3"/>
      <w:bookmarkEnd w:id="33"/>
      <w:bookmarkStart w:id="34" w:name="field_0_managerpersoninfo2_1_start"/>
      <w:bookmarkEnd w:id="34"/>
      <w:r>
        <w:rPr>
          <w:rFonts w:hint="eastAsia"/>
          <w:sz w:val="21"/>
          <w:szCs w:val="21"/>
        </w:rPr>
        <w:t xml:space="preserve">5、投资决策委员会成员 </w:t>
      </w:r>
    </w:p>
    <w:p>
      <w:pPr>
        <w:pStyle w:val="9"/>
        <w:spacing w:before="0" w:beforeAutospacing="0" w:after="0" w:afterAutospacing="0" w:line="360" w:lineRule="auto"/>
        <w:ind w:firstLine="420"/>
        <w:rPr>
          <w:sz w:val="21"/>
          <w:szCs w:val="21"/>
        </w:rPr>
      </w:pPr>
      <w:r>
        <w:rPr>
          <w:rFonts w:hint="eastAsia"/>
          <w:sz w:val="21"/>
          <w:szCs w:val="21"/>
        </w:rPr>
        <w:t xml:space="preserve">公司董事长江向阳先生。 </w:t>
      </w:r>
    </w:p>
    <w:p>
      <w:pPr>
        <w:pStyle w:val="9"/>
        <w:spacing w:before="0" w:beforeAutospacing="0" w:after="0" w:afterAutospacing="0" w:line="360" w:lineRule="auto"/>
        <w:ind w:firstLine="420"/>
        <w:rPr>
          <w:sz w:val="21"/>
          <w:szCs w:val="21"/>
        </w:rPr>
      </w:pPr>
      <w:r>
        <w:rPr>
          <w:rFonts w:hint="eastAsia"/>
          <w:sz w:val="21"/>
          <w:szCs w:val="21"/>
        </w:rPr>
        <w:t xml:space="preserve">公司首席资产配置官黄健斌先生。 </w:t>
      </w:r>
    </w:p>
    <w:p>
      <w:pPr>
        <w:pStyle w:val="9"/>
        <w:spacing w:before="0" w:beforeAutospacing="0" w:after="0" w:afterAutospacing="0" w:line="360" w:lineRule="auto"/>
        <w:ind w:firstLine="420"/>
        <w:rPr>
          <w:sz w:val="21"/>
          <w:szCs w:val="21"/>
        </w:rPr>
      </w:pPr>
      <w:r>
        <w:rPr>
          <w:rFonts w:hint="eastAsia"/>
          <w:sz w:val="21"/>
          <w:szCs w:val="21"/>
        </w:rPr>
        <w:t xml:space="preserve">公司首席基金经理过钧先生。 </w:t>
      </w:r>
    </w:p>
    <w:p>
      <w:pPr>
        <w:pStyle w:val="9"/>
        <w:spacing w:before="0" w:beforeAutospacing="0" w:after="0" w:afterAutospacing="0" w:line="360" w:lineRule="auto"/>
        <w:ind w:firstLine="420"/>
        <w:rPr>
          <w:sz w:val="21"/>
          <w:szCs w:val="21"/>
        </w:rPr>
      </w:pPr>
      <w:r>
        <w:rPr>
          <w:rFonts w:hint="eastAsia"/>
          <w:sz w:val="21"/>
          <w:szCs w:val="21"/>
        </w:rPr>
        <w:t xml:space="preserve">公司首席投资官兼权益投研一体化总监、权益投资四部总经理、境外投资部总经理、基金经理曾鹏先生。 </w:t>
      </w:r>
    </w:p>
    <w:p>
      <w:pPr>
        <w:pStyle w:val="9"/>
        <w:spacing w:before="0" w:beforeAutospacing="0" w:after="0" w:afterAutospacing="0" w:line="360" w:lineRule="auto"/>
        <w:ind w:firstLine="420"/>
        <w:rPr>
          <w:sz w:val="21"/>
          <w:szCs w:val="21"/>
        </w:rPr>
      </w:pPr>
      <w:r>
        <w:rPr>
          <w:rFonts w:hint="eastAsia"/>
          <w:sz w:val="21"/>
          <w:szCs w:val="21"/>
        </w:rPr>
        <w:t xml:space="preserve">权益投资三部总经理兼权益投资三部投资总监蔡滨先生。 </w:t>
      </w:r>
    </w:p>
    <w:p>
      <w:pPr>
        <w:pStyle w:val="9"/>
        <w:spacing w:before="0" w:beforeAutospacing="0" w:after="0" w:afterAutospacing="0" w:line="360" w:lineRule="auto"/>
        <w:ind w:firstLine="420"/>
        <w:rPr>
          <w:sz w:val="21"/>
          <w:szCs w:val="21"/>
        </w:rPr>
      </w:pPr>
      <w:r>
        <w:rPr>
          <w:rFonts w:hint="eastAsia"/>
          <w:sz w:val="21"/>
          <w:szCs w:val="21"/>
        </w:rPr>
        <w:t xml:space="preserve">公司董事总经理兼年金投资部总经理、投资总监杨帆先生。 </w:t>
      </w:r>
    </w:p>
    <w:p>
      <w:pPr>
        <w:pStyle w:val="9"/>
        <w:spacing w:before="0" w:beforeAutospacing="0" w:after="0" w:afterAutospacing="0" w:line="360" w:lineRule="auto"/>
        <w:ind w:firstLine="420"/>
        <w:rPr>
          <w:sz w:val="21"/>
          <w:szCs w:val="21"/>
        </w:rPr>
      </w:pPr>
      <w:r>
        <w:rPr>
          <w:rFonts w:hint="eastAsia"/>
          <w:sz w:val="21"/>
          <w:szCs w:val="21"/>
        </w:rPr>
        <w:t xml:space="preserve">指数与量化投资部投资总监赵云阳先生。 </w:t>
      </w:r>
    </w:p>
    <w:p>
      <w:pPr>
        <w:pStyle w:val="9"/>
        <w:spacing w:before="0" w:beforeAutospacing="0" w:after="0" w:afterAutospacing="0" w:line="360" w:lineRule="auto"/>
        <w:ind w:firstLine="420"/>
        <w:rPr>
          <w:sz w:val="21"/>
          <w:szCs w:val="21"/>
        </w:rPr>
      </w:pPr>
      <w:r>
        <w:rPr>
          <w:rFonts w:hint="eastAsia"/>
          <w:sz w:val="21"/>
          <w:szCs w:val="21"/>
        </w:rPr>
        <w:t xml:space="preserve">行业研究部总经理魏立先生。 </w:t>
      </w:r>
    </w:p>
    <w:p>
      <w:pPr>
        <w:pStyle w:val="9"/>
        <w:spacing w:before="0" w:beforeAutospacing="0" w:after="0" w:afterAutospacing="0" w:line="360" w:lineRule="auto"/>
        <w:ind w:firstLine="420"/>
        <w:rPr>
          <w:sz w:val="21"/>
          <w:szCs w:val="21"/>
        </w:rPr>
      </w:pPr>
      <w:r>
        <w:rPr>
          <w:rFonts w:hint="eastAsia"/>
          <w:sz w:val="21"/>
          <w:szCs w:val="21"/>
        </w:rPr>
        <w:t xml:space="preserve">宏观策略部总经理兼固定收益研究部研究总监王申先生。 </w:t>
      </w:r>
    </w:p>
    <w:p>
      <w:pPr>
        <w:pStyle w:val="9"/>
        <w:spacing w:before="0" w:beforeAutospacing="0" w:after="0" w:afterAutospacing="0" w:line="360" w:lineRule="auto"/>
        <w:ind w:firstLine="420"/>
        <w:rPr>
          <w:sz w:val="21"/>
          <w:szCs w:val="21"/>
        </w:rPr>
      </w:pPr>
      <w:bookmarkStart w:id="35" w:name="chapter_level1_5_53_section_3_end"/>
      <w:bookmarkEnd w:id="35"/>
      <w:r>
        <w:rPr>
          <w:rFonts w:hint="eastAsia"/>
          <w:sz w:val="21"/>
          <w:szCs w:val="21"/>
        </w:rPr>
        <w:t xml:space="preserve">6、上述人员之间均不存在近亲属关系。 </w:t>
      </w:r>
      <w:bookmarkStart w:id="36" w:name="field_0_managerpersoninfo2_1_end"/>
      <w:bookmarkEnd w:id="36"/>
      <w:r>
        <w:rPr>
          <w:rFonts w:hint="eastAsia"/>
          <w:sz w:val="21"/>
          <w:szCs w:val="21"/>
        </w:rPr>
        <w:t xml:space="preserve">  </w:t>
      </w:r>
    </w:p>
    <w:p>
      <w:pPr>
        <w:pStyle w:val="9"/>
        <w:spacing w:before="0" w:beforeAutospacing="0" w:after="0" w:afterAutospacing="0" w:line="360" w:lineRule="auto"/>
        <w:ind w:firstLine="420"/>
        <w:rPr>
          <w:sz w:val="21"/>
          <w:szCs w:val="21"/>
        </w:rPr>
      </w:pPr>
      <w:bookmarkStart w:id="37" w:name="chapter_level1_5_53_section_4"/>
      <w:bookmarkEnd w:id="37"/>
      <w:r>
        <w:rPr>
          <w:rStyle w:val="14"/>
          <w:rFonts w:hint="eastAsia"/>
          <w:sz w:val="21"/>
          <w:szCs w:val="21"/>
        </w:rPr>
        <w:t>三、基金管理人的职责</w:t>
      </w:r>
    </w:p>
    <w:p>
      <w:pPr>
        <w:pStyle w:val="9"/>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9"/>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9"/>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9"/>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9"/>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9"/>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9"/>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9"/>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9"/>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9"/>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9"/>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9"/>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但因监管机构、司法机关等有权机关要求，或因审计、法律等外部专业顾问提供服务需要提供的情况除外； </w:t>
      </w:r>
    </w:p>
    <w:p>
      <w:pPr>
        <w:pStyle w:val="9"/>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9"/>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9"/>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9"/>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16、按规定保存基金财产管理业务活动的会计账册、报表、记录和其他相关资料不低于法律法规规定的最低期限； </w:t>
      </w:r>
    </w:p>
    <w:p>
      <w:pPr>
        <w:pStyle w:val="9"/>
        <w:spacing w:before="0" w:beforeAutospacing="0" w:after="0" w:afterAutospacing="0" w:line="360" w:lineRule="auto"/>
        <w:ind w:firstLine="420"/>
        <w:rPr>
          <w:sz w:val="21"/>
          <w:szCs w:val="21"/>
        </w:rPr>
      </w:pPr>
      <w:r>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pPr>
        <w:pStyle w:val="9"/>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9"/>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9"/>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9"/>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9"/>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9"/>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9"/>
        <w:spacing w:before="0" w:beforeAutospacing="0" w:after="0" w:afterAutospacing="0" w:line="360" w:lineRule="auto"/>
        <w:ind w:firstLine="420"/>
        <w:rPr>
          <w:sz w:val="21"/>
          <w:szCs w:val="21"/>
        </w:rPr>
      </w:pPr>
      <w:r>
        <w:rPr>
          <w:rFonts w:hint="eastAsia"/>
          <w:sz w:val="21"/>
          <w:szCs w:val="21"/>
        </w:rPr>
        <w:t xml:space="preserve">24、基金在募集期间未能达到基金的备案条件，《基金合同》不能生效，基金管理人承担全部募集费用，将已募集资金并加计银行同期活期存款利息在基金募集期结束后30日内退还基金认购人； </w:t>
      </w:r>
    </w:p>
    <w:p>
      <w:pPr>
        <w:pStyle w:val="9"/>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9"/>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9"/>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9"/>
        <w:spacing w:before="0" w:beforeAutospacing="0" w:after="0" w:afterAutospacing="0" w:line="360" w:lineRule="auto"/>
        <w:ind w:firstLine="420"/>
        <w:rPr>
          <w:sz w:val="21"/>
          <w:szCs w:val="21"/>
        </w:rPr>
      </w:pPr>
      <w:r>
        <w:rPr>
          <w:rStyle w:val="14"/>
          <w:rFonts w:hint="eastAsia"/>
          <w:sz w:val="21"/>
          <w:szCs w:val="21"/>
        </w:rPr>
        <w:t>四、基金管理人的承诺</w:t>
      </w:r>
    </w:p>
    <w:p>
      <w:pPr>
        <w:pStyle w:val="9"/>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9"/>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9"/>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9"/>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9"/>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9"/>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9"/>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9"/>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9"/>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9"/>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9"/>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9"/>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9"/>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9"/>
        <w:spacing w:before="0" w:beforeAutospacing="0" w:after="0" w:afterAutospacing="0" w:line="360" w:lineRule="auto"/>
        <w:ind w:firstLine="420"/>
        <w:rPr>
          <w:sz w:val="21"/>
          <w:szCs w:val="21"/>
        </w:rPr>
      </w:pPr>
      <w:r>
        <w:rPr>
          <w:rStyle w:val="14"/>
          <w:rFonts w:hint="eastAsia"/>
          <w:sz w:val="21"/>
          <w:szCs w:val="21"/>
        </w:rPr>
        <w:t>五、基金经理承诺</w:t>
      </w:r>
    </w:p>
    <w:p>
      <w:pPr>
        <w:pStyle w:val="9"/>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9"/>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pPr>
        <w:pStyle w:val="9"/>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9"/>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9"/>
        <w:spacing w:before="0" w:beforeAutospacing="0" w:after="0" w:afterAutospacing="0" w:line="360" w:lineRule="auto"/>
        <w:ind w:firstLine="420"/>
        <w:rPr>
          <w:sz w:val="21"/>
          <w:szCs w:val="21"/>
        </w:rPr>
      </w:pPr>
      <w:r>
        <w:rPr>
          <w:rStyle w:val="14"/>
          <w:rFonts w:hint="eastAsia"/>
          <w:sz w:val="21"/>
          <w:szCs w:val="21"/>
        </w:rPr>
        <w:t>六、基金管理人的内部控制制度</w:t>
      </w:r>
    </w:p>
    <w:p>
      <w:pPr>
        <w:pStyle w:val="9"/>
        <w:spacing w:before="0" w:beforeAutospacing="0" w:after="0" w:afterAutospacing="0" w:line="360" w:lineRule="auto"/>
        <w:ind w:firstLine="420"/>
        <w:rPr>
          <w:sz w:val="21"/>
          <w:szCs w:val="21"/>
        </w:rPr>
      </w:pPr>
      <w:r>
        <w:rPr>
          <w:rFonts w:hint="eastAsia"/>
          <w:sz w:val="21"/>
          <w:szCs w:val="21"/>
        </w:rPr>
        <w:t xml:space="preserve">1、风险管理的原则 </w:t>
      </w:r>
    </w:p>
    <w:p>
      <w:pPr>
        <w:pStyle w:val="9"/>
        <w:spacing w:before="0" w:beforeAutospacing="0" w:after="0" w:afterAutospacing="0" w:line="360" w:lineRule="auto"/>
        <w:ind w:firstLine="420"/>
        <w:rPr>
          <w:sz w:val="21"/>
          <w:szCs w:val="21"/>
        </w:rPr>
      </w:pPr>
      <w:r>
        <w:rPr>
          <w:rFonts w:hint="eastAsia"/>
          <w:sz w:val="21"/>
          <w:szCs w:val="21"/>
        </w:rPr>
        <w:t xml:space="preserve">（1）全面性原则 </w:t>
      </w:r>
    </w:p>
    <w:p>
      <w:pPr>
        <w:pStyle w:val="9"/>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9"/>
        <w:spacing w:before="0" w:beforeAutospacing="0" w:after="0" w:afterAutospacing="0" w:line="360" w:lineRule="auto"/>
        <w:ind w:firstLine="420"/>
        <w:rPr>
          <w:sz w:val="21"/>
          <w:szCs w:val="21"/>
        </w:rPr>
      </w:pPr>
      <w:r>
        <w:rPr>
          <w:rFonts w:hint="eastAsia"/>
          <w:sz w:val="21"/>
          <w:szCs w:val="21"/>
        </w:rPr>
        <w:t xml:space="preserve">（2）独立性原则 </w:t>
      </w:r>
    </w:p>
    <w:p>
      <w:pPr>
        <w:pStyle w:val="9"/>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9"/>
        <w:spacing w:before="0" w:beforeAutospacing="0" w:after="0" w:afterAutospacing="0" w:line="360" w:lineRule="auto"/>
        <w:ind w:firstLine="420"/>
        <w:rPr>
          <w:sz w:val="21"/>
          <w:szCs w:val="21"/>
        </w:rPr>
      </w:pPr>
      <w:r>
        <w:rPr>
          <w:rFonts w:hint="eastAsia"/>
          <w:sz w:val="21"/>
          <w:szCs w:val="21"/>
        </w:rPr>
        <w:t xml:space="preserve">（3）相互制约原则 </w:t>
      </w:r>
    </w:p>
    <w:p>
      <w:pPr>
        <w:pStyle w:val="9"/>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9"/>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9"/>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9"/>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9"/>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9"/>
        <w:spacing w:before="0" w:beforeAutospacing="0" w:after="0" w:afterAutospacing="0" w:line="360" w:lineRule="auto"/>
        <w:ind w:firstLine="420"/>
        <w:rPr>
          <w:sz w:val="21"/>
          <w:szCs w:val="21"/>
        </w:rPr>
      </w:pPr>
      <w:r>
        <w:rPr>
          <w:rFonts w:hint="eastAsia"/>
          <w:sz w:val="21"/>
          <w:szCs w:val="21"/>
        </w:rPr>
        <w:t xml:space="preserve">（1）董事会 </w:t>
      </w:r>
    </w:p>
    <w:p>
      <w:pPr>
        <w:pStyle w:val="9"/>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9"/>
        <w:spacing w:before="0" w:beforeAutospacing="0" w:after="0" w:afterAutospacing="0" w:line="360" w:lineRule="auto"/>
        <w:ind w:firstLine="420"/>
        <w:rPr>
          <w:sz w:val="21"/>
          <w:szCs w:val="21"/>
        </w:rPr>
      </w:pPr>
      <w:r>
        <w:rPr>
          <w:rFonts w:hint="eastAsia"/>
          <w:sz w:val="21"/>
          <w:szCs w:val="21"/>
        </w:rPr>
        <w:t xml:space="preserve">（2）风险管理委员会 </w:t>
      </w:r>
    </w:p>
    <w:p>
      <w:pPr>
        <w:pStyle w:val="9"/>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9"/>
        <w:spacing w:before="0" w:beforeAutospacing="0" w:after="0" w:afterAutospacing="0" w:line="360" w:lineRule="auto"/>
        <w:ind w:firstLine="420"/>
        <w:rPr>
          <w:sz w:val="21"/>
          <w:szCs w:val="21"/>
        </w:rPr>
      </w:pPr>
      <w:r>
        <w:rPr>
          <w:rFonts w:hint="eastAsia"/>
          <w:sz w:val="21"/>
          <w:szCs w:val="21"/>
        </w:rPr>
        <w:t xml:space="preserve">（3）督察长 </w:t>
      </w:r>
    </w:p>
    <w:p>
      <w:pPr>
        <w:pStyle w:val="9"/>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9"/>
        <w:spacing w:before="0" w:beforeAutospacing="0" w:after="0" w:afterAutospacing="0" w:line="360" w:lineRule="auto"/>
        <w:ind w:firstLine="420"/>
        <w:rPr>
          <w:sz w:val="21"/>
          <w:szCs w:val="21"/>
        </w:rPr>
      </w:pPr>
      <w:r>
        <w:rPr>
          <w:rFonts w:hint="eastAsia"/>
          <w:sz w:val="21"/>
          <w:szCs w:val="21"/>
        </w:rPr>
        <w:t xml:space="preserve">（4）监察法律部 </w:t>
      </w:r>
    </w:p>
    <w:p>
      <w:pPr>
        <w:pStyle w:val="9"/>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9"/>
        <w:spacing w:before="0" w:beforeAutospacing="0" w:after="0" w:afterAutospacing="0" w:line="360" w:lineRule="auto"/>
        <w:ind w:firstLine="420"/>
        <w:rPr>
          <w:sz w:val="21"/>
          <w:szCs w:val="21"/>
        </w:rPr>
      </w:pPr>
      <w:r>
        <w:rPr>
          <w:rFonts w:hint="eastAsia"/>
          <w:sz w:val="21"/>
          <w:szCs w:val="21"/>
        </w:rPr>
        <w:t xml:space="preserve">（5）风险管理部 </w:t>
      </w:r>
    </w:p>
    <w:p>
      <w:pPr>
        <w:pStyle w:val="9"/>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9"/>
        <w:spacing w:before="0" w:beforeAutospacing="0" w:after="0" w:afterAutospacing="0" w:line="360" w:lineRule="auto"/>
        <w:ind w:firstLine="420"/>
        <w:rPr>
          <w:sz w:val="21"/>
          <w:szCs w:val="21"/>
        </w:rPr>
      </w:pPr>
      <w:r>
        <w:rPr>
          <w:rFonts w:hint="eastAsia"/>
          <w:sz w:val="21"/>
          <w:szCs w:val="21"/>
        </w:rPr>
        <w:t xml:space="preserve">（6）业务部门 </w:t>
      </w:r>
    </w:p>
    <w:p>
      <w:pPr>
        <w:pStyle w:val="9"/>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9"/>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9"/>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9"/>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9"/>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9"/>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9"/>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9"/>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9"/>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9"/>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9"/>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9"/>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9"/>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9"/>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9"/>
        <w:spacing w:before="0" w:beforeAutospacing="0" w:after="0" w:afterAutospacing="0" w:line="360" w:lineRule="auto"/>
        <w:ind w:firstLine="420"/>
        <w:rPr>
          <w:sz w:val="21"/>
          <w:szCs w:val="21"/>
        </w:rPr>
      </w:pPr>
      <w:r>
        <w:rPr>
          <w:rFonts w:hint="eastAsia"/>
          <w:sz w:val="21"/>
          <w:szCs w:val="21"/>
        </w:rPr>
        <w:t xml:space="preserve">（7）提供足够的培训 </w:t>
      </w:r>
    </w:p>
    <w:p>
      <w:pPr>
        <w:pStyle w:val="9"/>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38" w:name="chapter_level1_5_53_section_4_end"/>
      <w:bookmarkEnd w:id="38"/>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9" w:name="_Toc151126543"/>
      <w:bookmarkStart w:id="40" w:name="chapter_level1_6_55"/>
      <w:r>
        <w:rPr>
          <w:rFonts w:hint="eastAsia" w:ascii="宋体" w:hAnsi="宋体" w:eastAsia="宋体"/>
          <w:sz w:val="30"/>
        </w:rPr>
        <w:t>第四部分  基金托管人</w:t>
      </w:r>
      <w:bookmarkEnd w:id="39"/>
      <w:bookmarkEnd w:id="40"/>
    </w:p>
    <w:p>
      <w:pPr>
        <w:pStyle w:val="9"/>
        <w:spacing w:before="0" w:beforeAutospacing="0" w:after="0" w:afterAutospacing="0" w:line="360" w:lineRule="auto"/>
        <w:ind w:firstLine="420"/>
        <w:rPr>
          <w:sz w:val="21"/>
          <w:szCs w:val="21"/>
        </w:rPr>
      </w:pPr>
      <w:bookmarkStart w:id="41" w:name="chapter_level1_6_55_section_1"/>
      <w:bookmarkEnd w:id="41"/>
      <w:bookmarkStart w:id="42" w:name="field_0_trustcompanyinfo_1_start"/>
      <w:bookmarkEnd w:id="42"/>
      <w:r>
        <w:rPr>
          <w:rFonts w:hint="eastAsia"/>
          <w:sz w:val="21"/>
          <w:szCs w:val="21"/>
        </w:rPr>
        <w:t xml:space="preserve">一、基金托管人基本情况 </w:t>
      </w:r>
    </w:p>
    <w:p>
      <w:pPr>
        <w:pStyle w:val="9"/>
        <w:spacing w:before="0" w:beforeAutospacing="0" w:after="0" w:afterAutospacing="0" w:line="360" w:lineRule="auto"/>
        <w:ind w:firstLine="420"/>
        <w:rPr>
          <w:sz w:val="21"/>
          <w:szCs w:val="21"/>
        </w:rPr>
      </w:pPr>
      <w:r>
        <w:rPr>
          <w:rFonts w:hint="eastAsia"/>
          <w:sz w:val="21"/>
          <w:szCs w:val="21"/>
        </w:rPr>
        <w:t xml:space="preserve">（一）基金托管人概况 </w:t>
      </w:r>
    </w:p>
    <w:p>
      <w:pPr>
        <w:pStyle w:val="9"/>
        <w:spacing w:before="0" w:beforeAutospacing="0" w:after="0" w:afterAutospacing="0" w:line="360" w:lineRule="auto"/>
        <w:ind w:firstLine="420"/>
        <w:rPr>
          <w:sz w:val="21"/>
          <w:szCs w:val="21"/>
        </w:rPr>
      </w:pPr>
      <w:r>
        <w:rPr>
          <w:rFonts w:hint="eastAsia"/>
          <w:sz w:val="21"/>
          <w:szCs w:val="21"/>
        </w:rPr>
        <w:t xml:space="preserve">公司法定中文名称：交通银行股份有限公司（简称：交通银行） </w:t>
      </w:r>
    </w:p>
    <w:p>
      <w:pPr>
        <w:pStyle w:val="9"/>
        <w:spacing w:before="0" w:beforeAutospacing="0" w:after="0" w:afterAutospacing="0" w:line="360" w:lineRule="auto"/>
        <w:ind w:firstLine="420"/>
        <w:rPr>
          <w:sz w:val="21"/>
          <w:szCs w:val="21"/>
        </w:rPr>
      </w:pPr>
      <w:r>
        <w:rPr>
          <w:rFonts w:hint="eastAsia"/>
          <w:sz w:val="21"/>
          <w:szCs w:val="21"/>
        </w:rPr>
        <w:t xml:space="preserve">公司法定英文名称：BANK OF COMMUNICATIONS CO.,LTD </w:t>
      </w:r>
    </w:p>
    <w:p>
      <w:pPr>
        <w:pStyle w:val="9"/>
        <w:spacing w:before="0" w:beforeAutospacing="0" w:after="0" w:afterAutospacing="0" w:line="360" w:lineRule="auto"/>
        <w:ind w:firstLine="420"/>
        <w:rPr>
          <w:sz w:val="21"/>
          <w:szCs w:val="21"/>
        </w:rPr>
      </w:pPr>
      <w:r>
        <w:rPr>
          <w:rFonts w:hint="eastAsia"/>
          <w:sz w:val="21"/>
          <w:szCs w:val="21"/>
        </w:rPr>
        <w:t xml:space="preserve">法定代表人：任德奇 </w:t>
      </w:r>
    </w:p>
    <w:p>
      <w:pPr>
        <w:pStyle w:val="9"/>
        <w:spacing w:before="0" w:beforeAutospacing="0" w:after="0" w:afterAutospacing="0" w:line="360" w:lineRule="auto"/>
        <w:ind w:firstLine="420"/>
        <w:rPr>
          <w:sz w:val="21"/>
          <w:szCs w:val="21"/>
        </w:rPr>
      </w:pPr>
      <w:r>
        <w:rPr>
          <w:rFonts w:hint="eastAsia"/>
          <w:sz w:val="21"/>
          <w:szCs w:val="21"/>
        </w:rPr>
        <w:t xml:space="preserve">住   所：中国（上海）自由贸易试验区银城中路188号 </w:t>
      </w:r>
    </w:p>
    <w:p>
      <w:pPr>
        <w:pStyle w:val="9"/>
        <w:spacing w:before="0" w:beforeAutospacing="0" w:after="0" w:afterAutospacing="0" w:line="360" w:lineRule="auto"/>
        <w:ind w:firstLine="420"/>
        <w:rPr>
          <w:sz w:val="21"/>
          <w:szCs w:val="21"/>
        </w:rPr>
      </w:pPr>
      <w:r>
        <w:rPr>
          <w:rFonts w:hint="eastAsia"/>
          <w:sz w:val="21"/>
          <w:szCs w:val="21"/>
        </w:rPr>
        <w:t xml:space="preserve">办公地址：上海市长宁区仙霞路18号 </w:t>
      </w:r>
    </w:p>
    <w:p>
      <w:pPr>
        <w:pStyle w:val="9"/>
        <w:spacing w:before="0" w:beforeAutospacing="0" w:after="0" w:afterAutospacing="0" w:line="360" w:lineRule="auto"/>
        <w:ind w:firstLine="420"/>
        <w:rPr>
          <w:sz w:val="21"/>
          <w:szCs w:val="21"/>
        </w:rPr>
      </w:pPr>
      <w:r>
        <w:rPr>
          <w:rFonts w:hint="eastAsia"/>
          <w:sz w:val="21"/>
          <w:szCs w:val="21"/>
        </w:rPr>
        <w:t xml:space="preserve">邮政编码：200336 </w:t>
      </w:r>
    </w:p>
    <w:p>
      <w:pPr>
        <w:pStyle w:val="9"/>
        <w:spacing w:before="0" w:beforeAutospacing="0" w:after="0" w:afterAutospacing="0" w:line="360" w:lineRule="auto"/>
        <w:ind w:firstLine="420"/>
        <w:rPr>
          <w:sz w:val="21"/>
          <w:szCs w:val="21"/>
        </w:rPr>
      </w:pPr>
      <w:r>
        <w:rPr>
          <w:rFonts w:hint="eastAsia"/>
          <w:sz w:val="21"/>
          <w:szCs w:val="21"/>
        </w:rPr>
        <w:t xml:space="preserve">注册时间：1987年3月30日 </w:t>
      </w:r>
    </w:p>
    <w:p>
      <w:pPr>
        <w:pStyle w:val="9"/>
        <w:spacing w:before="0" w:beforeAutospacing="0" w:after="0" w:afterAutospacing="0" w:line="360" w:lineRule="auto"/>
        <w:ind w:firstLine="420"/>
        <w:rPr>
          <w:sz w:val="21"/>
          <w:szCs w:val="21"/>
        </w:rPr>
      </w:pPr>
      <w:r>
        <w:rPr>
          <w:rFonts w:hint="eastAsia"/>
          <w:sz w:val="21"/>
          <w:szCs w:val="21"/>
        </w:rPr>
        <w:t xml:space="preserve">注册资本：742.63亿元 </w:t>
      </w:r>
    </w:p>
    <w:p>
      <w:pPr>
        <w:pStyle w:val="9"/>
        <w:spacing w:before="0" w:beforeAutospacing="0" w:after="0" w:afterAutospacing="0" w:line="360" w:lineRule="auto"/>
        <w:ind w:firstLine="420"/>
        <w:rPr>
          <w:sz w:val="21"/>
          <w:szCs w:val="21"/>
        </w:rPr>
      </w:pPr>
      <w:r>
        <w:rPr>
          <w:rFonts w:hint="eastAsia"/>
          <w:sz w:val="21"/>
          <w:szCs w:val="21"/>
        </w:rPr>
        <w:t xml:space="preserve">基金托管资格批文及文号：中国证监会证监基字[1998]25号 </w:t>
      </w:r>
    </w:p>
    <w:p>
      <w:pPr>
        <w:pStyle w:val="9"/>
        <w:spacing w:before="0" w:beforeAutospacing="0" w:after="0" w:afterAutospacing="0" w:line="360" w:lineRule="auto"/>
        <w:ind w:firstLine="420"/>
        <w:rPr>
          <w:sz w:val="21"/>
          <w:szCs w:val="21"/>
        </w:rPr>
      </w:pPr>
      <w:r>
        <w:rPr>
          <w:rFonts w:hint="eastAsia"/>
          <w:sz w:val="21"/>
          <w:szCs w:val="21"/>
        </w:rPr>
        <w:t xml:space="preserve">联系人：陆志俊 </w:t>
      </w:r>
    </w:p>
    <w:p>
      <w:pPr>
        <w:pStyle w:val="9"/>
        <w:spacing w:before="0" w:beforeAutospacing="0" w:after="0" w:afterAutospacing="0" w:line="360" w:lineRule="auto"/>
        <w:ind w:firstLine="420"/>
        <w:rPr>
          <w:sz w:val="21"/>
          <w:szCs w:val="21"/>
        </w:rPr>
      </w:pPr>
      <w:r>
        <w:rPr>
          <w:rFonts w:hint="eastAsia"/>
          <w:sz w:val="21"/>
          <w:szCs w:val="21"/>
        </w:rPr>
        <w:t xml:space="preserve">电 话：95559 </w:t>
      </w:r>
    </w:p>
    <w:p>
      <w:pPr>
        <w:pStyle w:val="9"/>
        <w:spacing w:before="0" w:beforeAutospacing="0" w:after="0" w:afterAutospacing="0" w:line="360" w:lineRule="auto"/>
        <w:ind w:firstLine="420"/>
        <w:rPr>
          <w:sz w:val="21"/>
          <w:szCs w:val="21"/>
        </w:rPr>
      </w:pPr>
      <w:r>
        <w:rPr>
          <w:rFonts w:hint="eastAsia"/>
          <w:sz w:val="21"/>
          <w:szCs w:val="21"/>
        </w:rPr>
        <w:t xml:space="preserve">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14年跻身《财富》(FORTUNE)世界500强，营业收入排名第161位；列《银行家》(The Banker)杂志全球千家大银行一级资本排名第9位。 </w:t>
      </w:r>
    </w:p>
    <w:p>
      <w:pPr>
        <w:pStyle w:val="9"/>
        <w:spacing w:before="0" w:beforeAutospacing="0" w:after="0" w:afterAutospacing="0" w:line="360" w:lineRule="auto"/>
        <w:ind w:firstLine="420"/>
        <w:rPr>
          <w:sz w:val="21"/>
          <w:szCs w:val="21"/>
        </w:rPr>
      </w:pPr>
      <w:r>
        <w:rPr>
          <w:rFonts w:hint="eastAsia"/>
          <w:sz w:val="21"/>
          <w:szCs w:val="21"/>
        </w:rPr>
        <w:t xml:space="preserve">截至2023年9月30日，交通银行资产总额为人民币13.83万亿元。2023年三季度，交通银行实现净利润(归属于母公司股东)人民币691.7亿元。 </w:t>
      </w:r>
    </w:p>
    <w:p>
      <w:pPr>
        <w:pStyle w:val="9"/>
        <w:spacing w:before="0" w:beforeAutospacing="0" w:after="0" w:afterAutospacing="0" w:line="360" w:lineRule="auto"/>
        <w:ind w:firstLine="420"/>
        <w:rPr>
          <w:sz w:val="21"/>
          <w:szCs w:val="21"/>
        </w:rPr>
      </w:pPr>
      <w:r>
        <w:rPr>
          <w:rFonts w:hint="eastAsia"/>
          <w:sz w:val="21"/>
          <w:szCs w:val="21"/>
        </w:rPr>
        <w:t xml:space="preserve">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 </w:t>
      </w:r>
    </w:p>
    <w:p>
      <w:pPr>
        <w:pStyle w:val="9"/>
        <w:spacing w:before="0" w:beforeAutospacing="0" w:after="0" w:afterAutospacing="0" w:line="360" w:lineRule="auto"/>
        <w:ind w:firstLine="420"/>
        <w:rPr>
          <w:sz w:val="21"/>
          <w:szCs w:val="21"/>
        </w:rPr>
      </w:pPr>
      <w:r>
        <w:rPr>
          <w:rFonts w:hint="eastAsia"/>
          <w:sz w:val="21"/>
          <w:szCs w:val="21"/>
        </w:rPr>
        <w:t xml:space="preserve">（二）主要人员情况 </w:t>
      </w:r>
    </w:p>
    <w:p>
      <w:pPr>
        <w:pStyle w:val="9"/>
        <w:spacing w:before="0" w:beforeAutospacing="0" w:after="0" w:afterAutospacing="0" w:line="360" w:lineRule="auto"/>
        <w:ind w:firstLine="420"/>
        <w:rPr>
          <w:sz w:val="21"/>
          <w:szCs w:val="21"/>
        </w:rPr>
      </w:pPr>
      <w:r>
        <w:rPr>
          <w:rFonts w:hint="eastAsia"/>
          <w:sz w:val="21"/>
          <w:szCs w:val="21"/>
        </w:rPr>
        <w:t xml:space="preserve">任德奇先生，董事长、执行董事，高级经济师。 </w:t>
      </w:r>
    </w:p>
    <w:p>
      <w:pPr>
        <w:pStyle w:val="9"/>
        <w:spacing w:before="0" w:beforeAutospacing="0" w:after="0" w:afterAutospacing="0" w:line="360" w:lineRule="auto"/>
        <w:ind w:firstLine="420"/>
        <w:rPr>
          <w:sz w:val="21"/>
          <w:szCs w:val="21"/>
        </w:rPr>
      </w:pPr>
      <w:r>
        <w:rPr>
          <w:rFonts w:hint="eastAsia"/>
          <w:sz w:val="21"/>
          <w:szCs w:val="21"/>
        </w:rPr>
        <w:t xml:space="preserve">任先生2020年1月起任本行董事长（其中：2019年12月至2020年7月代为履行行长职责）、执行董事，2018年8月至2020年1月任本行副董事长（其中：2019年4月至2020年1月代为履行董事长职责）、执行董事，2018年8月至2019年12月任本行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 </w:t>
      </w:r>
    </w:p>
    <w:p>
      <w:pPr>
        <w:pStyle w:val="9"/>
        <w:spacing w:before="0" w:beforeAutospacing="0" w:after="0" w:afterAutospacing="0" w:line="360" w:lineRule="auto"/>
        <w:ind w:firstLine="420"/>
        <w:rPr>
          <w:sz w:val="21"/>
          <w:szCs w:val="21"/>
        </w:rPr>
      </w:pPr>
      <w:r>
        <w:rPr>
          <w:rFonts w:hint="eastAsia"/>
          <w:sz w:val="21"/>
          <w:szCs w:val="21"/>
        </w:rPr>
        <w:t xml:space="preserve">刘珺先生，副董事长、执行董事、行长，高级经济师。 </w:t>
      </w:r>
    </w:p>
    <w:p>
      <w:pPr>
        <w:pStyle w:val="9"/>
        <w:spacing w:before="0" w:beforeAutospacing="0" w:after="0" w:afterAutospacing="0" w:line="360" w:lineRule="auto"/>
        <w:ind w:firstLine="420"/>
        <w:rPr>
          <w:sz w:val="21"/>
          <w:szCs w:val="21"/>
        </w:rPr>
      </w:pPr>
      <w:r>
        <w:rPr>
          <w:rFonts w:hint="eastAsia"/>
          <w:sz w:val="21"/>
          <w:szCs w:val="21"/>
        </w:rPr>
        <w:t xml:space="preserve">刘先生2020年7月起担任本行行长；2016年11月至2020年5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 </w:t>
      </w:r>
    </w:p>
    <w:p>
      <w:pPr>
        <w:pStyle w:val="9"/>
        <w:spacing w:before="0" w:beforeAutospacing="0" w:after="0" w:afterAutospacing="0" w:line="360" w:lineRule="auto"/>
        <w:ind w:firstLine="420"/>
        <w:rPr>
          <w:sz w:val="21"/>
          <w:szCs w:val="21"/>
        </w:rPr>
      </w:pPr>
      <w:r>
        <w:rPr>
          <w:rFonts w:hint="eastAsia"/>
          <w:sz w:val="21"/>
          <w:szCs w:val="21"/>
        </w:rPr>
        <w:t xml:space="preserve">徐铁先生，资产托管部总经理。 </w:t>
      </w:r>
    </w:p>
    <w:p>
      <w:pPr>
        <w:pStyle w:val="9"/>
        <w:spacing w:before="0" w:beforeAutospacing="0" w:after="0" w:afterAutospacing="0" w:line="360" w:lineRule="auto"/>
        <w:ind w:firstLine="420"/>
        <w:rPr>
          <w:sz w:val="21"/>
          <w:szCs w:val="21"/>
        </w:rPr>
      </w:pPr>
      <w:r>
        <w:rPr>
          <w:rFonts w:hint="eastAsia"/>
          <w:sz w:val="21"/>
          <w:szCs w:val="21"/>
        </w:rPr>
        <w:t xml:space="preserve">徐铁先生2022年4月起任本行资产托管部总经理；2014年12月至2022年4月任本行资产托管部副总经理；2000年7月至2014年12月，历任交通银行资产托管部客户经理、保险与养老金部副高级经理、高级经理、保险保障业务部高级经理、总经理助理。徐先生2000年于复旦大学获经济学硕士学位。 </w:t>
      </w:r>
    </w:p>
    <w:p>
      <w:pPr>
        <w:pStyle w:val="9"/>
        <w:spacing w:before="0" w:beforeAutospacing="0" w:after="0" w:afterAutospacing="0" w:line="360" w:lineRule="auto"/>
        <w:ind w:firstLine="420"/>
        <w:rPr>
          <w:sz w:val="21"/>
          <w:szCs w:val="21"/>
        </w:rPr>
      </w:pPr>
      <w:r>
        <w:rPr>
          <w:rFonts w:hint="eastAsia"/>
          <w:sz w:val="21"/>
          <w:szCs w:val="21"/>
        </w:rPr>
        <w:t xml:space="preserve">（三）基金托管业务经营情况 </w:t>
      </w:r>
    </w:p>
    <w:p>
      <w:pPr>
        <w:pStyle w:val="9"/>
        <w:spacing w:before="0" w:beforeAutospacing="0" w:after="0" w:afterAutospacing="0" w:line="360" w:lineRule="auto"/>
        <w:ind w:firstLine="420"/>
        <w:rPr>
          <w:sz w:val="21"/>
          <w:szCs w:val="21"/>
        </w:rPr>
      </w:pPr>
      <w:r>
        <w:rPr>
          <w:rFonts w:hint="eastAsia"/>
          <w:sz w:val="21"/>
          <w:szCs w:val="21"/>
        </w:rPr>
        <w:t>截至2023年9月30日，交通银行共托管证券投资基金757只。此外，交通银行还托管了基金公司特定客户资产管理计划、证券公司客户资产管理计划、银行理财产品、信托计划、私募投资基金、保险资金、全国社保基金、养老保障管理基金、企业年金基金、职业年金基金、期货公司资产管理计划、QFI证券投资资产、QDII证券投资资产、RQDII证券投资资产、</w:t>
      </w:r>
      <w:bookmarkStart w:id="43" w:name="chapter_level1_6_55_section_1_end"/>
      <w:bookmarkEnd w:id="43"/>
      <w:r>
        <w:rPr>
          <w:rFonts w:hint="eastAsia"/>
          <w:sz w:val="21"/>
          <w:szCs w:val="21"/>
        </w:rPr>
        <w:t>QDIE、QDLP和QFLP等产品。 </w:t>
      </w:r>
      <w:bookmarkStart w:id="44" w:name="field_0_trustcompanyinfo_1_end"/>
      <w:bookmarkEnd w:id="44"/>
      <w:r>
        <w:rPr>
          <w:rFonts w:hint="eastAsia"/>
          <w:sz w:val="21"/>
          <w:szCs w:val="21"/>
        </w:rPr>
        <w:t xml:space="preserve">  </w:t>
      </w:r>
    </w:p>
    <w:p>
      <w:pPr>
        <w:pStyle w:val="9"/>
        <w:spacing w:before="0" w:beforeAutospacing="0" w:after="0" w:afterAutospacing="0" w:line="360" w:lineRule="auto"/>
        <w:ind w:firstLine="420"/>
        <w:rPr>
          <w:sz w:val="21"/>
          <w:szCs w:val="21"/>
        </w:rPr>
      </w:pPr>
      <w:bookmarkStart w:id="45" w:name="field_0_trustcontrollawinfo_1_start"/>
      <w:bookmarkEnd w:id="45"/>
      <w:bookmarkStart w:id="46" w:name="chapter_level1_6_55_section_2"/>
      <w:bookmarkEnd w:id="46"/>
      <w:r>
        <w:rPr>
          <w:rFonts w:hint="eastAsia"/>
          <w:sz w:val="21"/>
          <w:szCs w:val="21"/>
        </w:rPr>
        <w:t xml:space="preserve">二、基金托管人的内部控制制度 </w:t>
      </w:r>
    </w:p>
    <w:p>
      <w:pPr>
        <w:pStyle w:val="9"/>
        <w:spacing w:before="0" w:beforeAutospacing="0" w:after="0" w:afterAutospacing="0" w:line="360" w:lineRule="auto"/>
        <w:ind w:firstLine="420"/>
        <w:rPr>
          <w:sz w:val="21"/>
          <w:szCs w:val="21"/>
        </w:rPr>
      </w:pPr>
      <w:r>
        <w:rPr>
          <w:rFonts w:hint="eastAsia"/>
          <w:sz w:val="21"/>
          <w:szCs w:val="21"/>
        </w:rPr>
        <w:t xml:space="preserve">（一）内部控制目标 </w:t>
      </w:r>
    </w:p>
    <w:p>
      <w:pPr>
        <w:pStyle w:val="9"/>
        <w:spacing w:before="0" w:beforeAutospacing="0" w:after="0" w:afterAutospacing="0" w:line="360" w:lineRule="auto"/>
        <w:ind w:firstLine="420"/>
        <w:rPr>
          <w:sz w:val="21"/>
          <w:szCs w:val="21"/>
        </w:rPr>
      </w:pPr>
      <w:r>
        <w:rPr>
          <w:rFonts w:hint="eastAsia"/>
          <w:sz w:val="21"/>
          <w:szCs w:val="21"/>
        </w:rPr>
        <w:t xml:space="preserve">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 </w:t>
      </w:r>
    </w:p>
    <w:p>
      <w:pPr>
        <w:pStyle w:val="9"/>
        <w:spacing w:before="0" w:beforeAutospacing="0" w:after="0" w:afterAutospacing="0" w:line="360" w:lineRule="auto"/>
        <w:ind w:firstLine="420"/>
        <w:rPr>
          <w:sz w:val="21"/>
          <w:szCs w:val="21"/>
        </w:rPr>
      </w:pPr>
      <w:r>
        <w:rPr>
          <w:rFonts w:hint="eastAsia"/>
          <w:sz w:val="21"/>
          <w:szCs w:val="21"/>
        </w:rPr>
        <w:t xml:space="preserve">（二）内部控制原则 </w:t>
      </w:r>
    </w:p>
    <w:p>
      <w:pPr>
        <w:pStyle w:val="9"/>
        <w:spacing w:before="0" w:beforeAutospacing="0" w:after="0" w:afterAutospacing="0" w:line="360" w:lineRule="auto"/>
        <w:ind w:firstLine="420"/>
        <w:rPr>
          <w:sz w:val="21"/>
          <w:szCs w:val="21"/>
        </w:rPr>
      </w:pPr>
      <w:r>
        <w:rPr>
          <w:rFonts w:hint="eastAsia"/>
          <w:sz w:val="21"/>
          <w:szCs w:val="21"/>
        </w:rPr>
        <w:t xml:space="preserve">1、合法性原则：托管部制定的各项制度符合国家法律法规及监管机构的监管要求，并贯穿于托管业务经营管理活动始终。 </w:t>
      </w:r>
    </w:p>
    <w:p>
      <w:pPr>
        <w:pStyle w:val="9"/>
        <w:spacing w:before="0" w:beforeAutospacing="0" w:after="0" w:afterAutospacing="0" w:line="360" w:lineRule="auto"/>
        <w:ind w:firstLine="420"/>
        <w:rPr>
          <w:sz w:val="21"/>
          <w:szCs w:val="21"/>
        </w:rPr>
      </w:pPr>
      <w:r>
        <w:rPr>
          <w:rFonts w:hint="eastAsia"/>
          <w:sz w:val="21"/>
          <w:szCs w:val="21"/>
        </w:rPr>
        <w:t xml:space="preserve">2、全面性原则：托管部建立各二级部自我监控和风险合规部风险管控的内部控制机制，覆盖各项业务、各个部门和各级人员，并渗透到决策、执行、监督、反馈等各个经营环节，建立全面的风险管理监督机制。 </w:t>
      </w:r>
    </w:p>
    <w:p>
      <w:pPr>
        <w:pStyle w:val="9"/>
        <w:spacing w:before="0" w:beforeAutospacing="0" w:after="0" w:afterAutospacing="0" w:line="360" w:lineRule="auto"/>
        <w:ind w:firstLine="420"/>
        <w:rPr>
          <w:sz w:val="21"/>
          <w:szCs w:val="21"/>
        </w:rPr>
      </w:pPr>
      <w:r>
        <w:rPr>
          <w:rFonts w:hint="eastAsia"/>
          <w:sz w:val="21"/>
          <w:szCs w:val="21"/>
        </w:rPr>
        <w:t xml:space="preserve">3、独立性原则：托管部独立负责受托基金资产的保管，保证基金资产与交通银行的自有资产相互独立，对不同的受托基金资产分别设置账户，独立核算，分账管理。 </w:t>
      </w:r>
    </w:p>
    <w:p>
      <w:pPr>
        <w:pStyle w:val="9"/>
        <w:spacing w:before="0" w:beforeAutospacing="0" w:after="0" w:afterAutospacing="0" w:line="360" w:lineRule="auto"/>
        <w:ind w:firstLine="420"/>
        <w:rPr>
          <w:sz w:val="21"/>
          <w:szCs w:val="21"/>
        </w:rPr>
      </w:pPr>
      <w:r>
        <w:rPr>
          <w:rFonts w:hint="eastAsia"/>
          <w:sz w:val="21"/>
          <w:szCs w:val="21"/>
        </w:rPr>
        <w:t xml:space="preserve">4、制衡性原则：托管部贯彻适当授权、相互制约的原则，从组织架构的设置上确保各二级部和各岗位权责分明、相互制约，并通过有效的相互制衡措施消除内部控制中的盲点。 </w:t>
      </w:r>
    </w:p>
    <w:p>
      <w:pPr>
        <w:pStyle w:val="9"/>
        <w:spacing w:before="0" w:beforeAutospacing="0" w:after="0" w:afterAutospacing="0" w:line="360" w:lineRule="auto"/>
        <w:ind w:firstLine="420"/>
        <w:rPr>
          <w:sz w:val="21"/>
          <w:szCs w:val="21"/>
        </w:rPr>
      </w:pPr>
      <w:r>
        <w:rPr>
          <w:rFonts w:hint="eastAsia"/>
          <w:sz w:val="21"/>
          <w:szCs w:val="21"/>
        </w:rPr>
        <w:t xml:space="preserve">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 </w:t>
      </w:r>
    </w:p>
    <w:p>
      <w:pPr>
        <w:pStyle w:val="9"/>
        <w:spacing w:before="0" w:beforeAutospacing="0" w:after="0" w:afterAutospacing="0" w:line="360" w:lineRule="auto"/>
        <w:ind w:firstLine="420"/>
        <w:rPr>
          <w:sz w:val="21"/>
          <w:szCs w:val="21"/>
        </w:rPr>
      </w:pPr>
      <w:r>
        <w:rPr>
          <w:rFonts w:hint="eastAsia"/>
          <w:sz w:val="21"/>
          <w:szCs w:val="21"/>
        </w:rPr>
        <w:t xml:space="preserve">6、效益性原则：托管部内部控制与基金托管规模、业务范围和业务运作环节的风险控制要求相适应，尽量降低经营运作成本，以合理的控制成本实现最佳的内部控制目标。 </w:t>
      </w:r>
    </w:p>
    <w:p>
      <w:pPr>
        <w:pStyle w:val="9"/>
        <w:spacing w:before="0" w:beforeAutospacing="0" w:after="0" w:afterAutospacing="0" w:line="360" w:lineRule="auto"/>
        <w:ind w:firstLine="420"/>
        <w:rPr>
          <w:sz w:val="21"/>
          <w:szCs w:val="21"/>
        </w:rPr>
      </w:pPr>
      <w:r>
        <w:rPr>
          <w:rFonts w:hint="eastAsia"/>
          <w:sz w:val="21"/>
          <w:szCs w:val="21"/>
        </w:rPr>
        <w:t xml:space="preserve">（三）内部控制制度及措施 </w:t>
      </w:r>
    </w:p>
    <w:p>
      <w:pPr>
        <w:pStyle w:val="9"/>
        <w:spacing w:before="0" w:beforeAutospacing="0" w:after="0" w:afterAutospacing="0" w:line="360" w:lineRule="auto"/>
        <w:ind w:firstLine="420"/>
        <w:rPr>
          <w:sz w:val="21"/>
          <w:szCs w:val="21"/>
        </w:rPr>
      </w:pPr>
      <w:r>
        <w:rPr>
          <w:rFonts w:hint="eastAsia"/>
          <w:sz w:val="21"/>
          <w:szCs w:val="21"/>
        </w:rPr>
        <w:t xml:space="preserve">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商业秘密管理规定》、《交通银行资产托管业务从业人员行为规范》、《交通银行资产托管业务运营档案管理办法》等，并根据市场变化和基金业务的发展不断加以完善。做到业务分工科学合理，技术系统管理规范，业务管理制度健全，核心作业区实行封闭管理，落实各项安全隔离措施，相关信息披露由专人负责。 </w:t>
      </w:r>
    </w:p>
    <w:p>
      <w:pPr>
        <w:pStyle w:val="9"/>
        <w:spacing w:before="0" w:beforeAutospacing="0" w:after="0" w:afterAutospacing="0" w:line="360" w:lineRule="auto"/>
        <w:ind w:firstLine="420"/>
        <w:rPr>
          <w:sz w:val="21"/>
          <w:szCs w:val="21"/>
        </w:rPr>
      </w:pPr>
      <w:r>
        <w:rPr>
          <w:rFonts w:hint="eastAsia"/>
          <w:sz w:val="21"/>
          <w:szCs w:val="21"/>
        </w:rPr>
        <w:t xml:space="preserve">托管部通过对基金托管业务各环节的事前揭示、事中控制和事后检查措施实现全流程、全链条的风险管理，聘请国际著名会计师事务所对基金托管业务运行进行国际标准的内部控制评审。 </w:t>
      </w:r>
    </w:p>
    <w:p>
      <w:pPr>
        <w:pStyle w:val="9"/>
        <w:spacing w:before="0" w:beforeAutospacing="0" w:after="0" w:afterAutospacing="0" w:line="360" w:lineRule="auto"/>
        <w:ind w:firstLine="420"/>
        <w:rPr>
          <w:sz w:val="21"/>
          <w:szCs w:val="21"/>
        </w:rPr>
      </w:pPr>
      <w:r>
        <w:rPr>
          <w:rFonts w:hint="eastAsia"/>
          <w:sz w:val="21"/>
          <w:szCs w:val="21"/>
        </w:rPr>
        <w:t xml:space="preserve">三、基金托管人对基金管理人运作基金进行监督的方法和程序 </w:t>
      </w:r>
    </w:p>
    <w:p>
      <w:pPr>
        <w:pStyle w:val="9"/>
        <w:spacing w:before="0" w:beforeAutospacing="0" w:after="0" w:afterAutospacing="0" w:line="360" w:lineRule="auto"/>
        <w:ind w:firstLine="420"/>
        <w:rPr>
          <w:sz w:val="21"/>
          <w:szCs w:val="21"/>
        </w:rPr>
      </w:pPr>
      <w:r>
        <w:rPr>
          <w:rFonts w:hint="eastAsia"/>
          <w:sz w:val="21"/>
          <w:szCs w:val="21"/>
        </w:rPr>
        <w:t xml:space="preserve">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 </w:t>
      </w:r>
    </w:p>
    <w:p>
      <w:pPr>
        <w:pStyle w:val="9"/>
        <w:spacing w:before="0" w:beforeAutospacing="0" w:after="0" w:afterAutospacing="0" w:line="360" w:lineRule="auto"/>
        <w:ind w:firstLine="420"/>
        <w:rPr>
          <w:sz w:val="21"/>
          <w:szCs w:val="21"/>
        </w:rPr>
      </w:pPr>
      <w:r>
        <w:rPr>
          <w:rFonts w:hint="eastAsia"/>
          <w:sz w:val="21"/>
          <w:szCs w:val="21"/>
        </w:rPr>
        <w:t xml:space="preserve">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按规定报告中国证监会。 </w:t>
      </w:r>
    </w:p>
    <w:p>
      <w:pPr>
        <w:pStyle w:val="9"/>
        <w:spacing w:before="0" w:beforeAutospacing="0" w:after="0" w:afterAutospacing="0" w:line="360" w:lineRule="auto"/>
        <w:ind w:firstLine="420"/>
        <w:rPr>
          <w:sz w:val="21"/>
          <w:szCs w:val="21"/>
        </w:rPr>
      </w:pPr>
      <w:r>
        <w:rPr>
          <w:rFonts w:hint="eastAsia"/>
          <w:sz w:val="21"/>
          <w:szCs w:val="21"/>
        </w:rPr>
        <w:t>交通银行作为基金托管人，发现基金管理人有重大违规行为，有权立即报告中国证监会，</w:t>
      </w:r>
      <w:bookmarkStart w:id="47" w:name="chapter_level1_6_55_section_2_end"/>
      <w:bookmarkEnd w:id="47"/>
      <w:r>
        <w:rPr>
          <w:rFonts w:hint="eastAsia"/>
          <w:sz w:val="21"/>
          <w:szCs w:val="21"/>
        </w:rPr>
        <w:t>同时通知基金管理人限期纠正。 </w:t>
      </w:r>
      <w:bookmarkStart w:id="48" w:name="field_0_trustcontrollawinfo_1_end"/>
      <w:bookmarkEnd w:id="4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9" w:name="_Toc151126544"/>
      <w:bookmarkStart w:id="50" w:name="chapter_level1_7_56"/>
      <w:r>
        <w:rPr>
          <w:rFonts w:hint="eastAsia" w:ascii="宋体" w:hAnsi="宋体" w:eastAsia="宋体"/>
          <w:sz w:val="30"/>
        </w:rPr>
        <w:t>第五部分  相关服务机构</w:t>
      </w:r>
      <w:bookmarkEnd w:id="49"/>
      <w:bookmarkEnd w:id="50"/>
    </w:p>
    <w:p>
      <w:pPr>
        <w:pStyle w:val="9"/>
        <w:spacing w:before="0" w:beforeAutospacing="0" w:after="0" w:afterAutospacing="0" w:line="360" w:lineRule="auto"/>
        <w:ind w:firstLine="420"/>
        <w:rPr>
          <w:sz w:val="21"/>
          <w:szCs w:val="21"/>
        </w:rPr>
      </w:pPr>
      <w:bookmarkStart w:id="51" w:name="chapter_level1_7_56_section_1"/>
      <w:bookmarkEnd w:id="51"/>
      <w:r>
        <w:rPr>
          <w:rStyle w:val="14"/>
          <w:rFonts w:hint="eastAsia"/>
          <w:sz w:val="21"/>
          <w:szCs w:val="21"/>
        </w:rPr>
        <w:t>一、基金份额销售机构</w:t>
      </w:r>
    </w:p>
    <w:p>
      <w:pPr>
        <w:pStyle w:val="9"/>
        <w:spacing w:before="0" w:beforeAutospacing="0" w:after="0" w:afterAutospacing="0" w:line="360" w:lineRule="auto"/>
        <w:ind w:firstLine="420"/>
        <w:rPr>
          <w:sz w:val="21"/>
          <w:szCs w:val="21"/>
        </w:rPr>
      </w:pPr>
      <w:r>
        <w:rPr>
          <w:rFonts w:hint="eastAsia"/>
          <w:sz w:val="21"/>
          <w:szCs w:val="21"/>
        </w:rPr>
        <w:t xml:space="preserve">1、直销机构 </w:t>
      </w:r>
    </w:p>
    <w:p>
      <w:pPr>
        <w:pStyle w:val="9"/>
        <w:spacing w:before="0" w:beforeAutospacing="0" w:after="0" w:afterAutospacing="0" w:line="360" w:lineRule="auto"/>
        <w:ind w:firstLine="420"/>
        <w:rPr>
          <w:sz w:val="21"/>
          <w:szCs w:val="21"/>
        </w:rPr>
      </w:pPr>
      <w:bookmarkStart w:id="52" w:name="field_0_marketcompanyinfo_1_start"/>
      <w:bookmarkEnd w:id="52"/>
      <w:r>
        <w:rPr>
          <w:rFonts w:hint="eastAsia"/>
          <w:sz w:val="21"/>
          <w:szCs w:val="21"/>
        </w:rPr>
        <w:t xml:space="preserve">名称：博时基金管理有限公司 </w:t>
      </w:r>
    </w:p>
    <w:p>
      <w:pPr>
        <w:pStyle w:val="9"/>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9"/>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办公地址：北京市东城区建国门内大街8号中粮广场C座3层301 </w:t>
      </w:r>
    </w:p>
    <w:p>
      <w:pPr>
        <w:pStyle w:val="9"/>
        <w:spacing w:before="0" w:beforeAutospacing="0" w:after="0" w:afterAutospacing="0" w:line="360" w:lineRule="auto"/>
        <w:ind w:firstLine="420"/>
        <w:rPr>
          <w:sz w:val="21"/>
          <w:szCs w:val="21"/>
        </w:rPr>
      </w:pPr>
      <w:r>
        <w:rPr>
          <w:rFonts w:hint="eastAsia"/>
          <w:sz w:val="21"/>
          <w:szCs w:val="21"/>
        </w:rPr>
        <w:t xml:space="preserve">电话：010-65187055 </w:t>
      </w:r>
    </w:p>
    <w:p>
      <w:pPr>
        <w:pStyle w:val="9"/>
        <w:spacing w:before="0" w:beforeAutospacing="0" w:after="0" w:afterAutospacing="0" w:line="360" w:lineRule="auto"/>
        <w:ind w:firstLine="420"/>
        <w:rPr>
          <w:sz w:val="21"/>
          <w:szCs w:val="21"/>
        </w:rPr>
      </w:pPr>
      <w:r>
        <w:rPr>
          <w:rFonts w:hint="eastAsia"/>
          <w:sz w:val="21"/>
          <w:szCs w:val="21"/>
        </w:rPr>
        <w:t xml:space="preserve">传真：010-65187032 </w:t>
      </w:r>
    </w:p>
    <w:p>
      <w:pPr>
        <w:pStyle w:val="9"/>
        <w:spacing w:before="0" w:beforeAutospacing="0" w:after="0" w:afterAutospacing="0" w:line="360" w:lineRule="auto"/>
        <w:ind w:firstLine="420"/>
        <w:rPr>
          <w:sz w:val="21"/>
          <w:szCs w:val="21"/>
        </w:rPr>
      </w:pPr>
      <w:r>
        <w:rPr>
          <w:rFonts w:hint="eastAsia"/>
          <w:sz w:val="21"/>
          <w:szCs w:val="21"/>
        </w:rPr>
        <w:t xml:space="preserve">联系人：韩明亮 </w:t>
      </w:r>
    </w:p>
    <w:p>
      <w:pPr>
        <w:pStyle w:val="9"/>
        <w:spacing w:before="0" w:beforeAutospacing="0" w:after="0" w:afterAutospacing="0" w:line="360" w:lineRule="auto"/>
        <w:ind w:firstLine="420"/>
        <w:rPr>
          <w:sz w:val="21"/>
          <w:szCs w:val="21"/>
        </w:rPr>
      </w:pPr>
      <w:bookmarkStart w:id="53" w:name="chapter_level1_7_56_section_1_end"/>
      <w:bookmarkEnd w:id="53"/>
      <w:r>
        <w:rPr>
          <w:rFonts w:hint="eastAsia"/>
          <w:sz w:val="21"/>
          <w:szCs w:val="21"/>
        </w:rPr>
        <w:t xml:space="preserve">全国统一客服热线：95105568（免长途费） </w:t>
      </w:r>
      <w:bookmarkStart w:id="54" w:name="field_0_marketcompanyinfo_1_end"/>
      <w:bookmarkEnd w:id="54"/>
      <w:r>
        <w:rPr>
          <w:rFonts w:hint="eastAsia"/>
          <w:sz w:val="21"/>
          <w:szCs w:val="21"/>
        </w:rPr>
        <w:t xml:space="preserve">  </w:t>
      </w:r>
    </w:p>
    <w:p>
      <w:pPr>
        <w:pStyle w:val="9"/>
        <w:spacing w:before="0" w:beforeAutospacing="0" w:after="0" w:afterAutospacing="0" w:line="360" w:lineRule="auto"/>
        <w:ind w:firstLine="420"/>
        <w:rPr>
          <w:sz w:val="21"/>
          <w:szCs w:val="21"/>
        </w:rPr>
      </w:pPr>
      <w:bookmarkStart w:id="55" w:name="chapter_level1_7_56_section_2"/>
      <w:bookmarkEnd w:id="55"/>
      <w:r>
        <w:rPr>
          <w:rFonts w:hint="eastAsia"/>
          <w:sz w:val="21"/>
          <w:szCs w:val="21"/>
        </w:rPr>
        <w:t xml:space="preserve">2、代销机构 </w:t>
      </w:r>
    </w:p>
    <w:p>
      <w:pPr>
        <w:pStyle w:val="9"/>
        <w:spacing w:before="0" w:beforeAutospacing="0" w:after="0" w:afterAutospacing="0" w:line="360" w:lineRule="auto"/>
        <w:ind w:firstLine="420"/>
        <w:rPr>
          <w:sz w:val="21"/>
          <w:szCs w:val="21"/>
        </w:rPr>
      </w:pPr>
      <w:bookmarkStart w:id="56" w:name="field_0_allproxysaletables_1_start"/>
      <w:bookmarkEnd w:id="56"/>
      <w:r>
        <w:rPr>
          <w:rFonts w:hint="eastAsia"/>
          <w:b/>
          <w:bCs/>
          <w:sz w:val="21"/>
          <w:szCs w:val="21"/>
        </w:rPr>
        <w:t>(1)交通银行股份有限公司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中国（上海）自由贸易试验区银城中路188号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中国（上海）自由贸易试验区银城中路188号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高天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http://www.bankcomm.com/ </w:t>
            </w:r>
          </w:p>
        </w:tc>
      </w:tr>
    </w:tbl>
    <w:p>
      <w:pPr>
        <w:pStyle w:val="9"/>
        <w:spacing w:before="0" w:beforeAutospacing="0" w:after="0" w:afterAutospacing="0" w:line="360" w:lineRule="auto"/>
        <w:ind w:firstLine="420"/>
        <w:rPr>
          <w:sz w:val="21"/>
          <w:szCs w:val="21"/>
        </w:rPr>
      </w:pPr>
      <w:r>
        <w:rPr>
          <w:rFonts w:hint="eastAsia"/>
          <w:b/>
          <w:bCs/>
          <w:sz w:val="21"/>
          <w:szCs w:val="21"/>
        </w:rPr>
        <w:t>(2)招商银行股份有限公司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http://www.cmbchina.com/ </w:t>
            </w:r>
          </w:p>
        </w:tc>
      </w:tr>
    </w:tbl>
    <w:p>
      <w:pPr>
        <w:pStyle w:val="9"/>
        <w:spacing w:before="0" w:beforeAutospacing="0" w:after="0" w:afterAutospacing="0" w:line="360" w:lineRule="auto"/>
        <w:ind w:firstLine="420"/>
        <w:rPr>
          <w:sz w:val="21"/>
          <w:szCs w:val="21"/>
        </w:rPr>
      </w:pPr>
      <w:r>
        <w:rPr>
          <w:rFonts w:hint="eastAsia"/>
          <w:b/>
          <w:bCs/>
          <w:sz w:val="21"/>
          <w:szCs w:val="21"/>
        </w:rPr>
        <w:t>(3)广发银行股份有限公司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广州市越秀区东风东路713号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广州市越秀区东风东路713号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http://www.cgbchina.com.cn/ </w:t>
            </w:r>
          </w:p>
        </w:tc>
      </w:tr>
    </w:tbl>
    <w:p>
      <w:pPr>
        <w:pStyle w:val="9"/>
        <w:spacing w:before="0" w:beforeAutospacing="0" w:after="0" w:afterAutospacing="0" w:line="360" w:lineRule="auto"/>
        <w:ind w:firstLine="420"/>
        <w:rPr>
          <w:sz w:val="21"/>
          <w:szCs w:val="21"/>
        </w:rPr>
      </w:pPr>
      <w:r>
        <w:rPr>
          <w:rFonts w:hint="eastAsia"/>
          <w:b/>
          <w:bCs/>
          <w:sz w:val="21"/>
          <w:szCs w:val="21"/>
        </w:rPr>
        <w:t>(4)平安银行股份有限公司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http://bank.pingan.com </w:t>
            </w:r>
          </w:p>
        </w:tc>
      </w:tr>
    </w:tbl>
    <w:p>
      <w:pPr>
        <w:pStyle w:val="9"/>
        <w:spacing w:before="0" w:beforeAutospacing="0" w:after="0" w:afterAutospacing="0" w:line="360" w:lineRule="auto"/>
        <w:ind w:firstLine="420"/>
        <w:rPr>
          <w:sz w:val="21"/>
          <w:szCs w:val="21"/>
        </w:rPr>
      </w:pPr>
      <w:r>
        <w:rPr>
          <w:rFonts w:hint="eastAsia"/>
          <w:b/>
          <w:bCs/>
          <w:sz w:val="21"/>
          <w:szCs w:val="21"/>
        </w:rPr>
        <w:t>(5)渤海银行股份有限公司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http://www.cbhb.com.cn </w:t>
            </w:r>
          </w:p>
        </w:tc>
      </w:tr>
    </w:tbl>
    <w:p>
      <w:pPr>
        <w:pStyle w:val="9"/>
        <w:spacing w:before="0" w:beforeAutospacing="0" w:after="0" w:afterAutospacing="0" w:line="360" w:lineRule="auto"/>
        <w:ind w:firstLine="420"/>
        <w:rPr>
          <w:sz w:val="21"/>
          <w:szCs w:val="21"/>
        </w:rPr>
      </w:pPr>
      <w:r>
        <w:rPr>
          <w:rFonts w:hint="eastAsia"/>
          <w:b/>
          <w:bCs/>
          <w:sz w:val="21"/>
          <w:szCs w:val="21"/>
        </w:rPr>
        <w:t>(6)江苏苏州农村商业银行股份有限公司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www.szrcb.com </w:t>
            </w:r>
          </w:p>
        </w:tc>
      </w:tr>
    </w:tbl>
    <w:p>
      <w:pPr>
        <w:pStyle w:val="9"/>
        <w:spacing w:before="0" w:beforeAutospacing="0" w:after="0" w:afterAutospacing="0" w:line="360" w:lineRule="auto"/>
        <w:ind w:firstLine="420"/>
        <w:rPr>
          <w:sz w:val="21"/>
          <w:szCs w:val="21"/>
        </w:rPr>
      </w:pPr>
      <w:r>
        <w:rPr>
          <w:rFonts w:hint="eastAsia"/>
          <w:b/>
          <w:bCs/>
          <w:sz w:val="21"/>
          <w:szCs w:val="21"/>
        </w:rPr>
        <w:t>(7)苏州银行股份有限公司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崔庆军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0512-69868373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www.suzhoubank.com </w:t>
            </w:r>
          </w:p>
        </w:tc>
      </w:tr>
    </w:tbl>
    <w:p>
      <w:pPr>
        <w:pStyle w:val="9"/>
        <w:spacing w:before="0" w:beforeAutospacing="0" w:after="0" w:afterAutospacing="0" w:line="360" w:lineRule="auto"/>
        <w:ind w:firstLine="420"/>
        <w:rPr>
          <w:sz w:val="21"/>
          <w:szCs w:val="21"/>
        </w:rPr>
      </w:pPr>
      <w:r>
        <w:rPr>
          <w:rFonts w:hint="eastAsia"/>
          <w:b/>
          <w:bCs/>
          <w:sz w:val="21"/>
          <w:szCs w:val="21"/>
        </w:rPr>
        <w:t>(8)鼎信汇金（北京）投资管理有限公司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齐凌峰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陈臣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010-84489488-8702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010-82086110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400-158-5050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www.9ifund.com </w:t>
            </w:r>
          </w:p>
        </w:tc>
      </w:tr>
    </w:tbl>
    <w:p>
      <w:pPr>
        <w:pStyle w:val="9"/>
        <w:spacing w:before="0" w:beforeAutospacing="0" w:after="0" w:afterAutospacing="0" w:line="360" w:lineRule="auto"/>
        <w:ind w:firstLine="420"/>
        <w:rPr>
          <w:sz w:val="21"/>
          <w:szCs w:val="21"/>
        </w:rPr>
      </w:pPr>
      <w:r>
        <w:rPr>
          <w:rFonts w:hint="eastAsia"/>
          <w:b/>
          <w:bCs/>
          <w:sz w:val="21"/>
          <w:szCs w:val="21"/>
        </w:rPr>
        <w:t>(9)深圳市新兰德证券投资咨询有限公司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http://8.jrj.com.cn/ </w:t>
            </w:r>
          </w:p>
        </w:tc>
      </w:tr>
    </w:tbl>
    <w:p>
      <w:pPr>
        <w:pStyle w:val="9"/>
        <w:spacing w:before="0" w:beforeAutospacing="0" w:after="0" w:afterAutospacing="0" w:line="360" w:lineRule="auto"/>
        <w:ind w:firstLine="420"/>
        <w:rPr>
          <w:sz w:val="21"/>
          <w:szCs w:val="21"/>
        </w:rPr>
      </w:pPr>
      <w:r>
        <w:rPr>
          <w:rFonts w:hint="eastAsia"/>
          <w:b/>
          <w:bCs/>
          <w:sz w:val="21"/>
          <w:szCs w:val="21"/>
        </w:rPr>
        <w:t>(10)厦门市鑫鼎盛控股有限公司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www.xds.com.cn </w:t>
            </w:r>
          </w:p>
        </w:tc>
      </w:tr>
    </w:tbl>
    <w:p>
      <w:pPr>
        <w:pStyle w:val="9"/>
        <w:spacing w:before="0" w:beforeAutospacing="0" w:after="0" w:afterAutospacing="0" w:line="360" w:lineRule="auto"/>
        <w:ind w:firstLine="420"/>
        <w:rPr>
          <w:sz w:val="21"/>
          <w:szCs w:val="21"/>
        </w:rPr>
      </w:pPr>
      <w:r>
        <w:rPr>
          <w:rFonts w:hint="eastAsia"/>
          <w:b/>
          <w:bCs/>
          <w:sz w:val="21"/>
          <w:szCs w:val="21"/>
        </w:rPr>
        <w:t>(11)上海挖财基金销售有限公司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http://wacaijijin.com/ </w:t>
            </w:r>
          </w:p>
        </w:tc>
      </w:tr>
    </w:tbl>
    <w:p>
      <w:pPr>
        <w:pStyle w:val="9"/>
        <w:spacing w:before="0" w:beforeAutospacing="0" w:after="0" w:afterAutospacing="0" w:line="360" w:lineRule="auto"/>
        <w:ind w:firstLine="420"/>
        <w:rPr>
          <w:sz w:val="21"/>
          <w:szCs w:val="21"/>
        </w:rPr>
      </w:pPr>
      <w:r>
        <w:rPr>
          <w:rFonts w:hint="eastAsia"/>
          <w:b/>
          <w:bCs/>
          <w:sz w:val="21"/>
          <w:szCs w:val="21"/>
        </w:rPr>
        <w:t>(12)大河财富基金销售有限公司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www.urainf.com </w:t>
            </w:r>
          </w:p>
        </w:tc>
      </w:tr>
    </w:tbl>
    <w:p>
      <w:pPr>
        <w:pStyle w:val="9"/>
        <w:spacing w:before="0" w:beforeAutospacing="0" w:after="0" w:afterAutospacing="0" w:line="360" w:lineRule="auto"/>
        <w:ind w:firstLine="420"/>
        <w:rPr>
          <w:sz w:val="21"/>
          <w:szCs w:val="21"/>
        </w:rPr>
      </w:pPr>
      <w:r>
        <w:rPr>
          <w:rFonts w:hint="eastAsia"/>
          <w:b/>
          <w:bCs/>
          <w:sz w:val="21"/>
          <w:szCs w:val="21"/>
        </w:rPr>
        <w:t>(13)腾安基金销售（深圳）有限公司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https://www.txfund.com/ </w:t>
            </w:r>
          </w:p>
        </w:tc>
      </w:tr>
    </w:tbl>
    <w:p>
      <w:pPr>
        <w:pStyle w:val="9"/>
        <w:spacing w:before="0" w:beforeAutospacing="0" w:after="0" w:afterAutospacing="0" w:line="360" w:lineRule="auto"/>
        <w:ind w:firstLine="420"/>
        <w:rPr>
          <w:sz w:val="21"/>
          <w:szCs w:val="21"/>
        </w:rPr>
      </w:pPr>
      <w:r>
        <w:rPr>
          <w:rFonts w:hint="eastAsia"/>
          <w:b/>
          <w:bCs/>
          <w:sz w:val="21"/>
          <w:szCs w:val="21"/>
        </w:rPr>
        <w:t>(14)北京度小满基金销售有限公司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www.duxiaomanfund.com </w:t>
            </w:r>
          </w:p>
        </w:tc>
      </w:tr>
    </w:tbl>
    <w:p>
      <w:pPr>
        <w:pStyle w:val="9"/>
        <w:spacing w:before="0" w:beforeAutospacing="0" w:after="0" w:afterAutospacing="0" w:line="360" w:lineRule="auto"/>
        <w:ind w:firstLine="420"/>
        <w:rPr>
          <w:sz w:val="21"/>
          <w:szCs w:val="21"/>
        </w:rPr>
      </w:pPr>
      <w:r>
        <w:rPr>
          <w:rFonts w:hint="eastAsia"/>
          <w:b/>
          <w:bCs/>
          <w:sz w:val="21"/>
          <w:szCs w:val="21"/>
        </w:rPr>
        <w:t>(15)博时财富基金销售有限公司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www.boserawealth.com </w:t>
            </w:r>
          </w:p>
        </w:tc>
      </w:tr>
    </w:tbl>
    <w:p>
      <w:pPr>
        <w:pStyle w:val="9"/>
        <w:spacing w:before="0" w:beforeAutospacing="0" w:after="0" w:afterAutospacing="0" w:line="360" w:lineRule="auto"/>
        <w:ind w:firstLine="420"/>
        <w:rPr>
          <w:sz w:val="21"/>
          <w:szCs w:val="21"/>
        </w:rPr>
      </w:pPr>
      <w:r>
        <w:rPr>
          <w:rFonts w:hint="eastAsia"/>
          <w:b/>
          <w:bCs/>
          <w:sz w:val="21"/>
          <w:szCs w:val="21"/>
        </w:rPr>
        <w:t>(16)诺亚正行基金销售有限公司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上海市虹口区飞虹路360弄9号6层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上海市闵行区申滨南路1226号诺亚财富中心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吴卫国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黄欣文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http://www.noah-fund.com </w:t>
            </w:r>
          </w:p>
        </w:tc>
      </w:tr>
    </w:tbl>
    <w:p>
      <w:pPr>
        <w:pStyle w:val="9"/>
        <w:spacing w:before="0" w:beforeAutospacing="0" w:after="0" w:afterAutospacing="0" w:line="360" w:lineRule="auto"/>
        <w:ind w:firstLine="420"/>
        <w:rPr>
          <w:sz w:val="21"/>
          <w:szCs w:val="21"/>
        </w:rPr>
      </w:pPr>
      <w:r>
        <w:rPr>
          <w:rFonts w:hint="eastAsia"/>
          <w:b/>
          <w:bCs/>
          <w:sz w:val="21"/>
          <w:szCs w:val="21"/>
        </w:rPr>
        <w:t>(17)上海天天基金销售有限公司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http://www.1234567.com.cn </w:t>
            </w:r>
          </w:p>
        </w:tc>
      </w:tr>
    </w:tbl>
    <w:p>
      <w:pPr>
        <w:pStyle w:val="9"/>
        <w:spacing w:before="0" w:beforeAutospacing="0" w:after="0" w:afterAutospacing="0" w:line="360" w:lineRule="auto"/>
        <w:ind w:firstLine="420"/>
        <w:rPr>
          <w:sz w:val="21"/>
          <w:szCs w:val="21"/>
        </w:rPr>
      </w:pPr>
      <w:r>
        <w:rPr>
          <w:rFonts w:hint="eastAsia"/>
          <w:b/>
          <w:bCs/>
          <w:sz w:val="21"/>
          <w:szCs w:val="21"/>
        </w:rPr>
        <w:t>(18)上海好买基金销售有限公司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http://www.howbuy.com </w:t>
            </w:r>
          </w:p>
        </w:tc>
      </w:tr>
    </w:tbl>
    <w:p>
      <w:pPr>
        <w:pStyle w:val="9"/>
        <w:spacing w:before="0" w:beforeAutospacing="0" w:after="0" w:afterAutospacing="0" w:line="360" w:lineRule="auto"/>
        <w:ind w:firstLine="420"/>
        <w:rPr>
          <w:sz w:val="21"/>
          <w:szCs w:val="21"/>
        </w:rPr>
      </w:pPr>
      <w:r>
        <w:rPr>
          <w:rFonts w:hint="eastAsia"/>
          <w:b/>
          <w:bCs/>
          <w:sz w:val="21"/>
          <w:szCs w:val="21"/>
        </w:rPr>
        <w:t>(19)蚂蚁（杭州）基金销售有限公司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http://www.fund123.cn </w:t>
            </w:r>
          </w:p>
        </w:tc>
      </w:tr>
    </w:tbl>
    <w:p>
      <w:pPr>
        <w:pStyle w:val="9"/>
        <w:spacing w:before="0" w:beforeAutospacing="0" w:after="0" w:afterAutospacing="0" w:line="360" w:lineRule="auto"/>
        <w:ind w:firstLine="420"/>
        <w:rPr>
          <w:sz w:val="21"/>
          <w:szCs w:val="21"/>
        </w:rPr>
      </w:pPr>
      <w:r>
        <w:rPr>
          <w:rFonts w:hint="eastAsia"/>
          <w:b/>
          <w:bCs/>
          <w:sz w:val="21"/>
          <w:szCs w:val="21"/>
        </w:rPr>
        <w:t>(20)上海长量基金销售有限公司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http://www.erichfund.com </w:t>
            </w:r>
          </w:p>
        </w:tc>
      </w:tr>
    </w:tbl>
    <w:p>
      <w:pPr>
        <w:pStyle w:val="9"/>
        <w:spacing w:before="0" w:beforeAutospacing="0" w:after="0" w:afterAutospacing="0" w:line="360" w:lineRule="auto"/>
        <w:ind w:firstLine="420"/>
        <w:rPr>
          <w:sz w:val="21"/>
          <w:szCs w:val="21"/>
        </w:rPr>
      </w:pPr>
      <w:r>
        <w:rPr>
          <w:rFonts w:hint="eastAsia"/>
          <w:b/>
          <w:bCs/>
          <w:sz w:val="21"/>
          <w:szCs w:val="21"/>
        </w:rPr>
        <w:t>(21)浙江同花顺基金销售有限公司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www.5ifund.com </w:t>
            </w:r>
          </w:p>
        </w:tc>
      </w:tr>
    </w:tbl>
    <w:p>
      <w:pPr>
        <w:pStyle w:val="9"/>
        <w:spacing w:before="0" w:beforeAutospacing="0" w:after="0" w:afterAutospacing="0" w:line="360" w:lineRule="auto"/>
        <w:ind w:firstLine="420"/>
        <w:rPr>
          <w:sz w:val="21"/>
          <w:szCs w:val="21"/>
        </w:rPr>
      </w:pPr>
      <w:r>
        <w:rPr>
          <w:rFonts w:hint="eastAsia"/>
          <w:b/>
          <w:bCs/>
          <w:sz w:val="21"/>
          <w:szCs w:val="21"/>
        </w:rPr>
        <w:t>(22)上海利得基金销售有限公司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http://a.leadfund.com.cn/ </w:t>
            </w:r>
          </w:p>
        </w:tc>
      </w:tr>
    </w:tbl>
    <w:p>
      <w:pPr>
        <w:pStyle w:val="9"/>
        <w:spacing w:before="0" w:beforeAutospacing="0" w:after="0" w:afterAutospacing="0" w:line="360" w:lineRule="auto"/>
        <w:ind w:firstLine="420"/>
        <w:rPr>
          <w:sz w:val="21"/>
          <w:szCs w:val="21"/>
        </w:rPr>
      </w:pPr>
      <w:r>
        <w:rPr>
          <w:rFonts w:hint="eastAsia"/>
          <w:b/>
          <w:bCs/>
          <w:sz w:val="21"/>
          <w:szCs w:val="21"/>
        </w:rPr>
        <w:t>(23)嘉实财富管理有限公司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www.harvestwm.cn </w:t>
            </w:r>
          </w:p>
        </w:tc>
      </w:tr>
    </w:tbl>
    <w:p>
      <w:pPr>
        <w:pStyle w:val="9"/>
        <w:spacing w:before="0" w:beforeAutospacing="0" w:after="0" w:afterAutospacing="0" w:line="360" w:lineRule="auto"/>
        <w:ind w:firstLine="420"/>
        <w:rPr>
          <w:sz w:val="21"/>
          <w:szCs w:val="21"/>
        </w:rPr>
      </w:pPr>
      <w:r>
        <w:rPr>
          <w:rFonts w:hint="eastAsia"/>
          <w:b/>
          <w:bCs/>
          <w:sz w:val="21"/>
          <w:szCs w:val="21"/>
        </w:rPr>
        <w:t>(24)泛华普益基金销售有限公司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www.puyiwm.com </w:t>
            </w:r>
          </w:p>
        </w:tc>
      </w:tr>
    </w:tbl>
    <w:p>
      <w:pPr>
        <w:pStyle w:val="9"/>
        <w:spacing w:before="0" w:beforeAutospacing="0" w:after="0" w:afterAutospacing="0" w:line="360" w:lineRule="auto"/>
        <w:ind w:firstLine="420"/>
        <w:rPr>
          <w:sz w:val="21"/>
          <w:szCs w:val="21"/>
        </w:rPr>
      </w:pPr>
      <w:r>
        <w:rPr>
          <w:rFonts w:hint="eastAsia"/>
          <w:b/>
          <w:bCs/>
          <w:sz w:val="21"/>
          <w:szCs w:val="21"/>
        </w:rPr>
        <w:t>(25)宜信普泽（北京）基金销售有限公司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http://www.yixinfund.com </w:t>
            </w:r>
          </w:p>
        </w:tc>
      </w:tr>
    </w:tbl>
    <w:p>
      <w:pPr>
        <w:pStyle w:val="9"/>
        <w:spacing w:before="0" w:beforeAutospacing="0" w:after="0" w:afterAutospacing="0" w:line="360" w:lineRule="auto"/>
        <w:ind w:firstLine="420"/>
        <w:rPr>
          <w:sz w:val="21"/>
          <w:szCs w:val="21"/>
        </w:rPr>
      </w:pPr>
      <w:r>
        <w:rPr>
          <w:rFonts w:hint="eastAsia"/>
          <w:b/>
          <w:bCs/>
          <w:sz w:val="21"/>
          <w:szCs w:val="21"/>
        </w:rPr>
        <w:t>(26)南京苏宁基金销售有限公司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www.snjijin.com </w:t>
            </w:r>
          </w:p>
        </w:tc>
      </w:tr>
    </w:tbl>
    <w:p>
      <w:pPr>
        <w:pStyle w:val="9"/>
        <w:spacing w:before="0" w:beforeAutospacing="0" w:after="0" w:afterAutospacing="0" w:line="360" w:lineRule="auto"/>
        <w:ind w:firstLine="420"/>
        <w:rPr>
          <w:sz w:val="21"/>
          <w:szCs w:val="21"/>
        </w:rPr>
      </w:pPr>
      <w:r>
        <w:rPr>
          <w:rFonts w:hint="eastAsia"/>
          <w:b/>
          <w:bCs/>
          <w:sz w:val="21"/>
          <w:szCs w:val="21"/>
        </w:rPr>
        <w:t>(27)北京中植基金销售有限公司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北京市朝阳区建国路91号金地中心B座21层、29层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http://www.zzfund.com </w:t>
            </w:r>
          </w:p>
        </w:tc>
      </w:tr>
    </w:tbl>
    <w:p>
      <w:pPr>
        <w:pStyle w:val="9"/>
        <w:spacing w:before="0" w:beforeAutospacing="0" w:after="0" w:afterAutospacing="0" w:line="360" w:lineRule="auto"/>
        <w:ind w:firstLine="420"/>
        <w:rPr>
          <w:sz w:val="21"/>
          <w:szCs w:val="21"/>
        </w:rPr>
      </w:pPr>
      <w:r>
        <w:rPr>
          <w:rFonts w:hint="eastAsia"/>
          <w:b/>
          <w:bCs/>
          <w:sz w:val="21"/>
          <w:szCs w:val="21"/>
        </w:rPr>
        <w:t>(28)北京汇成基金销售有限公司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北京市西城区宣武门外大街甲1号4层401-2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北京市西城区宣武门外大街甲1号4层401-2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400-055-5728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www.hcjijin.com </w:t>
            </w:r>
          </w:p>
        </w:tc>
      </w:tr>
    </w:tbl>
    <w:p>
      <w:pPr>
        <w:pStyle w:val="9"/>
        <w:spacing w:before="0" w:beforeAutospacing="0" w:after="0" w:afterAutospacing="0" w:line="360" w:lineRule="auto"/>
        <w:ind w:firstLine="420"/>
        <w:rPr>
          <w:sz w:val="21"/>
          <w:szCs w:val="21"/>
        </w:rPr>
      </w:pPr>
      <w:r>
        <w:rPr>
          <w:rFonts w:hint="eastAsia"/>
          <w:b/>
          <w:bCs/>
          <w:sz w:val="21"/>
          <w:szCs w:val="21"/>
        </w:rPr>
        <w:t>(29)北京新浪仓石基金销售有限公司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www.xincai.com </w:t>
            </w:r>
          </w:p>
        </w:tc>
      </w:tr>
    </w:tbl>
    <w:p>
      <w:pPr>
        <w:pStyle w:val="9"/>
        <w:spacing w:before="0" w:beforeAutospacing="0" w:after="0" w:afterAutospacing="0" w:line="360" w:lineRule="auto"/>
        <w:ind w:firstLine="420"/>
        <w:rPr>
          <w:sz w:val="21"/>
          <w:szCs w:val="21"/>
        </w:rPr>
      </w:pPr>
      <w:r>
        <w:rPr>
          <w:rFonts w:hint="eastAsia"/>
          <w:b/>
          <w:bCs/>
          <w:sz w:val="21"/>
          <w:szCs w:val="21"/>
        </w:rPr>
        <w:t>(30)上海万得基金销售有限公司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www.520fund.com.cn </w:t>
            </w:r>
          </w:p>
        </w:tc>
      </w:tr>
    </w:tbl>
    <w:p>
      <w:pPr>
        <w:pStyle w:val="9"/>
        <w:spacing w:before="0" w:beforeAutospacing="0" w:after="0" w:afterAutospacing="0" w:line="360" w:lineRule="auto"/>
        <w:ind w:firstLine="420"/>
        <w:rPr>
          <w:sz w:val="21"/>
          <w:szCs w:val="21"/>
        </w:rPr>
      </w:pPr>
      <w:r>
        <w:rPr>
          <w:rFonts w:hint="eastAsia"/>
          <w:b/>
          <w:bCs/>
          <w:sz w:val="21"/>
          <w:szCs w:val="21"/>
        </w:rPr>
        <w:t>(31)上海联泰基金销售有限公司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www.66zichan.com </w:t>
            </w:r>
          </w:p>
        </w:tc>
      </w:tr>
    </w:tbl>
    <w:p>
      <w:pPr>
        <w:pStyle w:val="9"/>
        <w:spacing w:before="0" w:beforeAutospacing="0" w:after="0" w:afterAutospacing="0" w:line="360" w:lineRule="auto"/>
        <w:ind w:firstLine="420"/>
        <w:rPr>
          <w:sz w:val="21"/>
          <w:szCs w:val="21"/>
        </w:rPr>
      </w:pPr>
      <w:r>
        <w:rPr>
          <w:rFonts w:hint="eastAsia"/>
          <w:b/>
          <w:bCs/>
          <w:sz w:val="21"/>
          <w:szCs w:val="21"/>
        </w:rPr>
        <w:t>(32)上海基煜基金销售有限公司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上海市黄浦区广东路500号30层3001单元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www.jiyufund.com.cn </w:t>
            </w:r>
          </w:p>
        </w:tc>
      </w:tr>
    </w:tbl>
    <w:p>
      <w:pPr>
        <w:pStyle w:val="9"/>
        <w:spacing w:before="0" w:beforeAutospacing="0" w:after="0" w:afterAutospacing="0" w:line="360" w:lineRule="auto"/>
        <w:ind w:firstLine="420"/>
        <w:rPr>
          <w:sz w:val="21"/>
          <w:szCs w:val="21"/>
        </w:rPr>
      </w:pPr>
      <w:r>
        <w:rPr>
          <w:rFonts w:hint="eastAsia"/>
          <w:b/>
          <w:bCs/>
          <w:sz w:val="21"/>
          <w:szCs w:val="21"/>
        </w:rPr>
        <w:t>(33)上海陆金所基金销售有限公司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www.lufunds.com </w:t>
            </w:r>
          </w:p>
        </w:tc>
      </w:tr>
    </w:tbl>
    <w:p>
      <w:pPr>
        <w:pStyle w:val="9"/>
        <w:spacing w:before="0" w:beforeAutospacing="0" w:after="0" w:afterAutospacing="0" w:line="360" w:lineRule="auto"/>
        <w:ind w:firstLine="420"/>
        <w:rPr>
          <w:sz w:val="21"/>
          <w:szCs w:val="21"/>
        </w:rPr>
      </w:pPr>
      <w:r>
        <w:rPr>
          <w:rFonts w:hint="eastAsia"/>
          <w:b/>
          <w:bCs/>
          <w:sz w:val="21"/>
          <w:szCs w:val="21"/>
        </w:rPr>
        <w:t>(34)珠海盈米基金销售有限公司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www.yingmi.cn </w:t>
            </w:r>
          </w:p>
        </w:tc>
      </w:tr>
    </w:tbl>
    <w:p>
      <w:pPr>
        <w:pStyle w:val="9"/>
        <w:spacing w:before="0" w:beforeAutospacing="0" w:after="0" w:afterAutospacing="0" w:line="360" w:lineRule="auto"/>
        <w:ind w:firstLine="420"/>
        <w:rPr>
          <w:sz w:val="21"/>
          <w:szCs w:val="21"/>
        </w:rPr>
      </w:pPr>
      <w:r>
        <w:rPr>
          <w:rFonts w:hint="eastAsia"/>
          <w:b/>
          <w:bCs/>
          <w:sz w:val="21"/>
          <w:szCs w:val="21"/>
        </w:rPr>
        <w:t>(35)和耕传承基金销售有限公司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河南自贸试验区郑州片区（郑东）东风南路东康宁街北6号楼5楼503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河南自贸试验区郑州片区（郑东）东风南路东康宁街北6号楼5楼503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温丽燕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0371-85518396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400-0555-671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www.hgccpb.com </w:t>
            </w:r>
          </w:p>
        </w:tc>
      </w:tr>
    </w:tbl>
    <w:p>
      <w:pPr>
        <w:pStyle w:val="9"/>
        <w:spacing w:before="0" w:beforeAutospacing="0" w:after="0" w:afterAutospacing="0" w:line="360" w:lineRule="auto"/>
        <w:ind w:firstLine="420"/>
        <w:rPr>
          <w:sz w:val="21"/>
          <w:szCs w:val="21"/>
        </w:rPr>
      </w:pPr>
      <w:r>
        <w:rPr>
          <w:rFonts w:hint="eastAsia"/>
          <w:b/>
          <w:bCs/>
          <w:sz w:val="21"/>
          <w:szCs w:val="21"/>
        </w:rPr>
        <w:t>(36)奕丰基金销售有限公司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www.ifastps.com.cn </w:t>
            </w:r>
          </w:p>
        </w:tc>
      </w:tr>
    </w:tbl>
    <w:p>
      <w:pPr>
        <w:pStyle w:val="9"/>
        <w:spacing w:before="0" w:beforeAutospacing="0" w:after="0" w:afterAutospacing="0" w:line="360" w:lineRule="auto"/>
        <w:ind w:firstLine="420"/>
        <w:rPr>
          <w:sz w:val="21"/>
          <w:szCs w:val="21"/>
        </w:rPr>
      </w:pPr>
      <w:r>
        <w:rPr>
          <w:rFonts w:hint="eastAsia"/>
          <w:b/>
          <w:bCs/>
          <w:sz w:val="21"/>
          <w:szCs w:val="21"/>
        </w:rPr>
        <w:t>(37)中证金牛（北京）基金销售有限公司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北京市西城区宣武门外大街甲1号环球财讯中心A座4层、5层  （邮寄填写4层）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吴志坚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焦金岩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010-63156530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010-63156532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www.jnlc.com </w:t>
            </w:r>
          </w:p>
        </w:tc>
      </w:tr>
    </w:tbl>
    <w:p>
      <w:pPr>
        <w:pStyle w:val="9"/>
        <w:spacing w:before="0" w:beforeAutospacing="0" w:after="0" w:afterAutospacing="0" w:line="360" w:lineRule="auto"/>
        <w:ind w:firstLine="420"/>
        <w:rPr>
          <w:sz w:val="21"/>
          <w:szCs w:val="21"/>
        </w:rPr>
      </w:pPr>
      <w:r>
        <w:rPr>
          <w:rFonts w:hint="eastAsia"/>
          <w:b/>
          <w:bCs/>
          <w:sz w:val="21"/>
          <w:szCs w:val="21"/>
        </w:rPr>
        <w:t>(38)京东肯特瑞基金销售有限公司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http://jr.jd.com/ </w:t>
            </w:r>
          </w:p>
        </w:tc>
      </w:tr>
    </w:tbl>
    <w:p>
      <w:pPr>
        <w:pStyle w:val="9"/>
        <w:spacing w:before="0" w:beforeAutospacing="0" w:after="0" w:afterAutospacing="0" w:line="360" w:lineRule="auto"/>
        <w:ind w:firstLine="420"/>
        <w:rPr>
          <w:sz w:val="21"/>
          <w:szCs w:val="21"/>
        </w:rPr>
      </w:pPr>
      <w:r>
        <w:rPr>
          <w:rFonts w:hint="eastAsia"/>
          <w:b/>
          <w:bCs/>
          <w:sz w:val="21"/>
          <w:szCs w:val="21"/>
        </w:rPr>
        <w:t>(39)深圳市金斧子基金销售有限公司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www.jfzinv.com </w:t>
            </w:r>
          </w:p>
        </w:tc>
      </w:tr>
    </w:tbl>
    <w:p>
      <w:pPr>
        <w:pStyle w:val="9"/>
        <w:spacing w:before="0" w:beforeAutospacing="0" w:after="0" w:afterAutospacing="0" w:line="360" w:lineRule="auto"/>
        <w:ind w:firstLine="420"/>
        <w:rPr>
          <w:sz w:val="21"/>
          <w:szCs w:val="21"/>
        </w:rPr>
      </w:pPr>
      <w:r>
        <w:rPr>
          <w:rFonts w:hint="eastAsia"/>
          <w:b/>
          <w:bCs/>
          <w:sz w:val="21"/>
          <w:szCs w:val="21"/>
        </w:rPr>
        <w:t>(40)北京雪球基金销售有限公司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danjuanapp.com </w:t>
            </w:r>
          </w:p>
        </w:tc>
      </w:tr>
    </w:tbl>
    <w:p>
      <w:pPr>
        <w:pStyle w:val="9"/>
        <w:spacing w:before="0" w:beforeAutospacing="0" w:after="0" w:afterAutospacing="0" w:line="360" w:lineRule="auto"/>
        <w:ind w:firstLine="420"/>
        <w:rPr>
          <w:sz w:val="21"/>
          <w:szCs w:val="21"/>
        </w:rPr>
      </w:pPr>
      <w:r>
        <w:rPr>
          <w:rFonts w:hint="eastAsia"/>
          <w:b/>
          <w:bCs/>
          <w:sz w:val="21"/>
          <w:szCs w:val="21"/>
        </w:rPr>
        <w:t>(41)上海中欧财富基金销售有限公司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中国（上海）自由贸易试验区陆家嘴环路333号502室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上海市虹口区公平路18号8栋嘉昱大厦6层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许欣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刘弘义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15608193006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+86 21 35073616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021-68609700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https://www.zocaifu.com/ </w:t>
            </w:r>
          </w:p>
        </w:tc>
      </w:tr>
    </w:tbl>
    <w:p>
      <w:pPr>
        <w:pStyle w:val="9"/>
        <w:spacing w:before="0" w:beforeAutospacing="0" w:after="0" w:afterAutospacing="0" w:line="360" w:lineRule="auto"/>
        <w:ind w:firstLine="420"/>
        <w:rPr>
          <w:sz w:val="21"/>
          <w:szCs w:val="21"/>
        </w:rPr>
      </w:pPr>
      <w:r>
        <w:rPr>
          <w:rFonts w:hint="eastAsia"/>
          <w:b/>
          <w:bCs/>
          <w:sz w:val="21"/>
          <w:szCs w:val="21"/>
        </w:rPr>
        <w:t>(42)上海华夏财富投资管理有限公司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https://www.amcfortune.com/ </w:t>
            </w:r>
          </w:p>
        </w:tc>
      </w:tr>
    </w:tbl>
    <w:p>
      <w:pPr>
        <w:pStyle w:val="9"/>
        <w:spacing w:before="0" w:beforeAutospacing="0" w:after="0" w:afterAutospacing="0" w:line="360" w:lineRule="auto"/>
        <w:ind w:firstLine="420"/>
        <w:rPr>
          <w:sz w:val="21"/>
          <w:szCs w:val="21"/>
        </w:rPr>
      </w:pPr>
      <w:r>
        <w:rPr>
          <w:rFonts w:hint="eastAsia"/>
          <w:b/>
          <w:bCs/>
          <w:sz w:val="21"/>
          <w:szCs w:val="21"/>
        </w:rPr>
        <w:t>(43)中信期货有限公司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www.citicsf.com </w:t>
            </w:r>
          </w:p>
        </w:tc>
      </w:tr>
    </w:tbl>
    <w:p>
      <w:pPr>
        <w:pStyle w:val="9"/>
        <w:spacing w:before="0" w:beforeAutospacing="0" w:after="0" w:afterAutospacing="0" w:line="360" w:lineRule="auto"/>
        <w:ind w:firstLine="420"/>
        <w:rPr>
          <w:sz w:val="21"/>
          <w:szCs w:val="21"/>
        </w:rPr>
      </w:pPr>
      <w:r>
        <w:rPr>
          <w:rFonts w:hint="eastAsia"/>
          <w:b/>
          <w:bCs/>
          <w:sz w:val="21"/>
          <w:szCs w:val="21"/>
        </w:rPr>
        <w:t>(44)弘业期货股份有限公司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南京市建邺区江东中路399号3幢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南京市建邺区江东中路399号3幢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张苏怡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025-52278981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025-52278982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www.ftol.com.cn </w:t>
            </w:r>
          </w:p>
        </w:tc>
      </w:tr>
    </w:tbl>
    <w:p>
      <w:pPr>
        <w:pStyle w:val="9"/>
        <w:spacing w:before="0" w:beforeAutospacing="0" w:after="0" w:afterAutospacing="0" w:line="360" w:lineRule="auto"/>
        <w:ind w:firstLine="420"/>
        <w:rPr>
          <w:sz w:val="21"/>
          <w:szCs w:val="21"/>
        </w:rPr>
      </w:pPr>
      <w:r>
        <w:rPr>
          <w:rFonts w:hint="eastAsia"/>
          <w:b/>
          <w:bCs/>
          <w:sz w:val="21"/>
          <w:szCs w:val="21"/>
        </w:rPr>
        <w:t>(45)国泰君安证券股份有限公司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上海市静安区南京西路768号国泰君安大厦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https://www.gtja.com  </w:t>
            </w:r>
          </w:p>
        </w:tc>
      </w:tr>
    </w:tbl>
    <w:p>
      <w:pPr>
        <w:pStyle w:val="9"/>
        <w:spacing w:before="0" w:beforeAutospacing="0" w:after="0" w:afterAutospacing="0" w:line="360" w:lineRule="auto"/>
        <w:ind w:firstLine="420"/>
        <w:rPr>
          <w:sz w:val="21"/>
          <w:szCs w:val="21"/>
        </w:rPr>
      </w:pPr>
      <w:r>
        <w:rPr>
          <w:rFonts w:hint="eastAsia"/>
          <w:b/>
          <w:bCs/>
          <w:sz w:val="21"/>
          <w:szCs w:val="21"/>
        </w:rPr>
        <w:t>(46)中信建投证券股份有限公司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http://www.csc108.com/ </w:t>
            </w:r>
          </w:p>
        </w:tc>
      </w:tr>
    </w:tbl>
    <w:p>
      <w:pPr>
        <w:pStyle w:val="9"/>
        <w:spacing w:before="0" w:beforeAutospacing="0" w:after="0" w:afterAutospacing="0" w:line="360" w:lineRule="auto"/>
        <w:ind w:firstLine="420"/>
        <w:rPr>
          <w:sz w:val="21"/>
          <w:szCs w:val="21"/>
        </w:rPr>
      </w:pPr>
      <w:r>
        <w:rPr>
          <w:rFonts w:hint="eastAsia"/>
          <w:b/>
          <w:bCs/>
          <w:sz w:val="21"/>
          <w:szCs w:val="21"/>
        </w:rPr>
        <w:t>(47)招商证券股份有限公司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业清扬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0755-83081954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http://www.cmschina.com/ </w:t>
            </w:r>
          </w:p>
        </w:tc>
      </w:tr>
    </w:tbl>
    <w:p>
      <w:pPr>
        <w:pStyle w:val="9"/>
        <w:spacing w:before="0" w:beforeAutospacing="0" w:after="0" w:afterAutospacing="0" w:line="360" w:lineRule="auto"/>
        <w:ind w:firstLine="420"/>
        <w:rPr>
          <w:sz w:val="21"/>
          <w:szCs w:val="21"/>
        </w:rPr>
      </w:pPr>
      <w:r>
        <w:rPr>
          <w:rFonts w:hint="eastAsia"/>
          <w:b/>
          <w:bCs/>
          <w:sz w:val="21"/>
          <w:szCs w:val="21"/>
        </w:rPr>
        <w:t>(48)广发证券股份有限公司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http://www.gf.com.cn/ </w:t>
            </w:r>
          </w:p>
        </w:tc>
      </w:tr>
    </w:tbl>
    <w:p>
      <w:pPr>
        <w:pStyle w:val="9"/>
        <w:spacing w:before="0" w:beforeAutospacing="0" w:after="0" w:afterAutospacing="0" w:line="360" w:lineRule="auto"/>
        <w:ind w:firstLine="420"/>
        <w:rPr>
          <w:sz w:val="21"/>
          <w:szCs w:val="21"/>
        </w:rPr>
      </w:pPr>
      <w:r>
        <w:rPr>
          <w:rFonts w:hint="eastAsia"/>
          <w:b/>
          <w:bCs/>
          <w:sz w:val="21"/>
          <w:szCs w:val="21"/>
        </w:rPr>
        <w:t>(49)中信证券股份有限公司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http://www.cs.ecitic.com/ </w:t>
            </w:r>
          </w:p>
        </w:tc>
      </w:tr>
    </w:tbl>
    <w:p>
      <w:pPr>
        <w:pStyle w:val="9"/>
        <w:spacing w:before="0" w:beforeAutospacing="0" w:after="0" w:afterAutospacing="0" w:line="360" w:lineRule="auto"/>
        <w:ind w:firstLine="420"/>
        <w:rPr>
          <w:sz w:val="21"/>
          <w:szCs w:val="21"/>
        </w:rPr>
      </w:pPr>
      <w:r>
        <w:rPr>
          <w:rFonts w:hint="eastAsia"/>
          <w:b/>
          <w:bCs/>
          <w:sz w:val="21"/>
          <w:szCs w:val="21"/>
        </w:rPr>
        <w:t>(50)中国银河证券股份有限公司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 www.chinastock.com.cn/ </w:t>
            </w:r>
          </w:p>
        </w:tc>
      </w:tr>
    </w:tbl>
    <w:p>
      <w:pPr>
        <w:pStyle w:val="9"/>
        <w:spacing w:before="0" w:beforeAutospacing="0" w:after="0" w:afterAutospacing="0" w:line="360" w:lineRule="auto"/>
        <w:ind w:firstLine="420"/>
        <w:rPr>
          <w:sz w:val="21"/>
          <w:szCs w:val="21"/>
        </w:rPr>
      </w:pPr>
      <w:r>
        <w:rPr>
          <w:rFonts w:hint="eastAsia"/>
          <w:b/>
          <w:bCs/>
          <w:sz w:val="21"/>
          <w:szCs w:val="21"/>
        </w:rPr>
        <w:t>(51)海通证券股份有限公司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http://www.htsec.com/ </w:t>
            </w:r>
          </w:p>
        </w:tc>
      </w:tr>
    </w:tbl>
    <w:p>
      <w:pPr>
        <w:pStyle w:val="9"/>
        <w:spacing w:before="0" w:beforeAutospacing="0" w:after="0" w:afterAutospacing="0" w:line="360" w:lineRule="auto"/>
        <w:ind w:firstLine="420"/>
        <w:rPr>
          <w:sz w:val="21"/>
          <w:szCs w:val="21"/>
        </w:rPr>
      </w:pPr>
      <w:r>
        <w:rPr>
          <w:rFonts w:hint="eastAsia"/>
          <w:b/>
          <w:bCs/>
          <w:sz w:val="21"/>
          <w:szCs w:val="21"/>
        </w:rPr>
        <w:t>(52)长江证券股份有限公司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湖北省武汉市江汉区淮海路88号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湖北省武汉市江汉区淮海路88号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金才玖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http://www.95579.com/ </w:t>
            </w:r>
          </w:p>
        </w:tc>
      </w:tr>
    </w:tbl>
    <w:p>
      <w:pPr>
        <w:pStyle w:val="9"/>
        <w:spacing w:before="0" w:beforeAutospacing="0" w:after="0" w:afterAutospacing="0" w:line="360" w:lineRule="auto"/>
        <w:ind w:firstLine="420"/>
        <w:rPr>
          <w:sz w:val="21"/>
          <w:szCs w:val="21"/>
        </w:rPr>
      </w:pPr>
      <w:r>
        <w:rPr>
          <w:rFonts w:hint="eastAsia"/>
          <w:b/>
          <w:bCs/>
          <w:sz w:val="21"/>
          <w:szCs w:val="21"/>
        </w:rPr>
        <w:t>(53)安信证券股份有限公司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http://www.essence.com.cn/ </w:t>
            </w:r>
          </w:p>
        </w:tc>
      </w:tr>
    </w:tbl>
    <w:p>
      <w:pPr>
        <w:pStyle w:val="9"/>
        <w:spacing w:before="0" w:beforeAutospacing="0" w:after="0" w:afterAutospacing="0" w:line="360" w:lineRule="auto"/>
        <w:ind w:firstLine="420"/>
        <w:rPr>
          <w:sz w:val="21"/>
          <w:szCs w:val="21"/>
        </w:rPr>
      </w:pPr>
      <w:r>
        <w:rPr>
          <w:rFonts w:hint="eastAsia"/>
          <w:b/>
          <w:bCs/>
          <w:sz w:val="21"/>
          <w:szCs w:val="21"/>
        </w:rPr>
        <w:t>(54)西南证券股份有限公司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重庆市江北区金沙门路32号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重庆市江北区金沙门路32号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吴坚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宋涧乔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023-67747414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http://www.swsc.com.cn </w:t>
            </w:r>
          </w:p>
        </w:tc>
      </w:tr>
    </w:tbl>
    <w:p>
      <w:pPr>
        <w:pStyle w:val="9"/>
        <w:spacing w:before="0" w:beforeAutospacing="0" w:after="0" w:afterAutospacing="0" w:line="360" w:lineRule="auto"/>
        <w:ind w:firstLine="420"/>
        <w:rPr>
          <w:sz w:val="21"/>
          <w:szCs w:val="21"/>
        </w:rPr>
      </w:pPr>
      <w:r>
        <w:rPr>
          <w:rFonts w:hint="eastAsia"/>
          <w:b/>
          <w:bCs/>
          <w:sz w:val="21"/>
          <w:szCs w:val="21"/>
        </w:rPr>
        <w:t>(55)湘财证券股份有限公司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http://www.xcsc.com </w:t>
            </w:r>
          </w:p>
        </w:tc>
      </w:tr>
    </w:tbl>
    <w:p>
      <w:pPr>
        <w:pStyle w:val="9"/>
        <w:spacing w:before="0" w:beforeAutospacing="0" w:after="0" w:afterAutospacing="0" w:line="360" w:lineRule="auto"/>
        <w:ind w:firstLine="420"/>
        <w:rPr>
          <w:sz w:val="21"/>
          <w:szCs w:val="21"/>
        </w:rPr>
      </w:pPr>
      <w:r>
        <w:rPr>
          <w:rFonts w:hint="eastAsia"/>
          <w:b/>
          <w:bCs/>
          <w:sz w:val="21"/>
          <w:szCs w:val="21"/>
        </w:rPr>
        <w:t>(56)渤海证券股份有限公司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956066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http://www.ewww.com.cn </w:t>
            </w:r>
          </w:p>
        </w:tc>
      </w:tr>
    </w:tbl>
    <w:p>
      <w:pPr>
        <w:pStyle w:val="9"/>
        <w:spacing w:before="0" w:beforeAutospacing="0" w:after="0" w:afterAutospacing="0" w:line="360" w:lineRule="auto"/>
        <w:ind w:firstLine="420"/>
        <w:rPr>
          <w:sz w:val="21"/>
          <w:szCs w:val="21"/>
        </w:rPr>
      </w:pPr>
      <w:r>
        <w:rPr>
          <w:rFonts w:hint="eastAsia"/>
          <w:b/>
          <w:bCs/>
          <w:sz w:val="21"/>
          <w:szCs w:val="21"/>
        </w:rPr>
        <w:t>(57)华泰证券股份有限公司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南京市建邺区江东中路228号华泰证券广场、深圳市福田区益田路5999号基金大厦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http://www.htsc.com.cn/ </w:t>
            </w:r>
          </w:p>
        </w:tc>
      </w:tr>
    </w:tbl>
    <w:p>
      <w:pPr>
        <w:pStyle w:val="9"/>
        <w:spacing w:before="0" w:beforeAutospacing="0" w:after="0" w:afterAutospacing="0" w:line="360" w:lineRule="auto"/>
        <w:ind w:firstLine="420"/>
        <w:rPr>
          <w:sz w:val="21"/>
          <w:szCs w:val="21"/>
        </w:rPr>
      </w:pPr>
      <w:r>
        <w:rPr>
          <w:rFonts w:hint="eastAsia"/>
          <w:b/>
          <w:bCs/>
          <w:sz w:val="21"/>
          <w:szCs w:val="21"/>
        </w:rPr>
        <w:t>(58)山西证券股份有限公司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http://www.i618.com.cn/ </w:t>
            </w:r>
          </w:p>
        </w:tc>
      </w:tr>
    </w:tbl>
    <w:p>
      <w:pPr>
        <w:pStyle w:val="9"/>
        <w:spacing w:before="0" w:beforeAutospacing="0" w:after="0" w:afterAutospacing="0" w:line="360" w:lineRule="auto"/>
        <w:ind w:firstLine="420"/>
        <w:rPr>
          <w:sz w:val="21"/>
          <w:szCs w:val="21"/>
        </w:rPr>
      </w:pPr>
      <w:r>
        <w:rPr>
          <w:rFonts w:hint="eastAsia"/>
          <w:b/>
          <w:bCs/>
          <w:sz w:val="21"/>
          <w:szCs w:val="21"/>
        </w:rPr>
        <w:t>(59)中信证券（山东）有限责任公司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青岛市崂山区深圳路222号1号楼2001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青岛市市南区东海西路28号龙翔广场东座5层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肖海峰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0532-85725062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sd.citics.com </w:t>
            </w:r>
          </w:p>
        </w:tc>
      </w:tr>
    </w:tbl>
    <w:p>
      <w:pPr>
        <w:pStyle w:val="9"/>
        <w:spacing w:before="0" w:beforeAutospacing="0" w:after="0" w:afterAutospacing="0" w:line="360" w:lineRule="auto"/>
        <w:ind w:firstLine="420"/>
        <w:rPr>
          <w:sz w:val="21"/>
          <w:szCs w:val="21"/>
        </w:rPr>
      </w:pPr>
      <w:r>
        <w:rPr>
          <w:rFonts w:hint="eastAsia"/>
          <w:b/>
          <w:bCs/>
          <w:sz w:val="21"/>
          <w:szCs w:val="21"/>
        </w:rPr>
        <w:t>(60)光大证券股份有限公司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http://www.ebscn.com/ </w:t>
            </w:r>
          </w:p>
        </w:tc>
      </w:tr>
    </w:tbl>
    <w:p>
      <w:pPr>
        <w:pStyle w:val="9"/>
        <w:spacing w:before="0" w:beforeAutospacing="0" w:after="0" w:afterAutospacing="0" w:line="360" w:lineRule="auto"/>
        <w:ind w:firstLine="420"/>
        <w:rPr>
          <w:sz w:val="21"/>
          <w:szCs w:val="21"/>
        </w:rPr>
      </w:pPr>
      <w:r>
        <w:rPr>
          <w:rFonts w:hint="eastAsia"/>
          <w:b/>
          <w:bCs/>
          <w:sz w:val="21"/>
          <w:szCs w:val="21"/>
        </w:rPr>
        <w:t>(61)中信证券华南股份有限公司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陈可可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http://www.gzs.com.cn </w:t>
            </w:r>
          </w:p>
        </w:tc>
      </w:tr>
    </w:tbl>
    <w:p>
      <w:pPr>
        <w:pStyle w:val="9"/>
        <w:spacing w:before="0" w:beforeAutospacing="0" w:after="0" w:afterAutospacing="0" w:line="360" w:lineRule="auto"/>
        <w:ind w:firstLine="420"/>
        <w:rPr>
          <w:sz w:val="21"/>
          <w:szCs w:val="21"/>
        </w:rPr>
      </w:pPr>
      <w:r>
        <w:rPr>
          <w:rFonts w:hint="eastAsia"/>
          <w:b/>
          <w:bCs/>
          <w:sz w:val="21"/>
          <w:szCs w:val="21"/>
        </w:rPr>
        <w:t>(62)东北证券股份有限公司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http://www.nesc.cn </w:t>
            </w:r>
          </w:p>
        </w:tc>
      </w:tr>
    </w:tbl>
    <w:p>
      <w:pPr>
        <w:pStyle w:val="9"/>
        <w:spacing w:before="0" w:beforeAutospacing="0" w:after="0" w:afterAutospacing="0" w:line="360" w:lineRule="auto"/>
        <w:ind w:firstLine="420"/>
        <w:rPr>
          <w:sz w:val="21"/>
          <w:szCs w:val="21"/>
        </w:rPr>
      </w:pPr>
      <w:r>
        <w:rPr>
          <w:rFonts w:hint="eastAsia"/>
          <w:b/>
          <w:bCs/>
          <w:sz w:val="21"/>
          <w:szCs w:val="21"/>
        </w:rPr>
        <w:t>(63)南京证券股份有限公司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http://www.njzq.com.cn </w:t>
            </w:r>
          </w:p>
        </w:tc>
      </w:tr>
    </w:tbl>
    <w:p>
      <w:pPr>
        <w:pStyle w:val="9"/>
        <w:spacing w:before="0" w:beforeAutospacing="0" w:after="0" w:afterAutospacing="0" w:line="360" w:lineRule="auto"/>
        <w:ind w:firstLine="420"/>
        <w:rPr>
          <w:sz w:val="21"/>
          <w:szCs w:val="21"/>
        </w:rPr>
      </w:pPr>
      <w:r>
        <w:rPr>
          <w:rFonts w:hint="eastAsia"/>
          <w:b/>
          <w:bCs/>
          <w:sz w:val="21"/>
          <w:szCs w:val="21"/>
        </w:rPr>
        <w:t>(64)大同证券有限责任公司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www.dtsbc.com.cn </w:t>
            </w:r>
          </w:p>
        </w:tc>
      </w:tr>
    </w:tbl>
    <w:p>
      <w:pPr>
        <w:pStyle w:val="9"/>
        <w:spacing w:before="0" w:beforeAutospacing="0" w:after="0" w:afterAutospacing="0" w:line="360" w:lineRule="auto"/>
        <w:ind w:firstLine="420"/>
        <w:rPr>
          <w:sz w:val="21"/>
          <w:szCs w:val="21"/>
        </w:rPr>
      </w:pPr>
      <w:r>
        <w:rPr>
          <w:rFonts w:hint="eastAsia"/>
          <w:b/>
          <w:bCs/>
          <w:sz w:val="21"/>
          <w:szCs w:val="21"/>
        </w:rPr>
        <w:t>(65)平安证券股份有限公司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http:www.stock.pingan.com </w:t>
            </w:r>
          </w:p>
        </w:tc>
      </w:tr>
    </w:tbl>
    <w:p>
      <w:pPr>
        <w:pStyle w:val="9"/>
        <w:spacing w:before="0" w:beforeAutospacing="0" w:after="0" w:afterAutospacing="0" w:line="360" w:lineRule="auto"/>
        <w:ind w:firstLine="420"/>
        <w:rPr>
          <w:sz w:val="21"/>
          <w:szCs w:val="21"/>
        </w:rPr>
      </w:pPr>
      <w:r>
        <w:rPr>
          <w:rFonts w:hint="eastAsia"/>
          <w:b/>
          <w:bCs/>
          <w:sz w:val="21"/>
          <w:szCs w:val="21"/>
        </w:rPr>
        <w:t>(66)华安证券股份有限公司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http://www.hazq.com/ </w:t>
            </w:r>
          </w:p>
        </w:tc>
      </w:tr>
    </w:tbl>
    <w:p>
      <w:pPr>
        <w:pStyle w:val="9"/>
        <w:spacing w:before="0" w:beforeAutospacing="0" w:after="0" w:afterAutospacing="0" w:line="360" w:lineRule="auto"/>
        <w:ind w:firstLine="420"/>
        <w:rPr>
          <w:sz w:val="21"/>
          <w:szCs w:val="21"/>
        </w:rPr>
      </w:pPr>
      <w:r>
        <w:rPr>
          <w:rFonts w:hint="eastAsia"/>
          <w:b/>
          <w:bCs/>
          <w:sz w:val="21"/>
          <w:szCs w:val="21"/>
        </w:rPr>
        <w:t>(67)东莞证券股份有限公司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http://www.dgzq.com.cn </w:t>
            </w:r>
          </w:p>
        </w:tc>
      </w:tr>
    </w:tbl>
    <w:p>
      <w:pPr>
        <w:pStyle w:val="9"/>
        <w:spacing w:before="0" w:beforeAutospacing="0" w:after="0" w:afterAutospacing="0" w:line="360" w:lineRule="auto"/>
        <w:ind w:firstLine="420"/>
        <w:rPr>
          <w:sz w:val="21"/>
          <w:szCs w:val="21"/>
        </w:rPr>
      </w:pPr>
      <w:r>
        <w:rPr>
          <w:rFonts w:hint="eastAsia"/>
          <w:b/>
          <w:bCs/>
          <w:sz w:val="21"/>
          <w:szCs w:val="21"/>
        </w:rPr>
        <w:t>(68)恒泰证券股份有限公司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内蒙古呼和浩特市新城区海拉尔东街满世尚都办公商业综合楼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祝艳辉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http://www.cnht.com.cn/ </w:t>
            </w:r>
          </w:p>
        </w:tc>
      </w:tr>
    </w:tbl>
    <w:p>
      <w:pPr>
        <w:pStyle w:val="9"/>
        <w:spacing w:before="0" w:beforeAutospacing="0" w:after="0" w:afterAutospacing="0" w:line="360" w:lineRule="auto"/>
        <w:ind w:firstLine="420"/>
        <w:rPr>
          <w:sz w:val="21"/>
          <w:szCs w:val="21"/>
        </w:rPr>
      </w:pPr>
      <w:r>
        <w:rPr>
          <w:rFonts w:hint="eastAsia"/>
          <w:b/>
          <w:bCs/>
          <w:sz w:val="21"/>
          <w:szCs w:val="21"/>
        </w:rPr>
        <w:t>(69)国盛证券有限责任公司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https://www.gszq.com/ </w:t>
            </w:r>
          </w:p>
        </w:tc>
      </w:tr>
    </w:tbl>
    <w:p>
      <w:pPr>
        <w:pStyle w:val="9"/>
        <w:spacing w:before="0" w:beforeAutospacing="0" w:after="0" w:afterAutospacing="0" w:line="360" w:lineRule="auto"/>
        <w:ind w:firstLine="420"/>
        <w:rPr>
          <w:sz w:val="21"/>
          <w:szCs w:val="21"/>
        </w:rPr>
      </w:pPr>
      <w:r>
        <w:rPr>
          <w:rFonts w:hint="eastAsia"/>
          <w:b/>
          <w:bCs/>
          <w:sz w:val="21"/>
          <w:szCs w:val="21"/>
        </w:rPr>
        <w:t>(70)华西证券股份有限公司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http://www.hx168.com.cn </w:t>
            </w:r>
          </w:p>
        </w:tc>
      </w:tr>
    </w:tbl>
    <w:p>
      <w:pPr>
        <w:pStyle w:val="9"/>
        <w:spacing w:before="0" w:beforeAutospacing="0" w:after="0" w:afterAutospacing="0" w:line="360" w:lineRule="auto"/>
        <w:ind w:firstLine="420"/>
        <w:rPr>
          <w:sz w:val="21"/>
          <w:szCs w:val="21"/>
        </w:rPr>
      </w:pPr>
      <w:r>
        <w:rPr>
          <w:rFonts w:hint="eastAsia"/>
          <w:b/>
          <w:bCs/>
          <w:sz w:val="21"/>
          <w:szCs w:val="21"/>
        </w:rPr>
        <w:t>(71)中泰证券股份有限公司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济南市市中区经七路86号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山东省济南市市中区经七路86号证券大厦2309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王洪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张峰源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021-20315719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www.zts.com.cn </w:t>
            </w:r>
          </w:p>
        </w:tc>
      </w:tr>
    </w:tbl>
    <w:p>
      <w:pPr>
        <w:pStyle w:val="9"/>
        <w:spacing w:before="0" w:beforeAutospacing="0" w:after="0" w:afterAutospacing="0" w:line="360" w:lineRule="auto"/>
        <w:ind w:firstLine="420"/>
        <w:rPr>
          <w:sz w:val="21"/>
          <w:szCs w:val="21"/>
        </w:rPr>
      </w:pPr>
      <w:r>
        <w:rPr>
          <w:rFonts w:hint="eastAsia"/>
          <w:b/>
          <w:bCs/>
          <w:sz w:val="21"/>
          <w:szCs w:val="21"/>
        </w:rPr>
        <w:t>(72)第一创业证券股份有限公司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http://www.firstcapital.com.cn/ </w:t>
            </w:r>
          </w:p>
        </w:tc>
      </w:tr>
    </w:tbl>
    <w:p>
      <w:pPr>
        <w:pStyle w:val="9"/>
        <w:spacing w:before="0" w:beforeAutospacing="0" w:after="0" w:afterAutospacing="0" w:line="360" w:lineRule="auto"/>
        <w:ind w:firstLine="420"/>
        <w:rPr>
          <w:sz w:val="21"/>
          <w:szCs w:val="21"/>
        </w:rPr>
      </w:pPr>
      <w:r>
        <w:rPr>
          <w:rFonts w:hint="eastAsia"/>
          <w:b/>
          <w:bCs/>
          <w:sz w:val="21"/>
          <w:szCs w:val="21"/>
        </w:rPr>
        <w:t>(73)中航证券有限公司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丛中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王丹妮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0791-6768763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0791-6789414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400-8866-567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http://www.avicsec.com/ </w:t>
            </w:r>
          </w:p>
        </w:tc>
      </w:tr>
    </w:tbl>
    <w:p>
      <w:pPr>
        <w:pStyle w:val="9"/>
        <w:spacing w:before="0" w:beforeAutospacing="0" w:after="0" w:afterAutospacing="0" w:line="360" w:lineRule="auto"/>
        <w:ind w:firstLine="420"/>
        <w:rPr>
          <w:sz w:val="21"/>
          <w:szCs w:val="21"/>
        </w:rPr>
      </w:pPr>
      <w:r>
        <w:rPr>
          <w:rFonts w:hint="eastAsia"/>
          <w:b/>
          <w:bCs/>
          <w:sz w:val="21"/>
          <w:szCs w:val="21"/>
        </w:rPr>
        <w:t>(74)西部证券股份有限公司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http://www.west95582.com/ </w:t>
            </w:r>
          </w:p>
        </w:tc>
      </w:tr>
    </w:tbl>
    <w:p>
      <w:pPr>
        <w:pStyle w:val="9"/>
        <w:spacing w:before="0" w:beforeAutospacing="0" w:after="0" w:afterAutospacing="0" w:line="360" w:lineRule="auto"/>
        <w:ind w:firstLine="420"/>
        <w:rPr>
          <w:sz w:val="21"/>
          <w:szCs w:val="21"/>
        </w:rPr>
      </w:pPr>
      <w:r>
        <w:rPr>
          <w:rFonts w:hint="eastAsia"/>
          <w:b/>
          <w:bCs/>
          <w:sz w:val="21"/>
          <w:szCs w:val="21"/>
        </w:rPr>
        <w:t>(75)华龙证券股份有限公司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 www.hlzq.com/  </w:t>
            </w:r>
          </w:p>
        </w:tc>
      </w:tr>
    </w:tbl>
    <w:p>
      <w:pPr>
        <w:pStyle w:val="9"/>
        <w:spacing w:before="0" w:beforeAutospacing="0" w:after="0" w:afterAutospacing="0" w:line="360" w:lineRule="auto"/>
        <w:ind w:firstLine="420"/>
        <w:rPr>
          <w:sz w:val="21"/>
          <w:szCs w:val="21"/>
        </w:rPr>
      </w:pPr>
      <w:r>
        <w:rPr>
          <w:rFonts w:hint="eastAsia"/>
          <w:b/>
          <w:bCs/>
          <w:sz w:val="21"/>
          <w:szCs w:val="21"/>
        </w:rPr>
        <w:t>(76)五矿证券有限公司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深圳市南山区粤海街道海珠社区滨海大道3165号五矿金融大厦2401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深圳市南山区滨海大道与后海滨路交汇处滨海大道3165号五矿金融大厦（18-25层）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黄海洲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赵晓棋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0755-23375447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http://www.wkzq.com.cn </w:t>
            </w:r>
          </w:p>
        </w:tc>
      </w:tr>
    </w:tbl>
    <w:p>
      <w:pPr>
        <w:pStyle w:val="9"/>
        <w:spacing w:before="0" w:beforeAutospacing="0" w:after="0" w:afterAutospacing="0" w:line="360" w:lineRule="auto"/>
        <w:ind w:firstLine="420"/>
        <w:rPr>
          <w:sz w:val="21"/>
          <w:szCs w:val="21"/>
        </w:rPr>
      </w:pPr>
      <w:r>
        <w:rPr>
          <w:rFonts w:hint="eastAsia"/>
          <w:b/>
          <w:bCs/>
          <w:sz w:val="21"/>
          <w:szCs w:val="21"/>
        </w:rPr>
        <w:t>(77)华鑫证券有限责任公司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2"/>
        <w:gridCol w:w="6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上海市黄浦区福州路666号6楼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http://www.cfsc.com.cn </w:t>
            </w:r>
          </w:p>
        </w:tc>
      </w:tr>
    </w:tbl>
    <w:p>
      <w:pPr>
        <w:pStyle w:val="9"/>
        <w:spacing w:before="0" w:beforeAutospacing="0" w:after="0" w:afterAutospacing="0" w:line="360" w:lineRule="auto"/>
        <w:ind w:firstLine="420"/>
        <w:rPr>
          <w:sz w:val="21"/>
          <w:szCs w:val="21"/>
        </w:rPr>
      </w:pPr>
      <w:r>
        <w:rPr>
          <w:rFonts w:hint="eastAsia"/>
          <w:b/>
          <w:bCs/>
          <w:sz w:val="21"/>
          <w:szCs w:val="21"/>
        </w:rPr>
        <w:t>(78)中国中金财富证券有限公司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http://www.china-invs.cn/ </w:t>
            </w:r>
          </w:p>
        </w:tc>
      </w:tr>
    </w:tbl>
    <w:p>
      <w:pPr>
        <w:pStyle w:val="9"/>
        <w:spacing w:before="0" w:beforeAutospacing="0" w:after="0" w:afterAutospacing="0" w:line="360" w:lineRule="auto"/>
        <w:ind w:firstLine="420"/>
        <w:rPr>
          <w:sz w:val="21"/>
          <w:szCs w:val="21"/>
        </w:rPr>
      </w:pPr>
      <w:r>
        <w:rPr>
          <w:rFonts w:hint="eastAsia"/>
          <w:b/>
          <w:bCs/>
          <w:sz w:val="21"/>
          <w:szCs w:val="21"/>
        </w:rPr>
        <w:t>(79)东方财富证券股份有限公司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http://www.18.cn </w:t>
            </w:r>
          </w:p>
        </w:tc>
      </w:tr>
    </w:tbl>
    <w:p>
      <w:pPr>
        <w:pStyle w:val="9"/>
        <w:spacing w:before="0" w:beforeAutospacing="0" w:after="0" w:afterAutospacing="0" w:line="360" w:lineRule="auto"/>
        <w:ind w:firstLine="420"/>
        <w:rPr>
          <w:sz w:val="21"/>
          <w:szCs w:val="21"/>
        </w:rPr>
      </w:pPr>
      <w:r>
        <w:rPr>
          <w:rFonts w:hint="eastAsia"/>
          <w:b/>
          <w:bCs/>
          <w:sz w:val="21"/>
          <w:szCs w:val="21"/>
        </w:rPr>
        <w:t>(80)粤开证券股份有限公司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广州市黄埔区科学大道60号开发区控股中心19、21、22、23层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广州市黄埔区科学大道60号开发区控股中心19、21、22、23层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http://www.ykzq.com </w:t>
            </w:r>
          </w:p>
        </w:tc>
      </w:tr>
    </w:tbl>
    <w:p>
      <w:pPr>
        <w:pStyle w:val="9"/>
        <w:spacing w:before="0" w:beforeAutospacing="0" w:after="0" w:afterAutospacing="0" w:line="360" w:lineRule="auto"/>
        <w:ind w:firstLine="420"/>
        <w:rPr>
          <w:sz w:val="21"/>
          <w:szCs w:val="21"/>
        </w:rPr>
      </w:pPr>
      <w:r>
        <w:rPr>
          <w:rFonts w:hint="eastAsia"/>
          <w:b/>
          <w:bCs/>
          <w:sz w:val="21"/>
          <w:szCs w:val="21"/>
        </w:rPr>
        <w:t>(81)江海证券有限公司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http://www.jhzq.com.cn </w:t>
            </w:r>
          </w:p>
        </w:tc>
      </w:tr>
    </w:tbl>
    <w:p>
      <w:pPr>
        <w:pStyle w:val="9"/>
        <w:spacing w:before="0" w:beforeAutospacing="0" w:after="0" w:afterAutospacing="0" w:line="360" w:lineRule="auto"/>
        <w:ind w:firstLine="420"/>
        <w:rPr>
          <w:sz w:val="21"/>
          <w:szCs w:val="21"/>
        </w:rPr>
      </w:pPr>
      <w:r>
        <w:rPr>
          <w:rFonts w:hint="eastAsia"/>
          <w:b/>
          <w:bCs/>
          <w:sz w:val="21"/>
          <w:szCs w:val="21"/>
        </w:rPr>
        <w:t>(82)国金证券股份有限公司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http://www.gjzq.com.cn </w:t>
            </w:r>
          </w:p>
        </w:tc>
      </w:tr>
    </w:tbl>
    <w:p>
      <w:pPr>
        <w:pStyle w:val="9"/>
        <w:spacing w:before="0" w:beforeAutospacing="0" w:after="0" w:afterAutospacing="0" w:line="360" w:lineRule="auto"/>
        <w:ind w:firstLine="420"/>
        <w:rPr>
          <w:sz w:val="21"/>
          <w:szCs w:val="21"/>
        </w:rPr>
      </w:pPr>
      <w:r>
        <w:rPr>
          <w:rFonts w:hint="eastAsia"/>
          <w:b/>
          <w:bCs/>
          <w:sz w:val="21"/>
          <w:szCs w:val="21"/>
        </w:rPr>
        <w:t>(83)长城国瑞证券有限公司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http://www.xmzq.cn </w:t>
            </w:r>
          </w:p>
        </w:tc>
      </w:tr>
    </w:tbl>
    <w:p>
      <w:pPr>
        <w:pStyle w:val="9"/>
        <w:spacing w:before="0" w:beforeAutospacing="0" w:after="0" w:afterAutospacing="0" w:line="360" w:lineRule="auto"/>
        <w:ind w:firstLine="420"/>
        <w:rPr>
          <w:sz w:val="21"/>
          <w:szCs w:val="21"/>
        </w:rPr>
      </w:pPr>
      <w:r>
        <w:rPr>
          <w:rFonts w:hint="eastAsia"/>
          <w:b/>
          <w:bCs/>
          <w:sz w:val="21"/>
          <w:szCs w:val="21"/>
        </w:rPr>
        <w:t>(84)英大证券有限责任公司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http://www.ydsc.com.cn </w:t>
            </w:r>
          </w:p>
        </w:tc>
      </w:tr>
    </w:tbl>
    <w:p>
      <w:pPr>
        <w:pStyle w:val="9"/>
        <w:spacing w:before="0" w:beforeAutospacing="0" w:after="0" w:afterAutospacing="0" w:line="360" w:lineRule="auto"/>
        <w:ind w:firstLine="420"/>
        <w:rPr>
          <w:sz w:val="21"/>
          <w:szCs w:val="21"/>
        </w:rPr>
      </w:pPr>
      <w:r>
        <w:rPr>
          <w:rFonts w:hint="eastAsia"/>
          <w:b/>
          <w:bCs/>
          <w:sz w:val="21"/>
          <w:szCs w:val="21"/>
        </w:rPr>
        <w:t>(85)国新证券股份有限公司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0"/>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北京市西城区车公庄大街4号2幢1层A2112室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北京市朝阳区朝阳门北大街18号中国人保寿险大厦12层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张海文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孙燕波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010-85556048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http://www.crsec.com.cn </w:t>
            </w:r>
          </w:p>
        </w:tc>
      </w:tr>
    </w:tbl>
    <w:p>
      <w:pPr>
        <w:pStyle w:val="9"/>
        <w:spacing w:before="0" w:beforeAutospacing="0" w:after="0" w:afterAutospacing="0" w:line="360" w:lineRule="auto"/>
        <w:ind w:firstLine="420"/>
        <w:rPr>
          <w:sz w:val="21"/>
          <w:szCs w:val="21"/>
        </w:rPr>
      </w:pPr>
      <w:r>
        <w:rPr>
          <w:rFonts w:hint="eastAsia"/>
          <w:b/>
          <w:bCs/>
          <w:sz w:val="21"/>
          <w:szCs w:val="21"/>
        </w:rPr>
        <w:t>(86)首创证券股份有限公司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www.sczq.com.cn </w:t>
            </w:r>
          </w:p>
        </w:tc>
      </w:tr>
    </w:tbl>
    <w:p>
      <w:pPr>
        <w:pStyle w:val="9"/>
        <w:spacing w:before="0" w:beforeAutospacing="0" w:after="0" w:afterAutospacing="0" w:line="360" w:lineRule="auto"/>
        <w:ind w:firstLine="420"/>
        <w:rPr>
          <w:sz w:val="21"/>
          <w:szCs w:val="21"/>
        </w:rPr>
      </w:pPr>
      <w:r>
        <w:rPr>
          <w:rFonts w:hint="eastAsia"/>
          <w:b/>
          <w:bCs/>
          <w:sz w:val="21"/>
          <w:szCs w:val="21"/>
        </w:rPr>
        <w:t>(87)开源证券股份有限公司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陕西省西安市高新区锦业路1号都市之门B座5层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陕西省西安市高新区锦业路1号都市之门B座5层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李刚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张蕊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029-88365809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86-29-88365835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95325 /400-860-8866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http://www.kysec.cn/ </w:t>
            </w:r>
          </w:p>
        </w:tc>
      </w:tr>
    </w:tbl>
    <w:p>
      <w:pPr>
        <w:pStyle w:val="9"/>
        <w:spacing w:before="0" w:beforeAutospacing="0" w:after="0" w:afterAutospacing="0" w:line="360" w:lineRule="auto"/>
        <w:ind w:firstLine="420"/>
        <w:rPr>
          <w:sz w:val="21"/>
          <w:szCs w:val="21"/>
        </w:rPr>
      </w:pPr>
      <w:r>
        <w:rPr>
          <w:rFonts w:hint="eastAsia"/>
          <w:b/>
          <w:bCs/>
          <w:sz w:val="21"/>
          <w:szCs w:val="21"/>
        </w:rPr>
        <w:t>(88)华瑞保险销售有限公司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www.huaruisales.com </w:t>
            </w:r>
          </w:p>
        </w:tc>
      </w:tr>
    </w:tbl>
    <w:p>
      <w:pPr>
        <w:pStyle w:val="9"/>
        <w:spacing w:before="0" w:beforeAutospacing="0" w:after="0" w:afterAutospacing="0" w:line="360" w:lineRule="auto"/>
        <w:ind w:firstLine="420"/>
        <w:rPr>
          <w:sz w:val="21"/>
          <w:szCs w:val="21"/>
        </w:rPr>
      </w:pPr>
      <w:r>
        <w:rPr>
          <w:rFonts w:hint="eastAsia"/>
          <w:b/>
          <w:bCs/>
          <w:sz w:val="21"/>
          <w:szCs w:val="21"/>
        </w:rPr>
        <w:t>(89)玄元保险代理有限公司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www.licaimofang.com </w:t>
            </w:r>
          </w:p>
        </w:tc>
      </w:tr>
    </w:tbl>
    <w:p>
      <w:pPr>
        <w:pStyle w:val="9"/>
        <w:spacing w:before="0" w:beforeAutospacing="0" w:after="0" w:afterAutospacing="0" w:line="360" w:lineRule="auto"/>
        <w:ind w:firstLine="420"/>
        <w:rPr>
          <w:sz w:val="21"/>
          <w:szCs w:val="21"/>
        </w:rPr>
      </w:pPr>
      <w:r>
        <w:rPr>
          <w:rFonts w:hint="eastAsia"/>
          <w:b/>
          <w:bCs/>
          <w:sz w:val="21"/>
          <w:szCs w:val="21"/>
        </w:rPr>
        <w:t>(90)阳光人寿保险股份有限公司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7"/>
        <w:gridCol w:w="6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http://fund.sinosig.com/ </w:t>
            </w:r>
          </w:p>
        </w:tc>
      </w:tr>
    </w:tbl>
    <w:p>
      <w:pPr>
        <w:pStyle w:val="9"/>
        <w:spacing w:before="0" w:beforeAutospacing="0" w:after="0" w:afterAutospacing="0" w:line="360" w:lineRule="auto"/>
        <w:ind w:firstLine="420"/>
        <w:rPr>
          <w:sz w:val="21"/>
          <w:szCs w:val="21"/>
        </w:rPr>
      </w:pPr>
      <w:r>
        <w:rPr>
          <w:rFonts w:hint="eastAsia"/>
          <w:b/>
          <w:bCs/>
          <w:sz w:val="21"/>
          <w:szCs w:val="21"/>
        </w:rPr>
        <w:t>(91)锦州银行股份有限公司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辽宁省锦州市科技路68号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辽宁省锦州市科技路68号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魏学坤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吴舒钰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0416-4516095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传真： </w:t>
            </w:r>
          </w:p>
        </w:tc>
        <w:tc>
          <w:tcPr>
            <w:tcW w:w="7440" w:type="dxa"/>
            <w:shd w:val="clear" w:color="auto" w:fill="auto"/>
          </w:tcPr>
          <w:p>
            <w:pPr>
              <w:pStyle w:val="9"/>
            </w:pPr>
            <w:r>
              <w:rPr>
                <w:rFonts w:hint="eastAsia"/>
              </w:rPr>
              <w:t xml:space="preserve">0416-3220186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400-66-96178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www.jinzhoubank.com </w:t>
            </w:r>
          </w:p>
        </w:tc>
      </w:tr>
    </w:tbl>
    <w:p>
      <w:pPr>
        <w:pStyle w:val="9"/>
        <w:spacing w:before="0" w:beforeAutospacing="0" w:after="0" w:afterAutospacing="0" w:line="360" w:lineRule="auto"/>
        <w:ind w:firstLine="420"/>
        <w:rPr>
          <w:sz w:val="21"/>
          <w:szCs w:val="21"/>
        </w:rPr>
      </w:pPr>
      <w:r>
        <w:rPr>
          <w:rFonts w:hint="eastAsia"/>
          <w:b/>
          <w:bCs/>
          <w:sz w:val="21"/>
          <w:szCs w:val="21"/>
        </w:rPr>
        <w:t>(92)深圳前海微众银行股份有限公司</w:t>
      </w:r>
    </w:p>
    <w:tbl>
      <w:tblPr>
        <w:tblStyle w:val="12"/>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注册地址： </w:t>
            </w:r>
          </w:p>
        </w:tc>
        <w:tc>
          <w:tcPr>
            <w:tcW w:w="7440" w:type="dxa"/>
            <w:shd w:val="clear" w:color="auto" w:fill="auto"/>
          </w:tcPr>
          <w:p>
            <w:pPr>
              <w:pStyle w:val="9"/>
            </w:pPr>
            <w:r>
              <w:rPr>
                <w:rFonts w:hint="eastAsia"/>
              </w:rPr>
              <w:t xml:space="preserve">广东省深圳市前海深港合作区前湾一路 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办公地址： </w:t>
            </w:r>
          </w:p>
        </w:tc>
        <w:tc>
          <w:tcPr>
            <w:tcW w:w="7440" w:type="dxa"/>
            <w:shd w:val="clear" w:color="auto" w:fill="auto"/>
          </w:tcPr>
          <w:p>
            <w:pPr>
              <w:pStyle w:val="9"/>
            </w:pPr>
            <w:r>
              <w:rPr>
                <w:rFonts w:hint="eastAsia"/>
              </w:rPr>
              <w:t xml:space="preserve">深圳市南山区沙河西路1819号深圳湾科技生态园7栋A座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法定代表人： </w:t>
            </w:r>
          </w:p>
        </w:tc>
        <w:tc>
          <w:tcPr>
            <w:tcW w:w="7440" w:type="dxa"/>
            <w:shd w:val="clear" w:color="auto" w:fill="auto"/>
          </w:tcPr>
          <w:p>
            <w:pPr>
              <w:pStyle w:val="9"/>
            </w:pPr>
            <w:r>
              <w:rPr>
                <w:rFonts w:hint="eastAsia"/>
              </w:rPr>
              <w:t xml:space="preserve">顾敏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联系人： </w:t>
            </w:r>
          </w:p>
        </w:tc>
        <w:tc>
          <w:tcPr>
            <w:tcW w:w="7440" w:type="dxa"/>
            <w:shd w:val="clear" w:color="auto" w:fill="auto"/>
          </w:tcPr>
          <w:p>
            <w:pPr>
              <w:pStyle w:val="9"/>
            </w:pPr>
            <w:r>
              <w:rPr>
                <w:rFonts w:hint="eastAsia"/>
              </w:rPr>
              <w:t xml:space="preserve">白冰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电话： </w:t>
            </w:r>
          </w:p>
        </w:tc>
        <w:tc>
          <w:tcPr>
            <w:tcW w:w="7440" w:type="dxa"/>
            <w:shd w:val="clear" w:color="auto" w:fill="auto"/>
          </w:tcPr>
          <w:p>
            <w:pPr>
              <w:pStyle w:val="9"/>
            </w:pPr>
            <w:r>
              <w:rPr>
                <w:rFonts w:hint="eastAsia"/>
              </w:rPr>
              <w:t xml:space="preserve">89959999-3306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客户服务电话： </w:t>
            </w:r>
          </w:p>
        </w:tc>
        <w:tc>
          <w:tcPr>
            <w:tcW w:w="7440" w:type="dxa"/>
            <w:shd w:val="clear" w:color="auto" w:fill="auto"/>
          </w:tcPr>
          <w:p>
            <w:pPr>
              <w:pStyle w:val="9"/>
            </w:pPr>
            <w:r>
              <w:rPr>
                <w:rFonts w:hint="eastAsia"/>
              </w:rPr>
              <w:t xml:space="preserve">95384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9"/>
            </w:pPr>
            <w:r>
              <w:rPr>
                <w:rFonts w:hint="eastAsia"/>
              </w:rPr>
              <w:t xml:space="preserve">网址： </w:t>
            </w:r>
          </w:p>
        </w:tc>
        <w:tc>
          <w:tcPr>
            <w:tcW w:w="7440" w:type="dxa"/>
            <w:shd w:val="clear" w:color="auto" w:fill="auto"/>
          </w:tcPr>
          <w:p>
            <w:pPr>
              <w:pStyle w:val="9"/>
            </w:pPr>
            <w:r>
              <w:rPr>
                <w:rFonts w:hint="eastAsia"/>
              </w:rPr>
              <w:t xml:space="preserve">http://www.webank.com/ </w:t>
            </w:r>
          </w:p>
        </w:tc>
      </w:tr>
    </w:tbl>
    <w:p>
      <w:pPr>
        <w:rPr>
          <w:rFonts w:ascii="宋体" w:hAnsi="宋体" w:eastAsia="宋体"/>
          <w:sz w:val="24"/>
          <w:szCs w:val="24"/>
        </w:rPr>
      </w:pPr>
      <w:bookmarkStart w:id="57" w:name="field_0_allproxysaletables_1_end"/>
      <w:bookmarkEnd w:id="57"/>
      <w:r>
        <w:rPr>
          <w:rFonts w:ascii="宋体" w:hAnsi="宋体" w:eastAsia="宋体"/>
        </w:rPr>
        <w:t xml:space="preserve">  </w:t>
      </w:r>
    </w:p>
    <w:p>
      <w:pPr>
        <w:pStyle w:val="9"/>
        <w:spacing w:before="0" w:beforeAutospacing="0" w:after="0" w:afterAutospacing="0" w:line="360" w:lineRule="auto"/>
        <w:ind w:firstLine="420"/>
        <w:rPr>
          <w:sz w:val="21"/>
          <w:szCs w:val="21"/>
        </w:rPr>
      </w:pPr>
      <w:bookmarkStart w:id="58" w:name="chapter_level1_7_56_section_2_end"/>
      <w:bookmarkEnd w:id="58"/>
    </w:p>
    <w:p>
      <w:pPr>
        <w:pStyle w:val="9"/>
        <w:spacing w:before="0" w:beforeAutospacing="0" w:after="0" w:afterAutospacing="0" w:line="360" w:lineRule="auto"/>
        <w:ind w:firstLine="420"/>
        <w:rPr>
          <w:sz w:val="21"/>
          <w:szCs w:val="21"/>
        </w:rPr>
      </w:pPr>
      <w:bookmarkStart w:id="59" w:name="chapter_level1_7_56_section_3"/>
      <w:bookmarkEnd w:id="59"/>
      <w:r>
        <w:rPr>
          <w:rStyle w:val="14"/>
          <w:rFonts w:hint="eastAsia"/>
          <w:sz w:val="21"/>
          <w:szCs w:val="21"/>
        </w:rPr>
        <w:t>二、登记机构</w:t>
      </w:r>
    </w:p>
    <w:p>
      <w:pPr>
        <w:pStyle w:val="9"/>
        <w:spacing w:before="0" w:beforeAutospacing="0" w:after="0" w:afterAutospacing="0" w:line="360" w:lineRule="auto"/>
        <w:ind w:firstLine="420"/>
        <w:rPr>
          <w:sz w:val="21"/>
          <w:szCs w:val="21"/>
        </w:rPr>
      </w:pPr>
      <w:bookmarkStart w:id="60" w:name="field_0_registercompanyinfo_1_start"/>
      <w:bookmarkEnd w:id="60"/>
      <w:r>
        <w:rPr>
          <w:rFonts w:hint="eastAsia"/>
          <w:sz w:val="21"/>
          <w:szCs w:val="21"/>
        </w:rPr>
        <w:t xml:space="preserve">名称：博时基金管理有限公司 </w:t>
      </w:r>
    </w:p>
    <w:p>
      <w:pPr>
        <w:pStyle w:val="9"/>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9"/>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办公地址：北京市东城区建国门内大街8号中粮广场C座3层301 </w:t>
      </w:r>
    </w:p>
    <w:p>
      <w:pPr>
        <w:pStyle w:val="9"/>
        <w:spacing w:before="0" w:beforeAutospacing="0" w:after="0" w:afterAutospacing="0" w:line="360" w:lineRule="auto"/>
        <w:ind w:firstLine="420"/>
        <w:rPr>
          <w:sz w:val="21"/>
          <w:szCs w:val="21"/>
        </w:rPr>
      </w:pPr>
      <w:r>
        <w:rPr>
          <w:rFonts w:hint="eastAsia"/>
          <w:sz w:val="21"/>
          <w:szCs w:val="21"/>
        </w:rPr>
        <w:t xml:space="preserve">法定代表人：江向阳 </w:t>
      </w:r>
    </w:p>
    <w:p>
      <w:pPr>
        <w:pStyle w:val="9"/>
        <w:spacing w:before="0" w:beforeAutospacing="0" w:after="0" w:afterAutospacing="0" w:line="360" w:lineRule="auto"/>
        <w:ind w:firstLine="420"/>
        <w:rPr>
          <w:sz w:val="21"/>
          <w:szCs w:val="21"/>
        </w:rPr>
      </w:pPr>
      <w:r>
        <w:rPr>
          <w:rFonts w:hint="eastAsia"/>
          <w:sz w:val="21"/>
          <w:szCs w:val="21"/>
        </w:rPr>
        <w:t xml:space="preserve">电话： 010-65171166 </w:t>
      </w:r>
    </w:p>
    <w:p>
      <w:pPr>
        <w:pStyle w:val="9"/>
        <w:spacing w:before="0" w:beforeAutospacing="0" w:after="0" w:afterAutospacing="0" w:line="360" w:lineRule="auto"/>
        <w:ind w:firstLine="420"/>
        <w:rPr>
          <w:sz w:val="21"/>
          <w:szCs w:val="21"/>
        </w:rPr>
      </w:pPr>
      <w:r>
        <w:rPr>
          <w:rFonts w:hint="eastAsia"/>
          <w:sz w:val="21"/>
          <w:szCs w:val="21"/>
        </w:rPr>
        <w:t xml:space="preserve">传真： 010-65187068 </w:t>
      </w:r>
    </w:p>
    <w:p>
      <w:pPr>
        <w:pStyle w:val="9"/>
        <w:spacing w:before="0" w:beforeAutospacing="0" w:after="0" w:afterAutospacing="0" w:line="360" w:lineRule="auto"/>
        <w:ind w:firstLine="420"/>
        <w:rPr>
          <w:sz w:val="21"/>
          <w:szCs w:val="21"/>
        </w:rPr>
      </w:pPr>
      <w:r>
        <w:rPr>
          <w:rFonts w:hint="eastAsia"/>
          <w:sz w:val="21"/>
          <w:szCs w:val="21"/>
        </w:rPr>
        <w:t xml:space="preserve">联系人：何京京 </w:t>
      </w:r>
      <w:bookmarkStart w:id="61" w:name="field_0_registercompanyinfo_1_end"/>
      <w:bookmarkEnd w:id="61"/>
      <w:r>
        <w:rPr>
          <w:rFonts w:hint="eastAsia"/>
          <w:sz w:val="21"/>
          <w:szCs w:val="21"/>
        </w:rPr>
        <w:t xml:space="preserve"> </w:t>
      </w:r>
    </w:p>
    <w:p>
      <w:pPr>
        <w:pStyle w:val="9"/>
        <w:spacing w:before="0" w:beforeAutospacing="0" w:after="0" w:afterAutospacing="0" w:line="360" w:lineRule="auto"/>
        <w:ind w:firstLine="420"/>
        <w:rPr>
          <w:sz w:val="21"/>
          <w:szCs w:val="21"/>
        </w:rPr>
      </w:pPr>
      <w:r>
        <w:rPr>
          <w:rStyle w:val="14"/>
          <w:rFonts w:hint="eastAsia"/>
          <w:sz w:val="21"/>
          <w:szCs w:val="21"/>
        </w:rPr>
        <w:t>三、出具法律意见书的律师事务所</w:t>
      </w:r>
    </w:p>
    <w:p>
      <w:pPr>
        <w:pStyle w:val="9"/>
        <w:spacing w:before="0" w:beforeAutospacing="0" w:after="0" w:afterAutospacing="0" w:line="360" w:lineRule="auto"/>
        <w:ind w:firstLine="420"/>
        <w:rPr>
          <w:sz w:val="21"/>
          <w:szCs w:val="21"/>
        </w:rPr>
      </w:pPr>
      <w:r>
        <w:rPr>
          <w:rFonts w:hint="eastAsia"/>
          <w:sz w:val="21"/>
          <w:szCs w:val="21"/>
        </w:rPr>
        <w:t xml:space="preserve">名称：上海市通力律师事务所 </w:t>
      </w:r>
    </w:p>
    <w:p>
      <w:pPr>
        <w:pStyle w:val="9"/>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pPr>
        <w:pStyle w:val="9"/>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pPr>
        <w:pStyle w:val="9"/>
        <w:spacing w:before="0" w:beforeAutospacing="0" w:after="0" w:afterAutospacing="0" w:line="360" w:lineRule="auto"/>
        <w:ind w:firstLine="420"/>
        <w:rPr>
          <w:sz w:val="21"/>
          <w:szCs w:val="21"/>
        </w:rPr>
      </w:pPr>
      <w:r>
        <w:rPr>
          <w:rFonts w:hint="eastAsia"/>
          <w:sz w:val="21"/>
          <w:szCs w:val="21"/>
        </w:rPr>
        <w:t xml:space="preserve">负责人：韩炯 </w:t>
      </w:r>
    </w:p>
    <w:p>
      <w:pPr>
        <w:pStyle w:val="9"/>
        <w:spacing w:before="0" w:beforeAutospacing="0" w:after="0" w:afterAutospacing="0" w:line="360" w:lineRule="auto"/>
        <w:ind w:firstLine="420"/>
        <w:rPr>
          <w:sz w:val="21"/>
          <w:szCs w:val="21"/>
        </w:rPr>
      </w:pPr>
      <w:r>
        <w:rPr>
          <w:rFonts w:hint="eastAsia"/>
          <w:sz w:val="21"/>
          <w:szCs w:val="21"/>
        </w:rPr>
        <w:t xml:space="preserve">电话： 021- 31358666 </w:t>
      </w:r>
    </w:p>
    <w:p>
      <w:pPr>
        <w:pStyle w:val="9"/>
        <w:spacing w:before="0" w:beforeAutospacing="0" w:after="0" w:afterAutospacing="0" w:line="360" w:lineRule="auto"/>
        <w:ind w:firstLine="420"/>
        <w:rPr>
          <w:sz w:val="21"/>
          <w:szCs w:val="21"/>
        </w:rPr>
      </w:pPr>
      <w:r>
        <w:rPr>
          <w:rFonts w:hint="eastAsia"/>
          <w:sz w:val="21"/>
          <w:szCs w:val="21"/>
        </w:rPr>
        <w:t xml:space="preserve">传真： 021- 31358600 </w:t>
      </w:r>
    </w:p>
    <w:p>
      <w:pPr>
        <w:pStyle w:val="9"/>
        <w:spacing w:before="0" w:beforeAutospacing="0" w:after="0" w:afterAutospacing="0" w:line="360" w:lineRule="auto"/>
        <w:ind w:firstLine="420"/>
        <w:rPr>
          <w:sz w:val="21"/>
          <w:szCs w:val="21"/>
        </w:rPr>
      </w:pPr>
      <w:r>
        <w:rPr>
          <w:rFonts w:hint="eastAsia"/>
          <w:sz w:val="21"/>
          <w:szCs w:val="21"/>
        </w:rPr>
        <w:t xml:space="preserve">联系人：陆奇 </w:t>
      </w:r>
    </w:p>
    <w:p>
      <w:pPr>
        <w:pStyle w:val="9"/>
        <w:spacing w:before="0" w:beforeAutospacing="0" w:after="0" w:afterAutospacing="0" w:line="360" w:lineRule="auto"/>
        <w:ind w:firstLine="420"/>
        <w:rPr>
          <w:sz w:val="21"/>
          <w:szCs w:val="21"/>
        </w:rPr>
      </w:pPr>
      <w:r>
        <w:rPr>
          <w:rFonts w:hint="eastAsia"/>
          <w:sz w:val="21"/>
          <w:szCs w:val="21"/>
        </w:rPr>
        <w:t xml:space="preserve">经办律师：安冬、陆奇 </w:t>
      </w:r>
    </w:p>
    <w:p>
      <w:pPr>
        <w:pStyle w:val="9"/>
        <w:spacing w:before="0" w:beforeAutospacing="0" w:after="0" w:afterAutospacing="0" w:line="360" w:lineRule="auto"/>
        <w:ind w:firstLine="420"/>
        <w:rPr>
          <w:sz w:val="21"/>
          <w:szCs w:val="21"/>
        </w:rPr>
      </w:pPr>
      <w:r>
        <w:rPr>
          <w:rStyle w:val="14"/>
          <w:rFonts w:hint="eastAsia"/>
          <w:sz w:val="21"/>
          <w:szCs w:val="21"/>
        </w:rPr>
        <w:t>四、会计师事务所和经办注册会计师</w:t>
      </w:r>
    </w:p>
    <w:p>
      <w:pPr>
        <w:pStyle w:val="9"/>
        <w:spacing w:before="0" w:beforeAutospacing="0" w:after="0" w:afterAutospacing="0" w:line="360" w:lineRule="auto"/>
        <w:ind w:firstLine="420"/>
        <w:rPr>
          <w:sz w:val="21"/>
          <w:szCs w:val="21"/>
        </w:rPr>
      </w:pPr>
      <w:r>
        <w:rPr>
          <w:rFonts w:hint="eastAsia"/>
          <w:sz w:val="21"/>
          <w:szCs w:val="21"/>
        </w:rPr>
        <w:t>本基金的法定验资机构和年度财务报表及其他规定事项的审计机构为</w:t>
      </w:r>
      <w:bookmarkStart w:id="62" w:name="field_0_accountingorgfullname_1"/>
      <w:r>
        <w:rPr>
          <w:rFonts w:hint="eastAsia"/>
          <w:sz w:val="21"/>
          <w:szCs w:val="21"/>
        </w:rPr>
        <w:t>安永华明会计师事务所（特殊普通合伙）</w:t>
      </w:r>
      <w:bookmarkEnd w:id="62"/>
      <w:r>
        <w:rPr>
          <w:rFonts w:hint="eastAsia"/>
          <w:sz w:val="21"/>
          <w:szCs w:val="21"/>
        </w:rPr>
        <w:t xml:space="preserve"> </w:t>
      </w:r>
    </w:p>
    <w:p>
      <w:pPr>
        <w:pStyle w:val="9"/>
        <w:spacing w:before="0" w:beforeAutospacing="0" w:after="0" w:afterAutospacing="0" w:line="360" w:lineRule="auto"/>
        <w:ind w:firstLine="420"/>
        <w:rPr>
          <w:sz w:val="21"/>
          <w:szCs w:val="21"/>
        </w:rPr>
      </w:pPr>
      <w:bookmarkStart w:id="63" w:name="field_0_accountingcompanyinfo_1_start"/>
      <w:bookmarkEnd w:id="63"/>
      <w:r>
        <w:rPr>
          <w:rFonts w:hint="eastAsia"/>
          <w:sz w:val="21"/>
          <w:szCs w:val="21"/>
        </w:rPr>
        <w:t xml:space="preserve">名称：安永华明会计师事务所（特殊普通合伙） </w:t>
      </w:r>
    </w:p>
    <w:p>
      <w:pPr>
        <w:pStyle w:val="9"/>
        <w:spacing w:before="0" w:beforeAutospacing="0" w:after="0" w:afterAutospacing="0" w:line="360" w:lineRule="auto"/>
        <w:ind w:firstLine="420"/>
        <w:rPr>
          <w:sz w:val="21"/>
          <w:szCs w:val="21"/>
        </w:rPr>
      </w:pPr>
      <w:r>
        <w:rPr>
          <w:rFonts w:hint="eastAsia"/>
          <w:sz w:val="21"/>
          <w:szCs w:val="21"/>
        </w:rPr>
        <w:t xml:space="preserve">住所： 北京市东城区东长安街1号东方广场安永大楼17层01-12室  </w:t>
      </w:r>
    </w:p>
    <w:p>
      <w:pPr>
        <w:pStyle w:val="9"/>
        <w:spacing w:before="0" w:beforeAutospacing="0" w:after="0" w:afterAutospacing="0" w:line="360" w:lineRule="auto"/>
        <w:ind w:firstLine="420"/>
        <w:rPr>
          <w:sz w:val="21"/>
          <w:szCs w:val="21"/>
        </w:rPr>
      </w:pPr>
      <w:r>
        <w:rPr>
          <w:rFonts w:hint="eastAsia"/>
          <w:sz w:val="21"/>
          <w:szCs w:val="21"/>
        </w:rPr>
        <w:t xml:space="preserve">办公地址：北京市东城区东长安街1号东方广场安永大楼17层01-12室  </w:t>
      </w:r>
    </w:p>
    <w:p>
      <w:pPr>
        <w:pStyle w:val="9"/>
        <w:spacing w:before="0" w:beforeAutospacing="0" w:after="0" w:afterAutospacing="0" w:line="360" w:lineRule="auto"/>
        <w:ind w:firstLine="420"/>
        <w:rPr>
          <w:sz w:val="21"/>
          <w:szCs w:val="21"/>
        </w:rPr>
      </w:pPr>
      <w:r>
        <w:rPr>
          <w:rFonts w:hint="eastAsia"/>
          <w:sz w:val="21"/>
          <w:szCs w:val="21"/>
        </w:rPr>
        <w:t xml:space="preserve">执行事务合伙人：毛鞍宁  </w:t>
      </w:r>
    </w:p>
    <w:p>
      <w:pPr>
        <w:pStyle w:val="9"/>
        <w:spacing w:before="0" w:beforeAutospacing="0" w:after="0" w:afterAutospacing="0" w:line="360" w:lineRule="auto"/>
        <w:ind w:firstLine="420"/>
        <w:rPr>
          <w:sz w:val="21"/>
          <w:szCs w:val="21"/>
        </w:rPr>
      </w:pPr>
      <w:r>
        <w:rPr>
          <w:rFonts w:hint="eastAsia"/>
          <w:sz w:val="21"/>
          <w:szCs w:val="21"/>
        </w:rPr>
        <w:t xml:space="preserve">联系电话：（010）58153000  </w:t>
      </w:r>
    </w:p>
    <w:p>
      <w:pPr>
        <w:pStyle w:val="9"/>
        <w:spacing w:before="0" w:beforeAutospacing="0" w:after="0" w:afterAutospacing="0" w:line="360" w:lineRule="auto"/>
        <w:ind w:firstLine="420"/>
        <w:rPr>
          <w:sz w:val="21"/>
          <w:szCs w:val="21"/>
        </w:rPr>
      </w:pPr>
      <w:r>
        <w:rPr>
          <w:rFonts w:hint="eastAsia"/>
          <w:sz w:val="21"/>
          <w:szCs w:val="21"/>
        </w:rPr>
        <w:t xml:space="preserve">传真电话：（010）85188298  </w:t>
      </w:r>
    </w:p>
    <w:p>
      <w:pPr>
        <w:pStyle w:val="9"/>
        <w:spacing w:before="0" w:beforeAutospacing="0" w:after="0" w:afterAutospacing="0" w:line="360" w:lineRule="auto"/>
        <w:ind w:firstLine="420"/>
        <w:rPr>
          <w:sz w:val="21"/>
          <w:szCs w:val="21"/>
        </w:rPr>
      </w:pPr>
      <w:r>
        <w:rPr>
          <w:rFonts w:hint="eastAsia"/>
          <w:sz w:val="21"/>
          <w:szCs w:val="21"/>
        </w:rPr>
        <w:t xml:space="preserve">经办注册会计师： 蒋燕华、朱燕 </w:t>
      </w:r>
    </w:p>
    <w:p>
      <w:pPr>
        <w:pStyle w:val="9"/>
        <w:spacing w:before="0" w:beforeAutospacing="0" w:after="0" w:afterAutospacing="0" w:line="360" w:lineRule="auto"/>
        <w:ind w:firstLine="420"/>
        <w:rPr>
          <w:sz w:val="21"/>
          <w:szCs w:val="21"/>
        </w:rPr>
      </w:pPr>
      <w:bookmarkStart w:id="64" w:name="chapter_level1_7_56_section_3_end"/>
      <w:bookmarkEnd w:id="64"/>
      <w:r>
        <w:rPr>
          <w:rFonts w:hint="eastAsia"/>
          <w:sz w:val="21"/>
          <w:szCs w:val="21"/>
        </w:rPr>
        <w:t xml:space="preserve">联系人：朱燕 </w:t>
      </w:r>
      <w:bookmarkStart w:id="65" w:name="field_0_accountingcompanyinfo_1_end"/>
      <w:bookmarkEnd w:id="65"/>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6" w:name="_Toc151126545"/>
      <w:bookmarkStart w:id="67" w:name="chapter_level1_9_58"/>
      <w:r>
        <w:rPr>
          <w:rFonts w:hint="eastAsia" w:ascii="宋体" w:hAnsi="宋体" w:eastAsia="宋体"/>
          <w:sz w:val="30"/>
        </w:rPr>
        <w:t>第六部分 基金的募集与基金合同的生效</w:t>
      </w:r>
      <w:bookmarkEnd w:id="66"/>
      <w:bookmarkEnd w:id="67"/>
    </w:p>
    <w:p>
      <w:pPr>
        <w:pStyle w:val="9"/>
        <w:spacing w:before="0" w:beforeAutospacing="0" w:after="0" w:afterAutospacing="0" w:line="360" w:lineRule="auto"/>
        <w:ind w:firstLine="420"/>
        <w:rPr>
          <w:sz w:val="21"/>
          <w:szCs w:val="21"/>
        </w:rPr>
      </w:pPr>
      <w:bookmarkStart w:id="68" w:name="chapter_level1_9_58_section_1"/>
      <w:bookmarkEnd w:id="68"/>
      <w:r>
        <w:rPr>
          <w:rFonts w:hint="eastAsia"/>
          <w:b/>
          <w:bCs/>
          <w:sz w:val="21"/>
          <w:szCs w:val="21"/>
        </w:rPr>
        <w:t>一．基金的募集</w:t>
      </w:r>
    </w:p>
    <w:p>
      <w:pPr>
        <w:pStyle w:val="9"/>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69" w:name="field_2343_approveddate_1"/>
      <w:r>
        <w:rPr>
          <w:sz w:val="21"/>
          <w:szCs w:val="21"/>
        </w:rPr>
        <w:t>2023年2月2日</w:t>
      </w:r>
      <w:bookmarkEnd w:id="69"/>
      <w:r>
        <w:rPr>
          <w:rFonts w:hint="eastAsia"/>
          <w:sz w:val="21"/>
          <w:szCs w:val="21"/>
        </w:rPr>
        <w:t>证监许可</w:t>
      </w:r>
      <w:bookmarkStart w:id="70" w:name="field_2343_lotnumber_1"/>
      <w:r>
        <w:rPr>
          <w:sz w:val="21"/>
          <w:szCs w:val="21"/>
        </w:rPr>
        <w:t>[2023]231</w:t>
      </w:r>
      <w:bookmarkEnd w:id="70"/>
      <w:r>
        <w:rPr>
          <w:rFonts w:hint="eastAsia"/>
          <w:sz w:val="21"/>
          <w:szCs w:val="21"/>
        </w:rPr>
        <w:t xml:space="preserve">号文准予募集注册。 </w:t>
      </w:r>
    </w:p>
    <w:p>
      <w:pPr>
        <w:pStyle w:val="9"/>
        <w:spacing w:before="0" w:beforeAutospacing="0" w:after="0" w:afterAutospacing="0" w:line="360" w:lineRule="auto"/>
        <w:ind w:firstLine="420"/>
        <w:rPr>
          <w:sz w:val="21"/>
          <w:szCs w:val="21"/>
        </w:rPr>
      </w:pPr>
      <w:r>
        <w:rPr>
          <w:rFonts w:hint="eastAsia"/>
          <w:sz w:val="21"/>
          <w:szCs w:val="21"/>
        </w:rPr>
        <w:t>本基金募集期自</w:t>
      </w:r>
      <w:bookmarkStart w:id="71" w:name="field_58_raisebegindate_1"/>
      <w:r>
        <w:rPr>
          <w:sz w:val="21"/>
          <w:szCs w:val="21"/>
        </w:rPr>
        <w:t>2023年4月3日</w:t>
      </w:r>
      <w:bookmarkEnd w:id="71"/>
      <w:r>
        <w:rPr>
          <w:rFonts w:hint="eastAsia"/>
          <w:sz w:val="21"/>
          <w:szCs w:val="21"/>
        </w:rPr>
        <w:t>至</w:t>
      </w:r>
      <w:bookmarkStart w:id="72" w:name="field_58_raiseenddate_1"/>
      <w:r>
        <w:rPr>
          <w:sz w:val="21"/>
          <w:szCs w:val="21"/>
        </w:rPr>
        <w:t>2023年5月12日</w:t>
      </w:r>
      <w:bookmarkEnd w:id="72"/>
      <w:r>
        <w:rPr>
          <w:rFonts w:hint="eastAsia"/>
          <w:sz w:val="21"/>
          <w:szCs w:val="21"/>
        </w:rPr>
        <w:t>期间，基金份额共募集</w:t>
      </w:r>
      <w:bookmarkStart w:id="73" w:name="field_58_raisetotal_1"/>
      <w:r>
        <w:rPr>
          <w:sz w:val="21"/>
          <w:szCs w:val="21"/>
        </w:rPr>
        <w:t>247,367,304.59</w:t>
      </w:r>
      <w:bookmarkEnd w:id="73"/>
      <w:r>
        <w:rPr>
          <w:rFonts w:hint="eastAsia"/>
          <w:sz w:val="21"/>
          <w:szCs w:val="21"/>
        </w:rPr>
        <w:t>份（含利息结转的份额），募集有效认购总户数为</w:t>
      </w:r>
      <w:bookmarkStart w:id="74" w:name="field_58_effectivetotal_1"/>
      <w:r>
        <w:rPr>
          <w:sz w:val="21"/>
          <w:szCs w:val="21"/>
        </w:rPr>
        <w:t>4,131</w:t>
      </w:r>
      <w:bookmarkEnd w:id="74"/>
      <w:r>
        <w:rPr>
          <w:rFonts w:hint="eastAsia"/>
          <w:sz w:val="21"/>
          <w:szCs w:val="21"/>
        </w:rPr>
        <w:t xml:space="preserve">户。 </w:t>
      </w:r>
    </w:p>
    <w:p>
      <w:pPr>
        <w:pStyle w:val="9"/>
        <w:spacing w:before="0" w:beforeAutospacing="0" w:after="0" w:afterAutospacing="0" w:line="360" w:lineRule="auto"/>
        <w:ind w:firstLine="420"/>
        <w:rPr>
          <w:sz w:val="21"/>
          <w:szCs w:val="21"/>
        </w:rPr>
      </w:pPr>
      <w:r>
        <w:rPr>
          <w:rFonts w:hint="eastAsia"/>
          <w:sz w:val="21"/>
          <w:szCs w:val="21"/>
        </w:rPr>
        <w:t>本基金的运作方式为</w:t>
      </w:r>
      <w:bookmarkStart w:id="75" w:name="field_58_operation_1"/>
      <w:r>
        <w:rPr>
          <w:rFonts w:hint="eastAsia"/>
          <w:sz w:val="21"/>
          <w:szCs w:val="21"/>
        </w:rPr>
        <w:t>契约型开放式</w:t>
      </w:r>
      <w:bookmarkEnd w:id="75"/>
      <w:r>
        <w:rPr>
          <w:rFonts w:hint="eastAsia"/>
          <w:sz w:val="21"/>
          <w:szCs w:val="21"/>
        </w:rPr>
        <w:t>，存续期间为</w:t>
      </w:r>
      <w:bookmarkStart w:id="76" w:name="field_58_duration_1"/>
      <w:r>
        <w:rPr>
          <w:rFonts w:hint="eastAsia"/>
          <w:sz w:val="21"/>
          <w:szCs w:val="21"/>
        </w:rPr>
        <w:t>不定期</w:t>
      </w:r>
      <w:bookmarkEnd w:id="76"/>
      <w:r>
        <w:rPr>
          <w:rFonts w:hint="eastAsia"/>
          <w:sz w:val="21"/>
          <w:szCs w:val="21"/>
        </w:rPr>
        <w:t xml:space="preserve">。 </w:t>
      </w:r>
    </w:p>
    <w:p>
      <w:pPr>
        <w:pStyle w:val="9"/>
        <w:spacing w:before="0" w:beforeAutospacing="0" w:after="0" w:afterAutospacing="0" w:line="360" w:lineRule="auto"/>
        <w:ind w:firstLine="420"/>
        <w:rPr>
          <w:sz w:val="21"/>
          <w:szCs w:val="21"/>
        </w:rPr>
      </w:pPr>
      <w:r>
        <w:rPr>
          <w:rFonts w:hint="eastAsia"/>
          <w:b/>
          <w:bCs/>
          <w:sz w:val="21"/>
          <w:szCs w:val="21"/>
        </w:rPr>
        <w:t>二、基金合同的生效</w:t>
      </w:r>
    </w:p>
    <w:p>
      <w:pPr>
        <w:pStyle w:val="9"/>
        <w:spacing w:before="0" w:beforeAutospacing="0" w:after="0" w:afterAutospacing="0" w:line="360" w:lineRule="auto"/>
        <w:ind w:firstLine="420"/>
        <w:rPr>
          <w:sz w:val="21"/>
          <w:szCs w:val="21"/>
        </w:rPr>
      </w:pPr>
      <w:bookmarkStart w:id="77" w:name="chapter_level1_9_58_section_1_end"/>
      <w:bookmarkEnd w:id="77"/>
      <w:r>
        <w:rPr>
          <w:rFonts w:hint="eastAsia"/>
          <w:sz w:val="21"/>
          <w:szCs w:val="21"/>
        </w:rPr>
        <w:t>本基金的基金合同已于</w:t>
      </w:r>
      <w:bookmarkStart w:id="78" w:name="field_0_foundday_1"/>
      <w:r>
        <w:rPr>
          <w:sz w:val="21"/>
          <w:szCs w:val="21"/>
        </w:rPr>
        <w:t>2023年5月16日</w:t>
      </w:r>
      <w:bookmarkEnd w:id="78"/>
      <w:r>
        <w:rPr>
          <w:rFonts w:hint="eastAsia"/>
          <w:sz w:val="21"/>
          <w:szCs w:val="21"/>
        </w:rPr>
        <w:t xml:space="preserve">正式生效。 </w:t>
      </w:r>
    </w:p>
    <w:p>
      <w:pPr>
        <w:pStyle w:val="9"/>
        <w:spacing w:before="0" w:beforeAutospacing="0" w:after="0" w:afterAutospacing="0" w:line="360" w:lineRule="auto"/>
        <w:ind w:firstLine="420"/>
        <w:rPr>
          <w:sz w:val="21"/>
          <w:szCs w:val="21"/>
        </w:rPr>
      </w:pPr>
      <w:bookmarkStart w:id="79" w:name="chapter_level1_9_58_section_2"/>
      <w:bookmarkEnd w:id="79"/>
      <w:r>
        <w:rPr>
          <w:rStyle w:val="14"/>
          <w:rFonts w:hint="eastAsia"/>
          <w:sz w:val="21"/>
          <w:szCs w:val="21"/>
        </w:rPr>
        <w:t>三、基金存续期内的基金份额持有人数量和资产规模</w:t>
      </w:r>
    </w:p>
    <w:p>
      <w:pPr>
        <w:pStyle w:val="9"/>
        <w:spacing w:before="0" w:beforeAutospacing="0" w:after="0" w:afterAutospacing="0" w:line="360" w:lineRule="auto"/>
        <w:ind w:firstLine="420"/>
        <w:rPr>
          <w:sz w:val="21"/>
          <w:szCs w:val="21"/>
        </w:rPr>
      </w:pPr>
      <w:r>
        <w:rPr>
          <w:rFonts w:hint="eastAsia"/>
          <w:sz w:val="21"/>
          <w:szCs w:val="21"/>
        </w:rPr>
        <w:t>《基金合同》生效后，连续20个工作日出现基金份额持有人数量不满200人或者基金资产净值低于5000万元情形的，基金管理人应当在定期报告中予以披露；连续60个工作日出现前述情形的，基金管理人应当在十个工作日内向中国证监会报告并提出解决方案，如持续运作、转换运作方式、与其他基金合并或者终止基金合同等，并在六个月内召开基金份额持有人大会进行表决。</w:t>
      </w:r>
      <w:bookmarkStart w:id="80" w:name="chapter_level1_9_58_section_2_end"/>
      <w:bookmarkEnd w:id="80"/>
      <w:r>
        <w:rPr>
          <w:rFonts w:hint="eastAsia"/>
          <w:sz w:val="21"/>
          <w:szCs w:val="21"/>
        </w:rPr>
        <w:t xml:space="preserve">法律法规或中国证监会另有规定时，从其规定。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1" w:name="_Toc151126546"/>
      <w:bookmarkStart w:id="82" w:name="chapter_level1_10_59"/>
      <w:r>
        <w:rPr>
          <w:rFonts w:hint="eastAsia" w:ascii="宋体" w:hAnsi="宋体" w:eastAsia="宋体"/>
          <w:sz w:val="30"/>
        </w:rPr>
        <w:t>第七部分  基金份额的申购与赎回</w:t>
      </w:r>
      <w:bookmarkEnd w:id="81"/>
      <w:bookmarkEnd w:id="82"/>
    </w:p>
    <w:p>
      <w:pPr>
        <w:pStyle w:val="9"/>
        <w:spacing w:before="0" w:beforeAutospacing="0" w:after="0" w:afterAutospacing="0" w:line="360" w:lineRule="auto"/>
        <w:ind w:firstLine="420"/>
        <w:rPr>
          <w:sz w:val="21"/>
          <w:szCs w:val="21"/>
        </w:rPr>
      </w:pPr>
      <w:bookmarkStart w:id="83" w:name="chapter_level1_10_59_section_1"/>
      <w:bookmarkEnd w:id="83"/>
      <w:r>
        <w:rPr>
          <w:rStyle w:val="14"/>
          <w:rFonts w:hint="eastAsia"/>
          <w:sz w:val="21"/>
          <w:szCs w:val="21"/>
        </w:rPr>
        <w:t>一、申购和赎回场所</w:t>
      </w:r>
    </w:p>
    <w:p>
      <w:pPr>
        <w:pStyle w:val="9"/>
        <w:spacing w:before="0" w:beforeAutospacing="0" w:after="0" w:afterAutospacing="0" w:line="360" w:lineRule="auto"/>
        <w:ind w:firstLine="420"/>
        <w:rPr>
          <w:sz w:val="21"/>
          <w:szCs w:val="21"/>
        </w:rPr>
      </w:pPr>
      <w:r>
        <w:rPr>
          <w:rFonts w:hint="eastAsia"/>
          <w:sz w:val="21"/>
          <w:szCs w:val="21"/>
        </w:rPr>
        <w:t>本基金的申购与赎回将通过销售机构进行。具体的销售机构将由基金管理人在招募说明书或基金管理人网站公示。基金管理人可根据情况变更或增减销售机构。基金投资者应当在销售机构办理基金销售业务的营业场所或按销售机构提供的其他方式办理基金份额的申购</w:t>
      </w:r>
      <w:bookmarkStart w:id="84" w:name="chapter_level1_10_59_section_1_end"/>
      <w:bookmarkEnd w:id="84"/>
      <w:r>
        <w:rPr>
          <w:rFonts w:hint="eastAsia"/>
          <w:sz w:val="21"/>
          <w:szCs w:val="21"/>
        </w:rPr>
        <w:t xml:space="preserve">与赎回。 </w:t>
      </w:r>
    </w:p>
    <w:p>
      <w:pPr>
        <w:pStyle w:val="9"/>
        <w:spacing w:before="0" w:beforeAutospacing="0" w:after="0" w:afterAutospacing="0" w:line="360" w:lineRule="auto"/>
        <w:ind w:firstLine="420"/>
        <w:rPr>
          <w:sz w:val="21"/>
          <w:szCs w:val="21"/>
        </w:rPr>
      </w:pPr>
      <w:bookmarkStart w:id="85" w:name="chapter_level1_10_59_section_2"/>
      <w:bookmarkEnd w:id="85"/>
      <w:r>
        <w:rPr>
          <w:rStyle w:val="14"/>
          <w:rFonts w:hint="eastAsia"/>
          <w:sz w:val="21"/>
          <w:szCs w:val="21"/>
        </w:rPr>
        <w:t>二、申购和赎回的开放日及时间</w:t>
      </w:r>
    </w:p>
    <w:p>
      <w:pPr>
        <w:pStyle w:val="9"/>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9"/>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及相关期货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 </w:t>
      </w:r>
    </w:p>
    <w:p>
      <w:pPr>
        <w:pStyle w:val="9"/>
        <w:spacing w:before="0" w:beforeAutospacing="0" w:after="0" w:afterAutospacing="0" w:line="360" w:lineRule="auto"/>
        <w:ind w:firstLine="420"/>
        <w:rPr>
          <w:sz w:val="21"/>
          <w:szCs w:val="21"/>
        </w:rPr>
      </w:pPr>
      <w:r>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 </w:t>
      </w:r>
    </w:p>
    <w:p>
      <w:pPr>
        <w:pStyle w:val="9"/>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9"/>
        <w:spacing w:before="0" w:beforeAutospacing="0" w:after="0" w:afterAutospacing="0" w:line="360" w:lineRule="auto"/>
        <w:ind w:firstLine="420"/>
        <w:rPr>
          <w:sz w:val="21"/>
          <w:szCs w:val="21"/>
        </w:rPr>
      </w:pPr>
      <w:bookmarkStart w:id="86" w:name="chapter_level1_10_59_section_2_end"/>
      <w:bookmarkEnd w:id="86"/>
      <w:r>
        <w:rPr>
          <w:rFonts w:hint="eastAsia"/>
          <w:sz w:val="21"/>
          <w:szCs w:val="21"/>
        </w:rPr>
        <w:t xml:space="preserve">本基金已于2023年6月15日开放日常申购、赎回业务。 </w:t>
      </w:r>
    </w:p>
    <w:p>
      <w:pPr>
        <w:pStyle w:val="9"/>
        <w:spacing w:before="0" w:beforeAutospacing="0" w:after="0" w:afterAutospacing="0" w:line="360" w:lineRule="auto"/>
        <w:ind w:firstLine="420"/>
        <w:rPr>
          <w:sz w:val="21"/>
          <w:szCs w:val="21"/>
        </w:rPr>
      </w:pPr>
      <w:bookmarkStart w:id="87" w:name="chapter_level1_10_59_section_3"/>
      <w:bookmarkEnd w:id="87"/>
      <w:r>
        <w:rPr>
          <w:rStyle w:val="14"/>
          <w:rFonts w:hint="eastAsia"/>
          <w:sz w:val="21"/>
          <w:szCs w:val="21"/>
        </w:rPr>
        <w:t>三、申购与赎回的原则</w:t>
      </w:r>
    </w:p>
    <w:p>
      <w:pPr>
        <w:pStyle w:val="9"/>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1、“未知价”原则，即申购、赎回价格以申请当日收市后计算的该类别基金份额净值为基准进行计算； </w:t>
      </w:r>
    </w:p>
    <w:p>
      <w:pPr>
        <w:pStyle w:val="9"/>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9"/>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9"/>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9"/>
        <w:spacing w:before="0" w:beforeAutospacing="0" w:after="0" w:afterAutospacing="0" w:line="360" w:lineRule="auto"/>
        <w:ind w:firstLine="420"/>
        <w:rPr>
          <w:sz w:val="21"/>
          <w:szCs w:val="21"/>
        </w:rPr>
      </w:pPr>
      <w:r>
        <w:rPr>
          <w:rFonts w:hint="eastAsia"/>
          <w:sz w:val="21"/>
          <w:szCs w:val="21"/>
        </w:rPr>
        <w:t xml:space="preserve">5、办理申购、赎回业务时，应当遵循基金份额持有人利益优先原则，确保投资者的合法权益不受损害并得到公平对待。 </w:t>
      </w:r>
    </w:p>
    <w:p>
      <w:pPr>
        <w:pStyle w:val="9"/>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基金管理人可在法律法规允许的情况下，对上述原则进行调整。基金管理人必须在新规则开始实施前依照《信息披露办法》的有关规定在规定媒介上公告。 </w:t>
      </w:r>
    </w:p>
    <w:p>
      <w:pPr>
        <w:pStyle w:val="9"/>
        <w:spacing w:before="0" w:beforeAutospacing="0" w:after="0" w:afterAutospacing="0" w:line="360" w:lineRule="auto"/>
        <w:ind w:firstLine="420"/>
        <w:rPr>
          <w:sz w:val="21"/>
          <w:szCs w:val="21"/>
        </w:rPr>
      </w:pPr>
      <w:r>
        <w:rPr>
          <w:rStyle w:val="14"/>
          <w:rFonts w:hint="eastAsia"/>
          <w:sz w:val="21"/>
          <w:szCs w:val="21"/>
        </w:rPr>
        <w:t>四、申购与赎回的程序</w:t>
      </w:r>
    </w:p>
    <w:p>
      <w:pPr>
        <w:pStyle w:val="9"/>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9"/>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9"/>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9"/>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投资人申购基金份额时，必须全额交付申购款项，投资人全额交付申购款项，申购成立；基金份额登记机构确认基金份额时，申购生效。 </w:t>
      </w:r>
    </w:p>
    <w:p>
      <w:pPr>
        <w:pStyle w:val="9"/>
        <w:spacing w:before="0" w:beforeAutospacing="0" w:after="0" w:afterAutospacing="0" w:line="360" w:lineRule="auto"/>
        <w:ind w:firstLine="420"/>
        <w:rPr>
          <w:sz w:val="21"/>
          <w:szCs w:val="21"/>
        </w:rPr>
      </w:pPr>
      <w:r>
        <w:rPr>
          <w:rFonts w:hint="eastAsia"/>
          <w:sz w:val="21"/>
          <w:szCs w:val="21"/>
        </w:rPr>
        <w:t xml:space="preserve">基金份额持有人递交赎回申请，赎回成立；基金份额登记机构确认赎回时，赎回生效。 </w:t>
      </w:r>
    </w:p>
    <w:p>
      <w:pPr>
        <w:pStyle w:val="9"/>
        <w:spacing w:before="0" w:beforeAutospacing="0" w:after="0" w:afterAutospacing="0" w:line="360" w:lineRule="auto"/>
        <w:ind w:firstLine="420"/>
        <w:rPr>
          <w:sz w:val="21"/>
          <w:szCs w:val="21"/>
        </w:rPr>
      </w:pPr>
      <w:r>
        <w:rPr>
          <w:rFonts w:hint="eastAsia"/>
          <w:sz w:val="21"/>
          <w:szCs w:val="21"/>
        </w:rPr>
        <w:t xml:space="preserve">投资者的赎回申请生效后，基金管理人将在T＋7日（包括该日）内支付赎回款项。在发生巨额赎回或基金合同载明的延缓支付赎回款项的情形时，款项的支付办法参照基金合同有关条款处理。 </w:t>
      </w:r>
    </w:p>
    <w:p>
      <w:pPr>
        <w:pStyle w:val="9"/>
        <w:spacing w:before="0" w:beforeAutospacing="0" w:after="0" w:afterAutospacing="0" w:line="360" w:lineRule="auto"/>
        <w:ind w:firstLine="420"/>
        <w:rPr>
          <w:sz w:val="21"/>
          <w:szCs w:val="21"/>
        </w:rPr>
      </w:pPr>
      <w:r>
        <w:rPr>
          <w:rFonts w:hint="eastAsia"/>
          <w:sz w:val="21"/>
          <w:szCs w:val="21"/>
        </w:rPr>
        <w:t xml:space="preserve">遇交易所或交易市场数据传输延迟、通讯系统故障、银行数据交换系统故障、港股通交易系统故障或港股通资金交收规则限制或其他非基金管理人及基金托管人所能控制的因素影响业务处理流程，则赎回款项划付时间相应顺延。 </w:t>
      </w:r>
    </w:p>
    <w:p>
      <w:pPr>
        <w:pStyle w:val="9"/>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9"/>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 </w:t>
      </w:r>
    </w:p>
    <w:p>
      <w:pPr>
        <w:pStyle w:val="9"/>
        <w:spacing w:before="0" w:beforeAutospacing="0" w:after="0" w:afterAutospacing="0" w:line="360" w:lineRule="auto"/>
        <w:ind w:firstLine="420"/>
        <w:rPr>
          <w:sz w:val="21"/>
          <w:szCs w:val="21"/>
        </w:rPr>
      </w:pPr>
      <w:r>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pPr>
        <w:pStyle w:val="9"/>
        <w:spacing w:before="0" w:beforeAutospacing="0" w:after="0" w:afterAutospacing="0" w:line="360" w:lineRule="auto"/>
        <w:ind w:firstLine="420"/>
        <w:rPr>
          <w:sz w:val="21"/>
          <w:szCs w:val="21"/>
        </w:rPr>
      </w:pPr>
      <w:r>
        <w:rPr>
          <w:rFonts w:hint="eastAsia"/>
          <w:sz w:val="21"/>
          <w:szCs w:val="21"/>
        </w:rPr>
        <w:t xml:space="preserve">基金管理人可以在法律法规和基金合同允许的范围内，对上述业务办理时间进行调整，并在调整实施前依照《信息披露办法》的有关规定在规定媒介上公告。 </w:t>
      </w:r>
    </w:p>
    <w:p>
      <w:pPr>
        <w:pStyle w:val="9"/>
        <w:spacing w:before="0" w:beforeAutospacing="0" w:after="0" w:afterAutospacing="0" w:line="360" w:lineRule="auto"/>
        <w:ind w:firstLine="420"/>
        <w:rPr>
          <w:sz w:val="21"/>
          <w:szCs w:val="21"/>
        </w:rPr>
      </w:pPr>
      <w:r>
        <w:rPr>
          <w:rStyle w:val="14"/>
          <w:rFonts w:hint="eastAsia"/>
          <w:sz w:val="21"/>
          <w:szCs w:val="21"/>
        </w:rPr>
        <w:t>五、申购和赎回的数量限制</w:t>
      </w:r>
    </w:p>
    <w:p>
      <w:pPr>
        <w:pStyle w:val="9"/>
        <w:spacing w:before="0" w:beforeAutospacing="0" w:after="0" w:afterAutospacing="0" w:line="360" w:lineRule="auto"/>
        <w:ind w:firstLine="420"/>
        <w:rPr>
          <w:sz w:val="21"/>
          <w:szCs w:val="21"/>
        </w:rPr>
      </w:pPr>
      <w:r>
        <w:rPr>
          <w:rFonts w:hint="eastAsia"/>
          <w:sz w:val="21"/>
          <w:szCs w:val="21"/>
        </w:rPr>
        <w:t xml:space="preserve">1、本基金A类基金份额或C类基金份额首次申购和单笔追加申购的最低金额均为1.00元（含申购费），各销售机构在符合上述规定的前提下，可根据情况调高首次申购和单笔追加申购的最低金额，具体以销售机构公布的为准，投资人需遵循销售机构的相关规定。 </w:t>
      </w:r>
    </w:p>
    <w:p>
      <w:pPr>
        <w:pStyle w:val="9"/>
        <w:spacing w:before="0" w:beforeAutospacing="0" w:after="0" w:afterAutospacing="0" w:line="360" w:lineRule="auto"/>
        <w:ind w:firstLine="420"/>
        <w:rPr>
          <w:sz w:val="21"/>
          <w:szCs w:val="21"/>
        </w:rPr>
      </w:pPr>
      <w:r>
        <w:rPr>
          <w:rFonts w:hint="eastAsia"/>
          <w:sz w:val="21"/>
          <w:szCs w:val="21"/>
        </w:rPr>
        <w:t>2、每个交易账户最低持有A类基金份额或C类基金份额余额为</w:t>
      </w:r>
      <w:bookmarkStart w:id="88" w:name="field_59_minholdshare_1"/>
      <w:r>
        <w:rPr>
          <w:sz w:val="21"/>
          <w:szCs w:val="21"/>
        </w:rPr>
        <w:t>1.00</w:t>
      </w:r>
      <w:bookmarkEnd w:id="88"/>
      <w:r>
        <w:rPr>
          <w:rFonts w:hint="eastAsia"/>
          <w:sz w:val="21"/>
          <w:szCs w:val="21"/>
        </w:rPr>
        <w:t>份，若某笔赎回导致单个交易账户的A类基金份额或C类基金份额余额少于</w:t>
      </w:r>
      <w:bookmarkStart w:id="89" w:name="field_59_minholdshare_2"/>
      <w:r>
        <w:rPr>
          <w:sz w:val="21"/>
          <w:szCs w:val="21"/>
        </w:rPr>
        <w:t>1.00</w:t>
      </w:r>
      <w:bookmarkEnd w:id="89"/>
      <w:r>
        <w:rPr>
          <w:rFonts w:hint="eastAsia"/>
          <w:sz w:val="21"/>
          <w:szCs w:val="21"/>
        </w:rPr>
        <w:t xml:space="preserve">份时，该类别基金份额余额部分必须一同赎回。 </w:t>
      </w:r>
    </w:p>
    <w:p>
      <w:pPr>
        <w:pStyle w:val="9"/>
        <w:spacing w:before="0" w:beforeAutospacing="0" w:after="0" w:afterAutospacing="0" w:line="360" w:lineRule="auto"/>
        <w:ind w:firstLine="420"/>
        <w:rPr>
          <w:sz w:val="21"/>
          <w:szCs w:val="21"/>
        </w:rPr>
      </w:pPr>
      <w:r>
        <w:rPr>
          <w:rFonts w:hint="eastAsia"/>
          <w:sz w:val="21"/>
          <w:szCs w:val="21"/>
        </w:rPr>
        <w:t>3、投资者通过销售机构赎回基金份额时，本基金单笔赎回申请不得低于</w:t>
      </w:r>
      <w:bookmarkStart w:id="90" w:name="field_59_minholdshare_3"/>
      <w:r>
        <w:rPr>
          <w:sz w:val="21"/>
          <w:szCs w:val="21"/>
        </w:rPr>
        <w:t>1.00</w:t>
      </w:r>
      <w:bookmarkEnd w:id="90"/>
      <w:r>
        <w:rPr>
          <w:rFonts w:hint="eastAsia"/>
          <w:sz w:val="21"/>
          <w:szCs w:val="21"/>
        </w:rPr>
        <w:t>份，若投资者单个交易账户持有的基金份额余额不足</w:t>
      </w:r>
      <w:bookmarkStart w:id="91" w:name="field_59_minholdshare_4"/>
      <w:r>
        <w:rPr>
          <w:sz w:val="21"/>
          <w:szCs w:val="21"/>
        </w:rPr>
        <w:t>1.00</w:t>
      </w:r>
      <w:bookmarkEnd w:id="91"/>
      <w:r>
        <w:rPr>
          <w:rFonts w:hint="eastAsia"/>
          <w:sz w:val="21"/>
          <w:szCs w:val="21"/>
        </w:rPr>
        <w:t xml:space="preserve">份，将不受此限制，但投资者在提交赎回申请时须全部赎回。各销售机构在符合上述规定的前提下，可根据自己的情况调整单笔赎回申请限制，具体以销售机构公布的为准，投资者需遵循销售机构的相关规定。 </w:t>
      </w:r>
    </w:p>
    <w:p>
      <w:pPr>
        <w:pStyle w:val="9"/>
        <w:spacing w:before="0" w:beforeAutospacing="0" w:after="0" w:afterAutospacing="0" w:line="360" w:lineRule="auto"/>
        <w:ind w:firstLine="420"/>
        <w:rPr>
          <w:sz w:val="21"/>
          <w:szCs w:val="21"/>
        </w:rPr>
      </w:pPr>
      <w:r>
        <w:rPr>
          <w:rFonts w:hint="eastAsia"/>
          <w:sz w:val="21"/>
          <w:szCs w:val="21"/>
        </w:rPr>
        <w:t xml:space="preserve">4、基金管理人可以规定单个投资人累计持有的基金份额上限，具体规定请参见更新的招募说明书或相关公告。 </w:t>
      </w:r>
    </w:p>
    <w:p>
      <w:pPr>
        <w:pStyle w:val="9"/>
        <w:spacing w:before="0" w:beforeAutospacing="0" w:after="0" w:afterAutospacing="0" w:line="360" w:lineRule="auto"/>
        <w:ind w:firstLine="420"/>
        <w:rPr>
          <w:sz w:val="21"/>
          <w:szCs w:val="21"/>
        </w:rPr>
      </w:pPr>
      <w:r>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 </w:t>
      </w:r>
    </w:p>
    <w:p>
      <w:pPr>
        <w:pStyle w:val="9"/>
        <w:spacing w:before="0" w:beforeAutospacing="0" w:after="0" w:afterAutospacing="0" w:line="360" w:lineRule="auto"/>
        <w:ind w:firstLine="420"/>
        <w:rPr>
          <w:sz w:val="21"/>
          <w:szCs w:val="21"/>
        </w:rPr>
      </w:pPr>
      <w:r>
        <w:rPr>
          <w:rFonts w:hint="eastAsia"/>
          <w:sz w:val="21"/>
          <w:szCs w:val="21"/>
        </w:rPr>
        <w:t xml:space="preserve">6、基金管理人可在法律法规允许的情况下，调整上述规定申购金额和赎回份额等数量限制，或新增基金规模控制措施。基金管理人必须在调整实施前依照《信息披露办法》的有关规定在规定媒介上公告。 </w:t>
      </w:r>
    </w:p>
    <w:p>
      <w:pPr>
        <w:pStyle w:val="9"/>
        <w:spacing w:before="0" w:beforeAutospacing="0" w:after="0" w:afterAutospacing="0" w:line="360" w:lineRule="auto"/>
        <w:ind w:firstLine="420"/>
        <w:rPr>
          <w:sz w:val="21"/>
          <w:szCs w:val="21"/>
        </w:rPr>
      </w:pPr>
      <w:r>
        <w:rPr>
          <w:rStyle w:val="14"/>
          <w:rFonts w:hint="eastAsia"/>
          <w:sz w:val="21"/>
          <w:szCs w:val="21"/>
        </w:rPr>
        <w:t>六、申购费用和赎回费用</w:t>
      </w:r>
    </w:p>
    <w:p>
      <w:pPr>
        <w:pStyle w:val="9"/>
        <w:spacing w:before="0" w:beforeAutospacing="0" w:after="0" w:afterAutospacing="0" w:line="360" w:lineRule="auto"/>
        <w:ind w:firstLine="420"/>
        <w:rPr>
          <w:sz w:val="21"/>
          <w:szCs w:val="21"/>
        </w:rPr>
      </w:pPr>
      <w:r>
        <w:rPr>
          <w:rFonts w:hint="eastAsia"/>
          <w:sz w:val="21"/>
          <w:szCs w:val="21"/>
        </w:rPr>
        <w:t xml:space="preserve">1、本基金A类基金份额在申购时收取基金申购费用；C类基金份额不收取申购费用。本基金申购费用用于本基金的市场推广、销售、登记等募集期间发生的各项费用，不列入基金财产。投资者可以多次申购本基金，申购费率按每笔申购申请单独计算。本基金各类基金份额的申购费率如下表所示：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6"/>
        <w:gridCol w:w="2733"/>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申购金额（M）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A类基金份额申购费率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C类基金份额的申购费率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M＜100万元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1.00% </w:t>
            </w:r>
          </w:p>
        </w:tc>
        <w:tc>
          <w:tcPr>
            <w:tcW w:w="0" w:type="auto"/>
            <w:vMerge w:val="restart"/>
            <w:shd w:val="clear" w:color="auto" w:fill="auto"/>
          </w:tcPr>
          <w:p>
            <w:pPr>
              <w:jc w:val="center"/>
              <w:rPr>
                <w:rFonts w:ascii="宋体" w:hAnsi="宋体" w:eastAsia="宋体" w:cs="宋体"/>
                <w:sz w:val="24"/>
                <w:szCs w:val="24"/>
              </w:rPr>
            </w:pPr>
            <w:r>
              <w:rPr>
                <w:rFonts w:hint="eastAsia" w:ascii="宋体" w:hAnsi="宋体" w:eastAsia="宋体"/>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100万元≤M＜300万元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0.50% </w:t>
            </w:r>
          </w:p>
        </w:tc>
        <w:tc>
          <w:tcPr>
            <w:tcW w:w="0" w:type="auto"/>
            <w:vMerge w:val="continue"/>
            <w:shd w:val="clear" w:color="auto" w:fill="auto"/>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M≥300万元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300元/笔 </w:t>
            </w:r>
          </w:p>
        </w:tc>
        <w:tc>
          <w:tcPr>
            <w:tcW w:w="0" w:type="auto"/>
            <w:vMerge w:val="continue"/>
            <w:shd w:val="clear" w:color="auto" w:fill="auto"/>
          </w:tcPr>
          <w:p>
            <w:pPr>
              <w:rPr>
                <w:rFonts w:ascii="宋体" w:hAnsi="宋体" w:eastAsia="宋体" w:cs="宋体"/>
                <w:sz w:val="24"/>
                <w:szCs w:val="24"/>
              </w:rPr>
            </w:pPr>
          </w:p>
        </w:tc>
      </w:tr>
    </w:tbl>
    <w:p>
      <w:pPr>
        <w:pStyle w:val="9"/>
        <w:spacing w:before="0" w:beforeAutospacing="0" w:after="0" w:afterAutospacing="0" w:line="360" w:lineRule="auto"/>
        <w:ind w:firstLine="420"/>
        <w:rPr>
          <w:sz w:val="21"/>
          <w:szCs w:val="21"/>
        </w:rPr>
      </w:pPr>
      <w:r>
        <w:rPr>
          <w:rFonts w:hint="eastAsia"/>
          <w:sz w:val="21"/>
          <w:szCs w:val="21"/>
        </w:rPr>
        <w:t xml:space="preserve">基金管理人可以针对特定投资人（如养老金客户等）开展费率优惠活动，具体见基金管理人相关公告。 </w:t>
      </w:r>
    </w:p>
    <w:p>
      <w:pPr>
        <w:pStyle w:val="9"/>
        <w:spacing w:before="0" w:beforeAutospacing="0" w:after="0" w:afterAutospacing="0" w:line="360" w:lineRule="auto"/>
        <w:ind w:firstLine="420"/>
        <w:rPr>
          <w:sz w:val="21"/>
          <w:szCs w:val="21"/>
        </w:rPr>
      </w:pPr>
      <w:r>
        <w:rPr>
          <w:rFonts w:hint="eastAsia"/>
          <w:sz w:val="21"/>
          <w:szCs w:val="21"/>
        </w:rPr>
        <w:t xml:space="preserve">2、赎回费用 </w:t>
      </w:r>
    </w:p>
    <w:p>
      <w:pPr>
        <w:pStyle w:val="9"/>
        <w:spacing w:before="0" w:beforeAutospacing="0" w:after="0" w:afterAutospacing="0" w:line="360" w:lineRule="auto"/>
        <w:ind w:firstLine="420"/>
        <w:rPr>
          <w:sz w:val="21"/>
          <w:szCs w:val="21"/>
        </w:rPr>
      </w:pPr>
      <w:r>
        <w:rPr>
          <w:rFonts w:hint="eastAsia"/>
          <w:sz w:val="21"/>
          <w:szCs w:val="21"/>
        </w:rPr>
        <w:t xml:space="preserve">本基金的A 类基金份额和C类基金份额赎回费率随申请份额持有时间增加而递减。具体如下表所示： </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345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持有期限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A类基金份额赎回费率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N＜7日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N≥7日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0.00% </w:t>
            </w:r>
          </w:p>
        </w:tc>
      </w:tr>
    </w:tbl>
    <w:p>
      <w:pPr>
        <w:pStyle w:val="9"/>
        <w:spacing w:before="0" w:beforeAutospacing="0" w:after="0" w:afterAutospacing="0" w:line="360" w:lineRule="auto"/>
        <w:ind w:firstLine="420"/>
        <w:rPr>
          <w:sz w:val="21"/>
          <w:szCs w:val="21"/>
        </w:rPr>
      </w:pPr>
      <w:r>
        <w:rPr>
          <w:rFonts w:hint="eastAsia"/>
          <w:sz w:val="21"/>
          <w:szCs w:val="21"/>
        </w:rPr>
        <w:t xml:space="preserve">本基金赎回费用由赎回基金份额的基金份额持有人承担，在基金份额持有人赎回基金份额时收取。本基金对持续持有期在7日以内的投资人收取的赎回费，全额计入基金资产。 </w:t>
      </w:r>
    </w:p>
    <w:p>
      <w:pPr>
        <w:pStyle w:val="9"/>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3、基金管理人可以在《基金合同》约定的范围内调整费率或收费方式，并最迟应于新的费率或收费方式实施日前依照《信息披露办法》的有关规定在规定媒介上公告。 </w:t>
      </w:r>
    </w:p>
    <w:p>
      <w:pPr>
        <w:pStyle w:val="9"/>
        <w:spacing w:before="0" w:beforeAutospacing="0" w:after="0" w:afterAutospacing="0" w:line="360" w:lineRule="auto"/>
        <w:ind w:firstLine="420"/>
        <w:rPr>
          <w:sz w:val="21"/>
          <w:szCs w:val="21"/>
        </w:rPr>
      </w:pPr>
      <w:r>
        <w:rPr>
          <w:rFonts w:hint="eastAsia"/>
          <w:sz w:val="21"/>
          <w:szCs w:val="21"/>
        </w:rPr>
        <w:t xml:space="preserve">4、基金管理人可以在不违背法律法规规定及基金合同约定并对现有份额持有人利益无实质性不利影响的情况下，根据市场情况制定基金促销计划，定期或不定期地开展基金促销活动。在基金促销活动期间，基金管理人可以按中国证监会要求履行必要手续后，对基金投资者适当调低基金申购费率、赎回费率和销售服务费率。 </w:t>
      </w:r>
    </w:p>
    <w:p>
      <w:pPr>
        <w:pStyle w:val="9"/>
        <w:spacing w:before="0" w:beforeAutospacing="0" w:after="0" w:afterAutospacing="0" w:line="360" w:lineRule="auto"/>
        <w:ind w:firstLine="420"/>
        <w:rPr>
          <w:sz w:val="21"/>
          <w:szCs w:val="21"/>
        </w:rPr>
      </w:pPr>
      <w:r>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pPr>
        <w:pStyle w:val="9"/>
        <w:spacing w:before="0" w:beforeAutospacing="0" w:after="0" w:afterAutospacing="0" w:line="360" w:lineRule="auto"/>
        <w:ind w:firstLine="420"/>
        <w:rPr>
          <w:sz w:val="21"/>
          <w:szCs w:val="21"/>
        </w:rPr>
      </w:pPr>
      <w:r>
        <w:rPr>
          <w:rStyle w:val="14"/>
          <w:rFonts w:hint="eastAsia"/>
          <w:sz w:val="21"/>
          <w:szCs w:val="21"/>
        </w:rPr>
        <w:t>七、申购份额与赎回金额的计算</w:t>
      </w:r>
    </w:p>
    <w:p>
      <w:pPr>
        <w:pStyle w:val="9"/>
        <w:spacing w:before="0" w:beforeAutospacing="0" w:after="0" w:afterAutospacing="0" w:line="360" w:lineRule="auto"/>
        <w:ind w:firstLine="420"/>
        <w:rPr>
          <w:sz w:val="21"/>
          <w:szCs w:val="21"/>
        </w:rPr>
      </w:pPr>
      <w:r>
        <w:rPr>
          <w:rFonts w:hint="eastAsia"/>
          <w:sz w:val="21"/>
          <w:szCs w:val="21"/>
        </w:rPr>
        <w:t xml:space="preserve">1、本基金申购份额的计算方式 </w:t>
      </w:r>
    </w:p>
    <w:p>
      <w:pPr>
        <w:pStyle w:val="9"/>
        <w:spacing w:before="0" w:beforeAutospacing="0" w:after="0" w:afterAutospacing="0" w:line="360" w:lineRule="auto"/>
        <w:ind w:firstLine="420"/>
        <w:rPr>
          <w:sz w:val="21"/>
          <w:szCs w:val="21"/>
        </w:rPr>
      </w:pPr>
      <w:r>
        <w:rPr>
          <w:rFonts w:hint="eastAsia"/>
          <w:sz w:val="21"/>
          <w:szCs w:val="21"/>
        </w:rPr>
        <w:t xml:space="preserve">（1）A类基金份额 </w:t>
      </w:r>
    </w:p>
    <w:p>
      <w:pPr>
        <w:pStyle w:val="9"/>
        <w:spacing w:before="0" w:beforeAutospacing="0" w:after="0" w:afterAutospacing="0" w:line="360" w:lineRule="auto"/>
        <w:ind w:firstLine="420"/>
        <w:rPr>
          <w:sz w:val="21"/>
          <w:szCs w:val="21"/>
        </w:rPr>
      </w:pPr>
      <w:r>
        <w:rPr>
          <w:rFonts w:hint="eastAsia"/>
          <w:sz w:val="21"/>
          <w:szCs w:val="21"/>
        </w:rPr>
        <w:t xml:space="preserve">1）申购费用适用比例费率时： </w:t>
      </w:r>
    </w:p>
    <w:p>
      <w:pPr>
        <w:pStyle w:val="9"/>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9"/>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9"/>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pPr>
        <w:pStyle w:val="9"/>
        <w:spacing w:before="0" w:beforeAutospacing="0" w:after="0" w:afterAutospacing="0" w:line="360" w:lineRule="auto"/>
        <w:ind w:firstLine="420"/>
        <w:rPr>
          <w:sz w:val="21"/>
          <w:szCs w:val="21"/>
        </w:rPr>
      </w:pPr>
      <w:r>
        <w:rPr>
          <w:rFonts w:hint="eastAsia"/>
          <w:sz w:val="21"/>
          <w:szCs w:val="21"/>
        </w:rPr>
        <w:t xml:space="preserve">2）申购费用适用固定金额时： </w:t>
      </w:r>
    </w:p>
    <w:p>
      <w:pPr>
        <w:pStyle w:val="9"/>
        <w:spacing w:before="0" w:beforeAutospacing="0" w:after="0" w:afterAutospacing="0" w:line="360" w:lineRule="auto"/>
        <w:ind w:firstLine="420"/>
        <w:rPr>
          <w:sz w:val="21"/>
          <w:szCs w:val="21"/>
        </w:rPr>
      </w:pPr>
      <w:r>
        <w:rPr>
          <w:rFonts w:hint="eastAsia"/>
          <w:sz w:val="21"/>
          <w:szCs w:val="21"/>
        </w:rPr>
        <w:t xml:space="preserve">申购费用＝固定金额 </w:t>
      </w:r>
    </w:p>
    <w:p>
      <w:pPr>
        <w:pStyle w:val="9"/>
        <w:spacing w:before="0" w:beforeAutospacing="0" w:after="0" w:afterAutospacing="0" w:line="360" w:lineRule="auto"/>
        <w:ind w:firstLine="420"/>
        <w:rPr>
          <w:sz w:val="21"/>
          <w:szCs w:val="21"/>
        </w:rPr>
      </w:pPr>
      <w:r>
        <w:rPr>
          <w:rFonts w:hint="eastAsia"/>
          <w:sz w:val="21"/>
          <w:szCs w:val="21"/>
        </w:rPr>
        <w:t xml:space="preserve">净申购金额＝申购金额－申购费用 </w:t>
      </w:r>
    </w:p>
    <w:p>
      <w:pPr>
        <w:pStyle w:val="9"/>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pPr>
        <w:pStyle w:val="9"/>
        <w:spacing w:before="0" w:beforeAutospacing="0" w:after="0" w:afterAutospacing="0" w:line="360" w:lineRule="auto"/>
        <w:ind w:firstLine="420"/>
        <w:rPr>
          <w:sz w:val="21"/>
          <w:szCs w:val="21"/>
        </w:rPr>
      </w:pPr>
      <w:r>
        <w:rPr>
          <w:rFonts w:hint="eastAsia"/>
          <w:sz w:val="21"/>
          <w:szCs w:val="21"/>
        </w:rPr>
        <w:t xml:space="preserve">上述计算结果均按四舍五入方法，保留到小数点后两位，由此产生的收益或损失由基金财产承担。 </w:t>
      </w:r>
    </w:p>
    <w:p>
      <w:pPr>
        <w:pStyle w:val="9"/>
        <w:spacing w:before="0" w:beforeAutospacing="0" w:after="0" w:afterAutospacing="0" w:line="360" w:lineRule="auto"/>
        <w:ind w:firstLine="420"/>
        <w:rPr>
          <w:sz w:val="21"/>
          <w:szCs w:val="21"/>
        </w:rPr>
      </w:pPr>
      <w:r>
        <w:rPr>
          <w:rFonts w:hint="eastAsia"/>
          <w:sz w:val="21"/>
          <w:szCs w:val="21"/>
        </w:rPr>
        <w:t xml:space="preserve">（2）C类基金份额 </w:t>
      </w:r>
    </w:p>
    <w:p>
      <w:pPr>
        <w:pStyle w:val="9"/>
        <w:spacing w:before="0" w:beforeAutospacing="0" w:after="0" w:afterAutospacing="0" w:line="360" w:lineRule="auto"/>
        <w:ind w:firstLine="420"/>
        <w:rPr>
          <w:sz w:val="21"/>
          <w:szCs w:val="21"/>
        </w:rPr>
      </w:pPr>
      <w:r>
        <w:rPr>
          <w:rFonts w:hint="eastAsia"/>
          <w:sz w:val="21"/>
          <w:szCs w:val="21"/>
        </w:rPr>
        <w:t xml:space="preserve">申购份额=申购金额/申购当日C类基金份额净值 </w:t>
      </w:r>
    </w:p>
    <w:p>
      <w:pPr>
        <w:pStyle w:val="9"/>
        <w:spacing w:before="0" w:beforeAutospacing="0" w:after="0" w:afterAutospacing="0" w:line="360" w:lineRule="auto"/>
        <w:ind w:firstLine="420"/>
        <w:rPr>
          <w:sz w:val="21"/>
          <w:szCs w:val="21"/>
        </w:rPr>
      </w:pPr>
      <w:r>
        <w:rPr>
          <w:rFonts w:hint="eastAsia"/>
          <w:sz w:val="21"/>
          <w:szCs w:val="21"/>
        </w:rPr>
        <w:t xml:space="preserve">上述计算结果均按四舍五入方法，保留到小数点后两位，由此产生的收益或损失由基金财产承担。 </w:t>
      </w:r>
    </w:p>
    <w:p>
      <w:pPr>
        <w:pStyle w:val="9"/>
        <w:spacing w:before="0" w:beforeAutospacing="0" w:after="0" w:afterAutospacing="0" w:line="360" w:lineRule="auto"/>
        <w:ind w:firstLine="420"/>
        <w:rPr>
          <w:sz w:val="21"/>
          <w:szCs w:val="21"/>
        </w:rPr>
      </w:pPr>
      <w:r>
        <w:rPr>
          <w:rFonts w:hint="eastAsia"/>
          <w:sz w:val="21"/>
          <w:szCs w:val="21"/>
        </w:rPr>
        <w:t xml:space="preserve">例1：假定T日A类基金份额净值为1.0160元，某投资人本次通过申购本基金A类基金份额10万元，对应的本次申购费率为1.00%，该投资人可得到的A类基金份额为： </w:t>
      </w:r>
    </w:p>
    <w:p>
      <w:pPr>
        <w:pStyle w:val="9"/>
        <w:spacing w:before="0" w:beforeAutospacing="0" w:after="0" w:afterAutospacing="0" w:line="360" w:lineRule="auto"/>
        <w:ind w:firstLine="420"/>
        <w:rPr>
          <w:sz w:val="21"/>
          <w:szCs w:val="21"/>
        </w:rPr>
      </w:pPr>
      <w:r>
        <w:rPr>
          <w:rFonts w:hint="eastAsia"/>
          <w:sz w:val="21"/>
          <w:szCs w:val="21"/>
        </w:rPr>
        <w:t xml:space="preserve">净申购金额＝100,000/ (1＋1.00%)＝99,009.90元 </w:t>
      </w:r>
    </w:p>
    <w:p>
      <w:pPr>
        <w:pStyle w:val="9"/>
        <w:spacing w:before="0" w:beforeAutospacing="0" w:after="0" w:afterAutospacing="0" w:line="360" w:lineRule="auto"/>
        <w:ind w:firstLine="420"/>
        <w:rPr>
          <w:sz w:val="21"/>
          <w:szCs w:val="21"/>
        </w:rPr>
      </w:pPr>
      <w:r>
        <w:rPr>
          <w:rFonts w:hint="eastAsia"/>
          <w:sz w:val="21"/>
          <w:szCs w:val="21"/>
        </w:rPr>
        <w:t xml:space="preserve">申购费用＝100,000－99,009.90= 990.10元 </w:t>
      </w:r>
    </w:p>
    <w:p>
      <w:pPr>
        <w:pStyle w:val="9"/>
        <w:spacing w:before="0" w:beforeAutospacing="0" w:after="0" w:afterAutospacing="0" w:line="360" w:lineRule="auto"/>
        <w:ind w:firstLine="420"/>
        <w:rPr>
          <w:sz w:val="21"/>
          <w:szCs w:val="21"/>
        </w:rPr>
      </w:pPr>
      <w:r>
        <w:rPr>
          <w:rFonts w:hint="eastAsia"/>
          <w:sz w:val="21"/>
          <w:szCs w:val="21"/>
        </w:rPr>
        <w:t xml:space="preserve">申购份额＝99,009.90/1.0160＝97,450.69 份 </w:t>
      </w:r>
    </w:p>
    <w:p>
      <w:pPr>
        <w:pStyle w:val="9"/>
        <w:spacing w:before="0" w:beforeAutospacing="0" w:after="0" w:afterAutospacing="0" w:line="360" w:lineRule="auto"/>
        <w:ind w:firstLine="420"/>
        <w:rPr>
          <w:sz w:val="21"/>
          <w:szCs w:val="21"/>
        </w:rPr>
      </w:pPr>
      <w:r>
        <w:rPr>
          <w:rFonts w:hint="eastAsia"/>
          <w:sz w:val="21"/>
          <w:szCs w:val="21"/>
        </w:rPr>
        <w:t xml:space="preserve">即：投资者投资10万元申购本基金A类基金份额，假定申购当日A类基金份额净值为1.0160元，可得到97,450.69 份A类基金份额。 </w:t>
      </w:r>
    </w:p>
    <w:p>
      <w:pPr>
        <w:pStyle w:val="9"/>
        <w:spacing w:before="0" w:beforeAutospacing="0" w:after="0" w:afterAutospacing="0" w:line="360" w:lineRule="auto"/>
        <w:ind w:firstLine="420"/>
        <w:rPr>
          <w:sz w:val="21"/>
          <w:szCs w:val="21"/>
        </w:rPr>
      </w:pPr>
      <w:r>
        <w:rPr>
          <w:rFonts w:hint="eastAsia"/>
          <w:sz w:val="21"/>
          <w:szCs w:val="21"/>
        </w:rPr>
        <w:t xml:space="preserve">例2：假设某投资者投资10万元申购本基金C类基金份额，申购当日本基金C类基金份额净值为1.0600元，则可得到的申购份额为： </w:t>
      </w:r>
    </w:p>
    <w:p>
      <w:pPr>
        <w:pStyle w:val="9"/>
        <w:spacing w:before="0" w:beforeAutospacing="0" w:after="0" w:afterAutospacing="0" w:line="360" w:lineRule="auto"/>
        <w:ind w:firstLine="420"/>
        <w:rPr>
          <w:sz w:val="21"/>
          <w:szCs w:val="21"/>
        </w:rPr>
      </w:pPr>
      <w:r>
        <w:rPr>
          <w:rFonts w:hint="eastAsia"/>
          <w:sz w:val="21"/>
          <w:szCs w:val="21"/>
        </w:rPr>
        <w:t xml:space="preserve">申购份额＝100,000/1.0600＝94,339.62份 </w:t>
      </w:r>
    </w:p>
    <w:p>
      <w:pPr>
        <w:pStyle w:val="9"/>
        <w:spacing w:before="0" w:beforeAutospacing="0" w:after="0" w:afterAutospacing="0" w:line="360" w:lineRule="auto"/>
        <w:ind w:firstLine="420"/>
        <w:rPr>
          <w:sz w:val="21"/>
          <w:szCs w:val="21"/>
        </w:rPr>
      </w:pPr>
      <w:r>
        <w:rPr>
          <w:rFonts w:hint="eastAsia"/>
          <w:sz w:val="21"/>
          <w:szCs w:val="21"/>
        </w:rPr>
        <w:t xml:space="preserve">即：投资者投资10万元申购本基金C类基金份额，假设申购当日本基金C类基金份额净值为1.0600元，则其可得到94,339.62份C类基金份额。 </w:t>
      </w:r>
    </w:p>
    <w:p>
      <w:pPr>
        <w:pStyle w:val="9"/>
        <w:spacing w:before="0" w:beforeAutospacing="0" w:after="0" w:afterAutospacing="0" w:line="360" w:lineRule="auto"/>
        <w:ind w:firstLine="420"/>
        <w:rPr>
          <w:sz w:val="21"/>
          <w:szCs w:val="21"/>
        </w:rPr>
      </w:pPr>
      <w:r>
        <w:rPr>
          <w:rFonts w:hint="eastAsia"/>
          <w:sz w:val="21"/>
          <w:szCs w:val="21"/>
        </w:rPr>
        <w:t xml:space="preserve">2、赎回金额的计算方式： </w:t>
      </w:r>
    </w:p>
    <w:p>
      <w:pPr>
        <w:pStyle w:val="9"/>
        <w:spacing w:before="0" w:beforeAutospacing="0" w:after="0" w:afterAutospacing="0" w:line="360" w:lineRule="auto"/>
        <w:ind w:firstLine="420"/>
        <w:rPr>
          <w:sz w:val="21"/>
          <w:szCs w:val="21"/>
        </w:rPr>
      </w:pPr>
      <w:r>
        <w:rPr>
          <w:rFonts w:hint="eastAsia"/>
          <w:sz w:val="21"/>
          <w:szCs w:val="21"/>
        </w:rPr>
        <w:t xml:space="preserve">赎回总金额=赎回份额×T日该类基金份额净值 </w:t>
      </w:r>
    </w:p>
    <w:p>
      <w:pPr>
        <w:pStyle w:val="9"/>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9"/>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9"/>
        <w:spacing w:before="0" w:beforeAutospacing="0" w:after="0" w:afterAutospacing="0" w:line="360" w:lineRule="auto"/>
        <w:ind w:firstLine="420"/>
        <w:rPr>
          <w:sz w:val="21"/>
          <w:szCs w:val="21"/>
        </w:rPr>
      </w:pPr>
      <w:r>
        <w:rPr>
          <w:rFonts w:hint="eastAsia"/>
          <w:sz w:val="21"/>
          <w:szCs w:val="21"/>
        </w:rPr>
        <w:t xml:space="preserve">上述计算结果均按四舍五入方法，保留到小数点后2位，由此产生的收益或损失由基金财产承担。 </w:t>
      </w:r>
    </w:p>
    <w:p>
      <w:pPr>
        <w:pStyle w:val="9"/>
        <w:spacing w:before="0" w:beforeAutospacing="0" w:after="0" w:afterAutospacing="0" w:line="360" w:lineRule="auto"/>
        <w:ind w:firstLine="420"/>
        <w:rPr>
          <w:sz w:val="21"/>
          <w:szCs w:val="21"/>
        </w:rPr>
      </w:pPr>
      <w:r>
        <w:rPr>
          <w:rFonts w:hint="eastAsia"/>
          <w:sz w:val="21"/>
          <w:szCs w:val="21"/>
        </w:rPr>
        <w:t xml:space="preserve">例3：某投资者赎回本基金A类基金份额1万份，持有时间为1年，对应的赎回费率为0%，假设赎回当日A类基金份额净值是1.2500元，则其可得到的赎回金额为： </w:t>
      </w:r>
    </w:p>
    <w:p>
      <w:pPr>
        <w:pStyle w:val="9"/>
        <w:spacing w:before="0" w:beforeAutospacing="0" w:after="0" w:afterAutospacing="0" w:line="360" w:lineRule="auto"/>
        <w:ind w:firstLine="420"/>
        <w:rPr>
          <w:sz w:val="21"/>
          <w:szCs w:val="21"/>
        </w:rPr>
      </w:pPr>
      <w:r>
        <w:rPr>
          <w:rFonts w:hint="eastAsia"/>
          <w:sz w:val="21"/>
          <w:szCs w:val="21"/>
        </w:rPr>
        <w:t xml:space="preserve">赎回总金额=10,000×1.2500=12,500.00元 </w:t>
      </w:r>
    </w:p>
    <w:p>
      <w:pPr>
        <w:pStyle w:val="9"/>
        <w:spacing w:before="0" w:beforeAutospacing="0" w:after="0" w:afterAutospacing="0" w:line="360" w:lineRule="auto"/>
        <w:ind w:firstLine="420"/>
        <w:rPr>
          <w:sz w:val="21"/>
          <w:szCs w:val="21"/>
        </w:rPr>
      </w:pPr>
      <w:r>
        <w:rPr>
          <w:rFonts w:hint="eastAsia"/>
          <w:sz w:val="21"/>
          <w:szCs w:val="21"/>
        </w:rPr>
        <w:t xml:space="preserve">赎回费用=12,500.00×0%=0.00元 </w:t>
      </w:r>
    </w:p>
    <w:p>
      <w:pPr>
        <w:pStyle w:val="9"/>
        <w:spacing w:before="0" w:beforeAutospacing="0" w:after="0" w:afterAutospacing="0" w:line="360" w:lineRule="auto"/>
        <w:ind w:firstLine="420"/>
        <w:rPr>
          <w:sz w:val="21"/>
          <w:szCs w:val="21"/>
        </w:rPr>
      </w:pPr>
      <w:r>
        <w:rPr>
          <w:rFonts w:hint="eastAsia"/>
          <w:sz w:val="21"/>
          <w:szCs w:val="21"/>
        </w:rPr>
        <w:t xml:space="preserve">净赎回金额=12,500.00-0.00=12,500.00元 </w:t>
      </w:r>
    </w:p>
    <w:p>
      <w:pPr>
        <w:pStyle w:val="9"/>
        <w:spacing w:before="0" w:beforeAutospacing="0" w:after="0" w:afterAutospacing="0" w:line="360" w:lineRule="auto"/>
        <w:ind w:firstLine="420"/>
        <w:rPr>
          <w:sz w:val="21"/>
          <w:szCs w:val="21"/>
        </w:rPr>
      </w:pPr>
      <w:r>
        <w:rPr>
          <w:rFonts w:hint="eastAsia"/>
          <w:sz w:val="21"/>
          <w:szCs w:val="21"/>
        </w:rPr>
        <w:t xml:space="preserve">即：投资者赎回本基金A类基金份额1万份，持有时间为1年，假设赎回当日A类基金份额净值是1.2500元，则其可得到的赎回金额为12,500.00元。 </w:t>
      </w:r>
    </w:p>
    <w:p>
      <w:pPr>
        <w:pStyle w:val="9"/>
        <w:spacing w:before="0" w:beforeAutospacing="0" w:after="0" w:afterAutospacing="0" w:line="360" w:lineRule="auto"/>
        <w:ind w:firstLine="420"/>
        <w:rPr>
          <w:sz w:val="21"/>
          <w:szCs w:val="21"/>
        </w:rPr>
      </w:pPr>
      <w:r>
        <w:rPr>
          <w:rFonts w:hint="eastAsia"/>
          <w:sz w:val="21"/>
          <w:szCs w:val="21"/>
        </w:rPr>
        <w:t>3、本基金A类基金份额和C类基金份额分别设置代码，分别计算和公告各类基金份额净值和各类基金份额累计净值。本基金各类基金份额净值的计算，均保留到小数点后</w:t>
      </w:r>
      <w:bookmarkStart w:id="92" w:name="field_63_netdecimal_1"/>
      <w:r>
        <w:rPr>
          <w:sz w:val="21"/>
          <w:szCs w:val="21"/>
        </w:rPr>
        <w:t>4</w:t>
      </w:r>
      <w:bookmarkEnd w:id="92"/>
      <w:r>
        <w:rPr>
          <w:rFonts w:hint="eastAsia"/>
          <w:sz w:val="21"/>
          <w:szCs w:val="21"/>
        </w:rPr>
        <w:t>位，小数点后第</w:t>
      </w:r>
      <w:bookmarkStart w:id="93" w:name="field_63_netdecimaladd1_1"/>
      <w:r>
        <w:rPr>
          <w:sz w:val="21"/>
          <w:szCs w:val="21"/>
        </w:rPr>
        <w:t>5</w:t>
      </w:r>
      <w:bookmarkEnd w:id="93"/>
      <w:r>
        <w:rPr>
          <w:rFonts w:hint="eastAsia"/>
          <w:sz w:val="21"/>
          <w:szCs w:val="21"/>
        </w:rPr>
        <w:t xml:space="preserve">位四舍五入，由此产生的收益或损失由基金财产承担。T日的各类基金份额净值在当天收市后计算，并按照基金合同约定公告。遇特殊情况，经履行适当程序，可以适当延迟计算或公告。 </w:t>
      </w:r>
    </w:p>
    <w:p>
      <w:pPr>
        <w:pStyle w:val="9"/>
        <w:spacing w:before="0" w:beforeAutospacing="0" w:after="0" w:afterAutospacing="0" w:line="360" w:lineRule="auto"/>
        <w:ind w:firstLine="420"/>
        <w:rPr>
          <w:sz w:val="21"/>
          <w:szCs w:val="21"/>
        </w:rPr>
      </w:pPr>
      <w:r>
        <w:rPr>
          <w:rStyle w:val="14"/>
          <w:rFonts w:hint="eastAsia"/>
          <w:sz w:val="21"/>
          <w:szCs w:val="21"/>
        </w:rPr>
        <w:t>八、申购和赎回的登记</w:t>
      </w:r>
    </w:p>
    <w:p>
      <w:pPr>
        <w:pStyle w:val="9"/>
        <w:spacing w:before="0" w:beforeAutospacing="0" w:after="0" w:afterAutospacing="0" w:line="360" w:lineRule="auto"/>
        <w:ind w:firstLine="420"/>
        <w:rPr>
          <w:sz w:val="21"/>
          <w:szCs w:val="21"/>
        </w:rPr>
      </w:pPr>
      <w:r>
        <w:rPr>
          <w:rFonts w:hint="eastAsia"/>
          <w:sz w:val="21"/>
          <w:szCs w:val="21"/>
        </w:rPr>
        <w:t xml:space="preserve">投资人申购基金成功后，基金登记机构在T+1日为投资人登记权益并办理登记手续，投资人自T+2日（含该日）后有权赎回该部分基金份额。 </w:t>
      </w:r>
    </w:p>
    <w:p>
      <w:pPr>
        <w:pStyle w:val="9"/>
        <w:spacing w:before="0" w:beforeAutospacing="0" w:after="0" w:afterAutospacing="0" w:line="360" w:lineRule="auto"/>
        <w:ind w:firstLine="420"/>
        <w:rPr>
          <w:sz w:val="21"/>
          <w:szCs w:val="21"/>
        </w:rPr>
      </w:pPr>
      <w:r>
        <w:rPr>
          <w:rFonts w:hint="eastAsia"/>
          <w:sz w:val="21"/>
          <w:szCs w:val="21"/>
        </w:rPr>
        <w:t xml:space="preserve">投资人赎回基金成功后，基金登记机构在T+1日为投资人办理扣除权益的登记手续。 </w:t>
      </w:r>
    </w:p>
    <w:p>
      <w:pPr>
        <w:pStyle w:val="9"/>
        <w:spacing w:before="0" w:beforeAutospacing="0" w:after="0" w:afterAutospacing="0" w:line="360" w:lineRule="auto"/>
        <w:ind w:firstLine="420"/>
        <w:rPr>
          <w:sz w:val="21"/>
          <w:szCs w:val="21"/>
        </w:rPr>
      </w:pPr>
      <w:r>
        <w:rPr>
          <w:rFonts w:hint="eastAsia"/>
          <w:sz w:val="21"/>
          <w:szCs w:val="21"/>
        </w:rPr>
        <w:t xml:space="preserve">基金管理人可以在法律法规和基金合同允许的范围内，对上述登记办理时间进行调整，但不得实质影响投资人的合法权益，并最迟于实施前依照《信息披露办法》的有关规定在规定媒介公告。 </w:t>
      </w:r>
    </w:p>
    <w:p>
      <w:pPr>
        <w:pStyle w:val="9"/>
        <w:spacing w:before="0" w:beforeAutospacing="0" w:after="0" w:afterAutospacing="0" w:line="360" w:lineRule="auto"/>
        <w:ind w:firstLine="420"/>
        <w:rPr>
          <w:sz w:val="21"/>
          <w:szCs w:val="21"/>
        </w:rPr>
      </w:pPr>
      <w:r>
        <w:rPr>
          <w:rStyle w:val="14"/>
          <w:rFonts w:hint="eastAsia"/>
          <w:sz w:val="21"/>
          <w:szCs w:val="21"/>
        </w:rPr>
        <w:t>九、拒绝或暂停申购的情形</w:t>
      </w:r>
    </w:p>
    <w:p>
      <w:pPr>
        <w:pStyle w:val="9"/>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9"/>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9"/>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 </w:t>
      </w:r>
    </w:p>
    <w:p>
      <w:pPr>
        <w:pStyle w:val="9"/>
        <w:spacing w:before="0" w:beforeAutospacing="0" w:after="0" w:afterAutospacing="0" w:line="360" w:lineRule="auto"/>
        <w:ind w:firstLine="420"/>
        <w:rPr>
          <w:sz w:val="21"/>
          <w:szCs w:val="21"/>
        </w:rPr>
      </w:pPr>
      <w:r>
        <w:rPr>
          <w:rFonts w:hint="eastAsia"/>
          <w:sz w:val="21"/>
          <w:szCs w:val="21"/>
        </w:rPr>
        <w:t xml:space="preserve">3、证券、期货交易所或外汇市场交易时间非正常停市，导致基金管理人无法计算当日基金资产净值。 </w:t>
      </w:r>
    </w:p>
    <w:p>
      <w:pPr>
        <w:pStyle w:val="9"/>
        <w:spacing w:before="0" w:beforeAutospacing="0" w:after="0" w:afterAutospacing="0" w:line="360" w:lineRule="auto"/>
        <w:ind w:firstLine="420"/>
        <w:rPr>
          <w:sz w:val="21"/>
          <w:szCs w:val="21"/>
        </w:rPr>
      </w:pPr>
      <w:r>
        <w:rPr>
          <w:rFonts w:hint="eastAsia"/>
          <w:sz w:val="21"/>
          <w:szCs w:val="21"/>
        </w:rPr>
        <w:t xml:space="preserve">4、基金管理人接受某笔或某些申购申请可能会影响或损害现有基金份额持有人利益或对存量基金份额持有人利益构成潜在重大不利影响时。 </w:t>
      </w:r>
    </w:p>
    <w:p>
      <w:pPr>
        <w:pStyle w:val="9"/>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9"/>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6、基金管理人、基金托管人、销售机构或登记机构的技术故障等异常情况导致基金销售系统、基金注册登记系统或基金会计系统无法正常运行。 </w:t>
      </w:r>
    </w:p>
    <w:p>
      <w:pPr>
        <w:pStyle w:val="9"/>
        <w:spacing w:before="0" w:beforeAutospacing="0" w:after="0" w:afterAutospacing="0" w:line="360" w:lineRule="auto"/>
        <w:ind w:firstLine="420"/>
        <w:rPr>
          <w:sz w:val="21"/>
          <w:szCs w:val="21"/>
        </w:rPr>
      </w:pPr>
      <w:r>
        <w:rPr>
          <w:rFonts w:hint="eastAsia"/>
          <w:sz w:val="21"/>
          <w:szCs w:val="21"/>
        </w:rPr>
        <w:t xml:space="preserve">7、当特定资产占前一估值日基金资产净值50%以上的，经与基金托管人协商确认后，基金管理人应当暂停接受基金申购申请。 </w:t>
      </w:r>
    </w:p>
    <w:p>
      <w:pPr>
        <w:pStyle w:val="9"/>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8、基金管理人接受某笔或者某些申购申请有可能导致单一投资者持有基金份额的比例达到或者超过50%，或者变相规避50%集中度的情形时。 </w:t>
      </w:r>
    </w:p>
    <w:p>
      <w:pPr>
        <w:pStyle w:val="9"/>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9"/>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暂停接受投资人的申购申请时，基金管理人应当根据有关规定在规定媒介上刊登暂停申购公告。如果投资人的申购申请被拒绝，被拒绝的申购款项本金将退还给投资人。在暂停申购的情况消除时，基金管理人应及时恢复申购业务的办理。 </w:t>
      </w:r>
    </w:p>
    <w:p>
      <w:pPr>
        <w:pStyle w:val="9"/>
        <w:spacing w:before="0" w:beforeAutospacing="0" w:after="0" w:afterAutospacing="0" w:line="360" w:lineRule="auto"/>
        <w:ind w:firstLine="420"/>
        <w:rPr>
          <w:sz w:val="21"/>
          <w:szCs w:val="21"/>
        </w:rPr>
      </w:pPr>
      <w:r>
        <w:rPr>
          <w:rStyle w:val="14"/>
          <w:rFonts w:hint="eastAsia"/>
          <w:sz w:val="21"/>
          <w:szCs w:val="21"/>
        </w:rPr>
        <w:t>十、暂停赎回或延缓支付赎回款项的情形</w:t>
      </w:r>
    </w:p>
    <w:p>
      <w:pPr>
        <w:pStyle w:val="9"/>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9"/>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9"/>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 </w:t>
      </w:r>
    </w:p>
    <w:p>
      <w:pPr>
        <w:pStyle w:val="9"/>
        <w:spacing w:before="0" w:beforeAutospacing="0" w:after="0" w:afterAutospacing="0" w:line="360" w:lineRule="auto"/>
        <w:ind w:firstLine="420"/>
        <w:rPr>
          <w:sz w:val="21"/>
          <w:szCs w:val="21"/>
        </w:rPr>
      </w:pPr>
      <w:r>
        <w:rPr>
          <w:rFonts w:hint="eastAsia"/>
          <w:sz w:val="21"/>
          <w:szCs w:val="21"/>
        </w:rPr>
        <w:t xml:space="preserve">3、证券、期货交易所或外汇市场交易时间非正常停市，导致基金管理人无法计算当日基金资产净值。 </w:t>
      </w:r>
    </w:p>
    <w:p>
      <w:pPr>
        <w:pStyle w:val="9"/>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9"/>
        <w:spacing w:before="0" w:beforeAutospacing="0" w:after="0" w:afterAutospacing="0" w:line="360" w:lineRule="auto"/>
        <w:ind w:firstLine="420"/>
        <w:rPr>
          <w:sz w:val="21"/>
          <w:szCs w:val="21"/>
        </w:rPr>
      </w:pPr>
      <w:r>
        <w:rPr>
          <w:rFonts w:hint="eastAsia"/>
          <w:sz w:val="21"/>
          <w:szCs w:val="21"/>
        </w:rPr>
        <w:t xml:space="preserve">5、发生继续接受赎回申请将损害现有基金份额持有人利益的情形时。 </w:t>
      </w:r>
    </w:p>
    <w:p>
      <w:pPr>
        <w:pStyle w:val="9"/>
        <w:spacing w:before="0" w:beforeAutospacing="0" w:after="0" w:afterAutospacing="0" w:line="360" w:lineRule="auto"/>
        <w:ind w:firstLine="420"/>
        <w:rPr>
          <w:sz w:val="21"/>
          <w:szCs w:val="21"/>
        </w:rPr>
      </w:pPr>
      <w:r>
        <w:rPr>
          <w:rFonts w:hint="eastAsia"/>
          <w:sz w:val="21"/>
          <w:szCs w:val="21"/>
        </w:rPr>
        <w:t xml:space="preserve">6、当特定资产占前一估值日基金资产净值50%以上的，经与基金托管人协商确认后，基金管理人应当延缓支付赎回款项或暂停接受基金赎回申请。 </w:t>
      </w:r>
    </w:p>
    <w:p>
      <w:pPr>
        <w:pStyle w:val="9"/>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9"/>
        <w:spacing w:before="0" w:beforeAutospacing="0" w:after="0" w:afterAutospacing="0" w:line="360" w:lineRule="auto"/>
        <w:ind w:firstLine="420"/>
        <w:rPr>
          <w:sz w:val="21"/>
          <w:szCs w:val="21"/>
        </w:rPr>
      </w:pPr>
      <w:r>
        <w:rPr>
          <w:rFonts w:hint="eastAsia"/>
          <w:sz w:val="21"/>
          <w:szCs w:val="21"/>
        </w:rPr>
        <w:t xml:space="preserve">发生上述情形（第4项除外）之一且基金管理人决定暂停赎回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9"/>
        <w:spacing w:before="0" w:beforeAutospacing="0" w:after="0" w:afterAutospacing="0" w:line="360" w:lineRule="auto"/>
        <w:ind w:firstLine="420"/>
        <w:rPr>
          <w:sz w:val="21"/>
          <w:szCs w:val="21"/>
        </w:rPr>
      </w:pPr>
      <w:r>
        <w:rPr>
          <w:rStyle w:val="14"/>
          <w:rFonts w:hint="eastAsia"/>
          <w:sz w:val="21"/>
          <w:szCs w:val="21"/>
        </w:rPr>
        <w:t>十一、巨额赎回的情形及处理方式</w:t>
      </w:r>
    </w:p>
    <w:p>
      <w:pPr>
        <w:pStyle w:val="9"/>
        <w:spacing w:before="0" w:beforeAutospacing="0" w:after="0" w:afterAutospacing="0" w:line="360" w:lineRule="auto"/>
        <w:ind w:firstLine="420"/>
        <w:rPr>
          <w:sz w:val="21"/>
          <w:szCs w:val="21"/>
        </w:rPr>
      </w:pPr>
      <w:r>
        <w:rPr>
          <w:rFonts w:hint="eastAsia"/>
          <w:sz w:val="21"/>
          <w:szCs w:val="21"/>
        </w:rPr>
        <w:t xml:space="preserve">1、巨额赎回的认定 </w:t>
      </w:r>
    </w:p>
    <w:p>
      <w:pPr>
        <w:pStyle w:val="9"/>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4" w:name="field_49_mintredeemscale_2"/>
      <w:r>
        <w:rPr>
          <w:sz w:val="21"/>
          <w:szCs w:val="21"/>
        </w:rPr>
        <w:t>10</w:t>
      </w:r>
      <w:bookmarkEnd w:id="94"/>
      <w:r>
        <w:rPr>
          <w:rFonts w:hint="eastAsia"/>
          <w:sz w:val="21"/>
          <w:szCs w:val="21"/>
        </w:rPr>
        <w:t xml:space="preserve">%，即认为是发生了巨额赎回。 </w:t>
      </w:r>
    </w:p>
    <w:p>
      <w:pPr>
        <w:pStyle w:val="9"/>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9"/>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当基金出现巨额赎回时，基金管理人可以根据基金当时的资产组合状况决定全额赎回、部分延期赎回或暂停赎回。 </w:t>
      </w:r>
    </w:p>
    <w:p>
      <w:pPr>
        <w:pStyle w:val="9"/>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9"/>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95" w:name="field_49_mintredeemscale_3"/>
      <w:r>
        <w:rPr>
          <w:sz w:val="21"/>
          <w:szCs w:val="21"/>
        </w:rPr>
        <w:t>10</w:t>
      </w:r>
      <w:bookmarkEnd w:id="95"/>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 </w:t>
      </w:r>
    </w:p>
    <w:p>
      <w:pPr>
        <w:pStyle w:val="9"/>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96" w:name="field_49_mintredeemscale_4"/>
      <w:r>
        <w:rPr>
          <w:sz w:val="21"/>
          <w:szCs w:val="21"/>
        </w:rPr>
        <w:t>10</w:t>
      </w:r>
      <w:bookmarkEnd w:id="96"/>
      <w:r>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9"/>
        <w:spacing w:before="0" w:beforeAutospacing="0" w:after="0" w:afterAutospacing="0" w:line="360" w:lineRule="auto"/>
        <w:ind w:firstLine="420"/>
        <w:rPr>
          <w:sz w:val="21"/>
          <w:szCs w:val="21"/>
        </w:rPr>
      </w:pPr>
      <w:r>
        <w:rPr>
          <w:rFonts w:hint="eastAsia"/>
          <w:sz w:val="21"/>
          <w:szCs w:val="21"/>
        </w:rPr>
        <w:t xml:space="preserve">（4）暂停赎回：连续2个开放日以上（含2个开放日）发生巨额赎回，如基金管理人认为有必要，可暂停接受基金的赎回申请；已经接受的赎回申请可以延缓支付赎回款项，但不得超过20个工作日，并应当在规定媒介上进行公告。 </w:t>
      </w:r>
    </w:p>
    <w:p>
      <w:pPr>
        <w:pStyle w:val="9"/>
        <w:spacing w:before="0" w:beforeAutospacing="0" w:after="0" w:afterAutospacing="0" w:line="360" w:lineRule="auto"/>
        <w:ind w:firstLine="420"/>
        <w:rPr>
          <w:sz w:val="21"/>
          <w:szCs w:val="21"/>
        </w:rPr>
      </w:pPr>
      <w:r>
        <w:rPr>
          <w:rFonts w:hint="eastAsia"/>
          <w:sz w:val="21"/>
          <w:szCs w:val="21"/>
        </w:rPr>
        <w:t xml:space="preserve">3、巨额赎回的公告 </w:t>
      </w:r>
    </w:p>
    <w:p>
      <w:pPr>
        <w:pStyle w:val="9"/>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当发生上述巨额赎回并延期办理时，基金管理人应当通过邮寄、传真或者招募说明书规定的其他方式在3个交易日内通知基金份额持有人，说明有关处理方法，并在2日内在规定媒介上刊登公告。 </w:t>
      </w:r>
    </w:p>
    <w:p>
      <w:pPr>
        <w:pStyle w:val="9"/>
        <w:spacing w:before="0" w:beforeAutospacing="0" w:after="0" w:afterAutospacing="0" w:line="360" w:lineRule="auto"/>
        <w:ind w:firstLine="420"/>
        <w:rPr>
          <w:sz w:val="21"/>
          <w:szCs w:val="21"/>
        </w:rPr>
      </w:pPr>
      <w:r>
        <w:rPr>
          <w:rStyle w:val="14"/>
          <w:rFonts w:hint="eastAsia"/>
          <w:sz w:val="21"/>
          <w:szCs w:val="21"/>
        </w:rPr>
        <w:t>十二、暂停申购或赎回的公告和重新开放申购或赎回的公告</w:t>
      </w:r>
    </w:p>
    <w:p>
      <w:pPr>
        <w:pStyle w:val="9"/>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1、发生上述暂停申购或赎回情况的，基金管理人应在规定期限内在规定媒介上刊登暂停公告。 </w:t>
      </w:r>
    </w:p>
    <w:p>
      <w:pPr>
        <w:pStyle w:val="9"/>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 </w:t>
      </w:r>
    </w:p>
    <w:p>
      <w:pPr>
        <w:pStyle w:val="9"/>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3、上述暂停申购或赎回情况消除的，基金管理人应于重新开放日公布最近1个开放日</w:t>
      </w:r>
      <w:bookmarkStart w:id="97" w:name="chapter_level1_10_59_section_3_end"/>
      <w:bookmarkEnd w:id="97"/>
      <w:r>
        <w:rPr>
          <w:rFonts w:hint="eastAsia"/>
          <w:sz w:val="21"/>
          <w:szCs w:val="21"/>
        </w:rPr>
        <w:t xml:space="preserve">各类基金份额净值。 </w:t>
      </w:r>
    </w:p>
    <w:p>
      <w:pPr>
        <w:pStyle w:val="9"/>
        <w:spacing w:before="0" w:beforeAutospacing="0" w:after="0" w:afterAutospacing="0" w:line="360" w:lineRule="auto"/>
        <w:ind w:firstLine="420"/>
        <w:rPr>
          <w:sz w:val="21"/>
          <w:szCs w:val="21"/>
        </w:rPr>
      </w:pPr>
      <w:bookmarkStart w:id="98" w:name="chapter_level1_10_59_section_4"/>
      <w:bookmarkEnd w:id="98"/>
      <w:r>
        <w:rPr>
          <w:rStyle w:val="14"/>
          <w:rFonts w:hint="eastAsia"/>
          <w:sz w:val="21"/>
          <w:szCs w:val="21"/>
        </w:rPr>
        <w:t>十三、基金转换</w:t>
      </w:r>
    </w:p>
    <w:p>
      <w:pPr>
        <w:pStyle w:val="9"/>
        <w:spacing w:before="0" w:beforeAutospacing="0" w:after="0" w:afterAutospacing="0" w:line="360" w:lineRule="auto"/>
        <w:ind w:firstLine="420"/>
        <w:rPr>
          <w:sz w:val="21"/>
          <w:szCs w:val="21"/>
        </w:rPr>
      </w:pPr>
      <w:r>
        <w:rPr>
          <w:rFonts w:hint="eastAsia"/>
          <w:sz w:val="21"/>
          <w:szCs w:val="21"/>
        </w:rPr>
        <w:t xml:space="preserve">本基金已于2023年6月15日开放转换业务。  </w:t>
      </w:r>
    </w:p>
    <w:p>
      <w:pPr>
        <w:pStyle w:val="3"/>
      </w:pPr>
      <w:r>
        <w:t>1转换费率</w:t>
      </w:r>
    </w:p>
    <w:p>
      <w:pPr>
        <w:pStyle w:val="9"/>
        <w:spacing w:before="0" w:beforeAutospacing="0" w:after="0" w:afterAutospacing="0" w:line="360" w:lineRule="auto"/>
        <w:ind w:firstLine="420"/>
        <w:rPr>
          <w:sz w:val="21"/>
          <w:szCs w:val="21"/>
        </w:rPr>
      </w:pPr>
      <w:r>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pPr>
        <w:pStyle w:val="3"/>
      </w:pPr>
      <w:r>
        <w:t>2其他与转换相关的事项</w:t>
      </w:r>
    </w:p>
    <w:p>
      <w:pPr>
        <w:pStyle w:val="9"/>
        <w:spacing w:before="0" w:beforeAutospacing="0" w:after="0" w:afterAutospacing="0" w:line="360" w:lineRule="auto"/>
        <w:ind w:firstLine="420"/>
        <w:rPr>
          <w:sz w:val="21"/>
          <w:szCs w:val="21"/>
        </w:rPr>
      </w:pPr>
      <w:r>
        <w:rPr>
          <w:rFonts w:hint="eastAsia"/>
          <w:sz w:val="21"/>
          <w:szCs w:val="21"/>
        </w:rPr>
        <w:t xml:space="preserve">1）业务规则 </w:t>
      </w:r>
    </w:p>
    <w:p>
      <w:pPr>
        <w:pStyle w:val="9"/>
        <w:spacing w:before="0" w:beforeAutospacing="0" w:after="0" w:afterAutospacing="0" w:line="360" w:lineRule="auto"/>
        <w:ind w:firstLine="420"/>
        <w:rPr>
          <w:sz w:val="21"/>
          <w:szCs w:val="21"/>
        </w:rPr>
      </w:pPr>
      <w:r>
        <w:rPr>
          <w:rFonts w:hint="eastAsia"/>
          <w:sz w:val="21"/>
          <w:szCs w:val="21"/>
        </w:rPr>
        <w:t xml:space="preserve">①基金转换只能在同一销售机构进行。转换的两只基金必须都是该销售机构代理的同一基金管理人管理的、在同一注册登记机构处注册登记的基金。 </w:t>
      </w:r>
    </w:p>
    <w:p>
      <w:pPr>
        <w:pStyle w:val="9"/>
        <w:spacing w:before="0" w:beforeAutospacing="0" w:after="0" w:afterAutospacing="0" w:line="360" w:lineRule="auto"/>
        <w:ind w:firstLine="420"/>
        <w:rPr>
          <w:sz w:val="21"/>
          <w:szCs w:val="21"/>
        </w:rPr>
      </w:pPr>
      <w:r>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9"/>
        <w:spacing w:before="0" w:beforeAutospacing="0" w:after="0" w:afterAutospacing="0" w:line="360" w:lineRule="auto"/>
        <w:ind w:firstLine="420"/>
        <w:rPr>
          <w:sz w:val="21"/>
          <w:szCs w:val="21"/>
        </w:rPr>
      </w:pPr>
      <w:r>
        <w:rPr>
          <w:rFonts w:hint="eastAsia"/>
          <w:sz w:val="21"/>
          <w:szCs w:val="21"/>
        </w:rPr>
        <w:t xml:space="preserve">③基金转换的目标基金份额按新交易计算持有时间。基金转出视为赎回，转入视为申购。基金转换后可赎回的时间为T＋2日。 </w:t>
      </w:r>
    </w:p>
    <w:p>
      <w:pPr>
        <w:pStyle w:val="9"/>
        <w:spacing w:before="0" w:beforeAutospacing="0" w:after="0" w:afterAutospacing="0" w:line="360" w:lineRule="auto"/>
        <w:ind w:firstLine="420"/>
        <w:rPr>
          <w:sz w:val="21"/>
          <w:szCs w:val="21"/>
        </w:rPr>
      </w:pPr>
      <w:r>
        <w:rPr>
          <w:rFonts w:hint="eastAsia"/>
          <w:sz w:val="21"/>
          <w:szCs w:val="21"/>
        </w:rPr>
        <w:t xml:space="preserve">④基金分红时再投资的份额可在权益登记日的T＋2日提交基金转换申请。 </w:t>
      </w:r>
    </w:p>
    <w:p>
      <w:pPr>
        <w:pStyle w:val="9"/>
        <w:spacing w:before="0" w:beforeAutospacing="0" w:after="0" w:afterAutospacing="0" w:line="360" w:lineRule="auto"/>
        <w:ind w:firstLine="420"/>
        <w:rPr>
          <w:sz w:val="21"/>
          <w:szCs w:val="21"/>
        </w:rPr>
      </w:pPr>
      <w:r>
        <w:rPr>
          <w:rFonts w:hint="eastAsia"/>
          <w:sz w:val="21"/>
          <w:szCs w:val="21"/>
        </w:rPr>
        <w:t xml:space="preserve">⑤基金转换以申请当日基金份额净值为基础计算。投资者采用“份额转换”的原则提交申请。转出基金份额必须是可用份额，并遵循“先进先出”的原则。 </w:t>
      </w:r>
    </w:p>
    <w:p>
      <w:pPr>
        <w:pStyle w:val="9"/>
        <w:spacing w:before="0" w:beforeAutospacing="0" w:after="0" w:afterAutospacing="0" w:line="360" w:lineRule="auto"/>
        <w:ind w:firstLine="420"/>
        <w:rPr>
          <w:sz w:val="21"/>
          <w:szCs w:val="21"/>
        </w:rPr>
      </w:pPr>
      <w:r>
        <w:rPr>
          <w:rFonts w:hint="eastAsia"/>
          <w:sz w:val="21"/>
          <w:szCs w:val="21"/>
        </w:rPr>
        <w:t xml:space="preserve">2）暂停基金转换的情形及处理 </w:t>
      </w:r>
    </w:p>
    <w:p>
      <w:pPr>
        <w:pStyle w:val="9"/>
        <w:spacing w:before="0" w:beforeAutospacing="0" w:after="0" w:afterAutospacing="0" w:line="360" w:lineRule="auto"/>
        <w:ind w:firstLine="420"/>
        <w:rPr>
          <w:sz w:val="21"/>
          <w:szCs w:val="21"/>
        </w:rPr>
      </w:pPr>
      <w:r>
        <w:rPr>
          <w:rFonts w:hint="eastAsia"/>
          <w:sz w:val="21"/>
          <w:szCs w:val="21"/>
        </w:rPr>
        <w:t xml:space="preserve">基金转换视同为转出基金的赎回和转入基金的申购，因此暂停基金转换适用有关转出基金和转入基金关于暂停或拒绝申购、暂停赎回的有关规定。  </w:t>
      </w:r>
    </w:p>
    <w:p>
      <w:pPr>
        <w:pStyle w:val="9"/>
        <w:spacing w:before="0" w:beforeAutospacing="0" w:after="0" w:afterAutospacing="0" w:line="360" w:lineRule="auto"/>
        <w:ind w:firstLine="420"/>
        <w:rPr>
          <w:sz w:val="21"/>
          <w:szCs w:val="21"/>
        </w:rPr>
      </w:pPr>
      <w:r>
        <w:rPr>
          <w:rFonts w:hint="eastAsia"/>
          <w:sz w:val="21"/>
          <w:szCs w:val="21"/>
        </w:rPr>
        <w:t xml:space="preserve">出现法律、法规、规章规定的其它情形或其它在《基金合同》、《招募说明书》已载明并获中国证监会批准的特殊情形时，基金管理人可以暂停基金转换业务。  </w:t>
      </w:r>
    </w:p>
    <w:p>
      <w:pPr>
        <w:pStyle w:val="9"/>
        <w:spacing w:before="0" w:beforeAutospacing="0" w:after="0" w:afterAutospacing="0" w:line="360" w:lineRule="auto"/>
        <w:ind w:firstLine="420"/>
        <w:rPr>
          <w:sz w:val="21"/>
          <w:szCs w:val="21"/>
        </w:rPr>
      </w:pPr>
      <w:r>
        <w:rPr>
          <w:rFonts w:hint="eastAsia"/>
          <w:sz w:val="21"/>
          <w:szCs w:val="21"/>
        </w:rPr>
        <w:t xml:space="preserve">3）重要提示 </w:t>
      </w:r>
    </w:p>
    <w:p>
      <w:pPr>
        <w:pStyle w:val="9"/>
        <w:spacing w:before="0" w:beforeAutospacing="0" w:after="0" w:afterAutospacing="0" w:line="360" w:lineRule="auto"/>
        <w:ind w:firstLine="420"/>
        <w:rPr>
          <w:sz w:val="21"/>
          <w:szCs w:val="21"/>
        </w:rPr>
      </w:pPr>
      <w:r>
        <w:rPr>
          <w:rFonts w:hint="eastAsia"/>
          <w:sz w:val="21"/>
          <w:szCs w:val="21"/>
        </w:rPr>
        <w:t xml:space="preserve">①本基金转换业务适用于可以销售包括本基金在内的两只以上（含两只），且基金注册登记机构为同一机构的博时旗下基金的销售机构。 </w:t>
      </w:r>
    </w:p>
    <w:p>
      <w:pPr>
        <w:pStyle w:val="9"/>
        <w:spacing w:before="0" w:beforeAutospacing="0" w:after="0" w:afterAutospacing="0" w:line="360" w:lineRule="auto"/>
        <w:ind w:firstLine="420"/>
        <w:rPr>
          <w:sz w:val="21"/>
          <w:szCs w:val="21"/>
        </w:rPr>
      </w:pPr>
      <w:r>
        <w:rPr>
          <w:rFonts w:hint="eastAsia"/>
          <w:sz w:val="21"/>
          <w:szCs w:val="21"/>
        </w:rPr>
        <w:t xml:space="preserve">②转换业务的收费计算公式及举例参见2010年3月16日刊登于本公司网站的《博时基金管理有限公司关于旗下开放式基金转换业务的公告》。 </w:t>
      </w:r>
    </w:p>
    <w:p>
      <w:pPr>
        <w:pStyle w:val="9"/>
        <w:spacing w:before="0" w:beforeAutospacing="0" w:after="0" w:afterAutospacing="0" w:line="360" w:lineRule="auto"/>
        <w:ind w:firstLine="420"/>
        <w:rPr>
          <w:sz w:val="21"/>
          <w:szCs w:val="21"/>
        </w:rPr>
      </w:pPr>
      <w:r>
        <w:rPr>
          <w:rFonts w:hint="eastAsia"/>
          <w:sz w:val="21"/>
          <w:szCs w:val="21"/>
        </w:rPr>
        <w:t xml:space="preserve">③本公司管理基金的转换业务的解释权归本公司。  </w:t>
      </w:r>
    </w:p>
    <w:p>
      <w:pPr>
        <w:rPr>
          <w:rFonts w:ascii="宋体" w:hAnsi="宋体" w:eastAsia="宋体"/>
          <w:sz w:val="24"/>
          <w:szCs w:val="24"/>
        </w:rPr>
      </w:pPr>
      <w:bookmarkStart w:id="99" w:name="chapter_level1_10_59_section_4_end"/>
      <w:bookmarkEnd w:id="99"/>
    </w:p>
    <w:p>
      <w:pPr>
        <w:pStyle w:val="9"/>
        <w:spacing w:before="0" w:beforeAutospacing="0" w:after="0" w:afterAutospacing="0" w:line="360" w:lineRule="auto"/>
        <w:ind w:firstLine="420"/>
        <w:rPr>
          <w:sz w:val="21"/>
          <w:szCs w:val="21"/>
        </w:rPr>
      </w:pPr>
      <w:bookmarkStart w:id="100" w:name="chapter_level1_10_59_section_5"/>
      <w:bookmarkEnd w:id="100"/>
      <w:r>
        <w:rPr>
          <w:rStyle w:val="14"/>
          <w:rFonts w:hint="eastAsia"/>
          <w:sz w:val="21"/>
          <w:szCs w:val="21"/>
        </w:rPr>
        <w:t>十四、基金份额的转让</w:t>
      </w:r>
    </w:p>
    <w:p>
      <w:pPr>
        <w:pStyle w:val="9"/>
        <w:spacing w:before="0" w:beforeAutospacing="0" w:after="0" w:afterAutospacing="0" w:line="360" w:lineRule="auto"/>
        <w:ind w:firstLine="420"/>
        <w:rPr>
          <w:sz w:val="21"/>
          <w:szCs w:val="21"/>
        </w:rPr>
      </w:pPr>
      <w:r>
        <w:rPr>
          <w:rFonts w:hint="eastAsia"/>
          <w:sz w:val="21"/>
          <w:szCs w:val="21"/>
        </w:rPr>
        <w:t xml:space="preserve">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9"/>
        <w:spacing w:before="0" w:beforeAutospacing="0" w:after="0" w:afterAutospacing="0" w:line="360" w:lineRule="auto"/>
        <w:ind w:firstLine="420"/>
        <w:rPr>
          <w:sz w:val="21"/>
          <w:szCs w:val="21"/>
        </w:rPr>
      </w:pPr>
      <w:r>
        <w:rPr>
          <w:rStyle w:val="14"/>
          <w:rFonts w:hint="eastAsia"/>
          <w:sz w:val="21"/>
          <w:szCs w:val="21"/>
        </w:rPr>
        <w:t>十五、基金的非交易过户</w:t>
      </w:r>
    </w:p>
    <w:p>
      <w:pPr>
        <w:pStyle w:val="9"/>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9"/>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9"/>
        <w:spacing w:before="0" w:beforeAutospacing="0" w:after="0" w:afterAutospacing="0" w:line="360" w:lineRule="auto"/>
        <w:ind w:firstLine="420"/>
        <w:rPr>
          <w:sz w:val="21"/>
          <w:szCs w:val="21"/>
        </w:rPr>
      </w:pPr>
      <w:r>
        <w:rPr>
          <w:rStyle w:val="14"/>
          <w:rFonts w:hint="eastAsia"/>
          <w:sz w:val="21"/>
          <w:szCs w:val="21"/>
        </w:rPr>
        <w:t>十六、基金的转托管</w:t>
      </w:r>
    </w:p>
    <w:p>
      <w:pPr>
        <w:pStyle w:val="9"/>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01" w:name="chapter_level1_10_59_section_5_end"/>
      <w:bookmarkEnd w:id="101"/>
      <w:r>
        <w:rPr>
          <w:rFonts w:hint="eastAsia"/>
          <w:sz w:val="21"/>
          <w:szCs w:val="21"/>
        </w:rPr>
        <w:t xml:space="preserve">以按照规定的标准收取转托管费。 </w:t>
      </w:r>
    </w:p>
    <w:p>
      <w:pPr>
        <w:pStyle w:val="9"/>
        <w:spacing w:before="0" w:beforeAutospacing="0" w:after="0" w:afterAutospacing="0" w:line="360" w:lineRule="auto"/>
        <w:ind w:firstLine="420"/>
        <w:rPr>
          <w:sz w:val="21"/>
          <w:szCs w:val="21"/>
        </w:rPr>
      </w:pPr>
      <w:bookmarkStart w:id="102" w:name="chapter_level1_10_59_section_6"/>
      <w:bookmarkEnd w:id="102"/>
      <w:r>
        <w:rPr>
          <w:rStyle w:val="14"/>
          <w:rFonts w:hint="eastAsia"/>
          <w:sz w:val="21"/>
          <w:szCs w:val="21"/>
        </w:rPr>
        <w:t>十七、定期定额投资计划</w:t>
      </w:r>
    </w:p>
    <w:p>
      <w:pPr>
        <w:pStyle w:val="9"/>
        <w:spacing w:before="0" w:beforeAutospacing="0" w:after="0" w:afterAutospacing="0" w:line="360" w:lineRule="auto"/>
        <w:ind w:firstLine="420"/>
        <w:rPr>
          <w:sz w:val="21"/>
          <w:szCs w:val="21"/>
        </w:rPr>
      </w:pPr>
      <w:r>
        <w:rPr>
          <w:rFonts w:hint="eastAsia"/>
          <w:sz w:val="21"/>
          <w:szCs w:val="21"/>
        </w:rPr>
        <w:t xml:space="preserve">本基金已于2023年6月15日开放定期定额投资业务。  </w:t>
      </w:r>
    </w:p>
    <w:p>
      <w:pPr>
        <w:pStyle w:val="9"/>
        <w:spacing w:before="0" w:beforeAutospacing="0" w:after="0" w:afterAutospacing="0" w:line="360" w:lineRule="auto"/>
        <w:ind w:firstLine="420"/>
        <w:rPr>
          <w:sz w:val="21"/>
          <w:szCs w:val="21"/>
        </w:rPr>
      </w:pPr>
      <w:r>
        <w:rPr>
          <w:rFonts w:hint="eastAsia"/>
          <w:sz w:val="21"/>
          <w:szCs w:val="21"/>
        </w:rPr>
        <w:t xml:space="preserve">（1）适用投资者范围   </w:t>
      </w:r>
    </w:p>
    <w:p>
      <w:pPr>
        <w:pStyle w:val="9"/>
        <w:spacing w:before="0" w:beforeAutospacing="0" w:after="0" w:afterAutospacing="0" w:line="360" w:lineRule="auto"/>
        <w:ind w:firstLine="420"/>
        <w:rPr>
          <w:sz w:val="21"/>
          <w:szCs w:val="21"/>
        </w:rPr>
      </w:pPr>
      <w:r>
        <w:rPr>
          <w:rFonts w:hint="eastAsia"/>
          <w:sz w:val="21"/>
          <w:szCs w:val="21"/>
        </w:rPr>
        <w:t xml:space="preserve">个人投资者、机构投资者、合格境外机构投资者和人民币合格境外机构投资者以及法律法规或中国证监会规定允许购买证券投资基金的其他投资者。  </w:t>
      </w:r>
    </w:p>
    <w:p>
      <w:pPr>
        <w:pStyle w:val="9"/>
        <w:spacing w:before="0" w:beforeAutospacing="0" w:after="0" w:afterAutospacing="0" w:line="360" w:lineRule="auto"/>
        <w:ind w:firstLine="420"/>
        <w:rPr>
          <w:sz w:val="21"/>
          <w:szCs w:val="21"/>
        </w:rPr>
      </w:pPr>
      <w:r>
        <w:rPr>
          <w:rFonts w:hint="eastAsia"/>
          <w:sz w:val="21"/>
          <w:szCs w:val="21"/>
        </w:rPr>
        <w:t xml:space="preserve">（2）申购费率   </w:t>
      </w:r>
    </w:p>
    <w:p>
      <w:pPr>
        <w:pStyle w:val="9"/>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本基金定期定额投资的申购费率与普通申购业务的费率相同，见上文。  </w:t>
      </w:r>
    </w:p>
    <w:p>
      <w:pPr>
        <w:pStyle w:val="9"/>
        <w:spacing w:before="0" w:beforeAutospacing="0" w:after="0" w:afterAutospacing="0" w:line="360" w:lineRule="auto"/>
        <w:ind w:firstLine="420"/>
        <w:rPr>
          <w:sz w:val="21"/>
          <w:szCs w:val="21"/>
        </w:rPr>
      </w:pPr>
      <w:r>
        <w:rPr>
          <w:rFonts w:hint="eastAsia"/>
          <w:sz w:val="21"/>
          <w:szCs w:val="21"/>
        </w:rPr>
        <w:t xml:space="preserve">（3）扣款日期和扣款金额   </w:t>
      </w:r>
    </w:p>
    <w:p>
      <w:pPr>
        <w:pStyle w:val="9"/>
        <w:spacing w:before="0" w:beforeAutospacing="0" w:after="0" w:afterAutospacing="0" w:line="360" w:lineRule="auto"/>
        <w:ind w:firstLine="420"/>
        <w:rPr>
          <w:sz w:val="21"/>
          <w:szCs w:val="21"/>
        </w:rPr>
      </w:pPr>
      <w:r>
        <w:rPr>
          <w:rFonts w:hint="eastAsia"/>
          <w:sz w:val="21"/>
          <w:szCs w:val="21"/>
        </w:rPr>
        <w:t xml:space="preserve">投资者须遵循各销售机构有关扣款日期的规定，定投金额A类基金份额每次不少于人民币1.00元（含1.00元），定投金额C类基金份额每次不少于人民币1.00元（含1.00元）。   </w:t>
      </w:r>
    </w:p>
    <w:p>
      <w:pPr>
        <w:pStyle w:val="9"/>
        <w:spacing w:before="0" w:beforeAutospacing="0" w:after="0" w:afterAutospacing="0" w:line="360" w:lineRule="auto"/>
        <w:ind w:firstLine="420"/>
        <w:rPr>
          <w:sz w:val="21"/>
          <w:szCs w:val="21"/>
        </w:rPr>
      </w:pPr>
      <w:r>
        <w:rPr>
          <w:rFonts w:hint="eastAsia"/>
          <w:sz w:val="21"/>
          <w:szCs w:val="21"/>
        </w:rPr>
        <w:t xml:space="preserve">（4）重要提示   </w:t>
      </w:r>
    </w:p>
    <w:p>
      <w:pPr>
        <w:pStyle w:val="9"/>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9"/>
        <w:spacing w:before="0" w:beforeAutospacing="0" w:after="0" w:afterAutospacing="0" w:line="360" w:lineRule="auto"/>
        <w:ind w:firstLine="420"/>
        <w:rPr>
          <w:sz w:val="21"/>
          <w:szCs w:val="21"/>
        </w:rPr>
      </w:pPr>
      <w:r>
        <w:rPr>
          <w:rFonts w:hint="eastAsia"/>
          <w:sz w:val="21"/>
          <w:szCs w:val="21"/>
        </w:rPr>
        <w:t xml:space="preserve">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  </w:t>
      </w:r>
    </w:p>
    <w:p>
      <w:pPr>
        <w:rPr>
          <w:rFonts w:ascii="宋体" w:hAnsi="宋体" w:eastAsia="宋体"/>
          <w:sz w:val="24"/>
          <w:szCs w:val="24"/>
        </w:rPr>
      </w:pPr>
      <w:bookmarkStart w:id="103" w:name="chapter_level1_10_59_section_6_end"/>
      <w:bookmarkEnd w:id="103"/>
    </w:p>
    <w:p>
      <w:pPr>
        <w:pStyle w:val="9"/>
        <w:spacing w:before="0" w:beforeAutospacing="0" w:after="0" w:afterAutospacing="0" w:line="360" w:lineRule="auto"/>
        <w:ind w:firstLine="420"/>
        <w:rPr>
          <w:sz w:val="21"/>
          <w:szCs w:val="21"/>
        </w:rPr>
      </w:pPr>
      <w:bookmarkStart w:id="104" w:name="chapter_level1_10_59_section_7"/>
      <w:bookmarkEnd w:id="104"/>
      <w:r>
        <w:rPr>
          <w:rStyle w:val="14"/>
          <w:rFonts w:hint="eastAsia"/>
          <w:sz w:val="21"/>
          <w:szCs w:val="21"/>
        </w:rPr>
        <w:t>十八、基金份额的冻结、解冻与质押</w:t>
      </w:r>
    </w:p>
    <w:p>
      <w:pPr>
        <w:pStyle w:val="9"/>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pPr>
        <w:pStyle w:val="9"/>
        <w:spacing w:before="0" w:beforeAutospacing="0" w:after="0" w:afterAutospacing="0" w:line="360" w:lineRule="auto"/>
        <w:ind w:firstLine="420"/>
        <w:rPr>
          <w:sz w:val="21"/>
          <w:szCs w:val="21"/>
        </w:rPr>
      </w:pPr>
      <w:r>
        <w:rPr>
          <w:rFonts w:hint="eastAsia"/>
          <w:sz w:val="21"/>
          <w:szCs w:val="21"/>
        </w:rPr>
        <w:t xml:space="preserve">对基金份额持有人无实质不利影响的前提下，如相关法律法规允许，基金管理人履行相关程序后可办理基金份额的质押业务或其他基金业务，基金管理人将制定和实施相应的业务规则。 </w:t>
      </w:r>
    </w:p>
    <w:p>
      <w:pPr>
        <w:pStyle w:val="9"/>
        <w:spacing w:before="0" w:beforeAutospacing="0" w:after="0" w:afterAutospacing="0" w:line="360" w:lineRule="auto"/>
        <w:ind w:firstLine="420"/>
        <w:rPr>
          <w:sz w:val="21"/>
          <w:szCs w:val="21"/>
        </w:rPr>
      </w:pPr>
      <w:r>
        <w:rPr>
          <w:rStyle w:val="14"/>
          <w:rFonts w:hint="eastAsia"/>
          <w:sz w:val="21"/>
          <w:szCs w:val="21"/>
        </w:rPr>
        <w:t>十九、实施侧袋机制期间本基金的申购与赎回</w:t>
      </w:r>
    </w:p>
    <w:p>
      <w:pPr>
        <w:pStyle w:val="9"/>
        <w:spacing w:before="0" w:beforeAutospacing="0" w:after="0" w:afterAutospacing="0" w:line="360" w:lineRule="auto"/>
        <w:ind w:firstLine="420"/>
        <w:rPr>
          <w:sz w:val="21"/>
          <w:szCs w:val="21"/>
        </w:rPr>
      </w:pPr>
      <w:r>
        <w:rPr>
          <w:rFonts w:hint="eastAsia"/>
          <w:sz w:val="21"/>
          <w:szCs w:val="21"/>
        </w:rPr>
        <w:t>本基金实施侧袋机制的，本基金的申购和赎回安排详见招募说明书“侧袋机制”章节的</w:t>
      </w:r>
      <w:bookmarkStart w:id="105" w:name="chapter_level1_10_59_section_7_end"/>
      <w:bookmarkEnd w:id="105"/>
      <w:r>
        <w:rPr>
          <w:rFonts w:hint="eastAsia"/>
          <w:sz w:val="21"/>
          <w:szCs w:val="21"/>
        </w:rPr>
        <w:t xml:space="preserve">规定或相关公告。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06" w:name="_Toc151126547"/>
      <w:bookmarkStart w:id="107" w:name="chapter_level1_11_60"/>
      <w:r>
        <w:rPr>
          <w:rFonts w:hint="eastAsia" w:ascii="宋体" w:hAnsi="宋体" w:eastAsia="宋体"/>
          <w:sz w:val="30"/>
        </w:rPr>
        <w:t>第八部分  基金的投资</w:t>
      </w:r>
      <w:bookmarkEnd w:id="106"/>
      <w:bookmarkEnd w:id="107"/>
    </w:p>
    <w:p>
      <w:pPr>
        <w:pStyle w:val="9"/>
        <w:spacing w:before="0" w:beforeAutospacing="0" w:after="0" w:afterAutospacing="0" w:line="360" w:lineRule="auto"/>
        <w:ind w:firstLine="420"/>
        <w:rPr>
          <w:sz w:val="21"/>
          <w:szCs w:val="21"/>
        </w:rPr>
      </w:pPr>
      <w:bookmarkStart w:id="108" w:name="chapter_level1_11_60_section_1"/>
      <w:bookmarkEnd w:id="108"/>
      <w:r>
        <w:rPr>
          <w:rStyle w:val="14"/>
          <w:rFonts w:hint="eastAsia"/>
          <w:sz w:val="21"/>
          <w:szCs w:val="21"/>
        </w:rPr>
        <w:t>一、投资目标</w:t>
      </w:r>
    </w:p>
    <w:p>
      <w:pPr>
        <w:pStyle w:val="9"/>
        <w:spacing w:before="0" w:beforeAutospacing="0" w:after="0" w:afterAutospacing="0" w:line="360" w:lineRule="auto"/>
        <w:ind w:firstLine="420"/>
        <w:rPr>
          <w:sz w:val="21"/>
          <w:szCs w:val="21"/>
        </w:rPr>
      </w:pPr>
      <w:bookmarkStart w:id="109" w:name="field_60_investmenttarget_1_start"/>
      <w:bookmarkEnd w:id="109"/>
      <w:r>
        <w:rPr>
          <w:rFonts w:hint="eastAsia"/>
          <w:sz w:val="21"/>
          <w:szCs w:val="21"/>
        </w:rPr>
        <w:t xml:space="preserve">紧密跟踪标的指数，追求跟踪偏离度和跟踪误差的最小化。在正常情况下，本基金力争控制投资组合的净值增长率与业绩比较基准之间的预期日均跟踪偏离度的绝对值小于0.35%，预期年化跟踪误差不超过4%。  </w:t>
      </w:r>
      <w:bookmarkStart w:id="110" w:name="field_60_investmenttarget_1_end"/>
      <w:bookmarkEnd w:id="110"/>
      <w:r>
        <w:rPr>
          <w:rFonts w:hint="eastAsia"/>
          <w:sz w:val="21"/>
          <w:szCs w:val="21"/>
        </w:rPr>
        <w:t xml:space="preserve"> </w:t>
      </w:r>
    </w:p>
    <w:p>
      <w:pPr>
        <w:pStyle w:val="9"/>
        <w:spacing w:before="0" w:beforeAutospacing="0" w:after="0" w:afterAutospacing="0" w:line="360" w:lineRule="auto"/>
        <w:ind w:firstLine="420"/>
        <w:rPr>
          <w:sz w:val="21"/>
          <w:szCs w:val="21"/>
        </w:rPr>
      </w:pPr>
      <w:r>
        <w:rPr>
          <w:rStyle w:val="14"/>
          <w:rFonts w:hint="eastAsia"/>
          <w:sz w:val="21"/>
          <w:szCs w:val="21"/>
        </w:rPr>
        <w:t>二、投资范围</w:t>
      </w:r>
    </w:p>
    <w:p>
      <w:pPr>
        <w:pStyle w:val="9"/>
        <w:spacing w:before="0" w:beforeAutospacing="0" w:after="0" w:afterAutospacing="0" w:line="360" w:lineRule="auto"/>
        <w:ind w:firstLine="420"/>
        <w:rPr>
          <w:sz w:val="21"/>
          <w:szCs w:val="21"/>
        </w:rPr>
      </w:pPr>
      <w:bookmarkStart w:id="111" w:name="field_60_investmentrange_1_start"/>
      <w:bookmarkEnd w:id="111"/>
      <w:r>
        <w:rPr>
          <w:rFonts w:hint="eastAsia"/>
          <w:sz w:val="21"/>
          <w:szCs w:val="21"/>
        </w:rPr>
        <w:t xml:space="preserve">本基金主要投资于标的指数成份股和备选成份股（含存托凭证）。 </w:t>
      </w:r>
    </w:p>
    <w:p>
      <w:pPr>
        <w:pStyle w:val="9"/>
        <w:spacing w:before="0" w:beforeAutospacing="0" w:after="0" w:afterAutospacing="0" w:line="360" w:lineRule="auto"/>
        <w:ind w:firstLine="420"/>
        <w:rPr>
          <w:sz w:val="21"/>
          <w:szCs w:val="21"/>
        </w:rPr>
      </w:pPr>
      <w:r>
        <w:rPr>
          <w:rFonts w:hint="eastAsia"/>
          <w:sz w:val="21"/>
          <w:szCs w:val="21"/>
        </w:rPr>
        <w:t xml:space="preserve">为更好地实现基金的投资目标，本基金可能会少量投资于依法发行上市的非成份股（包括创业板及其他经中国证监会核准或注册上市的股票、存托凭证）、港股通标的股票、债券（包括国债、金融债、地方政府债、政府支持机构债券、政府支持债券、企业债、公司债、可转换债券（含分离交易可转债的纯债部分）、可交换债券、央行票据、短期融资券、超短期融资券、中期票据、公开发行的次级债等）、资产支持证券、衍生工具（股指期货、国债期货、股票期权）、债券回购、货币市场工具（包括银行存款、同业存单等）以及法律法规或中国证监会允许基金投资的其他金融工具（但须符合中国证监会的相关规定）。 </w:t>
      </w:r>
    </w:p>
    <w:p>
      <w:pPr>
        <w:pStyle w:val="9"/>
        <w:spacing w:before="0" w:beforeAutospacing="0" w:after="0" w:afterAutospacing="0" w:line="360" w:lineRule="auto"/>
        <w:ind w:firstLine="420"/>
        <w:rPr>
          <w:sz w:val="21"/>
          <w:szCs w:val="21"/>
        </w:rPr>
      </w:pPr>
      <w:r>
        <w:rPr>
          <w:rFonts w:hint="eastAsia"/>
          <w:sz w:val="21"/>
          <w:szCs w:val="21"/>
        </w:rPr>
        <w:t xml:space="preserve">本基金将根据法律法规的规定参与融资及转融通证券出借业务。未来在法律法规允许的前提下，本基金可根据相关法律法规规定参与融券业务。 </w:t>
      </w:r>
    </w:p>
    <w:p>
      <w:pPr>
        <w:pStyle w:val="9"/>
        <w:spacing w:before="0" w:beforeAutospacing="0" w:after="0" w:afterAutospacing="0" w:line="360" w:lineRule="auto"/>
        <w:ind w:firstLine="420"/>
        <w:rPr>
          <w:sz w:val="21"/>
          <w:szCs w:val="21"/>
        </w:rPr>
      </w:pPr>
      <w:r>
        <w:rPr>
          <w:rFonts w:hint="eastAsia"/>
          <w:sz w:val="21"/>
          <w:szCs w:val="21"/>
        </w:rPr>
        <w:t xml:space="preserve">本基金根据相关法律法规或中国证监会要求履行相关手续后，还可以投资于法律法规或中国证监会未来允许基金投资的其他金融工具。 </w:t>
      </w:r>
    </w:p>
    <w:p>
      <w:pPr>
        <w:pStyle w:val="9"/>
        <w:spacing w:before="0" w:beforeAutospacing="0" w:after="0" w:afterAutospacing="0" w:line="360" w:lineRule="auto"/>
        <w:ind w:firstLine="420"/>
        <w:rPr>
          <w:sz w:val="21"/>
          <w:szCs w:val="21"/>
        </w:rPr>
      </w:pPr>
      <w:r>
        <w:rPr>
          <w:rFonts w:hint="eastAsia"/>
          <w:sz w:val="21"/>
          <w:szCs w:val="21"/>
        </w:rPr>
        <w:t xml:space="preserve">本基金的股票资产投资比例不低于基金资产的90%，其中投资于标的指数成份股和备选成份股的资产不低于非现金基金资产的80%，投资港股通标的股票的比例不超过本基金股票资产的10%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  </w:t>
      </w:r>
    </w:p>
    <w:p>
      <w:pPr>
        <w:pStyle w:val="9"/>
        <w:spacing w:before="0" w:beforeAutospacing="0" w:after="0" w:afterAutospacing="0" w:line="360" w:lineRule="auto"/>
        <w:ind w:firstLine="420"/>
        <w:rPr>
          <w:sz w:val="21"/>
          <w:szCs w:val="21"/>
        </w:rPr>
      </w:pPr>
      <w:r>
        <w:rPr>
          <w:rFonts w:hint="eastAsia"/>
          <w:sz w:val="21"/>
          <w:szCs w:val="21"/>
        </w:rPr>
        <w:t xml:space="preserve">若法律法规的相关规定发生变更或监管机构允许，本基金管理人在履行适当程序后，可对上述资产配置比例进行调整。 </w:t>
      </w:r>
      <w:bookmarkStart w:id="112" w:name="field_60_investmentrange_1_end"/>
      <w:bookmarkEnd w:id="112"/>
      <w:r>
        <w:rPr>
          <w:rFonts w:hint="eastAsia"/>
          <w:sz w:val="21"/>
          <w:szCs w:val="21"/>
        </w:rPr>
        <w:t xml:space="preserve"> </w:t>
      </w:r>
    </w:p>
    <w:p>
      <w:pPr>
        <w:pStyle w:val="9"/>
        <w:spacing w:before="0" w:beforeAutospacing="0" w:after="0" w:afterAutospacing="0" w:line="360" w:lineRule="auto"/>
        <w:ind w:firstLine="420"/>
        <w:rPr>
          <w:sz w:val="21"/>
          <w:szCs w:val="21"/>
        </w:rPr>
      </w:pPr>
      <w:r>
        <w:rPr>
          <w:rStyle w:val="14"/>
          <w:rFonts w:hint="eastAsia"/>
          <w:sz w:val="21"/>
          <w:szCs w:val="21"/>
        </w:rPr>
        <w:t>三、投资策略</w:t>
      </w:r>
    </w:p>
    <w:p>
      <w:pPr>
        <w:pStyle w:val="9"/>
        <w:spacing w:before="0" w:beforeAutospacing="0" w:after="0" w:afterAutospacing="0" w:line="360" w:lineRule="auto"/>
        <w:ind w:firstLine="420"/>
        <w:rPr>
          <w:sz w:val="21"/>
          <w:szCs w:val="21"/>
        </w:rPr>
      </w:pPr>
      <w:bookmarkStart w:id="113" w:name="field_60_investmentstrategy_1_start"/>
      <w:bookmarkEnd w:id="113"/>
      <w:r>
        <w:rPr>
          <w:rFonts w:hint="eastAsia"/>
          <w:sz w:val="21"/>
          <w:szCs w:val="21"/>
        </w:rPr>
        <w:t xml:space="preserve">1、组合复制策略 </w:t>
      </w:r>
    </w:p>
    <w:p>
      <w:pPr>
        <w:pStyle w:val="9"/>
        <w:spacing w:before="0" w:beforeAutospacing="0" w:after="0" w:afterAutospacing="0" w:line="360" w:lineRule="auto"/>
        <w:ind w:firstLine="420"/>
        <w:rPr>
          <w:sz w:val="21"/>
          <w:szCs w:val="21"/>
        </w:rPr>
      </w:pPr>
      <w:r>
        <w:rPr>
          <w:rFonts w:hint="eastAsia"/>
          <w:sz w:val="21"/>
          <w:szCs w:val="21"/>
        </w:rPr>
        <w:t xml:space="preserve">本基金主要采用完全复制法进行投资，即按照成份股在标的指数中的基准权重来构建指数化投资组合，并根据标的指数成份股及其权重的变化进行相应调整。但因特殊情况（比如流动性不足等）导致本基金无法有效复制和跟踪标的指数时，基金管理人可使用其他合理方法进行适当的替代。特殊情况包括但不限于以下情形：（1）法律法规的限制；（2）标的指数成份股流动性严重不足；（3）标的指数的成份股长期停牌；（4）其它合理原因导致本基金管理人对标的指数的跟踪构成严重制约等。  </w:t>
      </w:r>
    </w:p>
    <w:p>
      <w:pPr>
        <w:pStyle w:val="9"/>
        <w:spacing w:before="0" w:beforeAutospacing="0" w:after="0" w:afterAutospacing="0" w:line="360" w:lineRule="auto"/>
        <w:ind w:firstLine="420"/>
        <w:rPr>
          <w:sz w:val="21"/>
          <w:szCs w:val="21"/>
        </w:rPr>
      </w:pPr>
      <w:r>
        <w:rPr>
          <w:rFonts w:hint="eastAsia"/>
          <w:sz w:val="21"/>
          <w:szCs w:val="21"/>
        </w:rPr>
        <w:t xml:space="preserve">在正常情况下，本基金力争控制投资组合的净值增长率与业绩比较基准之间的预期日均跟踪偏离度的绝对值小于0.35%，预期年化跟踪误差不超过4%。如因标的指数编制规则调整等其他原因，导致基金日均跟踪偏离度和跟踪误差变大，基金管理人应采取合理措施，避免日均跟踪偏离度和跟踪误差的进一步扩大。  </w:t>
      </w:r>
    </w:p>
    <w:p>
      <w:pPr>
        <w:pStyle w:val="9"/>
        <w:spacing w:before="0" w:beforeAutospacing="0" w:after="0" w:afterAutospacing="0" w:line="360" w:lineRule="auto"/>
        <w:ind w:firstLine="420"/>
        <w:rPr>
          <w:sz w:val="21"/>
          <w:szCs w:val="21"/>
        </w:rPr>
      </w:pPr>
      <w:r>
        <w:rPr>
          <w:rFonts w:hint="eastAsia"/>
          <w:sz w:val="21"/>
          <w:szCs w:val="21"/>
        </w:rPr>
        <w:t xml:space="preserve">当指数编制方法变更、成份股发生变更、成份股权重由于自由流通量调整而发生变化、成份股派发现金股息、配股及增发、股票长期停牌、市场流动性不足等情况发生时，基金管理人将对投资组合进行优化，尽量降低跟踪误差。 </w:t>
      </w:r>
    </w:p>
    <w:p>
      <w:pPr>
        <w:pStyle w:val="9"/>
        <w:spacing w:before="0" w:beforeAutospacing="0" w:after="0" w:afterAutospacing="0" w:line="360" w:lineRule="auto"/>
        <w:ind w:firstLine="420"/>
        <w:rPr>
          <w:sz w:val="21"/>
          <w:szCs w:val="21"/>
        </w:rPr>
      </w:pPr>
      <w:r>
        <w:rPr>
          <w:rFonts w:hint="eastAsia"/>
          <w:sz w:val="21"/>
          <w:szCs w:val="21"/>
        </w:rPr>
        <w:t xml:space="preserve">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按规定在规定媒介公告，并阐明变更复制方法的原因。 </w:t>
      </w:r>
    </w:p>
    <w:p>
      <w:pPr>
        <w:pStyle w:val="9"/>
        <w:spacing w:before="0" w:beforeAutospacing="0" w:after="0" w:afterAutospacing="0" w:line="360" w:lineRule="auto"/>
        <w:ind w:firstLine="420"/>
        <w:rPr>
          <w:sz w:val="21"/>
          <w:szCs w:val="21"/>
        </w:rPr>
      </w:pPr>
      <w:r>
        <w:rPr>
          <w:rFonts w:hint="eastAsia"/>
          <w:sz w:val="21"/>
          <w:szCs w:val="21"/>
        </w:rPr>
        <w:t xml:space="preserve">2、债券（除可转换债券、可交换债券）投资策略 </w:t>
      </w:r>
    </w:p>
    <w:p>
      <w:pPr>
        <w:pStyle w:val="9"/>
        <w:spacing w:before="0" w:beforeAutospacing="0" w:after="0" w:afterAutospacing="0" w:line="360" w:lineRule="auto"/>
        <w:ind w:firstLine="420"/>
        <w:rPr>
          <w:sz w:val="21"/>
          <w:szCs w:val="21"/>
        </w:rPr>
      </w:pPr>
      <w:r>
        <w:rPr>
          <w:rFonts w:hint="eastAsia"/>
          <w:sz w:val="21"/>
          <w:szCs w:val="21"/>
        </w:rPr>
        <w:t xml:space="preserve">本基金债券投资组合将着重考虑基金的流动性管理及策略性投资的需要进行配置。债券投资的目的是保证基金资产流动性，有效利用基金资产，提高基金资产的投资收益。 </w:t>
      </w:r>
    </w:p>
    <w:p>
      <w:pPr>
        <w:pStyle w:val="9"/>
        <w:spacing w:before="0" w:beforeAutospacing="0" w:after="0" w:afterAutospacing="0" w:line="360" w:lineRule="auto"/>
        <w:ind w:firstLine="420"/>
        <w:rPr>
          <w:sz w:val="21"/>
          <w:szCs w:val="21"/>
        </w:rPr>
      </w:pPr>
      <w:r>
        <w:rPr>
          <w:rFonts w:hint="eastAsia"/>
          <w:sz w:val="21"/>
          <w:szCs w:val="21"/>
        </w:rPr>
        <w:t xml:space="preserve">3、港股通标的股票投资策略 </w:t>
      </w:r>
    </w:p>
    <w:p>
      <w:pPr>
        <w:pStyle w:val="9"/>
        <w:spacing w:before="0" w:beforeAutospacing="0" w:after="0" w:afterAutospacing="0" w:line="360" w:lineRule="auto"/>
        <w:ind w:firstLine="420"/>
        <w:rPr>
          <w:sz w:val="21"/>
          <w:szCs w:val="21"/>
        </w:rPr>
      </w:pPr>
      <w:r>
        <w:rPr>
          <w:rFonts w:hint="eastAsia"/>
          <w:sz w:val="21"/>
          <w:szCs w:val="21"/>
        </w:rPr>
        <w:t xml:space="preserve">在特殊情况下，本基金将少量投资于港股通标的股票以进行替代复制。对于同时有A股、H股的指数成份公司，如果该公司A股长期停牌，组合无法买入该股票时，可以买入该公司H股进行替代。  </w:t>
      </w:r>
    </w:p>
    <w:p>
      <w:pPr>
        <w:pStyle w:val="9"/>
        <w:spacing w:before="0" w:beforeAutospacing="0" w:after="0" w:afterAutospacing="0" w:line="360" w:lineRule="auto"/>
        <w:ind w:firstLine="420"/>
        <w:rPr>
          <w:sz w:val="21"/>
          <w:szCs w:val="21"/>
        </w:rPr>
      </w:pPr>
      <w:r>
        <w:rPr>
          <w:rFonts w:hint="eastAsia"/>
          <w:sz w:val="21"/>
          <w:szCs w:val="21"/>
        </w:rPr>
        <w:t xml:space="preserve">4、资产支持证券的投资策略 </w:t>
      </w:r>
    </w:p>
    <w:p>
      <w:pPr>
        <w:pStyle w:val="9"/>
        <w:spacing w:before="0" w:beforeAutospacing="0" w:after="0" w:afterAutospacing="0" w:line="360" w:lineRule="auto"/>
        <w:ind w:firstLine="420"/>
        <w:rPr>
          <w:sz w:val="21"/>
          <w:szCs w:val="21"/>
        </w:rPr>
      </w:pPr>
      <w:r>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 </w:t>
      </w:r>
    </w:p>
    <w:p>
      <w:pPr>
        <w:pStyle w:val="9"/>
        <w:spacing w:before="0" w:beforeAutospacing="0" w:after="0" w:afterAutospacing="0" w:line="360" w:lineRule="auto"/>
        <w:ind w:firstLine="420"/>
        <w:rPr>
          <w:sz w:val="21"/>
          <w:szCs w:val="21"/>
        </w:rPr>
      </w:pPr>
      <w:r>
        <w:rPr>
          <w:rFonts w:hint="eastAsia"/>
          <w:sz w:val="21"/>
          <w:szCs w:val="21"/>
        </w:rPr>
        <w:t xml:space="preserve">5、可转换债券、可交换债券投资策略 </w:t>
      </w:r>
    </w:p>
    <w:p>
      <w:pPr>
        <w:pStyle w:val="9"/>
        <w:spacing w:before="0" w:beforeAutospacing="0" w:after="0" w:afterAutospacing="0" w:line="360" w:lineRule="auto"/>
        <w:ind w:firstLine="420"/>
        <w:rPr>
          <w:sz w:val="21"/>
          <w:szCs w:val="21"/>
        </w:rPr>
      </w:pPr>
      <w:r>
        <w:rPr>
          <w:rFonts w:hint="eastAsia"/>
          <w:sz w:val="21"/>
          <w:szCs w:val="21"/>
        </w:rPr>
        <w:t xml:space="preserve">在分析宏观经济运行特征并对各类市场大势做出判断的前提下，本基金着重对可转换债券所对应的基础股票进行分析和研究，从行业选择和个券选择两方面进行全方位的评估，对盈利能力或成长性较好的行业和上市公司的可转换债券进行重点关注，并结合基金管理人可转债评级系统对可转换债券投资价值进行有效的评估，选择投资价值较高的个券进行投资。 </w:t>
      </w:r>
    </w:p>
    <w:p>
      <w:pPr>
        <w:pStyle w:val="9"/>
        <w:spacing w:before="0" w:beforeAutospacing="0" w:after="0" w:afterAutospacing="0" w:line="360" w:lineRule="auto"/>
        <w:ind w:firstLine="420"/>
        <w:rPr>
          <w:sz w:val="21"/>
          <w:szCs w:val="21"/>
        </w:rPr>
      </w:pPr>
      <w:r>
        <w:rPr>
          <w:rFonts w:hint="eastAsia"/>
          <w:sz w:val="21"/>
          <w:szCs w:val="21"/>
        </w:rPr>
        <w:t xml:space="preserve">可交换债券在换股期间用于交换的股票是发行人持有的其他上市公司(以下简称“目标公司”)的股票。可交换债券同样兼具股票和债券的特性。其中,债券特性与可转换债券相同,指持有至到期获取的票面利息和票面价值。股票特性则指目标公司的成长能力、盈利能力及目标公司股票价格的成长性等。本基金将通过对可交换债券的纯债价值和目标公司的股票价值进行研究分析,综合开展投资决策。  </w:t>
      </w:r>
    </w:p>
    <w:p>
      <w:pPr>
        <w:pStyle w:val="9"/>
        <w:spacing w:before="0" w:beforeAutospacing="0" w:after="0" w:afterAutospacing="0" w:line="360" w:lineRule="auto"/>
        <w:ind w:firstLine="420"/>
        <w:rPr>
          <w:sz w:val="21"/>
          <w:szCs w:val="21"/>
        </w:rPr>
      </w:pPr>
      <w:r>
        <w:rPr>
          <w:rFonts w:hint="eastAsia"/>
          <w:sz w:val="21"/>
          <w:szCs w:val="21"/>
        </w:rPr>
        <w:t xml:space="preserve">6、衍生品投资策略 </w:t>
      </w:r>
    </w:p>
    <w:p>
      <w:pPr>
        <w:pStyle w:val="9"/>
        <w:spacing w:before="0" w:beforeAutospacing="0" w:after="0" w:afterAutospacing="0" w:line="360" w:lineRule="auto"/>
        <w:ind w:firstLine="420"/>
        <w:rPr>
          <w:sz w:val="21"/>
          <w:szCs w:val="21"/>
        </w:rPr>
      </w:pPr>
      <w:r>
        <w:rPr>
          <w:rFonts w:hint="eastAsia"/>
          <w:sz w:val="21"/>
          <w:szCs w:val="21"/>
        </w:rPr>
        <w:t xml:space="preserve">（1）股指期货、国债期货投资策略  </w:t>
      </w:r>
    </w:p>
    <w:p>
      <w:pPr>
        <w:pStyle w:val="9"/>
        <w:spacing w:before="0" w:beforeAutospacing="0" w:after="0" w:afterAutospacing="0" w:line="360" w:lineRule="auto"/>
        <w:ind w:firstLine="420"/>
        <w:rPr>
          <w:sz w:val="21"/>
          <w:szCs w:val="21"/>
        </w:rPr>
      </w:pPr>
      <w:r>
        <w:rPr>
          <w:rFonts w:hint="eastAsia"/>
          <w:sz w:val="21"/>
          <w:szCs w:val="21"/>
        </w:rPr>
        <w:t xml:space="preserve">本基金投资股指期货将根据风险管理的原则，以套期保值为目的，力争利用股指期货的杠杆作用，降低股票仓位频繁调整的交易成本和跟踪误差，达到有效跟踪标的指数的目的。 </w:t>
      </w:r>
    </w:p>
    <w:p>
      <w:pPr>
        <w:pStyle w:val="9"/>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本基金将根据风险管理的原则，以套期保值为目的，在风险可控的前提下，本着谨慎原则，参与国债期货的投资，改善组合的风险收益特性。 </w:t>
      </w:r>
    </w:p>
    <w:p>
      <w:pPr>
        <w:pStyle w:val="9"/>
        <w:spacing w:before="0" w:beforeAutospacing="0" w:after="0" w:afterAutospacing="0" w:line="360" w:lineRule="auto"/>
        <w:ind w:firstLine="420"/>
        <w:rPr>
          <w:sz w:val="21"/>
          <w:szCs w:val="21"/>
        </w:rPr>
      </w:pPr>
      <w:r>
        <w:rPr>
          <w:rFonts w:hint="eastAsia"/>
          <w:sz w:val="21"/>
          <w:szCs w:val="21"/>
        </w:rPr>
        <w:t xml:space="preserve">（2）股票期权投资策略  </w:t>
      </w:r>
    </w:p>
    <w:p>
      <w:pPr>
        <w:pStyle w:val="9"/>
        <w:spacing w:before="0" w:beforeAutospacing="0" w:after="0" w:afterAutospacing="0" w:line="360" w:lineRule="auto"/>
        <w:ind w:firstLine="420"/>
        <w:rPr>
          <w:sz w:val="21"/>
          <w:szCs w:val="21"/>
        </w:rPr>
      </w:pPr>
      <w:r>
        <w:rPr>
          <w:rFonts w:hint="eastAsia"/>
          <w:sz w:val="21"/>
          <w:szCs w:val="21"/>
        </w:rPr>
        <w:t xml:space="preserve">本基金将按照风险管理的原则，以套期保值为主要目的参与股票期权交易。本基金将结合投资目标、比例限制、风险收益特征以及法律法规的相关限定和要求，确定参与股票期权交易的投资时机和投资比例。 </w:t>
      </w:r>
    </w:p>
    <w:p>
      <w:pPr>
        <w:pStyle w:val="9"/>
        <w:spacing w:before="0" w:beforeAutospacing="0" w:after="0" w:afterAutospacing="0" w:line="360" w:lineRule="auto"/>
        <w:ind w:firstLine="420"/>
        <w:rPr>
          <w:sz w:val="21"/>
          <w:szCs w:val="21"/>
        </w:rPr>
      </w:pPr>
      <w:r>
        <w:rPr>
          <w:rFonts w:hint="eastAsia"/>
          <w:sz w:val="21"/>
          <w:szCs w:val="21"/>
        </w:rPr>
        <w:t xml:space="preserve">7、融资及转融通证券出借业务投资策略 </w:t>
      </w:r>
    </w:p>
    <w:p>
      <w:pPr>
        <w:pStyle w:val="9"/>
        <w:spacing w:before="0" w:beforeAutospacing="0" w:after="0" w:afterAutospacing="0" w:line="360" w:lineRule="auto"/>
        <w:ind w:firstLine="420"/>
        <w:rPr>
          <w:sz w:val="21"/>
          <w:szCs w:val="21"/>
        </w:rPr>
      </w:pPr>
      <w:r>
        <w:rPr>
          <w:rFonts w:hint="eastAsia"/>
          <w:sz w:val="21"/>
          <w:szCs w:val="21"/>
        </w:rPr>
        <w:t xml:space="preserve">本基金将在充分考虑风险和收益特征的基础上，审慎参与融资及转融通证券出借业务。本基金将基于对市场行情和组合风险收益的分析，确定投资时机、标的证券以及投资比例。本基金将根据市场情况、投资者类型和结构、本基金的历史申赎情况、出借证券流动性情况等因素，合理确定出借证券的范围和品类。若相关融资及转融通证券出借业务法律法规发生变化，本基金将从其最新规定，以符合上述法律法规和监管要求的变化。未来在法律法规允许的前提下，本基金将依据法律法规的相关规定参与融券业务。 </w:t>
      </w:r>
    </w:p>
    <w:p>
      <w:pPr>
        <w:pStyle w:val="9"/>
        <w:spacing w:before="0" w:beforeAutospacing="0" w:after="0" w:afterAutospacing="0" w:line="360" w:lineRule="auto"/>
        <w:ind w:firstLine="420"/>
        <w:rPr>
          <w:sz w:val="21"/>
          <w:szCs w:val="21"/>
        </w:rPr>
      </w:pPr>
      <w:r>
        <w:rPr>
          <w:rFonts w:hint="eastAsia"/>
          <w:sz w:val="21"/>
          <w:szCs w:val="21"/>
        </w:rPr>
        <w:t xml:space="preserve">8、存托凭证投资策略  </w:t>
      </w:r>
    </w:p>
    <w:p>
      <w:pPr>
        <w:pStyle w:val="9"/>
        <w:spacing w:before="0" w:beforeAutospacing="0" w:after="0" w:afterAutospacing="0" w:line="360" w:lineRule="auto"/>
        <w:ind w:firstLine="420"/>
        <w:rPr>
          <w:sz w:val="21"/>
          <w:szCs w:val="21"/>
        </w:rPr>
      </w:pPr>
      <w:r>
        <w:rPr>
          <w:rFonts w:hint="eastAsia"/>
          <w:sz w:val="21"/>
          <w:szCs w:val="21"/>
        </w:rPr>
        <w:t xml:space="preserve">本基金将根据本基金的投资目标，基于对基础证券投资价值的深入研究判断，进行存托凭证的投资。 </w:t>
      </w:r>
    </w:p>
    <w:p>
      <w:pPr>
        <w:pStyle w:val="9"/>
        <w:spacing w:before="0" w:beforeAutospacing="0" w:after="0" w:afterAutospacing="0" w:line="360" w:lineRule="auto"/>
        <w:ind w:firstLine="420"/>
        <w:rPr>
          <w:sz w:val="21"/>
          <w:szCs w:val="21"/>
        </w:rPr>
      </w:pPr>
      <w:r>
        <w:rPr>
          <w:rFonts w:hint="eastAsia"/>
          <w:sz w:val="21"/>
          <w:szCs w:val="21"/>
        </w:rPr>
        <w:t xml:space="preserve">未来，随着投资工具的发展和丰富，本基金可在不改变投资目标的前提下，相应调整和更新相关投资策略，并在招募说明更新中公告。 </w:t>
      </w:r>
      <w:bookmarkStart w:id="114" w:name="field_60_investmentstrategy_1_end"/>
      <w:bookmarkEnd w:id="114"/>
      <w:r>
        <w:rPr>
          <w:rFonts w:hint="eastAsia"/>
          <w:sz w:val="21"/>
          <w:szCs w:val="21"/>
        </w:rPr>
        <w:t xml:space="preserve"> </w:t>
      </w:r>
    </w:p>
    <w:p>
      <w:pPr>
        <w:pStyle w:val="9"/>
        <w:spacing w:before="0" w:beforeAutospacing="0" w:after="0" w:afterAutospacing="0" w:line="360" w:lineRule="auto"/>
        <w:ind w:firstLine="420"/>
        <w:rPr>
          <w:sz w:val="21"/>
          <w:szCs w:val="21"/>
        </w:rPr>
      </w:pPr>
      <w:r>
        <w:rPr>
          <w:rStyle w:val="14"/>
          <w:rFonts w:hint="eastAsia"/>
          <w:sz w:val="21"/>
          <w:szCs w:val="21"/>
        </w:rPr>
        <w:t>四、投资决策依据和流程</w:t>
      </w:r>
    </w:p>
    <w:p>
      <w:pPr>
        <w:pStyle w:val="9"/>
        <w:spacing w:before="0" w:beforeAutospacing="0" w:after="0" w:afterAutospacing="0" w:line="360" w:lineRule="auto"/>
        <w:ind w:firstLine="420"/>
        <w:rPr>
          <w:sz w:val="21"/>
          <w:szCs w:val="21"/>
        </w:rPr>
      </w:pPr>
      <w:r>
        <w:rPr>
          <w:rFonts w:hint="eastAsia"/>
          <w:sz w:val="21"/>
          <w:szCs w:val="21"/>
        </w:rPr>
        <w:t xml:space="preserve">1、投资决策依据 </w:t>
      </w:r>
    </w:p>
    <w:p>
      <w:pPr>
        <w:pStyle w:val="9"/>
        <w:spacing w:before="0" w:beforeAutospacing="0" w:after="0" w:afterAutospacing="0" w:line="360" w:lineRule="auto"/>
        <w:ind w:firstLine="420"/>
        <w:rPr>
          <w:sz w:val="21"/>
          <w:szCs w:val="21"/>
        </w:rPr>
      </w:pPr>
      <w:r>
        <w:rPr>
          <w:rFonts w:hint="eastAsia"/>
          <w:sz w:val="21"/>
          <w:szCs w:val="21"/>
        </w:rPr>
        <w:t xml:space="preserve">有关法律法规、基金合同以及标的指数的相关规定是基金管理人运用基金财产的决策依据。 </w:t>
      </w:r>
    </w:p>
    <w:p>
      <w:pPr>
        <w:pStyle w:val="9"/>
        <w:spacing w:before="0" w:beforeAutospacing="0" w:after="0" w:afterAutospacing="0" w:line="360" w:lineRule="auto"/>
        <w:ind w:firstLine="420"/>
        <w:rPr>
          <w:sz w:val="21"/>
          <w:szCs w:val="21"/>
        </w:rPr>
      </w:pPr>
      <w:r>
        <w:rPr>
          <w:rFonts w:hint="eastAsia"/>
          <w:sz w:val="21"/>
          <w:szCs w:val="21"/>
        </w:rPr>
        <w:t xml:space="preserve">2、投资管理体制 </w:t>
      </w:r>
    </w:p>
    <w:p>
      <w:pPr>
        <w:pStyle w:val="9"/>
        <w:spacing w:before="0" w:beforeAutospacing="0" w:after="0" w:afterAutospacing="0" w:line="360" w:lineRule="auto"/>
        <w:ind w:firstLine="420"/>
        <w:rPr>
          <w:sz w:val="21"/>
          <w:szCs w:val="21"/>
        </w:rPr>
      </w:pPr>
      <w:r>
        <w:rPr>
          <w:rFonts w:hint="eastAsia"/>
          <w:sz w:val="21"/>
          <w:szCs w:val="21"/>
        </w:rPr>
        <w:t xml:space="preserve">本基金管理人实行投资决策委员会领导下的基金经理负责制。投资决策委员会负责做出有关标的指数重大调整的应对决策、基金组合重大调整的决策，以及其他单项投资的重大决策。基金经理负责做出日常标的指数跟踪维护过程中的组合构建、组合调整及基金每日申购赎回清单的编制等决策。 </w:t>
      </w:r>
    </w:p>
    <w:p>
      <w:pPr>
        <w:pStyle w:val="9"/>
        <w:spacing w:before="0" w:beforeAutospacing="0" w:after="0" w:afterAutospacing="0" w:line="360" w:lineRule="auto"/>
        <w:ind w:firstLine="420"/>
        <w:rPr>
          <w:sz w:val="21"/>
          <w:szCs w:val="21"/>
        </w:rPr>
      </w:pPr>
      <w:r>
        <w:rPr>
          <w:rFonts w:hint="eastAsia"/>
          <w:sz w:val="21"/>
          <w:szCs w:val="21"/>
        </w:rPr>
        <w:t xml:space="preserve">3、投资管理程序 </w:t>
      </w:r>
    </w:p>
    <w:p>
      <w:pPr>
        <w:pStyle w:val="9"/>
        <w:spacing w:before="0" w:beforeAutospacing="0" w:after="0" w:afterAutospacing="0" w:line="360" w:lineRule="auto"/>
        <w:ind w:firstLine="420"/>
        <w:rPr>
          <w:sz w:val="21"/>
          <w:szCs w:val="21"/>
        </w:rPr>
      </w:pPr>
      <w:r>
        <w:rPr>
          <w:rFonts w:hint="eastAsia"/>
          <w:sz w:val="21"/>
          <w:szCs w:val="21"/>
        </w:rPr>
        <w:t xml:space="preserve">研究、投资决策、组合构建、交易执行、投资绩效评估、组合监控与调整各环节的相互协调与配合，构成了本基金的投资管理程序。 </w:t>
      </w:r>
    </w:p>
    <w:p>
      <w:pPr>
        <w:pStyle w:val="9"/>
        <w:spacing w:before="0" w:beforeAutospacing="0" w:after="0" w:afterAutospacing="0" w:line="360" w:lineRule="auto"/>
        <w:ind w:firstLine="420"/>
        <w:rPr>
          <w:sz w:val="21"/>
          <w:szCs w:val="21"/>
        </w:rPr>
      </w:pPr>
      <w:r>
        <w:rPr>
          <w:rFonts w:hint="eastAsia"/>
          <w:sz w:val="21"/>
          <w:szCs w:val="21"/>
        </w:rPr>
        <w:t xml:space="preserve">（1）研究支持。基金管理人的研究部依托公司整体研究平台，整合外部信息包括券商等外部研究力量的研究成果，开展标的指数跟踪、成份股公司行为等相关信息的搜集与分析、成分股流动性分析、误差及其归因分析等工作，并撰写相关的研究报告，作为本基金投资决策的重要依据。 </w:t>
      </w:r>
    </w:p>
    <w:p>
      <w:pPr>
        <w:pStyle w:val="9"/>
        <w:spacing w:before="0" w:beforeAutospacing="0" w:after="0" w:afterAutospacing="0" w:line="360" w:lineRule="auto"/>
        <w:ind w:firstLine="420"/>
        <w:rPr>
          <w:sz w:val="21"/>
          <w:szCs w:val="21"/>
        </w:rPr>
      </w:pPr>
      <w:r>
        <w:rPr>
          <w:rFonts w:hint="eastAsia"/>
          <w:sz w:val="21"/>
          <w:szCs w:val="21"/>
        </w:rPr>
        <w:t xml:space="preserve">（2）投资决策。基金管理人的投资决策委员会依据研究部提供的研究报告，定期或遇重大事件时临时召开投资决策委员会议，对相关事项做出决策。基金经理根据投资决策委员会的决议，做出基金投资管理的日常决策。 </w:t>
      </w:r>
    </w:p>
    <w:p>
      <w:pPr>
        <w:pStyle w:val="9"/>
        <w:spacing w:before="0" w:beforeAutospacing="0" w:after="0" w:afterAutospacing="0" w:line="360" w:lineRule="auto"/>
        <w:ind w:firstLine="420"/>
        <w:rPr>
          <w:sz w:val="21"/>
          <w:szCs w:val="21"/>
        </w:rPr>
      </w:pPr>
      <w:r>
        <w:rPr>
          <w:rFonts w:hint="eastAsia"/>
          <w:sz w:val="21"/>
          <w:szCs w:val="21"/>
        </w:rPr>
        <w:t xml:space="preserve">（3）组合构建。结合研究报告，基金经理主要采取完全复制法，即按照标的指数的成份股组成及其权重构建基金股票投资组合，并根据标的指数成份股及其权重的变动而进行相应的调整。在追求跟踪误差和跟踪偏离度最小化的前提下，基金经理可采取适当的方法，提高投资效率，降低交易成本，控制投资风险。 </w:t>
      </w:r>
    </w:p>
    <w:p>
      <w:pPr>
        <w:pStyle w:val="9"/>
        <w:spacing w:before="0" w:beforeAutospacing="0" w:after="0" w:afterAutospacing="0" w:line="360" w:lineRule="auto"/>
        <w:ind w:firstLine="420"/>
        <w:rPr>
          <w:sz w:val="21"/>
          <w:szCs w:val="21"/>
        </w:rPr>
      </w:pPr>
      <w:r>
        <w:rPr>
          <w:rFonts w:hint="eastAsia"/>
          <w:sz w:val="21"/>
          <w:szCs w:val="21"/>
        </w:rPr>
        <w:t xml:space="preserve">（4）交易执行。基金管理人的交易部负责本基金的具体交易执行，交易部同时履行一线监控的职责。 </w:t>
      </w:r>
    </w:p>
    <w:p>
      <w:pPr>
        <w:pStyle w:val="9"/>
        <w:spacing w:before="0" w:beforeAutospacing="0" w:after="0" w:afterAutospacing="0" w:line="360" w:lineRule="auto"/>
        <w:ind w:firstLine="420"/>
        <w:rPr>
          <w:sz w:val="21"/>
          <w:szCs w:val="21"/>
        </w:rPr>
      </w:pPr>
      <w:r>
        <w:rPr>
          <w:rFonts w:hint="eastAsia"/>
          <w:sz w:val="21"/>
          <w:szCs w:val="21"/>
        </w:rPr>
        <w:t xml:space="preserve">（5）投资绩效评估。本基金管理人定期和不定期对本基金的投资绩效进行评估，并撰写相关的绩效评估报告，确认基金组合是否实现了投资预期，投资策略是否成功，并对基金组合误差的来源进行归因分析等。基金经理依据绩效评估报告总结或检讨以往的投资策略，如果需要，亦对投资组合进行相应的调整。 </w:t>
      </w:r>
    </w:p>
    <w:p>
      <w:pPr>
        <w:pStyle w:val="9"/>
        <w:spacing w:before="0" w:beforeAutospacing="0" w:after="0" w:afterAutospacing="0" w:line="360" w:lineRule="auto"/>
        <w:ind w:firstLine="420"/>
        <w:rPr>
          <w:sz w:val="21"/>
          <w:szCs w:val="21"/>
        </w:rPr>
      </w:pPr>
      <w:r>
        <w:rPr>
          <w:rFonts w:hint="eastAsia"/>
          <w:sz w:val="21"/>
          <w:szCs w:val="21"/>
        </w:rPr>
        <w:t xml:space="preserve">（6）组合监控与调整。基金经理根据标的指数的每日变动情况，结合成份股等的基本面情况、流动性状况、基金申购赎回的现金流量情况，以及基金投资绩效评估结果等，对基金投资组合进行动态监控和调整，密切跟踪标的指数。 </w:t>
      </w:r>
    </w:p>
    <w:p>
      <w:pPr>
        <w:pStyle w:val="9"/>
        <w:spacing w:before="0" w:beforeAutospacing="0" w:after="0" w:afterAutospacing="0" w:line="360" w:lineRule="auto"/>
        <w:ind w:firstLine="420"/>
        <w:rPr>
          <w:sz w:val="21"/>
          <w:szCs w:val="21"/>
        </w:rPr>
      </w:pPr>
      <w:r>
        <w:rPr>
          <w:rFonts w:hint="eastAsia"/>
          <w:sz w:val="21"/>
          <w:szCs w:val="21"/>
        </w:rPr>
        <w:t xml:space="preserve">基金管理人在确保基金份额持有人利益的前提下，根据环境的变化和基金实际投资的需要，有权对上述投资程序做出调整，并将调整内容在基金招募说明书更新中予以公告。 </w:t>
      </w:r>
    </w:p>
    <w:p>
      <w:pPr>
        <w:pStyle w:val="9"/>
        <w:spacing w:before="0" w:beforeAutospacing="0" w:after="0" w:afterAutospacing="0" w:line="360" w:lineRule="auto"/>
        <w:ind w:firstLine="420"/>
        <w:rPr>
          <w:sz w:val="21"/>
          <w:szCs w:val="21"/>
        </w:rPr>
      </w:pPr>
      <w:r>
        <w:rPr>
          <w:rFonts w:hint="eastAsia"/>
          <w:sz w:val="21"/>
          <w:szCs w:val="21"/>
        </w:rPr>
        <w:t xml:space="preserve">（7）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履行内部决策程序后对投资组合进行相应调整。 </w:t>
      </w:r>
    </w:p>
    <w:p>
      <w:pPr>
        <w:pStyle w:val="9"/>
        <w:spacing w:before="0" w:beforeAutospacing="0" w:after="0" w:afterAutospacing="0" w:line="360" w:lineRule="auto"/>
        <w:ind w:firstLine="420"/>
        <w:rPr>
          <w:sz w:val="21"/>
          <w:szCs w:val="21"/>
        </w:rPr>
      </w:pPr>
      <w:r>
        <w:rPr>
          <w:rStyle w:val="14"/>
          <w:rFonts w:hint="eastAsia"/>
          <w:sz w:val="21"/>
          <w:szCs w:val="21"/>
        </w:rPr>
        <w:t>五、投资限制</w:t>
      </w:r>
    </w:p>
    <w:p>
      <w:pPr>
        <w:pStyle w:val="9"/>
        <w:spacing w:before="0" w:beforeAutospacing="0" w:after="0" w:afterAutospacing="0" w:line="360" w:lineRule="auto"/>
        <w:ind w:firstLine="420"/>
        <w:rPr>
          <w:sz w:val="21"/>
          <w:szCs w:val="21"/>
        </w:rPr>
      </w:pPr>
      <w:r>
        <w:rPr>
          <w:rFonts w:hint="eastAsia"/>
          <w:sz w:val="21"/>
          <w:szCs w:val="21"/>
        </w:rPr>
        <w:t xml:space="preserve">1、组合限制 </w:t>
      </w:r>
    </w:p>
    <w:p>
      <w:pPr>
        <w:pStyle w:val="9"/>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9"/>
        <w:spacing w:before="0" w:beforeAutospacing="0" w:after="0" w:afterAutospacing="0" w:line="360" w:lineRule="auto"/>
        <w:ind w:firstLine="420"/>
        <w:rPr>
          <w:sz w:val="21"/>
          <w:szCs w:val="21"/>
        </w:rPr>
      </w:pPr>
      <w:r>
        <w:rPr>
          <w:rFonts w:hint="eastAsia"/>
          <w:sz w:val="21"/>
          <w:szCs w:val="21"/>
        </w:rPr>
        <w:t xml:space="preserve">（1）本基金的股票资产投资比例不低于基金资产的90%，其中投资于标的指数成份股和备选成份股的资产不低于非现金基金资产的80%，投资港股通标的股票的比例不超过本基金股票资产的10%； </w:t>
      </w:r>
    </w:p>
    <w:p>
      <w:pPr>
        <w:pStyle w:val="9"/>
        <w:spacing w:before="0" w:beforeAutospacing="0" w:after="0" w:afterAutospacing="0" w:line="360" w:lineRule="auto"/>
        <w:ind w:firstLine="420"/>
        <w:rPr>
          <w:sz w:val="21"/>
          <w:szCs w:val="21"/>
        </w:rPr>
      </w:pPr>
      <w:r>
        <w:rPr>
          <w:rFonts w:hint="eastAsia"/>
          <w:sz w:val="21"/>
          <w:szCs w:val="21"/>
        </w:rPr>
        <w:t xml:space="preserve">（2）每个交易日日终在扣除股指期货、股票期权和国债期货合约需缴纳的交易保证金后，保持不低于基金资产净值5%的现金或者到期日在一年以内的政府债券，其中现金不包括结算备付金、存出保证金和应收申购款等； </w:t>
      </w:r>
    </w:p>
    <w:p>
      <w:pPr>
        <w:pStyle w:val="9"/>
        <w:spacing w:before="0" w:beforeAutospacing="0" w:after="0" w:afterAutospacing="0" w:line="360" w:lineRule="auto"/>
        <w:ind w:firstLine="420"/>
        <w:rPr>
          <w:sz w:val="21"/>
          <w:szCs w:val="21"/>
        </w:rPr>
      </w:pPr>
      <w:r>
        <w:rPr>
          <w:rFonts w:hint="eastAsia"/>
          <w:sz w:val="21"/>
          <w:szCs w:val="21"/>
        </w:rPr>
        <w:t xml:space="preserve">（3）本基金持有一家公司发行的证券，其市值（若同时持有一家公司发行的A股和H股，则为A股与H股合计市值）不超过基金资产净值的10%，但完全按照标的指数的构成比例进行投资的部分不受此限制； </w:t>
      </w:r>
    </w:p>
    <w:p>
      <w:pPr>
        <w:pStyle w:val="9"/>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（4）本基金管理人管理的全部基金持有一家公司发行的证券，不超过该证券（若同时持有一家公司发行的A股和H股，则为A股与H股合计市值）的10%，但完全按照标的指数的构成比例进行投资的部分不受此限制； </w:t>
      </w:r>
    </w:p>
    <w:p>
      <w:pPr>
        <w:pStyle w:val="9"/>
        <w:spacing w:before="0" w:beforeAutospacing="0" w:after="0" w:afterAutospacing="0" w:line="360" w:lineRule="auto"/>
        <w:ind w:firstLine="420"/>
        <w:rPr>
          <w:sz w:val="21"/>
          <w:szCs w:val="21"/>
        </w:rPr>
      </w:pPr>
      <w:r>
        <w:rPr>
          <w:rFonts w:hint="eastAsia"/>
          <w:sz w:val="21"/>
          <w:szCs w:val="21"/>
        </w:rPr>
        <w:t xml:space="preserve">（5）本基金资产总值不得超过基金资产净值的140%； </w:t>
      </w:r>
    </w:p>
    <w:p>
      <w:pPr>
        <w:pStyle w:val="9"/>
        <w:spacing w:before="0" w:beforeAutospacing="0" w:after="0" w:afterAutospacing="0" w:line="360" w:lineRule="auto"/>
        <w:ind w:firstLine="420"/>
        <w:rPr>
          <w:sz w:val="21"/>
          <w:szCs w:val="21"/>
        </w:rPr>
      </w:pPr>
      <w:r>
        <w:rPr>
          <w:rFonts w:hint="eastAsia"/>
          <w:sz w:val="21"/>
          <w:szCs w:val="21"/>
        </w:rPr>
        <w:t xml:space="preserve">（6）本基金进入全国银行间同业市场进行债券回购的资金余额不得超过基金资产净值的40%，在全国银行间同业市场中进行的债券回购期限不得超过1年，债券回购到期后不得展期； </w:t>
      </w:r>
    </w:p>
    <w:p>
      <w:pPr>
        <w:pStyle w:val="9"/>
        <w:spacing w:before="0" w:beforeAutospacing="0" w:after="0" w:afterAutospacing="0" w:line="360" w:lineRule="auto"/>
        <w:ind w:firstLine="420"/>
        <w:rPr>
          <w:sz w:val="21"/>
          <w:szCs w:val="21"/>
        </w:rPr>
      </w:pPr>
      <w:r>
        <w:rPr>
          <w:rFonts w:hint="eastAsia"/>
          <w:sz w:val="21"/>
          <w:szCs w:val="21"/>
        </w:rPr>
        <w:t xml:space="preserve">（7）本基金投资于同一原始权益人的各类资产支持证券的比例，不得超过基金资产净值的10%； </w:t>
      </w:r>
    </w:p>
    <w:p>
      <w:pPr>
        <w:pStyle w:val="9"/>
        <w:spacing w:before="0" w:beforeAutospacing="0" w:after="0" w:afterAutospacing="0" w:line="360" w:lineRule="auto"/>
        <w:ind w:firstLine="420"/>
        <w:rPr>
          <w:sz w:val="21"/>
          <w:szCs w:val="21"/>
        </w:rPr>
      </w:pPr>
      <w:r>
        <w:rPr>
          <w:rFonts w:hint="eastAsia"/>
          <w:sz w:val="21"/>
          <w:szCs w:val="21"/>
        </w:rPr>
        <w:t xml:space="preserve">（8）本基金持有的全部资产支持证券，其市值不得超过基金资产净值的20%； </w:t>
      </w:r>
    </w:p>
    <w:p>
      <w:pPr>
        <w:pStyle w:val="9"/>
        <w:spacing w:before="0" w:beforeAutospacing="0" w:after="0" w:afterAutospacing="0" w:line="360" w:lineRule="auto"/>
        <w:ind w:firstLine="420"/>
        <w:rPr>
          <w:sz w:val="21"/>
          <w:szCs w:val="21"/>
        </w:rPr>
      </w:pPr>
      <w:r>
        <w:rPr>
          <w:rFonts w:hint="eastAsia"/>
          <w:sz w:val="21"/>
          <w:szCs w:val="21"/>
        </w:rPr>
        <w:t xml:space="preserve">（9）本基金持有的同一(指同一信用级别)资产支持证券的比例，不得超过该资产支持证券规模的10%； </w:t>
      </w:r>
    </w:p>
    <w:p>
      <w:pPr>
        <w:pStyle w:val="9"/>
        <w:spacing w:before="0" w:beforeAutospacing="0" w:after="0" w:afterAutospacing="0" w:line="360" w:lineRule="auto"/>
        <w:ind w:firstLine="420"/>
        <w:rPr>
          <w:sz w:val="21"/>
          <w:szCs w:val="21"/>
        </w:rPr>
      </w:pPr>
      <w:r>
        <w:rPr>
          <w:rFonts w:hint="eastAsia"/>
          <w:sz w:val="21"/>
          <w:szCs w:val="21"/>
        </w:rPr>
        <w:t xml:space="preserve">（10）本基金管理人管理的全部基金投资于同一原始权益人的各类资产支持证券，不得超过其各类资产支持证券合计规模的10%； </w:t>
      </w:r>
    </w:p>
    <w:p>
      <w:pPr>
        <w:pStyle w:val="9"/>
        <w:spacing w:before="0" w:beforeAutospacing="0" w:after="0" w:afterAutospacing="0" w:line="360" w:lineRule="auto"/>
        <w:ind w:firstLine="420"/>
        <w:rPr>
          <w:sz w:val="21"/>
          <w:szCs w:val="21"/>
        </w:rPr>
      </w:pPr>
      <w:r>
        <w:rPr>
          <w:rFonts w:hint="eastAsia"/>
          <w:sz w:val="21"/>
          <w:szCs w:val="21"/>
        </w:rPr>
        <w:t xml:space="preserve">（11）本基金应投资于信用级别评级为BBB以上(含BBB)的资产支持证券。基金持有资产支持证券期间，如果其信用等级下降、不再符合投资标准，应在评级报告发布之日起3个月内予以全部卖出； </w:t>
      </w:r>
    </w:p>
    <w:p>
      <w:pPr>
        <w:pStyle w:val="9"/>
        <w:spacing w:before="0" w:beforeAutospacing="0" w:after="0" w:afterAutospacing="0" w:line="360" w:lineRule="auto"/>
        <w:ind w:firstLine="420"/>
        <w:rPr>
          <w:sz w:val="21"/>
          <w:szCs w:val="21"/>
        </w:rPr>
      </w:pPr>
      <w:r>
        <w:rPr>
          <w:rFonts w:hint="eastAsia"/>
          <w:sz w:val="21"/>
          <w:szCs w:val="21"/>
        </w:rPr>
        <w:t xml:space="preserve">（12）基金财产参与股票发行申购，本基金所申报的金额不超过本基金的总资产，本基金所申报的股票数量不超过拟发行股票公司本次发行股票的总量； </w:t>
      </w:r>
    </w:p>
    <w:p>
      <w:pPr>
        <w:pStyle w:val="9"/>
        <w:spacing w:before="0" w:beforeAutospacing="0" w:after="0" w:afterAutospacing="0" w:line="360" w:lineRule="auto"/>
        <w:ind w:firstLine="420"/>
        <w:rPr>
          <w:sz w:val="21"/>
          <w:szCs w:val="21"/>
        </w:rPr>
      </w:pPr>
      <w:r>
        <w:rPr>
          <w:rFonts w:hint="eastAsia"/>
          <w:sz w:val="21"/>
          <w:szCs w:val="21"/>
        </w:rPr>
        <w:t xml:space="preserve">（13）本基金参与融资的，在任何交易日日终，本基金融资买入股票与其他有价证券市值之和，不得超过基金资产净值的95%； </w:t>
      </w:r>
    </w:p>
    <w:p>
      <w:pPr>
        <w:pStyle w:val="9"/>
        <w:spacing w:before="0" w:beforeAutospacing="0" w:after="0" w:afterAutospacing="0" w:line="360" w:lineRule="auto"/>
        <w:ind w:firstLine="420"/>
        <w:rPr>
          <w:sz w:val="21"/>
          <w:szCs w:val="21"/>
        </w:rPr>
      </w:pPr>
      <w:r>
        <w:rPr>
          <w:rFonts w:hint="eastAsia"/>
          <w:sz w:val="21"/>
          <w:szCs w:val="21"/>
        </w:rPr>
        <w:t xml:space="preserve">（14）本基金投资于股指期货和国债期货，还应遵循如下投资组合限制： </w:t>
      </w:r>
    </w:p>
    <w:p>
      <w:pPr>
        <w:pStyle w:val="9"/>
        <w:spacing w:before="0" w:beforeAutospacing="0" w:after="0" w:afterAutospacing="0" w:line="360" w:lineRule="auto"/>
        <w:ind w:firstLine="420"/>
        <w:rPr>
          <w:sz w:val="21"/>
          <w:szCs w:val="21"/>
        </w:rPr>
      </w:pPr>
      <w:r>
        <w:rPr>
          <w:rFonts w:hint="eastAsia"/>
          <w:sz w:val="21"/>
          <w:szCs w:val="21"/>
        </w:rPr>
        <w:t xml:space="preserve">1）在任何交易日日终，本基金持有的买入股指期货合约价值不超过基金资产净值的10%；在任何交易日日终，持有的买入国债期货合约价值，不得超过基金资产净值15%； </w:t>
      </w:r>
    </w:p>
    <w:p>
      <w:pPr>
        <w:pStyle w:val="9"/>
        <w:spacing w:before="0" w:beforeAutospacing="0" w:after="0" w:afterAutospacing="0" w:line="360" w:lineRule="auto"/>
        <w:ind w:firstLine="420"/>
        <w:rPr>
          <w:sz w:val="21"/>
          <w:szCs w:val="21"/>
        </w:rPr>
      </w:pPr>
      <w:r>
        <w:rPr>
          <w:rFonts w:hint="eastAsia"/>
          <w:sz w:val="21"/>
          <w:szCs w:val="21"/>
        </w:rPr>
        <w:t xml:space="preserve">2）在任何交易日日终，持有的卖出股指期货合约价值不超过基金持有的股票总市值的20%；在任何交易日日终，持有的卖出国债期货合约价值不得超过基金持有的债券总市值的30%； </w:t>
      </w:r>
    </w:p>
    <w:p>
      <w:pPr>
        <w:pStyle w:val="9"/>
        <w:spacing w:before="0" w:beforeAutospacing="0" w:after="0" w:afterAutospacing="0" w:line="360" w:lineRule="auto"/>
        <w:ind w:firstLine="420"/>
        <w:rPr>
          <w:sz w:val="21"/>
          <w:szCs w:val="21"/>
        </w:rPr>
      </w:pPr>
      <w:r>
        <w:rPr>
          <w:rFonts w:hint="eastAsia"/>
          <w:sz w:val="21"/>
          <w:szCs w:val="21"/>
        </w:rPr>
        <w:t xml:space="preserve">3）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 </w:t>
      </w:r>
    </w:p>
    <w:p>
      <w:pPr>
        <w:pStyle w:val="9"/>
        <w:spacing w:before="0" w:beforeAutospacing="0" w:after="0" w:afterAutospacing="0" w:line="360" w:lineRule="auto"/>
        <w:ind w:firstLine="420"/>
        <w:rPr>
          <w:sz w:val="21"/>
          <w:szCs w:val="21"/>
        </w:rPr>
      </w:pPr>
      <w:r>
        <w:rPr>
          <w:rFonts w:hint="eastAsia"/>
          <w:sz w:val="21"/>
          <w:szCs w:val="21"/>
        </w:rPr>
        <w:t xml:space="preserve">4）本基金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 </w:t>
      </w:r>
    </w:p>
    <w:p>
      <w:pPr>
        <w:pStyle w:val="9"/>
        <w:spacing w:before="0" w:beforeAutospacing="0" w:after="0" w:afterAutospacing="0" w:line="360" w:lineRule="auto"/>
        <w:ind w:firstLine="420"/>
        <w:rPr>
          <w:sz w:val="21"/>
          <w:szCs w:val="21"/>
        </w:rPr>
      </w:pPr>
      <w:r>
        <w:rPr>
          <w:rFonts w:hint="eastAsia"/>
          <w:sz w:val="21"/>
          <w:szCs w:val="21"/>
        </w:rPr>
        <w:t xml:space="preserve">5）本基金在任何交易日内交易（不包括平仓）的股指期货合约的成交金额不得超过上一交易日基金资产净值的20%；在任何交易日内交易（不包括平仓）的国债期货合约的成交金额不得超过上一交易日基金资产净值的30%； </w:t>
      </w:r>
    </w:p>
    <w:p>
      <w:pPr>
        <w:pStyle w:val="9"/>
        <w:spacing w:before="0" w:beforeAutospacing="0" w:after="0" w:afterAutospacing="0" w:line="360" w:lineRule="auto"/>
        <w:ind w:firstLine="420"/>
        <w:rPr>
          <w:sz w:val="21"/>
          <w:szCs w:val="21"/>
        </w:rPr>
      </w:pPr>
      <w:r>
        <w:rPr>
          <w:rFonts w:hint="eastAsia"/>
          <w:sz w:val="21"/>
          <w:szCs w:val="21"/>
        </w:rPr>
        <w:t xml:space="preserve">（15）本基金投资于股票期权，还应遵循如下投资组合限制： </w:t>
      </w:r>
    </w:p>
    <w:p>
      <w:pPr>
        <w:pStyle w:val="9"/>
        <w:spacing w:before="0" w:beforeAutospacing="0" w:after="0" w:afterAutospacing="0" w:line="360" w:lineRule="auto"/>
        <w:ind w:firstLine="420"/>
        <w:rPr>
          <w:sz w:val="21"/>
          <w:szCs w:val="21"/>
        </w:rPr>
      </w:pPr>
      <w:r>
        <w:rPr>
          <w:rFonts w:hint="eastAsia"/>
          <w:sz w:val="21"/>
          <w:szCs w:val="21"/>
        </w:rPr>
        <w:t xml:space="preserve">1）因未平仓的期权合约支付和收取的权利金总额不得超过基金资产净值的10%； </w:t>
      </w:r>
    </w:p>
    <w:p>
      <w:pPr>
        <w:pStyle w:val="9"/>
        <w:spacing w:before="0" w:beforeAutospacing="0" w:after="0" w:afterAutospacing="0" w:line="360" w:lineRule="auto"/>
        <w:ind w:firstLine="420"/>
        <w:rPr>
          <w:sz w:val="21"/>
          <w:szCs w:val="21"/>
        </w:rPr>
      </w:pPr>
      <w:r>
        <w:rPr>
          <w:rFonts w:hint="eastAsia"/>
          <w:sz w:val="21"/>
          <w:szCs w:val="21"/>
        </w:rPr>
        <w:t xml:space="preserve">2）开仓卖出认购期权的，应持有足额标的证券；开仓卖出认沽期权的，应持有合约行权所需的全额现金或交易所规则认可的可冲抵期权保证金的现金等价物； </w:t>
      </w:r>
    </w:p>
    <w:p>
      <w:pPr>
        <w:pStyle w:val="9"/>
        <w:spacing w:before="0" w:beforeAutospacing="0" w:after="0" w:afterAutospacing="0" w:line="360" w:lineRule="auto"/>
        <w:ind w:firstLine="420"/>
        <w:rPr>
          <w:sz w:val="21"/>
          <w:szCs w:val="21"/>
        </w:rPr>
      </w:pPr>
      <w:r>
        <w:rPr>
          <w:rFonts w:hint="eastAsia"/>
          <w:sz w:val="21"/>
          <w:szCs w:val="21"/>
        </w:rPr>
        <w:t xml:space="preserve">3）未平仓的期权合约面值不得超过基金资产净值的20%。其中，合约面值按照行权价乘以合约乘数计算； </w:t>
      </w:r>
    </w:p>
    <w:p>
      <w:pPr>
        <w:pStyle w:val="9"/>
        <w:spacing w:before="0" w:beforeAutospacing="0" w:after="0" w:afterAutospacing="0" w:line="360" w:lineRule="auto"/>
        <w:ind w:firstLine="420"/>
        <w:rPr>
          <w:sz w:val="21"/>
          <w:szCs w:val="21"/>
        </w:rPr>
      </w:pPr>
      <w:r>
        <w:rPr>
          <w:rFonts w:hint="eastAsia"/>
          <w:sz w:val="21"/>
          <w:szCs w:val="21"/>
        </w:rPr>
        <w:t xml:space="preserve">（16）本基金参与转融通证券出借业务，需遵守下列投资限制： </w:t>
      </w:r>
    </w:p>
    <w:p>
      <w:pPr>
        <w:pStyle w:val="9"/>
        <w:spacing w:before="0" w:beforeAutospacing="0" w:after="0" w:afterAutospacing="0" w:line="360" w:lineRule="auto"/>
        <w:ind w:firstLine="420"/>
        <w:rPr>
          <w:sz w:val="21"/>
          <w:szCs w:val="21"/>
        </w:rPr>
      </w:pPr>
      <w:r>
        <w:rPr>
          <w:rFonts w:hint="eastAsia"/>
          <w:sz w:val="21"/>
          <w:szCs w:val="21"/>
        </w:rPr>
        <w:t xml:space="preserve">1）出借证券资产不得超过基金资产净值的30%，出借期限在10 个交易日以上的出借证券应纳入《流动性风险管理规定》所述流动性受限证券的范围； </w:t>
      </w:r>
    </w:p>
    <w:p>
      <w:pPr>
        <w:pStyle w:val="9"/>
        <w:spacing w:before="0" w:beforeAutospacing="0" w:after="0" w:afterAutospacing="0" w:line="360" w:lineRule="auto"/>
        <w:ind w:firstLine="420"/>
        <w:rPr>
          <w:sz w:val="21"/>
          <w:szCs w:val="21"/>
        </w:rPr>
      </w:pPr>
      <w:r>
        <w:rPr>
          <w:rFonts w:hint="eastAsia"/>
          <w:sz w:val="21"/>
          <w:szCs w:val="21"/>
        </w:rPr>
        <w:t xml:space="preserve">2）参与出借业务的单只证券不得超过本基金持有该证券总量的50%； </w:t>
      </w:r>
    </w:p>
    <w:p>
      <w:pPr>
        <w:pStyle w:val="9"/>
        <w:spacing w:before="0" w:beforeAutospacing="0" w:after="0" w:afterAutospacing="0" w:line="360" w:lineRule="auto"/>
        <w:ind w:firstLine="420"/>
        <w:rPr>
          <w:sz w:val="21"/>
          <w:szCs w:val="21"/>
        </w:rPr>
      </w:pPr>
      <w:r>
        <w:rPr>
          <w:rFonts w:hint="eastAsia"/>
          <w:sz w:val="21"/>
          <w:szCs w:val="21"/>
        </w:rPr>
        <w:t xml:space="preserve">3）最近6个月内日均基金资产净值不得低于2亿元； </w:t>
      </w:r>
    </w:p>
    <w:p>
      <w:pPr>
        <w:pStyle w:val="9"/>
        <w:spacing w:before="0" w:beforeAutospacing="0" w:after="0" w:afterAutospacing="0" w:line="360" w:lineRule="auto"/>
        <w:ind w:firstLine="420"/>
        <w:rPr>
          <w:sz w:val="21"/>
          <w:szCs w:val="21"/>
        </w:rPr>
      </w:pPr>
      <w:r>
        <w:rPr>
          <w:rFonts w:hint="eastAsia"/>
          <w:sz w:val="21"/>
          <w:szCs w:val="21"/>
        </w:rPr>
        <w:t xml:space="preserve">4）证券出借的平均剩余期限不得超过30天，平均剩余期限按照市值加权平均计算； </w:t>
      </w:r>
    </w:p>
    <w:p>
      <w:pPr>
        <w:pStyle w:val="9"/>
        <w:spacing w:before="0" w:beforeAutospacing="0" w:after="0" w:afterAutospacing="0" w:line="360" w:lineRule="auto"/>
        <w:ind w:firstLine="420"/>
        <w:rPr>
          <w:sz w:val="21"/>
          <w:szCs w:val="21"/>
        </w:rPr>
      </w:pPr>
      <w:r>
        <w:rPr>
          <w:rFonts w:hint="eastAsia"/>
          <w:sz w:val="21"/>
          <w:szCs w:val="21"/>
        </w:rPr>
        <w:t xml:space="preserve">因证券市场波动、上市公司合并、基金规模变动等基金管理人之外的因素致使基金投资不符合上述规定的，基金管理人不得新增出借业务； </w:t>
      </w:r>
    </w:p>
    <w:p>
      <w:pPr>
        <w:pStyle w:val="9"/>
        <w:spacing w:before="0" w:beforeAutospacing="0" w:after="0" w:afterAutospacing="0" w:line="360" w:lineRule="auto"/>
        <w:ind w:firstLine="420"/>
        <w:rPr>
          <w:sz w:val="21"/>
          <w:szCs w:val="21"/>
        </w:rPr>
      </w:pPr>
      <w:r>
        <w:rPr>
          <w:rFonts w:hint="eastAsia"/>
          <w:sz w:val="21"/>
          <w:szCs w:val="21"/>
        </w:rPr>
        <w:t xml:space="preserve">（17）本基金主动投资于流动性受限资产的市值合计不得超过本基金资产净值的15%； </w:t>
      </w:r>
    </w:p>
    <w:p>
      <w:pPr>
        <w:pStyle w:val="9"/>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因证券市场波动、上市公司股票停牌、基金规模变动等基金管理人之外的因素致使基金不符合该比例限制的，基金管理人不得主动新增流动性受限资产的投资； </w:t>
      </w:r>
    </w:p>
    <w:p>
      <w:pPr>
        <w:pStyle w:val="9"/>
        <w:spacing w:before="0" w:beforeAutospacing="0" w:after="0" w:afterAutospacing="0" w:line="360" w:lineRule="auto"/>
        <w:ind w:firstLine="420"/>
        <w:rPr>
          <w:sz w:val="21"/>
          <w:szCs w:val="21"/>
        </w:rPr>
      </w:pPr>
      <w:r>
        <w:rPr>
          <w:rFonts w:hint="eastAsia"/>
          <w:sz w:val="21"/>
          <w:szCs w:val="21"/>
        </w:rPr>
        <w:t xml:space="preserve">（18）本基金与私募类证券资管产品及中国证监会认定的其他主体为交易对手开展逆回购交易的，可接受质押品的资质要求应当与基金合同约定的投资范围保持一致； </w:t>
      </w:r>
    </w:p>
    <w:p>
      <w:pPr>
        <w:pStyle w:val="9"/>
        <w:spacing w:before="0" w:beforeAutospacing="0" w:after="0" w:afterAutospacing="0" w:line="360" w:lineRule="auto"/>
        <w:ind w:firstLine="420"/>
        <w:rPr>
          <w:sz w:val="21"/>
          <w:szCs w:val="21"/>
        </w:rPr>
      </w:pPr>
      <w:r>
        <w:rPr>
          <w:rFonts w:hint="eastAsia"/>
          <w:sz w:val="21"/>
          <w:szCs w:val="21"/>
        </w:rPr>
        <w:t xml:space="preserve">（19）本基金投资存托凭证的比例限制依照境内上市交易的股票执行，与境内上市交易的股票合并计算； </w:t>
      </w:r>
    </w:p>
    <w:p>
      <w:pPr>
        <w:pStyle w:val="9"/>
        <w:spacing w:before="0" w:beforeAutospacing="0" w:after="0" w:afterAutospacing="0" w:line="360" w:lineRule="auto"/>
        <w:ind w:firstLine="420"/>
        <w:rPr>
          <w:sz w:val="21"/>
          <w:szCs w:val="21"/>
        </w:rPr>
      </w:pPr>
      <w:r>
        <w:rPr>
          <w:rFonts w:hint="eastAsia"/>
          <w:sz w:val="21"/>
          <w:szCs w:val="21"/>
        </w:rPr>
        <w:t xml:space="preserve">（20）相关法律法规以及监管部门规定的和基金合同约定的其它投资比例限制。 </w:t>
      </w:r>
    </w:p>
    <w:p>
      <w:pPr>
        <w:pStyle w:val="9"/>
        <w:spacing w:before="0" w:beforeAutospacing="0" w:after="0" w:afterAutospacing="0" w:line="360" w:lineRule="auto"/>
        <w:ind w:firstLine="420"/>
        <w:rPr>
          <w:sz w:val="21"/>
          <w:szCs w:val="21"/>
        </w:rPr>
      </w:pPr>
      <w:r>
        <w:rPr>
          <w:rFonts w:hint="eastAsia"/>
          <w:sz w:val="21"/>
          <w:szCs w:val="21"/>
        </w:rPr>
        <w:t xml:space="preserve">除上述第（2）、（11）、（16）、（17）、（18）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 </w:t>
      </w:r>
    </w:p>
    <w:p>
      <w:pPr>
        <w:pStyle w:val="9"/>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9"/>
        <w:spacing w:before="0" w:beforeAutospacing="0" w:after="0" w:afterAutospacing="0" w:line="360" w:lineRule="auto"/>
        <w:ind w:firstLine="420"/>
        <w:rPr>
          <w:sz w:val="21"/>
          <w:szCs w:val="21"/>
        </w:rPr>
      </w:pPr>
      <w:r>
        <w:rPr>
          <w:rFonts w:hint="eastAsia"/>
          <w:sz w:val="21"/>
          <w:szCs w:val="21"/>
        </w:rPr>
        <w:t xml:space="preserve">法律法规或监管部门取消或变更上述限制，如适用于本基金，基金管理人在履行适当程序后，则本基金投资不再受相关限制，或以变更后的规定为准。 </w:t>
      </w:r>
    </w:p>
    <w:p>
      <w:pPr>
        <w:pStyle w:val="9"/>
        <w:spacing w:before="0" w:beforeAutospacing="0" w:after="0" w:afterAutospacing="0" w:line="360" w:lineRule="auto"/>
        <w:ind w:firstLine="420"/>
        <w:rPr>
          <w:sz w:val="21"/>
          <w:szCs w:val="21"/>
        </w:rPr>
      </w:pPr>
      <w:r>
        <w:rPr>
          <w:rFonts w:hint="eastAsia"/>
          <w:sz w:val="21"/>
          <w:szCs w:val="21"/>
        </w:rPr>
        <w:t xml:space="preserve">2、禁止行为 </w:t>
      </w:r>
    </w:p>
    <w:p>
      <w:pPr>
        <w:pStyle w:val="9"/>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9"/>
        <w:spacing w:before="0" w:beforeAutospacing="0" w:after="0" w:afterAutospacing="0" w:line="360" w:lineRule="auto"/>
        <w:ind w:firstLine="420"/>
        <w:rPr>
          <w:sz w:val="21"/>
          <w:szCs w:val="21"/>
        </w:rPr>
      </w:pPr>
      <w:r>
        <w:rPr>
          <w:rFonts w:hint="eastAsia"/>
          <w:sz w:val="21"/>
          <w:szCs w:val="21"/>
        </w:rPr>
        <w:t xml:space="preserve">（1）承销证券； </w:t>
      </w:r>
    </w:p>
    <w:p>
      <w:pPr>
        <w:pStyle w:val="9"/>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9"/>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9"/>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9"/>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9"/>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9"/>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9"/>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履行信息披露义务。重大关联交易应提交基金管理人董事会审议，并经过三分之二以上的独立董事通过。基金管理人董事会应至少每半年对关联交易事项进行审查。 </w:t>
      </w:r>
    </w:p>
    <w:p>
      <w:pPr>
        <w:pStyle w:val="9"/>
        <w:spacing w:before="0" w:beforeAutospacing="0" w:after="0" w:afterAutospacing="0" w:line="360" w:lineRule="auto"/>
        <w:ind w:firstLine="420"/>
        <w:rPr>
          <w:sz w:val="21"/>
          <w:szCs w:val="21"/>
        </w:rPr>
      </w:pPr>
      <w:r>
        <w:rPr>
          <w:rFonts w:hint="eastAsia"/>
          <w:sz w:val="21"/>
          <w:szCs w:val="21"/>
        </w:rPr>
        <w:t xml:space="preserve">法律、行政法规或监管部门变更或取消上述规定，在履行适当程序后，本基金可按变更后的规定执行或不受上述规定的限制。 </w:t>
      </w:r>
    </w:p>
    <w:p>
      <w:pPr>
        <w:pStyle w:val="9"/>
        <w:spacing w:before="0" w:beforeAutospacing="0" w:after="0" w:afterAutospacing="0" w:line="360" w:lineRule="auto"/>
        <w:ind w:firstLine="420"/>
        <w:rPr>
          <w:sz w:val="21"/>
          <w:szCs w:val="21"/>
        </w:rPr>
      </w:pPr>
      <w:r>
        <w:rPr>
          <w:rStyle w:val="14"/>
          <w:rFonts w:hint="eastAsia"/>
          <w:sz w:val="21"/>
          <w:szCs w:val="21"/>
        </w:rPr>
        <w:t>六、标的指数和业绩比较基准</w:t>
      </w:r>
    </w:p>
    <w:p>
      <w:pPr>
        <w:pStyle w:val="9"/>
        <w:spacing w:before="0" w:beforeAutospacing="0" w:after="0" w:afterAutospacing="0" w:line="360" w:lineRule="auto"/>
        <w:ind w:firstLine="420"/>
        <w:rPr>
          <w:sz w:val="21"/>
          <w:szCs w:val="21"/>
        </w:rPr>
      </w:pPr>
      <w:r>
        <w:rPr>
          <w:rFonts w:hint="eastAsia"/>
          <w:sz w:val="21"/>
          <w:szCs w:val="21"/>
        </w:rPr>
        <w:t xml:space="preserve">本基金的标的指数为：中证有色金属矿业主题指数。 </w:t>
      </w:r>
    </w:p>
    <w:p>
      <w:pPr>
        <w:pStyle w:val="9"/>
        <w:spacing w:before="0" w:beforeAutospacing="0" w:after="0" w:afterAutospacing="0" w:line="360" w:lineRule="auto"/>
        <w:ind w:firstLine="420"/>
        <w:rPr>
          <w:sz w:val="21"/>
          <w:szCs w:val="21"/>
        </w:rPr>
      </w:pPr>
      <w:r>
        <w:rPr>
          <w:rFonts w:hint="eastAsia"/>
          <w:sz w:val="21"/>
          <w:szCs w:val="21"/>
        </w:rPr>
        <w:t xml:space="preserve">本基金业绩比较基准为：中证有色金属矿业主题指数收益率×95%+银行活期存款利率(税后)×5%。 </w:t>
      </w:r>
    </w:p>
    <w:p>
      <w:pPr>
        <w:pStyle w:val="9"/>
        <w:spacing w:before="0" w:beforeAutospacing="0" w:after="0" w:afterAutospacing="0" w:line="360" w:lineRule="auto"/>
        <w:ind w:firstLine="420"/>
        <w:rPr>
          <w:sz w:val="21"/>
          <w:szCs w:val="21"/>
        </w:rPr>
      </w:pPr>
      <w:r>
        <w:rPr>
          <w:rFonts w:hint="eastAsia"/>
          <w:sz w:val="21"/>
          <w:szCs w:val="21"/>
        </w:rPr>
        <w:t xml:space="preserve">未来若出现标的指数不符合要求（因成份股价格波动等指数编制方法变动之外的因素致使标的指数不符合要求以及法律法规、监管机构另有规定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 </w:t>
      </w:r>
    </w:p>
    <w:p>
      <w:pPr>
        <w:pStyle w:val="9"/>
        <w:spacing w:before="0" w:beforeAutospacing="0" w:after="0" w:afterAutospacing="0" w:line="360" w:lineRule="auto"/>
        <w:ind w:firstLine="420"/>
        <w:rPr>
          <w:sz w:val="21"/>
          <w:szCs w:val="21"/>
        </w:rPr>
      </w:pPr>
      <w:r>
        <w:rPr>
          <w:rFonts w:hint="eastAsia"/>
          <w:sz w:val="21"/>
          <w:szCs w:val="21"/>
        </w:rPr>
        <w:t xml:space="preserve">自指数编制机构停止标的指数的编制及发布至解决方案确定期间，基金管理人应按照指数编制机构提供的最近一个交易日的指数信息遵循基金份额持有人利益优先原则维持基金投资运作。 </w:t>
      </w:r>
    </w:p>
    <w:p>
      <w:pPr>
        <w:pStyle w:val="9"/>
        <w:spacing w:before="0" w:beforeAutospacing="0" w:after="0" w:afterAutospacing="0" w:line="360" w:lineRule="auto"/>
        <w:ind w:firstLine="420"/>
        <w:rPr>
          <w:sz w:val="21"/>
          <w:szCs w:val="21"/>
        </w:rPr>
      </w:pPr>
      <w:r>
        <w:rPr>
          <w:rStyle w:val="14"/>
          <w:rFonts w:hint="eastAsia"/>
          <w:sz w:val="21"/>
          <w:szCs w:val="21"/>
        </w:rPr>
        <w:t>七、风险收益特征</w:t>
      </w:r>
    </w:p>
    <w:p>
      <w:pPr>
        <w:pStyle w:val="9"/>
        <w:spacing w:before="0" w:beforeAutospacing="0" w:after="0" w:afterAutospacing="0" w:line="360" w:lineRule="auto"/>
        <w:ind w:firstLine="420"/>
        <w:rPr>
          <w:sz w:val="21"/>
          <w:szCs w:val="21"/>
        </w:rPr>
      </w:pPr>
      <w:bookmarkStart w:id="115" w:name="field_60_riskyield_1_start"/>
      <w:bookmarkEnd w:id="115"/>
      <w:r>
        <w:rPr>
          <w:rFonts w:hint="eastAsia"/>
          <w:sz w:val="21"/>
          <w:szCs w:val="21"/>
        </w:rPr>
        <w:t xml:space="preserve">本基金属于股票型基金，其预期收益及预期风险水平高于混合型基金、债券型基金与货币市场基金。本基金为被动式投资的股票型指数基金，跟踪中证有色金属矿业主题指数，其风险收益特征与标的指数所表征的市场组合的风险收益特征相似。本基金如果投资港股通标的股票，需承担汇率风险以及境外市场的风险。 </w:t>
      </w:r>
      <w:bookmarkStart w:id="116" w:name="field_60_riskyield_1_end"/>
      <w:bookmarkEnd w:id="116"/>
      <w:r>
        <w:rPr>
          <w:rFonts w:hint="eastAsia"/>
          <w:sz w:val="21"/>
          <w:szCs w:val="21"/>
        </w:rPr>
        <w:t xml:space="preserve"> </w:t>
      </w:r>
    </w:p>
    <w:p>
      <w:pPr>
        <w:pStyle w:val="9"/>
        <w:spacing w:before="0" w:beforeAutospacing="0" w:after="0" w:afterAutospacing="0" w:line="360" w:lineRule="auto"/>
        <w:ind w:firstLine="420"/>
        <w:rPr>
          <w:sz w:val="21"/>
          <w:szCs w:val="21"/>
        </w:rPr>
      </w:pPr>
      <w:r>
        <w:rPr>
          <w:rStyle w:val="14"/>
          <w:rFonts w:hint="eastAsia"/>
          <w:sz w:val="21"/>
          <w:szCs w:val="21"/>
        </w:rPr>
        <w:t>八、基金管理人代表基金行使股东或债权人权利的处理原则及方法</w:t>
      </w:r>
    </w:p>
    <w:p>
      <w:pPr>
        <w:pStyle w:val="9"/>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1、基金管理人按照国家有关规定代表基金独立行使股东或债权人权利，保护基金份额持有人的利益； </w:t>
      </w:r>
    </w:p>
    <w:p>
      <w:pPr>
        <w:pStyle w:val="9"/>
        <w:spacing w:before="0" w:beforeAutospacing="0" w:after="0" w:afterAutospacing="0" w:line="360" w:lineRule="auto"/>
        <w:ind w:firstLine="420"/>
        <w:rPr>
          <w:sz w:val="21"/>
          <w:szCs w:val="21"/>
        </w:rPr>
      </w:pPr>
      <w:r>
        <w:rPr>
          <w:rFonts w:hint="eastAsia"/>
          <w:sz w:val="21"/>
          <w:szCs w:val="21"/>
        </w:rPr>
        <w:t xml:space="preserve">2、不谋求对上市公司的控股； </w:t>
      </w:r>
    </w:p>
    <w:p>
      <w:pPr>
        <w:pStyle w:val="9"/>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9"/>
        <w:spacing w:before="0" w:beforeAutospacing="0" w:after="0" w:afterAutospacing="0" w:line="360" w:lineRule="auto"/>
        <w:ind w:firstLine="420"/>
        <w:rPr>
          <w:sz w:val="21"/>
          <w:szCs w:val="21"/>
        </w:rPr>
      </w:pPr>
      <w:r>
        <w:rPr>
          <w:rFonts w:hint="eastAsia"/>
          <w:sz w:val="21"/>
          <w:szCs w:val="21"/>
        </w:rPr>
        <w:t xml:space="preserve">4、不通过关联交易为自身、雇员、授权代理人或任何存在利害关系的第三人牟取任何不当利益。 </w:t>
      </w:r>
    </w:p>
    <w:p>
      <w:pPr>
        <w:pStyle w:val="9"/>
        <w:spacing w:before="0" w:beforeAutospacing="0" w:after="0" w:afterAutospacing="0" w:line="360" w:lineRule="auto"/>
        <w:ind w:firstLine="420"/>
        <w:rPr>
          <w:sz w:val="21"/>
          <w:szCs w:val="21"/>
        </w:rPr>
      </w:pPr>
      <w:r>
        <w:rPr>
          <w:rStyle w:val="14"/>
          <w:rFonts w:hint="eastAsia"/>
          <w:sz w:val="21"/>
          <w:szCs w:val="21"/>
        </w:rPr>
        <w:t>九、侧袋机制的实施和投资运作安排</w:t>
      </w:r>
    </w:p>
    <w:p>
      <w:pPr>
        <w:pStyle w:val="9"/>
        <w:spacing w:before="0" w:beforeAutospacing="0" w:after="0" w:afterAutospacing="0" w:line="360" w:lineRule="auto"/>
        <w:ind w:firstLine="420"/>
        <w:rPr>
          <w:sz w:val="21"/>
          <w:szCs w:val="21"/>
        </w:rPr>
      </w:pPr>
      <w:r>
        <w:rPr>
          <w:rFonts w:hint="eastAsia"/>
          <w:sz w:val="21"/>
          <w:szCs w:val="21"/>
        </w:rPr>
        <w:t xml:space="preserve">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 </w:t>
      </w:r>
    </w:p>
    <w:p>
      <w:pPr>
        <w:pStyle w:val="9"/>
        <w:spacing w:before="0" w:beforeAutospacing="0" w:after="0" w:afterAutospacing="0" w:line="360" w:lineRule="auto"/>
        <w:ind w:firstLine="420"/>
        <w:rPr>
          <w:sz w:val="21"/>
          <w:szCs w:val="21"/>
        </w:rPr>
      </w:pPr>
      <w:r>
        <w:rPr>
          <w:rFonts w:hint="eastAsia"/>
          <w:sz w:val="21"/>
          <w:szCs w:val="21"/>
        </w:rPr>
        <w:t xml:space="preserve">侧袋机制实施期间，本部分约定的投资组合比例、投资策略、组合限制、业绩比较基准、风险收益特征等约定仅适用于主袋账户。 </w:t>
      </w:r>
    </w:p>
    <w:p>
      <w:pPr>
        <w:pStyle w:val="9"/>
        <w:spacing w:before="0" w:beforeAutospacing="0" w:after="0" w:afterAutospacing="0" w:line="360" w:lineRule="auto"/>
        <w:ind w:firstLine="420"/>
        <w:rPr>
          <w:sz w:val="21"/>
          <w:szCs w:val="21"/>
        </w:rPr>
      </w:pPr>
      <w:r>
        <w:rPr>
          <w:rFonts w:hint="eastAsia"/>
          <w:sz w:val="21"/>
          <w:szCs w:val="21"/>
        </w:rPr>
        <w:t>侧袋账户的实施条件、实施程序、运作安排、投资安排、特定资产的处置变现和支付等</w:t>
      </w:r>
      <w:bookmarkStart w:id="117" w:name="chapter_level1_11_60_section_1_end"/>
      <w:bookmarkEnd w:id="117"/>
      <w:r>
        <w:rPr>
          <w:rFonts w:hint="eastAsia"/>
          <w:sz w:val="21"/>
          <w:szCs w:val="21"/>
        </w:rPr>
        <w:t xml:space="preserve">对投资者权益有重大影响的事项详见本招募说明书“侧袋机制”章节的规定。 </w:t>
      </w:r>
    </w:p>
    <w:p>
      <w:pPr>
        <w:pStyle w:val="9"/>
        <w:spacing w:before="0" w:beforeAutospacing="0" w:after="0" w:afterAutospacing="0" w:line="360" w:lineRule="auto"/>
        <w:ind w:firstLine="420"/>
        <w:rPr>
          <w:sz w:val="21"/>
          <w:szCs w:val="21"/>
        </w:rPr>
      </w:pPr>
      <w:bookmarkStart w:id="118" w:name="chapter_level1_11_60_section_2"/>
      <w:bookmarkEnd w:id="118"/>
      <w:r>
        <w:rPr>
          <w:rStyle w:val="14"/>
          <w:rFonts w:hint="eastAsia"/>
          <w:sz w:val="21"/>
          <w:szCs w:val="21"/>
        </w:rPr>
        <w:t>十、基金投资组合报告</w:t>
      </w:r>
    </w:p>
    <w:p>
      <w:pPr>
        <w:pStyle w:val="9"/>
        <w:spacing w:before="0" w:beforeAutospacing="0" w:after="0" w:afterAutospacing="0" w:line="360" w:lineRule="auto"/>
        <w:ind w:firstLine="420"/>
        <w:rPr>
          <w:sz w:val="21"/>
          <w:szCs w:val="21"/>
        </w:rPr>
      </w:pPr>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pPr>
        <w:pStyle w:val="9"/>
        <w:spacing w:before="0" w:beforeAutospacing="0" w:after="0" w:afterAutospacing="0" w:line="360" w:lineRule="auto"/>
        <w:ind w:firstLine="420"/>
        <w:rPr>
          <w:sz w:val="21"/>
          <w:szCs w:val="21"/>
        </w:rPr>
      </w:pPr>
      <w:r>
        <w:rPr>
          <w:rFonts w:hint="eastAsia"/>
          <w:sz w:val="21"/>
          <w:szCs w:val="21"/>
        </w:rPr>
        <w:t xml:space="preserve">基金托管人根据本基金合同规定，复核了本报告中的净值表现和投资组合报告等内容，保证复核内容不存在虚假记载、误导性陈述或者重大遗漏。 </w:t>
      </w:r>
    </w:p>
    <w:p>
      <w:pPr>
        <w:pStyle w:val="9"/>
        <w:spacing w:before="0" w:beforeAutospacing="0" w:after="0" w:afterAutospacing="0" w:line="360" w:lineRule="auto"/>
        <w:ind w:firstLine="420"/>
        <w:rPr>
          <w:sz w:val="21"/>
          <w:szCs w:val="21"/>
        </w:rPr>
      </w:pPr>
      <w:r>
        <w:rPr>
          <w:rFonts w:hint="eastAsia"/>
          <w:sz w:val="21"/>
          <w:szCs w:val="21"/>
        </w:rPr>
        <w:t>本投资组合报告所载数据截至</w:t>
      </w:r>
      <w:bookmarkStart w:id="119" w:name="field_2343_financeendday_2"/>
      <w:r>
        <w:rPr>
          <w:sz w:val="21"/>
          <w:szCs w:val="21"/>
        </w:rPr>
        <w:t>2023年9月30日</w:t>
      </w:r>
      <w:bookmarkEnd w:id="119"/>
      <w:r>
        <w:rPr>
          <w:rFonts w:hint="eastAsia"/>
          <w:sz w:val="21"/>
          <w:szCs w:val="21"/>
        </w:rPr>
        <w:t xml:space="preserve">，本报告中所列财务数据未经审计。 </w:t>
      </w:r>
    </w:p>
    <w:p>
      <w:pPr>
        <w:pStyle w:val="9"/>
        <w:spacing w:before="0" w:beforeAutospacing="0" w:after="0" w:afterAutospacing="0" w:line="360" w:lineRule="auto"/>
        <w:ind w:firstLine="420"/>
        <w:rPr>
          <w:sz w:val="21"/>
          <w:szCs w:val="21"/>
        </w:rPr>
      </w:pPr>
      <w:bookmarkStart w:id="120" w:name="field_0_fundportfolio_1_start"/>
      <w:bookmarkEnd w:id="120"/>
      <w:r>
        <w:rPr>
          <w:rStyle w:val="14"/>
          <w:rFonts w:hint="eastAsia"/>
          <w:sz w:val="21"/>
          <w:szCs w:val="21"/>
        </w:rPr>
        <w:t>1报告期末基金资产组合情况</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827"/>
        <w:gridCol w:w="1598"/>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项目</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金额(元)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占基金总资产的比例(%)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rPr>
                <w:rFonts w:ascii="宋体" w:hAnsi="宋体" w:eastAsia="宋体" w:cs="宋体"/>
                <w:sz w:val="24"/>
                <w:szCs w:val="24"/>
              </w:rPr>
            </w:pPr>
            <w:r>
              <w:rPr>
                <w:rFonts w:hint="eastAsia" w:ascii="宋体" w:hAnsi="宋体" w:eastAsia="宋体"/>
              </w:rPr>
              <w:t>权益投资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22,853,300.40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93.26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其中：股票</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22,853,300.40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93.26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rPr>
                <w:rFonts w:ascii="宋体" w:hAnsi="宋体" w:eastAsia="宋体" w:cs="宋体"/>
                <w:sz w:val="24"/>
                <w:szCs w:val="24"/>
              </w:rPr>
            </w:pPr>
            <w:r>
              <w:rPr>
                <w:rFonts w:hint="eastAsia" w:ascii="宋体" w:hAnsi="宋体" w:eastAsia="宋体"/>
              </w:rPr>
              <w:t>基金投资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rPr>
                <w:rFonts w:ascii="宋体" w:hAnsi="宋体" w:eastAsia="宋体" w:cs="宋体"/>
                <w:sz w:val="24"/>
                <w:szCs w:val="24"/>
              </w:rPr>
            </w:pPr>
            <w:r>
              <w:rPr>
                <w:rFonts w:hint="eastAsia" w:ascii="宋体" w:hAnsi="宋体" w:eastAsia="宋体"/>
              </w:rPr>
              <w:t>固定收益投资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其中：债券</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资产支持证券</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rPr>
                <w:rFonts w:ascii="宋体" w:hAnsi="宋体" w:eastAsia="宋体" w:cs="宋体"/>
                <w:sz w:val="24"/>
                <w:szCs w:val="24"/>
              </w:rPr>
            </w:pPr>
            <w:r>
              <w:rPr>
                <w:rFonts w:hint="eastAsia" w:ascii="宋体" w:hAnsi="宋体" w:eastAsia="宋体"/>
              </w:rPr>
              <w:t>贵金属投资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rPr>
                <w:rFonts w:ascii="宋体" w:hAnsi="宋体" w:eastAsia="宋体" w:cs="宋体"/>
                <w:sz w:val="24"/>
                <w:szCs w:val="24"/>
              </w:rPr>
            </w:pPr>
            <w:r>
              <w:rPr>
                <w:rFonts w:hint="eastAsia" w:ascii="宋体" w:hAnsi="宋体" w:eastAsia="宋体"/>
              </w:rPr>
              <w:t>金融衍生品投资</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6</w:t>
            </w:r>
          </w:p>
        </w:tc>
        <w:tc>
          <w:tcPr>
            <w:tcW w:w="0" w:type="auto"/>
            <w:shd w:val="clear" w:color="auto" w:fill="auto"/>
          </w:tcPr>
          <w:p>
            <w:pPr>
              <w:rPr>
                <w:rFonts w:ascii="宋体" w:hAnsi="宋体" w:eastAsia="宋体" w:cs="宋体"/>
                <w:sz w:val="24"/>
                <w:szCs w:val="24"/>
              </w:rPr>
            </w:pPr>
            <w:r>
              <w:rPr>
                <w:rFonts w:hint="eastAsia" w:ascii="宋体" w:hAnsi="宋体" w:eastAsia="宋体"/>
              </w:rPr>
              <w:t>买入返售金融资产</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其中：买断式回购的买入返售金融资产</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7</w:t>
            </w:r>
          </w:p>
        </w:tc>
        <w:tc>
          <w:tcPr>
            <w:tcW w:w="0" w:type="auto"/>
            <w:shd w:val="clear" w:color="auto" w:fill="auto"/>
          </w:tcPr>
          <w:p>
            <w:pPr>
              <w:rPr>
                <w:rFonts w:ascii="宋体" w:hAnsi="宋体" w:eastAsia="宋体" w:cs="宋体"/>
                <w:sz w:val="24"/>
                <w:szCs w:val="24"/>
              </w:rPr>
            </w:pPr>
            <w:r>
              <w:rPr>
                <w:rFonts w:hint="eastAsia" w:ascii="宋体" w:hAnsi="宋体" w:eastAsia="宋体"/>
              </w:rPr>
              <w:t>银行存款和结算备付金合计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1,470,939.32</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8</w:t>
            </w:r>
          </w:p>
        </w:tc>
        <w:tc>
          <w:tcPr>
            <w:tcW w:w="0" w:type="auto"/>
            <w:shd w:val="clear" w:color="auto" w:fill="auto"/>
          </w:tcPr>
          <w:p>
            <w:pPr>
              <w:rPr>
                <w:rFonts w:ascii="宋体" w:hAnsi="宋体" w:eastAsia="宋体" w:cs="宋体"/>
                <w:sz w:val="24"/>
                <w:szCs w:val="24"/>
              </w:rPr>
            </w:pPr>
            <w:r>
              <w:rPr>
                <w:rFonts w:hint="eastAsia" w:ascii="宋体" w:hAnsi="宋体" w:eastAsia="宋体"/>
              </w:rPr>
              <w:t>其他各项资产</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181,272.33</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9</w:t>
            </w:r>
          </w:p>
        </w:tc>
        <w:tc>
          <w:tcPr>
            <w:tcW w:w="0" w:type="auto"/>
            <w:shd w:val="clear" w:color="auto" w:fill="auto"/>
          </w:tcPr>
          <w:p>
            <w:pPr>
              <w:rPr>
                <w:rFonts w:ascii="宋体" w:hAnsi="宋体" w:eastAsia="宋体" w:cs="宋体"/>
                <w:sz w:val="24"/>
                <w:szCs w:val="24"/>
              </w:rPr>
            </w:pPr>
            <w:r>
              <w:rPr>
                <w:rFonts w:hint="eastAsia" w:ascii="宋体" w:hAnsi="宋体" w:eastAsia="宋体"/>
              </w:rPr>
              <w:t>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24,505,512.05</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100.00</w:t>
            </w:r>
          </w:p>
        </w:tc>
      </w:tr>
    </w:tbl>
    <w:p>
      <w:pPr>
        <w:pStyle w:val="9"/>
        <w:spacing w:before="0" w:beforeAutospacing="0" w:after="0" w:afterAutospacing="0" w:line="360" w:lineRule="auto"/>
        <w:ind w:firstLine="420"/>
        <w:rPr>
          <w:sz w:val="21"/>
          <w:szCs w:val="21"/>
        </w:rPr>
      </w:pPr>
      <w:r>
        <w:rPr>
          <w:rStyle w:val="14"/>
          <w:rFonts w:hint="eastAsia"/>
          <w:sz w:val="21"/>
          <w:szCs w:val="21"/>
        </w:rPr>
        <w:t>2报告期末按行业分类的股票投资组合</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3509"/>
        <w:gridCol w:w="168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代码</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行业类别</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公允价值（元）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A</w:t>
            </w:r>
          </w:p>
        </w:tc>
        <w:tc>
          <w:tcPr>
            <w:tcW w:w="0" w:type="auto"/>
            <w:shd w:val="clear" w:color="auto" w:fill="auto"/>
          </w:tcPr>
          <w:p>
            <w:pPr>
              <w:rPr>
                <w:rFonts w:ascii="宋体" w:hAnsi="宋体" w:eastAsia="宋体" w:cs="宋体"/>
                <w:sz w:val="24"/>
                <w:szCs w:val="24"/>
              </w:rPr>
            </w:pPr>
            <w:r>
              <w:rPr>
                <w:rFonts w:hint="eastAsia" w:ascii="宋体" w:hAnsi="宋体" w:eastAsia="宋体"/>
              </w:rPr>
              <w:t>农、林、牧、渔业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B</w:t>
            </w:r>
          </w:p>
        </w:tc>
        <w:tc>
          <w:tcPr>
            <w:tcW w:w="0" w:type="auto"/>
            <w:shd w:val="clear" w:color="auto" w:fill="auto"/>
          </w:tcPr>
          <w:p>
            <w:pPr>
              <w:rPr>
                <w:rFonts w:ascii="宋体" w:hAnsi="宋体" w:eastAsia="宋体" w:cs="宋体"/>
                <w:sz w:val="24"/>
                <w:szCs w:val="24"/>
              </w:rPr>
            </w:pPr>
            <w:r>
              <w:rPr>
                <w:rFonts w:hint="eastAsia" w:ascii="宋体" w:hAnsi="宋体" w:eastAsia="宋体"/>
              </w:rPr>
              <w:t>采矿业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9,712,945.00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C</w:t>
            </w:r>
          </w:p>
        </w:tc>
        <w:tc>
          <w:tcPr>
            <w:tcW w:w="0" w:type="auto"/>
            <w:shd w:val="clear" w:color="auto" w:fill="auto"/>
          </w:tcPr>
          <w:p>
            <w:pPr>
              <w:rPr>
                <w:rFonts w:ascii="宋体" w:hAnsi="宋体" w:eastAsia="宋体" w:cs="宋体"/>
                <w:sz w:val="24"/>
                <w:szCs w:val="24"/>
              </w:rPr>
            </w:pPr>
            <w:r>
              <w:rPr>
                <w:rFonts w:hint="eastAsia" w:ascii="宋体" w:hAnsi="宋体" w:eastAsia="宋体"/>
              </w:rPr>
              <w:t>制造业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13,140,355.40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D</w:t>
            </w:r>
          </w:p>
        </w:tc>
        <w:tc>
          <w:tcPr>
            <w:tcW w:w="0" w:type="auto"/>
            <w:shd w:val="clear" w:color="auto" w:fill="auto"/>
          </w:tcPr>
          <w:p>
            <w:pPr>
              <w:rPr>
                <w:rFonts w:ascii="宋体" w:hAnsi="宋体" w:eastAsia="宋体" w:cs="宋体"/>
                <w:sz w:val="24"/>
                <w:szCs w:val="24"/>
              </w:rPr>
            </w:pPr>
            <w:r>
              <w:rPr>
                <w:rFonts w:hint="eastAsia" w:ascii="宋体" w:hAnsi="宋体" w:eastAsia="宋体"/>
              </w:rPr>
              <w:t>电力、热力、燃气及水生产和供应业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E</w:t>
            </w:r>
          </w:p>
        </w:tc>
        <w:tc>
          <w:tcPr>
            <w:tcW w:w="0" w:type="auto"/>
            <w:shd w:val="clear" w:color="auto" w:fill="auto"/>
          </w:tcPr>
          <w:p>
            <w:pPr>
              <w:rPr>
                <w:rFonts w:ascii="宋体" w:hAnsi="宋体" w:eastAsia="宋体" w:cs="宋体"/>
                <w:sz w:val="24"/>
                <w:szCs w:val="24"/>
              </w:rPr>
            </w:pPr>
            <w:r>
              <w:rPr>
                <w:rFonts w:hint="eastAsia" w:ascii="宋体" w:hAnsi="宋体" w:eastAsia="宋体"/>
              </w:rPr>
              <w:t>建筑业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F</w:t>
            </w:r>
          </w:p>
        </w:tc>
        <w:tc>
          <w:tcPr>
            <w:tcW w:w="0" w:type="auto"/>
            <w:shd w:val="clear" w:color="auto" w:fill="auto"/>
          </w:tcPr>
          <w:p>
            <w:pPr>
              <w:rPr>
                <w:rFonts w:ascii="宋体" w:hAnsi="宋体" w:eastAsia="宋体" w:cs="宋体"/>
                <w:sz w:val="24"/>
                <w:szCs w:val="24"/>
              </w:rPr>
            </w:pPr>
            <w:r>
              <w:rPr>
                <w:rFonts w:hint="eastAsia" w:ascii="宋体" w:hAnsi="宋体" w:eastAsia="宋体"/>
              </w:rPr>
              <w:t>批发和零售业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G</w:t>
            </w:r>
          </w:p>
        </w:tc>
        <w:tc>
          <w:tcPr>
            <w:tcW w:w="0" w:type="auto"/>
            <w:shd w:val="clear" w:color="auto" w:fill="auto"/>
          </w:tcPr>
          <w:p>
            <w:pPr>
              <w:rPr>
                <w:rFonts w:ascii="宋体" w:hAnsi="宋体" w:eastAsia="宋体" w:cs="宋体"/>
                <w:sz w:val="24"/>
                <w:szCs w:val="24"/>
              </w:rPr>
            </w:pPr>
            <w:r>
              <w:rPr>
                <w:rFonts w:hint="eastAsia" w:ascii="宋体" w:hAnsi="宋体" w:eastAsia="宋体"/>
              </w:rPr>
              <w:t>交通运输、仓储和邮政业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H</w:t>
            </w:r>
          </w:p>
        </w:tc>
        <w:tc>
          <w:tcPr>
            <w:tcW w:w="0" w:type="auto"/>
            <w:shd w:val="clear" w:color="auto" w:fill="auto"/>
          </w:tcPr>
          <w:p>
            <w:pPr>
              <w:rPr>
                <w:rFonts w:ascii="宋体" w:hAnsi="宋体" w:eastAsia="宋体" w:cs="宋体"/>
                <w:sz w:val="24"/>
                <w:szCs w:val="24"/>
              </w:rPr>
            </w:pPr>
            <w:r>
              <w:rPr>
                <w:rFonts w:hint="eastAsia" w:ascii="宋体" w:hAnsi="宋体" w:eastAsia="宋体"/>
              </w:rPr>
              <w:t>住宿和餐饮业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I</w:t>
            </w:r>
          </w:p>
        </w:tc>
        <w:tc>
          <w:tcPr>
            <w:tcW w:w="0" w:type="auto"/>
            <w:shd w:val="clear" w:color="auto" w:fill="auto"/>
          </w:tcPr>
          <w:p>
            <w:pPr>
              <w:rPr>
                <w:rFonts w:ascii="宋体" w:hAnsi="宋体" w:eastAsia="宋体" w:cs="宋体"/>
                <w:sz w:val="24"/>
                <w:szCs w:val="24"/>
              </w:rPr>
            </w:pPr>
            <w:r>
              <w:rPr>
                <w:rFonts w:hint="eastAsia" w:ascii="宋体" w:hAnsi="宋体" w:eastAsia="宋体"/>
              </w:rPr>
              <w:t>信息传输、软件和信息技术服务业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J</w:t>
            </w:r>
          </w:p>
        </w:tc>
        <w:tc>
          <w:tcPr>
            <w:tcW w:w="0" w:type="auto"/>
            <w:shd w:val="clear" w:color="auto" w:fill="auto"/>
          </w:tcPr>
          <w:p>
            <w:pPr>
              <w:rPr>
                <w:rFonts w:ascii="宋体" w:hAnsi="宋体" w:eastAsia="宋体" w:cs="宋体"/>
                <w:sz w:val="24"/>
                <w:szCs w:val="24"/>
              </w:rPr>
            </w:pPr>
            <w:r>
              <w:rPr>
                <w:rFonts w:hint="eastAsia" w:ascii="宋体" w:hAnsi="宋体" w:eastAsia="宋体"/>
              </w:rPr>
              <w:t>金融业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K</w:t>
            </w:r>
          </w:p>
        </w:tc>
        <w:tc>
          <w:tcPr>
            <w:tcW w:w="0" w:type="auto"/>
            <w:shd w:val="clear" w:color="auto" w:fill="auto"/>
          </w:tcPr>
          <w:p>
            <w:pPr>
              <w:rPr>
                <w:rFonts w:ascii="宋体" w:hAnsi="宋体" w:eastAsia="宋体" w:cs="宋体"/>
                <w:sz w:val="24"/>
                <w:szCs w:val="24"/>
              </w:rPr>
            </w:pPr>
            <w:r>
              <w:rPr>
                <w:rFonts w:hint="eastAsia" w:ascii="宋体" w:hAnsi="宋体" w:eastAsia="宋体"/>
              </w:rPr>
              <w:t>房地产业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L</w:t>
            </w:r>
          </w:p>
        </w:tc>
        <w:tc>
          <w:tcPr>
            <w:tcW w:w="0" w:type="auto"/>
            <w:shd w:val="clear" w:color="auto" w:fill="auto"/>
          </w:tcPr>
          <w:p>
            <w:pPr>
              <w:rPr>
                <w:rFonts w:ascii="宋体" w:hAnsi="宋体" w:eastAsia="宋体" w:cs="宋体"/>
                <w:sz w:val="24"/>
                <w:szCs w:val="24"/>
              </w:rPr>
            </w:pPr>
            <w:r>
              <w:rPr>
                <w:rFonts w:hint="eastAsia" w:ascii="宋体" w:hAnsi="宋体" w:eastAsia="宋体"/>
              </w:rPr>
              <w:t>租赁和商务服务业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M</w:t>
            </w:r>
          </w:p>
        </w:tc>
        <w:tc>
          <w:tcPr>
            <w:tcW w:w="0" w:type="auto"/>
            <w:shd w:val="clear" w:color="auto" w:fill="auto"/>
          </w:tcPr>
          <w:p>
            <w:pPr>
              <w:rPr>
                <w:rFonts w:ascii="宋体" w:hAnsi="宋体" w:eastAsia="宋体" w:cs="宋体"/>
                <w:sz w:val="24"/>
                <w:szCs w:val="24"/>
              </w:rPr>
            </w:pPr>
            <w:r>
              <w:rPr>
                <w:rFonts w:hint="eastAsia" w:ascii="宋体" w:hAnsi="宋体" w:eastAsia="宋体"/>
              </w:rPr>
              <w:t>科学研究和技术服务业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N</w:t>
            </w:r>
          </w:p>
        </w:tc>
        <w:tc>
          <w:tcPr>
            <w:tcW w:w="0" w:type="auto"/>
            <w:shd w:val="clear" w:color="auto" w:fill="auto"/>
          </w:tcPr>
          <w:p>
            <w:pPr>
              <w:rPr>
                <w:rFonts w:ascii="宋体" w:hAnsi="宋体" w:eastAsia="宋体" w:cs="宋体"/>
                <w:sz w:val="24"/>
                <w:szCs w:val="24"/>
              </w:rPr>
            </w:pPr>
            <w:r>
              <w:rPr>
                <w:rFonts w:hint="eastAsia" w:ascii="宋体" w:hAnsi="宋体" w:eastAsia="宋体"/>
              </w:rPr>
              <w:t>水利、环境和公共设施管理业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O</w:t>
            </w:r>
          </w:p>
        </w:tc>
        <w:tc>
          <w:tcPr>
            <w:tcW w:w="0" w:type="auto"/>
            <w:shd w:val="clear" w:color="auto" w:fill="auto"/>
          </w:tcPr>
          <w:p>
            <w:pPr>
              <w:rPr>
                <w:rFonts w:ascii="宋体" w:hAnsi="宋体" w:eastAsia="宋体" w:cs="宋体"/>
                <w:sz w:val="24"/>
                <w:szCs w:val="24"/>
              </w:rPr>
            </w:pPr>
            <w:r>
              <w:rPr>
                <w:rFonts w:hint="eastAsia" w:ascii="宋体" w:hAnsi="宋体" w:eastAsia="宋体"/>
              </w:rPr>
              <w:t>居民服务、修理和其他服务业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P</w:t>
            </w:r>
          </w:p>
        </w:tc>
        <w:tc>
          <w:tcPr>
            <w:tcW w:w="0" w:type="auto"/>
            <w:shd w:val="clear" w:color="auto" w:fill="auto"/>
          </w:tcPr>
          <w:p>
            <w:pPr>
              <w:rPr>
                <w:rFonts w:ascii="宋体" w:hAnsi="宋体" w:eastAsia="宋体" w:cs="宋体"/>
                <w:sz w:val="24"/>
                <w:szCs w:val="24"/>
              </w:rPr>
            </w:pPr>
            <w:r>
              <w:rPr>
                <w:rFonts w:hint="eastAsia" w:ascii="宋体" w:hAnsi="宋体" w:eastAsia="宋体"/>
              </w:rPr>
              <w:t>教育</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Q</w:t>
            </w:r>
          </w:p>
        </w:tc>
        <w:tc>
          <w:tcPr>
            <w:tcW w:w="0" w:type="auto"/>
            <w:shd w:val="clear" w:color="auto" w:fill="auto"/>
          </w:tcPr>
          <w:p>
            <w:pPr>
              <w:rPr>
                <w:rFonts w:ascii="宋体" w:hAnsi="宋体" w:eastAsia="宋体" w:cs="宋体"/>
                <w:sz w:val="24"/>
                <w:szCs w:val="24"/>
              </w:rPr>
            </w:pPr>
            <w:r>
              <w:rPr>
                <w:rFonts w:hint="eastAsia" w:ascii="宋体" w:hAnsi="宋体" w:eastAsia="宋体"/>
              </w:rPr>
              <w:t>卫生和社会工作</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R</w:t>
            </w:r>
          </w:p>
        </w:tc>
        <w:tc>
          <w:tcPr>
            <w:tcW w:w="0" w:type="auto"/>
            <w:shd w:val="clear" w:color="auto" w:fill="auto"/>
          </w:tcPr>
          <w:p>
            <w:pPr>
              <w:rPr>
                <w:rFonts w:ascii="宋体" w:hAnsi="宋体" w:eastAsia="宋体" w:cs="宋体"/>
                <w:sz w:val="24"/>
                <w:szCs w:val="24"/>
              </w:rPr>
            </w:pPr>
            <w:r>
              <w:rPr>
                <w:rFonts w:hint="eastAsia" w:ascii="宋体" w:hAnsi="宋体" w:eastAsia="宋体"/>
              </w:rPr>
              <w:t>文化、体育和娱乐业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S</w:t>
            </w:r>
          </w:p>
        </w:tc>
        <w:tc>
          <w:tcPr>
            <w:tcW w:w="0" w:type="auto"/>
            <w:shd w:val="clear" w:color="auto" w:fill="auto"/>
          </w:tcPr>
          <w:p>
            <w:pPr>
              <w:rPr>
                <w:rFonts w:ascii="宋体" w:hAnsi="宋体" w:eastAsia="宋体" w:cs="宋体"/>
                <w:sz w:val="24"/>
                <w:szCs w:val="24"/>
              </w:rPr>
            </w:pPr>
            <w:r>
              <w:rPr>
                <w:rFonts w:hint="eastAsia" w:ascii="宋体" w:hAnsi="宋体" w:eastAsia="宋体"/>
              </w:rPr>
              <w:t>综合</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p>
        </w:tc>
        <w:tc>
          <w:tcPr>
            <w:tcW w:w="0" w:type="auto"/>
            <w:shd w:val="clear" w:color="auto" w:fill="auto"/>
          </w:tcPr>
          <w:p>
            <w:pPr>
              <w:rPr>
                <w:rFonts w:ascii="宋体" w:hAnsi="宋体" w:eastAsia="宋体" w:cs="宋体"/>
                <w:sz w:val="24"/>
                <w:szCs w:val="24"/>
              </w:rPr>
            </w:pPr>
            <w:r>
              <w:rPr>
                <w:rFonts w:hint="eastAsia" w:ascii="宋体" w:hAnsi="宋体" w:eastAsia="宋体"/>
              </w:rPr>
              <w:t>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22,853,300.40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94.41</w:t>
            </w:r>
          </w:p>
        </w:tc>
      </w:tr>
    </w:tbl>
    <w:p>
      <w:pPr>
        <w:pStyle w:val="9"/>
        <w:spacing w:before="0" w:beforeAutospacing="0" w:after="0" w:afterAutospacing="0" w:line="360" w:lineRule="auto"/>
        <w:ind w:firstLine="420"/>
        <w:rPr>
          <w:sz w:val="21"/>
          <w:szCs w:val="21"/>
        </w:rPr>
      </w:pPr>
      <w:r>
        <w:rPr>
          <w:rStyle w:val="14"/>
          <w:rFonts w:hint="eastAsia"/>
          <w:sz w:val="21"/>
          <w:szCs w:val="21"/>
        </w:rPr>
        <w:t>3报告期末按公允价值占基金资产净值比例大小排序的前十名股票投资明细</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152"/>
        <w:gridCol w:w="1152"/>
        <w:gridCol w:w="1152"/>
        <w:gridCol w:w="161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股票代码</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股票名称</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数量(股)</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公允价值(元)</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601899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紫金矿业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218,700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2,652,831.00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002466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天齐锂业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26,000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1,428,180.00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600111</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北方稀土</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63,700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1,388,023.00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603799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华友钴业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34,200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1,282,842.00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002460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赣锋锂业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28,400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1,266,640.00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6</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601600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中国铝业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199,500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1,252,860.00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600547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山东黄金</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45,500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1,142,505.00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8</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603993</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洛阳钼业</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177,800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1,050,798.00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600489</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中金黄金</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73,200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800,808.00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10</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000807</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云铝股份</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52,300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789,730.00</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3.26</w:t>
            </w:r>
          </w:p>
        </w:tc>
      </w:tr>
    </w:tbl>
    <w:p>
      <w:pPr>
        <w:pStyle w:val="9"/>
        <w:spacing w:before="0" w:beforeAutospacing="0" w:after="0" w:afterAutospacing="0" w:line="360" w:lineRule="auto"/>
        <w:ind w:firstLine="420"/>
        <w:rPr>
          <w:sz w:val="21"/>
          <w:szCs w:val="21"/>
        </w:rPr>
      </w:pPr>
      <w:r>
        <w:rPr>
          <w:rStyle w:val="14"/>
          <w:rFonts w:hint="eastAsia"/>
          <w:sz w:val="21"/>
          <w:szCs w:val="21"/>
        </w:rPr>
        <w:t>4报告期末按债券品种分类的债券投资组合</w:t>
      </w:r>
    </w:p>
    <w:p>
      <w:pPr>
        <w:pStyle w:val="9"/>
        <w:spacing w:before="0" w:beforeAutospacing="0" w:after="0" w:afterAutospacing="0" w:line="360" w:lineRule="auto"/>
        <w:ind w:firstLine="420"/>
        <w:rPr>
          <w:sz w:val="21"/>
          <w:szCs w:val="21"/>
        </w:rPr>
      </w:pPr>
      <w:r>
        <w:rPr>
          <w:rFonts w:hint="eastAsia"/>
          <w:sz w:val="21"/>
          <w:szCs w:val="21"/>
        </w:rPr>
        <w:t>本基金本报告期末未持有债券。</w:t>
      </w:r>
    </w:p>
    <w:p>
      <w:pPr>
        <w:pStyle w:val="9"/>
        <w:spacing w:before="0" w:beforeAutospacing="0" w:after="0" w:afterAutospacing="0" w:line="360" w:lineRule="auto"/>
        <w:ind w:firstLine="420"/>
        <w:rPr>
          <w:sz w:val="21"/>
          <w:szCs w:val="21"/>
        </w:rPr>
      </w:pPr>
      <w:r>
        <w:rPr>
          <w:rStyle w:val="14"/>
          <w:rFonts w:hint="eastAsia"/>
          <w:sz w:val="21"/>
          <w:szCs w:val="21"/>
        </w:rPr>
        <w:t>5报告期末按公允价值占基金资产净值比例大小排序的前五名债券投资明细</w:t>
      </w:r>
    </w:p>
    <w:p>
      <w:pPr>
        <w:pStyle w:val="9"/>
        <w:spacing w:before="0" w:beforeAutospacing="0" w:after="0" w:afterAutospacing="0" w:line="360" w:lineRule="auto"/>
        <w:ind w:firstLine="420"/>
        <w:rPr>
          <w:sz w:val="21"/>
          <w:szCs w:val="21"/>
        </w:rPr>
      </w:pPr>
      <w:r>
        <w:rPr>
          <w:rFonts w:hint="eastAsia"/>
          <w:sz w:val="21"/>
          <w:szCs w:val="21"/>
        </w:rPr>
        <w:t>本基金本报告期末未持有债券。</w:t>
      </w:r>
    </w:p>
    <w:p>
      <w:pPr>
        <w:pStyle w:val="9"/>
        <w:spacing w:before="0" w:beforeAutospacing="0" w:after="0" w:afterAutospacing="0" w:line="360" w:lineRule="auto"/>
        <w:ind w:firstLine="420"/>
        <w:rPr>
          <w:sz w:val="21"/>
          <w:szCs w:val="21"/>
        </w:rPr>
      </w:pPr>
      <w:r>
        <w:rPr>
          <w:rStyle w:val="14"/>
          <w:rFonts w:hint="eastAsia"/>
          <w:sz w:val="21"/>
          <w:szCs w:val="21"/>
        </w:rPr>
        <w:t>6报告期末按公允价值占基金资产净值比例大小排序的前十名资产支持证券投资明细</w:t>
      </w:r>
    </w:p>
    <w:p>
      <w:pPr>
        <w:pStyle w:val="9"/>
        <w:spacing w:before="0" w:beforeAutospacing="0" w:after="0" w:afterAutospacing="0" w:line="360" w:lineRule="auto"/>
        <w:ind w:firstLine="420"/>
        <w:rPr>
          <w:sz w:val="21"/>
          <w:szCs w:val="21"/>
        </w:rPr>
      </w:pPr>
      <w:r>
        <w:rPr>
          <w:rFonts w:hint="eastAsia"/>
          <w:sz w:val="21"/>
          <w:szCs w:val="21"/>
        </w:rPr>
        <w:t>本基金本报告期末未持有资产支持证券。</w:t>
      </w:r>
    </w:p>
    <w:p>
      <w:pPr>
        <w:pStyle w:val="9"/>
        <w:spacing w:before="0" w:beforeAutospacing="0" w:after="0" w:afterAutospacing="0" w:line="360" w:lineRule="auto"/>
        <w:ind w:firstLine="420"/>
        <w:rPr>
          <w:sz w:val="21"/>
          <w:szCs w:val="21"/>
        </w:rPr>
      </w:pPr>
      <w:r>
        <w:rPr>
          <w:rStyle w:val="14"/>
          <w:rFonts w:hint="eastAsia"/>
          <w:sz w:val="21"/>
          <w:szCs w:val="21"/>
        </w:rPr>
        <w:t>7报告期末按公允价值占基金资产净值比例大小排序的前五名贵金属投资明细</w:t>
      </w:r>
    </w:p>
    <w:p>
      <w:pPr>
        <w:pStyle w:val="9"/>
        <w:spacing w:before="0" w:beforeAutospacing="0" w:after="0" w:afterAutospacing="0" w:line="360" w:lineRule="auto"/>
        <w:ind w:firstLine="420"/>
        <w:rPr>
          <w:sz w:val="21"/>
          <w:szCs w:val="21"/>
        </w:rPr>
      </w:pPr>
      <w:r>
        <w:rPr>
          <w:rFonts w:hint="eastAsia"/>
          <w:sz w:val="21"/>
          <w:szCs w:val="21"/>
        </w:rPr>
        <w:t>本基金本报告期末未持有贵金属。</w:t>
      </w:r>
    </w:p>
    <w:p>
      <w:pPr>
        <w:pStyle w:val="9"/>
        <w:spacing w:before="0" w:beforeAutospacing="0" w:after="0" w:afterAutospacing="0" w:line="360" w:lineRule="auto"/>
        <w:ind w:firstLine="420"/>
        <w:rPr>
          <w:sz w:val="21"/>
          <w:szCs w:val="21"/>
        </w:rPr>
      </w:pPr>
      <w:r>
        <w:rPr>
          <w:rStyle w:val="14"/>
          <w:rFonts w:hint="eastAsia"/>
          <w:sz w:val="21"/>
          <w:szCs w:val="21"/>
        </w:rPr>
        <w:t>8报告期末按公允价值占基金资产净值比例大小排序的前五名权证投资明细</w:t>
      </w:r>
    </w:p>
    <w:p>
      <w:pPr>
        <w:pStyle w:val="9"/>
        <w:spacing w:before="0" w:beforeAutospacing="0" w:after="0" w:afterAutospacing="0" w:line="360" w:lineRule="auto"/>
        <w:ind w:firstLine="420"/>
        <w:rPr>
          <w:sz w:val="21"/>
          <w:szCs w:val="21"/>
        </w:rPr>
      </w:pPr>
      <w:r>
        <w:rPr>
          <w:rFonts w:hint="eastAsia"/>
          <w:sz w:val="21"/>
          <w:szCs w:val="21"/>
        </w:rPr>
        <w:t>本基金本报告期末未持有权证。</w:t>
      </w:r>
    </w:p>
    <w:p>
      <w:pPr>
        <w:pStyle w:val="9"/>
        <w:spacing w:before="0" w:beforeAutospacing="0" w:after="0" w:afterAutospacing="0" w:line="360" w:lineRule="auto"/>
        <w:ind w:firstLine="420"/>
        <w:rPr>
          <w:sz w:val="21"/>
          <w:szCs w:val="21"/>
        </w:rPr>
      </w:pPr>
      <w:r>
        <w:rPr>
          <w:rStyle w:val="14"/>
          <w:rFonts w:hint="eastAsia"/>
          <w:sz w:val="21"/>
          <w:szCs w:val="21"/>
        </w:rPr>
        <w:t>9报告期末本基金投资的股指期货交易情况说明</w:t>
      </w:r>
    </w:p>
    <w:p>
      <w:pPr>
        <w:pStyle w:val="9"/>
        <w:spacing w:before="0" w:beforeAutospacing="0" w:after="0" w:afterAutospacing="0" w:line="360" w:lineRule="auto"/>
        <w:ind w:firstLine="420"/>
        <w:rPr>
          <w:sz w:val="21"/>
          <w:szCs w:val="21"/>
        </w:rPr>
      </w:pPr>
      <w:r>
        <w:rPr>
          <w:rStyle w:val="14"/>
          <w:rFonts w:hint="eastAsia"/>
          <w:sz w:val="21"/>
          <w:szCs w:val="21"/>
        </w:rPr>
        <w:t>9.1报告期末本基金投资的股指期货持仓和损益明细</w:t>
      </w:r>
    </w:p>
    <w:p>
      <w:pPr>
        <w:pStyle w:val="9"/>
        <w:spacing w:before="0" w:beforeAutospacing="0" w:after="0" w:afterAutospacing="0" w:line="360" w:lineRule="auto"/>
        <w:ind w:firstLine="420"/>
        <w:rPr>
          <w:sz w:val="21"/>
          <w:szCs w:val="21"/>
        </w:rPr>
      </w:pPr>
      <w:r>
        <w:rPr>
          <w:rFonts w:hint="eastAsia"/>
          <w:sz w:val="21"/>
          <w:szCs w:val="21"/>
        </w:rPr>
        <w:t>本基金本报告期末未持有股指期货。</w:t>
      </w:r>
    </w:p>
    <w:p>
      <w:pPr>
        <w:pStyle w:val="9"/>
        <w:spacing w:before="0" w:beforeAutospacing="0" w:after="0" w:afterAutospacing="0" w:line="360" w:lineRule="auto"/>
        <w:ind w:firstLine="420"/>
        <w:rPr>
          <w:sz w:val="21"/>
          <w:szCs w:val="21"/>
        </w:rPr>
      </w:pPr>
      <w:r>
        <w:rPr>
          <w:rStyle w:val="14"/>
          <w:rFonts w:hint="eastAsia"/>
          <w:sz w:val="21"/>
          <w:szCs w:val="21"/>
        </w:rPr>
        <w:t>9.2本基金投资股指期货的投资政策</w:t>
      </w:r>
    </w:p>
    <w:p>
      <w:pPr>
        <w:pStyle w:val="9"/>
        <w:spacing w:before="0" w:beforeAutospacing="0" w:after="0" w:afterAutospacing="0" w:line="360" w:lineRule="auto"/>
        <w:ind w:firstLine="420"/>
        <w:rPr>
          <w:sz w:val="21"/>
          <w:szCs w:val="21"/>
        </w:rPr>
      </w:pPr>
      <w:r>
        <w:rPr>
          <w:rFonts w:hint="eastAsia"/>
          <w:sz w:val="21"/>
          <w:szCs w:val="21"/>
        </w:rPr>
        <w:t>本基金本报告期末未持有股指期货。</w:t>
      </w:r>
    </w:p>
    <w:p>
      <w:pPr>
        <w:pStyle w:val="9"/>
        <w:spacing w:before="0" w:beforeAutospacing="0" w:after="0" w:afterAutospacing="0" w:line="360" w:lineRule="auto"/>
        <w:ind w:firstLine="420"/>
        <w:rPr>
          <w:sz w:val="21"/>
          <w:szCs w:val="21"/>
        </w:rPr>
      </w:pPr>
      <w:r>
        <w:rPr>
          <w:rStyle w:val="14"/>
          <w:rFonts w:hint="eastAsia"/>
          <w:sz w:val="21"/>
          <w:szCs w:val="21"/>
        </w:rPr>
        <w:t>10报告期末本基金投资的国债期货交易情况说明</w:t>
      </w:r>
    </w:p>
    <w:p>
      <w:pPr>
        <w:pStyle w:val="9"/>
        <w:spacing w:before="0" w:beforeAutospacing="0" w:after="0" w:afterAutospacing="0" w:line="360" w:lineRule="auto"/>
        <w:ind w:firstLine="420"/>
        <w:rPr>
          <w:sz w:val="21"/>
          <w:szCs w:val="21"/>
        </w:rPr>
      </w:pPr>
      <w:r>
        <w:rPr>
          <w:rStyle w:val="14"/>
          <w:rFonts w:hint="eastAsia"/>
          <w:sz w:val="21"/>
          <w:szCs w:val="21"/>
        </w:rPr>
        <w:t>10.1本期国债期货投资政策</w:t>
      </w:r>
    </w:p>
    <w:p>
      <w:pPr>
        <w:pStyle w:val="9"/>
        <w:spacing w:before="0" w:beforeAutospacing="0" w:after="0" w:afterAutospacing="0" w:line="360" w:lineRule="auto"/>
        <w:ind w:firstLine="420"/>
        <w:rPr>
          <w:sz w:val="21"/>
          <w:szCs w:val="21"/>
        </w:rPr>
      </w:pPr>
      <w:r>
        <w:rPr>
          <w:rFonts w:hint="eastAsia"/>
          <w:sz w:val="21"/>
          <w:szCs w:val="21"/>
        </w:rPr>
        <w:t>本基金本报告期末未持有国债期货。</w:t>
      </w:r>
    </w:p>
    <w:p>
      <w:pPr>
        <w:pStyle w:val="9"/>
        <w:spacing w:before="0" w:beforeAutospacing="0" w:after="0" w:afterAutospacing="0" w:line="360" w:lineRule="auto"/>
        <w:ind w:firstLine="420"/>
        <w:rPr>
          <w:sz w:val="21"/>
          <w:szCs w:val="21"/>
        </w:rPr>
      </w:pPr>
      <w:r>
        <w:rPr>
          <w:rStyle w:val="14"/>
          <w:rFonts w:hint="eastAsia"/>
          <w:sz w:val="21"/>
          <w:szCs w:val="21"/>
        </w:rPr>
        <w:t>10.2报告期末本基金投资的国债期货持仓和损益明细</w:t>
      </w:r>
    </w:p>
    <w:p>
      <w:pPr>
        <w:pStyle w:val="9"/>
        <w:spacing w:before="0" w:beforeAutospacing="0" w:after="0" w:afterAutospacing="0" w:line="360" w:lineRule="auto"/>
        <w:ind w:firstLine="420"/>
        <w:rPr>
          <w:sz w:val="21"/>
          <w:szCs w:val="21"/>
        </w:rPr>
      </w:pPr>
      <w:r>
        <w:rPr>
          <w:rFonts w:hint="eastAsia"/>
          <w:sz w:val="21"/>
          <w:szCs w:val="21"/>
        </w:rPr>
        <w:t>本基金本报告期末未持有国债期货。</w:t>
      </w:r>
    </w:p>
    <w:p>
      <w:pPr>
        <w:pStyle w:val="9"/>
        <w:spacing w:before="0" w:beforeAutospacing="0" w:after="0" w:afterAutospacing="0" w:line="360" w:lineRule="auto"/>
        <w:ind w:firstLine="420"/>
        <w:rPr>
          <w:sz w:val="21"/>
          <w:szCs w:val="21"/>
        </w:rPr>
      </w:pPr>
      <w:r>
        <w:rPr>
          <w:rStyle w:val="14"/>
          <w:rFonts w:hint="eastAsia"/>
          <w:sz w:val="21"/>
          <w:szCs w:val="21"/>
        </w:rPr>
        <w:t>11投资组合报告附注</w:t>
      </w:r>
    </w:p>
    <w:p>
      <w:pPr>
        <w:pStyle w:val="9"/>
        <w:spacing w:before="0" w:beforeAutospacing="0" w:after="0" w:afterAutospacing="0" w:line="360" w:lineRule="auto"/>
        <w:ind w:firstLine="420"/>
        <w:rPr>
          <w:sz w:val="21"/>
          <w:szCs w:val="21"/>
        </w:rPr>
      </w:pPr>
      <w:r>
        <w:rPr>
          <w:rStyle w:val="14"/>
          <w:rFonts w:hint="eastAsia"/>
          <w:sz w:val="21"/>
          <w:szCs w:val="21"/>
        </w:rPr>
        <w:t>11.1基金投资前十名证券的发行主体被监管部门立案调查或编制日前一年内受到公开谴责、处罚的投资决策程序说明</w:t>
      </w:r>
    </w:p>
    <w:p>
      <w:pPr>
        <w:pStyle w:val="9"/>
        <w:spacing w:before="0" w:beforeAutospacing="0" w:after="0" w:afterAutospacing="0" w:line="360" w:lineRule="auto"/>
        <w:ind w:firstLine="420"/>
        <w:rPr>
          <w:sz w:val="21"/>
          <w:szCs w:val="21"/>
        </w:rPr>
      </w:pPr>
      <w:r>
        <w:rPr>
          <w:rFonts w:hint="eastAsia"/>
          <w:sz w:val="21"/>
          <w:szCs w:val="21"/>
        </w:rPr>
        <w:t>本基金投资的前十名证券的发行主体中，江西赣锋锂业集团股份有限公司在报告编制前一年受到中国证监会的处罚。本基金对上述证券的投资决策程序符合相关法规及公司制度的要求。</w:t>
      </w:r>
    </w:p>
    <w:p>
      <w:pPr>
        <w:pStyle w:val="9"/>
        <w:spacing w:before="0" w:beforeAutospacing="0" w:after="0" w:afterAutospacing="0" w:line="360" w:lineRule="auto"/>
        <w:ind w:firstLine="420"/>
        <w:rPr>
          <w:sz w:val="21"/>
          <w:szCs w:val="21"/>
        </w:rPr>
      </w:pPr>
      <w:r>
        <w:rPr>
          <w:rFonts w:hint="eastAsia"/>
          <w:sz w:val="21"/>
          <w:szCs w:val="21"/>
        </w:rPr>
        <w:t>除上述主体外，基金管理人未发现本基金投资的前十名证券发行主体出现本期被监管部门立案调查，或在报告编制日前一年受到公开谴责、处罚的情形。</w:t>
      </w:r>
    </w:p>
    <w:p>
      <w:pPr>
        <w:pStyle w:val="9"/>
        <w:spacing w:before="0" w:beforeAutospacing="0" w:after="0" w:afterAutospacing="0" w:line="360" w:lineRule="auto"/>
        <w:ind w:firstLine="420"/>
        <w:rPr>
          <w:sz w:val="21"/>
          <w:szCs w:val="21"/>
        </w:rPr>
      </w:pPr>
      <w:r>
        <w:rPr>
          <w:rStyle w:val="14"/>
          <w:rFonts w:hint="eastAsia"/>
          <w:sz w:val="21"/>
          <w:szCs w:val="21"/>
        </w:rPr>
        <w:t>11.2报告期内基金投资的前十名股票中，没有投资超出基金合同规定备选股票库之外的股票。</w:t>
      </w:r>
    </w:p>
    <w:p>
      <w:pPr>
        <w:pStyle w:val="9"/>
        <w:spacing w:before="0" w:beforeAutospacing="0" w:after="0" w:afterAutospacing="0" w:line="360" w:lineRule="auto"/>
        <w:ind w:firstLine="420"/>
        <w:rPr>
          <w:sz w:val="21"/>
          <w:szCs w:val="21"/>
        </w:rPr>
      </w:pPr>
      <w:r>
        <w:rPr>
          <w:rStyle w:val="14"/>
          <w:rFonts w:hint="eastAsia"/>
          <w:sz w:val="21"/>
          <w:szCs w:val="21"/>
        </w:rPr>
        <w:t>11.3其他资产构成</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4002"/>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序号</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名称</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1</w:t>
            </w:r>
          </w:p>
        </w:tc>
        <w:tc>
          <w:tcPr>
            <w:tcW w:w="0" w:type="auto"/>
            <w:shd w:val="clear" w:color="auto" w:fill="auto"/>
          </w:tcPr>
          <w:p>
            <w:pPr>
              <w:rPr>
                <w:rFonts w:ascii="宋体" w:hAnsi="宋体" w:eastAsia="宋体" w:cs="宋体"/>
                <w:sz w:val="24"/>
                <w:szCs w:val="24"/>
              </w:rPr>
            </w:pPr>
            <w:r>
              <w:rPr>
                <w:rFonts w:hint="eastAsia" w:ascii="宋体" w:hAnsi="宋体" w:eastAsia="宋体"/>
              </w:rPr>
              <w:t>存出保证金</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77,408.54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2</w:t>
            </w:r>
          </w:p>
        </w:tc>
        <w:tc>
          <w:tcPr>
            <w:tcW w:w="0" w:type="auto"/>
            <w:shd w:val="clear" w:color="auto" w:fill="auto"/>
          </w:tcPr>
          <w:p>
            <w:pPr>
              <w:rPr>
                <w:rFonts w:ascii="宋体" w:hAnsi="宋体" w:eastAsia="宋体" w:cs="宋体"/>
                <w:sz w:val="24"/>
                <w:szCs w:val="24"/>
              </w:rPr>
            </w:pPr>
            <w:r>
              <w:rPr>
                <w:rFonts w:hint="eastAsia" w:ascii="宋体" w:hAnsi="宋体" w:eastAsia="宋体"/>
              </w:rPr>
              <w:t>应收证券清算款</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3</w:t>
            </w:r>
          </w:p>
        </w:tc>
        <w:tc>
          <w:tcPr>
            <w:tcW w:w="0" w:type="auto"/>
            <w:shd w:val="clear" w:color="auto" w:fill="auto"/>
          </w:tcPr>
          <w:p>
            <w:pPr>
              <w:rPr>
                <w:rFonts w:ascii="宋体" w:hAnsi="宋体" w:eastAsia="宋体" w:cs="宋体"/>
                <w:sz w:val="24"/>
                <w:szCs w:val="24"/>
              </w:rPr>
            </w:pPr>
            <w:r>
              <w:rPr>
                <w:rFonts w:hint="eastAsia" w:ascii="宋体" w:hAnsi="宋体" w:eastAsia="宋体"/>
              </w:rPr>
              <w:t>应收股利</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4</w:t>
            </w:r>
          </w:p>
        </w:tc>
        <w:tc>
          <w:tcPr>
            <w:tcW w:w="0" w:type="auto"/>
            <w:shd w:val="clear" w:color="auto" w:fill="auto"/>
          </w:tcPr>
          <w:p>
            <w:pPr>
              <w:rPr>
                <w:rFonts w:ascii="宋体" w:hAnsi="宋体" w:eastAsia="宋体" w:cs="宋体"/>
                <w:sz w:val="24"/>
                <w:szCs w:val="24"/>
              </w:rPr>
            </w:pPr>
            <w:r>
              <w:rPr>
                <w:rFonts w:hint="eastAsia" w:ascii="宋体" w:hAnsi="宋体" w:eastAsia="宋体"/>
              </w:rPr>
              <w:t>应收利息</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5</w:t>
            </w:r>
          </w:p>
        </w:tc>
        <w:tc>
          <w:tcPr>
            <w:tcW w:w="0" w:type="auto"/>
            <w:shd w:val="clear" w:color="auto" w:fill="auto"/>
          </w:tcPr>
          <w:p>
            <w:pPr>
              <w:rPr>
                <w:rFonts w:ascii="宋体" w:hAnsi="宋体" w:eastAsia="宋体" w:cs="宋体"/>
                <w:sz w:val="24"/>
                <w:szCs w:val="24"/>
              </w:rPr>
            </w:pPr>
            <w:r>
              <w:rPr>
                <w:rFonts w:hint="eastAsia" w:ascii="宋体" w:hAnsi="宋体" w:eastAsia="宋体"/>
              </w:rPr>
              <w:t>应收申购款</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103,863.79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6</w:t>
            </w:r>
          </w:p>
        </w:tc>
        <w:tc>
          <w:tcPr>
            <w:tcW w:w="0" w:type="auto"/>
            <w:shd w:val="clear" w:color="auto" w:fill="auto"/>
          </w:tcPr>
          <w:p>
            <w:pPr>
              <w:rPr>
                <w:rFonts w:ascii="宋体" w:hAnsi="宋体" w:eastAsia="宋体" w:cs="宋体"/>
                <w:sz w:val="24"/>
                <w:szCs w:val="24"/>
              </w:rPr>
            </w:pPr>
            <w:r>
              <w:rPr>
                <w:rFonts w:hint="eastAsia" w:ascii="宋体" w:hAnsi="宋体" w:eastAsia="宋体"/>
              </w:rPr>
              <w:t>其他应收款</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7</w:t>
            </w:r>
          </w:p>
        </w:tc>
        <w:tc>
          <w:tcPr>
            <w:tcW w:w="0" w:type="auto"/>
            <w:shd w:val="clear" w:color="auto" w:fill="auto"/>
          </w:tcPr>
          <w:p>
            <w:pPr>
              <w:rPr>
                <w:rFonts w:ascii="宋体" w:hAnsi="宋体" w:eastAsia="宋体" w:cs="宋体"/>
                <w:sz w:val="24"/>
                <w:szCs w:val="24"/>
              </w:rPr>
            </w:pPr>
            <w:r>
              <w:rPr>
                <w:rFonts w:hint="eastAsia" w:ascii="宋体" w:hAnsi="宋体" w:eastAsia="宋体"/>
              </w:rPr>
              <w:t>待摊费用</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8</w:t>
            </w:r>
          </w:p>
        </w:tc>
        <w:tc>
          <w:tcPr>
            <w:tcW w:w="0" w:type="auto"/>
            <w:shd w:val="clear" w:color="auto" w:fill="auto"/>
          </w:tcPr>
          <w:p>
            <w:pPr>
              <w:rPr>
                <w:rFonts w:ascii="宋体" w:hAnsi="宋体" w:eastAsia="宋体" w:cs="宋体"/>
                <w:sz w:val="24"/>
                <w:szCs w:val="24"/>
              </w:rPr>
            </w:pPr>
            <w:r>
              <w:rPr>
                <w:rFonts w:hint="eastAsia" w:ascii="宋体" w:hAnsi="宋体" w:eastAsia="宋体"/>
              </w:rPr>
              <w:t>其他</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9</w:t>
            </w:r>
          </w:p>
        </w:tc>
        <w:tc>
          <w:tcPr>
            <w:tcW w:w="0" w:type="auto"/>
            <w:shd w:val="clear" w:color="auto" w:fill="auto"/>
          </w:tcPr>
          <w:p>
            <w:pPr>
              <w:rPr>
                <w:rFonts w:ascii="宋体" w:hAnsi="宋体" w:eastAsia="宋体" w:cs="宋体"/>
                <w:sz w:val="24"/>
                <w:szCs w:val="24"/>
              </w:rPr>
            </w:pPr>
            <w:r>
              <w:rPr>
                <w:rFonts w:hint="eastAsia" w:ascii="宋体" w:hAnsi="宋体" w:eastAsia="宋体"/>
              </w:rPr>
              <w:t>合计</w:t>
            </w:r>
          </w:p>
        </w:tc>
        <w:tc>
          <w:tcPr>
            <w:tcW w:w="0" w:type="auto"/>
            <w:shd w:val="clear" w:color="auto" w:fill="auto"/>
          </w:tcPr>
          <w:p>
            <w:pPr>
              <w:jc w:val="right"/>
              <w:rPr>
                <w:rFonts w:ascii="宋体" w:hAnsi="宋体" w:eastAsia="宋体" w:cs="宋体"/>
                <w:sz w:val="24"/>
                <w:szCs w:val="24"/>
              </w:rPr>
            </w:pPr>
            <w:r>
              <w:rPr>
                <w:rFonts w:hint="eastAsia" w:ascii="宋体" w:hAnsi="宋体" w:eastAsia="宋体"/>
              </w:rPr>
              <w:t>181,272.33</w:t>
            </w:r>
          </w:p>
        </w:tc>
      </w:tr>
    </w:tbl>
    <w:p>
      <w:pPr>
        <w:pStyle w:val="9"/>
        <w:spacing w:before="0" w:beforeAutospacing="0" w:after="0" w:afterAutospacing="0" w:line="360" w:lineRule="auto"/>
        <w:ind w:firstLine="420"/>
        <w:rPr>
          <w:sz w:val="21"/>
          <w:szCs w:val="21"/>
        </w:rPr>
      </w:pPr>
      <w:r>
        <w:rPr>
          <w:rStyle w:val="14"/>
          <w:rFonts w:hint="eastAsia"/>
          <w:sz w:val="21"/>
          <w:szCs w:val="21"/>
        </w:rPr>
        <w:t>11.4报告期末持有的处于转股期的可转换债券明细</w:t>
      </w:r>
    </w:p>
    <w:p>
      <w:pPr>
        <w:pStyle w:val="9"/>
        <w:spacing w:before="0" w:beforeAutospacing="0" w:after="0" w:afterAutospacing="0" w:line="360" w:lineRule="auto"/>
        <w:ind w:firstLine="420"/>
        <w:rPr>
          <w:sz w:val="21"/>
          <w:szCs w:val="21"/>
        </w:rPr>
      </w:pPr>
      <w:r>
        <w:rPr>
          <w:rFonts w:hint="eastAsia"/>
          <w:sz w:val="21"/>
          <w:szCs w:val="21"/>
        </w:rPr>
        <w:t>本基金本报告期末未持有处于转股期的可转换债券。</w:t>
      </w:r>
    </w:p>
    <w:p>
      <w:pPr>
        <w:pStyle w:val="9"/>
        <w:spacing w:before="0" w:beforeAutospacing="0" w:after="0" w:afterAutospacing="0" w:line="360" w:lineRule="auto"/>
        <w:ind w:firstLine="420"/>
        <w:rPr>
          <w:sz w:val="21"/>
          <w:szCs w:val="21"/>
        </w:rPr>
      </w:pPr>
      <w:r>
        <w:rPr>
          <w:rStyle w:val="14"/>
          <w:rFonts w:hint="eastAsia"/>
          <w:sz w:val="21"/>
          <w:szCs w:val="21"/>
        </w:rPr>
        <w:t>11.5报告期末前十名股票中存在流通受限情况的说明</w:t>
      </w:r>
    </w:p>
    <w:p>
      <w:pPr>
        <w:pStyle w:val="9"/>
        <w:spacing w:before="0" w:beforeAutospacing="0" w:after="0" w:afterAutospacing="0" w:line="360" w:lineRule="auto"/>
        <w:ind w:firstLine="420"/>
        <w:rPr>
          <w:sz w:val="21"/>
          <w:szCs w:val="21"/>
        </w:rPr>
      </w:pPr>
      <w:r>
        <w:rPr>
          <w:rFonts w:hint="eastAsia"/>
          <w:sz w:val="21"/>
          <w:szCs w:val="21"/>
        </w:rPr>
        <w:t>本基金本报告期末前十名股票中不存在流通受限情况。</w:t>
      </w:r>
    </w:p>
    <w:p>
      <w:pPr>
        <w:pStyle w:val="9"/>
        <w:spacing w:before="0" w:beforeAutospacing="0" w:after="0" w:afterAutospacing="0" w:line="360" w:lineRule="auto"/>
        <w:ind w:firstLine="420"/>
        <w:rPr>
          <w:sz w:val="21"/>
          <w:szCs w:val="21"/>
        </w:rPr>
      </w:pPr>
      <w:r>
        <w:rPr>
          <w:rStyle w:val="14"/>
          <w:rFonts w:hint="eastAsia"/>
          <w:sz w:val="21"/>
          <w:szCs w:val="21"/>
        </w:rPr>
        <w:t>11.6投资组合报告附注的其他文字描述部分</w:t>
      </w:r>
    </w:p>
    <w:p>
      <w:pPr>
        <w:pStyle w:val="9"/>
        <w:spacing w:before="0" w:beforeAutospacing="0" w:after="0" w:afterAutospacing="0" w:line="360" w:lineRule="auto"/>
        <w:ind w:firstLine="420"/>
        <w:rPr>
          <w:sz w:val="21"/>
          <w:szCs w:val="21"/>
        </w:rPr>
      </w:pPr>
      <w:bookmarkStart w:id="121" w:name="chapter_level1_11_60_section_2_end"/>
      <w:bookmarkEnd w:id="121"/>
      <w:r>
        <w:rPr>
          <w:rFonts w:hint="eastAsia"/>
          <w:sz w:val="21"/>
          <w:szCs w:val="21"/>
        </w:rPr>
        <w:t>由于四舍五入的原因，分项之和与合计项之间可能存在尾差。</w:t>
      </w:r>
      <w:bookmarkStart w:id="122" w:name="field_0_fundportfolio_1_end"/>
      <w:bookmarkEnd w:id="12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3" w:name="chapter_level1_12_3500"/>
      <w:bookmarkStart w:id="124" w:name="_Toc151126548"/>
      <w:r>
        <w:rPr>
          <w:rFonts w:hint="eastAsia" w:ascii="宋体" w:hAnsi="宋体" w:eastAsia="宋体"/>
          <w:sz w:val="30"/>
        </w:rPr>
        <w:t>第九部分 基金的业绩</w:t>
      </w:r>
      <w:bookmarkEnd w:id="123"/>
      <w:bookmarkEnd w:id="124"/>
    </w:p>
    <w:p>
      <w:pPr>
        <w:pStyle w:val="9"/>
        <w:spacing w:before="0" w:beforeAutospacing="0" w:after="0" w:afterAutospacing="0" w:line="360" w:lineRule="auto"/>
        <w:ind w:firstLine="420"/>
        <w:rPr>
          <w:sz w:val="21"/>
          <w:szCs w:val="21"/>
        </w:rPr>
      </w:pPr>
      <w:bookmarkStart w:id="125" w:name="chapter_level1_12_3500_section_1"/>
      <w:bookmarkEnd w:id="125"/>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9"/>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9"/>
        <w:spacing w:before="0" w:beforeAutospacing="0" w:after="0" w:afterAutospacing="0" w:line="360" w:lineRule="auto"/>
        <w:ind w:firstLine="420"/>
        <w:rPr>
          <w:sz w:val="21"/>
          <w:szCs w:val="21"/>
        </w:rPr>
      </w:pPr>
      <w:bookmarkStart w:id="126" w:name="field_0_indatatable_1_start"/>
      <w:bookmarkEnd w:id="126"/>
      <w:r>
        <w:rPr>
          <w:rFonts w:hint="eastAsia"/>
          <w:sz w:val="21"/>
          <w:szCs w:val="21"/>
        </w:rPr>
        <w:t xml:space="preserve">博时中证有色金属矿业主题指数A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985"/>
        <w:gridCol w:w="1042"/>
        <w:gridCol w:w="1252"/>
        <w:gridCol w:w="1228"/>
        <w:gridCol w:w="741"/>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2023.05.16-2023.09.30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-8.90%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-0.08% </w:t>
            </w:r>
          </w:p>
        </w:tc>
      </w:tr>
    </w:tbl>
    <w:p>
      <w:pPr>
        <w:pStyle w:val="9"/>
        <w:spacing w:before="0" w:beforeAutospacing="0" w:after="0" w:afterAutospacing="0" w:line="360" w:lineRule="auto"/>
        <w:ind w:firstLine="420"/>
        <w:rPr>
          <w:sz w:val="21"/>
          <w:szCs w:val="21"/>
        </w:rPr>
      </w:pPr>
      <w:r>
        <w:rPr>
          <w:rFonts w:hint="eastAsia"/>
          <w:sz w:val="21"/>
          <w:szCs w:val="21"/>
        </w:rPr>
        <w:t xml:space="preserve">博时中证有色金属矿业主题指数C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985"/>
        <w:gridCol w:w="1042"/>
        <w:gridCol w:w="1252"/>
        <w:gridCol w:w="1228"/>
        <w:gridCol w:w="741"/>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2023.05.16-2023.09.30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-9.01%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-0.08% </w:t>
            </w:r>
          </w:p>
        </w:tc>
      </w:tr>
    </w:tbl>
    <w:p>
      <w:pPr>
        <w:pStyle w:val="9"/>
        <w:spacing w:before="0" w:beforeAutospacing="0" w:after="0" w:afterAutospacing="0" w:line="360" w:lineRule="auto"/>
        <w:ind w:firstLine="420"/>
        <w:rPr>
          <w:sz w:val="21"/>
          <w:szCs w:val="21"/>
        </w:rPr>
      </w:pPr>
      <w:bookmarkStart w:id="127" w:name="chapter_level1_12_3500_section_1_end"/>
      <w:bookmarkEnd w:id="127"/>
      <w:bookmarkStart w:id="128" w:name="field_0_indatatable_1_end"/>
      <w:bookmarkEnd w:id="128"/>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9" w:name="_Toc151126549"/>
      <w:bookmarkStart w:id="130" w:name="chapter_level1_13_62"/>
      <w:r>
        <w:rPr>
          <w:rFonts w:hint="eastAsia" w:ascii="宋体" w:hAnsi="宋体" w:eastAsia="宋体"/>
          <w:sz w:val="30"/>
        </w:rPr>
        <w:t>第十部分  基金的财产</w:t>
      </w:r>
      <w:bookmarkEnd w:id="129"/>
      <w:bookmarkEnd w:id="130"/>
    </w:p>
    <w:p>
      <w:pPr>
        <w:pStyle w:val="9"/>
        <w:spacing w:before="0" w:beforeAutospacing="0" w:after="0" w:afterAutospacing="0" w:line="360" w:lineRule="auto"/>
        <w:ind w:firstLine="420"/>
        <w:rPr>
          <w:sz w:val="21"/>
          <w:szCs w:val="21"/>
        </w:rPr>
      </w:pPr>
      <w:bookmarkStart w:id="131" w:name="chapter_level1_13_62_section_1"/>
      <w:bookmarkEnd w:id="131"/>
      <w:r>
        <w:rPr>
          <w:rStyle w:val="14"/>
          <w:rFonts w:hint="eastAsia"/>
          <w:sz w:val="21"/>
          <w:szCs w:val="21"/>
        </w:rPr>
        <w:t>一、基金资产总值</w:t>
      </w:r>
    </w:p>
    <w:p>
      <w:pPr>
        <w:pStyle w:val="9"/>
        <w:spacing w:before="0" w:beforeAutospacing="0" w:after="0" w:afterAutospacing="0" w:line="360" w:lineRule="auto"/>
        <w:ind w:firstLine="420"/>
        <w:rPr>
          <w:sz w:val="21"/>
          <w:szCs w:val="21"/>
        </w:rPr>
      </w:pPr>
      <w:r>
        <w:rPr>
          <w:rFonts w:hint="eastAsia"/>
          <w:sz w:val="21"/>
          <w:szCs w:val="21"/>
        </w:rPr>
        <w:t>基金资产总值是指基金拥有的各类有价证券、银行存款本息、基金应收款项及其他资产的价值总和。</w:t>
      </w:r>
    </w:p>
    <w:p>
      <w:pPr>
        <w:pStyle w:val="9"/>
        <w:spacing w:before="0" w:beforeAutospacing="0" w:after="0" w:afterAutospacing="0" w:line="360" w:lineRule="auto"/>
        <w:ind w:firstLine="420"/>
        <w:rPr>
          <w:sz w:val="21"/>
          <w:szCs w:val="21"/>
        </w:rPr>
      </w:pPr>
      <w:r>
        <w:rPr>
          <w:rStyle w:val="14"/>
          <w:rFonts w:hint="eastAsia"/>
          <w:sz w:val="21"/>
          <w:szCs w:val="21"/>
        </w:rPr>
        <w:t>二、基金资产净值</w:t>
      </w:r>
    </w:p>
    <w:p>
      <w:pPr>
        <w:pStyle w:val="9"/>
        <w:spacing w:before="0" w:beforeAutospacing="0" w:after="0" w:afterAutospacing="0" w:line="360" w:lineRule="auto"/>
        <w:ind w:firstLine="420"/>
        <w:rPr>
          <w:sz w:val="21"/>
          <w:szCs w:val="21"/>
        </w:rPr>
      </w:pPr>
      <w:r>
        <w:rPr>
          <w:rFonts w:hint="eastAsia"/>
          <w:sz w:val="21"/>
          <w:szCs w:val="21"/>
        </w:rPr>
        <w:t>基金资产净值是指基金资产总值减去基金负债后的价值。</w:t>
      </w:r>
    </w:p>
    <w:p>
      <w:pPr>
        <w:pStyle w:val="9"/>
        <w:spacing w:before="0" w:beforeAutospacing="0" w:after="0" w:afterAutospacing="0" w:line="360" w:lineRule="auto"/>
        <w:ind w:firstLine="420"/>
        <w:rPr>
          <w:sz w:val="21"/>
          <w:szCs w:val="21"/>
        </w:rPr>
      </w:pPr>
      <w:r>
        <w:rPr>
          <w:rStyle w:val="14"/>
          <w:rFonts w:hint="eastAsia"/>
          <w:sz w:val="21"/>
          <w:szCs w:val="21"/>
        </w:rPr>
        <w:t>三、基金财产的账户</w:t>
      </w:r>
    </w:p>
    <w:p>
      <w:pPr>
        <w:pStyle w:val="9"/>
        <w:spacing w:before="0" w:beforeAutospacing="0" w:after="0" w:afterAutospacing="0" w:line="360" w:lineRule="auto"/>
        <w:ind w:firstLine="420"/>
        <w:rPr>
          <w:sz w:val="21"/>
          <w:szCs w:val="21"/>
        </w:rPr>
      </w:pPr>
      <w:r>
        <w:rPr>
          <w:rFonts w:hint="eastAsia"/>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pPr>
        <w:pStyle w:val="9"/>
        <w:spacing w:before="0" w:beforeAutospacing="0" w:after="0" w:afterAutospacing="0" w:line="360" w:lineRule="auto"/>
        <w:ind w:firstLine="420"/>
        <w:rPr>
          <w:sz w:val="21"/>
          <w:szCs w:val="21"/>
        </w:rPr>
      </w:pPr>
      <w:r>
        <w:rPr>
          <w:rStyle w:val="14"/>
          <w:rFonts w:hint="eastAsia"/>
          <w:sz w:val="21"/>
          <w:szCs w:val="21"/>
        </w:rPr>
        <w:t>四、基金财产的保管和处分</w:t>
      </w:r>
    </w:p>
    <w:p>
      <w:pPr>
        <w:pStyle w:val="9"/>
        <w:spacing w:before="0" w:beforeAutospacing="0" w:after="0" w:afterAutospacing="0" w:line="360" w:lineRule="auto"/>
        <w:ind w:firstLine="420"/>
        <w:rPr>
          <w:sz w:val="21"/>
          <w:szCs w:val="21"/>
        </w:rPr>
      </w:pPr>
      <w:r>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pStyle w:val="9"/>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32" w:name="chapter_level1_13_62_section_1_end"/>
      <w:bookmarkEnd w:id="132"/>
      <w:r>
        <w:rPr>
          <w:rFonts w:hint="eastAsia"/>
          <w:sz w:val="21"/>
          <w:szCs w:val="21"/>
        </w:rPr>
        <w:t>得相互抵销。非因基金财产本身承担的债务，不得对基金财产强制执行。</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3" w:name="chapter_level1_14_63"/>
      <w:bookmarkStart w:id="134" w:name="_Toc151126550"/>
      <w:r>
        <w:rPr>
          <w:rFonts w:hint="eastAsia" w:ascii="宋体" w:hAnsi="宋体" w:eastAsia="宋体"/>
          <w:sz w:val="30"/>
        </w:rPr>
        <w:t>第十一部分  基金资产的估值</w:t>
      </w:r>
      <w:bookmarkEnd w:id="133"/>
      <w:bookmarkEnd w:id="134"/>
    </w:p>
    <w:p>
      <w:pPr>
        <w:pStyle w:val="9"/>
        <w:spacing w:before="0" w:beforeAutospacing="0" w:after="0" w:afterAutospacing="0" w:line="360" w:lineRule="auto"/>
        <w:ind w:firstLine="420"/>
        <w:rPr>
          <w:sz w:val="21"/>
          <w:szCs w:val="21"/>
        </w:rPr>
      </w:pPr>
      <w:bookmarkStart w:id="135" w:name="chapter_level1_14_63_section_1"/>
      <w:bookmarkEnd w:id="135"/>
      <w:r>
        <w:rPr>
          <w:rStyle w:val="14"/>
          <w:rFonts w:hint="eastAsia"/>
          <w:sz w:val="21"/>
          <w:szCs w:val="21"/>
        </w:rPr>
        <w:t>一、估值日</w:t>
      </w:r>
    </w:p>
    <w:p>
      <w:pPr>
        <w:pStyle w:val="9"/>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9"/>
        <w:spacing w:before="0" w:beforeAutospacing="0" w:after="0" w:afterAutospacing="0" w:line="360" w:lineRule="auto"/>
        <w:ind w:firstLine="420"/>
        <w:rPr>
          <w:sz w:val="21"/>
          <w:szCs w:val="21"/>
        </w:rPr>
      </w:pPr>
      <w:r>
        <w:rPr>
          <w:rStyle w:val="14"/>
          <w:rFonts w:hint="eastAsia"/>
          <w:sz w:val="21"/>
          <w:szCs w:val="21"/>
        </w:rPr>
        <w:t>二、估值对象</w:t>
      </w:r>
    </w:p>
    <w:p>
      <w:pPr>
        <w:pStyle w:val="9"/>
        <w:spacing w:before="0" w:beforeAutospacing="0" w:after="0" w:afterAutospacing="0" w:line="360" w:lineRule="auto"/>
        <w:ind w:firstLine="420"/>
        <w:rPr>
          <w:sz w:val="21"/>
          <w:szCs w:val="21"/>
        </w:rPr>
      </w:pPr>
      <w:r>
        <w:rPr>
          <w:rFonts w:hint="eastAsia"/>
          <w:sz w:val="21"/>
          <w:szCs w:val="21"/>
        </w:rPr>
        <w:t xml:space="preserve">基金所拥有的股票（含存托凭证）、股指期货合约、国债期货合约、股票期权合约、债券和银行存款本息、应收款项、资产支持证券、其它投资等资产及负债。 </w:t>
      </w:r>
    </w:p>
    <w:p>
      <w:pPr>
        <w:pStyle w:val="9"/>
        <w:spacing w:before="0" w:beforeAutospacing="0" w:after="0" w:afterAutospacing="0" w:line="360" w:lineRule="auto"/>
        <w:ind w:firstLine="420"/>
        <w:rPr>
          <w:sz w:val="21"/>
          <w:szCs w:val="21"/>
        </w:rPr>
      </w:pPr>
      <w:r>
        <w:rPr>
          <w:rStyle w:val="14"/>
          <w:rFonts w:hint="eastAsia"/>
          <w:sz w:val="21"/>
          <w:szCs w:val="21"/>
        </w:rPr>
        <w:t>三、估值原则</w:t>
      </w:r>
    </w:p>
    <w:p>
      <w:pPr>
        <w:pStyle w:val="9"/>
        <w:spacing w:before="0" w:beforeAutospacing="0" w:after="0" w:afterAutospacing="0" w:line="360" w:lineRule="auto"/>
        <w:ind w:firstLine="420"/>
        <w:rPr>
          <w:sz w:val="21"/>
          <w:szCs w:val="21"/>
        </w:rPr>
      </w:pPr>
      <w:r>
        <w:rPr>
          <w:rFonts w:hint="eastAsia"/>
          <w:sz w:val="21"/>
          <w:szCs w:val="21"/>
        </w:rPr>
        <w:t xml:space="preserve">基金管理人在确定相关金融资产和金融负债的公允价值时，应符合《企业会计准则》、监管部门有关规定。 </w:t>
      </w:r>
    </w:p>
    <w:p>
      <w:pPr>
        <w:pStyle w:val="9"/>
        <w:spacing w:before="0" w:beforeAutospacing="0" w:after="0" w:afterAutospacing="0" w:line="360" w:lineRule="auto"/>
        <w:ind w:firstLine="420"/>
        <w:rPr>
          <w:sz w:val="21"/>
          <w:szCs w:val="21"/>
        </w:rPr>
      </w:pPr>
      <w:r>
        <w:rPr>
          <w:rFonts w:hint="eastAsia"/>
          <w:sz w:val="21"/>
          <w:szCs w:val="21"/>
        </w:rPr>
        <w:t xml:space="preserve">（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 </w:t>
      </w:r>
    </w:p>
    <w:p>
      <w:pPr>
        <w:pStyle w:val="9"/>
        <w:spacing w:before="0" w:beforeAutospacing="0" w:after="0" w:afterAutospacing="0" w:line="360" w:lineRule="auto"/>
        <w:ind w:firstLine="420"/>
        <w:rPr>
          <w:sz w:val="21"/>
          <w:szCs w:val="21"/>
        </w:rPr>
      </w:pPr>
      <w:r>
        <w:rPr>
          <w:rFonts w:hint="eastAsia"/>
          <w:sz w:val="21"/>
          <w:szCs w:val="21"/>
        </w:rPr>
        <w:t xml:space="preserve">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 </w:t>
      </w:r>
    </w:p>
    <w:p>
      <w:pPr>
        <w:pStyle w:val="9"/>
        <w:spacing w:before="0" w:beforeAutospacing="0" w:after="0" w:afterAutospacing="0" w:line="360" w:lineRule="auto"/>
        <w:ind w:firstLine="420"/>
        <w:rPr>
          <w:sz w:val="21"/>
          <w:szCs w:val="21"/>
        </w:rPr>
      </w:pPr>
      <w:r>
        <w:rPr>
          <w:rFonts w:hint="eastAsia"/>
          <w:sz w:val="21"/>
          <w:szCs w:val="21"/>
        </w:rPr>
        <w:t xml:space="preserve">（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 </w:t>
      </w:r>
    </w:p>
    <w:p>
      <w:pPr>
        <w:pStyle w:val="9"/>
        <w:spacing w:before="0" w:beforeAutospacing="0" w:after="0" w:afterAutospacing="0" w:line="360" w:lineRule="auto"/>
        <w:ind w:firstLine="420"/>
        <w:rPr>
          <w:sz w:val="21"/>
          <w:szCs w:val="21"/>
        </w:rPr>
      </w:pPr>
      <w:r>
        <w:rPr>
          <w:rFonts w:hint="eastAsia"/>
          <w:sz w:val="21"/>
          <w:szCs w:val="21"/>
        </w:rPr>
        <w:t xml:space="preserve">（三）如经济环境发生重大变化或证券发行人发生影响证券价格的重大事件，使潜在估值调整对前一估值日的基金资产净值的影响在0.25%以上的，应对估值进行调整并确定公允价值。 </w:t>
      </w:r>
    </w:p>
    <w:p>
      <w:pPr>
        <w:pStyle w:val="9"/>
        <w:spacing w:before="0" w:beforeAutospacing="0" w:after="0" w:afterAutospacing="0" w:line="360" w:lineRule="auto"/>
        <w:ind w:firstLine="420"/>
        <w:rPr>
          <w:sz w:val="21"/>
          <w:szCs w:val="21"/>
        </w:rPr>
      </w:pPr>
      <w:r>
        <w:rPr>
          <w:rStyle w:val="14"/>
          <w:rFonts w:hint="eastAsia"/>
          <w:sz w:val="21"/>
          <w:szCs w:val="21"/>
        </w:rPr>
        <w:t>四、估值方法</w:t>
      </w:r>
    </w:p>
    <w:p>
      <w:pPr>
        <w:pStyle w:val="9"/>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9"/>
        <w:spacing w:before="0" w:beforeAutospacing="0" w:after="0" w:afterAutospacing="0" w:line="360" w:lineRule="auto"/>
        <w:ind w:firstLine="420"/>
        <w:rPr>
          <w:sz w:val="21"/>
          <w:szCs w:val="21"/>
        </w:rPr>
      </w:pPr>
      <w:r>
        <w:rPr>
          <w:rFonts w:hint="eastAsia"/>
          <w:sz w:val="21"/>
          <w:szCs w:val="21"/>
        </w:rPr>
        <w:t xml:space="preserve">（1）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9"/>
        <w:spacing w:before="0" w:beforeAutospacing="0" w:after="0" w:afterAutospacing="0" w:line="360" w:lineRule="auto"/>
        <w:ind w:firstLine="420"/>
        <w:rPr>
          <w:sz w:val="21"/>
          <w:szCs w:val="21"/>
        </w:rPr>
      </w:pPr>
      <w:r>
        <w:rPr>
          <w:rFonts w:hint="eastAsia"/>
          <w:sz w:val="21"/>
          <w:szCs w:val="21"/>
        </w:rPr>
        <w:t xml:space="preserve">（2）交易所市场上市交易或挂牌转让的固定收益品种（本合同另有约定的除外），选取估值日第三方估值机构提供的相应品种对应的估值净价估值，具体估值机构由基金管理人与基金托管人共同确定； </w:t>
      </w:r>
    </w:p>
    <w:p>
      <w:pPr>
        <w:pStyle w:val="9"/>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 </w:t>
      </w:r>
    </w:p>
    <w:p>
      <w:pPr>
        <w:pStyle w:val="9"/>
        <w:spacing w:before="0" w:beforeAutospacing="0" w:after="0" w:afterAutospacing="0" w:line="360" w:lineRule="auto"/>
        <w:ind w:firstLine="420"/>
        <w:rPr>
          <w:sz w:val="21"/>
          <w:szCs w:val="21"/>
        </w:rPr>
      </w:pPr>
      <w:r>
        <w:rPr>
          <w:rFonts w:hint="eastAsia"/>
          <w:sz w:val="21"/>
          <w:szCs w:val="21"/>
        </w:rPr>
        <w:t xml:space="preserve">交易所上市实行全价交易的固定收益品种（可转换债券除外），选取第三方估值机构提供的估值全价减去估值全价中所含的固定收益品种（税后）应收利息得到的净价进行估值； </w:t>
      </w:r>
    </w:p>
    <w:p>
      <w:pPr>
        <w:pStyle w:val="9"/>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 </w:t>
      </w:r>
    </w:p>
    <w:p>
      <w:pPr>
        <w:pStyle w:val="9"/>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9"/>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9"/>
        <w:spacing w:before="0" w:beforeAutospacing="0" w:after="0" w:afterAutospacing="0" w:line="360" w:lineRule="auto"/>
        <w:ind w:firstLine="420"/>
        <w:rPr>
          <w:sz w:val="21"/>
          <w:szCs w:val="21"/>
        </w:rPr>
      </w:pPr>
      <w:r>
        <w:rPr>
          <w:rFonts w:hint="eastAsia"/>
          <w:sz w:val="21"/>
          <w:szCs w:val="21"/>
        </w:rPr>
        <w:t xml:space="preserve">（2）首次公开发行未上市的股票、债券，采用估值技术确定公允价值，在估值技术难以可靠计量公允价值的情况下，按成本估值； </w:t>
      </w:r>
    </w:p>
    <w:p>
      <w:pPr>
        <w:pStyle w:val="9"/>
        <w:spacing w:before="0" w:beforeAutospacing="0" w:after="0" w:afterAutospacing="0" w:line="360" w:lineRule="auto"/>
        <w:ind w:firstLine="420"/>
        <w:rPr>
          <w:sz w:val="21"/>
          <w:szCs w:val="21"/>
        </w:rPr>
      </w:pPr>
      <w:r>
        <w:rPr>
          <w:rFonts w:hint="eastAsia"/>
          <w:sz w:val="21"/>
          <w:szCs w:val="21"/>
        </w:rPr>
        <w:t xml:space="preserve">（3）流通受限的股票，指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9"/>
        <w:spacing w:before="0" w:beforeAutospacing="0" w:after="0" w:afterAutospacing="0" w:line="360" w:lineRule="auto"/>
        <w:ind w:firstLine="420"/>
        <w:rPr>
          <w:sz w:val="21"/>
          <w:szCs w:val="21"/>
        </w:rPr>
      </w:pPr>
      <w:r>
        <w:rPr>
          <w:rFonts w:hint="eastAsia"/>
          <w:sz w:val="21"/>
          <w:szCs w:val="21"/>
        </w:rPr>
        <w:t xml:space="preserve">3、本基金投资存托凭证的估值核算，依照境内上市交易的股票执行。 </w:t>
      </w:r>
    </w:p>
    <w:p>
      <w:pPr>
        <w:pStyle w:val="9"/>
        <w:spacing w:before="0" w:beforeAutospacing="0" w:after="0" w:afterAutospacing="0" w:line="360" w:lineRule="auto"/>
        <w:ind w:firstLine="420"/>
        <w:rPr>
          <w:sz w:val="21"/>
          <w:szCs w:val="21"/>
        </w:rPr>
      </w:pPr>
      <w:r>
        <w:rPr>
          <w:rFonts w:hint="eastAsia"/>
          <w:sz w:val="21"/>
          <w:szCs w:val="21"/>
        </w:rPr>
        <w:t xml:space="preserve">4、银行间的有价证券的估值 </w:t>
      </w:r>
    </w:p>
    <w:p>
      <w:pPr>
        <w:pStyle w:val="9"/>
        <w:spacing w:before="0" w:beforeAutospacing="0" w:after="0" w:afterAutospacing="0" w:line="360" w:lineRule="auto"/>
        <w:ind w:firstLine="420"/>
        <w:rPr>
          <w:sz w:val="21"/>
          <w:szCs w:val="21"/>
        </w:rPr>
      </w:pPr>
      <w:r>
        <w:rPr>
          <w:rFonts w:hint="eastAsia"/>
          <w:sz w:val="21"/>
          <w:szCs w:val="21"/>
        </w:rPr>
        <w:t xml:space="preserve">（1）对银行间市场上不含权的固定收益品种，按照第三方估值机构提供的相应品种当日的估值净价确定公允价值； </w:t>
      </w:r>
    </w:p>
    <w:p>
      <w:pPr>
        <w:pStyle w:val="9"/>
        <w:spacing w:before="0" w:beforeAutospacing="0" w:after="0" w:afterAutospacing="0" w:line="360" w:lineRule="auto"/>
        <w:ind w:firstLine="420"/>
        <w:rPr>
          <w:sz w:val="21"/>
          <w:szCs w:val="21"/>
        </w:rPr>
      </w:pPr>
      <w:r>
        <w:rPr>
          <w:rFonts w:hint="eastAsia"/>
          <w:sz w:val="21"/>
          <w:szCs w:val="21"/>
        </w:rPr>
        <w:t xml:space="preserve">（2）对银行间市场上含权的固定收益品种，按照第三方估值机构提供的相应品种当日的唯一估值净价或推荐估值净价确定公允价值。对于含投资人回售权的固定收益品种，回售登记期截止日（含当日）后未行使回售权的按照长待偿期所对应的价格进行估值； </w:t>
      </w:r>
    </w:p>
    <w:p>
      <w:pPr>
        <w:pStyle w:val="9"/>
        <w:spacing w:before="0" w:beforeAutospacing="0" w:after="0" w:afterAutospacing="0" w:line="360" w:lineRule="auto"/>
        <w:ind w:firstLine="420"/>
        <w:rPr>
          <w:sz w:val="21"/>
          <w:szCs w:val="21"/>
        </w:rPr>
      </w:pPr>
      <w:r>
        <w:rPr>
          <w:rFonts w:hint="eastAsia"/>
          <w:sz w:val="21"/>
          <w:szCs w:val="21"/>
        </w:rPr>
        <w:t xml:space="preserve">（3）对银行间市场未上市，且第三方估值机构未提供估值价格的债券，在发行利率与二级市场利率不存在明显差异、未上市期间市场利率没有发生大的变动的情况下，按成本估值。 </w:t>
      </w:r>
    </w:p>
    <w:p>
      <w:pPr>
        <w:pStyle w:val="9"/>
        <w:spacing w:before="0" w:beforeAutospacing="0" w:after="0" w:afterAutospacing="0" w:line="360" w:lineRule="auto"/>
        <w:ind w:firstLine="420"/>
        <w:rPr>
          <w:sz w:val="21"/>
          <w:szCs w:val="21"/>
        </w:rPr>
      </w:pPr>
      <w:r>
        <w:rPr>
          <w:rFonts w:hint="eastAsia"/>
          <w:sz w:val="21"/>
          <w:szCs w:val="21"/>
        </w:rPr>
        <w:t xml:space="preserve">5、资产支持证券的估值 </w:t>
      </w:r>
    </w:p>
    <w:p>
      <w:pPr>
        <w:pStyle w:val="9"/>
        <w:spacing w:before="0" w:beforeAutospacing="0" w:after="0" w:afterAutospacing="0" w:line="360" w:lineRule="auto"/>
        <w:ind w:firstLine="420"/>
        <w:rPr>
          <w:sz w:val="21"/>
          <w:szCs w:val="21"/>
        </w:rPr>
      </w:pPr>
      <w:r>
        <w:rPr>
          <w:rFonts w:hint="eastAsia"/>
          <w:sz w:val="21"/>
          <w:szCs w:val="21"/>
        </w:rPr>
        <w:t xml:space="preserve">（1）交易所上市的资产支持证券，采用估值技术确定公允价值，在估值技术难以可靠计量公允价值的情况下，按成本估值。 </w:t>
      </w:r>
    </w:p>
    <w:p>
      <w:pPr>
        <w:pStyle w:val="9"/>
        <w:spacing w:before="0" w:beforeAutospacing="0" w:after="0" w:afterAutospacing="0" w:line="360" w:lineRule="auto"/>
        <w:ind w:firstLine="420"/>
        <w:rPr>
          <w:sz w:val="21"/>
          <w:szCs w:val="21"/>
        </w:rPr>
      </w:pPr>
      <w:r>
        <w:rPr>
          <w:rFonts w:hint="eastAsia"/>
          <w:sz w:val="21"/>
          <w:szCs w:val="21"/>
        </w:rPr>
        <w:t xml:space="preserve">（2）对全国银行间市场上的资产支持证券，按照第三方估值机构提供的相应品种当日的估值净价确定公允价值。 </w:t>
      </w:r>
    </w:p>
    <w:p>
      <w:pPr>
        <w:pStyle w:val="9"/>
        <w:spacing w:before="0" w:beforeAutospacing="0" w:after="0" w:afterAutospacing="0" w:line="360" w:lineRule="auto"/>
        <w:ind w:firstLine="420"/>
        <w:rPr>
          <w:sz w:val="21"/>
          <w:szCs w:val="21"/>
        </w:rPr>
      </w:pPr>
      <w:r>
        <w:rPr>
          <w:rFonts w:hint="eastAsia"/>
          <w:sz w:val="21"/>
          <w:szCs w:val="21"/>
        </w:rPr>
        <w:t xml:space="preserve">6、同一证券同时在两个或两个以上市场交易的，按证券所处的市场分别估值。 </w:t>
      </w:r>
    </w:p>
    <w:p>
      <w:pPr>
        <w:pStyle w:val="9"/>
        <w:spacing w:before="0" w:beforeAutospacing="0" w:after="0" w:afterAutospacing="0" w:line="360" w:lineRule="auto"/>
        <w:ind w:firstLine="420"/>
        <w:rPr>
          <w:sz w:val="21"/>
          <w:szCs w:val="21"/>
        </w:rPr>
      </w:pPr>
      <w:r>
        <w:rPr>
          <w:rFonts w:hint="eastAsia"/>
          <w:sz w:val="21"/>
          <w:szCs w:val="21"/>
        </w:rPr>
        <w:t xml:space="preserve">7、本基金投资股指期货合约、国债期货合约，一般以估值当日结算价进行估值，估值当日无结算价的，且最近交易日后经济环境未发生重大变化的，采用最近交易日结算价估值。 </w:t>
      </w:r>
    </w:p>
    <w:p>
      <w:pPr>
        <w:pStyle w:val="9"/>
        <w:spacing w:before="0" w:beforeAutospacing="0" w:after="0" w:afterAutospacing="0" w:line="360" w:lineRule="auto"/>
        <w:ind w:firstLine="420"/>
        <w:rPr>
          <w:sz w:val="21"/>
          <w:szCs w:val="21"/>
        </w:rPr>
      </w:pPr>
      <w:r>
        <w:rPr>
          <w:rFonts w:hint="eastAsia"/>
          <w:sz w:val="21"/>
          <w:szCs w:val="21"/>
        </w:rPr>
        <w:t xml:space="preserve">8、本基金投资股票期权，根据相关法律法规以及监管部门的规定估值。 </w:t>
      </w:r>
    </w:p>
    <w:p>
      <w:pPr>
        <w:pStyle w:val="9"/>
        <w:spacing w:before="0" w:beforeAutospacing="0" w:after="0" w:afterAutospacing="0" w:line="360" w:lineRule="auto"/>
        <w:ind w:firstLine="420"/>
        <w:rPr>
          <w:sz w:val="21"/>
          <w:szCs w:val="21"/>
        </w:rPr>
      </w:pPr>
      <w:r>
        <w:rPr>
          <w:rFonts w:hint="eastAsia"/>
          <w:sz w:val="21"/>
          <w:szCs w:val="21"/>
        </w:rPr>
        <w:t xml:space="preserve">9、本基金参与融资及转融通证券出借业务的，应参照行业协会的相关规定进行估值，确保估值的公允性。 </w:t>
      </w:r>
    </w:p>
    <w:p>
      <w:pPr>
        <w:pStyle w:val="9"/>
        <w:spacing w:before="0" w:beforeAutospacing="0" w:after="0" w:afterAutospacing="0" w:line="360" w:lineRule="auto"/>
        <w:ind w:firstLine="420"/>
        <w:rPr>
          <w:sz w:val="21"/>
          <w:szCs w:val="21"/>
        </w:rPr>
      </w:pPr>
      <w:r>
        <w:rPr>
          <w:rFonts w:hint="eastAsia"/>
          <w:sz w:val="21"/>
          <w:szCs w:val="21"/>
        </w:rPr>
        <w:t xml:space="preserve">10、汇率 </w:t>
      </w:r>
    </w:p>
    <w:p>
      <w:pPr>
        <w:pStyle w:val="9"/>
        <w:spacing w:before="0" w:beforeAutospacing="0" w:after="0" w:afterAutospacing="0" w:line="360" w:lineRule="auto"/>
        <w:ind w:firstLine="420"/>
        <w:rPr>
          <w:sz w:val="21"/>
          <w:szCs w:val="21"/>
        </w:rPr>
      </w:pPr>
      <w:r>
        <w:rPr>
          <w:rFonts w:hint="eastAsia"/>
          <w:sz w:val="21"/>
          <w:szCs w:val="21"/>
        </w:rPr>
        <w:t xml:space="preserve">本基金外币资产价值计算中，涉及主要货币对人民币汇率的，应当以基金估值日中国人民银行或其授权机构公布的人民币汇率中间价为准。 </w:t>
      </w:r>
    </w:p>
    <w:p>
      <w:pPr>
        <w:pStyle w:val="9"/>
        <w:spacing w:before="0" w:beforeAutospacing="0" w:after="0" w:afterAutospacing="0" w:line="360" w:lineRule="auto"/>
        <w:ind w:firstLine="420"/>
        <w:rPr>
          <w:sz w:val="21"/>
          <w:szCs w:val="21"/>
        </w:rPr>
      </w:pPr>
      <w:r>
        <w:rPr>
          <w:rFonts w:hint="eastAsia"/>
          <w:sz w:val="21"/>
          <w:szCs w:val="21"/>
        </w:rPr>
        <w:t xml:space="preserve">11、如有确凿证据表明按上述方法进行估值不能客观反映其公允价值的，基金管理人可根据具体情况与基金托管人商定后，按最能反映公允价值的价格估值。 </w:t>
      </w:r>
    </w:p>
    <w:p>
      <w:pPr>
        <w:pStyle w:val="9"/>
        <w:spacing w:before="0" w:beforeAutospacing="0" w:after="0" w:afterAutospacing="0" w:line="360" w:lineRule="auto"/>
        <w:ind w:firstLine="420"/>
        <w:rPr>
          <w:sz w:val="21"/>
          <w:szCs w:val="21"/>
        </w:rPr>
      </w:pPr>
      <w:r>
        <w:rPr>
          <w:rFonts w:hint="eastAsia"/>
          <w:sz w:val="21"/>
          <w:szCs w:val="21"/>
        </w:rPr>
        <w:t xml:space="preserve">12、当发生大额申购或赎回情形时，基金管理人可以采用摆动定价机制，以确保基金估值的公平性。具体处理原则与操作规范遵循相关法律法规以及监管部门、自律规则的规定。 </w:t>
      </w:r>
    </w:p>
    <w:p>
      <w:pPr>
        <w:pStyle w:val="9"/>
        <w:spacing w:before="0" w:beforeAutospacing="0" w:after="0" w:afterAutospacing="0" w:line="360" w:lineRule="auto"/>
        <w:ind w:firstLine="420"/>
        <w:rPr>
          <w:sz w:val="21"/>
          <w:szCs w:val="21"/>
        </w:rPr>
      </w:pPr>
      <w:r>
        <w:rPr>
          <w:rFonts w:hint="eastAsia"/>
          <w:sz w:val="21"/>
          <w:szCs w:val="21"/>
        </w:rPr>
        <w:t xml:space="preserve">13、相关法律法规以及监管部门有强制规定的，从其规定。如有新增事项，按国家最新规定估值。 </w:t>
      </w:r>
    </w:p>
    <w:p>
      <w:pPr>
        <w:pStyle w:val="9"/>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9"/>
        <w:spacing w:before="0" w:beforeAutospacing="0" w:after="0" w:afterAutospacing="0" w:line="360" w:lineRule="auto"/>
        <w:ind w:firstLine="420"/>
        <w:rPr>
          <w:sz w:val="21"/>
          <w:szCs w:val="21"/>
        </w:rPr>
      </w:pPr>
      <w:r>
        <w:rPr>
          <w:rFonts w:hint="eastAsia"/>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w:t>
      </w:r>
      <w:bookmarkStart w:id="136" w:name="chapter_level1_14_63_section_1_end"/>
      <w:bookmarkEnd w:id="136"/>
      <w:r>
        <w:rPr>
          <w:rFonts w:hint="eastAsia"/>
          <w:sz w:val="21"/>
          <w:szCs w:val="21"/>
        </w:rPr>
        <w:t xml:space="preserve">对外予以公布。 </w:t>
      </w:r>
    </w:p>
    <w:p>
      <w:pPr>
        <w:pStyle w:val="9"/>
        <w:spacing w:before="0" w:beforeAutospacing="0" w:after="0" w:afterAutospacing="0" w:line="360" w:lineRule="auto"/>
        <w:ind w:firstLine="420"/>
        <w:rPr>
          <w:sz w:val="21"/>
          <w:szCs w:val="21"/>
        </w:rPr>
      </w:pPr>
      <w:bookmarkStart w:id="137" w:name="chapter_level1_14_63_section_2"/>
      <w:bookmarkEnd w:id="137"/>
      <w:r>
        <w:rPr>
          <w:rStyle w:val="14"/>
          <w:rFonts w:hint="eastAsia"/>
          <w:sz w:val="21"/>
          <w:szCs w:val="21"/>
        </w:rPr>
        <w:t>五、估值程序</w:t>
      </w:r>
    </w:p>
    <w:p>
      <w:pPr>
        <w:pStyle w:val="9"/>
        <w:spacing w:before="0" w:beforeAutospacing="0" w:after="0" w:afterAutospacing="0" w:line="360" w:lineRule="auto"/>
        <w:ind w:firstLine="420"/>
        <w:rPr>
          <w:sz w:val="21"/>
          <w:szCs w:val="21"/>
        </w:rPr>
      </w:pPr>
      <w:r>
        <w:rPr>
          <w:rFonts w:hint="eastAsia"/>
          <w:sz w:val="21"/>
          <w:szCs w:val="21"/>
        </w:rPr>
        <w:t>1、各类基金份额净值是按照每个工作日闭市后，各类基金份额的基金资产净值除以当日该类基金份额的余额数量计算，均精确到</w:t>
      </w:r>
      <w:bookmarkStart w:id="138" w:name="field_63_netdecimalvalue_1"/>
      <w:r>
        <w:rPr>
          <w:sz w:val="21"/>
          <w:szCs w:val="21"/>
        </w:rPr>
        <w:t>0.0001</w:t>
      </w:r>
      <w:bookmarkEnd w:id="138"/>
      <w:r>
        <w:rPr>
          <w:rFonts w:hint="eastAsia"/>
          <w:sz w:val="21"/>
          <w:szCs w:val="21"/>
        </w:rPr>
        <w:t>元，小数点后第</w:t>
      </w:r>
      <w:bookmarkStart w:id="139" w:name="field_63_netdecimaladd1_2"/>
      <w:r>
        <w:rPr>
          <w:sz w:val="21"/>
          <w:szCs w:val="21"/>
        </w:rPr>
        <w:t>5</w:t>
      </w:r>
      <w:bookmarkEnd w:id="139"/>
      <w:r>
        <w:rPr>
          <w:rFonts w:hint="eastAsia"/>
          <w:sz w:val="21"/>
          <w:szCs w:val="21"/>
        </w:rPr>
        <w:t xml:space="preserve">位四舍五入，由此产生的误差计入基金财产。基金管理人可以设立大额赎回情形下的净值精度应急调整机制。国家另有规定的，从其规定。 </w:t>
      </w:r>
    </w:p>
    <w:p>
      <w:pPr>
        <w:pStyle w:val="9"/>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基金管理人于每个工作日计算基金资产净值及各类基金份额净值，并按规定公告。 </w:t>
      </w:r>
    </w:p>
    <w:p>
      <w:pPr>
        <w:pStyle w:val="9"/>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 </w:t>
      </w:r>
    </w:p>
    <w:p>
      <w:pPr>
        <w:pStyle w:val="9"/>
        <w:spacing w:before="0" w:beforeAutospacing="0" w:after="0" w:afterAutospacing="0" w:line="360" w:lineRule="auto"/>
        <w:ind w:firstLine="420"/>
        <w:rPr>
          <w:sz w:val="21"/>
          <w:szCs w:val="21"/>
        </w:rPr>
      </w:pPr>
      <w:r>
        <w:rPr>
          <w:rStyle w:val="14"/>
          <w:rFonts w:hint="eastAsia"/>
          <w:sz w:val="21"/>
          <w:szCs w:val="21"/>
        </w:rPr>
        <w:t>六、估值错误的处理</w:t>
      </w:r>
    </w:p>
    <w:p>
      <w:pPr>
        <w:pStyle w:val="9"/>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基金管理人和基金托管人将采取必要、适当、合理的措施确保基金资产估值的准确性、及时性。当任一类基金份额净值小数点后</w:t>
      </w:r>
      <w:bookmarkStart w:id="140" w:name="field_63_netdecimal_2"/>
      <w:r>
        <w:rPr>
          <w:sz w:val="21"/>
          <w:szCs w:val="21"/>
        </w:rPr>
        <w:t>4</w:t>
      </w:r>
      <w:bookmarkEnd w:id="140"/>
      <w:r>
        <w:rPr>
          <w:rFonts w:hint="eastAsia"/>
          <w:sz w:val="21"/>
          <w:szCs w:val="21"/>
        </w:rPr>
        <w:t>位以内(含第</w:t>
      </w:r>
      <w:bookmarkStart w:id="141" w:name="field_63_netdecimal_3"/>
      <w:r>
        <w:rPr>
          <w:sz w:val="21"/>
          <w:szCs w:val="21"/>
        </w:rPr>
        <w:t>4</w:t>
      </w:r>
      <w:bookmarkEnd w:id="141"/>
      <w:r>
        <w:rPr>
          <w:rFonts w:hint="eastAsia"/>
          <w:sz w:val="21"/>
          <w:szCs w:val="21"/>
        </w:rPr>
        <w:t xml:space="preserve">位)发生估值错误时，视为该类基金份额净值错误。 </w:t>
      </w:r>
    </w:p>
    <w:p>
      <w:pPr>
        <w:pStyle w:val="9"/>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9"/>
        <w:spacing w:before="0" w:beforeAutospacing="0" w:after="0" w:afterAutospacing="0" w:line="360" w:lineRule="auto"/>
        <w:ind w:firstLine="420"/>
        <w:rPr>
          <w:sz w:val="21"/>
          <w:szCs w:val="21"/>
        </w:rPr>
      </w:pPr>
      <w:r>
        <w:rPr>
          <w:rFonts w:hint="eastAsia"/>
          <w:sz w:val="21"/>
          <w:szCs w:val="21"/>
        </w:rPr>
        <w:t xml:space="preserve">1、估值错误类型 </w:t>
      </w:r>
    </w:p>
    <w:p>
      <w:pPr>
        <w:pStyle w:val="9"/>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9"/>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9"/>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9"/>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9"/>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9"/>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9"/>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9"/>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9"/>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9"/>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9"/>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9"/>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9"/>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9"/>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9"/>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9"/>
        <w:spacing w:before="0" w:beforeAutospacing="0" w:after="0" w:afterAutospacing="0" w:line="360" w:lineRule="auto"/>
        <w:ind w:firstLine="420"/>
        <w:rPr>
          <w:sz w:val="21"/>
          <w:szCs w:val="21"/>
        </w:rPr>
      </w:pPr>
      <w:r>
        <w:rPr>
          <w:rFonts w:hint="eastAsia"/>
          <w:sz w:val="21"/>
          <w:szCs w:val="21"/>
        </w:rPr>
        <w:t xml:space="preserve">（2）错误偏差达到该类基金份额净值的0.25%时，基金管理人应当通报基金托管人并报中国证监会备案；错误偏差达到该类基金份额净值的0.5%时，基金管理人应当公告，并报中国证监会备案。 </w:t>
      </w:r>
    </w:p>
    <w:p>
      <w:pPr>
        <w:pStyle w:val="9"/>
        <w:spacing w:before="0" w:beforeAutospacing="0" w:after="0" w:afterAutospacing="0" w:line="360" w:lineRule="auto"/>
        <w:ind w:firstLine="420"/>
        <w:rPr>
          <w:sz w:val="21"/>
          <w:szCs w:val="21"/>
        </w:rPr>
      </w:pPr>
      <w:r>
        <w:rPr>
          <w:rFonts w:hint="eastAsia"/>
          <w:sz w:val="21"/>
          <w:szCs w:val="21"/>
        </w:rPr>
        <w:t xml:space="preserve">（3）基金管理人和基金托管人由于各自技术系统设置而产生的净值计算尾差，以基金管理人计算结果为准。 </w:t>
      </w:r>
    </w:p>
    <w:p>
      <w:pPr>
        <w:pStyle w:val="9"/>
        <w:spacing w:before="0" w:beforeAutospacing="0" w:after="0" w:afterAutospacing="0" w:line="360" w:lineRule="auto"/>
        <w:ind w:firstLine="420"/>
        <w:rPr>
          <w:sz w:val="21"/>
          <w:szCs w:val="21"/>
        </w:rPr>
      </w:pPr>
      <w:r>
        <w:rPr>
          <w:rFonts w:hint="eastAsia"/>
          <w:sz w:val="21"/>
          <w:szCs w:val="21"/>
        </w:rPr>
        <w:t xml:space="preserve">（4）前述内容如法律法规或监管机关另有规定的，从其规定处理。如果行业另有通行做法，基金管理人、基金托管人应本着平等和保护基金份额持有人利益的原则进行协商。 </w:t>
      </w:r>
    </w:p>
    <w:p>
      <w:pPr>
        <w:pStyle w:val="9"/>
        <w:spacing w:before="0" w:beforeAutospacing="0" w:after="0" w:afterAutospacing="0" w:line="360" w:lineRule="auto"/>
        <w:ind w:firstLine="420"/>
        <w:rPr>
          <w:sz w:val="21"/>
          <w:szCs w:val="21"/>
        </w:rPr>
      </w:pPr>
      <w:r>
        <w:rPr>
          <w:rStyle w:val="14"/>
          <w:rFonts w:hint="eastAsia"/>
          <w:sz w:val="21"/>
          <w:szCs w:val="21"/>
        </w:rPr>
        <w:t>七、暂停估值的情形</w:t>
      </w:r>
    </w:p>
    <w:p>
      <w:pPr>
        <w:pStyle w:val="9"/>
        <w:spacing w:before="0" w:beforeAutospacing="0" w:after="0" w:afterAutospacing="0" w:line="360" w:lineRule="auto"/>
        <w:ind w:firstLine="420"/>
        <w:rPr>
          <w:sz w:val="21"/>
          <w:szCs w:val="21"/>
        </w:rPr>
      </w:pPr>
      <w:r>
        <w:rPr>
          <w:rFonts w:hint="eastAsia"/>
          <w:sz w:val="21"/>
          <w:szCs w:val="21"/>
        </w:rPr>
        <w:t xml:space="preserve">1、基金投资所涉及的证券、期货交易市场或外汇市场遇法定节假日或因其他原因暂停营业时； </w:t>
      </w:r>
    </w:p>
    <w:p>
      <w:pPr>
        <w:pStyle w:val="9"/>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9"/>
        <w:spacing w:before="0" w:beforeAutospacing="0" w:after="0" w:afterAutospacing="0" w:line="360" w:lineRule="auto"/>
        <w:ind w:firstLine="420"/>
        <w:rPr>
          <w:sz w:val="21"/>
          <w:szCs w:val="21"/>
        </w:rPr>
      </w:pPr>
      <w:r>
        <w:rPr>
          <w:rFonts w:hint="eastAsia"/>
          <w:sz w:val="21"/>
          <w:szCs w:val="21"/>
        </w:rPr>
        <w:t xml:space="preserve">3、当特定资产占前一估值日基金资产净值50%以上的，经与基金托管人协商确认后，基金管理人应当暂停估值； </w:t>
      </w:r>
    </w:p>
    <w:p>
      <w:pPr>
        <w:pStyle w:val="9"/>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9"/>
        <w:spacing w:before="0" w:beforeAutospacing="0" w:after="0" w:afterAutospacing="0" w:line="360" w:lineRule="auto"/>
        <w:ind w:firstLine="420"/>
        <w:rPr>
          <w:sz w:val="21"/>
          <w:szCs w:val="21"/>
        </w:rPr>
      </w:pPr>
      <w:r>
        <w:rPr>
          <w:rStyle w:val="14"/>
          <w:rFonts w:hint="eastAsia"/>
          <w:sz w:val="21"/>
          <w:szCs w:val="21"/>
        </w:rPr>
        <w:t>八、基金净值的确认</w:t>
      </w:r>
    </w:p>
    <w:p>
      <w:pPr>
        <w:pStyle w:val="9"/>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 </w:t>
      </w:r>
    </w:p>
    <w:p>
      <w:pPr>
        <w:pStyle w:val="9"/>
        <w:spacing w:before="0" w:beforeAutospacing="0" w:after="0" w:afterAutospacing="0" w:line="360" w:lineRule="auto"/>
        <w:ind w:firstLine="420"/>
        <w:rPr>
          <w:sz w:val="21"/>
          <w:szCs w:val="21"/>
        </w:rPr>
      </w:pPr>
      <w:r>
        <w:rPr>
          <w:rStyle w:val="14"/>
          <w:rFonts w:hint="eastAsia"/>
          <w:sz w:val="21"/>
          <w:szCs w:val="21"/>
        </w:rPr>
        <w:t>九、特殊情况的处理</w:t>
      </w:r>
    </w:p>
    <w:p>
      <w:pPr>
        <w:pStyle w:val="9"/>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1、基金管理人或基金托管人按估值方法的第11项进行估值时，所造成的误差不作为基金资产估值错误处理。 </w:t>
      </w:r>
    </w:p>
    <w:p>
      <w:pPr>
        <w:pStyle w:val="9"/>
        <w:spacing w:before="0" w:beforeAutospacing="0" w:after="0" w:afterAutospacing="0" w:line="360" w:lineRule="auto"/>
        <w:ind w:firstLine="420"/>
        <w:rPr>
          <w:sz w:val="21"/>
          <w:szCs w:val="21"/>
        </w:rPr>
      </w:pPr>
      <w:r>
        <w:rPr>
          <w:rFonts w:hint="eastAsia"/>
          <w:sz w:val="21"/>
          <w:szCs w:val="21"/>
        </w:rPr>
        <w:t xml:space="preserve">2、由于不可抗力原因，或由于证券、期货交易所或登记结算公司及存款银行等第三方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pPr>
        <w:pStyle w:val="9"/>
        <w:spacing w:before="0" w:beforeAutospacing="0" w:after="0" w:afterAutospacing="0" w:line="360" w:lineRule="auto"/>
        <w:ind w:firstLine="420"/>
        <w:rPr>
          <w:sz w:val="21"/>
          <w:szCs w:val="21"/>
        </w:rPr>
      </w:pPr>
      <w:r>
        <w:rPr>
          <w:rStyle w:val="14"/>
          <w:rFonts w:hint="eastAsia"/>
          <w:sz w:val="21"/>
          <w:szCs w:val="21"/>
        </w:rPr>
        <w:t>十、实施侧袋机制期间的基金资产估值</w:t>
      </w:r>
    </w:p>
    <w:p>
      <w:pPr>
        <w:pStyle w:val="9"/>
        <w:spacing w:before="0" w:beforeAutospacing="0" w:after="0" w:afterAutospacing="0" w:line="360" w:lineRule="auto"/>
        <w:ind w:firstLine="420"/>
        <w:rPr>
          <w:sz w:val="21"/>
          <w:szCs w:val="21"/>
        </w:rPr>
      </w:pPr>
      <w:r>
        <w:rPr>
          <w:rFonts w:hint="eastAsia"/>
          <w:sz w:val="21"/>
          <w:szCs w:val="21"/>
        </w:rPr>
        <w:t>本基金实施侧袋机制的，应根据本部分的约定对主袋账户资产进行估值并披露主袋账户</w:t>
      </w:r>
      <w:bookmarkStart w:id="142" w:name="chapter_level1_14_63_section_2_end"/>
      <w:bookmarkEnd w:id="142"/>
      <w:r>
        <w:rPr>
          <w:rFonts w:hint="eastAsia"/>
          <w:sz w:val="21"/>
          <w:szCs w:val="21"/>
        </w:rPr>
        <w:t xml:space="preserve">的基金净值信息，暂停披露侧袋账户基金净值信息。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3" w:name="_Toc151126551"/>
      <w:bookmarkStart w:id="144" w:name="chapter_level1_15_64"/>
      <w:r>
        <w:rPr>
          <w:rFonts w:hint="eastAsia" w:ascii="宋体" w:hAnsi="宋体" w:eastAsia="宋体"/>
          <w:sz w:val="30"/>
        </w:rPr>
        <w:t>第十二部分  基金的收益与分配</w:t>
      </w:r>
      <w:bookmarkEnd w:id="143"/>
      <w:bookmarkEnd w:id="144"/>
    </w:p>
    <w:p>
      <w:pPr>
        <w:pStyle w:val="9"/>
        <w:spacing w:before="0" w:beforeAutospacing="0" w:after="0" w:afterAutospacing="0" w:line="360" w:lineRule="auto"/>
        <w:ind w:firstLine="420"/>
        <w:rPr>
          <w:sz w:val="21"/>
          <w:szCs w:val="21"/>
        </w:rPr>
      </w:pPr>
      <w:bookmarkStart w:id="145" w:name="chapter_level1_15_64_section_1"/>
      <w:bookmarkEnd w:id="145"/>
      <w:r>
        <w:rPr>
          <w:rStyle w:val="14"/>
          <w:rFonts w:hint="eastAsia"/>
          <w:sz w:val="21"/>
          <w:szCs w:val="21"/>
        </w:rPr>
        <w:t>一、基金利润的构成</w:t>
      </w:r>
    </w:p>
    <w:p>
      <w:pPr>
        <w:pStyle w:val="9"/>
        <w:spacing w:before="0" w:beforeAutospacing="0" w:after="0" w:afterAutospacing="0" w:line="360" w:lineRule="auto"/>
        <w:ind w:firstLine="420"/>
        <w:rPr>
          <w:sz w:val="21"/>
          <w:szCs w:val="21"/>
        </w:rPr>
      </w:pPr>
      <w:r>
        <w:rPr>
          <w:rFonts w:hint="eastAsia"/>
          <w:sz w:val="21"/>
          <w:szCs w:val="21"/>
        </w:rPr>
        <w:t>基金利润指基金利息收入、投资收益、公允价值变动收益和其他收入扣除相关费用后的余额，基金已实现收益指基金利润减去公允价值变动收益后的余额。</w:t>
      </w:r>
    </w:p>
    <w:p>
      <w:pPr>
        <w:pStyle w:val="9"/>
        <w:spacing w:before="0" w:beforeAutospacing="0" w:after="0" w:afterAutospacing="0" w:line="360" w:lineRule="auto"/>
        <w:ind w:firstLine="420"/>
        <w:rPr>
          <w:sz w:val="21"/>
          <w:szCs w:val="21"/>
        </w:rPr>
      </w:pPr>
      <w:r>
        <w:rPr>
          <w:rStyle w:val="14"/>
          <w:rFonts w:hint="eastAsia"/>
          <w:sz w:val="21"/>
          <w:szCs w:val="21"/>
        </w:rPr>
        <w:t>二、基金可供分配利润</w:t>
      </w:r>
    </w:p>
    <w:p>
      <w:pPr>
        <w:pStyle w:val="9"/>
        <w:spacing w:before="0" w:beforeAutospacing="0" w:after="0" w:afterAutospacing="0" w:line="360" w:lineRule="auto"/>
        <w:ind w:firstLine="420"/>
        <w:rPr>
          <w:sz w:val="21"/>
          <w:szCs w:val="21"/>
        </w:rPr>
      </w:pPr>
      <w:r>
        <w:rPr>
          <w:rFonts w:hint="eastAsia"/>
          <w:sz w:val="21"/>
          <w:szCs w:val="21"/>
        </w:rPr>
        <w:t>基金可供分配利润指截至收益分配基准日基金未分配利润与未分配利润中已实现收益的孰低数。</w:t>
      </w:r>
    </w:p>
    <w:p>
      <w:pPr>
        <w:pStyle w:val="9"/>
        <w:spacing w:before="0" w:beforeAutospacing="0" w:after="0" w:afterAutospacing="0" w:line="360" w:lineRule="auto"/>
        <w:ind w:firstLine="420"/>
        <w:rPr>
          <w:sz w:val="21"/>
          <w:szCs w:val="21"/>
        </w:rPr>
      </w:pPr>
      <w:r>
        <w:rPr>
          <w:rStyle w:val="14"/>
          <w:rFonts w:hint="eastAsia"/>
          <w:sz w:val="21"/>
          <w:szCs w:val="21"/>
        </w:rPr>
        <w:t>三、基金收益分配原则</w:t>
      </w:r>
    </w:p>
    <w:p>
      <w:pPr>
        <w:pStyle w:val="9"/>
        <w:spacing w:before="0" w:beforeAutospacing="0" w:after="0" w:afterAutospacing="0" w:line="360" w:lineRule="auto"/>
        <w:ind w:firstLine="420"/>
        <w:rPr>
          <w:sz w:val="21"/>
          <w:szCs w:val="21"/>
        </w:rPr>
      </w:pPr>
      <w:r>
        <w:rPr>
          <w:rFonts w:hint="eastAsia"/>
          <w:sz w:val="21"/>
          <w:szCs w:val="21"/>
        </w:rPr>
        <w:t>1、由于本基金A类基金份额不收取销售服务费，而C类基金份额收取销售服务费，各基金份额类别对应的可供分配利润将有所不同，本基金同一类别的每一基金份额享有同等分配权；</w:t>
      </w:r>
    </w:p>
    <w:p>
      <w:pPr>
        <w:pStyle w:val="9"/>
        <w:spacing w:before="0" w:beforeAutospacing="0" w:after="0" w:afterAutospacing="0" w:line="360" w:lineRule="auto"/>
        <w:ind w:firstLine="420"/>
        <w:rPr>
          <w:sz w:val="21"/>
          <w:szCs w:val="21"/>
        </w:rPr>
      </w:pPr>
      <w:r>
        <w:rPr>
          <w:rFonts w:hint="eastAsia"/>
          <w:sz w:val="21"/>
          <w:szCs w:val="21"/>
        </w:rPr>
        <w:t>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pPr>
        <w:pStyle w:val="9"/>
        <w:spacing w:before="0" w:beforeAutospacing="0" w:after="0" w:afterAutospacing="0" w:line="360" w:lineRule="auto"/>
        <w:ind w:firstLine="420"/>
        <w:rPr>
          <w:sz w:val="21"/>
          <w:szCs w:val="21"/>
        </w:rPr>
      </w:pPr>
      <w:r>
        <w:rPr>
          <w:rFonts w:hint="eastAsia"/>
          <w:sz w:val="21"/>
          <w:szCs w:val="21"/>
        </w:rPr>
        <w:t>3、基金收益分配后各类基金份额净值不能低于面值，即基金收益分配基准日的各类基金份额净值减去每单位该类基金份额收益分配金额后不能低于面值；</w:t>
      </w:r>
    </w:p>
    <w:p>
      <w:pPr>
        <w:pStyle w:val="9"/>
        <w:spacing w:before="0" w:beforeAutospacing="0" w:after="0" w:afterAutospacing="0" w:line="360" w:lineRule="auto"/>
        <w:ind w:firstLine="420"/>
        <w:rPr>
          <w:sz w:val="21"/>
          <w:szCs w:val="21"/>
        </w:rPr>
      </w:pPr>
      <w:r>
        <w:rPr>
          <w:rFonts w:hint="eastAsia"/>
          <w:sz w:val="21"/>
          <w:szCs w:val="21"/>
        </w:rPr>
        <w:t>4、法律法规或监管机关另有规定的，从其规定。</w:t>
      </w:r>
    </w:p>
    <w:p>
      <w:pPr>
        <w:pStyle w:val="9"/>
        <w:spacing w:before="0" w:beforeAutospacing="0" w:after="0" w:afterAutospacing="0" w:line="360" w:lineRule="auto"/>
        <w:ind w:firstLine="420"/>
        <w:rPr>
          <w:sz w:val="21"/>
          <w:szCs w:val="21"/>
        </w:rPr>
      </w:pPr>
      <w:r>
        <w:rPr>
          <w:rFonts w:hint="eastAsia"/>
          <w:sz w:val="21"/>
          <w:szCs w:val="21"/>
        </w:rPr>
        <w:t>在不违反法律法规及基金合同约定，并对基金份额持有人利益无实质不利影响的前提下，基金管理人经与基金托管人协商一致后可对基金收益分配原则和支付方式进行调整，不需召开基金份额持有人大会。</w:t>
      </w:r>
    </w:p>
    <w:p>
      <w:pPr>
        <w:pStyle w:val="9"/>
        <w:spacing w:before="0" w:beforeAutospacing="0" w:after="0" w:afterAutospacing="0" w:line="360" w:lineRule="auto"/>
        <w:ind w:firstLine="420"/>
        <w:rPr>
          <w:sz w:val="21"/>
          <w:szCs w:val="21"/>
        </w:rPr>
      </w:pPr>
      <w:r>
        <w:rPr>
          <w:rStyle w:val="14"/>
          <w:rFonts w:hint="eastAsia"/>
          <w:sz w:val="21"/>
          <w:szCs w:val="21"/>
        </w:rPr>
        <w:t>四、收益分配方案</w:t>
      </w:r>
    </w:p>
    <w:p>
      <w:pPr>
        <w:pStyle w:val="9"/>
        <w:spacing w:before="0" w:beforeAutospacing="0" w:after="0" w:afterAutospacing="0" w:line="360" w:lineRule="auto"/>
        <w:ind w:firstLine="420"/>
        <w:rPr>
          <w:sz w:val="21"/>
          <w:szCs w:val="21"/>
        </w:rPr>
      </w:pPr>
      <w:r>
        <w:rPr>
          <w:rFonts w:hint="eastAsia"/>
          <w:sz w:val="21"/>
          <w:szCs w:val="21"/>
        </w:rPr>
        <w:t>基金收益分配方案中应载明截至收益分配基准日的可供分配利润、基金收益分配对象、分配时间、分配数额及比例、分配方式等内容。</w:t>
      </w:r>
    </w:p>
    <w:p>
      <w:pPr>
        <w:pStyle w:val="9"/>
        <w:spacing w:before="0" w:beforeAutospacing="0" w:after="0" w:afterAutospacing="0" w:line="360" w:lineRule="auto"/>
        <w:ind w:firstLine="420"/>
        <w:rPr>
          <w:sz w:val="21"/>
          <w:szCs w:val="21"/>
        </w:rPr>
      </w:pPr>
      <w:r>
        <w:rPr>
          <w:rStyle w:val="14"/>
          <w:rFonts w:hint="eastAsia"/>
          <w:sz w:val="21"/>
          <w:szCs w:val="21"/>
        </w:rPr>
        <w:t>五、收益分配方案的确定、公告与实施</w:t>
      </w:r>
    </w:p>
    <w:p>
      <w:pPr>
        <w:pStyle w:val="9"/>
        <w:spacing w:before="0" w:beforeAutospacing="0" w:after="0" w:afterAutospacing="0" w:line="360" w:lineRule="auto"/>
        <w:ind w:firstLine="420"/>
        <w:rPr>
          <w:sz w:val="21"/>
          <w:szCs w:val="21"/>
        </w:rPr>
      </w:pPr>
      <w:r>
        <w:rPr>
          <w:rFonts w:hint="eastAsia"/>
          <w:sz w:val="21"/>
          <w:szCs w:val="21"/>
        </w:rPr>
        <w:t>本基金收益分配方案由基金管理人拟定，并由基金托管人复核，按规定在规定媒介公告。</w:t>
      </w:r>
    </w:p>
    <w:p>
      <w:pPr>
        <w:pStyle w:val="9"/>
        <w:spacing w:before="0" w:beforeAutospacing="0" w:after="0" w:afterAutospacing="0" w:line="360" w:lineRule="auto"/>
        <w:ind w:firstLine="420"/>
        <w:rPr>
          <w:sz w:val="21"/>
          <w:szCs w:val="21"/>
        </w:rPr>
      </w:pPr>
      <w:r>
        <w:rPr>
          <w:rStyle w:val="14"/>
          <w:rFonts w:hint="eastAsia"/>
          <w:sz w:val="21"/>
          <w:szCs w:val="21"/>
        </w:rPr>
        <w:t>六、基金收益分配中发生的费用</w:t>
      </w:r>
    </w:p>
    <w:p>
      <w:pPr>
        <w:pStyle w:val="9"/>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pStyle w:val="9"/>
        <w:spacing w:before="0" w:beforeAutospacing="0" w:after="0" w:afterAutospacing="0" w:line="360" w:lineRule="auto"/>
        <w:ind w:firstLine="420"/>
        <w:rPr>
          <w:sz w:val="21"/>
          <w:szCs w:val="21"/>
        </w:rPr>
      </w:pPr>
      <w:r>
        <w:rPr>
          <w:rStyle w:val="14"/>
          <w:rFonts w:hint="eastAsia"/>
          <w:sz w:val="21"/>
          <w:szCs w:val="21"/>
        </w:rPr>
        <w:t>七、实施侧袋机制期间的收益分配</w:t>
      </w:r>
    </w:p>
    <w:p>
      <w:pPr>
        <w:pStyle w:val="9"/>
        <w:spacing w:before="0" w:beforeAutospacing="0" w:after="0" w:afterAutospacing="0" w:line="360" w:lineRule="auto"/>
        <w:ind w:firstLine="420"/>
        <w:rPr>
          <w:sz w:val="21"/>
          <w:szCs w:val="21"/>
        </w:rPr>
      </w:pPr>
      <w:bookmarkStart w:id="146" w:name="chapter_level1_15_64_section_1_end"/>
      <w:bookmarkEnd w:id="146"/>
      <w:r>
        <w:rPr>
          <w:rFonts w:hint="eastAsia"/>
          <w:sz w:val="21"/>
          <w:szCs w:val="21"/>
        </w:rPr>
        <w:t>本基金实施侧袋机制的，侧袋账户不进行收益分配。</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7" w:name="_Toc151126552"/>
      <w:bookmarkStart w:id="148" w:name="chapter_level1_16_65"/>
      <w:r>
        <w:rPr>
          <w:rFonts w:hint="eastAsia" w:ascii="宋体" w:hAnsi="宋体" w:eastAsia="宋体"/>
          <w:sz w:val="30"/>
        </w:rPr>
        <w:t>第十三部分  基金的费用与税收</w:t>
      </w:r>
      <w:bookmarkEnd w:id="147"/>
      <w:bookmarkEnd w:id="148"/>
    </w:p>
    <w:p>
      <w:pPr>
        <w:pStyle w:val="9"/>
        <w:spacing w:before="0" w:beforeAutospacing="0" w:after="0" w:afterAutospacing="0" w:line="360" w:lineRule="auto"/>
        <w:ind w:firstLine="420"/>
        <w:rPr>
          <w:sz w:val="21"/>
          <w:szCs w:val="21"/>
        </w:rPr>
      </w:pPr>
      <w:bookmarkStart w:id="149" w:name="chapter_level1_16_65_section_1"/>
      <w:bookmarkEnd w:id="149"/>
      <w:r>
        <w:rPr>
          <w:rStyle w:val="14"/>
          <w:rFonts w:hint="eastAsia"/>
          <w:sz w:val="21"/>
          <w:szCs w:val="21"/>
        </w:rPr>
        <w:t>一、基金费用的种类</w:t>
      </w:r>
    </w:p>
    <w:p>
      <w:pPr>
        <w:pStyle w:val="9"/>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9"/>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9"/>
        <w:spacing w:before="0" w:beforeAutospacing="0" w:after="0" w:afterAutospacing="0" w:line="360" w:lineRule="auto"/>
        <w:ind w:firstLine="420"/>
        <w:rPr>
          <w:sz w:val="21"/>
          <w:szCs w:val="21"/>
        </w:rPr>
      </w:pPr>
      <w:r>
        <w:rPr>
          <w:rFonts w:hint="eastAsia"/>
          <w:sz w:val="21"/>
          <w:szCs w:val="21"/>
        </w:rPr>
        <w:t xml:space="preserve">3、C类基金份额的销售服务费； </w:t>
      </w:r>
    </w:p>
    <w:p>
      <w:pPr>
        <w:pStyle w:val="9"/>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pPr>
        <w:pStyle w:val="9"/>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5、基金合同生效后与基金相关的会计师费、律师费、诉讼费和仲裁费； </w:t>
      </w:r>
    </w:p>
    <w:p>
      <w:pPr>
        <w:pStyle w:val="9"/>
        <w:spacing w:before="0" w:beforeAutospacing="0" w:after="0" w:afterAutospacing="0" w:line="360" w:lineRule="auto"/>
        <w:ind w:firstLine="420"/>
        <w:rPr>
          <w:sz w:val="21"/>
          <w:szCs w:val="21"/>
        </w:rPr>
      </w:pPr>
      <w:r>
        <w:rPr>
          <w:rFonts w:hint="eastAsia"/>
          <w:sz w:val="21"/>
          <w:szCs w:val="21"/>
        </w:rPr>
        <w:t xml:space="preserve">6、基金份额持有人大会费用； </w:t>
      </w:r>
    </w:p>
    <w:p>
      <w:pPr>
        <w:pStyle w:val="9"/>
        <w:spacing w:before="0" w:beforeAutospacing="0" w:after="0" w:afterAutospacing="0" w:line="360" w:lineRule="auto"/>
        <w:ind w:firstLine="420"/>
        <w:rPr>
          <w:sz w:val="21"/>
          <w:szCs w:val="21"/>
        </w:rPr>
      </w:pPr>
      <w:r>
        <w:rPr>
          <w:rFonts w:hint="eastAsia"/>
          <w:sz w:val="21"/>
          <w:szCs w:val="21"/>
        </w:rPr>
        <w:t xml:space="preserve">7、基金的证券、期货、期权交易费用； </w:t>
      </w:r>
    </w:p>
    <w:p>
      <w:pPr>
        <w:pStyle w:val="9"/>
        <w:spacing w:before="0" w:beforeAutospacing="0" w:after="0" w:afterAutospacing="0" w:line="360" w:lineRule="auto"/>
        <w:ind w:firstLine="420"/>
        <w:rPr>
          <w:sz w:val="21"/>
          <w:szCs w:val="21"/>
        </w:rPr>
      </w:pPr>
      <w:r>
        <w:rPr>
          <w:rFonts w:hint="eastAsia"/>
          <w:sz w:val="21"/>
          <w:szCs w:val="21"/>
        </w:rPr>
        <w:t xml:space="preserve">8、基金的银行汇划费用； </w:t>
      </w:r>
    </w:p>
    <w:p>
      <w:pPr>
        <w:pStyle w:val="9"/>
        <w:spacing w:before="0" w:beforeAutospacing="0" w:after="0" w:afterAutospacing="0" w:line="360" w:lineRule="auto"/>
        <w:ind w:firstLine="420"/>
        <w:rPr>
          <w:sz w:val="21"/>
          <w:szCs w:val="21"/>
        </w:rPr>
      </w:pPr>
      <w:r>
        <w:rPr>
          <w:rFonts w:hint="eastAsia"/>
          <w:sz w:val="21"/>
          <w:szCs w:val="21"/>
        </w:rPr>
        <w:t xml:space="preserve">9、账户开户费用、账户维护费用； </w:t>
      </w:r>
    </w:p>
    <w:p>
      <w:pPr>
        <w:pStyle w:val="9"/>
        <w:spacing w:before="0" w:beforeAutospacing="0" w:after="0" w:afterAutospacing="0" w:line="360" w:lineRule="auto"/>
        <w:ind w:firstLine="420"/>
        <w:rPr>
          <w:sz w:val="21"/>
          <w:szCs w:val="21"/>
        </w:rPr>
      </w:pPr>
      <w:r>
        <w:rPr>
          <w:rFonts w:hint="eastAsia"/>
          <w:sz w:val="21"/>
          <w:szCs w:val="21"/>
        </w:rPr>
        <w:t xml:space="preserve">10、因投资港股通标的股票而产生的各项合理费用； </w:t>
      </w:r>
    </w:p>
    <w:p>
      <w:pPr>
        <w:pStyle w:val="9"/>
        <w:spacing w:before="0" w:beforeAutospacing="0" w:after="0" w:afterAutospacing="0" w:line="360" w:lineRule="auto"/>
        <w:ind w:firstLine="420"/>
        <w:rPr>
          <w:sz w:val="21"/>
          <w:szCs w:val="21"/>
        </w:rPr>
      </w:pPr>
      <w:r>
        <w:rPr>
          <w:rFonts w:hint="eastAsia"/>
          <w:sz w:val="21"/>
          <w:szCs w:val="21"/>
        </w:rPr>
        <w:t xml:space="preserve">11、按照国家有关规定和基金合同约定，可以在基金财产中列支的其他费用。 </w:t>
      </w:r>
    </w:p>
    <w:p>
      <w:pPr>
        <w:pStyle w:val="9"/>
        <w:spacing w:before="0" w:beforeAutospacing="0" w:after="0" w:afterAutospacing="0" w:line="360" w:lineRule="auto"/>
        <w:ind w:firstLine="420"/>
        <w:rPr>
          <w:sz w:val="21"/>
          <w:szCs w:val="21"/>
        </w:rPr>
      </w:pPr>
      <w:r>
        <w:rPr>
          <w:rStyle w:val="14"/>
          <w:rFonts w:hint="eastAsia"/>
          <w:sz w:val="21"/>
          <w:szCs w:val="21"/>
        </w:rPr>
        <w:t>二、基金费用计提方法、计提标准和支付方式</w:t>
      </w:r>
    </w:p>
    <w:p>
      <w:pPr>
        <w:pStyle w:val="9"/>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9"/>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50" w:name="field_0_managementrate_1"/>
      <w:r>
        <w:rPr>
          <w:sz w:val="21"/>
          <w:szCs w:val="21"/>
        </w:rPr>
        <w:t>0.50</w:t>
      </w:r>
      <w:bookmarkEnd w:id="150"/>
      <w:r>
        <w:rPr>
          <w:rFonts w:hint="eastAsia"/>
          <w:sz w:val="21"/>
          <w:szCs w:val="21"/>
        </w:rPr>
        <w:t xml:space="preserve">%年费率计提。管理费的计算方法如下： </w:t>
      </w:r>
    </w:p>
    <w:p>
      <w:pPr>
        <w:pStyle w:val="9"/>
        <w:spacing w:before="0" w:beforeAutospacing="0" w:after="0" w:afterAutospacing="0" w:line="360" w:lineRule="auto"/>
        <w:ind w:firstLine="420"/>
        <w:rPr>
          <w:sz w:val="21"/>
          <w:szCs w:val="21"/>
        </w:rPr>
      </w:pPr>
      <w:r>
        <w:rPr>
          <w:rFonts w:hint="eastAsia"/>
          <w:sz w:val="21"/>
          <w:szCs w:val="21"/>
        </w:rPr>
        <w:t>H＝E×</w:t>
      </w:r>
      <w:bookmarkStart w:id="151" w:name="field_0_managementrate_2"/>
      <w:r>
        <w:rPr>
          <w:sz w:val="21"/>
          <w:szCs w:val="21"/>
        </w:rPr>
        <w:t>0.50</w:t>
      </w:r>
      <w:bookmarkEnd w:id="151"/>
      <w:r>
        <w:rPr>
          <w:rFonts w:hint="eastAsia"/>
          <w:sz w:val="21"/>
          <w:szCs w:val="21"/>
        </w:rPr>
        <w:t xml:space="preserve">%÷当年天数 </w:t>
      </w:r>
    </w:p>
    <w:p>
      <w:pPr>
        <w:pStyle w:val="9"/>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9"/>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9"/>
        <w:spacing w:before="0" w:beforeAutospacing="0" w:after="0" w:afterAutospacing="0" w:line="360" w:lineRule="auto"/>
        <w:ind w:firstLine="420"/>
        <w:rPr>
          <w:sz w:val="21"/>
          <w:szCs w:val="21"/>
        </w:rPr>
      </w:pPr>
      <w:r>
        <w:rPr>
          <w:rFonts w:hint="eastAsia"/>
          <w:sz w:val="21"/>
          <w:szCs w:val="21"/>
        </w:rPr>
        <w:t xml:space="preserve">基金管理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日或不可抗力等致使无法按时支付的，支付日期顺延。 </w:t>
      </w:r>
    </w:p>
    <w:p>
      <w:pPr>
        <w:pStyle w:val="9"/>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9"/>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52" w:name="field_0_trusteerate_1"/>
      <w:r>
        <w:rPr>
          <w:sz w:val="21"/>
          <w:szCs w:val="21"/>
        </w:rPr>
        <w:t>0.10</w:t>
      </w:r>
      <w:bookmarkEnd w:id="152"/>
      <w:r>
        <w:rPr>
          <w:rFonts w:hint="eastAsia"/>
          <w:sz w:val="21"/>
          <w:szCs w:val="21"/>
        </w:rPr>
        <w:t xml:space="preserve">%年费率计提。托管费的计算方法如下： </w:t>
      </w:r>
    </w:p>
    <w:p>
      <w:pPr>
        <w:pStyle w:val="9"/>
        <w:spacing w:before="0" w:beforeAutospacing="0" w:after="0" w:afterAutospacing="0" w:line="360" w:lineRule="auto"/>
        <w:ind w:firstLine="420"/>
        <w:rPr>
          <w:sz w:val="21"/>
          <w:szCs w:val="21"/>
        </w:rPr>
      </w:pPr>
      <w:r>
        <w:rPr>
          <w:rFonts w:hint="eastAsia"/>
          <w:sz w:val="21"/>
          <w:szCs w:val="21"/>
        </w:rPr>
        <w:t>H＝E×</w:t>
      </w:r>
      <w:bookmarkStart w:id="153" w:name="field_0_trusteerate_2"/>
      <w:r>
        <w:rPr>
          <w:sz w:val="21"/>
          <w:szCs w:val="21"/>
        </w:rPr>
        <w:t>0.10</w:t>
      </w:r>
      <w:bookmarkEnd w:id="153"/>
      <w:r>
        <w:rPr>
          <w:rFonts w:hint="eastAsia"/>
          <w:sz w:val="21"/>
          <w:szCs w:val="21"/>
        </w:rPr>
        <w:t xml:space="preserve">%÷当年天数 </w:t>
      </w:r>
    </w:p>
    <w:p>
      <w:pPr>
        <w:pStyle w:val="9"/>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9"/>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9"/>
        <w:spacing w:before="0" w:beforeAutospacing="0" w:after="0" w:afterAutospacing="0" w:line="360" w:lineRule="auto"/>
        <w:ind w:firstLine="420"/>
        <w:rPr>
          <w:sz w:val="21"/>
          <w:szCs w:val="21"/>
        </w:rPr>
      </w:pPr>
      <w:r>
        <w:rPr>
          <w:rFonts w:hint="eastAsia"/>
          <w:sz w:val="21"/>
          <w:szCs w:val="21"/>
        </w:rPr>
        <w:t xml:space="preserve">基金托管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日或不可抗力等致使无法按时支付的，支付日期顺延。 </w:t>
      </w:r>
    </w:p>
    <w:p>
      <w:pPr>
        <w:pStyle w:val="9"/>
        <w:spacing w:before="0" w:beforeAutospacing="0" w:after="0" w:afterAutospacing="0" w:line="360" w:lineRule="auto"/>
        <w:ind w:firstLine="420"/>
        <w:rPr>
          <w:sz w:val="21"/>
          <w:szCs w:val="21"/>
        </w:rPr>
      </w:pPr>
      <w:r>
        <w:rPr>
          <w:rFonts w:hint="eastAsia"/>
          <w:sz w:val="21"/>
          <w:szCs w:val="21"/>
        </w:rPr>
        <w:t xml:space="preserve">3、C类份额的销售服务费 </w:t>
      </w:r>
    </w:p>
    <w:p>
      <w:pPr>
        <w:pStyle w:val="9"/>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本基金A类基金份额不收取销售服务费，C类基金份额的销售服务费年费率为0.30%。 </w:t>
      </w:r>
    </w:p>
    <w:p>
      <w:pPr>
        <w:pStyle w:val="9"/>
        <w:spacing w:before="0" w:beforeAutospacing="0" w:after="0" w:afterAutospacing="0" w:line="360" w:lineRule="auto"/>
        <w:ind w:firstLine="420"/>
        <w:rPr>
          <w:sz w:val="21"/>
          <w:szCs w:val="21"/>
        </w:rPr>
      </w:pPr>
      <w:r>
        <w:rPr>
          <w:rFonts w:hint="eastAsia"/>
          <w:sz w:val="21"/>
          <w:szCs w:val="21"/>
        </w:rPr>
        <w:t xml:space="preserve">本基金销售服务费按前一日C类基金资产净值的0.30%年费率计提。计算方法如下： </w:t>
      </w:r>
    </w:p>
    <w:p>
      <w:pPr>
        <w:pStyle w:val="9"/>
        <w:spacing w:before="0" w:beforeAutospacing="0" w:after="0" w:afterAutospacing="0" w:line="360" w:lineRule="auto"/>
        <w:ind w:firstLine="420"/>
        <w:rPr>
          <w:sz w:val="21"/>
          <w:szCs w:val="21"/>
        </w:rPr>
      </w:pPr>
      <w:r>
        <w:rPr>
          <w:rFonts w:hint="eastAsia"/>
          <w:sz w:val="21"/>
          <w:szCs w:val="21"/>
        </w:rPr>
        <w:t xml:space="preserve">H＝E×0.30%÷当年天数 </w:t>
      </w:r>
    </w:p>
    <w:p>
      <w:pPr>
        <w:pStyle w:val="9"/>
        <w:spacing w:before="0" w:beforeAutospacing="0" w:after="0" w:afterAutospacing="0" w:line="360" w:lineRule="auto"/>
        <w:ind w:firstLine="420"/>
        <w:rPr>
          <w:sz w:val="21"/>
          <w:szCs w:val="21"/>
        </w:rPr>
      </w:pPr>
      <w:r>
        <w:rPr>
          <w:rFonts w:hint="eastAsia"/>
          <w:sz w:val="21"/>
          <w:szCs w:val="21"/>
        </w:rPr>
        <w:t xml:space="preserve">H为C类基金份额每日应计提的销售服务费 </w:t>
      </w:r>
    </w:p>
    <w:p>
      <w:pPr>
        <w:pStyle w:val="9"/>
        <w:spacing w:before="0" w:beforeAutospacing="0" w:after="0" w:afterAutospacing="0" w:line="360" w:lineRule="auto"/>
        <w:ind w:firstLine="420"/>
        <w:rPr>
          <w:sz w:val="21"/>
          <w:szCs w:val="21"/>
        </w:rPr>
      </w:pPr>
      <w:r>
        <w:rPr>
          <w:rFonts w:hint="eastAsia"/>
          <w:sz w:val="21"/>
          <w:szCs w:val="21"/>
        </w:rPr>
        <w:t xml:space="preserve">E为C类基金份额前一日基金资产净值 </w:t>
      </w:r>
    </w:p>
    <w:p>
      <w:pPr>
        <w:pStyle w:val="9"/>
        <w:spacing w:before="0" w:beforeAutospacing="0" w:after="0" w:afterAutospacing="0" w:line="360" w:lineRule="auto"/>
        <w:ind w:firstLine="420"/>
        <w:rPr>
          <w:sz w:val="21"/>
          <w:szCs w:val="21"/>
        </w:rPr>
      </w:pPr>
      <w:r>
        <w:rPr>
          <w:rFonts w:hint="eastAsia"/>
          <w:sz w:val="21"/>
          <w:szCs w:val="21"/>
        </w:rPr>
        <w:t xml:space="preserve">基金销售服务费每日计提，逐日累计至每月月末，按月支付。由基金托管人根据与基金管理人核对一致的财务数据，按照基金托管人与基金管理人协商一致的方式在月初3个工作日内、按照指定的账户路径进行资金支付，由登记机构代付给销售机构。若遇法定节假日、公休日或不可抗力等致使无法按时支付的，支付日期顺延。 </w:t>
      </w:r>
    </w:p>
    <w:p>
      <w:pPr>
        <w:pStyle w:val="9"/>
        <w:spacing w:before="0" w:beforeAutospacing="0" w:after="0" w:afterAutospacing="0" w:line="360" w:lineRule="auto"/>
        <w:ind w:firstLine="420"/>
        <w:rPr>
          <w:sz w:val="21"/>
          <w:szCs w:val="21"/>
        </w:rPr>
      </w:pPr>
      <w:r>
        <w:rPr>
          <w:rFonts w:hint="eastAsia"/>
          <w:sz w:val="21"/>
          <w:szCs w:val="21"/>
        </w:rPr>
        <w:t xml:space="preserve">上述“一、基金费用的种类”中第4－11项费用，根据有关法规及相应协议规定，按费用实际支出金额列入当期费用，由基金托管人从基金财产中支付。 </w:t>
      </w:r>
    </w:p>
    <w:p>
      <w:pPr>
        <w:pStyle w:val="9"/>
        <w:spacing w:before="0" w:beforeAutospacing="0" w:after="0" w:afterAutospacing="0" w:line="360" w:lineRule="auto"/>
        <w:ind w:firstLine="420"/>
        <w:rPr>
          <w:sz w:val="21"/>
          <w:szCs w:val="21"/>
        </w:rPr>
      </w:pPr>
      <w:r>
        <w:rPr>
          <w:rStyle w:val="14"/>
          <w:rFonts w:hint="eastAsia"/>
          <w:sz w:val="21"/>
          <w:szCs w:val="21"/>
        </w:rPr>
        <w:t>三、不列入基金费用的项目</w:t>
      </w:r>
    </w:p>
    <w:p>
      <w:pPr>
        <w:pStyle w:val="9"/>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9"/>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9"/>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9"/>
        <w:spacing w:before="0" w:beforeAutospacing="0" w:after="0" w:afterAutospacing="0" w:line="360" w:lineRule="auto"/>
        <w:ind w:firstLine="420"/>
        <w:rPr>
          <w:sz w:val="21"/>
          <w:szCs w:val="21"/>
        </w:rPr>
      </w:pPr>
      <w:r>
        <w:rPr>
          <w:rFonts w:hint="eastAsia"/>
          <w:sz w:val="21"/>
          <w:szCs w:val="21"/>
        </w:rPr>
        <w:t xml:space="preserve">3、指数许可使用费 </w:t>
      </w:r>
    </w:p>
    <w:p>
      <w:pPr>
        <w:pStyle w:val="9"/>
        <w:spacing w:before="0" w:beforeAutospacing="0" w:after="0" w:afterAutospacing="0" w:line="360" w:lineRule="auto"/>
        <w:ind w:firstLine="420"/>
        <w:rPr>
          <w:sz w:val="21"/>
          <w:szCs w:val="21"/>
        </w:rPr>
      </w:pPr>
      <w:r>
        <w:rPr>
          <w:rFonts w:hint="eastAsia"/>
          <w:sz w:val="21"/>
          <w:szCs w:val="21"/>
        </w:rPr>
        <w:t xml:space="preserve">本基金按照基金管理人与标的指数许可方所签订的指数使用许可协议中所规定的指数许可使用费计提方法支付指数许可使用费，该指数许可使用费由基金管理人承担，不得从基金财产中列支。 </w:t>
      </w:r>
    </w:p>
    <w:p>
      <w:pPr>
        <w:pStyle w:val="9"/>
        <w:spacing w:before="0" w:beforeAutospacing="0" w:after="0" w:afterAutospacing="0" w:line="360" w:lineRule="auto"/>
        <w:ind w:firstLine="420"/>
        <w:rPr>
          <w:sz w:val="21"/>
          <w:szCs w:val="21"/>
        </w:rPr>
      </w:pPr>
      <w:r>
        <w:rPr>
          <w:rFonts w:hint="eastAsia"/>
          <w:sz w:val="21"/>
          <w:szCs w:val="21"/>
        </w:rPr>
        <w:t xml:space="preserve">如果指数许可使用费的计算方法、费率、支付方式和费用承担方等发生调整，本基金将采用调整后的方法或费率计算指数许可使用费； </w:t>
      </w:r>
    </w:p>
    <w:p>
      <w:pPr>
        <w:pStyle w:val="9"/>
        <w:spacing w:before="0" w:beforeAutospacing="0" w:after="0" w:afterAutospacing="0" w:line="360" w:lineRule="auto"/>
        <w:ind w:firstLine="420"/>
        <w:rPr>
          <w:sz w:val="21"/>
          <w:szCs w:val="21"/>
        </w:rPr>
      </w:pPr>
      <w:r>
        <w:rPr>
          <w:rFonts w:hint="eastAsia"/>
          <w:sz w:val="21"/>
          <w:szCs w:val="21"/>
        </w:rPr>
        <w:t xml:space="preserve">4、《基金合同》生效前的相关费用； </w:t>
      </w:r>
    </w:p>
    <w:p>
      <w:pPr>
        <w:pStyle w:val="9"/>
        <w:spacing w:before="0" w:beforeAutospacing="0" w:after="0" w:afterAutospacing="0" w:line="360" w:lineRule="auto"/>
        <w:ind w:firstLine="420"/>
        <w:rPr>
          <w:sz w:val="21"/>
          <w:szCs w:val="21"/>
        </w:rPr>
      </w:pPr>
      <w:r>
        <w:rPr>
          <w:rFonts w:hint="eastAsia"/>
          <w:sz w:val="21"/>
          <w:szCs w:val="21"/>
        </w:rPr>
        <w:t xml:space="preserve">5、其他根据相关法律法规及中国证监会的有关规定不得列入基金费用的项目。 </w:t>
      </w:r>
    </w:p>
    <w:p>
      <w:pPr>
        <w:pStyle w:val="9"/>
        <w:spacing w:before="0" w:beforeAutospacing="0" w:after="0" w:afterAutospacing="0" w:line="360" w:lineRule="auto"/>
        <w:ind w:firstLine="420"/>
        <w:rPr>
          <w:sz w:val="21"/>
          <w:szCs w:val="21"/>
        </w:rPr>
      </w:pPr>
      <w:r>
        <w:rPr>
          <w:rStyle w:val="14"/>
          <w:rFonts w:hint="eastAsia"/>
          <w:sz w:val="21"/>
          <w:szCs w:val="21"/>
        </w:rPr>
        <w:t>四、实施侧袋机制期间的基金费用</w:t>
      </w:r>
    </w:p>
    <w:p>
      <w:pPr>
        <w:pStyle w:val="9"/>
        <w:spacing w:before="0" w:beforeAutospacing="0" w:after="0" w:afterAutospacing="0" w:line="360" w:lineRule="auto"/>
        <w:ind w:firstLine="420"/>
        <w:rPr>
          <w:sz w:val="21"/>
          <w:szCs w:val="21"/>
        </w:rPr>
      </w:pPr>
      <w:r>
        <w:rPr>
          <w:rFonts w:hint="eastAsia"/>
          <w:sz w:val="21"/>
          <w:szCs w:val="21"/>
        </w:rPr>
        <w:t xml:space="preserve">本基金实施侧袋机制的，与侧袋账户有关的费用可以从侧袋账户中列支，但应待侧袋账户资产变现后方可列支，有关费用可酌情收取或减免，但不得收取管理费，详见本招募说明书“侧袋机制”章节的规定。 </w:t>
      </w:r>
    </w:p>
    <w:p>
      <w:pPr>
        <w:pStyle w:val="9"/>
        <w:spacing w:before="0" w:beforeAutospacing="0" w:after="0" w:afterAutospacing="0" w:line="360" w:lineRule="auto"/>
        <w:ind w:firstLine="420"/>
        <w:rPr>
          <w:sz w:val="21"/>
          <w:szCs w:val="21"/>
        </w:rPr>
      </w:pPr>
      <w:r>
        <w:rPr>
          <w:rStyle w:val="14"/>
          <w:rFonts w:hint="eastAsia"/>
          <w:sz w:val="21"/>
          <w:szCs w:val="21"/>
        </w:rPr>
        <w:t>五、基金税收</w:t>
      </w:r>
    </w:p>
    <w:p>
      <w:pPr>
        <w:pStyle w:val="9"/>
        <w:spacing w:before="0" w:beforeAutospacing="0" w:after="0" w:afterAutospacing="0" w:line="360" w:lineRule="auto"/>
        <w:ind w:firstLine="420"/>
        <w:rPr>
          <w:sz w:val="21"/>
          <w:szCs w:val="21"/>
        </w:rPr>
      </w:pPr>
      <w:r>
        <w:rPr>
          <w:rFonts w:hint="eastAsia"/>
          <w:sz w:val="21"/>
          <w:szCs w:val="21"/>
        </w:rPr>
        <w:t xml:space="preserve">基金运作过程中涉及的各纳税主体，其纳税义务按国家税收法律、法规执行。基金财产投资的相关税收，由基金份额持有人承担，基金管理人或者其他扣缴义务人按照国家有关税收征收的规定代扣代缴。 </w:t>
      </w:r>
    </w:p>
    <w:p>
      <w:pPr>
        <w:pStyle w:val="9"/>
        <w:spacing w:before="0" w:beforeAutospacing="0" w:after="0" w:afterAutospacing="0" w:line="360" w:lineRule="auto"/>
        <w:ind w:firstLine="420"/>
        <w:rPr>
          <w:sz w:val="21"/>
          <w:szCs w:val="21"/>
        </w:rPr>
      </w:pPr>
      <w:r>
        <w:rPr>
          <w:rFonts w:hint="eastAsia"/>
          <w:sz w:val="21"/>
          <w:szCs w:val="21"/>
        </w:rPr>
        <w:t>本基金支付给基金管理人、基金托管人的各项费用均为含税价格，具体税率适用中国税</w:t>
      </w:r>
      <w:bookmarkStart w:id="154" w:name="chapter_level1_16_65_section_1_end"/>
      <w:bookmarkEnd w:id="154"/>
      <w:r>
        <w:rPr>
          <w:rFonts w:hint="eastAsia"/>
          <w:sz w:val="21"/>
          <w:szCs w:val="21"/>
        </w:rPr>
        <w:t xml:space="preserve">务主管机关的规定。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5" w:name="_Toc151126578"/>
      <w:bookmarkStart w:id="156" w:name="chapter_level1_17_66"/>
      <w:r>
        <w:rPr>
          <w:rFonts w:hint="eastAsia" w:ascii="宋体" w:hAnsi="宋体" w:eastAsia="宋体"/>
          <w:sz w:val="30"/>
        </w:rPr>
        <w:t>第十四部分  基金的会计与审计</w:t>
      </w:r>
      <w:bookmarkEnd w:id="155"/>
      <w:bookmarkEnd w:id="156"/>
    </w:p>
    <w:p>
      <w:pPr>
        <w:pStyle w:val="9"/>
        <w:spacing w:before="0" w:beforeAutospacing="0" w:after="0" w:afterAutospacing="0" w:line="360" w:lineRule="auto"/>
        <w:ind w:firstLine="420"/>
        <w:rPr>
          <w:sz w:val="21"/>
          <w:szCs w:val="21"/>
        </w:rPr>
      </w:pPr>
      <w:bookmarkStart w:id="157" w:name="chapter_level1_17_66_section_1"/>
      <w:bookmarkEnd w:id="157"/>
      <w:r>
        <w:rPr>
          <w:rStyle w:val="14"/>
          <w:rFonts w:hint="eastAsia"/>
          <w:sz w:val="21"/>
          <w:szCs w:val="21"/>
        </w:rPr>
        <w:t>一、基金会计政策</w:t>
      </w:r>
    </w:p>
    <w:p>
      <w:pPr>
        <w:pStyle w:val="9"/>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9"/>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9"/>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9"/>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9"/>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9"/>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9"/>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9"/>
        <w:spacing w:before="0" w:beforeAutospacing="0" w:after="0" w:afterAutospacing="0" w:line="360" w:lineRule="auto"/>
        <w:ind w:firstLine="420"/>
        <w:rPr>
          <w:sz w:val="21"/>
          <w:szCs w:val="21"/>
        </w:rPr>
      </w:pPr>
      <w:r>
        <w:rPr>
          <w:rStyle w:val="14"/>
          <w:rFonts w:hint="eastAsia"/>
          <w:sz w:val="21"/>
          <w:szCs w:val="21"/>
        </w:rPr>
        <w:t>二、基金的年度审计</w:t>
      </w:r>
    </w:p>
    <w:p>
      <w:pPr>
        <w:pStyle w:val="9"/>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1、基金管理人聘请与基金管理人、基金托管人相互独立且符合《中华人民共和国证券法》规定的会计师事务所及其注册会计师对本基金的年度财务报表进行审计。 </w:t>
      </w:r>
    </w:p>
    <w:p>
      <w:pPr>
        <w:pStyle w:val="9"/>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9"/>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58" w:name="chapter_level1_17_66_section_1_end"/>
      <w:bookmarkEnd w:id="158"/>
      <w:r>
        <w:rPr>
          <w:rFonts w:hint="eastAsia"/>
          <w:sz w:val="21"/>
          <w:szCs w:val="21"/>
        </w:rPr>
        <w:t xml:space="preserve">务所需按规定在规定媒介公告。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9" w:name="chapter_level1_18_67"/>
      <w:bookmarkStart w:id="160" w:name="_Toc151126579"/>
      <w:r>
        <w:rPr>
          <w:rFonts w:hint="eastAsia" w:ascii="宋体" w:hAnsi="宋体" w:eastAsia="宋体"/>
          <w:sz w:val="30"/>
        </w:rPr>
        <w:t>第十五部分  基金的信息披露</w:t>
      </w:r>
      <w:bookmarkEnd w:id="159"/>
      <w:bookmarkEnd w:id="160"/>
    </w:p>
    <w:p>
      <w:pPr>
        <w:pStyle w:val="9"/>
        <w:spacing w:before="0" w:beforeAutospacing="0" w:after="0" w:afterAutospacing="0" w:line="360" w:lineRule="auto"/>
        <w:ind w:firstLine="420"/>
        <w:rPr>
          <w:sz w:val="21"/>
          <w:szCs w:val="21"/>
        </w:rPr>
      </w:pPr>
      <w:bookmarkStart w:id="161" w:name="chapter_level1_18_67_section_1"/>
      <w:bookmarkEnd w:id="161"/>
      <w:r>
        <w:rPr>
          <w:rFonts w:hint="eastAsia"/>
          <w:sz w:val="21"/>
          <w:szCs w:val="21"/>
        </w:rPr>
        <w:t>一、本基金的信息披露应符合《基金法》、《运作办法》、《信息披露办法》、《流动性风险管理规定》、《基金合同》及其他有关规定。相关法律法规关于信息披露的规定发生变化时，本基金从其最新规定。</w:t>
      </w:r>
    </w:p>
    <w:p>
      <w:pPr>
        <w:pStyle w:val="9"/>
        <w:spacing w:before="0" w:beforeAutospacing="0" w:after="0" w:afterAutospacing="0" w:line="360" w:lineRule="auto"/>
        <w:ind w:firstLine="420"/>
        <w:rPr>
          <w:sz w:val="21"/>
          <w:szCs w:val="21"/>
        </w:rPr>
      </w:pPr>
      <w:r>
        <w:rPr>
          <w:rStyle w:val="14"/>
          <w:rFonts w:hint="eastAsia"/>
          <w:sz w:val="21"/>
          <w:szCs w:val="21"/>
        </w:rPr>
        <w:t>二、信息披露义务人</w:t>
      </w:r>
    </w:p>
    <w:p>
      <w:pPr>
        <w:pStyle w:val="9"/>
        <w:spacing w:before="0" w:beforeAutospacing="0" w:after="0" w:afterAutospacing="0" w:line="360" w:lineRule="auto"/>
        <w:ind w:firstLine="420"/>
        <w:rPr>
          <w:sz w:val="21"/>
          <w:szCs w:val="21"/>
        </w:rPr>
      </w:pPr>
      <w:r>
        <w:rPr>
          <w:rFonts w:hint="eastAsia"/>
          <w:sz w:val="21"/>
          <w:szCs w:val="21"/>
        </w:rPr>
        <w:t>本基金信息披露义务人包括基金管理人、基金托管人、召集基金份额持有人大会的基金份额持有人等法律、行政法规和中国证监会规定的自然人、法人和非法人组织。</w:t>
      </w:r>
    </w:p>
    <w:p>
      <w:pPr>
        <w:pStyle w:val="9"/>
        <w:spacing w:before="0" w:beforeAutospacing="0" w:after="0" w:afterAutospacing="0" w:line="360" w:lineRule="auto"/>
        <w:ind w:firstLine="420"/>
        <w:rPr>
          <w:sz w:val="21"/>
          <w:szCs w:val="21"/>
        </w:rPr>
      </w:pPr>
      <w:r>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pPr>
        <w:pStyle w:val="9"/>
        <w:spacing w:before="0" w:beforeAutospacing="0" w:after="0" w:afterAutospacing="0" w:line="360" w:lineRule="auto"/>
        <w:ind w:firstLine="420"/>
        <w:rPr>
          <w:sz w:val="21"/>
          <w:szCs w:val="21"/>
        </w:rPr>
      </w:pPr>
      <w:r>
        <w:rPr>
          <w:rFonts w:hint="eastAsia"/>
          <w:sz w:val="21"/>
          <w:szCs w:val="21"/>
        </w:rPr>
        <w:t>本基金信息披露义务人应当在中国证监会规定时间内，将应予披露的基金信息通过符合中国证监会规定条件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pPr>
        <w:pStyle w:val="9"/>
        <w:spacing w:before="0" w:beforeAutospacing="0" w:after="0" w:afterAutospacing="0" w:line="360" w:lineRule="auto"/>
        <w:ind w:firstLine="420"/>
        <w:rPr>
          <w:sz w:val="21"/>
          <w:szCs w:val="21"/>
        </w:rPr>
      </w:pPr>
      <w:r>
        <w:rPr>
          <w:rStyle w:val="14"/>
          <w:rFonts w:hint="eastAsia"/>
          <w:sz w:val="21"/>
          <w:szCs w:val="21"/>
        </w:rPr>
        <w:t>三、本基金信息披露义务人承诺公开披露的基金信息，不得有下列行为：</w:t>
      </w:r>
    </w:p>
    <w:p>
      <w:pPr>
        <w:pStyle w:val="9"/>
        <w:spacing w:before="0" w:beforeAutospacing="0" w:after="0" w:afterAutospacing="0" w:line="360" w:lineRule="auto"/>
        <w:ind w:firstLine="420"/>
        <w:rPr>
          <w:sz w:val="21"/>
          <w:szCs w:val="21"/>
        </w:rPr>
      </w:pPr>
      <w:r>
        <w:rPr>
          <w:rFonts w:hint="eastAsia"/>
          <w:sz w:val="21"/>
          <w:szCs w:val="21"/>
        </w:rPr>
        <w:t>1、虚假记载、误导性陈述或者重大遗漏；</w:t>
      </w:r>
    </w:p>
    <w:p>
      <w:pPr>
        <w:pStyle w:val="9"/>
        <w:spacing w:before="0" w:beforeAutospacing="0" w:after="0" w:afterAutospacing="0" w:line="360" w:lineRule="auto"/>
        <w:ind w:firstLine="420"/>
        <w:rPr>
          <w:sz w:val="21"/>
          <w:szCs w:val="21"/>
        </w:rPr>
      </w:pPr>
      <w:r>
        <w:rPr>
          <w:rFonts w:hint="eastAsia"/>
          <w:sz w:val="21"/>
          <w:szCs w:val="21"/>
        </w:rPr>
        <w:t>2、对证券投资业绩进行预测；</w:t>
      </w:r>
    </w:p>
    <w:p>
      <w:pPr>
        <w:pStyle w:val="9"/>
        <w:spacing w:before="0" w:beforeAutospacing="0" w:after="0" w:afterAutospacing="0" w:line="360" w:lineRule="auto"/>
        <w:ind w:firstLine="420"/>
        <w:rPr>
          <w:sz w:val="21"/>
          <w:szCs w:val="21"/>
        </w:rPr>
      </w:pPr>
      <w:r>
        <w:rPr>
          <w:rFonts w:hint="eastAsia"/>
          <w:sz w:val="21"/>
          <w:szCs w:val="21"/>
        </w:rPr>
        <w:t>3、违规承诺收益或者承担损失；</w:t>
      </w:r>
    </w:p>
    <w:p>
      <w:pPr>
        <w:pStyle w:val="9"/>
        <w:spacing w:before="0" w:beforeAutospacing="0" w:after="0" w:afterAutospacing="0" w:line="360" w:lineRule="auto"/>
        <w:ind w:firstLine="420"/>
        <w:rPr>
          <w:sz w:val="21"/>
          <w:szCs w:val="21"/>
        </w:rPr>
      </w:pPr>
      <w:r>
        <w:rPr>
          <w:rFonts w:hint="eastAsia"/>
          <w:sz w:val="21"/>
          <w:szCs w:val="21"/>
        </w:rPr>
        <w:t>4、诋毁其他基金管理人、基金托管人或者基金销售机构；</w:t>
      </w:r>
    </w:p>
    <w:p>
      <w:pPr>
        <w:pStyle w:val="9"/>
        <w:spacing w:before="0" w:beforeAutospacing="0" w:after="0" w:afterAutospacing="0" w:line="360" w:lineRule="auto"/>
        <w:ind w:firstLine="420"/>
        <w:rPr>
          <w:sz w:val="21"/>
          <w:szCs w:val="21"/>
        </w:rPr>
      </w:pPr>
      <w:r>
        <w:rPr>
          <w:rFonts w:hint="eastAsia"/>
          <w:sz w:val="21"/>
          <w:szCs w:val="21"/>
        </w:rPr>
        <w:t>5、登载任何自然人、法人和非法人组织的祝贺性、恭维性或推荐性文字；</w:t>
      </w:r>
    </w:p>
    <w:p>
      <w:pPr>
        <w:pStyle w:val="9"/>
        <w:spacing w:before="0" w:beforeAutospacing="0" w:after="0" w:afterAutospacing="0" w:line="360" w:lineRule="auto"/>
        <w:ind w:firstLine="420"/>
        <w:rPr>
          <w:sz w:val="21"/>
          <w:szCs w:val="21"/>
        </w:rPr>
      </w:pPr>
      <w:r>
        <w:rPr>
          <w:rFonts w:hint="eastAsia"/>
          <w:sz w:val="21"/>
          <w:szCs w:val="21"/>
        </w:rPr>
        <w:t>6、中国证监会禁止的其他行为。</w:t>
      </w:r>
    </w:p>
    <w:p>
      <w:pPr>
        <w:pStyle w:val="9"/>
        <w:spacing w:before="0" w:beforeAutospacing="0" w:after="0" w:afterAutospacing="0" w:line="360" w:lineRule="auto"/>
        <w:ind w:firstLine="420"/>
        <w:rPr>
          <w:sz w:val="21"/>
          <w:szCs w:val="21"/>
        </w:rPr>
      </w:pPr>
      <w:r>
        <w:rPr>
          <w:rStyle w:val="14"/>
          <w:rFonts w:hint="eastAsia"/>
          <w:sz w:val="21"/>
          <w:szCs w:val="21"/>
        </w:rPr>
        <w:t>四、本基金公开披露的信息应采用中文文本。如同时采用外文文本的，基金信息披露义务人应保证不同文本的内容一致。不同文本之间发生歧义的，以中文文本为准。</w:t>
      </w:r>
    </w:p>
    <w:p>
      <w:pPr>
        <w:pStyle w:val="9"/>
        <w:spacing w:before="0" w:beforeAutospacing="0" w:after="0" w:afterAutospacing="0" w:line="360" w:lineRule="auto"/>
        <w:ind w:firstLine="420"/>
        <w:rPr>
          <w:sz w:val="21"/>
          <w:szCs w:val="21"/>
        </w:rPr>
      </w:pPr>
      <w:r>
        <w:rPr>
          <w:rStyle w:val="14"/>
          <w:rFonts w:hint="eastAsia"/>
          <w:sz w:val="21"/>
          <w:szCs w:val="21"/>
        </w:rPr>
        <w:t>本基金公开披露的信息采用阿拉伯数字；除特别说明外，货币单位为人民币元。</w:t>
      </w:r>
    </w:p>
    <w:p>
      <w:pPr>
        <w:pStyle w:val="9"/>
        <w:spacing w:before="0" w:beforeAutospacing="0" w:after="0" w:afterAutospacing="0" w:line="360" w:lineRule="auto"/>
        <w:ind w:firstLine="420"/>
        <w:rPr>
          <w:sz w:val="21"/>
          <w:szCs w:val="21"/>
        </w:rPr>
      </w:pPr>
      <w:r>
        <w:rPr>
          <w:rStyle w:val="14"/>
          <w:rFonts w:hint="eastAsia"/>
          <w:sz w:val="21"/>
          <w:szCs w:val="21"/>
        </w:rPr>
        <w:t>五、公开披露的基金信息</w:t>
      </w:r>
    </w:p>
    <w:p>
      <w:pPr>
        <w:pStyle w:val="9"/>
        <w:spacing w:before="0" w:beforeAutospacing="0" w:after="0" w:afterAutospacing="0" w:line="360" w:lineRule="auto"/>
        <w:ind w:firstLine="420"/>
        <w:rPr>
          <w:sz w:val="21"/>
          <w:szCs w:val="21"/>
        </w:rPr>
      </w:pPr>
      <w:r>
        <w:rPr>
          <w:rFonts w:hint="eastAsia"/>
          <w:sz w:val="21"/>
          <w:szCs w:val="21"/>
        </w:rPr>
        <w:t>公开披露的基金信息包括：</w:t>
      </w:r>
    </w:p>
    <w:p>
      <w:pPr>
        <w:pStyle w:val="9"/>
        <w:spacing w:before="0" w:beforeAutospacing="0" w:after="0" w:afterAutospacing="0" w:line="360" w:lineRule="auto"/>
        <w:ind w:firstLine="420"/>
        <w:rPr>
          <w:sz w:val="21"/>
          <w:szCs w:val="21"/>
        </w:rPr>
      </w:pPr>
      <w:r>
        <w:rPr>
          <w:rFonts w:hint="eastAsia"/>
          <w:sz w:val="21"/>
          <w:szCs w:val="21"/>
        </w:rPr>
        <w:t>（一）基金招募说明书、基金产品资料概要、《基金合同》、基金托管协议</w:t>
      </w:r>
    </w:p>
    <w:p>
      <w:pPr>
        <w:pStyle w:val="9"/>
        <w:spacing w:before="0" w:beforeAutospacing="0" w:after="0" w:afterAutospacing="0" w:line="360" w:lineRule="auto"/>
        <w:ind w:firstLine="420"/>
        <w:rPr>
          <w:sz w:val="21"/>
          <w:szCs w:val="21"/>
        </w:rPr>
      </w:pPr>
      <w:r>
        <w:rPr>
          <w:rFonts w:hint="eastAsia"/>
          <w:sz w:val="21"/>
          <w:szCs w:val="21"/>
        </w:rPr>
        <w:t>1、《基金合同》是界定《基金合同》当事人的各项权利、义务关系，明确基金份额持有人大会召开的规则及具体程序，说明基金产品的特性等涉及基金投资者重大利益的事项的法律文件。</w:t>
      </w:r>
    </w:p>
    <w:p>
      <w:pPr>
        <w:pStyle w:val="9"/>
        <w:spacing w:before="0" w:beforeAutospacing="0" w:after="0" w:afterAutospacing="0" w:line="360" w:lineRule="auto"/>
        <w:ind w:firstLine="420"/>
        <w:rPr>
          <w:sz w:val="21"/>
          <w:szCs w:val="21"/>
        </w:rPr>
      </w:pPr>
      <w:r>
        <w:rPr>
          <w:rFonts w:hint="eastAsia"/>
          <w:sz w:val="21"/>
          <w:szCs w:val="21"/>
        </w:rPr>
        <w:t>2、基金招募说明书应当最大限度地披露影响基金投资者决策的全部事项，说明基金认购、申购和赎回安排、基金投资、基金产品特性、风险揭示、信息披露及基金份额持有人服务等内容。</w:t>
      </w:r>
    </w:p>
    <w:p>
      <w:pPr>
        <w:pStyle w:val="9"/>
        <w:spacing w:before="0" w:beforeAutospacing="0" w:after="0" w:afterAutospacing="0" w:line="360" w:lineRule="auto"/>
        <w:ind w:firstLine="420"/>
        <w:rPr>
          <w:sz w:val="21"/>
          <w:szCs w:val="21"/>
        </w:rPr>
      </w:pPr>
      <w:r>
        <w:rPr>
          <w:rFonts w:hint="eastAsia"/>
          <w:sz w:val="21"/>
          <w:szCs w:val="21"/>
        </w:rPr>
        <w:t>基金产品资料概要是基金招募说明书的摘要文件，用于向投资者提供简明的基金概要信息。基金管理人应当依照法律法规和中国证监会的规定编制、披露与更新基金产品资料概要。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此之外，基金招募说明书、基金产品资料概要其他信息发生变更的，基金管理人至少每年更新一次。</w:t>
      </w:r>
    </w:p>
    <w:p>
      <w:pPr>
        <w:pStyle w:val="9"/>
        <w:spacing w:before="0" w:beforeAutospacing="0" w:after="0" w:afterAutospacing="0" w:line="360" w:lineRule="auto"/>
        <w:ind w:firstLine="420"/>
        <w:rPr>
          <w:sz w:val="21"/>
          <w:szCs w:val="21"/>
        </w:rPr>
      </w:pPr>
      <w:r>
        <w:rPr>
          <w:rFonts w:hint="eastAsia"/>
          <w:sz w:val="21"/>
          <w:szCs w:val="21"/>
        </w:rPr>
        <w:t>基金终止运作的，除基金合同另有约定外，基金管理人可以不再更新基金招募说明书和基金产品资料概要。</w:t>
      </w:r>
    </w:p>
    <w:p>
      <w:pPr>
        <w:pStyle w:val="9"/>
        <w:spacing w:before="0" w:beforeAutospacing="0" w:after="0" w:afterAutospacing="0" w:line="360" w:lineRule="auto"/>
        <w:ind w:firstLine="420"/>
        <w:rPr>
          <w:sz w:val="21"/>
          <w:szCs w:val="21"/>
        </w:rPr>
      </w:pPr>
      <w:r>
        <w:rPr>
          <w:rFonts w:hint="eastAsia"/>
          <w:sz w:val="21"/>
          <w:szCs w:val="21"/>
        </w:rPr>
        <w:t>3、基金托管协议是界定基金托管人和基金管理人在基金财产保管及基金运作监督等活动中的权利、义务关系的法律文件。</w:t>
      </w:r>
    </w:p>
    <w:p>
      <w:pPr>
        <w:pStyle w:val="9"/>
        <w:spacing w:before="0" w:beforeAutospacing="0" w:after="0" w:afterAutospacing="0" w:line="360" w:lineRule="auto"/>
        <w:ind w:firstLine="420"/>
        <w:rPr>
          <w:sz w:val="21"/>
          <w:szCs w:val="21"/>
        </w:rPr>
      </w:pPr>
      <w:r>
        <w:rPr>
          <w:rFonts w:hint="eastAsia"/>
          <w:sz w:val="21"/>
          <w:szCs w:val="21"/>
        </w:rPr>
        <w:t>4、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pStyle w:val="9"/>
        <w:spacing w:before="0" w:beforeAutospacing="0" w:after="0" w:afterAutospacing="0" w:line="360" w:lineRule="auto"/>
        <w:ind w:firstLine="420"/>
        <w:rPr>
          <w:sz w:val="21"/>
          <w:szCs w:val="21"/>
        </w:rPr>
      </w:pPr>
      <w:r>
        <w:rPr>
          <w:rFonts w:hint="eastAsia"/>
          <w:sz w:val="21"/>
          <w:szCs w:val="21"/>
        </w:rPr>
        <w:t>（二）基金份额发售公告</w:t>
      </w:r>
    </w:p>
    <w:p>
      <w:pPr>
        <w:pStyle w:val="9"/>
        <w:spacing w:before="0" w:beforeAutospacing="0" w:after="0" w:afterAutospacing="0" w:line="360" w:lineRule="auto"/>
        <w:ind w:firstLine="420"/>
        <w:rPr>
          <w:sz w:val="21"/>
          <w:szCs w:val="21"/>
        </w:rPr>
      </w:pPr>
      <w:r>
        <w:rPr>
          <w:rFonts w:hint="eastAsia"/>
          <w:sz w:val="21"/>
          <w:szCs w:val="21"/>
        </w:rPr>
        <w:t>基金管理人应当就基金份额发售的具体事宜编制基金份额发售公告，并在披露招募说明书的当日登载于规定媒介上。</w:t>
      </w:r>
    </w:p>
    <w:p>
      <w:pPr>
        <w:pStyle w:val="9"/>
        <w:spacing w:before="0" w:beforeAutospacing="0" w:after="0" w:afterAutospacing="0" w:line="360" w:lineRule="auto"/>
        <w:ind w:firstLine="420"/>
        <w:rPr>
          <w:sz w:val="21"/>
          <w:szCs w:val="21"/>
        </w:rPr>
      </w:pPr>
      <w:r>
        <w:rPr>
          <w:rFonts w:hint="eastAsia"/>
          <w:sz w:val="21"/>
          <w:szCs w:val="21"/>
        </w:rPr>
        <w:t>（三）《基金合同》生效公告</w:t>
      </w:r>
    </w:p>
    <w:p>
      <w:pPr>
        <w:pStyle w:val="9"/>
        <w:spacing w:before="0" w:beforeAutospacing="0" w:after="0" w:afterAutospacing="0" w:line="360" w:lineRule="auto"/>
        <w:ind w:firstLine="420"/>
        <w:rPr>
          <w:sz w:val="21"/>
          <w:szCs w:val="21"/>
        </w:rPr>
      </w:pPr>
      <w:r>
        <w:rPr>
          <w:rFonts w:hint="eastAsia"/>
          <w:sz w:val="21"/>
          <w:szCs w:val="21"/>
        </w:rPr>
        <w:t>基金管理人应当在收到中国证监会确认文件的次日在规定报刊和规定网站上登载《基金合同》生效公告。</w:t>
      </w:r>
    </w:p>
    <w:p>
      <w:pPr>
        <w:pStyle w:val="9"/>
        <w:spacing w:before="0" w:beforeAutospacing="0" w:after="0" w:afterAutospacing="0" w:line="360" w:lineRule="auto"/>
        <w:ind w:firstLine="420"/>
        <w:rPr>
          <w:sz w:val="21"/>
          <w:szCs w:val="21"/>
        </w:rPr>
      </w:pPr>
      <w:r>
        <w:rPr>
          <w:rFonts w:hint="eastAsia"/>
          <w:sz w:val="21"/>
          <w:szCs w:val="21"/>
        </w:rPr>
        <w:t>（四）基金净值信息</w:t>
      </w:r>
    </w:p>
    <w:p>
      <w:pPr>
        <w:pStyle w:val="9"/>
        <w:spacing w:before="0" w:beforeAutospacing="0" w:after="0" w:afterAutospacing="0" w:line="360" w:lineRule="auto"/>
        <w:ind w:firstLine="420"/>
        <w:rPr>
          <w:sz w:val="21"/>
          <w:szCs w:val="21"/>
        </w:rPr>
      </w:pPr>
      <w:r>
        <w:rPr>
          <w:rFonts w:hint="eastAsia"/>
          <w:sz w:val="21"/>
          <w:szCs w:val="21"/>
        </w:rPr>
        <w:t>《基金合同》生效后，在开始办理基金份额申购或者赎回前，基金管理人应当至少每周在规定网站公告一次各类基金份额净值和各类基金份额累计净值。</w:t>
      </w:r>
    </w:p>
    <w:p>
      <w:pPr>
        <w:pStyle w:val="9"/>
        <w:spacing w:before="0" w:beforeAutospacing="0" w:after="0" w:afterAutospacing="0" w:line="360" w:lineRule="auto"/>
        <w:ind w:firstLine="420"/>
        <w:rPr>
          <w:sz w:val="21"/>
          <w:szCs w:val="21"/>
        </w:rPr>
      </w:pPr>
      <w:r>
        <w:rPr>
          <w:rFonts w:hint="eastAsia"/>
          <w:sz w:val="21"/>
          <w:szCs w:val="21"/>
        </w:rPr>
        <w:t>在开始办理基金份额申购或者赎回后，基金管理人应当在不晚于每个开放日的次日，通过规定网站、基金销售机构网站或者营业网点披露开放日的各类基金份额净值和各类基金份额累计净值。</w:t>
      </w:r>
    </w:p>
    <w:p>
      <w:pPr>
        <w:pStyle w:val="9"/>
        <w:spacing w:before="0" w:beforeAutospacing="0" w:after="0" w:afterAutospacing="0" w:line="360" w:lineRule="auto"/>
        <w:ind w:firstLine="420"/>
        <w:rPr>
          <w:sz w:val="21"/>
          <w:szCs w:val="21"/>
        </w:rPr>
      </w:pPr>
      <w:r>
        <w:rPr>
          <w:rFonts w:hint="eastAsia"/>
          <w:sz w:val="21"/>
          <w:szCs w:val="21"/>
        </w:rPr>
        <w:t>基金管理人应当在不晚于半年度和年度最后一日的次日， 在规定网站公告半年度和年度最后一日各类基金份额净值和各类基金份额累计净值。</w:t>
      </w:r>
    </w:p>
    <w:p>
      <w:pPr>
        <w:pStyle w:val="9"/>
        <w:spacing w:before="0" w:beforeAutospacing="0" w:after="0" w:afterAutospacing="0" w:line="360" w:lineRule="auto"/>
        <w:ind w:firstLine="420"/>
        <w:rPr>
          <w:sz w:val="21"/>
          <w:szCs w:val="21"/>
        </w:rPr>
      </w:pPr>
      <w:r>
        <w:rPr>
          <w:rFonts w:hint="eastAsia"/>
          <w:sz w:val="21"/>
          <w:szCs w:val="21"/>
        </w:rPr>
        <w:t>（五）基金份额申购、赎回价格</w:t>
      </w:r>
    </w:p>
    <w:p>
      <w:pPr>
        <w:pStyle w:val="9"/>
        <w:spacing w:before="0" w:beforeAutospacing="0" w:after="0" w:afterAutospacing="0" w:line="360" w:lineRule="auto"/>
        <w:ind w:firstLine="420"/>
        <w:rPr>
          <w:sz w:val="21"/>
          <w:szCs w:val="21"/>
        </w:rPr>
      </w:pPr>
      <w:r>
        <w:rPr>
          <w:rFonts w:hint="eastAsia"/>
          <w:sz w:val="21"/>
          <w:szCs w:val="21"/>
        </w:rPr>
        <w:t>基金管理人应当在《基金合同》、招募说明书等信息披露文件上载明基金份额申购、赎回价格的计算方式及有关申购、赎回费率，并保证投资者能够在基金销售机构网站或者营业网点查阅或者复制前述信息资料。</w:t>
      </w:r>
    </w:p>
    <w:p>
      <w:pPr>
        <w:pStyle w:val="9"/>
        <w:spacing w:before="0" w:beforeAutospacing="0" w:after="0" w:afterAutospacing="0" w:line="360" w:lineRule="auto"/>
        <w:ind w:firstLine="420"/>
        <w:rPr>
          <w:sz w:val="21"/>
          <w:szCs w:val="21"/>
        </w:rPr>
      </w:pPr>
      <w:r>
        <w:rPr>
          <w:rFonts w:hint="eastAsia"/>
          <w:sz w:val="21"/>
          <w:szCs w:val="21"/>
        </w:rPr>
        <w:t>（六）基金定期报告，包括基金年度报告、基金中期报告和基金季度报告（含资产组合季度报告）</w:t>
      </w:r>
    </w:p>
    <w:p>
      <w:pPr>
        <w:pStyle w:val="9"/>
        <w:spacing w:before="0" w:beforeAutospacing="0" w:after="0" w:afterAutospacing="0" w:line="360" w:lineRule="auto"/>
        <w:ind w:firstLine="420"/>
        <w:rPr>
          <w:sz w:val="21"/>
          <w:szCs w:val="21"/>
        </w:rPr>
      </w:pPr>
      <w:r>
        <w:rPr>
          <w:rFonts w:hint="eastAsia"/>
          <w:sz w:val="21"/>
          <w:szCs w:val="21"/>
        </w:rPr>
        <w:t>基金管理人应当在每年结束之日起三个月内，编制完成基金年度报告，将年度报告登载于规定网站上，并将年度报告提示性公告登载在规定报刊上。基金年度报告中的财务会计报告应当经过符合《中华人民共和国证券法》规定的会计师事务所审计。</w:t>
      </w:r>
    </w:p>
    <w:p>
      <w:pPr>
        <w:pStyle w:val="9"/>
        <w:spacing w:before="0" w:beforeAutospacing="0" w:after="0" w:afterAutospacing="0" w:line="360" w:lineRule="auto"/>
        <w:ind w:firstLine="420"/>
        <w:rPr>
          <w:sz w:val="21"/>
          <w:szCs w:val="21"/>
        </w:rPr>
      </w:pPr>
      <w:r>
        <w:rPr>
          <w:rFonts w:hint="eastAsia"/>
          <w:sz w:val="21"/>
          <w:szCs w:val="21"/>
        </w:rPr>
        <w:t>基金管理人应当在上半年结束之日起两个月内，编制完成基金中期报告，将中期报告登载在规定网站上，并将中期报告提示性公告登载在规定报刊上。</w:t>
      </w:r>
    </w:p>
    <w:p>
      <w:pPr>
        <w:pStyle w:val="9"/>
        <w:spacing w:before="0" w:beforeAutospacing="0" w:after="0" w:afterAutospacing="0" w:line="360" w:lineRule="auto"/>
        <w:ind w:firstLine="420"/>
        <w:rPr>
          <w:sz w:val="21"/>
          <w:szCs w:val="21"/>
        </w:rPr>
      </w:pPr>
      <w:r>
        <w:rPr>
          <w:rFonts w:hint="eastAsia"/>
          <w:sz w:val="21"/>
          <w:szCs w:val="21"/>
        </w:rPr>
        <w:t>基金管理人应当在季度结束之日起15个工作日内，编制完成基金季度报告，将季度报告登载在规定网站上，并将季度报告提示性公告登载在规定报刊上。</w:t>
      </w:r>
    </w:p>
    <w:p>
      <w:pPr>
        <w:pStyle w:val="9"/>
        <w:spacing w:before="0" w:beforeAutospacing="0" w:after="0" w:afterAutospacing="0" w:line="360" w:lineRule="auto"/>
        <w:ind w:firstLine="420"/>
        <w:rPr>
          <w:sz w:val="21"/>
          <w:szCs w:val="21"/>
        </w:rPr>
      </w:pPr>
      <w:r>
        <w:rPr>
          <w:rFonts w:hint="eastAsia"/>
          <w:sz w:val="21"/>
          <w:szCs w:val="21"/>
        </w:rPr>
        <w:t>《基金合同》生效不足2个月的，基金管理人可以不编制当期季度报告、中期报告或者年度报告。</w:t>
      </w:r>
    </w:p>
    <w:p>
      <w:pPr>
        <w:pStyle w:val="9"/>
        <w:spacing w:before="0" w:beforeAutospacing="0" w:after="0" w:afterAutospacing="0" w:line="360" w:lineRule="auto"/>
        <w:ind w:firstLine="420"/>
        <w:rPr>
          <w:sz w:val="21"/>
          <w:szCs w:val="21"/>
        </w:rPr>
      </w:pPr>
      <w:r>
        <w:rPr>
          <w:rFonts w:hint="eastAsia"/>
          <w:sz w:val="2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pStyle w:val="9"/>
        <w:spacing w:before="0" w:beforeAutospacing="0" w:after="0" w:afterAutospacing="0" w:line="360" w:lineRule="auto"/>
        <w:ind w:firstLine="420"/>
        <w:rPr>
          <w:sz w:val="21"/>
          <w:szCs w:val="21"/>
        </w:rPr>
      </w:pPr>
      <w:r>
        <w:rPr>
          <w:rFonts w:hint="eastAsia"/>
          <w:sz w:val="21"/>
          <w:szCs w:val="21"/>
        </w:rPr>
        <w:t>基金管理人应当在基金年度报告和中期报告中披露基金组合资产情况及其流动性风险分析等。</w:t>
      </w:r>
    </w:p>
    <w:p>
      <w:pPr>
        <w:pStyle w:val="9"/>
        <w:spacing w:before="0" w:beforeAutospacing="0" w:after="0" w:afterAutospacing="0" w:line="360" w:lineRule="auto"/>
        <w:ind w:firstLine="420"/>
        <w:rPr>
          <w:sz w:val="21"/>
          <w:szCs w:val="21"/>
        </w:rPr>
      </w:pPr>
      <w:r>
        <w:rPr>
          <w:rFonts w:hint="eastAsia"/>
          <w:sz w:val="21"/>
          <w:szCs w:val="21"/>
        </w:rPr>
        <w:t>（七）临时报告</w:t>
      </w:r>
    </w:p>
    <w:p>
      <w:pPr>
        <w:pStyle w:val="9"/>
        <w:spacing w:before="0" w:beforeAutospacing="0" w:after="0" w:afterAutospacing="0" w:line="360" w:lineRule="auto"/>
        <w:ind w:firstLine="420"/>
        <w:rPr>
          <w:sz w:val="21"/>
          <w:szCs w:val="21"/>
        </w:rPr>
      </w:pPr>
      <w:r>
        <w:rPr>
          <w:rFonts w:hint="eastAsia"/>
          <w:sz w:val="21"/>
          <w:szCs w:val="21"/>
        </w:rPr>
        <w:t>本基金发生重大事件，有关信息披露义务人应当按规定编制临时报告书，并登载在规定报刊和规定网站上。</w:t>
      </w:r>
    </w:p>
    <w:p>
      <w:pPr>
        <w:pStyle w:val="9"/>
        <w:spacing w:before="0" w:beforeAutospacing="0" w:after="0" w:afterAutospacing="0" w:line="360" w:lineRule="auto"/>
        <w:ind w:firstLine="420"/>
        <w:rPr>
          <w:sz w:val="21"/>
          <w:szCs w:val="21"/>
        </w:rPr>
      </w:pPr>
      <w:r>
        <w:rPr>
          <w:rFonts w:hint="eastAsia"/>
          <w:sz w:val="21"/>
          <w:szCs w:val="21"/>
        </w:rPr>
        <w:t>前款所称重大事件，是指可能对基金份额持有人权益或者基金份额的价格产生重大影响的下列事件：</w:t>
      </w:r>
    </w:p>
    <w:p>
      <w:pPr>
        <w:pStyle w:val="9"/>
        <w:spacing w:before="0" w:beforeAutospacing="0" w:after="0" w:afterAutospacing="0" w:line="360" w:lineRule="auto"/>
        <w:ind w:firstLine="420"/>
        <w:rPr>
          <w:sz w:val="21"/>
          <w:szCs w:val="21"/>
        </w:rPr>
      </w:pPr>
      <w:r>
        <w:rPr>
          <w:rFonts w:hint="eastAsia"/>
          <w:sz w:val="21"/>
          <w:szCs w:val="21"/>
        </w:rPr>
        <w:t>1、基金份额持有人大会的召开及决定的事项；</w:t>
      </w:r>
    </w:p>
    <w:p>
      <w:pPr>
        <w:pStyle w:val="9"/>
        <w:spacing w:before="0" w:beforeAutospacing="0" w:after="0" w:afterAutospacing="0" w:line="360" w:lineRule="auto"/>
        <w:ind w:firstLine="420"/>
        <w:rPr>
          <w:sz w:val="21"/>
          <w:szCs w:val="21"/>
        </w:rPr>
      </w:pPr>
      <w:r>
        <w:rPr>
          <w:rFonts w:hint="eastAsia"/>
          <w:sz w:val="21"/>
          <w:szCs w:val="21"/>
        </w:rPr>
        <w:t>2、《基金合同》终止、基金清算；</w:t>
      </w:r>
    </w:p>
    <w:p>
      <w:pPr>
        <w:pStyle w:val="9"/>
        <w:spacing w:before="0" w:beforeAutospacing="0" w:after="0" w:afterAutospacing="0" w:line="360" w:lineRule="auto"/>
        <w:ind w:firstLine="420"/>
        <w:rPr>
          <w:sz w:val="21"/>
          <w:szCs w:val="21"/>
        </w:rPr>
      </w:pPr>
      <w:r>
        <w:rPr>
          <w:rFonts w:hint="eastAsia"/>
          <w:sz w:val="21"/>
          <w:szCs w:val="21"/>
        </w:rPr>
        <w:t>3、转换基金运作方式、基金合并；</w:t>
      </w:r>
    </w:p>
    <w:p>
      <w:pPr>
        <w:pStyle w:val="9"/>
        <w:spacing w:before="0" w:beforeAutospacing="0" w:after="0" w:afterAutospacing="0" w:line="360" w:lineRule="auto"/>
        <w:ind w:firstLine="420"/>
        <w:rPr>
          <w:sz w:val="21"/>
          <w:szCs w:val="21"/>
        </w:rPr>
      </w:pPr>
      <w:r>
        <w:rPr>
          <w:rFonts w:hint="eastAsia"/>
          <w:sz w:val="21"/>
          <w:szCs w:val="21"/>
        </w:rPr>
        <w:t>4、更换基金管理人、基金托管人；</w:t>
      </w:r>
    </w:p>
    <w:p>
      <w:pPr>
        <w:pStyle w:val="9"/>
        <w:spacing w:before="0" w:beforeAutospacing="0" w:after="0" w:afterAutospacing="0" w:line="360" w:lineRule="auto"/>
        <w:ind w:firstLine="420"/>
        <w:rPr>
          <w:sz w:val="21"/>
          <w:szCs w:val="21"/>
        </w:rPr>
      </w:pPr>
      <w:r>
        <w:rPr>
          <w:rFonts w:hint="eastAsia"/>
          <w:sz w:val="21"/>
          <w:szCs w:val="21"/>
        </w:rPr>
        <w:t>5、基金管理人委托基金服务机构代为办理基金的份额登记、核算、估值等事项，基金托管人委托基金服务机构代为办理基金的核算、估值、复核等事项；</w:t>
      </w:r>
    </w:p>
    <w:p>
      <w:pPr>
        <w:pStyle w:val="9"/>
        <w:spacing w:before="0" w:beforeAutospacing="0" w:after="0" w:afterAutospacing="0" w:line="360" w:lineRule="auto"/>
        <w:ind w:firstLine="420"/>
        <w:rPr>
          <w:sz w:val="21"/>
          <w:szCs w:val="21"/>
        </w:rPr>
      </w:pPr>
      <w:r>
        <w:rPr>
          <w:rFonts w:hint="eastAsia"/>
          <w:sz w:val="21"/>
          <w:szCs w:val="21"/>
        </w:rPr>
        <w:t>6、基金管理人、基金托管人的法定名称、住所发生变更；</w:t>
      </w:r>
    </w:p>
    <w:p>
      <w:pPr>
        <w:pStyle w:val="9"/>
        <w:spacing w:before="0" w:beforeAutospacing="0" w:after="0" w:afterAutospacing="0" w:line="360" w:lineRule="auto"/>
        <w:ind w:firstLine="420"/>
        <w:rPr>
          <w:sz w:val="21"/>
          <w:szCs w:val="21"/>
        </w:rPr>
      </w:pPr>
      <w:r>
        <w:rPr>
          <w:rFonts w:hint="eastAsia"/>
          <w:sz w:val="21"/>
          <w:szCs w:val="21"/>
        </w:rPr>
        <w:t>7、基金管理人变更持有百分之五以上股权的股东、变更基金管理人的实际控制人；</w:t>
      </w:r>
    </w:p>
    <w:p>
      <w:pPr>
        <w:pStyle w:val="9"/>
        <w:spacing w:before="0" w:beforeAutospacing="0" w:after="0" w:afterAutospacing="0" w:line="360" w:lineRule="auto"/>
        <w:ind w:firstLine="420"/>
        <w:rPr>
          <w:sz w:val="21"/>
          <w:szCs w:val="21"/>
        </w:rPr>
      </w:pPr>
      <w:r>
        <w:rPr>
          <w:rFonts w:hint="eastAsia"/>
          <w:sz w:val="21"/>
          <w:szCs w:val="21"/>
        </w:rPr>
        <w:t>8、基金募集期延长或提前结束募集；</w:t>
      </w:r>
    </w:p>
    <w:p>
      <w:pPr>
        <w:pStyle w:val="9"/>
        <w:spacing w:before="0" w:beforeAutospacing="0" w:after="0" w:afterAutospacing="0" w:line="360" w:lineRule="auto"/>
        <w:ind w:firstLine="420"/>
        <w:rPr>
          <w:sz w:val="21"/>
          <w:szCs w:val="21"/>
        </w:rPr>
      </w:pPr>
      <w:r>
        <w:rPr>
          <w:rFonts w:hint="eastAsia"/>
          <w:sz w:val="21"/>
          <w:szCs w:val="21"/>
        </w:rPr>
        <w:t>9、基金管理人高级管理人员、基金经理和基金托管人专门基金托管部门负责人发生变动；</w:t>
      </w:r>
    </w:p>
    <w:p>
      <w:pPr>
        <w:pStyle w:val="9"/>
        <w:spacing w:before="0" w:beforeAutospacing="0" w:after="0" w:afterAutospacing="0" w:line="360" w:lineRule="auto"/>
        <w:ind w:firstLine="420"/>
        <w:rPr>
          <w:sz w:val="21"/>
          <w:szCs w:val="21"/>
        </w:rPr>
      </w:pPr>
      <w:r>
        <w:rPr>
          <w:rFonts w:hint="eastAsia"/>
          <w:sz w:val="21"/>
          <w:szCs w:val="21"/>
        </w:rPr>
        <w:t>10、基金管理人的董事在最近12个月内变更超过百分之五十；</w:t>
      </w:r>
    </w:p>
    <w:p>
      <w:pPr>
        <w:pStyle w:val="9"/>
        <w:spacing w:before="0" w:beforeAutospacing="0" w:after="0" w:afterAutospacing="0" w:line="360" w:lineRule="auto"/>
        <w:ind w:firstLine="420"/>
        <w:rPr>
          <w:sz w:val="21"/>
          <w:szCs w:val="21"/>
        </w:rPr>
      </w:pPr>
      <w:r>
        <w:rPr>
          <w:rFonts w:hint="eastAsia"/>
          <w:sz w:val="21"/>
          <w:szCs w:val="21"/>
        </w:rPr>
        <w:t>11、基金管理人、基金托管人专门基金托管部门的主要业务人员在最近12个月内变动超过百分之三十；</w:t>
      </w:r>
    </w:p>
    <w:p>
      <w:pPr>
        <w:pStyle w:val="9"/>
        <w:spacing w:before="0" w:beforeAutospacing="0" w:after="0" w:afterAutospacing="0" w:line="360" w:lineRule="auto"/>
        <w:ind w:firstLine="420"/>
        <w:rPr>
          <w:sz w:val="21"/>
          <w:szCs w:val="21"/>
        </w:rPr>
      </w:pPr>
      <w:r>
        <w:rPr>
          <w:rFonts w:hint="eastAsia"/>
          <w:sz w:val="21"/>
          <w:szCs w:val="21"/>
        </w:rPr>
        <w:t>12、涉及基金管理业务、基金财产、基金托管业务的诉讼或仲裁； </w:t>
      </w:r>
    </w:p>
    <w:p>
      <w:pPr>
        <w:pStyle w:val="9"/>
        <w:spacing w:before="0" w:beforeAutospacing="0" w:after="0" w:afterAutospacing="0" w:line="360" w:lineRule="auto"/>
        <w:ind w:firstLine="420"/>
        <w:rPr>
          <w:sz w:val="21"/>
          <w:szCs w:val="21"/>
        </w:rPr>
      </w:pPr>
      <w:r>
        <w:rPr>
          <w:rFonts w:hint="eastAsia"/>
          <w:sz w:val="21"/>
          <w:szCs w:val="21"/>
        </w:rPr>
        <w:t>13、基金管理人或其高级管理人员、基金经理因基金管理业务相关行为受到重大行政处罚、刑事处罚，基金托管人或其专门基金托管部门负责人因基金托管业务相关行为受到重大行政处罚、刑事处罚；</w:t>
      </w:r>
    </w:p>
    <w:p>
      <w:pPr>
        <w:pStyle w:val="9"/>
        <w:spacing w:before="0" w:beforeAutospacing="0" w:after="0" w:afterAutospacing="0" w:line="360" w:lineRule="auto"/>
        <w:ind w:firstLine="420"/>
        <w:rPr>
          <w:sz w:val="21"/>
          <w:szCs w:val="21"/>
        </w:rPr>
      </w:pPr>
      <w:r>
        <w:rPr>
          <w:rFonts w:hint="eastAsia"/>
          <w:sz w:val="21"/>
          <w:szCs w:val="21"/>
        </w:rPr>
        <w:t>14、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pStyle w:val="9"/>
        <w:spacing w:before="0" w:beforeAutospacing="0" w:after="0" w:afterAutospacing="0" w:line="360" w:lineRule="auto"/>
        <w:ind w:firstLine="420"/>
        <w:rPr>
          <w:sz w:val="21"/>
          <w:szCs w:val="21"/>
        </w:rPr>
      </w:pPr>
      <w:r>
        <w:rPr>
          <w:rFonts w:hint="eastAsia"/>
          <w:sz w:val="21"/>
          <w:szCs w:val="21"/>
        </w:rPr>
        <w:t>15、基金收益分配事项；</w:t>
      </w:r>
    </w:p>
    <w:p>
      <w:pPr>
        <w:pStyle w:val="9"/>
        <w:spacing w:before="0" w:beforeAutospacing="0" w:after="0" w:afterAutospacing="0" w:line="360" w:lineRule="auto"/>
        <w:ind w:firstLine="420"/>
        <w:rPr>
          <w:sz w:val="21"/>
          <w:szCs w:val="21"/>
        </w:rPr>
      </w:pPr>
      <w:r>
        <w:rPr>
          <w:rFonts w:hint="eastAsia"/>
          <w:sz w:val="21"/>
          <w:szCs w:val="21"/>
        </w:rPr>
        <w:t>16、管理费、托管费、销售服务费、申购费、赎回费等费用计提标准、计提方式和费率发生变更；</w:t>
      </w:r>
    </w:p>
    <w:p>
      <w:pPr>
        <w:pStyle w:val="9"/>
        <w:spacing w:before="0" w:beforeAutospacing="0" w:after="0" w:afterAutospacing="0" w:line="360" w:lineRule="auto"/>
        <w:ind w:firstLine="420"/>
        <w:rPr>
          <w:sz w:val="21"/>
          <w:szCs w:val="21"/>
        </w:rPr>
      </w:pPr>
      <w:r>
        <w:rPr>
          <w:rFonts w:hint="eastAsia"/>
          <w:sz w:val="21"/>
          <w:szCs w:val="21"/>
        </w:rPr>
        <w:t>17、任一类基金份额净值计价错误达该类基金份额净值百分之零点五；</w:t>
      </w:r>
    </w:p>
    <w:p>
      <w:pPr>
        <w:pStyle w:val="9"/>
        <w:spacing w:before="0" w:beforeAutospacing="0" w:after="0" w:afterAutospacing="0" w:line="360" w:lineRule="auto"/>
        <w:ind w:firstLine="420"/>
        <w:rPr>
          <w:sz w:val="21"/>
          <w:szCs w:val="21"/>
        </w:rPr>
      </w:pPr>
      <w:r>
        <w:rPr>
          <w:rFonts w:hint="eastAsia"/>
          <w:sz w:val="21"/>
          <w:szCs w:val="21"/>
        </w:rPr>
        <w:t>18、基金改聘会计师事务所；</w:t>
      </w:r>
    </w:p>
    <w:p>
      <w:pPr>
        <w:pStyle w:val="9"/>
        <w:spacing w:before="0" w:beforeAutospacing="0" w:after="0" w:afterAutospacing="0" w:line="360" w:lineRule="auto"/>
        <w:ind w:firstLine="420"/>
        <w:rPr>
          <w:sz w:val="21"/>
          <w:szCs w:val="21"/>
        </w:rPr>
      </w:pPr>
      <w:r>
        <w:rPr>
          <w:rFonts w:hint="eastAsia"/>
          <w:sz w:val="21"/>
          <w:szCs w:val="21"/>
        </w:rPr>
        <w:t>19、更换基金登记机构；</w:t>
      </w:r>
    </w:p>
    <w:p>
      <w:pPr>
        <w:pStyle w:val="9"/>
        <w:spacing w:before="0" w:beforeAutospacing="0" w:after="0" w:afterAutospacing="0" w:line="360" w:lineRule="auto"/>
        <w:ind w:firstLine="420"/>
        <w:rPr>
          <w:sz w:val="21"/>
          <w:szCs w:val="21"/>
        </w:rPr>
      </w:pPr>
      <w:r>
        <w:rPr>
          <w:rFonts w:hint="eastAsia"/>
          <w:sz w:val="21"/>
          <w:szCs w:val="21"/>
        </w:rPr>
        <w:t>20、本基金开始办理申购、赎回；</w:t>
      </w:r>
    </w:p>
    <w:p>
      <w:pPr>
        <w:pStyle w:val="9"/>
        <w:spacing w:before="0" w:beforeAutospacing="0" w:after="0" w:afterAutospacing="0" w:line="360" w:lineRule="auto"/>
        <w:ind w:firstLine="420"/>
        <w:rPr>
          <w:sz w:val="21"/>
          <w:szCs w:val="21"/>
        </w:rPr>
      </w:pPr>
      <w:r>
        <w:rPr>
          <w:rFonts w:hint="eastAsia"/>
          <w:sz w:val="21"/>
          <w:szCs w:val="21"/>
        </w:rPr>
        <w:t>21、本基金发生巨额赎回并延期办理；</w:t>
      </w:r>
    </w:p>
    <w:p>
      <w:pPr>
        <w:pStyle w:val="9"/>
        <w:spacing w:before="0" w:beforeAutospacing="0" w:after="0" w:afterAutospacing="0" w:line="360" w:lineRule="auto"/>
        <w:ind w:firstLine="420"/>
        <w:rPr>
          <w:sz w:val="21"/>
          <w:szCs w:val="21"/>
        </w:rPr>
      </w:pPr>
      <w:r>
        <w:rPr>
          <w:rFonts w:hint="eastAsia"/>
          <w:sz w:val="21"/>
          <w:szCs w:val="21"/>
        </w:rPr>
        <w:t>22、本基金连续发生巨额赎回并暂停接受赎回申请或延缓支付赎回款项；</w:t>
      </w:r>
    </w:p>
    <w:p>
      <w:pPr>
        <w:pStyle w:val="9"/>
        <w:spacing w:before="0" w:beforeAutospacing="0" w:after="0" w:afterAutospacing="0" w:line="360" w:lineRule="auto"/>
        <w:ind w:firstLine="420"/>
        <w:rPr>
          <w:sz w:val="21"/>
          <w:szCs w:val="21"/>
        </w:rPr>
      </w:pPr>
      <w:r>
        <w:rPr>
          <w:rFonts w:hint="eastAsia"/>
          <w:sz w:val="21"/>
          <w:szCs w:val="21"/>
        </w:rPr>
        <w:t>23、本基金暂停接受申购、赎回申请或重新接受申购、赎回申请；</w:t>
      </w:r>
    </w:p>
    <w:p>
      <w:pPr>
        <w:pStyle w:val="9"/>
        <w:spacing w:before="0" w:beforeAutospacing="0" w:after="0" w:afterAutospacing="0" w:line="360" w:lineRule="auto"/>
        <w:ind w:firstLine="420"/>
        <w:rPr>
          <w:sz w:val="21"/>
          <w:szCs w:val="21"/>
        </w:rPr>
      </w:pPr>
      <w:r>
        <w:rPr>
          <w:rFonts w:hint="eastAsia"/>
          <w:sz w:val="21"/>
          <w:szCs w:val="21"/>
        </w:rPr>
        <w:t>24、发生涉及基金申购、赎回事项调整或潜在影响投资者赎回等重大事项时；</w:t>
      </w:r>
    </w:p>
    <w:p>
      <w:pPr>
        <w:pStyle w:val="9"/>
        <w:spacing w:before="0" w:beforeAutospacing="0" w:after="0" w:afterAutospacing="0" w:line="360" w:lineRule="auto"/>
        <w:ind w:firstLine="420"/>
        <w:rPr>
          <w:sz w:val="21"/>
          <w:szCs w:val="21"/>
        </w:rPr>
      </w:pPr>
      <w:r>
        <w:rPr>
          <w:rFonts w:hint="eastAsia"/>
          <w:sz w:val="21"/>
          <w:szCs w:val="21"/>
        </w:rPr>
        <w:t>25、基金管理人采用摆动定价机制进行估值；</w:t>
      </w:r>
    </w:p>
    <w:p>
      <w:pPr>
        <w:pStyle w:val="9"/>
        <w:spacing w:before="0" w:beforeAutospacing="0" w:after="0" w:afterAutospacing="0" w:line="360" w:lineRule="auto"/>
        <w:ind w:firstLine="420"/>
        <w:rPr>
          <w:sz w:val="21"/>
          <w:szCs w:val="21"/>
        </w:rPr>
      </w:pPr>
      <w:r>
        <w:rPr>
          <w:rFonts w:hint="eastAsia"/>
          <w:sz w:val="21"/>
          <w:szCs w:val="21"/>
        </w:rPr>
        <w:t>26、调整基金份额类别的设置；</w:t>
      </w:r>
    </w:p>
    <w:p>
      <w:pPr>
        <w:pStyle w:val="9"/>
        <w:spacing w:before="0" w:beforeAutospacing="0" w:after="0" w:afterAutospacing="0" w:line="360" w:lineRule="auto"/>
        <w:ind w:firstLine="420"/>
        <w:rPr>
          <w:sz w:val="21"/>
          <w:szCs w:val="21"/>
        </w:rPr>
      </w:pPr>
      <w:r>
        <w:rPr>
          <w:rFonts w:hint="eastAsia"/>
          <w:sz w:val="21"/>
          <w:szCs w:val="21"/>
        </w:rPr>
        <w:t>27、基金推出新业务或服务；</w:t>
      </w:r>
    </w:p>
    <w:p>
      <w:pPr>
        <w:pStyle w:val="9"/>
        <w:spacing w:before="0" w:beforeAutospacing="0" w:after="0" w:afterAutospacing="0" w:line="360" w:lineRule="auto"/>
        <w:ind w:firstLine="420"/>
        <w:rPr>
          <w:sz w:val="21"/>
          <w:szCs w:val="21"/>
        </w:rPr>
      </w:pPr>
      <w:r>
        <w:rPr>
          <w:rFonts w:hint="eastAsia"/>
          <w:sz w:val="21"/>
          <w:szCs w:val="21"/>
        </w:rPr>
        <w:t>28、基金信息披露义务人认为可能对基金份额持有人权益或者基金份额的价格产生重大影响的其他事项或中国证监会规定的和基金合同约定的其他事项。</w:t>
      </w:r>
    </w:p>
    <w:p>
      <w:pPr>
        <w:pStyle w:val="9"/>
        <w:spacing w:before="0" w:beforeAutospacing="0" w:after="0" w:afterAutospacing="0" w:line="360" w:lineRule="auto"/>
        <w:ind w:firstLine="420"/>
        <w:rPr>
          <w:sz w:val="21"/>
          <w:szCs w:val="21"/>
        </w:rPr>
      </w:pPr>
      <w:r>
        <w:rPr>
          <w:rFonts w:hint="eastAsia"/>
          <w:sz w:val="21"/>
          <w:szCs w:val="21"/>
        </w:rPr>
        <w:t>（八）澄清公告</w:t>
      </w:r>
    </w:p>
    <w:p>
      <w:pPr>
        <w:pStyle w:val="9"/>
        <w:spacing w:before="0" w:beforeAutospacing="0" w:after="0" w:afterAutospacing="0" w:line="360" w:lineRule="auto"/>
        <w:ind w:firstLine="420"/>
        <w:rPr>
          <w:sz w:val="21"/>
          <w:szCs w:val="21"/>
        </w:rPr>
      </w:pPr>
      <w:r>
        <w:rPr>
          <w:rFonts w:hint="eastAsia"/>
          <w:sz w:val="21"/>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pPr>
        <w:pStyle w:val="9"/>
        <w:spacing w:before="0" w:beforeAutospacing="0" w:after="0" w:afterAutospacing="0" w:line="360" w:lineRule="auto"/>
        <w:ind w:firstLine="420"/>
        <w:rPr>
          <w:sz w:val="21"/>
          <w:szCs w:val="21"/>
        </w:rPr>
      </w:pPr>
      <w:r>
        <w:rPr>
          <w:rFonts w:hint="eastAsia"/>
          <w:sz w:val="21"/>
          <w:szCs w:val="21"/>
        </w:rPr>
        <w:t>（九）清算报告</w:t>
      </w:r>
    </w:p>
    <w:p>
      <w:pPr>
        <w:pStyle w:val="9"/>
        <w:spacing w:before="0" w:beforeAutospacing="0" w:after="0" w:afterAutospacing="0" w:line="360" w:lineRule="auto"/>
        <w:ind w:firstLine="420"/>
        <w:rPr>
          <w:sz w:val="21"/>
          <w:szCs w:val="21"/>
        </w:rPr>
      </w:pPr>
      <w:r>
        <w:rPr>
          <w:rFonts w:hint="eastAsia"/>
          <w:sz w:val="21"/>
          <w:szCs w:val="21"/>
        </w:rPr>
        <w:t>基金终止运作的，基金管理人应当依法组织基金财产清算小组对基金财产进行清算并作出清算报告。基金财产清算小组应当将清算报告登载在规定网站上，并将清算报告提示性公告登载在规定报刊上。</w:t>
      </w:r>
    </w:p>
    <w:p>
      <w:pPr>
        <w:pStyle w:val="9"/>
        <w:spacing w:before="0" w:beforeAutospacing="0" w:after="0" w:afterAutospacing="0" w:line="360" w:lineRule="auto"/>
        <w:ind w:firstLine="420"/>
        <w:rPr>
          <w:sz w:val="21"/>
          <w:szCs w:val="21"/>
        </w:rPr>
      </w:pPr>
      <w:r>
        <w:rPr>
          <w:rFonts w:hint="eastAsia"/>
          <w:sz w:val="21"/>
          <w:szCs w:val="21"/>
        </w:rPr>
        <w:t>（十）基金份额持有人大会决议</w:t>
      </w:r>
    </w:p>
    <w:p>
      <w:pPr>
        <w:pStyle w:val="9"/>
        <w:spacing w:before="0" w:beforeAutospacing="0" w:after="0" w:afterAutospacing="0" w:line="360" w:lineRule="auto"/>
        <w:ind w:firstLine="420"/>
        <w:rPr>
          <w:sz w:val="21"/>
          <w:szCs w:val="21"/>
        </w:rPr>
      </w:pPr>
      <w:r>
        <w:rPr>
          <w:rFonts w:hint="eastAsia"/>
          <w:sz w:val="21"/>
          <w:szCs w:val="21"/>
        </w:rPr>
        <w:t>基金份额持有人大会决定的事项，应当依法报中国证监会备案，并予以公告。</w:t>
      </w:r>
    </w:p>
    <w:p>
      <w:pPr>
        <w:pStyle w:val="9"/>
        <w:spacing w:before="0" w:beforeAutospacing="0" w:after="0" w:afterAutospacing="0" w:line="360" w:lineRule="auto"/>
        <w:ind w:firstLine="420"/>
        <w:rPr>
          <w:sz w:val="21"/>
          <w:szCs w:val="21"/>
        </w:rPr>
      </w:pPr>
      <w:r>
        <w:rPr>
          <w:rFonts w:hint="eastAsia"/>
          <w:sz w:val="21"/>
          <w:szCs w:val="21"/>
        </w:rPr>
        <w:t>（十一）投资股指期货、国债期货、股票期权的信息披露</w:t>
      </w:r>
    </w:p>
    <w:p>
      <w:pPr>
        <w:pStyle w:val="9"/>
        <w:spacing w:before="0" w:beforeAutospacing="0" w:after="0" w:afterAutospacing="0" w:line="360" w:lineRule="auto"/>
        <w:ind w:firstLine="420"/>
        <w:rPr>
          <w:sz w:val="21"/>
          <w:szCs w:val="21"/>
        </w:rPr>
      </w:pPr>
      <w:r>
        <w:rPr>
          <w:rFonts w:hint="eastAsia"/>
          <w:sz w:val="21"/>
          <w:szCs w:val="21"/>
        </w:rPr>
        <w:t>基金管理人应当在基金季度报告、基金中期报告、基金年度报告等定期报告和招募说明书（更新）等文件中披露股指期货、国债期货、股票期权交易情况，包括投资政策、持仓情况、损益情况、风险指标等，并充分揭示股指期货、国债期货、股票期权交易对基金总体风险的影响以及是否符合既定的投资政策和投资目标等。</w:t>
      </w:r>
    </w:p>
    <w:p>
      <w:pPr>
        <w:pStyle w:val="9"/>
        <w:spacing w:before="0" w:beforeAutospacing="0" w:after="0" w:afterAutospacing="0" w:line="360" w:lineRule="auto"/>
        <w:ind w:firstLine="420"/>
        <w:rPr>
          <w:sz w:val="21"/>
          <w:szCs w:val="21"/>
        </w:rPr>
      </w:pPr>
      <w:r>
        <w:rPr>
          <w:rFonts w:hint="eastAsia"/>
          <w:sz w:val="21"/>
          <w:szCs w:val="21"/>
        </w:rPr>
        <w:t>（十二）投资资产支持证券的信息披露</w:t>
      </w:r>
    </w:p>
    <w:p>
      <w:pPr>
        <w:pStyle w:val="9"/>
        <w:spacing w:before="0" w:beforeAutospacing="0" w:after="0" w:afterAutospacing="0" w:line="360" w:lineRule="auto"/>
        <w:ind w:firstLine="420"/>
        <w:rPr>
          <w:sz w:val="21"/>
          <w:szCs w:val="21"/>
        </w:rPr>
      </w:pPr>
      <w:r>
        <w:rPr>
          <w:rFonts w:hint="eastAsia"/>
          <w:sz w:val="21"/>
          <w:szCs w:val="21"/>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pStyle w:val="9"/>
        <w:spacing w:before="0" w:beforeAutospacing="0" w:after="0" w:afterAutospacing="0" w:line="360" w:lineRule="auto"/>
        <w:ind w:firstLine="420"/>
        <w:rPr>
          <w:sz w:val="21"/>
          <w:szCs w:val="21"/>
        </w:rPr>
      </w:pPr>
      <w:r>
        <w:rPr>
          <w:rFonts w:hint="eastAsia"/>
          <w:sz w:val="21"/>
          <w:szCs w:val="21"/>
        </w:rPr>
        <w:t>（十三）投资港股通标的股票的信息披露</w:t>
      </w:r>
    </w:p>
    <w:p>
      <w:pPr>
        <w:pStyle w:val="9"/>
        <w:spacing w:before="0" w:beforeAutospacing="0" w:after="0" w:afterAutospacing="0" w:line="360" w:lineRule="auto"/>
        <w:ind w:firstLine="420"/>
        <w:rPr>
          <w:sz w:val="21"/>
          <w:szCs w:val="21"/>
        </w:rPr>
      </w:pPr>
      <w:r>
        <w:rPr>
          <w:rFonts w:hint="eastAsia"/>
          <w:sz w:val="21"/>
          <w:szCs w:val="21"/>
        </w:rPr>
        <w:t>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w:t>
      </w:r>
    </w:p>
    <w:p>
      <w:pPr>
        <w:pStyle w:val="9"/>
        <w:spacing w:before="0" w:beforeAutospacing="0" w:after="0" w:afterAutospacing="0" w:line="360" w:lineRule="auto"/>
        <w:ind w:firstLine="420"/>
        <w:rPr>
          <w:sz w:val="21"/>
          <w:szCs w:val="21"/>
        </w:rPr>
      </w:pPr>
      <w:r>
        <w:rPr>
          <w:rFonts w:hint="eastAsia"/>
          <w:sz w:val="21"/>
          <w:szCs w:val="21"/>
        </w:rPr>
        <w:t>（十四）投资非公开发行股票的信息披露</w:t>
      </w:r>
    </w:p>
    <w:p>
      <w:pPr>
        <w:pStyle w:val="9"/>
        <w:spacing w:before="0" w:beforeAutospacing="0" w:after="0" w:afterAutospacing="0" w:line="360" w:lineRule="auto"/>
        <w:ind w:firstLine="420"/>
        <w:rPr>
          <w:sz w:val="21"/>
          <w:szCs w:val="21"/>
        </w:rPr>
      </w:pPr>
      <w:r>
        <w:rPr>
          <w:rFonts w:hint="eastAsia"/>
          <w:sz w:val="21"/>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p>
      <w:pPr>
        <w:pStyle w:val="9"/>
        <w:spacing w:before="0" w:beforeAutospacing="0" w:after="0" w:afterAutospacing="0" w:line="360" w:lineRule="auto"/>
        <w:ind w:firstLine="420"/>
        <w:rPr>
          <w:sz w:val="21"/>
          <w:szCs w:val="21"/>
        </w:rPr>
      </w:pPr>
      <w:r>
        <w:rPr>
          <w:rFonts w:hint="eastAsia"/>
          <w:sz w:val="21"/>
          <w:szCs w:val="21"/>
        </w:rPr>
        <w:t>（十五）参与融资和转融通证券出借业务的信息披露</w:t>
      </w:r>
    </w:p>
    <w:p>
      <w:pPr>
        <w:pStyle w:val="9"/>
        <w:spacing w:before="0" w:beforeAutospacing="0" w:after="0" w:afterAutospacing="0" w:line="360" w:lineRule="auto"/>
        <w:ind w:firstLine="420"/>
        <w:rPr>
          <w:sz w:val="21"/>
          <w:szCs w:val="21"/>
        </w:rPr>
      </w:pPr>
      <w:r>
        <w:rPr>
          <w:rFonts w:hint="eastAsia"/>
          <w:sz w:val="21"/>
          <w:szCs w:val="21"/>
        </w:rPr>
        <w:t>本基金参与融资和转融通证券出借业务的，基金管理人应当在季度报告、中期报告、年度报告等定期报告和招募说明书（更新）等文件中披露参与融资和转融通证券出借业务情况，包括投资策略、业务开展情况、损益情况、风险及其管理情况等。</w:t>
      </w:r>
    </w:p>
    <w:p>
      <w:pPr>
        <w:pStyle w:val="9"/>
        <w:spacing w:before="0" w:beforeAutospacing="0" w:after="0" w:afterAutospacing="0" w:line="360" w:lineRule="auto"/>
        <w:ind w:firstLine="420"/>
        <w:rPr>
          <w:sz w:val="21"/>
          <w:szCs w:val="21"/>
        </w:rPr>
      </w:pPr>
      <w:r>
        <w:rPr>
          <w:rFonts w:hint="eastAsia"/>
          <w:sz w:val="21"/>
          <w:szCs w:val="21"/>
        </w:rPr>
        <w:t>本基金参与转融通证券出借业务的，基金管理人应当在基金定期报告等文件中就报告期内发生的重大关联交易事项做详细说明。</w:t>
      </w:r>
    </w:p>
    <w:p>
      <w:pPr>
        <w:pStyle w:val="9"/>
        <w:spacing w:before="0" w:beforeAutospacing="0" w:after="0" w:afterAutospacing="0" w:line="360" w:lineRule="auto"/>
        <w:ind w:firstLine="420"/>
        <w:rPr>
          <w:sz w:val="21"/>
          <w:szCs w:val="21"/>
        </w:rPr>
      </w:pPr>
      <w:r>
        <w:rPr>
          <w:rFonts w:hint="eastAsia"/>
          <w:sz w:val="21"/>
          <w:szCs w:val="21"/>
        </w:rPr>
        <w:t>未来在法律法规允许的前提下，本基金可依据法律法规的相关规定参与融券业务，并相应履行信披义务。</w:t>
      </w:r>
    </w:p>
    <w:p>
      <w:pPr>
        <w:pStyle w:val="9"/>
        <w:spacing w:before="0" w:beforeAutospacing="0" w:after="0" w:afterAutospacing="0" w:line="360" w:lineRule="auto"/>
        <w:ind w:firstLine="420"/>
        <w:rPr>
          <w:sz w:val="21"/>
          <w:szCs w:val="21"/>
        </w:rPr>
      </w:pPr>
      <w:r>
        <w:rPr>
          <w:rFonts w:hint="eastAsia"/>
          <w:sz w:val="21"/>
          <w:szCs w:val="21"/>
        </w:rPr>
        <w:t>（十六）实施侧袋机制期间的信息披露</w:t>
      </w:r>
    </w:p>
    <w:p>
      <w:pPr>
        <w:pStyle w:val="9"/>
        <w:spacing w:before="0" w:beforeAutospacing="0" w:after="0" w:afterAutospacing="0" w:line="360" w:lineRule="auto"/>
        <w:ind w:firstLine="420"/>
        <w:rPr>
          <w:sz w:val="21"/>
          <w:szCs w:val="21"/>
        </w:rPr>
      </w:pPr>
      <w:r>
        <w:rPr>
          <w:rFonts w:hint="eastAsia"/>
          <w:sz w:val="21"/>
          <w:szCs w:val="21"/>
        </w:rPr>
        <w:t>本基金实施侧袋机制的，相关信息披露义务人应当根据法律法规、基金合同和招募说明书的规定进行信息披露，详见本招募说明书“侧袋机制”章节的规定。</w:t>
      </w:r>
    </w:p>
    <w:p>
      <w:pPr>
        <w:pStyle w:val="9"/>
        <w:spacing w:before="0" w:beforeAutospacing="0" w:after="0" w:afterAutospacing="0" w:line="360" w:lineRule="auto"/>
        <w:ind w:firstLine="420"/>
        <w:rPr>
          <w:sz w:val="21"/>
          <w:szCs w:val="21"/>
        </w:rPr>
      </w:pPr>
      <w:r>
        <w:rPr>
          <w:rFonts w:hint="eastAsia"/>
          <w:sz w:val="21"/>
          <w:szCs w:val="21"/>
        </w:rPr>
        <w:t>（十七）中国证监会规定的其他信息</w:t>
      </w:r>
    </w:p>
    <w:p>
      <w:pPr>
        <w:pStyle w:val="9"/>
        <w:spacing w:before="0" w:beforeAutospacing="0" w:after="0" w:afterAutospacing="0" w:line="360" w:lineRule="auto"/>
        <w:ind w:firstLine="420"/>
        <w:rPr>
          <w:sz w:val="21"/>
          <w:szCs w:val="21"/>
        </w:rPr>
      </w:pPr>
      <w:r>
        <w:rPr>
          <w:rStyle w:val="14"/>
          <w:rFonts w:hint="eastAsia"/>
          <w:sz w:val="21"/>
          <w:szCs w:val="21"/>
        </w:rPr>
        <w:t>六、信息披露事务管理</w:t>
      </w:r>
    </w:p>
    <w:p>
      <w:pPr>
        <w:pStyle w:val="9"/>
        <w:spacing w:before="0" w:beforeAutospacing="0" w:after="0" w:afterAutospacing="0" w:line="360" w:lineRule="auto"/>
        <w:ind w:firstLine="420"/>
        <w:rPr>
          <w:sz w:val="21"/>
          <w:szCs w:val="21"/>
        </w:rPr>
      </w:pPr>
      <w:r>
        <w:rPr>
          <w:rFonts w:hint="eastAsia"/>
          <w:sz w:val="21"/>
          <w:szCs w:val="21"/>
        </w:rPr>
        <w:t>基金管理人、基金托管人应当建立健全信息披露管理制度，指定专门部门及高级管理人员负责管理信息披露事务。</w:t>
      </w:r>
    </w:p>
    <w:p>
      <w:pPr>
        <w:pStyle w:val="9"/>
        <w:spacing w:before="0" w:beforeAutospacing="0" w:after="0" w:afterAutospacing="0" w:line="360" w:lineRule="auto"/>
        <w:ind w:firstLine="420"/>
        <w:rPr>
          <w:sz w:val="21"/>
          <w:szCs w:val="21"/>
        </w:rPr>
      </w:pPr>
      <w:r>
        <w:rPr>
          <w:rFonts w:hint="eastAsia"/>
          <w:sz w:val="21"/>
          <w:szCs w:val="21"/>
        </w:rPr>
        <w:t>基金信息披露义务人公开披露基金信息，应当符合中国证监会相关基金信息披露内容与格式准则等法规的规定。</w:t>
      </w:r>
    </w:p>
    <w:p>
      <w:pPr>
        <w:pStyle w:val="9"/>
        <w:spacing w:before="0" w:beforeAutospacing="0" w:after="0" w:afterAutospacing="0" w:line="360" w:lineRule="auto"/>
        <w:ind w:firstLine="420"/>
        <w:rPr>
          <w:sz w:val="21"/>
          <w:szCs w:val="21"/>
        </w:rPr>
      </w:pPr>
      <w:r>
        <w:rPr>
          <w:rFonts w:hint="eastAsia"/>
          <w:sz w:val="21"/>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pPr>
        <w:pStyle w:val="9"/>
        <w:spacing w:before="0" w:beforeAutospacing="0" w:after="0" w:afterAutospacing="0" w:line="360" w:lineRule="auto"/>
        <w:ind w:firstLine="420"/>
        <w:rPr>
          <w:sz w:val="21"/>
          <w:szCs w:val="21"/>
        </w:rPr>
      </w:pPr>
      <w:r>
        <w:rPr>
          <w:rFonts w:hint="eastAsia"/>
          <w:sz w:val="21"/>
          <w:szCs w:val="21"/>
        </w:rPr>
        <w:t>基金管理人、基金托管人应当在规定报刊中选择披露本基金信息的报刊。</w:t>
      </w:r>
    </w:p>
    <w:p>
      <w:pPr>
        <w:pStyle w:val="9"/>
        <w:spacing w:before="0" w:beforeAutospacing="0" w:after="0" w:afterAutospacing="0" w:line="360" w:lineRule="auto"/>
        <w:ind w:firstLine="420"/>
        <w:rPr>
          <w:sz w:val="21"/>
          <w:szCs w:val="21"/>
        </w:rPr>
      </w:pPr>
      <w:r>
        <w:rPr>
          <w:rFonts w:hint="eastAsia"/>
          <w:sz w:val="21"/>
          <w:szCs w:val="21"/>
        </w:rPr>
        <w:t>基金管理人、基金托管人应当向中国证监会基金电子披露网站报送拟披露的基金信息，并保证相关报送信息的真实、准确、完整、及时。</w:t>
      </w:r>
    </w:p>
    <w:p>
      <w:pPr>
        <w:pStyle w:val="9"/>
        <w:spacing w:before="0" w:beforeAutospacing="0" w:after="0" w:afterAutospacing="0" w:line="360" w:lineRule="auto"/>
        <w:ind w:firstLine="420"/>
        <w:rPr>
          <w:sz w:val="21"/>
          <w:szCs w:val="21"/>
        </w:rPr>
      </w:pPr>
      <w:r>
        <w:rPr>
          <w:rFonts w:hint="eastAsia"/>
          <w:sz w:val="21"/>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pPr>
        <w:pStyle w:val="9"/>
        <w:spacing w:before="0" w:beforeAutospacing="0" w:after="0" w:afterAutospacing="0" w:line="360" w:lineRule="auto"/>
        <w:ind w:firstLine="420"/>
        <w:rPr>
          <w:sz w:val="21"/>
          <w:szCs w:val="21"/>
        </w:rPr>
      </w:pPr>
      <w:r>
        <w:rPr>
          <w:rFonts w:hint="eastAsia"/>
          <w:sz w:val="21"/>
          <w:szCs w:val="21"/>
        </w:rPr>
        <w:t>为基金信息披露义务人公开披露的基金信息出具审计报告、法律意见书的专业机构，应当制作工作底稿，并将相关档案至少保存到《基金合同》终止后10年。</w:t>
      </w:r>
    </w:p>
    <w:p>
      <w:pPr>
        <w:pStyle w:val="9"/>
        <w:spacing w:before="0" w:beforeAutospacing="0" w:after="0" w:afterAutospacing="0" w:line="360" w:lineRule="auto"/>
        <w:ind w:firstLine="420"/>
        <w:rPr>
          <w:sz w:val="21"/>
          <w:szCs w:val="21"/>
        </w:rPr>
      </w:pPr>
      <w:r>
        <w:rPr>
          <w:rStyle w:val="14"/>
          <w:rFonts w:hint="eastAsia"/>
          <w:sz w:val="21"/>
          <w:szCs w:val="21"/>
        </w:rPr>
        <w:t>七、信息披露文件的存放与查阅</w:t>
      </w:r>
    </w:p>
    <w:p>
      <w:pPr>
        <w:pStyle w:val="9"/>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依法必须披露的信息发布后，基金管理人、基金托管人应当按照相关法律法规规定将信息置备于公司住所，以供社会公众查阅、复制。</w:t>
      </w:r>
    </w:p>
    <w:p>
      <w:pPr>
        <w:pStyle w:val="9"/>
        <w:spacing w:before="0" w:beforeAutospacing="0" w:after="0" w:afterAutospacing="0" w:line="360" w:lineRule="auto"/>
        <w:ind w:firstLine="420"/>
        <w:rPr>
          <w:sz w:val="21"/>
          <w:szCs w:val="21"/>
        </w:rPr>
      </w:pPr>
      <w:r>
        <w:rPr>
          <w:rStyle w:val="14"/>
          <w:rFonts w:hint="eastAsia"/>
          <w:sz w:val="21"/>
          <w:szCs w:val="21"/>
        </w:rPr>
        <w:t>八、暂停或延迟信息披露的情形</w:t>
      </w:r>
    </w:p>
    <w:p>
      <w:pPr>
        <w:pStyle w:val="9"/>
        <w:spacing w:before="0" w:beforeAutospacing="0" w:after="0" w:afterAutospacing="0" w:line="360" w:lineRule="auto"/>
        <w:ind w:firstLine="420"/>
        <w:rPr>
          <w:sz w:val="21"/>
          <w:szCs w:val="21"/>
        </w:rPr>
      </w:pPr>
      <w:r>
        <w:rPr>
          <w:rFonts w:hint="eastAsia"/>
          <w:sz w:val="21"/>
          <w:szCs w:val="21"/>
        </w:rPr>
        <w:t>1、不可抗力；</w:t>
      </w:r>
    </w:p>
    <w:p>
      <w:pPr>
        <w:pStyle w:val="9"/>
        <w:spacing w:before="0" w:beforeAutospacing="0" w:after="0" w:afterAutospacing="0" w:line="360" w:lineRule="auto"/>
        <w:ind w:firstLine="420"/>
        <w:rPr>
          <w:sz w:val="21"/>
          <w:szCs w:val="21"/>
        </w:rPr>
      </w:pPr>
      <w:r>
        <w:rPr>
          <w:rFonts w:hint="eastAsia"/>
          <w:sz w:val="21"/>
          <w:szCs w:val="21"/>
        </w:rPr>
        <w:t>2、发生基金合同约定的暂停估值的情形；</w:t>
      </w:r>
    </w:p>
    <w:p>
      <w:pPr>
        <w:pStyle w:val="9"/>
        <w:spacing w:before="0" w:beforeAutospacing="0" w:after="0" w:afterAutospacing="0" w:line="360" w:lineRule="auto"/>
        <w:ind w:firstLine="420"/>
        <w:rPr>
          <w:sz w:val="21"/>
          <w:szCs w:val="21"/>
        </w:rPr>
      </w:pPr>
      <w:bookmarkStart w:id="162" w:name="chapter_level1_18_67_section_1_end"/>
      <w:bookmarkEnd w:id="162"/>
      <w:r>
        <w:rPr>
          <w:rFonts w:hint="eastAsia"/>
          <w:sz w:val="21"/>
          <w:szCs w:val="21"/>
        </w:rPr>
        <w:t>3、法律法规规定、中国证监会或基金合同认定的其他情形。</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3" w:name="_Toc151126580"/>
      <w:bookmarkStart w:id="164" w:name="chapter_level1_19_74784"/>
      <w:r>
        <w:rPr>
          <w:rFonts w:hint="eastAsia" w:ascii="宋体" w:hAnsi="宋体" w:eastAsia="宋体"/>
          <w:sz w:val="30"/>
        </w:rPr>
        <w:t>第十六部分 侧袋机制</w:t>
      </w:r>
      <w:bookmarkEnd w:id="163"/>
      <w:bookmarkEnd w:id="164"/>
    </w:p>
    <w:p>
      <w:pPr>
        <w:pStyle w:val="9"/>
        <w:spacing w:before="0" w:beforeAutospacing="0" w:after="0" w:afterAutospacing="0" w:line="360" w:lineRule="auto"/>
        <w:ind w:firstLine="420"/>
        <w:rPr>
          <w:sz w:val="21"/>
          <w:szCs w:val="21"/>
        </w:rPr>
      </w:pPr>
      <w:bookmarkStart w:id="165" w:name="chapter_level1_19_74784_section_1"/>
      <w:bookmarkEnd w:id="165"/>
      <w:r>
        <w:rPr>
          <w:rStyle w:val="14"/>
          <w:rFonts w:hint="eastAsia"/>
          <w:sz w:val="21"/>
          <w:szCs w:val="21"/>
        </w:rPr>
        <w:t>一、侧袋机制的实施条件、实施程序和特定资产范围 </w:t>
      </w:r>
    </w:p>
    <w:p>
      <w:pPr>
        <w:pStyle w:val="9"/>
        <w:spacing w:before="0" w:beforeAutospacing="0" w:after="0" w:afterAutospacing="0" w:line="360" w:lineRule="auto"/>
        <w:ind w:firstLine="420"/>
        <w:rPr>
          <w:sz w:val="21"/>
          <w:szCs w:val="21"/>
        </w:rPr>
      </w:pPr>
      <w:r>
        <w:rPr>
          <w:rFonts w:hint="eastAsia"/>
          <w:sz w:val="2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pPr>
        <w:pStyle w:val="9"/>
        <w:spacing w:before="0" w:beforeAutospacing="0" w:after="0" w:afterAutospacing="0" w:line="360" w:lineRule="auto"/>
        <w:ind w:firstLine="420"/>
        <w:rPr>
          <w:sz w:val="21"/>
          <w:szCs w:val="21"/>
        </w:rPr>
      </w:pPr>
      <w:r>
        <w:rPr>
          <w:rFonts w:hint="eastAsia"/>
          <w:sz w:val="21"/>
          <w:szCs w:val="21"/>
        </w:rPr>
        <w:t>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pPr>
        <w:pStyle w:val="9"/>
        <w:spacing w:before="0" w:beforeAutospacing="0" w:after="0" w:afterAutospacing="0" w:line="360" w:lineRule="auto"/>
        <w:ind w:firstLine="420"/>
        <w:rPr>
          <w:sz w:val="21"/>
          <w:szCs w:val="21"/>
        </w:rPr>
      </w:pPr>
      <w:r>
        <w:rPr>
          <w:rStyle w:val="14"/>
          <w:rFonts w:hint="eastAsia"/>
          <w:sz w:val="21"/>
          <w:szCs w:val="21"/>
        </w:rPr>
        <w:t>二、侧袋机制实施期间的基金运作安排</w:t>
      </w:r>
    </w:p>
    <w:p>
      <w:pPr>
        <w:pStyle w:val="9"/>
        <w:spacing w:before="0" w:beforeAutospacing="0" w:after="0" w:afterAutospacing="0" w:line="360" w:lineRule="auto"/>
        <w:ind w:firstLine="420"/>
        <w:rPr>
          <w:sz w:val="21"/>
          <w:szCs w:val="21"/>
        </w:rPr>
      </w:pPr>
      <w:r>
        <w:rPr>
          <w:rFonts w:hint="eastAsia"/>
          <w:sz w:val="21"/>
          <w:szCs w:val="21"/>
        </w:rPr>
        <w:t>（一）基金份额的申购与赎回</w:t>
      </w:r>
    </w:p>
    <w:p>
      <w:pPr>
        <w:pStyle w:val="9"/>
        <w:spacing w:before="0" w:beforeAutospacing="0" w:after="0" w:afterAutospacing="0" w:line="360" w:lineRule="auto"/>
        <w:ind w:firstLine="420"/>
        <w:rPr>
          <w:sz w:val="21"/>
          <w:szCs w:val="21"/>
        </w:rPr>
      </w:pPr>
      <w:r>
        <w:rPr>
          <w:rFonts w:hint="eastAsia"/>
          <w:sz w:val="21"/>
          <w:szCs w:val="21"/>
        </w:rPr>
        <w:t>1、侧袋机制实施期间，基金管理人不办理侧袋账户份额的申购、赎回和转换。基金份额持有人申请申购、赎回或转换侧袋账户份额的，该申购、赎回或转换申请将被拒绝。</w:t>
      </w:r>
    </w:p>
    <w:p>
      <w:pPr>
        <w:pStyle w:val="9"/>
        <w:spacing w:before="0" w:beforeAutospacing="0" w:after="0" w:afterAutospacing="0" w:line="360" w:lineRule="auto"/>
        <w:ind w:firstLine="420"/>
        <w:rPr>
          <w:sz w:val="21"/>
          <w:szCs w:val="21"/>
        </w:rPr>
      </w:pPr>
      <w:r>
        <w:rPr>
          <w:rFonts w:hint="eastAsia"/>
          <w:sz w:val="21"/>
          <w:szCs w:val="21"/>
        </w:rPr>
        <w:t>2、当特定资产占前一估值日基金资产净值50%以上的，经与基金托管人协商确认后，基金管理人应当暂停基金估值，并暂停接受基金申购赎回申请或延缓支付赎回款项。</w:t>
      </w:r>
    </w:p>
    <w:p>
      <w:pPr>
        <w:pStyle w:val="9"/>
        <w:spacing w:before="0" w:beforeAutospacing="0" w:after="0" w:afterAutospacing="0" w:line="360" w:lineRule="auto"/>
        <w:ind w:firstLine="420"/>
        <w:rPr>
          <w:sz w:val="21"/>
          <w:szCs w:val="21"/>
        </w:rPr>
      </w:pPr>
      <w:r>
        <w:rPr>
          <w:rFonts w:hint="eastAsia"/>
          <w:sz w:val="21"/>
          <w:szCs w:val="21"/>
        </w:rPr>
        <w:t>3、基金管理人依法保障主袋账户份额持有人享有基金合同约定的赎回权利，并根据主袋账户运作情况合理确定申购事项，具体事项届时由基金管理人在相关公告中规定。</w:t>
      </w:r>
    </w:p>
    <w:p>
      <w:pPr>
        <w:pStyle w:val="9"/>
        <w:spacing w:before="0" w:beforeAutospacing="0" w:after="0" w:afterAutospacing="0" w:line="360" w:lineRule="auto"/>
        <w:ind w:firstLine="420"/>
        <w:rPr>
          <w:sz w:val="21"/>
          <w:szCs w:val="21"/>
        </w:rPr>
      </w:pPr>
      <w:r>
        <w:rPr>
          <w:rFonts w:hint="eastAsia"/>
          <w:sz w:val="21"/>
          <w:szCs w:val="21"/>
        </w:rPr>
        <w:t>对于启用侧袋机制当日收到的赎回申请，基金管理人仅办理主袋账户的赎回申请并支付赎回款项。在启用侧袋机制当日收到的申购申请，视为投资者对侧袋机制启用后的主袋账户提交的申购申请。</w:t>
      </w:r>
    </w:p>
    <w:p>
      <w:pPr>
        <w:pStyle w:val="9"/>
        <w:spacing w:before="0" w:beforeAutospacing="0" w:after="0" w:afterAutospacing="0" w:line="360" w:lineRule="auto"/>
        <w:ind w:firstLine="420"/>
        <w:rPr>
          <w:sz w:val="21"/>
          <w:szCs w:val="21"/>
        </w:rPr>
      </w:pPr>
      <w:r>
        <w:rPr>
          <w:rFonts w:hint="eastAsia"/>
          <w:sz w:val="21"/>
          <w:szCs w:val="21"/>
        </w:rPr>
        <w:t>（二）基金份额的登记</w:t>
      </w:r>
    </w:p>
    <w:p>
      <w:pPr>
        <w:pStyle w:val="9"/>
        <w:spacing w:before="0" w:beforeAutospacing="0" w:after="0" w:afterAutospacing="0" w:line="360" w:lineRule="auto"/>
        <w:ind w:firstLine="420"/>
        <w:rPr>
          <w:sz w:val="21"/>
          <w:szCs w:val="21"/>
        </w:rPr>
      </w:pPr>
      <w:r>
        <w:rPr>
          <w:rFonts w:hint="eastAsia"/>
          <w:sz w:val="21"/>
          <w:szCs w:val="21"/>
        </w:rPr>
        <w:t>侧袋机制实施期间，基金管理人对侧袋账户份额实行独立管理，主袋账户沿用原基金代码，侧袋账户使用独立的基金代码。侧袋账户份额的名称以“基金简称+侧袋标识S+侧袋账户建立日期”格式设定，同时主袋账户份额的名称增加大写字母M标识作为后缀。基金所有侧袋账户注销后，将取消主袋账户份额名称中的M标识。</w:t>
      </w:r>
    </w:p>
    <w:p>
      <w:pPr>
        <w:pStyle w:val="9"/>
        <w:spacing w:before="0" w:beforeAutospacing="0" w:after="0" w:afterAutospacing="0" w:line="360" w:lineRule="auto"/>
        <w:ind w:firstLine="420"/>
        <w:rPr>
          <w:sz w:val="21"/>
          <w:szCs w:val="21"/>
        </w:rPr>
      </w:pPr>
      <w:r>
        <w:rPr>
          <w:rFonts w:hint="eastAsia"/>
          <w:sz w:val="21"/>
          <w:szCs w:val="21"/>
        </w:rPr>
        <w:t>启用侧袋机制当日，基金管理人和基金服务机构将以基金份额持有人的原有账户份额为基础，确认相应侧袋账户持有人名册和份额。</w:t>
      </w:r>
    </w:p>
    <w:p>
      <w:pPr>
        <w:pStyle w:val="9"/>
        <w:spacing w:before="0" w:beforeAutospacing="0" w:after="0" w:afterAutospacing="0" w:line="360" w:lineRule="auto"/>
        <w:ind w:firstLine="420"/>
        <w:rPr>
          <w:sz w:val="21"/>
          <w:szCs w:val="21"/>
        </w:rPr>
      </w:pPr>
      <w:r>
        <w:rPr>
          <w:rFonts w:hint="eastAsia"/>
          <w:sz w:val="21"/>
          <w:szCs w:val="21"/>
        </w:rPr>
        <w:t>侧袋账户资产完全清算后，基金管理人将注销侧袋账户。</w:t>
      </w:r>
    </w:p>
    <w:p>
      <w:pPr>
        <w:pStyle w:val="9"/>
        <w:spacing w:before="0" w:beforeAutospacing="0" w:after="0" w:afterAutospacing="0" w:line="360" w:lineRule="auto"/>
        <w:ind w:firstLine="420"/>
        <w:rPr>
          <w:sz w:val="21"/>
          <w:szCs w:val="21"/>
        </w:rPr>
      </w:pPr>
      <w:r>
        <w:rPr>
          <w:rFonts w:hint="eastAsia"/>
          <w:sz w:val="21"/>
          <w:szCs w:val="21"/>
        </w:rPr>
        <w:t> （三）基金的投资及业绩</w:t>
      </w:r>
    </w:p>
    <w:p>
      <w:pPr>
        <w:pStyle w:val="9"/>
        <w:spacing w:before="0" w:beforeAutospacing="0" w:after="0" w:afterAutospacing="0" w:line="360" w:lineRule="auto"/>
        <w:ind w:firstLine="420"/>
        <w:rPr>
          <w:sz w:val="21"/>
          <w:szCs w:val="21"/>
        </w:rPr>
      </w:pPr>
      <w:r>
        <w:rPr>
          <w:rFonts w:hint="eastAsia"/>
          <w:sz w:val="21"/>
          <w:szCs w:val="21"/>
        </w:rPr>
        <w:t>侧袋机制实施期间，本基金的各项投资运作指标和基金业绩指标应当以主袋账户资产为基准。基金管理人不得在侧袋账户中进行除特定资产处置变现以外的其他投资操作。</w:t>
      </w:r>
    </w:p>
    <w:p>
      <w:pPr>
        <w:pStyle w:val="9"/>
        <w:spacing w:before="0" w:beforeAutospacing="0" w:after="0" w:afterAutospacing="0" w:line="360" w:lineRule="auto"/>
        <w:ind w:firstLine="420"/>
        <w:rPr>
          <w:sz w:val="21"/>
          <w:szCs w:val="21"/>
        </w:rPr>
      </w:pPr>
      <w:r>
        <w:rPr>
          <w:rFonts w:hint="eastAsia"/>
          <w:sz w:val="21"/>
          <w:szCs w:val="21"/>
        </w:rPr>
        <w:t>基金管理人、基金服务机构在展示基金业绩时，将就前述情况进行充分的解释说明，避免引起投资者误解。</w:t>
      </w:r>
    </w:p>
    <w:p>
      <w:pPr>
        <w:pStyle w:val="9"/>
        <w:spacing w:before="0" w:beforeAutospacing="0" w:after="0" w:afterAutospacing="0" w:line="360" w:lineRule="auto"/>
        <w:ind w:firstLine="420"/>
        <w:rPr>
          <w:sz w:val="21"/>
          <w:szCs w:val="21"/>
        </w:rPr>
      </w:pPr>
      <w:r>
        <w:rPr>
          <w:rFonts w:hint="eastAsia"/>
          <w:sz w:val="21"/>
          <w:szCs w:val="21"/>
        </w:rPr>
        <w:t>基金管理人原则上应当在侧袋机制启用后20个交易日内完成对主袋账户投资组合的调整，但因资产流动性受限等中国证监会规定的情形除外。</w:t>
      </w:r>
    </w:p>
    <w:p>
      <w:pPr>
        <w:pStyle w:val="9"/>
        <w:spacing w:before="0" w:beforeAutospacing="0" w:after="0" w:afterAutospacing="0" w:line="360" w:lineRule="auto"/>
        <w:ind w:firstLine="420"/>
        <w:rPr>
          <w:sz w:val="21"/>
          <w:szCs w:val="21"/>
        </w:rPr>
      </w:pPr>
      <w:r>
        <w:rPr>
          <w:rFonts w:hint="eastAsia"/>
          <w:sz w:val="21"/>
          <w:szCs w:val="21"/>
        </w:rPr>
        <w:t>（四）基金的估值</w:t>
      </w:r>
    </w:p>
    <w:p>
      <w:pPr>
        <w:pStyle w:val="9"/>
        <w:spacing w:before="0" w:beforeAutospacing="0" w:after="0" w:afterAutospacing="0" w:line="360" w:lineRule="auto"/>
        <w:ind w:firstLine="420"/>
        <w:rPr>
          <w:sz w:val="21"/>
          <w:szCs w:val="21"/>
        </w:rPr>
      </w:pPr>
      <w:r>
        <w:rPr>
          <w:rFonts w:hint="eastAsia"/>
          <w:sz w:val="21"/>
          <w:szCs w:val="21"/>
        </w:rPr>
        <w:t>侧袋机制启用当日，基金管理人以完成日终估值后的基金净资产为基数对主袋账户和侧袋账户的资产进行分割，与特定资产可明确对应的资产类科目余额、除应交税费外的负债类科目余额一并纳入侧袋账户。基金管理人应将特定资产作为一个整体，不能仅分割其公允价值无法确定的部分。</w:t>
      </w:r>
    </w:p>
    <w:p>
      <w:pPr>
        <w:pStyle w:val="9"/>
        <w:spacing w:before="0" w:beforeAutospacing="0" w:after="0" w:afterAutospacing="0" w:line="360" w:lineRule="auto"/>
        <w:ind w:firstLine="420"/>
        <w:rPr>
          <w:sz w:val="21"/>
          <w:szCs w:val="21"/>
        </w:rPr>
      </w:pPr>
      <w:r>
        <w:rPr>
          <w:rFonts w:hint="eastAsia"/>
          <w:sz w:val="21"/>
          <w:szCs w:val="21"/>
        </w:rPr>
        <w:t>侧袋机制实施期间，基金管理人将对侧袋账户单独设置账套，实行独立核算。如果本基金同时存在多个侧袋账户，不同侧袋账户将分开进行核算。侧袋账户的会计核算应符合《企业会计准则》的相关要求。</w:t>
      </w:r>
    </w:p>
    <w:p>
      <w:pPr>
        <w:pStyle w:val="9"/>
        <w:spacing w:before="0" w:beforeAutospacing="0" w:after="0" w:afterAutospacing="0" w:line="360" w:lineRule="auto"/>
        <w:ind w:firstLine="420"/>
        <w:rPr>
          <w:sz w:val="21"/>
          <w:szCs w:val="21"/>
        </w:rPr>
      </w:pPr>
      <w:r>
        <w:rPr>
          <w:rFonts w:hint="eastAsia"/>
          <w:sz w:val="21"/>
          <w:szCs w:val="21"/>
        </w:rPr>
        <w:t>（五）基金的费用</w:t>
      </w:r>
    </w:p>
    <w:p>
      <w:pPr>
        <w:pStyle w:val="9"/>
        <w:spacing w:before="0" w:beforeAutospacing="0" w:after="0" w:afterAutospacing="0" w:line="360" w:lineRule="auto"/>
        <w:ind w:firstLine="420"/>
        <w:rPr>
          <w:sz w:val="21"/>
          <w:szCs w:val="21"/>
        </w:rPr>
      </w:pPr>
      <w:r>
        <w:rPr>
          <w:rFonts w:hint="eastAsia"/>
          <w:sz w:val="21"/>
          <w:szCs w:val="21"/>
        </w:rPr>
        <w:t>侧袋机制实施期间，侧袋账户资产不收取管理费。如法律法规或监管机构对于侧袋账户资产托管费的收取另有规定的，以法律法规或监管机构最新要求为准。因启用侧袋机制产生的咨询、审计费用等由基金管理人承担。</w:t>
      </w:r>
    </w:p>
    <w:p>
      <w:pPr>
        <w:pStyle w:val="9"/>
        <w:spacing w:before="0" w:beforeAutospacing="0" w:after="0" w:afterAutospacing="0" w:line="360" w:lineRule="auto"/>
        <w:ind w:firstLine="420"/>
        <w:rPr>
          <w:sz w:val="21"/>
          <w:szCs w:val="21"/>
        </w:rPr>
      </w:pPr>
      <w:r>
        <w:rPr>
          <w:rFonts w:hint="eastAsia"/>
          <w:sz w:val="21"/>
          <w:szCs w:val="21"/>
        </w:rPr>
        <w:t>基金管理人可以将与侧袋账户有关的费用从侧袋账户资产中列支，但应待特定资产变现后方可列支。 </w:t>
      </w:r>
    </w:p>
    <w:p>
      <w:pPr>
        <w:pStyle w:val="9"/>
        <w:spacing w:before="0" w:beforeAutospacing="0" w:after="0" w:afterAutospacing="0" w:line="360" w:lineRule="auto"/>
        <w:ind w:firstLine="420"/>
        <w:rPr>
          <w:sz w:val="21"/>
          <w:szCs w:val="21"/>
        </w:rPr>
      </w:pPr>
      <w:r>
        <w:rPr>
          <w:rFonts w:hint="eastAsia"/>
          <w:sz w:val="21"/>
          <w:szCs w:val="21"/>
        </w:rPr>
        <w:t>（六）基金的收益分配</w:t>
      </w:r>
    </w:p>
    <w:p>
      <w:pPr>
        <w:pStyle w:val="9"/>
        <w:spacing w:before="0" w:beforeAutospacing="0" w:after="0" w:afterAutospacing="0" w:line="360" w:lineRule="auto"/>
        <w:ind w:firstLine="420"/>
        <w:rPr>
          <w:sz w:val="21"/>
          <w:szCs w:val="21"/>
        </w:rPr>
      </w:pPr>
      <w:r>
        <w:rPr>
          <w:rFonts w:hint="eastAsia"/>
          <w:sz w:val="21"/>
          <w:szCs w:val="21"/>
        </w:rPr>
        <w:t>侧袋机制实施期间，在主袋账户份额满足基金合同收益分配条件的情形下，基金管理人可对主袋账户份额进行收益分配。侧袋账户份额不再适用基金合同的收益与分配条款。</w:t>
      </w:r>
    </w:p>
    <w:p>
      <w:pPr>
        <w:pStyle w:val="9"/>
        <w:spacing w:before="0" w:beforeAutospacing="0" w:after="0" w:afterAutospacing="0" w:line="360" w:lineRule="auto"/>
        <w:ind w:firstLine="420"/>
        <w:rPr>
          <w:sz w:val="21"/>
          <w:szCs w:val="21"/>
        </w:rPr>
      </w:pPr>
      <w:r>
        <w:rPr>
          <w:rFonts w:hint="eastAsia"/>
          <w:sz w:val="21"/>
          <w:szCs w:val="21"/>
        </w:rPr>
        <w:t>（七）基金的信息披露</w:t>
      </w:r>
    </w:p>
    <w:p>
      <w:pPr>
        <w:pStyle w:val="9"/>
        <w:spacing w:before="0" w:beforeAutospacing="0" w:after="0" w:afterAutospacing="0" w:line="360" w:lineRule="auto"/>
        <w:ind w:firstLine="420"/>
        <w:rPr>
          <w:sz w:val="21"/>
          <w:szCs w:val="21"/>
        </w:rPr>
      </w:pPr>
      <w:r>
        <w:rPr>
          <w:rFonts w:hint="eastAsia"/>
          <w:sz w:val="21"/>
          <w:szCs w:val="21"/>
        </w:rPr>
        <w:t>1、基金净值信息</w:t>
      </w:r>
    </w:p>
    <w:p>
      <w:pPr>
        <w:pStyle w:val="9"/>
        <w:spacing w:before="0" w:beforeAutospacing="0" w:after="0" w:afterAutospacing="0" w:line="360" w:lineRule="auto"/>
        <w:ind w:firstLine="420"/>
        <w:rPr>
          <w:sz w:val="21"/>
          <w:szCs w:val="21"/>
        </w:rPr>
      </w:pPr>
      <w:r>
        <w:rPr>
          <w:rFonts w:hint="eastAsia"/>
          <w:sz w:val="21"/>
          <w:szCs w:val="21"/>
        </w:rPr>
        <w:t>侧袋机制实施期间，基金管理人应当暂停披露侧袋账户的基金净值信息。</w:t>
      </w:r>
    </w:p>
    <w:p>
      <w:pPr>
        <w:pStyle w:val="9"/>
        <w:spacing w:before="0" w:beforeAutospacing="0" w:after="0" w:afterAutospacing="0" w:line="360" w:lineRule="auto"/>
        <w:ind w:firstLine="420"/>
        <w:rPr>
          <w:sz w:val="21"/>
          <w:szCs w:val="21"/>
        </w:rPr>
      </w:pPr>
      <w:r>
        <w:rPr>
          <w:rFonts w:hint="eastAsia"/>
          <w:sz w:val="21"/>
          <w:szCs w:val="21"/>
        </w:rPr>
        <w:t>2、定期报告</w:t>
      </w:r>
    </w:p>
    <w:p>
      <w:pPr>
        <w:pStyle w:val="9"/>
        <w:spacing w:before="0" w:beforeAutospacing="0" w:after="0" w:afterAutospacing="0" w:line="360" w:lineRule="auto"/>
        <w:ind w:firstLine="420"/>
        <w:rPr>
          <w:sz w:val="21"/>
          <w:szCs w:val="21"/>
        </w:rPr>
      </w:pPr>
      <w:r>
        <w:rPr>
          <w:rFonts w:hint="eastAsia"/>
          <w:sz w:val="21"/>
          <w:szCs w:val="21"/>
        </w:rPr>
        <w:t>侧袋机制实施期间，基金定期报告中的基金会计报表仅需针对主袋账户进行编制。侧袋账户相关信息在定期报告中单独进行披露，包括但不限于：</w:t>
      </w:r>
    </w:p>
    <w:p>
      <w:pPr>
        <w:pStyle w:val="9"/>
        <w:spacing w:before="0" w:beforeAutospacing="0" w:after="0" w:afterAutospacing="0" w:line="360" w:lineRule="auto"/>
        <w:ind w:firstLine="420"/>
        <w:rPr>
          <w:sz w:val="21"/>
          <w:szCs w:val="21"/>
        </w:rPr>
      </w:pPr>
      <w:r>
        <w:rPr>
          <w:rFonts w:hint="eastAsia"/>
          <w:sz w:val="21"/>
          <w:szCs w:val="21"/>
        </w:rPr>
        <w:t>（1）侧袋账户的基金代码、基金名称、侧袋账户成立日期等基本信息；</w:t>
      </w:r>
    </w:p>
    <w:p>
      <w:pPr>
        <w:pStyle w:val="9"/>
        <w:spacing w:before="0" w:beforeAutospacing="0" w:after="0" w:afterAutospacing="0" w:line="360" w:lineRule="auto"/>
        <w:ind w:firstLine="420"/>
        <w:rPr>
          <w:sz w:val="21"/>
          <w:szCs w:val="21"/>
        </w:rPr>
      </w:pPr>
      <w:r>
        <w:rPr>
          <w:rFonts w:hint="eastAsia"/>
          <w:sz w:val="21"/>
          <w:szCs w:val="21"/>
        </w:rPr>
        <w:t>（2）侧袋账户的初始资产、初始负债；</w:t>
      </w:r>
    </w:p>
    <w:p>
      <w:pPr>
        <w:pStyle w:val="9"/>
        <w:spacing w:before="0" w:beforeAutospacing="0" w:after="0" w:afterAutospacing="0" w:line="360" w:lineRule="auto"/>
        <w:ind w:firstLine="420"/>
        <w:rPr>
          <w:sz w:val="21"/>
          <w:szCs w:val="21"/>
        </w:rPr>
      </w:pPr>
      <w:r>
        <w:rPr>
          <w:rFonts w:hint="eastAsia"/>
          <w:sz w:val="21"/>
          <w:szCs w:val="21"/>
        </w:rPr>
        <w:t>（3）特定资产的名称、代码、发行人等基本信息；</w:t>
      </w:r>
    </w:p>
    <w:p>
      <w:pPr>
        <w:pStyle w:val="9"/>
        <w:spacing w:before="0" w:beforeAutospacing="0" w:after="0" w:afterAutospacing="0" w:line="360" w:lineRule="auto"/>
        <w:ind w:firstLine="420"/>
        <w:rPr>
          <w:sz w:val="21"/>
          <w:szCs w:val="21"/>
        </w:rPr>
      </w:pPr>
      <w:r>
        <w:rPr>
          <w:rFonts w:hint="eastAsia"/>
          <w:sz w:val="21"/>
          <w:szCs w:val="21"/>
        </w:rPr>
        <w:t>（4）报告期内的特定资产处置进展情况、与处置特定资产相关的费用情况及其他与特定资产状况相关的信息；</w:t>
      </w:r>
    </w:p>
    <w:p>
      <w:pPr>
        <w:pStyle w:val="9"/>
        <w:spacing w:before="0" w:beforeAutospacing="0" w:after="0" w:afterAutospacing="0" w:line="360" w:lineRule="auto"/>
        <w:ind w:firstLine="420"/>
        <w:rPr>
          <w:sz w:val="21"/>
          <w:szCs w:val="21"/>
        </w:rPr>
      </w:pPr>
      <w:r>
        <w:rPr>
          <w:rFonts w:hint="eastAsia"/>
          <w:sz w:val="21"/>
          <w:szCs w:val="21"/>
        </w:rPr>
        <w:t>（5）可根据特定资产处置进展情况披露特定资产的可变现净值或净值参考区间，该净值或净值区间并不代表特定资产最终的变现价格，不作为基金管理人对特定资产最终变现价格的承诺；</w:t>
      </w:r>
    </w:p>
    <w:p>
      <w:pPr>
        <w:pStyle w:val="9"/>
        <w:spacing w:before="0" w:beforeAutospacing="0" w:after="0" w:afterAutospacing="0" w:line="360" w:lineRule="auto"/>
        <w:ind w:firstLine="420"/>
        <w:rPr>
          <w:sz w:val="21"/>
          <w:szCs w:val="21"/>
        </w:rPr>
      </w:pPr>
      <w:r>
        <w:rPr>
          <w:rFonts w:hint="eastAsia"/>
          <w:sz w:val="21"/>
          <w:szCs w:val="21"/>
        </w:rPr>
        <w:t>（6）可能对投资者利益存在重大影响的其他情况及相关风险提示。</w:t>
      </w:r>
    </w:p>
    <w:p>
      <w:pPr>
        <w:pStyle w:val="9"/>
        <w:spacing w:before="0" w:beforeAutospacing="0" w:after="0" w:afterAutospacing="0" w:line="360" w:lineRule="auto"/>
        <w:ind w:firstLine="420"/>
        <w:rPr>
          <w:sz w:val="21"/>
          <w:szCs w:val="21"/>
        </w:rPr>
      </w:pPr>
      <w:r>
        <w:rPr>
          <w:rFonts w:hint="eastAsia"/>
          <w:sz w:val="21"/>
          <w:szCs w:val="21"/>
        </w:rPr>
        <w:t>3、临时报告</w:t>
      </w:r>
    </w:p>
    <w:p>
      <w:pPr>
        <w:pStyle w:val="9"/>
        <w:spacing w:before="0" w:beforeAutospacing="0" w:after="0" w:afterAutospacing="0" w:line="360" w:lineRule="auto"/>
        <w:ind w:firstLine="420"/>
        <w:rPr>
          <w:sz w:val="21"/>
          <w:szCs w:val="21"/>
        </w:rPr>
      </w:pPr>
      <w:r>
        <w:rPr>
          <w:rFonts w:hint="eastAsia"/>
          <w:sz w:val="21"/>
          <w:szCs w:val="21"/>
        </w:rPr>
        <w:t>基金管理人在启用侧袋机制、处置特定资产、终止侧袋机制以及发生其他可能对投资者利益产生重大影响的事项后应及时发布临时公告。</w:t>
      </w:r>
    </w:p>
    <w:p>
      <w:pPr>
        <w:pStyle w:val="9"/>
        <w:spacing w:before="0" w:beforeAutospacing="0" w:after="0" w:afterAutospacing="0" w:line="360" w:lineRule="auto"/>
        <w:ind w:firstLine="420"/>
        <w:rPr>
          <w:sz w:val="21"/>
          <w:szCs w:val="21"/>
        </w:rPr>
      </w:pPr>
      <w:r>
        <w:rPr>
          <w:rFonts w:hint="eastAsia"/>
          <w:sz w:val="21"/>
          <w:szCs w:val="21"/>
        </w:rPr>
        <w:t>启用侧袋机制的临时公告内容应当包括启用原因及程序、特定资产流动性和估值情况、对投资者申购赎回的影响、风险提示等重要信息。</w:t>
      </w:r>
    </w:p>
    <w:p>
      <w:pPr>
        <w:pStyle w:val="9"/>
        <w:spacing w:before="0" w:beforeAutospacing="0" w:after="0" w:afterAutospacing="0" w:line="360" w:lineRule="auto"/>
        <w:ind w:firstLine="420"/>
        <w:rPr>
          <w:sz w:val="21"/>
          <w:szCs w:val="21"/>
        </w:rPr>
      </w:pPr>
      <w:r>
        <w:rPr>
          <w:rFonts w:hint="eastAsia"/>
          <w:sz w:val="21"/>
          <w:szCs w:val="21"/>
        </w:rPr>
        <w:t>处置特定资产的临时公告内容应当包括特定资产处置价格和时间、向侧袋账户份额持有人支付的款项、相关费用发生情况等重要信息。侧袋机制实施期间，若侧袋账户资产无法一次性完成处置变现，基金管理人在每次处置变现后均将按规定及时发布临时公告。</w:t>
      </w:r>
    </w:p>
    <w:p>
      <w:pPr>
        <w:pStyle w:val="9"/>
        <w:spacing w:before="0" w:beforeAutospacing="0" w:after="0" w:afterAutospacing="0" w:line="360" w:lineRule="auto"/>
        <w:ind w:firstLine="420"/>
        <w:rPr>
          <w:sz w:val="21"/>
          <w:szCs w:val="21"/>
        </w:rPr>
      </w:pPr>
      <w:r>
        <w:rPr>
          <w:rFonts w:hint="eastAsia"/>
          <w:sz w:val="21"/>
          <w:szCs w:val="21"/>
        </w:rPr>
        <w:t>（八）特定资产处置清算</w:t>
      </w:r>
    </w:p>
    <w:p>
      <w:pPr>
        <w:pStyle w:val="9"/>
        <w:spacing w:before="0" w:beforeAutospacing="0" w:after="0" w:afterAutospacing="0" w:line="360" w:lineRule="auto"/>
        <w:ind w:firstLine="420"/>
        <w:rPr>
          <w:sz w:val="21"/>
          <w:szCs w:val="21"/>
        </w:rPr>
      </w:pPr>
      <w:r>
        <w:rPr>
          <w:rFonts w:hint="eastAsia"/>
          <w:sz w:val="21"/>
          <w:szCs w:val="21"/>
        </w:rPr>
        <w:t>基金管理人将按照基金份额持有人利益最大化原则，采取将特定资产予以处置变现等方式，及时向侧袋账户份额持有人支付对应款项。无论侧袋账户资产是否全部完成变现，基金管理人都将及时向侧袋账户份额持有人支付已变现部分对应的款项。</w:t>
      </w:r>
    </w:p>
    <w:p>
      <w:pPr>
        <w:pStyle w:val="9"/>
        <w:spacing w:before="0" w:beforeAutospacing="0" w:after="0" w:afterAutospacing="0" w:line="360" w:lineRule="auto"/>
        <w:ind w:firstLine="420"/>
        <w:rPr>
          <w:sz w:val="21"/>
          <w:szCs w:val="21"/>
        </w:rPr>
      </w:pPr>
      <w:r>
        <w:rPr>
          <w:rFonts w:hint="eastAsia"/>
          <w:sz w:val="21"/>
          <w:szCs w:val="21"/>
        </w:rPr>
        <w:t>（九）侧袋的审计</w:t>
      </w:r>
    </w:p>
    <w:p>
      <w:pPr>
        <w:pStyle w:val="9"/>
        <w:spacing w:before="0" w:beforeAutospacing="0" w:after="0" w:afterAutospacing="0" w:line="360" w:lineRule="auto"/>
        <w:ind w:firstLine="420"/>
        <w:rPr>
          <w:sz w:val="21"/>
          <w:szCs w:val="21"/>
        </w:rPr>
      </w:pPr>
      <w:r>
        <w:rPr>
          <w:rFonts w:hint="eastAsia"/>
          <w:sz w:val="21"/>
          <w:szCs w:val="21"/>
        </w:rPr>
        <w:t>基金管理人应当在启用侧袋机制和终止侧袋机制后，及时聘请符合《中华人民共和国证券法》规定的会计师事务所进行审计并披露专项审计意见，具体如下：</w:t>
      </w:r>
    </w:p>
    <w:p>
      <w:pPr>
        <w:pStyle w:val="9"/>
        <w:spacing w:before="0" w:beforeAutospacing="0" w:after="0" w:afterAutospacing="0" w:line="360" w:lineRule="auto"/>
        <w:ind w:firstLine="420"/>
        <w:rPr>
          <w:sz w:val="21"/>
          <w:szCs w:val="21"/>
        </w:rPr>
      </w:pPr>
      <w:r>
        <w:rPr>
          <w:rFonts w:hint="eastAsia"/>
          <w:sz w:val="21"/>
          <w:szCs w:val="21"/>
        </w:rPr>
        <w:t>基金管理人应当在启用侧袋机制时，就特定资产认定的相关事宜取得符合《中华人民共和国证券法》规定的会计师事务所的专业意见。</w:t>
      </w:r>
    </w:p>
    <w:p>
      <w:pPr>
        <w:pStyle w:val="9"/>
        <w:spacing w:before="0" w:beforeAutospacing="0" w:after="0" w:afterAutospacing="0" w:line="360" w:lineRule="auto"/>
        <w:ind w:firstLine="420"/>
        <w:rPr>
          <w:sz w:val="21"/>
          <w:szCs w:val="21"/>
        </w:rPr>
      </w:pPr>
      <w:r>
        <w:rPr>
          <w:rFonts w:hint="eastAsia"/>
          <w:sz w:val="21"/>
          <w:szCs w:val="21"/>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pPr>
        <w:pStyle w:val="9"/>
        <w:spacing w:before="0" w:beforeAutospacing="0" w:after="0" w:afterAutospacing="0" w:line="360" w:lineRule="auto"/>
        <w:ind w:firstLine="420"/>
        <w:rPr>
          <w:sz w:val="21"/>
          <w:szCs w:val="21"/>
        </w:rPr>
      </w:pPr>
      <w:r>
        <w:rPr>
          <w:rFonts w:hint="eastAsia"/>
          <w:sz w:val="21"/>
          <w:szCs w:val="21"/>
        </w:rPr>
        <w:t>会计师事务所对基金年度报告进行审计时，应对报告期间基金侧袋机制运行相关的会计核算和年报披露，执行适当程序并发表审计意见。</w:t>
      </w:r>
    </w:p>
    <w:p>
      <w:pPr>
        <w:pStyle w:val="9"/>
        <w:spacing w:before="0" w:beforeAutospacing="0" w:after="0" w:afterAutospacing="0" w:line="360" w:lineRule="auto"/>
        <w:ind w:firstLine="420"/>
        <w:rPr>
          <w:sz w:val="21"/>
          <w:szCs w:val="21"/>
        </w:rPr>
      </w:pPr>
      <w:r>
        <w:rPr>
          <w:rFonts w:hint="eastAsia"/>
          <w:sz w:val="21"/>
          <w:szCs w:val="21"/>
        </w:rPr>
        <w:t>当侧袋账户资产全部完成变现后，基金管理人应参照基金清算报告的相关要求，聘请符合《中华人民共和国证券法》规定的会计师事务所对侧袋账户进行审计并披露专项审计意见。</w:t>
      </w:r>
    </w:p>
    <w:p>
      <w:pPr>
        <w:pStyle w:val="9"/>
        <w:spacing w:before="0" w:beforeAutospacing="0" w:after="0" w:afterAutospacing="0" w:line="360" w:lineRule="auto"/>
        <w:ind w:firstLine="420"/>
        <w:rPr>
          <w:sz w:val="21"/>
          <w:szCs w:val="21"/>
        </w:rPr>
      </w:pPr>
      <w:r>
        <w:rPr>
          <w:rStyle w:val="14"/>
          <w:rFonts w:hint="eastAsia"/>
          <w:sz w:val="21"/>
          <w:szCs w:val="21"/>
        </w:rPr>
        <w:t>三、本部分关于侧袋机制的相关规定，凡是直接引用法律法规的部分，如将来法律法规修改导致相关内容被取消或变更的，或将来法律法规针对侧袋机制的内容有进一步规定的，基金管理人经与基金托管人协商一致并履行适当程序后，在对基金份额持有人利益无实质性不利影响的前提下，可直接对本部分内容进行修改、调整或补充，无需召开基金份</w:t>
      </w:r>
      <w:bookmarkStart w:id="166" w:name="chapter_level1_19_74784_section_1_end"/>
      <w:bookmarkEnd w:id="166"/>
      <w:r>
        <w:rPr>
          <w:rStyle w:val="14"/>
          <w:rFonts w:hint="eastAsia"/>
          <w:sz w:val="21"/>
          <w:szCs w:val="21"/>
        </w:rPr>
        <w:t>额持有人大会审议。</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7" w:name="chapter_level1_20_68"/>
      <w:bookmarkStart w:id="168" w:name="_Toc151126581"/>
      <w:r>
        <w:rPr>
          <w:rFonts w:hint="eastAsia" w:ascii="宋体" w:hAnsi="宋体" w:eastAsia="宋体"/>
          <w:sz w:val="30"/>
        </w:rPr>
        <w:t>第十七部分  风险揭示</w:t>
      </w:r>
      <w:bookmarkEnd w:id="167"/>
      <w:bookmarkEnd w:id="168"/>
    </w:p>
    <w:p>
      <w:pPr>
        <w:pStyle w:val="9"/>
        <w:spacing w:before="0" w:beforeAutospacing="0" w:after="0" w:afterAutospacing="0" w:line="360" w:lineRule="auto"/>
        <w:ind w:firstLine="420"/>
        <w:rPr>
          <w:sz w:val="21"/>
          <w:szCs w:val="21"/>
        </w:rPr>
      </w:pPr>
      <w:bookmarkStart w:id="169" w:name="chapter_level1_20_68_section_1"/>
      <w:bookmarkEnd w:id="169"/>
      <w:r>
        <w:rPr>
          <w:rStyle w:val="14"/>
          <w:rFonts w:hint="eastAsia"/>
          <w:sz w:val="21"/>
          <w:szCs w:val="21"/>
        </w:rPr>
        <w:t>一、投资于本基金的主要风险</w:t>
      </w:r>
    </w:p>
    <w:p>
      <w:pPr>
        <w:pStyle w:val="9"/>
        <w:spacing w:before="0" w:beforeAutospacing="0" w:after="0" w:afterAutospacing="0" w:line="360" w:lineRule="auto"/>
        <w:ind w:firstLine="420"/>
        <w:rPr>
          <w:sz w:val="21"/>
          <w:szCs w:val="21"/>
        </w:rPr>
      </w:pPr>
      <w:r>
        <w:rPr>
          <w:rFonts w:hint="eastAsia"/>
          <w:sz w:val="21"/>
          <w:szCs w:val="21"/>
        </w:rPr>
        <w:t xml:space="preserve">1、市场风险 </w:t>
      </w:r>
    </w:p>
    <w:p>
      <w:pPr>
        <w:pStyle w:val="9"/>
        <w:spacing w:before="0" w:beforeAutospacing="0" w:after="0" w:afterAutospacing="0" w:line="360" w:lineRule="auto"/>
        <w:ind w:firstLine="420"/>
        <w:rPr>
          <w:sz w:val="21"/>
          <w:szCs w:val="21"/>
        </w:rPr>
      </w:pPr>
      <w:r>
        <w:rPr>
          <w:rFonts w:hint="eastAsia"/>
          <w:sz w:val="21"/>
          <w:szCs w:val="21"/>
        </w:rPr>
        <w:t xml:space="preserve">证券市场价格受到经济因素、政治因素、投资心理和交易制度等各种因素的影响，导致基金收益水平变化而产生风险，主要包括： </w:t>
      </w:r>
    </w:p>
    <w:p>
      <w:pPr>
        <w:pStyle w:val="9"/>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9"/>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（2）经济周期风险。随着经济运行的周期性变化，证券市场的收益水平也呈周期性变化，本基金的投资品种可能发生价格波动，收益水平也会随之变化，从而产生风险。 </w:t>
      </w:r>
    </w:p>
    <w:p>
      <w:pPr>
        <w:pStyle w:val="9"/>
        <w:spacing w:before="0" w:beforeAutospacing="0" w:after="0" w:afterAutospacing="0" w:line="360" w:lineRule="auto"/>
        <w:ind w:firstLine="420"/>
        <w:rPr>
          <w:sz w:val="21"/>
          <w:szCs w:val="21"/>
        </w:rPr>
      </w:pPr>
      <w:r>
        <w:rPr>
          <w:rFonts w:hint="eastAsia"/>
          <w:sz w:val="21"/>
          <w:szCs w:val="21"/>
        </w:rPr>
        <w:t xml:space="preserve">（3）利率风险。利率的变化直接影响着债券的价格和收益率，同时也影响到证券市场资金供求关系，并在一定程度上影响上市公司的盈利水平，上述变化将在一定程度上影响本基金的收益。 </w:t>
      </w:r>
    </w:p>
    <w:p>
      <w:pPr>
        <w:pStyle w:val="9"/>
        <w:spacing w:before="0" w:beforeAutospacing="0" w:after="0" w:afterAutospacing="0" w:line="360" w:lineRule="auto"/>
        <w:ind w:firstLine="420"/>
        <w:rPr>
          <w:sz w:val="21"/>
          <w:szCs w:val="21"/>
        </w:rPr>
      </w:pPr>
      <w:r>
        <w:rPr>
          <w:rFonts w:hint="eastAsia"/>
          <w:sz w:val="21"/>
          <w:szCs w:val="21"/>
        </w:rPr>
        <w:t xml:space="preserve">（4）上市公司经营风险 </w:t>
      </w:r>
    </w:p>
    <w:p>
      <w:pPr>
        <w:pStyle w:val="9"/>
        <w:spacing w:before="0" w:beforeAutospacing="0" w:after="0" w:afterAutospacing="0" w:line="360" w:lineRule="auto"/>
        <w:ind w:firstLine="420"/>
        <w:rPr>
          <w:sz w:val="21"/>
          <w:szCs w:val="21"/>
        </w:rPr>
      </w:pPr>
      <w:r>
        <w:rPr>
          <w:rFonts w:hint="eastAsia"/>
          <w:sz w:val="21"/>
          <w:szCs w:val="21"/>
        </w:rPr>
        <w:t xml:space="preserve">上市公司的经营状况受多种因素影响，如管理能力、财务状况、市场前景、行业竞争、人员素质等都会导致公司盈利发生变化。如果本基金所投资的上市公司盈利下降，其股票价格可能会下跌，或能够用于分配的利润减少，导致本基金投资收益减少。 </w:t>
      </w:r>
    </w:p>
    <w:p>
      <w:pPr>
        <w:pStyle w:val="9"/>
        <w:spacing w:before="0" w:beforeAutospacing="0" w:after="0" w:afterAutospacing="0" w:line="360" w:lineRule="auto"/>
        <w:ind w:firstLine="420"/>
        <w:rPr>
          <w:sz w:val="21"/>
          <w:szCs w:val="21"/>
        </w:rPr>
      </w:pPr>
      <w:r>
        <w:rPr>
          <w:rFonts w:hint="eastAsia"/>
          <w:sz w:val="21"/>
          <w:szCs w:val="21"/>
        </w:rPr>
        <w:t xml:space="preserve">（5）购买力风险 </w:t>
      </w:r>
    </w:p>
    <w:p>
      <w:pPr>
        <w:pStyle w:val="9"/>
        <w:spacing w:before="0" w:beforeAutospacing="0" w:after="0" w:afterAutospacing="0" w:line="360" w:lineRule="auto"/>
        <w:ind w:firstLine="420"/>
        <w:rPr>
          <w:sz w:val="21"/>
          <w:szCs w:val="21"/>
        </w:rPr>
      </w:pPr>
      <w:r>
        <w:rPr>
          <w:rFonts w:hint="eastAsia"/>
          <w:sz w:val="21"/>
          <w:szCs w:val="21"/>
        </w:rPr>
        <w:t xml:space="preserve">本基金的利润将主要采取现金形式来分配，而通货膨胀将使现金购买力下降，从而影响基金所产生的实际收益率。 </w:t>
      </w:r>
    </w:p>
    <w:p>
      <w:pPr>
        <w:pStyle w:val="9"/>
        <w:spacing w:before="0" w:beforeAutospacing="0" w:after="0" w:afterAutospacing="0" w:line="360" w:lineRule="auto"/>
        <w:ind w:firstLine="420"/>
        <w:rPr>
          <w:sz w:val="21"/>
          <w:szCs w:val="21"/>
        </w:rPr>
      </w:pPr>
      <w:r>
        <w:rPr>
          <w:rFonts w:hint="eastAsia"/>
          <w:sz w:val="21"/>
          <w:szCs w:val="21"/>
        </w:rPr>
        <w:t xml:space="preserve">2、信用风险 </w:t>
      </w:r>
    </w:p>
    <w:p>
      <w:pPr>
        <w:pStyle w:val="9"/>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9"/>
        <w:spacing w:before="0" w:beforeAutospacing="0" w:after="0" w:afterAutospacing="0" w:line="360" w:lineRule="auto"/>
        <w:ind w:firstLine="420"/>
        <w:rPr>
          <w:sz w:val="21"/>
          <w:szCs w:val="21"/>
        </w:rPr>
      </w:pPr>
      <w:r>
        <w:rPr>
          <w:rFonts w:hint="eastAsia"/>
          <w:sz w:val="21"/>
          <w:szCs w:val="21"/>
        </w:rPr>
        <w:t xml:space="preserve">3、流动性风险 </w:t>
      </w:r>
    </w:p>
    <w:p>
      <w:pPr>
        <w:pStyle w:val="9"/>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9"/>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9"/>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9"/>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9"/>
        <w:spacing w:before="0" w:beforeAutospacing="0" w:after="0" w:afterAutospacing="0" w:line="360" w:lineRule="auto"/>
        <w:ind w:firstLine="420"/>
        <w:rPr>
          <w:sz w:val="21"/>
          <w:szCs w:val="21"/>
        </w:rPr>
      </w:pPr>
      <w:r>
        <w:rPr>
          <w:rFonts w:hint="eastAsia"/>
          <w:sz w:val="21"/>
          <w:szCs w:val="21"/>
        </w:rPr>
        <w:t xml:space="preserve">本基金的投资市场主要为证券交易所、期货交易所、全国银行间债券市场等流动性较好的规范型交易场所，主要投资对象为标的指数成份股和备选成份股（含存托凭证），为更好地实现基金的投资目标，本基金可能会少量投资于依法发行上市的非成份股（包括股票、存托凭证）、港股通标的股票、债券、资产支持证券、衍生工具、债券回购和货币市场工具等，同时本基金基于分散投资的原则在行业和个券方面未有高集中度的特征，综合评估在正常市场环境下本基金的流动性风险适中。 </w:t>
      </w:r>
    </w:p>
    <w:p>
      <w:pPr>
        <w:pStyle w:val="9"/>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9"/>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部分延期赎回或暂停赎回。同时，如本基金单个基金份额持有人在单个开放日申请赎回基金份额超过基金总份额一定比例以上的，基金管理人有权对其采取延期办理赎回申请的措施。 </w:t>
      </w:r>
    </w:p>
    <w:p>
      <w:pPr>
        <w:pStyle w:val="9"/>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9"/>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暂停基金估值、摆动定价、基金实施侧袋机制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9"/>
        <w:spacing w:before="0" w:beforeAutospacing="0" w:after="0" w:afterAutospacing="0" w:line="360" w:lineRule="auto"/>
        <w:ind w:firstLine="420"/>
        <w:rPr>
          <w:sz w:val="21"/>
          <w:szCs w:val="21"/>
        </w:rPr>
      </w:pPr>
      <w:r>
        <w:rPr>
          <w:rFonts w:hint="eastAsia"/>
          <w:sz w:val="21"/>
          <w:szCs w:val="21"/>
        </w:rPr>
        <w:t xml:space="preserve">（5）启用侧袋机制的风险 </w:t>
      </w:r>
    </w:p>
    <w:p>
      <w:pPr>
        <w:pStyle w:val="9"/>
        <w:spacing w:before="0" w:beforeAutospacing="0" w:after="0" w:afterAutospacing="0" w:line="360" w:lineRule="auto"/>
        <w:ind w:firstLine="420"/>
        <w:rPr>
          <w:sz w:val="21"/>
          <w:szCs w:val="21"/>
        </w:rPr>
      </w:pPr>
      <w:r>
        <w:rPr>
          <w:rFonts w:hint="eastAsia"/>
          <w:sz w:val="21"/>
          <w:szCs w:val="21"/>
        </w:rPr>
        <w:t xml:space="preserve">当本基金启用侧袋机制时，实施侧袋机制期间，侧袋账户份额将停止披露基金净值信息，并不得办理申购、赎回和转换。因特定资产的变现时间具有不确定性，最终变现价格也具有不确定性并且有可能大幅低于启用侧袋机制时的特定资产的估值，基金份额持有人可能因此面临损失。 </w:t>
      </w:r>
    </w:p>
    <w:p>
      <w:pPr>
        <w:pStyle w:val="9"/>
        <w:spacing w:before="0" w:beforeAutospacing="0" w:after="0" w:afterAutospacing="0" w:line="360" w:lineRule="auto"/>
        <w:ind w:firstLine="420"/>
        <w:rPr>
          <w:sz w:val="21"/>
          <w:szCs w:val="21"/>
        </w:rPr>
      </w:pPr>
      <w:r>
        <w:rPr>
          <w:rFonts w:hint="eastAsia"/>
          <w:sz w:val="21"/>
          <w:szCs w:val="21"/>
        </w:rPr>
        <w:t xml:space="preserve">4、操作风险 </w:t>
      </w:r>
    </w:p>
    <w:p>
      <w:pPr>
        <w:pStyle w:val="9"/>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pPr>
        <w:pStyle w:val="9"/>
        <w:spacing w:before="0" w:beforeAutospacing="0" w:after="0" w:afterAutospacing="0" w:line="360" w:lineRule="auto"/>
        <w:ind w:firstLine="420"/>
        <w:rPr>
          <w:sz w:val="21"/>
          <w:szCs w:val="21"/>
        </w:rPr>
      </w:pPr>
      <w:r>
        <w:rPr>
          <w:rFonts w:hint="eastAsia"/>
          <w:sz w:val="21"/>
          <w:szCs w:val="21"/>
        </w:rPr>
        <w:t xml:space="preserve">5、管理风险 </w:t>
      </w:r>
    </w:p>
    <w:p>
      <w:pPr>
        <w:pStyle w:val="9"/>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pPr>
        <w:pStyle w:val="9"/>
        <w:spacing w:before="0" w:beforeAutospacing="0" w:after="0" w:afterAutospacing="0" w:line="360" w:lineRule="auto"/>
        <w:ind w:firstLine="420"/>
        <w:rPr>
          <w:sz w:val="21"/>
          <w:szCs w:val="21"/>
        </w:rPr>
      </w:pPr>
      <w:r>
        <w:rPr>
          <w:rFonts w:hint="eastAsia"/>
          <w:sz w:val="21"/>
          <w:szCs w:val="21"/>
        </w:rPr>
        <w:t xml:space="preserve">6、合规风险 </w:t>
      </w:r>
    </w:p>
    <w:p>
      <w:pPr>
        <w:pStyle w:val="9"/>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9"/>
        <w:spacing w:before="0" w:beforeAutospacing="0" w:after="0" w:afterAutospacing="0" w:line="360" w:lineRule="auto"/>
        <w:ind w:firstLine="420"/>
        <w:rPr>
          <w:sz w:val="21"/>
          <w:szCs w:val="21"/>
        </w:rPr>
      </w:pPr>
      <w:r>
        <w:rPr>
          <w:rStyle w:val="14"/>
          <w:rFonts w:hint="eastAsia"/>
          <w:sz w:val="21"/>
          <w:szCs w:val="21"/>
        </w:rPr>
        <w:t>二、本基金特有的风险</w:t>
      </w:r>
    </w:p>
    <w:p>
      <w:pPr>
        <w:pStyle w:val="9"/>
        <w:spacing w:before="0" w:beforeAutospacing="0" w:after="0" w:afterAutospacing="0" w:line="360" w:lineRule="auto"/>
        <w:ind w:firstLine="420"/>
        <w:rPr>
          <w:sz w:val="21"/>
          <w:szCs w:val="21"/>
        </w:rPr>
      </w:pPr>
      <w:r>
        <w:rPr>
          <w:rFonts w:hint="eastAsia"/>
          <w:sz w:val="21"/>
          <w:szCs w:val="21"/>
        </w:rPr>
        <w:t xml:space="preserve">1、标的指数回报与股票市场平均回报偏离的风险 </w:t>
      </w:r>
    </w:p>
    <w:p>
      <w:pPr>
        <w:pStyle w:val="9"/>
        <w:spacing w:before="0" w:beforeAutospacing="0" w:after="0" w:afterAutospacing="0" w:line="360" w:lineRule="auto"/>
        <w:ind w:firstLine="420"/>
        <w:rPr>
          <w:sz w:val="21"/>
          <w:szCs w:val="21"/>
        </w:rPr>
      </w:pPr>
      <w:r>
        <w:rPr>
          <w:rFonts w:hint="eastAsia"/>
          <w:sz w:val="21"/>
          <w:szCs w:val="21"/>
        </w:rPr>
        <w:t xml:space="preserve">标的指数并不能完全代表整个股票市场。标的指数成份股的平均回报率与整个股票市场的平均回报率可能存在偏离。 </w:t>
      </w:r>
    </w:p>
    <w:p>
      <w:pPr>
        <w:pStyle w:val="9"/>
        <w:spacing w:before="0" w:beforeAutospacing="0" w:after="0" w:afterAutospacing="0" w:line="360" w:lineRule="auto"/>
        <w:ind w:firstLine="420"/>
        <w:rPr>
          <w:sz w:val="21"/>
          <w:szCs w:val="21"/>
        </w:rPr>
      </w:pPr>
      <w:r>
        <w:rPr>
          <w:rFonts w:hint="eastAsia"/>
          <w:sz w:val="21"/>
          <w:szCs w:val="21"/>
        </w:rPr>
        <w:t xml:space="preserve">2、标的指数波动的风险 </w:t>
      </w:r>
    </w:p>
    <w:p>
      <w:pPr>
        <w:pStyle w:val="9"/>
        <w:spacing w:before="0" w:beforeAutospacing="0" w:after="0" w:afterAutospacing="0" w:line="360" w:lineRule="auto"/>
        <w:ind w:firstLine="420"/>
        <w:rPr>
          <w:sz w:val="21"/>
          <w:szCs w:val="21"/>
        </w:rPr>
      </w:pPr>
      <w:r>
        <w:rPr>
          <w:rFonts w:hint="eastAsia"/>
          <w:sz w:val="21"/>
          <w:szCs w:val="21"/>
        </w:rPr>
        <w:t xml:space="preserve">标的指数成份股的价格可能受到政治因素、经济因素、上市公司经营状况、投资人心理和交易制度等各种因素的影响而波动，导致指数波动，从而使基金收益水平发生变化，产生风险。 </w:t>
      </w:r>
    </w:p>
    <w:p>
      <w:pPr>
        <w:pStyle w:val="9"/>
        <w:spacing w:before="0" w:beforeAutospacing="0" w:after="0" w:afterAutospacing="0" w:line="360" w:lineRule="auto"/>
        <w:ind w:firstLine="420"/>
        <w:rPr>
          <w:sz w:val="21"/>
          <w:szCs w:val="21"/>
        </w:rPr>
      </w:pPr>
      <w:r>
        <w:rPr>
          <w:rFonts w:hint="eastAsia"/>
          <w:sz w:val="21"/>
          <w:szCs w:val="21"/>
        </w:rPr>
        <w:t xml:space="preserve">3、基金投资组合回报与标的指数回报偏离的风险 </w:t>
      </w:r>
    </w:p>
    <w:p>
      <w:pPr>
        <w:pStyle w:val="9"/>
        <w:spacing w:before="0" w:beforeAutospacing="0" w:after="0" w:afterAutospacing="0" w:line="360" w:lineRule="auto"/>
        <w:ind w:firstLine="420"/>
        <w:rPr>
          <w:sz w:val="21"/>
          <w:szCs w:val="21"/>
        </w:rPr>
      </w:pPr>
      <w:r>
        <w:rPr>
          <w:rFonts w:hint="eastAsia"/>
          <w:sz w:val="21"/>
          <w:szCs w:val="21"/>
        </w:rPr>
        <w:t xml:space="preserve">由于标的指数调整成份股或变更编制方法、标的指数成份股发生配股或增发等行为导致成份股在标的指数中的权重发生变化、成份股派发现金红利、新股市值配售、成份股摘牌、流动性差等原因使本基金无法及时调整投资组合以及与基金运作相关的费用等因素使本基金产生跟踪偏离度和跟踪误差。 </w:t>
      </w:r>
    </w:p>
    <w:p>
      <w:pPr>
        <w:pStyle w:val="9"/>
        <w:spacing w:before="0" w:beforeAutospacing="0" w:after="0" w:afterAutospacing="0" w:line="360" w:lineRule="auto"/>
        <w:ind w:firstLine="420"/>
        <w:rPr>
          <w:sz w:val="21"/>
          <w:szCs w:val="21"/>
        </w:rPr>
      </w:pPr>
      <w:r>
        <w:rPr>
          <w:rFonts w:hint="eastAsia"/>
          <w:sz w:val="21"/>
          <w:szCs w:val="21"/>
        </w:rPr>
        <w:t xml:space="preserve">4、跟踪误差控制未达约定目标的风险 </w:t>
      </w:r>
    </w:p>
    <w:p>
      <w:pPr>
        <w:pStyle w:val="9"/>
        <w:spacing w:before="0" w:beforeAutospacing="0" w:after="0" w:afterAutospacing="0" w:line="360" w:lineRule="auto"/>
        <w:ind w:firstLine="420"/>
        <w:rPr>
          <w:sz w:val="21"/>
          <w:szCs w:val="21"/>
        </w:rPr>
      </w:pPr>
      <w:r>
        <w:rPr>
          <w:rFonts w:hint="eastAsia"/>
          <w:sz w:val="21"/>
          <w:szCs w:val="21"/>
        </w:rPr>
        <w:t xml:space="preserve">本基金力争控制投资组合的净值增长率与业绩比较基准之间的预期日均跟踪偏离度的绝对值小于0.35%，预期年化跟踪误差不超过4%，但因标的指数编制规则调整或其他因素可能导致跟踪误差超过上述范围，本基金净值表现与指数价格走势可能发生较大偏离。 </w:t>
      </w:r>
    </w:p>
    <w:p>
      <w:pPr>
        <w:pStyle w:val="9"/>
        <w:spacing w:before="0" w:beforeAutospacing="0" w:after="0" w:afterAutospacing="0" w:line="360" w:lineRule="auto"/>
        <w:ind w:firstLine="420"/>
        <w:rPr>
          <w:sz w:val="21"/>
          <w:szCs w:val="21"/>
        </w:rPr>
      </w:pPr>
      <w:r>
        <w:rPr>
          <w:rFonts w:hint="eastAsia"/>
          <w:sz w:val="21"/>
          <w:szCs w:val="21"/>
        </w:rPr>
        <w:t xml:space="preserve">5、指数编制机构停止服务的风险 </w:t>
      </w:r>
    </w:p>
    <w:p>
      <w:pPr>
        <w:pStyle w:val="9"/>
        <w:spacing w:before="0" w:beforeAutospacing="0" w:after="0" w:afterAutospacing="0" w:line="360" w:lineRule="auto"/>
        <w:ind w:firstLine="420"/>
        <w:rPr>
          <w:sz w:val="21"/>
          <w:szCs w:val="21"/>
        </w:rPr>
      </w:pPr>
      <w:r>
        <w:rPr>
          <w:rFonts w:hint="eastAsia"/>
          <w:sz w:val="21"/>
          <w:szCs w:val="21"/>
        </w:rPr>
        <w:t xml:space="preserve">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因此，投资人将面临更换基金标的指数、转换运作方式，与其他基金合并或者终止基金合同等风险。 </w:t>
      </w:r>
    </w:p>
    <w:p>
      <w:pPr>
        <w:pStyle w:val="9"/>
        <w:spacing w:before="0" w:beforeAutospacing="0" w:after="0" w:afterAutospacing="0" w:line="360" w:lineRule="auto"/>
        <w:ind w:firstLine="420"/>
        <w:rPr>
          <w:sz w:val="21"/>
          <w:szCs w:val="21"/>
        </w:rPr>
      </w:pPr>
      <w:r>
        <w:rPr>
          <w:rFonts w:hint="eastAsia"/>
          <w:sz w:val="21"/>
          <w:szCs w:val="21"/>
        </w:rPr>
        <w:t xml:space="preserve">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 </w:t>
      </w:r>
    </w:p>
    <w:p>
      <w:pPr>
        <w:pStyle w:val="9"/>
        <w:spacing w:before="0" w:beforeAutospacing="0" w:after="0" w:afterAutospacing="0" w:line="360" w:lineRule="auto"/>
        <w:ind w:firstLine="420"/>
        <w:rPr>
          <w:sz w:val="21"/>
          <w:szCs w:val="21"/>
        </w:rPr>
      </w:pPr>
      <w:r>
        <w:rPr>
          <w:rFonts w:hint="eastAsia"/>
          <w:sz w:val="21"/>
          <w:szCs w:val="21"/>
        </w:rPr>
        <w:t xml:space="preserve">6、成份股停牌的风险 </w:t>
      </w:r>
    </w:p>
    <w:p>
      <w:pPr>
        <w:pStyle w:val="9"/>
        <w:spacing w:before="0" w:beforeAutospacing="0" w:after="0" w:afterAutospacing="0" w:line="360" w:lineRule="auto"/>
        <w:ind w:firstLine="420"/>
        <w:rPr>
          <w:sz w:val="21"/>
          <w:szCs w:val="21"/>
        </w:rPr>
      </w:pPr>
      <w:r>
        <w:rPr>
          <w:rFonts w:hint="eastAsia"/>
          <w:sz w:val="21"/>
          <w:szCs w:val="21"/>
        </w:rPr>
        <w:t xml:space="preserve">标的指数成份股可能因各种原因临时或长期停牌，发生成份股停牌时可能面临如下风险： </w:t>
      </w:r>
    </w:p>
    <w:p>
      <w:pPr>
        <w:pStyle w:val="9"/>
        <w:spacing w:before="0" w:beforeAutospacing="0" w:after="0" w:afterAutospacing="0" w:line="360" w:lineRule="auto"/>
        <w:ind w:firstLine="420"/>
        <w:rPr>
          <w:sz w:val="21"/>
          <w:szCs w:val="21"/>
        </w:rPr>
      </w:pPr>
      <w:r>
        <w:rPr>
          <w:rFonts w:hint="eastAsia"/>
          <w:sz w:val="21"/>
          <w:szCs w:val="21"/>
        </w:rPr>
        <w:t xml:space="preserve">（1）基金可能因无法及时调整投资组合而导致跟踪偏离度和跟踪误差扩大。 </w:t>
      </w:r>
    </w:p>
    <w:p>
      <w:pPr>
        <w:pStyle w:val="9"/>
        <w:spacing w:before="0" w:beforeAutospacing="0" w:after="0" w:afterAutospacing="0" w:line="360" w:lineRule="auto"/>
        <w:ind w:firstLine="420"/>
        <w:rPr>
          <w:sz w:val="21"/>
          <w:szCs w:val="21"/>
        </w:rPr>
      </w:pPr>
      <w:r>
        <w:rPr>
          <w:rFonts w:hint="eastAsia"/>
          <w:sz w:val="21"/>
          <w:szCs w:val="21"/>
        </w:rPr>
        <w:t xml:space="preserve">（2）在极端情况下，标的指数成份股可能大面积停牌，基金可能无法及时卖出成份股以获取足额的符合要求的赎回款项，由此基金管理人可能采取延缓支付赎回款项或者暂停赎回的措施，投资者将面临无法按时获得赎回款项或者无法赎回全部或部分基金份额的风险。 </w:t>
      </w:r>
    </w:p>
    <w:p>
      <w:pPr>
        <w:pStyle w:val="9"/>
        <w:spacing w:before="0" w:beforeAutospacing="0" w:after="0" w:afterAutospacing="0" w:line="360" w:lineRule="auto"/>
        <w:ind w:firstLine="420"/>
        <w:rPr>
          <w:sz w:val="21"/>
          <w:szCs w:val="21"/>
        </w:rPr>
      </w:pPr>
      <w:r>
        <w:rPr>
          <w:rFonts w:hint="eastAsia"/>
          <w:sz w:val="21"/>
          <w:szCs w:val="21"/>
        </w:rPr>
        <w:t xml:space="preserve">7、成份股退市的风险 </w:t>
      </w:r>
    </w:p>
    <w:p>
      <w:pPr>
        <w:pStyle w:val="9"/>
        <w:spacing w:before="0" w:beforeAutospacing="0" w:after="0" w:afterAutospacing="0" w:line="360" w:lineRule="auto"/>
        <w:ind w:firstLine="420"/>
        <w:rPr>
          <w:sz w:val="21"/>
          <w:szCs w:val="21"/>
        </w:rPr>
      </w:pPr>
      <w:r>
        <w:rPr>
          <w:rFonts w:hint="eastAsia"/>
          <w:sz w:val="21"/>
          <w:szCs w:val="21"/>
        </w:rPr>
        <w:t xml:space="preserve">标的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 </w:t>
      </w:r>
    </w:p>
    <w:p>
      <w:pPr>
        <w:pStyle w:val="9"/>
        <w:spacing w:before="0" w:beforeAutospacing="0" w:after="0" w:afterAutospacing="0" w:line="360" w:lineRule="auto"/>
        <w:ind w:firstLine="420"/>
        <w:rPr>
          <w:sz w:val="21"/>
          <w:szCs w:val="21"/>
        </w:rPr>
      </w:pPr>
      <w:r>
        <w:rPr>
          <w:rFonts w:hint="eastAsia"/>
          <w:sz w:val="21"/>
          <w:szCs w:val="21"/>
        </w:rPr>
        <w:t xml:space="preserve">8、投资股票期权的风险 </w:t>
      </w:r>
    </w:p>
    <w:p>
      <w:pPr>
        <w:pStyle w:val="9"/>
        <w:spacing w:before="0" w:beforeAutospacing="0" w:after="0" w:afterAutospacing="0" w:line="360" w:lineRule="auto"/>
        <w:ind w:firstLine="420"/>
        <w:rPr>
          <w:sz w:val="21"/>
          <w:szCs w:val="21"/>
        </w:rPr>
      </w:pPr>
      <w:r>
        <w:rPr>
          <w:rFonts w:hint="eastAsia"/>
          <w:sz w:val="21"/>
          <w:szCs w:val="21"/>
        </w:rPr>
        <w:t xml:space="preserve">流动性风险：由于股票期权合约众多，交易较为分散，股票期权市场的流动性一般较期货市场要低，尤其是深度实值和虚值的股票期权，成交量稀少，持有这些股票期权的投资者容易遇到无法成交、平仓出局的局面。 </w:t>
      </w:r>
    </w:p>
    <w:p>
      <w:pPr>
        <w:pStyle w:val="9"/>
        <w:spacing w:before="0" w:beforeAutospacing="0" w:after="0" w:afterAutospacing="0" w:line="360" w:lineRule="auto"/>
        <w:ind w:firstLine="420"/>
        <w:rPr>
          <w:sz w:val="21"/>
          <w:szCs w:val="21"/>
        </w:rPr>
      </w:pPr>
      <w:r>
        <w:rPr>
          <w:rFonts w:hint="eastAsia"/>
          <w:sz w:val="21"/>
          <w:szCs w:val="21"/>
        </w:rPr>
        <w:t xml:space="preserve">价格风险：股票期权买方的价格风险即为他所付出的权利金，风险具有确定性。股票期权卖方的价格风险不定，不过其所收取的权利金可以提供相应保护，当发生亏损时，可以抵消部分损失。 </w:t>
      </w:r>
    </w:p>
    <w:p>
      <w:pPr>
        <w:pStyle w:val="9"/>
        <w:spacing w:before="0" w:beforeAutospacing="0" w:after="0" w:afterAutospacing="0" w:line="360" w:lineRule="auto"/>
        <w:ind w:firstLine="420"/>
        <w:rPr>
          <w:sz w:val="21"/>
          <w:szCs w:val="21"/>
        </w:rPr>
      </w:pPr>
      <w:r>
        <w:rPr>
          <w:rFonts w:hint="eastAsia"/>
          <w:sz w:val="21"/>
          <w:szCs w:val="21"/>
        </w:rPr>
        <w:t xml:space="preserve">操作风险：操作风险是指由于管理不善或者制度执行出现问题等原因所导致的风险。股票期权作为一种衍生品，虽然可以用来管理风险，但若使用不当，也会产生巨额损失。 </w:t>
      </w:r>
    </w:p>
    <w:p>
      <w:pPr>
        <w:pStyle w:val="9"/>
        <w:spacing w:before="0" w:beforeAutospacing="0" w:after="0" w:afterAutospacing="0" w:line="360" w:lineRule="auto"/>
        <w:ind w:firstLine="420"/>
        <w:rPr>
          <w:sz w:val="21"/>
          <w:szCs w:val="21"/>
        </w:rPr>
      </w:pPr>
      <w:r>
        <w:rPr>
          <w:rFonts w:hint="eastAsia"/>
          <w:sz w:val="21"/>
          <w:szCs w:val="21"/>
        </w:rPr>
        <w:t xml:space="preserve">9、投资股指期货的风险 </w:t>
      </w:r>
    </w:p>
    <w:p>
      <w:pPr>
        <w:pStyle w:val="9"/>
        <w:spacing w:before="0" w:beforeAutospacing="0" w:after="0" w:afterAutospacing="0" w:line="360" w:lineRule="auto"/>
        <w:ind w:firstLine="420"/>
        <w:rPr>
          <w:sz w:val="21"/>
          <w:szCs w:val="21"/>
        </w:rPr>
      </w:pPr>
      <w:r>
        <w:rPr>
          <w:rFonts w:hint="eastAsia"/>
          <w:sz w:val="21"/>
          <w:szCs w:val="21"/>
        </w:rPr>
        <w:t xml:space="preserve">本基金可投资于股指期货，股指期货作为一种金融衍生品，主要存在以下风险： </w:t>
      </w:r>
    </w:p>
    <w:p>
      <w:pPr>
        <w:pStyle w:val="9"/>
        <w:spacing w:before="0" w:beforeAutospacing="0" w:after="0" w:afterAutospacing="0" w:line="360" w:lineRule="auto"/>
        <w:ind w:firstLine="420"/>
        <w:rPr>
          <w:sz w:val="21"/>
          <w:szCs w:val="21"/>
        </w:rPr>
      </w:pPr>
      <w:r>
        <w:rPr>
          <w:rFonts w:hint="eastAsia"/>
          <w:sz w:val="21"/>
          <w:szCs w:val="21"/>
        </w:rPr>
        <w:t xml:space="preserve">（1）市场风险：是指由于股指期货价格变动而给投资人带来的风险。 </w:t>
      </w:r>
    </w:p>
    <w:p>
      <w:pPr>
        <w:pStyle w:val="9"/>
        <w:spacing w:before="0" w:beforeAutospacing="0" w:after="0" w:afterAutospacing="0" w:line="360" w:lineRule="auto"/>
        <w:ind w:firstLine="420"/>
        <w:rPr>
          <w:sz w:val="21"/>
          <w:szCs w:val="21"/>
        </w:rPr>
      </w:pPr>
      <w:r>
        <w:rPr>
          <w:rFonts w:hint="eastAsia"/>
          <w:sz w:val="21"/>
          <w:szCs w:val="21"/>
        </w:rPr>
        <w:t xml:space="preserve">（2）流动性风险：是指由于股指期货合约无法及时变现所带来的风险。 </w:t>
      </w:r>
    </w:p>
    <w:p>
      <w:pPr>
        <w:pStyle w:val="9"/>
        <w:spacing w:before="0" w:beforeAutospacing="0" w:after="0" w:afterAutospacing="0" w:line="360" w:lineRule="auto"/>
        <w:ind w:firstLine="420"/>
        <w:rPr>
          <w:sz w:val="21"/>
          <w:szCs w:val="21"/>
        </w:rPr>
      </w:pPr>
      <w:r>
        <w:rPr>
          <w:rFonts w:hint="eastAsia"/>
          <w:sz w:val="21"/>
          <w:szCs w:val="21"/>
        </w:rPr>
        <w:t xml:space="preserve">（3）基差风险：是指股指期货合约价格和标的指数价格之间的价格差的波动所造成的风险。 </w:t>
      </w:r>
    </w:p>
    <w:p>
      <w:pPr>
        <w:pStyle w:val="9"/>
        <w:spacing w:before="0" w:beforeAutospacing="0" w:after="0" w:afterAutospacing="0" w:line="360" w:lineRule="auto"/>
        <w:ind w:firstLine="420"/>
        <w:rPr>
          <w:sz w:val="21"/>
          <w:szCs w:val="21"/>
        </w:rPr>
      </w:pPr>
      <w:r>
        <w:rPr>
          <w:rFonts w:hint="eastAsia"/>
          <w:sz w:val="21"/>
          <w:szCs w:val="21"/>
        </w:rPr>
        <w:t xml:space="preserve">（4）保证金风险：是指由于无法及时筹措资金满足建立或者维持股指期货合约头寸所要求的保证金而带来的风险。 </w:t>
      </w:r>
    </w:p>
    <w:p>
      <w:pPr>
        <w:pStyle w:val="9"/>
        <w:spacing w:before="0" w:beforeAutospacing="0" w:after="0" w:afterAutospacing="0" w:line="360" w:lineRule="auto"/>
        <w:ind w:firstLine="420"/>
        <w:rPr>
          <w:sz w:val="21"/>
          <w:szCs w:val="21"/>
        </w:rPr>
      </w:pPr>
      <w:r>
        <w:rPr>
          <w:rFonts w:hint="eastAsia"/>
          <w:sz w:val="21"/>
          <w:szCs w:val="21"/>
        </w:rPr>
        <w:t xml:space="preserve">（5）杠杆风险：因股指期货采用保证金交易而存在杠杆，基金财产可能因此产生更大的收益波动。 </w:t>
      </w:r>
    </w:p>
    <w:p>
      <w:pPr>
        <w:pStyle w:val="9"/>
        <w:spacing w:before="0" w:beforeAutospacing="0" w:after="0" w:afterAutospacing="0" w:line="360" w:lineRule="auto"/>
        <w:ind w:firstLine="420"/>
        <w:rPr>
          <w:sz w:val="21"/>
          <w:szCs w:val="21"/>
        </w:rPr>
      </w:pPr>
      <w:r>
        <w:rPr>
          <w:rFonts w:hint="eastAsia"/>
          <w:sz w:val="21"/>
          <w:szCs w:val="21"/>
        </w:rPr>
        <w:t xml:space="preserve">（6）信用风险：是指期货经纪公司违约而产生损失的风险。 </w:t>
      </w:r>
    </w:p>
    <w:p>
      <w:pPr>
        <w:pStyle w:val="9"/>
        <w:spacing w:before="0" w:beforeAutospacing="0" w:after="0" w:afterAutospacing="0" w:line="360" w:lineRule="auto"/>
        <w:ind w:firstLine="420"/>
        <w:rPr>
          <w:sz w:val="21"/>
          <w:szCs w:val="21"/>
        </w:rPr>
      </w:pPr>
      <w:r>
        <w:rPr>
          <w:rFonts w:hint="eastAsia"/>
          <w:sz w:val="21"/>
          <w:szCs w:val="21"/>
        </w:rPr>
        <w:t xml:space="preserve">（7）操作风险：是指由于内部流程的不完善，业务人员出现差错或者疏漏，或者系统出现故障等原因造成损失的风险。 </w:t>
      </w:r>
    </w:p>
    <w:p>
      <w:pPr>
        <w:pStyle w:val="9"/>
        <w:spacing w:before="0" w:beforeAutospacing="0" w:after="0" w:afterAutospacing="0" w:line="360" w:lineRule="auto"/>
        <w:ind w:firstLine="420"/>
        <w:rPr>
          <w:sz w:val="21"/>
          <w:szCs w:val="21"/>
        </w:rPr>
      </w:pPr>
      <w:r>
        <w:rPr>
          <w:rFonts w:hint="eastAsia"/>
          <w:sz w:val="21"/>
          <w:szCs w:val="21"/>
        </w:rPr>
        <w:t xml:space="preserve">10、投资国债期货的风险 </w:t>
      </w:r>
    </w:p>
    <w:p>
      <w:pPr>
        <w:pStyle w:val="9"/>
        <w:spacing w:before="0" w:beforeAutospacing="0" w:after="0" w:afterAutospacing="0" w:line="360" w:lineRule="auto"/>
        <w:ind w:firstLine="420"/>
        <w:rPr>
          <w:sz w:val="21"/>
          <w:szCs w:val="21"/>
        </w:rPr>
      </w:pPr>
      <w:r>
        <w:rPr>
          <w:rFonts w:hint="eastAsia"/>
          <w:sz w:val="21"/>
          <w:szCs w:val="21"/>
        </w:rPr>
        <w:t xml:space="preserve">本基金的一部分资产将可能投资于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 </w:t>
      </w:r>
    </w:p>
    <w:p>
      <w:pPr>
        <w:pStyle w:val="9"/>
        <w:spacing w:before="0" w:beforeAutospacing="0" w:after="0" w:afterAutospacing="0" w:line="360" w:lineRule="auto"/>
        <w:ind w:firstLine="420"/>
        <w:rPr>
          <w:sz w:val="21"/>
          <w:szCs w:val="21"/>
        </w:rPr>
      </w:pPr>
      <w:r>
        <w:rPr>
          <w:rFonts w:hint="eastAsia"/>
          <w:sz w:val="21"/>
          <w:szCs w:val="21"/>
        </w:rPr>
        <w:t xml:space="preserve">11、投资资产支持证券（ABS）的风险 </w:t>
      </w:r>
    </w:p>
    <w:p>
      <w:pPr>
        <w:pStyle w:val="9"/>
        <w:spacing w:before="0" w:beforeAutospacing="0" w:after="0" w:afterAutospacing="0" w:line="360" w:lineRule="auto"/>
        <w:ind w:firstLine="420"/>
        <w:rPr>
          <w:sz w:val="21"/>
          <w:szCs w:val="21"/>
        </w:rPr>
      </w:pPr>
      <w:r>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9"/>
        <w:spacing w:before="0" w:beforeAutospacing="0" w:after="0" w:afterAutospacing="0" w:line="360" w:lineRule="auto"/>
        <w:ind w:firstLine="420"/>
        <w:rPr>
          <w:sz w:val="21"/>
          <w:szCs w:val="21"/>
        </w:rPr>
      </w:pPr>
      <w:r>
        <w:rPr>
          <w:rFonts w:hint="eastAsia"/>
          <w:sz w:val="21"/>
          <w:szCs w:val="21"/>
        </w:rPr>
        <w:t xml:space="preserve">12、融资及转融通证券出借业务的主要风险 </w:t>
      </w:r>
    </w:p>
    <w:p>
      <w:pPr>
        <w:pStyle w:val="9"/>
        <w:spacing w:before="0" w:beforeAutospacing="0" w:after="0" w:afterAutospacing="0" w:line="360" w:lineRule="auto"/>
        <w:ind w:firstLine="420"/>
        <w:rPr>
          <w:sz w:val="21"/>
          <w:szCs w:val="21"/>
        </w:rPr>
      </w:pPr>
      <w:r>
        <w:rPr>
          <w:rFonts w:hint="eastAsia"/>
          <w:sz w:val="21"/>
          <w:szCs w:val="21"/>
        </w:rPr>
        <w:t xml:space="preserve">（1）流动性风险 </w:t>
      </w:r>
    </w:p>
    <w:p>
      <w:pPr>
        <w:pStyle w:val="9"/>
        <w:spacing w:before="0" w:beforeAutospacing="0" w:after="0" w:afterAutospacing="0" w:line="360" w:lineRule="auto"/>
        <w:ind w:firstLine="420"/>
        <w:rPr>
          <w:sz w:val="21"/>
          <w:szCs w:val="21"/>
        </w:rPr>
      </w:pPr>
      <w:r>
        <w:rPr>
          <w:rFonts w:hint="eastAsia"/>
          <w:sz w:val="21"/>
          <w:szCs w:val="21"/>
        </w:rPr>
        <w:t xml:space="preserve">出借人在出借证券后，除与借入人协商一致可提前了结的情形外，其他情形无法在合约到期前提前收回出借证券。当委托人拟赎回安排与投资人策略安排之间存在期限偏离，或当市场变化导致投资人员策略显著调整与前期合约期限安排不匹配时，可能存在由于出借证券无法及时收回并变现而导致的流动性风险。 </w:t>
      </w:r>
    </w:p>
    <w:p>
      <w:pPr>
        <w:pStyle w:val="9"/>
        <w:spacing w:before="0" w:beforeAutospacing="0" w:after="0" w:afterAutospacing="0" w:line="360" w:lineRule="auto"/>
        <w:ind w:firstLine="420"/>
        <w:rPr>
          <w:sz w:val="21"/>
          <w:szCs w:val="21"/>
        </w:rPr>
      </w:pPr>
      <w:r>
        <w:rPr>
          <w:rFonts w:hint="eastAsia"/>
          <w:sz w:val="21"/>
          <w:szCs w:val="21"/>
        </w:rPr>
        <w:t xml:space="preserve">（2）交易对手违约风险 </w:t>
      </w:r>
    </w:p>
    <w:p>
      <w:pPr>
        <w:pStyle w:val="9"/>
        <w:spacing w:before="0" w:beforeAutospacing="0" w:after="0" w:afterAutospacing="0" w:line="360" w:lineRule="auto"/>
        <w:ind w:firstLine="420"/>
        <w:rPr>
          <w:sz w:val="21"/>
          <w:szCs w:val="21"/>
        </w:rPr>
      </w:pPr>
      <w:r>
        <w:rPr>
          <w:rFonts w:hint="eastAsia"/>
          <w:sz w:val="21"/>
          <w:szCs w:val="21"/>
        </w:rPr>
        <w:t xml:space="preserve">存在由于交易对手违约而导致证券到期不能按时或足额归还、相应权益补偿和借券费用不能支付等交易对手违约风险。 </w:t>
      </w:r>
    </w:p>
    <w:p>
      <w:pPr>
        <w:pStyle w:val="9"/>
        <w:spacing w:before="0" w:beforeAutospacing="0" w:after="0" w:afterAutospacing="0" w:line="360" w:lineRule="auto"/>
        <w:ind w:firstLine="420"/>
        <w:rPr>
          <w:sz w:val="21"/>
          <w:szCs w:val="21"/>
        </w:rPr>
      </w:pPr>
      <w:r>
        <w:rPr>
          <w:rFonts w:hint="eastAsia"/>
          <w:sz w:val="21"/>
          <w:szCs w:val="21"/>
        </w:rPr>
        <w:t xml:space="preserve">（3）市场风险 </w:t>
      </w:r>
    </w:p>
    <w:p>
      <w:pPr>
        <w:pStyle w:val="9"/>
        <w:spacing w:before="0" w:beforeAutospacing="0" w:after="0" w:afterAutospacing="0" w:line="360" w:lineRule="auto"/>
        <w:ind w:firstLine="420"/>
        <w:rPr>
          <w:sz w:val="21"/>
          <w:szCs w:val="21"/>
        </w:rPr>
      </w:pPr>
      <w:r>
        <w:rPr>
          <w:rFonts w:hint="eastAsia"/>
          <w:sz w:val="21"/>
          <w:szCs w:val="21"/>
        </w:rPr>
        <w:t xml:space="preserve">转融通出借收益按照证券当日收市后市值、融出日（或展期日）费率和实际出借天数计算，因此可能面临证券市值波动、费率变动而导致的市场风险。 </w:t>
      </w:r>
    </w:p>
    <w:p>
      <w:pPr>
        <w:pStyle w:val="9"/>
        <w:spacing w:before="0" w:beforeAutospacing="0" w:after="0" w:afterAutospacing="0" w:line="360" w:lineRule="auto"/>
        <w:ind w:firstLine="420"/>
        <w:rPr>
          <w:sz w:val="21"/>
          <w:szCs w:val="21"/>
        </w:rPr>
      </w:pPr>
      <w:r>
        <w:rPr>
          <w:rFonts w:hint="eastAsia"/>
          <w:sz w:val="21"/>
          <w:szCs w:val="21"/>
        </w:rPr>
        <w:t xml:space="preserve">（4）提前或延迟了结风险 </w:t>
      </w:r>
    </w:p>
    <w:p>
      <w:pPr>
        <w:pStyle w:val="9"/>
        <w:spacing w:before="0" w:beforeAutospacing="0" w:after="0" w:afterAutospacing="0" w:line="360" w:lineRule="auto"/>
        <w:ind w:firstLine="420"/>
        <w:rPr>
          <w:sz w:val="21"/>
          <w:szCs w:val="21"/>
        </w:rPr>
      </w:pPr>
      <w:r>
        <w:rPr>
          <w:rFonts w:hint="eastAsia"/>
          <w:sz w:val="21"/>
          <w:szCs w:val="21"/>
        </w:rPr>
        <w:t xml:space="preserve">证券出借期间，如发生标的证券范围调整、标的证券暂停交易、标的证券对应的上市公司被以终止上市为目的进行收购、终止上市等情况，可能面临合约提前了结或延迟了结的风险。 </w:t>
      </w:r>
    </w:p>
    <w:p>
      <w:pPr>
        <w:pStyle w:val="9"/>
        <w:spacing w:before="0" w:beforeAutospacing="0" w:after="0" w:afterAutospacing="0" w:line="360" w:lineRule="auto"/>
        <w:ind w:firstLine="420"/>
        <w:rPr>
          <w:sz w:val="21"/>
          <w:szCs w:val="21"/>
        </w:rPr>
      </w:pPr>
      <w:r>
        <w:rPr>
          <w:rFonts w:hint="eastAsia"/>
          <w:sz w:val="21"/>
          <w:szCs w:val="21"/>
        </w:rPr>
        <w:t xml:space="preserve">（5）跟踪误差风险 </w:t>
      </w:r>
    </w:p>
    <w:p>
      <w:pPr>
        <w:pStyle w:val="9"/>
        <w:spacing w:before="0" w:beforeAutospacing="0" w:after="0" w:afterAutospacing="0" w:line="360" w:lineRule="auto"/>
        <w:ind w:firstLine="420"/>
        <w:rPr>
          <w:sz w:val="21"/>
          <w:szCs w:val="21"/>
        </w:rPr>
      </w:pPr>
      <w:r>
        <w:rPr>
          <w:rFonts w:hint="eastAsia"/>
          <w:sz w:val="21"/>
          <w:szCs w:val="21"/>
        </w:rPr>
        <w:t xml:space="preserve">对于指数型组合，当组合发生大额赎回或市场大幅波动时，存在由于转融通出借证券无法提前了结并变现，单一股票占比被动上升而导致组合跟踪误差扩大的风险。 </w:t>
      </w:r>
    </w:p>
    <w:p>
      <w:pPr>
        <w:pStyle w:val="9"/>
        <w:spacing w:before="0" w:beforeAutospacing="0" w:after="0" w:afterAutospacing="0" w:line="360" w:lineRule="auto"/>
        <w:ind w:firstLine="420"/>
        <w:rPr>
          <w:sz w:val="21"/>
          <w:szCs w:val="21"/>
        </w:rPr>
      </w:pPr>
      <w:r>
        <w:rPr>
          <w:rFonts w:hint="eastAsia"/>
          <w:sz w:val="21"/>
          <w:szCs w:val="21"/>
        </w:rPr>
        <w:t xml:space="preserve">（6）杠杆效应放大风险 </w:t>
      </w:r>
    </w:p>
    <w:p>
      <w:pPr>
        <w:pStyle w:val="9"/>
        <w:spacing w:before="0" w:beforeAutospacing="0" w:after="0" w:afterAutospacing="0" w:line="360" w:lineRule="auto"/>
        <w:ind w:firstLine="420"/>
        <w:rPr>
          <w:sz w:val="21"/>
          <w:szCs w:val="21"/>
        </w:rPr>
      </w:pPr>
      <w:r>
        <w:rPr>
          <w:rFonts w:hint="eastAsia"/>
          <w:sz w:val="21"/>
          <w:szCs w:val="21"/>
        </w:rPr>
        <w:t xml:space="preserve">投资者通过融资及转融通证券出借业务可以扩大交易额度，利用较少资本来获取较大利润,这必然也放大了风险。投资者将股票作为担保品进行融资时，既需要承担原有的股票价格变化带来的风险，又得承担新投资股票带来的风险，还得支付相应的利息或费用，如判断失误或操作不当，会加大亏损。 </w:t>
      </w:r>
    </w:p>
    <w:p>
      <w:pPr>
        <w:pStyle w:val="9"/>
        <w:spacing w:before="0" w:beforeAutospacing="0" w:after="0" w:afterAutospacing="0" w:line="360" w:lineRule="auto"/>
        <w:ind w:firstLine="420"/>
        <w:rPr>
          <w:sz w:val="21"/>
          <w:szCs w:val="21"/>
        </w:rPr>
      </w:pPr>
      <w:r>
        <w:rPr>
          <w:rFonts w:hint="eastAsia"/>
          <w:sz w:val="21"/>
          <w:szCs w:val="21"/>
        </w:rPr>
        <w:t xml:space="preserve">（7）担保能力及限制交易风险 </w:t>
      </w:r>
    </w:p>
    <w:p>
      <w:pPr>
        <w:pStyle w:val="9"/>
        <w:spacing w:before="0" w:beforeAutospacing="0" w:after="0" w:afterAutospacing="0" w:line="360" w:lineRule="auto"/>
        <w:ind w:firstLine="420"/>
        <w:rPr>
          <w:sz w:val="21"/>
          <w:szCs w:val="21"/>
        </w:rPr>
      </w:pPr>
      <w:r>
        <w:rPr>
          <w:rFonts w:hint="eastAsia"/>
          <w:sz w:val="21"/>
          <w:szCs w:val="21"/>
        </w:rPr>
        <w:t xml:space="preserve">单只或全部证券被暂停融资及转融通证券出借业务、投资者账户被暂停或取消融资及转融通证券出借业务资格等，这些影响可能给投资者造成经济损失。此外，投资者也可能面临由于自身维持担保比例低于融资及转融通证券出借业务合同约定的担保要求，且未能及时补充担保物，导致信用账户交易受到限制，从而造成经济损失。 </w:t>
      </w:r>
    </w:p>
    <w:p>
      <w:pPr>
        <w:pStyle w:val="9"/>
        <w:spacing w:before="0" w:beforeAutospacing="0" w:after="0" w:afterAutospacing="0" w:line="360" w:lineRule="auto"/>
        <w:ind w:firstLine="420"/>
        <w:rPr>
          <w:sz w:val="21"/>
          <w:szCs w:val="21"/>
        </w:rPr>
      </w:pPr>
      <w:r>
        <w:rPr>
          <w:rFonts w:hint="eastAsia"/>
          <w:sz w:val="21"/>
          <w:szCs w:val="21"/>
        </w:rPr>
        <w:t xml:space="preserve">（8）强制平仓风险 </w:t>
      </w:r>
    </w:p>
    <w:p>
      <w:pPr>
        <w:pStyle w:val="9"/>
        <w:spacing w:before="0" w:beforeAutospacing="0" w:after="0" w:afterAutospacing="0" w:line="360" w:lineRule="auto"/>
        <w:ind w:firstLine="420"/>
        <w:rPr>
          <w:sz w:val="21"/>
          <w:szCs w:val="21"/>
        </w:rPr>
      </w:pPr>
      <w:r>
        <w:rPr>
          <w:rFonts w:hint="eastAsia"/>
          <w:sz w:val="21"/>
          <w:szCs w:val="21"/>
        </w:rPr>
        <w:t xml:space="preserve">投资者在从事融资交易及转融通证券出借业务期间，如果不能按照约定的期限清偿债务，或上市证券价格波动，导致日终清算后维持担保比例低于警戒线，且不能按照约定追加担保物时，将面临担保物被证券公司强制平仓的风险，由此可能给投资者造成经济损失。 </w:t>
      </w:r>
    </w:p>
    <w:p>
      <w:pPr>
        <w:pStyle w:val="9"/>
        <w:spacing w:before="0" w:beforeAutospacing="0" w:after="0" w:afterAutospacing="0" w:line="360" w:lineRule="auto"/>
        <w:ind w:firstLine="420"/>
        <w:rPr>
          <w:sz w:val="21"/>
          <w:szCs w:val="21"/>
        </w:rPr>
      </w:pPr>
      <w:r>
        <w:rPr>
          <w:rFonts w:hint="eastAsia"/>
          <w:sz w:val="21"/>
          <w:szCs w:val="21"/>
        </w:rPr>
        <w:t xml:space="preserve">（9）操作风险 </w:t>
      </w:r>
    </w:p>
    <w:p>
      <w:pPr>
        <w:pStyle w:val="9"/>
        <w:spacing w:before="0" w:beforeAutospacing="0" w:after="0" w:afterAutospacing="0" w:line="360" w:lineRule="auto"/>
        <w:ind w:firstLine="420"/>
        <w:rPr>
          <w:sz w:val="21"/>
          <w:szCs w:val="21"/>
        </w:rPr>
      </w:pPr>
      <w:r>
        <w:rPr>
          <w:rFonts w:hint="eastAsia"/>
          <w:sz w:val="21"/>
          <w:szCs w:val="21"/>
        </w:rPr>
        <w:t xml:space="preserve">融资交易和转融通业务具体实施过程中，在投资决策、交易等环节，可能面临由于操作人员操作失误、系统不完善等原因引发的操作风险。 </w:t>
      </w:r>
    </w:p>
    <w:p>
      <w:pPr>
        <w:pStyle w:val="9"/>
        <w:spacing w:before="0" w:beforeAutospacing="0" w:after="0" w:afterAutospacing="0" w:line="360" w:lineRule="auto"/>
        <w:ind w:firstLine="420"/>
        <w:rPr>
          <w:sz w:val="21"/>
          <w:szCs w:val="21"/>
        </w:rPr>
      </w:pPr>
      <w:r>
        <w:rPr>
          <w:rFonts w:hint="eastAsia"/>
          <w:sz w:val="21"/>
          <w:szCs w:val="21"/>
        </w:rPr>
        <w:t xml:space="preserve">（10）法律合规风险 </w:t>
      </w:r>
    </w:p>
    <w:p>
      <w:pPr>
        <w:pStyle w:val="9"/>
        <w:spacing w:before="0" w:beforeAutospacing="0" w:after="0" w:afterAutospacing="0" w:line="360" w:lineRule="auto"/>
        <w:ind w:firstLine="420"/>
        <w:rPr>
          <w:sz w:val="21"/>
          <w:szCs w:val="21"/>
        </w:rPr>
      </w:pPr>
      <w:r>
        <w:rPr>
          <w:rFonts w:hint="eastAsia"/>
          <w:sz w:val="21"/>
          <w:szCs w:val="21"/>
        </w:rPr>
        <w:t xml:space="preserve">在融资交易和转融通证券出借过程中，存在由于标的证券价格波动导致组合合规指标超标且无法进行调整的风险，以及在业务开展过程中发生操纵价格、利益输送等法律合规风险。 </w:t>
      </w:r>
    </w:p>
    <w:p>
      <w:pPr>
        <w:pStyle w:val="9"/>
        <w:spacing w:before="0" w:beforeAutospacing="0" w:after="0" w:afterAutospacing="0" w:line="360" w:lineRule="auto"/>
        <w:ind w:firstLine="420"/>
        <w:rPr>
          <w:sz w:val="21"/>
          <w:szCs w:val="21"/>
        </w:rPr>
      </w:pPr>
      <w:r>
        <w:rPr>
          <w:rFonts w:hint="eastAsia"/>
          <w:sz w:val="21"/>
          <w:szCs w:val="21"/>
        </w:rPr>
        <w:t xml:space="preserve">13、港股通机制下，港股投资风险 </w:t>
      </w:r>
    </w:p>
    <w:p>
      <w:pPr>
        <w:pStyle w:val="9"/>
        <w:spacing w:before="0" w:beforeAutospacing="0" w:after="0" w:afterAutospacing="0" w:line="360" w:lineRule="auto"/>
        <w:ind w:firstLine="420"/>
        <w:rPr>
          <w:sz w:val="21"/>
          <w:szCs w:val="21"/>
        </w:rPr>
      </w:pPr>
      <w:r>
        <w:rPr>
          <w:rFonts w:hint="eastAsia"/>
          <w:sz w:val="21"/>
          <w:szCs w:val="21"/>
        </w:rPr>
        <w:t xml:space="preserve">本基金可少量投资港股通标的股票，除与其他投资于内地市场股票的基金所面临的共同风险外，本基金还面临港股通机制下因投资环境、投资者结构、投资标的构成、市场制度以及交易规则等差异所带来的特有风险，包括但不限于： </w:t>
      </w:r>
    </w:p>
    <w:p>
      <w:pPr>
        <w:pStyle w:val="9"/>
        <w:spacing w:before="0" w:beforeAutospacing="0" w:after="0" w:afterAutospacing="0" w:line="360" w:lineRule="auto"/>
        <w:ind w:firstLine="420"/>
        <w:rPr>
          <w:sz w:val="21"/>
          <w:szCs w:val="21"/>
        </w:rPr>
      </w:pPr>
      <w:r>
        <w:rPr>
          <w:rFonts w:hint="eastAsia"/>
          <w:sz w:val="21"/>
          <w:szCs w:val="21"/>
        </w:rPr>
        <w:t xml:space="preserve">（1）市场联动的风险 </w:t>
      </w:r>
    </w:p>
    <w:p>
      <w:pPr>
        <w:pStyle w:val="9"/>
        <w:spacing w:before="0" w:beforeAutospacing="0" w:after="0" w:afterAutospacing="0" w:line="360" w:lineRule="auto"/>
        <w:ind w:firstLine="420"/>
        <w:rPr>
          <w:sz w:val="21"/>
          <w:szCs w:val="21"/>
        </w:rPr>
      </w:pPr>
      <w:r>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同时，在特殊情况下，本基金将少量投资于港股通标的股票以进行替代复制。对于同时有A股、H股的指数成份公司，如果该公司A股长期停牌，组合无法买入该股票时，可以买入该公司H股进行替代。当同一公司A股和H股股价及走势出现大幅偏离时可能导致组合跟踪误差扩大。 </w:t>
      </w:r>
    </w:p>
    <w:p>
      <w:pPr>
        <w:pStyle w:val="9"/>
        <w:spacing w:before="0" w:beforeAutospacing="0" w:after="0" w:afterAutospacing="0" w:line="360" w:lineRule="auto"/>
        <w:ind w:firstLine="420"/>
        <w:rPr>
          <w:sz w:val="21"/>
          <w:szCs w:val="21"/>
        </w:rPr>
      </w:pPr>
      <w:r>
        <w:rPr>
          <w:rFonts w:hint="eastAsia"/>
          <w:sz w:val="21"/>
          <w:szCs w:val="21"/>
        </w:rPr>
        <w:t xml:space="preserve">（2）股价波动的风险 </w:t>
      </w:r>
    </w:p>
    <w:p>
      <w:pPr>
        <w:pStyle w:val="9"/>
        <w:spacing w:before="0" w:beforeAutospacing="0" w:after="0" w:afterAutospacing="0" w:line="360" w:lineRule="auto"/>
        <w:ind w:firstLine="420"/>
        <w:rPr>
          <w:sz w:val="21"/>
          <w:szCs w:val="21"/>
        </w:rPr>
      </w:pPr>
      <w:r>
        <w:rPr>
          <w:rFonts w:hint="eastAsia"/>
          <w:sz w:val="21"/>
          <w:szCs w:val="21"/>
        </w:rPr>
        <w:t xml:space="preserve">港股市场实行T+0回转交易机制（即当日买入的股票，在交收前可以于当日卖出），同时对个股不设涨跌幅限制，加之香港市场结构性产品和衍生品种类相对丰富以及做空机制的存在；港股股价受到意外事件影响可能表现出比A股更为剧烈的股价波动，本基金持仓的波动风险可能相对较大。 </w:t>
      </w:r>
    </w:p>
    <w:p>
      <w:pPr>
        <w:pStyle w:val="9"/>
        <w:spacing w:before="0" w:beforeAutospacing="0" w:after="0" w:afterAutospacing="0" w:line="360" w:lineRule="auto"/>
        <w:ind w:firstLine="420"/>
        <w:rPr>
          <w:sz w:val="21"/>
          <w:szCs w:val="21"/>
        </w:rPr>
      </w:pPr>
      <w:r>
        <w:rPr>
          <w:rFonts w:hint="eastAsia"/>
          <w:sz w:val="21"/>
          <w:szCs w:val="21"/>
        </w:rPr>
        <w:t xml:space="preserve">（3）汇率风险 </w:t>
      </w:r>
    </w:p>
    <w:p>
      <w:pPr>
        <w:pStyle w:val="9"/>
        <w:spacing w:before="0" w:beforeAutospacing="0" w:after="0" w:afterAutospacing="0" w:line="360" w:lineRule="auto"/>
        <w:ind w:firstLine="420"/>
        <w:rPr>
          <w:sz w:val="21"/>
          <w:szCs w:val="21"/>
        </w:rPr>
      </w:pPr>
      <w:r>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 </w:t>
      </w:r>
    </w:p>
    <w:p>
      <w:pPr>
        <w:pStyle w:val="9"/>
        <w:spacing w:before="0" w:beforeAutospacing="0" w:after="0" w:afterAutospacing="0" w:line="360" w:lineRule="auto"/>
        <w:ind w:firstLine="420"/>
        <w:rPr>
          <w:sz w:val="21"/>
          <w:szCs w:val="21"/>
        </w:rPr>
      </w:pPr>
      <w:r>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pPr>
        <w:pStyle w:val="9"/>
        <w:spacing w:before="0" w:beforeAutospacing="0" w:after="0" w:afterAutospacing="0" w:line="360" w:lineRule="auto"/>
        <w:ind w:firstLine="420"/>
        <w:rPr>
          <w:sz w:val="21"/>
          <w:szCs w:val="21"/>
        </w:rPr>
      </w:pPr>
      <w:r>
        <w:rPr>
          <w:rFonts w:hint="eastAsia"/>
          <w:sz w:val="21"/>
          <w:szCs w:val="21"/>
        </w:rPr>
        <w:t xml:space="preserve">（4）港股通额度限制 </w:t>
      </w:r>
    </w:p>
    <w:p>
      <w:pPr>
        <w:pStyle w:val="9"/>
        <w:spacing w:before="0" w:beforeAutospacing="0" w:after="0" w:afterAutospacing="0" w:line="360" w:lineRule="auto"/>
        <w:ind w:firstLine="420"/>
        <w:rPr>
          <w:sz w:val="21"/>
          <w:szCs w:val="21"/>
        </w:rPr>
      </w:pPr>
      <w:r>
        <w:rPr>
          <w:rFonts w:hint="eastAsia"/>
          <w:sz w:val="21"/>
          <w:szCs w:val="21"/>
        </w:rPr>
        <w:t xml:space="preserve">现行的港股通规则，对港股通设有每日额度上限的限制；本基金可能因为港股通市场每日额度不足，而不能买入看好之投资标的进而错失投资机会的风险。 </w:t>
      </w:r>
    </w:p>
    <w:p>
      <w:pPr>
        <w:pStyle w:val="9"/>
        <w:spacing w:before="0" w:beforeAutospacing="0" w:after="0" w:afterAutospacing="0" w:line="360" w:lineRule="auto"/>
        <w:ind w:firstLine="420"/>
        <w:rPr>
          <w:sz w:val="21"/>
          <w:szCs w:val="21"/>
        </w:rPr>
      </w:pPr>
      <w:r>
        <w:rPr>
          <w:rFonts w:hint="eastAsia"/>
          <w:sz w:val="21"/>
          <w:szCs w:val="21"/>
        </w:rPr>
        <w:t xml:space="preserve">（5）港股通可投资标的范围调整带来的风险 </w:t>
      </w:r>
    </w:p>
    <w:p>
      <w:pPr>
        <w:pStyle w:val="9"/>
        <w:spacing w:before="0" w:beforeAutospacing="0" w:after="0" w:afterAutospacing="0" w:line="360" w:lineRule="auto"/>
        <w:ind w:firstLine="420"/>
        <w:rPr>
          <w:sz w:val="21"/>
          <w:szCs w:val="21"/>
        </w:rPr>
      </w:pPr>
      <w:r>
        <w:rPr>
          <w:rFonts w:hint="eastAsia"/>
          <w:sz w:val="21"/>
          <w:szCs w:val="21"/>
        </w:rPr>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 </w:t>
      </w:r>
    </w:p>
    <w:p>
      <w:pPr>
        <w:pStyle w:val="9"/>
        <w:spacing w:before="0" w:beforeAutospacing="0" w:after="0" w:afterAutospacing="0" w:line="360" w:lineRule="auto"/>
        <w:ind w:firstLine="420"/>
        <w:rPr>
          <w:sz w:val="21"/>
          <w:szCs w:val="21"/>
        </w:rPr>
      </w:pPr>
      <w:r>
        <w:rPr>
          <w:rFonts w:hint="eastAsia"/>
          <w:sz w:val="21"/>
          <w:szCs w:val="21"/>
        </w:rPr>
        <w:t xml:space="preserve">（6）港股通交易日设定的风险 </w:t>
      </w:r>
    </w:p>
    <w:p>
      <w:pPr>
        <w:pStyle w:val="9"/>
        <w:spacing w:before="0" w:beforeAutospacing="0" w:after="0" w:afterAutospacing="0" w:line="360" w:lineRule="auto"/>
        <w:ind w:firstLine="420"/>
        <w:rPr>
          <w:sz w:val="21"/>
          <w:szCs w:val="21"/>
        </w:rPr>
      </w:pPr>
      <w:r>
        <w:rPr>
          <w:rFonts w:hint="eastAsia"/>
          <w:sz w:val="21"/>
          <w:szCs w:val="21"/>
        </w:rPr>
        <w:t xml:space="preserve">根据现行的港股通规则，只有沪/深港两地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pPr>
        <w:pStyle w:val="9"/>
        <w:spacing w:before="0" w:beforeAutospacing="0" w:after="0" w:afterAutospacing="0" w:line="360" w:lineRule="auto"/>
        <w:ind w:firstLine="420"/>
        <w:rPr>
          <w:sz w:val="21"/>
          <w:szCs w:val="21"/>
        </w:rPr>
      </w:pPr>
      <w:r>
        <w:rPr>
          <w:rFonts w:hint="eastAsia"/>
          <w:sz w:val="21"/>
          <w:szCs w:val="21"/>
        </w:rPr>
        <w:t xml:space="preserve">（7）交收制度带来的基金流动性风险 </w:t>
      </w:r>
    </w:p>
    <w:p>
      <w:pPr>
        <w:pStyle w:val="9"/>
        <w:spacing w:before="0" w:beforeAutospacing="0" w:after="0" w:afterAutospacing="0" w:line="360" w:lineRule="auto"/>
        <w:ind w:firstLine="420"/>
        <w:rPr>
          <w:sz w:val="21"/>
          <w:szCs w:val="21"/>
        </w:rPr>
      </w:pPr>
      <w:r>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A股和港股投资比例，造成比例超标的风险。 </w:t>
      </w:r>
    </w:p>
    <w:p>
      <w:pPr>
        <w:pStyle w:val="9"/>
        <w:spacing w:before="0" w:beforeAutospacing="0" w:after="0" w:afterAutospacing="0" w:line="360" w:lineRule="auto"/>
        <w:ind w:firstLine="420"/>
        <w:rPr>
          <w:sz w:val="21"/>
          <w:szCs w:val="21"/>
        </w:rPr>
      </w:pPr>
      <w:r>
        <w:rPr>
          <w:rFonts w:hint="eastAsia"/>
          <w:sz w:val="21"/>
          <w:szCs w:val="21"/>
        </w:rPr>
        <w:t xml:space="preserve">（8）港股通下对公司行为的处理规则带来的风险 </w:t>
      </w:r>
    </w:p>
    <w:p>
      <w:pPr>
        <w:pStyle w:val="9"/>
        <w:spacing w:before="0" w:beforeAutospacing="0" w:after="0" w:afterAutospacing="0" w:line="360" w:lineRule="auto"/>
        <w:ind w:firstLine="420"/>
        <w:rPr>
          <w:sz w:val="21"/>
          <w:szCs w:val="21"/>
        </w:rPr>
      </w:pPr>
      <w:r>
        <w:rPr>
          <w:rFonts w:hint="eastAsia"/>
          <w:sz w:val="21"/>
          <w:szCs w:val="21"/>
        </w:rPr>
        <w:t xml:space="preserve">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 </w:t>
      </w:r>
    </w:p>
    <w:p>
      <w:pPr>
        <w:pStyle w:val="9"/>
        <w:spacing w:before="0" w:beforeAutospacing="0" w:after="0" w:afterAutospacing="0" w:line="360" w:lineRule="auto"/>
        <w:ind w:firstLine="420"/>
        <w:rPr>
          <w:sz w:val="21"/>
          <w:szCs w:val="21"/>
        </w:rPr>
      </w:pPr>
      <w:r>
        <w:rPr>
          <w:rFonts w:hint="eastAsia"/>
          <w:sz w:val="21"/>
          <w:szCs w:val="21"/>
        </w:rPr>
        <w:t xml:space="preserve">本基金存在因上述规则，利益得不到最大化甚至受损的风险。 </w:t>
      </w:r>
    </w:p>
    <w:p>
      <w:pPr>
        <w:pStyle w:val="9"/>
        <w:spacing w:before="0" w:beforeAutospacing="0" w:after="0" w:afterAutospacing="0" w:line="360" w:lineRule="auto"/>
        <w:ind w:firstLine="420"/>
        <w:rPr>
          <w:sz w:val="21"/>
          <w:szCs w:val="21"/>
        </w:rPr>
      </w:pPr>
      <w:r>
        <w:rPr>
          <w:rFonts w:hint="eastAsia"/>
          <w:sz w:val="21"/>
          <w:szCs w:val="21"/>
        </w:rPr>
        <w:t xml:space="preserve">（9）香港联合交易所停牌、退市等制度性差异带来的风险 </w:t>
      </w:r>
    </w:p>
    <w:p>
      <w:pPr>
        <w:pStyle w:val="9"/>
        <w:spacing w:before="0" w:beforeAutospacing="0" w:after="0" w:afterAutospacing="0" w:line="360" w:lineRule="auto"/>
        <w:ind w:firstLine="420"/>
        <w:rPr>
          <w:sz w:val="21"/>
          <w:szCs w:val="21"/>
        </w:rPr>
      </w:pPr>
      <w:r>
        <w:rPr>
          <w:rFonts w:hint="eastAsia"/>
          <w:sz w:val="21"/>
          <w:szCs w:val="21"/>
        </w:rPr>
        <w:t xml:space="preserve">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场相对复杂。 </w:t>
      </w:r>
    </w:p>
    <w:p>
      <w:pPr>
        <w:pStyle w:val="9"/>
        <w:spacing w:before="0" w:beforeAutospacing="0" w:after="0" w:afterAutospacing="0" w:line="360" w:lineRule="auto"/>
        <w:ind w:firstLine="420"/>
        <w:rPr>
          <w:sz w:val="21"/>
          <w:szCs w:val="21"/>
        </w:rPr>
      </w:pPr>
      <w:r>
        <w:rPr>
          <w:rFonts w:hint="eastAsia"/>
          <w:sz w:val="21"/>
          <w:szCs w:val="21"/>
        </w:rPr>
        <w:t xml:space="preserve">因该等制度性差异，本基金可能存在因所持个股遭遇非预期性的停牌甚至退市而给基金带来损失的风险。 </w:t>
      </w:r>
    </w:p>
    <w:p>
      <w:pPr>
        <w:pStyle w:val="9"/>
        <w:spacing w:before="0" w:beforeAutospacing="0" w:after="0" w:afterAutospacing="0" w:line="360" w:lineRule="auto"/>
        <w:ind w:firstLine="420"/>
        <w:rPr>
          <w:sz w:val="21"/>
          <w:szCs w:val="21"/>
        </w:rPr>
      </w:pPr>
      <w:r>
        <w:rPr>
          <w:rFonts w:hint="eastAsia"/>
          <w:sz w:val="21"/>
          <w:szCs w:val="21"/>
        </w:rPr>
        <w:t xml:space="preserve">（10）港股通规则变动带来的风险 </w:t>
      </w:r>
    </w:p>
    <w:p>
      <w:pPr>
        <w:pStyle w:val="9"/>
        <w:spacing w:before="0" w:beforeAutospacing="0" w:after="0" w:afterAutospacing="0" w:line="360" w:lineRule="auto"/>
        <w:ind w:firstLine="420"/>
        <w:rPr>
          <w:sz w:val="21"/>
          <w:szCs w:val="21"/>
        </w:rPr>
      </w:pPr>
      <w:r>
        <w:rPr>
          <w:rFonts w:hint="eastAsia"/>
          <w:sz w:val="21"/>
          <w:szCs w:val="21"/>
        </w:rPr>
        <w:t xml:space="preserve">本基金是在港股通机制和规则下参与香港联交所证券的投资，受港股通规则的限制和影响；本基金存在因港股通规则变动而带来基金投资受阻或所持资产组合价值发生波动的风险。 </w:t>
      </w:r>
    </w:p>
    <w:p>
      <w:pPr>
        <w:pStyle w:val="9"/>
        <w:spacing w:before="0" w:beforeAutospacing="0" w:after="0" w:afterAutospacing="0" w:line="360" w:lineRule="auto"/>
        <w:ind w:firstLine="420"/>
        <w:rPr>
          <w:sz w:val="21"/>
          <w:szCs w:val="21"/>
        </w:rPr>
      </w:pPr>
      <w:r>
        <w:rPr>
          <w:rFonts w:hint="eastAsia"/>
          <w:sz w:val="21"/>
          <w:szCs w:val="21"/>
        </w:rPr>
        <w:t xml:space="preserve">（11）其他可能的风险 </w:t>
      </w:r>
    </w:p>
    <w:p>
      <w:pPr>
        <w:pStyle w:val="9"/>
        <w:spacing w:before="0" w:beforeAutospacing="0" w:after="0" w:afterAutospacing="0" w:line="360" w:lineRule="auto"/>
        <w:ind w:firstLine="420"/>
        <w:rPr>
          <w:sz w:val="21"/>
          <w:szCs w:val="21"/>
        </w:rPr>
      </w:pPr>
      <w:r>
        <w:rPr>
          <w:rFonts w:hint="eastAsia"/>
          <w:sz w:val="21"/>
          <w:szCs w:val="21"/>
        </w:rPr>
        <w:t xml:space="preserve">除上述显著风险外，本基金参与港股通投资，还可能面临的其他风险，包括但不限于： </w:t>
      </w:r>
    </w:p>
    <w:p>
      <w:pPr>
        <w:pStyle w:val="9"/>
        <w:spacing w:before="0" w:beforeAutospacing="0" w:after="0" w:afterAutospacing="0" w:line="360" w:lineRule="auto"/>
        <w:ind w:firstLine="420"/>
        <w:rPr>
          <w:sz w:val="21"/>
          <w:szCs w:val="21"/>
        </w:rPr>
      </w:pPr>
      <w:r>
        <w:rPr>
          <w:rFonts w:hint="eastAsia"/>
          <w:sz w:val="21"/>
          <w:szCs w:val="21"/>
        </w:rPr>
        <w:t xml:space="preserve">1）除因股票交易而发生的佣金、交易征费、交易费、交易系统费、印花税、过户费等税费外，在不进行交易时也可能要继续缴纳证券组合费等项费用，本基金存在因费用估算不准而导致账户透支的风险； </w:t>
      </w:r>
    </w:p>
    <w:p>
      <w:pPr>
        <w:pStyle w:val="9"/>
        <w:spacing w:before="0" w:beforeAutospacing="0" w:after="0" w:afterAutospacing="0" w:line="360" w:lineRule="auto"/>
        <w:ind w:firstLine="420"/>
        <w:rPr>
          <w:sz w:val="21"/>
          <w:szCs w:val="21"/>
        </w:rPr>
      </w:pPr>
      <w:r>
        <w:rPr>
          <w:rFonts w:hint="eastAsia"/>
          <w:sz w:val="21"/>
          <w:szCs w:val="21"/>
        </w:rPr>
        <w:t xml:space="preserve">2）在香港市场，部分中小市值港股成交量则相对较少，流动较为缺乏，本基金投资此类股票可能因缺乏交易对手而面临个股流动性风险； </w:t>
      </w:r>
    </w:p>
    <w:p>
      <w:pPr>
        <w:pStyle w:val="9"/>
        <w:spacing w:before="0" w:beforeAutospacing="0" w:after="0" w:afterAutospacing="0" w:line="360" w:lineRule="auto"/>
        <w:ind w:firstLine="420"/>
        <w:rPr>
          <w:sz w:val="21"/>
          <w:szCs w:val="21"/>
        </w:rPr>
      </w:pPr>
      <w:r>
        <w:rPr>
          <w:rFonts w:hint="eastAsia"/>
          <w:sz w:val="21"/>
          <w:szCs w:val="21"/>
        </w:rPr>
        <w:t xml:space="preserve">3）在本基金参与港股通交易中若香港联交所与内地交易所的证券交易服务公司之间的报盘系统或者通信链路出现故障，可能导致15分钟以上不能申报和撤销申报的交易中断风险； </w:t>
      </w:r>
    </w:p>
    <w:p>
      <w:pPr>
        <w:pStyle w:val="9"/>
        <w:spacing w:before="0" w:beforeAutospacing="0" w:after="0" w:afterAutospacing="0" w:line="360" w:lineRule="auto"/>
        <w:ind w:firstLine="420"/>
        <w:rPr>
          <w:sz w:val="21"/>
          <w:szCs w:val="21"/>
        </w:rPr>
      </w:pPr>
      <w:r>
        <w:rPr>
          <w:rFonts w:hint="eastAsia"/>
          <w:sz w:val="21"/>
          <w:szCs w:val="21"/>
        </w:rPr>
        <w:t xml:space="preserve">4）存在港股通香港结算机构因极端情况下无法交付证券和资金的结算风险；另外港股通境内结算实施分级结算原则，本基金可能面临 以下风险：①因结算参与人未完成与中国结算的集中交收，导致本基金应收资金或证券被暂不交付或处置；②结算参与人对本基金出现交收违约导致本基金未能取得应收证券或资金；③结算参与人向中国结算发送的有关本基金的证券划付指令有误的导致本基金权益受损；④其他因结算参与人未遵守相关业务规则导致本基金利益受到损害的情况。 </w:t>
      </w:r>
    </w:p>
    <w:p>
      <w:pPr>
        <w:pStyle w:val="9"/>
        <w:spacing w:before="0" w:beforeAutospacing="0" w:after="0" w:afterAutospacing="0" w:line="360" w:lineRule="auto"/>
        <w:ind w:firstLine="420"/>
        <w:rPr>
          <w:sz w:val="21"/>
          <w:szCs w:val="21"/>
        </w:rPr>
      </w:pPr>
      <w:r>
        <w:rPr>
          <w:rFonts w:hint="eastAsia"/>
          <w:sz w:val="21"/>
          <w:szCs w:val="21"/>
        </w:rPr>
        <w:t xml:space="preserve">本基金可根据投资策略需要或不同配置地市场环境的变化，选择将部分基金资产投资于港股或选择不将基金资产投资于港股，基金资产并非必然投资港股。 </w:t>
      </w:r>
    </w:p>
    <w:p>
      <w:pPr>
        <w:pStyle w:val="9"/>
        <w:spacing w:before="0" w:beforeAutospacing="0" w:after="0" w:afterAutospacing="0" w:line="360" w:lineRule="auto"/>
        <w:ind w:firstLine="420"/>
        <w:rPr>
          <w:sz w:val="21"/>
          <w:szCs w:val="21"/>
        </w:rPr>
      </w:pPr>
      <w:r>
        <w:rPr>
          <w:rFonts w:hint="eastAsia"/>
          <w:sz w:val="21"/>
          <w:szCs w:val="21"/>
        </w:rPr>
        <w:t xml:space="preserve">14、投资于存托凭证的风险 </w:t>
      </w:r>
    </w:p>
    <w:p>
      <w:pPr>
        <w:pStyle w:val="9"/>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境内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9"/>
        <w:spacing w:before="0" w:beforeAutospacing="0" w:after="0" w:afterAutospacing="0" w:line="360" w:lineRule="auto"/>
        <w:ind w:firstLine="420"/>
        <w:rPr>
          <w:sz w:val="21"/>
          <w:szCs w:val="21"/>
        </w:rPr>
      </w:pPr>
      <w:r>
        <w:rPr>
          <w:rFonts w:hint="eastAsia"/>
          <w:sz w:val="21"/>
          <w:szCs w:val="21"/>
        </w:rPr>
        <w:t xml:space="preserve">15、自动清算的风险 </w:t>
      </w:r>
    </w:p>
    <w:p>
      <w:pPr>
        <w:pStyle w:val="9"/>
        <w:spacing w:before="0" w:beforeAutospacing="0" w:after="0" w:afterAutospacing="0" w:line="360" w:lineRule="auto"/>
        <w:ind w:firstLine="420"/>
        <w:rPr>
          <w:sz w:val="21"/>
          <w:szCs w:val="21"/>
        </w:rPr>
      </w:pPr>
      <w:r>
        <w:rPr>
          <w:rFonts w:hint="eastAsia"/>
          <w:sz w:val="21"/>
          <w:szCs w:val="21"/>
        </w:rPr>
        <w:t xml:space="preserve">出现标的指数不符合要求（因成份股价格波动等指数编制方法变动之外的因素致使标的指数不符合要求以及法律法规、监管机构另有规定的情形除外）、指数编制机构退出等情形，基金管理人召集基金份额持有人大会对解决方案进行表决，基金份额持有人大会未成功召开或就上述事项表决未通过的，基金合同终止。因此本基金面临自动清算的风险。 </w:t>
      </w:r>
    </w:p>
    <w:p>
      <w:pPr>
        <w:pStyle w:val="9"/>
        <w:spacing w:before="0" w:beforeAutospacing="0" w:after="0" w:afterAutospacing="0" w:line="360" w:lineRule="auto"/>
        <w:ind w:firstLine="420"/>
        <w:rPr>
          <w:sz w:val="21"/>
          <w:szCs w:val="21"/>
        </w:rPr>
      </w:pPr>
      <w:r>
        <w:rPr>
          <w:rStyle w:val="14"/>
          <w:rFonts w:hint="eastAsia"/>
          <w:sz w:val="21"/>
          <w:szCs w:val="21"/>
        </w:rPr>
        <w:t>三、其他风险</w:t>
      </w:r>
    </w:p>
    <w:p>
      <w:pPr>
        <w:pStyle w:val="9"/>
        <w:spacing w:before="0" w:beforeAutospacing="0" w:after="0" w:afterAutospacing="0" w:line="360" w:lineRule="auto"/>
        <w:ind w:firstLine="420"/>
        <w:rPr>
          <w:sz w:val="21"/>
          <w:szCs w:val="21"/>
        </w:rPr>
      </w:pPr>
      <w:r>
        <w:rPr>
          <w:rFonts w:hint="eastAsia"/>
          <w:sz w:val="21"/>
          <w:szCs w:val="21"/>
        </w:rPr>
        <w:t xml:space="preserve">1、因技术因素而产生的风险，如电脑系统不可靠产生的风险； </w:t>
      </w:r>
    </w:p>
    <w:p>
      <w:pPr>
        <w:pStyle w:val="9"/>
        <w:spacing w:before="0" w:beforeAutospacing="0" w:after="0" w:afterAutospacing="0" w:line="360" w:lineRule="auto"/>
        <w:ind w:firstLine="420"/>
        <w:rPr>
          <w:sz w:val="21"/>
          <w:szCs w:val="21"/>
        </w:rPr>
      </w:pPr>
      <w:r>
        <w:rPr>
          <w:rFonts w:hint="eastAsia"/>
          <w:sz w:val="21"/>
          <w:szCs w:val="21"/>
        </w:rPr>
        <w:t xml:space="preserve">2、因业务快速发展而在制度建设、人员配备、内控制度建立等不完善而产生的风险； </w:t>
      </w:r>
    </w:p>
    <w:p>
      <w:pPr>
        <w:pStyle w:val="9"/>
        <w:spacing w:before="0" w:beforeAutospacing="0" w:after="0" w:afterAutospacing="0" w:line="360" w:lineRule="auto"/>
        <w:ind w:firstLine="420"/>
        <w:rPr>
          <w:sz w:val="21"/>
          <w:szCs w:val="21"/>
        </w:rPr>
      </w:pPr>
      <w:r>
        <w:rPr>
          <w:rFonts w:hint="eastAsia"/>
          <w:sz w:val="21"/>
          <w:szCs w:val="21"/>
        </w:rPr>
        <w:t xml:space="preserve">3、因人为因素而产生的风险、如内幕交易、欺诈行为等产生的风险； </w:t>
      </w:r>
    </w:p>
    <w:p>
      <w:pPr>
        <w:pStyle w:val="9"/>
        <w:spacing w:before="0" w:beforeAutospacing="0" w:after="0" w:afterAutospacing="0" w:line="360" w:lineRule="auto"/>
        <w:ind w:firstLine="420"/>
        <w:rPr>
          <w:sz w:val="21"/>
          <w:szCs w:val="21"/>
        </w:rPr>
      </w:pPr>
      <w:r>
        <w:rPr>
          <w:rFonts w:hint="eastAsia"/>
          <w:sz w:val="21"/>
          <w:szCs w:val="21"/>
        </w:rPr>
        <w:t xml:space="preserve">4、对主要业务人员如基金经理的依赖而可能产生的风险； </w:t>
      </w:r>
    </w:p>
    <w:p>
      <w:pPr>
        <w:pStyle w:val="9"/>
        <w:spacing w:before="0" w:beforeAutospacing="0" w:after="0" w:afterAutospacing="0" w:line="360" w:lineRule="auto"/>
        <w:ind w:firstLine="420"/>
        <w:rPr>
          <w:sz w:val="21"/>
          <w:szCs w:val="21"/>
        </w:rPr>
      </w:pPr>
      <w:r>
        <w:rPr>
          <w:rFonts w:hint="eastAsia"/>
          <w:sz w:val="21"/>
          <w:szCs w:val="21"/>
        </w:rPr>
        <w:t xml:space="preserve">5、因业务竞争压力可能产生的风险； </w:t>
      </w:r>
    </w:p>
    <w:p>
      <w:pPr>
        <w:pStyle w:val="9"/>
        <w:spacing w:before="0" w:beforeAutospacing="0" w:after="0" w:afterAutospacing="0" w:line="360" w:lineRule="auto"/>
        <w:ind w:firstLine="420"/>
        <w:rPr>
          <w:sz w:val="21"/>
          <w:szCs w:val="21"/>
        </w:rPr>
      </w:pPr>
      <w:r>
        <w:rPr>
          <w:rFonts w:hint="eastAsia"/>
          <w:sz w:val="21"/>
          <w:szCs w:val="21"/>
        </w:rPr>
        <w:t xml:space="preserve">6、不可抗力可能导致基金资产的损失，影响基金收益水平，从而带来风险； </w:t>
      </w:r>
    </w:p>
    <w:p>
      <w:pPr>
        <w:pStyle w:val="9"/>
        <w:spacing w:before="0" w:beforeAutospacing="0" w:after="0" w:afterAutospacing="0" w:line="360" w:lineRule="auto"/>
        <w:ind w:firstLine="420"/>
        <w:rPr>
          <w:sz w:val="21"/>
          <w:szCs w:val="21"/>
        </w:rPr>
      </w:pPr>
      <w:r>
        <w:rPr>
          <w:rFonts w:hint="eastAsia"/>
          <w:sz w:val="21"/>
          <w:szCs w:val="21"/>
        </w:rPr>
        <w:t xml:space="preserve">7、其他意外导致的风险。 </w:t>
      </w:r>
    </w:p>
    <w:p>
      <w:pPr>
        <w:pStyle w:val="9"/>
        <w:spacing w:before="0" w:beforeAutospacing="0" w:after="0" w:afterAutospacing="0" w:line="360" w:lineRule="auto"/>
        <w:ind w:firstLine="420"/>
        <w:rPr>
          <w:sz w:val="21"/>
          <w:szCs w:val="21"/>
        </w:rPr>
      </w:pPr>
      <w:r>
        <w:rPr>
          <w:rStyle w:val="14"/>
          <w:rFonts w:hint="eastAsia"/>
          <w:sz w:val="21"/>
          <w:szCs w:val="21"/>
        </w:rPr>
        <w:t>四、声明</w:t>
      </w:r>
    </w:p>
    <w:p>
      <w:pPr>
        <w:pStyle w:val="9"/>
        <w:spacing w:before="0" w:beforeAutospacing="0" w:after="0" w:afterAutospacing="0" w:line="360" w:lineRule="auto"/>
        <w:ind w:firstLine="420"/>
        <w:rPr>
          <w:sz w:val="21"/>
          <w:szCs w:val="21"/>
        </w:rPr>
      </w:pPr>
      <w:r>
        <w:rPr>
          <w:rFonts w:hint="eastAsia"/>
          <w:sz w:val="21"/>
          <w:szCs w:val="21"/>
        </w:rPr>
        <w:t xml:space="preserve">1、投资者投资于本基金，须自行承担投资风险； </w:t>
      </w:r>
    </w:p>
    <w:p>
      <w:pPr>
        <w:pStyle w:val="9"/>
        <w:spacing w:before="0" w:beforeAutospacing="0" w:after="0" w:afterAutospacing="0" w:line="360" w:lineRule="auto"/>
        <w:ind w:firstLine="420"/>
        <w:rPr>
          <w:sz w:val="21"/>
          <w:szCs w:val="21"/>
        </w:rPr>
      </w:pPr>
      <w:r>
        <w:rPr>
          <w:rFonts w:hint="eastAsia"/>
          <w:sz w:val="21"/>
          <w:szCs w:val="21"/>
        </w:rPr>
        <w:t>2、除基金管理人直接办理本基金的销售外，本基金还通过基金销售机构代理销售，基</w:t>
      </w:r>
      <w:bookmarkStart w:id="170" w:name="chapter_level1_20_68_section_1_end"/>
      <w:bookmarkEnd w:id="170"/>
      <w:r>
        <w:rPr>
          <w:rFonts w:hint="eastAsia"/>
          <w:sz w:val="21"/>
          <w:szCs w:val="21"/>
        </w:rPr>
        <w:t xml:space="preserve">金管理人与基金代销机构都不能保证其收益或本金安全。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1" w:name="chapter_level1_21_69"/>
      <w:bookmarkStart w:id="172" w:name="_Toc151126582"/>
      <w:r>
        <w:rPr>
          <w:rFonts w:hint="eastAsia" w:ascii="宋体" w:hAnsi="宋体" w:eastAsia="宋体"/>
          <w:sz w:val="30"/>
        </w:rPr>
        <w:t>第十八部分  基金合同的变更、终止与基金财产的清算</w:t>
      </w:r>
      <w:bookmarkEnd w:id="171"/>
      <w:bookmarkEnd w:id="172"/>
    </w:p>
    <w:p>
      <w:pPr>
        <w:pStyle w:val="9"/>
        <w:spacing w:before="0" w:beforeAutospacing="0" w:after="0" w:afterAutospacing="0" w:line="360" w:lineRule="auto"/>
        <w:ind w:firstLine="420"/>
        <w:rPr>
          <w:sz w:val="21"/>
          <w:szCs w:val="21"/>
        </w:rPr>
      </w:pPr>
      <w:bookmarkStart w:id="173" w:name="chapter_level1_21_69_section_1"/>
      <w:bookmarkEnd w:id="173"/>
      <w:r>
        <w:rPr>
          <w:rStyle w:val="14"/>
          <w:rFonts w:hint="eastAsia"/>
          <w:sz w:val="21"/>
          <w:szCs w:val="21"/>
        </w:rPr>
        <w:t>一、《基金合同》的变更</w:t>
      </w:r>
    </w:p>
    <w:p>
      <w:pPr>
        <w:pStyle w:val="9"/>
        <w:spacing w:before="0" w:beforeAutospacing="0" w:after="0" w:afterAutospacing="0" w:line="360" w:lineRule="auto"/>
        <w:ind w:firstLine="420"/>
        <w:rPr>
          <w:sz w:val="21"/>
          <w:szCs w:val="21"/>
        </w:rPr>
      </w:pPr>
      <w:r>
        <w:rPr>
          <w:rFonts w:hint="eastAsia"/>
          <w:sz w:val="21"/>
          <w:szCs w:val="21"/>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pStyle w:val="9"/>
        <w:spacing w:before="0" w:beforeAutospacing="0" w:after="0" w:afterAutospacing="0" w:line="360" w:lineRule="auto"/>
        <w:ind w:firstLine="420"/>
        <w:rPr>
          <w:sz w:val="21"/>
          <w:szCs w:val="21"/>
        </w:rPr>
      </w:pPr>
      <w:r>
        <w:rPr>
          <w:rFonts w:hint="eastAsia"/>
          <w:sz w:val="21"/>
          <w:szCs w:val="21"/>
        </w:rPr>
        <w:t>2、关于《基金合同》变更的基金份额持有人大会决议自生效后方可执行，自决议生效后按规定在规定媒介公告。</w:t>
      </w:r>
    </w:p>
    <w:p>
      <w:pPr>
        <w:pStyle w:val="9"/>
        <w:spacing w:before="0" w:beforeAutospacing="0" w:after="0" w:afterAutospacing="0" w:line="360" w:lineRule="auto"/>
        <w:ind w:firstLine="420"/>
        <w:rPr>
          <w:sz w:val="21"/>
          <w:szCs w:val="21"/>
        </w:rPr>
      </w:pPr>
      <w:r>
        <w:rPr>
          <w:rStyle w:val="14"/>
          <w:rFonts w:hint="eastAsia"/>
          <w:sz w:val="21"/>
          <w:szCs w:val="21"/>
        </w:rPr>
        <w:t>二、《基金合同》的终止事由</w:t>
      </w:r>
    </w:p>
    <w:p>
      <w:pPr>
        <w:pStyle w:val="9"/>
        <w:spacing w:before="0" w:beforeAutospacing="0" w:after="0" w:afterAutospacing="0" w:line="360" w:lineRule="auto"/>
        <w:ind w:firstLine="420"/>
        <w:rPr>
          <w:sz w:val="21"/>
          <w:szCs w:val="21"/>
        </w:rPr>
      </w:pPr>
      <w:r>
        <w:rPr>
          <w:rFonts w:hint="eastAsia"/>
          <w:sz w:val="21"/>
          <w:szCs w:val="21"/>
        </w:rPr>
        <w:t>有下列情形之一的，经履行相关程序后，《基金合同》应当终止：</w:t>
      </w:r>
    </w:p>
    <w:p>
      <w:pPr>
        <w:pStyle w:val="9"/>
        <w:spacing w:before="0" w:beforeAutospacing="0" w:after="0" w:afterAutospacing="0" w:line="360" w:lineRule="auto"/>
        <w:ind w:firstLine="420"/>
        <w:rPr>
          <w:sz w:val="21"/>
          <w:szCs w:val="21"/>
        </w:rPr>
      </w:pPr>
      <w:r>
        <w:rPr>
          <w:rFonts w:hint="eastAsia"/>
          <w:sz w:val="21"/>
          <w:szCs w:val="21"/>
        </w:rPr>
        <w:t>1、基金份额持有人大会决定终止的；</w:t>
      </w:r>
    </w:p>
    <w:p>
      <w:pPr>
        <w:pStyle w:val="9"/>
        <w:spacing w:before="0" w:beforeAutospacing="0" w:after="0" w:afterAutospacing="0" w:line="360" w:lineRule="auto"/>
        <w:ind w:firstLine="420"/>
        <w:rPr>
          <w:sz w:val="21"/>
          <w:szCs w:val="21"/>
        </w:rPr>
      </w:pPr>
      <w:r>
        <w:rPr>
          <w:rFonts w:hint="eastAsia"/>
          <w:sz w:val="21"/>
          <w:szCs w:val="21"/>
        </w:rPr>
        <w:t>2、基金管理人、基金托管人职责终止，在6个月内没有新基金管理人、新基金托管人承接的；</w:t>
      </w:r>
    </w:p>
    <w:p>
      <w:pPr>
        <w:pStyle w:val="9"/>
        <w:spacing w:before="0" w:beforeAutospacing="0" w:after="0" w:afterAutospacing="0" w:line="360" w:lineRule="auto"/>
        <w:ind w:firstLine="420"/>
        <w:rPr>
          <w:sz w:val="21"/>
          <w:szCs w:val="21"/>
        </w:rPr>
      </w:pPr>
      <w:r>
        <w:rPr>
          <w:rFonts w:hint="eastAsia"/>
          <w:sz w:val="21"/>
          <w:szCs w:val="21"/>
        </w:rPr>
        <w:t>3、出现标的指数不符合要求（因成份股价格波动等指数编制方法变动之外的因素致使标的指数不符合要求以及法律法规、监管机构另有规定的情形除外）、指数编制机构退出等情形，基金管理人召集基金份额持有人大会对解决方案进行表决，基金份额持有人大会未成功召开或就上述事项表决未通过的；</w:t>
      </w:r>
    </w:p>
    <w:p>
      <w:pPr>
        <w:pStyle w:val="9"/>
        <w:spacing w:before="0" w:beforeAutospacing="0" w:after="0" w:afterAutospacing="0" w:line="360" w:lineRule="auto"/>
        <w:ind w:firstLine="420"/>
        <w:rPr>
          <w:sz w:val="21"/>
          <w:szCs w:val="21"/>
        </w:rPr>
      </w:pPr>
      <w:r>
        <w:rPr>
          <w:rFonts w:hint="eastAsia"/>
          <w:sz w:val="21"/>
          <w:szCs w:val="21"/>
        </w:rPr>
        <w:t>4、《基金合同》约定的其他情形；</w:t>
      </w:r>
    </w:p>
    <w:p>
      <w:pPr>
        <w:pStyle w:val="9"/>
        <w:spacing w:before="0" w:beforeAutospacing="0" w:after="0" w:afterAutospacing="0" w:line="360" w:lineRule="auto"/>
        <w:ind w:firstLine="420"/>
        <w:rPr>
          <w:sz w:val="21"/>
          <w:szCs w:val="21"/>
        </w:rPr>
      </w:pPr>
      <w:r>
        <w:rPr>
          <w:rFonts w:hint="eastAsia"/>
          <w:sz w:val="21"/>
          <w:szCs w:val="21"/>
        </w:rPr>
        <w:t>5、相关法律法规和中国证监会规定的其他情况。</w:t>
      </w:r>
    </w:p>
    <w:p>
      <w:pPr>
        <w:pStyle w:val="9"/>
        <w:spacing w:before="0" w:beforeAutospacing="0" w:after="0" w:afterAutospacing="0" w:line="360" w:lineRule="auto"/>
        <w:ind w:firstLine="420"/>
        <w:rPr>
          <w:sz w:val="21"/>
          <w:szCs w:val="21"/>
        </w:rPr>
      </w:pPr>
      <w:r>
        <w:rPr>
          <w:rStyle w:val="14"/>
          <w:rFonts w:hint="eastAsia"/>
          <w:sz w:val="21"/>
          <w:szCs w:val="21"/>
        </w:rPr>
        <w:t>三、基金财产的清算</w:t>
      </w:r>
    </w:p>
    <w:p>
      <w:pPr>
        <w:pStyle w:val="9"/>
        <w:spacing w:before="0" w:beforeAutospacing="0" w:after="0" w:afterAutospacing="0" w:line="360" w:lineRule="auto"/>
        <w:ind w:firstLine="420"/>
        <w:rPr>
          <w:sz w:val="21"/>
          <w:szCs w:val="21"/>
        </w:rPr>
      </w:pPr>
      <w:r>
        <w:rPr>
          <w:rFonts w:hint="eastAsia"/>
          <w:sz w:val="21"/>
          <w:szCs w:val="21"/>
        </w:rPr>
        <w:t>1、基金财产清算小组：自出现《基金合同》终止事由之日起30个工作日内成立基金财产清算小组，基金管理人组织基金财产清算小组并在中国证监会的监督下进行基金清算。</w:t>
      </w:r>
    </w:p>
    <w:p>
      <w:pPr>
        <w:pStyle w:val="9"/>
        <w:spacing w:before="0" w:beforeAutospacing="0" w:after="0" w:afterAutospacing="0" w:line="360" w:lineRule="auto"/>
        <w:ind w:firstLine="420"/>
        <w:rPr>
          <w:sz w:val="21"/>
          <w:szCs w:val="21"/>
        </w:rPr>
      </w:pPr>
      <w:r>
        <w:rPr>
          <w:rFonts w:hint="eastAsia"/>
          <w:sz w:val="21"/>
          <w:szCs w:val="21"/>
        </w:rPr>
        <w:t>2、在基金财产清算小组接管基金财产之前，基金管理人和基金托管人应按照《基金合同》和托管协议的规定继续履行保护基金财产安全的职责。</w:t>
      </w:r>
    </w:p>
    <w:p>
      <w:pPr>
        <w:pStyle w:val="9"/>
        <w:spacing w:before="0" w:beforeAutospacing="0" w:after="0" w:afterAutospacing="0" w:line="360" w:lineRule="auto"/>
        <w:ind w:firstLine="420"/>
        <w:rPr>
          <w:sz w:val="21"/>
          <w:szCs w:val="21"/>
        </w:rPr>
      </w:pPr>
      <w:r>
        <w:rPr>
          <w:rFonts w:hint="eastAsia"/>
          <w:sz w:val="21"/>
          <w:szCs w:val="21"/>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pStyle w:val="9"/>
        <w:spacing w:before="0" w:beforeAutospacing="0" w:after="0" w:afterAutospacing="0" w:line="360" w:lineRule="auto"/>
        <w:ind w:firstLine="420"/>
        <w:rPr>
          <w:sz w:val="21"/>
          <w:szCs w:val="21"/>
        </w:rPr>
      </w:pPr>
      <w:r>
        <w:rPr>
          <w:rFonts w:hint="eastAsia"/>
          <w:sz w:val="21"/>
          <w:szCs w:val="21"/>
        </w:rPr>
        <w:t>4、基金财产清算小组职责：基金财产清算小组负责基金财产的保管、清理、估价、变现和分配。基金财产清算小组可以依法进行必要的民事活动。</w:t>
      </w:r>
    </w:p>
    <w:p>
      <w:pPr>
        <w:pStyle w:val="9"/>
        <w:spacing w:before="0" w:beforeAutospacing="0" w:after="0" w:afterAutospacing="0" w:line="360" w:lineRule="auto"/>
        <w:ind w:firstLine="420"/>
        <w:rPr>
          <w:sz w:val="21"/>
          <w:szCs w:val="21"/>
        </w:rPr>
      </w:pPr>
      <w:r>
        <w:rPr>
          <w:rFonts w:hint="eastAsia"/>
          <w:sz w:val="21"/>
          <w:szCs w:val="21"/>
        </w:rPr>
        <w:t>5、在基金财产清算过程中，基金管理人和基金托管人应各自履行职责，继续忠实、勤勉、尽责地履行基金合同和托管协议规定的义务，维护基金份额持有人的合法权益。</w:t>
      </w:r>
    </w:p>
    <w:p>
      <w:pPr>
        <w:pStyle w:val="9"/>
        <w:spacing w:before="0" w:beforeAutospacing="0" w:after="0" w:afterAutospacing="0" w:line="360" w:lineRule="auto"/>
        <w:ind w:firstLine="420"/>
        <w:rPr>
          <w:sz w:val="21"/>
          <w:szCs w:val="21"/>
        </w:rPr>
      </w:pPr>
      <w:r>
        <w:rPr>
          <w:rFonts w:hint="eastAsia"/>
          <w:sz w:val="21"/>
          <w:szCs w:val="21"/>
        </w:rPr>
        <w:t>6、基金财产清算程序：</w:t>
      </w:r>
    </w:p>
    <w:p>
      <w:pPr>
        <w:pStyle w:val="9"/>
        <w:spacing w:before="0" w:beforeAutospacing="0" w:after="0" w:afterAutospacing="0" w:line="360" w:lineRule="auto"/>
        <w:ind w:firstLine="420"/>
        <w:rPr>
          <w:sz w:val="21"/>
          <w:szCs w:val="21"/>
        </w:rPr>
      </w:pPr>
      <w:r>
        <w:rPr>
          <w:rFonts w:hint="eastAsia"/>
          <w:sz w:val="21"/>
          <w:szCs w:val="21"/>
        </w:rPr>
        <w:t>（1）《基金合同》终止情形出现时，由基金财产清算小组统一接管基金；</w:t>
      </w:r>
    </w:p>
    <w:p>
      <w:pPr>
        <w:pStyle w:val="9"/>
        <w:spacing w:before="0" w:beforeAutospacing="0" w:after="0" w:afterAutospacing="0" w:line="360" w:lineRule="auto"/>
        <w:ind w:firstLine="420"/>
        <w:rPr>
          <w:sz w:val="21"/>
          <w:szCs w:val="21"/>
        </w:rPr>
      </w:pPr>
      <w:r>
        <w:rPr>
          <w:rFonts w:hint="eastAsia"/>
          <w:sz w:val="21"/>
          <w:szCs w:val="21"/>
        </w:rPr>
        <w:t>（2）对基金财产和债权债务进行清理和确认；</w:t>
      </w:r>
    </w:p>
    <w:p>
      <w:pPr>
        <w:pStyle w:val="9"/>
        <w:spacing w:before="0" w:beforeAutospacing="0" w:after="0" w:afterAutospacing="0" w:line="360" w:lineRule="auto"/>
        <w:ind w:firstLine="420"/>
        <w:rPr>
          <w:sz w:val="21"/>
          <w:szCs w:val="21"/>
        </w:rPr>
      </w:pPr>
      <w:r>
        <w:rPr>
          <w:rFonts w:hint="eastAsia"/>
          <w:sz w:val="21"/>
          <w:szCs w:val="21"/>
        </w:rPr>
        <w:t>（3）对基金财产进行估值和变现；</w:t>
      </w:r>
    </w:p>
    <w:p>
      <w:pPr>
        <w:pStyle w:val="9"/>
        <w:spacing w:before="0" w:beforeAutospacing="0" w:after="0" w:afterAutospacing="0" w:line="360" w:lineRule="auto"/>
        <w:ind w:firstLine="420"/>
        <w:rPr>
          <w:sz w:val="21"/>
          <w:szCs w:val="21"/>
        </w:rPr>
      </w:pPr>
      <w:r>
        <w:rPr>
          <w:rFonts w:hint="eastAsia"/>
          <w:sz w:val="21"/>
          <w:szCs w:val="21"/>
        </w:rPr>
        <w:t>（4）制作清算报告；</w:t>
      </w:r>
    </w:p>
    <w:p>
      <w:pPr>
        <w:pStyle w:val="9"/>
        <w:spacing w:before="0" w:beforeAutospacing="0" w:after="0" w:afterAutospacing="0" w:line="360" w:lineRule="auto"/>
        <w:ind w:firstLine="420"/>
        <w:rPr>
          <w:sz w:val="21"/>
          <w:szCs w:val="21"/>
        </w:rPr>
      </w:pPr>
      <w:r>
        <w:rPr>
          <w:rFonts w:hint="eastAsia"/>
          <w:sz w:val="21"/>
          <w:szCs w:val="21"/>
        </w:rPr>
        <w:t>（5）聘请会计师事务所对清算报告进行外部审计，聘请律师事务所对清算报告出具法律意见书；</w:t>
      </w:r>
    </w:p>
    <w:p>
      <w:pPr>
        <w:pStyle w:val="9"/>
        <w:spacing w:before="0" w:beforeAutospacing="0" w:after="0" w:afterAutospacing="0" w:line="360" w:lineRule="auto"/>
        <w:ind w:firstLine="420"/>
        <w:rPr>
          <w:sz w:val="21"/>
          <w:szCs w:val="21"/>
        </w:rPr>
      </w:pPr>
      <w:r>
        <w:rPr>
          <w:rFonts w:hint="eastAsia"/>
          <w:sz w:val="21"/>
          <w:szCs w:val="21"/>
        </w:rPr>
        <w:t>（6）将清算报告报中国证监会备案并公告；</w:t>
      </w:r>
    </w:p>
    <w:p>
      <w:pPr>
        <w:pStyle w:val="9"/>
        <w:spacing w:before="0" w:beforeAutospacing="0" w:after="0" w:afterAutospacing="0" w:line="360" w:lineRule="auto"/>
        <w:ind w:firstLine="420"/>
        <w:rPr>
          <w:sz w:val="21"/>
          <w:szCs w:val="21"/>
        </w:rPr>
      </w:pPr>
      <w:r>
        <w:rPr>
          <w:rFonts w:hint="eastAsia"/>
          <w:sz w:val="21"/>
          <w:szCs w:val="21"/>
        </w:rPr>
        <w:t>（7）对基金剩余财产进行分配。</w:t>
      </w:r>
    </w:p>
    <w:p>
      <w:pPr>
        <w:pStyle w:val="9"/>
        <w:spacing w:before="0" w:beforeAutospacing="0" w:after="0" w:afterAutospacing="0" w:line="360" w:lineRule="auto"/>
        <w:ind w:firstLine="420"/>
        <w:rPr>
          <w:sz w:val="21"/>
          <w:szCs w:val="21"/>
        </w:rPr>
      </w:pPr>
      <w:r>
        <w:rPr>
          <w:rFonts w:hint="eastAsia"/>
          <w:sz w:val="21"/>
          <w:szCs w:val="21"/>
        </w:rPr>
        <w:t>7、基金财产清算的期限为6个月，但因本基金所持证券的流动性受到限制而不能及时变现的，清算期限可相应顺延。</w:t>
      </w:r>
    </w:p>
    <w:p>
      <w:pPr>
        <w:pStyle w:val="9"/>
        <w:spacing w:before="0" w:beforeAutospacing="0" w:after="0" w:afterAutospacing="0" w:line="360" w:lineRule="auto"/>
        <w:ind w:firstLine="420"/>
        <w:rPr>
          <w:sz w:val="21"/>
          <w:szCs w:val="21"/>
        </w:rPr>
      </w:pPr>
      <w:r>
        <w:rPr>
          <w:rStyle w:val="14"/>
          <w:rFonts w:hint="eastAsia"/>
          <w:sz w:val="21"/>
          <w:szCs w:val="21"/>
        </w:rPr>
        <w:t>四、清算费用</w:t>
      </w:r>
    </w:p>
    <w:p>
      <w:pPr>
        <w:pStyle w:val="9"/>
        <w:spacing w:before="0" w:beforeAutospacing="0" w:after="0" w:afterAutospacing="0" w:line="360" w:lineRule="auto"/>
        <w:ind w:firstLine="420"/>
        <w:rPr>
          <w:sz w:val="21"/>
          <w:szCs w:val="21"/>
        </w:rPr>
      </w:pPr>
      <w:r>
        <w:rPr>
          <w:rFonts w:hint="eastAsia"/>
          <w:sz w:val="21"/>
          <w:szCs w:val="21"/>
        </w:rPr>
        <w:t>清算费用是指基金财产清算小组在进行基金清算过程中发生的所有合理费用，清算费用由基金财产清算小组优先从基金剩余财产中支付。</w:t>
      </w:r>
    </w:p>
    <w:p>
      <w:pPr>
        <w:pStyle w:val="9"/>
        <w:spacing w:before="0" w:beforeAutospacing="0" w:after="0" w:afterAutospacing="0" w:line="360" w:lineRule="auto"/>
        <w:ind w:firstLine="420"/>
        <w:rPr>
          <w:sz w:val="21"/>
          <w:szCs w:val="21"/>
        </w:rPr>
      </w:pPr>
      <w:r>
        <w:rPr>
          <w:rStyle w:val="14"/>
          <w:rFonts w:hint="eastAsia"/>
          <w:sz w:val="21"/>
          <w:szCs w:val="21"/>
        </w:rPr>
        <w:t>五、基金财产清算剩余资产的分配</w:t>
      </w:r>
    </w:p>
    <w:p>
      <w:pPr>
        <w:pStyle w:val="9"/>
        <w:spacing w:before="0" w:beforeAutospacing="0" w:after="0" w:afterAutospacing="0" w:line="360" w:lineRule="auto"/>
        <w:ind w:firstLine="420"/>
        <w:rPr>
          <w:sz w:val="21"/>
          <w:szCs w:val="21"/>
        </w:rPr>
      </w:pPr>
      <w:r>
        <w:rPr>
          <w:rFonts w:hint="eastAsia"/>
          <w:sz w:val="21"/>
          <w:szCs w:val="21"/>
        </w:rPr>
        <w:t>依据基金财产清算的分配方案，将基金财产清算后的全部剩余资产扣除基金财产清算费用、交纳所欠税款并清偿基金债务后，按基金份额持有人持有的各类基金份额比例进行分配。</w:t>
      </w:r>
    </w:p>
    <w:p>
      <w:pPr>
        <w:pStyle w:val="9"/>
        <w:spacing w:before="0" w:beforeAutospacing="0" w:after="0" w:afterAutospacing="0" w:line="360" w:lineRule="auto"/>
        <w:ind w:firstLine="420"/>
        <w:rPr>
          <w:sz w:val="21"/>
          <w:szCs w:val="21"/>
        </w:rPr>
      </w:pPr>
      <w:r>
        <w:rPr>
          <w:rStyle w:val="14"/>
          <w:rFonts w:hint="eastAsia"/>
          <w:sz w:val="21"/>
          <w:szCs w:val="21"/>
        </w:rPr>
        <w:t>六、基金财产清算的公告</w:t>
      </w:r>
    </w:p>
    <w:p>
      <w:pPr>
        <w:pStyle w:val="9"/>
        <w:spacing w:before="0" w:beforeAutospacing="0" w:after="0" w:afterAutospacing="0" w:line="360" w:lineRule="auto"/>
        <w:ind w:firstLine="420"/>
        <w:rPr>
          <w:sz w:val="21"/>
          <w:szCs w:val="21"/>
        </w:rPr>
      </w:pPr>
      <w:r>
        <w:rPr>
          <w:rFonts w:hint="eastAsia"/>
          <w:sz w:val="21"/>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pStyle w:val="9"/>
        <w:spacing w:before="0" w:beforeAutospacing="0" w:after="0" w:afterAutospacing="0" w:line="360" w:lineRule="auto"/>
        <w:ind w:firstLine="420"/>
        <w:rPr>
          <w:sz w:val="21"/>
          <w:szCs w:val="21"/>
        </w:rPr>
      </w:pPr>
      <w:r>
        <w:rPr>
          <w:rStyle w:val="14"/>
          <w:rFonts w:hint="eastAsia"/>
          <w:sz w:val="21"/>
          <w:szCs w:val="21"/>
        </w:rPr>
        <w:t>七、基金财产清算账册及文件的保存</w:t>
      </w:r>
    </w:p>
    <w:p>
      <w:pPr>
        <w:pStyle w:val="9"/>
        <w:spacing w:before="0" w:beforeAutospacing="0" w:after="0" w:afterAutospacing="0" w:line="360" w:lineRule="auto"/>
        <w:ind w:firstLine="420"/>
        <w:rPr>
          <w:sz w:val="21"/>
          <w:szCs w:val="21"/>
        </w:rPr>
      </w:pPr>
      <w:r>
        <w:rPr>
          <w:rFonts w:hint="eastAsia"/>
          <w:sz w:val="21"/>
          <w:szCs w:val="21"/>
        </w:rPr>
        <w:t>基金财产清算账册及有关文件由基金托管人保存，保存期限不低于法律法规规定的最低期限。</w:t>
      </w:r>
    </w:p>
    <w:p>
      <w:pPr>
        <w:pStyle w:val="9"/>
        <w:spacing w:before="0" w:beforeAutospacing="0" w:after="0" w:afterAutospacing="0" w:line="360" w:lineRule="auto"/>
        <w:ind w:firstLine="420"/>
        <w:rPr>
          <w:sz w:val="21"/>
          <w:szCs w:val="21"/>
        </w:rPr>
      </w:pPr>
      <w:r>
        <w:rPr>
          <w:rStyle w:val="14"/>
          <w:rFonts w:hint="eastAsia"/>
          <w:sz w:val="21"/>
          <w:szCs w:val="21"/>
        </w:rPr>
        <w:t>八、基金合并</w:t>
      </w:r>
    </w:p>
    <w:p>
      <w:pPr>
        <w:pStyle w:val="9"/>
        <w:spacing w:before="0" w:beforeAutospacing="0" w:after="0" w:afterAutospacing="0" w:line="360" w:lineRule="auto"/>
        <w:ind w:firstLine="420"/>
        <w:rPr>
          <w:sz w:val="21"/>
          <w:szCs w:val="21"/>
        </w:rPr>
      </w:pPr>
      <w:r>
        <w:rPr>
          <w:rFonts w:hint="eastAsia"/>
          <w:sz w:val="21"/>
          <w:szCs w:val="21"/>
        </w:rPr>
        <w:t>本基金与其他基金的合并应当按照法律法规规定的程序进行。</w:t>
      </w:r>
    </w:p>
    <w:p>
      <w:pPr>
        <w:widowControl/>
        <w:jc w:val="left"/>
        <w:rPr>
          <w:rFonts w:ascii="宋体" w:hAnsi="宋体" w:eastAsia="宋体"/>
        </w:rPr>
      </w:pPr>
      <w:bookmarkStart w:id="174" w:name="chapter_level1_21_69_section_1_end"/>
      <w:bookmarkEnd w:id="174"/>
      <w:r>
        <w:rPr>
          <w:rFonts w:ascii="宋体" w:hAnsi="宋体" w:eastAsia="宋体"/>
        </w:rPr>
        <w:br w:type="page"/>
      </w:r>
    </w:p>
    <w:p>
      <w:pPr>
        <w:pStyle w:val="2"/>
        <w:jc w:val="center"/>
        <w:rPr>
          <w:rFonts w:ascii="宋体" w:hAnsi="宋体" w:eastAsia="宋体"/>
          <w:sz w:val="30"/>
        </w:rPr>
      </w:pPr>
      <w:bookmarkStart w:id="175" w:name="_Toc151126583"/>
      <w:bookmarkStart w:id="176" w:name="chapter_level1_22_71"/>
      <w:r>
        <w:rPr>
          <w:rFonts w:hint="eastAsia" w:ascii="宋体" w:hAnsi="宋体" w:eastAsia="宋体"/>
          <w:sz w:val="30"/>
        </w:rPr>
        <w:t>第十九部分  基金合同的内容摘要</w:t>
      </w:r>
      <w:bookmarkEnd w:id="175"/>
      <w:bookmarkEnd w:id="176"/>
    </w:p>
    <w:p>
      <w:pPr>
        <w:pStyle w:val="9"/>
        <w:spacing w:before="0" w:beforeAutospacing="0" w:after="0" w:afterAutospacing="0" w:line="360" w:lineRule="auto"/>
        <w:ind w:firstLine="420"/>
        <w:rPr>
          <w:sz w:val="21"/>
          <w:szCs w:val="21"/>
        </w:rPr>
      </w:pPr>
      <w:bookmarkStart w:id="177" w:name="chapter_level1_22_71_section_1"/>
      <w:bookmarkEnd w:id="177"/>
      <w:r>
        <w:rPr>
          <w:rStyle w:val="14"/>
          <w:rFonts w:hint="eastAsia"/>
          <w:sz w:val="21"/>
          <w:szCs w:val="21"/>
        </w:rPr>
        <w:t>一、基金份额持有人、基金管理人和基金托管人的权利、义务</w:t>
      </w:r>
    </w:p>
    <w:p>
      <w:pPr>
        <w:pStyle w:val="9"/>
        <w:spacing w:before="0" w:beforeAutospacing="0" w:after="0" w:afterAutospacing="0" w:line="360" w:lineRule="auto"/>
        <w:ind w:firstLine="420"/>
        <w:rPr>
          <w:sz w:val="21"/>
          <w:szCs w:val="21"/>
        </w:rPr>
      </w:pPr>
      <w:r>
        <w:rPr>
          <w:rFonts w:hint="eastAsia"/>
          <w:sz w:val="21"/>
          <w:szCs w:val="21"/>
        </w:rPr>
        <w:t>（一）基金管理人的权利与义务</w:t>
      </w:r>
    </w:p>
    <w:p>
      <w:pPr>
        <w:pStyle w:val="9"/>
        <w:spacing w:before="0" w:beforeAutospacing="0" w:after="0" w:afterAutospacing="0" w:line="360" w:lineRule="auto"/>
        <w:ind w:firstLine="420"/>
        <w:rPr>
          <w:sz w:val="21"/>
          <w:szCs w:val="21"/>
        </w:rPr>
      </w:pPr>
      <w:r>
        <w:rPr>
          <w:rFonts w:hint="eastAsia"/>
          <w:sz w:val="21"/>
          <w:szCs w:val="21"/>
        </w:rPr>
        <w:t>1、根据《基金法》、《运作办法》及其他有关规定，基金管理人的权利包括但不限于：</w:t>
      </w:r>
    </w:p>
    <w:p>
      <w:pPr>
        <w:pStyle w:val="9"/>
        <w:spacing w:before="0" w:beforeAutospacing="0" w:after="0" w:afterAutospacing="0" w:line="360" w:lineRule="auto"/>
        <w:ind w:firstLine="420"/>
        <w:rPr>
          <w:sz w:val="21"/>
          <w:szCs w:val="21"/>
        </w:rPr>
      </w:pPr>
      <w:r>
        <w:rPr>
          <w:rFonts w:hint="eastAsia"/>
          <w:sz w:val="21"/>
          <w:szCs w:val="21"/>
        </w:rPr>
        <w:t>（1）依法募集资金；</w:t>
      </w:r>
    </w:p>
    <w:p>
      <w:pPr>
        <w:pStyle w:val="9"/>
        <w:spacing w:before="0" w:beforeAutospacing="0" w:after="0" w:afterAutospacing="0" w:line="360" w:lineRule="auto"/>
        <w:ind w:firstLine="420"/>
        <w:rPr>
          <w:sz w:val="21"/>
          <w:szCs w:val="21"/>
        </w:rPr>
      </w:pPr>
      <w:r>
        <w:rPr>
          <w:rFonts w:hint="eastAsia"/>
          <w:sz w:val="21"/>
          <w:szCs w:val="21"/>
        </w:rPr>
        <w:t>（2）自《基金合同》生效之日起，根据法律法规和《基金合同》独立运用并管理基金财产；</w:t>
      </w:r>
    </w:p>
    <w:p>
      <w:pPr>
        <w:pStyle w:val="9"/>
        <w:spacing w:before="0" w:beforeAutospacing="0" w:after="0" w:afterAutospacing="0" w:line="360" w:lineRule="auto"/>
        <w:ind w:firstLine="420"/>
        <w:rPr>
          <w:sz w:val="21"/>
          <w:szCs w:val="21"/>
        </w:rPr>
      </w:pPr>
      <w:r>
        <w:rPr>
          <w:rFonts w:hint="eastAsia"/>
          <w:sz w:val="21"/>
          <w:szCs w:val="21"/>
        </w:rPr>
        <w:t>（3）依照《基金合同》收取基金管理费以及法律法规规定或中国证监会批准的其他费用；</w:t>
      </w:r>
    </w:p>
    <w:p>
      <w:pPr>
        <w:pStyle w:val="9"/>
        <w:spacing w:before="0" w:beforeAutospacing="0" w:after="0" w:afterAutospacing="0" w:line="360" w:lineRule="auto"/>
        <w:ind w:firstLine="420"/>
        <w:rPr>
          <w:sz w:val="21"/>
          <w:szCs w:val="21"/>
        </w:rPr>
      </w:pPr>
      <w:r>
        <w:rPr>
          <w:rFonts w:hint="eastAsia"/>
          <w:sz w:val="21"/>
          <w:szCs w:val="21"/>
        </w:rPr>
        <w:t>（4）销售基金份额；</w:t>
      </w:r>
    </w:p>
    <w:p>
      <w:pPr>
        <w:pStyle w:val="9"/>
        <w:spacing w:before="0" w:beforeAutospacing="0" w:after="0" w:afterAutospacing="0" w:line="360" w:lineRule="auto"/>
        <w:ind w:firstLine="420"/>
        <w:rPr>
          <w:sz w:val="21"/>
          <w:szCs w:val="21"/>
        </w:rPr>
      </w:pPr>
      <w:r>
        <w:rPr>
          <w:rFonts w:hint="eastAsia"/>
          <w:sz w:val="21"/>
          <w:szCs w:val="21"/>
        </w:rPr>
        <w:t>（5）按照规定召集基金份额持有人大会；</w:t>
      </w:r>
    </w:p>
    <w:p>
      <w:pPr>
        <w:pStyle w:val="9"/>
        <w:spacing w:before="0" w:beforeAutospacing="0" w:after="0" w:afterAutospacing="0" w:line="360" w:lineRule="auto"/>
        <w:ind w:firstLine="420"/>
        <w:rPr>
          <w:sz w:val="21"/>
          <w:szCs w:val="21"/>
        </w:rPr>
      </w:pPr>
      <w:r>
        <w:rPr>
          <w:rFonts w:hint="eastAsia"/>
          <w:sz w:val="21"/>
          <w:szCs w:val="21"/>
        </w:rPr>
        <w:t>（6）依据《基金合同》及有关法律规定监督基金托管人，如认为基金托管人违反了《基金合同》及国家有关法律规定，应呈报中国证监会和其他监管部门，并采取必要措施保护基金投资者的利益；</w:t>
      </w:r>
    </w:p>
    <w:p>
      <w:pPr>
        <w:pStyle w:val="9"/>
        <w:spacing w:before="0" w:beforeAutospacing="0" w:after="0" w:afterAutospacing="0" w:line="360" w:lineRule="auto"/>
        <w:ind w:firstLine="420"/>
        <w:rPr>
          <w:sz w:val="21"/>
          <w:szCs w:val="21"/>
        </w:rPr>
      </w:pPr>
      <w:r>
        <w:rPr>
          <w:rFonts w:hint="eastAsia"/>
          <w:sz w:val="21"/>
          <w:szCs w:val="21"/>
        </w:rPr>
        <w:t>（7）在基金托管人更换时，提名新的基金托管人；</w:t>
      </w:r>
    </w:p>
    <w:p>
      <w:pPr>
        <w:pStyle w:val="9"/>
        <w:spacing w:before="0" w:beforeAutospacing="0" w:after="0" w:afterAutospacing="0" w:line="360" w:lineRule="auto"/>
        <w:ind w:firstLine="420"/>
        <w:rPr>
          <w:sz w:val="21"/>
          <w:szCs w:val="21"/>
        </w:rPr>
      </w:pPr>
      <w:r>
        <w:rPr>
          <w:rFonts w:hint="eastAsia"/>
          <w:sz w:val="21"/>
          <w:szCs w:val="21"/>
        </w:rPr>
        <w:t>（8）选择、更换基金销售机构，对基金销售机构的相关行为进行监督和处理； </w:t>
      </w:r>
    </w:p>
    <w:p>
      <w:pPr>
        <w:pStyle w:val="9"/>
        <w:spacing w:before="0" w:beforeAutospacing="0" w:after="0" w:afterAutospacing="0" w:line="360" w:lineRule="auto"/>
        <w:ind w:firstLine="420"/>
        <w:rPr>
          <w:sz w:val="21"/>
          <w:szCs w:val="21"/>
        </w:rPr>
      </w:pPr>
      <w:r>
        <w:rPr>
          <w:rFonts w:hint="eastAsia"/>
          <w:sz w:val="21"/>
          <w:szCs w:val="21"/>
        </w:rPr>
        <w:t>（9）担任或委托其他符合条件的机构担任基金登记机构办理基金登记业务并获得《基金合同》规定的费用； </w:t>
      </w:r>
    </w:p>
    <w:p>
      <w:pPr>
        <w:pStyle w:val="9"/>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9"/>
        <w:spacing w:before="0" w:beforeAutospacing="0" w:after="0" w:afterAutospacing="0" w:line="360" w:lineRule="auto"/>
        <w:ind w:firstLine="420"/>
        <w:rPr>
          <w:sz w:val="21"/>
          <w:szCs w:val="21"/>
        </w:rPr>
      </w:pPr>
      <w:r>
        <w:rPr>
          <w:rFonts w:hint="eastAsia"/>
          <w:sz w:val="21"/>
          <w:szCs w:val="21"/>
        </w:rPr>
        <w:t>（11）在《基金合同》约定的范围内，拒绝或暂停受理申购、赎回与转换申请； </w:t>
      </w:r>
    </w:p>
    <w:p>
      <w:pPr>
        <w:pStyle w:val="9"/>
        <w:spacing w:before="0" w:beforeAutospacing="0" w:after="0" w:afterAutospacing="0" w:line="360" w:lineRule="auto"/>
        <w:ind w:firstLine="420"/>
        <w:rPr>
          <w:sz w:val="21"/>
          <w:szCs w:val="21"/>
        </w:rPr>
      </w:pPr>
      <w:r>
        <w:rPr>
          <w:rFonts w:hint="eastAsia"/>
          <w:sz w:val="21"/>
          <w:szCs w:val="21"/>
        </w:rPr>
        <w:t>（12）依照法律法规为基金的利益对被投资公司行使股东权利，为基金的利益行使因基金财产投资于证券所产生的权利；</w:t>
      </w:r>
    </w:p>
    <w:p>
      <w:pPr>
        <w:pStyle w:val="9"/>
        <w:spacing w:before="0" w:beforeAutospacing="0" w:after="0" w:afterAutospacing="0" w:line="360" w:lineRule="auto"/>
        <w:ind w:firstLine="420"/>
        <w:rPr>
          <w:sz w:val="21"/>
          <w:szCs w:val="21"/>
        </w:rPr>
      </w:pPr>
      <w:r>
        <w:rPr>
          <w:rFonts w:hint="eastAsia"/>
          <w:sz w:val="21"/>
          <w:szCs w:val="21"/>
        </w:rPr>
        <w:t>（13）在法律法规允许的前提下，为基金的利益依法为基金进行融资及转融通证券出借业务；</w:t>
      </w:r>
    </w:p>
    <w:p>
      <w:pPr>
        <w:pStyle w:val="9"/>
        <w:spacing w:before="0" w:beforeAutospacing="0" w:after="0" w:afterAutospacing="0" w:line="360" w:lineRule="auto"/>
        <w:ind w:firstLine="420"/>
        <w:rPr>
          <w:sz w:val="21"/>
          <w:szCs w:val="21"/>
        </w:rPr>
      </w:pPr>
      <w:r>
        <w:rPr>
          <w:rFonts w:hint="eastAsia"/>
          <w:sz w:val="21"/>
          <w:szCs w:val="21"/>
        </w:rPr>
        <w:t>（14）以基金管理人的名义，代表基金份额持有人的利益行使诉讼权利或者实施其他法律行为；</w:t>
      </w:r>
    </w:p>
    <w:p>
      <w:pPr>
        <w:pStyle w:val="9"/>
        <w:spacing w:before="0" w:beforeAutospacing="0" w:after="0" w:afterAutospacing="0" w:line="360" w:lineRule="auto"/>
        <w:ind w:firstLine="420"/>
        <w:rPr>
          <w:sz w:val="21"/>
          <w:szCs w:val="21"/>
        </w:rPr>
      </w:pPr>
      <w:r>
        <w:rPr>
          <w:rFonts w:hint="eastAsia"/>
          <w:sz w:val="21"/>
          <w:szCs w:val="21"/>
        </w:rPr>
        <w:t>（15）选择、更换律师事务所、会计师事务所、证券、期货经纪商或其他为基金提供服务的外部机构；</w:t>
      </w:r>
    </w:p>
    <w:p>
      <w:pPr>
        <w:pStyle w:val="9"/>
        <w:spacing w:before="0" w:beforeAutospacing="0" w:after="0" w:afterAutospacing="0" w:line="360" w:lineRule="auto"/>
        <w:ind w:firstLine="420"/>
        <w:rPr>
          <w:sz w:val="21"/>
          <w:szCs w:val="21"/>
        </w:rPr>
      </w:pPr>
      <w:r>
        <w:rPr>
          <w:rFonts w:hint="eastAsia"/>
          <w:sz w:val="21"/>
          <w:szCs w:val="21"/>
        </w:rPr>
        <w:t>（16）在符合有关法律、法规的前提下，制订和调整有关基金认购、申购、赎回、转换、定期定额投资和非交易过户等业务规则；</w:t>
      </w:r>
    </w:p>
    <w:p>
      <w:pPr>
        <w:pStyle w:val="9"/>
        <w:spacing w:before="0" w:beforeAutospacing="0" w:after="0" w:afterAutospacing="0" w:line="360" w:lineRule="auto"/>
        <w:ind w:firstLine="420"/>
        <w:rPr>
          <w:sz w:val="21"/>
          <w:szCs w:val="21"/>
        </w:rPr>
      </w:pPr>
      <w:r>
        <w:rPr>
          <w:rFonts w:hint="eastAsia"/>
          <w:sz w:val="21"/>
          <w:szCs w:val="21"/>
        </w:rPr>
        <w:t>（17）法律法规及中国证监会规定的和《基金合同》约定的其他权利。</w:t>
      </w:r>
    </w:p>
    <w:p>
      <w:pPr>
        <w:pStyle w:val="9"/>
        <w:spacing w:before="0" w:beforeAutospacing="0" w:after="0" w:afterAutospacing="0" w:line="360" w:lineRule="auto"/>
        <w:ind w:firstLine="420"/>
        <w:rPr>
          <w:sz w:val="21"/>
          <w:szCs w:val="21"/>
        </w:rPr>
      </w:pPr>
      <w:r>
        <w:rPr>
          <w:rFonts w:hint="eastAsia"/>
          <w:sz w:val="21"/>
          <w:szCs w:val="21"/>
        </w:rPr>
        <w:t>2、根据《基金法》、《运作办法》及其他有关规定，基金管理人的义务包括但不限于：</w:t>
      </w:r>
    </w:p>
    <w:p>
      <w:pPr>
        <w:pStyle w:val="9"/>
        <w:spacing w:before="0" w:beforeAutospacing="0" w:after="0" w:afterAutospacing="0" w:line="360" w:lineRule="auto"/>
        <w:ind w:firstLine="420"/>
        <w:rPr>
          <w:sz w:val="21"/>
          <w:szCs w:val="21"/>
        </w:rPr>
      </w:pPr>
      <w:r>
        <w:rPr>
          <w:rFonts w:hint="eastAsia"/>
          <w:sz w:val="21"/>
          <w:szCs w:val="21"/>
        </w:rPr>
        <w:t>（1）依法募集资金，办理或者委托经中国证监会认定的其他机构代为办理基金份额的发售、申购、赎回和登记事宜；</w:t>
      </w:r>
    </w:p>
    <w:p>
      <w:pPr>
        <w:pStyle w:val="9"/>
        <w:spacing w:before="0" w:beforeAutospacing="0" w:after="0" w:afterAutospacing="0" w:line="360" w:lineRule="auto"/>
        <w:ind w:firstLine="420"/>
        <w:rPr>
          <w:sz w:val="21"/>
          <w:szCs w:val="21"/>
        </w:rPr>
      </w:pPr>
      <w:r>
        <w:rPr>
          <w:rFonts w:hint="eastAsia"/>
          <w:sz w:val="21"/>
          <w:szCs w:val="21"/>
        </w:rPr>
        <w:t>（2）办理基金备案手续；</w:t>
      </w:r>
    </w:p>
    <w:p>
      <w:pPr>
        <w:pStyle w:val="9"/>
        <w:spacing w:before="0" w:beforeAutospacing="0" w:after="0" w:afterAutospacing="0" w:line="360" w:lineRule="auto"/>
        <w:ind w:firstLine="420"/>
        <w:rPr>
          <w:sz w:val="21"/>
          <w:szCs w:val="21"/>
        </w:rPr>
      </w:pPr>
      <w:r>
        <w:rPr>
          <w:rFonts w:hint="eastAsia"/>
          <w:sz w:val="21"/>
          <w:szCs w:val="21"/>
        </w:rPr>
        <w:t>（3）自《基金合同》生效之日起，以诚实信用、谨慎勤勉的原则管理和运用基金财产；</w:t>
      </w:r>
    </w:p>
    <w:p>
      <w:pPr>
        <w:pStyle w:val="9"/>
        <w:spacing w:before="0" w:beforeAutospacing="0" w:after="0" w:afterAutospacing="0" w:line="360" w:lineRule="auto"/>
        <w:ind w:firstLine="420"/>
        <w:rPr>
          <w:sz w:val="21"/>
          <w:szCs w:val="21"/>
        </w:rPr>
      </w:pPr>
      <w:r>
        <w:rPr>
          <w:rFonts w:hint="eastAsia"/>
          <w:sz w:val="21"/>
          <w:szCs w:val="21"/>
        </w:rPr>
        <w:t>（4）配备足够的具有专业资格的人员进行基金投资分析、决策，以专业化的经营方式管理和运作基金财产；</w:t>
      </w:r>
    </w:p>
    <w:p>
      <w:pPr>
        <w:pStyle w:val="9"/>
        <w:spacing w:before="0" w:beforeAutospacing="0" w:after="0" w:afterAutospacing="0" w:line="360" w:lineRule="auto"/>
        <w:ind w:firstLine="420"/>
        <w:rPr>
          <w:sz w:val="21"/>
          <w:szCs w:val="21"/>
        </w:rPr>
      </w:pPr>
      <w:r>
        <w:rPr>
          <w:rFonts w:hint="eastAsia"/>
          <w:sz w:val="21"/>
          <w:szCs w:val="21"/>
        </w:rPr>
        <w:t>（5）建立健全内部风险控制、监察与稽核、财务管理及人事管理等制度，保证所管理的基金财产和基金管理人的财产相互独立，对所管理的不同基金分别管理，分别记账，进行证券投资；</w:t>
      </w:r>
    </w:p>
    <w:p>
      <w:pPr>
        <w:pStyle w:val="9"/>
        <w:spacing w:before="0" w:beforeAutospacing="0" w:after="0" w:afterAutospacing="0" w:line="360" w:lineRule="auto"/>
        <w:ind w:firstLine="420"/>
        <w:rPr>
          <w:sz w:val="21"/>
          <w:szCs w:val="21"/>
        </w:rPr>
      </w:pPr>
      <w:r>
        <w:rPr>
          <w:rFonts w:hint="eastAsia"/>
          <w:sz w:val="21"/>
          <w:szCs w:val="21"/>
        </w:rPr>
        <w:t>（6）除依据《基金法》、《基金合同》及其他有关规定外，不得利用基金财产为自己及任何第三人谋取利益，不得委托第三人运作基金财产；</w:t>
      </w:r>
    </w:p>
    <w:p>
      <w:pPr>
        <w:pStyle w:val="9"/>
        <w:spacing w:before="0" w:beforeAutospacing="0" w:after="0" w:afterAutospacing="0" w:line="360" w:lineRule="auto"/>
        <w:ind w:firstLine="420"/>
        <w:rPr>
          <w:sz w:val="21"/>
          <w:szCs w:val="21"/>
        </w:rPr>
      </w:pPr>
      <w:r>
        <w:rPr>
          <w:rFonts w:hint="eastAsia"/>
          <w:sz w:val="21"/>
          <w:szCs w:val="21"/>
        </w:rPr>
        <w:t>（7）依法接受基金托管人的监督；</w:t>
      </w:r>
    </w:p>
    <w:p>
      <w:pPr>
        <w:pStyle w:val="9"/>
        <w:spacing w:before="0" w:beforeAutospacing="0" w:after="0" w:afterAutospacing="0" w:line="360" w:lineRule="auto"/>
        <w:ind w:firstLine="420"/>
        <w:rPr>
          <w:sz w:val="21"/>
          <w:szCs w:val="21"/>
        </w:rPr>
      </w:pPr>
      <w:r>
        <w:rPr>
          <w:rFonts w:hint="eastAsia"/>
          <w:sz w:val="21"/>
          <w:szCs w:val="21"/>
        </w:rPr>
        <w:t>（8）采取适当合理的措施使计算基金份额认购、申购、赎回和注销价格的方法符合《基金合同》等法律文件的规定，按有关规定计算并公告基金净值信息，确定基金份额申购、赎回的价格；</w:t>
      </w:r>
    </w:p>
    <w:p>
      <w:pPr>
        <w:pStyle w:val="9"/>
        <w:spacing w:before="0" w:beforeAutospacing="0" w:after="0" w:afterAutospacing="0" w:line="360" w:lineRule="auto"/>
        <w:ind w:firstLine="420"/>
        <w:rPr>
          <w:sz w:val="21"/>
          <w:szCs w:val="21"/>
        </w:rPr>
      </w:pPr>
      <w:r>
        <w:rPr>
          <w:rFonts w:hint="eastAsia"/>
          <w:sz w:val="21"/>
          <w:szCs w:val="21"/>
        </w:rPr>
        <w:t>（9）进行基金会计核算并编制基金财务会计报告；</w:t>
      </w:r>
    </w:p>
    <w:p>
      <w:pPr>
        <w:pStyle w:val="9"/>
        <w:spacing w:before="0" w:beforeAutospacing="0" w:after="0" w:afterAutospacing="0" w:line="360" w:lineRule="auto"/>
        <w:ind w:firstLine="420"/>
        <w:rPr>
          <w:sz w:val="21"/>
          <w:szCs w:val="21"/>
        </w:rPr>
      </w:pPr>
      <w:r>
        <w:rPr>
          <w:rFonts w:hint="eastAsia"/>
          <w:sz w:val="21"/>
          <w:szCs w:val="21"/>
        </w:rPr>
        <w:t>（10）编制季度报告、中期报告和年度报告；</w:t>
      </w:r>
    </w:p>
    <w:p>
      <w:pPr>
        <w:pStyle w:val="9"/>
        <w:spacing w:before="0" w:beforeAutospacing="0" w:after="0" w:afterAutospacing="0" w:line="360" w:lineRule="auto"/>
        <w:ind w:firstLine="420"/>
        <w:rPr>
          <w:sz w:val="21"/>
          <w:szCs w:val="21"/>
        </w:rPr>
      </w:pPr>
      <w:r>
        <w:rPr>
          <w:rFonts w:hint="eastAsia"/>
          <w:sz w:val="21"/>
          <w:szCs w:val="21"/>
        </w:rPr>
        <w:t>（11）严格按照《基金法》、《基金合同》及其他有关规定，履行信息披露及报告义务；</w:t>
      </w:r>
    </w:p>
    <w:p>
      <w:pPr>
        <w:pStyle w:val="9"/>
        <w:spacing w:before="0" w:beforeAutospacing="0" w:after="0" w:afterAutospacing="0" w:line="360" w:lineRule="auto"/>
        <w:ind w:firstLine="420"/>
        <w:rPr>
          <w:sz w:val="21"/>
          <w:szCs w:val="21"/>
        </w:rPr>
      </w:pPr>
      <w:r>
        <w:rPr>
          <w:rFonts w:hint="eastAsia"/>
          <w:sz w:val="21"/>
          <w:szCs w:val="21"/>
        </w:rPr>
        <w:t>（12）保守基金商业秘密，不泄露基金投资计划、投资意向等。除《基金法》、《基金合同》及其他有关规定另有规定外，在基金信息公开披露前应予保密，不向他人泄露，但因监管机构、司法机关等有权机关要求，或因审计、法律等外部专业顾问提供服务需要提供的情况除外；</w:t>
      </w:r>
    </w:p>
    <w:p>
      <w:pPr>
        <w:pStyle w:val="9"/>
        <w:spacing w:before="0" w:beforeAutospacing="0" w:after="0" w:afterAutospacing="0" w:line="360" w:lineRule="auto"/>
        <w:ind w:firstLine="420"/>
        <w:rPr>
          <w:sz w:val="21"/>
          <w:szCs w:val="21"/>
        </w:rPr>
      </w:pPr>
      <w:r>
        <w:rPr>
          <w:rFonts w:hint="eastAsia"/>
          <w:sz w:val="21"/>
          <w:szCs w:val="21"/>
        </w:rPr>
        <w:t>（13）按《基金合同》的约定确定基金收益分配方案，及时向基金份额持有人分配基金收益；</w:t>
      </w:r>
    </w:p>
    <w:p>
      <w:pPr>
        <w:pStyle w:val="9"/>
        <w:spacing w:before="0" w:beforeAutospacing="0" w:after="0" w:afterAutospacing="0" w:line="360" w:lineRule="auto"/>
        <w:ind w:firstLine="420"/>
        <w:rPr>
          <w:sz w:val="21"/>
          <w:szCs w:val="21"/>
        </w:rPr>
      </w:pPr>
      <w:r>
        <w:rPr>
          <w:rFonts w:hint="eastAsia"/>
          <w:sz w:val="21"/>
          <w:szCs w:val="21"/>
        </w:rPr>
        <w:t>（14）按规定受理申购与赎回申请，及时、足额支付赎回款项；</w:t>
      </w:r>
    </w:p>
    <w:p>
      <w:pPr>
        <w:pStyle w:val="9"/>
        <w:spacing w:before="0" w:beforeAutospacing="0" w:after="0" w:afterAutospacing="0" w:line="360" w:lineRule="auto"/>
        <w:ind w:firstLine="420"/>
        <w:rPr>
          <w:sz w:val="21"/>
          <w:szCs w:val="21"/>
        </w:rPr>
      </w:pPr>
      <w:r>
        <w:rPr>
          <w:rFonts w:hint="eastAsia"/>
          <w:sz w:val="21"/>
          <w:szCs w:val="21"/>
        </w:rPr>
        <w:t>（15）依据《基金法》、《基金合同》及其他有关规定召集基金份额持有人大会或配合基金托管人、基金份额持有人依法召集基金份额持有人大会；</w:t>
      </w:r>
    </w:p>
    <w:p>
      <w:pPr>
        <w:pStyle w:val="9"/>
        <w:spacing w:before="0" w:beforeAutospacing="0" w:after="0" w:afterAutospacing="0" w:line="360" w:lineRule="auto"/>
        <w:ind w:firstLine="420"/>
        <w:rPr>
          <w:sz w:val="21"/>
          <w:szCs w:val="21"/>
        </w:rPr>
      </w:pPr>
      <w:r>
        <w:rPr>
          <w:rFonts w:hint="eastAsia"/>
          <w:sz w:val="21"/>
          <w:szCs w:val="21"/>
        </w:rPr>
        <w:t>（16）按规定保存基金财产管理业务活动的会计账册、报表、记录和其他相关资料不低于法律法规规定的最低期限；</w:t>
      </w:r>
    </w:p>
    <w:p>
      <w:pPr>
        <w:pStyle w:val="9"/>
        <w:spacing w:before="0" w:beforeAutospacing="0" w:after="0" w:afterAutospacing="0" w:line="360" w:lineRule="auto"/>
        <w:ind w:firstLine="420"/>
        <w:rPr>
          <w:sz w:val="21"/>
          <w:szCs w:val="21"/>
        </w:rPr>
      </w:pPr>
      <w:r>
        <w:rPr>
          <w:rFonts w:hint="eastAsia"/>
          <w:sz w:val="2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pStyle w:val="9"/>
        <w:spacing w:before="0" w:beforeAutospacing="0" w:after="0" w:afterAutospacing="0" w:line="360" w:lineRule="auto"/>
        <w:ind w:firstLine="420"/>
        <w:rPr>
          <w:sz w:val="21"/>
          <w:szCs w:val="21"/>
        </w:rPr>
      </w:pPr>
      <w:r>
        <w:rPr>
          <w:rFonts w:hint="eastAsia"/>
          <w:sz w:val="21"/>
          <w:szCs w:val="21"/>
        </w:rPr>
        <w:t>（18）组织并参加基金财产清算小组，参与基金财产的保管、清理、估价、变现和分配；</w:t>
      </w:r>
    </w:p>
    <w:p>
      <w:pPr>
        <w:pStyle w:val="9"/>
        <w:spacing w:before="0" w:beforeAutospacing="0" w:after="0" w:afterAutospacing="0" w:line="360" w:lineRule="auto"/>
        <w:ind w:firstLine="420"/>
        <w:rPr>
          <w:sz w:val="21"/>
          <w:szCs w:val="21"/>
        </w:rPr>
      </w:pPr>
      <w:r>
        <w:rPr>
          <w:rFonts w:hint="eastAsia"/>
          <w:sz w:val="21"/>
          <w:szCs w:val="21"/>
        </w:rPr>
        <w:t>（19）面临解散、依法被撤销或者被依法宣告破产时，及时报告中国证监会并通知基金托管人；</w:t>
      </w:r>
    </w:p>
    <w:p>
      <w:pPr>
        <w:pStyle w:val="9"/>
        <w:spacing w:before="0" w:beforeAutospacing="0" w:after="0" w:afterAutospacing="0" w:line="360" w:lineRule="auto"/>
        <w:ind w:firstLine="420"/>
        <w:rPr>
          <w:sz w:val="21"/>
          <w:szCs w:val="21"/>
        </w:rPr>
      </w:pPr>
      <w:r>
        <w:rPr>
          <w:rFonts w:hint="eastAsia"/>
          <w:sz w:val="21"/>
          <w:szCs w:val="21"/>
        </w:rPr>
        <w:t>（20）因违反《基金合同》导致基金财产的损失或损害基金份额持有人合法权益时，应当承担赔偿责任，其赔偿责任不因其退任而免除；</w:t>
      </w:r>
    </w:p>
    <w:p>
      <w:pPr>
        <w:pStyle w:val="9"/>
        <w:spacing w:before="0" w:beforeAutospacing="0" w:after="0" w:afterAutospacing="0" w:line="360" w:lineRule="auto"/>
        <w:ind w:firstLine="420"/>
        <w:rPr>
          <w:sz w:val="21"/>
          <w:szCs w:val="21"/>
        </w:rPr>
      </w:pPr>
      <w:r>
        <w:rPr>
          <w:rFonts w:hint="eastAsia"/>
          <w:sz w:val="21"/>
          <w:szCs w:val="21"/>
        </w:rPr>
        <w:t>（21）监督基金托管人按法律法规和《基金合同》规定履行自己的义务，基金托管人违反《基金合同》造成基金财产损失时，基金管理人应为基金份额持有人利益向基金托管人追偿；</w:t>
      </w:r>
    </w:p>
    <w:p>
      <w:pPr>
        <w:pStyle w:val="9"/>
        <w:spacing w:before="0" w:beforeAutospacing="0" w:after="0" w:afterAutospacing="0" w:line="360" w:lineRule="auto"/>
        <w:ind w:firstLine="420"/>
        <w:rPr>
          <w:sz w:val="21"/>
          <w:szCs w:val="21"/>
        </w:rPr>
      </w:pPr>
      <w:r>
        <w:rPr>
          <w:rFonts w:hint="eastAsia"/>
          <w:sz w:val="21"/>
          <w:szCs w:val="21"/>
        </w:rPr>
        <w:t>（22）当基金管理人将其义务委托第三方处理时，应当对第三方处理有关基金事务的行为承担责任；</w:t>
      </w:r>
    </w:p>
    <w:p>
      <w:pPr>
        <w:pStyle w:val="9"/>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9"/>
        <w:spacing w:before="0" w:beforeAutospacing="0" w:after="0" w:afterAutospacing="0" w:line="360" w:lineRule="auto"/>
        <w:ind w:firstLine="420"/>
        <w:rPr>
          <w:sz w:val="21"/>
          <w:szCs w:val="21"/>
        </w:rPr>
      </w:pPr>
      <w:r>
        <w:rPr>
          <w:rFonts w:hint="eastAsia"/>
          <w:sz w:val="21"/>
          <w:szCs w:val="21"/>
        </w:rPr>
        <w:t>（24）基金在募集期间未能达到基金的备案条件，《基金合同》不能生效，基金管理人承担全部募集费用，将已募集资金并加计银行同期活期存款利息在基金募集期结束后30日内退还基金认购人；</w:t>
      </w:r>
    </w:p>
    <w:p>
      <w:pPr>
        <w:pStyle w:val="9"/>
        <w:spacing w:before="0" w:beforeAutospacing="0" w:after="0" w:afterAutospacing="0" w:line="360" w:lineRule="auto"/>
        <w:ind w:firstLine="420"/>
        <w:rPr>
          <w:sz w:val="21"/>
          <w:szCs w:val="21"/>
        </w:rPr>
      </w:pPr>
      <w:r>
        <w:rPr>
          <w:rFonts w:hint="eastAsia"/>
          <w:sz w:val="21"/>
          <w:szCs w:val="21"/>
        </w:rPr>
        <w:t>（25）执行生效的基金份额持有人大会的决议；</w:t>
      </w:r>
    </w:p>
    <w:p>
      <w:pPr>
        <w:pStyle w:val="9"/>
        <w:spacing w:before="0" w:beforeAutospacing="0" w:after="0" w:afterAutospacing="0" w:line="360" w:lineRule="auto"/>
        <w:ind w:firstLine="420"/>
        <w:rPr>
          <w:sz w:val="21"/>
          <w:szCs w:val="21"/>
        </w:rPr>
      </w:pPr>
      <w:r>
        <w:rPr>
          <w:rFonts w:hint="eastAsia"/>
          <w:sz w:val="21"/>
          <w:szCs w:val="21"/>
        </w:rPr>
        <w:t>（26）建立并保存基金份额持有人名册；</w:t>
      </w:r>
    </w:p>
    <w:p>
      <w:pPr>
        <w:pStyle w:val="9"/>
        <w:spacing w:before="0" w:beforeAutospacing="0" w:after="0" w:afterAutospacing="0" w:line="360" w:lineRule="auto"/>
        <w:ind w:firstLine="420"/>
        <w:rPr>
          <w:sz w:val="21"/>
          <w:szCs w:val="21"/>
        </w:rPr>
      </w:pPr>
      <w:r>
        <w:rPr>
          <w:rFonts w:hint="eastAsia"/>
          <w:sz w:val="21"/>
          <w:szCs w:val="21"/>
        </w:rPr>
        <w:t>（27）法律法规及中国证监会规定的和《基金合同》约定的其他义务。</w:t>
      </w:r>
    </w:p>
    <w:p>
      <w:pPr>
        <w:pStyle w:val="9"/>
        <w:spacing w:before="0" w:beforeAutospacing="0" w:after="0" w:afterAutospacing="0" w:line="360" w:lineRule="auto"/>
        <w:ind w:firstLine="420"/>
        <w:rPr>
          <w:sz w:val="21"/>
          <w:szCs w:val="21"/>
        </w:rPr>
      </w:pPr>
      <w:r>
        <w:rPr>
          <w:rFonts w:hint="eastAsia"/>
          <w:sz w:val="21"/>
          <w:szCs w:val="21"/>
        </w:rPr>
        <w:t>（二） 基金托管人的权利与义务</w:t>
      </w:r>
    </w:p>
    <w:p>
      <w:pPr>
        <w:pStyle w:val="9"/>
        <w:spacing w:before="0" w:beforeAutospacing="0" w:after="0" w:afterAutospacing="0" w:line="360" w:lineRule="auto"/>
        <w:ind w:firstLine="420"/>
        <w:rPr>
          <w:sz w:val="21"/>
          <w:szCs w:val="21"/>
        </w:rPr>
      </w:pPr>
      <w:r>
        <w:rPr>
          <w:rFonts w:hint="eastAsia"/>
          <w:sz w:val="21"/>
          <w:szCs w:val="21"/>
        </w:rPr>
        <w:t>1、根据《基金法》、《运作办法》及其他有关规定，基金托管人的权利包括但不限于：</w:t>
      </w:r>
    </w:p>
    <w:p>
      <w:pPr>
        <w:pStyle w:val="9"/>
        <w:spacing w:before="0" w:beforeAutospacing="0" w:after="0" w:afterAutospacing="0" w:line="360" w:lineRule="auto"/>
        <w:ind w:firstLine="420"/>
        <w:rPr>
          <w:sz w:val="21"/>
          <w:szCs w:val="21"/>
        </w:rPr>
      </w:pPr>
      <w:r>
        <w:rPr>
          <w:rFonts w:hint="eastAsia"/>
          <w:sz w:val="21"/>
          <w:szCs w:val="21"/>
        </w:rPr>
        <w:t>（1）自《基金合同》生效之日起，依法律法规和《基金合同》的规定安全保管基金财产；</w:t>
      </w:r>
    </w:p>
    <w:p>
      <w:pPr>
        <w:pStyle w:val="9"/>
        <w:spacing w:before="0" w:beforeAutospacing="0" w:after="0" w:afterAutospacing="0" w:line="360" w:lineRule="auto"/>
        <w:ind w:firstLine="420"/>
        <w:rPr>
          <w:sz w:val="21"/>
          <w:szCs w:val="21"/>
        </w:rPr>
      </w:pPr>
      <w:r>
        <w:rPr>
          <w:rFonts w:hint="eastAsia"/>
          <w:sz w:val="21"/>
          <w:szCs w:val="21"/>
        </w:rPr>
        <w:t>（2）依《基金合同》约定获得基金托管费以及法律法规规定或监管部门批准的其他费用；</w:t>
      </w:r>
    </w:p>
    <w:p>
      <w:pPr>
        <w:pStyle w:val="9"/>
        <w:spacing w:before="0" w:beforeAutospacing="0" w:after="0" w:afterAutospacing="0" w:line="360" w:lineRule="auto"/>
        <w:ind w:firstLine="420"/>
        <w:rPr>
          <w:sz w:val="21"/>
          <w:szCs w:val="21"/>
        </w:rPr>
      </w:pPr>
      <w:r>
        <w:rPr>
          <w:rFonts w:hint="eastAsia"/>
          <w:sz w:val="2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pStyle w:val="9"/>
        <w:spacing w:before="0" w:beforeAutospacing="0" w:after="0" w:afterAutospacing="0" w:line="360" w:lineRule="auto"/>
        <w:ind w:firstLine="420"/>
        <w:rPr>
          <w:sz w:val="21"/>
          <w:szCs w:val="21"/>
        </w:rPr>
      </w:pPr>
      <w:r>
        <w:rPr>
          <w:rFonts w:hint="eastAsia"/>
          <w:sz w:val="21"/>
          <w:szCs w:val="21"/>
        </w:rPr>
        <w:t>（4）根据相关市场规则，为基金开设资金账户、证券账户等投资所需账户，为基金办理证券、期货交易资金清算；</w:t>
      </w:r>
    </w:p>
    <w:p>
      <w:pPr>
        <w:pStyle w:val="9"/>
        <w:spacing w:before="0" w:beforeAutospacing="0" w:after="0" w:afterAutospacing="0" w:line="360" w:lineRule="auto"/>
        <w:ind w:firstLine="420"/>
        <w:rPr>
          <w:sz w:val="21"/>
          <w:szCs w:val="21"/>
        </w:rPr>
      </w:pPr>
      <w:r>
        <w:rPr>
          <w:rFonts w:hint="eastAsia"/>
          <w:sz w:val="21"/>
          <w:szCs w:val="21"/>
        </w:rPr>
        <w:t>（5）提议召开或召集基金份额持有人大会；</w:t>
      </w:r>
    </w:p>
    <w:p>
      <w:pPr>
        <w:pStyle w:val="9"/>
        <w:spacing w:before="0" w:beforeAutospacing="0" w:after="0" w:afterAutospacing="0" w:line="360" w:lineRule="auto"/>
        <w:ind w:firstLine="420"/>
        <w:rPr>
          <w:sz w:val="21"/>
          <w:szCs w:val="21"/>
        </w:rPr>
      </w:pPr>
      <w:r>
        <w:rPr>
          <w:rFonts w:hint="eastAsia"/>
          <w:sz w:val="21"/>
          <w:szCs w:val="21"/>
        </w:rPr>
        <w:t>（6）在基金管理人更换时，提名新的基金管理人；</w:t>
      </w:r>
    </w:p>
    <w:p>
      <w:pPr>
        <w:pStyle w:val="9"/>
        <w:spacing w:before="0" w:beforeAutospacing="0" w:after="0" w:afterAutospacing="0" w:line="360" w:lineRule="auto"/>
        <w:ind w:firstLine="420"/>
        <w:rPr>
          <w:sz w:val="21"/>
          <w:szCs w:val="21"/>
        </w:rPr>
      </w:pPr>
      <w:r>
        <w:rPr>
          <w:rFonts w:hint="eastAsia"/>
          <w:sz w:val="21"/>
          <w:szCs w:val="21"/>
        </w:rPr>
        <w:t>（7）法律法规及中国证监会规定的和《基金合同》约定的其他权利。</w:t>
      </w:r>
    </w:p>
    <w:p>
      <w:pPr>
        <w:pStyle w:val="9"/>
        <w:spacing w:before="0" w:beforeAutospacing="0" w:after="0" w:afterAutospacing="0" w:line="360" w:lineRule="auto"/>
        <w:ind w:firstLine="420"/>
        <w:rPr>
          <w:sz w:val="21"/>
          <w:szCs w:val="21"/>
        </w:rPr>
      </w:pPr>
      <w:r>
        <w:rPr>
          <w:rFonts w:hint="eastAsia"/>
          <w:sz w:val="21"/>
          <w:szCs w:val="21"/>
        </w:rPr>
        <w:t>2、根据《基金法》、《运作办法》及其他有关规定，基金托管人的义务包括但不限于：</w:t>
      </w:r>
    </w:p>
    <w:p>
      <w:pPr>
        <w:pStyle w:val="9"/>
        <w:spacing w:before="0" w:beforeAutospacing="0" w:after="0" w:afterAutospacing="0" w:line="360" w:lineRule="auto"/>
        <w:ind w:firstLine="420"/>
        <w:rPr>
          <w:sz w:val="21"/>
          <w:szCs w:val="21"/>
        </w:rPr>
      </w:pPr>
      <w:r>
        <w:rPr>
          <w:rFonts w:hint="eastAsia"/>
          <w:sz w:val="21"/>
          <w:szCs w:val="21"/>
        </w:rPr>
        <w:t>（1）以诚实信用、勤勉尽责的原则持有并安全保管基金财产；</w:t>
      </w:r>
    </w:p>
    <w:p>
      <w:pPr>
        <w:pStyle w:val="9"/>
        <w:spacing w:before="0" w:beforeAutospacing="0" w:after="0" w:afterAutospacing="0" w:line="360" w:lineRule="auto"/>
        <w:ind w:firstLine="420"/>
        <w:rPr>
          <w:sz w:val="21"/>
          <w:szCs w:val="21"/>
        </w:rPr>
      </w:pPr>
      <w:r>
        <w:rPr>
          <w:rFonts w:hint="eastAsia"/>
          <w:sz w:val="21"/>
          <w:szCs w:val="21"/>
        </w:rPr>
        <w:t>（2）设立专门的基金托管部门，具有符合要求的营业场所，配备足够的、合格的熟悉基金托管业务的专职人员，负责基金财产托管事宜；</w:t>
      </w:r>
    </w:p>
    <w:p>
      <w:pPr>
        <w:pStyle w:val="9"/>
        <w:spacing w:before="0" w:beforeAutospacing="0" w:after="0" w:afterAutospacing="0" w:line="360" w:lineRule="auto"/>
        <w:ind w:firstLine="420"/>
        <w:rPr>
          <w:sz w:val="21"/>
          <w:szCs w:val="21"/>
        </w:rPr>
      </w:pPr>
      <w:r>
        <w:rPr>
          <w:rFonts w:hint="eastAsia"/>
          <w:sz w:val="2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pStyle w:val="9"/>
        <w:spacing w:before="0" w:beforeAutospacing="0" w:after="0" w:afterAutospacing="0" w:line="360" w:lineRule="auto"/>
        <w:ind w:firstLine="420"/>
        <w:rPr>
          <w:sz w:val="21"/>
          <w:szCs w:val="21"/>
        </w:rPr>
      </w:pPr>
      <w:r>
        <w:rPr>
          <w:rFonts w:hint="eastAsia"/>
          <w:sz w:val="21"/>
          <w:szCs w:val="21"/>
        </w:rPr>
        <w:t>（4）除依据《基金法》、《基金合同》及其他有关规定外，不得利用基金财产为自己及任何第三人谋取利益，不得委托第三人托管基金财产；</w:t>
      </w:r>
    </w:p>
    <w:p>
      <w:pPr>
        <w:pStyle w:val="9"/>
        <w:spacing w:before="0" w:beforeAutospacing="0" w:after="0" w:afterAutospacing="0" w:line="360" w:lineRule="auto"/>
        <w:ind w:firstLine="420"/>
        <w:rPr>
          <w:sz w:val="21"/>
          <w:szCs w:val="21"/>
        </w:rPr>
      </w:pPr>
      <w:r>
        <w:rPr>
          <w:rFonts w:hint="eastAsia"/>
          <w:sz w:val="21"/>
          <w:szCs w:val="21"/>
        </w:rPr>
        <w:t>（5）保管由基金管理人代表基金签订的与基金有关的重大合同及有关凭证；</w:t>
      </w:r>
    </w:p>
    <w:p>
      <w:pPr>
        <w:pStyle w:val="9"/>
        <w:spacing w:before="0" w:beforeAutospacing="0" w:after="0" w:afterAutospacing="0" w:line="360" w:lineRule="auto"/>
        <w:ind w:firstLine="420"/>
        <w:rPr>
          <w:sz w:val="21"/>
          <w:szCs w:val="21"/>
        </w:rPr>
      </w:pPr>
      <w:r>
        <w:rPr>
          <w:rFonts w:hint="eastAsia"/>
          <w:sz w:val="21"/>
          <w:szCs w:val="21"/>
        </w:rPr>
        <w:t>（6）按规定开设基金财产的资金账户和证券账户等投资所需账户，按照《基金合同》的约定，根据基金管理人的投资指令，及时办理清算、交割事宜；</w:t>
      </w:r>
    </w:p>
    <w:p>
      <w:pPr>
        <w:pStyle w:val="9"/>
        <w:spacing w:before="0" w:beforeAutospacing="0" w:after="0" w:afterAutospacing="0" w:line="360" w:lineRule="auto"/>
        <w:ind w:firstLine="420"/>
        <w:rPr>
          <w:sz w:val="21"/>
          <w:szCs w:val="21"/>
        </w:rPr>
      </w:pPr>
      <w:r>
        <w:rPr>
          <w:rFonts w:hint="eastAsia"/>
          <w:sz w:val="21"/>
          <w:szCs w:val="21"/>
        </w:rPr>
        <w:t>（7）保守基金商业秘密，除《基金法》、《基金合同》及其他有关规定另有规定外，在基金信息公开披露前予以保密，不得向他人泄露，但因监管机构、司法机关等有权机关要求，或因审计、法律等外部专业顾问提供服务需要提供的情况除外；</w:t>
      </w:r>
    </w:p>
    <w:p>
      <w:pPr>
        <w:pStyle w:val="9"/>
        <w:spacing w:before="0" w:beforeAutospacing="0" w:after="0" w:afterAutospacing="0" w:line="360" w:lineRule="auto"/>
        <w:ind w:firstLine="420"/>
        <w:rPr>
          <w:sz w:val="21"/>
          <w:szCs w:val="21"/>
        </w:rPr>
      </w:pPr>
      <w:r>
        <w:rPr>
          <w:rFonts w:hint="eastAsia"/>
          <w:sz w:val="21"/>
          <w:szCs w:val="21"/>
        </w:rPr>
        <w:t>（8）复核、审查基金管理人计算的基金资产净值、各类基金份额净值、基金份额申购、赎回价格；</w:t>
      </w:r>
    </w:p>
    <w:p>
      <w:pPr>
        <w:pStyle w:val="9"/>
        <w:spacing w:before="0" w:beforeAutospacing="0" w:after="0" w:afterAutospacing="0" w:line="360" w:lineRule="auto"/>
        <w:ind w:firstLine="420"/>
        <w:rPr>
          <w:sz w:val="21"/>
          <w:szCs w:val="21"/>
        </w:rPr>
      </w:pPr>
      <w:r>
        <w:rPr>
          <w:rFonts w:hint="eastAsia"/>
          <w:sz w:val="21"/>
          <w:szCs w:val="21"/>
        </w:rPr>
        <w:t>（9）办理与基金托管业务活动有关的信息披露事项；</w:t>
      </w:r>
    </w:p>
    <w:p>
      <w:pPr>
        <w:pStyle w:val="9"/>
        <w:spacing w:before="0" w:beforeAutospacing="0" w:after="0" w:afterAutospacing="0" w:line="360" w:lineRule="auto"/>
        <w:ind w:firstLine="420"/>
        <w:rPr>
          <w:sz w:val="21"/>
          <w:szCs w:val="21"/>
        </w:rPr>
      </w:pPr>
      <w:r>
        <w:rPr>
          <w:rFonts w:hint="eastAsia"/>
          <w:sz w:val="21"/>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pStyle w:val="9"/>
        <w:spacing w:before="0" w:beforeAutospacing="0" w:after="0" w:afterAutospacing="0" w:line="360" w:lineRule="auto"/>
        <w:ind w:firstLine="420"/>
        <w:rPr>
          <w:sz w:val="21"/>
          <w:szCs w:val="21"/>
        </w:rPr>
      </w:pPr>
      <w:r>
        <w:rPr>
          <w:rFonts w:hint="eastAsia"/>
          <w:sz w:val="21"/>
          <w:szCs w:val="21"/>
        </w:rPr>
        <w:t>（11）保存基金托管业务活动的记录、账册、报表和其他相关资料不低于法律法规规定的最低期限；</w:t>
      </w:r>
    </w:p>
    <w:p>
      <w:pPr>
        <w:pStyle w:val="9"/>
        <w:spacing w:before="0" w:beforeAutospacing="0" w:after="0" w:afterAutospacing="0" w:line="360" w:lineRule="auto"/>
        <w:ind w:firstLine="420"/>
        <w:rPr>
          <w:sz w:val="21"/>
          <w:szCs w:val="21"/>
        </w:rPr>
      </w:pPr>
      <w:r>
        <w:rPr>
          <w:rFonts w:hint="eastAsia"/>
          <w:sz w:val="21"/>
          <w:szCs w:val="21"/>
        </w:rPr>
        <w:t>（12）从基金管理人或其委托的登记机构处接收并保存基金份额持有人名册；</w:t>
      </w:r>
    </w:p>
    <w:p>
      <w:pPr>
        <w:pStyle w:val="9"/>
        <w:spacing w:before="0" w:beforeAutospacing="0" w:after="0" w:afterAutospacing="0" w:line="360" w:lineRule="auto"/>
        <w:ind w:firstLine="420"/>
        <w:rPr>
          <w:sz w:val="21"/>
          <w:szCs w:val="21"/>
        </w:rPr>
      </w:pPr>
      <w:r>
        <w:rPr>
          <w:rFonts w:hint="eastAsia"/>
          <w:sz w:val="21"/>
          <w:szCs w:val="21"/>
        </w:rPr>
        <w:t>（13）按规定制作相关账册并与基金管理人核对；</w:t>
      </w:r>
    </w:p>
    <w:p>
      <w:pPr>
        <w:pStyle w:val="9"/>
        <w:spacing w:before="0" w:beforeAutospacing="0" w:after="0" w:afterAutospacing="0" w:line="360" w:lineRule="auto"/>
        <w:ind w:firstLine="420"/>
        <w:rPr>
          <w:sz w:val="21"/>
          <w:szCs w:val="21"/>
        </w:rPr>
      </w:pPr>
      <w:r>
        <w:rPr>
          <w:rFonts w:hint="eastAsia"/>
          <w:sz w:val="21"/>
          <w:szCs w:val="21"/>
        </w:rPr>
        <w:t>（14）依据基金管理人的指令或有关规定向基金份额持有人支付基金收益和赎回款项；</w:t>
      </w:r>
    </w:p>
    <w:p>
      <w:pPr>
        <w:pStyle w:val="9"/>
        <w:spacing w:before="0" w:beforeAutospacing="0" w:after="0" w:afterAutospacing="0" w:line="360" w:lineRule="auto"/>
        <w:ind w:firstLine="420"/>
        <w:rPr>
          <w:sz w:val="21"/>
          <w:szCs w:val="21"/>
        </w:rPr>
      </w:pPr>
      <w:r>
        <w:rPr>
          <w:rFonts w:hint="eastAsia"/>
          <w:sz w:val="21"/>
          <w:szCs w:val="21"/>
        </w:rPr>
        <w:t>（15）依据《基金法》、《基金合同》及其他有关规定，召集基金份额持有人大会或配合基金管理人、基金份额持有人依法召集基金份额持有人大会；</w:t>
      </w:r>
    </w:p>
    <w:p>
      <w:pPr>
        <w:pStyle w:val="9"/>
        <w:spacing w:before="0" w:beforeAutospacing="0" w:after="0" w:afterAutospacing="0" w:line="360" w:lineRule="auto"/>
        <w:ind w:firstLine="420"/>
        <w:rPr>
          <w:sz w:val="21"/>
          <w:szCs w:val="21"/>
        </w:rPr>
      </w:pPr>
      <w:r>
        <w:rPr>
          <w:rFonts w:hint="eastAsia"/>
          <w:sz w:val="21"/>
          <w:szCs w:val="21"/>
        </w:rPr>
        <w:t>（16）按照法律法规和《基金合同》的规定监督基金管理人的投资运作；</w:t>
      </w:r>
    </w:p>
    <w:p>
      <w:pPr>
        <w:pStyle w:val="9"/>
        <w:spacing w:before="0" w:beforeAutospacing="0" w:after="0" w:afterAutospacing="0" w:line="360" w:lineRule="auto"/>
        <w:ind w:firstLine="420"/>
        <w:rPr>
          <w:sz w:val="21"/>
          <w:szCs w:val="21"/>
        </w:rPr>
      </w:pPr>
      <w:r>
        <w:rPr>
          <w:rFonts w:hint="eastAsia"/>
          <w:sz w:val="21"/>
          <w:szCs w:val="21"/>
        </w:rPr>
        <w:t>（17）参加基金财产清算小组，参与基金财产的保管、清理、估价、变现和分配；</w:t>
      </w:r>
    </w:p>
    <w:p>
      <w:pPr>
        <w:pStyle w:val="9"/>
        <w:spacing w:before="0" w:beforeAutospacing="0" w:after="0" w:afterAutospacing="0" w:line="360" w:lineRule="auto"/>
        <w:ind w:firstLine="420"/>
        <w:rPr>
          <w:sz w:val="21"/>
          <w:szCs w:val="21"/>
        </w:rPr>
      </w:pPr>
      <w:r>
        <w:rPr>
          <w:rFonts w:hint="eastAsia"/>
          <w:sz w:val="21"/>
          <w:szCs w:val="21"/>
        </w:rPr>
        <w:t>（18）面临解散、依法被撤销或者被依法宣告破产时，及时报告中国证监会和银行业监督管理机构，并通知基金管理人；</w:t>
      </w:r>
    </w:p>
    <w:p>
      <w:pPr>
        <w:pStyle w:val="9"/>
        <w:spacing w:before="0" w:beforeAutospacing="0" w:after="0" w:afterAutospacing="0" w:line="360" w:lineRule="auto"/>
        <w:ind w:firstLine="420"/>
        <w:rPr>
          <w:sz w:val="21"/>
          <w:szCs w:val="21"/>
        </w:rPr>
      </w:pPr>
      <w:r>
        <w:rPr>
          <w:rFonts w:hint="eastAsia"/>
          <w:sz w:val="21"/>
          <w:szCs w:val="21"/>
        </w:rPr>
        <w:t>（19）因违反《基金合同》导致基金财产损失时，应承担赔偿责任，其赔偿责任不因其退任而免除；</w:t>
      </w:r>
    </w:p>
    <w:p>
      <w:pPr>
        <w:pStyle w:val="9"/>
        <w:spacing w:before="0" w:beforeAutospacing="0" w:after="0" w:afterAutospacing="0" w:line="360" w:lineRule="auto"/>
        <w:ind w:firstLine="420"/>
        <w:rPr>
          <w:sz w:val="21"/>
          <w:szCs w:val="21"/>
        </w:rPr>
      </w:pPr>
      <w:r>
        <w:rPr>
          <w:rFonts w:hint="eastAsia"/>
          <w:sz w:val="21"/>
          <w:szCs w:val="21"/>
        </w:rPr>
        <w:t>（20）按规定监督基金管理人按法律法规和《基金合同》规定履行自己的义务，基金管理人因违反《基金合同》造成基金财产损失时，应为基金份额持有人利益向基金管理人追偿；</w:t>
      </w:r>
    </w:p>
    <w:p>
      <w:pPr>
        <w:pStyle w:val="9"/>
        <w:spacing w:before="0" w:beforeAutospacing="0" w:after="0" w:afterAutospacing="0" w:line="360" w:lineRule="auto"/>
        <w:ind w:firstLine="420"/>
        <w:rPr>
          <w:sz w:val="21"/>
          <w:szCs w:val="21"/>
        </w:rPr>
      </w:pPr>
      <w:r>
        <w:rPr>
          <w:rFonts w:hint="eastAsia"/>
          <w:sz w:val="21"/>
          <w:szCs w:val="21"/>
        </w:rPr>
        <w:t>（21）执行生效的基金份额持有人大会的决议；</w:t>
      </w:r>
    </w:p>
    <w:p>
      <w:pPr>
        <w:pStyle w:val="9"/>
        <w:spacing w:before="0" w:beforeAutospacing="0" w:after="0" w:afterAutospacing="0" w:line="360" w:lineRule="auto"/>
        <w:ind w:firstLine="420"/>
        <w:rPr>
          <w:sz w:val="21"/>
          <w:szCs w:val="21"/>
        </w:rPr>
      </w:pPr>
      <w:r>
        <w:rPr>
          <w:rFonts w:hint="eastAsia"/>
          <w:sz w:val="21"/>
          <w:szCs w:val="21"/>
        </w:rPr>
        <w:t>（22）法律法规及中国证监会规定的和《基金合同》约定的其他义务。</w:t>
      </w:r>
    </w:p>
    <w:p>
      <w:pPr>
        <w:pStyle w:val="9"/>
        <w:spacing w:before="0" w:beforeAutospacing="0" w:after="0" w:afterAutospacing="0" w:line="360" w:lineRule="auto"/>
        <w:ind w:firstLine="420"/>
        <w:rPr>
          <w:sz w:val="21"/>
          <w:szCs w:val="21"/>
        </w:rPr>
      </w:pPr>
      <w:r>
        <w:rPr>
          <w:rFonts w:hint="eastAsia"/>
          <w:sz w:val="21"/>
          <w:szCs w:val="21"/>
        </w:rPr>
        <w:t>（三）基金份额持有人</w:t>
      </w:r>
    </w:p>
    <w:p>
      <w:pPr>
        <w:pStyle w:val="9"/>
        <w:spacing w:before="0" w:beforeAutospacing="0" w:after="0" w:afterAutospacing="0" w:line="360" w:lineRule="auto"/>
        <w:ind w:firstLine="420"/>
        <w:rPr>
          <w:sz w:val="21"/>
          <w:szCs w:val="21"/>
        </w:rPr>
      </w:pPr>
      <w:r>
        <w:rPr>
          <w:rFonts w:hint="eastAsia"/>
          <w:sz w:val="21"/>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pStyle w:val="9"/>
        <w:spacing w:before="0" w:beforeAutospacing="0" w:after="0" w:afterAutospacing="0" w:line="360" w:lineRule="auto"/>
        <w:ind w:firstLine="420"/>
        <w:rPr>
          <w:sz w:val="21"/>
          <w:szCs w:val="21"/>
        </w:rPr>
      </w:pPr>
      <w:r>
        <w:rPr>
          <w:rFonts w:hint="eastAsia"/>
          <w:sz w:val="21"/>
          <w:szCs w:val="21"/>
        </w:rPr>
        <w:t>除法律法规另有规定或本基金合同另有约定外，同一类别每份基金份额具有同等的合法权益。</w:t>
      </w:r>
    </w:p>
    <w:p>
      <w:pPr>
        <w:pStyle w:val="9"/>
        <w:spacing w:before="0" w:beforeAutospacing="0" w:after="0" w:afterAutospacing="0" w:line="360" w:lineRule="auto"/>
        <w:ind w:firstLine="420"/>
        <w:rPr>
          <w:sz w:val="21"/>
          <w:szCs w:val="21"/>
        </w:rPr>
      </w:pPr>
      <w:r>
        <w:rPr>
          <w:rFonts w:hint="eastAsia"/>
          <w:sz w:val="21"/>
          <w:szCs w:val="21"/>
        </w:rPr>
        <w:t>1、根据《基金法》、《运作办法》及其他有关规定，基金份额持有人的权利包括但不限于：</w:t>
      </w:r>
    </w:p>
    <w:p>
      <w:pPr>
        <w:pStyle w:val="9"/>
        <w:spacing w:before="0" w:beforeAutospacing="0" w:after="0" w:afterAutospacing="0" w:line="360" w:lineRule="auto"/>
        <w:ind w:firstLine="420"/>
        <w:rPr>
          <w:sz w:val="21"/>
          <w:szCs w:val="21"/>
        </w:rPr>
      </w:pPr>
      <w:r>
        <w:rPr>
          <w:rFonts w:hint="eastAsia"/>
          <w:sz w:val="21"/>
          <w:szCs w:val="21"/>
        </w:rPr>
        <w:t>（1）分享基金财产收益；</w:t>
      </w:r>
    </w:p>
    <w:p>
      <w:pPr>
        <w:pStyle w:val="9"/>
        <w:spacing w:before="0" w:beforeAutospacing="0" w:after="0" w:afterAutospacing="0" w:line="360" w:lineRule="auto"/>
        <w:ind w:firstLine="420"/>
        <w:rPr>
          <w:sz w:val="21"/>
          <w:szCs w:val="21"/>
        </w:rPr>
      </w:pPr>
      <w:r>
        <w:rPr>
          <w:rFonts w:hint="eastAsia"/>
          <w:sz w:val="21"/>
          <w:szCs w:val="21"/>
        </w:rPr>
        <w:t>（2）参与分配清算后的剩余基金财产；</w:t>
      </w:r>
    </w:p>
    <w:p>
      <w:pPr>
        <w:pStyle w:val="9"/>
        <w:spacing w:before="0" w:beforeAutospacing="0" w:after="0" w:afterAutospacing="0" w:line="360" w:lineRule="auto"/>
        <w:ind w:firstLine="420"/>
        <w:rPr>
          <w:sz w:val="21"/>
          <w:szCs w:val="21"/>
        </w:rPr>
      </w:pPr>
      <w:r>
        <w:rPr>
          <w:rFonts w:hint="eastAsia"/>
          <w:sz w:val="21"/>
          <w:szCs w:val="21"/>
        </w:rPr>
        <w:t>（3）依法转让或者申请赎回其持有的基金份额；</w:t>
      </w:r>
    </w:p>
    <w:p>
      <w:pPr>
        <w:pStyle w:val="9"/>
        <w:spacing w:before="0" w:beforeAutospacing="0" w:after="0" w:afterAutospacing="0" w:line="360" w:lineRule="auto"/>
        <w:ind w:firstLine="420"/>
        <w:rPr>
          <w:sz w:val="21"/>
          <w:szCs w:val="21"/>
        </w:rPr>
      </w:pPr>
      <w:r>
        <w:rPr>
          <w:rFonts w:hint="eastAsia"/>
          <w:sz w:val="21"/>
          <w:szCs w:val="21"/>
        </w:rPr>
        <w:t>（4）按照规定要求召开基金份额持有人大会或者召集基金份额持有人大会；</w:t>
      </w:r>
    </w:p>
    <w:p>
      <w:pPr>
        <w:pStyle w:val="9"/>
        <w:spacing w:before="0" w:beforeAutospacing="0" w:after="0" w:afterAutospacing="0" w:line="360" w:lineRule="auto"/>
        <w:ind w:firstLine="420"/>
        <w:rPr>
          <w:sz w:val="21"/>
          <w:szCs w:val="21"/>
        </w:rPr>
      </w:pPr>
      <w:r>
        <w:rPr>
          <w:rFonts w:hint="eastAsia"/>
          <w:sz w:val="21"/>
          <w:szCs w:val="21"/>
        </w:rPr>
        <w:t>（5）出席或者委派代表出席基金份额持有人大会，对基金份额持有人大会审议事项行使表决权；</w:t>
      </w:r>
    </w:p>
    <w:p>
      <w:pPr>
        <w:pStyle w:val="9"/>
        <w:spacing w:before="0" w:beforeAutospacing="0" w:after="0" w:afterAutospacing="0" w:line="360" w:lineRule="auto"/>
        <w:ind w:firstLine="420"/>
        <w:rPr>
          <w:sz w:val="21"/>
          <w:szCs w:val="21"/>
        </w:rPr>
      </w:pPr>
      <w:r>
        <w:rPr>
          <w:rFonts w:hint="eastAsia"/>
          <w:sz w:val="21"/>
          <w:szCs w:val="21"/>
        </w:rPr>
        <w:t>（6）查阅或者复制公开披露的基金信息资料；</w:t>
      </w:r>
    </w:p>
    <w:p>
      <w:pPr>
        <w:pStyle w:val="9"/>
        <w:spacing w:before="0" w:beforeAutospacing="0" w:after="0" w:afterAutospacing="0" w:line="360" w:lineRule="auto"/>
        <w:ind w:firstLine="420"/>
        <w:rPr>
          <w:sz w:val="21"/>
          <w:szCs w:val="21"/>
        </w:rPr>
      </w:pPr>
      <w:r>
        <w:rPr>
          <w:rFonts w:hint="eastAsia"/>
          <w:sz w:val="21"/>
          <w:szCs w:val="21"/>
        </w:rPr>
        <w:t>（7）监督基金管理人的投资运作；</w:t>
      </w:r>
    </w:p>
    <w:p>
      <w:pPr>
        <w:pStyle w:val="9"/>
        <w:spacing w:before="0" w:beforeAutospacing="0" w:after="0" w:afterAutospacing="0" w:line="360" w:lineRule="auto"/>
        <w:ind w:firstLine="420"/>
        <w:rPr>
          <w:sz w:val="21"/>
          <w:szCs w:val="21"/>
        </w:rPr>
      </w:pPr>
      <w:r>
        <w:rPr>
          <w:rFonts w:hint="eastAsia"/>
          <w:sz w:val="21"/>
          <w:szCs w:val="21"/>
        </w:rPr>
        <w:t>（8）对基金管理人、基金托管人、基金服务机构损害其合法权益的行为依法提起诉讼或仲裁；</w:t>
      </w:r>
    </w:p>
    <w:p>
      <w:pPr>
        <w:pStyle w:val="9"/>
        <w:spacing w:before="0" w:beforeAutospacing="0" w:after="0" w:afterAutospacing="0" w:line="360" w:lineRule="auto"/>
        <w:ind w:firstLine="420"/>
        <w:rPr>
          <w:sz w:val="21"/>
          <w:szCs w:val="21"/>
        </w:rPr>
      </w:pPr>
      <w:r>
        <w:rPr>
          <w:rFonts w:hint="eastAsia"/>
          <w:sz w:val="21"/>
          <w:szCs w:val="21"/>
        </w:rPr>
        <w:t>（9）法律法规及中国证监会规定的和《基金合同》约定的其他权利。</w:t>
      </w:r>
    </w:p>
    <w:p>
      <w:pPr>
        <w:pStyle w:val="9"/>
        <w:spacing w:before="0" w:beforeAutospacing="0" w:after="0" w:afterAutospacing="0" w:line="360" w:lineRule="auto"/>
        <w:ind w:firstLine="420"/>
        <w:rPr>
          <w:sz w:val="21"/>
          <w:szCs w:val="21"/>
        </w:rPr>
      </w:pPr>
      <w:r>
        <w:rPr>
          <w:rFonts w:hint="eastAsia"/>
          <w:sz w:val="21"/>
          <w:szCs w:val="21"/>
        </w:rPr>
        <w:t>2、根据《基金法》、《运作办法》及其他有关规定，基金份额持有人的义务包括但不限于：</w:t>
      </w:r>
    </w:p>
    <w:p>
      <w:pPr>
        <w:pStyle w:val="9"/>
        <w:spacing w:before="0" w:beforeAutospacing="0" w:after="0" w:afterAutospacing="0" w:line="360" w:lineRule="auto"/>
        <w:ind w:firstLine="420"/>
        <w:rPr>
          <w:sz w:val="21"/>
          <w:szCs w:val="21"/>
        </w:rPr>
      </w:pPr>
      <w:r>
        <w:rPr>
          <w:rFonts w:hint="eastAsia"/>
          <w:sz w:val="21"/>
          <w:szCs w:val="21"/>
        </w:rPr>
        <w:t>（1）认真阅读并遵守《基金合同》、招募说明书等信息披露文件；</w:t>
      </w:r>
    </w:p>
    <w:p>
      <w:pPr>
        <w:pStyle w:val="9"/>
        <w:spacing w:before="0" w:beforeAutospacing="0" w:after="0" w:afterAutospacing="0" w:line="360" w:lineRule="auto"/>
        <w:ind w:firstLine="420"/>
        <w:rPr>
          <w:sz w:val="21"/>
          <w:szCs w:val="21"/>
        </w:rPr>
      </w:pPr>
      <w:r>
        <w:rPr>
          <w:rFonts w:hint="eastAsia"/>
          <w:sz w:val="21"/>
          <w:szCs w:val="21"/>
        </w:rPr>
        <w:t>（2）了解所投资基金产品，了解自身风险承受能力，自主判断基金的投资价值，自主做出投资决策，自行承担投资风险；</w:t>
      </w:r>
    </w:p>
    <w:p>
      <w:pPr>
        <w:pStyle w:val="9"/>
        <w:spacing w:before="0" w:beforeAutospacing="0" w:after="0" w:afterAutospacing="0" w:line="360" w:lineRule="auto"/>
        <w:ind w:firstLine="420"/>
        <w:rPr>
          <w:sz w:val="21"/>
          <w:szCs w:val="21"/>
        </w:rPr>
      </w:pPr>
      <w:r>
        <w:rPr>
          <w:rFonts w:hint="eastAsia"/>
          <w:sz w:val="21"/>
          <w:szCs w:val="21"/>
        </w:rPr>
        <w:t>（3）关注基金信息披露，及时行使权利和履行义务；</w:t>
      </w:r>
    </w:p>
    <w:p>
      <w:pPr>
        <w:pStyle w:val="9"/>
        <w:spacing w:before="0" w:beforeAutospacing="0" w:after="0" w:afterAutospacing="0" w:line="360" w:lineRule="auto"/>
        <w:ind w:firstLine="420"/>
        <w:rPr>
          <w:sz w:val="21"/>
          <w:szCs w:val="21"/>
        </w:rPr>
      </w:pPr>
      <w:r>
        <w:rPr>
          <w:rFonts w:hint="eastAsia"/>
          <w:sz w:val="21"/>
          <w:szCs w:val="21"/>
        </w:rPr>
        <w:t>（4）交纳基金认购、申购款项及法律法规和《基金合同》所规定的费用；</w:t>
      </w:r>
    </w:p>
    <w:p>
      <w:pPr>
        <w:pStyle w:val="9"/>
        <w:spacing w:before="0" w:beforeAutospacing="0" w:after="0" w:afterAutospacing="0" w:line="360" w:lineRule="auto"/>
        <w:ind w:firstLine="420"/>
        <w:rPr>
          <w:sz w:val="21"/>
          <w:szCs w:val="21"/>
        </w:rPr>
      </w:pPr>
      <w:r>
        <w:rPr>
          <w:rFonts w:hint="eastAsia"/>
          <w:sz w:val="21"/>
          <w:szCs w:val="21"/>
        </w:rPr>
        <w:t>（5）在其持有的基金份额范围内，承担基金亏损或者《基金合同》终止的有限责任；</w:t>
      </w:r>
    </w:p>
    <w:p>
      <w:pPr>
        <w:pStyle w:val="9"/>
        <w:spacing w:before="0" w:beforeAutospacing="0" w:after="0" w:afterAutospacing="0" w:line="360" w:lineRule="auto"/>
        <w:ind w:firstLine="420"/>
        <w:rPr>
          <w:sz w:val="21"/>
          <w:szCs w:val="21"/>
        </w:rPr>
      </w:pPr>
      <w:r>
        <w:rPr>
          <w:rFonts w:hint="eastAsia"/>
          <w:sz w:val="21"/>
          <w:szCs w:val="21"/>
        </w:rPr>
        <w:t>（6）不从事任何有损基金及其他《基金合同》当事人合法权益的活动；</w:t>
      </w:r>
    </w:p>
    <w:p>
      <w:pPr>
        <w:pStyle w:val="9"/>
        <w:spacing w:before="0" w:beforeAutospacing="0" w:after="0" w:afterAutospacing="0" w:line="360" w:lineRule="auto"/>
        <w:ind w:firstLine="420"/>
        <w:rPr>
          <w:sz w:val="21"/>
          <w:szCs w:val="21"/>
        </w:rPr>
      </w:pPr>
      <w:r>
        <w:rPr>
          <w:rFonts w:hint="eastAsia"/>
          <w:sz w:val="21"/>
          <w:szCs w:val="21"/>
        </w:rPr>
        <w:t>（7）执行生效的基金份额持有人大会的决议；</w:t>
      </w:r>
    </w:p>
    <w:p>
      <w:pPr>
        <w:pStyle w:val="9"/>
        <w:spacing w:before="0" w:beforeAutospacing="0" w:after="0" w:afterAutospacing="0" w:line="360" w:lineRule="auto"/>
        <w:ind w:firstLine="420"/>
        <w:rPr>
          <w:sz w:val="21"/>
          <w:szCs w:val="21"/>
        </w:rPr>
      </w:pPr>
      <w:r>
        <w:rPr>
          <w:rFonts w:hint="eastAsia"/>
          <w:sz w:val="21"/>
          <w:szCs w:val="21"/>
        </w:rPr>
        <w:t>（8）返还在基金交易过程中因任何原因获得的不当得利；</w:t>
      </w:r>
    </w:p>
    <w:p>
      <w:pPr>
        <w:pStyle w:val="9"/>
        <w:spacing w:before="0" w:beforeAutospacing="0" w:after="0" w:afterAutospacing="0" w:line="360" w:lineRule="auto"/>
        <w:ind w:firstLine="420"/>
        <w:rPr>
          <w:sz w:val="21"/>
          <w:szCs w:val="21"/>
        </w:rPr>
      </w:pPr>
      <w:r>
        <w:rPr>
          <w:rFonts w:hint="eastAsia"/>
          <w:sz w:val="21"/>
          <w:szCs w:val="21"/>
        </w:rPr>
        <w:t>（9）法律法规及中国证监会规定的和《基金合同》约定的其他义务。</w:t>
      </w:r>
    </w:p>
    <w:p>
      <w:pPr>
        <w:pStyle w:val="9"/>
        <w:spacing w:before="0" w:beforeAutospacing="0" w:after="0" w:afterAutospacing="0" w:line="360" w:lineRule="auto"/>
        <w:ind w:firstLine="420"/>
        <w:rPr>
          <w:sz w:val="21"/>
          <w:szCs w:val="21"/>
        </w:rPr>
      </w:pPr>
      <w:r>
        <w:rPr>
          <w:rStyle w:val="14"/>
          <w:rFonts w:hint="eastAsia"/>
          <w:sz w:val="21"/>
          <w:szCs w:val="21"/>
        </w:rPr>
        <w:t>二、基金份额持有人大会召集、议事及表决的程序和规则</w:t>
      </w:r>
    </w:p>
    <w:p>
      <w:pPr>
        <w:pStyle w:val="9"/>
        <w:spacing w:before="0" w:beforeAutospacing="0" w:after="0" w:afterAutospacing="0" w:line="360" w:lineRule="auto"/>
        <w:ind w:firstLine="420"/>
        <w:rPr>
          <w:sz w:val="21"/>
          <w:szCs w:val="21"/>
        </w:rPr>
      </w:pPr>
      <w:r>
        <w:rPr>
          <w:rFonts w:hint="eastAsia"/>
          <w:sz w:val="21"/>
          <w:szCs w:val="21"/>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pPr>
        <w:pStyle w:val="9"/>
        <w:spacing w:before="0" w:beforeAutospacing="0" w:after="0" w:afterAutospacing="0" w:line="360" w:lineRule="auto"/>
        <w:ind w:firstLine="420"/>
        <w:rPr>
          <w:sz w:val="21"/>
          <w:szCs w:val="21"/>
        </w:rPr>
      </w:pPr>
      <w:r>
        <w:rPr>
          <w:rFonts w:hint="eastAsia"/>
          <w:sz w:val="21"/>
          <w:szCs w:val="21"/>
        </w:rPr>
        <w:t>本基金份额持有人大会不设日常机构。</w:t>
      </w:r>
    </w:p>
    <w:p>
      <w:pPr>
        <w:pStyle w:val="9"/>
        <w:spacing w:before="0" w:beforeAutospacing="0" w:after="0" w:afterAutospacing="0" w:line="360" w:lineRule="auto"/>
        <w:ind w:firstLine="420"/>
        <w:rPr>
          <w:sz w:val="21"/>
          <w:szCs w:val="21"/>
        </w:rPr>
      </w:pPr>
      <w:r>
        <w:rPr>
          <w:rFonts w:hint="eastAsia"/>
          <w:sz w:val="21"/>
          <w:szCs w:val="21"/>
        </w:rPr>
        <w:t>（一）召开事由</w:t>
      </w:r>
    </w:p>
    <w:p>
      <w:pPr>
        <w:pStyle w:val="9"/>
        <w:spacing w:before="0" w:beforeAutospacing="0" w:after="0" w:afterAutospacing="0" w:line="360" w:lineRule="auto"/>
        <w:ind w:firstLine="420"/>
        <w:rPr>
          <w:sz w:val="21"/>
          <w:szCs w:val="21"/>
        </w:rPr>
      </w:pPr>
      <w:r>
        <w:rPr>
          <w:rFonts w:hint="eastAsia"/>
          <w:sz w:val="21"/>
          <w:szCs w:val="21"/>
        </w:rPr>
        <w:t>1、除法律法规和中国证监会另有规定或《基金合同》另有约定外，当出现或需要决定下列事由之一的，应当召开基金份额持有人大会：</w:t>
      </w:r>
    </w:p>
    <w:p>
      <w:pPr>
        <w:pStyle w:val="9"/>
        <w:spacing w:before="0" w:beforeAutospacing="0" w:after="0" w:afterAutospacing="0" w:line="360" w:lineRule="auto"/>
        <w:ind w:firstLine="420"/>
        <w:rPr>
          <w:sz w:val="21"/>
          <w:szCs w:val="21"/>
        </w:rPr>
      </w:pPr>
      <w:r>
        <w:rPr>
          <w:rFonts w:hint="eastAsia"/>
          <w:sz w:val="21"/>
          <w:szCs w:val="21"/>
        </w:rPr>
        <w:t>（1）终止《基金合同》；</w:t>
      </w:r>
    </w:p>
    <w:p>
      <w:pPr>
        <w:pStyle w:val="9"/>
        <w:spacing w:before="0" w:beforeAutospacing="0" w:after="0" w:afterAutospacing="0" w:line="360" w:lineRule="auto"/>
        <w:ind w:firstLine="420"/>
        <w:rPr>
          <w:sz w:val="21"/>
          <w:szCs w:val="21"/>
        </w:rPr>
      </w:pPr>
      <w:r>
        <w:rPr>
          <w:rFonts w:hint="eastAsia"/>
          <w:sz w:val="21"/>
          <w:szCs w:val="21"/>
        </w:rPr>
        <w:t>（2）更换基金管理人；</w:t>
      </w:r>
    </w:p>
    <w:p>
      <w:pPr>
        <w:pStyle w:val="9"/>
        <w:spacing w:before="0" w:beforeAutospacing="0" w:after="0" w:afterAutospacing="0" w:line="360" w:lineRule="auto"/>
        <w:ind w:firstLine="420"/>
        <w:rPr>
          <w:sz w:val="21"/>
          <w:szCs w:val="21"/>
        </w:rPr>
      </w:pPr>
      <w:r>
        <w:rPr>
          <w:rFonts w:hint="eastAsia"/>
          <w:sz w:val="21"/>
          <w:szCs w:val="21"/>
        </w:rPr>
        <w:t>（3）更换基金托管人；</w:t>
      </w:r>
    </w:p>
    <w:p>
      <w:pPr>
        <w:pStyle w:val="9"/>
        <w:spacing w:before="0" w:beforeAutospacing="0" w:after="0" w:afterAutospacing="0" w:line="360" w:lineRule="auto"/>
        <w:ind w:firstLine="420"/>
        <w:rPr>
          <w:sz w:val="21"/>
          <w:szCs w:val="21"/>
        </w:rPr>
      </w:pPr>
      <w:r>
        <w:rPr>
          <w:rFonts w:hint="eastAsia"/>
          <w:sz w:val="21"/>
          <w:szCs w:val="21"/>
        </w:rPr>
        <w:t>（4）转换基金运作方式；</w:t>
      </w:r>
    </w:p>
    <w:p>
      <w:pPr>
        <w:pStyle w:val="9"/>
        <w:spacing w:before="0" w:beforeAutospacing="0" w:after="0" w:afterAutospacing="0" w:line="360" w:lineRule="auto"/>
        <w:ind w:firstLine="420"/>
        <w:rPr>
          <w:sz w:val="21"/>
          <w:szCs w:val="21"/>
        </w:rPr>
      </w:pPr>
      <w:r>
        <w:rPr>
          <w:rFonts w:hint="eastAsia"/>
          <w:sz w:val="21"/>
          <w:szCs w:val="21"/>
        </w:rPr>
        <w:t>（5）调整基金管理人、基金托管人的报酬标准或提高销售服务费率；</w:t>
      </w:r>
    </w:p>
    <w:p>
      <w:pPr>
        <w:pStyle w:val="9"/>
        <w:spacing w:before="0" w:beforeAutospacing="0" w:after="0" w:afterAutospacing="0" w:line="360" w:lineRule="auto"/>
        <w:ind w:firstLine="420"/>
        <w:rPr>
          <w:sz w:val="21"/>
          <w:szCs w:val="21"/>
        </w:rPr>
      </w:pPr>
      <w:r>
        <w:rPr>
          <w:rFonts w:hint="eastAsia"/>
          <w:sz w:val="21"/>
          <w:szCs w:val="21"/>
        </w:rPr>
        <w:t>（6）变更基金类别；</w:t>
      </w:r>
    </w:p>
    <w:p>
      <w:pPr>
        <w:pStyle w:val="9"/>
        <w:spacing w:before="0" w:beforeAutospacing="0" w:after="0" w:afterAutospacing="0" w:line="360" w:lineRule="auto"/>
        <w:ind w:firstLine="420"/>
        <w:rPr>
          <w:sz w:val="21"/>
          <w:szCs w:val="21"/>
        </w:rPr>
      </w:pPr>
      <w:r>
        <w:rPr>
          <w:rFonts w:hint="eastAsia"/>
          <w:sz w:val="21"/>
          <w:szCs w:val="21"/>
        </w:rPr>
        <w:t>（7）本基金与其他基金的合并；</w:t>
      </w:r>
    </w:p>
    <w:p>
      <w:pPr>
        <w:pStyle w:val="9"/>
        <w:spacing w:before="0" w:beforeAutospacing="0" w:after="0" w:afterAutospacing="0" w:line="360" w:lineRule="auto"/>
        <w:ind w:firstLine="420"/>
        <w:rPr>
          <w:sz w:val="21"/>
          <w:szCs w:val="21"/>
        </w:rPr>
      </w:pPr>
      <w:r>
        <w:rPr>
          <w:rFonts w:hint="eastAsia"/>
          <w:sz w:val="21"/>
          <w:szCs w:val="21"/>
        </w:rPr>
        <w:t>（8）变更基金投资目标、范围或策略；</w:t>
      </w:r>
    </w:p>
    <w:p>
      <w:pPr>
        <w:pStyle w:val="9"/>
        <w:spacing w:before="0" w:beforeAutospacing="0" w:after="0" w:afterAutospacing="0" w:line="360" w:lineRule="auto"/>
        <w:ind w:firstLine="420"/>
        <w:rPr>
          <w:sz w:val="21"/>
          <w:szCs w:val="21"/>
        </w:rPr>
      </w:pPr>
      <w:r>
        <w:rPr>
          <w:rFonts w:hint="eastAsia"/>
          <w:sz w:val="21"/>
          <w:szCs w:val="21"/>
        </w:rPr>
        <w:t>（9）变更基金份额持有人大会程序；</w:t>
      </w:r>
    </w:p>
    <w:p>
      <w:pPr>
        <w:pStyle w:val="9"/>
        <w:spacing w:before="0" w:beforeAutospacing="0" w:after="0" w:afterAutospacing="0" w:line="360" w:lineRule="auto"/>
        <w:ind w:firstLine="420"/>
        <w:rPr>
          <w:sz w:val="21"/>
          <w:szCs w:val="21"/>
        </w:rPr>
      </w:pPr>
      <w:r>
        <w:rPr>
          <w:rFonts w:hint="eastAsia"/>
          <w:sz w:val="21"/>
          <w:szCs w:val="21"/>
        </w:rPr>
        <w:t>（10）基金管理人或基金托管人要求召开基金份额持有人大会；</w:t>
      </w:r>
    </w:p>
    <w:p>
      <w:pPr>
        <w:pStyle w:val="9"/>
        <w:spacing w:before="0" w:beforeAutospacing="0" w:after="0" w:afterAutospacing="0" w:line="360" w:lineRule="auto"/>
        <w:ind w:firstLine="420"/>
        <w:rPr>
          <w:sz w:val="21"/>
          <w:szCs w:val="21"/>
        </w:rPr>
      </w:pPr>
      <w:r>
        <w:rPr>
          <w:rFonts w:hint="eastAsia"/>
          <w:sz w:val="21"/>
          <w:szCs w:val="21"/>
        </w:rPr>
        <w:t>（11）单独或合计持有本基金总份额10%以上（含10%）基金份额的基金份额持有人（以基金管理人收到提议当日的基金份额计算，下同）就同一事项书面要求召开基金份额持有人大会；</w:t>
      </w:r>
    </w:p>
    <w:p>
      <w:pPr>
        <w:pStyle w:val="9"/>
        <w:spacing w:before="0" w:beforeAutospacing="0" w:after="0" w:afterAutospacing="0" w:line="360" w:lineRule="auto"/>
        <w:ind w:firstLine="420"/>
        <w:rPr>
          <w:sz w:val="21"/>
          <w:szCs w:val="21"/>
        </w:rPr>
      </w:pPr>
      <w:r>
        <w:rPr>
          <w:rFonts w:hint="eastAsia"/>
          <w:sz w:val="21"/>
          <w:szCs w:val="21"/>
        </w:rPr>
        <w:t>（12）对基金合同当事人权利和义务产生重大影响的其他事项；</w:t>
      </w:r>
    </w:p>
    <w:p>
      <w:pPr>
        <w:pStyle w:val="9"/>
        <w:spacing w:before="0" w:beforeAutospacing="0" w:after="0" w:afterAutospacing="0" w:line="360" w:lineRule="auto"/>
        <w:ind w:firstLine="420"/>
        <w:rPr>
          <w:sz w:val="21"/>
          <w:szCs w:val="21"/>
        </w:rPr>
      </w:pPr>
      <w:r>
        <w:rPr>
          <w:rFonts w:hint="eastAsia"/>
          <w:sz w:val="21"/>
          <w:szCs w:val="21"/>
        </w:rPr>
        <w:t>（13）法律法规、《基金合同》或中国证监会规定的其他应当召开基金份额持有人大会的事项。</w:t>
      </w:r>
    </w:p>
    <w:p>
      <w:pPr>
        <w:pStyle w:val="9"/>
        <w:spacing w:before="0" w:beforeAutospacing="0" w:after="0" w:afterAutospacing="0" w:line="360" w:lineRule="auto"/>
        <w:ind w:firstLine="420"/>
        <w:rPr>
          <w:sz w:val="21"/>
          <w:szCs w:val="21"/>
        </w:rPr>
      </w:pPr>
      <w:r>
        <w:rPr>
          <w:rFonts w:hint="eastAsia"/>
          <w:sz w:val="21"/>
          <w:szCs w:val="21"/>
        </w:rPr>
        <w:t>2、在法律法规规定和《基金合同》约定的范围内且对基金份额持有人利益无实质性不利影响的前提下，以下情况可由基金管理人和基金托管人协商后修改，不需召开基金份额持有人大会：</w:t>
      </w:r>
    </w:p>
    <w:p>
      <w:pPr>
        <w:pStyle w:val="9"/>
        <w:spacing w:before="0" w:beforeAutospacing="0" w:after="0" w:afterAutospacing="0" w:line="360" w:lineRule="auto"/>
        <w:ind w:firstLine="420"/>
        <w:rPr>
          <w:sz w:val="21"/>
          <w:szCs w:val="21"/>
        </w:rPr>
      </w:pPr>
      <w:r>
        <w:rPr>
          <w:rFonts w:hint="eastAsia"/>
          <w:sz w:val="21"/>
          <w:szCs w:val="21"/>
        </w:rPr>
        <w:t>（1）法律法规要求增加的基金费用的收取；</w:t>
      </w:r>
    </w:p>
    <w:p>
      <w:pPr>
        <w:pStyle w:val="9"/>
        <w:spacing w:before="0" w:beforeAutospacing="0" w:after="0" w:afterAutospacing="0" w:line="360" w:lineRule="auto"/>
        <w:ind w:firstLine="420"/>
        <w:rPr>
          <w:sz w:val="21"/>
          <w:szCs w:val="21"/>
        </w:rPr>
      </w:pPr>
      <w:r>
        <w:rPr>
          <w:rFonts w:hint="eastAsia"/>
          <w:sz w:val="21"/>
          <w:szCs w:val="21"/>
        </w:rPr>
        <w:t>（2）调整本基金的申购费率、调低赎回费率、调低销售服务费率或变更收费方式，调整基金份额类别设置、对基金份额分类办法及规则进行调整；</w:t>
      </w:r>
    </w:p>
    <w:p>
      <w:pPr>
        <w:pStyle w:val="9"/>
        <w:spacing w:before="0" w:beforeAutospacing="0" w:after="0" w:afterAutospacing="0" w:line="360" w:lineRule="auto"/>
        <w:ind w:firstLine="420"/>
        <w:rPr>
          <w:sz w:val="21"/>
          <w:szCs w:val="21"/>
        </w:rPr>
      </w:pPr>
      <w:r>
        <w:rPr>
          <w:rFonts w:hint="eastAsia"/>
          <w:sz w:val="21"/>
          <w:szCs w:val="21"/>
        </w:rPr>
        <w:t>（3）因相应的法律法规发生变动而应当对《基金合同》进行修改；</w:t>
      </w:r>
    </w:p>
    <w:p>
      <w:pPr>
        <w:pStyle w:val="9"/>
        <w:spacing w:before="0" w:beforeAutospacing="0" w:after="0" w:afterAutospacing="0" w:line="360" w:lineRule="auto"/>
        <w:ind w:firstLine="420"/>
        <w:rPr>
          <w:sz w:val="21"/>
          <w:szCs w:val="21"/>
        </w:rPr>
      </w:pPr>
      <w:r>
        <w:rPr>
          <w:rFonts w:hint="eastAsia"/>
          <w:sz w:val="21"/>
          <w:szCs w:val="21"/>
        </w:rPr>
        <w:t>（4）对《基金合同》的修改对基金份额持有人利益无实质性不利影响或修改不涉及《基金合同》当事人权利义务关系发生重大变化；</w:t>
      </w:r>
    </w:p>
    <w:p>
      <w:pPr>
        <w:pStyle w:val="9"/>
        <w:spacing w:before="0" w:beforeAutospacing="0" w:after="0" w:afterAutospacing="0" w:line="360" w:lineRule="auto"/>
        <w:ind w:firstLine="420"/>
        <w:rPr>
          <w:sz w:val="21"/>
          <w:szCs w:val="21"/>
        </w:rPr>
      </w:pPr>
      <w:r>
        <w:rPr>
          <w:rFonts w:hint="eastAsia"/>
          <w:sz w:val="21"/>
          <w:szCs w:val="21"/>
        </w:rPr>
        <w:t>（5）基金管理人、登记机构、基金销售机构调整有关申购、赎回、转换、基金交易、非交易过户、转托管等业务规则；</w:t>
      </w:r>
    </w:p>
    <w:p>
      <w:pPr>
        <w:pStyle w:val="9"/>
        <w:spacing w:before="0" w:beforeAutospacing="0" w:after="0" w:afterAutospacing="0" w:line="360" w:lineRule="auto"/>
        <w:ind w:firstLine="420"/>
        <w:rPr>
          <w:sz w:val="21"/>
          <w:szCs w:val="21"/>
        </w:rPr>
      </w:pPr>
      <w:r>
        <w:rPr>
          <w:rFonts w:hint="eastAsia"/>
          <w:sz w:val="21"/>
          <w:szCs w:val="21"/>
        </w:rPr>
        <w:t>（6）履行相关程序后，基金推出新业务或服务；</w:t>
      </w:r>
    </w:p>
    <w:p>
      <w:pPr>
        <w:pStyle w:val="9"/>
        <w:spacing w:before="0" w:beforeAutospacing="0" w:after="0" w:afterAutospacing="0" w:line="360" w:lineRule="auto"/>
        <w:ind w:firstLine="420"/>
        <w:rPr>
          <w:sz w:val="21"/>
          <w:szCs w:val="21"/>
        </w:rPr>
      </w:pPr>
      <w:r>
        <w:rPr>
          <w:rFonts w:hint="eastAsia"/>
          <w:sz w:val="21"/>
          <w:szCs w:val="21"/>
        </w:rPr>
        <w:t>（7）按照法律法规和《基金合同》规定不需召开基金份额持有人大会的其他情形。</w:t>
      </w:r>
    </w:p>
    <w:p>
      <w:pPr>
        <w:pStyle w:val="9"/>
        <w:spacing w:before="0" w:beforeAutospacing="0" w:after="0" w:afterAutospacing="0" w:line="360" w:lineRule="auto"/>
        <w:ind w:firstLine="420"/>
        <w:rPr>
          <w:sz w:val="21"/>
          <w:szCs w:val="21"/>
        </w:rPr>
      </w:pPr>
      <w:r>
        <w:rPr>
          <w:rFonts w:hint="eastAsia"/>
          <w:sz w:val="21"/>
          <w:szCs w:val="21"/>
        </w:rPr>
        <w:t>（二）会议召集人及召集方式</w:t>
      </w:r>
    </w:p>
    <w:p>
      <w:pPr>
        <w:pStyle w:val="9"/>
        <w:spacing w:before="0" w:beforeAutospacing="0" w:after="0" w:afterAutospacing="0" w:line="360" w:lineRule="auto"/>
        <w:ind w:firstLine="420"/>
        <w:rPr>
          <w:sz w:val="21"/>
          <w:szCs w:val="21"/>
        </w:rPr>
      </w:pPr>
      <w:r>
        <w:rPr>
          <w:rFonts w:hint="eastAsia"/>
          <w:sz w:val="21"/>
          <w:szCs w:val="21"/>
        </w:rPr>
        <w:t>1、除法律法规规定或《基金合同》另有约定外，基金份额持有人大会由基金管理人召集。</w:t>
      </w:r>
    </w:p>
    <w:p>
      <w:pPr>
        <w:pStyle w:val="9"/>
        <w:spacing w:before="0" w:beforeAutospacing="0" w:after="0" w:afterAutospacing="0" w:line="360" w:lineRule="auto"/>
        <w:ind w:firstLine="420"/>
        <w:rPr>
          <w:sz w:val="21"/>
          <w:szCs w:val="21"/>
        </w:rPr>
      </w:pPr>
      <w:r>
        <w:rPr>
          <w:rFonts w:hint="eastAsia"/>
          <w:sz w:val="21"/>
          <w:szCs w:val="21"/>
        </w:rPr>
        <w:t>2、基金管理人未按规定召集或不能召集时，由基金托管人召集。</w:t>
      </w:r>
    </w:p>
    <w:p>
      <w:pPr>
        <w:pStyle w:val="9"/>
        <w:spacing w:before="0" w:beforeAutospacing="0" w:after="0" w:afterAutospacing="0" w:line="360" w:lineRule="auto"/>
        <w:ind w:firstLine="420"/>
        <w:rPr>
          <w:sz w:val="21"/>
          <w:szCs w:val="21"/>
        </w:rPr>
      </w:pPr>
      <w:r>
        <w:rPr>
          <w:rFonts w:hint="eastAsia"/>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pStyle w:val="9"/>
        <w:spacing w:before="0" w:beforeAutospacing="0" w:after="0" w:afterAutospacing="0" w:line="360" w:lineRule="auto"/>
        <w:ind w:firstLine="420"/>
        <w:rPr>
          <w:sz w:val="21"/>
          <w:szCs w:val="21"/>
        </w:rPr>
      </w:pPr>
      <w:r>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pStyle w:val="9"/>
        <w:spacing w:before="0" w:beforeAutospacing="0" w:after="0" w:afterAutospacing="0" w:line="360" w:lineRule="auto"/>
        <w:ind w:firstLine="420"/>
        <w:rPr>
          <w:sz w:val="21"/>
          <w:szCs w:val="21"/>
        </w:rPr>
      </w:pPr>
      <w:r>
        <w:rPr>
          <w:rFonts w:hint="eastAsia"/>
          <w:sz w:val="2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pStyle w:val="9"/>
        <w:spacing w:before="0" w:beforeAutospacing="0" w:after="0" w:afterAutospacing="0" w:line="360" w:lineRule="auto"/>
        <w:ind w:firstLine="420"/>
        <w:rPr>
          <w:sz w:val="21"/>
          <w:szCs w:val="21"/>
        </w:rPr>
      </w:pPr>
      <w:r>
        <w:rPr>
          <w:rFonts w:hint="eastAsia"/>
          <w:sz w:val="21"/>
          <w:szCs w:val="21"/>
        </w:rPr>
        <w:t>6、基金份额持有人会议的召集人负责选择确定开会时间、地点、方式和权益登记日。</w:t>
      </w:r>
    </w:p>
    <w:p>
      <w:pPr>
        <w:pStyle w:val="9"/>
        <w:spacing w:before="0" w:beforeAutospacing="0" w:after="0" w:afterAutospacing="0" w:line="360" w:lineRule="auto"/>
        <w:ind w:firstLine="420"/>
        <w:rPr>
          <w:sz w:val="21"/>
          <w:szCs w:val="21"/>
        </w:rPr>
      </w:pPr>
      <w:r>
        <w:rPr>
          <w:rFonts w:hint="eastAsia"/>
          <w:sz w:val="21"/>
          <w:szCs w:val="21"/>
        </w:rPr>
        <w:t>（三）召开基金份额持有人大会的通知时间、通知内容、通知方式</w:t>
      </w:r>
    </w:p>
    <w:p>
      <w:pPr>
        <w:pStyle w:val="9"/>
        <w:spacing w:before="0" w:beforeAutospacing="0" w:after="0" w:afterAutospacing="0" w:line="360" w:lineRule="auto"/>
        <w:ind w:firstLine="420"/>
        <w:rPr>
          <w:sz w:val="21"/>
          <w:szCs w:val="21"/>
        </w:rPr>
      </w:pPr>
      <w:r>
        <w:rPr>
          <w:rFonts w:hint="eastAsia"/>
          <w:sz w:val="21"/>
          <w:szCs w:val="21"/>
        </w:rPr>
        <w:t>1、召开基金份额持有人大会，召集人应于会议召开前30日，在规定媒介公告。基金份额持有人大会通知应至少载明以下内容：</w:t>
      </w:r>
    </w:p>
    <w:p>
      <w:pPr>
        <w:pStyle w:val="9"/>
        <w:spacing w:before="0" w:beforeAutospacing="0" w:after="0" w:afterAutospacing="0" w:line="360" w:lineRule="auto"/>
        <w:ind w:firstLine="420"/>
        <w:rPr>
          <w:sz w:val="21"/>
          <w:szCs w:val="21"/>
        </w:rPr>
      </w:pPr>
      <w:r>
        <w:rPr>
          <w:rFonts w:hint="eastAsia"/>
          <w:sz w:val="21"/>
          <w:szCs w:val="21"/>
        </w:rPr>
        <w:t>（1）会议召开的时间、地点和会议形式；</w:t>
      </w:r>
    </w:p>
    <w:p>
      <w:pPr>
        <w:pStyle w:val="9"/>
        <w:spacing w:before="0" w:beforeAutospacing="0" w:after="0" w:afterAutospacing="0" w:line="360" w:lineRule="auto"/>
        <w:ind w:firstLine="420"/>
        <w:rPr>
          <w:sz w:val="21"/>
          <w:szCs w:val="21"/>
        </w:rPr>
      </w:pPr>
      <w:r>
        <w:rPr>
          <w:rFonts w:hint="eastAsia"/>
          <w:sz w:val="21"/>
          <w:szCs w:val="21"/>
        </w:rPr>
        <w:t>（2）会议拟审议的事项、议事程序和表决方式；</w:t>
      </w:r>
    </w:p>
    <w:p>
      <w:pPr>
        <w:pStyle w:val="9"/>
        <w:spacing w:before="0" w:beforeAutospacing="0" w:after="0" w:afterAutospacing="0" w:line="360" w:lineRule="auto"/>
        <w:ind w:firstLine="420"/>
        <w:rPr>
          <w:sz w:val="21"/>
          <w:szCs w:val="21"/>
        </w:rPr>
      </w:pPr>
      <w:r>
        <w:rPr>
          <w:rFonts w:hint="eastAsia"/>
          <w:sz w:val="21"/>
          <w:szCs w:val="21"/>
        </w:rPr>
        <w:t>（3）有权出席基金份额持有人大会的基金份额持有人的权益登记日；</w:t>
      </w:r>
    </w:p>
    <w:p>
      <w:pPr>
        <w:pStyle w:val="9"/>
        <w:spacing w:before="0" w:beforeAutospacing="0" w:after="0" w:afterAutospacing="0" w:line="360" w:lineRule="auto"/>
        <w:ind w:firstLine="420"/>
        <w:rPr>
          <w:sz w:val="21"/>
          <w:szCs w:val="21"/>
        </w:rPr>
      </w:pPr>
      <w:r>
        <w:rPr>
          <w:rFonts w:hint="eastAsia"/>
          <w:sz w:val="21"/>
          <w:szCs w:val="21"/>
        </w:rPr>
        <w:t>（4）授权委托证明的内容要求（包括但不限于代理人身份，代理权限和代理有效期限等）、送达时间和地点；</w:t>
      </w:r>
    </w:p>
    <w:p>
      <w:pPr>
        <w:pStyle w:val="9"/>
        <w:spacing w:before="0" w:beforeAutospacing="0" w:after="0" w:afterAutospacing="0" w:line="360" w:lineRule="auto"/>
        <w:ind w:firstLine="420"/>
        <w:rPr>
          <w:sz w:val="21"/>
          <w:szCs w:val="21"/>
        </w:rPr>
      </w:pPr>
      <w:r>
        <w:rPr>
          <w:rFonts w:hint="eastAsia"/>
          <w:sz w:val="21"/>
          <w:szCs w:val="21"/>
        </w:rPr>
        <w:t>（5）会务常设联系人姓名及联系电话；</w:t>
      </w:r>
    </w:p>
    <w:p>
      <w:pPr>
        <w:pStyle w:val="9"/>
        <w:spacing w:before="0" w:beforeAutospacing="0" w:after="0" w:afterAutospacing="0" w:line="360" w:lineRule="auto"/>
        <w:ind w:firstLine="420"/>
        <w:rPr>
          <w:sz w:val="21"/>
          <w:szCs w:val="21"/>
        </w:rPr>
      </w:pPr>
      <w:r>
        <w:rPr>
          <w:rFonts w:hint="eastAsia"/>
          <w:sz w:val="21"/>
          <w:szCs w:val="21"/>
        </w:rPr>
        <w:t>（6）出席会议者必须准备的文件和必须履行的手续；</w:t>
      </w:r>
    </w:p>
    <w:p>
      <w:pPr>
        <w:pStyle w:val="9"/>
        <w:spacing w:before="0" w:beforeAutospacing="0" w:after="0" w:afterAutospacing="0" w:line="360" w:lineRule="auto"/>
        <w:ind w:firstLine="420"/>
        <w:rPr>
          <w:sz w:val="21"/>
          <w:szCs w:val="21"/>
        </w:rPr>
      </w:pPr>
      <w:r>
        <w:rPr>
          <w:rFonts w:hint="eastAsia"/>
          <w:sz w:val="21"/>
          <w:szCs w:val="21"/>
        </w:rPr>
        <w:t>（7）召集人需要通知的其他事项。</w:t>
      </w:r>
    </w:p>
    <w:p>
      <w:pPr>
        <w:pStyle w:val="9"/>
        <w:spacing w:before="0" w:beforeAutospacing="0" w:after="0" w:afterAutospacing="0" w:line="360" w:lineRule="auto"/>
        <w:ind w:firstLine="420"/>
        <w:rPr>
          <w:sz w:val="21"/>
          <w:szCs w:val="21"/>
        </w:rPr>
      </w:pPr>
      <w:r>
        <w:rPr>
          <w:rFonts w:hint="eastAsia"/>
          <w:sz w:val="21"/>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pStyle w:val="9"/>
        <w:spacing w:before="0" w:beforeAutospacing="0" w:after="0" w:afterAutospacing="0" w:line="360" w:lineRule="auto"/>
        <w:ind w:firstLine="420"/>
        <w:rPr>
          <w:sz w:val="21"/>
          <w:szCs w:val="21"/>
        </w:rPr>
      </w:pPr>
      <w:r>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pStyle w:val="9"/>
        <w:spacing w:before="0" w:beforeAutospacing="0" w:after="0" w:afterAutospacing="0" w:line="360" w:lineRule="auto"/>
        <w:ind w:firstLine="420"/>
        <w:rPr>
          <w:sz w:val="21"/>
          <w:szCs w:val="21"/>
        </w:rPr>
      </w:pPr>
      <w:r>
        <w:rPr>
          <w:rFonts w:hint="eastAsia"/>
          <w:sz w:val="21"/>
          <w:szCs w:val="21"/>
        </w:rPr>
        <w:t>（四）基金份额持有人出席会议的方式</w:t>
      </w:r>
    </w:p>
    <w:p>
      <w:pPr>
        <w:pStyle w:val="9"/>
        <w:spacing w:before="0" w:beforeAutospacing="0" w:after="0" w:afterAutospacing="0" w:line="360" w:lineRule="auto"/>
        <w:ind w:firstLine="420"/>
        <w:rPr>
          <w:sz w:val="21"/>
          <w:szCs w:val="21"/>
        </w:rPr>
      </w:pPr>
      <w:r>
        <w:rPr>
          <w:rFonts w:hint="eastAsia"/>
          <w:sz w:val="21"/>
          <w:szCs w:val="21"/>
        </w:rPr>
        <w:t>基金份额持有人大会可通过现场开会方式、通讯开会方式或法律法规、监管机构允许的其他方式召开，会议的召开方式由会议召集人确定。</w:t>
      </w:r>
    </w:p>
    <w:p>
      <w:pPr>
        <w:pStyle w:val="9"/>
        <w:spacing w:before="0" w:beforeAutospacing="0" w:after="0" w:afterAutospacing="0" w:line="360" w:lineRule="auto"/>
        <w:ind w:firstLine="420"/>
        <w:rPr>
          <w:sz w:val="21"/>
          <w:szCs w:val="21"/>
        </w:rPr>
      </w:pPr>
      <w:r>
        <w:rPr>
          <w:rFonts w:hint="eastAsia"/>
          <w:sz w:val="21"/>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pStyle w:val="9"/>
        <w:spacing w:before="0" w:beforeAutospacing="0" w:after="0" w:afterAutospacing="0" w:line="360" w:lineRule="auto"/>
        <w:ind w:firstLine="420"/>
        <w:rPr>
          <w:sz w:val="21"/>
          <w:szCs w:val="21"/>
        </w:rPr>
      </w:pPr>
      <w:r>
        <w:rPr>
          <w:rFonts w:hint="eastAsia"/>
          <w:sz w:val="2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pStyle w:val="9"/>
        <w:spacing w:before="0" w:beforeAutospacing="0" w:after="0" w:afterAutospacing="0" w:line="360" w:lineRule="auto"/>
        <w:ind w:firstLine="420"/>
        <w:rPr>
          <w:sz w:val="21"/>
          <w:szCs w:val="21"/>
        </w:rPr>
      </w:pPr>
      <w:r>
        <w:rPr>
          <w:rFonts w:hint="eastAsia"/>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pStyle w:val="9"/>
        <w:spacing w:before="0" w:beforeAutospacing="0" w:after="0" w:afterAutospacing="0" w:line="360" w:lineRule="auto"/>
        <w:ind w:firstLine="420"/>
        <w:rPr>
          <w:sz w:val="21"/>
          <w:szCs w:val="21"/>
        </w:rPr>
      </w:pPr>
      <w:r>
        <w:rPr>
          <w:rFonts w:hint="eastAsia"/>
          <w:sz w:val="21"/>
          <w:szCs w:val="21"/>
        </w:rPr>
        <w:t>2、通讯开会。通讯开会系指基金份额持有人将其对表决事项的投票以书面形式或大会公告载明的其他方式在表决截止日以前送达至召集人指定的地址或系统。通讯开会应以书面方式或大会公告载明的其他方式进行表决。</w:t>
      </w:r>
    </w:p>
    <w:p>
      <w:pPr>
        <w:pStyle w:val="9"/>
        <w:spacing w:before="0" w:beforeAutospacing="0" w:after="0" w:afterAutospacing="0" w:line="360" w:lineRule="auto"/>
        <w:ind w:firstLine="420"/>
        <w:rPr>
          <w:sz w:val="21"/>
          <w:szCs w:val="21"/>
        </w:rPr>
      </w:pPr>
      <w:r>
        <w:rPr>
          <w:rFonts w:hint="eastAsia"/>
          <w:sz w:val="21"/>
          <w:szCs w:val="21"/>
        </w:rPr>
        <w:t>在同时符合以下条件时，通讯开会的方式视为有效：</w:t>
      </w:r>
    </w:p>
    <w:p>
      <w:pPr>
        <w:pStyle w:val="9"/>
        <w:spacing w:before="0" w:beforeAutospacing="0" w:after="0" w:afterAutospacing="0" w:line="360" w:lineRule="auto"/>
        <w:ind w:firstLine="420"/>
        <w:rPr>
          <w:sz w:val="21"/>
          <w:szCs w:val="21"/>
        </w:rPr>
      </w:pPr>
      <w:r>
        <w:rPr>
          <w:rFonts w:hint="eastAsia"/>
          <w:sz w:val="21"/>
          <w:szCs w:val="21"/>
        </w:rPr>
        <w:t>（1）会议召集人按《基金合同》约定公布会议通知后，在2个工作日内连续公布相关提示性公告；</w:t>
      </w:r>
    </w:p>
    <w:p>
      <w:pPr>
        <w:pStyle w:val="9"/>
        <w:spacing w:before="0" w:beforeAutospacing="0" w:after="0" w:afterAutospacing="0" w:line="360" w:lineRule="auto"/>
        <w:ind w:firstLine="420"/>
        <w:rPr>
          <w:sz w:val="21"/>
          <w:szCs w:val="21"/>
        </w:rPr>
      </w:pPr>
      <w:r>
        <w:rPr>
          <w:rFonts w:hint="eastAsia"/>
          <w:sz w:val="21"/>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pStyle w:val="9"/>
        <w:spacing w:before="0" w:beforeAutospacing="0" w:after="0" w:afterAutospacing="0" w:line="360" w:lineRule="auto"/>
        <w:ind w:firstLine="420"/>
        <w:rPr>
          <w:sz w:val="21"/>
          <w:szCs w:val="21"/>
        </w:rPr>
      </w:pPr>
      <w:r>
        <w:rPr>
          <w:rFonts w:hint="eastAsia"/>
          <w:sz w:val="21"/>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pStyle w:val="9"/>
        <w:spacing w:before="0" w:beforeAutospacing="0" w:after="0" w:afterAutospacing="0" w:line="360" w:lineRule="auto"/>
        <w:ind w:firstLine="420"/>
        <w:rPr>
          <w:sz w:val="21"/>
          <w:szCs w:val="21"/>
        </w:rPr>
      </w:pPr>
      <w:r>
        <w:rPr>
          <w:rFonts w:hint="eastAsia"/>
          <w:sz w:val="21"/>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pStyle w:val="9"/>
        <w:spacing w:before="0" w:beforeAutospacing="0" w:after="0" w:afterAutospacing="0" w:line="360" w:lineRule="auto"/>
        <w:ind w:firstLine="420"/>
        <w:rPr>
          <w:sz w:val="21"/>
          <w:szCs w:val="21"/>
        </w:rPr>
      </w:pPr>
      <w:r>
        <w:rPr>
          <w:rFonts w:hint="eastAsia"/>
          <w:sz w:val="21"/>
          <w:szCs w:val="21"/>
        </w:rPr>
        <w:t>3、在不违反法律法规和监管机关规定的情况下，本基金的基金份额持有人亦可采用其他非书面方式授权其代理人出席基金份额持有人大会，授权方式可以采用书面、网络、电话、短信或其他方式，具体方式由会议召集人确定并在会议通知中列明。</w:t>
      </w:r>
    </w:p>
    <w:p>
      <w:pPr>
        <w:pStyle w:val="9"/>
        <w:spacing w:before="0" w:beforeAutospacing="0" w:after="0" w:afterAutospacing="0" w:line="360" w:lineRule="auto"/>
        <w:ind w:firstLine="420"/>
        <w:rPr>
          <w:sz w:val="21"/>
          <w:szCs w:val="21"/>
        </w:rPr>
      </w:pPr>
      <w:r>
        <w:rPr>
          <w:rFonts w:hint="eastAsia"/>
          <w:sz w:val="21"/>
          <w:szCs w:val="21"/>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pStyle w:val="9"/>
        <w:spacing w:before="0" w:beforeAutospacing="0" w:after="0" w:afterAutospacing="0" w:line="360" w:lineRule="auto"/>
        <w:ind w:firstLine="420"/>
        <w:rPr>
          <w:sz w:val="21"/>
          <w:szCs w:val="21"/>
        </w:rPr>
      </w:pPr>
      <w:r>
        <w:rPr>
          <w:rFonts w:hint="eastAsia"/>
          <w:sz w:val="21"/>
          <w:szCs w:val="21"/>
        </w:rPr>
        <w:t>（五）议事内容与程序</w:t>
      </w:r>
    </w:p>
    <w:p>
      <w:pPr>
        <w:pStyle w:val="9"/>
        <w:spacing w:before="0" w:beforeAutospacing="0" w:after="0" w:afterAutospacing="0" w:line="360" w:lineRule="auto"/>
        <w:ind w:firstLine="420"/>
        <w:rPr>
          <w:sz w:val="21"/>
          <w:szCs w:val="21"/>
        </w:rPr>
      </w:pPr>
      <w:r>
        <w:rPr>
          <w:rFonts w:hint="eastAsia"/>
          <w:sz w:val="21"/>
          <w:szCs w:val="21"/>
        </w:rPr>
        <w:t>1、议事内容及提案权</w:t>
      </w:r>
    </w:p>
    <w:p>
      <w:pPr>
        <w:pStyle w:val="9"/>
        <w:spacing w:before="0" w:beforeAutospacing="0" w:after="0" w:afterAutospacing="0" w:line="360" w:lineRule="auto"/>
        <w:ind w:firstLine="420"/>
        <w:rPr>
          <w:sz w:val="21"/>
          <w:szCs w:val="21"/>
        </w:rPr>
      </w:pPr>
      <w:r>
        <w:rPr>
          <w:rFonts w:hint="eastAsia"/>
          <w:sz w:val="2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pStyle w:val="9"/>
        <w:spacing w:before="0" w:beforeAutospacing="0" w:after="0" w:afterAutospacing="0" w:line="360" w:lineRule="auto"/>
        <w:ind w:firstLine="420"/>
        <w:rPr>
          <w:sz w:val="21"/>
          <w:szCs w:val="21"/>
        </w:rPr>
      </w:pPr>
      <w:r>
        <w:rPr>
          <w:rFonts w:hint="eastAsia"/>
          <w:sz w:val="21"/>
          <w:szCs w:val="21"/>
        </w:rPr>
        <w:t>基金份额持有人大会的召集人发出召集会议的通知后，对原有提案的修改应当在基金份额持有人大会召开前及时公告。</w:t>
      </w:r>
    </w:p>
    <w:p>
      <w:pPr>
        <w:pStyle w:val="9"/>
        <w:spacing w:before="0" w:beforeAutospacing="0" w:after="0" w:afterAutospacing="0" w:line="360" w:lineRule="auto"/>
        <w:ind w:firstLine="420"/>
        <w:rPr>
          <w:sz w:val="21"/>
          <w:szCs w:val="21"/>
        </w:rPr>
      </w:pPr>
      <w:r>
        <w:rPr>
          <w:rFonts w:hint="eastAsia"/>
          <w:sz w:val="21"/>
          <w:szCs w:val="21"/>
        </w:rPr>
        <w:t>基金份额持有人大会不得对未事先公告的议事内容进行表决。</w:t>
      </w:r>
    </w:p>
    <w:p>
      <w:pPr>
        <w:pStyle w:val="9"/>
        <w:spacing w:before="0" w:beforeAutospacing="0" w:after="0" w:afterAutospacing="0" w:line="360" w:lineRule="auto"/>
        <w:ind w:firstLine="420"/>
        <w:rPr>
          <w:sz w:val="21"/>
          <w:szCs w:val="21"/>
        </w:rPr>
      </w:pPr>
      <w:r>
        <w:rPr>
          <w:rFonts w:hint="eastAsia"/>
          <w:sz w:val="21"/>
          <w:szCs w:val="21"/>
        </w:rPr>
        <w:t>2、议事程序</w:t>
      </w:r>
    </w:p>
    <w:p>
      <w:pPr>
        <w:pStyle w:val="9"/>
        <w:spacing w:before="0" w:beforeAutospacing="0" w:after="0" w:afterAutospacing="0" w:line="360" w:lineRule="auto"/>
        <w:ind w:firstLine="420"/>
        <w:rPr>
          <w:sz w:val="21"/>
          <w:szCs w:val="21"/>
        </w:rPr>
      </w:pPr>
      <w:r>
        <w:rPr>
          <w:rFonts w:hint="eastAsia"/>
          <w:sz w:val="21"/>
          <w:szCs w:val="21"/>
        </w:rPr>
        <w:t>（1）现场开会</w:t>
      </w:r>
    </w:p>
    <w:p>
      <w:pPr>
        <w:pStyle w:val="9"/>
        <w:spacing w:before="0" w:beforeAutospacing="0" w:after="0" w:afterAutospacing="0" w:line="360" w:lineRule="auto"/>
        <w:ind w:firstLine="420"/>
        <w:rPr>
          <w:sz w:val="21"/>
          <w:szCs w:val="21"/>
        </w:rPr>
      </w:pPr>
      <w:r>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pStyle w:val="9"/>
        <w:spacing w:before="0" w:beforeAutospacing="0" w:after="0" w:afterAutospacing="0" w:line="360" w:lineRule="auto"/>
        <w:ind w:firstLine="420"/>
        <w:rPr>
          <w:sz w:val="21"/>
          <w:szCs w:val="21"/>
        </w:rPr>
      </w:pPr>
      <w:r>
        <w:rPr>
          <w:rFonts w:hint="eastAsia"/>
          <w:sz w:val="21"/>
          <w:szCs w:val="21"/>
        </w:rPr>
        <w:t>会议召集人应当制作出席会议人员的签名册。签名册载明参加会议人员姓名（或单位名称）、身份证明文件号码、持有或代表有表决权的基金份额、委托人姓名（或单位名称）和联系方式等事项。</w:t>
      </w:r>
    </w:p>
    <w:p>
      <w:pPr>
        <w:pStyle w:val="9"/>
        <w:spacing w:before="0" w:beforeAutospacing="0" w:after="0" w:afterAutospacing="0" w:line="360" w:lineRule="auto"/>
        <w:ind w:firstLine="420"/>
        <w:rPr>
          <w:sz w:val="21"/>
          <w:szCs w:val="21"/>
        </w:rPr>
      </w:pPr>
      <w:r>
        <w:rPr>
          <w:rFonts w:hint="eastAsia"/>
          <w:sz w:val="21"/>
          <w:szCs w:val="21"/>
        </w:rPr>
        <w:t>（2）通讯开会</w:t>
      </w:r>
    </w:p>
    <w:p>
      <w:pPr>
        <w:pStyle w:val="9"/>
        <w:spacing w:before="0" w:beforeAutospacing="0" w:after="0" w:afterAutospacing="0" w:line="360" w:lineRule="auto"/>
        <w:ind w:firstLine="420"/>
        <w:rPr>
          <w:sz w:val="21"/>
          <w:szCs w:val="21"/>
        </w:rPr>
      </w:pPr>
      <w:r>
        <w:rPr>
          <w:rFonts w:hint="eastAsia"/>
          <w:sz w:val="21"/>
          <w:szCs w:val="21"/>
        </w:rPr>
        <w:t>在通讯开会的情况下，首先由召集人提前30日公布提案，在所通知的表决截止日期后2个工作日内在公证机关监督下由召集人统计全部有效表决，在公证机关监督下形成决议。</w:t>
      </w:r>
    </w:p>
    <w:p>
      <w:pPr>
        <w:pStyle w:val="9"/>
        <w:spacing w:before="0" w:beforeAutospacing="0" w:after="0" w:afterAutospacing="0" w:line="360" w:lineRule="auto"/>
        <w:ind w:firstLine="420"/>
        <w:rPr>
          <w:sz w:val="21"/>
          <w:szCs w:val="21"/>
        </w:rPr>
      </w:pPr>
      <w:r>
        <w:rPr>
          <w:rFonts w:hint="eastAsia"/>
          <w:sz w:val="21"/>
          <w:szCs w:val="21"/>
        </w:rPr>
        <w:t>（六）表决</w:t>
      </w:r>
    </w:p>
    <w:p>
      <w:pPr>
        <w:pStyle w:val="9"/>
        <w:spacing w:before="0" w:beforeAutospacing="0" w:after="0" w:afterAutospacing="0" w:line="360" w:lineRule="auto"/>
        <w:ind w:firstLine="420"/>
        <w:rPr>
          <w:sz w:val="21"/>
          <w:szCs w:val="21"/>
        </w:rPr>
      </w:pPr>
      <w:r>
        <w:rPr>
          <w:rFonts w:hint="eastAsia"/>
          <w:sz w:val="21"/>
          <w:szCs w:val="21"/>
        </w:rPr>
        <w:t>基金份额持有人所持每份基金份额有一票表决权。</w:t>
      </w:r>
    </w:p>
    <w:p>
      <w:pPr>
        <w:pStyle w:val="9"/>
        <w:spacing w:before="0" w:beforeAutospacing="0" w:after="0" w:afterAutospacing="0" w:line="360" w:lineRule="auto"/>
        <w:ind w:firstLine="420"/>
        <w:rPr>
          <w:sz w:val="21"/>
          <w:szCs w:val="21"/>
        </w:rPr>
      </w:pPr>
      <w:r>
        <w:rPr>
          <w:rFonts w:hint="eastAsia"/>
          <w:sz w:val="21"/>
          <w:szCs w:val="21"/>
        </w:rPr>
        <w:t>基金份额持有人大会决议分为一般决议和特别决议：</w:t>
      </w:r>
    </w:p>
    <w:p>
      <w:pPr>
        <w:pStyle w:val="9"/>
        <w:spacing w:before="0" w:beforeAutospacing="0" w:after="0" w:afterAutospacing="0" w:line="360" w:lineRule="auto"/>
        <w:ind w:firstLine="420"/>
        <w:rPr>
          <w:sz w:val="21"/>
          <w:szCs w:val="21"/>
        </w:rPr>
      </w:pPr>
      <w:r>
        <w:rPr>
          <w:rFonts w:hint="eastAsia"/>
          <w:sz w:val="21"/>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pStyle w:val="9"/>
        <w:spacing w:before="0" w:beforeAutospacing="0" w:after="0" w:afterAutospacing="0" w:line="360" w:lineRule="auto"/>
        <w:ind w:firstLine="420"/>
        <w:rPr>
          <w:sz w:val="21"/>
          <w:szCs w:val="21"/>
        </w:rPr>
      </w:pPr>
      <w:r>
        <w:rPr>
          <w:rFonts w:hint="eastAsia"/>
          <w:sz w:val="21"/>
          <w:szCs w:val="21"/>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pPr>
        <w:pStyle w:val="9"/>
        <w:spacing w:before="0" w:beforeAutospacing="0" w:after="0" w:afterAutospacing="0" w:line="360" w:lineRule="auto"/>
        <w:ind w:firstLine="420"/>
        <w:rPr>
          <w:sz w:val="21"/>
          <w:szCs w:val="21"/>
        </w:rPr>
      </w:pPr>
      <w:r>
        <w:rPr>
          <w:rFonts w:hint="eastAsia"/>
          <w:sz w:val="21"/>
          <w:szCs w:val="21"/>
        </w:rPr>
        <w:t>基金份额持有人大会采取记名方式进行投票表决。</w:t>
      </w:r>
    </w:p>
    <w:p>
      <w:pPr>
        <w:pStyle w:val="9"/>
        <w:spacing w:before="0" w:beforeAutospacing="0" w:after="0" w:afterAutospacing="0" w:line="360" w:lineRule="auto"/>
        <w:ind w:firstLine="420"/>
        <w:rPr>
          <w:sz w:val="21"/>
          <w:szCs w:val="21"/>
        </w:rPr>
      </w:pPr>
      <w:r>
        <w:rPr>
          <w:rFonts w:hint="eastAsia"/>
          <w:sz w:val="21"/>
          <w:szCs w:val="21"/>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pStyle w:val="9"/>
        <w:spacing w:before="0" w:beforeAutospacing="0" w:after="0" w:afterAutospacing="0" w:line="360" w:lineRule="auto"/>
        <w:ind w:firstLine="420"/>
        <w:rPr>
          <w:sz w:val="21"/>
          <w:szCs w:val="21"/>
        </w:rPr>
      </w:pPr>
      <w:r>
        <w:rPr>
          <w:rFonts w:hint="eastAsia"/>
          <w:sz w:val="21"/>
          <w:szCs w:val="21"/>
        </w:rPr>
        <w:t>基金份额持有人大会的各项提案或同一项提案内并列的各项议题应当分开审议、逐项表决。</w:t>
      </w:r>
    </w:p>
    <w:p>
      <w:pPr>
        <w:pStyle w:val="9"/>
        <w:spacing w:before="0" w:beforeAutospacing="0" w:after="0" w:afterAutospacing="0" w:line="360" w:lineRule="auto"/>
        <w:ind w:firstLine="420"/>
        <w:rPr>
          <w:sz w:val="21"/>
          <w:szCs w:val="21"/>
        </w:rPr>
      </w:pPr>
      <w:r>
        <w:rPr>
          <w:rFonts w:hint="eastAsia"/>
          <w:sz w:val="21"/>
          <w:szCs w:val="21"/>
        </w:rPr>
        <w:t>（七）计票</w:t>
      </w:r>
    </w:p>
    <w:p>
      <w:pPr>
        <w:pStyle w:val="9"/>
        <w:spacing w:before="0" w:beforeAutospacing="0" w:after="0" w:afterAutospacing="0" w:line="360" w:lineRule="auto"/>
        <w:ind w:firstLine="420"/>
        <w:rPr>
          <w:sz w:val="21"/>
          <w:szCs w:val="21"/>
        </w:rPr>
      </w:pPr>
      <w:r>
        <w:rPr>
          <w:rFonts w:hint="eastAsia"/>
          <w:sz w:val="21"/>
          <w:szCs w:val="21"/>
        </w:rPr>
        <w:t>1、现场开会</w:t>
      </w:r>
    </w:p>
    <w:p>
      <w:pPr>
        <w:pStyle w:val="9"/>
        <w:spacing w:before="0" w:beforeAutospacing="0" w:after="0" w:afterAutospacing="0" w:line="360" w:lineRule="auto"/>
        <w:ind w:firstLine="420"/>
        <w:rPr>
          <w:sz w:val="21"/>
          <w:szCs w:val="21"/>
        </w:rPr>
      </w:pPr>
      <w:r>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pStyle w:val="9"/>
        <w:spacing w:before="0" w:beforeAutospacing="0" w:after="0" w:afterAutospacing="0" w:line="360" w:lineRule="auto"/>
        <w:ind w:firstLine="420"/>
        <w:rPr>
          <w:sz w:val="21"/>
          <w:szCs w:val="21"/>
        </w:rPr>
      </w:pPr>
      <w:r>
        <w:rPr>
          <w:rFonts w:hint="eastAsia"/>
          <w:sz w:val="21"/>
          <w:szCs w:val="21"/>
        </w:rPr>
        <w:t>（2）监票人应当在基金份额持有人表决后立即进行清点并由大会主持人当场公布计票结果。</w:t>
      </w:r>
    </w:p>
    <w:p>
      <w:pPr>
        <w:pStyle w:val="9"/>
        <w:spacing w:before="0" w:beforeAutospacing="0" w:after="0" w:afterAutospacing="0" w:line="360" w:lineRule="auto"/>
        <w:ind w:firstLine="420"/>
        <w:rPr>
          <w:sz w:val="21"/>
          <w:szCs w:val="21"/>
        </w:rPr>
      </w:pPr>
      <w:r>
        <w:rPr>
          <w:rFonts w:hint="eastAsia"/>
          <w:sz w:val="2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pStyle w:val="9"/>
        <w:spacing w:before="0" w:beforeAutospacing="0" w:after="0" w:afterAutospacing="0" w:line="360" w:lineRule="auto"/>
        <w:ind w:firstLine="420"/>
        <w:rPr>
          <w:sz w:val="21"/>
          <w:szCs w:val="21"/>
        </w:rPr>
      </w:pPr>
      <w:r>
        <w:rPr>
          <w:rFonts w:hint="eastAsia"/>
          <w:sz w:val="21"/>
          <w:szCs w:val="21"/>
        </w:rPr>
        <w:t>（4）计票过程应由公证机关予以公证，基金管理人或基金托管人拒不出席大会的，不影响计票的效力。</w:t>
      </w:r>
    </w:p>
    <w:p>
      <w:pPr>
        <w:pStyle w:val="9"/>
        <w:spacing w:before="0" w:beforeAutospacing="0" w:after="0" w:afterAutospacing="0" w:line="360" w:lineRule="auto"/>
        <w:ind w:firstLine="420"/>
        <w:rPr>
          <w:sz w:val="21"/>
          <w:szCs w:val="21"/>
        </w:rPr>
      </w:pPr>
      <w:r>
        <w:rPr>
          <w:rFonts w:hint="eastAsia"/>
          <w:sz w:val="21"/>
          <w:szCs w:val="21"/>
        </w:rPr>
        <w:t>2、通讯开会</w:t>
      </w:r>
    </w:p>
    <w:p>
      <w:pPr>
        <w:pStyle w:val="9"/>
        <w:spacing w:before="0" w:beforeAutospacing="0" w:after="0" w:afterAutospacing="0" w:line="360" w:lineRule="auto"/>
        <w:ind w:firstLine="420"/>
        <w:rPr>
          <w:sz w:val="21"/>
          <w:szCs w:val="21"/>
        </w:rPr>
      </w:pPr>
      <w:r>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pStyle w:val="9"/>
        <w:spacing w:before="0" w:beforeAutospacing="0" w:after="0" w:afterAutospacing="0" w:line="360" w:lineRule="auto"/>
        <w:ind w:firstLine="420"/>
        <w:rPr>
          <w:sz w:val="21"/>
          <w:szCs w:val="21"/>
        </w:rPr>
      </w:pPr>
      <w:r>
        <w:rPr>
          <w:rFonts w:hint="eastAsia"/>
          <w:sz w:val="21"/>
          <w:szCs w:val="21"/>
        </w:rPr>
        <w:t>（八）生效与公告</w:t>
      </w:r>
    </w:p>
    <w:p>
      <w:pPr>
        <w:pStyle w:val="9"/>
        <w:spacing w:before="0" w:beforeAutospacing="0" w:after="0" w:afterAutospacing="0" w:line="360" w:lineRule="auto"/>
        <w:ind w:firstLine="420"/>
        <w:rPr>
          <w:sz w:val="21"/>
          <w:szCs w:val="21"/>
        </w:rPr>
      </w:pPr>
      <w:r>
        <w:rPr>
          <w:rFonts w:hint="eastAsia"/>
          <w:sz w:val="21"/>
          <w:szCs w:val="21"/>
        </w:rPr>
        <w:t>基金份额持有人大会的决议，召集人应当自通过之日起5日内报中国证监会备案。</w:t>
      </w:r>
    </w:p>
    <w:p>
      <w:pPr>
        <w:pStyle w:val="9"/>
        <w:spacing w:before="0" w:beforeAutospacing="0" w:after="0" w:afterAutospacing="0" w:line="360" w:lineRule="auto"/>
        <w:ind w:firstLine="420"/>
        <w:rPr>
          <w:sz w:val="21"/>
          <w:szCs w:val="21"/>
        </w:rPr>
      </w:pPr>
      <w:r>
        <w:rPr>
          <w:rFonts w:hint="eastAsia"/>
          <w:sz w:val="21"/>
          <w:szCs w:val="21"/>
        </w:rPr>
        <w:t>基金份额持有人大会的决议自表决通过之日起生效。</w:t>
      </w:r>
    </w:p>
    <w:p>
      <w:pPr>
        <w:pStyle w:val="9"/>
        <w:spacing w:before="0" w:beforeAutospacing="0" w:after="0" w:afterAutospacing="0" w:line="360" w:lineRule="auto"/>
        <w:ind w:firstLine="420"/>
        <w:rPr>
          <w:sz w:val="21"/>
          <w:szCs w:val="21"/>
        </w:rPr>
      </w:pPr>
      <w:r>
        <w:rPr>
          <w:rFonts w:hint="eastAsia"/>
          <w:sz w:val="21"/>
          <w:szCs w:val="21"/>
        </w:rPr>
        <w:t>基金份额持有人大会决议自生效之日起按规定在规定媒介上公告。如果采用通讯方式进行表决，在公告基金份额持有人大会决议时，必须将公证书全文、公证机构、公证员姓名等一同公告。</w:t>
      </w:r>
    </w:p>
    <w:p>
      <w:pPr>
        <w:pStyle w:val="9"/>
        <w:spacing w:before="0" w:beforeAutospacing="0" w:after="0" w:afterAutospacing="0" w:line="360" w:lineRule="auto"/>
        <w:ind w:firstLine="420"/>
        <w:rPr>
          <w:sz w:val="21"/>
          <w:szCs w:val="21"/>
        </w:rPr>
      </w:pPr>
      <w:r>
        <w:rPr>
          <w:rFonts w:hint="eastAsia"/>
          <w:sz w:val="21"/>
          <w:szCs w:val="21"/>
        </w:rPr>
        <w:t>基金管理人、基金托管人和基金份额持有人应当执行生效的基金份额持有人大会的决议。生效的基金份额持有人大会决议对全体基金份额持有人、基金管理人、基金托管人均有约束力。</w:t>
      </w:r>
    </w:p>
    <w:p>
      <w:pPr>
        <w:pStyle w:val="9"/>
        <w:spacing w:before="0" w:beforeAutospacing="0" w:after="0" w:afterAutospacing="0" w:line="360" w:lineRule="auto"/>
        <w:ind w:firstLine="420"/>
        <w:rPr>
          <w:sz w:val="21"/>
          <w:szCs w:val="21"/>
        </w:rPr>
      </w:pPr>
      <w:r>
        <w:rPr>
          <w:rFonts w:hint="eastAsia"/>
          <w:sz w:val="21"/>
          <w:szCs w:val="21"/>
        </w:rPr>
        <w:t>（九）实施侧袋机制期间基金份额持有人大会的特殊约定</w:t>
      </w:r>
    </w:p>
    <w:p>
      <w:pPr>
        <w:pStyle w:val="9"/>
        <w:spacing w:before="0" w:beforeAutospacing="0" w:after="0" w:afterAutospacing="0" w:line="360" w:lineRule="auto"/>
        <w:ind w:firstLine="420"/>
        <w:rPr>
          <w:sz w:val="21"/>
          <w:szCs w:val="21"/>
        </w:rPr>
      </w:pPr>
      <w:r>
        <w:rPr>
          <w:rFonts w:hint="eastAsia"/>
          <w:sz w:val="21"/>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pStyle w:val="9"/>
        <w:spacing w:before="0" w:beforeAutospacing="0" w:after="0" w:afterAutospacing="0" w:line="360" w:lineRule="auto"/>
        <w:ind w:firstLine="420"/>
        <w:rPr>
          <w:sz w:val="21"/>
          <w:szCs w:val="21"/>
        </w:rPr>
      </w:pPr>
      <w:r>
        <w:rPr>
          <w:rFonts w:hint="eastAsia"/>
          <w:sz w:val="21"/>
          <w:szCs w:val="21"/>
        </w:rPr>
        <w:t>1、基金份额持有人行使提议权、召集权、提名权所需单独或合计代表相关基金份额10%以上（含10%）；</w:t>
      </w:r>
    </w:p>
    <w:p>
      <w:pPr>
        <w:pStyle w:val="9"/>
        <w:spacing w:before="0" w:beforeAutospacing="0" w:after="0" w:afterAutospacing="0" w:line="360" w:lineRule="auto"/>
        <w:ind w:firstLine="420"/>
        <w:rPr>
          <w:sz w:val="21"/>
          <w:szCs w:val="21"/>
        </w:rPr>
      </w:pPr>
      <w:r>
        <w:rPr>
          <w:rFonts w:hint="eastAsia"/>
          <w:sz w:val="21"/>
          <w:szCs w:val="21"/>
        </w:rPr>
        <w:t>2、现场开会的到会者在权益登记日代表的基金份额不少于本基金在权益登记日相关基金份额的二分之一（含二分之一）；</w:t>
      </w:r>
    </w:p>
    <w:p>
      <w:pPr>
        <w:pStyle w:val="9"/>
        <w:spacing w:before="0" w:beforeAutospacing="0" w:after="0" w:afterAutospacing="0" w:line="360" w:lineRule="auto"/>
        <w:ind w:firstLine="420"/>
        <w:rPr>
          <w:sz w:val="21"/>
          <w:szCs w:val="21"/>
        </w:rPr>
      </w:pPr>
      <w:r>
        <w:rPr>
          <w:rFonts w:hint="eastAsia"/>
          <w:sz w:val="21"/>
          <w:szCs w:val="21"/>
        </w:rPr>
        <w:t>3、通讯开会的直接出具表决意见或授权他人代表出具表决意见的基金份额持有人所持有的基金份额不小于在权益登记日相关基金份额的二分之一（含二分之一）；</w:t>
      </w:r>
    </w:p>
    <w:p>
      <w:pPr>
        <w:pStyle w:val="9"/>
        <w:spacing w:before="0" w:beforeAutospacing="0" w:after="0" w:afterAutospacing="0" w:line="360" w:lineRule="auto"/>
        <w:ind w:firstLine="420"/>
        <w:rPr>
          <w:sz w:val="21"/>
          <w:szCs w:val="21"/>
        </w:rPr>
      </w:pPr>
      <w:r>
        <w:rPr>
          <w:rFonts w:hint="eastAsia"/>
          <w:sz w:val="21"/>
          <w:szCs w:val="21"/>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pStyle w:val="9"/>
        <w:spacing w:before="0" w:beforeAutospacing="0" w:after="0" w:afterAutospacing="0" w:line="360" w:lineRule="auto"/>
        <w:ind w:firstLine="420"/>
        <w:rPr>
          <w:sz w:val="21"/>
          <w:szCs w:val="21"/>
        </w:rPr>
      </w:pPr>
      <w:r>
        <w:rPr>
          <w:rFonts w:hint="eastAsia"/>
          <w:sz w:val="21"/>
          <w:szCs w:val="21"/>
        </w:rPr>
        <w:t>5、现场开会由出席大会的基金份额持有人和代理人所持表决权的50%以上（含50%）选举产生一名基金份额持有人作为该次基金份额持有人大会的主持人；</w:t>
      </w:r>
    </w:p>
    <w:p>
      <w:pPr>
        <w:pStyle w:val="9"/>
        <w:spacing w:before="0" w:beforeAutospacing="0" w:after="0" w:afterAutospacing="0" w:line="360" w:lineRule="auto"/>
        <w:ind w:firstLine="420"/>
        <w:rPr>
          <w:sz w:val="21"/>
          <w:szCs w:val="21"/>
        </w:rPr>
      </w:pPr>
      <w:r>
        <w:rPr>
          <w:rFonts w:hint="eastAsia"/>
          <w:sz w:val="21"/>
          <w:szCs w:val="21"/>
        </w:rPr>
        <w:t>6、一般决议须经参加大会的基金份额持有人或其代理人所持表决权的二分之一以上（含二分之一）通过；</w:t>
      </w:r>
    </w:p>
    <w:p>
      <w:pPr>
        <w:pStyle w:val="9"/>
        <w:spacing w:before="0" w:beforeAutospacing="0" w:after="0" w:afterAutospacing="0" w:line="360" w:lineRule="auto"/>
        <w:ind w:firstLine="420"/>
        <w:rPr>
          <w:sz w:val="21"/>
          <w:szCs w:val="21"/>
        </w:rPr>
      </w:pPr>
      <w:r>
        <w:rPr>
          <w:rFonts w:hint="eastAsia"/>
          <w:sz w:val="21"/>
          <w:szCs w:val="21"/>
        </w:rPr>
        <w:t>7、特别决议应当经参加大会的基金份额持有人或其代理人所持表决权的三分之二以上（含三分之二）通过。</w:t>
      </w:r>
    </w:p>
    <w:p>
      <w:pPr>
        <w:pStyle w:val="9"/>
        <w:spacing w:before="0" w:beforeAutospacing="0" w:after="0" w:afterAutospacing="0" w:line="360" w:lineRule="auto"/>
        <w:ind w:firstLine="420"/>
        <w:rPr>
          <w:sz w:val="21"/>
          <w:szCs w:val="21"/>
        </w:rPr>
      </w:pPr>
      <w:r>
        <w:rPr>
          <w:rFonts w:hint="eastAsia"/>
          <w:sz w:val="21"/>
          <w:szCs w:val="21"/>
        </w:rPr>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p>
    <w:p>
      <w:pPr>
        <w:pStyle w:val="9"/>
        <w:spacing w:before="0" w:beforeAutospacing="0" w:after="0" w:afterAutospacing="0" w:line="360" w:lineRule="auto"/>
        <w:ind w:firstLine="420"/>
        <w:rPr>
          <w:sz w:val="21"/>
          <w:szCs w:val="21"/>
        </w:rPr>
      </w:pPr>
      <w:r>
        <w:rPr>
          <w:rFonts w:hint="eastAsia"/>
          <w:sz w:val="21"/>
          <w:szCs w:val="21"/>
        </w:rPr>
        <w:t>侧袋机制实施期间，关于基金份额持有人大会的相关规定以本节特殊约定内容为准，本节没有规定的适用上文相关约定。</w:t>
      </w:r>
    </w:p>
    <w:p>
      <w:pPr>
        <w:pStyle w:val="9"/>
        <w:spacing w:before="0" w:beforeAutospacing="0" w:after="0" w:afterAutospacing="0" w:line="360" w:lineRule="auto"/>
        <w:ind w:firstLine="420"/>
        <w:rPr>
          <w:sz w:val="21"/>
          <w:szCs w:val="21"/>
        </w:rPr>
      </w:pPr>
      <w:r>
        <w:rPr>
          <w:rFonts w:hint="eastAsia"/>
          <w:sz w:val="21"/>
          <w:szCs w:val="21"/>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pPr>
        <w:pStyle w:val="9"/>
        <w:spacing w:before="0" w:beforeAutospacing="0" w:after="0" w:afterAutospacing="0" w:line="360" w:lineRule="auto"/>
        <w:ind w:firstLine="420"/>
        <w:rPr>
          <w:sz w:val="21"/>
          <w:szCs w:val="21"/>
        </w:rPr>
      </w:pPr>
      <w:r>
        <w:rPr>
          <w:rStyle w:val="14"/>
          <w:rFonts w:hint="eastAsia"/>
          <w:sz w:val="21"/>
          <w:szCs w:val="21"/>
        </w:rPr>
        <w:t>三、基金合同的变更、终止与基金财产的清算</w:t>
      </w:r>
    </w:p>
    <w:p>
      <w:pPr>
        <w:pStyle w:val="9"/>
        <w:spacing w:before="0" w:beforeAutospacing="0" w:after="0" w:afterAutospacing="0" w:line="360" w:lineRule="auto"/>
        <w:ind w:firstLine="420"/>
        <w:rPr>
          <w:sz w:val="21"/>
          <w:szCs w:val="21"/>
        </w:rPr>
      </w:pPr>
      <w:r>
        <w:rPr>
          <w:rFonts w:hint="eastAsia"/>
          <w:sz w:val="21"/>
          <w:szCs w:val="21"/>
        </w:rPr>
        <w:t>（一）《基金合同》的变更</w:t>
      </w:r>
    </w:p>
    <w:p>
      <w:pPr>
        <w:pStyle w:val="9"/>
        <w:spacing w:before="0" w:beforeAutospacing="0" w:after="0" w:afterAutospacing="0" w:line="360" w:lineRule="auto"/>
        <w:ind w:firstLine="420"/>
        <w:rPr>
          <w:sz w:val="21"/>
          <w:szCs w:val="21"/>
        </w:rPr>
      </w:pPr>
      <w:r>
        <w:rPr>
          <w:rFonts w:hint="eastAsia"/>
          <w:sz w:val="21"/>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pStyle w:val="9"/>
        <w:spacing w:before="0" w:beforeAutospacing="0" w:after="0" w:afterAutospacing="0" w:line="360" w:lineRule="auto"/>
        <w:ind w:firstLine="420"/>
        <w:rPr>
          <w:sz w:val="21"/>
          <w:szCs w:val="21"/>
        </w:rPr>
      </w:pPr>
      <w:r>
        <w:rPr>
          <w:rFonts w:hint="eastAsia"/>
          <w:sz w:val="21"/>
          <w:szCs w:val="21"/>
        </w:rPr>
        <w:t>2、关于《基金合同》变更的基金份额持有人大会决议自生效后方可执行，自决议生效后按规定在规定媒介公告。</w:t>
      </w:r>
    </w:p>
    <w:p>
      <w:pPr>
        <w:pStyle w:val="9"/>
        <w:spacing w:before="0" w:beforeAutospacing="0" w:after="0" w:afterAutospacing="0" w:line="360" w:lineRule="auto"/>
        <w:ind w:firstLine="420"/>
        <w:rPr>
          <w:sz w:val="21"/>
          <w:szCs w:val="21"/>
        </w:rPr>
      </w:pPr>
      <w:r>
        <w:rPr>
          <w:rFonts w:hint="eastAsia"/>
          <w:sz w:val="21"/>
          <w:szCs w:val="21"/>
        </w:rPr>
        <w:t>（二）《基金合同》的终止事由</w:t>
      </w:r>
    </w:p>
    <w:p>
      <w:pPr>
        <w:pStyle w:val="9"/>
        <w:spacing w:before="0" w:beforeAutospacing="0" w:after="0" w:afterAutospacing="0" w:line="360" w:lineRule="auto"/>
        <w:ind w:firstLine="420"/>
        <w:rPr>
          <w:sz w:val="21"/>
          <w:szCs w:val="21"/>
        </w:rPr>
      </w:pPr>
      <w:r>
        <w:rPr>
          <w:rFonts w:hint="eastAsia"/>
          <w:sz w:val="21"/>
          <w:szCs w:val="21"/>
        </w:rPr>
        <w:t>有下列情形之一的，经履行相关程序后，《基金合同》应当终止：</w:t>
      </w:r>
    </w:p>
    <w:p>
      <w:pPr>
        <w:pStyle w:val="9"/>
        <w:spacing w:before="0" w:beforeAutospacing="0" w:after="0" w:afterAutospacing="0" w:line="360" w:lineRule="auto"/>
        <w:ind w:firstLine="420"/>
        <w:rPr>
          <w:sz w:val="21"/>
          <w:szCs w:val="21"/>
        </w:rPr>
      </w:pPr>
      <w:r>
        <w:rPr>
          <w:rFonts w:hint="eastAsia"/>
          <w:sz w:val="21"/>
          <w:szCs w:val="21"/>
        </w:rPr>
        <w:t>1、基金份额持有人大会决定终止的；</w:t>
      </w:r>
    </w:p>
    <w:p>
      <w:pPr>
        <w:pStyle w:val="9"/>
        <w:spacing w:before="0" w:beforeAutospacing="0" w:after="0" w:afterAutospacing="0" w:line="360" w:lineRule="auto"/>
        <w:ind w:firstLine="420"/>
        <w:rPr>
          <w:sz w:val="21"/>
          <w:szCs w:val="21"/>
        </w:rPr>
      </w:pPr>
      <w:r>
        <w:rPr>
          <w:rFonts w:hint="eastAsia"/>
          <w:sz w:val="21"/>
          <w:szCs w:val="21"/>
        </w:rPr>
        <w:t>2、基金管理人、基金托管人职责终止，在6个月内没有新基金管理人、新基金托管人承接的；</w:t>
      </w:r>
    </w:p>
    <w:p>
      <w:pPr>
        <w:pStyle w:val="9"/>
        <w:spacing w:before="0" w:beforeAutospacing="0" w:after="0" w:afterAutospacing="0" w:line="360" w:lineRule="auto"/>
        <w:ind w:firstLine="420"/>
        <w:rPr>
          <w:sz w:val="21"/>
          <w:szCs w:val="21"/>
        </w:rPr>
      </w:pPr>
      <w:r>
        <w:rPr>
          <w:rFonts w:hint="eastAsia"/>
          <w:sz w:val="21"/>
          <w:szCs w:val="21"/>
        </w:rPr>
        <w:t>3、出现标的指数不符合要求（因成份股价格波动等指数编制方法变动之外的因素致使标的指数不符合要求以及法律法规、监管机构另有规定的情形除外）、指数编制机构退出等情形，基金管理人召集基金份额持有人大会对解决方案进行表决，基金份额持有人大会未成功召开或就上述事项表决未通过的；</w:t>
      </w:r>
    </w:p>
    <w:p>
      <w:pPr>
        <w:pStyle w:val="9"/>
        <w:spacing w:before="0" w:beforeAutospacing="0" w:after="0" w:afterAutospacing="0" w:line="360" w:lineRule="auto"/>
        <w:ind w:firstLine="420"/>
        <w:rPr>
          <w:sz w:val="21"/>
          <w:szCs w:val="21"/>
        </w:rPr>
      </w:pPr>
      <w:r>
        <w:rPr>
          <w:rFonts w:hint="eastAsia"/>
          <w:sz w:val="21"/>
          <w:szCs w:val="21"/>
        </w:rPr>
        <w:t>4、《基金合同》约定的其他情形；</w:t>
      </w:r>
    </w:p>
    <w:p>
      <w:pPr>
        <w:pStyle w:val="9"/>
        <w:spacing w:before="0" w:beforeAutospacing="0" w:after="0" w:afterAutospacing="0" w:line="360" w:lineRule="auto"/>
        <w:ind w:firstLine="420"/>
        <w:rPr>
          <w:sz w:val="21"/>
          <w:szCs w:val="21"/>
        </w:rPr>
      </w:pPr>
      <w:r>
        <w:rPr>
          <w:rFonts w:hint="eastAsia"/>
          <w:sz w:val="21"/>
          <w:szCs w:val="21"/>
        </w:rPr>
        <w:t>5、相关法律法规和中国证监会规定的其他情况。</w:t>
      </w:r>
    </w:p>
    <w:p>
      <w:pPr>
        <w:pStyle w:val="9"/>
        <w:spacing w:before="0" w:beforeAutospacing="0" w:after="0" w:afterAutospacing="0" w:line="360" w:lineRule="auto"/>
        <w:ind w:firstLine="420"/>
        <w:rPr>
          <w:sz w:val="21"/>
          <w:szCs w:val="21"/>
        </w:rPr>
      </w:pPr>
      <w:r>
        <w:rPr>
          <w:rFonts w:hint="eastAsia"/>
          <w:sz w:val="21"/>
          <w:szCs w:val="21"/>
        </w:rPr>
        <w:t>（三）基金财产的清算</w:t>
      </w:r>
    </w:p>
    <w:p>
      <w:pPr>
        <w:pStyle w:val="9"/>
        <w:spacing w:before="0" w:beforeAutospacing="0" w:after="0" w:afterAutospacing="0" w:line="360" w:lineRule="auto"/>
        <w:ind w:firstLine="420"/>
        <w:rPr>
          <w:sz w:val="21"/>
          <w:szCs w:val="21"/>
        </w:rPr>
      </w:pPr>
      <w:r>
        <w:rPr>
          <w:rFonts w:hint="eastAsia"/>
          <w:sz w:val="21"/>
          <w:szCs w:val="21"/>
        </w:rPr>
        <w:t>1、基金财产清算小组：自出现《基金合同》终止事由之日起30个工作日内成立基金财产清算小组，基金管理人组织基金财产清算小组并在中国证监会的监督下进行基金清算。</w:t>
      </w:r>
    </w:p>
    <w:p>
      <w:pPr>
        <w:pStyle w:val="9"/>
        <w:spacing w:before="0" w:beforeAutospacing="0" w:after="0" w:afterAutospacing="0" w:line="360" w:lineRule="auto"/>
        <w:ind w:firstLine="420"/>
        <w:rPr>
          <w:sz w:val="21"/>
          <w:szCs w:val="21"/>
        </w:rPr>
      </w:pPr>
      <w:r>
        <w:rPr>
          <w:rFonts w:hint="eastAsia"/>
          <w:sz w:val="21"/>
          <w:szCs w:val="21"/>
        </w:rPr>
        <w:t>2、在基金财产清算小组接管基金财产之前，基金管理人和基金托管人应按照《基金合同》和托管协议的规定继续履行保护基金财产安全的职责。</w:t>
      </w:r>
    </w:p>
    <w:p>
      <w:pPr>
        <w:pStyle w:val="9"/>
        <w:spacing w:before="0" w:beforeAutospacing="0" w:after="0" w:afterAutospacing="0" w:line="360" w:lineRule="auto"/>
        <w:ind w:firstLine="420"/>
        <w:rPr>
          <w:sz w:val="21"/>
          <w:szCs w:val="21"/>
        </w:rPr>
      </w:pPr>
      <w:r>
        <w:rPr>
          <w:rFonts w:hint="eastAsia"/>
          <w:sz w:val="21"/>
          <w:szCs w:val="21"/>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pStyle w:val="9"/>
        <w:spacing w:before="0" w:beforeAutospacing="0" w:after="0" w:afterAutospacing="0" w:line="360" w:lineRule="auto"/>
        <w:ind w:firstLine="420"/>
        <w:rPr>
          <w:sz w:val="21"/>
          <w:szCs w:val="21"/>
        </w:rPr>
      </w:pPr>
      <w:r>
        <w:rPr>
          <w:rFonts w:hint="eastAsia"/>
          <w:sz w:val="21"/>
          <w:szCs w:val="21"/>
        </w:rPr>
        <w:t>4、基金财产清算小组职责：基金财产清算小组负责基金财产的保管、清理、估价、变现和分配。基金财产清算小组可以依法进行必要的民事活动。</w:t>
      </w:r>
    </w:p>
    <w:p>
      <w:pPr>
        <w:pStyle w:val="9"/>
        <w:spacing w:before="0" w:beforeAutospacing="0" w:after="0" w:afterAutospacing="0" w:line="360" w:lineRule="auto"/>
        <w:ind w:firstLine="420"/>
        <w:rPr>
          <w:sz w:val="21"/>
          <w:szCs w:val="21"/>
        </w:rPr>
      </w:pPr>
      <w:r>
        <w:rPr>
          <w:rFonts w:hint="eastAsia"/>
          <w:sz w:val="21"/>
          <w:szCs w:val="21"/>
        </w:rPr>
        <w:t>5、在基金财产清算过程中，基金管理人和基金托管人应各自履行职责，继续忠实、勤勉、尽责地履行基金合同和托管协议规定的义务，维护基金份额持有人的合法权益。</w:t>
      </w:r>
    </w:p>
    <w:p>
      <w:pPr>
        <w:pStyle w:val="9"/>
        <w:spacing w:before="0" w:beforeAutospacing="0" w:after="0" w:afterAutospacing="0" w:line="360" w:lineRule="auto"/>
        <w:ind w:firstLine="420"/>
        <w:rPr>
          <w:sz w:val="21"/>
          <w:szCs w:val="21"/>
        </w:rPr>
      </w:pPr>
      <w:r>
        <w:rPr>
          <w:rFonts w:hint="eastAsia"/>
          <w:sz w:val="21"/>
          <w:szCs w:val="21"/>
        </w:rPr>
        <w:t>6、基金财产清算程序：</w:t>
      </w:r>
    </w:p>
    <w:p>
      <w:pPr>
        <w:pStyle w:val="9"/>
        <w:spacing w:before="0" w:beforeAutospacing="0" w:after="0" w:afterAutospacing="0" w:line="360" w:lineRule="auto"/>
        <w:ind w:firstLine="420"/>
        <w:rPr>
          <w:sz w:val="21"/>
          <w:szCs w:val="21"/>
        </w:rPr>
      </w:pPr>
      <w:r>
        <w:rPr>
          <w:rFonts w:hint="eastAsia"/>
          <w:sz w:val="21"/>
          <w:szCs w:val="21"/>
        </w:rPr>
        <w:t>（1）《基金合同》终止情形出现时，由基金财产清算小组统一接管基金；</w:t>
      </w:r>
    </w:p>
    <w:p>
      <w:pPr>
        <w:pStyle w:val="9"/>
        <w:spacing w:before="0" w:beforeAutospacing="0" w:after="0" w:afterAutospacing="0" w:line="360" w:lineRule="auto"/>
        <w:ind w:firstLine="420"/>
        <w:rPr>
          <w:sz w:val="21"/>
          <w:szCs w:val="21"/>
        </w:rPr>
      </w:pPr>
      <w:r>
        <w:rPr>
          <w:rFonts w:hint="eastAsia"/>
          <w:sz w:val="21"/>
          <w:szCs w:val="21"/>
        </w:rPr>
        <w:t>（2）对基金财产和债权债务进行清理和确认；</w:t>
      </w:r>
    </w:p>
    <w:p>
      <w:pPr>
        <w:pStyle w:val="9"/>
        <w:spacing w:before="0" w:beforeAutospacing="0" w:after="0" w:afterAutospacing="0" w:line="360" w:lineRule="auto"/>
        <w:ind w:firstLine="420"/>
        <w:rPr>
          <w:sz w:val="21"/>
          <w:szCs w:val="21"/>
        </w:rPr>
      </w:pPr>
      <w:r>
        <w:rPr>
          <w:rFonts w:hint="eastAsia"/>
          <w:sz w:val="21"/>
          <w:szCs w:val="21"/>
        </w:rPr>
        <w:t>（3）对基金财产进行估值和变现；</w:t>
      </w:r>
    </w:p>
    <w:p>
      <w:pPr>
        <w:pStyle w:val="9"/>
        <w:spacing w:before="0" w:beforeAutospacing="0" w:after="0" w:afterAutospacing="0" w:line="360" w:lineRule="auto"/>
        <w:ind w:firstLine="420"/>
        <w:rPr>
          <w:sz w:val="21"/>
          <w:szCs w:val="21"/>
        </w:rPr>
      </w:pPr>
      <w:r>
        <w:rPr>
          <w:rFonts w:hint="eastAsia"/>
          <w:sz w:val="21"/>
          <w:szCs w:val="21"/>
        </w:rPr>
        <w:t>（4）制作清算报告；</w:t>
      </w:r>
    </w:p>
    <w:p>
      <w:pPr>
        <w:pStyle w:val="9"/>
        <w:spacing w:before="0" w:beforeAutospacing="0" w:after="0" w:afterAutospacing="0" w:line="360" w:lineRule="auto"/>
        <w:ind w:firstLine="420"/>
        <w:rPr>
          <w:sz w:val="21"/>
          <w:szCs w:val="21"/>
        </w:rPr>
      </w:pPr>
      <w:r>
        <w:rPr>
          <w:rFonts w:hint="eastAsia"/>
          <w:sz w:val="21"/>
          <w:szCs w:val="21"/>
        </w:rPr>
        <w:t>（5）聘请会计师事务所对清算报告进行外部审计，聘请律师事务所对清算报告出具法律意见书；</w:t>
      </w:r>
    </w:p>
    <w:p>
      <w:pPr>
        <w:pStyle w:val="9"/>
        <w:spacing w:before="0" w:beforeAutospacing="0" w:after="0" w:afterAutospacing="0" w:line="360" w:lineRule="auto"/>
        <w:ind w:firstLine="420"/>
        <w:rPr>
          <w:sz w:val="21"/>
          <w:szCs w:val="21"/>
        </w:rPr>
      </w:pPr>
      <w:r>
        <w:rPr>
          <w:rFonts w:hint="eastAsia"/>
          <w:sz w:val="21"/>
          <w:szCs w:val="21"/>
        </w:rPr>
        <w:t>（6）将清算报告报中国证监会备案并公告；</w:t>
      </w:r>
    </w:p>
    <w:p>
      <w:pPr>
        <w:pStyle w:val="9"/>
        <w:spacing w:before="0" w:beforeAutospacing="0" w:after="0" w:afterAutospacing="0" w:line="360" w:lineRule="auto"/>
        <w:ind w:firstLine="420"/>
        <w:rPr>
          <w:sz w:val="21"/>
          <w:szCs w:val="21"/>
        </w:rPr>
      </w:pPr>
      <w:r>
        <w:rPr>
          <w:rFonts w:hint="eastAsia"/>
          <w:sz w:val="21"/>
          <w:szCs w:val="21"/>
        </w:rPr>
        <w:t>（7）对基金剩余财产进行分配。</w:t>
      </w:r>
    </w:p>
    <w:p>
      <w:pPr>
        <w:pStyle w:val="9"/>
        <w:spacing w:before="0" w:beforeAutospacing="0" w:after="0" w:afterAutospacing="0" w:line="360" w:lineRule="auto"/>
        <w:ind w:firstLine="420"/>
        <w:rPr>
          <w:sz w:val="21"/>
          <w:szCs w:val="21"/>
        </w:rPr>
      </w:pPr>
      <w:r>
        <w:rPr>
          <w:rFonts w:hint="eastAsia"/>
          <w:sz w:val="21"/>
          <w:szCs w:val="21"/>
        </w:rPr>
        <w:t>7、基金财产清算的期限为6个月，但因本基金所持证券的流动性受到限制而不能及时变现的，清算期限可相应顺延。</w:t>
      </w:r>
    </w:p>
    <w:p>
      <w:pPr>
        <w:pStyle w:val="9"/>
        <w:spacing w:before="0" w:beforeAutospacing="0" w:after="0" w:afterAutospacing="0" w:line="360" w:lineRule="auto"/>
        <w:ind w:firstLine="420"/>
        <w:rPr>
          <w:sz w:val="21"/>
          <w:szCs w:val="21"/>
        </w:rPr>
      </w:pPr>
      <w:r>
        <w:rPr>
          <w:rFonts w:hint="eastAsia"/>
          <w:sz w:val="21"/>
          <w:szCs w:val="21"/>
        </w:rPr>
        <w:t>（四）清算费用</w:t>
      </w:r>
    </w:p>
    <w:p>
      <w:pPr>
        <w:pStyle w:val="9"/>
        <w:spacing w:before="0" w:beforeAutospacing="0" w:after="0" w:afterAutospacing="0" w:line="360" w:lineRule="auto"/>
        <w:ind w:firstLine="420"/>
        <w:rPr>
          <w:sz w:val="21"/>
          <w:szCs w:val="21"/>
        </w:rPr>
      </w:pPr>
      <w:r>
        <w:rPr>
          <w:rFonts w:hint="eastAsia"/>
          <w:sz w:val="21"/>
          <w:szCs w:val="21"/>
        </w:rPr>
        <w:t>清算费用是指基金财产清算小组在进行基金清算过程中发生的所有合理费用，清算费用由基金财产清算小组优先从基金剩余财产中支付。</w:t>
      </w:r>
    </w:p>
    <w:p>
      <w:pPr>
        <w:pStyle w:val="9"/>
        <w:spacing w:before="0" w:beforeAutospacing="0" w:after="0" w:afterAutospacing="0" w:line="360" w:lineRule="auto"/>
        <w:ind w:firstLine="420"/>
        <w:rPr>
          <w:sz w:val="21"/>
          <w:szCs w:val="21"/>
        </w:rPr>
      </w:pPr>
      <w:r>
        <w:rPr>
          <w:rFonts w:hint="eastAsia"/>
          <w:sz w:val="21"/>
          <w:szCs w:val="21"/>
        </w:rPr>
        <w:t>（五）基金财产清算剩余资产的分配</w:t>
      </w:r>
    </w:p>
    <w:p>
      <w:pPr>
        <w:pStyle w:val="9"/>
        <w:spacing w:before="0" w:beforeAutospacing="0" w:after="0" w:afterAutospacing="0" w:line="360" w:lineRule="auto"/>
        <w:ind w:firstLine="420"/>
        <w:rPr>
          <w:sz w:val="21"/>
          <w:szCs w:val="21"/>
        </w:rPr>
      </w:pPr>
      <w:r>
        <w:rPr>
          <w:rFonts w:hint="eastAsia"/>
          <w:sz w:val="21"/>
          <w:szCs w:val="21"/>
        </w:rPr>
        <w:t>依据基金财产清算的分配方案，将基金财产清算后的全部剩余资产扣除基金财产清算费用、交纳所欠税款并清偿基金债务后，按基金份额持有人持有的各类基金份额比例进行分配。</w:t>
      </w:r>
    </w:p>
    <w:p>
      <w:pPr>
        <w:pStyle w:val="9"/>
        <w:spacing w:before="0" w:beforeAutospacing="0" w:after="0" w:afterAutospacing="0" w:line="360" w:lineRule="auto"/>
        <w:ind w:firstLine="420"/>
        <w:rPr>
          <w:sz w:val="21"/>
          <w:szCs w:val="21"/>
        </w:rPr>
      </w:pPr>
      <w:r>
        <w:rPr>
          <w:rFonts w:hint="eastAsia"/>
          <w:sz w:val="21"/>
          <w:szCs w:val="21"/>
        </w:rPr>
        <w:t>（六）基金财产清算的公告</w:t>
      </w:r>
    </w:p>
    <w:p>
      <w:pPr>
        <w:pStyle w:val="9"/>
        <w:spacing w:before="0" w:beforeAutospacing="0" w:after="0" w:afterAutospacing="0" w:line="360" w:lineRule="auto"/>
        <w:ind w:firstLine="420"/>
        <w:rPr>
          <w:sz w:val="21"/>
          <w:szCs w:val="21"/>
        </w:rPr>
      </w:pPr>
      <w:r>
        <w:rPr>
          <w:rFonts w:hint="eastAsia"/>
          <w:sz w:val="21"/>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pStyle w:val="9"/>
        <w:spacing w:before="0" w:beforeAutospacing="0" w:after="0" w:afterAutospacing="0" w:line="360" w:lineRule="auto"/>
        <w:ind w:firstLine="420"/>
        <w:rPr>
          <w:sz w:val="21"/>
          <w:szCs w:val="21"/>
        </w:rPr>
      </w:pPr>
      <w:r>
        <w:rPr>
          <w:rFonts w:hint="eastAsia"/>
          <w:sz w:val="21"/>
          <w:szCs w:val="21"/>
        </w:rPr>
        <w:t>（七）基金财产清算账册及文件的保存</w:t>
      </w:r>
    </w:p>
    <w:p>
      <w:pPr>
        <w:pStyle w:val="9"/>
        <w:spacing w:before="0" w:beforeAutospacing="0" w:after="0" w:afterAutospacing="0" w:line="360" w:lineRule="auto"/>
        <w:ind w:firstLine="420"/>
        <w:rPr>
          <w:sz w:val="21"/>
          <w:szCs w:val="21"/>
        </w:rPr>
      </w:pPr>
      <w:r>
        <w:rPr>
          <w:rFonts w:hint="eastAsia"/>
          <w:sz w:val="21"/>
          <w:szCs w:val="21"/>
        </w:rPr>
        <w:t>基金财产清算账册及有关文件由基金托管人保存，保存期限不低于法律法规规定的最低期限。</w:t>
      </w:r>
    </w:p>
    <w:p>
      <w:pPr>
        <w:pStyle w:val="9"/>
        <w:spacing w:before="0" w:beforeAutospacing="0" w:after="0" w:afterAutospacing="0" w:line="360" w:lineRule="auto"/>
        <w:ind w:firstLine="420"/>
        <w:rPr>
          <w:sz w:val="21"/>
          <w:szCs w:val="21"/>
        </w:rPr>
      </w:pPr>
      <w:r>
        <w:rPr>
          <w:rFonts w:hint="eastAsia"/>
          <w:sz w:val="21"/>
          <w:szCs w:val="21"/>
        </w:rPr>
        <w:t>（八）基金合并</w:t>
      </w:r>
    </w:p>
    <w:p>
      <w:pPr>
        <w:pStyle w:val="9"/>
        <w:spacing w:before="0" w:beforeAutospacing="0" w:after="0" w:afterAutospacing="0" w:line="360" w:lineRule="auto"/>
        <w:ind w:firstLine="420"/>
        <w:rPr>
          <w:sz w:val="21"/>
          <w:szCs w:val="21"/>
        </w:rPr>
      </w:pPr>
      <w:r>
        <w:rPr>
          <w:rFonts w:hint="eastAsia"/>
          <w:sz w:val="21"/>
          <w:szCs w:val="21"/>
        </w:rPr>
        <w:t>本基金与其他基金的合并应当按照法律法规规定的程序进行。</w:t>
      </w:r>
    </w:p>
    <w:p>
      <w:pPr>
        <w:pStyle w:val="9"/>
        <w:spacing w:before="0" w:beforeAutospacing="0" w:after="0" w:afterAutospacing="0" w:line="360" w:lineRule="auto"/>
        <w:ind w:firstLine="420"/>
        <w:rPr>
          <w:sz w:val="21"/>
          <w:szCs w:val="21"/>
        </w:rPr>
      </w:pPr>
      <w:r>
        <w:rPr>
          <w:rStyle w:val="14"/>
          <w:rFonts w:hint="eastAsia"/>
          <w:sz w:val="21"/>
          <w:szCs w:val="21"/>
        </w:rPr>
        <w:t>四、争议的处理</w:t>
      </w:r>
    </w:p>
    <w:p>
      <w:pPr>
        <w:pStyle w:val="9"/>
        <w:spacing w:before="0" w:beforeAutospacing="0" w:after="0" w:afterAutospacing="0" w:line="360" w:lineRule="auto"/>
        <w:ind w:firstLine="420"/>
        <w:rPr>
          <w:sz w:val="21"/>
          <w:szCs w:val="21"/>
        </w:rPr>
      </w:pPr>
      <w:r>
        <w:rPr>
          <w:rStyle w:val="14"/>
          <w:rFonts w:hint="eastAsia"/>
          <w:sz w:val="21"/>
          <w:szCs w:val="21"/>
        </w:rPr>
        <w:t>各方当事人同意，因《基金合同》而产生的或与《基金合同》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各方当事人均有约束力。除非仲裁裁决另有规定，仲裁费用、律师费用由败诉方承担。</w:t>
      </w:r>
    </w:p>
    <w:p>
      <w:pPr>
        <w:pStyle w:val="9"/>
        <w:spacing w:before="0" w:beforeAutospacing="0" w:after="0" w:afterAutospacing="0" w:line="360" w:lineRule="auto"/>
        <w:ind w:firstLine="420"/>
        <w:rPr>
          <w:sz w:val="21"/>
          <w:szCs w:val="21"/>
        </w:rPr>
      </w:pPr>
      <w:r>
        <w:rPr>
          <w:rStyle w:val="14"/>
          <w:rFonts w:hint="eastAsia"/>
          <w:sz w:val="21"/>
          <w:szCs w:val="21"/>
        </w:rPr>
        <w:t>争议处理期间，基金管理人、基金托管人应恪守基金管理人和基金托管人的职责，各自继续忠实、勤勉、尽责地履行基金合同和基金托管协议规定的义务，维护基金份额持有人的合法权益。</w:t>
      </w:r>
    </w:p>
    <w:p>
      <w:pPr>
        <w:pStyle w:val="9"/>
        <w:spacing w:before="0" w:beforeAutospacing="0" w:after="0" w:afterAutospacing="0" w:line="360" w:lineRule="auto"/>
        <w:ind w:firstLine="420"/>
        <w:rPr>
          <w:sz w:val="21"/>
          <w:szCs w:val="21"/>
        </w:rPr>
      </w:pPr>
      <w:r>
        <w:rPr>
          <w:rStyle w:val="14"/>
          <w:rFonts w:hint="eastAsia"/>
          <w:sz w:val="21"/>
          <w:szCs w:val="21"/>
        </w:rPr>
        <w:t>《基金合同》受中国法律（为本基金合同之目的，在此不包括香港、澳门特别行政区和台湾地区法律）管辖，并从其解释。</w:t>
      </w:r>
    </w:p>
    <w:p>
      <w:pPr>
        <w:pStyle w:val="9"/>
        <w:spacing w:before="0" w:beforeAutospacing="0" w:after="0" w:afterAutospacing="0" w:line="360" w:lineRule="auto"/>
        <w:ind w:firstLine="420"/>
        <w:rPr>
          <w:sz w:val="21"/>
          <w:szCs w:val="21"/>
        </w:rPr>
      </w:pPr>
      <w:r>
        <w:rPr>
          <w:rStyle w:val="14"/>
          <w:rFonts w:hint="eastAsia"/>
          <w:sz w:val="21"/>
          <w:szCs w:val="21"/>
        </w:rPr>
        <w:t>五、基金合同存放地和投资者取得合同的方式</w:t>
      </w:r>
    </w:p>
    <w:p>
      <w:pPr>
        <w:pStyle w:val="9"/>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178" w:name="chapter_level1_22_71_section_1_end"/>
      <w:bookmarkEnd w:id="178"/>
      <w:r>
        <w:rPr>
          <w:rFonts w:hint="eastAsia"/>
          <w:sz w:val="21"/>
          <w:szCs w:val="21"/>
        </w:rPr>
        <w:t>和营业场所查阅。</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9" w:name="_Toc151126584"/>
      <w:bookmarkStart w:id="180" w:name="chapter_level1_23_72"/>
      <w:r>
        <w:rPr>
          <w:rFonts w:hint="eastAsia" w:ascii="宋体" w:hAnsi="宋体" w:eastAsia="宋体"/>
          <w:sz w:val="30"/>
        </w:rPr>
        <w:t>第二十部分  基金托管协议的内容摘要</w:t>
      </w:r>
      <w:bookmarkEnd w:id="179"/>
      <w:bookmarkEnd w:id="180"/>
    </w:p>
    <w:p>
      <w:pPr>
        <w:pStyle w:val="9"/>
        <w:spacing w:before="0" w:beforeAutospacing="0" w:after="0" w:afterAutospacing="0" w:line="360" w:lineRule="auto"/>
        <w:ind w:firstLine="420"/>
        <w:rPr>
          <w:sz w:val="21"/>
          <w:szCs w:val="21"/>
        </w:rPr>
      </w:pPr>
      <w:bookmarkStart w:id="181" w:name="chapter_level1_23_72_section_1"/>
      <w:bookmarkEnd w:id="181"/>
      <w:r>
        <w:rPr>
          <w:rStyle w:val="14"/>
          <w:rFonts w:hint="eastAsia"/>
          <w:sz w:val="21"/>
          <w:szCs w:val="21"/>
        </w:rPr>
        <w:t>一、基金托管协议当事人</w:t>
      </w:r>
    </w:p>
    <w:p>
      <w:pPr>
        <w:pStyle w:val="9"/>
        <w:spacing w:before="0" w:beforeAutospacing="0" w:after="0" w:afterAutospacing="0" w:line="360" w:lineRule="auto"/>
        <w:ind w:firstLine="420"/>
        <w:rPr>
          <w:sz w:val="21"/>
          <w:szCs w:val="21"/>
        </w:rPr>
      </w:pPr>
      <w:r>
        <w:rPr>
          <w:rFonts w:hint="eastAsia"/>
          <w:sz w:val="21"/>
          <w:szCs w:val="21"/>
        </w:rPr>
        <w:t xml:space="preserve">（一）基金管理人 </w:t>
      </w:r>
    </w:p>
    <w:p>
      <w:pPr>
        <w:pStyle w:val="9"/>
        <w:spacing w:before="0" w:beforeAutospacing="0" w:after="0" w:afterAutospacing="0" w:line="360" w:lineRule="auto"/>
        <w:ind w:firstLine="420"/>
        <w:rPr>
          <w:sz w:val="21"/>
          <w:szCs w:val="21"/>
        </w:rPr>
      </w:pPr>
      <w:r>
        <w:rPr>
          <w:rFonts w:hint="eastAsia"/>
          <w:sz w:val="21"/>
          <w:szCs w:val="21"/>
        </w:rPr>
        <w:t xml:space="preserve">名称：博时基金管理有限公司 </w:t>
      </w:r>
    </w:p>
    <w:p>
      <w:pPr>
        <w:pStyle w:val="9"/>
        <w:spacing w:before="0" w:beforeAutospacing="0" w:after="0" w:afterAutospacing="0" w:line="360" w:lineRule="auto"/>
        <w:ind w:firstLine="420"/>
        <w:rPr>
          <w:sz w:val="21"/>
          <w:szCs w:val="21"/>
        </w:rPr>
      </w:pPr>
      <w:r>
        <w:rPr>
          <w:rFonts w:hint="eastAsia"/>
          <w:sz w:val="21"/>
          <w:szCs w:val="21"/>
        </w:rPr>
        <w:t xml:space="preserve">注册地址：深圳市福田区莲花街道福新社区益田路5999号基金大厦21层 </w:t>
      </w:r>
    </w:p>
    <w:p>
      <w:pPr>
        <w:pStyle w:val="9"/>
        <w:spacing w:before="0" w:beforeAutospacing="0" w:after="0" w:afterAutospacing="0" w:line="360" w:lineRule="auto"/>
        <w:ind w:firstLine="420"/>
        <w:rPr>
          <w:sz w:val="21"/>
          <w:szCs w:val="21"/>
        </w:rPr>
      </w:pPr>
      <w:r>
        <w:rPr>
          <w:rFonts w:hint="eastAsia"/>
          <w:sz w:val="21"/>
          <w:szCs w:val="21"/>
        </w:rPr>
        <w:t xml:space="preserve">办公地址：广东省深圳市福田区益田路5999号基金大厦21层 </w:t>
      </w:r>
    </w:p>
    <w:p>
      <w:pPr>
        <w:pStyle w:val="9"/>
        <w:spacing w:before="0" w:beforeAutospacing="0" w:after="0" w:afterAutospacing="0" w:line="360" w:lineRule="auto"/>
        <w:ind w:firstLine="420"/>
        <w:rPr>
          <w:sz w:val="21"/>
          <w:szCs w:val="21"/>
        </w:rPr>
      </w:pPr>
      <w:r>
        <w:rPr>
          <w:rFonts w:hint="eastAsia"/>
          <w:sz w:val="21"/>
          <w:szCs w:val="21"/>
        </w:rPr>
        <w:t xml:space="preserve">邮政编码：518040 </w:t>
      </w:r>
    </w:p>
    <w:p>
      <w:pPr>
        <w:pStyle w:val="9"/>
        <w:spacing w:before="0" w:beforeAutospacing="0" w:after="0" w:afterAutospacing="0" w:line="360" w:lineRule="auto"/>
        <w:ind w:firstLine="420"/>
        <w:rPr>
          <w:sz w:val="21"/>
          <w:szCs w:val="21"/>
        </w:rPr>
      </w:pPr>
      <w:r>
        <w:rPr>
          <w:rFonts w:hint="eastAsia"/>
          <w:sz w:val="21"/>
          <w:szCs w:val="21"/>
        </w:rPr>
        <w:t xml:space="preserve">法定代表人：江向阳 </w:t>
      </w:r>
    </w:p>
    <w:p>
      <w:pPr>
        <w:pStyle w:val="9"/>
        <w:spacing w:before="0" w:beforeAutospacing="0" w:after="0" w:afterAutospacing="0" w:line="360" w:lineRule="auto"/>
        <w:ind w:firstLine="420"/>
        <w:rPr>
          <w:sz w:val="21"/>
          <w:szCs w:val="21"/>
        </w:rPr>
      </w:pPr>
      <w:r>
        <w:rPr>
          <w:rFonts w:hint="eastAsia"/>
          <w:sz w:val="21"/>
          <w:szCs w:val="21"/>
        </w:rPr>
        <w:t xml:space="preserve">成立日期：1998年7月13日 </w:t>
      </w:r>
    </w:p>
    <w:p>
      <w:pPr>
        <w:pStyle w:val="9"/>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9"/>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9"/>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9"/>
        <w:spacing w:before="0" w:beforeAutospacing="0" w:after="0" w:afterAutospacing="0" w:line="360" w:lineRule="auto"/>
        <w:ind w:firstLine="420"/>
        <w:rPr>
          <w:sz w:val="21"/>
          <w:szCs w:val="21"/>
        </w:rPr>
      </w:pPr>
      <w:r>
        <w:rPr>
          <w:rFonts w:hint="eastAsia"/>
          <w:sz w:val="21"/>
          <w:szCs w:val="21"/>
        </w:rPr>
        <w:t xml:space="preserve">存续期间：持续经营 </w:t>
      </w:r>
    </w:p>
    <w:p>
      <w:pPr>
        <w:pStyle w:val="9"/>
        <w:spacing w:before="0" w:beforeAutospacing="0" w:after="0" w:afterAutospacing="0" w:line="360" w:lineRule="auto"/>
        <w:ind w:firstLine="420"/>
        <w:rPr>
          <w:sz w:val="21"/>
          <w:szCs w:val="21"/>
        </w:rPr>
      </w:pPr>
      <w:r>
        <w:rPr>
          <w:rFonts w:hint="eastAsia"/>
          <w:sz w:val="21"/>
          <w:szCs w:val="21"/>
        </w:rPr>
        <w:t xml:space="preserve">经营范围：基金募集；基金销售；资产管理以及中国证监会许可的其它业务。 </w:t>
      </w:r>
    </w:p>
    <w:p>
      <w:pPr>
        <w:pStyle w:val="9"/>
        <w:spacing w:before="0" w:beforeAutospacing="0" w:after="0" w:afterAutospacing="0" w:line="360" w:lineRule="auto"/>
        <w:ind w:firstLine="420"/>
        <w:rPr>
          <w:sz w:val="21"/>
          <w:szCs w:val="21"/>
        </w:rPr>
      </w:pPr>
      <w:r>
        <w:rPr>
          <w:rFonts w:hint="eastAsia"/>
          <w:sz w:val="21"/>
          <w:szCs w:val="21"/>
        </w:rPr>
        <w:t xml:space="preserve">（二）基金托管人 </w:t>
      </w:r>
    </w:p>
    <w:p>
      <w:pPr>
        <w:pStyle w:val="9"/>
        <w:spacing w:before="0" w:beforeAutospacing="0" w:after="0" w:afterAutospacing="0" w:line="360" w:lineRule="auto"/>
        <w:ind w:firstLine="420"/>
        <w:rPr>
          <w:sz w:val="21"/>
          <w:szCs w:val="21"/>
        </w:rPr>
      </w:pPr>
      <w:r>
        <w:rPr>
          <w:rFonts w:hint="eastAsia"/>
          <w:sz w:val="21"/>
          <w:szCs w:val="21"/>
        </w:rPr>
        <w:t xml:space="preserve">名称：交通银行股份有限公司（简称：交通银行） </w:t>
      </w:r>
    </w:p>
    <w:p>
      <w:pPr>
        <w:pStyle w:val="9"/>
        <w:spacing w:before="0" w:beforeAutospacing="0" w:after="0" w:afterAutospacing="0" w:line="360" w:lineRule="auto"/>
        <w:ind w:firstLine="420"/>
        <w:rPr>
          <w:sz w:val="21"/>
          <w:szCs w:val="21"/>
        </w:rPr>
      </w:pPr>
      <w:r>
        <w:rPr>
          <w:rFonts w:hint="eastAsia"/>
          <w:sz w:val="21"/>
          <w:szCs w:val="21"/>
        </w:rPr>
        <w:t xml:space="preserve">住所：中国（上海）自由贸易试验区银城中路188号 </w:t>
      </w:r>
    </w:p>
    <w:p>
      <w:pPr>
        <w:pStyle w:val="9"/>
        <w:spacing w:before="0" w:beforeAutospacing="0" w:after="0" w:afterAutospacing="0" w:line="360" w:lineRule="auto"/>
        <w:ind w:firstLine="420"/>
        <w:rPr>
          <w:sz w:val="21"/>
          <w:szCs w:val="21"/>
        </w:rPr>
      </w:pPr>
      <w:r>
        <w:rPr>
          <w:rFonts w:hint="eastAsia"/>
          <w:sz w:val="21"/>
          <w:szCs w:val="21"/>
        </w:rPr>
        <w:t xml:space="preserve">办公地址：上海市长宁区仙霞路18号（邮政编码：200336） </w:t>
      </w:r>
    </w:p>
    <w:p>
      <w:pPr>
        <w:pStyle w:val="9"/>
        <w:spacing w:before="0" w:beforeAutospacing="0" w:after="0" w:afterAutospacing="0" w:line="360" w:lineRule="auto"/>
        <w:ind w:firstLine="420"/>
        <w:rPr>
          <w:sz w:val="21"/>
          <w:szCs w:val="21"/>
        </w:rPr>
      </w:pPr>
      <w:r>
        <w:rPr>
          <w:rFonts w:hint="eastAsia"/>
          <w:sz w:val="21"/>
          <w:szCs w:val="21"/>
        </w:rPr>
        <w:t xml:space="preserve">法定代表人：任德奇 </w:t>
      </w:r>
    </w:p>
    <w:p>
      <w:pPr>
        <w:pStyle w:val="9"/>
        <w:spacing w:before="0" w:beforeAutospacing="0" w:after="0" w:afterAutospacing="0" w:line="360" w:lineRule="auto"/>
        <w:ind w:firstLine="420"/>
        <w:rPr>
          <w:sz w:val="21"/>
          <w:szCs w:val="21"/>
        </w:rPr>
      </w:pPr>
      <w:r>
        <w:rPr>
          <w:rFonts w:hint="eastAsia"/>
          <w:sz w:val="21"/>
          <w:szCs w:val="21"/>
        </w:rPr>
        <w:t xml:space="preserve">成立时间：1987年3月30日 </w:t>
      </w:r>
    </w:p>
    <w:p>
      <w:pPr>
        <w:pStyle w:val="9"/>
        <w:spacing w:before="0" w:beforeAutospacing="0" w:after="0" w:afterAutospacing="0" w:line="360" w:lineRule="auto"/>
        <w:ind w:firstLine="420"/>
        <w:rPr>
          <w:sz w:val="21"/>
          <w:szCs w:val="21"/>
        </w:rPr>
      </w:pPr>
      <w:r>
        <w:rPr>
          <w:rFonts w:hint="eastAsia"/>
          <w:sz w:val="21"/>
          <w:szCs w:val="21"/>
        </w:rPr>
        <w:t xml:space="preserve">批准设立机关及批准设立文号：国务院国发(1986)字第81 号文和中国人民银行银发［1987］40号文 </w:t>
      </w:r>
    </w:p>
    <w:p>
      <w:pPr>
        <w:pStyle w:val="9"/>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基金托管业务批准文号：中国证监会证监基字［1998］25号 </w:t>
      </w:r>
    </w:p>
    <w:p>
      <w:pPr>
        <w:pStyle w:val="9"/>
        <w:spacing w:before="0" w:beforeAutospacing="0" w:after="0" w:afterAutospacing="0" w:line="360" w:lineRule="auto"/>
        <w:ind w:firstLine="420"/>
        <w:rPr>
          <w:sz w:val="21"/>
          <w:szCs w:val="21"/>
        </w:rPr>
      </w:pPr>
      <w:r>
        <w:rPr>
          <w:rFonts w:hint="eastAsia"/>
          <w:sz w:val="21"/>
          <w:szCs w:val="21"/>
        </w:rPr>
        <w:t xml:space="preserve">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 </w:t>
      </w:r>
    </w:p>
    <w:p>
      <w:pPr>
        <w:pStyle w:val="9"/>
        <w:spacing w:before="0" w:beforeAutospacing="0" w:after="0" w:afterAutospacing="0" w:line="360" w:lineRule="auto"/>
        <w:ind w:firstLine="420"/>
        <w:rPr>
          <w:sz w:val="21"/>
          <w:szCs w:val="21"/>
        </w:rPr>
      </w:pPr>
      <w:r>
        <w:rPr>
          <w:rFonts w:hint="eastAsia"/>
          <w:sz w:val="21"/>
          <w:szCs w:val="21"/>
        </w:rPr>
        <w:t xml:space="preserve">注册资本：742.63亿元人民币 </w:t>
      </w:r>
    </w:p>
    <w:p>
      <w:pPr>
        <w:pStyle w:val="9"/>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9"/>
        <w:spacing w:before="0" w:beforeAutospacing="0" w:after="0" w:afterAutospacing="0" w:line="360" w:lineRule="auto"/>
        <w:ind w:firstLine="420"/>
        <w:rPr>
          <w:sz w:val="21"/>
          <w:szCs w:val="21"/>
        </w:rPr>
      </w:pPr>
      <w:r>
        <w:rPr>
          <w:rFonts w:hint="eastAsia"/>
          <w:sz w:val="21"/>
          <w:szCs w:val="21"/>
        </w:rPr>
        <w:t xml:space="preserve">存续期间：持续经营 </w:t>
      </w:r>
    </w:p>
    <w:p>
      <w:pPr>
        <w:pStyle w:val="9"/>
        <w:spacing w:before="0" w:beforeAutospacing="0" w:after="0" w:afterAutospacing="0" w:line="360" w:lineRule="auto"/>
        <w:ind w:firstLine="420"/>
        <w:rPr>
          <w:sz w:val="21"/>
          <w:szCs w:val="21"/>
        </w:rPr>
      </w:pPr>
      <w:r>
        <w:rPr>
          <w:rStyle w:val="14"/>
          <w:rFonts w:hint="eastAsia"/>
          <w:sz w:val="21"/>
          <w:szCs w:val="21"/>
        </w:rPr>
        <w:t>二、基金托管人对基金管理人的业务监督、核查</w:t>
      </w:r>
    </w:p>
    <w:p>
      <w:pPr>
        <w:pStyle w:val="9"/>
        <w:spacing w:before="0" w:beforeAutospacing="0" w:after="0" w:afterAutospacing="0" w:line="360" w:lineRule="auto"/>
        <w:ind w:firstLine="420"/>
        <w:rPr>
          <w:sz w:val="21"/>
          <w:szCs w:val="21"/>
        </w:rPr>
      </w:pPr>
      <w:r>
        <w:rPr>
          <w:rFonts w:hint="eastAsia"/>
          <w:sz w:val="21"/>
          <w:szCs w:val="21"/>
        </w:rPr>
        <w:t xml:space="preserve">（一）基金托管人对基金管理人的投资行为行使监督权 </w:t>
      </w:r>
    </w:p>
    <w:p>
      <w:pPr>
        <w:pStyle w:val="9"/>
        <w:spacing w:before="0" w:beforeAutospacing="0" w:after="0" w:afterAutospacing="0" w:line="360" w:lineRule="auto"/>
        <w:ind w:firstLine="420"/>
        <w:rPr>
          <w:sz w:val="21"/>
          <w:szCs w:val="21"/>
        </w:rPr>
      </w:pPr>
      <w:r>
        <w:rPr>
          <w:rFonts w:hint="eastAsia"/>
          <w:sz w:val="21"/>
          <w:szCs w:val="21"/>
        </w:rPr>
        <w:t xml:space="preserve">1.基金托管人根据有关法律法规的规定及《基金合同》和本协议的约定，对基金的投资范围、投资对象进行监督。 </w:t>
      </w:r>
    </w:p>
    <w:p>
      <w:pPr>
        <w:pStyle w:val="9"/>
        <w:spacing w:before="0" w:beforeAutospacing="0" w:after="0" w:afterAutospacing="0" w:line="360" w:lineRule="auto"/>
        <w:ind w:firstLine="420"/>
        <w:rPr>
          <w:sz w:val="21"/>
          <w:szCs w:val="21"/>
        </w:rPr>
      </w:pPr>
      <w:r>
        <w:rPr>
          <w:rFonts w:hint="eastAsia"/>
          <w:sz w:val="21"/>
          <w:szCs w:val="21"/>
        </w:rPr>
        <w:t xml:space="preserve">本基金主要投资于标的指数成份股和备选成份股（含存托凭证）。 </w:t>
      </w:r>
    </w:p>
    <w:p>
      <w:pPr>
        <w:pStyle w:val="9"/>
        <w:spacing w:before="0" w:beforeAutospacing="0" w:after="0" w:afterAutospacing="0" w:line="360" w:lineRule="auto"/>
        <w:ind w:firstLine="420"/>
        <w:rPr>
          <w:sz w:val="21"/>
          <w:szCs w:val="21"/>
        </w:rPr>
      </w:pPr>
      <w:r>
        <w:rPr>
          <w:rFonts w:hint="eastAsia"/>
          <w:sz w:val="21"/>
          <w:szCs w:val="21"/>
        </w:rPr>
        <w:t xml:space="preserve">为更好地实现基金的投资目标，本基金可能会少量投资于依法发行上市的非成份股（包括创业板及其他经中国证监会核准或注册上市的股票、存托凭证）、港股通标的股票、债券（包括国债、金融债、地方政府债、政府支持机构债券、政府支持债券、企业债、公司债、可转换债券（含分离交易可转债的纯债部分）、可交换债券、央行票据、短期融资券、超短期融资券、中期票据、公开发行的次级债等）、资产支持证券、衍生工具（股指期货、国债期货、股票期权）、债券回购、货币市场工具（包括银行存款、同业存单等）以及法律法规或中国证监会允许基金投资的其他金融工具（但须符合中国证监会的相关规定）。 </w:t>
      </w:r>
    </w:p>
    <w:p>
      <w:pPr>
        <w:pStyle w:val="9"/>
        <w:spacing w:before="0" w:beforeAutospacing="0" w:after="0" w:afterAutospacing="0" w:line="360" w:lineRule="auto"/>
        <w:ind w:firstLine="420"/>
        <w:rPr>
          <w:sz w:val="21"/>
          <w:szCs w:val="21"/>
        </w:rPr>
      </w:pPr>
      <w:r>
        <w:rPr>
          <w:rFonts w:hint="eastAsia"/>
          <w:sz w:val="21"/>
          <w:szCs w:val="21"/>
        </w:rPr>
        <w:t xml:space="preserve">本基金将根据法律法规的规定参与融资及转融通证券出借业务。未来在法律法规允许的前提下，本基金可根据相关法律法规规定参与融券业务。 </w:t>
      </w:r>
    </w:p>
    <w:p>
      <w:pPr>
        <w:pStyle w:val="9"/>
        <w:spacing w:before="0" w:beforeAutospacing="0" w:after="0" w:afterAutospacing="0" w:line="360" w:lineRule="auto"/>
        <w:ind w:firstLine="420"/>
        <w:rPr>
          <w:sz w:val="21"/>
          <w:szCs w:val="21"/>
        </w:rPr>
      </w:pPr>
      <w:r>
        <w:rPr>
          <w:rFonts w:hint="eastAsia"/>
          <w:sz w:val="21"/>
          <w:szCs w:val="21"/>
        </w:rPr>
        <w:t xml:space="preserve">本基金根据相关法律法规或中国证监会要求履行相关手续后，还可以投资于法律法规或中国证监会未来允许基金投资的其他金融工具。 </w:t>
      </w:r>
    </w:p>
    <w:p>
      <w:pPr>
        <w:pStyle w:val="9"/>
        <w:spacing w:before="0" w:beforeAutospacing="0" w:after="0" w:afterAutospacing="0" w:line="360" w:lineRule="auto"/>
        <w:ind w:firstLine="420"/>
        <w:rPr>
          <w:sz w:val="21"/>
          <w:szCs w:val="21"/>
        </w:rPr>
      </w:pPr>
      <w:r>
        <w:rPr>
          <w:rFonts w:hint="eastAsia"/>
          <w:sz w:val="21"/>
          <w:szCs w:val="21"/>
        </w:rPr>
        <w:t xml:space="preserve">本基金的股票资产投资比例不低于基金资产的90%，其中投资于标的指数成份股和备选成份股的资产不低于非现金基金资产的80%，投资港股通标的股票的比例不超过本基金股票资产的10%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 </w:t>
      </w:r>
    </w:p>
    <w:p>
      <w:pPr>
        <w:pStyle w:val="9"/>
        <w:spacing w:before="0" w:beforeAutospacing="0" w:after="0" w:afterAutospacing="0" w:line="360" w:lineRule="auto"/>
        <w:ind w:firstLine="420"/>
        <w:rPr>
          <w:sz w:val="21"/>
          <w:szCs w:val="21"/>
        </w:rPr>
      </w:pPr>
      <w:r>
        <w:rPr>
          <w:rFonts w:hint="eastAsia"/>
          <w:sz w:val="21"/>
          <w:szCs w:val="21"/>
        </w:rPr>
        <w:t xml:space="preserve">若法律法规的相关规定发生变更或监管机构允许，本基金管理人在履行适当程序后，可对上述资产配置比例进行调整。 </w:t>
      </w:r>
    </w:p>
    <w:p>
      <w:pPr>
        <w:pStyle w:val="9"/>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2.基金托管人根据有关法律法规的规定及《基金合同》和本协议的约定，对基金投资、融资比例进行监督。 </w:t>
      </w:r>
    </w:p>
    <w:p>
      <w:pPr>
        <w:pStyle w:val="9"/>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9"/>
        <w:spacing w:before="0" w:beforeAutospacing="0" w:after="0" w:afterAutospacing="0" w:line="360" w:lineRule="auto"/>
        <w:ind w:firstLine="420"/>
        <w:rPr>
          <w:sz w:val="21"/>
          <w:szCs w:val="21"/>
        </w:rPr>
      </w:pPr>
      <w:r>
        <w:rPr>
          <w:rFonts w:hint="eastAsia"/>
          <w:sz w:val="21"/>
          <w:szCs w:val="21"/>
        </w:rPr>
        <w:t xml:space="preserve">（1）本基金的股票资产投资比例不低于基金资产的90%，其中投资于标的指数成份股和备选成份股的资产不低于非现金基金资产的80%，投资港股通标的股票的比例不超过本基金股票资产的10%； </w:t>
      </w:r>
    </w:p>
    <w:p>
      <w:pPr>
        <w:pStyle w:val="9"/>
        <w:spacing w:before="0" w:beforeAutospacing="0" w:after="0" w:afterAutospacing="0" w:line="360" w:lineRule="auto"/>
        <w:ind w:firstLine="420"/>
        <w:rPr>
          <w:sz w:val="21"/>
          <w:szCs w:val="21"/>
        </w:rPr>
      </w:pPr>
      <w:r>
        <w:rPr>
          <w:rFonts w:hint="eastAsia"/>
          <w:sz w:val="21"/>
          <w:szCs w:val="21"/>
        </w:rPr>
        <w:t xml:space="preserve">（2）每个交易日日终在扣除股指期货、股票期权和国债期货合约需缴纳的交易保证金后，保持不低于基金资产净值5%的现金或者到期日在一年以内的政府债券，其中现金不包括结算备付金、存出保证金和应收申购款等； </w:t>
      </w:r>
    </w:p>
    <w:p>
      <w:pPr>
        <w:pStyle w:val="9"/>
        <w:spacing w:before="0" w:beforeAutospacing="0" w:after="0" w:afterAutospacing="0" w:line="360" w:lineRule="auto"/>
        <w:ind w:firstLine="420"/>
        <w:rPr>
          <w:sz w:val="21"/>
          <w:szCs w:val="21"/>
        </w:rPr>
      </w:pPr>
      <w:r>
        <w:rPr>
          <w:rFonts w:hint="eastAsia"/>
          <w:sz w:val="21"/>
          <w:szCs w:val="21"/>
        </w:rPr>
        <w:t xml:space="preserve">（3）本基金持有一家公司发行的证券，其市值（若同时持有一家公司发行的A股和H股，则为A股与H股合计市值）不超过基金资产净值的10%，但完全按照标的指数的构成比例进行投资的部分不受此限制； </w:t>
      </w:r>
    </w:p>
    <w:p>
      <w:pPr>
        <w:pStyle w:val="9"/>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（4）本基金管理人管理的全部基金持有一家公司发行的证券，不超过该证券（若同时持有一家公司发行的A股和H股，则为A股与H股合计市值）的10%，但完全按照标的指数的构成比例进行投资的部分不受此限制； </w:t>
      </w:r>
    </w:p>
    <w:p>
      <w:pPr>
        <w:pStyle w:val="9"/>
        <w:spacing w:before="0" w:beforeAutospacing="0" w:after="0" w:afterAutospacing="0" w:line="360" w:lineRule="auto"/>
        <w:ind w:firstLine="420"/>
        <w:rPr>
          <w:sz w:val="21"/>
          <w:szCs w:val="21"/>
        </w:rPr>
      </w:pPr>
      <w:r>
        <w:rPr>
          <w:rFonts w:hint="eastAsia"/>
          <w:sz w:val="21"/>
          <w:szCs w:val="21"/>
        </w:rPr>
        <w:t xml:space="preserve">（5）本基金资产总值不得超过基金资产净值的140%； </w:t>
      </w:r>
    </w:p>
    <w:p>
      <w:pPr>
        <w:pStyle w:val="9"/>
        <w:spacing w:before="0" w:beforeAutospacing="0" w:after="0" w:afterAutospacing="0" w:line="360" w:lineRule="auto"/>
        <w:ind w:firstLine="420"/>
        <w:rPr>
          <w:sz w:val="21"/>
          <w:szCs w:val="21"/>
        </w:rPr>
      </w:pPr>
      <w:r>
        <w:rPr>
          <w:rFonts w:hint="eastAsia"/>
          <w:sz w:val="21"/>
          <w:szCs w:val="21"/>
        </w:rPr>
        <w:t xml:space="preserve">（6）本基金进入全国银行间同业市场进行债券回购的资金余额不得超过基金资产净值的40%，在全国银行间同业市场中进行的债券回购期限不得超过1年，债券回购到期后不得展期； </w:t>
      </w:r>
    </w:p>
    <w:p>
      <w:pPr>
        <w:pStyle w:val="9"/>
        <w:spacing w:before="0" w:beforeAutospacing="0" w:after="0" w:afterAutospacing="0" w:line="360" w:lineRule="auto"/>
        <w:ind w:firstLine="420"/>
        <w:rPr>
          <w:sz w:val="21"/>
          <w:szCs w:val="21"/>
        </w:rPr>
      </w:pPr>
      <w:r>
        <w:rPr>
          <w:rFonts w:hint="eastAsia"/>
          <w:sz w:val="21"/>
          <w:szCs w:val="21"/>
        </w:rPr>
        <w:t xml:space="preserve">（7）本基金投资于同一原始权益人的各类资产支持证券的比例，不得超过基金资产净值的10%； </w:t>
      </w:r>
    </w:p>
    <w:p>
      <w:pPr>
        <w:pStyle w:val="9"/>
        <w:spacing w:before="0" w:beforeAutospacing="0" w:after="0" w:afterAutospacing="0" w:line="360" w:lineRule="auto"/>
        <w:ind w:firstLine="420"/>
        <w:rPr>
          <w:sz w:val="21"/>
          <w:szCs w:val="21"/>
        </w:rPr>
      </w:pPr>
      <w:r>
        <w:rPr>
          <w:rFonts w:hint="eastAsia"/>
          <w:sz w:val="21"/>
          <w:szCs w:val="21"/>
        </w:rPr>
        <w:t xml:space="preserve">（8）本基金持有的全部资产支持证券，其市值不得超过基金资产净值的20%； </w:t>
      </w:r>
    </w:p>
    <w:p>
      <w:pPr>
        <w:pStyle w:val="9"/>
        <w:spacing w:before="0" w:beforeAutospacing="0" w:after="0" w:afterAutospacing="0" w:line="360" w:lineRule="auto"/>
        <w:ind w:firstLine="420"/>
        <w:rPr>
          <w:sz w:val="21"/>
          <w:szCs w:val="21"/>
        </w:rPr>
      </w:pPr>
      <w:r>
        <w:rPr>
          <w:rFonts w:hint="eastAsia"/>
          <w:sz w:val="21"/>
          <w:szCs w:val="21"/>
        </w:rPr>
        <w:t xml:space="preserve">（9）本基金持有的同一(指同一信用级别)资产支持证券的比例，不得超过该资产支持证券规模的10%； </w:t>
      </w:r>
    </w:p>
    <w:p>
      <w:pPr>
        <w:pStyle w:val="9"/>
        <w:spacing w:before="0" w:beforeAutospacing="0" w:after="0" w:afterAutospacing="0" w:line="360" w:lineRule="auto"/>
        <w:ind w:firstLine="420"/>
        <w:rPr>
          <w:sz w:val="21"/>
          <w:szCs w:val="21"/>
        </w:rPr>
      </w:pPr>
      <w:r>
        <w:rPr>
          <w:rFonts w:hint="eastAsia"/>
          <w:sz w:val="21"/>
          <w:szCs w:val="21"/>
        </w:rPr>
        <w:t xml:space="preserve">（10）本基金管理人管理的全部基金投资于同一原始权益人的各类资产支持证券，不得超过其各类资产支持证券合计规模的10%； </w:t>
      </w:r>
    </w:p>
    <w:p>
      <w:pPr>
        <w:pStyle w:val="9"/>
        <w:spacing w:before="0" w:beforeAutospacing="0" w:after="0" w:afterAutospacing="0" w:line="360" w:lineRule="auto"/>
        <w:ind w:firstLine="420"/>
        <w:rPr>
          <w:sz w:val="21"/>
          <w:szCs w:val="21"/>
        </w:rPr>
      </w:pPr>
      <w:r>
        <w:rPr>
          <w:rFonts w:hint="eastAsia"/>
          <w:sz w:val="21"/>
          <w:szCs w:val="21"/>
        </w:rPr>
        <w:t xml:space="preserve">（11）本基金应投资于信用级别评级为BBB以上(含BBB)的资产支持证券。基金持有资产支持证券期间，如果其信用等级下降、不再符合投资标准，应在评级报告发布之日起3个月内予以全部卖出； </w:t>
      </w:r>
    </w:p>
    <w:p>
      <w:pPr>
        <w:pStyle w:val="9"/>
        <w:spacing w:before="0" w:beforeAutospacing="0" w:after="0" w:afterAutospacing="0" w:line="360" w:lineRule="auto"/>
        <w:ind w:firstLine="420"/>
        <w:rPr>
          <w:sz w:val="21"/>
          <w:szCs w:val="21"/>
        </w:rPr>
      </w:pPr>
      <w:r>
        <w:rPr>
          <w:rFonts w:hint="eastAsia"/>
          <w:sz w:val="21"/>
          <w:szCs w:val="21"/>
        </w:rPr>
        <w:t xml:space="preserve">（12）基金财产参与股票发行申购，本基金所申报的金额不超过本基金的总资产，本基金所申报的股票数量不超过拟发行股票公司本次发行股票的总量； </w:t>
      </w:r>
    </w:p>
    <w:p>
      <w:pPr>
        <w:pStyle w:val="9"/>
        <w:spacing w:before="0" w:beforeAutospacing="0" w:after="0" w:afterAutospacing="0" w:line="360" w:lineRule="auto"/>
        <w:ind w:firstLine="420"/>
        <w:rPr>
          <w:sz w:val="21"/>
          <w:szCs w:val="21"/>
        </w:rPr>
      </w:pPr>
      <w:r>
        <w:rPr>
          <w:rFonts w:hint="eastAsia"/>
          <w:sz w:val="21"/>
          <w:szCs w:val="21"/>
        </w:rPr>
        <w:t xml:space="preserve">（13）本基金参与融资的，在任何交易日日终，本基金融资买入股票与其他有价证券市值之和，不得超过基金资产净值的95%； </w:t>
      </w:r>
    </w:p>
    <w:p>
      <w:pPr>
        <w:pStyle w:val="9"/>
        <w:spacing w:before="0" w:beforeAutospacing="0" w:after="0" w:afterAutospacing="0" w:line="360" w:lineRule="auto"/>
        <w:ind w:firstLine="420"/>
        <w:rPr>
          <w:sz w:val="21"/>
          <w:szCs w:val="21"/>
        </w:rPr>
      </w:pPr>
      <w:r>
        <w:rPr>
          <w:rFonts w:hint="eastAsia"/>
          <w:sz w:val="21"/>
          <w:szCs w:val="21"/>
        </w:rPr>
        <w:t xml:space="preserve">（14）本基金投资于股指期货和国债期货，还应遵循如下投资组合限制： </w:t>
      </w:r>
    </w:p>
    <w:p>
      <w:pPr>
        <w:pStyle w:val="9"/>
        <w:spacing w:before="0" w:beforeAutospacing="0" w:after="0" w:afterAutospacing="0" w:line="360" w:lineRule="auto"/>
        <w:ind w:firstLine="420"/>
        <w:rPr>
          <w:sz w:val="21"/>
          <w:szCs w:val="21"/>
        </w:rPr>
      </w:pPr>
      <w:r>
        <w:rPr>
          <w:rFonts w:hint="eastAsia"/>
          <w:sz w:val="21"/>
          <w:szCs w:val="21"/>
        </w:rPr>
        <w:t xml:space="preserve">1）在任何交易日日终，本基金持有的买入股指期货合约价值不超过基金资产净值的10%；在任何交易日日终，持有的买入国债期货合约价值，不得超过基金资产净值15%； </w:t>
      </w:r>
    </w:p>
    <w:p>
      <w:pPr>
        <w:pStyle w:val="9"/>
        <w:spacing w:before="0" w:beforeAutospacing="0" w:after="0" w:afterAutospacing="0" w:line="360" w:lineRule="auto"/>
        <w:ind w:firstLine="420"/>
        <w:rPr>
          <w:sz w:val="21"/>
          <w:szCs w:val="21"/>
        </w:rPr>
      </w:pPr>
      <w:r>
        <w:rPr>
          <w:rFonts w:hint="eastAsia"/>
          <w:sz w:val="21"/>
          <w:szCs w:val="21"/>
        </w:rPr>
        <w:t xml:space="preserve">2）在任何交易日日终，持有的卖出股指期货合约价值不超过基金持有的股票总市值的20%；在任何交易日日终，持有的卖出国债期货合约价值不得超过基金持有的债券总市值的30%； </w:t>
      </w:r>
    </w:p>
    <w:p>
      <w:pPr>
        <w:pStyle w:val="9"/>
        <w:spacing w:before="0" w:beforeAutospacing="0" w:after="0" w:afterAutospacing="0" w:line="360" w:lineRule="auto"/>
        <w:ind w:firstLine="420"/>
        <w:rPr>
          <w:sz w:val="21"/>
          <w:szCs w:val="21"/>
        </w:rPr>
      </w:pPr>
      <w:r>
        <w:rPr>
          <w:rFonts w:hint="eastAsia"/>
          <w:sz w:val="21"/>
          <w:szCs w:val="21"/>
        </w:rPr>
        <w:t xml:space="preserve">3）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 </w:t>
      </w:r>
    </w:p>
    <w:p>
      <w:pPr>
        <w:pStyle w:val="9"/>
        <w:spacing w:before="0" w:beforeAutospacing="0" w:after="0" w:afterAutospacing="0" w:line="360" w:lineRule="auto"/>
        <w:ind w:firstLine="420"/>
        <w:rPr>
          <w:sz w:val="21"/>
          <w:szCs w:val="21"/>
        </w:rPr>
      </w:pPr>
      <w:r>
        <w:rPr>
          <w:rFonts w:hint="eastAsia"/>
          <w:sz w:val="21"/>
          <w:szCs w:val="21"/>
        </w:rPr>
        <w:t xml:space="preserve">4）本基金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 </w:t>
      </w:r>
    </w:p>
    <w:p>
      <w:pPr>
        <w:pStyle w:val="9"/>
        <w:spacing w:before="0" w:beforeAutospacing="0" w:after="0" w:afterAutospacing="0" w:line="360" w:lineRule="auto"/>
        <w:ind w:firstLine="420"/>
        <w:rPr>
          <w:sz w:val="21"/>
          <w:szCs w:val="21"/>
        </w:rPr>
      </w:pPr>
      <w:r>
        <w:rPr>
          <w:rFonts w:hint="eastAsia"/>
          <w:sz w:val="21"/>
          <w:szCs w:val="21"/>
        </w:rPr>
        <w:t xml:space="preserve">5）本基金在任何交易日内交易（不包括平仓）的股指期货合约的成交金额不得超过上一交易日基金资产净值的20%；在任何交易日内交易（不包括平仓）的国债期货合约的成交金额不得超过上一交易日基金资产净值的30%； </w:t>
      </w:r>
    </w:p>
    <w:p>
      <w:pPr>
        <w:pStyle w:val="9"/>
        <w:spacing w:before="0" w:beforeAutospacing="0" w:after="0" w:afterAutospacing="0" w:line="360" w:lineRule="auto"/>
        <w:ind w:firstLine="420"/>
        <w:rPr>
          <w:sz w:val="21"/>
          <w:szCs w:val="21"/>
        </w:rPr>
      </w:pPr>
      <w:r>
        <w:rPr>
          <w:rFonts w:hint="eastAsia"/>
          <w:sz w:val="21"/>
          <w:szCs w:val="21"/>
        </w:rPr>
        <w:t xml:space="preserve">（15）本基金投资于股票期权，还应遵循如下投资组合限制： </w:t>
      </w:r>
    </w:p>
    <w:p>
      <w:pPr>
        <w:pStyle w:val="9"/>
        <w:spacing w:before="0" w:beforeAutospacing="0" w:after="0" w:afterAutospacing="0" w:line="360" w:lineRule="auto"/>
        <w:ind w:firstLine="420"/>
        <w:rPr>
          <w:sz w:val="21"/>
          <w:szCs w:val="21"/>
        </w:rPr>
      </w:pPr>
      <w:r>
        <w:rPr>
          <w:rFonts w:hint="eastAsia"/>
          <w:sz w:val="21"/>
          <w:szCs w:val="21"/>
        </w:rPr>
        <w:t xml:space="preserve">1）因未平仓的期权合约支付和收取的权利金总额不得超过基金资产净值的10%； </w:t>
      </w:r>
    </w:p>
    <w:p>
      <w:pPr>
        <w:pStyle w:val="9"/>
        <w:spacing w:before="0" w:beforeAutospacing="0" w:after="0" w:afterAutospacing="0" w:line="360" w:lineRule="auto"/>
        <w:ind w:firstLine="420"/>
        <w:rPr>
          <w:sz w:val="21"/>
          <w:szCs w:val="21"/>
        </w:rPr>
      </w:pPr>
      <w:r>
        <w:rPr>
          <w:rFonts w:hint="eastAsia"/>
          <w:sz w:val="21"/>
          <w:szCs w:val="21"/>
        </w:rPr>
        <w:t xml:space="preserve">2）开仓卖出认购期权的，应持有足额标的证券；开仓卖出认沽期权的，应持有合约行权所需的全额现金或交易所规则认可的可冲抵期权保证金的现金等价物； </w:t>
      </w:r>
    </w:p>
    <w:p>
      <w:pPr>
        <w:pStyle w:val="9"/>
        <w:spacing w:before="0" w:beforeAutospacing="0" w:after="0" w:afterAutospacing="0" w:line="360" w:lineRule="auto"/>
        <w:ind w:firstLine="420"/>
        <w:rPr>
          <w:sz w:val="21"/>
          <w:szCs w:val="21"/>
        </w:rPr>
      </w:pPr>
      <w:r>
        <w:rPr>
          <w:rFonts w:hint="eastAsia"/>
          <w:sz w:val="21"/>
          <w:szCs w:val="21"/>
        </w:rPr>
        <w:t xml:space="preserve">3）未平仓的期权合约面值不得超过基金资产净值的20%。其中，合约面值按照行权价乘以合约乘数计算； </w:t>
      </w:r>
    </w:p>
    <w:p>
      <w:pPr>
        <w:pStyle w:val="9"/>
        <w:spacing w:before="0" w:beforeAutospacing="0" w:after="0" w:afterAutospacing="0" w:line="360" w:lineRule="auto"/>
        <w:ind w:firstLine="420"/>
        <w:rPr>
          <w:sz w:val="21"/>
          <w:szCs w:val="21"/>
        </w:rPr>
      </w:pPr>
      <w:r>
        <w:rPr>
          <w:rFonts w:hint="eastAsia"/>
          <w:sz w:val="21"/>
          <w:szCs w:val="21"/>
        </w:rPr>
        <w:t xml:space="preserve">（16）本基金参与转融通证券出借业务，需遵守下列投资限制： </w:t>
      </w:r>
    </w:p>
    <w:p>
      <w:pPr>
        <w:pStyle w:val="9"/>
        <w:spacing w:before="0" w:beforeAutospacing="0" w:after="0" w:afterAutospacing="0" w:line="360" w:lineRule="auto"/>
        <w:ind w:firstLine="420"/>
        <w:rPr>
          <w:sz w:val="21"/>
          <w:szCs w:val="21"/>
        </w:rPr>
      </w:pPr>
      <w:r>
        <w:rPr>
          <w:rFonts w:hint="eastAsia"/>
          <w:sz w:val="21"/>
          <w:szCs w:val="21"/>
        </w:rPr>
        <w:t xml:space="preserve">1）出借证券资产不得超过基金资产净值的30%，出借期限在10 个交易日以上的出借证券应纳入《流动性风险管理规定》所述流动性受限证券的范围； </w:t>
      </w:r>
    </w:p>
    <w:p>
      <w:pPr>
        <w:pStyle w:val="9"/>
        <w:spacing w:before="0" w:beforeAutospacing="0" w:after="0" w:afterAutospacing="0" w:line="360" w:lineRule="auto"/>
        <w:ind w:firstLine="420"/>
        <w:rPr>
          <w:sz w:val="21"/>
          <w:szCs w:val="21"/>
        </w:rPr>
      </w:pPr>
      <w:r>
        <w:rPr>
          <w:rFonts w:hint="eastAsia"/>
          <w:sz w:val="21"/>
          <w:szCs w:val="21"/>
        </w:rPr>
        <w:t xml:space="preserve">2）参与出借业务的单只证券不得超过本基金持有该证券总量的50%； </w:t>
      </w:r>
    </w:p>
    <w:p>
      <w:pPr>
        <w:pStyle w:val="9"/>
        <w:spacing w:before="0" w:beforeAutospacing="0" w:after="0" w:afterAutospacing="0" w:line="360" w:lineRule="auto"/>
        <w:ind w:firstLine="420"/>
        <w:rPr>
          <w:sz w:val="21"/>
          <w:szCs w:val="21"/>
        </w:rPr>
      </w:pPr>
      <w:r>
        <w:rPr>
          <w:rFonts w:hint="eastAsia"/>
          <w:sz w:val="21"/>
          <w:szCs w:val="21"/>
        </w:rPr>
        <w:t xml:space="preserve">3）最近6个月内日均基金资产净值不得低于2亿元； </w:t>
      </w:r>
    </w:p>
    <w:p>
      <w:pPr>
        <w:pStyle w:val="9"/>
        <w:spacing w:before="0" w:beforeAutospacing="0" w:after="0" w:afterAutospacing="0" w:line="360" w:lineRule="auto"/>
        <w:ind w:firstLine="420"/>
        <w:rPr>
          <w:sz w:val="21"/>
          <w:szCs w:val="21"/>
        </w:rPr>
      </w:pPr>
      <w:r>
        <w:rPr>
          <w:rFonts w:hint="eastAsia"/>
          <w:sz w:val="21"/>
          <w:szCs w:val="21"/>
        </w:rPr>
        <w:t xml:space="preserve">4）证券出借的平均剩余期限不得超过30天，平均剩余期限按照市值加权平均计算； </w:t>
      </w:r>
    </w:p>
    <w:p>
      <w:pPr>
        <w:pStyle w:val="9"/>
        <w:spacing w:before="0" w:beforeAutospacing="0" w:after="0" w:afterAutospacing="0" w:line="360" w:lineRule="auto"/>
        <w:ind w:firstLine="420"/>
        <w:rPr>
          <w:sz w:val="21"/>
          <w:szCs w:val="21"/>
        </w:rPr>
      </w:pPr>
      <w:r>
        <w:rPr>
          <w:rFonts w:hint="eastAsia"/>
          <w:sz w:val="21"/>
          <w:szCs w:val="21"/>
        </w:rPr>
        <w:t xml:space="preserve">因证券市场波动、上市公司合并、基金规模变动等基金管理人之外的因素致使基金投资不符合上述规定的，基金管理人不得新增出借业务； </w:t>
      </w:r>
    </w:p>
    <w:p>
      <w:pPr>
        <w:pStyle w:val="9"/>
        <w:spacing w:before="0" w:beforeAutospacing="0" w:after="0" w:afterAutospacing="0" w:line="360" w:lineRule="auto"/>
        <w:ind w:firstLine="420"/>
        <w:rPr>
          <w:sz w:val="21"/>
          <w:szCs w:val="21"/>
        </w:rPr>
      </w:pPr>
      <w:r>
        <w:rPr>
          <w:rFonts w:hint="eastAsia"/>
          <w:sz w:val="21"/>
          <w:szCs w:val="21"/>
        </w:rPr>
        <w:t xml:space="preserve">（17）本基金主动投资于流动性受限资产的市值合计不得超过本基金资产净值的15%； </w:t>
      </w:r>
    </w:p>
    <w:p>
      <w:pPr>
        <w:pStyle w:val="9"/>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因证券市场波动、上市公司股票停牌、基金规模变动等基金管理人之外的因素致使基金不符合该比例限制的，基金管理人不得主动新增流动性受限资产的投资； </w:t>
      </w:r>
    </w:p>
    <w:p>
      <w:pPr>
        <w:pStyle w:val="9"/>
        <w:spacing w:before="0" w:beforeAutospacing="0" w:after="0" w:afterAutospacing="0" w:line="360" w:lineRule="auto"/>
        <w:ind w:firstLine="420"/>
        <w:rPr>
          <w:sz w:val="21"/>
          <w:szCs w:val="21"/>
        </w:rPr>
      </w:pPr>
      <w:r>
        <w:rPr>
          <w:rFonts w:hint="eastAsia"/>
          <w:sz w:val="21"/>
          <w:szCs w:val="21"/>
        </w:rPr>
        <w:t xml:space="preserve">（18）本基金与私募类证券资管产品及中国证监会认定的其他主体为交易对手开展逆回购交易的，可接受质押品的资质要求应当与基金合同约定的投资范围保持一致； </w:t>
      </w:r>
    </w:p>
    <w:p>
      <w:pPr>
        <w:pStyle w:val="9"/>
        <w:spacing w:before="0" w:beforeAutospacing="0" w:after="0" w:afterAutospacing="0" w:line="360" w:lineRule="auto"/>
        <w:ind w:firstLine="420"/>
        <w:rPr>
          <w:sz w:val="21"/>
          <w:szCs w:val="21"/>
        </w:rPr>
      </w:pPr>
      <w:r>
        <w:rPr>
          <w:rFonts w:hint="eastAsia"/>
          <w:sz w:val="21"/>
          <w:szCs w:val="21"/>
        </w:rPr>
        <w:t xml:space="preserve">（19）本基金投资存托凭证的比例限制依照境内上市交易的股票执行，与境内上市交易的股票合并计算； </w:t>
      </w:r>
    </w:p>
    <w:p>
      <w:pPr>
        <w:pStyle w:val="9"/>
        <w:spacing w:before="0" w:beforeAutospacing="0" w:after="0" w:afterAutospacing="0" w:line="360" w:lineRule="auto"/>
        <w:ind w:firstLine="420"/>
        <w:rPr>
          <w:sz w:val="21"/>
          <w:szCs w:val="21"/>
        </w:rPr>
      </w:pPr>
      <w:r>
        <w:rPr>
          <w:rFonts w:hint="eastAsia"/>
          <w:sz w:val="21"/>
          <w:szCs w:val="21"/>
        </w:rPr>
        <w:t xml:space="preserve">（20）相关法律法规以及监管部门规定的和基金合同约定的其它投资比例限制。 </w:t>
      </w:r>
    </w:p>
    <w:p>
      <w:pPr>
        <w:pStyle w:val="9"/>
        <w:spacing w:before="0" w:beforeAutospacing="0" w:after="0" w:afterAutospacing="0" w:line="360" w:lineRule="auto"/>
        <w:ind w:firstLine="420"/>
        <w:rPr>
          <w:sz w:val="21"/>
          <w:szCs w:val="21"/>
        </w:rPr>
      </w:pPr>
      <w:r>
        <w:rPr>
          <w:rFonts w:hint="eastAsia"/>
          <w:sz w:val="21"/>
          <w:szCs w:val="21"/>
        </w:rPr>
        <w:t xml:space="preserve">除上述第（2）、（11）、（16）、（17）、（18）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 </w:t>
      </w:r>
    </w:p>
    <w:p>
      <w:pPr>
        <w:pStyle w:val="9"/>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pPr>
        <w:pStyle w:val="9"/>
        <w:spacing w:before="0" w:beforeAutospacing="0" w:after="0" w:afterAutospacing="0" w:line="360" w:lineRule="auto"/>
        <w:ind w:firstLine="420"/>
        <w:rPr>
          <w:sz w:val="21"/>
          <w:szCs w:val="21"/>
        </w:rPr>
      </w:pPr>
      <w:r>
        <w:rPr>
          <w:rFonts w:hint="eastAsia"/>
          <w:sz w:val="21"/>
          <w:szCs w:val="21"/>
        </w:rPr>
        <w:t xml:space="preserve">法律法规或监管部门取消或变更上述限制，如适用于本基金，基金管理人在履行适当程序后，则本基金投资不再受相关限制，或以变更后的规定为准。 </w:t>
      </w:r>
    </w:p>
    <w:p>
      <w:pPr>
        <w:pStyle w:val="9"/>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3.基金托管人根据有关法律法规的规定及基金合同和本协议的约定，对基金投资禁止行为进行监督。基金财产不得用于下列投资或者活动。 </w:t>
      </w:r>
    </w:p>
    <w:p>
      <w:pPr>
        <w:pStyle w:val="9"/>
        <w:spacing w:before="0" w:beforeAutospacing="0" w:after="0" w:afterAutospacing="0" w:line="360" w:lineRule="auto"/>
        <w:ind w:firstLine="420"/>
        <w:rPr>
          <w:sz w:val="21"/>
          <w:szCs w:val="21"/>
        </w:rPr>
      </w:pPr>
      <w:r>
        <w:rPr>
          <w:rFonts w:hint="eastAsia"/>
          <w:sz w:val="21"/>
          <w:szCs w:val="21"/>
        </w:rPr>
        <w:t xml:space="preserve">（1）承销证券； </w:t>
      </w:r>
    </w:p>
    <w:p>
      <w:pPr>
        <w:pStyle w:val="9"/>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9"/>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9"/>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9"/>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9"/>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9"/>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9"/>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履行信息披露义务。重大关联交易应提交基金管理人董事会审议，并经过三分之二以上的独立董事通过。基金管理人董事会应至少每半年对关联交易事项进行审查。 </w:t>
      </w:r>
    </w:p>
    <w:p>
      <w:pPr>
        <w:pStyle w:val="9"/>
        <w:spacing w:before="0" w:beforeAutospacing="0" w:after="0" w:afterAutospacing="0" w:line="360" w:lineRule="auto"/>
        <w:ind w:firstLine="420"/>
        <w:rPr>
          <w:sz w:val="21"/>
          <w:szCs w:val="21"/>
        </w:rPr>
      </w:pPr>
      <w:r>
        <w:rPr>
          <w:rFonts w:hint="eastAsia"/>
          <w:sz w:val="21"/>
          <w:szCs w:val="21"/>
        </w:rPr>
        <w:t xml:space="preserve">法律、行政法规或监管部门变更或取消上述规定，在履行适当程序后，本基金可按变更后的规定执行或不受上述规定的限制。 </w:t>
      </w:r>
    </w:p>
    <w:p>
      <w:pPr>
        <w:pStyle w:val="9"/>
        <w:spacing w:before="0" w:beforeAutospacing="0" w:after="0" w:afterAutospacing="0" w:line="360" w:lineRule="auto"/>
        <w:ind w:firstLine="420"/>
        <w:rPr>
          <w:sz w:val="21"/>
          <w:szCs w:val="21"/>
        </w:rPr>
      </w:pPr>
      <w:r>
        <w:rPr>
          <w:rFonts w:hint="eastAsia"/>
          <w:sz w:val="21"/>
          <w:szCs w:val="21"/>
        </w:rPr>
        <w:t xml:space="preserve">4.基金托管人根据有关法律法规的规定及基金合同和本协议的约定，对基金管理人参与银行间债券市场进行监督。 </w:t>
      </w:r>
    </w:p>
    <w:p>
      <w:pPr>
        <w:pStyle w:val="9"/>
        <w:spacing w:before="0" w:beforeAutospacing="0" w:after="0" w:afterAutospacing="0" w:line="360" w:lineRule="auto"/>
        <w:ind w:firstLine="420"/>
        <w:rPr>
          <w:sz w:val="21"/>
          <w:szCs w:val="21"/>
        </w:rPr>
      </w:pPr>
      <w:r>
        <w:rPr>
          <w:rFonts w:hint="eastAsia"/>
          <w:sz w:val="21"/>
          <w:szCs w:val="21"/>
        </w:rPr>
        <w:t xml:space="preserve">（1）基金托管人依据有关法律法规的规定和《基金合同》的约定对于基金管理人参与银行间市场交易时面临的交易对手资信风险进行监督。 </w:t>
      </w:r>
    </w:p>
    <w:p>
      <w:pPr>
        <w:pStyle w:val="9"/>
        <w:spacing w:before="0" w:beforeAutospacing="0" w:after="0" w:afterAutospacing="0" w:line="360" w:lineRule="auto"/>
        <w:ind w:firstLine="420"/>
        <w:rPr>
          <w:sz w:val="21"/>
          <w:szCs w:val="21"/>
        </w:rPr>
      </w:pPr>
      <w:r>
        <w:rPr>
          <w:rFonts w:hint="eastAsia"/>
          <w:sz w:val="21"/>
          <w:szCs w:val="21"/>
        </w:rPr>
        <w:t xml:space="preserve">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 </w:t>
      </w:r>
    </w:p>
    <w:p>
      <w:pPr>
        <w:pStyle w:val="9"/>
        <w:spacing w:before="0" w:beforeAutospacing="0" w:after="0" w:afterAutospacing="0" w:line="360" w:lineRule="auto"/>
        <w:ind w:firstLine="420"/>
        <w:rPr>
          <w:sz w:val="21"/>
          <w:szCs w:val="21"/>
        </w:rPr>
      </w:pPr>
      <w:r>
        <w:rPr>
          <w:rFonts w:hint="eastAsia"/>
          <w:sz w:val="21"/>
          <w:szCs w:val="21"/>
        </w:rPr>
        <w:t xml:space="preserve">（2）基金管理人参与银行间市场交易时，有责任控制交易对手的资信风险，由于交易对手资信风险引起的损失,基金管理人应当负责向相关责任人追偿。 </w:t>
      </w:r>
    </w:p>
    <w:p>
      <w:pPr>
        <w:pStyle w:val="9"/>
        <w:spacing w:before="0" w:beforeAutospacing="0" w:after="0" w:afterAutospacing="0" w:line="360" w:lineRule="auto"/>
        <w:ind w:firstLine="420"/>
        <w:rPr>
          <w:sz w:val="21"/>
          <w:szCs w:val="21"/>
        </w:rPr>
      </w:pPr>
      <w:r>
        <w:rPr>
          <w:rFonts w:hint="eastAsia"/>
          <w:sz w:val="21"/>
          <w:szCs w:val="21"/>
        </w:rPr>
        <w:t xml:space="preserve">5.基金托管人根据有关法律法规的规定及基金合同和本协议的约定，对基金管理人银行存款业务约定如下。 </w:t>
      </w:r>
    </w:p>
    <w:p>
      <w:pPr>
        <w:pStyle w:val="9"/>
        <w:spacing w:before="0" w:beforeAutospacing="0" w:after="0" w:afterAutospacing="0" w:line="360" w:lineRule="auto"/>
        <w:ind w:firstLine="420"/>
        <w:rPr>
          <w:sz w:val="21"/>
          <w:szCs w:val="21"/>
        </w:rPr>
      </w:pPr>
      <w:r>
        <w:rPr>
          <w:rFonts w:hint="eastAsia"/>
          <w:sz w:val="21"/>
          <w:szCs w:val="21"/>
        </w:rPr>
        <w:t xml:space="preserve">本基金投资银行存款应符合如下规定： </w:t>
      </w:r>
    </w:p>
    <w:p>
      <w:pPr>
        <w:pStyle w:val="9"/>
        <w:spacing w:before="0" w:beforeAutospacing="0" w:after="0" w:afterAutospacing="0" w:line="360" w:lineRule="auto"/>
        <w:ind w:firstLine="420"/>
        <w:rPr>
          <w:sz w:val="21"/>
          <w:szCs w:val="21"/>
        </w:rPr>
      </w:pPr>
      <w:r>
        <w:rPr>
          <w:rFonts w:hint="eastAsia"/>
          <w:sz w:val="21"/>
          <w:szCs w:val="21"/>
        </w:rPr>
        <w:t xml:space="preserve">（1）基金管理人、基金托管人应当与存款银行建立定期对账机制，确保基金银行存款业务账目及核算的真实、准确。 </w:t>
      </w:r>
    </w:p>
    <w:p>
      <w:pPr>
        <w:pStyle w:val="9"/>
        <w:spacing w:before="0" w:beforeAutospacing="0" w:after="0" w:afterAutospacing="0" w:line="360" w:lineRule="auto"/>
        <w:ind w:firstLine="420"/>
        <w:rPr>
          <w:sz w:val="21"/>
          <w:szCs w:val="21"/>
        </w:rPr>
      </w:pPr>
      <w:r>
        <w:rPr>
          <w:rFonts w:hint="eastAsia"/>
          <w:sz w:val="21"/>
          <w:szCs w:val="21"/>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pPr>
        <w:pStyle w:val="9"/>
        <w:spacing w:before="0" w:beforeAutospacing="0" w:after="0" w:afterAutospacing="0" w:line="360" w:lineRule="auto"/>
        <w:ind w:firstLine="420"/>
        <w:rPr>
          <w:sz w:val="21"/>
          <w:szCs w:val="21"/>
        </w:rPr>
      </w:pPr>
      <w:r>
        <w:rPr>
          <w:rFonts w:hint="eastAsia"/>
          <w:sz w:val="21"/>
          <w:szCs w:val="21"/>
        </w:rPr>
        <w:t xml:space="preserve">（3）基金托管人应加强对基金银行存款业务的监督与核查，严格审查、复核相关协议、账户资料、投资指令、存款证实书等有关文件，切实履行托管职责。 </w:t>
      </w:r>
    </w:p>
    <w:p>
      <w:pPr>
        <w:pStyle w:val="9"/>
        <w:spacing w:before="0" w:beforeAutospacing="0" w:after="0" w:afterAutospacing="0" w:line="360" w:lineRule="auto"/>
        <w:ind w:firstLine="420"/>
        <w:rPr>
          <w:sz w:val="21"/>
          <w:szCs w:val="21"/>
        </w:rPr>
      </w:pPr>
      <w:r>
        <w:rPr>
          <w:rFonts w:hint="eastAsia"/>
          <w:sz w:val="21"/>
          <w:szCs w:val="21"/>
        </w:rPr>
        <w:t xml:space="preserve">（4）基金管理人与基金托管人在开展基金存款业务时，应严格遵守《基金法》、《运作办法》等有关法律法规，以及国家有关账户管理、利率管理、支付结算等的各项规定。 </w:t>
      </w:r>
    </w:p>
    <w:p>
      <w:pPr>
        <w:pStyle w:val="9"/>
        <w:spacing w:before="0" w:beforeAutospacing="0" w:after="0" w:afterAutospacing="0" w:line="360" w:lineRule="auto"/>
        <w:ind w:firstLine="420"/>
        <w:rPr>
          <w:sz w:val="21"/>
          <w:szCs w:val="21"/>
        </w:rPr>
      </w:pPr>
      <w:r>
        <w:rPr>
          <w:rFonts w:hint="eastAsia"/>
          <w:sz w:val="21"/>
          <w:szCs w:val="21"/>
        </w:rPr>
        <w:t xml:space="preserve">基金托管人根据法律法规的规定及《基金合同》和本协议的约定，对基金投资其他方面进行监督。 </w:t>
      </w:r>
    </w:p>
    <w:p>
      <w:pPr>
        <w:pStyle w:val="9"/>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各类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 </w:t>
      </w:r>
    </w:p>
    <w:p>
      <w:pPr>
        <w:pStyle w:val="9"/>
        <w:spacing w:before="0" w:beforeAutospacing="0" w:after="0" w:afterAutospacing="0" w:line="360" w:lineRule="auto"/>
        <w:ind w:firstLine="420"/>
        <w:rPr>
          <w:sz w:val="21"/>
          <w:szCs w:val="21"/>
        </w:rPr>
      </w:pPr>
      <w:r>
        <w:rPr>
          <w:rFonts w:hint="eastAsia"/>
          <w:sz w:val="21"/>
          <w:szCs w:val="21"/>
        </w:rPr>
        <w:t xml:space="preserve">（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 </w:t>
      </w:r>
    </w:p>
    <w:p>
      <w:pPr>
        <w:pStyle w:val="9"/>
        <w:spacing w:before="0" w:beforeAutospacing="0" w:after="0" w:afterAutospacing="0" w:line="360" w:lineRule="auto"/>
        <w:ind w:firstLine="420"/>
        <w:rPr>
          <w:sz w:val="21"/>
          <w:szCs w:val="21"/>
        </w:rPr>
      </w:pPr>
      <w:r>
        <w:rPr>
          <w:rFonts w:hint="eastAsia"/>
          <w:sz w:val="21"/>
          <w:szCs w:val="21"/>
        </w:rPr>
        <w:t xml:space="preserve">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 </w:t>
      </w:r>
    </w:p>
    <w:p>
      <w:pPr>
        <w:pStyle w:val="9"/>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基金托管人发现基金管理人有重大违规行为，应立即报告中国证监会，同时通知基金管理人在限期内纠正。 </w:t>
      </w:r>
    </w:p>
    <w:p>
      <w:pPr>
        <w:pStyle w:val="9"/>
        <w:spacing w:before="0" w:beforeAutospacing="0" w:after="0" w:afterAutospacing="0" w:line="360" w:lineRule="auto"/>
        <w:ind w:firstLine="420"/>
        <w:rPr>
          <w:sz w:val="21"/>
          <w:szCs w:val="21"/>
        </w:rPr>
      </w:pPr>
      <w:r>
        <w:rPr>
          <w:rFonts w:hint="eastAsia"/>
          <w:sz w:val="21"/>
          <w:szCs w:val="21"/>
        </w:rPr>
        <w:t xml:space="preserve">基金托管人发现基金管理人的指令违反法律、行政法规和其他有关规定，或者违反《基金合同》约定的，应当视情况暂缓或拒绝执行，立即通知基金管理人，并有权向中国证监会报告。 </w:t>
      </w:r>
    </w:p>
    <w:p>
      <w:pPr>
        <w:pStyle w:val="9"/>
        <w:spacing w:before="0" w:beforeAutospacing="0" w:after="0" w:afterAutospacing="0" w:line="360" w:lineRule="auto"/>
        <w:ind w:firstLine="420"/>
        <w:rPr>
          <w:sz w:val="21"/>
          <w:szCs w:val="21"/>
        </w:rPr>
      </w:pPr>
      <w:r>
        <w:rPr>
          <w:rFonts w:hint="eastAsia"/>
          <w:sz w:val="21"/>
          <w:szCs w:val="21"/>
        </w:rPr>
        <w:t xml:space="preserve">基金托管人发现基金管理人依据交易程序已经生效的指令违反法律、行政法规和其他有关规定，或者违反《基金合同》约定的，应当立即通知基金管理人，并有权向中国证监会报告。 </w:t>
      </w:r>
    </w:p>
    <w:p>
      <w:pPr>
        <w:pStyle w:val="9"/>
        <w:spacing w:before="0" w:beforeAutospacing="0" w:after="0" w:afterAutospacing="0" w:line="360" w:lineRule="auto"/>
        <w:ind w:firstLine="420"/>
        <w:rPr>
          <w:sz w:val="21"/>
          <w:szCs w:val="21"/>
        </w:rPr>
      </w:pPr>
      <w:r>
        <w:rPr>
          <w:rFonts w:hint="eastAsia"/>
          <w:sz w:val="21"/>
          <w:szCs w:val="21"/>
        </w:rPr>
        <w:t xml:space="preserve">（四）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 </w:t>
      </w:r>
    </w:p>
    <w:p>
      <w:pPr>
        <w:pStyle w:val="9"/>
        <w:spacing w:before="0" w:beforeAutospacing="0" w:after="0" w:afterAutospacing="0" w:line="360" w:lineRule="auto"/>
        <w:ind w:firstLine="420"/>
        <w:rPr>
          <w:sz w:val="21"/>
          <w:szCs w:val="21"/>
        </w:rPr>
      </w:pPr>
      <w:r>
        <w:rPr>
          <w:rFonts w:hint="eastAsia"/>
          <w:sz w:val="21"/>
          <w:szCs w:val="21"/>
        </w:rPr>
        <w:t xml:space="preserve">基金托管人依照相关法律法规的规定和基金合同的约定，对侧袋机制启用、特定资产处置和信息披露等方面进行复核和监督。侧袋机制实施期间的具体规则依照相关法律法规的规定和基金合同的约定执行。 </w:t>
      </w:r>
    </w:p>
    <w:p>
      <w:pPr>
        <w:pStyle w:val="9"/>
        <w:spacing w:before="0" w:beforeAutospacing="0" w:after="0" w:afterAutospacing="0" w:line="360" w:lineRule="auto"/>
        <w:ind w:firstLine="420"/>
        <w:rPr>
          <w:sz w:val="21"/>
          <w:szCs w:val="21"/>
        </w:rPr>
      </w:pPr>
      <w:r>
        <w:rPr>
          <w:rStyle w:val="14"/>
          <w:rFonts w:hint="eastAsia"/>
          <w:sz w:val="21"/>
          <w:szCs w:val="21"/>
        </w:rPr>
        <w:t>三、基金管理人对基金托管人的业务核查</w:t>
      </w:r>
    </w:p>
    <w:p>
      <w:pPr>
        <w:pStyle w:val="9"/>
        <w:spacing w:before="0" w:beforeAutospacing="0" w:after="0" w:afterAutospacing="0" w:line="360" w:lineRule="auto"/>
        <w:ind w:firstLine="420"/>
        <w:rPr>
          <w:sz w:val="21"/>
          <w:szCs w:val="21"/>
        </w:rPr>
      </w:pPr>
      <w:r>
        <w:rPr>
          <w:rFonts w:hint="eastAsia"/>
          <w:sz w:val="21"/>
          <w:szCs w:val="21"/>
        </w:rPr>
        <w:t xml:space="preserve">根据《基金法》及其他有关法规、《基金合同》和本协议规定，基金管理人对基金托管人履行托管职责的情况进行核查，核查事项包括但不限于基金托管人是否安全保管基金财产、开立基金财产的资金账户、证券账户和债券托管账户等投资所需账户，是否及时、准确复核基金管理人计算的基金资产净值和各类基金份额净值，是否根据基金管理人指令办理清算交收，是否按照法规规定和《基金合同》规定进行相关信息披露和监督基金投资运作等行为。 </w:t>
      </w:r>
    </w:p>
    <w:p>
      <w:pPr>
        <w:pStyle w:val="9"/>
        <w:spacing w:before="0" w:beforeAutospacing="0" w:after="0" w:afterAutospacing="0" w:line="360" w:lineRule="auto"/>
        <w:ind w:firstLine="420"/>
        <w:rPr>
          <w:sz w:val="21"/>
          <w:szCs w:val="21"/>
        </w:rPr>
      </w:pPr>
      <w:r>
        <w:rPr>
          <w:rFonts w:hint="eastAsia"/>
          <w:sz w:val="21"/>
          <w:szCs w:val="21"/>
        </w:rPr>
        <w:t xml:space="preserve">基金管理人定期和不定期地对基金托管人保管的基金资产进行核查。基金托管人应积极配合基金管理人的核查行为，包括但不限于：提交相关资料以供基金管理人核查托管财产的完整性和真实性，在规定时间内答复并改正。 </w:t>
      </w:r>
    </w:p>
    <w:p>
      <w:pPr>
        <w:pStyle w:val="9"/>
        <w:spacing w:before="0" w:beforeAutospacing="0" w:after="0" w:afterAutospacing="0" w:line="360" w:lineRule="auto"/>
        <w:ind w:firstLine="420"/>
        <w:rPr>
          <w:sz w:val="21"/>
          <w:szCs w:val="21"/>
        </w:rPr>
      </w:pPr>
      <w:r>
        <w:rPr>
          <w:rFonts w:hint="eastAsia"/>
          <w:sz w:val="21"/>
          <w:szCs w:val="21"/>
        </w:rPr>
        <w:t xml:space="preserve">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 </w:t>
      </w:r>
    </w:p>
    <w:p>
      <w:pPr>
        <w:pStyle w:val="9"/>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基金管理人发现基金托管人有重大违规行为，应立即报告中国证监会，同时通知基金托管人在限期内纠正。 </w:t>
      </w:r>
    </w:p>
    <w:p>
      <w:pPr>
        <w:pStyle w:val="9"/>
        <w:spacing w:before="0" w:beforeAutospacing="0" w:after="0" w:afterAutospacing="0" w:line="360" w:lineRule="auto"/>
        <w:ind w:firstLine="420"/>
        <w:rPr>
          <w:sz w:val="21"/>
          <w:szCs w:val="21"/>
        </w:rPr>
      </w:pPr>
      <w:r>
        <w:rPr>
          <w:rStyle w:val="14"/>
          <w:rFonts w:hint="eastAsia"/>
          <w:sz w:val="21"/>
          <w:szCs w:val="21"/>
        </w:rPr>
        <w:t>四、基金财产的保管</w:t>
      </w:r>
    </w:p>
    <w:p>
      <w:pPr>
        <w:pStyle w:val="9"/>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9"/>
        <w:spacing w:before="0" w:beforeAutospacing="0" w:after="0" w:afterAutospacing="0" w:line="360" w:lineRule="auto"/>
        <w:ind w:firstLine="420"/>
        <w:rPr>
          <w:sz w:val="21"/>
          <w:szCs w:val="21"/>
        </w:rPr>
      </w:pPr>
      <w:r>
        <w:rPr>
          <w:rFonts w:hint="eastAsia"/>
          <w:sz w:val="21"/>
          <w:szCs w:val="21"/>
        </w:rPr>
        <w:t xml:space="preserve">1.基金托管人应安全保管基金财产，未经基金管理人的指令，不得自行运用、处分、分配基金的任何资产。 </w:t>
      </w:r>
    </w:p>
    <w:p>
      <w:pPr>
        <w:pStyle w:val="9"/>
        <w:spacing w:before="0" w:beforeAutospacing="0" w:after="0" w:afterAutospacing="0" w:line="360" w:lineRule="auto"/>
        <w:ind w:firstLine="420"/>
        <w:rPr>
          <w:sz w:val="21"/>
          <w:szCs w:val="21"/>
        </w:rPr>
      </w:pPr>
      <w:r>
        <w:rPr>
          <w:rFonts w:hint="eastAsia"/>
          <w:sz w:val="21"/>
          <w:szCs w:val="21"/>
        </w:rPr>
        <w:t xml:space="preserve">2.基金财产应独立于基金管理人、基金托管人的固有财产。 </w:t>
      </w:r>
    </w:p>
    <w:p>
      <w:pPr>
        <w:pStyle w:val="9"/>
        <w:spacing w:before="0" w:beforeAutospacing="0" w:after="0" w:afterAutospacing="0" w:line="360" w:lineRule="auto"/>
        <w:ind w:firstLine="420"/>
        <w:rPr>
          <w:sz w:val="21"/>
          <w:szCs w:val="21"/>
        </w:rPr>
      </w:pPr>
      <w:r>
        <w:rPr>
          <w:rFonts w:hint="eastAsia"/>
          <w:sz w:val="21"/>
          <w:szCs w:val="21"/>
        </w:rPr>
        <w:t xml:space="preserve">3. 基金托管人按照规定开立基金财产的资金账户、证券账户和债券托管账户等投资所需账户，基金管理人和基金托管人按照规定开立期货资金账户。 </w:t>
      </w:r>
    </w:p>
    <w:p>
      <w:pPr>
        <w:pStyle w:val="9"/>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4.基金托管人对所托管的不同基金财产分别设置账户，分账管理，独立核算，确保基金财产的完整和独立。 </w:t>
      </w:r>
    </w:p>
    <w:p>
      <w:pPr>
        <w:pStyle w:val="9"/>
        <w:spacing w:before="0" w:beforeAutospacing="0" w:after="0" w:afterAutospacing="0" w:line="360" w:lineRule="auto"/>
        <w:ind w:firstLine="420"/>
        <w:rPr>
          <w:sz w:val="21"/>
          <w:szCs w:val="21"/>
        </w:rPr>
      </w:pPr>
      <w:r>
        <w:rPr>
          <w:rFonts w:hint="eastAsia"/>
          <w:sz w:val="21"/>
          <w:szCs w:val="21"/>
        </w:rPr>
        <w:t xml:space="preserve">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应予以必要的协助和配合，但对此不承担任何责任。 </w:t>
      </w:r>
    </w:p>
    <w:p>
      <w:pPr>
        <w:pStyle w:val="9"/>
        <w:spacing w:before="0" w:beforeAutospacing="0" w:after="0" w:afterAutospacing="0" w:line="360" w:lineRule="auto"/>
        <w:ind w:firstLine="420"/>
        <w:rPr>
          <w:sz w:val="21"/>
          <w:szCs w:val="21"/>
        </w:rPr>
      </w:pPr>
      <w:r>
        <w:rPr>
          <w:rFonts w:hint="eastAsia"/>
          <w:sz w:val="21"/>
          <w:szCs w:val="21"/>
        </w:rPr>
        <w:t xml:space="preserve">（二）基金募集资产的验证 </w:t>
      </w:r>
    </w:p>
    <w:p>
      <w:pPr>
        <w:pStyle w:val="9"/>
        <w:spacing w:before="0" w:beforeAutospacing="0" w:after="0" w:afterAutospacing="0" w:line="360" w:lineRule="auto"/>
        <w:ind w:firstLine="420"/>
        <w:rPr>
          <w:sz w:val="21"/>
          <w:szCs w:val="21"/>
        </w:rPr>
      </w:pPr>
      <w:r>
        <w:rPr>
          <w:rFonts w:hint="eastAsia"/>
          <w:sz w:val="21"/>
          <w:szCs w:val="21"/>
        </w:rPr>
        <w:t xml:space="preserve">基金募集期满或基金提前结束募集之日起10日内，由基金管理人聘请符合《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 </w:t>
      </w:r>
    </w:p>
    <w:p>
      <w:pPr>
        <w:pStyle w:val="9"/>
        <w:spacing w:before="0" w:beforeAutospacing="0" w:after="0" w:afterAutospacing="0" w:line="360" w:lineRule="auto"/>
        <w:ind w:firstLine="420"/>
        <w:rPr>
          <w:sz w:val="21"/>
          <w:szCs w:val="21"/>
        </w:rPr>
      </w:pPr>
      <w:r>
        <w:rPr>
          <w:rFonts w:hint="eastAsia"/>
          <w:sz w:val="21"/>
          <w:szCs w:val="21"/>
        </w:rPr>
        <w:t xml:space="preserve">（三）基金的银行存款账户的开立和管理 </w:t>
      </w:r>
    </w:p>
    <w:p>
      <w:pPr>
        <w:pStyle w:val="9"/>
        <w:spacing w:before="0" w:beforeAutospacing="0" w:after="0" w:afterAutospacing="0" w:line="360" w:lineRule="auto"/>
        <w:ind w:firstLine="420"/>
        <w:rPr>
          <w:sz w:val="21"/>
          <w:szCs w:val="21"/>
        </w:rPr>
      </w:pPr>
      <w:r>
        <w:rPr>
          <w:rFonts w:hint="eastAsia"/>
          <w:sz w:val="21"/>
          <w:szCs w:val="21"/>
        </w:rPr>
        <w:t xml:space="preserve">1.基金托管人应负责本基金银行存款账户的开立和管理。 </w:t>
      </w:r>
    </w:p>
    <w:p>
      <w:pPr>
        <w:pStyle w:val="9"/>
        <w:spacing w:before="0" w:beforeAutospacing="0" w:after="0" w:afterAutospacing="0" w:line="360" w:lineRule="auto"/>
        <w:ind w:firstLine="420"/>
        <w:rPr>
          <w:sz w:val="21"/>
          <w:szCs w:val="21"/>
        </w:rPr>
      </w:pPr>
      <w:r>
        <w:rPr>
          <w:rFonts w:hint="eastAsia"/>
          <w:sz w:val="21"/>
          <w:szCs w:val="21"/>
        </w:rPr>
        <w:t xml:space="preserve">2.基金托管人以本基金的名义在其营业机构开立基金的银行存款账户，并根据基金管理人合法合规的指令办理资金收付。本基金的银行预留印鉴由基金托管人保管和使用。 </w:t>
      </w:r>
    </w:p>
    <w:p>
      <w:pPr>
        <w:pStyle w:val="9"/>
        <w:spacing w:before="0" w:beforeAutospacing="0" w:after="0" w:afterAutospacing="0" w:line="360" w:lineRule="auto"/>
        <w:ind w:firstLine="420"/>
        <w:rPr>
          <w:sz w:val="21"/>
          <w:szCs w:val="21"/>
        </w:rPr>
      </w:pPr>
      <w:r>
        <w:rPr>
          <w:rFonts w:hint="eastAsia"/>
          <w:sz w:val="21"/>
          <w:szCs w:val="21"/>
        </w:rPr>
        <w:t xml:space="preserve">3.本基金银行存款账户的开立和使用，限于满足开展本基金业务的需要。基金托管人和基金管理人不得假借本基金的名义开立其他任何银行存款账户；亦不得使用基金的任何银行存款账户进行本基金业务以外的活动。 </w:t>
      </w:r>
    </w:p>
    <w:p>
      <w:pPr>
        <w:pStyle w:val="9"/>
        <w:spacing w:before="0" w:beforeAutospacing="0" w:after="0" w:afterAutospacing="0" w:line="360" w:lineRule="auto"/>
        <w:ind w:firstLine="420"/>
        <w:rPr>
          <w:sz w:val="21"/>
          <w:szCs w:val="21"/>
        </w:rPr>
      </w:pPr>
      <w:r>
        <w:rPr>
          <w:rFonts w:hint="eastAsia"/>
          <w:sz w:val="21"/>
          <w:szCs w:val="21"/>
        </w:rPr>
        <w:t xml:space="preserve">4.基金托管人可以通过申请开通本基金银行账户的企业网上银行业务进行资金支付，并使用交通银行企业网上银行（简称“交通银行网银”）办理托管资产的资金结算汇划业务。 </w:t>
      </w:r>
    </w:p>
    <w:p>
      <w:pPr>
        <w:pStyle w:val="9"/>
        <w:spacing w:before="0" w:beforeAutospacing="0" w:after="0" w:afterAutospacing="0" w:line="360" w:lineRule="auto"/>
        <w:ind w:firstLine="420"/>
        <w:rPr>
          <w:sz w:val="21"/>
          <w:szCs w:val="21"/>
        </w:rPr>
      </w:pPr>
      <w:r>
        <w:rPr>
          <w:rFonts w:hint="eastAsia"/>
          <w:sz w:val="21"/>
          <w:szCs w:val="21"/>
        </w:rPr>
        <w:t xml:space="preserve">5.基金银行存款账户的管理应符合银行业监督管理机构的有关规定。 </w:t>
      </w:r>
    </w:p>
    <w:p>
      <w:pPr>
        <w:pStyle w:val="9"/>
        <w:spacing w:before="0" w:beforeAutospacing="0" w:after="0" w:afterAutospacing="0" w:line="360" w:lineRule="auto"/>
        <w:ind w:firstLine="420"/>
        <w:rPr>
          <w:sz w:val="21"/>
          <w:szCs w:val="21"/>
        </w:rPr>
      </w:pPr>
      <w:r>
        <w:rPr>
          <w:rFonts w:hint="eastAsia"/>
          <w:sz w:val="21"/>
          <w:szCs w:val="21"/>
        </w:rPr>
        <w:t xml:space="preserve">（四）基金证券交收账户、资金交收账户的开立和管理 </w:t>
      </w:r>
    </w:p>
    <w:p>
      <w:pPr>
        <w:pStyle w:val="9"/>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基金托管人以基金托管人和本基金联名的方式在中国证券登记结算有限责任公司开立证券账户。 </w:t>
      </w:r>
    </w:p>
    <w:p>
      <w:pPr>
        <w:pStyle w:val="9"/>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9"/>
        <w:spacing w:before="0" w:beforeAutospacing="0" w:after="0" w:afterAutospacing="0" w:line="360" w:lineRule="auto"/>
        <w:ind w:firstLine="420"/>
        <w:rPr>
          <w:sz w:val="21"/>
          <w:szCs w:val="21"/>
        </w:rPr>
      </w:pPr>
      <w:r>
        <w:rPr>
          <w:rFonts w:hint="eastAsia"/>
          <w:sz w:val="21"/>
          <w:szCs w:val="21"/>
        </w:rPr>
        <w:t xml:space="preserve">基金管理人不得对基金证券交收账户、资金交收账户进行证券的超卖或超买。基金证券账户资产的管理和运用由基金管理人负责。 </w:t>
      </w:r>
    </w:p>
    <w:p>
      <w:pPr>
        <w:pStyle w:val="9"/>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开立结算备付金账户即资金交收账户，用于证券交易资金的结算。基金托管人以本基金的名义在基金托管人处开立基金的证券交易资金结算的二级结算备付金账户。 </w:t>
      </w:r>
    </w:p>
    <w:p>
      <w:pPr>
        <w:pStyle w:val="9"/>
        <w:spacing w:before="0" w:beforeAutospacing="0" w:after="0" w:afterAutospacing="0" w:line="360" w:lineRule="auto"/>
        <w:ind w:firstLine="420"/>
        <w:rPr>
          <w:sz w:val="21"/>
          <w:szCs w:val="21"/>
        </w:rPr>
      </w:pPr>
      <w:r>
        <w:rPr>
          <w:rFonts w:hint="eastAsia"/>
          <w:sz w:val="21"/>
          <w:szCs w:val="21"/>
        </w:rPr>
        <w:t xml:space="preserve">（五）债券托管账户的开立和管理 </w:t>
      </w:r>
    </w:p>
    <w:p>
      <w:pPr>
        <w:pStyle w:val="9"/>
        <w:spacing w:before="0" w:beforeAutospacing="0" w:after="0" w:afterAutospacing="0" w:line="360" w:lineRule="auto"/>
        <w:ind w:firstLine="420"/>
        <w:rPr>
          <w:sz w:val="21"/>
          <w:szCs w:val="21"/>
        </w:rPr>
      </w:pPr>
      <w:r>
        <w:rPr>
          <w:rFonts w:hint="eastAsia"/>
          <w:sz w:val="21"/>
          <w:szCs w:val="21"/>
        </w:rPr>
        <w:t xml:space="preserve">1.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 </w:t>
      </w:r>
    </w:p>
    <w:p>
      <w:pPr>
        <w:pStyle w:val="9"/>
        <w:spacing w:before="0" w:beforeAutospacing="0" w:after="0" w:afterAutospacing="0" w:line="360" w:lineRule="auto"/>
        <w:ind w:firstLine="420"/>
        <w:rPr>
          <w:sz w:val="21"/>
          <w:szCs w:val="21"/>
        </w:rPr>
      </w:pPr>
      <w:r>
        <w:rPr>
          <w:rFonts w:hint="eastAsia"/>
          <w:sz w:val="21"/>
          <w:szCs w:val="21"/>
        </w:rPr>
        <w:t xml:space="preserve">2.基金管理人代表基金签订全国银行间债券市场债券回购主协议，协议正本由基金管理人保存。 </w:t>
      </w:r>
    </w:p>
    <w:p>
      <w:pPr>
        <w:pStyle w:val="9"/>
        <w:spacing w:before="0" w:beforeAutospacing="0" w:after="0" w:afterAutospacing="0" w:line="360" w:lineRule="auto"/>
        <w:ind w:firstLine="420"/>
        <w:rPr>
          <w:sz w:val="21"/>
          <w:szCs w:val="21"/>
        </w:rPr>
      </w:pPr>
      <w:r>
        <w:rPr>
          <w:rFonts w:hint="eastAsia"/>
          <w:sz w:val="21"/>
          <w:szCs w:val="21"/>
        </w:rPr>
        <w:t xml:space="preserve">（六）期货的相关账户的开立和管理 </w:t>
      </w:r>
    </w:p>
    <w:p>
      <w:pPr>
        <w:pStyle w:val="9"/>
        <w:spacing w:before="0" w:beforeAutospacing="0" w:after="0" w:afterAutospacing="0" w:line="360" w:lineRule="auto"/>
        <w:ind w:firstLine="420"/>
        <w:rPr>
          <w:sz w:val="21"/>
          <w:szCs w:val="21"/>
        </w:rPr>
      </w:pPr>
      <w:r>
        <w:rPr>
          <w:rFonts w:hint="eastAsia"/>
          <w:sz w:val="21"/>
          <w:szCs w:val="21"/>
        </w:rPr>
        <w:t xml:space="preserve">基金管理人、基金托管人应当按照相关规定开立期货资金账户，在中国金融期货交易所获取交易编码。期货资金账户名称及交易编码对应名称应按照有关规定设立。 </w:t>
      </w:r>
    </w:p>
    <w:p>
      <w:pPr>
        <w:pStyle w:val="9"/>
        <w:spacing w:before="0" w:beforeAutospacing="0" w:after="0" w:afterAutospacing="0" w:line="360" w:lineRule="auto"/>
        <w:ind w:firstLine="420"/>
        <w:rPr>
          <w:sz w:val="21"/>
          <w:szCs w:val="21"/>
        </w:rPr>
      </w:pPr>
      <w:r>
        <w:rPr>
          <w:rFonts w:hint="eastAsia"/>
          <w:sz w:val="21"/>
          <w:szCs w:val="21"/>
        </w:rPr>
        <w:t xml:space="preserve">基金托管人已取得期货保证金存管银行资格，基金管理人授权基金托管人办理相关银期转账业务。 </w:t>
      </w:r>
    </w:p>
    <w:p>
      <w:pPr>
        <w:pStyle w:val="9"/>
        <w:spacing w:before="0" w:beforeAutospacing="0" w:after="0" w:afterAutospacing="0" w:line="360" w:lineRule="auto"/>
        <w:ind w:firstLine="420"/>
        <w:rPr>
          <w:sz w:val="21"/>
          <w:szCs w:val="21"/>
        </w:rPr>
      </w:pPr>
      <w:r>
        <w:rPr>
          <w:rFonts w:hint="eastAsia"/>
          <w:sz w:val="21"/>
          <w:szCs w:val="21"/>
        </w:rPr>
        <w:t xml:space="preserve">（七）基金投资银行存款账户的开立和管理 </w:t>
      </w:r>
    </w:p>
    <w:p>
      <w:pPr>
        <w:pStyle w:val="9"/>
        <w:spacing w:before="0" w:beforeAutospacing="0" w:after="0" w:afterAutospacing="0" w:line="360" w:lineRule="auto"/>
        <w:ind w:firstLine="420"/>
        <w:rPr>
          <w:sz w:val="21"/>
          <w:szCs w:val="21"/>
        </w:rPr>
      </w:pPr>
      <w:r>
        <w:rPr>
          <w:rFonts w:hint="eastAsia"/>
          <w:sz w:val="21"/>
          <w:szCs w:val="21"/>
        </w:rPr>
        <w:t xml:space="preserve">存款账户必须以基金名义开立，账户名称为基金名称，存款账户开户文件上加盖预留印鉴（须包括基金托管人印章）及基金管理人公章。 </w:t>
      </w:r>
    </w:p>
    <w:p>
      <w:pPr>
        <w:pStyle w:val="9"/>
        <w:spacing w:before="0" w:beforeAutospacing="0" w:after="0" w:afterAutospacing="0" w:line="360" w:lineRule="auto"/>
        <w:ind w:firstLine="420"/>
        <w:rPr>
          <w:sz w:val="21"/>
          <w:szCs w:val="21"/>
        </w:rPr>
      </w:pPr>
      <w:r>
        <w:rPr>
          <w:rFonts w:hint="eastAsia"/>
          <w:sz w:val="21"/>
          <w:szCs w:val="21"/>
        </w:rPr>
        <w:t xml:space="preserve">本基金投资银行存款时，基金管理人应当与存款银行签订具体存款协议或存款确认单据，明确存款的类型、期限、利率、金额、账号、对账方式、支取方式、存款到期指定收款账户等细则。 </w:t>
      </w:r>
    </w:p>
    <w:p>
      <w:pPr>
        <w:pStyle w:val="9"/>
        <w:spacing w:before="0" w:beforeAutospacing="0" w:after="0" w:afterAutospacing="0" w:line="360" w:lineRule="auto"/>
        <w:ind w:firstLine="420"/>
        <w:rPr>
          <w:sz w:val="21"/>
          <w:szCs w:val="21"/>
        </w:rPr>
      </w:pPr>
      <w:r>
        <w:rPr>
          <w:rFonts w:hint="eastAsia"/>
          <w:sz w:val="21"/>
          <w:szCs w:val="21"/>
        </w:rPr>
        <w:t xml:space="preserve">为防范特殊情况下的流动性风险，定期存款协议中应当约定提前支取条款。 </w:t>
      </w:r>
    </w:p>
    <w:p>
      <w:pPr>
        <w:pStyle w:val="9"/>
        <w:spacing w:before="0" w:beforeAutospacing="0" w:after="0" w:afterAutospacing="0" w:line="360" w:lineRule="auto"/>
        <w:ind w:firstLine="420"/>
        <w:rPr>
          <w:sz w:val="21"/>
          <w:szCs w:val="21"/>
        </w:rPr>
      </w:pPr>
      <w:r>
        <w:rPr>
          <w:rFonts w:hint="eastAsia"/>
          <w:sz w:val="21"/>
          <w:szCs w:val="21"/>
        </w:rPr>
        <w:t xml:space="preserve">（八）其他账户的开立和管理 </w:t>
      </w:r>
    </w:p>
    <w:p>
      <w:pPr>
        <w:pStyle w:val="9"/>
        <w:spacing w:before="0" w:beforeAutospacing="0" w:after="0" w:afterAutospacing="0" w:line="360" w:lineRule="auto"/>
        <w:ind w:firstLine="420"/>
        <w:rPr>
          <w:sz w:val="21"/>
          <w:szCs w:val="21"/>
        </w:rPr>
      </w:pPr>
      <w:r>
        <w:rPr>
          <w:rFonts w:hint="eastAsia"/>
          <w:sz w:val="21"/>
          <w:szCs w:val="21"/>
        </w:rPr>
        <w:t xml:space="preserve">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 </w:t>
      </w:r>
    </w:p>
    <w:p>
      <w:pPr>
        <w:pStyle w:val="9"/>
        <w:spacing w:before="0" w:beforeAutospacing="0" w:after="0" w:afterAutospacing="0" w:line="360" w:lineRule="auto"/>
        <w:ind w:firstLine="420"/>
        <w:rPr>
          <w:sz w:val="21"/>
          <w:szCs w:val="21"/>
        </w:rPr>
      </w:pPr>
      <w:r>
        <w:rPr>
          <w:rFonts w:hint="eastAsia"/>
          <w:sz w:val="21"/>
          <w:szCs w:val="21"/>
        </w:rPr>
        <w:t xml:space="preserve">（九）基金财产投资的有关实物证券、银行存款定期存单等有价凭证的保管 </w:t>
      </w:r>
    </w:p>
    <w:p>
      <w:pPr>
        <w:pStyle w:val="9"/>
        <w:spacing w:before="0" w:beforeAutospacing="0" w:after="0" w:afterAutospacing="0" w:line="360" w:lineRule="auto"/>
        <w:ind w:firstLine="420"/>
        <w:rPr>
          <w:sz w:val="21"/>
          <w:szCs w:val="21"/>
        </w:rPr>
      </w:pPr>
      <w:r>
        <w:rPr>
          <w:rFonts w:hint="eastAsia"/>
          <w:sz w:val="21"/>
          <w:szCs w:val="21"/>
        </w:rPr>
        <w:t xml:space="preserve">实物证券由基金托管人存放于基金托管人的保管库。实物证券的购买和转让，由基金托管人根据基金管理人的指令办理。基金托管人对由基金托管人以外机构实际有效控制的本基金资产不承担保管责任。 </w:t>
      </w:r>
    </w:p>
    <w:p>
      <w:pPr>
        <w:pStyle w:val="9"/>
        <w:spacing w:before="0" w:beforeAutospacing="0" w:after="0" w:afterAutospacing="0" w:line="360" w:lineRule="auto"/>
        <w:ind w:firstLine="420"/>
        <w:rPr>
          <w:sz w:val="21"/>
          <w:szCs w:val="21"/>
        </w:rPr>
      </w:pPr>
      <w:r>
        <w:rPr>
          <w:rFonts w:hint="eastAsia"/>
          <w:sz w:val="21"/>
          <w:szCs w:val="21"/>
        </w:rPr>
        <w:t xml:space="preserve">银行存款定期存单等有价凭证由基金托管人负责保管。 </w:t>
      </w:r>
    </w:p>
    <w:p>
      <w:pPr>
        <w:pStyle w:val="9"/>
        <w:spacing w:before="0" w:beforeAutospacing="0" w:after="0" w:afterAutospacing="0" w:line="360" w:lineRule="auto"/>
        <w:ind w:firstLine="420"/>
        <w:rPr>
          <w:sz w:val="21"/>
          <w:szCs w:val="21"/>
        </w:rPr>
      </w:pPr>
      <w:r>
        <w:rPr>
          <w:rFonts w:hint="eastAsia"/>
          <w:sz w:val="21"/>
          <w:szCs w:val="21"/>
        </w:rPr>
        <w:t xml:space="preserve">基金托管人只负责对存款证实书进行保管，不负责对存款证实书真伪的辨别，不承担存款证实书对应存款的本金及收益的安全保管责任。 </w:t>
      </w:r>
    </w:p>
    <w:p>
      <w:pPr>
        <w:pStyle w:val="9"/>
        <w:spacing w:before="0" w:beforeAutospacing="0" w:after="0" w:afterAutospacing="0" w:line="360" w:lineRule="auto"/>
        <w:ind w:firstLine="420"/>
        <w:rPr>
          <w:sz w:val="21"/>
          <w:szCs w:val="21"/>
        </w:rPr>
      </w:pPr>
      <w:r>
        <w:rPr>
          <w:rFonts w:hint="eastAsia"/>
          <w:sz w:val="21"/>
          <w:szCs w:val="21"/>
        </w:rPr>
        <w:t xml:space="preserve">（十）与基金财产有关的重大合同的保管 </w:t>
      </w:r>
    </w:p>
    <w:p>
      <w:pPr>
        <w:pStyle w:val="9"/>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由基金托管人、基金管理人保管，相关业务程序另有限制除外。除本协议另有规定外，基金管理人在代表基金签署与基金有关的重大合同时应尽可能保证持有二份以上的正本，以便基金管理人和基金托管人至少各持有一份正本的原件，基金管理人应及时将正本送达基金托管人处。合同的保管期限按照国家有关规定执行。 </w:t>
      </w:r>
    </w:p>
    <w:p>
      <w:pPr>
        <w:pStyle w:val="9"/>
        <w:spacing w:before="0" w:beforeAutospacing="0" w:after="0" w:afterAutospacing="0" w:line="360" w:lineRule="auto"/>
        <w:ind w:firstLine="420"/>
        <w:rPr>
          <w:sz w:val="21"/>
          <w:szCs w:val="21"/>
        </w:rPr>
      </w:pPr>
      <w:r>
        <w:rPr>
          <w:rFonts w:hint="eastAsia"/>
          <w:sz w:val="21"/>
          <w:szCs w:val="21"/>
        </w:rPr>
        <w:t xml:space="preserve">对于无法取得二份以上的正本的，基金管理人应向基金托管人提供加盖授权业务章的合同传真件，未经双方协商或未在合同约定范围内，合同原件不得转移。 </w:t>
      </w:r>
    </w:p>
    <w:p>
      <w:pPr>
        <w:pStyle w:val="9"/>
        <w:spacing w:before="0" w:beforeAutospacing="0" w:after="0" w:afterAutospacing="0" w:line="360" w:lineRule="auto"/>
        <w:ind w:firstLine="420"/>
        <w:rPr>
          <w:sz w:val="21"/>
          <w:szCs w:val="21"/>
        </w:rPr>
      </w:pPr>
      <w:r>
        <w:rPr>
          <w:rStyle w:val="14"/>
          <w:rFonts w:hint="eastAsia"/>
          <w:sz w:val="21"/>
          <w:szCs w:val="21"/>
        </w:rPr>
        <w:t>五、基金资产净值计算和会计核算</w:t>
      </w:r>
    </w:p>
    <w:p>
      <w:pPr>
        <w:pStyle w:val="9"/>
        <w:spacing w:before="0" w:beforeAutospacing="0" w:after="0" w:afterAutospacing="0" w:line="360" w:lineRule="auto"/>
        <w:ind w:firstLine="420"/>
        <w:rPr>
          <w:sz w:val="21"/>
          <w:szCs w:val="21"/>
        </w:rPr>
      </w:pPr>
      <w:r>
        <w:rPr>
          <w:rFonts w:hint="eastAsia"/>
          <w:sz w:val="21"/>
          <w:szCs w:val="21"/>
        </w:rPr>
        <w:t xml:space="preserve">（一）基金资产净值及基金份额净值的计算与复核 </w:t>
      </w:r>
    </w:p>
    <w:p>
      <w:pPr>
        <w:pStyle w:val="9"/>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9"/>
        <w:spacing w:before="0" w:beforeAutospacing="0" w:after="0" w:afterAutospacing="0" w:line="360" w:lineRule="auto"/>
        <w:ind w:firstLine="420"/>
        <w:rPr>
          <w:sz w:val="21"/>
          <w:szCs w:val="21"/>
        </w:rPr>
      </w:pPr>
      <w:r>
        <w:rPr>
          <w:rFonts w:hint="eastAsia"/>
          <w:sz w:val="21"/>
          <w:szCs w:val="21"/>
        </w:rPr>
        <w:t xml:space="preserve">基金管理人应每个工作日对基金资产估值。估值原则应符合《基金合同》、《中国证监会关于证券投资基金估值业务的指导意见》、《企业会计准则》及其他法律、法规的规定。基金资产净值和各类基金份额净值由基金管理人负责计算，基金托管人负责进行复核。基金管理人应于每个工作日交易结束后计算当日的基金资产净值和各类基金份额净值并以约定方式发送给基金托管人。基金托管人对净值计算结果复核确认后发送给基金管理人，由基金管理人对基金净值按约定予以公布。 </w:t>
      </w:r>
    </w:p>
    <w:p>
      <w:pPr>
        <w:pStyle w:val="9"/>
        <w:spacing w:before="0" w:beforeAutospacing="0" w:after="0" w:afterAutospacing="0" w:line="360" w:lineRule="auto"/>
        <w:ind w:firstLine="420"/>
        <w:rPr>
          <w:sz w:val="21"/>
          <w:szCs w:val="21"/>
        </w:rPr>
      </w:pPr>
      <w:r>
        <w:rPr>
          <w:rFonts w:hint="eastAsia"/>
          <w:sz w:val="21"/>
          <w:szCs w:val="21"/>
        </w:rPr>
        <w:t xml:space="preserve">本基金按以下方法估值： </w:t>
      </w:r>
    </w:p>
    <w:p>
      <w:pPr>
        <w:pStyle w:val="9"/>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9"/>
        <w:spacing w:before="0" w:beforeAutospacing="0" w:after="0" w:afterAutospacing="0" w:line="360" w:lineRule="auto"/>
        <w:ind w:firstLine="420"/>
        <w:rPr>
          <w:sz w:val="21"/>
          <w:szCs w:val="21"/>
        </w:rPr>
      </w:pPr>
      <w:r>
        <w:rPr>
          <w:rFonts w:hint="eastAsia"/>
          <w:sz w:val="21"/>
          <w:szCs w:val="21"/>
        </w:rPr>
        <w:t xml:space="preserve">（1）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9"/>
        <w:spacing w:before="0" w:beforeAutospacing="0" w:after="0" w:afterAutospacing="0" w:line="360" w:lineRule="auto"/>
        <w:ind w:firstLine="420"/>
        <w:rPr>
          <w:sz w:val="21"/>
          <w:szCs w:val="21"/>
        </w:rPr>
      </w:pPr>
      <w:r>
        <w:rPr>
          <w:rFonts w:hint="eastAsia"/>
          <w:sz w:val="21"/>
          <w:szCs w:val="21"/>
        </w:rPr>
        <w:t xml:space="preserve">（2）交易所市场上市交易或挂牌转让的固定收益品种（基金合同另有约定的除外），选取估值日第三方估值机构提供的相应品种对应的估值净价估值，具体估值机构由基金管理人与基金托管人共同确定； </w:t>
      </w:r>
    </w:p>
    <w:p>
      <w:pPr>
        <w:pStyle w:val="9"/>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 </w:t>
      </w:r>
    </w:p>
    <w:p>
      <w:pPr>
        <w:pStyle w:val="9"/>
        <w:spacing w:before="0" w:beforeAutospacing="0" w:after="0" w:afterAutospacing="0" w:line="360" w:lineRule="auto"/>
        <w:ind w:firstLine="420"/>
        <w:rPr>
          <w:sz w:val="21"/>
          <w:szCs w:val="21"/>
        </w:rPr>
      </w:pPr>
      <w:r>
        <w:rPr>
          <w:rFonts w:hint="eastAsia"/>
          <w:sz w:val="21"/>
          <w:szCs w:val="21"/>
        </w:rPr>
        <w:t xml:space="preserve">交易所上市实行全价交易的固定收益品种（可转换债券除外），选取第三方估值机构提供的估值全价减去估值全价中所含的固定收益品种（税后）应收利息得到的净价进行估值； </w:t>
      </w:r>
    </w:p>
    <w:p>
      <w:pPr>
        <w:pStyle w:val="9"/>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 </w:t>
      </w:r>
    </w:p>
    <w:p>
      <w:pPr>
        <w:pStyle w:val="9"/>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9"/>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9"/>
        <w:spacing w:before="0" w:beforeAutospacing="0" w:after="0" w:afterAutospacing="0" w:line="360" w:lineRule="auto"/>
        <w:ind w:firstLine="420"/>
        <w:rPr>
          <w:sz w:val="21"/>
          <w:szCs w:val="21"/>
        </w:rPr>
      </w:pPr>
      <w:r>
        <w:rPr>
          <w:rFonts w:hint="eastAsia"/>
          <w:sz w:val="21"/>
          <w:szCs w:val="21"/>
        </w:rPr>
        <w:t xml:space="preserve">（2）首次公开发行未上市的股票、债券，采用估值技术确定公允价值，在估值技术难以可靠计量公允价值的情况下，按成本估值； </w:t>
      </w:r>
    </w:p>
    <w:p>
      <w:pPr>
        <w:pStyle w:val="9"/>
        <w:spacing w:before="0" w:beforeAutospacing="0" w:after="0" w:afterAutospacing="0" w:line="360" w:lineRule="auto"/>
        <w:ind w:firstLine="420"/>
        <w:rPr>
          <w:sz w:val="21"/>
          <w:szCs w:val="21"/>
        </w:rPr>
      </w:pPr>
      <w:r>
        <w:rPr>
          <w:rFonts w:hint="eastAsia"/>
          <w:sz w:val="21"/>
          <w:szCs w:val="21"/>
        </w:rPr>
        <w:t xml:space="preserve">（3）流通受限的股票，指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9"/>
        <w:spacing w:before="0" w:beforeAutospacing="0" w:after="0" w:afterAutospacing="0" w:line="360" w:lineRule="auto"/>
        <w:ind w:firstLine="420"/>
        <w:rPr>
          <w:sz w:val="21"/>
          <w:szCs w:val="21"/>
        </w:rPr>
      </w:pPr>
      <w:r>
        <w:rPr>
          <w:rFonts w:hint="eastAsia"/>
          <w:sz w:val="21"/>
          <w:szCs w:val="21"/>
        </w:rPr>
        <w:t xml:space="preserve">3、本基金投资存托凭证的估值核算，依照境内上市交易的股票执行。 </w:t>
      </w:r>
    </w:p>
    <w:p>
      <w:pPr>
        <w:pStyle w:val="9"/>
        <w:spacing w:before="0" w:beforeAutospacing="0" w:after="0" w:afterAutospacing="0" w:line="360" w:lineRule="auto"/>
        <w:ind w:firstLine="420"/>
        <w:rPr>
          <w:sz w:val="21"/>
          <w:szCs w:val="21"/>
        </w:rPr>
      </w:pPr>
      <w:r>
        <w:rPr>
          <w:rFonts w:hint="eastAsia"/>
          <w:sz w:val="21"/>
          <w:szCs w:val="21"/>
        </w:rPr>
        <w:t xml:space="preserve">4、银行间的有价证券的估值 </w:t>
      </w:r>
    </w:p>
    <w:p>
      <w:pPr>
        <w:pStyle w:val="9"/>
        <w:spacing w:before="0" w:beforeAutospacing="0" w:after="0" w:afterAutospacing="0" w:line="360" w:lineRule="auto"/>
        <w:ind w:firstLine="420"/>
        <w:rPr>
          <w:sz w:val="21"/>
          <w:szCs w:val="21"/>
        </w:rPr>
      </w:pPr>
      <w:r>
        <w:rPr>
          <w:rFonts w:hint="eastAsia"/>
          <w:sz w:val="21"/>
          <w:szCs w:val="21"/>
        </w:rPr>
        <w:t xml:space="preserve">（1）对银行间市场上不含权的固定收益品种，按照第三方估值机构提供的相应品种当日的估值净价确定公允价值； </w:t>
      </w:r>
    </w:p>
    <w:p>
      <w:pPr>
        <w:pStyle w:val="9"/>
        <w:spacing w:before="0" w:beforeAutospacing="0" w:after="0" w:afterAutospacing="0" w:line="360" w:lineRule="auto"/>
        <w:ind w:firstLine="420"/>
        <w:rPr>
          <w:sz w:val="21"/>
          <w:szCs w:val="21"/>
        </w:rPr>
      </w:pPr>
      <w:r>
        <w:rPr>
          <w:rFonts w:hint="eastAsia"/>
          <w:sz w:val="21"/>
          <w:szCs w:val="21"/>
        </w:rPr>
        <w:t xml:space="preserve">（2）对银行间市场上含权的固定收益品种，按照第三方估值机构提供的相应品种当日的唯一估值净价或推荐估值净价确定公允价值。对于含投资人回售权的固定收益品种，回售登记期截止日（含当日）后未行使回售权的按照长待偿期所对应的价格进行估值； </w:t>
      </w:r>
    </w:p>
    <w:p>
      <w:pPr>
        <w:pStyle w:val="9"/>
        <w:spacing w:before="0" w:beforeAutospacing="0" w:after="0" w:afterAutospacing="0" w:line="360" w:lineRule="auto"/>
        <w:ind w:firstLine="420"/>
        <w:rPr>
          <w:sz w:val="21"/>
          <w:szCs w:val="21"/>
        </w:rPr>
      </w:pPr>
      <w:r>
        <w:rPr>
          <w:rFonts w:hint="eastAsia"/>
          <w:sz w:val="21"/>
          <w:szCs w:val="21"/>
        </w:rPr>
        <w:t xml:space="preserve">（3）对银行间市场未上市，且第三方估值机构未提供估值价格的债券，在发行利率与二级市场利率不存在明显差异、未上市期间市场利率没有发生大的变动的情况下，按成本估值。 </w:t>
      </w:r>
    </w:p>
    <w:p>
      <w:pPr>
        <w:pStyle w:val="9"/>
        <w:spacing w:before="0" w:beforeAutospacing="0" w:after="0" w:afterAutospacing="0" w:line="360" w:lineRule="auto"/>
        <w:ind w:firstLine="420"/>
        <w:rPr>
          <w:sz w:val="21"/>
          <w:szCs w:val="21"/>
        </w:rPr>
      </w:pPr>
      <w:r>
        <w:rPr>
          <w:rFonts w:hint="eastAsia"/>
          <w:sz w:val="21"/>
          <w:szCs w:val="21"/>
        </w:rPr>
        <w:t xml:space="preserve">5、资产支持证券的估值 </w:t>
      </w:r>
    </w:p>
    <w:p>
      <w:pPr>
        <w:pStyle w:val="9"/>
        <w:spacing w:before="0" w:beforeAutospacing="0" w:after="0" w:afterAutospacing="0" w:line="360" w:lineRule="auto"/>
        <w:ind w:firstLine="420"/>
        <w:rPr>
          <w:sz w:val="21"/>
          <w:szCs w:val="21"/>
        </w:rPr>
      </w:pPr>
      <w:r>
        <w:rPr>
          <w:rFonts w:hint="eastAsia"/>
          <w:sz w:val="21"/>
          <w:szCs w:val="21"/>
        </w:rPr>
        <w:t xml:space="preserve">（1）交易所上市的资产支持证券，采用估值技术确定公允价值，在估值技术难以可靠计量公允价值的情况下，按成本估值。 </w:t>
      </w:r>
    </w:p>
    <w:p>
      <w:pPr>
        <w:pStyle w:val="9"/>
        <w:spacing w:before="0" w:beforeAutospacing="0" w:after="0" w:afterAutospacing="0" w:line="360" w:lineRule="auto"/>
        <w:ind w:firstLine="420"/>
        <w:rPr>
          <w:sz w:val="21"/>
          <w:szCs w:val="21"/>
        </w:rPr>
      </w:pPr>
      <w:r>
        <w:rPr>
          <w:rFonts w:hint="eastAsia"/>
          <w:sz w:val="21"/>
          <w:szCs w:val="21"/>
        </w:rPr>
        <w:t xml:space="preserve">（2）对全国银行间市场上的资产支持证券，按照第三方估值机构提供的相应品种当日的估值净价确定公允价值。 </w:t>
      </w:r>
    </w:p>
    <w:p>
      <w:pPr>
        <w:pStyle w:val="9"/>
        <w:spacing w:before="0" w:beforeAutospacing="0" w:after="0" w:afterAutospacing="0" w:line="360" w:lineRule="auto"/>
        <w:ind w:firstLine="420"/>
        <w:rPr>
          <w:sz w:val="21"/>
          <w:szCs w:val="21"/>
        </w:rPr>
      </w:pPr>
      <w:r>
        <w:rPr>
          <w:rFonts w:hint="eastAsia"/>
          <w:sz w:val="21"/>
          <w:szCs w:val="21"/>
        </w:rPr>
        <w:t xml:space="preserve">6、同一证券同时在两个或两个以上市场交易的，按证券所处的市场分别估值。 </w:t>
      </w:r>
    </w:p>
    <w:p>
      <w:pPr>
        <w:pStyle w:val="9"/>
        <w:spacing w:before="0" w:beforeAutospacing="0" w:after="0" w:afterAutospacing="0" w:line="360" w:lineRule="auto"/>
        <w:ind w:firstLine="420"/>
        <w:rPr>
          <w:sz w:val="21"/>
          <w:szCs w:val="21"/>
        </w:rPr>
      </w:pPr>
      <w:r>
        <w:rPr>
          <w:rFonts w:hint="eastAsia"/>
          <w:sz w:val="21"/>
          <w:szCs w:val="21"/>
        </w:rPr>
        <w:t xml:space="preserve">7、本基金投资股指期货合约、国债期货合约，一般以估值当日结算价进行估值，估值当日无结算价的，且最近交易日后经济环境未发生重大变化的，采用最近交易日结算价估值。 </w:t>
      </w:r>
    </w:p>
    <w:p>
      <w:pPr>
        <w:pStyle w:val="9"/>
        <w:spacing w:before="0" w:beforeAutospacing="0" w:after="0" w:afterAutospacing="0" w:line="360" w:lineRule="auto"/>
        <w:ind w:firstLine="420"/>
        <w:rPr>
          <w:sz w:val="21"/>
          <w:szCs w:val="21"/>
        </w:rPr>
      </w:pPr>
      <w:r>
        <w:rPr>
          <w:rFonts w:hint="eastAsia"/>
          <w:sz w:val="21"/>
          <w:szCs w:val="21"/>
        </w:rPr>
        <w:t xml:space="preserve">8、本基金投资股票期权，根据相关法律法规以及监管部门的规定估值。 </w:t>
      </w:r>
    </w:p>
    <w:p>
      <w:pPr>
        <w:pStyle w:val="9"/>
        <w:spacing w:before="0" w:beforeAutospacing="0" w:after="0" w:afterAutospacing="0" w:line="360" w:lineRule="auto"/>
        <w:ind w:firstLine="420"/>
        <w:rPr>
          <w:sz w:val="21"/>
          <w:szCs w:val="21"/>
        </w:rPr>
      </w:pPr>
      <w:r>
        <w:rPr>
          <w:rFonts w:hint="eastAsia"/>
          <w:sz w:val="21"/>
          <w:szCs w:val="21"/>
        </w:rPr>
        <w:t xml:space="preserve">9、本基金参与融资及转融通证券出借业务的，应参照行业协会的相关规定进行估值，确保估值的公允性。 </w:t>
      </w:r>
    </w:p>
    <w:p>
      <w:pPr>
        <w:pStyle w:val="9"/>
        <w:spacing w:before="0" w:beforeAutospacing="0" w:after="0" w:afterAutospacing="0" w:line="360" w:lineRule="auto"/>
        <w:ind w:firstLine="420"/>
        <w:rPr>
          <w:sz w:val="21"/>
          <w:szCs w:val="21"/>
        </w:rPr>
      </w:pPr>
      <w:r>
        <w:rPr>
          <w:rFonts w:hint="eastAsia"/>
          <w:sz w:val="21"/>
          <w:szCs w:val="21"/>
        </w:rPr>
        <w:t xml:space="preserve">10、汇率 </w:t>
      </w:r>
    </w:p>
    <w:p>
      <w:pPr>
        <w:pStyle w:val="9"/>
        <w:spacing w:before="0" w:beforeAutospacing="0" w:after="0" w:afterAutospacing="0" w:line="360" w:lineRule="auto"/>
        <w:ind w:firstLine="420"/>
        <w:rPr>
          <w:sz w:val="21"/>
          <w:szCs w:val="21"/>
        </w:rPr>
      </w:pPr>
      <w:r>
        <w:rPr>
          <w:rFonts w:hint="eastAsia"/>
          <w:sz w:val="21"/>
          <w:szCs w:val="21"/>
        </w:rPr>
        <w:t xml:space="preserve">本基金外币资产价值计算中，涉及主要货币对人民币汇率的，应当以基金估值日中国人民银行或其授权机构公布的人民币汇率中间价为准。 </w:t>
      </w:r>
    </w:p>
    <w:p>
      <w:pPr>
        <w:pStyle w:val="9"/>
        <w:spacing w:before="0" w:beforeAutospacing="0" w:after="0" w:afterAutospacing="0" w:line="360" w:lineRule="auto"/>
        <w:ind w:firstLine="420"/>
        <w:rPr>
          <w:sz w:val="21"/>
          <w:szCs w:val="21"/>
        </w:rPr>
      </w:pPr>
      <w:r>
        <w:rPr>
          <w:rFonts w:hint="eastAsia"/>
          <w:sz w:val="21"/>
          <w:szCs w:val="21"/>
        </w:rPr>
        <w:t xml:space="preserve">11、如有确凿证据表明按上述方法进行估值不能客观反映其公允价值的，基金管理人可根据具体情况与基金托管人商定后，按最能反映公允价值的价格估值。 </w:t>
      </w:r>
    </w:p>
    <w:p>
      <w:pPr>
        <w:pStyle w:val="9"/>
        <w:spacing w:before="0" w:beforeAutospacing="0" w:after="0" w:afterAutospacing="0" w:line="360" w:lineRule="auto"/>
        <w:ind w:firstLine="420"/>
        <w:rPr>
          <w:sz w:val="21"/>
          <w:szCs w:val="21"/>
        </w:rPr>
      </w:pPr>
      <w:r>
        <w:rPr>
          <w:rFonts w:hint="eastAsia"/>
          <w:sz w:val="21"/>
          <w:szCs w:val="21"/>
        </w:rPr>
        <w:t xml:space="preserve">12、当发生大额申购或赎回情形时，基金管理人可以采用摆动定价机制，以确保基金估值的公平性。具体处理原则与操作规范遵循相关法律法规以及监管部门、自律规则的规定。 </w:t>
      </w:r>
    </w:p>
    <w:p>
      <w:pPr>
        <w:pStyle w:val="9"/>
        <w:spacing w:before="0" w:beforeAutospacing="0" w:after="0" w:afterAutospacing="0" w:line="360" w:lineRule="auto"/>
        <w:ind w:firstLine="420"/>
        <w:rPr>
          <w:sz w:val="21"/>
          <w:szCs w:val="21"/>
        </w:rPr>
      </w:pPr>
      <w:r>
        <w:rPr>
          <w:rFonts w:hint="eastAsia"/>
          <w:sz w:val="21"/>
          <w:szCs w:val="21"/>
        </w:rPr>
        <w:t xml:space="preserve">13、相关法律法规以及监管部门有强制规定的，从其规定。如有新增事项，按国家最新规定估值。 </w:t>
      </w:r>
    </w:p>
    <w:p>
      <w:pPr>
        <w:pStyle w:val="9"/>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9"/>
        <w:spacing w:before="0" w:beforeAutospacing="0" w:after="0" w:afterAutospacing="0" w:line="360" w:lineRule="auto"/>
        <w:ind w:firstLine="420"/>
        <w:rPr>
          <w:sz w:val="21"/>
          <w:szCs w:val="21"/>
        </w:rPr>
      </w:pPr>
      <w:r>
        <w:rPr>
          <w:rFonts w:hint="eastAsia"/>
          <w:sz w:val="21"/>
          <w:szCs w:val="21"/>
        </w:rPr>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由此给基金份额持有人和基金造成的损失以及因该交易日基金资产净值计算顺延错误而引起的损失，由基金管理人负责赔付，基金托管人不负责赔付。 </w:t>
      </w:r>
    </w:p>
    <w:p>
      <w:pPr>
        <w:pStyle w:val="9"/>
        <w:spacing w:before="0" w:beforeAutospacing="0" w:after="0" w:afterAutospacing="0" w:line="360" w:lineRule="auto"/>
        <w:ind w:firstLine="420"/>
        <w:rPr>
          <w:sz w:val="21"/>
          <w:szCs w:val="21"/>
        </w:rPr>
      </w:pPr>
      <w:r>
        <w:rPr>
          <w:rFonts w:hint="eastAsia"/>
          <w:sz w:val="21"/>
          <w:szCs w:val="21"/>
        </w:rPr>
        <w:t xml:space="preserve">（二）估值错误的处理 </w:t>
      </w:r>
    </w:p>
    <w:p>
      <w:pPr>
        <w:pStyle w:val="9"/>
        <w:spacing w:before="0" w:beforeAutospacing="0" w:after="0" w:afterAutospacing="0" w:line="360" w:lineRule="auto"/>
        <w:ind w:firstLine="420"/>
        <w:rPr>
          <w:sz w:val="21"/>
          <w:szCs w:val="21"/>
        </w:rPr>
      </w:pPr>
      <w:r>
        <w:rPr>
          <w:rFonts w:hint="eastAsia"/>
          <w:sz w:val="21"/>
          <w:szCs w:val="21"/>
        </w:rPr>
        <w:t xml:space="preserve">基金管理人和基金托管人将采取必要、适当、合理的措施确保基金资产估值的准确性、及时性。当任一类基金份额净值小数点后4位以内(含第4位)发生估值错误时，视为该类基金份额净值错误。 </w:t>
      </w:r>
    </w:p>
    <w:p>
      <w:pPr>
        <w:pStyle w:val="9"/>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9"/>
        <w:spacing w:before="0" w:beforeAutospacing="0" w:after="0" w:afterAutospacing="0" w:line="360" w:lineRule="auto"/>
        <w:ind w:firstLine="420"/>
        <w:rPr>
          <w:sz w:val="21"/>
          <w:szCs w:val="21"/>
        </w:rPr>
      </w:pPr>
      <w:r>
        <w:rPr>
          <w:rFonts w:hint="eastAsia"/>
          <w:sz w:val="21"/>
          <w:szCs w:val="21"/>
        </w:rPr>
        <w:t xml:space="preserve">1、估值错误类型 </w:t>
      </w:r>
    </w:p>
    <w:p>
      <w:pPr>
        <w:pStyle w:val="9"/>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9"/>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9"/>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9"/>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9"/>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9"/>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9"/>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9"/>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9"/>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9"/>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9"/>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9"/>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9"/>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9"/>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9"/>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9"/>
        <w:spacing w:before="0" w:beforeAutospacing="0" w:after="0" w:afterAutospacing="0" w:line="360" w:lineRule="auto"/>
        <w:ind w:firstLine="420"/>
        <w:rPr>
          <w:sz w:val="21"/>
          <w:szCs w:val="21"/>
        </w:rPr>
      </w:pPr>
      <w:r>
        <w:rPr>
          <w:rFonts w:hint="eastAsia"/>
          <w:sz w:val="21"/>
          <w:szCs w:val="21"/>
        </w:rPr>
        <w:t xml:space="preserve">（2）错误偏差达到该类基金份额净值的0.25%时，基金管理人应当通报基金托管人并报中国证监会备案；错误偏差达到该类基金份额净值的0.5%时，基金管理人应当公告，并报中国证监会备案。 </w:t>
      </w:r>
    </w:p>
    <w:p>
      <w:pPr>
        <w:pStyle w:val="9"/>
        <w:spacing w:before="0" w:beforeAutospacing="0" w:after="0" w:afterAutospacing="0" w:line="360" w:lineRule="auto"/>
        <w:ind w:firstLine="420"/>
        <w:rPr>
          <w:sz w:val="21"/>
          <w:szCs w:val="21"/>
        </w:rPr>
      </w:pPr>
      <w:r>
        <w:rPr>
          <w:rFonts w:hint="eastAsia"/>
          <w:sz w:val="21"/>
          <w:szCs w:val="21"/>
        </w:rPr>
        <w:t xml:space="preserve">（3）基金管理人和基金托管人由于各自技术系统设置而产生的净值计算尾差，以基金管理人计算结果为准。 </w:t>
      </w:r>
    </w:p>
    <w:p>
      <w:pPr>
        <w:pStyle w:val="9"/>
        <w:spacing w:before="0" w:beforeAutospacing="0" w:after="0" w:afterAutospacing="0" w:line="360" w:lineRule="auto"/>
        <w:ind w:firstLine="420"/>
        <w:rPr>
          <w:sz w:val="21"/>
          <w:szCs w:val="21"/>
        </w:rPr>
      </w:pPr>
      <w:r>
        <w:rPr>
          <w:rFonts w:hint="eastAsia"/>
          <w:sz w:val="21"/>
          <w:szCs w:val="21"/>
        </w:rPr>
        <w:t xml:space="preserve">（4）前述内容如法律法规或监管机关另有规定的，从其规定处理。如果行业另有通行做法，基金管理人、基金托管人应本着平等和保护基金份额持有人利益的原则进行协商。 </w:t>
      </w:r>
    </w:p>
    <w:p>
      <w:pPr>
        <w:pStyle w:val="9"/>
        <w:spacing w:before="0" w:beforeAutospacing="0" w:after="0" w:afterAutospacing="0" w:line="360" w:lineRule="auto"/>
        <w:ind w:firstLine="420"/>
        <w:rPr>
          <w:sz w:val="21"/>
          <w:szCs w:val="21"/>
        </w:rPr>
      </w:pPr>
      <w:r>
        <w:rPr>
          <w:rFonts w:hint="eastAsia"/>
          <w:sz w:val="21"/>
          <w:szCs w:val="21"/>
        </w:rPr>
        <w:t xml:space="preserve">（三）基金会计制度 </w:t>
      </w:r>
    </w:p>
    <w:p>
      <w:pPr>
        <w:pStyle w:val="9"/>
        <w:spacing w:before="0" w:beforeAutospacing="0" w:after="0" w:afterAutospacing="0" w:line="360" w:lineRule="auto"/>
        <w:ind w:firstLine="420"/>
        <w:rPr>
          <w:sz w:val="21"/>
          <w:szCs w:val="21"/>
        </w:rPr>
      </w:pPr>
      <w:r>
        <w:rPr>
          <w:rFonts w:hint="eastAsia"/>
          <w:sz w:val="21"/>
          <w:szCs w:val="21"/>
        </w:rPr>
        <w:t xml:space="preserve">按国家有关部门制定的会计制度执行。 </w:t>
      </w:r>
    </w:p>
    <w:p>
      <w:pPr>
        <w:pStyle w:val="9"/>
        <w:spacing w:before="0" w:beforeAutospacing="0" w:after="0" w:afterAutospacing="0" w:line="360" w:lineRule="auto"/>
        <w:ind w:firstLine="420"/>
        <w:rPr>
          <w:sz w:val="21"/>
          <w:szCs w:val="21"/>
        </w:rPr>
      </w:pPr>
      <w:r>
        <w:rPr>
          <w:rFonts w:hint="eastAsia"/>
          <w:sz w:val="21"/>
          <w:szCs w:val="21"/>
        </w:rPr>
        <w:t xml:space="preserve">（四）基金账册的建立 </w:t>
      </w:r>
    </w:p>
    <w:p>
      <w:pPr>
        <w:pStyle w:val="9"/>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 </w:t>
      </w:r>
    </w:p>
    <w:p>
      <w:pPr>
        <w:pStyle w:val="9"/>
        <w:spacing w:before="0" w:beforeAutospacing="0" w:after="0" w:afterAutospacing="0" w:line="360" w:lineRule="auto"/>
        <w:ind w:firstLine="420"/>
        <w:rPr>
          <w:sz w:val="21"/>
          <w:szCs w:val="21"/>
        </w:rPr>
      </w:pPr>
      <w:r>
        <w:rPr>
          <w:rFonts w:hint="eastAsia"/>
          <w:sz w:val="21"/>
          <w:szCs w:val="21"/>
        </w:rPr>
        <w:t xml:space="preserve">（五）会计数据和财务指标的核对 </w:t>
      </w:r>
    </w:p>
    <w:p>
      <w:pPr>
        <w:pStyle w:val="9"/>
        <w:spacing w:before="0" w:beforeAutospacing="0" w:after="0" w:afterAutospacing="0" w:line="360" w:lineRule="auto"/>
        <w:ind w:firstLine="420"/>
        <w:rPr>
          <w:sz w:val="21"/>
          <w:szCs w:val="21"/>
        </w:rPr>
      </w:pPr>
      <w:r>
        <w:rPr>
          <w:rFonts w:hint="eastAsia"/>
          <w:sz w:val="21"/>
          <w:szCs w:val="21"/>
        </w:rPr>
        <w:t xml:space="preserve">双方应每个交易日核对账目，如发现双方的账目存在不符的，基金管理人和基金托管人必须及时查明原因并纠正，确保核对一致。若当日核对不符，暂时无法查找到错账的原因而影响到基金净值的计算和公告的，以基金管理人的账册为准。 </w:t>
      </w:r>
    </w:p>
    <w:p>
      <w:pPr>
        <w:pStyle w:val="9"/>
        <w:spacing w:before="0" w:beforeAutospacing="0" w:after="0" w:afterAutospacing="0" w:line="360" w:lineRule="auto"/>
        <w:ind w:firstLine="420"/>
        <w:rPr>
          <w:sz w:val="21"/>
          <w:szCs w:val="21"/>
        </w:rPr>
      </w:pPr>
      <w:r>
        <w:rPr>
          <w:rFonts w:hint="eastAsia"/>
          <w:sz w:val="21"/>
          <w:szCs w:val="21"/>
        </w:rPr>
        <w:t xml:space="preserve">（六）基金定期报告的编制和复核 </w:t>
      </w:r>
    </w:p>
    <w:p>
      <w:pPr>
        <w:pStyle w:val="9"/>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定期报告文件应按中国证监会的要求公告。季度报表的编制，应于每季度终了后15个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 </w:t>
      </w:r>
    </w:p>
    <w:p>
      <w:pPr>
        <w:pStyle w:val="9"/>
        <w:spacing w:before="0" w:beforeAutospacing="0" w:after="0" w:afterAutospacing="0" w:line="360" w:lineRule="auto"/>
        <w:ind w:firstLine="420"/>
        <w:rPr>
          <w:sz w:val="21"/>
          <w:szCs w:val="21"/>
        </w:rPr>
      </w:pPr>
      <w:r>
        <w:rPr>
          <w:rFonts w:hint="eastAsia"/>
          <w:sz w:val="21"/>
          <w:szCs w:val="21"/>
        </w:rPr>
        <w:t xml:space="preserve">基金管理人在月初3个工作日内完成上月度报表的编制，经盖章后，以约定方式将有关报表提供基金托管人；基金托管人收到后在2个工作日内进行复核，并将复核结果及时书面或以其他双方约定的方式通知基金管理人。对于季度报告、中期报告、年度报告等定期报告，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中国证监会备案。 </w:t>
      </w:r>
    </w:p>
    <w:p>
      <w:pPr>
        <w:pStyle w:val="9"/>
        <w:spacing w:before="0" w:beforeAutospacing="0" w:after="0" w:afterAutospacing="0" w:line="360" w:lineRule="auto"/>
        <w:ind w:firstLine="420"/>
        <w:rPr>
          <w:sz w:val="21"/>
          <w:szCs w:val="21"/>
        </w:rPr>
      </w:pPr>
      <w:r>
        <w:rPr>
          <w:rFonts w:hint="eastAsia"/>
          <w:sz w:val="21"/>
          <w:szCs w:val="21"/>
        </w:rPr>
        <w:t xml:space="preserve">基金托管人在对财务报表、季度报告、中期报告或年度报告复核完毕后，可以出具复核确认书（盖章）或以其他双方约定的方式确认，以备有权机构对相关文件审核检查。 </w:t>
      </w:r>
    </w:p>
    <w:p>
      <w:pPr>
        <w:pStyle w:val="9"/>
        <w:spacing w:before="0" w:beforeAutospacing="0" w:after="0" w:afterAutospacing="0" w:line="360" w:lineRule="auto"/>
        <w:ind w:firstLine="420"/>
        <w:rPr>
          <w:sz w:val="21"/>
          <w:szCs w:val="21"/>
        </w:rPr>
      </w:pPr>
      <w:r>
        <w:rPr>
          <w:rStyle w:val="14"/>
          <w:rFonts w:hint="eastAsia"/>
          <w:sz w:val="21"/>
          <w:szCs w:val="21"/>
        </w:rPr>
        <w:t>六、基金份额持有人名册的保管</w:t>
      </w:r>
    </w:p>
    <w:p>
      <w:pPr>
        <w:pStyle w:val="9"/>
        <w:spacing w:before="0" w:beforeAutospacing="0" w:after="0" w:afterAutospacing="0" w:line="360" w:lineRule="auto"/>
        <w:ind w:firstLine="420"/>
        <w:rPr>
          <w:sz w:val="21"/>
          <w:szCs w:val="21"/>
        </w:rPr>
      </w:pPr>
      <w:r>
        <w:rPr>
          <w:rFonts w:hint="eastAsia"/>
          <w:sz w:val="21"/>
          <w:szCs w:val="21"/>
        </w:rPr>
        <w:t xml:space="preserve">基金管理人可委托基金登记机构登记和保管基金份额持有人名册。基金份额持有人名册的内容包括但不限于基金份额持有人的名称和持有的基金份额。 </w:t>
      </w:r>
    </w:p>
    <w:p>
      <w:pPr>
        <w:pStyle w:val="9"/>
        <w:spacing w:before="0" w:beforeAutospacing="0" w:after="0" w:afterAutospacing="0" w:line="360" w:lineRule="auto"/>
        <w:ind w:firstLine="420"/>
        <w:rPr>
          <w:sz w:val="21"/>
          <w:szCs w:val="21"/>
        </w:rPr>
      </w:pPr>
      <w:r>
        <w:rPr>
          <w:rFonts w:hint="eastAsia"/>
          <w:sz w:val="21"/>
          <w:szCs w:val="21"/>
        </w:rPr>
        <w:t xml:space="preserve">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保存期限自基金账户销户之日起不少于20年，法律法规或监管机构另有规定除外。 </w:t>
      </w:r>
    </w:p>
    <w:p>
      <w:pPr>
        <w:pStyle w:val="9"/>
        <w:spacing w:before="0" w:beforeAutospacing="0" w:after="0" w:afterAutospacing="0" w:line="360" w:lineRule="auto"/>
        <w:ind w:firstLine="420"/>
        <w:rPr>
          <w:sz w:val="21"/>
          <w:szCs w:val="21"/>
        </w:rPr>
      </w:pPr>
      <w:r>
        <w:rPr>
          <w:rFonts w:hint="eastAsia"/>
          <w:sz w:val="21"/>
          <w:szCs w:val="21"/>
        </w:rPr>
        <w:t xml:space="preserve">基金管理人应根据基金托管人的要求定期和不定期向基金托管人提供基金份额持有人名册。 </w:t>
      </w:r>
    </w:p>
    <w:p>
      <w:pPr>
        <w:pStyle w:val="9"/>
        <w:spacing w:before="0" w:beforeAutospacing="0" w:after="0" w:afterAutospacing="0" w:line="360" w:lineRule="auto"/>
        <w:ind w:firstLine="420"/>
        <w:rPr>
          <w:sz w:val="21"/>
          <w:szCs w:val="21"/>
        </w:rPr>
      </w:pPr>
      <w:r>
        <w:rPr>
          <w:rFonts w:hint="eastAsia"/>
          <w:sz w:val="21"/>
          <w:szCs w:val="21"/>
        </w:rPr>
        <w:t xml:space="preserve">（一）基金管理人于《基金合同》生效日及《基金合同》终止日后10个工作日内向基金托管人提供由登记机构编制的基金份额持有人名册； </w:t>
      </w:r>
    </w:p>
    <w:p>
      <w:pPr>
        <w:pStyle w:val="9"/>
        <w:spacing w:before="0" w:beforeAutospacing="0" w:after="0" w:afterAutospacing="0" w:line="360" w:lineRule="auto"/>
        <w:ind w:firstLine="420"/>
        <w:rPr>
          <w:sz w:val="21"/>
          <w:szCs w:val="21"/>
        </w:rPr>
      </w:pPr>
      <w:r>
        <w:rPr>
          <w:rFonts w:hint="eastAsia"/>
          <w:sz w:val="21"/>
          <w:szCs w:val="21"/>
        </w:rPr>
        <w:t xml:space="preserve">（二）基金管理人于基金份额持有人大会权益登记日后5个工作日内向基金托管人提供由登记机构编制的基金份额持有人名册； </w:t>
      </w:r>
    </w:p>
    <w:p>
      <w:pPr>
        <w:pStyle w:val="9"/>
        <w:spacing w:before="0" w:beforeAutospacing="0" w:after="0" w:afterAutospacing="0" w:line="360" w:lineRule="auto"/>
        <w:ind w:firstLine="420"/>
        <w:rPr>
          <w:sz w:val="21"/>
          <w:szCs w:val="21"/>
        </w:rPr>
      </w:pPr>
      <w:r>
        <w:rPr>
          <w:rFonts w:hint="eastAsia"/>
          <w:sz w:val="21"/>
          <w:szCs w:val="21"/>
        </w:rPr>
        <w:t xml:space="preserve">（三）基金管理人于每年最后一个交易日后10个工作日内向基金托管人提供由登记机构编制的基金份额持有人名册； </w:t>
      </w:r>
    </w:p>
    <w:p>
      <w:pPr>
        <w:pStyle w:val="9"/>
        <w:spacing w:before="0" w:beforeAutospacing="0" w:after="0" w:afterAutospacing="0" w:line="360" w:lineRule="auto"/>
        <w:ind w:firstLine="420"/>
        <w:rPr>
          <w:sz w:val="21"/>
          <w:szCs w:val="21"/>
        </w:rPr>
      </w:pPr>
      <w:r>
        <w:rPr>
          <w:rFonts w:hint="eastAsia"/>
          <w:sz w:val="21"/>
          <w:szCs w:val="21"/>
        </w:rPr>
        <w:t xml:space="preserve">（四）除上述约定时间外，如果确因业务需要，基金托管人与基金管理人商议一致后，由基金管理人向基金托管人提供由登记机构编制的基金份额持有人名册。 </w:t>
      </w:r>
    </w:p>
    <w:p>
      <w:pPr>
        <w:pStyle w:val="9"/>
        <w:spacing w:before="0" w:beforeAutospacing="0" w:after="0" w:afterAutospacing="0" w:line="360" w:lineRule="auto"/>
        <w:ind w:firstLine="420"/>
        <w:rPr>
          <w:sz w:val="21"/>
          <w:szCs w:val="21"/>
        </w:rPr>
      </w:pPr>
      <w:r>
        <w:rPr>
          <w:rFonts w:hint="eastAsia"/>
          <w:sz w:val="21"/>
          <w:szCs w:val="21"/>
        </w:rPr>
        <w:t xml:space="preserve">基金托管人以电子版形式妥善保管基金份额持有人名册，并定期刻成光盘备份，保存期限为20年，法律法规或监管机构另有规定除外。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 </w:t>
      </w:r>
    </w:p>
    <w:p>
      <w:pPr>
        <w:pStyle w:val="9"/>
        <w:spacing w:before="0" w:beforeAutospacing="0" w:after="0" w:afterAutospacing="0" w:line="360" w:lineRule="auto"/>
        <w:ind w:firstLine="420"/>
        <w:rPr>
          <w:sz w:val="21"/>
          <w:szCs w:val="21"/>
        </w:rPr>
      </w:pPr>
      <w:r>
        <w:rPr>
          <w:rStyle w:val="14"/>
          <w:rFonts w:hint="eastAsia"/>
          <w:sz w:val="21"/>
          <w:szCs w:val="21"/>
        </w:rPr>
        <w:t>七、争议解决方式</w:t>
      </w:r>
    </w:p>
    <w:p>
      <w:pPr>
        <w:pStyle w:val="9"/>
        <w:spacing w:before="0" w:beforeAutospacing="0" w:after="0" w:afterAutospacing="0" w:line="360" w:lineRule="auto"/>
        <w:ind w:firstLine="420"/>
        <w:rPr>
          <w:sz w:val="21"/>
          <w:szCs w:val="21"/>
        </w:rPr>
      </w:pPr>
      <w:r>
        <w:rPr>
          <w:rStyle w:val="14"/>
          <w:rFonts w:hint="eastAsia"/>
          <w:sz w:val="21"/>
          <w:szCs w:val="21"/>
        </w:rPr>
        <w:t>对于因本协议的订立、内容、履行和解释或与本协议有关的争议，当事人应尽量通过协商、调解途径解决。不愿或者不能通过协商、调解解决的，任何一方均有权将争议提交深圳国际仲裁院（深圳仲裁委员会），按照深圳国际仲裁院（深圳仲裁委员会）届时有效的仲裁规则进行仲裁。仲裁地点为深圳市。仲裁裁决是终局的，对双方当事人均有约束力。除仲裁裁决另有规定的，仲裁费用、律师费用由败诉方承担。</w:t>
      </w:r>
    </w:p>
    <w:p>
      <w:pPr>
        <w:pStyle w:val="9"/>
        <w:spacing w:before="0" w:beforeAutospacing="0" w:after="0" w:afterAutospacing="0" w:line="360" w:lineRule="auto"/>
        <w:ind w:firstLine="420"/>
        <w:rPr>
          <w:sz w:val="21"/>
          <w:szCs w:val="21"/>
        </w:rPr>
      </w:pPr>
      <w:r>
        <w:rPr>
          <w:rStyle w:val="14"/>
          <w:rFonts w:hint="eastAsia"/>
          <w:sz w:val="21"/>
          <w:szCs w:val="21"/>
        </w:rPr>
        <w:t>争议处理期间，双方当事人应恪守各自的职责，继续忠实、勤勉、尽责地履行基金合同规定的义务，维护基金份额持有人的合法权益。</w:t>
      </w:r>
    </w:p>
    <w:p>
      <w:pPr>
        <w:pStyle w:val="9"/>
        <w:spacing w:before="0" w:beforeAutospacing="0" w:after="0" w:afterAutospacing="0" w:line="360" w:lineRule="auto"/>
        <w:ind w:firstLine="420"/>
        <w:rPr>
          <w:sz w:val="21"/>
          <w:szCs w:val="21"/>
        </w:rPr>
      </w:pPr>
      <w:r>
        <w:rPr>
          <w:rStyle w:val="14"/>
          <w:rFonts w:hint="eastAsia"/>
          <w:sz w:val="21"/>
          <w:szCs w:val="21"/>
        </w:rPr>
        <w:t>本协议受中国法律（为本协议之目的，在此不包括香港、澳门特别行政区和台湾地区的有关规定）管辖，并从其解释。</w:t>
      </w:r>
    </w:p>
    <w:p>
      <w:pPr>
        <w:pStyle w:val="9"/>
        <w:spacing w:before="0" w:beforeAutospacing="0" w:after="0" w:afterAutospacing="0" w:line="360" w:lineRule="auto"/>
        <w:ind w:firstLine="420"/>
        <w:rPr>
          <w:sz w:val="21"/>
          <w:szCs w:val="21"/>
        </w:rPr>
      </w:pPr>
      <w:r>
        <w:rPr>
          <w:rStyle w:val="14"/>
          <w:rFonts w:hint="eastAsia"/>
          <w:sz w:val="21"/>
          <w:szCs w:val="21"/>
        </w:rPr>
        <w:t>八、基金托管协议的变更、终止与基金财产的清算</w:t>
      </w:r>
    </w:p>
    <w:p>
      <w:pPr>
        <w:pStyle w:val="9"/>
        <w:spacing w:before="0" w:beforeAutospacing="0" w:after="0" w:afterAutospacing="0" w:line="360" w:lineRule="auto"/>
        <w:ind w:firstLine="420"/>
        <w:rPr>
          <w:sz w:val="21"/>
          <w:szCs w:val="21"/>
        </w:rPr>
      </w:pPr>
      <w:r>
        <w:rPr>
          <w:rFonts w:hint="eastAsia"/>
          <w:sz w:val="21"/>
          <w:szCs w:val="21"/>
        </w:rPr>
        <w:t xml:space="preserve">（一）基金托管协议的变更 </w:t>
      </w:r>
    </w:p>
    <w:p>
      <w:pPr>
        <w:pStyle w:val="9"/>
        <w:spacing w:before="0" w:beforeAutospacing="0" w:after="0" w:afterAutospacing="0" w:line="360" w:lineRule="auto"/>
        <w:ind w:firstLine="420"/>
        <w:rPr>
          <w:sz w:val="21"/>
          <w:szCs w:val="21"/>
        </w:rPr>
      </w:pPr>
      <w:r>
        <w:rPr>
          <w:rFonts w:hint="eastAsia"/>
          <w:sz w:val="21"/>
          <w:szCs w:val="21"/>
        </w:rPr>
        <w:t xml:space="preserve">本协议双方当事人经协商一致，可以对协议进行修改。修改后的新协议，其内容不得与《基金合同》的规定有任何冲突。修改后的新协议，应报中国证监会备案。 </w:t>
      </w:r>
    </w:p>
    <w:p>
      <w:pPr>
        <w:pStyle w:val="9"/>
        <w:spacing w:before="0" w:beforeAutospacing="0" w:after="0" w:afterAutospacing="0" w:line="360" w:lineRule="auto"/>
        <w:ind w:firstLine="420"/>
        <w:rPr>
          <w:sz w:val="21"/>
          <w:szCs w:val="21"/>
        </w:rPr>
      </w:pPr>
      <w:r>
        <w:rPr>
          <w:rFonts w:hint="eastAsia"/>
          <w:sz w:val="21"/>
          <w:szCs w:val="21"/>
        </w:rPr>
        <w:t xml:space="preserve">（二）基金托管协议的终止 </w:t>
      </w:r>
    </w:p>
    <w:p>
      <w:pPr>
        <w:pStyle w:val="9"/>
        <w:spacing w:before="0" w:beforeAutospacing="0" w:after="0" w:afterAutospacing="0" w:line="360" w:lineRule="auto"/>
        <w:ind w:firstLine="420"/>
        <w:rPr>
          <w:sz w:val="21"/>
          <w:szCs w:val="21"/>
        </w:rPr>
      </w:pPr>
      <w:r>
        <w:rPr>
          <w:rFonts w:hint="eastAsia"/>
          <w:sz w:val="21"/>
          <w:szCs w:val="21"/>
        </w:rPr>
        <w:t xml:space="preserve">1.《基金合同》终止； </w:t>
      </w:r>
    </w:p>
    <w:p>
      <w:pPr>
        <w:pStyle w:val="9"/>
        <w:spacing w:before="0" w:beforeAutospacing="0" w:after="0" w:afterAutospacing="0" w:line="360" w:lineRule="auto"/>
        <w:ind w:firstLine="420"/>
        <w:rPr>
          <w:sz w:val="21"/>
          <w:szCs w:val="21"/>
        </w:rPr>
      </w:pPr>
      <w:r>
        <w:rPr>
          <w:rFonts w:hint="eastAsia"/>
          <w:sz w:val="21"/>
          <w:szCs w:val="21"/>
        </w:rPr>
        <w:t xml:space="preserve">2.基金托管人解散、依法被撤销、破产，被依法取消基金托管资格或因其他事由造成其他基金托管人接管基金财产； </w:t>
      </w:r>
    </w:p>
    <w:p>
      <w:pPr>
        <w:pStyle w:val="9"/>
        <w:spacing w:before="0" w:beforeAutospacing="0" w:after="0" w:afterAutospacing="0" w:line="360" w:lineRule="auto"/>
        <w:ind w:firstLine="420"/>
        <w:rPr>
          <w:sz w:val="21"/>
          <w:szCs w:val="21"/>
        </w:rPr>
      </w:pPr>
      <w:r>
        <w:rPr>
          <w:rFonts w:hint="eastAsia"/>
          <w:sz w:val="21"/>
          <w:szCs w:val="21"/>
        </w:rPr>
        <w:t xml:space="preserve">3.基金管理人解散、依法被撤销、破产，被依法取消基金管理资格或因其他事由造成其他基金管理人接管基金管理业务； </w:t>
      </w:r>
    </w:p>
    <w:p>
      <w:pPr>
        <w:pStyle w:val="9"/>
        <w:spacing w:before="0" w:beforeAutospacing="0" w:after="0" w:afterAutospacing="0" w:line="360" w:lineRule="auto"/>
        <w:ind w:firstLine="420"/>
        <w:rPr>
          <w:sz w:val="21"/>
          <w:szCs w:val="21"/>
        </w:rPr>
      </w:pPr>
      <w:r>
        <w:rPr>
          <w:rFonts w:hint="eastAsia"/>
          <w:sz w:val="21"/>
          <w:szCs w:val="21"/>
        </w:rPr>
        <w:t xml:space="preserve">4.发生《基金法》、《销售办法》、《运作办法》或其他法律法规规定的终止事项。 </w:t>
      </w:r>
    </w:p>
    <w:p>
      <w:pPr>
        <w:pStyle w:val="9"/>
        <w:spacing w:before="0" w:beforeAutospacing="0" w:after="0" w:afterAutospacing="0" w:line="360" w:lineRule="auto"/>
        <w:ind w:firstLine="420"/>
        <w:rPr>
          <w:sz w:val="21"/>
          <w:szCs w:val="21"/>
        </w:rPr>
      </w:pPr>
      <w:r>
        <w:rPr>
          <w:rFonts w:hint="eastAsia"/>
          <w:sz w:val="21"/>
          <w:szCs w:val="21"/>
        </w:rPr>
        <w:t xml:space="preserve">（三）基金财产的清算 </w:t>
      </w:r>
    </w:p>
    <w:p>
      <w:pPr>
        <w:pStyle w:val="9"/>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pPr>
        <w:pStyle w:val="9"/>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2、在基金财产清算小组接管基金财产之前，基金管理人和基金托管人应按照《基金合同》和托管协议的规定继续履行保护基金财产安全的职责。 </w:t>
      </w:r>
    </w:p>
    <w:p>
      <w:pPr>
        <w:pStyle w:val="9"/>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符合《中华人民共和国证券法》规定的注册会计师、律师以及中国证监会指定的人员组成。基金财产清算小组可以聘用必要的工作人员。 </w:t>
      </w:r>
    </w:p>
    <w:p>
      <w:pPr>
        <w:pStyle w:val="9"/>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pPr>
        <w:pStyle w:val="9"/>
        <w:spacing w:before="0" w:beforeAutospacing="0" w:after="0" w:afterAutospacing="0" w:line="360" w:lineRule="auto"/>
        <w:ind w:firstLine="420"/>
        <w:rPr>
          <w:sz w:val="21"/>
          <w:szCs w:val="21"/>
        </w:rPr>
      </w:pPr>
      <w:r>
        <w:rPr>
          <w:rFonts w:hint="eastAsia"/>
          <w:sz w:val="21"/>
          <w:szCs w:val="21"/>
        </w:rPr>
        <w:t xml:space="preserve">5、在基金财产清算过程中，基金管理人和基金托管人应各自履行职责，继续忠实、勤勉、尽责地履行基金合同和托管协议规定的义务，维护基金份额持有人的合法权益。 </w:t>
      </w:r>
    </w:p>
    <w:p>
      <w:pPr>
        <w:pStyle w:val="9"/>
        <w:spacing w:before="0" w:beforeAutospacing="0" w:after="0" w:afterAutospacing="0" w:line="360" w:lineRule="auto"/>
        <w:ind w:firstLine="420"/>
        <w:rPr>
          <w:sz w:val="21"/>
          <w:szCs w:val="21"/>
        </w:rPr>
      </w:pPr>
      <w:r>
        <w:rPr>
          <w:rFonts w:hint="eastAsia"/>
          <w:sz w:val="21"/>
          <w:szCs w:val="21"/>
        </w:rPr>
        <w:t xml:space="preserve">6、基金财产清算程序： </w:t>
      </w:r>
    </w:p>
    <w:p>
      <w:pPr>
        <w:pStyle w:val="9"/>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9"/>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9"/>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9"/>
        <w:spacing w:before="0" w:beforeAutospacing="0" w:after="0" w:afterAutospacing="0" w:line="360" w:lineRule="auto"/>
        <w:ind w:firstLine="420"/>
        <w:rPr>
          <w:sz w:val="21"/>
          <w:szCs w:val="21"/>
        </w:rPr>
      </w:pPr>
      <w:r>
        <w:rPr>
          <w:rFonts w:hint="eastAsia"/>
          <w:sz w:val="21"/>
          <w:szCs w:val="21"/>
        </w:rPr>
        <w:t xml:space="preserve">（4）制作清算报告； </w:t>
      </w:r>
    </w:p>
    <w:p>
      <w:pPr>
        <w:pStyle w:val="9"/>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9"/>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9"/>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9"/>
        <w:spacing w:before="0" w:beforeAutospacing="0" w:after="0" w:afterAutospacing="0" w:line="360" w:lineRule="auto"/>
        <w:ind w:firstLine="420"/>
        <w:rPr>
          <w:sz w:val="21"/>
          <w:szCs w:val="21"/>
        </w:rPr>
      </w:pPr>
      <w:r>
        <w:rPr>
          <w:rFonts w:hint="eastAsia"/>
          <w:sz w:val="21"/>
          <w:szCs w:val="21"/>
        </w:rPr>
        <w:t xml:space="preserve">7、基金财产清算的期限为6个月，但因本基金所持证券的流动性受到限制而不能及时变现的，清算期限可相应顺延。 </w:t>
      </w:r>
    </w:p>
    <w:p>
      <w:pPr>
        <w:pStyle w:val="9"/>
        <w:spacing w:before="0" w:beforeAutospacing="0" w:after="0" w:afterAutospacing="0" w:line="360" w:lineRule="auto"/>
        <w:ind w:firstLine="420"/>
        <w:rPr>
          <w:sz w:val="21"/>
          <w:szCs w:val="21"/>
        </w:rPr>
      </w:pPr>
      <w:r>
        <w:rPr>
          <w:rFonts w:hint="eastAsia"/>
          <w:sz w:val="21"/>
          <w:szCs w:val="21"/>
        </w:rPr>
        <w:t xml:space="preserve">8、清算费用 </w:t>
      </w:r>
    </w:p>
    <w:p>
      <w:pPr>
        <w:pStyle w:val="9"/>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9"/>
        <w:spacing w:before="0" w:beforeAutospacing="0" w:after="0" w:afterAutospacing="0" w:line="360" w:lineRule="auto"/>
        <w:ind w:firstLine="420"/>
        <w:rPr>
          <w:sz w:val="21"/>
          <w:szCs w:val="21"/>
        </w:rPr>
      </w:pPr>
      <w:r>
        <w:rPr>
          <w:rFonts w:hint="eastAsia"/>
          <w:sz w:val="21"/>
          <w:szCs w:val="21"/>
        </w:rPr>
        <w:t xml:space="preserve">9、基金财产清算剩余资产的分配 </w:t>
      </w:r>
    </w:p>
    <w:p>
      <w:pPr>
        <w:pStyle w:val="9"/>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依据基金财产清算的分配方案，将基金财产清算后的全部剩余资产扣除基金财产清算费用、交纳所欠税款并清偿基金债务后，按基金份额持有人持有的各类基金份额比例进行分配。 </w:t>
      </w:r>
    </w:p>
    <w:p>
      <w:pPr>
        <w:pStyle w:val="9"/>
        <w:spacing w:before="0" w:beforeAutospacing="0" w:after="0" w:afterAutospacing="0" w:line="360" w:lineRule="auto"/>
        <w:ind w:firstLine="420"/>
        <w:rPr>
          <w:sz w:val="21"/>
          <w:szCs w:val="21"/>
        </w:rPr>
      </w:pPr>
      <w:r>
        <w:rPr>
          <w:rFonts w:hint="eastAsia"/>
          <w:sz w:val="21"/>
          <w:szCs w:val="21"/>
        </w:rPr>
        <w:t xml:space="preserve">10、基金财产清算的公告 </w:t>
      </w:r>
    </w:p>
    <w:p>
      <w:pPr>
        <w:pStyle w:val="9"/>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 </w:t>
      </w:r>
    </w:p>
    <w:p>
      <w:pPr>
        <w:pStyle w:val="9"/>
        <w:spacing w:before="0" w:beforeAutospacing="0" w:after="0" w:afterAutospacing="0" w:line="360" w:lineRule="auto"/>
        <w:ind w:firstLine="420"/>
        <w:rPr>
          <w:sz w:val="21"/>
          <w:szCs w:val="21"/>
        </w:rPr>
      </w:pPr>
      <w:r>
        <w:rPr>
          <w:rFonts w:hint="eastAsia"/>
          <w:sz w:val="21"/>
          <w:szCs w:val="21"/>
        </w:rPr>
        <w:t xml:space="preserve">11、基金财产清算账册及文件的保存 </w:t>
      </w:r>
    </w:p>
    <w:p>
      <w:pPr>
        <w:pStyle w:val="9"/>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基金财产清算账册及有关文件由基金托管人保存，保存期限不低于法律法规规定的最低期限。 </w:t>
      </w:r>
    </w:p>
    <w:p>
      <w:pPr>
        <w:pStyle w:val="9"/>
        <w:spacing w:before="0" w:beforeAutospacing="0" w:after="0" w:afterAutospacing="0" w:line="360" w:lineRule="auto"/>
        <w:ind w:firstLine="420"/>
        <w:rPr>
          <w:sz w:val="21"/>
          <w:szCs w:val="21"/>
        </w:rPr>
      </w:pPr>
      <w:r>
        <w:rPr>
          <w:rFonts w:hint="eastAsia"/>
          <w:sz w:val="21"/>
          <w:szCs w:val="21"/>
        </w:rPr>
        <w:t xml:space="preserve">12、基金合并 </w:t>
      </w:r>
    </w:p>
    <w:p>
      <w:pPr>
        <w:pStyle w:val="9"/>
        <w:spacing w:before="0" w:beforeAutospacing="0" w:after="0" w:afterAutospacing="0" w:line="360" w:lineRule="auto"/>
        <w:ind w:firstLine="420"/>
        <w:rPr>
          <w:sz w:val="21"/>
          <w:szCs w:val="21"/>
        </w:rPr>
      </w:pPr>
      <w:bookmarkStart w:id="182" w:name="chapter_level1_23_72_section_1_end"/>
      <w:bookmarkEnd w:id="182"/>
      <w:r>
        <w:rPr>
          <w:rFonts w:hint="eastAsia"/>
          <w:sz w:val="21"/>
          <w:szCs w:val="21"/>
        </w:rPr>
        <w:t xml:space="preserve">本基金与其他基金的合并应当按照法律法规规定的程序进行。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3" w:name="chapter_level1_24_75"/>
      <w:bookmarkStart w:id="184" w:name="_Toc151126585"/>
      <w:r>
        <w:rPr>
          <w:rFonts w:hint="eastAsia" w:ascii="宋体" w:hAnsi="宋体" w:eastAsia="宋体"/>
          <w:sz w:val="30"/>
        </w:rPr>
        <w:t>第二十一部分  对基金份额持有人的服务</w:t>
      </w:r>
      <w:bookmarkEnd w:id="183"/>
      <w:bookmarkEnd w:id="184"/>
    </w:p>
    <w:p>
      <w:pPr>
        <w:pStyle w:val="9"/>
        <w:spacing w:before="0" w:beforeAutospacing="0" w:after="0" w:afterAutospacing="0" w:line="360" w:lineRule="auto"/>
        <w:ind w:firstLine="420"/>
        <w:rPr>
          <w:sz w:val="21"/>
          <w:szCs w:val="21"/>
        </w:rPr>
      </w:pPr>
      <w:bookmarkStart w:id="185" w:name="chapter_level1_24_75_section_1"/>
      <w:bookmarkEnd w:id="185"/>
      <w:r>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p>
    <w:p>
      <w:pPr>
        <w:pStyle w:val="9"/>
        <w:spacing w:before="0" w:beforeAutospacing="0" w:after="0" w:afterAutospacing="0" w:line="360" w:lineRule="auto"/>
        <w:ind w:firstLine="420"/>
        <w:rPr>
          <w:sz w:val="21"/>
          <w:szCs w:val="21"/>
        </w:rPr>
      </w:pPr>
      <w:r>
        <w:rPr>
          <w:rStyle w:val="14"/>
          <w:rFonts w:hint="eastAsia"/>
          <w:sz w:val="21"/>
          <w:szCs w:val="21"/>
        </w:rPr>
        <w:t>一、持有人交易资料的寄送服务</w:t>
      </w:r>
    </w:p>
    <w:p>
      <w:pPr>
        <w:pStyle w:val="9"/>
        <w:spacing w:before="0" w:beforeAutospacing="0" w:after="0" w:afterAutospacing="0" w:line="360" w:lineRule="auto"/>
        <w:ind w:firstLine="420"/>
        <w:rPr>
          <w:sz w:val="21"/>
          <w:szCs w:val="21"/>
        </w:rPr>
      </w:pPr>
      <w:r>
        <w:rPr>
          <w:rFonts w:hint="eastAsia"/>
          <w:sz w:val="21"/>
          <w:szCs w:val="21"/>
        </w:rPr>
        <w:t>1、交易确认单</w:t>
      </w:r>
    </w:p>
    <w:p>
      <w:pPr>
        <w:pStyle w:val="9"/>
        <w:spacing w:before="0" w:beforeAutospacing="0" w:after="0" w:afterAutospacing="0" w:line="360" w:lineRule="auto"/>
        <w:ind w:firstLine="420"/>
        <w:rPr>
          <w:sz w:val="21"/>
          <w:szCs w:val="21"/>
        </w:rPr>
      </w:pPr>
      <w:r>
        <w:rPr>
          <w:rFonts w:hint="eastAsia"/>
          <w:sz w:val="21"/>
          <w:szCs w:val="21"/>
        </w:rPr>
        <w:t>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w:t>
      </w:r>
    </w:p>
    <w:p>
      <w:pPr>
        <w:pStyle w:val="9"/>
        <w:spacing w:before="0" w:beforeAutospacing="0" w:after="0" w:afterAutospacing="0" w:line="360" w:lineRule="auto"/>
        <w:ind w:firstLine="420"/>
        <w:rPr>
          <w:sz w:val="21"/>
          <w:szCs w:val="21"/>
        </w:rPr>
      </w:pPr>
      <w:r>
        <w:rPr>
          <w:rFonts w:hint="eastAsia"/>
          <w:sz w:val="21"/>
          <w:szCs w:val="21"/>
        </w:rPr>
        <w:t>2、电子对账单</w:t>
      </w:r>
    </w:p>
    <w:p>
      <w:pPr>
        <w:pStyle w:val="9"/>
        <w:spacing w:before="0" w:beforeAutospacing="0" w:after="0" w:afterAutospacing="0" w:line="360" w:lineRule="auto"/>
        <w:ind w:firstLine="420"/>
        <w:rPr>
          <w:sz w:val="21"/>
          <w:szCs w:val="21"/>
        </w:rPr>
      </w:pPr>
      <w:r>
        <w:rPr>
          <w:rFonts w:hint="eastAsia"/>
          <w:sz w:val="21"/>
          <w:szCs w:val="21"/>
        </w:rPr>
        <w:t>每月结束后，基金管理人向所有订阅电子邮件对账单的投资者发送电子邮件对账单。</w:t>
      </w:r>
    </w:p>
    <w:p>
      <w:pPr>
        <w:pStyle w:val="9"/>
        <w:spacing w:before="0" w:beforeAutospacing="0" w:after="0" w:afterAutospacing="0" w:line="360" w:lineRule="auto"/>
        <w:ind w:firstLine="420"/>
        <w:rPr>
          <w:sz w:val="21"/>
          <w:szCs w:val="21"/>
        </w:rPr>
      </w:pPr>
      <w:r>
        <w:rPr>
          <w:rFonts w:hint="eastAsia"/>
          <w:sz w:val="21"/>
          <w:szCs w:val="21"/>
        </w:rPr>
        <w:t>投资者可以登录基金管理人网站（http://www.bosera.com）自助订阅；或发送“订阅电子对账单”邮件到客服邮箱service@bosera.com；也可直接拨打博时一线通95105568（免长途话费）订阅。</w:t>
      </w:r>
    </w:p>
    <w:p>
      <w:pPr>
        <w:pStyle w:val="9"/>
        <w:spacing w:before="0" w:beforeAutospacing="0" w:after="0" w:afterAutospacing="0" w:line="360" w:lineRule="auto"/>
        <w:ind w:firstLine="420"/>
        <w:rPr>
          <w:sz w:val="21"/>
          <w:szCs w:val="21"/>
        </w:rPr>
      </w:pPr>
      <w:r>
        <w:rPr>
          <w:rFonts w:hint="eastAsia"/>
          <w:sz w:val="21"/>
          <w:szCs w:val="21"/>
        </w:rPr>
        <w:t>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w:t>
      </w:r>
    </w:p>
    <w:p>
      <w:pPr>
        <w:pStyle w:val="9"/>
        <w:spacing w:before="0" w:beforeAutospacing="0" w:after="0" w:afterAutospacing="0" w:line="360" w:lineRule="auto"/>
        <w:ind w:firstLine="420"/>
        <w:rPr>
          <w:sz w:val="21"/>
          <w:szCs w:val="21"/>
        </w:rPr>
      </w:pPr>
      <w:r>
        <w:rPr>
          <w:rFonts w:hint="eastAsia"/>
          <w:sz w:val="21"/>
          <w:szCs w:val="21"/>
        </w:rPr>
        <w:t>二、网上理财服务</w:t>
      </w:r>
    </w:p>
    <w:p>
      <w:pPr>
        <w:pStyle w:val="9"/>
        <w:spacing w:before="0" w:beforeAutospacing="0" w:after="0" w:afterAutospacing="0" w:line="360" w:lineRule="auto"/>
        <w:ind w:firstLine="420"/>
        <w:rPr>
          <w:sz w:val="21"/>
          <w:szCs w:val="21"/>
        </w:rPr>
      </w:pPr>
      <w:r>
        <w:rPr>
          <w:rFonts w:hint="eastAsia"/>
          <w:sz w:val="21"/>
          <w:szCs w:val="21"/>
        </w:rPr>
        <w:t>通过基金管理人网站，投资者可获得如下服务：</w:t>
      </w:r>
    </w:p>
    <w:p>
      <w:pPr>
        <w:pStyle w:val="9"/>
        <w:spacing w:before="0" w:beforeAutospacing="0" w:after="0" w:afterAutospacing="0" w:line="360" w:lineRule="auto"/>
        <w:ind w:firstLine="420"/>
        <w:rPr>
          <w:sz w:val="21"/>
          <w:szCs w:val="21"/>
        </w:rPr>
      </w:pPr>
      <w:r>
        <w:rPr>
          <w:rFonts w:hint="eastAsia"/>
          <w:sz w:val="21"/>
          <w:szCs w:val="21"/>
        </w:rPr>
        <w:t>1、自助开户交易</w:t>
      </w:r>
    </w:p>
    <w:p>
      <w:pPr>
        <w:pStyle w:val="9"/>
        <w:spacing w:before="0" w:beforeAutospacing="0" w:after="0" w:afterAutospacing="0" w:line="360" w:lineRule="auto"/>
        <w:ind w:firstLine="420"/>
        <w:rPr>
          <w:sz w:val="21"/>
          <w:szCs w:val="21"/>
        </w:rPr>
      </w:pPr>
      <w:r>
        <w:rPr>
          <w:rFonts w:hint="eastAsia"/>
          <w:sz w:val="21"/>
          <w:szCs w:val="21"/>
        </w:rPr>
        <w:t>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w:t>
      </w:r>
    </w:p>
    <w:p>
      <w:pPr>
        <w:pStyle w:val="9"/>
        <w:spacing w:before="0" w:beforeAutospacing="0" w:after="0" w:afterAutospacing="0" w:line="360" w:lineRule="auto"/>
        <w:ind w:firstLine="420"/>
        <w:rPr>
          <w:sz w:val="21"/>
          <w:szCs w:val="21"/>
        </w:rPr>
      </w:pPr>
      <w:r>
        <w:rPr>
          <w:rFonts w:hint="eastAsia"/>
          <w:sz w:val="21"/>
          <w:szCs w:val="21"/>
        </w:rPr>
        <w:t>2、查询服务</w:t>
      </w:r>
    </w:p>
    <w:p>
      <w:pPr>
        <w:pStyle w:val="9"/>
        <w:spacing w:before="0" w:beforeAutospacing="0" w:after="0" w:afterAutospacing="0" w:line="360" w:lineRule="auto"/>
        <w:ind w:firstLine="420"/>
        <w:rPr>
          <w:sz w:val="21"/>
          <w:szCs w:val="21"/>
        </w:rPr>
      </w:pPr>
      <w:r>
        <w:rPr>
          <w:rFonts w:hint="eastAsia"/>
          <w:sz w:val="21"/>
          <w:szCs w:val="21"/>
        </w:rPr>
        <w:t>投资者可以通过基金管理人网站查询所持有基金的基金份额、交易记录等信息，同时可以修改基金账户信息等基本资料。</w:t>
      </w:r>
    </w:p>
    <w:p>
      <w:pPr>
        <w:pStyle w:val="9"/>
        <w:spacing w:before="0" w:beforeAutospacing="0" w:after="0" w:afterAutospacing="0" w:line="360" w:lineRule="auto"/>
        <w:ind w:firstLine="420"/>
        <w:rPr>
          <w:sz w:val="21"/>
          <w:szCs w:val="21"/>
        </w:rPr>
      </w:pPr>
      <w:r>
        <w:rPr>
          <w:rFonts w:hint="eastAsia"/>
          <w:sz w:val="21"/>
          <w:szCs w:val="21"/>
        </w:rPr>
        <w:t>3、信息资讯服务</w:t>
      </w:r>
    </w:p>
    <w:p>
      <w:pPr>
        <w:pStyle w:val="9"/>
        <w:spacing w:before="0" w:beforeAutospacing="0" w:after="0" w:afterAutospacing="0" w:line="360" w:lineRule="auto"/>
        <w:ind w:firstLine="420"/>
        <w:rPr>
          <w:sz w:val="21"/>
          <w:szCs w:val="21"/>
        </w:rPr>
      </w:pPr>
      <w:r>
        <w:rPr>
          <w:rFonts w:hint="eastAsia"/>
          <w:sz w:val="21"/>
          <w:szCs w:val="21"/>
        </w:rPr>
        <w:t>投资者可以利用基金管理人网站获取基金和基金管理人各类信息，包括基金法律文件、基金管理人最新动态、热点问题等。</w:t>
      </w:r>
    </w:p>
    <w:p>
      <w:pPr>
        <w:pStyle w:val="9"/>
        <w:spacing w:before="0" w:beforeAutospacing="0" w:after="0" w:afterAutospacing="0" w:line="360" w:lineRule="auto"/>
        <w:ind w:firstLine="420"/>
        <w:rPr>
          <w:sz w:val="21"/>
          <w:szCs w:val="21"/>
        </w:rPr>
      </w:pPr>
      <w:r>
        <w:rPr>
          <w:rFonts w:hint="eastAsia"/>
          <w:sz w:val="21"/>
          <w:szCs w:val="21"/>
        </w:rPr>
        <w:t>4、在线客服</w:t>
      </w:r>
    </w:p>
    <w:p>
      <w:pPr>
        <w:pStyle w:val="9"/>
        <w:spacing w:before="0" w:beforeAutospacing="0" w:after="0" w:afterAutospacing="0" w:line="360" w:lineRule="auto"/>
        <w:ind w:firstLine="420"/>
        <w:rPr>
          <w:sz w:val="21"/>
          <w:szCs w:val="21"/>
        </w:rPr>
      </w:pPr>
      <w:r>
        <w:rPr>
          <w:rFonts w:hint="eastAsia"/>
          <w:sz w:val="21"/>
          <w:szCs w:val="21"/>
        </w:rPr>
        <w:t>投资者可以通过基金管理人网站首页“在线客服”功能进行在线咨询。也可以在“您问我答”栏目中，直接提出有关本基金的问题和建议。</w:t>
      </w:r>
    </w:p>
    <w:p>
      <w:pPr>
        <w:pStyle w:val="9"/>
        <w:spacing w:before="0" w:beforeAutospacing="0" w:after="0" w:afterAutospacing="0" w:line="360" w:lineRule="auto"/>
        <w:ind w:firstLine="420"/>
        <w:rPr>
          <w:sz w:val="21"/>
          <w:szCs w:val="21"/>
        </w:rPr>
      </w:pPr>
      <w:r>
        <w:rPr>
          <w:rStyle w:val="14"/>
          <w:rFonts w:hint="eastAsia"/>
          <w:sz w:val="21"/>
          <w:szCs w:val="21"/>
        </w:rPr>
        <w:t>三、短信服务</w:t>
      </w:r>
    </w:p>
    <w:p>
      <w:pPr>
        <w:pStyle w:val="9"/>
        <w:spacing w:before="0" w:beforeAutospacing="0" w:after="0" w:afterAutospacing="0" w:line="360" w:lineRule="auto"/>
        <w:ind w:firstLine="420"/>
        <w:rPr>
          <w:sz w:val="21"/>
          <w:szCs w:val="21"/>
        </w:rPr>
      </w:pPr>
      <w:r>
        <w:rPr>
          <w:rFonts w:hint="eastAsia"/>
          <w:sz w:val="21"/>
          <w:szCs w:val="21"/>
        </w:rPr>
        <w:t>基金管理人向订制短信服务的基金份额持有人提供相应短信服务。</w:t>
      </w:r>
    </w:p>
    <w:p>
      <w:pPr>
        <w:pStyle w:val="9"/>
        <w:spacing w:before="0" w:beforeAutospacing="0" w:after="0" w:afterAutospacing="0" w:line="360" w:lineRule="auto"/>
        <w:ind w:firstLine="420"/>
        <w:rPr>
          <w:sz w:val="21"/>
          <w:szCs w:val="21"/>
        </w:rPr>
      </w:pPr>
      <w:r>
        <w:rPr>
          <w:rStyle w:val="14"/>
          <w:rFonts w:hint="eastAsia"/>
          <w:sz w:val="21"/>
          <w:szCs w:val="21"/>
        </w:rPr>
        <w:t>四、电子邮件服务</w:t>
      </w:r>
    </w:p>
    <w:p>
      <w:pPr>
        <w:pStyle w:val="9"/>
        <w:spacing w:before="0" w:beforeAutospacing="0" w:after="0" w:afterAutospacing="0" w:line="360" w:lineRule="auto"/>
        <w:ind w:firstLine="420"/>
        <w:rPr>
          <w:sz w:val="21"/>
          <w:szCs w:val="21"/>
        </w:rPr>
      </w:pPr>
      <w:r>
        <w:rPr>
          <w:rFonts w:hint="eastAsia"/>
          <w:sz w:val="21"/>
          <w:szCs w:val="21"/>
        </w:rPr>
        <w:t>基金管理人为投资者提供电子邮件方式的业务咨询、投诉受理、基金份额净值等服务。</w:t>
      </w:r>
    </w:p>
    <w:p>
      <w:pPr>
        <w:pStyle w:val="9"/>
        <w:spacing w:before="0" w:beforeAutospacing="0" w:after="0" w:afterAutospacing="0" w:line="360" w:lineRule="auto"/>
        <w:ind w:firstLine="420"/>
        <w:rPr>
          <w:sz w:val="21"/>
          <w:szCs w:val="21"/>
        </w:rPr>
      </w:pPr>
      <w:r>
        <w:rPr>
          <w:rStyle w:val="14"/>
          <w:rFonts w:hint="eastAsia"/>
          <w:sz w:val="21"/>
          <w:szCs w:val="21"/>
        </w:rPr>
        <w:t>五、手机理财服务</w:t>
      </w:r>
    </w:p>
    <w:p>
      <w:pPr>
        <w:pStyle w:val="9"/>
        <w:spacing w:before="0" w:beforeAutospacing="0" w:after="0" w:afterAutospacing="0" w:line="360" w:lineRule="auto"/>
        <w:ind w:firstLine="420"/>
        <w:rPr>
          <w:sz w:val="21"/>
          <w:szCs w:val="21"/>
        </w:rPr>
      </w:pPr>
      <w:r>
        <w:rPr>
          <w:rFonts w:hint="eastAsia"/>
          <w:sz w:val="21"/>
          <w:szCs w:val="21"/>
        </w:rPr>
        <w:t>投资者通过手机博时移动版直销网上交易系统（http://m.bosera.com）和博时App版直销网上交易系统，可以使用基金理财所需的基金交易、理财查询、账户管理、信息资讯等功能和服务。</w:t>
      </w:r>
    </w:p>
    <w:p>
      <w:pPr>
        <w:pStyle w:val="9"/>
        <w:spacing w:before="0" w:beforeAutospacing="0" w:after="0" w:afterAutospacing="0" w:line="360" w:lineRule="auto"/>
        <w:ind w:firstLine="420"/>
        <w:rPr>
          <w:sz w:val="21"/>
          <w:szCs w:val="21"/>
        </w:rPr>
      </w:pPr>
      <w:r>
        <w:rPr>
          <w:rStyle w:val="14"/>
          <w:rFonts w:hint="eastAsia"/>
          <w:sz w:val="21"/>
          <w:szCs w:val="21"/>
        </w:rPr>
        <w:t>六、信息订阅服务</w:t>
      </w:r>
    </w:p>
    <w:p>
      <w:pPr>
        <w:pStyle w:val="9"/>
        <w:spacing w:before="0" w:beforeAutospacing="0" w:after="0" w:afterAutospacing="0" w:line="360" w:lineRule="auto"/>
        <w:ind w:firstLine="420"/>
        <w:rPr>
          <w:sz w:val="21"/>
          <w:szCs w:val="21"/>
        </w:rPr>
      </w:pPr>
      <w:r>
        <w:rPr>
          <w:rFonts w:hint="eastAsia"/>
          <w:sz w:val="21"/>
          <w:szCs w:val="21"/>
        </w:rPr>
        <w:t>投资者可以通过基金管理人网站、客服中心提交信息订制的申请，基金管理人将以电子邮件、手机短信的形式定期为投资者发送所订制的信息。</w:t>
      </w:r>
    </w:p>
    <w:p>
      <w:pPr>
        <w:pStyle w:val="9"/>
        <w:spacing w:before="0" w:beforeAutospacing="0" w:after="0" w:afterAutospacing="0" w:line="360" w:lineRule="auto"/>
        <w:ind w:firstLine="420"/>
        <w:rPr>
          <w:sz w:val="21"/>
          <w:szCs w:val="21"/>
        </w:rPr>
      </w:pPr>
      <w:r>
        <w:rPr>
          <w:rStyle w:val="14"/>
          <w:rFonts w:hint="eastAsia"/>
          <w:sz w:val="21"/>
          <w:szCs w:val="21"/>
        </w:rPr>
        <w:t>七、电话理财服务</w:t>
      </w:r>
    </w:p>
    <w:p>
      <w:pPr>
        <w:pStyle w:val="9"/>
        <w:spacing w:before="0" w:beforeAutospacing="0" w:after="0" w:afterAutospacing="0" w:line="360" w:lineRule="auto"/>
        <w:ind w:firstLine="420"/>
        <w:rPr>
          <w:sz w:val="21"/>
          <w:szCs w:val="21"/>
        </w:rPr>
      </w:pPr>
      <w:r>
        <w:rPr>
          <w:rFonts w:hint="eastAsia"/>
          <w:sz w:val="21"/>
          <w:szCs w:val="21"/>
        </w:rPr>
        <w:t>投资者拨打博时一线通：95105568（免长途话费）可享有投资理财交易的一站式综合服务：</w:t>
      </w:r>
    </w:p>
    <w:p>
      <w:pPr>
        <w:pStyle w:val="9"/>
        <w:spacing w:before="0" w:beforeAutospacing="0" w:after="0" w:afterAutospacing="0" w:line="360" w:lineRule="auto"/>
        <w:ind w:firstLine="420"/>
        <w:rPr>
          <w:sz w:val="21"/>
          <w:szCs w:val="21"/>
        </w:rPr>
      </w:pPr>
      <w:r>
        <w:rPr>
          <w:rFonts w:hint="eastAsia"/>
          <w:sz w:val="21"/>
          <w:szCs w:val="21"/>
        </w:rPr>
        <w:t>1、自助语音服务：基金管理人自助语音系统提供7×24小时的全天候服务，投资者可以自助查询账户余额、交易情况、基金净值等信息，也可以进行直销交易、密码修改、传真索取等操作。</w:t>
      </w:r>
    </w:p>
    <w:p>
      <w:pPr>
        <w:pStyle w:val="9"/>
        <w:spacing w:before="0" w:beforeAutospacing="0" w:after="0" w:afterAutospacing="0" w:line="360" w:lineRule="auto"/>
        <w:ind w:firstLine="420"/>
        <w:rPr>
          <w:sz w:val="21"/>
          <w:szCs w:val="21"/>
        </w:rPr>
      </w:pPr>
      <w:r>
        <w:rPr>
          <w:rFonts w:hint="eastAsia"/>
          <w:sz w:val="21"/>
          <w:szCs w:val="21"/>
        </w:rPr>
        <w:t>2、电话交易服务：基金管理人直销投资者可通过博时一线通电话交易平台在线办理基金的赎回、变更分红方式、撤单等直销交易业务。</w:t>
      </w:r>
    </w:p>
    <w:p>
      <w:pPr>
        <w:pStyle w:val="9"/>
        <w:spacing w:before="0" w:beforeAutospacing="0" w:after="0" w:afterAutospacing="0" w:line="360" w:lineRule="auto"/>
        <w:ind w:firstLine="420"/>
        <w:rPr>
          <w:sz w:val="21"/>
          <w:szCs w:val="21"/>
        </w:rPr>
      </w:pPr>
      <w:r>
        <w:rPr>
          <w:rFonts w:hint="eastAsia"/>
          <w:sz w:val="21"/>
          <w:szCs w:val="21"/>
        </w:rPr>
        <w:t>3、人工电话服务：投资者可以获得业务咨询、信息查询、资料修改、投诉受理、信息订制、账户诊断等服务。</w:t>
      </w:r>
    </w:p>
    <w:p>
      <w:pPr>
        <w:pStyle w:val="9"/>
        <w:spacing w:before="0" w:beforeAutospacing="0" w:after="0" w:afterAutospacing="0" w:line="360" w:lineRule="auto"/>
        <w:ind w:firstLine="420"/>
        <w:rPr>
          <w:sz w:val="21"/>
          <w:szCs w:val="21"/>
        </w:rPr>
      </w:pPr>
      <w:r>
        <w:rPr>
          <w:rFonts w:hint="eastAsia"/>
          <w:sz w:val="21"/>
          <w:szCs w:val="21"/>
        </w:rPr>
        <w:t>4、电话留言服务：非人工服务时间或线路繁忙时，投资者可进行电话留言。</w:t>
      </w:r>
    </w:p>
    <w:p>
      <w:pPr>
        <w:pStyle w:val="9"/>
        <w:spacing w:before="0" w:beforeAutospacing="0" w:after="0" w:afterAutospacing="0" w:line="360" w:lineRule="auto"/>
        <w:ind w:firstLine="420"/>
        <w:rPr>
          <w:sz w:val="21"/>
          <w:szCs w:val="21"/>
        </w:rPr>
      </w:pPr>
      <w:r>
        <w:rPr>
          <w:rStyle w:val="14"/>
          <w:rFonts w:hint="eastAsia"/>
          <w:sz w:val="21"/>
          <w:szCs w:val="21"/>
        </w:rPr>
        <w:t>八、基金管理人联系方式</w:t>
      </w:r>
    </w:p>
    <w:p>
      <w:pPr>
        <w:pStyle w:val="9"/>
        <w:spacing w:before="0" w:beforeAutospacing="0" w:after="0" w:afterAutospacing="0" w:line="360" w:lineRule="auto"/>
        <w:ind w:firstLine="420"/>
        <w:rPr>
          <w:sz w:val="21"/>
          <w:szCs w:val="21"/>
        </w:rPr>
      </w:pPr>
      <w:r>
        <w:rPr>
          <w:rFonts w:hint="eastAsia"/>
          <w:sz w:val="21"/>
          <w:szCs w:val="21"/>
        </w:rPr>
        <w:t>公司网址： www.bosera.com </w:t>
      </w:r>
    </w:p>
    <w:p>
      <w:pPr>
        <w:pStyle w:val="9"/>
        <w:spacing w:before="0" w:beforeAutospacing="0" w:after="0" w:afterAutospacing="0" w:line="360" w:lineRule="auto"/>
        <w:ind w:firstLine="420"/>
        <w:rPr>
          <w:sz w:val="21"/>
          <w:szCs w:val="21"/>
        </w:rPr>
      </w:pPr>
      <w:r>
        <w:rPr>
          <w:rFonts w:hint="eastAsia"/>
          <w:sz w:val="21"/>
          <w:szCs w:val="21"/>
        </w:rPr>
        <w:t>电子信箱：service@bosera.com</w:t>
      </w:r>
    </w:p>
    <w:p>
      <w:pPr>
        <w:pStyle w:val="9"/>
        <w:spacing w:before="0" w:beforeAutospacing="0" w:after="0" w:afterAutospacing="0" w:line="360" w:lineRule="auto"/>
        <w:ind w:firstLine="420"/>
        <w:rPr>
          <w:sz w:val="21"/>
          <w:szCs w:val="21"/>
        </w:rPr>
      </w:pPr>
      <w:r>
        <w:rPr>
          <w:rFonts w:hint="eastAsia"/>
          <w:sz w:val="21"/>
          <w:szCs w:val="21"/>
        </w:rPr>
        <w:t>博时一线通客服电话：95105568（免长途话费）</w:t>
      </w:r>
    </w:p>
    <w:p>
      <w:pPr>
        <w:pStyle w:val="9"/>
        <w:spacing w:before="0" w:beforeAutospacing="0" w:after="0" w:afterAutospacing="0" w:line="360" w:lineRule="auto"/>
        <w:ind w:firstLine="420"/>
        <w:rPr>
          <w:sz w:val="21"/>
          <w:szCs w:val="21"/>
        </w:rPr>
      </w:pPr>
      <w:r>
        <w:rPr>
          <w:rStyle w:val="14"/>
          <w:rFonts w:hint="eastAsia"/>
          <w:sz w:val="21"/>
          <w:szCs w:val="21"/>
        </w:rPr>
        <w:t>九、如本招募说明书存在任何您/贵机构无法理解的内容，请通过上述方式联系基金管</w:t>
      </w:r>
      <w:bookmarkStart w:id="186" w:name="chapter_level1_24_75_section_1_end"/>
      <w:bookmarkEnd w:id="186"/>
      <w:r>
        <w:rPr>
          <w:rStyle w:val="14"/>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7" w:name="_Toc151126586"/>
      <w:bookmarkStart w:id="188" w:name="chapter_level1_25_3499"/>
      <w:r>
        <w:rPr>
          <w:rFonts w:hint="eastAsia" w:ascii="宋体" w:hAnsi="宋体" w:eastAsia="宋体"/>
          <w:sz w:val="30"/>
        </w:rPr>
        <w:t>第二十二部分 其他应披露的事项</w:t>
      </w:r>
      <w:bookmarkEnd w:id="187"/>
      <w:bookmarkEnd w:id="188"/>
    </w:p>
    <w:p>
      <w:pPr>
        <w:pStyle w:val="9"/>
        <w:spacing w:before="0" w:beforeAutospacing="0" w:after="0" w:afterAutospacing="0" w:line="360" w:lineRule="auto"/>
        <w:ind w:firstLine="420"/>
        <w:rPr>
          <w:sz w:val="21"/>
          <w:szCs w:val="21"/>
        </w:rPr>
      </w:pPr>
      <w:bookmarkStart w:id="189" w:name="chapter_level1_25_3499_section_1"/>
      <w:bookmarkEnd w:id="189"/>
      <w:bookmarkStart w:id="190" w:name="field_0_bsrevealinfo_1_start"/>
      <w:bookmarkEnd w:id="190"/>
      <w:r>
        <w:rPr>
          <w:rFonts w:hint="eastAsia"/>
          <w:sz w:val="21"/>
          <w:szCs w:val="21"/>
        </w:rPr>
        <w:t>（一）、2023年10月25日，我公司公告了《博时中证有色金属矿业主题指数证券投资基金2023年第3季度报告》；</w:t>
      </w:r>
    </w:p>
    <w:p>
      <w:pPr>
        <w:pStyle w:val="9"/>
        <w:spacing w:before="0" w:beforeAutospacing="0" w:after="0" w:afterAutospacing="0" w:line="360" w:lineRule="auto"/>
        <w:ind w:firstLine="420"/>
        <w:rPr>
          <w:sz w:val="21"/>
          <w:szCs w:val="21"/>
        </w:rPr>
      </w:pPr>
      <w:r>
        <w:rPr>
          <w:rFonts w:hint="eastAsia"/>
          <w:sz w:val="21"/>
          <w:szCs w:val="21"/>
        </w:rPr>
        <w:t>（二）、2023年10月17日，我公司公告了《博时基金管理有限公司关于博时中证有色金属矿业主题指数证券投资基金可能触发基金合同终止情形的提示公告》；</w:t>
      </w:r>
    </w:p>
    <w:p>
      <w:pPr>
        <w:pStyle w:val="9"/>
        <w:spacing w:before="0" w:beforeAutospacing="0" w:after="0" w:afterAutospacing="0" w:line="360" w:lineRule="auto"/>
        <w:ind w:firstLine="420"/>
        <w:rPr>
          <w:sz w:val="21"/>
          <w:szCs w:val="21"/>
        </w:rPr>
      </w:pPr>
      <w:r>
        <w:rPr>
          <w:rFonts w:hint="eastAsia"/>
          <w:sz w:val="21"/>
          <w:szCs w:val="21"/>
        </w:rPr>
        <w:t>（三）、2023年10月10日，我公司公告了《博时基金管理有限公司关于博时中证有色金属矿业主题指数证券投资基金可能触发基金合同终止情形的提示公告》；</w:t>
      </w:r>
    </w:p>
    <w:p>
      <w:pPr>
        <w:pStyle w:val="9"/>
        <w:spacing w:before="0" w:beforeAutospacing="0" w:after="0" w:afterAutospacing="0" w:line="360" w:lineRule="auto"/>
        <w:ind w:firstLine="420"/>
        <w:rPr>
          <w:sz w:val="21"/>
          <w:szCs w:val="21"/>
        </w:rPr>
      </w:pPr>
      <w:r>
        <w:rPr>
          <w:rFonts w:hint="eastAsia"/>
          <w:sz w:val="21"/>
          <w:szCs w:val="21"/>
        </w:rPr>
        <w:t>（四）、2023年9月16日，我公司公告了《博时基金管理有限公司关于博时中证有色金属矿业主题指数证券投资基金可能触发基金合同终止情形的提示公告》；</w:t>
      </w:r>
    </w:p>
    <w:p>
      <w:pPr>
        <w:pStyle w:val="9"/>
        <w:spacing w:before="0" w:beforeAutospacing="0" w:after="0" w:afterAutospacing="0" w:line="360" w:lineRule="auto"/>
        <w:ind w:firstLine="420"/>
        <w:rPr>
          <w:sz w:val="21"/>
          <w:szCs w:val="21"/>
        </w:rPr>
      </w:pPr>
      <w:r>
        <w:rPr>
          <w:rFonts w:hint="eastAsia"/>
          <w:sz w:val="21"/>
          <w:szCs w:val="21"/>
        </w:rPr>
        <w:t>（五）、2023年8月22日，我公司公告了《博时基金管理有限公司旗下基金在兴业银行钱大掌柜开展费率优惠活动的公告》；</w:t>
      </w:r>
    </w:p>
    <w:p>
      <w:pPr>
        <w:pStyle w:val="9"/>
        <w:spacing w:before="0" w:beforeAutospacing="0" w:after="0" w:afterAutospacing="0" w:line="360" w:lineRule="auto"/>
        <w:ind w:firstLine="420"/>
        <w:rPr>
          <w:sz w:val="21"/>
          <w:szCs w:val="21"/>
        </w:rPr>
      </w:pPr>
      <w:r>
        <w:rPr>
          <w:rFonts w:hint="eastAsia"/>
          <w:sz w:val="21"/>
          <w:szCs w:val="21"/>
        </w:rPr>
        <w:t>（六）、2023年8月3日，我公司公告了《博时基金管理有限公司关于与银联商务股份有限公司合作开通华夏银行借记卡直销网上交易和费率优惠的公告》、《博时基金管理有限公司关于与上海银联电子支付服务有限公司合作开通的华夏银行借记卡网上支付服务迁移的公告》；</w:t>
      </w:r>
    </w:p>
    <w:p>
      <w:pPr>
        <w:pStyle w:val="9"/>
        <w:spacing w:before="0" w:beforeAutospacing="0" w:after="0" w:afterAutospacing="0" w:line="360" w:lineRule="auto"/>
        <w:ind w:firstLine="420"/>
        <w:rPr>
          <w:sz w:val="21"/>
          <w:szCs w:val="21"/>
        </w:rPr>
      </w:pPr>
      <w:r>
        <w:rPr>
          <w:rFonts w:hint="eastAsia"/>
          <w:sz w:val="21"/>
          <w:szCs w:val="21"/>
        </w:rPr>
        <w:t>（七）、2023年6月14日，我公司公告了《关于博时中证有色金属矿业主题指数证券投资基金开通直销网上交易定期投资业务的公告》；</w:t>
      </w:r>
    </w:p>
    <w:p>
      <w:pPr>
        <w:pStyle w:val="9"/>
        <w:spacing w:before="0" w:beforeAutospacing="0" w:after="0" w:afterAutospacing="0" w:line="360" w:lineRule="auto"/>
        <w:ind w:firstLine="420"/>
        <w:rPr>
          <w:sz w:val="21"/>
          <w:szCs w:val="21"/>
        </w:rPr>
      </w:pPr>
      <w:r>
        <w:rPr>
          <w:rFonts w:hint="eastAsia"/>
          <w:sz w:val="21"/>
          <w:szCs w:val="21"/>
        </w:rPr>
        <w:t>（八）、2023年6月8日，我公司公告了《博时中证有色金属矿业主题指数证券投资基金开放日常申购、赎回、转换、定期定额投资业务的公告》；</w:t>
      </w:r>
    </w:p>
    <w:p>
      <w:pPr>
        <w:pStyle w:val="9"/>
        <w:spacing w:before="0" w:beforeAutospacing="0" w:after="0" w:afterAutospacing="0" w:line="360" w:lineRule="auto"/>
        <w:ind w:firstLine="420"/>
        <w:rPr>
          <w:sz w:val="21"/>
          <w:szCs w:val="21"/>
        </w:rPr>
      </w:pPr>
      <w:r>
        <w:rPr>
          <w:rFonts w:hint="eastAsia"/>
          <w:sz w:val="21"/>
          <w:szCs w:val="21"/>
        </w:rPr>
        <w:t>（九）、2023年6月1日，我公司公告了《博时基金管理有限公司关于旗下基金持有的长期停牌股票调整估值方法的公告-20230601》；</w:t>
      </w:r>
    </w:p>
    <w:p>
      <w:pPr>
        <w:pStyle w:val="9"/>
        <w:spacing w:before="0" w:beforeAutospacing="0" w:after="0" w:afterAutospacing="0" w:line="360" w:lineRule="auto"/>
        <w:ind w:firstLine="420"/>
        <w:rPr>
          <w:sz w:val="21"/>
          <w:szCs w:val="21"/>
        </w:rPr>
      </w:pPr>
      <w:r>
        <w:rPr>
          <w:rFonts w:hint="eastAsia"/>
          <w:sz w:val="21"/>
          <w:szCs w:val="21"/>
        </w:rPr>
        <w:t>（十）、2023年5月27日，我公司公告了《博时基金管理有限公司关于高级管理人员变更的公告》；</w:t>
      </w:r>
    </w:p>
    <w:p>
      <w:pPr>
        <w:pStyle w:val="9"/>
        <w:spacing w:before="0" w:beforeAutospacing="0" w:after="0" w:afterAutospacing="0" w:line="360" w:lineRule="auto"/>
        <w:ind w:firstLine="420"/>
        <w:rPr>
          <w:sz w:val="21"/>
          <w:szCs w:val="21"/>
        </w:rPr>
      </w:pPr>
      <w:r>
        <w:rPr>
          <w:rFonts w:hint="eastAsia"/>
          <w:sz w:val="21"/>
          <w:szCs w:val="21"/>
        </w:rPr>
        <w:t>（十一）、2023年5月18日，我公司公告了《博时中证有色金属矿业主题指数证券投资基金（博时中证有色金属矿业主题指数A）基金产品资料概要更新》、《博时中证有色金属矿业主题指数证券投资基金（博时中证有色金属矿业主题指数C）基金产品资料概要更新》；</w:t>
      </w:r>
    </w:p>
    <w:p>
      <w:pPr>
        <w:pStyle w:val="9"/>
        <w:spacing w:before="0" w:beforeAutospacing="0" w:after="0" w:afterAutospacing="0" w:line="360" w:lineRule="auto"/>
        <w:ind w:firstLine="420"/>
        <w:rPr>
          <w:sz w:val="21"/>
          <w:szCs w:val="21"/>
        </w:rPr>
      </w:pPr>
      <w:r>
        <w:rPr>
          <w:rFonts w:hint="eastAsia"/>
          <w:sz w:val="21"/>
          <w:szCs w:val="21"/>
        </w:rPr>
        <w:t>（十二）、2023年5月17日，我公司公告了《博时中证有色金属矿业主题指数证券投资基金合同生效公告》；</w:t>
      </w:r>
    </w:p>
    <w:p>
      <w:pPr>
        <w:pStyle w:val="9"/>
        <w:spacing w:before="0" w:beforeAutospacing="0" w:after="0" w:afterAutospacing="0" w:line="360" w:lineRule="auto"/>
        <w:ind w:firstLine="420"/>
        <w:rPr>
          <w:sz w:val="21"/>
          <w:szCs w:val="21"/>
        </w:rPr>
      </w:pPr>
      <w:r>
        <w:rPr>
          <w:rFonts w:hint="eastAsia"/>
          <w:sz w:val="21"/>
          <w:szCs w:val="21"/>
        </w:rPr>
        <w:t>（十三）、2023年4月21日，我公司公告了《关于博时中证有色金属矿业主题指数证券投资基金延长募集时间公告》；</w:t>
      </w:r>
    </w:p>
    <w:p>
      <w:pPr>
        <w:pStyle w:val="9"/>
        <w:spacing w:before="0" w:beforeAutospacing="0" w:after="0" w:afterAutospacing="0" w:line="360" w:lineRule="auto"/>
        <w:ind w:firstLine="420"/>
        <w:rPr>
          <w:sz w:val="21"/>
          <w:szCs w:val="21"/>
        </w:rPr>
      </w:pPr>
      <w:r>
        <w:rPr>
          <w:rFonts w:hint="eastAsia"/>
          <w:sz w:val="21"/>
          <w:szCs w:val="21"/>
        </w:rPr>
        <w:t>（十四）、2023年3月17日，我公司公告了《博时中证有色金属矿业主题指数证券投资基金招募说明书》、《博时中证有色金属矿业主题指数证券投资基金托管协议》、《博时中证有色金属矿业主题指数证券投资基金基金合同》、《博时中证有色金属矿业主题指数证券投资基金基金份额发售公告》、《博时中证有色金属矿业主题指数证券投资基金（博时中证有色金属矿业主题指数A）基金产品资料概要》、《博时中证有色金属矿业主题指数证券</w:t>
      </w:r>
      <w:bookmarkStart w:id="191" w:name="chapter_level1_25_3499_section_1_end"/>
      <w:bookmarkEnd w:id="191"/>
      <w:r>
        <w:rPr>
          <w:rFonts w:hint="eastAsia"/>
          <w:sz w:val="21"/>
          <w:szCs w:val="21"/>
        </w:rPr>
        <w:t>投资基金（博时中证有色金属矿业主题指数C）基金产品资料概要》。</w:t>
      </w:r>
      <w:bookmarkStart w:id="192" w:name="field_0_bsrevealinfo_1_end"/>
      <w:bookmarkEnd w:id="19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3" w:name="chapter_level1_26_77"/>
      <w:bookmarkStart w:id="194" w:name="_Toc151126587"/>
      <w:r>
        <w:rPr>
          <w:rFonts w:hint="eastAsia" w:ascii="宋体" w:hAnsi="宋体" w:eastAsia="宋体"/>
          <w:sz w:val="30"/>
        </w:rPr>
        <w:t>第二十三部分  招募说明书的存放及查阅方式</w:t>
      </w:r>
      <w:bookmarkEnd w:id="193"/>
      <w:bookmarkEnd w:id="194"/>
    </w:p>
    <w:p>
      <w:pPr>
        <w:pStyle w:val="9"/>
        <w:spacing w:before="0" w:beforeAutospacing="0" w:after="0" w:afterAutospacing="0" w:line="360" w:lineRule="auto"/>
        <w:ind w:firstLine="420"/>
        <w:rPr>
          <w:sz w:val="21"/>
          <w:szCs w:val="21"/>
        </w:rPr>
      </w:pPr>
      <w:bookmarkStart w:id="195" w:name="chapter_level1_26_77_section_1"/>
      <w:bookmarkEnd w:id="195"/>
      <w:r>
        <w:rPr>
          <w:rFonts w:hint="eastAsia"/>
          <w:sz w:val="21"/>
          <w:szCs w:val="21"/>
        </w:rPr>
        <w:t xml:space="preserve">本招募说明书存放在本基金管理人、基金托管人的住所，投资人可在办公时间免费查阅；也可按工本费购买本招募说明书复制件或复印件，但应以招募说明书正本为准。 </w:t>
      </w:r>
    </w:p>
    <w:p>
      <w:pPr>
        <w:pStyle w:val="9"/>
        <w:spacing w:before="0" w:beforeAutospacing="0" w:after="0" w:afterAutospacing="0" w:line="360" w:lineRule="auto"/>
        <w:ind w:firstLine="420"/>
        <w:rPr>
          <w:sz w:val="21"/>
          <w:szCs w:val="21"/>
        </w:rPr>
      </w:pPr>
      <w:r>
        <w:rPr>
          <w:rFonts w:hint="eastAsia"/>
          <w:sz w:val="21"/>
          <w:szCs w:val="21"/>
        </w:rPr>
        <w:t xml:space="preserve">基金管理人和基金托管人保证文本的内容与所公告的内容完全一致。 </w:t>
      </w:r>
    </w:p>
    <w:p>
      <w:pPr>
        <w:pStyle w:val="9"/>
        <w:spacing w:before="0" w:beforeAutospacing="0" w:after="0" w:afterAutospacing="0" w:line="360" w:lineRule="auto"/>
        <w:ind w:firstLine="420"/>
        <w:rPr>
          <w:sz w:val="21"/>
          <w:szCs w:val="21"/>
        </w:rPr>
      </w:pPr>
      <w:bookmarkStart w:id="196" w:name="chapter_level1_26_77_section_1_end"/>
      <w:bookmarkEnd w:id="196"/>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7" w:name="_Toc151126588"/>
      <w:bookmarkStart w:id="198" w:name="chapter_level1_27_332"/>
      <w:r>
        <w:rPr>
          <w:rFonts w:hint="eastAsia" w:ascii="宋体" w:hAnsi="宋体" w:eastAsia="宋体"/>
          <w:sz w:val="30"/>
        </w:rPr>
        <w:t>第二十四部分  备查文件</w:t>
      </w:r>
      <w:bookmarkEnd w:id="197"/>
      <w:bookmarkEnd w:id="198"/>
    </w:p>
    <w:p>
      <w:pPr>
        <w:pStyle w:val="9"/>
        <w:spacing w:before="0" w:beforeAutospacing="0" w:after="0" w:afterAutospacing="0" w:line="360" w:lineRule="auto"/>
        <w:ind w:firstLine="420"/>
        <w:rPr>
          <w:sz w:val="21"/>
          <w:szCs w:val="21"/>
        </w:rPr>
      </w:pPr>
      <w:bookmarkStart w:id="199" w:name="chapter_level1_27_332_section_1"/>
      <w:bookmarkEnd w:id="199"/>
      <w:r>
        <w:rPr>
          <w:rFonts w:hint="eastAsia"/>
          <w:sz w:val="21"/>
          <w:szCs w:val="21"/>
        </w:rPr>
        <w:t xml:space="preserve">以下备查文件存放在基金管理人的办公场所，在办公时间可供免费查阅。 </w:t>
      </w:r>
    </w:p>
    <w:p>
      <w:pPr>
        <w:pStyle w:val="9"/>
        <w:spacing w:before="0" w:beforeAutospacing="0" w:after="0" w:afterAutospacing="0" w:line="360" w:lineRule="auto"/>
        <w:ind w:firstLine="420"/>
        <w:rPr>
          <w:sz w:val="21"/>
          <w:szCs w:val="21"/>
        </w:rPr>
      </w:pPr>
      <w:r>
        <w:rPr>
          <w:rFonts w:hint="eastAsia"/>
          <w:sz w:val="21"/>
          <w:szCs w:val="21"/>
        </w:rPr>
        <w:t>（一）中国证监会准予</w:t>
      </w:r>
      <w:bookmarkStart w:id="200" w:name="field_0_productfullname_9"/>
      <w:r>
        <w:rPr>
          <w:rFonts w:hint="eastAsia"/>
          <w:sz w:val="21"/>
          <w:szCs w:val="21"/>
        </w:rPr>
        <w:t>博时中证有色金属矿业主题指数证券投资基金</w:t>
      </w:r>
      <w:bookmarkEnd w:id="200"/>
      <w:r>
        <w:rPr>
          <w:rFonts w:hint="eastAsia"/>
          <w:sz w:val="21"/>
          <w:szCs w:val="21"/>
        </w:rPr>
        <w:t xml:space="preserve">注册的文件 </w:t>
      </w:r>
    </w:p>
    <w:p>
      <w:pPr>
        <w:pStyle w:val="9"/>
        <w:spacing w:before="0" w:beforeAutospacing="0" w:after="0" w:afterAutospacing="0" w:line="360" w:lineRule="auto"/>
        <w:ind w:firstLine="420"/>
        <w:rPr>
          <w:sz w:val="21"/>
          <w:szCs w:val="21"/>
        </w:rPr>
      </w:pPr>
      <w:r>
        <w:rPr>
          <w:rFonts w:hint="eastAsia"/>
          <w:sz w:val="21"/>
          <w:szCs w:val="21"/>
        </w:rPr>
        <w:t>（二）《</w:t>
      </w:r>
      <w:bookmarkStart w:id="201" w:name="field_0_productfullname_10"/>
      <w:r>
        <w:rPr>
          <w:rFonts w:hint="eastAsia"/>
          <w:sz w:val="21"/>
          <w:szCs w:val="21"/>
        </w:rPr>
        <w:t>博时中证有色金属矿业主题指数证券投资基金</w:t>
      </w:r>
      <w:bookmarkEnd w:id="201"/>
      <w:r>
        <w:rPr>
          <w:rFonts w:hint="eastAsia"/>
          <w:sz w:val="21"/>
          <w:szCs w:val="21"/>
        </w:rPr>
        <w:t xml:space="preserve">基金合同》 </w:t>
      </w:r>
    </w:p>
    <w:p>
      <w:pPr>
        <w:pStyle w:val="9"/>
        <w:spacing w:before="0" w:beforeAutospacing="0" w:after="0" w:afterAutospacing="0" w:line="360" w:lineRule="auto"/>
        <w:ind w:firstLine="420"/>
        <w:rPr>
          <w:sz w:val="21"/>
          <w:szCs w:val="21"/>
        </w:rPr>
      </w:pPr>
      <w:r>
        <w:rPr>
          <w:rFonts w:hint="eastAsia"/>
          <w:sz w:val="21"/>
          <w:szCs w:val="21"/>
        </w:rPr>
        <w:t>（三）《</w:t>
      </w:r>
      <w:bookmarkStart w:id="202" w:name="field_0_productfullname_11"/>
      <w:r>
        <w:rPr>
          <w:rFonts w:hint="eastAsia"/>
          <w:sz w:val="21"/>
          <w:szCs w:val="21"/>
        </w:rPr>
        <w:t>博时中证有色金属矿业主题指数证券投资基金</w:t>
      </w:r>
      <w:bookmarkEnd w:id="202"/>
      <w:r>
        <w:rPr>
          <w:rFonts w:hint="eastAsia"/>
          <w:sz w:val="21"/>
          <w:szCs w:val="21"/>
        </w:rPr>
        <w:t xml:space="preserve">托管协议》 </w:t>
      </w:r>
    </w:p>
    <w:p>
      <w:pPr>
        <w:pStyle w:val="9"/>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9"/>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9"/>
        <w:spacing w:before="0" w:beforeAutospacing="0" w:after="0" w:afterAutospacing="0" w:line="360" w:lineRule="auto"/>
        <w:ind w:firstLine="420"/>
        <w:rPr>
          <w:sz w:val="21"/>
          <w:szCs w:val="21"/>
        </w:rPr>
      </w:pPr>
      <w:r>
        <w:rPr>
          <w:rFonts w:hint="eastAsia"/>
          <w:sz w:val="21"/>
          <w:szCs w:val="21"/>
        </w:rPr>
        <w:t xml:space="preserve">（六）法律意见书 </w:t>
      </w:r>
    </w:p>
    <w:p>
      <w:pPr>
        <w:pStyle w:val="9"/>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9"/>
        <w:spacing w:before="0" w:beforeAutospacing="0" w:after="0" w:afterAutospacing="0" w:line="360" w:lineRule="auto"/>
        <w:ind w:firstLine="420"/>
        <w:rPr>
          <w:sz w:val="21"/>
          <w:szCs w:val="21"/>
        </w:rPr>
      </w:pPr>
      <w:bookmarkStart w:id="203" w:name="chapter_level1_27_332_section_1_end"/>
      <w:bookmarkEnd w:id="203"/>
      <w:r>
        <w:rPr>
          <w:rFonts w:hint="eastAsia"/>
          <w:sz w:val="21"/>
          <w:szCs w:val="21"/>
        </w:rPr>
        <w:t xml:space="preserve">查阅方式：投资者可在营业时间免费查阅，也可按工本费购买复印件。 </w:t>
      </w:r>
    </w:p>
    <w:p>
      <w:pPr>
        <w:pStyle w:val="9"/>
        <w:spacing w:before="0" w:beforeAutospacing="0" w:after="0" w:afterAutospacing="0" w:line="360" w:lineRule="auto"/>
        <w:ind w:firstLine="420"/>
        <w:rPr>
          <w:sz w:val="21"/>
          <w:szCs w:val="21"/>
        </w:rPr>
      </w:pPr>
      <w:bookmarkStart w:id="204" w:name="chapter_level1_27_332_section_2"/>
      <w:bookmarkEnd w:id="204"/>
    </w:p>
    <w:p>
      <w:pPr>
        <w:pStyle w:val="9"/>
        <w:spacing w:before="0" w:beforeAutospacing="0" w:after="0" w:afterAutospacing="0" w:line="360" w:lineRule="auto"/>
        <w:ind w:firstLine="420"/>
        <w:rPr>
          <w:sz w:val="21"/>
          <w:szCs w:val="21"/>
        </w:rPr>
      </w:pPr>
    </w:p>
    <w:p>
      <w:pPr>
        <w:pStyle w:val="9"/>
        <w:spacing w:before="0" w:beforeAutospacing="0" w:after="0" w:afterAutospacing="0" w:line="360" w:lineRule="auto"/>
        <w:ind w:firstLine="420"/>
        <w:rPr>
          <w:sz w:val="21"/>
          <w:szCs w:val="21"/>
        </w:rPr>
      </w:pPr>
    </w:p>
    <w:p>
      <w:pPr>
        <w:pStyle w:val="9"/>
        <w:spacing w:before="0" w:beforeAutospacing="0" w:after="0" w:afterAutospacing="0" w:line="360" w:lineRule="auto"/>
        <w:ind w:firstLine="420"/>
        <w:rPr>
          <w:sz w:val="21"/>
          <w:szCs w:val="21"/>
        </w:rPr>
      </w:pPr>
    </w:p>
    <w:p>
      <w:pPr>
        <w:pStyle w:val="9"/>
        <w:spacing w:before="0" w:beforeAutospacing="0" w:after="0" w:afterAutospacing="0" w:line="360" w:lineRule="auto"/>
        <w:ind w:firstLine="420"/>
        <w:jc w:val="right"/>
        <w:rPr>
          <w:sz w:val="21"/>
          <w:szCs w:val="21"/>
        </w:rPr>
      </w:pPr>
      <w:bookmarkStart w:id="205" w:name="field_0_managerorgfullname_1"/>
      <w:r>
        <w:rPr>
          <w:rFonts w:hint="eastAsia"/>
          <w:sz w:val="21"/>
          <w:szCs w:val="21"/>
        </w:rPr>
        <w:t>博时基金管理有限公司</w:t>
      </w:r>
      <w:bookmarkEnd w:id="205"/>
      <w:r>
        <w:rPr>
          <w:rFonts w:hint="eastAsia"/>
          <w:sz w:val="21"/>
          <w:szCs w:val="21"/>
        </w:rPr>
        <w:t xml:space="preserve">  </w:t>
      </w:r>
    </w:p>
    <w:p>
      <w:pPr>
        <w:pStyle w:val="9"/>
        <w:spacing w:before="0" w:beforeAutospacing="0" w:after="0" w:afterAutospacing="0" w:line="360" w:lineRule="auto"/>
        <w:ind w:firstLine="420"/>
        <w:jc w:val="right"/>
        <w:rPr>
          <w:sz w:val="21"/>
          <w:szCs w:val="21"/>
        </w:rPr>
      </w:pPr>
      <w:bookmarkStart w:id="206" w:name="chapter_level1_27_332_section_2_end"/>
      <w:bookmarkEnd w:id="206"/>
      <w:bookmarkStart w:id="207" w:name="field_0_commitmenttime_1"/>
      <w:r>
        <w:rPr>
          <w:sz w:val="21"/>
          <w:szCs w:val="21"/>
        </w:rPr>
        <w:t>20</w:t>
      </w:r>
      <w:r>
        <w:rPr>
          <w:rFonts w:hint="eastAsia"/>
          <w:sz w:val="21"/>
          <w:szCs w:val="21"/>
          <w:lang w:val="en-US" w:eastAsia="zh-CN"/>
        </w:rPr>
        <w:t>24</w:t>
      </w:r>
      <w:r>
        <w:rPr>
          <w:sz w:val="21"/>
          <w:szCs w:val="21"/>
        </w:rPr>
        <w:t>年</w:t>
      </w:r>
      <w:r>
        <w:rPr>
          <w:rFonts w:hint="eastAsia"/>
          <w:sz w:val="21"/>
          <w:szCs w:val="21"/>
          <w:lang w:val="en-US" w:eastAsia="zh-CN"/>
        </w:rPr>
        <w:t>4</w:t>
      </w:r>
      <w:r>
        <w:rPr>
          <w:sz w:val="21"/>
          <w:szCs w:val="21"/>
        </w:rPr>
        <w:t>月</w:t>
      </w:r>
      <w:r>
        <w:rPr>
          <w:rFonts w:hint="eastAsia"/>
          <w:sz w:val="21"/>
          <w:szCs w:val="21"/>
          <w:lang w:val="en-US" w:eastAsia="zh-CN"/>
        </w:rPr>
        <w:t>12</w:t>
      </w:r>
      <w:r>
        <w:rPr>
          <w:sz w:val="21"/>
          <w:szCs w:val="21"/>
        </w:rPr>
        <w:t>日</w:t>
      </w:r>
      <w:bookmarkEnd w:id="207"/>
      <w:r>
        <w:rPr>
          <w:rFonts w:hint="eastAsia"/>
          <w:sz w:val="21"/>
          <w:szCs w:val="21"/>
        </w:rPr>
        <w:t xml:space="preserve">  </w:t>
      </w:r>
    </w:p>
    <w:p>
      <w:pPr>
        <w:rPr>
          <w:rFonts w:ascii="宋体" w:hAnsi="宋体" w:eastAsia="宋体"/>
        </w:rPr>
      </w:pPr>
      <w:bookmarkStart w:id="208" w:name="end"/>
      <w:bookmarkEnd w:id="208"/>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160</w:t>
    </w:r>
    <w:r>
      <w:fldChar w:fldCharType="end"/>
    </w:r>
    <w:r>
      <w:rPr>
        <w:rFonts w:hint="eastAsia"/>
      </w:rPr>
      <w:t>页 共</w:t>
    </w:r>
    <w:r>
      <w:fldChar w:fldCharType="begin"/>
    </w:r>
    <w:r>
      <w:instrText xml:space="preserve"> NumPages \* MERGEFORMAT </w:instrText>
    </w:r>
    <w:r>
      <w:fldChar w:fldCharType="separate"/>
    </w:r>
    <w:r>
      <w:t>160</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7"/>
      <w:jc w:val="right"/>
    </w:pPr>
    <w:r>
      <w:rPr>
        <w:rFonts w:hint="eastAsia"/>
      </w:rPr>
      <w:t>博时中证有色金属矿业主题指数证券投资基金更新招募说明书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6D"/>
    <w:rsid w:val="002021DB"/>
    <w:rsid w:val="0027452D"/>
    <w:rsid w:val="004D056D"/>
    <w:rsid w:val="0065015C"/>
    <w:rsid w:val="00720811"/>
    <w:rsid w:val="00836FE8"/>
    <w:rsid w:val="008B53C3"/>
    <w:rsid w:val="00951BEF"/>
    <w:rsid w:val="00A80473"/>
    <w:rsid w:val="00B4077D"/>
    <w:rsid w:val="00B83E23"/>
    <w:rsid w:val="00D37665"/>
    <w:rsid w:val="00DE2F3B"/>
    <w:rsid w:val="19ED0CA0"/>
    <w:rsid w:val="361B12F5"/>
    <w:rsid w:val="37A64AAC"/>
    <w:rsid w:val="49D15C80"/>
    <w:rsid w:val="4D81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20"/>
    <w:unhideWhenUsed/>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unhideWhenUsed/>
    <w:qFormat/>
    <w:uiPriority w:val="39"/>
    <w:pPr>
      <w:ind w:left="420" w:leftChars="200"/>
    </w:p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3"/>
    <w:semiHidden/>
    <w:unhideWhenUsed/>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styleId="16">
    <w:name w:val="annotation reference"/>
    <w:basedOn w:val="13"/>
    <w:semiHidden/>
    <w:unhideWhenUsed/>
    <w:uiPriority w:val="99"/>
    <w:rPr>
      <w:sz w:val="21"/>
      <w:szCs w:val="21"/>
    </w:rPr>
  </w:style>
  <w:style w:type="character" w:customStyle="1" w:styleId="17">
    <w:name w:val="标题 2 字符"/>
    <w:basedOn w:val="13"/>
    <w:link w:val="2"/>
    <w:qFormat/>
    <w:uiPriority w:val="9"/>
    <w:rPr>
      <w:rFonts w:asciiTheme="majorHAnsi" w:hAnsiTheme="majorHAnsi" w:eastAsiaTheme="majorEastAsia" w:cstheme="majorBidi"/>
      <w:b/>
      <w:bCs/>
      <w:sz w:val="32"/>
      <w:szCs w:val="32"/>
    </w:rPr>
  </w:style>
  <w:style w:type="character" w:customStyle="1" w:styleId="18">
    <w:name w:val="标题 3 字符"/>
    <w:basedOn w:val="13"/>
    <w:link w:val="3"/>
    <w:qFormat/>
    <w:uiPriority w:val="9"/>
    <w:rPr>
      <w:rFonts w:ascii="宋体" w:hAnsi="宋体" w:eastAsia="宋体" w:cs="宋体"/>
      <w:b/>
      <w:bCs/>
      <w:kern w:val="0"/>
      <w:sz w:val="27"/>
      <w:szCs w:val="27"/>
    </w:rPr>
  </w:style>
  <w:style w:type="character" w:customStyle="1" w:styleId="19">
    <w:name w:val="页眉 字符"/>
    <w:basedOn w:val="13"/>
    <w:link w:val="7"/>
    <w:qFormat/>
    <w:uiPriority w:val="99"/>
    <w:rPr>
      <w:sz w:val="18"/>
      <w:szCs w:val="18"/>
    </w:rPr>
  </w:style>
  <w:style w:type="character" w:customStyle="1" w:styleId="20">
    <w:name w:val="页脚 字符"/>
    <w:basedOn w:val="13"/>
    <w:link w:val="6"/>
    <w:qFormat/>
    <w:uiPriority w:val="99"/>
    <w:rPr>
      <w:sz w:val="18"/>
      <w:szCs w:val="18"/>
    </w:rPr>
  </w:style>
  <w:style w:type="character" w:customStyle="1" w:styleId="21">
    <w:name w:val="批注框文本 字符"/>
    <w:basedOn w:val="13"/>
    <w:link w:val="5"/>
    <w:semiHidden/>
    <w:qFormat/>
    <w:uiPriority w:val="99"/>
    <w:rPr>
      <w:sz w:val="18"/>
      <w:szCs w:val="18"/>
    </w:rPr>
  </w:style>
  <w:style w:type="character" w:customStyle="1" w:styleId="22">
    <w:name w:val="批注文字 字符"/>
    <w:basedOn w:val="13"/>
    <w:link w:val="4"/>
    <w:semiHidden/>
    <w:qFormat/>
    <w:uiPriority w:val="99"/>
    <w:rPr>
      <w:kern w:val="2"/>
      <w:sz w:val="21"/>
      <w:szCs w:val="22"/>
    </w:rPr>
  </w:style>
  <w:style w:type="character" w:customStyle="1" w:styleId="23">
    <w:name w:val="批注主题 字符"/>
    <w:basedOn w:val="22"/>
    <w:link w:val="10"/>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160</Pages>
  <Words>18582</Words>
  <Characters>105918</Characters>
  <Lines>882</Lines>
  <Paragraphs>248</Paragraphs>
  <TotalTime>10</TotalTime>
  <ScaleCrop>false</ScaleCrop>
  <LinksUpToDate>false</LinksUpToDate>
  <CharactersWithSpaces>124252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2023-11-17T07:15:00Z</dcterms:created>
  <dc:creator>BSKMadminDev</dc:creator>
  <cp:lastModifiedBy>tangl</cp:lastModifiedBy>
  <dcterms:modified xsi:type="dcterms:W3CDTF">2024-04-11T06:15:08Z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12CDB427190F479EB430C331D495F11A</vt:lpwstr>
  </property>
</Properties>
</file>