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30276" w14:textId="77777777" w:rsidR="000D10AE" w:rsidRPr="005B1DF8" w:rsidRDefault="000D10AE" w:rsidP="000D10AE">
      <w:pPr>
        <w:widowControl/>
        <w:autoSpaceDE w:val="0"/>
        <w:autoSpaceDN w:val="0"/>
        <w:spacing w:line="360" w:lineRule="auto"/>
        <w:jc w:val="center"/>
        <w:textAlignment w:val="bottom"/>
        <w:rPr>
          <w:b/>
          <w:color w:val="000000"/>
          <w:sz w:val="44"/>
        </w:rPr>
      </w:pPr>
    </w:p>
    <w:p w14:paraId="78826E89" w14:textId="77777777" w:rsidR="000D10AE" w:rsidRPr="005B1DF8" w:rsidRDefault="000D10AE" w:rsidP="000D10AE">
      <w:pPr>
        <w:widowControl/>
        <w:autoSpaceDE w:val="0"/>
        <w:autoSpaceDN w:val="0"/>
        <w:spacing w:line="360" w:lineRule="auto"/>
        <w:jc w:val="center"/>
        <w:textAlignment w:val="bottom"/>
        <w:rPr>
          <w:b/>
          <w:color w:val="000000"/>
          <w:sz w:val="44"/>
        </w:rPr>
      </w:pPr>
    </w:p>
    <w:p w14:paraId="3ED77FC5" w14:textId="77777777" w:rsidR="000D10AE" w:rsidRDefault="000D10AE" w:rsidP="000D10AE">
      <w:pPr>
        <w:widowControl/>
        <w:autoSpaceDE w:val="0"/>
        <w:autoSpaceDN w:val="0"/>
        <w:spacing w:line="360" w:lineRule="auto"/>
        <w:jc w:val="center"/>
        <w:textAlignment w:val="bottom"/>
        <w:rPr>
          <w:b/>
          <w:color w:val="000000"/>
          <w:sz w:val="44"/>
        </w:rPr>
      </w:pPr>
    </w:p>
    <w:p w14:paraId="6C4D8819" w14:textId="77777777" w:rsidR="000D10AE" w:rsidRPr="005B1DF8" w:rsidRDefault="000D10AE" w:rsidP="000D10AE">
      <w:pPr>
        <w:widowControl/>
        <w:autoSpaceDE w:val="0"/>
        <w:autoSpaceDN w:val="0"/>
        <w:spacing w:line="360" w:lineRule="auto"/>
        <w:jc w:val="center"/>
        <w:textAlignment w:val="bottom"/>
        <w:rPr>
          <w:b/>
          <w:color w:val="000000"/>
          <w:sz w:val="44"/>
        </w:rPr>
      </w:pPr>
    </w:p>
    <w:p w14:paraId="756B179F" w14:textId="77777777" w:rsidR="000D10AE" w:rsidRDefault="000D10AE" w:rsidP="000D10AE">
      <w:pPr>
        <w:pStyle w:val="10"/>
        <w:numPr>
          <w:ilvl w:val="0"/>
          <w:numId w:val="0"/>
        </w:numPr>
        <w:adjustRightInd w:val="0"/>
        <w:snapToGrid w:val="0"/>
        <w:spacing w:line="240" w:lineRule="auto"/>
        <w:jc w:val="center"/>
        <w:rPr>
          <w:color w:val="000000"/>
        </w:rPr>
      </w:pPr>
      <w:bookmarkStart w:id="0" w:name="_Toc250711181"/>
      <w:bookmarkStart w:id="1" w:name="_Toc10554386"/>
      <w:bookmarkStart w:id="2" w:name="_Toc10604959"/>
      <w:bookmarkStart w:id="3" w:name="_Toc15987771"/>
      <w:bookmarkStart w:id="4" w:name="_Toc247440581"/>
      <w:r>
        <w:rPr>
          <w:rFonts w:hint="eastAsia"/>
          <w:color w:val="000000"/>
        </w:rPr>
        <w:t>南方策略优化</w:t>
      </w:r>
      <w:r w:rsidR="007823C0">
        <w:rPr>
          <w:rFonts w:hint="eastAsia"/>
          <w:color w:val="000000"/>
        </w:rPr>
        <w:t>混合型</w:t>
      </w:r>
      <w:r>
        <w:rPr>
          <w:rFonts w:hint="eastAsia"/>
          <w:color w:val="000000"/>
        </w:rPr>
        <w:t>证券投资基金</w:t>
      </w:r>
      <w:bookmarkEnd w:id="0"/>
    </w:p>
    <w:p w14:paraId="2876285F" w14:textId="77777777" w:rsidR="000D10AE" w:rsidRDefault="000D10AE" w:rsidP="000D10AE">
      <w:pPr>
        <w:pStyle w:val="10"/>
        <w:numPr>
          <w:ilvl w:val="0"/>
          <w:numId w:val="0"/>
        </w:numPr>
        <w:adjustRightInd w:val="0"/>
        <w:snapToGrid w:val="0"/>
        <w:spacing w:line="240" w:lineRule="auto"/>
        <w:jc w:val="center"/>
        <w:rPr>
          <w:color w:val="000000"/>
          <w:spacing w:val="-20"/>
        </w:rPr>
      </w:pPr>
      <w:bookmarkStart w:id="5" w:name="_Toc250711182"/>
      <w:r w:rsidRPr="00A84BBE">
        <w:rPr>
          <w:rFonts w:hint="eastAsia"/>
          <w:color w:val="000000"/>
        </w:rPr>
        <w:t>托管协议</w:t>
      </w:r>
      <w:bookmarkEnd w:id="1"/>
      <w:bookmarkEnd w:id="2"/>
      <w:bookmarkEnd w:id="3"/>
      <w:bookmarkEnd w:id="4"/>
      <w:bookmarkEnd w:id="5"/>
    </w:p>
    <w:p w14:paraId="57F796DB" w14:textId="77777777" w:rsidR="000D10AE" w:rsidRPr="005B1DF8" w:rsidRDefault="000D10AE" w:rsidP="000D10AE">
      <w:pPr>
        <w:widowControl/>
        <w:autoSpaceDE w:val="0"/>
        <w:autoSpaceDN w:val="0"/>
        <w:spacing w:after="120" w:line="500" w:lineRule="atLeast"/>
        <w:ind w:firstLine="624"/>
        <w:jc w:val="center"/>
        <w:textAlignment w:val="bottom"/>
        <w:rPr>
          <w:b/>
          <w:color w:val="000000"/>
          <w:sz w:val="28"/>
        </w:rPr>
      </w:pPr>
    </w:p>
    <w:p w14:paraId="5063414D" w14:textId="77777777" w:rsidR="000D10AE" w:rsidRPr="005B1DF8" w:rsidRDefault="000D10AE" w:rsidP="000D10AE">
      <w:pPr>
        <w:widowControl/>
        <w:autoSpaceDE w:val="0"/>
        <w:autoSpaceDN w:val="0"/>
        <w:spacing w:after="120" w:line="500" w:lineRule="atLeast"/>
        <w:ind w:firstLine="624"/>
        <w:jc w:val="center"/>
        <w:textAlignment w:val="bottom"/>
        <w:rPr>
          <w:b/>
          <w:color w:val="000000"/>
          <w:sz w:val="28"/>
        </w:rPr>
      </w:pPr>
    </w:p>
    <w:p w14:paraId="0ACCF67A" w14:textId="77777777" w:rsidR="000D10AE" w:rsidRPr="005B1DF8" w:rsidRDefault="000D10AE" w:rsidP="000D10AE">
      <w:pPr>
        <w:widowControl/>
        <w:autoSpaceDE w:val="0"/>
        <w:autoSpaceDN w:val="0"/>
        <w:spacing w:after="120" w:line="500" w:lineRule="atLeast"/>
        <w:ind w:firstLine="624"/>
        <w:jc w:val="center"/>
        <w:textAlignment w:val="bottom"/>
        <w:rPr>
          <w:b/>
          <w:color w:val="000000"/>
          <w:sz w:val="28"/>
        </w:rPr>
      </w:pPr>
    </w:p>
    <w:p w14:paraId="74184F14" w14:textId="77777777" w:rsidR="000D10AE" w:rsidRPr="005B1DF8" w:rsidRDefault="000D10AE" w:rsidP="000D10AE">
      <w:pPr>
        <w:widowControl/>
        <w:autoSpaceDE w:val="0"/>
        <w:autoSpaceDN w:val="0"/>
        <w:spacing w:after="120" w:line="500" w:lineRule="atLeast"/>
        <w:ind w:firstLine="624"/>
        <w:jc w:val="center"/>
        <w:textAlignment w:val="bottom"/>
        <w:rPr>
          <w:b/>
          <w:color w:val="000000"/>
          <w:sz w:val="28"/>
        </w:rPr>
      </w:pPr>
    </w:p>
    <w:p w14:paraId="639EAB46" w14:textId="77777777" w:rsidR="000D10AE" w:rsidRPr="005B1DF8" w:rsidRDefault="000D10AE" w:rsidP="000D10AE">
      <w:pPr>
        <w:widowControl/>
        <w:autoSpaceDE w:val="0"/>
        <w:autoSpaceDN w:val="0"/>
        <w:spacing w:after="120" w:line="500" w:lineRule="atLeast"/>
        <w:ind w:firstLine="624"/>
        <w:jc w:val="center"/>
        <w:textAlignment w:val="bottom"/>
        <w:rPr>
          <w:b/>
          <w:color w:val="000000"/>
          <w:sz w:val="28"/>
        </w:rPr>
      </w:pPr>
    </w:p>
    <w:p w14:paraId="591D83C1" w14:textId="77777777" w:rsidR="000D10AE" w:rsidRPr="00AB3329" w:rsidRDefault="000D10AE" w:rsidP="000D10AE">
      <w:pPr>
        <w:spacing w:line="360" w:lineRule="auto"/>
        <w:ind w:firstLine="1620"/>
        <w:rPr>
          <w:color w:val="000000"/>
          <w:sz w:val="36"/>
        </w:rPr>
      </w:pPr>
      <w:r w:rsidRPr="00AB3329">
        <w:rPr>
          <w:rFonts w:hint="eastAsia"/>
          <w:color w:val="000000"/>
          <w:sz w:val="36"/>
        </w:rPr>
        <w:t>基金管理人：</w:t>
      </w:r>
      <w:r w:rsidR="00C41FB4">
        <w:rPr>
          <w:rFonts w:hint="eastAsia"/>
          <w:color w:val="000000"/>
          <w:sz w:val="36"/>
        </w:rPr>
        <w:t>南方基金管理股份有限公司</w:t>
      </w:r>
    </w:p>
    <w:p w14:paraId="5C546F75" w14:textId="52465519" w:rsidR="00FF2561" w:rsidRDefault="000D10AE" w:rsidP="002A262A">
      <w:pPr>
        <w:spacing w:line="360" w:lineRule="auto"/>
        <w:ind w:firstLine="1620"/>
        <w:rPr>
          <w:color w:val="000000"/>
          <w:sz w:val="36"/>
        </w:rPr>
      </w:pPr>
      <w:r w:rsidRPr="00AB3329">
        <w:rPr>
          <w:rFonts w:hint="eastAsia"/>
          <w:color w:val="000000"/>
          <w:sz w:val="36"/>
        </w:rPr>
        <w:t>基金托管人：</w:t>
      </w:r>
      <w:r>
        <w:rPr>
          <w:rFonts w:hint="eastAsia"/>
          <w:color w:val="000000"/>
          <w:sz w:val="36"/>
        </w:rPr>
        <w:t>招商银行</w:t>
      </w:r>
      <w:r w:rsidRPr="00AB3329">
        <w:rPr>
          <w:rFonts w:hint="eastAsia"/>
          <w:color w:val="000000"/>
          <w:sz w:val="36"/>
        </w:rPr>
        <w:t>股份有限公司</w:t>
      </w:r>
    </w:p>
    <w:p w14:paraId="6F3B7EA4" w14:textId="6B7D72CA" w:rsidR="000A399B" w:rsidRDefault="000A399B" w:rsidP="002A262A">
      <w:pPr>
        <w:spacing w:line="360" w:lineRule="auto"/>
        <w:ind w:firstLine="1620"/>
        <w:rPr>
          <w:color w:val="000000"/>
          <w:sz w:val="36"/>
        </w:rPr>
      </w:pPr>
    </w:p>
    <w:p w14:paraId="46A9A03A" w14:textId="443B7351" w:rsidR="000A399B" w:rsidRPr="000A399B" w:rsidRDefault="00313FB7" w:rsidP="00E46F14">
      <w:pPr>
        <w:spacing w:line="360" w:lineRule="auto"/>
        <w:jc w:val="center"/>
        <w:rPr>
          <w:color w:val="000000"/>
          <w:sz w:val="36"/>
        </w:rPr>
      </w:pPr>
      <w:r w:rsidRPr="000A399B">
        <w:rPr>
          <w:rFonts w:hint="eastAsia"/>
          <w:color w:val="000000"/>
          <w:sz w:val="36"/>
        </w:rPr>
        <w:t>20</w:t>
      </w:r>
      <w:r>
        <w:rPr>
          <w:color w:val="000000"/>
          <w:sz w:val="36"/>
        </w:rPr>
        <w:t>24</w:t>
      </w:r>
      <w:r w:rsidR="000A399B" w:rsidRPr="000A399B">
        <w:rPr>
          <w:rFonts w:hint="eastAsia"/>
          <w:color w:val="000000"/>
          <w:sz w:val="36"/>
        </w:rPr>
        <w:t>年</w:t>
      </w:r>
      <w:r>
        <w:rPr>
          <w:color w:val="000000"/>
          <w:sz w:val="36"/>
        </w:rPr>
        <w:t>4</w:t>
      </w:r>
      <w:r w:rsidR="000A399B" w:rsidRPr="000A399B">
        <w:rPr>
          <w:rFonts w:hint="eastAsia"/>
          <w:color w:val="000000"/>
          <w:sz w:val="36"/>
        </w:rPr>
        <w:t>月</w:t>
      </w:r>
    </w:p>
    <w:p w14:paraId="2E44CE5F" w14:textId="77777777" w:rsidR="002A262A" w:rsidRDefault="002A262A" w:rsidP="002A262A">
      <w:pPr>
        <w:spacing w:line="360" w:lineRule="auto"/>
        <w:ind w:firstLine="1620"/>
        <w:rPr>
          <w:color w:val="000000"/>
          <w:sz w:val="36"/>
        </w:rPr>
      </w:pPr>
    </w:p>
    <w:p w14:paraId="482F0E73" w14:textId="369692B1" w:rsidR="000368B3" w:rsidRDefault="000368B3" w:rsidP="002A262A">
      <w:pPr>
        <w:spacing w:line="360" w:lineRule="auto"/>
        <w:ind w:firstLine="1620"/>
        <w:jc w:val="center"/>
        <w:rPr>
          <w:color w:val="000000"/>
          <w:sz w:val="36"/>
        </w:rPr>
      </w:pPr>
    </w:p>
    <w:p w14:paraId="504A2A0B" w14:textId="2746E1C8" w:rsidR="002A262A" w:rsidRPr="002F1F9E" w:rsidRDefault="002A262A" w:rsidP="002A262A">
      <w:pPr>
        <w:spacing w:line="360" w:lineRule="auto"/>
        <w:ind w:firstLine="1620"/>
        <w:jc w:val="center"/>
        <w:rPr>
          <w:color w:val="000000"/>
          <w:sz w:val="36"/>
        </w:rPr>
        <w:sectPr w:rsidR="002A262A" w:rsidRPr="002F1F9E" w:rsidSect="00640416">
          <w:headerReference w:type="default" r:id="rId8"/>
          <w:footerReference w:type="even" r:id="rId9"/>
          <w:footerReference w:type="default" r:id="rId10"/>
          <w:pgSz w:w="11906" w:h="16838" w:code="9"/>
          <w:pgMar w:top="1418" w:right="1701" w:bottom="1418" w:left="1701" w:header="851" w:footer="992" w:gutter="0"/>
          <w:pgNumType w:start="0" w:chapStyle="1"/>
          <w:cols w:space="425"/>
          <w:titlePg/>
          <w:docGrid w:type="lines" w:linePitch="312"/>
        </w:sectPr>
      </w:pPr>
    </w:p>
    <w:p w14:paraId="483BC0C9" w14:textId="77777777" w:rsidR="00FF2561" w:rsidRDefault="00FF2561" w:rsidP="00FF2561">
      <w:pPr>
        <w:pStyle w:val="12"/>
        <w:ind w:firstLineChars="1045" w:firstLine="2203"/>
        <w:rPr>
          <w:rFonts w:ascii="Times New Roman" w:hAnsi="Times New Roman"/>
          <w:b w:val="0"/>
          <w:bCs w:val="0"/>
          <w:color w:val="auto"/>
        </w:rPr>
      </w:pPr>
      <w:r>
        <w:rPr>
          <w:rFonts w:hint="eastAsia"/>
        </w:rPr>
        <w:lastRenderedPageBreak/>
        <w:t xml:space="preserve">     </w:t>
      </w:r>
      <w:r w:rsidRPr="00FF2561">
        <w:rPr>
          <w:rFonts w:eastAsia="黑体" w:hint="eastAsia"/>
          <w:sz w:val="36"/>
        </w:rPr>
        <w:t xml:space="preserve"> </w:t>
      </w:r>
      <w:r>
        <w:rPr>
          <w:rFonts w:eastAsia="黑体" w:hint="eastAsia"/>
          <w:sz w:val="36"/>
        </w:rPr>
        <w:t xml:space="preserve">    </w:t>
      </w:r>
      <w:r w:rsidRPr="00FF2561">
        <w:rPr>
          <w:rFonts w:eastAsia="黑体" w:hint="eastAsia"/>
          <w:sz w:val="36"/>
        </w:rPr>
        <w:t>目</w:t>
      </w:r>
      <w:r>
        <w:rPr>
          <w:rFonts w:eastAsia="黑体" w:hint="eastAsia"/>
          <w:sz w:val="36"/>
        </w:rPr>
        <w:t xml:space="preserve">  </w:t>
      </w:r>
      <w:r w:rsidRPr="00FF2561">
        <w:rPr>
          <w:rFonts w:eastAsia="黑体" w:hint="eastAsia"/>
          <w:sz w:val="36"/>
        </w:rPr>
        <w:t>录</w:t>
      </w:r>
      <w:r>
        <w:fldChar w:fldCharType="begin"/>
      </w:r>
      <w:r>
        <w:instrText xml:space="preserve"> TOC \o "1-2" \h \z \u </w:instrText>
      </w:r>
      <w:r>
        <w:fldChar w:fldCharType="separate"/>
      </w:r>
    </w:p>
    <w:p w14:paraId="375FC23A" w14:textId="77777777" w:rsidR="00FF2561" w:rsidRDefault="00FF2561">
      <w:pPr>
        <w:pStyle w:val="22"/>
        <w:rPr>
          <w:rStyle w:val="a3"/>
          <w:noProof/>
        </w:rPr>
      </w:pPr>
    </w:p>
    <w:p w14:paraId="6FAAF16D" w14:textId="16D453D5" w:rsidR="00FF2561" w:rsidRDefault="00366766">
      <w:pPr>
        <w:pStyle w:val="22"/>
        <w:rPr>
          <w:noProof/>
        </w:rPr>
      </w:pPr>
      <w:hyperlink w:anchor="_Toc250711183" w:history="1">
        <w:r w:rsidR="00FF2561" w:rsidRPr="00846D76">
          <w:rPr>
            <w:rStyle w:val="a3"/>
            <w:rFonts w:hint="eastAsia"/>
            <w:noProof/>
          </w:rPr>
          <w:t>1</w:t>
        </w:r>
        <w:r w:rsidR="00FF2561" w:rsidRPr="00846D76">
          <w:rPr>
            <w:rStyle w:val="a3"/>
            <w:rFonts w:hint="eastAsia"/>
            <w:noProof/>
          </w:rPr>
          <w:t>、</w:t>
        </w:r>
        <w:r w:rsidR="00FF2561">
          <w:rPr>
            <w:noProof/>
          </w:rPr>
          <w:tab/>
        </w:r>
        <w:r w:rsidR="00FF2561" w:rsidRPr="00846D76">
          <w:rPr>
            <w:rStyle w:val="a3"/>
            <w:rFonts w:hint="eastAsia"/>
            <w:noProof/>
          </w:rPr>
          <w:t>基金托管协议当事人</w:t>
        </w:r>
        <w:r w:rsidR="00FF2561">
          <w:rPr>
            <w:noProof/>
            <w:webHidden/>
          </w:rPr>
          <w:tab/>
        </w:r>
        <w:r w:rsidR="00FF2561">
          <w:rPr>
            <w:noProof/>
            <w:webHidden/>
          </w:rPr>
          <w:fldChar w:fldCharType="begin"/>
        </w:r>
        <w:r w:rsidR="00FF2561">
          <w:rPr>
            <w:noProof/>
            <w:webHidden/>
          </w:rPr>
          <w:instrText xml:space="preserve"> PAGEREF _Toc250711183 \h </w:instrText>
        </w:r>
        <w:r w:rsidR="00FF2561">
          <w:rPr>
            <w:noProof/>
            <w:webHidden/>
          </w:rPr>
        </w:r>
        <w:r w:rsidR="00FF2561">
          <w:rPr>
            <w:noProof/>
            <w:webHidden/>
          </w:rPr>
          <w:fldChar w:fldCharType="separate"/>
        </w:r>
        <w:r w:rsidR="00313FB7">
          <w:rPr>
            <w:noProof/>
            <w:webHidden/>
          </w:rPr>
          <w:t>2</w:t>
        </w:r>
        <w:r w:rsidR="00FF2561">
          <w:rPr>
            <w:noProof/>
            <w:webHidden/>
          </w:rPr>
          <w:fldChar w:fldCharType="end"/>
        </w:r>
      </w:hyperlink>
    </w:p>
    <w:p w14:paraId="0BFCD1F2" w14:textId="177CA9BD" w:rsidR="00FF2561" w:rsidRDefault="00366766">
      <w:pPr>
        <w:pStyle w:val="22"/>
        <w:rPr>
          <w:noProof/>
        </w:rPr>
      </w:pPr>
      <w:hyperlink w:anchor="_Toc250711184" w:history="1">
        <w:r w:rsidR="00FF2561" w:rsidRPr="00846D76">
          <w:rPr>
            <w:rStyle w:val="a3"/>
            <w:rFonts w:hint="eastAsia"/>
            <w:noProof/>
          </w:rPr>
          <w:t>2</w:t>
        </w:r>
        <w:r w:rsidR="00FF2561" w:rsidRPr="00846D76">
          <w:rPr>
            <w:rStyle w:val="a3"/>
            <w:rFonts w:hint="eastAsia"/>
            <w:noProof/>
          </w:rPr>
          <w:t>、</w:t>
        </w:r>
        <w:r w:rsidR="00FF2561">
          <w:rPr>
            <w:noProof/>
          </w:rPr>
          <w:tab/>
        </w:r>
        <w:r w:rsidR="00FF2561" w:rsidRPr="00846D76">
          <w:rPr>
            <w:rStyle w:val="a3"/>
            <w:rFonts w:hint="eastAsia"/>
            <w:noProof/>
          </w:rPr>
          <w:t>基金托管协议的依据、目的和原则</w:t>
        </w:r>
        <w:r w:rsidR="00FF2561">
          <w:rPr>
            <w:noProof/>
            <w:webHidden/>
          </w:rPr>
          <w:tab/>
        </w:r>
        <w:r w:rsidR="00FF2561">
          <w:rPr>
            <w:noProof/>
            <w:webHidden/>
          </w:rPr>
          <w:fldChar w:fldCharType="begin"/>
        </w:r>
        <w:r w:rsidR="00FF2561">
          <w:rPr>
            <w:noProof/>
            <w:webHidden/>
          </w:rPr>
          <w:instrText xml:space="preserve"> PAGEREF _Toc250711184 \h </w:instrText>
        </w:r>
        <w:r w:rsidR="00FF2561">
          <w:rPr>
            <w:noProof/>
            <w:webHidden/>
          </w:rPr>
        </w:r>
        <w:r w:rsidR="00FF2561">
          <w:rPr>
            <w:noProof/>
            <w:webHidden/>
          </w:rPr>
          <w:fldChar w:fldCharType="separate"/>
        </w:r>
        <w:r w:rsidR="00313FB7">
          <w:rPr>
            <w:noProof/>
            <w:webHidden/>
          </w:rPr>
          <w:t>3</w:t>
        </w:r>
        <w:r w:rsidR="00FF2561">
          <w:rPr>
            <w:noProof/>
            <w:webHidden/>
          </w:rPr>
          <w:fldChar w:fldCharType="end"/>
        </w:r>
      </w:hyperlink>
    </w:p>
    <w:p w14:paraId="7D0EE164" w14:textId="427A05D7" w:rsidR="00FF2561" w:rsidRDefault="00366766">
      <w:pPr>
        <w:pStyle w:val="22"/>
        <w:rPr>
          <w:noProof/>
        </w:rPr>
      </w:pPr>
      <w:hyperlink w:anchor="_Toc250711185" w:history="1">
        <w:r w:rsidR="00FF2561" w:rsidRPr="00846D76">
          <w:rPr>
            <w:rStyle w:val="a3"/>
            <w:rFonts w:hint="eastAsia"/>
            <w:noProof/>
          </w:rPr>
          <w:t>3</w:t>
        </w:r>
        <w:r w:rsidR="00FF2561" w:rsidRPr="00846D76">
          <w:rPr>
            <w:rStyle w:val="a3"/>
            <w:rFonts w:hint="eastAsia"/>
            <w:noProof/>
          </w:rPr>
          <w:t>、</w:t>
        </w:r>
        <w:r w:rsidR="00FF2561">
          <w:rPr>
            <w:noProof/>
          </w:rPr>
          <w:tab/>
        </w:r>
        <w:r w:rsidR="00FF2561" w:rsidRPr="00846D76">
          <w:rPr>
            <w:rStyle w:val="a3"/>
            <w:rFonts w:hint="eastAsia"/>
            <w:noProof/>
          </w:rPr>
          <w:t>基金托管人对基金管理人的业务监督和核查</w:t>
        </w:r>
        <w:r w:rsidR="00FF2561">
          <w:rPr>
            <w:noProof/>
            <w:webHidden/>
          </w:rPr>
          <w:tab/>
        </w:r>
        <w:r w:rsidR="00FF2561">
          <w:rPr>
            <w:noProof/>
            <w:webHidden/>
          </w:rPr>
          <w:fldChar w:fldCharType="begin"/>
        </w:r>
        <w:r w:rsidR="00FF2561">
          <w:rPr>
            <w:noProof/>
            <w:webHidden/>
          </w:rPr>
          <w:instrText xml:space="preserve"> PAGEREF _Toc250711185 \h </w:instrText>
        </w:r>
        <w:r w:rsidR="00FF2561">
          <w:rPr>
            <w:noProof/>
            <w:webHidden/>
          </w:rPr>
        </w:r>
        <w:r w:rsidR="00FF2561">
          <w:rPr>
            <w:noProof/>
            <w:webHidden/>
          </w:rPr>
          <w:fldChar w:fldCharType="separate"/>
        </w:r>
        <w:r w:rsidR="00313FB7">
          <w:rPr>
            <w:noProof/>
            <w:webHidden/>
          </w:rPr>
          <w:t>4</w:t>
        </w:r>
        <w:r w:rsidR="00FF2561">
          <w:rPr>
            <w:noProof/>
            <w:webHidden/>
          </w:rPr>
          <w:fldChar w:fldCharType="end"/>
        </w:r>
      </w:hyperlink>
    </w:p>
    <w:p w14:paraId="3EE9A72C" w14:textId="144EDB42" w:rsidR="00FF2561" w:rsidRDefault="00366766">
      <w:pPr>
        <w:pStyle w:val="22"/>
        <w:rPr>
          <w:noProof/>
        </w:rPr>
      </w:pPr>
      <w:hyperlink w:anchor="_Toc250711186" w:history="1">
        <w:r w:rsidR="00FF2561" w:rsidRPr="00846D76">
          <w:rPr>
            <w:rStyle w:val="a3"/>
            <w:rFonts w:hint="eastAsia"/>
            <w:noProof/>
          </w:rPr>
          <w:t>4</w:t>
        </w:r>
        <w:r w:rsidR="00FF2561" w:rsidRPr="00846D76">
          <w:rPr>
            <w:rStyle w:val="a3"/>
            <w:rFonts w:hint="eastAsia"/>
            <w:noProof/>
          </w:rPr>
          <w:t>、</w:t>
        </w:r>
        <w:r w:rsidR="00FF2561">
          <w:rPr>
            <w:noProof/>
          </w:rPr>
          <w:tab/>
        </w:r>
        <w:r w:rsidR="00FF2561" w:rsidRPr="00846D76">
          <w:rPr>
            <w:rStyle w:val="a3"/>
            <w:rFonts w:hint="eastAsia"/>
            <w:noProof/>
          </w:rPr>
          <w:t>基金管理人对基金托管人的业务核查</w:t>
        </w:r>
        <w:r w:rsidR="00FF2561">
          <w:rPr>
            <w:noProof/>
            <w:webHidden/>
          </w:rPr>
          <w:tab/>
        </w:r>
        <w:r w:rsidR="00FF2561">
          <w:rPr>
            <w:noProof/>
            <w:webHidden/>
          </w:rPr>
          <w:fldChar w:fldCharType="begin"/>
        </w:r>
        <w:r w:rsidR="00FF2561">
          <w:rPr>
            <w:noProof/>
            <w:webHidden/>
          </w:rPr>
          <w:instrText xml:space="preserve"> PAGEREF _Toc250711186 \h </w:instrText>
        </w:r>
        <w:r w:rsidR="00FF2561">
          <w:rPr>
            <w:noProof/>
            <w:webHidden/>
          </w:rPr>
        </w:r>
        <w:r w:rsidR="00FF2561">
          <w:rPr>
            <w:noProof/>
            <w:webHidden/>
          </w:rPr>
          <w:fldChar w:fldCharType="separate"/>
        </w:r>
        <w:r w:rsidR="00313FB7">
          <w:rPr>
            <w:noProof/>
            <w:webHidden/>
          </w:rPr>
          <w:t>8</w:t>
        </w:r>
        <w:r w:rsidR="00FF2561">
          <w:rPr>
            <w:noProof/>
            <w:webHidden/>
          </w:rPr>
          <w:fldChar w:fldCharType="end"/>
        </w:r>
      </w:hyperlink>
    </w:p>
    <w:p w14:paraId="24BF27EA" w14:textId="2EBF52CA" w:rsidR="00FF2561" w:rsidRDefault="00366766">
      <w:pPr>
        <w:pStyle w:val="22"/>
        <w:rPr>
          <w:noProof/>
        </w:rPr>
      </w:pPr>
      <w:hyperlink w:anchor="_Toc250711187" w:history="1">
        <w:r w:rsidR="00FF2561" w:rsidRPr="00846D76">
          <w:rPr>
            <w:rStyle w:val="a3"/>
            <w:rFonts w:hint="eastAsia"/>
            <w:noProof/>
          </w:rPr>
          <w:t>5</w:t>
        </w:r>
        <w:r w:rsidR="00FF2561" w:rsidRPr="00846D76">
          <w:rPr>
            <w:rStyle w:val="a3"/>
            <w:rFonts w:hint="eastAsia"/>
            <w:noProof/>
          </w:rPr>
          <w:t>、</w:t>
        </w:r>
        <w:r w:rsidR="00FF2561">
          <w:rPr>
            <w:noProof/>
          </w:rPr>
          <w:tab/>
        </w:r>
        <w:r w:rsidR="00FF2561" w:rsidRPr="00846D76">
          <w:rPr>
            <w:rStyle w:val="a3"/>
            <w:rFonts w:hint="eastAsia"/>
            <w:noProof/>
          </w:rPr>
          <w:t>基金财产的保管</w:t>
        </w:r>
        <w:r w:rsidR="00FF2561">
          <w:rPr>
            <w:noProof/>
            <w:webHidden/>
          </w:rPr>
          <w:tab/>
        </w:r>
        <w:r w:rsidR="00FF2561">
          <w:rPr>
            <w:noProof/>
            <w:webHidden/>
          </w:rPr>
          <w:fldChar w:fldCharType="begin"/>
        </w:r>
        <w:r w:rsidR="00FF2561">
          <w:rPr>
            <w:noProof/>
            <w:webHidden/>
          </w:rPr>
          <w:instrText xml:space="preserve"> PAGEREF _Toc250711187 \h </w:instrText>
        </w:r>
        <w:r w:rsidR="00FF2561">
          <w:rPr>
            <w:noProof/>
            <w:webHidden/>
          </w:rPr>
        </w:r>
        <w:r w:rsidR="00FF2561">
          <w:rPr>
            <w:noProof/>
            <w:webHidden/>
          </w:rPr>
          <w:fldChar w:fldCharType="separate"/>
        </w:r>
        <w:r w:rsidR="00313FB7">
          <w:rPr>
            <w:noProof/>
            <w:webHidden/>
          </w:rPr>
          <w:t>9</w:t>
        </w:r>
        <w:r w:rsidR="00FF2561">
          <w:rPr>
            <w:noProof/>
            <w:webHidden/>
          </w:rPr>
          <w:fldChar w:fldCharType="end"/>
        </w:r>
      </w:hyperlink>
    </w:p>
    <w:p w14:paraId="546B092F" w14:textId="28B1C6B5" w:rsidR="00FF2561" w:rsidRDefault="00366766">
      <w:pPr>
        <w:pStyle w:val="22"/>
        <w:rPr>
          <w:noProof/>
        </w:rPr>
      </w:pPr>
      <w:hyperlink w:anchor="_Toc250711188" w:history="1">
        <w:r w:rsidR="00FF2561" w:rsidRPr="00846D76">
          <w:rPr>
            <w:rStyle w:val="a3"/>
            <w:rFonts w:hint="eastAsia"/>
            <w:noProof/>
          </w:rPr>
          <w:t>6</w:t>
        </w:r>
        <w:r w:rsidR="00FF2561" w:rsidRPr="00846D76">
          <w:rPr>
            <w:rStyle w:val="a3"/>
            <w:rFonts w:hint="eastAsia"/>
            <w:noProof/>
          </w:rPr>
          <w:t>、</w:t>
        </w:r>
        <w:r w:rsidR="00FF2561">
          <w:rPr>
            <w:noProof/>
          </w:rPr>
          <w:tab/>
        </w:r>
        <w:r w:rsidR="00FF2561" w:rsidRPr="00846D76">
          <w:rPr>
            <w:rStyle w:val="a3"/>
            <w:rFonts w:hint="eastAsia"/>
            <w:noProof/>
          </w:rPr>
          <w:t>指令的发送、确认及执行</w:t>
        </w:r>
        <w:r w:rsidR="00FF2561">
          <w:rPr>
            <w:noProof/>
            <w:webHidden/>
          </w:rPr>
          <w:tab/>
        </w:r>
        <w:r w:rsidR="00FF2561">
          <w:rPr>
            <w:noProof/>
            <w:webHidden/>
          </w:rPr>
          <w:fldChar w:fldCharType="begin"/>
        </w:r>
        <w:r w:rsidR="00FF2561">
          <w:rPr>
            <w:noProof/>
            <w:webHidden/>
          </w:rPr>
          <w:instrText xml:space="preserve"> PAGEREF _Toc250711188 \h </w:instrText>
        </w:r>
        <w:r w:rsidR="00FF2561">
          <w:rPr>
            <w:noProof/>
            <w:webHidden/>
          </w:rPr>
        </w:r>
        <w:r w:rsidR="00FF2561">
          <w:rPr>
            <w:noProof/>
            <w:webHidden/>
          </w:rPr>
          <w:fldChar w:fldCharType="separate"/>
        </w:r>
        <w:r w:rsidR="00313FB7">
          <w:rPr>
            <w:noProof/>
            <w:webHidden/>
          </w:rPr>
          <w:t>12</w:t>
        </w:r>
        <w:r w:rsidR="00FF2561">
          <w:rPr>
            <w:noProof/>
            <w:webHidden/>
          </w:rPr>
          <w:fldChar w:fldCharType="end"/>
        </w:r>
      </w:hyperlink>
    </w:p>
    <w:p w14:paraId="294C2D5D" w14:textId="7F262B86" w:rsidR="00FF2561" w:rsidRDefault="00366766">
      <w:pPr>
        <w:pStyle w:val="22"/>
        <w:rPr>
          <w:noProof/>
        </w:rPr>
      </w:pPr>
      <w:hyperlink w:anchor="_Toc250711189" w:history="1">
        <w:r w:rsidR="00FF2561" w:rsidRPr="00846D76">
          <w:rPr>
            <w:rStyle w:val="a3"/>
            <w:rFonts w:hint="eastAsia"/>
            <w:noProof/>
          </w:rPr>
          <w:t>7</w:t>
        </w:r>
        <w:r w:rsidR="00FF2561" w:rsidRPr="00846D76">
          <w:rPr>
            <w:rStyle w:val="a3"/>
            <w:rFonts w:hint="eastAsia"/>
            <w:noProof/>
          </w:rPr>
          <w:t>、</w:t>
        </w:r>
        <w:r w:rsidR="00FF2561">
          <w:rPr>
            <w:noProof/>
          </w:rPr>
          <w:tab/>
        </w:r>
        <w:r w:rsidR="00FF2561" w:rsidRPr="00846D76">
          <w:rPr>
            <w:rStyle w:val="a3"/>
            <w:rFonts w:hint="eastAsia"/>
            <w:noProof/>
          </w:rPr>
          <w:t>交易及清算交收安排</w:t>
        </w:r>
        <w:r w:rsidR="00FF2561">
          <w:rPr>
            <w:noProof/>
            <w:webHidden/>
          </w:rPr>
          <w:tab/>
        </w:r>
        <w:r w:rsidR="00FF2561">
          <w:rPr>
            <w:noProof/>
            <w:webHidden/>
          </w:rPr>
          <w:fldChar w:fldCharType="begin"/>
        </w:r>
        <w:r w:rsidR="00FF2561">
          <w:rPr>
            <w:noProof/>
            <w:webHidden/>
          </w:rPr>
          <w:instrText xml:space="preserve"> PAGEREF _Toc250711189 \h </w:instrText>
        </w:r>
        <w:r w:rsidR="00FF2561">
          <w:rPr>
            <w:noProof/>
            <w:webHidden/>
          </w:rPr>
        </w:r>
        <w:r w:rsidR="00FF2561">
          <w:rPr>
            <w:noProof/>
            <w:webHidden/>
          </w:rPr>
          <w:fldChar w:fldCharType="separate"/>
        </w:r>
        <w:r w:rsidR="00313FB7">
          <w:rPr>
            <w:noProof/>
            <w:webHidden/>
          </w:rPr>
          <w:t>15</w:t>
        </w:r>
        <w:r w:rsidR="00FF2561">
          <w:rPr>
            <w:noProof/>
            <w:webHidden/>
          </w:rPr>
          <w:fldChar w:fldCharType="end"/>
        </w:r>
      </w:hyperlink>
    </w:p>
    <w:p w14:paraId="6A7501BA" w14:textId="63DA1FE8" w:rsidR="00FF2561" w:rsidRDefault="00366766">
      <w:pPr>
        <w:pStyle w:val="22"/>
        <w:rPr>
          <w:noProof/>
        </w:rPr>
      </w:pPr>
      <w:hyperlink w:anchor="_Toc250711190" w:history="1">
        <w:r w:rsidR="00FF2561" w:rsidRPr="00846D76">
          <w:rPr>
            <w:rStyle w:val="a3"/>
            <w:rFonts w:hint="eastAsia"/>
            <w:noProof/>
          </w:rPr>
          <w:t>8</w:t>
        </w:r>
        <w:r w:rsidR="00FF2561" w:rsidRPr="00846D76">
          <w:rPr>
            <w:rStyle w:val="a3"/>
            <w:rFonts w:hint="eastAsia"/>
            <w:noProof/>
          </w:rPr>
          <w:t>、</w:t>
        </w:r>
        <w:r w:rsidR="00FF2561">
          <w:rPr>
            <w:noProof/>
          </w:rPr>
          <w:tab/>
        </w:r>
        <w:r w:rsidR="00FF2561" w:rsidRPr="00846D76">
          <w:rPr>
            <w:rStyle w:val="a3"/>
            <w:rFonts w:hint="eastAsia"/>
            <w:noProof/>
          </w:rPr>
          <w:t>基金资产净值计算</w:t>
        </w:r>
        <w:bookmarkStart w:id="6" w:name="_GoBack"/>
        <w:bookmarkEnd w:id="6"/>
        <w:r w:rsidR="00FF2561" w:rsidRPr="00846D76">
          <w:rPr>
            <w:rStyle w:val="a3"/>
            <w:rFonts w:hint="eastAsia"/>
            <w:noProof/>
          </w:rPr>
          <w:t>和会计核算</w:t>
        </w:r>
        <w:r w:rsidR="00FF2561">
          <w:rPr>
            <w:noProof/>
            <w:webHidden/>
          </w:rPr>
          <w:tab/>
        </w:r>
        <w:r w:rsidR="00FF2561">
          <w:rPr>
            <w:noProof/>
            <w:webHidden/>
          </w:rPr>
          <w:fldChar w:fldCharType="begin"/>
        </w:r>
        <w:r w:rsidR="00FF2561">
          <w:rPr>
            <w:noProof/>
            <w:webHidden/>
          </w:rPr>
          <w:instrText xml:space="preserve"> PAGEREF _Toc250711190 \h </w:instrText>
        </w:r>
        <w:r w:rsidR="00FF2561">
          <w:rPr>
            <w:noProof/>
            <w:webHidden/>
          </w:rPr>
        </w:r>
        <w:r w:rsidR="00FF2561">
          <w:rPr>
            <w:noProof/>
            <w:webHidden/>
          </w:rPr>
          <w:fldChar w:fldCharType="separate"/>
        </w:r>
        <w:r w:rsidR="00313FB7">
          <w:rPr>
            <w:noProof/>
            <w:webHidden/>
          </w:rPr>
          <w:t>18</w:t>
        </w:r>
        <w:r w:rsidR="00FF2561">
          <w:rPr>
            <w:noProof/>
            <w:webHidden/>
          </w:rPr>
          <w:fldChar w:fldCharType="end"/>
        </w:r>
      </w:hyperlink>
    </w:p>
    <w:p w14:paraId="25D03E93" w14:textId="0EFB2C7B" w:rsidR="00FF2561" w:rsidRDefault="00366766">
      <w:pPr>
        <w:pStyle w:val="22"/>
        <w:rPr>
          <w:noProof/>
        </w:rPr>
      </w:pPr>
      <w:hyperlink w:anchor="_Toc250711191" w:history="1">
        <w:r w:rsidR="00FF2561" w:rsidRPr="00846D76">
          <w:rPr>
            <w:rStyle w:val="a3"/>
            <w:rFonts w:hint="eastAsia"/>
            <w:noProof/>
          </w:rPr>
          <w:t>9</w:t>
        </w:r>
        <w:r w:rsidR="00FF2561" w:rsidRPr="00846D76">
          <w:rPr>
            <w:rStyle w:val="a3"/>
            <w:rFonts w:hint="eastAsia"/>
            <w:noProof/>
          </w:rPr>
          <w:t>、</w:t>
        </w:r>
        <w:r w:rsidR="00FF2561">
          <w:rPr>
            <w:noProof/>
          </w:rPr>
          <w:tab/>
        </w:r>
        <w:r w:rsidR="00FF2561" w:rsidRPr="00846D76">
          <w:rPr>
            <w:rStyle w:val="a3"/>
            <w:rFonts w:hint="eastAsia"/>
            <w:noProof/>
          </w:rPr>
          <w:t>基金收益分配</w:t>
        </w:r>
        <w:r w:rsidR="00FF2561">
          <w:rPr>
            <w:noProof/>
            <w:webHidden/>
          </w:rPr>
          <w:tab/>
        </w:r>
        <w:r w:rsidR="00FF2561">
          <w:rPr>
            <w:noProof/>
            <w:webHidden/>
          </w:rPr>
          <w:fldChar w:fldCharType="begin"/>
        </w:r>
        <w:r w:rsidR="00FF2561">
          <w:rPr>
            <w:noProof/>
            <w:webHidden/>
          </w:rPr>
          <w:instrText xml:space="preserve"> PAGEREF _Toc250711191 \h </w:instrText>
        </w:r>
        <w:r w:rsidR="00FF2561">
          <w:rPr>
            <w:noProof/>
            <w:webHidden/>
          </w:rPr>
        </w:r>
        <w:r w:rsidR="00FF2561">
          <w:rPr>
            <w:noProof/>
            <w:webHidden/>
          </w:rPr>
          <w:fldChar w:fldCharType="separate"/>
        </w:r>
        <w:r w:rsidR="00313FB7">
          <w:rPr>
            <w:noProof/>
            <w:webHidden/>
          </w:rPr>
          <w:t>23</w:t>
        </w:r>
        <w:r w:rsidR="00FF2561">
          <w:rPr>
            <w:noProof/>
            <w:webHidden/>
          </w:rPr>
          <w:fldChar w:fldCharType="end"/>
        </w:r>
      </w:hyperlink>
    </w:p>
    <w:p w14:paraId="40FD467F" w14:textId="7356F344" w:rsidR="00FF2561" w:rsidRDefault="00366766">
      <w:pPr>
        <w:pStyle w:val="22"/>
        <w:rPr>
          <w:noProof/>
        </w:rPr>
      </w:pPr>
      <w:hyperlink w:anchor="_Toc250711192" w:history="1">
        <w:r w:rsidR="00FF2561" w:rsidRPr="00846D76">
          <w:rPr>
            <w:rStyle w:val="a3"/>
            <w:rFonts w:hint="eastAsia"/>
            <w:noProof/>
          </w:rPr>
          <w:t>10</w:t>
        </w:r>
        <w:r w:rsidR="00FF2561" w:rsidRPr="00846D76">
          <w:rPr>
            <w:rStyle w:val="a3"/>
            <w:rFonts w:hint="eastAsia"/>
            <w:noProof/>
          </w:rPr>
          <w:t>、</w:t>
        </w:r>
        <w:r w:rsidR="00FF2561">
          <w:rPr>
            <w:noProof/>
          </w:rPr>
          <w:tab/>
        </w:r>
        <w:r w:rsidR="00FF2561" w:rsidRPr="00846D76">
          <w:rPr>
            <w:rStyle w:val="a3"/>
            <w:rFonts w:hint="eastAsia"/>
            <w:noProof/>
          </w:rPr>
          <w:t>基金信息披露</w:t>
        </w:r>
        <w:r w:rsidR="00FF2561">
          <w:rPr>
            <w:noProof/>
            <w:webHidden/>
          </w:rPr>
          <w:tab/>
        </w:r>
        <w:r w:rsidR="00FF2561">
          <w:rPr>
            <w:noProof/>
            <w:webHidden/>
          </w:rPr>
          <w:fldChar w:fldCharType="begin"/>
        </w:r>
        <w:r w:rsidR="00FF2561">
          <w:rPr>
            <w:noProof/>
            <w:webHidden/>
          </w:rPr>
          <w:instrText xml:space="preserve"> PAGEREF _Toc250711192 \h </w:instrText>
        </w:r>
        <w:r w:rsidR="00FF2561">
          <w:rPr>
            <w:noProof/>
            <w:webHidden/>
          </w:rPr>
        </w:r>
        <w:r w:rsidR="00FF2561">
          <w:rPr>
            <w:noProof/>
            <w:webHidden/>
          </w:rPr>
          <w:fldChar w:fldCharType="separate"/>
        </w:r>
        <w:r w:rsidR="00313FB7">
          <w:rPr>
            <w:noProof/>
            <w:webHidden/>
          </w:rPr>
          <w:t>24</w:t>
        </w:r>
        <w:r w:rsidR="00FF2561">
          <w:rPr>
            <w:noProof/>
            <w:webHidden/>
          </w:rPr>
          <w:fldChar w:fldCharType="end"/>
        </w:r>
      </w:hyperlink>
    </w:p>
    <w:p w14:paraId="4F865FB6" w14:textId="4107FCDD" w:rsidR="00FF2561" w:rsidRDefault="00366766">
      <w:pPr>
        <w:pStyle w:val="22"/>
        <w:rPr>
          <w:noProof/>
        </w:rPr>
      </w:pPr>
      <w:hyperlink w:anchor="_Toc250711193" w:history="1">
        <w:r w:rsidR="00FF2561" w:rsidRPr="00846D76">
          <w:rPr>
            <w:rStyle w:val="a3"/>
            <w:rFonts w:hint="eastAsia"/>
            <w:noProof/>
          </w:rPr>
          <w:t>11</w:t>
        </w:r>
        <w:r w:rsidR="00FF2561" w:rsidRPr="00846D76">
          <w:rPr>
            <w:rStyle w:val="a3"/>
            <w:rFonts w:hint="eastAsia"/>
            <w:noProof/>
          </w:rPr>
          <w:t>、</w:t>
        </w:r>
        <w:r w:rsidR="00FF2561">
          <w:rPr>
            <w:noProof/>
          </w:rPr>
          <w:tab/>
        </w:r>
        <w:r w:rsidR="00FF2561" w:rsidRPr="00846D76">
          <w:rPr>
            <w:rStyle w:val="a3"/>
            <w:rFonts w:hint="eastAsia"/>
            <w:noProof/>
          </w:rPr>
          <w:t>基金费用</w:t>
        </w:r>
        <w:r w:rsidR="00FF2561">
          <w:rPr>
            <w:noProof/>
            <w:webHidden/>
          </w:rPr>
          <w:tab/>
        </w:r>
        <w:r w:rsidR="00FF2561">
          <w:rPr>
            <w:noProof/>
            <w:webHidden/>
          </w:rPr>
          <w:fldChar w:fldCharType="begin"/>
        </w:r>
        <w:r w:rsidR="00FF2561">
          <w:rPr>
            <w:noProof/>
            <w:webHidden/>
          </w:rPr>
          <w:instrText xml:space="preserve"> PAGEREF _Toc250711193 \h </w:instrText>
        </w:r>
        <w:r w:rsidR="00FF2561">
          <w:rPr>
            <w:noProof/>
            <w:webHidden/>
          </w:rPr>
        </w:r>
        <w:r w:rsidR="00FF2561">
          <w:rPr>
            <w:noProof/>
            <w:webHidden/>
          </w:rPr>
          <w:fldChar w:fldCharType="separate"/>
        </w:r>
        <w:r w:rsidR="00313FB7">
          <w:rPr>
            <w:noProof/>
            <w:webHidden/>
          </w:rPr>
          <w:t>26</w:t>
        </w:r>
        <w:r w:rsidR="00FF2561">
          <w:rPr>
            <w:noProof/>
            <w:webHidden/>
          </w:rPr>
          <w:fldChar w:fldCharType="end"/>
        </w:r>
      </w:hyperlink>
    </w:p>
    <w:p w14:paraId="7112A055" w14:textId="6A1A4BCD" w:rsidR="00FF2561" w:rsidRDefault="00366766">
      <w:pPr>
        <w:pStyle w:val="22"/>
        <w:rPr>
          <w:noProof/>
        </w:rPr>
      </w:pPr>
      <w:hyperlink w:anchor="_Toc250711194" w:history="1">
        <w:r w:rsidR="00FF2561" w:rsidRPr="00846D76">
          <w:rPr>
            <w:rStyle w:val="a3"/>
            <w:rFonts w:hint="eastAsia"/>
            <w:noProof/>
          </w:rPr>
          <w:t>12</w:t>
        </w:r>
        <w:r w:rsidR="00FF2561" w:rsidRPr="00846D76">
          <w:rPr>
            <w:rStyle w:val="a3"/>
            <w:rFonts w:hint="eastAsia"/>
            <w:noProof/>
          </w:rPr>
          <w:t>、</w:t>
        </w:r>
        <w:r w:rsidR="00FF2561">
          <w:rPr>
            <w:noProof/>
          </w:rPr>
          <w:tab/>
        </w:r>
        <w:r w:rsidR="00FF2561" w:rsidRPr="00846D76">
          <w:rPr>
            <w:rStyle w:val="a3"/>
            <w:rFonts w:hint="eastAsia"/>
            <w:noProof/>
          </w:rPr>
          <w:t>基金份额持有人名册的保管</w:t>
        </w:r>
        <w:r w:rsidR="00FF2561">
          <w:rPr>
            <w:noProof/>
            <w:webHidden/>
          </w:rPr>
          <w:tab/>
        </w:r>
        <w:r w:rsidR="00FF2561">
          <w:rPr>
            <w:noProof/>
            <w:webHidden/>
          </w:rPr>
          <w:fldChar w:fldCharType="begin"/>
        </w:r>
        <w:r w:rsidR="00FF2561">
          <w:rPr>
            <w:noProof/>
            <w:webHidden/>
          </w:rPr>
          <w:instrText xml:space="preserve"> PAGEREF _Toc250711194 \h </w:instrText>
        </w:r>
        <w:r w:rsidR="00FF2561">
          <w:rPr>
            <w:noProof/>
            <w:webHidden/>
          </w:rPr>
        </w:r>
        <w:r w:rsidR="00FF2561">
          <w:rPr>
            <w:noProof/>
            <w:webHidden/>
          </w:rPr>
          <w:fldChar w:fldCharType="separate"/>
        </w:r>
        <w:r w:rsidR="00313FB7">
          <w:rPr>
            <w:noProof/>
            <w:webHidden/>
          </w:rPr>
          <w:t>28</w:t>
        </w:r>
        <w:r w:rsidR="00FF2561">
          <w:rPr>
            <w:noProof/>
            <w:webHidden/>
          </w:rPr>
          <w:fldChar w:fldCharType="end"/>
        </w:r>
      </w:hyperlink>
    </w:p>
    <w:p w14:paraId="729DC733" w14:textId="132418B6" w:rsidR="00FF2561" w:rsidRDefault="00366766">
      <w:pPr>
        <w:pStyle w:val="22"/>
        <w:rPr>
          <w:noProof/>
        </w:rPr>
      </w:pPr>
      <w:hyperlink w:anchor="_Toc250711195" w:history="1">
        <w:r w:rsidR="00FF2561" w:rsidRPr="00846D76">
          <w:rPr>
            <w:rStyle w:val="a3"/>
            <w:rFonts w:hint="eastAsia"/>
            <w:noProof/>
          </w:rPr>
          <w:t>13</w:t>
        </w:r>
        <w:r w:rsidR="00FF2561" w:rsidRPr="00846D76">
          <w:rPr>
            <w:rStyle w:val="a3"/>
            <w:rFonts w:hint="eastAsia"/>
            <w:noProof/>
          </w:rPr>
          <w:t>、</w:t>
        </w:r>
        <w:r w:rsidR="00FF2561">
          <w:rPr>
            <w:noProof/>
          </w:rPr>
          <w:tab/>
        </w:r>
        <w:r w:rsidR="00FF2561" w:rsidRPr="00846D76">
          <w:rPr>
            <w:rStyle w:val="a3"/>
            <w:rFonts w:hint="eastAsia"/>
            <w:noProof/>
          </w:rPr>
          <w:t>基金有关文件档案的保存</w:t>
        </w:r>
        <w:r w:rsidR="00FF2561">
          <w:rPr>
            <w:noProof/>
            <w:webHidden/>
          </w:rPr>
          <w:tab/>
        </w:r>
        <w:r w:rsidR="00FF2561">
          <w:rPr>
            <w:noProof/>
            <w:webHidden/>
          </w:rPr>
          <w:fldChar w:fldCharType="begin"/>
        </w:r>
        <w:r w:rsidR="00FF2561">
          <w:rPr>
            <w:noProof/>
            <w:webHidden/>
          </w:rPr>
          <w:instrText xml:space="preserve"> PAGEREF _Toc250711195 \h </w:instrText>
        </w:r>
        <w:r w:rsidR="00FF2561">
          <w:rPr>
            <w:noProof/>
            <w:webHidden/>
          </w:rPr>
        </w:r>
        <w:r w:rsidR="00FF2561">
          <w:rPr>
            <w:noProof/>
            <w:webHidden/>
          </w:rPr>
          <w:fldChar w:fldCharType="separate"/>
        </w:r>
        <w:r w:rsidR="00313FB7">
          <w:rPr>
            <w:noProof/>
            <w:webHidden/>
          </w:rPr>
          <w:t>29</w:t>
        </w:r>
        <w:r w:rsidR="00FF2561">
          <w:rPr>
            <w:noProof/>
            <w:webHidden/>
          </w:rPr>
          <w:fldChar w:fldCharType="end"/>
        </w:r>
      </w:hyperlink>
    </w:p>
    <w:p w14:paraId="29EFE624" w14:textId="4F510443" w:rsidR="00FF2561" w:rsidRDefault="00366766">
      <w:pPr>
        <w:pStyle w:val="22"/>
        <w:rPr>
          <w:noProof/>
        </w:rPr>
      </w:pPr>
      <w:hyperlink w:anchor="_Toc250711196" w:history="1">
        <w:r w:rsidR="00FF2561" w:rsidRPr="00846D76">
          <w:rPr>
            <w:rStyle w:val="a3"/>
            <w:rFonts w:hint="eastAsia"/>
            <w:noProof/>
          </w:rPr>
          <w:t>14</w:t>
        </w:r>
        <w:r w:rsidR="00FF2561" w:rsidRPr="00846D76">
          <w:rPr>
            <w:rStyle w:val="a3"/>
            <w:rFonts w:hint="eastAsia"/>
            <w:noProof/>
          </w:rPr>
          <w:t>、</w:t>
        </w:r>
        <w:r w:rsidR="00FF2561">
          <w:rPr>
            <w:noProof/>
          </w:rPr>
          <w:tab/>
        </w:r>
        <w:r w:rsidR="00FF2561" w:rsidRPr="00846D76">
          <w:rPr>
            <w:rStyle w:val="a3"/>
            <w:rFonts w:hint="eastAsia"/>
            <w:noProof/>
          </w:rPr>
          <w:t>基金管理人和基金托管人的更换</w:t>
        </w:r>
        <w:r w:rsidR="00FF2561">
          <w:rPr>
            <w:noProof/>
            <w:webHidden/>
          </w:rPr>
          <w:tab/>
        </w:r>
        <w:r w:rsidR="00FF2561">
          <w:rPr>
            <w:noProof/>
            <w:webHidden/>
          </w:rPr>
          <w:fldChar w:fldCharType="begin"/>
        </w:r>
        <w:r w:rsidR="00FF2561">
          <w:rPr>
            <w:noProof/>
            <w:webHidden/>
          </w:rPr>
          <w:instrText xml:space="preserve"> PAGEREF _Toc250711196 \h </w:instrText>
        </w:r>
        <w:r w:rsidR="00FF2561">
          <w:rPr>
            <w:noProof/>
            <w:webHidden/>
          </w:rPr>
        </w:r>
        <w:r w:rsidR="00FF2561">
          <w:rPr>
            <w:noProof/>
            <w:webHidden/>
          </w:rPr>
          <w:fldChar w:fldCharType="separate"/>
        </w:r>
        <w:r w:rsidR="00313FB7">
          <w:rPr>
            <w:noProof/>
            <w:webHidden/>
          </w:rPr>
          <w:t>30</w:t>
        </w:r>
        <w:r w:rsidR="00FF2561">
          <w:rPr>
            <w:noProof/>
            <w:webHidden/>
          </w:rPr>
          <w:fldChar w:fldCharType="end"/>
        </w:r>
      </w:hyperlink>
    </w:p>
    <w:p w14:paraId="735CBB3B" w14:textId="5CBC2176" w:rsidR="00FF2561" w:rsidRDefault="00366766">
      <w:pPr>
        <w:pStyle w:val="22"/>
        <w:rPr>
          <w:noProof/>
        </w:rPr>
      </w:pPr>
      <w:hyperlink w:anchor="_Toc250711197" w:history="1">
        <w:r w:rsidR="00FF2561" w:rsidRPr="00846D76">
          <w:rPr>
            <w:rStyle w:val="a3"/>
            <w:rFonts w:hint="eastAsia"/>
            <w:noProof/>
          </w:rPr>
          <w:t>15</w:t>
        </w:r>
        <w:r w:rsidR="00FF2561" w:rsidRPr="00846D76">
          <w:rPr>
            <w:rStyle w:val="a3"/>
            <w:rFonts w:hint="eastAsia"/>
            <w:noProof/>
          </w:rPr>
          <w:t>、</w:t>
        </w:r>
        <w:r w:rsidR="00FF2561">
          <w:rPr>
            <w:noProof/>
          </w:rPr>
          <w:tab/>
        </w:r>
        <w:r w:rsidR="00FF2561" w:rsidRPr="00846D76">
          <w:rPr>
            <w:rStyle w:val="a3"/>
            <w:rFonts w:hint="eastAsia"/>
            <w:noProof/>
          </w:rPr>
          <w:t>禁止行为</w:t>
        </w:r>
        <w:r w:rsidR="00FF2561">
          <w:rPr>
            <w:noProof/>
            <w:webHidden/>
          </w:rPr>
          <w:tab/>
        </w:r>
        <w:r w:rsidR="00FF2561">
          <w:rPr>
            <w:noProof/>
            <w:webHidden/>
          </w:rPr>
          <w:fldChar w:fldCharType="begin"/>
        </w:r>
        <w:r w:rsidR="00FF2561">
          <w:rPr>
            <w:noProof/>
            <w:webHidden/>
          </w:rPr>
          <w:instrText xml:space="preserve"> PAGEREF _Toc250711197 \h </w:instrText>
        </w:r>
        <w:r w:rsidR="00FF2561">
          <w:rPr>
            <w:noProof/>
            <w:webHidden/>
          </w:rPr>
        </w:r>
        <w:r w:rsidR="00FF2561">
          <w:rPr>
            <w:noProof/>
            <w:webHidden/>
          </w:rPr>
          <w:fldChar w:fldCharType="separate"/>
        </w:r>
        <w:r w:rsidR="00313FB7">
          <w:rPr>
            <w:noProof/>
            <w:webHidden/>
          </w:rPr>
          <w:t>32</w:t>
        </w:r>
        <w:r w:rsidR="00FF2561">
          <w:rPr>
            <w:noProof/>
            <w:webHidden/>
          </w:rPr>
          <w:fldChar w:fldCharType="end"/>
        </w:r>
      </w:hyperlink>
    </w:p>
    <w:p w14:paraId="4787C390" w14:textId="4F25DE70" w:rsidR="00FF2561" w:rsidRDefault="00366766">
      <w:pPr>
        <w:pStyle w:val="22"/>
        <w:rPr>
          <w:noProof/>
        </w:rPr>
      </w:pPr>
      <w:hyperlink w:anchor="_Toc250711198" w:history="1">
        <w:r w:rsidR="00FF2561" w:rsidRPr="00846D76">
          <w:rPr>
            <w:rStyle w:val="a3"/>
            <w:rFonts w:hint="eastAsia"/>
            <w:noProof/>
          </w:rPr>
          <w:t>16</w:t>
        </w:r>
        <w:r w:rsidR="00FF2561" w:rsidRPr="00846D76">
          <w:rPr>
            <w:rStyle w:val="a3"/>
            <w:rFonts w:hint="eastAsia"/>
            <w:noProof/>
          </w:rPr>
          <w:t>、</w:t>
        </w:r>
        <w:r w:rsidR="00FF2561">
          <w:rPr>
            <w:noProof/>
          </w:rPr>
          <w:tab/>
        </w:r>
        <w:r w:rsidR="00FF2561" w:rsidRPr="00846D76">
          <w:rPr>
            <w:rStyle w:val="a3"/>
            <w:rFonts w:hint="eastAsia"/>
            <w:noProof/>
          </w:rPr>
          <w:t>托管协议的变更、终止与基金财产的清算</w:t>
        </w:r>
        <w:r w:rsidR="00FF2561">
          <w:rPr>
            <w:noProof/>
            <w:webHidden/>
          </w:rPr>
          <w:tab/>
        </w:r>
        <w:r w:rsidR="00FF2561">
          <w:rPr>
            <w:noProof/>
            <w:webHidden/>
          </w:rPr>
          <w:fldChar w:fldCharType="begin"/>
        </w:r>
        <w:r w:rsidR="00FF2561">
          <w:rPr>
            <w:noProof/>
            <w:webHidden/>
          </w:rPr>
          <w:instrText xml:space="preserve"> PAGEREF _Toc250711198 \h </w:instrText>
        </w:r>
        <w:r w:rsidR="00FF2561">
          <w:rPr>
            <w:noProof/>
            <w:webHidden/>
          </w:rPr>
        </w:r>
        <w:r w:rsidR="00FF2561">
          <w:rPr>
            <w:noProof/>
            <w:webHidden/>
          </w:rPr>
          <w:fldChar w:fldCharType="separate"/>
        </w:r>
        <w:r w:rsidR="00313FB7">
          <w:rPr>
            <w:noProof/>
            <w:webHidden/>
          </w:rPr>
          <w:t>33</w:t>
        </w:r>
        <w:r w:rsidR="00FF2561">
          <w:rPr>
            <w:noProof/>
            <w:webHidden/>
          </w:rPr>
          <w:fldChar w:fldCharType="end"/>
        </w:r>
      </w:hyperlink>
    </w:p>
    <w:p w14:paraId="3E665257" w14:textId="31754015" w:rsidR="00FF2561" w:rsidRDefault="00366766">
      <w:pPr>
        <w:pStyle w:val="22"/>
        <w:rPr>
          <w:noProof/>
        </w:rPr>
      </w:pPr>
      <w:hyperlink w:anchor="_Toc250711199" w:history="1">
        <w:r w:rsidR="00FF2561" w:rsidRPr="00846D76">
          <w:rPr>
            <w:rStyle w:val="a3"/>
            <w:rFonts w:hint="eastAsia"/>
            <w:noProof/>
          </w:rPr>
          <w:t>17</w:t>
        </w:r>
        <w:r w:rsidR="00FF2561" w:rsidRPr="00846D76">
          <w:rPr>
            <w:rStyle w:val="a3"/>
            <w:rFonts w:hint="eastAsia"/>
            <w:noProof/>
          </w:rPr>
          <w:t>、</w:t>
        </w:r>
        <w:r w:rsidR="00FF2561">
          <w:rPr>
            <w:noProof/>
          </w:rPr>
          <w:tab/>
        </w:r>
        <w:r w:rsidR="00FF2561" w:rsidRPr="00846D76">
          <w:rPr>
            <w:rStyle w:val="a3"/>
            <w:rFonts w:hint="eastAsia"/>
            <w:noProof/>
          </w:rPr>
          <w:t>违约责任</w:t>
        </w:r>
        <w:r w:rsidR="00FF2561">
          <w:rPr>
            <w:noProof/>
            <w:webHidden/>
          </w:rPr>
          <w:tab/>
        </w:r>
        <w:r w:rsidR="00FF2561">
          <w:rPr>
            <w:noProof/>
            <w:webHidden/>
          </w:rPr>
          <w:fldChar w:fldCharType="begin"/>
        </w:r>
        <w:r w:rsidR="00FF2561">
          <w:rPr>
            <w:noProof/>
            <w:webHidden/>
          </w:rPr>
          <w:instrText xml:space="preserve"> PAGEREF _Toc250711199 \h </w:instrText>
        </w:r>
        <w:r w:rsidR="00FF2561">
          <w:rPr>
            <w:noProof/>
            <w:webHidden/>
          </w:rPr>
        </w:r>
        <w:r w:rsidR="00FF2561">
          <w:rPr>
            <w:noProof/>
            <w:webHidden/>
          </w:rPr>
          <w:fldChar w:fldCharType="separate"/>
        </w:r>
        <w:r w:rsidR="00313FB7">
          <w:rPr>
            <w:noProof/>
            <w:webHidden/>
          </w:rPr>
          <w:t>35</w:t>
        </w:r>
        <w:r w:rsidR="00FF2561">
          <w:rPr>
            <w:noProof/>
            <w:webHidden/>
          </w:rPr>
          <w:fldChar w:fldCharType="end"/>
        </w:r>
      </w:hyperlink>
    </w:p>
    <w:p w14:paraId="7671A413" w14:textId="6DF08BA5" w:rsidR="00FF2561" w:rsidRDefault="00366766">
      <w:pPr>
        <w:pStyle w:val="22"/>
        <w:rPr>
          <w:noProof/>
        </w:rPr>
      </w:pPr>
      <w:hyperlink w:anchor="_Toc250711200" w:history="1">
        <w:r w:rsidR="00FF2561" w:rsidRPr="00846D76">
          <w:rPr>
            <w:rStyle w:val="a3"/>
            <w:rFonts w:hint="eastAsia"/>
            <w:noProof/>
          </w:rPr>
          <w:t>18</w:t>
        </w:r>
        <w:r w:rsidR="00FF2561" w:rsidRPr="00846D76">
          <w:rPr>
            <w:rStyle w:val="a3"/>
            <w:rFonts w:hint="eastAsia"/>
            <w:noProof/>
          </w:rPr>
          <w:t>、</w:t>
        </w:r>
        <w:r w:rsidR="00FF2561">
          <w:rPr>
            <w:noProof/>
          </w:rPr>
          <w:tab/>
        </w:r>
        <w:r w:rsidR="00FF2561" w:rsidRPr="00846D76">
          <w:rPr>
            <w:rStyle w:val="a3"/>
            <w:rFonts w:hint="eastAsia"/>
            <w:noProof/>
          </w:rPr>
          <w:t>争议解决方式</w:t>
        </w:r>
        <w:r w:rsidR="00FF2561">
          <w:rPr>
            <w:noProof/>
            <w:webHidden/>
          </w:rPr>
          <w:tab/>
        </w:r>
        <w:r w:rsidR="00FF2561">
          <w:rPr>
            <w:noProof/>
            <w:webHidden/>
          </w:rPr>
          <w:fldChar w:fldCharType="begin"/>
        </w:r>
        <w:r w:rsidR="00FF2561">
          <w:rPr>
            <w:noProof/>
            <w:webHidden/>
          </w:rPr>
          <w:instrText xml:space="preserve"> PAGEREF _Toc250711200 \h </w:instrText>
        </w:r>
        <w:r w:rsidR="00FF2561">
          <w:rPr>
            <w:noProof/>
            <w:webHidden/>
          </w:rPr>
        </w:r>
        <w:r w:rsidR="00FF2561">
          <w:rPr>
            <w:noProof/>
            <w:webHidden/>
          </w:rPr>
          <w:fldChar w:fldCharType="separate"/>
        </w:r>
        <w:r w:rsidR="00313FB7">
          <w:rPr>
            <w:noProof/>
            <w:webHidden/>
          </w:rPr>
          <w:t>36</w:t>
        </w:r>
        <w:r w:rsidR="00FF2561">
          <w:rPr>
            <w:noProof/>
            <w:webHidden/>
          </w:rPr>
          <w:fldChar w:fldCharType="end"/>
        </w:r>
      </w:hyperlink>
    </w:p>
    <w:p w14:paraId="00B07041" w14:textId="5E6EFFE2" w:rsidR="00FF2561" w:rsidRDefault="00366766">
      <w:pPr>
        <w:pStyle w:val="22"/>
        <w:rPr>
          <w:noProof/>
        </w:rPr>
      </w:pPr>
      <w:hyperlink w:anchor="_Toc250711201" w:history="1">
        <w:r w:rsidR="00FF2561" w:rsidRPr="00846D76">
          <w:rPr>
            <w:rStyle w:val="a3"/>
            <w:rFonts w:hint="eastAsia"/>
            <w:noProof/>
          </w:rPr>
          <w:t>19</w:t>
        </w:r>
        <w:r w:rsidR="00FF2561" w:rsidRPr="00846D76">
          <w:rPr>
            <w:rStyle w:val="a3"/>
            <w:rFonts w:hint="eastAsia"/>
            <w:noProof/>
          </w:rPr>
          <w:t>、</w:t>
        </w:r>
        <w:r w:rsidR="00FF2561">
          <w:rPr>
            <w:noProof/>
          </w:rPr>
          <w:tab/>
        </w:r>
        <w:r w:rsidR="00FF2561" w:rsidRPr="00846D76">
          <w:rPr>
            <w:rStyle w:val="a3"/>
            <w:rFonts w:hint="eastAsia"/>
            <w:noProof/>
          </w:rPr>
          <w:t>托管协议的效力</w:t>
        </w:r>
        <w:r w:rsidR="00FF2561">
          <w:rPr>
            <w:noProof/>
            <w:webHidden/>
          </w:rPr>
          <w:tab/>
        </w:r>
        <w:r w:rsidR="00FF2561">
          <w:rPr>
            <w:noProof/>
            <w:webHidden/>
          </w:rPr>
          <w:fldChar w:fldCharType="begin"/>
        </w:r>
        <w:r w:rsidR="00FF2561">
          <w:rPr>
            <w:noProof/>
            <w:webHidden/>
          </w:rPr>
          <w:instrText xml:space="preserve"> PAGEREF _Toc250711201 \h </w:instrText>
        </w:r>
        <w:r w:rsidR="00FF2561">
          <w:rPr>
            <w:noProof/>
            <w:webHidden/>
          </w:rPr>
        </w:r>
        <w:r w:rsidR="00FF2561">
          <w:rPr>
            <w:noProof/>
            <w:webHidden/>
          </w:rPr>
          <w:fldChar w:fldCharType="separate"/>
        </w:r>
        <w:r w:rsidR="00313FB7">
          <w:rPr>
            <w:noProof/>
            <w:webHidden/>
          </w:rPr>
          <w:t>37</w:t>
        </w:r>
        <w:r w:rsidR="00FF2561">
          <w:rPr>
            <w:noProof/>
            <w:webHidden/>
          </w:rPr>
          <w:fldChar w:fldCharType="end"/>
        </w:r>
      </w:hyperlink>
    </w:p>
    <w:p w14:paraId="0BCF3121" w14:textId="1BA1888E" w:rsidR="00FF2561" w:rsidRDefault="00366766">
      <w:pPr>
        <w:pStyle w:val="22"/>
        <w:rPr>
          <w:noProof/>
        </w:rPr>
      </w:pPr>
      <w:hyperlink w:anchor="_Toc250711202" w:history="1">
        <w:r w:rsidR="00FF2561" w:rsidRPr="00846D76">
          <w:rPr>
            <w:rStyle w:val="a3"/>
            <w:rFonts w:hint="eastAsia"/>
            <w:noProof/>
          </w:rPr>
          <w:t>20</w:t>
        </w:r>
        <w:r w:rsidR="00FF2561" w:rsidRPr="00846D76">
          <w:rPr>
            <w:rStyle w:val="a3"/>
            <w:rFonts w:hint="eastAsia"/>
            <w:noProof/>
          </w:rPr>
          <w:t>、</w:t>
        </w:r>
        <w:r w:rsidR="00FF2561">
          <w:rPr>
            <w:noProof/>
          </w:rPr>
          <w:tab/>
        </w:r>
        <w:r w:rsidR="00FF2561" w:rsidRPr="00846D76">
          <w:rPr>
            <w:rStyle w:val="a3"/>
            <w:rFonts w:hint="eastAsia"/>
            <w:noProof/>
          </w:rPr>
          <w:t>其他事项</w:t>
        </w:r>
        <w:r w:rsidR="00FF2561">
          <w:rPr>
            <w:noProof/>
            <w:webHidden/>
          </w:rPr>
          <w:tab/>
        </w:r>
        <w:r w:rsidR="00FF2561">
          <w:rPr>
            <w:noProof/>
            <w:webHidden/>
          </w:rPr>
          <w:fldChar w:fldCharType="begin"/>
        </w:r>
        <w:r w:rsidR="00FF2561">
          <w:rPr>
            <w:noProof/>
            <w:webHidden/>
          </w:rPr>
          <w:instrText xml:space="preserve"> PAGEREF _Toc250711202 \h </w:instrText>
        </w:r>
        <w:r w:rsidR="00FF2561">
          <w:rPr>
            <w:noProof/>
            <w:webHidden/>
          </w:rPr>
        </w:r>
        <w:r w:rsidR="00FF2561">
          <w:rPr>
            <w:noProof/>
            <w:webHidden/>
          </w:rPr>
          <w:fldChar w:fldCharType="separate"/>
        </w:r>
        <w:r w:rsidR="00313FB7">
          <w:rPr>
            <w:noProof/>
            <w:webHidden/>
          </w:rPr>
          <w:t>38</w:t>
        </w:r>
        <w:r w:rsidR="00FF2561">
          <w:rPr>
            <w:noProof/>
            <w:webHidden/>
          </w:rPr>
          <w:fldChar w:fldCharType="end"/>
        </w:r>
      </w:hyperlink>
    </w:p>
    <w:p w14:paraId="269C655B" w14:textId="01E22C95" w:rsidR="00FF2561" w:rsidRDefault="00366766">
      <w:pPr>
        <w:pStyle w:val="22"/>
        <w:rPr>
          <w:noProof/>
        </w:rPr>
      </w:pPr>
      <w:hyperlink w:anchor="_Toc250711203" w:history="1">
        <w:r w:rsidR="00FF2561" w:rsidRPr="00846D76">
          <w:rPr>
            <w:rStyle w:val="a3"/>
            <w:rFonts w:hint="eastAsia"/>
            <w:noProof/>
          </w:rPr>
          <w:t>21</w:t>
        </w:r>
        <w:r w:rsidR="00FF2561" w:rsidRPr="00846D76">
          <w:rPr>
            <w:rStyle w:val="a3"/>
            <w:rFonts w:hint="eastAsia"/>
            <w:noProof/>
          </w:rPr>
          <w:t>、</w:t>
        </w:r>
        <w:r w:rsidR="00FF2561">
          <w:rPr>
            <w:noProof/>
          </w:rPr>
          <w:tab/>
        </w:r>
        <w:r w:rsidR="00FF2561" w:rsidRPr="00846D76">
          <w:rPr>
            <w:rStyle w:val="a3"/>
            <w:rFonts w:hint="eastAsia"/>
            <w:noProof/>
          </w:rPr>
          <w:t>托管协议的签订</w:t>
        </w:r>
        <w:r w:rsidR="00FF2561">
          <w:rPr>
            <w:noProof/>
            <w:webHidden/>
          </w:rPr>
          <w:tab/>
        </w:r>
        <w:r w:rsidR="00FF2561">
          <w:rPr>
            <w:noProof/>
            <w:webHidden/>
          </w:rPr>
          <w:fldChar w:fldCharType="begin"/>
        </w:r>
        <w:r w:rsidR="00FF2561">
          <w:rPr>
            <w:noProof/>
            <w:webHidden/>
          </w:rPr>
          <w:instrText xml:space="preserve"> PAGEREF _Toc250711203 \h </w:instrText>
        </w:r>
        <w:r w:rsidR="00FF2561">
          <w:rPr>
            <w:noProof/>
            <w:webHidden/>
          </w:rPr>
        </w:r>
        <w:r w:rsidR="00FF2561">
          <w:rPr>
            <w:noProof/>
            <w:webHidden/>
          </w:rPr>
          <w:fldChar w:fldCharType="separate"/>
        </w:r>
        <w:r w:rsidR="00313FB7">
          <w:rPr>
            <w:noProof/>
            <w:webHidden/>
          </w:rPr>
          <w:t>39</w:t>
        </w:r>
        <w:r w:rsidR="00FF2561">
          <w:rPr>
            <w:noProof/>
            <w:webHidden/>
          </w:rPr>
          <w:fldChar w:fldCharType="end"/>
        </w:r>
      </w:hyperlink>
    </w:p>
    <w:p w14:paraId="58E91309" w14:textId="77777777" w:rsidR="000D10AE" w:rsidRPr="005B1DF8" w:rsidRDefault="00FF2561" w:rsidP="000D10AE">
      <w:pPr>
        <w:spacing w:line="400" w:lineRule="atLeast"/>
        <w:rPr>
          <w:color w:val="000000"/>
        </w:rPr>
      </w:pPr>
      <w:r>
        <w:rPr>
          <w:color w:val="000000"/>
        </w:rPr>
        <w:fldChar w:fldCharType="end"/>
      </w:r>
    </w:p>
    <w:p w14:paraId="008C2098" w14:textId="77777777" w:rsidR="000D10AE" w:rsidRPr="005B1DF8" w:rsidRDefault="000D10AE" w:rsidP="000D10AE">
      <w:pPr>
        <w:spacing w:line="400" w:lineRule="atLeast"/>
        <w:rPr>
          <w:color w:val="000000"/>
        </w:rPr>
      </w:pPr>
    </w:p>
    <w:p w14:paraId="1ACB1A9F" w14:textId="77777777" w:rsidR="000D10AE" w:rsidRPr="00EE1299" w:rsidRDefault="000D10AE" w:rsidP="000D10AE">
      <w:pPr>
        <w:spacing w:line="360" w:lineRule="auto"/>
        <w:jc w:val="center"/>
        <w:rPr>
          <w:szCs w:val="21"/>
        </w:rPr>
      </w:pPr>
      <w:r>
        <w:rPr>
          <w:color w:val="000000"/>
        </w:rPr>
        <w:br w:type="page"/>
      </w:r>
      <w:r w:rsidR="00FF2561" w:rsidRPr="00E823EC" w:rsidDel="00FF2561">
        <w:rPr>
          <w:rFonts w:ascii="黑体" w:eastAsia="黑体" w:hint="eastAsia"/>
          <w:b/>
          <w:bCs/>
          <w:color w:val="000000"/>
          <w:spacing w:val="-20"/>
          <w:sz w:val="44"/>
        </w:rPr>
        <w:lastRenderedPageBreak/>
        <w:t xml:space="preserve"> </w:t>
      </w:r>
    </w:p>
    <w:p w14:paraId="7CC91077" w14:textId="77777777" w:rsidR="000D10AE" w:rsidRPr="00EE1299" w:rsidRDefault="000D10AE" w:rsidP="000D10AE">
      <w:pPr>
        <w:widowControl/>
        <w:adjustRightInd w:val="0"/>
        <w:snapToGrid w:val="0"/>
        <w:spacing w:line="360" w:lineRule="auto"/>
        <w:ind w:firstLineChars="200" w:firstLine="420"/>
        <w:rPr>
          <w:rFonts w:cs="Arial"/>
          <w:kern w:val="0"/>
          <w:szCs w:val="21"/>
        </w:rPr>
      </w:pPr>
      <w:r w:rsidRPr="00EE1299">
        <w:rPr>
          <w:rFonts w:hAnsi="宋体" w:cs="Arial" w:hint="eastAsia"/>
          <w:kern w:val="0"/>
          <w:szCs w:val="21"/>
        </w:rPr>
        <w:t>鉴于</w:t>
      </w:r>
      <w:r w:rsidR="00C41FB4">
        <w:rPr>
          <w:rFonts w:hAnsi="宋体" w:cs="Arial" w:hint="eastAsia"/>
          <w:szCs w:val="21"/>
        </w:rPr>
        <w:t>南方基金管理股份有限公司</w:t>
      </w:r>
      <w:r w:rsidRPr="00EE1299">
        <w:rPr>
          <w:rFonts w:hAnsi="宋体" w:cs="Arial" w:hint="eastAsia"/>
          <w:kern w:val="0"/>
          <w:szCs w:val="21"/>
        </w:rPr>
        <w:t>系一家依照中国法律合法成立并有效存续的</w:t>
      </w:r>
      <w:r w:rsidR="006A7AB7">
        <w:rPr>
          <w:rFonts w:hAnsi="宋体" w:cs="Arial" w:hint="eastAsia"/>
          <w:kern w:val="0"/>
          <w:szCs w:val="21"/>
        </w:rPr>
        <w:t>股份有限</w:t>
      </w:r>
      <w:r w:rsidR="006A7AB7" w:rsidRPr="00EE1299">
        <w:rPr>
          <w:rFonts w:hAnsi="宋体" w:cs="Arial" w:hint="eastAsia"/>
          <w:kern w:val="0"/>
          <w:szCs w:val="21"/>
        </w:rPr>
        <w:t>公司</w:t>
      </w:r>
      <w:r w:rsidRPr="00EE1299">
        <w:rPr>
          <w:rFonts w:hAnsi="宋体" w:cs="Arial" w:hint="eastAsia"/>
          <w:kern w:val="0"/>
          <w:szCs w:val="21"/>
        </w:rPr>
        <w:t>，按照相关法律法规的规定具备担任基金管理人的资格和能力，拟募集发行</w:t>
      </w:r>
      <w:r>
        <w:rPr>
          <w:rFonts w:hAnsi="宋体" w:cs="Arial" w:hint="eastAsia"/>
          <w:szCs w:val="21"/>
        </w:rPr>
        <w:t>南方策略优化</w:t>
      </w:r>
      <w:r w:rsidR="007823C0">
        <w:rPr>
          <w:rFonts w:hAnsi="宋体" w:cs="Arial" w:hint="eastAsia"/>
          <w:szCs w:val="21"/>
        </w:rPr>
        <w:t>混合型</w:t>
      </w:r>
      <w:r>
        <w:rPr>
          <w:rFonts w:hAnsi="宋体" w:cs="Arial" w:hint="eastAsia"/>
          <w:szCs w:val="21"/>
        </w:rPr>
        <w:t>证券</w:t>
      </w:r>
      <w:r w:rsidRPr="00EE1299">
        <w:rPr>
          <w:rFonts w:hAnsi="宋体" w:cs="Arial" w:hint="eastAsia"/>
          <w:kern w:val="0"/>
          <w:szCs w:val="21"/>
        </w:rPr>
        <w:t>投资基金；</w:t>
      </w:r>
    </w:p>
    <w:p w14:paraId="48898E3E" w14:textId="77777777" w:rsidR="000D10AE" w:rsidRPr="00EE1299" w:rsidRDefault="000D10AE" w:rsidP="000D10AE">
      <w:pPr>
        <w:widowControl/>
        <w:adjustRightInd w:val="0"/>
        <w:snapToGrid w:val="0"/>
        <w:spacing w:line="360" w:lineRule="auto"/>
        <w:ind w:firstLineChars="200" w:firstLine="420"/>
        <w:rPr>
          <w:rFonts w:cs="Arial"/>
          <w:kern w:val="0"/>
          <w:szCs w:val="21"/>
        </w:rPr>
      </w:pPr>
      <w:r w:rsidRPr="00EE1299">
        <w:rPr>
          <w:rFonts w:hAnsi="宋体" w:cs="Arial" w:hint="eastAsia"/>
          <w:kern w:val="0"/>
          <w:szCs w:val="21"/>
        </w:rPr>
        <w:t>鉴于招商银行股份有限公司系一家依照中国法律合法成立并有效存续的银行，按照相关法律法规的规定具备担任基金托管人的资格和能力；</w:t>
      </w:r>
    </w:p>
    <w:p w14:paraId="6022BD0F" w14:textId="77777777" w:rsidR="000D10AE" w:rsidRPr="00EE1299" w:rsidRDefault="000D10AE" w:rsidP="000D10AE">
      <w:pPr>
        <w:widowControl/>
        <w:adjustRightInd w:val="0"/>
        <w:snapToGrid w:val="0"/>
        <w:spacing w:line="360" w:lineRule="auto"/>
        <w:ind w:firstLineChars="200" w:firstLine="420"/>
        <w:rPr>
          <w:rFonts w:cs="Arial"/>
          <w:kern w:val="0"/>
          <w:szCs w:val="21"/>
        </w:rPr>
      </w:pPr>
      <w:r w:rsidRPr="00EE1299">
        <w:rPr>
          <w:rFonts w:hAnsi="宋体" w:cs="Arial" w:hint="eastAsia"/>
          <w:kern w:val="0"/>
          <w:szCs w:val="21"/>
        </w:rPr>
        <w:t>鉴于</w:t>
      </w:r>
      <w:r w:rsidR="00C41FB4">
        <w:rPr>
          <w:rFonts w:hAnsi="宋体" w:cs="Arial" w:hint="eastAsia"/>
          <w:szCs w:val="21"/>
        </w:rPr>
        <w:t>南方基金管理股份有限公司</w:t>
      </w:r>
      <w:r w:rsidRPr="00EE1299">
        <w:rPr>
          <w:rFonts w:hAnsi="宋体" w:cs="Arial" w:hint="eastAsia"/>
          <w:kern w:val="0"/>
          <w:szCs w:val="21"/>
        </w:rPr>
        <w:t>拟担任</w:t>
      </w:r>
      <w:r>
        <w:rPr>
          <w:rFonts w:hAnsi="宋体" w:cs="Arial" w:hint="eastAsia"/>
          <w:szCs w:val="21"/>
        </w:rPr>
        <w:t>南方策略优化</w:t>
      </w:r>
      <w:r w:rsidR="007823C0">
        <w:rPr>
          <w:rFonts w:hAnsi="宋体" w:cs="Arial" w:hint="eastAsia"/>
          <w:szCs w:val="21"/>
        </w:rPr>
        <w:t>混合型</w:t>
      </w:r>
      <w:r>
        <w:rPr>
          <w:rFonts w:hAnsi="宋体" w:cs="Arial" w:hint="eastAsia"/>
          <w:szCs w:val="21"/>
        </w:rPr>
        <w:t>证券</w:t>
      </w:r>
      <w:r w:rsidRPr="00EE1299">
        <w:rPr>
          <w:rFonts w:hAnsi="宋体" w:cs="Arial" w:hint="eastAsia"/>
          <w:kern w:val="0"/>
          <w:szCs w:val="21"/>
        </w:rPr>
        <w:t>投资基金的基金管理人，招商银行股份有限公司拟担任</w:t>
      </w:r>
      <w:r>
        <w:rPr>
          <w:rFonts w:hAnsi="宋体" w:cs="Arial" w:hint="eastAsia"/>
          <w:szCs w:val="21"/>
        </w:rPr>
        <w:t>南方策略优化</w:t>
      </w:r>
      <w:r w:rsidR="007823C0">
        <w:rPr>
          <w:rFonts w:hAnsi="宋体" w:cs="Arial" w:hint="eastAsia"/>
          <w:szCs w:val="21"/>
        </w:rPr>
        <w:t>混合型</w:t>
      </w:r>
      <w:r>
        <w:rPr>
          <w:rFonts w:hAnsi="宋体" w:cs="Arial" w:hint="eastAsia"/>
          <w:szCs w:val="21"/>
        </w:rPr>
        <w:t>证券</w:t>
      </w:r>
      <w:r w:rsidRPr="00EE1299">
        <w:rPr>
          <w:rFonts w:hAnsi="宋体" w:cs="Arial" w:hint="eastAsia"/>
          <w:kern w:val="0"/>
          <w:szCs w:val="21"/>
        </w:rPr>
        <w:t>投资基金的基金托管人；</w:t>
      </w:r>
    </w:p>
    <w:p w14:paraId="2FBBCECD" w14:textId="77777777" w:rsidR="000D10AE" w:rsidRPr="00EE1299" w:rsidRDefault="000D10AE" w:rsidP="000D10AE">
      <w:pPr>
        <w:widowControl/>
        <w:adjustRightInd w:val="0"/>
        <w:snapToGrid w:val="0"/>
        <w:spacing w:line="360" w:lineRule="auto"/>
        <w:ind w:firstLineChars="200" w:firstLine="420"/>
        <w:rPr>
          <w:rFonts w:cs="Arial"/>
          <w:kern w:val="0"/>
          <w:szCs w:val="21"/>
        </w:rPr>
      </w:pPr>
      <w:r w:rsidRPr="00EE1299">
        <w:rPr>
          <w:rFonts w:hAnsi="宋体" w:cs="Arial" w:hint="eastAsia"/>
          <w:kern w:val="0"/>
          <w:szCs w:val="21"/>
        </w:rPr>
        <w:t>为明确</w:t>
      </w:r>
      <w:r>
        <w:rPr>
          <w:rFonts w:hAnsi="宋体" w:cs="Arial" w:hint="eastAsia"/>
          <w:szCs w:val="21"/>
        </w:rPr>
        <w:t>南方策略优化</w:t>
      </w:r>
      <w:r w:rsidR="007823C0">
        <w:rPr>
          <w:rFonts w:hAnsi="宋体" w:cs="Arial" w:hint="eastAsia"/>
          <w:szCs w:val="21"/>
        </w:rPr>
        <w:t>混合型</w:t>
      </w:r>
      <w:r>
        <w:rPr>
          <w:rFonts w:hAnsi="宋体" w:cs="Arial" w:hint="eastAsia"/>
          <w:szCs w:val="21"/>
        </w:rPr>
        <w:t>证券</w:t>
      </w:r>
      <w:r w:rsidRPr="00EE1299">
        <w:rPr>
          <w:rFonts w:hAnsi="宋体" w:cs="Arial" w:hint="eastAsia"/>
          <w:kern w:val="0"/>
          <w:szCs w:val="21"/>
        </w:rPr>
        <w:t>投资基金的基金管理人和基金托管人之间的权利义务关系，特制订本托管协议；</w:t>
      </w:r>
    </w:p>
    <w:p w14:paraId="52F96CF5" w14:textId="77777777" w:rsidR="000D10AE" w:rsidRDefault="000D10AE" w:rsidP="000D10AE">
      <w:pPr>
        <w:widowControl/>
        <w:adjustRightInd w:val="0"/>
        <w:snapToGrid w:val="0"/>
        <w:spacing w:line="360" w:lineRule="auto"/>
        <w:ind w:firstLineChars="200" w:firstLine="420"/>
        <w:rPr>
          <w:rFonts w:hAnsi="宋体" w:cs="Arial"/>
          <w:kern w:val="0"/>
          <w:szCs w:val="21"/>
          <w:lang w:val="en-GB"/>
        </w:rPr>
      </w:pPr>
      <w:r w:rsidRPr="00EE1299">
        <w:rPr>
          <w:rFonts w:hAnsi="宋体" w:cs="Arial" w:hint="eastAsia"/>
          <w:kern w:val="0"/>
          <w:szCs w:val="21"/>
          <w:lang w:val="en-GB"/>
        </w:rPr>
        <w:t>除非另有约定，《</w:t>
      </w:r>
      <w:r>
        <w:rPr>
          <w:rFonts w:hAnsi="宋体" w:cs="Arial" w:hint="eastAsia"/>
          <w:szCs w:val="21"/>
        </w:rPr>
        <w:t>南方策略优化</w:t>
      </w:r>
      <w:r w:rsidR="007823C0">
        <w:rPr>
          <w:rFonts w:hAnsi="宋体" w:cs="Arial" w:hint="eastAsia"/>
          <w:szCs w:val="21"/>
        </w:rPr>
        <w:t>混合型</w:t>
      </w:r>
      <w:r>
        <w:rPr>
          <w:rFonts w:hAnsi="宋体" w:cs="Arial" w:hint="eastAsia"/>
          <w:szCs w:val="21"/>
        </w:rPr>
        <w:t>证券</w:t>
      </w:r>
      <w:r w:rsidRPr="00EE1299">
        <w:rPr>
          <w:rFonts w:hAnsi="宋体" w:cs="Arial" w:hint="eastAsia"/>
          <w:kern w:val="0"/>
          <w:szCs w:val="21"/>
          <w:lang w:val="en-GB"/>
        </w:rPr>
        <w:t>投资基金基金合同》</w:t>
      </w:r>
      <w:r w:rsidRPr="00EE1299">
        <w:rPr>
          <w:rFonts w:cs="Arial" w:hint="eastAsia"/>
          <w:kern w:val="0"/>
          <w:szCs w:val="21"/>
          <w:lang w:val="en-GB"/>
        </w:rPr>
        <w:t>(</w:t>
      </w:r>
      <w:r w:rsidRPr="00EE1299">
        <w:rPr>
          <w:rFonts w:hAnsi="宋体" w:cs="Arial" w:hint="eastAsia"/>
          <w:kern w:val="0"/>
          <w:szCs w:val="21"/>
          <w:lang w:val="en-GB"/>
        </w:rPr>
        <w:t>以下简称</w:t>
      </w:r>
      <w:r w:rsidRPr="00EE1299">
        <w:rPr>
          <w:rFonts w:cs="Arial" w:hint="eastAsia"/>
          <w:kern w:val="0"/>
          <w:szCs w:val="21"/>
          <w:lang w:val="en-GB"/>
        </w:rPr>
        <w:t>“</w:t>
      </w:r>
      <w:r w:rsidRPr="00EE1299">
        <w:rPr>
          <w:rFonts w:hAnsi="宋体" w:cs="Arial" w:hint="eastAsia"/>
          <w:kern w:val="0"/>
          <w:szCs w:val="21"/>
          <w:lang w:val="en-GB"/>
        </w:rPr>
        <w:t>基金合同</w:t>
      </w:r>
      <w:r w:rsidRPr="00EE1299">
        <w:rPr>
          <w:rFonts w:cs="Arial" w:hint="eastAsia"/>
          <w:kern w:val="0"/>
          <w:szCs w:val="21"/>
          <w:lang w:val="en-GB"/>
        </w:rPr>
        <w:t>”</w:t>
      </w:r>
      <w:r w:rsidRPr="00EE1299">
        <w:rPr>
          <w:rFonts w:cs="Arial" w:hint="eastAsia"/>
          <w:kern w:val="0"/>
          <w:szCs w:val="21"/>
          <w:lang w:val="en-GB"/>
        </w:rPr>
        <w:t>)</w:t>
      </w:r>
      <w:r w:rsidRPr="00EE1299">
        <w:rPr>
          <w:rFonts w:hAnsi="宋体" w:cs="Arial" w:hint="eastAsia"/>
          <w:kern w:val="0"/>
          <w:szCs w:val="21"/>
          <w:lang w:val="en-GB"/>
        </w:rPr>
        <w:t>中定义的术语在用于本托管协议时应具有相同的含义；若有抵触应以基金合同为准，并依其</w:t>
      </w:r>
      <w:r w:rsidRPr="00EE1299">
        <w:rPr>
          <w:rFonts w:hAnsi="宋体" w:cs="Arial" w:hint="eastAsia"/>
          <w:kern w:val="0"/>
          <w:szCs w:val="21"/>
        </w:rPr>
        <w:t>条款</w:t>
      </w:r>
      <w:r w:rsidRPr="00EE1299">
        <w:rPr>
          <w:rFonts w:hAnsi="宋体" w:cs="Arial" w:hint="eastAsia"/>
          <w:kern w:val="0"/>
          <w:szCs w:val="21"/>
          <w:lang w:val="en-GB"/>
        </w:rPr>
        <w:t>解释。</w:t>
      </w:r>
    </w:p>
    <w:p w14:paraId="45D5CEB7" w14:textId="77777777" w:rsidR="000D10AE" w:rsidRPr="00EE1299" w:rsidRDefault="000D10AE" w:rsidP="000D10AE">
      <w:pPr>
        <w:widowControl/>
        <w:adjustRightInd w:val="0"/>
        <w:snapToGrid w:val="0"/>
        <w:spacing w:line="360" w:lineRule="auto"/>
        <w:ind w:firstLineChars="200" w:firstLine="420"/>
        <w:rPr>
          <w:szCs w:val="21"/>
          <w:lang w:val="en-GB"/>
        </w:rPr>
      </w:pPr>
      <w:r>
        <w:rPr>
          <w:rFonts w:hAnsi="宋体" w:cs="Arial"/>
          <w:kern w:val="0"/>
          <w:szCs w:val="21"/>
          <w:lang w:val="en-GB"/>
        </w:rPr>
        <w:br w:type="page"/>
      </w:r>
    </w:p>
    <w:p w14:paraId="366828E9" w14:textId="77777777" w:rsidR="000D10AE" w:rsidRPr="00AB3329" w:rsidRDefault="000D10AE" w:rsidP="00FF2561">
      <w:pPr>
        <w:pStyle w:val="21"/>
        <w:numPr>
          <w:ilvl w:val="1"/>
          <w:numId w:val="28"/>
        </w:numPr>
        <w:rPr>
          <w:rFonts w:ascii="Times New Roman" w:hAnsi="Times New Roman"/>
          <w:color w:val="000000"/>
        </w:rPr>
      </w:pPr>
      <w:bookmarkStart w:id="7" w:name="_Toc215903437"/>
      <w:bookmarkStart w:id="8" w:name="_Toc247440582"/>
      <w:bookmarkStart w:id="9" w:name="_Toc250711183"/>
      <w:r w:rsidRPr="00AB3329">
        <w:rPr>
          <w:rFonts w:ascii="Times New Roman" w:hAnsi="Times New Roman" w:hint="eastAsia"/>
          <w:color w:val="000000"/>
        </w:rPr>
        <w:lastRenderedPageBreak/>
        <w:t>基金托管协议当事人</w:t>
      </w:r>
      <w:bookmarkEnd w:id="7"/>
      <w:bookmarkEnd w:id="8"/>
      <w:bookmarkEnd w:id="9"/>
    </w:p>
    <w:p w14:paraId="54F631BC"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（一）基金管理人</w:t>
      </w:r>
    </w:p>
    <w:p w14:paraId="03DED0E4" w14:textId="77777777" w:rsidR="00C41FB4" w:rsidRDefault="00C41FB4" w:rsidP="00C41FB4">
      <w:pPr>
        <w:spacing w:line="360" w:lineRule="auto"/>
        <w:ind w:firstLineChars="200" w:firstLine="420"/>
        <w:rPr>
          <w:bCs/>
          <w:szCs w:val="21"/>
        </w:rPr>
      </w:pPr>
      <w:r>
        <w:rPr>
          <w:rFonts w:hint="eastAsia"/>
          <w:bCs/>
          <w:szCs w:val="21"/>
        </w:rPr>
        <w:t>名称：南方基金管理股份有限公司</w:t>
      </w:r>
    </w:p>
    <w:p w14:paraId="16007B45" w14:textId="5EC87FED" w:rsidR="00C41FB4" w:rsidRDefault="00C41FB4" w:rsidP="00C41FB4">
      <w:pPr>
        <w:spacing w:line="360" w:lineRule="auto"/>
        <w:ind w:firstLineChars="200" w:firstLine="420"/>
        <w:rPr>
          <w:bCs/>
          <w:szCs w:val="21"/>
        </w:rPr>
      </w:pPr>
      <w:r>
        <w:rPr>
          <w:rFonts w:hint="eastAsia"/>
          <w:bCs/>
          <w:szCs w:val="21"/>
        </w:rPr>
        <w:t>住所：</w:t>
      </w:r>
      <w:r w:rsidR="000368B3">
        <w:rPr>
          <w:rFonts w:ascii="宋体" w:hAnsi="宋体" w:hint="eastAsia"/>
          <w:szCs w:val="21"/>
        </w:rPr>
        <w:t>深圳市福田区莲花街道益田路5999号基金大厦32-42楼</w:t>
      </w:r>
    </w:p>
    <w:p w14:paraId="2B85C1A3" w14:textId="144BE041" w:rsidR="00C41FB4" w:rsidRDefault="00C41FB4" w:rsidP="00C41FB4">
      <w:pPr>
        <w:spacing w:line="360" w:lineRule="auto"/>
        <w:ind w:firstLineChars="200" w:firstLine="420"/>
        <w:rPr>
          <w:bCs/>
          <w:szCs w:val="21"/>
        </w:rPr>
      </w:pPr>
      <w:r>
        <w:rPr>
          <w:rFonts w:hint="eastAsia"/>
          <w:bCs/>
          <w:szCs w:val="21"/>
        </w:rPr>
        <w:t>法定代表人：</w:t>
      </w:r>
      <w:r w:rsidR="00E0613B">
        <w:rPr>
          <w:rFonts w:hint="eastAsia"/>
          <w:bCs/>
          <w:szCs w:val="21"/>
        </w:rPr>
        <w:t>周易</w:t>
      </w:r>
    </w:p>
    <w:p w14:paraId="45624D33" w14:textId="77777777" w:rsidR="00C41FB4" w:rsidRDefault="00C41FB4" w:rsidP="00C41FB4">
      <w:pPr>
        <w:spacing w:line="360" w:lineRule="auto"/>
        <w:ind w:firstLineChars="200" w:firstLine="420"/>
        <w:rPr>
          <w:bCs/>
          <w:szCs w:val="21"/>
        </w:rPr>
      </w:pPr>
      <w:r>
        <w:rPr>
          <w:rFonts w:hint="eastAsia"/>
          <w:bCs/>
          <w:szCs w:val="21"/>
        </w:rPr>
        <w:t>设立日期：</w:t>
      </w:r>
      <w:r>
        <w:rPr>
          <w:bCs/>
          <w:szCs w:val="21"/>
        </w:rPr>
        <w:t>1998</w:t>
      </w:r>
      <w:r>
        <w:rPr>
          <w:rFonts w:hint="eastAsia"/>
          <w:bCs/>
          <w:szCs w:val="21"/>
        </w:rPr>
        <w:t>年</w:t>
      </w:r>
      <w:r>
        <w:rPr>
          <w:bCs/>
          <w:szCs w:val="21"/>
        </w:rPr>
        <w:t>3</w:t>
      </w:r>
      <w:r>
        <w:rPr>
          <w:rFonts w:hint="eastAsia"/>
          <w:bCs/>
          <w:szCs w:val="21"/>
        </w:rPr>
        <w:t>月</w:t>
      </w:r>
      <w:r>
        <w:rPr>
          <w:bCs/>
          <w:szCs w:val="21"/>
        </w:rPr>
        <w:t>6</w:t>
      </w:r>
      <w:r>
        <w:rPr>
          <w:rFonts w:hint="eastAsia"/>
          <w:bCs/>
          <w:szCs w:val="21"/>
        </w:rPr>
        <w:t>日</w:t>
      </w:r>
    </w:p>
    <w:p w14:paraId="67388633" w14:textId="77777777" w:rsidR="00C41FB4" w:rsidRDefault="00C41FB4" w:rsidP="00C41FB4">
      <w:pPr>
        <w:spacing w:line="360" w:lineRule="auto"/>
        <w:ind w:firstLineChars="200" w:firstLine="420"/>
        <w:rPr>
          <w:bCs/>
          <w:szCs w:val="21"/>
        </w:rPr>
      </w:pPr>
      <w:r>
        <w:rPr>
          <w:rFonts w:hint="eastAsia"/>
          <w:bCs/>
          <w:szCs w:val="21"/>
        </w:rPr>
        <w:t>批准设立机关及批准设立文号：中国证券监督管理委员会</w:t>
      </w:r>
      <w:proofErr w:type="gramStart"/>
      <w:r>
        <w:rPr>
          <w:rFonts w:hint="eastAsia"/>
          <w:bCs/>
          <w:szCs w:val="21"/>
        </w:rPr>
        <w:t>证监基字</w:t>
      </w:r>
      <w:proofErr w:type="gramEnd"/>
      <w:r>
        <w:rPr>
          <w:bCs/>
          <w:szCs w:val="21"/>
        </w:rPr>
        <w:t>[1998]4</w:t>
      </w:r>
      <w:r>
        <w:rPr>
          <w:rFonts w:hint="eastAsia"/>
          <w:bCs/>
          <w:szCs w:val="21"/>
        </w:rPr>
        <w:t>号</w:t>
      </w:r>
    </w:p>
    <w:p w14:paraId="7E814936" w14:textId="77777777" w:rsidR="00C41FB4" w:rsidRDefault="00C41FB4" w:rsidP="00C41FB4">
      <w:pPr>
        <w:spacing w:line="360" w:lineRule="auto"/>
        <w:ind w:firstLineChars="200" w:firstLine="420"/>
        <w:rPr>
          <w:bCs/>
          <w:szCs w:val="21"/>
        </w:rPr>
      </w:pPr>
      <w:r>
        <w:rPr>
          <w:rFonts w:hint="eastAsia"/>
          <w:bCs/>
          <w:szCs w:val="21"/>
        </w:rPr>
        <w:t>组织形式：股份有限公司</w:t>
      </w:r>
    </w:p>
    <w:p w14:paraId="40E29208" w14:textId="20D6E0D6" w:rsidR="00C41FB4" w:rsidRDefault="00C41FB4" w:rsidP="00C41FB4">
      <w:pPr>
        <w:spacing w:line="360" w:lineRule="auto"/>
        <w:ind w:firstLineChars="200" w:firstLine="420"/>
        <w:rPr>
          <w:bCs/>
          <w:szCs w:val="21"/>
        </w:rPr>
      </w:pPr>
      <w:r>
        <w:rPr>
          <w:rFonts w:hint="eastAsia"/>
          <w:bCs/>
          <w:szCs w:val="21"/>
        </w:rPr>
        <w:t>注册资本：</w:t>
      </w:r>
      <w:r w:rsidR="000368B3">
        <w:rPr>
          <w:rFonts w:hint="eastAsia"/>
          <w:bCs/>
          <w:szCs w:val="21"/>
        </w:rPr>
        <w:t>人民币</w:t>
      </w:r>
      <w:r w:rsidR="000368B3">
        <w:rPr>
          <w:rFonts w:hint="eastAsia"/>
          <w:bCs/>
          <w:szCs w:val="21"/>
        </w:rPr>
        <w:t>3.6172</w:t>
      </w:r>
      <w:r w:rsidR="000368B3">
        <w:rPr>
          <w:rFonts w:hint="eastAsia"/>
          <w:bCs/>
          <w:szCs w:val="21"/>
        </w:rPr>
        <w:t>亿元</w:t>
      </w:r>
    </w:p>
    <w:p w14:paraId="4F0908A8" w14:textId="77777777" w:rsidR="00C41FB4" w:rsidRDefault="00C41FB4" w:rsidP="00C41FB4">
      <w:pPr>
        <w:spacing w:line="360" w:lineRule="auto"/>
        <w:ind w:firstLineChars="200" w:firstLine="420"/>
        <w:rPr>
          <w:bCs/>
          <w:szCs w:val="21"/>
        </w:rPr>
      </w:pPr>
      <w:r>
        <w:rPr>
          <w:rFonts w:hint="eastAsia"/>
          <w:bCs/>
          <w:szCs w:val="21"/>
        </w:rPr>
        <w:t>存续期限：持续经营</w:t>
      </w:r>
    </w:p>
    <w:p w14:paraId="289E0760" w14:textId="77777777" w:rsidR="00C41FB4" w:rsidRDefault="00C41FB4" w:rsidP="00C41FB4">
      <w:pPr>
        <w:spacing w:line="360" w:lineRule="auto"/>
        <w:ind w:firstLineChars="200" w:firstLine="420"/>
        <w:rPr>
          <w:bCs/>
          <w:szCs w:val="21"/>
        </w:rPr>
      </w:pPr>
      <w:r>
        <w:rPr>
          <w:rFonts w:hint="eastAsia"/>
          <w:bCs/>
          <w:szCs w:val="21"/>
        </w:rPr>
        <w:t>联系电话：</w:t>
      </w:r>
      <w:r>
        <w:rPr>
          <w:bCs/>
          <w:szCs w:val="21"/>
        </w:rPr>
        <w:t>0755-82763888</w:t>
      </w:r>
    </w:p>
    <w:p w14:paraId="518DA865"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（二）基金托管人</w:t>
      </w:r>
    </w:p>
    <w:p w14:paraId="4281FF36"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名称：招商银行股份有限公司</w:t>
      </w:r>
      <w:r w:rsidRPr="00EE1299">
        <w:rPr>
          <w:rFonts w:cs="Arial" w:hint="eastAsia"/>
          <w:szCs w:val="21"/>
        </w:rPr>
        <w:t>(</w:t>
      </w:r>
      <w:r w:rsidRPr="00EE1299">
        <w:rPr>
          <w:rFonts w:hAnsi="宋体" w:cs="Arial" w:hint="eastAsia"/>
          <w:szCs w:val="21"/>
        </w:rPr>
        <w:t>简称：招商银行</w:t>
      </w:r>
      <w:r w:rsidRPr="00EE1299">
        <w:rPr>
          <w:rFonts w:cs="Arial" w:hint="eastAsia"/>
          <w:szCs w:val="21"/>
        </w:rPr>
        <w:t>)</w:t>
      </w:r>
    </w:p>
    <w:p w14:paraId="10289043"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住所：深圳市深南大道</w:t>
      </w:r>
      <w:r w:rsidRPr="00EE1299">
        <w:rPr>
          <w:rFonts w:cs="Arial" w:hint="eastAsia"/>
          <w:szCs w:val="21"/>
        </w:rPr>
        <w:t>7088</w:t>
      </w:r>
      <w:r w:rsidRPr="00EE1299">
        <w:rPr>
          <w:rFonts w:hAnsi="宋体" w:cs="Arial" w:hint="eastAsia"/>
          <w:szCs w:val="21"/>
        </w:rPr>
        <w:t>号招商银行大厦</w:t>
      </w:r>
    </w:p>
    <w:p w14:paraId="7F33256A"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办公地址：深圳市深南大道</w:t>
      </w:r>
      <w:r w:rsidRPr="00EE1299">
        <w:rPr>
          <w:rFonts w:cs="Arial" w:hint="eastAsia"/>
          <w:szCs w:val="21"/>
        </w:rPr>
        <w:t>7088</w:t>
      </w:r>
      <w:r w:rsidRPr="00EE1299">
        <w:rPr>
          <w:rFonts w:hAnsi="宋体" w:cs="Arial" w:hint="eastAsia"/>
          <w:szCs w:val="21"/>
        </w:rPr>
        <w:t>号招商银行大厦</w:t>
      </w:r>
    </w:p>
    <w:p w14:paraId="682F53DC"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邮政编码：</w:t>
      </w:r>
      <w:r w:rsidRPr="00EE1299">
        <w:rPr>
          <w:rFonts w:cs="Arial" w:hint="eastAsia"/>
          <w:szCs w:val="21"/>
        </w:rPr>
        <w:t>518040</w:t>
      </w:r>
    </w:p>
    <w:p w14:paraId="7AB0FE9A" w14:textId="5EC1850E"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法定代表人：</w:t>
      </w:r>
      <w:r w:rsidR="00E0613B" w:rsidRPr="00E0613B">
        <w:rPr>
          <w:rFonts w:hAnsi="宋体" w:cs="Arial" w:hint="eastAsia"/>
          <w:szCs w:val="21"/>
        </w:rPr>
        <w:t>缪建民</w:t>
      </w:r>
    </w:p>
    <w:p w14:paraId="7324586C"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EE1299">
          <w:rPr>
            <w:rFonts w:cs="Arial" w:hint="eastAsia"/>
            <w:szCs w:val="21"/>
          </w:rPr>
          <w:t>1987</w:t>
        </w:r>
        <w:r w:rsidRPr="00EE1299">
          <w:rPr>
            <w:rFonts w:hAnsi="宋体" w:cs="Arial" w:hint="eastAsia"/>
            <w:szCs w:val="21"/>
          </w:rPr>
          <w:t>年</w:t>
        </w:r>
        <w:r w:rsidRPr="00EE1299">
          <w:rPr>
            <w:rFonts w:cs="Arial" w:hint="eastAsia"/>
            <w:szCs w:val="21"/>
          </w:rPr>
          <w:t>4</w:t>
        </w:r>
        <w:r w:rsidRPr="00EE1299">
          <w:rPr>
            <w:rFonts w:hAnsi="宋体" w:cs="Arial" w:hint="eastAsia"/>
            <w:szCs w:val="21"/>
          </w:rPr>
          <w:t>月</w:t>
        </w:r>
        <w:r w:rsidRPr="00EE1299">
          <w:rPr>
            <w:rFonts w:cs="Arial" w:hint="eastAsia"/>
            <w:szCs w:val="21"/>
          </w:rPr>
          <w:t>8</w:t>
        </w:r>
        <w:r w:rsidRPr="00EE1299">
          <w:rPr>
            <w:rFonts w:hAnsi="宋体" w:cs="Arial" w:hint="eastAsia"/>
            <w:szCs w:val="21"/>
          </w:rPr>
          <w:t>日</w:t>
        </w:r>
      </w:smartTag>
    </w:p>
    <w:p w14:paraId="54611873"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基金托管业务批准文号：中国证监会证监基字</w:t>
      </w:r>
      <w:r w:rsidRPr="00EE1299">
        <w:rPr>
          <w:rFonts w:cs="Arial" w:hint="eastAsia"/>
          <w:szCs w:val="21"/>
        </w:rPr>
        <w:t>[2002]83</w:t>
      </w:r>
      <w:r w:rsidRPr="00EE1299">
        <w:rPr>
          <w:rFonts w:hAnsi="宋体" w:cs="Arial" w:hint="eastAsia"/>
          <w:szCs w:val="21"/>
        </w:rPr>
        <w:t>号</w:t>
      </w:r>
    </w:p>
    <w:p w14:paraId="2BF3DF4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14:paraId="45CA598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组织形式：股份有限公司</w:t>
      </w:r>
    </w:p>
    <w:p w14:paraId="7EDA421F"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注册资本：人民币</w:t>
      </w:r>
      <w:r w:rsidR="00132938">
        <w:rPr>
          <w:rFonts w:ascii="宋体" w:hAnsi="宋体" w:cs="Arial" w:hint="eastAsia"/>
          <w:szCs w:val="21"/>
        </w:rPr>
        <w:t>252.20</w:t>
      </w:r>
      <w:r w:rsidRPr="00EE1299">
        <w:rPr>
          <w:rFonts w:hAnsi="宋体" w:cs="Arial" w:hint="eastAsia"/>
          <w:szCs w:val="21"/>
        </w:rPr>
        <w:t>亿元</w:t>
      </w:r>
    </w:p>
    <w:p w14:paraId="16279F8B" w14:textId="77777777" w:rsidR="000D10AE"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存续期间：持续经营</w:t>
      </w:r>
    </w:p>
    <w:p w14:paraId="092049C7" w14:textId="77777777" w:rsidR="000D10AE" w:rsidRPr="00EE1299" w:rsidRDefault="000D10AE" w:rsidP="000D10AE">
      <w:pPr>
        <w:adjustRightInd w:val="0"/>
        <w:snapToGrid w:val="0"/>
        <w:spacing w:line="360" w:lineRule="auto"/>
        <w:ind w:firstLineChars="200" w:firstLine="420"/>
        <w:rPr>
          <w:szCs w:val="21"/>
        </w:rPr>
      </w:pPr>
      <w:r>
        <w:rPr>
          <w:rFonts w:hAnsi="宋体" w:cs="Arial"/>
          <w:szCs w:val="21"/>
        </w:rPr>
        <w:br w:type="page"/>
      </w:r>
    </w:p>
    <w:p w14:paraId="36BB0633" w14:textId="77777777" w:rsidR="000D10AE" w:rsidRPr="00AB3329" w:rsidRDefault="000D10AE" w:rsidP="000D10AE">
      <w:pPr>
        <w:pStyle w:val="21"/>
        <w:numPr>
          <w:ilvl w:val="1"/>
          <w:numId w:val="28"/>
        </w:numPr>
        <w:rPr>
          <w:rFonts w:ascii="Times New Roman" w:hAnsi="Times New Roman"/>
          <w:color w:val="000000"/>
        </w:rPr>
      </w:pPr>
      <w:bookmarkStart w:id="10" w:name="_Toc215903438"/>
      <w:bookmarkStart w:id="11" w:name="_Toc247440583"/>
      <w:bookmarkStart w:id="12" w:name="_Toc250711184"/>
      <w:r w:rsidRPr="00AB3329">
        <w:rPr>
          <w:rFonts w:ascii="Times New Roman" w:hAnsi="Times New Roman" w:hint="eastAsia"/>
          <w:color w:val="000000"/>
        </w:rPr>
        <w:lastRenderedPageBreak/>
        <w:t>基金托管协议的依据、目的和原则</w:t>
      </w:r>
      <w:bookmarkEnd w:id="10"/>
      <w:bookmarkEnd w:id="11"/>
      <w:bookmarkEnd w:id="12"/>
    </w:p>
    <w:p w14:paraId="3FE9A121" w14:textId="77777777" w:rsidR="000D10AE" w:rsidRPr="00EE1299" w:rsidRDefault="000D10AE" w:rsidP="000D10AE">
      <w:pPr>
        <w:adjustRightInd w:val="0"/>
        <w:snapToGrid w:val="0"/>
        <w:spacing w:line="360" w:lineRule="auto"/>
        <w:ind w:firstLineChars="200" w:firstLine="420"/>
        <w:rPr>
          <w:szCs w:val="21"/>
        </w:rPr>
      </w:pPr>
      <w:r w:rsidRPr="00EE1299">
        <w:rPr>
          <w:rFonts w:hAnsi="宋体" w:cs="Arial" w:hint="eastAsia"/>
          <w:szCs w:val="21"/>
        </w:rPr>
        <w:t>（一）订立托管协议的依据</w:t>
      </w:r>
    </w:p>
    <w:p w14:paraId="00D7373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本协议依据《中华人民共和国证券投资基金法》</w:t>
      </w:r>
      <w:r w:rsidRPr="00EE1299">
        <w:rPr>
          <w:rFonts w:cs="Arial" w:hint="eastAsia"/>
          <w:szCs w:val="21"/>
        </w:rPr>
        <w:t>(</w:t>
      </w:r>
      <w:r w:rsidRPr="00EE1299">
        <w:rPr>
          <w:rFonts w:hAnsi="宋体" w:cs="Arial" w:hint="eastAsia"/>
          <w:szCs w:val="21"/>
        </w:rPr>
        <w:t>以下简称</w:t>
      </w:r>
      <w:r w:rsidRPr="00EE1299">
        <w:rPr>
          <w:rFonts w:cs="Arial" w:hint="eastAsia"/>
          <w:szCs w:val="21"/>
        </w:rPr>
        <w:t>“</w:t>
      </w:r>
      <w:r w:rsidRPr="00EE1299">
        <w:rPr>
          <w:rFonts w:hAnsi="宋体" w:cs="Arial" w:hint="eastAsia"/>
          <w:szCs w:val="21"/>
        </w:rPr>
        <w:t>《基金法》</w:t>
      </w:r>
      <w:r w:rsidRPr="00EE1299">
        <w:rPr>
          <w:rFonts w:cs="Arial" w:hint="eastAsia"/>
          <w:szCs w:val="21"/>
        </w:rPr>
        <w:t>”</w:t>
      </w:r>
      <w:r w:rsidRPr="00EE1299">
        <w:rPr>
          <w:rFonts w:cs="Arial" w:hint="eastAsia"/>
          <w:szCs w:val="21"/>
        </w:rPr>
        <w:t>)</w:t>
      </w:r>
      <w:r w:rsidRPr="00EE1299">
        <w:rPr>
          <w:rFonts w:hAnsi="宋体" w:cs="Arial" w:hint="eastAsia"/>
          <w:szCs w:val="21"/>
        </w:rPr>
        <w:t>等有关法律法规、基金合同及其他有关规定制订。</w:t>
      </w:r>
    </w:p>
    <w:p w14:paraId="5B6E3D1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（二）订立托管协议的目的</w:t>
      </w:r>
    </w:p>
    <w:p w14:paraId="2F2A0B06" w14:textId="77777777" w:rsidR="000D10AE" w:rsidRPr="00EE1299" w:rsidRDefault="000D10AE" w:rsidP="000D10AE">
      <w:pPr>
        <w:adjustRightInd w:val="0"/>
        <w:snapToGrid w:val="0"/>
        <w:spacing w:line="360" w:lineRule="auto"/>
        <w:ind w:firstLineChars="200" w:firstLine="420"/>
        <w:rPr>
          <w:szCs w:val="21"/>
        </w:rPr>
      </w:pPr>
      <w:r w:rsidRPr="00EE1299">
        <w:rPr>
          <w:rFonts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AF5B38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（三）订立托管协议的原则</w:t>
      </w:r>
    </w:p>
    <w:p w14:paraId="3EF62847" w14:textId="614375AD" w:rsidR="000D10AE"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基金管理人和基金托管人本着平等自愿、诚实信用、充分保护基金份额持有人合法权益的原则，经协商一致，签订本协议。</w:t>
      </w:r>
    </w:p>
    <w:p w14:paraId="74066488" w14:textId="209D6787" w:rsidR="0065656B" w:rsidRPr="00EE1299" w:rsidRDefault="0065656B" w:rsidP="000D10AE">
      <w:pPr>
        <w:adjustRightInd w:val="0"/>
        <w:snapToGrid w:val="0"/>
        <w:spacing w:line="360" w:lineRule="auto"/>
        <w:ind w:firstLineChars="200" w:firstLine="420"/>
        <w:rPr>
          <w:rFonts w:cs="Arial"/>
          <w:szCs w:val="21"/>
        </w:rPr>
      </w:pPr>
      <w:r w:rsidRPr="0065656B">
        <w:rPr>
          <w:rFonts w:cs="Arial" w:hint="eastAsia"/>
          <w:szCs w:val="21"/>
        </w:rPr>
        <w:t>（四）若本基金实施侧袋机制的，侧袋机制实施期间的相关安排见基金合同和招募说明书的规定。</w:t>
      </w:r>
    </w:p>
    <w:p w14:paraId="0473EF9B" w14:textId="77777777" w:rsidR="000D10AE" w:rsidRPr="00EE1299" w:rsidRDefault="000D10AE" w:rsidP="000D10AE">
      <w:pPr>
        <w:spacing w:line="360" w:lineRule="auto"/>
        <w:rPr>
          <w:szCs w:val="21"/>
        </w:rPr>
      </w:pPr>
      <w:r>
        <w:rPr>
          <w:szCs w:val="21"/>
        </w:rPr>
        <w:br w:type="page"/>
      </w:r>
    </w:p>
    <w:p w14:paraId="6EBBCF8B" w14:textId="77777777" w:rsidR="000D10AE" w:rsidRPr="00AB3329" w:rsidRDefault="000D10AE" w:rsidP="000D10AE">
      <w:pPr>
        <w:pStyle w:val="21"/>
        <w:numPr>
          <w:ilvl w:val="1"/>
          <w:numId w:val="28"/>
        </w:numPr>
        <w:rPr>
          <w:rFonts w:ascii="Times New Roman" w:hAnsi="Times New Roman"/>
          <w:color w:val="000000"/>
        </w:rPr>
      </w:pPr>
      <w:bookmarkStart w:id="13" w:name="_Toc215903439"/>
      <w:bookmarkStart w:id="14" w:name="_Toc247440584"/>
      <w:bookmarkStart w:id="15" w:name="_Toc250711185"/>
      <w:r w:rsidRPr="00AB3329">
        <w:rPr>
          <w:rFonts w:ascii="Times New Roman" w:hAnsi="Times New Roman" w:hint="eastAsia"/>
          <w:color w:val="000000"/>
        </w:rPr>
        <w:lastRenderedPageBreak/>
        <w:t>基金托管人对基金管理人的业务监督和核查</w:t>
      </w:r>
      <w:bookmarkEnd w:id="13"/>
      <w:bookmarkEnd w:id="14"/>
      <w:bookmarkEnd w:id="15"/>
    </w:p>
    <w:p w14:paraId="3615F737" w14:textId="77777777" w:rsidR="000D10AE"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（一）基金托管人根据有关法律法规的规定及基金合同的约定，对基金投资范围、投资</w:t>
      </w:r>
      <w:r>
        <w:rPr>
          <w:rFonts w:hAnsi="宋体" w:cs="Arial" w:hint="eastAsia"/>
          <w:szCs w:val="21"/>
        </w:rPr>
        <w:t>比例</w:t>
      </w:r>
      <w:r w:rsidRPr="00EE1299">
        <w:rPr>
          <w:rFonts w:hAnsi="宋体" w:cs="Arial" w:hint="eastAsia"/>
          <w:szCs w:val="21"/>
        </w:rPr>
        <w:t>进行监督。</w:t>
      </w:r>
    </w:p>
    <w:p w14:paraId="03B9CC3B" w14:textId="77777777" w:rsidR="000D10AE" w:rsidRDefault="000D10AE" w:rsidP="000D10AE">
      <w:pPr>
        <w:adjustRightInd w:val="0"/>
        <w:snapToGrid w:val="0"/>
        <w:spacing w:line="360" w:lineRule="auto"/>
        <w:ind w:firstLineChars="200" w:firstLine="420"/>
        <w:rPr>
          <w:szCs w:val="21"/>
        </w:rPr>
      </w:pPr>
      <w:r w:rsidRPr="00AA062D">
        <w:rPr>
          <w:rFonts w:hint="eastAsia"/>
          <w:szCs w:val="21"/>
        </w:rPr>
        <w:t>对基金管理人发送的不符合基金合同规定的投资行为，基金托管人可以拒绝执行，并书面通知基金管理人；对于已经</w:t>
      </w:r>
      <w:r>
        <w:rPr>
          <w:rFonts w:hint="eastAsia"/>
          <w:szCs w:val="21"/>
        </w:rPr>
        <w:t>生效</w:t>
      </w:r>
      <w:r w:rsidRPr="00AA062D">
        <w:rPr>
          <w:rFonts w:hint="eastAsia"/>
          <w:szCs w:val="21"/>
        </w:rPr>
        <w:t>的投资，基金托管人发现该投资行为不符合基金合同的规定的，基金托管人应书面通知基金管理人进行整改，并将该情况报告中国证监会。</w:t>
      </w:r>
    </w:p>
    <w:p w14:paraId="09DC9F58" w14:textId="795CE732" w:rsidR="000D10AE" w:rsidRPr="0058188D" w:rsidRDefault="000D10AE" w:rsidP="000D10AE">
      <w:pPr>
        <w:snapToGrid w:val="0"/>
        <w:spacing w:line="360" w:lineRule="auto"/>
        <w:ind w:firstLineChars="200" w:firstLine="420"/>
        <w:rPr>
          <w:rFonts w:ascii="宋体" w:hAnsi="宋体"/>
          <w:color w:val="000000"/>
          <w:szCs w:val="21"/>
        </w:rPr>
      </w:pPr>
      <w:r w:rsidRPr="0058188D">
        <w:rPr>
          <w:rFonts w:ascii="宋体" w:hAnsi="宋体" w:hint="eastAsia"/>
          <w:color w:val="000000"/>
          <w:szCs w:val="21"/>
        </w:rPr>
        <w:t>本基金的投资范围为具有良好流动性的金融工具，包括国内依法发行上市的各类股票</w:t>
      </w:r>
      <w:r w:rsidR="00E736C5" w:rsidRPr="00E736C5">
        <w:rPr>
          <w:rFonts w:ascii="宋体" w:hAnsi="宋体" w:hint="eastAsia"/>
          <w:color w:val="000000"/>
          <w:szCs w:val="21"/>
        </w:rPr>
        <w:t>以</w:t>
      </w:r>
      <w:r w:rsidR="002B0FF0">
        <w:rPr>
          <w:rFonts w:ascii="宋体" w:hAnsi="宋体" w:hint="eastAsia"/>
          <w:color w:val="000000"/>
          <w:szCs w:val="21"/>
        </w:rPr>
        <w:t>（含存托凭证</w:t>
      </w:r>
      <w:r w:rsidR="00E736C5" w:rsidRPr="00E736C5">
        <w:rPr>
          <w:rFonts w:ascii="宋体" w:hAnsi="宋体" w:hint="eastAsia"/>
          <w:color w:val="000000"/>
          <w:szCs w:val="21"/>
        </w:rPr>
        <w:t>）</w:t>
      </w:r>
      <w:r w:rsidRPr="0058188D">
        <w:rPr>
          <w:rFonts w:ascii="宋体" w:hAnsi="宋体" w:hint="eastAsia"/>
          <w:color w:val="000000"/>
          <w:szCs w:val="21"/>
        </w:rPr>
        <w:t>、债券、短期金融工具、现金、权证及中国证监会允许基金投资的其他金融工具。</w:t>
      </w:r>
    </w:p>
    <w:p w14:paraId="6FD9B760" w14:textId="16AEAF08" w:rsidR="000D10AE" w:rsidRPr="0058188D" w:rsidRDefault="000D10AE" w:rsidP="000D10AE">
      <w:pPr>
        <w:snapToGrid w:val="0"/>
        <w:spacing w:line="360" w:lineRule="auto"/>
        <w:ind w:firstLineChars="200" w:firstLine="420"/>
        <w:rPr>
          <w:rFonts w:ascii="宋体" w:hAnsi="宋体"/>
          <w:color w:val="000000"/>
          <w:szCs w:val="21"/>
        </w:rPr>
      </w:pPr>
      <w:r w:rsidRPr="0058188D">
        <w:rPr>
          <w:rFonts w:ascii="宋体" w:hAnsi="宋体" w:hint="eastAsia"/>
          <w:color w:val="000000"/>
          <w:szCs w:val="21"/>
        </w:rPr>
        <w:t>本基金股票</w:t>
      </w:r>
      <w:r w:rsidR="00E736C5" w:rsidRPr="00E736C5">
        <w:rPr>
          <w:rFonts w:ascii="宋体" w:hAnsi="宋体" w:hint="eastAsia"/>
          <w:color w:val="000000"/>
          <w:szCs w:val="21"/>
        </w:rPr>
        <w:t>（含存托凭证）</w:t>
      </w:r>
      <w:r w:rsidRPr="0058188D">
        <w:rPr>
          <w:rFonts w:ascii="宋体" w:hAnsi="宋体" w:hint="eastAsia"/>
          <w:color w:val="000000"/>
          <w:szCs w:val="21"/>
        </w:rPr>
        <w:t>投资占基金资产的比例范围为60%～95%</w:t>
      </w:r>
      <w:r>
        <w:rPr>
          <w:rFonts w:ascii="宋体" w:hAnsi="宋体" w:hint="eastAsia"/>
          <w:color w:val="000000"/>
          <w:szCs w:val="21"/>
        </w:rPr>
        <w:t>，债券等固定收益类工具及法律法规和中国证监会允许基金投资的其他金融工具的投资</w:t>
      </w:r>
      <w:r w:rsidRPr="0058188D">
        <w:rPr>
          <w:rFonts w:ascii="宋体" w:hAnsi="宋体" w:hint="eastAsia"/>
          <w:color w:val="000000"/>
          <w:szCs w:val="21"/>
        </w:rPr>
        <w:t>占基金资产的比例范围为5</w:t>
      </w:r>
      <w:r>
        <w:rPr>
          <w:rFonts w:ascii="宋体" w:hAnsi="宋体" w:hint="eastAsia"/>
          <w:color w:val="000000"/>
          <w:szCs w:val="21"/>
        </w:rPr>
        <w:t>%</w:t>
      </w:r>
      <w:r w:rsidRPr="0058188D">
        <w:rPr>
          <w:rFonts w:ascii="宋体" w:hAnsi="宋体" w:hint="eastAsia"/>
          <w:color w:val="000000"/>
          <w:szCs w:val="21"/>
        </w:rPr>
        <w:t>～40%</w:t>
      </w:r>
      <w:r>
        <w:rPr>
          <w:rFonts w:ascii="宋体" w:hAnsi="宋体" w:hint="eastAsia"/>
          <w:color w:val="000000"/>
          <w:szCs w:val="21"/>
        </w:rPr>
        <w:t>。固定收益类工具</w:t>
      </w:r>
      <w:r w:rsidRPr="0058188D">
        <w:rPr>
          <w:rFonts w:ascii="宋体" w:hAnsi="宋体" w:hint="eastAsia"/>
          <w:color w:val="000000"/>
          <w:szCs w:val="21"/>
        </w:rPr>
        <w:t>主要包括国债、金融债、公司债（企业债）、央行票据、短期融资券、可转换债券、回购、资产证券化产品、货币市场工具等，其中现金以及到期日在1年以内的政府债券投资比例合计不低于基金资产净值的5%。</w:t>
      </w:r>
      <w:r>
        <w:rPr>
          <w:rFonts w:ascii="宋体" w:hAnsi="宋体" w:hint="eastAsia"/>
          <w:szCs w:val="21"/>
        </w:rPr>
        <w:t>本基金持有全部权证的市值不超过基金资产净值的3%。</w:t>
      </w:r>
    </w:p>
    <w:p w14:paraId="0E5CD7DD" w14:textId="77777777" w:rsidR="000D10AE" w:rsidRPr="0058188D" w:rsidRDefault="000D10AE" w:rsidP="000D10AE">
      <w:pPr>
        <w:snapToGrid w:val="0"/>
        <w:spacing w:line="360" w:lineRule="auto"/>
        <w:ind w:firstLine="480"/>
        <w:rPr>
          <w:rFonts w:ascii="宋体" w:hAnsi="宋体"/>
          <w:color w:val="000000"/>
          <w:szCs w:val="21"/>
        </w:rPr>
      </w:pPr>
      <w:r w:rsidRPr="0058188D">
        <w:rPr>
          <w:rFonts w:ascii="宋体" w:hAnsi="宋体" w:hint="eastAsia"/>
          <w:color w:val="000000"/>
          <w:szCs w:val="21"/>
        </w:rPr>
        <w:t>如法律法规或监管机构以后允许基金投资于其他投资品种,基金管理人在履行适当程序后,可以将其纳入投资范围。</w:t>
      </w:r>
    </w:p>
    <w:p w14:paraId="1AD1E1AD" w14:textId="77777777" w:rsidR="000D10AE" w:rsidRDefault="000D10AE" w:rsidP="00A241B3">
      <w:pPr>
        <w:adjustRightInd w:val="0"/>
        <w:snapToGrid w:val="0"/>
        <w:spacing w:line="360" w:lineRule="auto"/>
        <w:ind w:firstLineChars="150" w:firstLine="315"/>
        <w:rPr>
          <w:rFonts w:ascii="宋体" w:hAnsi="宋体"/>
          <w:szCs w:val="21"/>
        </w:rPr>
      </w:pPr>
      <w:r w:rsidRPr="00EE1299">
        <w:rPr>
          <w:rFonts w:hAnsi="宋体" w:hint="eastAsia"/>
          <w:szCs w:val="21"/>
        </w:rPr>
        <w:t>（二）基金托管人根据有关法律法规的规定及基金合同的约定，对基金投资、融资比例进行监督。</w:t>
      </w:r>
      <w:r>
        <w:rPr>
          <w:rFonts w:ascii="宋体" w:hAnsi="宋体" w:hint="eastAsia"/>
          <w:szCs w:val="21"/>
        </w:rPr>
        <w:t>基金托管人按下述比例和调整期限进行监督：</w:t>
      </w:r>
    </w:p>
    <w:p w14:paraId="00CB59A8" w14:textId="77777777" w:rsidR="000D10AE" w:rsidRDefault="000D10AE" w:rsidP="000D10AE">
      <w:pPr>
        <w:snapToGrid w:val="0"/>
        <w:spacing w:line="360" w:lineRule="auto"/>
        <w:ind w:firstLineChars="200" w:firstLine="420"/>
        <w:rPr>
          <w:rFonts w:ascii="宋体" w:hAnsi="宋体"/>
          <w:szCs w:val="21"/>
        </w:rPr>
      </w:pPr>
      <w:r>
        <w:rPr>
          <w:rFonts w:ascii="宋体" w:hAnsi="宋体"/>
          <w:szCs w:val="21"/>
        </w:rPr>
        <w:t>(1)本基金持有一家上市公司的股票，其市值不超过基金资产净值的</w:t>
      </w:r>
      <w:r>
        <w:rPr>
          <w:rFonts w:ascii="宋体" w:hAnsi="宋体" w:hint="eastAsia"/>
          <w:szCs w:val="21"/>
        </w:rPr>
        <w:t>10％</w:t>
      </w:r>
      <w:r>
        <w:rPr>
          <w:rFonts w:ascii="宋体" w:hAnsi="宋体"/>
          <w:szCs w:val="21"/>
        </w:rPr>
        <w:t>；</w:t>
      </w:r>
    </w:p>
    <w:p w14:paraId="143B312A" w14:textId="77777777" w:rsidR="000D10AE" w:rsidRDefault="000D10AE" w:rsidP="000D10AE">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w:t>
      </w:r>
      <w:r>
        <w:rPr>
          <w:rFonts w:ascii="宋体" w:hAnsi="宋体"/>
          <w:szCs w:val="21"/>
        </w:rPr>
        <w:t>基金管理人管理的</w:t>
      </w:r>
      <w:r>
        <w:rPr>
          <w:rFonts w:ascii="宋体" w:hAnsi="宋体" w:hint="eastAsia"/>
          <w:szCs w:val="21"/>
        </w:rPr>
        <w:t>全部</w:t>
      </w:r>
      <w:r>
        <w:rPr>
          <w:rFonts w:ascii="宋体" w:hAnsi="宋体"/>
          <w:szCs w:val="21"/>
        </w:rPr>
        <w:t>基金持有一家公司发行的证券，不超过该证券的</w:t>
      </w:r>
      <w:r>
        <w:rPr>
          <w:rFonts w:ascii="宋体" w:hAnsi="宋体" w:hint="eastAsia"/>
          <w:szCs w:val="21"/>
        </w:rPr>
        <w:t>10％</w:t>
      </w:r>
      <w:r>
        <w:rPr>
          <w:rFonts w:ascii="宋体" w:hAnsi="宋体"/>
          <w:szCs w:val="21"/>
        </w:rPr>
        <w:t>；</w:t>
      </w:r>
    </w:p>
    <w:p w14:paraId="3DD9D567" w14:textId="77777777" w:rsidR="000D10AE" w:rsidRDefault="000D10AE" w:rsidP="000D10AE">
      <w:pPr>
        <w:snapToGrid w:val="0"/>
        <w:spacing w:line="360" w:lineRule="auto"/>
        <w:ind w:firstLineChars="200" w:firstLine="420"/>
        <w:rPr>
          <w:rFonts w:ascii="宋体" w:hAnsi="宋体"/>
          <w:szCs w:val="21"/>
        </w:rPr>
      </w:pPr>
      <w:r>
        <w:rPr>
          <w:rFonts w:ascii="宋体" w:hAnsi="宋体" w:hint="eastAsia"/>
          <w:szCs w:val="21"/>
        </w:rPr>
        <w:t>(3)本基金进入全国银行间同业市场进行债券回购的资金余额不得超过基金资产净值的40％；</w:t>
      </w:r>
    </w:p>
    <w:p w14:paraId="68DC97C9" w14:textId="77777777" w:rsidR="00554A31" w:rsidRDefault="000D10AE" w:rsidP="00993D9E">
      <w:pPr>
        <w:snapToGrid w:val="0"/>
        <w:spacing w:line="360" w:lineRule="auto"/>
        <w:ind w:firstLineChars="200" w:firstLine="420"/>
        <w:rPr>
          <w:rFonts w:ascii="宋体" w:hAnsi="宋体"/>
          <w:szCs w:val="21"/>
        </w:rPr>
      </w:pPr>
      <w:r>
        <w:rPr>
          <w:rFonts w:ascii="宋体" w:hAnsi="宋体" w:hint="eastAsia"/>
          <w:szCs w:val="21"/>
        </w:rPr>
        <w:t>(4)本基金的投资组合比例为：股票占基金资产的60%-95%；</w:t>
      </w:r>
      <w:r w:rsidR="00FB6C21" w:rsidRPr="00993D9E">
        <w:rPr>
          <w:rFonts w:ascii="宋体" w:hAnsi="宋体" w:hint="eastAsia"/>
          <w:szCs w:val="21"/>
        </w:rPr>
        <w:t>债券等固定收益类工具及法律法规和中国证监会允许基金投资的其他金融工具的投资占基金资产的</w:t>
      </w:r>
      <w:r>
        <w:rPr>
          <w:rFonts w:ascii="宋体" w:hAnsi="宋体" w:hint="eastAsia"/>
          <w:szCs w:val="21"/>
        </w:rPr>
        <w:t>5%-40%</w:t>
      </w:r>
      <w:r w:rsidR="00554A31">
        <w:rPr>
          <w:rFonts w:ascii="宋体" w:hAnsi="宋体" w:hint="eastAsia"/>
          <w:szCs w:val="21"/>
        </w:rPr>
        <w:t>；</w:t>
      </w:r>
    </w:p>
    <w:p w14:paraId="71B7E790" w14:textId="77777777" w:rsidR="000D10AE" w:rsidRDefault="00554A31" w:rsidP="00993D9E">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sidRPr="00554A31">
        <w:rPr>
          <w:rFonts w:ascii="宋体" w:hAnsi="宋体" w:hint="eastAsia"/>
          <w:szCs w:val="21"/>
        </w:rPr>
        <w:t>本基金保留的</w:t>
      </w:r>
      <w:r w:rsidR="00FB6C21" w:rsidRPr="00993D9E">
        <w:rPr>
          <w:rFonts w:ascii="宋体" w:hAnsi="宋体" w:hint="eastAsia"/>
          <w:szCs w:val="21"/>
        </w:rPr>
        <w:t>现金以及到期日在1年以内的政府债券投资比例合计不低于基金资产净值的</w:t>
      </w:r>
      <w:r w:rsidR="000D10AE">
        <w:rPr>
          <w:rFonts w:ascii="宋体" w:hAnsi="宋体" w:hint="eastAsia"/>
          <w:szCs w:val="21"/>
        </w:rPr>
        <w:t>5%</w:t>
      </w:r>
      <w:r w:rsidRPr="00554A31">
        <w:rPr>
          <w:rFonts w:ascii="宋体" w:hAnsi="宋体" w:hint="eastAsia"/>
          <w:szCs w:val="21"/>
        </w:rPr>
        <w:t>，其中现金不包括结算备付金、存出保证金、应收申购款等</w:t>
      </w:r>
      <w:r w:rsidR="000D10AE">
        <w:rPr>
          <w:rFonts w:ascii="宋体" w:hAnsi="宋体" w:hint="eastAsia"/>
          <w:szCs w:val="21"/>
        </w:rPr>
        <w:t>；</w:t>
      </w:r>
    </w:p>
    <w:p w14:paraId="373B6E95" w14:textId="77777777" w:rsidR="000D10AE" w:rsidRDefault="000D10AE" w:rsidP="000D10AE">
      <w:pPr>
        <w:snapToGrid w:val="0"/>
        <w:spacing w:line="360" w:lineRule="auto"/>
        <w:ind w:firstLineChars="200" w:firstLine="420"/>
        <w:rPr>
          <w:rFonts w:ascii="宋体" w:hAnsi="宋体"/>
          <w:szCs w:val="21"/>
        </w:rPr>
      </w:pPr>
      <w:r>
        <w:rPr>
          <w:rFonts w:ascii="宋体" w:hAnsi="宋体"/>
          <w:szCs w:val="21"/>
        </w:rPr>
        <w:t>(</w:t>
      </w:r>
      <w:r w:rsidR="00554A31">
        <w:rPr>
          <w:rFonts w:ascii="宋体" w:hAnsi="宋体"/>
          <w:szCs w:val="21"/>
        </w:rPr>
        <w:t>6</w:t>
      </w:r>
      <w:r>
        <w:rPr>
          <w:rFonts w:ascii="宋体" w:hAnsi="宋体"/>
          <w:szCs w:val="21"/>
        </w:rPr>
        <w:t>)</w:t>
      </w:r>
      <w:r>
        <w:rPr>
          <w:rFonts w:ascii="宋体" w:hAnsi="宋体" w:hint="eastAsia"/>
          <w:szCs w:val="21"/>
        </w:rPr>
        <w:t>本基金持有的全部权证，其市值不得超过基金资产净值的3％；</w:t>
      </w:r>
    </w:p>
    <w:p w14:paraId="7E0E19ED" w14:textId="77777777" w:rsidR="000D10AE" w:rsidRDefault="000D10AE" w:rsidP="000D10AE">
      <w:pPr>
        <w:snapToGrid w:val="0"/>
        <w:spacing w:line="360" w:lineRule="auto"/>
        <w:ind w:firstLineChars="200" w:firstLine="420"/>
        <w:rPr>
          <w:rFonts w:ascii="宋体" w:hAnsi="宋体"/>
          <w:szCs w:val="21"/>
        </w:rPr>
      </w:pPr>
      <w:r>
        <w:rPr>
          <w:rFonts w:ascii="宋体" w:hAnsi="宋体" w:hint="eastAsia"/>
          <w:szCs w:val="21"/>
        </w:rPr>
        <w:t>(</w:t>
      </w:r>
      <w:r w:rsidR="00554A31">
        <w:rPr>
          <w:rFonts w:ascii="宋体" w:hAnsi="宋体"/>
          <w:szCs w:val="21"/>
        </w:rPr>
        <w:t>7</w:t>
      </w:r>
      <w:r>
        <w:rPr>
          <w:rFonts w:ascii="宋体" w:hAnsi="宋体" w:hint="eastAsia"/>
          <w:szCs w:val="21"/>
        </w:rPr>
        <w:t>)本基金管理人管理的全部基金持有的同一权证，不得超过该权证的10％；</w:t>
      </w:r>
    </w:p>
    <w:p w14:paraId="7E058417" w14:textId="77777777" w:rsidR="000D10AE" w:rsidRDefault="000D10AE" w:rsidP="000D10AE">
      <w:pPr>
        <w:snapToGrid w:val="0"/>
        <w:spacing w:line="360" w:lineRule="auto"/>
        <w:ind w:firstLineChars="200" w:firstLine="420"/>
        <w:rPr>
          <w:rFonts w:ascii="宋体" w:hAnsi="宋体"/>
          <w:szCs w:val="21"/>
        </w:rPr>
      </w:pPr>
      <w:r>
        <w:rPr>
          <w:rFonts w:ascii="宋体" w:hAnsi="宋体" w:hint="eastAsia"/>
          <w:szCs w:val="21"/>
        </w:rPr>
        <w:t>(</w:t>
      </w:r>
      <w:r w:rsidR="00554A31">
        <w:rPr>
          <w:rFonts w:ascii="宋体" w:hAnsi="宋体"/>
          <w:szCs w:val="21"/>
        </w:rPr>
        <w:t>8</w:t>
      </w:r>
      <w:r>
        <w:rPr>
          <w:rFonts w:ascii="宋体" w:hAnsi="宋体" w:hint="eastAsia"/>
          <w:szCs w:val="21"/>
        </w:rPr>
        <w:t>)本基金投资于同一原始权益人的各类资产支持证券的比例，不得超过基金资产净值的10％；</w:t>
      </w:r>
    </w:p>
    <w:p w14:paraId="34A9753F" w14:textId="77777777" w:rsidR="000D10AE" w:rsidRDefault="000D10AE" w:rsidP="000D10AE">
      <w:pPr>
        <w:snapToGrid w:val="0"/>
        <w:spacing w:line="360" w:lineRule="auto"/>
        <w:ind w:firstLineChars="200" w:firstLine="420"/>
        <w:rPr>
          <w:rFonts w:ascii="宋体" w:hAnsi="宋体"/>
          <w:szCs w:val="21"/>
        </w:rPr>
      </w:pPr>
      <w:r>
        <w:rPr>
          <w:rFonts w:ascii="宋体" w:hAnsi="宋体" w:hint="eastAsia"/>
          <w:szCs w:val="21"/>
        </w:rPr>
        <w:t>(</w:t>
      </w:r>
      <w:r w:rsidR="00554A31">
        <w:rPr>
          <w:rFonts w:ascii="宋体" w:hAnsi="宋体"/>
          <w:szCs w:val="21"/>
        </w:rPr>
        <w:t>9</w:t>
      </w:r>
      <w:r>
        <w:rPr>
          <w:rFonts w:ascii="宋体" w:hAnsi="宋体" w:hint="eastAsia"/>
          <w:szCs w:val="21"/>
        </w:rPr>
        <w:t>)本基金持有的全部资产支持证券，其市值不得超过基金资产净值的20％；</w:t>
      </w:r>
    </w:p>
    <w:p w14:paraId="6403B459" w14:textId="77777777" w:rsidR="000D10AE" w:rsidRDefault="000D10AE" w:rsidP="000D10AE">
      <w:pPr>
        <w:snapToGrid w:val="0"/>
        <w:spacing w:line="360" w:lineRule="auto"/>
        <w:ind w:firstLineChars="200" w:firstLine="420"/>
        <w:rPr>
          <w:rFonts w:ascii="宋体" w:hAnsi="宋体"/>
          <w:szCs w:val="21"/>
        </w:rPr>
      </w:pPr>
      <w:r>
        <w:rPr>
          <w:rFonts w:ascii="宋体" w:hAnsi="宋体" w:hint="eastAsia"/>
          <w:szCs w:val="21"/>
        </w:rPr>
        <w:t>(</w:t>
      </w:r>
      <w:r w:rsidR="00554A31">
        <w:rPr>
          <w:rFonts w:ascii="宋体" w:hAnsi="宋体"/>
          <w:szCs w:val="21"/>
        </w:rPr>
        <w:t>10</w:t>
      </w:r>
      <w:r>
        <w:rPr>
          <w:rFonts w:ascii="宋体" w:hAnsi="宋体" w:hint="eastAsia"/>
          <w:szCs w:val="21"/>
        </w:rPr>
        <w:t>)本基金持有的同一(指同一信用级别)资产支持证券的比例，不得超过该资产支持证</w:t>
      </w:r>
      <w:r>
        <w:rPr>
          <w:rFonts w:ascii="宋体" w:hAnsi="宋体" w:hint="eastAsia"/>
          <w:szCs w:val="21"/>
        </w:rPr>
        <w:lastRenderedPageBreak/>
        <w:t>券规模的10％；</w:t>
      </w:r>
    </w:p>
    <w:p w14:paraId="7D2A9897" w14:textId="77777777" w:rsidR="000D10AE" w:rsidRDefault="000D10AE" w:rsidP="000D10AE">
      <w:pPr>
        <w:snapToGrid w:val="0"/>
        <w:spacing w:line="360" w:lineRule="auto"/>
        <w:ind w:firstLineChars="200" w:firstLine="420"/>
        <w:rPr>
          <w:rFonts w:ascii="宋体" w:hAnsi="宋体"/>
          <w:szCs w:val="21"/>
        </w:rPr>
      </w:pPr>
      <w:r>
        <w:rPr>
          <w:rFonts w:ascii="宋体" w:hAnsi="宋体" w:hint="eastAsia"/>
          <w:szCs w:val="21"/>
        </w:rPr>
        <w:t>(</w:t>
      </w:r>
      <w:r w:rsidR="00554A31">
        <w:rPr>
          <w:rFonts w:ascii="宋体" w:hAnsi="宋体" w:hint="eastAsia"/>
          <w:szCs w:val="21"/>
        </w:rPr>
        <w:t>1</w:t>
      </w:r>
      <w:r w:rsidR="00554A31">
        <w:rPr>
          <w:rFonts w:ascii="宋体" w:hAnsi="宋体"/>
          <w:szCs w:val="21"/>
        </w:rPr>
        <w:t>1</w:t>
      </w:r>
      <w:r>
        <w:rPr>
          <w:rFonts w:ascii="宋体" w:hAnsi="宋体" w:hint="eastAsia"/>
          <w:szCs w:val="21"/>
        </w:rPr>
        <w:t>)本基金管理人管理的全部基金投资于同一原始权益人的各类资产支持证券，不得超过其各类资产支持证券合计规模的10％；</w:t>
      </w:r>
    </w:p>
    <w:p w14:paraId="662CC606" w14:textId="77777777" w:rsidR="000D10AE" w:rsidRDefault="000D10AE" w:rsidP="000D10AE">
      <w:pPr>
        <w:snapToGrid w:val="0"/>
        <w:spacing w:line="360" w:lineRule="auto"/>
        <w:ind w:firstLineChars="200" w:firstLine="420"/>
        <w:rPr>
          <w:rFonts w:ascii="宋体" w:hAnsi="宋体"/>
          <w:szCs w:val="21"/>
        </w:rPr>
      </w:pPr>
      <w:r>
        <w:rPr>
          <w:rFonts w:ascii="宋体" w:hAnsi="宋体"/>
          <w:szCs w:val="21"/>
        </w:rPr>
        <w:t>(</w:t>
      </w:r>
      <w:r w:rsidR="00554A31">
        <w:rPr>
          <w:rFonts w:ascii="宋体" w:hAnsi="宋体" w:hint="eastAsia"/>
          <w:szCs w:val="21"/>
        </w:rPr>
        <w:t>1</w:t>
      </w:r>
      <w:r w:rsidR="00554A31">
        <w:rPr>
          <w:rFonts w:ascii="宋体" w:hAnsi="宋体"/>
          <w:szCs w:val="21"/>
        </w:rPr>
        <w:t>2</w:t>
      </w:r>
      <w:r>
        <w:rPr>
          <w:rFonts w:ascii="宋体" w:hAnsi="宋体"/>
          <w:szCs w:val="21"/>
        </w:rPr>
        <w:t>)基金财产参与股票发行申购，本基金所申报的金额不超过本基金的总资产，本基金所申报的股票数量不超过拟发行股票公司本次发行股票的总量；</w:t>
      </w:r>
    </w:p>
    <w:p w14:paraId="5EB5C70B" w14:textId="77777777" w:rsidR="000D10AE" w:rsidRDefault="000D10AE" w:rsidP="000D10AE">
      <w:pPr>
        <w:snapToGrid w:val="0"/>
        <w:spacing w:line="360" w:lineRule="auto"/>
        <w:ind w:firstLineChars="200" w:firstLine="420"/>
        <w:rPr>
          <w:rFonts w:ascii="宋体" w:hAnsi="宋体"/>
          <w:szCs w:val="21"/>
        </w:rPr>
      </w:pPr>
      <w:r>
        <w:rPr>
          <w:rFonts w:ascii="宋体" w:hAnsi="宋体" w:hint="eastAsia"/>
          <w:szCs w:val="21"/>
        </w:rPr>
        <w:t>(</w:t>
      </w:r>
      <w:r w:rsidR="00554A31">
        <w:rPr>
          <w:rFonts w:ascii="宋体" w:hAnsi="宋体" w:hint="eastAsia"/>
          <w:szCs w:val="21"/>
        </w:rPr>
        <w:t>1</w:t>
      </w:r>
      <w:r w:rsidR="00554A31">
        <w:rPr>
          <w:rFonts w:ascii="宋体" w:hAnsi="宋体"/>
          <w:szCs w:val="21"/>
        </w:rPr>
        <w:t>3</w:t>
      </w:r>
      <w:r>
        <w:rPr>
          <w:rFonts w:ascii="宋体" w:hAnsi="宋体" w:hint="eastAsia"/>
          <w:szCs w:val="21"/>
        </w:rPr>
        <w:t xml:space="preserve">)本基金在任何交易日买入权证的总金额，不得超过上一交易日基金资产净值的0.5％； </w:t>
      </w:r>
    </w:p>
    <w:p w14:paraId="7EA1DC4A" w14:textId="77777777" w:rsidR="00554A31" w:rsidRPr="00554A31" w:rsidRDefault="00554A31" w:rsidP="00554A31">
      <w:pPr>
        <w:snapToGrid w:val="0"/>
        <w:spacing w:line="360" w:lineRule="auto"/>
        <w:ind w:firstLineChars="200" w:firstLine="420"/>
        <w:rPr>
          <w:rFonts w:ascii="宋体" w:hAnsi="宋体"/>
          <w:szCs w:val="21"/>
        </w:rPr>
      </w:pPr>
      <w:r w:rsidRPr="00554A31">
        <w:rPr>
          <w:rFonts w:ascii="宋体" w:hAnsi="宋体" w:hint="eastAsia"/>
          <w:szCs w:val="21"/>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28D0749" w14:textId="77777777" w:rsidR="00554A31" w:rsidRPr="00554A31" w:rsidRDefault="00554A31" w:rsidP="00554A31">
      <w:pPr>
        <w:snapToGrid w:val="0"/>
        <w:spacing w:line="360" w:lineRule="auto"/>
        <w:ind w:firstLineChars="200" w:firstLine="420"/>
        <w:rPr>
          <w:rFonts w:ascii="宋体" w:hAnsi="宋体"/>
          <w:szCs w:val="21"/>
        </w:rPr>
      </w:pPr>
      <w:r w:rsidRPr="00554A31">
        <w:rPr>
          <w:rFonts w:ascii="宋体" w:hAnsi="宋体" w:hint="eastAsia"/>
          <w:szCs w:val="21"/>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75D2D80" w14:textId="77777777" w:rsidR="00554A31" w:rsidRDefault="00554A31" w:rsidP="00554A31">
      <w:pPr>
        <w:snapToGrid w:val="0"/>
        <w:spacing w:line="360" w:lineRule="auto"/>
        <w:ind w:firstLineChars="200" w:firstLine="420"/>
        <w:rPr>
          <w:rFonts w:ascii="宋体" w:hAnsi="宋体"/>
          <w:szCs w:val="21"/>
        </w:rPr>
      </w:pPr>
      <w:r w:rsidRPr="00554A31">
        <w:rPr>
          <w:rFonts w:ascii="宋体" w:hAnsi="宋体" w:hint="eastAsia"/>
          <w:szCs w:val="21"/>
        </w:rPr>
        <w:t>(16)本基金与私募类证券资管产品及中国证监会认定的其他主体为交易对手开展逆回购交易的，可接受质押品的资质要求应当与基金合同约定的投资范围保持一致；</w:t>
      </w:r>
    </w:p>
    <w:p w14:paraId="712C8C6F" w14:textId="77777777" w:rsidR="00E736C5" w:rsidRDefault="000D10AE" w:rsidP="00554A31">
      <w:pPr>
        <w:snapToGrid w:val="0"/>
        <w:spacing w:line="360" w:lineRule="auto"/>
        <w:ind w:firstLineChars="200" w:firstLine="420"/>
        <w:rPr>
          <w:rFonts w:ascii="宋体" w:hAnsi="宋体"/>
          <w:szCs w:val="21"/>
        </w:rPr>
      </w:pPr>
      <w:r>
        <w:rPr>
          <w:rFonts w:ascii="宋体" w:hAnsi="宋体" w:hint="eastAsia"/>
          <w:szCs w:val="21"/>
        </w:rPr>
        <w:t>(</w:t>
      </w:r>
      <w:r w:rsidR="00554A31">
        <w:rPr>
          <w:rFonts w:ascii="宋体" w:hAnsi="宋体" w:hint="eastAsia"/>
          <w:szCs w:val="21"/>
        </w:rPr>
        <w:t>1</w:t>
      </w:r>
      <w:r w:rsidR="00554A31">
        <w:rPr>
          <w:rFonts w:ascii="宋体" w:hAnsi="宋体"/>
          <w:szCs w:val="21"/>
        </w:rPr>
        <w:t>7</w:t>
      </w:r>
      <w:r>
        <w:rPr>
          <w:rFonts w:ascii="宋体" w:hAnsi="宋体"/>
          <w:szCs w:val="21"/>
        </w:rPr>
        <w:t>)</w:t>
      </w:r>
      <w:r w:rsidR="00E736C5" w:rsidRPr="00E736C5">
        <w:rPr>
          <w:rFonts w:hint="eastAsia"/>
        </w:rPr>
        <w:t xml:space="preserve"> </w:t>
      </w:r>
      <w:r w:rsidR="00E736C5" w:rsidRPr="00E736C5">
        <w:rPr>
          <w:rFonts w:ascii="宋体" w:hAnsi="宋体" w:hint="eastAsia"/>
          <w:szCs w:val="21"/>
        </w:rPr>
        <w:t>本基金投资存托凭证的比例限制依照内地上市交易的股票执行；</w:t>
      </w:r>
    </w:p>
    <w:p w14:paraId="6CA740E5" w14:textId="56BCA626" w:rsidR="000D10AE" w:rsidRDefault="00E736C5" w:rsidP="00554A31">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8)</w:t>
      </w:r>
      <w:r w:rsidR="000D10AE">
        <w:rPr>
          <w:rFonts w:ascii="宋体" w:hAnsi="宋体" w:cs="Arial" w:hint="eastAsia"/>
          <w:szCs w:val="21"/>
        </w:rPr>
        <w:t>如果法律法规对本基金合同约定投资组合比例限制进行变更的，以变更后的规定为准。</w:t>
      </w:r>
      <w:r w:rsidR="000D10AE">
        <w:rPr>
          <w:rFonts w:ascii="宋体" w:hAnsi="宋体" w:cs="Arial"/>
          <w:szCs w:val="21"/>
        </w:rPr>
        <w:t>法律法规或</w:t>
      </w:r>
      <w:r w:rsidR="000D10AE">
        <w:rPr>
          <w:rFonts w:ascii="宋体" w:hAnsi="宋体" w:cs="Arial" w:hint="eastAsia"/>
          <w:szCs w:val="21"/>
        </w:rPr>
        <w:t>监管部门取消</w:t>
      </w:r>
      <w:r w:rsidR="000D10AE">
        <w:rPr>
          <w:rFonts w:ascii="宋体" w:hAnsi="宋体" w:cs="Arial"/>
          <w:szCs w:val="21"/>
        </w:rPr>
        <w:t>上述限制，</w:t>
      </w:r>
      <w:r w:rsidR="000D10AE">
        <w:rPr>
          <w:rFonts w:ascii="宋体" w:hAnsi="宋体" w:cs="Arial" w:hint="eastAsia"/>
          <w:szCs w:val="21"/>
        </w:rPr>
        <w:t>如适用于本基金，则本基金投资不再受相关限制</w:t>
      </w:r>
      <w:r w:rsidR="000D10AE">
        <w:rPr>
          <w:rFonts w:ascii="宋体" w:hAnsi="宋体" w:cs="Arial"/>
          <w:szCs w:val="21"/>
        </w:rPr>
        <w:t>。</w:t>
      </w:r>
    </w:p>
    <w:p w14:paraId="67717046" w14:textId="77777777" w:rsidR="000D10AE" w:rsidRDefault="000D10AE" w:rsidP="000D10AE">
      <w:pPr>
        <w:adjustRightInd w:val="0"/>
        <w:snapToGrid w:val="0"/>
        <w:spacing w:line="360" w:lineRule="auto"/>
        <w:ind w:firstLineChars="200" w:firstLine="420"/>
        <w:rPr>
          <w:szCs w:val="21"/>
        </w:rPr>
      </w:pPr>
      <w:r w:rsidRPr="00206847">
        <w:rPr>
          <w:rFonts w:hint="eastAsia"/>
          <w:szCs w:val="21"/>
        </w:rPr>
        <w:t>基金托管人应对基金的投资和融资比例是否符合基金合同的规定进行监督。基金托管人应自基金合同生效</w:t>
      </w:r>
      <w:r>
        <w:rPr>
          <w:rFonts w:hint="eastAsia"/>
          <w:szCs w:val="21"/>
        </w:rPr>
        <w:t>之日起满</w:t>
      </w:r>
      <w:r>
        <w:rPr>
          <w:rFonts w:hint="eastAsia"/>
          <w:szCs w:val="21"/>
        </w:rPr>
        <w:t>6</w:t>
      </w:r>
      <w:r>
        <w:rPr>
          <w:rFonts w:hint="eastAsia"/>
          <w:szCs w:val="21"/>
        </w:rPr>
        <w:t>个月后</w:t>
      </w:r>
      <w:r w:rsidRPr="00206847">
        <w:rPr>
          <w:rFonts w:hint="eastAsia"/>
          <w:szCs w:val="21"/>
        </w:rPr>
        <w:t>，监督基金合同约定的基金投资资产配置比例、单一投资类别比例限制、融资限制、股票申购限制、基金投资比例是否符合法规规定，不符合规定的，基金托管人应书面通知基金管理人</w:t>
      </w:r>
      <w:r>
        <w:rPr>
          <w:rFonts w:hint="eastAsia"/>
          <w:szCs w:val="21"/>
        </w:rPr>
        <w:t>及时</w:t>
      </w:r>
      <w:r w:rsidRPr="00206847">
        <w:rPr>
          <w:rFonts w:hint="eastAsia"/>
          <w:szCs w:val="21"/>
        </w:rPr>
        <w:t>进行整改，整改的时限应符合法规允许的投资比例调整期限。</w:t>
      </w:r>
    </w:p>
    <w:p w14:paraId="05ED1A9B" w14:textId="77777777" w:rsidR="000D10AE" w:rsidRPr="00206847" w:rsidRDefault="00554A31" w:rsidP="000D10AE">
      <w:pPr>
        <w:adjustRightInd w:val="0"/>
        <w:snapToGrid w:val="0"/>
        <w:spacing w:line="360" w:lineRule="auto"/>
        <w:ind w:firstLineChars="200" w:firstLine="420"/>
        <w:rPr>
          <w:szCs w:val="21"/>
        </w:rPr>
      </w:pPr>
      <w:r w:rsidRPr="00554A31">
        <w:rPr>
          <w:rFonts w:hint="eastAsia"/>
          <w:szCs w:val="21"/>
        </w:rPr>
        <w:t>除上述第</w:t>
      </w:r>
      <w:r w:rsidRPr="00554A31">
        <w:rPr>
          <w:rFonts w:hint="eastAsia"/>
          <w:szCs w:val="21"/>
        </w:rPr>
        <w:t>(5)</w:t>
      </w:r>
      <w:r w:rsidRPr="00554A31">
        <w:rPr>
          <w:rFonts w:hint="eastAsia"/>
          <w:szCs w:val="21"/>
        </w:rPr>
        <w:t>、</w:t>
      </w:r>
      <w:r w:rsidRPr="00554A31">
        <w:rPr>
          <w:rFonts w:hint="eastAsia"/>
          <w:szCs w:val="21"/>
        </w:rPr>
        <w:t>(15)</w:t>
      </w:r>
      <w:r w:rsidRPr="00554A31">
        <w:rPr>
          <w:rFonts w:hint="eastAsia"/>
          <w:szCs w:val="21"/>
        </w:rPr>
        <w:t>、</w:t>
      </w:r>
      <w:r w:rsidRPr="00554A31">
        <w:rPr>
          <w:rFonts w:hint="eastAsia"/>
          <w:szCs w:val="21"/>
        </w:rPr>
        <w:t>(16)</w:t>
      </w:r>
      <w:r w:rsidRPr="00554A31">
        <w:rPr>
          <w:rFonts w:hint="eastAsia"/>
          <w:szCs w:val="21"/>
        </w:rPr>
        <w:t>项另有约定外，</w:t>
      </w:r>
      <w:r w:rsidR="000D10AE" w:rsidRPr="00206847">
        <w:rPr>
          <w:rFonts w:hint="eastAsia"/>
          <w:szCs w:val="21"/>
        </w:rPr>
        <w:t>对于</w:t>
      </w:r>
      <w:r w:rsidR="000D10AE" w:rsidRPr="00206847">
        <w:rPr>
          <w:szCs w:val="21"/>
        </w:rPr>
        <w:t>因证券市场波动、上市公司合并、基金规模变动</w:t>
      </w:r>
      <w:r w:rsidR="000D10AE">
        <w:rPr>
          <w:rFonts w:hint="eastAsia"/>
          <w:szCs w:val="21"/>
        </w:rPr>
        <w:t>、</w:t>
      </w:r>
      <w:r w:rsidR="000D10AE" w:rsidRPr="00314F35">
        <w:rPr>
          <w:rFonts w:hint="eastAsia"/>
          <w:szCs w:val="21"/>
        </w:rPr>
        <w:t>股权分置改革中支付对价</w:t>
      </w:r>
      <w:r w:rsidR="000D10AE" w:rsidRPr="00206847">
        <w:rPr>
          <w:szCs w:val="21"/>
        </w:rPr>
        <w:t>等</w:t>
      </w:r>
      <w:r w:rsidR="000D10AE">
        <w:rPr>
          <w:rFonts w:hint="eastAsia"/>
          <w:szCs w:val="21"/>
        </w:rPr>
        <w:t>基金管理人之外的</w:t>
      </w:r>
      <w:r w:rsidR="000D10AE" w:rsidRPr="00206847">
        <w:rPr>
          <w:rFonts w:hint="eastAsia"/>
          <w:szCs w:val="21"/>
        </w:rPr>
        <w:t>原因导致基金的投资不符合基金合同的约定的，基金管理人</w:t>
      </w:r>
      <w:r w:rsidR="000D10AE">
        <w:rPr>
          <w:rFonts w:hint="eastAsia"/>
          <w:szCs w:val="21"/>
        </w:rPr>
        <w:t>应</w:t>
      </w:r>
      <w:r w:rsidR="000D10AE" w:rsidRPr="00206847">
        <w:rPr>
          <w:rFonts w:hint="eastAsia"/>
          <w:szCs w:val="21"/>
        </w:rPr>
        <w:t>在</w:t>
      </w:r>
      <w:r w:rsidR="000D10AE" w:rsidRPr="00206847">
        <w:rPr>
          <w:rFonts w:hint="eastAsia"/>
          <w:szCs w:val="21"/>
        </w:rPr>
        <w:t>10</w:t>
      </w:r>
      <w:r w:rsidR="000D10AE" w:rsidRPr="00206847">
        <w:rPr>
          <w:rFonts w:hint="eastAsia"/>
          <w:szCs w:val="21"/>
        </w:rPr>
        <w:t>个</w:t>
      </w:r>
      <w:r w:rsidR="000D10AE">
        <w:rPr>
          <w:rFonts w:hint="eastAsia"/>
          <w:szCs w:val="21"/>
        </w:rPr>
        <w:t>交易</w:t>
      </w:r>
      <w:r w:rsidR="000D10AE" w:rsidRPr="00206847">
        <w:rPr>
          <w:rFonts w:hint="eastAsia"/>
          <w:szCs w:val="21"/>
        </w:rPr>
        <w:t>日内进行调整以符合基金合同的约定。</w:t>
      </w:r>
    </w:p>
    <w:p w14:paraId="7422525F"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（三）基金托管人根据有关法律法规的规定及基金合同的约定，对本托管协议第十五条第九款基金投资禁止行为进行监督。基金托管人通过</w:t>
      </w:r>
      <w:r>
        <w:rPr>
          <w:rFonts w:hAnsi="宋体" w:cs="Arial" w:hint="eastAsia"/>
          <w:szCs w:val="21"/>
        </w:rPr>
        <w:t>适当的</w:t>
      </w:r>
      <w:r w:rsidRPr="00EE1299">
        <w:rPr>
          <w:rFonts w:hAnsi="宋体" w:cs="Arial" w:hint="eastAsia"/>
          <w:szCs w:val="21"/>
        </w:rPr>
        <w:t>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63BEEAD7"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若基金托管人发现基金管理人与关联交易名单中列示的关联方进行法律法规禁止基金从事的关联交易时，</w:t>
      </w:r>
      <w:r w:rsidRPr="00F90DD9">
        <w:rPr>
          <w:rFonts w:hAnsi="宋体" w:cs="Arial" w:hint="eastAsia"/>
          <w:szCs w:val="21"/>
        </w:rPr>
        <w:t>基金托管人应及时提醒并协助基金管理人采取必要措施阻止该关联交易的</w:t>
      </w:r>
      <w:r w:rsidRPr="00F90DD9">
        <w:rPr>
          <w:rFonts w:hAnsi="宋体" w:cs="Arial" w:hint="eastAsia"/>
          <w:szCs w:val="21"/>
        </w:rPr>
        <w:lastRenderedPageBreak/>
        <w:t>发生</w:t>
      </w:r>
      <w:r>
        <w:rPr>
          <w:rFonts w:hAnsi="宋体" w:cs="Arial" w:hint="eastAsia"/>
          <w:szCs w:val="21"/>
        </w:rPr>
        <w:t>，</w:t>
      </w:r>
      <w:r w:rsidRPr="00EE1299">
        <w:rPr>
          <w:rFonts w:hAnsi="宋体" w:cs="Arial" w:hint="eastAsia"/>
          <w:szCs w:val="21"/>
        </w:rPr>
        <w:t>如基金托管人</w:t>
      </w:r>
      <w:r>
        <w:rPr>
          <w:rFonts w:hAnsi="宋体" w:cs="Arial" w:hint="eastAsia"/>
          <w:szCs w:val="21"/>
        </w:rPr>
        <w:t>采取必要措施</w:t>
      </w:r>
      <w:r w:rsidRPr="00EE1299">
        <w:rPr>
          <w:rFonts w:hAnsi="宋体" w:cs="Arial" w:hint="eastAsia"/>
          <w:szCs w:val="21"/>
        </w:rPr>
        <w:t>后仍无法阻止关联交易发生时，基金托管人有权向中国证监会报告。</w:t>
      </w:r>
    </w:p>
    <w:p w14:paraId="2E441C56" w14:textId="77777777" w:rsidR="000D10AE" w:rsidRPr="00EE129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w:t>
      </w:r>
      <w:r w:rsidRPr="0098385E">
        <w:rPr>
          <w:rFonts w:hAnsi="宋体" w:cs="Arial" w:hint="eastAsia"/>
          <w:szCs w:val="21"/>
        </w:rPr>
        <w:t>基金管理人有责任确保及时将更新后的交易对手名单发送给基金托管人，否则由此造成的损失应由基金管理人承担。</w:t>
      </w:r>
      <w:r w:rsidRPr="00EE1299">
        <w:rPr>
          <w:rFonts w:hAnsi="宋体" w:cs="Arial" w:hint="eastAsia"/>
          <w:szCs w:val="21"/>
        </w:rPr>
        <w:t>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w:t>
      </w:r>
      <w:r w:rsidRPr="00B050ED">
        <w:rPr>
          <w:rFonts w:ascii="宋体" w:hAnsi="宋体" w:cs="Arial" w:hint="eastAsia"/>
          <w:kern w:val="0"/>
          <w:szCs w:val="21"/>
        </w:rPr>
        <w:t>新名单确定前已与本次剔除的交易对手所进行但尚未结算的交易，仍应按照协议进行结算</w:t>
      </w:r>
      <w:r>
        <w:rPr>
          <w:rFonts w:ascii="宋体" w:hAnsi="宋体" w:cs="Arial" w:hint="eastAsia"/>
          <w:kern w:val="0"/>
          <w:szCs w:val="21"/>
        </w:rPr>
        <w:t>。</w:t>
      </w:r>
    </w:p>
    <w:p w14:paraId="05FFEE1B"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color w:val="000000"/>
          <w:szCs w:val="21"/>
        </w:rPr>
        <w:t>基金管理人负责对交易对手的资信控制，按银行间债券市场的交易规则进行交易，并</w:t>
      </w:r>
      <w:r w:rsidRPr="00EE1299">
        <w:rPr>
          <w:rFonts w:hAnsi="宋体" w:hint="eastAsia"/>
          <w:szCs w:val="21"/>
        </w:rPr>
        <w:t>负责解决因交易对手不履行合同而造成的纠纷及损失。若未履约的交易对手在基金管理人确定的时间</w:t>
      </w:r>
      <w:r>
        <w:rPr>
          <w:rFonts w:hAnsi="宋体" w:hint="eastAsia"/>
          <w:szCs w:val="21"/>
        </w:rPr>
        <w:t>内</w:t>
      </w:r>
      <w:r w:rsidRPr="00EE1299">
        <w:rPr>
          <w:rFonts w:hAnsi="宋体" w:hint="eastAsia"/>
          <w:szCs w:val="21"/>
        </w:rPr>
        <w:t>仍未承担违约责任及其他相关法律责任的，基金管理人可以对相应损失先行予以承担，然后再向相关交易对手追偿。</w:t>
      </w:r>
      <w:r w:rsidRPr="00EE1299">
        <w:rPr>
          <w:rFonts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465E33A3"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（五）</w:t>
      </w:r>
      <w:r w:rsidRPr="00EE1299">
        <w:rPr>
          <w:rFonts w:hAnsi="宋体" w:hint="eastAsia"/>
          <w:szCs w:val="21"/>
        </w:rPr>
        <w:t>本基金投资流通受限证券，基金管理人应事先根据中国证监会相关规定，与基金托管人就相关事项</w:t>
      </w:r>
      <w:r>
        <w:rPr>
          <w:rFonts w:hAnsi="宋体" w:hint="eastAsia"/>
          <w:szCs w:val="21"/>
        </w:rPr>
        <w:t>协商一致后</w:t>
      </w:r>
      <w:r w:rsidRPr="00EE1299">
        <w:rPr>
          <w:rFonts w:hAnsi="宋体" w:hint="eastAsia"/>
          <w:szCs w:val="21"/>
        </w:rPr>
        <w:t>签订补充协议，明确基金投资流通受限证券的比例。</w:t>
      </w:r>
      <w:r w:rsidRPr="00EE1299">
        <w:rPr>
          <w:rFonts w:hAnsi="宋体" w:cs="Arial" w:hint="eastAsia"/>
          <w:szCs w:val="21"/>
        </w:rPr>
        <w:t>基金管理人应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6EFC60A"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78D2E98"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七）基金托管人发现基金管理人的上述事项及投资指令或实际投资运作违反法律法规、基金合同和本托管协议的规定，应及时书面提示等方式通知基金管理人限期纠正。基金管理人应积极配合和协助基金托管人的监督和核查。基金管理人收到通知后应及时核对并</w:t>
      </w:r>
      <w:r>
        <w:rPr>
          <w:rFonts w:hAnsi="宋体" w:cs="Arial" w:hint="eastAsia"/>
          <w:szCs w:val="21"/>
        </w:rPr>
        <w:t>回复基金托管人，对于收到的书面通知基金管理人应</w:t>
      </w:r>
      <w:r w:rsidRPr="00EE1299">
        <w:rPr>
          <w:rFonts w:hAnsi="宋体" w:cs="Arial" w:hint="eastAsia"/>
          <w:szCs w:val="21"/>
        </w:rPr>
        <w:t>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5E41699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（八）基金管理人有义务配合和协助基金托管人依照法律法规、基金合同和本托管协议对基金业务执行核查。</w:t>
      </w:r>
      <w:r>
        <w:rPr>
          <w:rFonts w:hAnsi="宋体" w:cs="Arial" w:hint="eastAsia"/>
          <w:szCs w:val="21"/>
        </w:rPr>
        <w:t>包括但不限于：</w:t>
      </w:r>
      <w:r w:rsidRPr="00EE1299">
        <w:rPr>
          <w:rFonts w:hAnsi="宋体" w:cs="Arial" w:hint="eastAsia"/>
          <w:szCs w:val="21"/>
        </w:rPr>
        <w:t>对基金托管人发出的提示，基金管理人应在规定时间内答</w:t>
      </w:r>
      <w:r w:rsidRPr="00EE1299">
        <w:rPr>
          <w:rFonts w:hAnsi="宋体" w:cs="Arial" w:hint="eastAsia"/>
          <w:szCs w:val="21"/>
        </w:rPr>
        <w:lastRenderedPageBreak/>
        <w:t>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E7BAC2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（九）若基金托管人发现基金管理人依据交易程序已经生效的指令违反法律、行政法规和其他有关规定，或者违反基金合同约定的，应当立即通知基金管理人</w:t>
      </w:r>
      <w:r>
        <w:rPr>
          <w:rFonts w:hAnsi="宋体" w:cs="Arial" w:hint="eastAsia"/>
          <w:szCs w:val="21"/>
        </w:rPr>
        <w:t>及时纠正</w:t>
      </w:r>
      <w:r w:rsidRPr="00EE1299">
        <w:rPr>
          <w:rFonts w:hAnsi="宋体" w:cs="Arial" w:hint="eastAsia"/>
          <w:szCs w:val="21"/>
        </w:rPr>
        <w:t>，由此造成的损失由基金管理人承担。</w:t>
      </w:r>
    </w:p>
    <w:p w14:paraId="774E4D6A" w14:textId="0BFF01FB" w:rsidR="00D470B0" w:rsidRPr="00D470B0" w:rsidRDefault="000D10AE" w:rsidP="00D470B0">
      <w:pPr>
        <w:adjustRightInd w:val="0"/>
        <w:snapToGrid w:val="0"/>
        <w:spacing w:line="360" w:lineRule="auto"/>
        <w:ind w:firstLineChars="200" w:firstLine="420"/>
        <w:rPr>
          <w:rFonts w:hAnsi="宋体" w:cs="Arial"/>
          <w:szCs w:val="21"/>
        </w:rPr>
      </w:pPr>
      <w:r w:rsidRPr="00EE1299">
        <w:rPr>
          <w:rFonts w:hAnsi="宋体" w:cs="Arial" w:hint="eastAsia"/>
          <w:szCs w:val="21"/>
        </w:rPr>
        <w:t>（十）基金托管人发现基金管理人有重大违规行为，应及时报告中国证监会，同时通知基金管理人限期纠正。</w:t>
      </w:r>
    </w:p>
    <w:p w14:paraId="5D7608FA" w14:textId="77777777" w:rsidR="000D10AE" w:rsidRPr="00EE1299" w:rsidRDefault="000D10AE" w:rsidP="000D10AE">
      <w:pPr>
        <w:adjustRightInd w:val="0"/>
        <w:snapToGrid w:val="0"/>
        <w:spacing w:line="360" w:lineRule="auto"/>
        <w:ind w:firstLineChars="200" w:firstLine="420"/>
        <w:rPr>
          <w:szCs w:val="21"/>
        </w:rPr>
      </w:pPr>
      <w:r>
        <w:rPr>
          <w:rFonts w:hAnsi="宋体" w:cs="Arial"/>
          <w:szCs w:val="21"/>
        </w:rPr>
        <w:br w:type="page"/>
      </w:r>
    </w:p>
    <w:p w14:paraId="14433717" w14:textId="77777777" w:rsidR="000D10AE" w:rsidRPr="00AB3329" w:rsidRDefault="000D10AE" w:rsidP="000D10AE">
      <w:pPr>
        <w:pStyle w:val="21"/>
        <w:numPr>
          <w:ilvl w:val="1"/>
          <w:numId w:val="28"/>
        </w:numPr>
        <w:rPr>
          <w:rFonts w:ascii="Times New Roman" w:hAnsi="Times New Roman"/>
          <w:color w:val="000000"/>
        </w:rPr>
      </w:pPr>
      <w:bookmarkStart w:id="16" w:name="_Toc86223242"/>
      <w:bookmarkStart w:id="17" w:name="_Toc86225291"/>
      <w:bookmarkStart w:id="18" w:name="_Toc86649722"/>
      <w:bookmarkStart w:id="19" w:name="_Toc86726439"/>
      <w:bookmarkStart w:id="20" w:name="_Toc86727355"/>
      <w:bookmarkStart w:id="21" w:name="_Toc86737929"/>
      <w:bookmarkStart w:id="22" w:name="_Toc89163368"/>
      <w:bookmarkStart w:id="23" w:name="_Toc108512358"/>
      <w:bookmarkStart w:id="24" w:name="_Toc110761796"/>
      <w:bookmarkStart w:id="25" w:name="_Toc110765660"/>
      <w:bookmarkStart w:id="26" w:name="_Toc110830492"/>
      <w:bookmarkStart w:id="27" w:name="_Toc118212950"/>
      <w:bookmarkStart w:id="28" w:name="_Toc118774803"/>
      <w:bookmarkStart w:id="29" w:name="_Toc118972648"/>
      <w:bookmarkStart w:id="30" w:name="_Toc119402710"/>
      <w:bookmarkStart w:id="31" w:name="_Toc120435783"/>
      <w:bookmarkStart w:id="32" w:name="_Toc215903440"/>
      <w:bookmarkStart w:id="33" w:name="_Toc247440585"/>
      <w:bookmarkStart w:id="34" w:name="_Toc250711186"/>
      <w:r w:rsidRPr="00AB3329">
        <w:rPr>
          <w:rFonts w:ascii="Times New Roman" w:hAnsi="Times New Roman" w:hint="eastAsia"/>
          <w:color w:val="000000"/>
        </w:rPr>
        <w:lastRenderedPageBreak/>
        <w:t>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1A51FC8"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66C11EDC"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w:t>
      </w:r>
      <w:r>
        <w:rPr>
          <w:rFonts w:hAnsi="宋体" w:cs="Arial" w:hint="eastAsia"/>
          <w:szCs w:val="21"/>
        </w:rPr>
        <w:t>书面</w:t>
      </w:r>
      <w:r w:rsidRPr="00EE1299">
        <w:rPr>
          <w:rFonts w:hAnsi="宋体" w:cs="Arial" w:hint="eastAsia"/>
          <w:szCs w:val="21"/>
        </w:rPr>
        <w:t>通知后应及时核对并以书面形式给基金管理人发出回函，说明违规原因及纠正期限，并保证在规定期限内及时改正。在上述规定期限内，基金管理人有权随时对通知事项进行复查，督促基金托管人改正。</w:t>
      </w:r>
    </w:p>
    <w:p w14:paraId="19C9CAA5" w14:textId="77777777" w:rsidR="000D10AE" w:rsidRPr="00EE1299"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6D6FE4EB"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（四）基金管理人发现基金托管人有重大违规行为，应及时报告中国证监会，同时通知基金托管人限期纠正，并将纠正结果报告中国证监会。</w:t>
      </w:r>
    </w:p>
    <w:p w14:paraId="78AE086C" w14:textId="77777777" w:rsidR="000D10AE" w:rsidRPr="00EE1299" w:rsidRDefault="000D10AE" w:rsidP="000D10AE">
      <w:pPr>
        <w:spacing w:line="360" w:lineRule="auto"/>
        <w:rPr>
          <w:szCs w:val="21"/>
        </w:rPr>
      </w:pPr>
      <w:r>
        <w:rPr>
          <w:szCs w:val="21"/>
        </w:rPr>
        <w:br w:type="page"/>
      </w:r>
    </w:p>
    <w:p w14:paraId="47861D95" w14:textId="77777777" w:rsidR="000D10AE" w:rsidRPr="00AB3329" w:rsidRDefault="000D10AE" w:rsidP="000D10AE">
      <w:pPr>
        <w:pStyle w:val="21"/>
        <w:numPr>
          <w:ilvl w:val="1"/>
          <w:numId w:val="28"/>
        </w:numPr>
        <w:rPr>
          <w:rFonts w:ascii="Times New Roman" w:hAnsi="Times New Roman"/>
          <w:color w:val="000000"/>
        </w:rPr>
      </w:pPr>
      <w:bookmarkStart w:id="35" w:name="_Toc84133786"/>
      <w:bookmarkStart w:id="36" w:name="_Toc84234388"/>
      <w:bookmarkStart w:id="37" w:name="_Toc84234435"/>
      <w:bookmarkStart w:id="38" w:name="_Toc86204789"/>
      <w:bookmarkStart w:id="39" w:name="_Toc86223243"/>
      <w:bookmarkStart w:id="40" w:name="_Toc86225292"/>
      <w:bookmarkStart w:id="41" w:name="_Toc86649723"/>
      <w:bookmarkStart w:id="42" w:name="_Toc86726440"/>
      <w:bookmarkStart w:id="43" w:name="_Toc86727356"/>
      <w:bookmarkStart w:id="44" w:name="_Toc86737930"/>
      <w:bookmarkStart w:id="45" w:name="_Toc89163369"/>
      <w:bookmarkStart w:id="46" w:name="_Toc108512359"/>
      <w:bookmarkStart w:id="47" w:name="_Toc110761797"/>
      <w:bookmarkStart w:id="48" w:name="_Toc110765661"/>
      <w:bookmarkStart w:id="49" w:name="_Toc110830493"/>
      <w:bookmarkStart w:id="50" w:name="_Toc118212951"/>
      <w:bookmarkStart w:id="51" w:name="_Toc118774804"/>
      <w:bookmarkStart w:id="52" w:name="_Toc118972649"/>
      <w:bookmarkStart w:id="53" w:name="_Toc119402711"/>
      <w:bookmarkStart w:id="54" w:name="_Toc120435784"/>
      <w:bookmarkStart w:id="55" w:name="_Toc215903441"/>
      <w:bookmarkStart w:id="56" w:name="_Toc247440586"/>
      <w:bookmarkStart w:id="57" w:name="_Toc250711187"/>
      <w:r w:rsidRPr="00AB3329">
        <w:rPr>
          <w:rFonts w:ascii="Times New Roman" w:hAnsi="Times New Roman" w:hint="eastAsia"/>
          <w:color w:val="000000"/>
        </w:rPr>
        <w:lastRenderedPageBreak/>
        <w:t>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F29AAD3"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（一）基金财产保管的原则</w:t>
      </w:r>
    </w:p>
    <w:p w14:paraId="7C8B6EB7"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基金财产应独立于基金管理人、基金托管人的固有财产。</w:t>
      </w:r>
    </w:p>
    <w:p w14:paraId="0C234B4F"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2.</w:t>
      </w:r>
      <w:r w:rsidRPr="00EE1299">
        <w:rPr>
          <w:rFonts w:hAnsi="宋体" w:cs="Arial" w:hint="eastAsia"/>
          <w:szCs w:val="21"/>
        </w:rPr>
        <w:t>基金托管人应安全保管基金财产。</w:t>
      </w:r>
    </w:p>
    <w:p w14:paraId="410CCDAC"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3.</w:t>
      </w:r>
      <w:r w:rsidRPr="00EE1299">
        <w:rPr>
          <w:rFonts w:hAnsi="宋体" w:cs="Arial" w:hint="eastAsia"/>
          <w:szCs w:val="21"/>
        </w:rPr>
        <w:t>基金托管人按照规定开设基金财产的资金账户和证券账户。</w:t>
      </w:r>
    </w:p>
    <w:p w14:paraId="233B0D43"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4.</w:t>
      </w:r>
      <w:r w:rsidRPr="00EE1299">
        <w:rPr>
          <w:rFonts w:hAnsi="宋体" w:cs="Arial" w:hint="eastAsia"/>
          <w:szCs w:val="21"/>
        </w:rPr>
        <w:t>基金托管人对所托管的不同基金财产分别设置账户，确保基金财产的完整与独立。</w:t>
      </w:r>
    </w:p>
    <w:p w14:paraId="2B788BA6" w14:textId="77777777" w:rsidR="000D10AE" w:rsidRPr="00EE1299" w:rsidRDefault="000D10AE" w:rsidP="000D10AE">
      <w:pPr>
        <w:adjustRightInd w:val="0"/>
        <w:snapToGrid w:val="0"/>
        <w:spacing w:line="360" w:lineRule="auto"/>
        <w:ind w:firstLine="480"/>
        <w:rPr>
          <w:rFonts w:hAnsi="宋体" w:cs="Arial"/>
          <w:szCs w:val="21"/>
        </w:rPr>
      </w:pPr>
      <w:r w:rsidRPr="00EE1299">
        <w:rPr>
          <w:rFonts w:cs="Arial" w:hint="eastAsia"/>
          <w:szCs w:val="21"/>
        </w:rPr>
        <w:t>5.</w:t>
      </w:r>
      <w:r w:rsidRPr="00EE1299">
        <w:rPr>
          <w:rFonts w:hAnsi="宋体" w:cs="Arial" w:hint="eastAsia"/>
          <w:szCs w:val="21"/>
        </w:rPr>
        <w:t>基金托管人根据基金管理人的指令，按照基金合同和本协议的约定保管基金财产。未经基金管理人的正当指令，不得自行运用、处分、分配基金的任何资产。</w:t>
      </w:r>
      <w:r>
        <w:rPr>
          <w:rFonts w:hAnsi="宋体" w:cs="Arial" w:hint="eastAsia"/>
          <w:szCs w:val="21"/>
        </w:rPr>
        <w:t>不</w:t>
      </w:r>
      <w:r w:rsidRPr="00EE1299">
        <w:rPr>
          <w:rFonts w:hAnsi="宋体" w:cs="Arial" w:hint="eastAsia"/>
          <w:szCs w:val="21"/>
        </w:rPr>
        <w:t>属于基金托管人实际有效控制下的实物证券的损坏、灭失，由此产生的责任基金托管人</w:t>
      </w:r>
      <w:r>
        <w:rPr>
          <w:rFonts w:hAnsi="宋体" w:cs="Arial" w:hint="eastAsia"/>
          <w:szCs w:val="21"/>
        </w:rPr>
        <w:t>不</w:t>
      </w:r>
      <w:r w:rsidRPr="00EE1299">
        <w:rPr>
          <w:rFonts w:hAnsi="宋体" w:cs="Arial" w:hint="eastAsia"/>
          <w:szCs w:val="21"/>
        </w:rPr>
        <w:t>承担。</w:t>
      </w:r>
    </w:p>
    <w:p w14:paraId="4A921DA5" w14:textId="77777777" w:rsidR="000D10AE" w:rsidRPr="00EE1299" w:rsidRDefault="000D10AE" w:rsidP="000D10AE">
      <w:pPr>
        <w:adjustRightInd w:val="0"/>
        <w:snapToGrid w:val="0"/>
        <w:spacing w:line="360" w:lineRule="auto"/>
        <w:ind w:firstLine="480"/>
        <w:rPr>
          <w:rFonts w:hAnsi="宋体" w:cs="Arial"/>
          <w:szCs w:val="21"/>
        </w:rPr>
      </w:pPr>
      <w:r w:rsidRPr="00EE1299">
        <w:rPr>
          <w:rFonts w:cs="Arial" w:hint="eastAsia"/>
          <w:szCs w:val="21"/>
        </w:rPr>
        <w:t>6.</w:t>
      </w:r>
      <w:r w:rsidRPr="00EE1299">
        <w:rPr>
          <w:rFonts w:hAnsi="宋体" w:cs="Arial"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w:t>
      </w:r>
      <w:r>
        <w:rPr>
          <w:rFonts w:hAnsi="宋体" w:cs="Arial" w:hint="eastAsia"/>
          <w:szCs w:val="21"/>
        </w:rPr>
        <w:t>基金管理人未及时催收</w:t>
      </w:r>
      <w:r w:rsidRPr="00EE1299">
        <w:rPr>
          <w:rFonts w:hAnsi="宋体" w:cs="Arial" w:hint="eastAsia"/>
          <w:szCs w:val="21"/>
        </w:rPr>
        <w:t>给基金财产造成损失的，基金管理人应负责向有关当事人追偿基金财产的损失。</w:t>
      </w:r>
    </w:p>
    <w:p w14:paraId="62882193"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7.</w:t>
      </w:r>
      <w:r w:rsidRPr="00EE1299">
        <w:rPr>
          <w:rFonts w:hAnsi="宋体" w:cs="Arial" w:hint="eastAsia"/>
          <w:szCs w:val="21"/>
        </w:rPr>
        <w:t>除依据法律法规和基金合同的规定外，基金托管人不得委托第三人托管基金财产。</w:t>
      </w:r>
    </w:p>
    <w:p w14:paraId="1B7CEE0E"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（二）基金募集期间及募集资金的验资</w:t>
      </w:r>
    </w:p>
    <w:p w14:paraId="22C546E9"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基金募集期间募集的资金</w:t>
      </w:r>
      <w:r w:rsidRPr="00D33686">
        <w:rPr>
          <w:rFonts w:ascii="宋体" w:hAnsi="宋体"/>
        </w:rPr>
        <w:t>应存于基金管理人在</w:t>
      </w:r>
      <w:r w:rsidRPr="00D33686">
        <w:rPr>
          <w:rFonts w:ascii="宋体" w:hAnsi="宋体" w:hint="eastAsia"/>
        </w:rPr>
        <w:t>具有托管资格的商业银行开设的</w:t>
      </w:r>
      <w:r w:rsidRPr="00D33686">
        <w:rPr>
          <w:rFonts w:ascii="宋体" w:hAnsi="宋体"/>
        </w:rPr>
        <w:t>基金</w:t>
      </w:r>
      <w:r w:rsidRPr="00D33686">
        <w:rPr>
          <w:rFonts w:ascii="宋体" w:hAnsi="宋体" w:hint="eastAsia"/>
        </w:rPr>
        <w:t>认购专户</w:t>
      </w:r>
      <w:r w:rsidRPr="00EE1299">
        <w:rPr>
          <w:rFonts w:hAnsi="宋体" w:cs="Arial" w:hint="eastAsia"/>
          <w:szCs w:val="21"/>
        </w:rPr>
        <w:t>。该账户由基金管理人开立并管理。</w:t>
      </w:r>
    </w:p>
    <w:p w14:paraId="053E187D"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2.</w:t>
      </w:r>
      <w:r w:rsidRPr="00EE1299">
        <w:rPr>
          <w:rFonts w:hAnsi="宋体" w:cs="Arial" w:hint="eastAsia"/>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w:t>
      </w:r>
      <w:r>
        <w:rPr>
          <w:rFonts w:hAnsi="宋体" w:cs="Arial" w:hint="eastAsia"/>
          <w:szCs w:val="21"/>
        </w:rPr>
        <w:t>基金管理人应</w:t>
      </w:r>
      <w:r w:rsidRPr="00EE1299">
        <w:rPr>
          <w:rFonts w:hAnsi="宋体" w:cs="Arial" w:hint="eastAsia"/>
          <w:szCs w:val="21"/>
        </w:rPr>
        <w:t>聘请具有从事证券相关业务资格的会计师事务所进行验资，出具验资报告。出具的验资报告由参加验资的</w:t>
      </w:r>
      <w:r w:rsidRPr="00EE1299">
        <w:rPr>
          <w:rFonts w:cs="Arial" w:hint="eastAsia"/>
          <w:szCs w:val="21"/>
        </w:rPr>
        <w:t>2</w:t>
      </w:r>
      <w:r w:rsidRPr="00EE1299">
        <w:rPr>
          <w:rFonts w:hAnsi="宋体" w:cs="Arial" w:hint="eastAsia"/>
          <w:szCs w:val="21"/>
        </w:rPr>
        <w:t>名或</w:t>
      </w:r>
      <w:r w:rsidRPr="00EE1299">
        <w:rPr>
          <w:rFonts w:cs="Arial" w:hint="eastAsia"/>
          <w:szCs w:val="21"/>
        </w:rPr>
        <w:t>2</w:t>
      </w:r>
      <w:r w:rsidRPr="00EE1299">
        <w:rPr>
          <w:rFonts w:hAnsi="宋体" w:cs="Arial" w:hint="eastAsia"/>
          <w:szCs w:val="21"/>
        </w:rPr>
        <w:t>名以上中国注册会计师签字方为有效。</w:t>
      </w:r>
    </w:p>
    <w:p w14:paraId="3A3E1D98"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3.</w:t>
      </w:r>
      <w:r w:rsidRPr="00EE1299">
        <w:rPr>
          <w:rFonts w:hAnsi="宋体" w:cs="Arial" w:hint="eastAsia"/>
          <w:szCs w:val="21"/>
        </w:rPr>
        <w:t>若基金募集期限届满，未能达到基金合同生效的条件，由基金管理人按规定办理退款等事宜。</w:t>
      </w:r>
    </w:p>
    <w:p w14:paraId="7C02342B"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（三）基金银行账户的开立和管理</w:t>
      </w:r>
    </w:p>
    <w:p w14:paraId="7B9861A9"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基金托管人以基金的名义在其营业机构开立基金的银行账户，保管基金的银行存款，并根据基金管理人的指令办理资金收付。本基金的银行预留印鉴由基金托管人</w:t>
      </w:r>
      <w:r>
        <w:rPr>
          <w:rFonts w:hAnsi="宋体" w:cs="Arial" w:hint="eastAsia"/>
          <w:szCs w:val="21"/>
        </w:rPr>
        <w:t>刻制、</w:t>
      </w:r>
      <w:r w:rsidRPr="00EE1299">
        <w:rPr>
          <w:rFonts w:hAnsi="宋体" w:cs="Arial" w:hint="eastAsia"/>
          <w:szCs w:val="21"/>
        </w:rPr>
        <w:t>保管和使用。</w:t>
      </w:r>
    </w:p>
    <w:p w14:paraId="1FE77CF8"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2.</w:t>
      </w:r>
      <w:r w:rsidRPr="00EE1299">
        <w:rPr>
          <w:rFonts w:hAnsi="宋体" w:cs="Arial"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0EB1F137" w14:textId="77777777" w:rsidR="000D10AE" w:rsidRDefault="000D10AE" w:rsidP="000D10AE">
      <w:pPr>
        <w:adjustRightInd w:val="0"/>
        <w:snapToGrid w:val="0"/>
        <w:spacing w:line="360" w:lineRule="auto"/>
        <w:ind w:firstLine="480"/>
        <w:rPr>
          <w:rFonts w:hAnsi="宋体" w:cs="Arial"/>
          <w:szCs w:val="21"/>
        </w:rPr>
      </w:pPr>
      <w:r w:rsidRPr="00EE1299">
        <w:rPr>
          <w:rFonts w:cs="Arial" w:hint="eastAsia"/>
          <w:szCs w:val="21"/>
        </w:rPr>
        <w:t>3.</w:t>
      </w:r>
      <w:r w:rsidRPr="00EE1299">
        <w:rPr>
          <w:rFonts w:hAnsi="宋体" w:cs="Arial" w:hint="eastAsia"/>
          <w:szCs w:val="21"/>
        </w:rPr>
        <w:t>基金银行账户的开立和管理应符合法律法规及银行业监督管理机构的有关规定。</w:t>
      </w:r>
    </w:p>
    <w:p w14:paraId="5B7F8A85"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（四）基金证券账户和结算备付金账户的开立和管理</w:t>
      </w:r>
    </w:p>
    <w:p w14:paraId="46F1EB5B"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基金托管人在中国证券登记结算有限责任公司上海分公司、深圳分公司为基金开立基金</w:t>
      </w:r>
      <w:r w:rsidRPr="00EE1299">
        <w:rPr>
          <w:rFonts w:hAnsi="宋体" w:cs="Arial" w:hint="eastAsia"/>
          <w:szCs w:val="21"/>
        </w:rPr>
        <w:lastRenderedPageBreak/>
        <w:t>托管人与基金联名的证券账户。</w:t>
      </w:r>
    </w:p>
    <w:p w14:paraId="49DED02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3E38C8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基金证券账户的开立和证券账户卡的保管由基金托管人负责，账户资产的管理和运用由基金管理人负责。</w:t>
      </w:r>
    </w:p>
    <w:p w14:paraId="4B9311A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6418074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5.</w:t>
      </w:r>
      <w:r w:rsidRPr="00EE1299">
        <w:rPr>
          <w:rFonts w:hAnsi="宋体" w:cs="Arial"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08DB4A8B"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（五）债券托管专户的开设和管理</w:t>
      </w:r>
    </w:p>
    <w:p w14:paraId="5FC7689F"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14:paraId="00058976"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（六）其他账户的开立和管理</w:t>
      </w:r>
    </w:p>
    <w:p w14:paraId="6F772458"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因业务发展需要而开立的其他账户，可以根据法律法规和基金合同的规</w:t>
      </w:r>
      <w:r>
        <w:rPr>
          <w:rFonts w:hAnsi="宋体" w:cs="Arial" w:hint="eastAsia"/>
          <w:szCs w:val="21"/>
        </w:rPr>
        <w:t>定</w:t>
      </w:r>
      <w:r w:rsidRPr="00EE1299">
        <w:rPr>
          <w:rFonts w:hAnsi="宋体" w:cs="Arial" w:hint="eastAsia"/>
          <w:szCs w:val="21"/>
        </w:rPr>
        <w:t>开立。新账户按有关规定使用并管理。</w:t>
      </w:r>
    </w:p>
    <w:p w14:paraId="48BA31D1"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2.</w:t>
      </w:r>
      <w:r w:rsidRPr="00EE1299">
        <w:rPr>
          <w:rFonts w:hAnsi="宋体" w:cs="Arial" w:hint="eastAsia"/>
          <w:szCs w:val="21"/>
        </w:rPr>
        <w:t>法律法规等有关规定对相关账户的开立和管理另有规定的，从其规定办理。</w:t>
      </w:r>
    </w:p>
    <w:p w14:paraId="2A15EB48"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（七）基金财产投资的有关有价凭证等的保管</w:t>
      </w:r>
    </w:p>
    <w:p w14:paraId="25EFE028"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基金财产投资的有关实物证券等有价凭证</w:t>
      </w:r>
      <w:r>
        <w:rPr>
          <w:rFonts w:hAnsi="宋体" w:cs="Arial" w:hint="eastAsia"/>
          <w:szCs w:val="21"/>
        </w:rPr>
        <w:t>按约定</w:t>
      </w:r>
      <w:r w:rsidRPr="00EE1299">
        <w:rPr>
          <w:rFonts w:hAnsi="宋体" w:cs="Arial" w:hint="eastAsia"/>
          <w:szCs w:val="21"/>
        </w:rPr>
        <w:t>由基金托管人存放于基金托管人的保管库，</w:t>
      </w:r>
      <w:r>
        <w:rPr>
          <w:rFonts w:hAnsi="宋体" w:cs="Arial" w:hint="eastAsia"/>
          <w:szCs w:val="21"/>
        </w:rPr>
        <w:t>或</w:t>
      </w:r>
      <w:r w:rsidRPr="00EE1299">
        <w:rPr>
          <w:rFonts w:hAnsi="宋体" w:cs="Arial" w:hint="eastAsia"/>
          <w:szCs w:val="21"/>
        </w:rPr>
        <w:t>存入中央国债登记结算有限责任公司、中国证券登记结算有限责任公司上海分公司</w:t>
      </w:r>
      <w:r w:rsidRPr="00EE1299">
        <w:rPr>
          <w:rFonts w:cs="Arial" w:hint="eastAsia"/>
          <w:szCs w:val="21"/>
        </w:rPr>
        <w:t>/</w:t>
      </w:r>
      <w:r w:rsidRPr="00EE1299">
        <w:rPr>
          <w:rFonts w:hAnsi="宋体" w:cs="Arial" w:hint="eastAsia"/>
          <w:szCs w:val="21"/>
        </w:rPr>
        <w:t>深圳分公司或票据营业中心的代保管库，</w:t>
      </w:r>
      <w:r>
        <w:rPr>
          <w:rFonts w:hAnsi="宋体" w:cs="Arial" w:hint="eastAsia"/>
          <w:szCs w:val="21"/>
        </w:rPr>
        <w:t>实物</w:t>
      </w:r>
      <w:r w:rsidRPr="00EE1299">
        <w:rPr>
          <w:rFonts w:hAnsi="宋体" w:cs="Arial" w:hint="eastAsia"/>
          <w:szCs w:val="21"/>
        </w:rPr>
        <w:t>保管凭证由基金托管人持有。实物证券等有价凭证的购买和转让，由基金托管人根据基金管理人的指令办理。基金托管人对</w:t>
      </w:r>
      <w:r>
        <w:rPr>
          <w:rFonts w:hAnsi="宋体" w:cs="Arial" w:hint="eastAsia"/>
          <w:szCs w:val="21"/>
        </w:rPr>
        <w:t>上述存放机构及</w:t>
      </w:r>
      <w:r w:rsidRPr="00EE1299">
        <w:rPr>
          <w:rFonts w:hAnsi="宋体" w:cs="Arial" w:hint="eastAsia"/>
          <w:szCs w:val="21"/>
        </w:rPr>
        <w:t>基金托管人以外机构实际有效控制的</w:t>
      </w:r>
      <w:r>
        <w:rPr>
          <w:rFonts w:hAnsi="宋体" w:cs="Arial" w:hint="eastAsia"/>
          <w:szCs w:val="21"/>
        </w:rPr>
        <w:t>有价凭证</w:t>
      </w:r>
      <w:r w:rsidRPr="00EE1299">
        <w:rPr>
          <w:rFonts w:hAnsi="宋体" w:cs="Arial" w:hint="eastAsia"/>
          <w:szCs w:val="21"/>
        </w:rPr>
        <w:t>不承担保管责任。</w:t>
      </w:r>
    </w:p>
    <w:p w14:paraId="7E771E7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（八）与基金财产有关的重大合同的保管</w:t>
      </w:r>
    </w:p>
    <w:p w14:paraId="3AD7D2EE" w14:textId="77777777" w:rsidR="000D10AE" w:rsidRPr="00EE129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Pr>
          <w:rFonts w:hAnsi="宋体" w:cs="Arial" w:hint="eastAsia"/>
          <w:szCs w:val="21"/>
        </w:rPr>
        <w:t>，</w:t>
      </w:r>
      <w:r w:rsidRPr="00985C13">
        <w:rPr>
          <w:rFonts w:hint="eastAsia"/>
          <w:szCs w:val="21"/>
        </w:rPr>
        <w:t>因基金管理人发送的合同传真件与事后送达的合同原件不一致所造成的后果，</w:t>
      </w:r>
      <w:r>
        <w:rPr>
          <w:rFonts w:hint="eastAsia"/>
          <w:szCs w:val="21"/>
        </w:rPr>
        <w:t>基金托管人应免于承担责任</w:t>
      </w:r>
      <w:r w:rsidRPr="00EE1299">
        <w:rPr>
          <w:rFonts w:hAnsi="宋体" w:cs="Arial" w:hint="eastAsia"/>
          <w:szCs w:val="21"/>
        </w:rPr>
        <w:t>。重大合同的保管期限为基金合同终止后</w:t>
      </w:r>
      <w:r w:rsidRPr="00EE1299">
        <w:rPr>
          <w:rFonts w:cs="Arial" w:hint="eastAsia"/>
          <w:szCs w:val="21"/>
        </w:rPr>
        <w:t>15</w:t>
      </w:r>
      <w:r w:rsidRPr="00EE1299">
        <w:rPr>
          <w:rFonts w:hAnsi="宋体" w:cs="Arial" w:hint="eastAsia"/>
          <w:szCs w:val="21"/>
        </w:rPr>
        <w:t>年。</w:t>
      </w:r>
    </w:p>
    <w:p w14:paraId="04C3D44C" w14:textId="77777777" w:rsidR="000D10AE" w:rsidRPr="00EE1299" w:rsidRDefault="000D10AE" w:rsidP="000D10AE">
      <w:pPr>
        <w:spacing w:line="360" w:lineRule="auto"/>
        <w:ind w:firstLine="420"/>
        <w:rPr>
          <w:szCs w:val="21"/>
        </w:rPr>
      </w:pPr>
      <w:r>
        <w:rPr>
          <w:szCs w:val="21"/>
        </w:rPr>
        <w:lastRenderedPageBreak/>
        <w:br w:type="page"/>
      </w:r>
    </w:p>
    <w:p w14:paraId="67B4274C" w14:textId="77777777" w:rsidR="000D10AE" w:rsidRPr="00AB3329" w:rsidRDefault="000D10AE" w:rsidP="000D10AE">
      <w:pPr>
        <w:pStyle w:val="21"/>
        <w:numPr>
          <w:ilvl w:val="1"/>
          <w:numId w:val="28"/>
        </w:numPr>
        <w:rPr>
          <w:rFonts w:ascii="Times New Roman" w:hAnsi="Times New Roman"/>
          <w:color w:val="000000"/>
        </w:rPr>
      </w:pPr>
      <w:bookmarkStart w:id="58" w:name="_Toc84133787"/>
      <w:bookmarkStart w:id="59" w:name="_Toc84234389"/>
      <w:bookmarkStart w:id="60" w:name="_Toc84234436"/>
      <w:bookmarkStart w:id="61" w:name="_Toc86204790"/>
      <w:bookmarkStart w:id="62" w:name="_Toc86223244"/>
      <w:bookmarkStart w:id="63" w:name="_Toc86225293"/>
      <w:bookmarkStart w:id="64" w:name="_Toc86649724"/>
      <w:bookmarkStart w:id="65" w:name="_Toc86726441"/>
      <w:bookmarkStart w:id="66" w:name="_Toc86727357"/>
      <w:bookmarkStart w:id="67" w:name="_Toc86737931"/>
      <w:bookmarkStart w:id="68" w:name="_Toc89163370"/>
      <w:bookmarkStart w:id="69" w:name="_Toc108512360"/>
      <w:bookmarkStart w:id="70" w:name="_Toc110761798"/>
      <w:bookmarkStart w:id="71" w:name="_Toc110765662"/>
      <w:bookmarkStart w:id="72" w:name="_Toc110830494"/>
      <w:bookmarkStart w:id="73" w:name="_Toc118212952"/>
      <w:bookmarkStart w:id="74" w:name="_Toc118774805"/>
      <w:bookmarkStart w:id="75" w:name="_Toc118972650"/>
      <w:bookmarkStart w:id="76" w:name="_Toc119402712"/>
      <w:bookmarkStart w:id="77" w:name="_Toc120435785"/>
      <w:bookmarkStart w:id="78" w:name="_Toc215903442"/>
      <w:bookmarkStart w:id="79" w:name="_Toc247440587"/>
      <w:bookmarkStart w:id="80" w:name="_Toc250711188"/>
      <w:r w:rsidRPr="00AB3329">
        <w:rPr>
          <w:rFonts w:ascii="Times New Roman" w:hAnsi="Times New Roman" w:hint="eastAsia"/>
          <w:color w:val="000000"/>
        </w:rPr>
        <w:lastRenderedPageBreak/>
        <w:t>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5547796"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基金管理人在运用基金财产时向基金托管人发送资金划拨及其他款项付款指令，基金托管人执行基金管理人的指令、办理基金名下的资金往来等有关事项。</w:t>
      </w:r>
    </w:p>
    <w:p w14:paraId="147C7B54"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（一）基金管理人对发送指令人员的书面授权</w:t>
      </w:r>
    </w:p>
    <w:p w14:paraId="06940416"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基金管理人应指定专人向基金托管人发送指令。</w:t>
      </w:r>
    </w:p>
    <w:p w14:paraId="776D66CD"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2.</w:t>
      </w:r>
      <w:r w:rsidRPr="00EE1299">
        <w:rPr>
          <w:rFonts w:hAnsi="宋体" w:cs="Arial" w:hint="eastAsia"/>
          <w:szCs w:val="21"/>
        </w:rPr>
        <w:t>基金管理人应向基金托管人提供书面授权文件，</w:t>
      </w:r>
      <w:r w:rsidRPr="001354A9">
        <w:rPr>
          <w:rFonts w:hAnsi="宋体" w:cs="Arial" w:hint="eastAsia"/>
          <w:szCs w:val="21"/>
        </w:rPr>
        <w:t>书面授权文件须加盖基金管理人公章及其法定代表人或其代理人的签字，</w:t>
      </w:r>
      <w:r w:rsidRPr="00EE1299">
        <w:rPr>
          <w:rFonts w:hAnsi="宋体" w:cs="Arial" w:hint="eastAsia"/>
          <w:szCs w:val="21"/>
        </w:rPr>
        <w:t>内容包括被授权人名单、预留印鉴及被授权人签字样本，授权文件应注明被授权人相应的权限。</w:t>
      </w:r>
    </w:p>
    <w:p w14:paraId="3B0DCA1F"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3.</w:t>
      </w:r>
      <w:r w:rsidRPr="00EE1299">
        <w:rPr>
          <w:rFonts w:hint="eastAsia"/>
        </w:rPr>
        <w:t xml:space="preserve"> </w:t>
      </w:r>
      <w:r w:rsidRPr="00EE1299">
        <w:rPr>
          <w:rFonts w:hAnsi="宋体" w:cs="Arial" w:hint="eastAsia"/>
          <w:szCs w:val="21"/>
        </w:rPr>
        <w:t>基金托管人应在收到授权通知</w:t>
      </w:r>
      <w:r>
        <w:rPr>
          <w:rFonts w:hAnsi="宋体" w:cs="Arial" w:hint="eastAsia"/>
          <w:szCs w:val="21"/>
        </w:rPr>
        <w:t>原件</w:t>
      </w:r>
      <w:r w:rsidRPr="00EE1299">
        <w:rPr>
          <w:rFonts w:hAnsi="宋体" w:cs="Arial" w:hint="eastAsia"/>
          <w:szCs w:val="21"/>
        </w:rPr>
        <w:t>当日电话向基金管理人确认。授权通知在基金管理人收到托管人确认</w:t>
      </w:r>
      <w:r>
        <w:rPr>
          <w:rFonts w:hAnsi="宋体" w:cs="Arial" w:hint="eastAsia"/>
          <w:szCs w:val="21"/>
        </w:rPr>
        <w:t>时</w:t>
      </w:r>
      <w:r w:rsidRPr="00EE1299">
        <w:rPr>
          <w:rFonts w:hAnsi="宋体" w:cs="Arial" w:hint="eastAsia"/>
          <w:szCs w:val="21"/>
        </w:rPr>
        <w:t>生效。</w:t>
      </w:r>
    </w:p>
    <w:p w14:paraId="1B0FE6A6"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4.</w:t>
      </w:r>
      <w:r w:rsidRPr="00EE1299">
        <w:rPr>
          <w:rFonts w:hAnsi="宋体" w:cs="Arial" w:hint="eastAsia"/>
          <w:szCs w:val="21"/>
        </w:rPr>
        <w:t>基金管理人和基金托管人对授权文件负有保密义务，其内容不得向被授权人及相关操作人员以外的任何人泄漏。但法律法规规定或有权机关要求的除外。</w:t>
      </w:r>
    </w:p>
    <w:p w14:paraId="4C102A8C"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（二）指令的内容</w:t>
      </w:r>
    </w:p>
    <w:p w14:paraId="233D1833"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指令包括赎回、分红付款指令、回购到期付款指令、与投资有关的付款指令、实物债券出入库指令以及其他资金划拨指令等。</w:t>
      </w:r>
    </w:p>
    <w:p w14:paraId="79D6201C"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2.</w:t>
      </w:r>
      <w:r w:rsidRPr="00EE1299">
        <w:rPr>
          <w:rFonts w:hAnsi="宋体" w:cs="Arial" w:hint="eastAsia"/>
          <w:szCs w:val="21"/>
        </w:rPr>
        <w:t>基金管理人发给基金托管人的指令应写明款项事由、支付时间、金额、账户等，加盖预留印鉴并由被授权人签字。</w:t>
      </w:r>
    </w:p>
    <w:p w14:paraId="269ACC3B"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（三）指令的发送、确认及执行的时间和程序</w:t>
      </w:r>
    </w:p>
    <w:p w14:paraId="1B99C93B"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指令的发送</w:t>
      </w:r>
    </w:p>
    <w:p w14:paraId="75C98F15"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基金管理人发送指令应采用传真方式</w:t>
      </w:r>
      <w:r w:rsidRPr="00D33686">
        <w:rPr>
          <w:rFonts w:ascii="宋体" w:hAnsi="宋体"/>
        </w:rPr>
        <w:t>或其他基金管理人和基金托管人双方书面共同确认的</w:t>
      </w:r>
      <w:r w:rsidRPr="00D33686">
        <w:rPr>
          <w:rFonts w:ascii="宋体" w:hAnsi="宋体" w:hint="eastAsia"/>
        </w:rPr>
        <w:t>方式</w:t>
      </w:r>
      <w:r w:rsidRPr="00D33686">
        <w:rPr>
          <w:rFonts w:ascii="宋体" w:hAnsi="宋体"/>
        </w:rPr>
        <w:t>。</w:t>
      </w:r>
      <w:r w:rsidRPr="00EE1299">
        <w:rPr>
          <w:rFonts w:hAnsi="宋体" w:cs="Arial" w:hint="eastAsia"/>
          <w:szCs w:val="21"/>
        </w:rPr>
        <w:t>。</w:t>
      </w:r>
    </w:p>
    <w:p w14:paraId="508310BD"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基金管理人应按照法律法规和基金合同的规定，在其合法的经营权限和交易权限</w:t>
      </w:r>
      <w:r>
        <w:rPr>
          <w:rFonts w:hAnsi="宋体" w:cs="Arial" w:hint="eastAsia"/>
          <w:szCs w:val="21"/>
        </w:rPr>
        <w:t>和合理指令处理时间</w:t>
      </w:r>
      <w:r w:rsidRPr="00EE1299">
        <w:rPr>
          <w:rFonts w:hAnsi="宋体" w:cs="Arial" w:hint="eastAsia"/>
          <w:szCs w:val="21"/>
        </w:rPr>
        <w:t>内发送指令；被授权人应严格按照其授权权限发送指令，基金托管人在复核后应在规定期限内执行，不得延误。对于被授权人</w:t>
      </w:r>
      <w:r>
        <w:rPr>
          <w:rFonts w:hAnsi="宋体" w:cs="Arial" w:hint="eastAsia"/>
          <w:szCs w:val="21"/>
        </w:rPr>
        <w:t>按照其授权权限</w:t>
      </w:r>
      <w:r w:rsidRPr="00EE1299">
        <w:rPr>
          <w:rFonts w:hAnsi="宋体" w:cs="Arial" w:hint="eastAsia"/>
          <w:szCs w:val="21"/>
        </w:rPr>
        <w:t>发出的指令，基金管理人不得否认其效力。但如果基金管理人已经撤销或更改对交易指令发送人员的授权，并且基金托管人根据本协议确认后，则对于此后该交易指令发送人员无权发送的指令，或超权限发送的指令，</w:t>
      </w:r>
      <w:r>
        <w:rPr>
          <w:rFonts w:hAnsi="宋体" w:cs="Arial" w:hint="eastAsia"/>
          <w:szCs w:val="21"/>
        </w:rPr>
        <w:t>基金托管人应拒绝执行，否则</w:t>
      </w:r>
      <w:r w:rsidRPr="00EE1299">
        <w:rPr>
          <w:rFonts w:hAnsi="宋体" w:cs="Arial" w:hint="eastAsia"/>
          <w:szCs w:val="21"/>
        </w:rPr>
        <w:t>基金管理人不承担责任，授权已更改但未经基金托管人确认的情况除外。</w:t>
      </w:r>
    </w:p>
    <w:p w14:paraId="4F260318" w14:textId="77777777" w:rsidR="000D10AE" w:rsidRPr="00EE1299"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指令发出后，基金管理人应及时以电话方式向基金托管人确认。基金托管人在复核后应在规定期限内执行，不得延误。</w:t>
      </w:r>
    </w:p>
    <w:p w14:paraId="005180CC" w14:textId="77777777" w:rsidR="000D10AE" w:rsidRPr="00EE1299"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基金管理人应在交易结束后将银行间同业市场债券交易成交单加盖印章后及时传真给基金托管人，并电话确认。</w:t>
      </w:r>
    </w:p>
    <w:p w14:paraId="51C6B3C0" w14:textId="77777777" w:rsidR="000D10AE" w:rsidRDefault="000D10AE" w:rsidP="000D10AE">
      <w:pPr>
        <w:adjustRightInd w:val="0"/>
        <w:snapToGrid w:val="0"/>
        <w:spacing w:line="360" w:lineRule="auto"/>
        <w:ind w:firstLineChars="200" w:firstLine="420"/>
        <w:rPr>
          <w:rFonts w:hAnsi="宋体" w:cs="Arial"/>
          <w:szCs w:val="21"/>
        </w:rPr>
      </w:pPr>
      <w:r w:rsidRPr="00AB542D">
        <w:rPr>
          <w:rFonts w:hAnsi="宋体" w:cs="Arial" w:hint="eastAsia"/>
          <w:szCs w:val="21"/>
        </w:rPr>
        <w:t>基金托管人执行经电话确认的投资指令传真件后，如投资指令传真件与正本不一致的，基</w:t>
      </w:r>
      <w:r w:rsidRPr="00AB542D">
        <w:rPr>
          <w:rFonts w:hAnsi="宋体" w:cs="Arial" w:hint="eastAsia"/>
          <w:szCs w:val="21"/>
        </w:rPr>
        <w:lastRenderedPageBreak/>
        <w:t>金托管人就执行该投资指令传真件的行为应免于承担责任</w:t>
      </w:r>
      <w:r w:rsidRPr="00953975">
        <w:rPr>
          <w:rFonts w:hAnsi="宋体" w:cs="Arial" w:hint="eastAsia"/>
          <w:szCs w:val="21"/>
        </w:rPr>
        <w:t>。</w:t>
      </w:r>
    </w:p>
    <w:p w14:paraId="4EEABBF2" w14:textId="77777777" w:rsidR="000D10AE" w:rsidRPr="00AB542D" w:rsidRDefault="000D10AE" w:rsidP="000D10AE">
      <w:pPr>
        <w:adjustRightInd w:val="0"/>
        <w:snapToGrid w:val="0"/>
        <w:spacing w:line="360" w:lineRule="auto"/>
        <w:ind w:firstLineChars="200" w:firstLine="420"/>
        <w:rPr>
          <w:rFonts w:hAnsi="宋体" w:cs="Arial"/>
          <w:szCs w:val="21"/>
        </w:rPr>
      </w:pPr>
      <w:r w:rsidRPr="00AB542D">
        <w:rPr>
          <w:rFonts w:hAnsi="宋体" w:cs="Arial" w:hint="eastAsia"/>
          <w:szCs w:val="21"/>
        </w:rPr>
        <w:t>2.</w:t>
      </w:r>
      <w:r w:rsidRPr="00EE1299">
        <w:rPr>
          <w:rFonts w:hAnsi="宋体" w:cs="Arial" w:hint="eastAsia"/>
          <w:szCs w:val="21"/>
        </w:rPr>
        <w:t>指令的确认</w:t>
      </w:r>
    </w:p>
    <w:p w14:paraId="1E390A0F" w14:textId="77777777" w:rsidR="000D10AE" w:rsidRPr="00AB542D"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基金托管人应指定专人接收基金管理人的指令，预先通知基金管理人其名单，并与基金管理人商定指令发送和接收方式。指令到达基金托管人后，基金托管人应指定专人立即</w:t>
      </w:r>
      <w:r>
        <w:rPr>
          <w:rFonts w:hAnsi="宋体" w:cs="Arial" w:hint="eastAsia"/>
          <w:szCs w:val="21"/>
        </w:rPr>
        <w:t>对</w:t>
      </w:r>
      <w:r w:rsidRPr="00EE1299">
        <w:rPr>
          <w:rFonts w:hAnsi="宋体" w:cs="Arial" w:hint="eastAsia"/>
          <w:szCs w:val="21"/>
        </w:rPr>
        <w:t>有关内容及印鉴和签名</w:t>
      </w:r>
      <w:r>
        <w:rPr>
          <w:rFonts w:hAnsi="宋体" w:cs="Arial" w:hint="eastAsia"/>
          <w:szCs w:val="21"/>
        </w:rPr>
        <w:t>进行审慎的表面验证</w:t>
      </w:r>
      <w:r w:rsidRPr="00EE1299">
        <w:rPr>
          <w:rFonts w:hAnsi="宋体" w:cs="Arial" w:hint="eastAsia"/>
          <w:szCs w:val="21"/>
        </w:rPr>
        <w:t>，如有疑问必须及时通知基金管理人</w:t>
      </w:r>
      <w:r>
        <w:rPr>
          <w:rFonts w:hAnsi="宋体" w:cs="Arial" w:hint="eastAsia"/>
          <w:szCs w:val="21"/>
        </w:rPr>
        <w:t>，基金托管人在没有得到基金管理人的回复前可暂缓指令的执行，托管人不承担因此导致基金财产的损失</w:t>
      </w:r>
      <w:r w:rsidRPr="00EE1299">
        <w:rPr>
          <w:rFonts w:hAnsi="宋体" w:cs="Arial" w:hint="eastAsia"/>
          <w:szCs w:val="21"/>
        </w:rPr>
        <w:t>。</w:t>
      </w:r>
    </w:p>
    <w:p w14:paraId="0D439E72" w14:textId="77777777" w:rsidR="000D10AE" w:rsidRPr="00AB542D" w:rsidRDefault="000D10AE" w:rsidP="000D10AE">
      <w:pPr>
        <w:adjustRightInd w:val="0"/>
        <w:snapToGrid w:val="0"/>
        <w:spacing w:line="360" w:lineRule="auto"/>
        <w:ind w:firstLineChars="200" w:firstLine="420"/>
        <w:rPr>
          <w:rFonts w:hAnsi="宋体" w:cs="Arial"/>
          <w:szCs w:val="21"/>
        </w:rPr>
      </w:pPr>
      <w:r w:rsidRPr="00AB542D">
        <w:rPr>
          <w:rFonts w:hAnsi="宋体" w:cs="Arial" w:hint="eastAsia"/>
          <w:szCs w:val="21"/>
        </w:rPr>
        <w:t>3.</w:t>
      </w:r>
      <w:r w:rsidRPr="00EE1299">
        <w:rPr>
          <w:rFonts w:hAnsi="宋体" w:cs="Arial" w:hint="eastAsia"/>
          <w:szCs w:val="21"/>
        </w:rPr>
        <w:t>指令的时间和执行</w:t>
      </w:r>
    </w:p>
    <w:p w14:paraId="76222958" w14:textId="77777777" w:rsidR="000D10AE" w:rsidRPr="00AB542D"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基金托管人对指令</w:t>
      </w:r>
      <w:r>
        <w:rPr>
          <w:rFonts w:hAnsi="宋体" w:cs="Arial" w:hint="eastAsia"/>
          <w:szCs w:val="21"/>
        </w:rPr>
        <w:t>经表面</w:t>
      </w:r>
      <w:r w:rsidRPr="00EE1299">
        <w:rPr>
          <w:rFonts w:hAnsi="宋体" w:cs="Arial" w:hint="eastAsia"/>
          <w:szCs w:val="21"/>
        </w:rPr>
        <w:t>验证</w:t>
      </w:r>
      <w:r>
        <w:rPr>
          <w:rFonts w:hAnsi="宋体" w:cs="Arial" w:hint="eastAsia"/>
          <w:szCs w:val="21"/>
        </w:rPr>
        <w:t>一致</w:t>
      </w:r>
      <w:r w:rsidRPr="00EE1299">
        <w:rPr>
          <w:rFonts w:hAnsi="宋体" w:cs="Arial" w:hint="eastAsia"/>
          <w:szCs w:val="21"/>
        </w:rPr>
        <w:t>后，应及时办理。指令执行完毕后，基金托管人应及时通知基金管理人。</w:t>
      </w:r>
    </w:p>
    <w:p w14:paraId="1798FC13" w14:textId="77777777" w:rsidR="000D10AE" w:rsidRPr="00AB542D" w:rsidRDefault="000D10AE" w:rsidP="000D10AE">
      <w:pPr>
        <w:adjustRightInd w:val="0"/>
        <w:snapToGrid w:val="0"/>
        <w:spacing w:line="360" w:lineRule="auto"/>
        <w:ind w:firstLineChars="200" w:firstLine="420"/>
        <w:rPr>
          <w:rFonts w:hAnsi="宋体" w:cs="Arial"/>
          <w:szCs w:val="21"/>
        </w:rPr>
      </w:pPr>
      <w:r w:rsidRPr="00EE1299">
        <w:rPr>
          <w:rFonts w:hAnsi="宋体" w:cs="Arial"/>
          <w:szCs w:val="21"/>
        </w:rPr>
        <w:t>基金管理人向基金托管人下达指令时，应确保基金资金账户有足够的资金余额，对基金管理人在没有充足资金的情况下向基金托管人发出的投资指令、赎回、分红资金等的划拨指令，基金托管人可</w:t>
      </w:r>
      <w:r>
        <w:rPr>
          <w:rFonts w:hAnsi="宋体" w:cs="Arial"/>
          <w:szCs w:val="21"/>
        </w:rPr>
        <w:t>拒绝</w:t>
      </w:r>
      <w:r w:rsidRPr="00EE1299">
        <w:rPr>
          <w:rFonts w:hAnsi="宋体" w:cs="Arial"/>
          <w:szCs w:val="21"/>
        </w:rPr>
        <w:t>执行，并应立即通知基金管理人</w:t>
      </w:r>
      <w:r>
        <w:rPr>
          <w:rFonts w:hAnsi="宋体" w:cs="Arial"/>
          <w:szCs w:val="21"/>
        </w:rPr>
        <w:t>，由此对基金财产所引起的损失，托管人不承担赔偿责任。</w:t>
      </w:r>
    </w:p>
    <w:p w14:paraId="630B15FB" w14:textId="77777777" w:rsidR="000D10AE" w:rsidRPr="00AB542D" w:rsidRDefault="000D10AE" w:rsidP="000D10AE">
      <w:pPr>
        <w:adjustRightInd w:val="0"/>
        <w:snapToGrid w:val="0"/>
        <w:spacing w:line="360" w:lineRule="auto"/>
        <w:ind w:firstLineChars="200" w:firstLine="420"/>
        <w:rPr>
          <w:rFonts w:hAnsi="宋体" w:cs="Arial"/>
          <w:szCs w:val="21"/>
        </w:rPr>
      </w:pPr>
      <w:r w:rsidRPr="00AB542D">
        <w:rPr>
          <w:rFonts w:hAnsi="宋体" w:cs="Arial"/>
          <w:szCs w:val="21"/>
        </w:rPr>
        <w:t>（四）</w:t>
      </w:r>
      <w:r w:rsidRPr="00314F35">
        <w:rPr>
          <w:rFonts w:hAnsi="宋体" w:cs="Arial"/>
          <w:szCs w:val="21"/>
        </w:rPr>
        <w:t>基金管理人发送错误指令的情形和处理程序</w:t>
      </w:r>
    </w:p>
    <w:p w14:paraId="3B57170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基金管理人发送错误指令的情形包括指令违反法律法规和基金合同，指令发送人员无权或超越权限发送指令</w:t>
      </w:r>
      <w:r>
        <w:rPr>
          <w:rFonts w:hAnsi="宋体" w:cs="Arial" w:hint="eastAsia"/>
          <w:szCs w:val="21"/>
        </w:rPr>
        <w:t>，指令发送人员发送的指令不能辨识或要素不全导致无法执行等情形</w:t>
      </w:r>
      <w:r w:rsidRPr="00EE1299">
        <w:rPr>
          <w:rFonts w:hAnsi="宋体" w:cs="Arial" w:hint="eastAsia"/>
          <w:szCs w:val="21"/>
        </w:rPr>
        <w:t>。</w:t>
      </w:r>
    </w:p>
    <w:p w14:paraId="171C118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基金托管人在履行监督职能时，发现基金管理人的指令错误时，有权拒绝执行，并及时通知基金管理人改正。</w:t>
      </w:r>
    </w:p>
    <w:p w14:paraId="2AD9770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（五）基金托管人依照法律法规暂缓、拒绝执行指令的情形和处理程序</w:t>
      </w:r>
    </w:p>
    <w:p w14:paraId="73B75114"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若基金托管人发现基金管理人的指令违反法律法规，或者违反基金合同约定的，应当拒绝执行，立即通知基金管理人。</w:t>
      </w:r>
    </w:p>
    <w:p w14:paraId="5AAE65CC"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（六）基金托管人未按照基金管理人指令执行的处理方法</w:t>
      </w:r>
    </w:p>
    <w:p w14:paraId="6F8434EC" w14:textId="77777777" w:rsidR="000D10AE" w:rsidRPr="00EE1299"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对于</w:t>
      </w:r>
      <w:r>
        <w:rPr>
          <w:rFonts w:hAnsi="宋体" w:cs="Arial" w:hint="eastAsia"/>
          <w:szCs w:val="21"/>
        </w:rPr>
        <w:t>基金</w:t>
      </w:r>
      <w:r w:rsidRPr="00EE1299">
        <w:rPr>
          <w:rFonts w:hAnsi="宋体" w:cs="Arial" w:hint="eastAsia"/>
          <w:szCs w:val="21"/>
        </w:rPr>
        <w:t>管理人的</w:t>
      </w:r>
      <w:r>
        <w:rPr>
          <w:rFonts w:hAnsi="宋体" w:cs="Arial" w:hint="eastAsia"/>
          <w:szCs w:val="21"/>
        </w:rPr>
        <w:t>有效</w:t>
      </w:r>
      <w:r w:rsidRPr="00EE1299">
        <w:rPr>
          <w:rFonts w:hAnsi="宋体" w:cs="Arial" w:hint="eastAsia"/>
          <w:szCs w:val="21"/>
        </w:rPr>
        <w:t>指令和通知，除非违反法律法规、基金合同</w:t>
      </w:r>
      <w:r>
        <w:rPr>
          <w:rFonts w:hAnsi="宋体" w:cs="Arial" w:hint="eastAsia"/>
          <w:szCs w:val="21"/>
        </w:rPr>
        <w:t>、托管协议</w:t>
      </w:r>
      <w:r w:rsidRPr="00EE1299">
        <w:rPr>
          <w:rFonts w:hAnsi="宋体" w:cs="Arial" w:hint="eastAsia"/>
          <w:szCs w:val="21"/>
        </w:rPr>
        <w:t>，基金托管人不得无故拒绝或拖延执行。基金托管人未按照基金管理人符合法律法规、基金合同及本协议规定的</w:t>
      </w:r>
      <w:r>
        <w:rPr>
          <w:rFonts w:hAnsi="宋体" w:cs="Arial" w:hint="eastAsia"/>
          <w:szCs w:val="21"/>
        </w:rPr>
        <w:t>有效</w:t>
      </w:r>
      <w:r w:rsidRPr="00EE1299">
        <w:rPr>
          <w:rFonts w:hAnsi="宋体" w:cs="Arial" w:hint="eastAsia"/>
          <w:szCs w:val="21"/>
        </w:rPr>
        <w:t>指令执行或拖延执行基金管理人的前述</w:t>
      </w:r>
      <w:r>
        <w:rPr>
          <w:rFonts w:hAnsi="宋体" w:cs="Arial" w:hint="eastAsia"/>
          <w:szCs w:val="21"/>
        </w:rPr>
        <w:t>有效</w:t>
      </w:r>
      <w:r w:rsidRPr="00EE1299">
        <w:rPr>
          <w:rFonts w:hAnsi="宋体" w:cs="Arial" w:hint="eastAsia"/>
          <w:szCs w:val="21"/>
        </w:rPr>
        <w:t>指令，致使基金的利益受到损害的，基金托管人应负赔偿责任。</w:t>
      </w:r>
    </w:p>
    <w:p w14:paraId="3DEF3E91"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除因故意或过失致使基金的利益受到损害而负赔偿责任外，基金托管人对执行基金管理人的</w:t>
      </w:r>
      <w:r>
        <w:rPr>
          <w:rFonts w:hAnsi="宋体" w:cs="Arial" w:hint="eastAsia"/>
          <w:szCs w:val="21"/>
        </w:rPr>
        <w:t>有效</w:t>
      </w:r>
      <w:r w:rsidRPr="00EE1299">
        <w:rPr>
          <w:rFonts w:hAnsi="宋体" w:cs="Arial" w:hint="eastAsia"/>
          <w:szCs w:val="21"/>
        </w:rPr>
        <w:t>指令对基金财产造成的损失不承担赔偿责任。</w:t>
      </w:r>
    </w:p>
    <w:p w14:paraId="1E400BD5"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（七）更换被授权人员的程序</w:t>
      </w:r>
    </w:p>
    <w:p w14:paraId="1A12A4FA" w14:textId="77777777" w:rsidR="000D10AE" w:rsidRPr="00055BD9"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基金管理人撤换被授权人员或改变被授权人员的权限，必须提前至少一个交易日，使用传真向基金托管人发出加盖公章并由法定代表人或其授权代表签字</w:t>
      </w:r>
      <w:r>
        <w:rPr>
          <w:rFonts w:hAnsi="宋体" w:cs="Arial" w:hint="eastAsia"/>
          <w:szCs w:val="21"/>
        </w:rPr>
        <w:t>或</w:t>
      </w:r>
      <w:r w:rsidRPr="00EE1299">
        <w:rPr>
          <w:rFonts w:hAnsi="宋体" w:cs="Arial" w:hint="eastAsia"/>
          <w:szCs w:val="21"/>
        </w:rPr>
        <w:t>盖章的被授权人变更通知，同时电话通知基金托管人，基金托管人收到变更通知当日电话向基金管理人确认。被授权人变更通知，自基金管理人</w:t>
      </w:r>
      <w:r>
        <w:rPr>
          <w:rFonts w:hAnsi="宋体" w:cs="Arial" w:hint="eastAsia"/>
          <w:szCs w:val="21"/>
        </w:rPr>
        <w:t>得</w:t>
      </w:r>
      <w:r w:rsidRPr="00EE1299">
        <w:rPr>
          <w:rFonts w:hAnsi="宋体" w:cs="Arial" w:hint="eastAsia"/>
          <w:szCs w:val="21"/>
        </w:rPr>
        <w:t>到基金托管人</w:t>
      </w:r>
      <w:r>
        <w:rPr>
          <w:rFonts w:hAnsi="宋体" w:cs="Arial" w:hint="eastAsia"/>
          <w:szCs w:val="21"/>
        </w:rPr>
        <w:t>电话</w:t>
      </w:r>
      <w:r w:rsidRPr="00EE1299">
        <w:rPr>
          <w:rFonts w:hAnsi="宋体" w:cs="Arial" w:hint="eastAsia"/>
          <w:szCs w:val="21"/>
        </w:rPr>
        <w:t>确认</w:t>
      </w:r>
      <w:r>
        <w:rPr>
          <w:rFonts w:hAnsi="宋体" w:cs="Arial" w:hint="eastAsia"/>
          <w:szCs w:val="21"/>
        </w:rPr>
        <w:t>时</w:t>
      </w:r>
      <w:r w:rsidRPr="00EE1299">
        <w:rPr>
          <w:rFonts w:hAnsi="宋体" w:cs="Arial" w:hint="eastAsia"/>
          <w:szCs w:val="21"/>
        </w:rPr>
        <w:t>开始生效。基金管理人在此后三个工作日内将被授权人变更通知的正本送交基金托管人。逾期未交付授权变更通知正本</w:t>
      </w:r>
      <w:r>
        <w:rPr>
          <w:rFonts w:hAnsi="宋体" w:cs="Arial" w:hint="eastAsia"/>
          <w:szCs w:val="21"/>
        </w:rPr>
        <w:t>或收到的正</w:t>
      </w:r>
      <w:r>
        <w:rPr>
          <w:rFonts w:hAnsi="宋体" w:cs="Arial" w:hint="eastAsia"/>
          <w:szCs w:val="21"/>
        </w:rPr>
        <w:lastRenderedPageBreak/>
        <w:t>本与传真件不一致</w:t>
      </w:r>
      <w:r w:rsidRPr="00EE1299">
        <w:rPr>
          <w:rFonts w:hAnsi="宋体" w:cs="Arial" w:hint="eastAsia"/>
          <w:szCs w:val="21"/>
        </w:rPr>
        <w:t>的，以基金托管人收到的传真件为准。</w:t>
      </w:r>
    </w:p>
    <w:p w14:paraId="584FBFF1"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基金托管人更换接受基金管理人指令的人员，应提前书面通知基金管理人。</w:t>
      </w:r>
    </w:p>
    <w:p w14:paraId="06837871"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（八）其他事项</w:t>
      </w:r>
    </w:p>
    <w:p w14:paraId="7CB02C23"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基金托管人在接收指令时，应对指令的要素是否齐全、印鉴与被授权人是否与预留的授权文件内容相符进行检查，如发现问题，应及时报告基金管理人</w:t>
      </w:r>
      <w:r>
        <w:rPr>
          <w:rFonts w:hAnsi="宋体" w:cs="Arial" w:hint="eastAsia"/>
          <w:szCs w:val="21"/>
        </w:rPr>
        <w:t>，并暂停指令的执行</w:t>
      </w:r>
      <w:r w:rsidRPr="00EE1299">
        <w:rPr>
          <w:rFonts w:hAnsi="宋体" w:cs="Arial" w:hint="eastAsia"/>
          <w:szCs w:val="21"/>
        </w:rPr>
        <w:t>，基金托管人对</w:t>
      </w:r>
      <w:r>
        <w:rPr>
          <w:rFonts w:hAnsi="宋体" w:cs="Arial" w:hint="eastAsia"/>
          <w:szCs w:val="21"/>
        </w:rPr>
        <w:t>因此暂停</w:t>
      </w:r>
      <w:r w:rsidRPr="00EE1299">
        <w:rPr>
          <w:rFonts w:hAnsi="宋体" w:cs="Arial" w:hint="eastAsia"/>
          <w:szCs w:val="21"/>
        </w:rPr>
        <w:t>执行指令对基金财产造成的损失不承担赔偿责任。</w:t>
      </w:r>
    </w:p>
    <w:p w14:paraId="0D9A378C" w14:textId="77777777" w:rsidR="000D10AE" w:rsidRPr="00EE1299" w:rsidRDefault="000D10AE" w:rsidP="000D10AE">
      <w:pPr>
        <w:adjustRightInd w:val="0"/>
        <w:snapToGrid w:val="0"/>
        <w:spacing w:line="360" w:lineRule="auto"/>
        <w:rPr>
          <w:rFonts w:cs="Arial"/>
          <w:szCs w:val="21"/>
        </w:rPr>
      </w:pPr>
      <w:r>
        <w:rPr>
          <w:rFonts w:cs="Arial"/>
          <w:szCs w:val="21"/>
        </w:rPr>
        <w:br w:type="page"/>
      </w:r>
    </w:p>
    <w:p w14:paraId="7051C103" w14:textId="77777777" w:rsidR="000D10AE" w:rsidRPr="00AB3329" w:rsidRDefault="000D10AE" w:rsidP="000D10AE">
      <w:pPr>
        <w:pStyle w:val="21"/>
        <w:numPr>
          <w:ilvl w:val="1"/>
          <w:numId w:val="28"/>
        </w:numPr>
        <w:rPr>
          <w:rFonts w:ascii="Times New Roman" w:hAnsi="Times New Roman"/>
          <w:color w:val="000000"/>
        </w:rPr>
      </w:pPr>
      <w:bookmarkStart w:id="81" w:name="_Toc84133788"/>
      <w:bookmarkStart w:id="82" w:name="_Toc84234390"/>
      <w:bookmarkStart w:id="83" w:name="_Toc84234437"/>
      <w:bookmarkStart w:id="84" w:name="_Toc86204791"/>
      <w:bookmarkStart w:id="85" w:name="_Toc86223245"/>
      <w:bookmarkStart w:id="86" w:name="_Toc86225294"/>
      <w:bookmarkStart w:id="87" w:name="_Toc86649725"/>
      <w:bookmarkStart w:id="88" w:name="_Toc86726442"/>
      <w:bookmarkStart w:id="89" w:name="_Toc86727358"/>
      <w:bookmarkStart w:id="90" w:name="_Toc86737932"/>
      <w:bookmarkStart w:id="91" w:name="_Toc89163371"/>
      <w:bookmarkStart w:id="92" w:name="_Toc108512361"/>
      <w:bookmarkStart w:id="93" w:name="_Toc110761799"/>
      <w:bookmarkStart w:id="94" w:name="_Toc110765663"/>
      <w:bookmarkStart w:id="95" w:name="_Toc110830495"/>
      <w:bookmarkStart w:id="96" w:name="_Toc118212953"/>
      <w:bookmarkStart w:id="97" w:name="_Toc118774806"/>
      <w:bookmarkStart w:id="98" w:name="_Toc118972651"/>
      <w:bookmarkStart w:id="99" w:name="_Toc119402713"/>
      <w:bookmarkStart w:id="100" w:name="_Toc120435786"/>
      <w:bookmarkStart w:id="101" w:name="_Toc215903443"/>
      <w:bookmarkStart w:id="102" w:name="_Toc247440588"/>
      <w:bookmarkStart w:id="103" w:name="_Toc250711189"/>
      <w:r w:rsidRPr="00AB3329">
        <w:rPr>
          <w:rFonts w:ascii="Times New Roman" w:hAnsi="Times New Roman" w:hint="eastAsia"/>
          <w:color w:val="000000"/>
        </w:rPr>
        <w:lastRenderedPageBreak/>
        <w:t>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B66710D"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（一）选择代理证券买卖的证券经营机构</w:t>
      </w:r>
    </w:p>
    <w:p w14:paraId="740BB4FE" w14:textId="6E7C328D"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管理人应设计选择代理证券买卖的证券经营机构的标准和程序。基金管理人负责选择代理本基金证券买卖的证券经营机构，使用其交易单元作为基金的交易单元。基金管理人和被选中的证券经营机构签订委托协议，基金管理人应提前通知基金托管人，并将被选中证券经营机构提供的《基金用户交易单位变更申请书》及时送达基金托管人，确保基金托管人申请接收结算数据。交易单元保证金由被选中的证券经营机构交付。基金管理人应根据有关规定，在基金的</w:t>
      </w:r>
      <w:r w:rsidR="000368B3">
        <w:rPr>
          <w:rFonts w:hAnsi="宋体" w:cs="Arial" w:hint="eastAsia"/>
          <w:szCs w:val="21"/>
        </w:rPr>
        <w:t>中期报告</w:t>
      </w:r>
      <w:r w:rsidRPr="00EE1299">
        <w:rPr>
          <w:rFonts w:hAnsi="宋体" w:cs="Arial" w:hint="eastAsia"/>
          <w:szCs w:val="21"/>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002B7A19"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（二）基金投资证券后的清算交收安排</w:t>
      </w:r>
    </w:p>
    <w:p w14:paraId="1EF7D472"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清算与交割</w:t>
      </w:r>
    </w:p>
    <w:p w14:paraId="249DD835" w14:textId="77777777" w:rsidR="000D10AE"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基金托管人负责基金买卖证券的清算交收。场内资金结算由基金托管人根据中国证券登记结算有限责任公司结算数据办理；场外资金汇划由基金托管人根据基金管理人的交易划款指令</w:t>
      </w:r>
      <w:r>
        <w:rPr>
          <w:rFonts w:hAnsi="宋体" w:cs="Arial" w:hint="eastAsia"/>
          <w:szCs w:val="21"/>
        </w:rPr>
        <w:t>及相关结算规则</w:t>
      </w:r>
      <w:r w:rsidRPr="00EE1299">
        <w:rPr>
          <w:rFonts w:hAnsi="宋体" w:cs="Arial" w:hint="eastAsia"/>
          <w:szCs w:val="21"/>
        </w:rPr>
        <w:t>具体办理。</w:t>
      </w:r>
    </w:p>
    <w:p w14:paraId="567C335B" w14:textId="77777777" w:rsidR="000D10AE" w:rsidRPr="007328E1" w:rsidRDefault="000D10AE" w:rsidP="000D10AE">
      <w:pPr>
        <w:adjustRightInd w:val="0"/>
        <w:snapToGrid w:val="0"/>
        <w:spacing w:line="360" w:lineRule="auto"/>
        <w:ind w:firstLine="480"/>
        <w:rPr>
          <w:rFonts w:hAnsi="宋体" w:cs="Arial"/>
          <w:szCs w:val="21"/>
        </w:rPr>
      </w:pPr>
      <w:r w:rsidRPr="007328E1">
        <w:rPr>
          <w:rFonts w:hAnsi="宋体" w:cs="Arial" w:hint="eastAsia"/>
          <w:szCs w:val="21"/>
        </w:rPr>
        <w:t>如果因为基金托管人</w:t>
      </w:r>
      <w:r>
        <w:rPr>
          <w:rFonts w:hAnsi="宋体" w:cs="Arial" w:hint="eastAsia"/>
          <w:szCs w:val="21"/>
        </w:rPr>
        <w:t>的过错</w:t>
      </w:r>
      <w:r w:rsidRPr="007328E1">
        <w:rPr>
          <w:rFonts w:hAnsi="宋体" w:cs="Arial" w:hint="eastAsia"/>
          <w:szCs w:val="21"/>
        </w:rPr>
        <w:t>在清算上造成基金财产的损失，应由基金托管人负责赔偿基金的</w:t>
      </w:r>
      <w:r>
        <w:rPr>
          <w:rFonts w:hAnsi="宋体" w:cs="Arial" w:hint="eastAsia"/>
          <w:szCs w:val="21"/>
        </w:rPr>
        <w:t>直接</w:t>
      </w:r>
      <w:r w:rsidRPr="007328E1">
        <w:rPr>
          <w:rFonts w:hAnsi="宋体" w:cs="Arial" w:hint="eastAsia"/>
          <w:szCs w:val="21"/>
        </w:rPr>
        <w:t>损失；如果因为基金管理人未事先通知基金托管人增加交易单元等事宜，致使基金托管人接收数据不完整，造成清算差错的</w:t>
      </w:r>
      <w:r>
        <w:rPr>
          <w:rFonts w:hAnsi="宋体" w:cs="Arial" w:hint="eastAsia"/>
          <w:szCs w:val="21"/>
        </w:rPr>
        <w:t>损失</w:t>
      </w:r>
      <w:r w:rsidRPr="007328E1">
        <w:rPr>
          <w:rFonts w:hAnsi="宋体" w:cs="Arial" w:hint="eastAsia"/>
          <w:szCs w:val="21"/>
        </w:rPr>
        <w:t>责任由基金管理人承担；如果因为基金管理人未事先通知需要单独结算的交易，造成基金资产损失的</w:t>
      </w:r>
      <w:r>
        <w:rPr>
          <w:rFonts w:hAnsi="宋体" w:cs="Arial" w:hint="eastAsia"/>
          <w:szCs w:val="21"/>
        </w:rPr>
        <w:t>责任</w:t>
      </w:r>
      <w:r w:rsidRPr="007328E1">
        <w:rPr>
          <w:rFonts w:hAnsi="宋体" w:cs="Arial" w:hint="eastAsia"/>
          <w:szCs w:val="21"/>
        </w:rPr>
        <w:t>由基金管理人承担；如果由于基金管理人违反市场操作规则的规定进行超买、超卖等原因造成基金投资清算困难和风险的，基金托管人发现后应立即通知基金管理人，由基金管理人负责解决，由此给</w:t>
      </w:r>
      <w:r>
        <w:rPr>
          <w:rFonts w:hAnsi="宋体" w:cs="Arial" w:hint="eastAsia"/>
          <w:szCs w:val="21"/>
        </w:rPr>
        <w:t>本</w:t>
      </w:r>
      <w:r w:rsidRPr="007328E1">
        <w:rPr>
          <w:rFonts w:hAnsi="宋体" w:cs="Arial" w:hint="eastAsia"/>
          <w:szCs w:val="21"/>
        </w:rPr>
        <w:t>基金</w:t>
      </w:r>
      <w:r>
        <w:rPr>
          <w:rFonts w:hAnsi="宋体" w:cs="Arial" w:hint="eastAsia"/>
          <w:szCs w:val="21"/>
        </w:rPr>
        <w:t>和其他产品</w:t>
      </w:r>
      <w:r w:rsidRPr="007328E1">
        <w:rPr>
          <w:rFonts w:hAnsi="宋体" w:cs="Arial" w:hint="eastAsia"/>
          <w:szCs w:val="21"/>
        </w:rPr>
        <w:t>造成的损失由基金管理人承担。</w:t>
      </w:r>
    </w:p>
    <w:p w14:paraId="75CB1C8C"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基金管理人应采取合理措施，确保</w:t>
      </w:r>
      <w:r>
        <w:rPr>
          <w:rFonts w:cs="Arial" w:hint="eastAsia"/>
          <w:szCs w:val="21"/>
        </w:rPr>
        <w:t>在</w:t>
      </w:r>
      <w:r>
        <w:rPr>
          <w:rFonts w:cs="Arial" w:hint="eastAsia"/>
          <w:szCs w:val="21"/>
        </w:rPr>
        <w:t>T+1</w:t>
      </w:r>
      <w:r>
        <w:rPr>
          <w:rFonts w:cs="Arial" w:hint="eastAsia"/>
          <w:szCs w:val="21"/>
        </w:rPr>
        <w:t>日上午</w:t>
      </w:r>
      <w:r>
        <w:rPr>
          <w:rFonts w:cs="Arial" w:hint="eastAsia"/>
          <w:szCs w:val="21"/>
        </w:rPr>
        <w:t>10</w:t>
      </w:r>
      <w:r>
        <w:rPr>
          <w:rFonts w:cs="Arial" w:hint="eastAsia"/>
          <w:szCs w:val="21"/>
        </w:rPr>
        <w:t>点之前</w:t>
      </w:r>
      <w:r w:rsidRPr="00EE1299">
        <w:rPr>
          <w:rFonts w:cs="Arial" w:hint="eastAsia"/>
          <w:szCs w:val="21"/>
        </w:rPr>
        <w:t>有足够的资金头寸用于中国证券登记结算公司上海分公司和深圳分公司的资金结算。</w:t>
      </w:r>
    </w:p>
    <w:p w14:paraId="0C1315AF"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基金管理人应保证基金托管人在执行基金管理人发送的划款指令时，基金银行账户或资金交收账户</w:t>
      </w:r>
      <w:r w:rsidRPr="00EE1299">
        <w:rPr>
          <w:rFonts w:cs="Arial" w:hint="eastAsia"/>
          <w:szCs w:val="21"/>
        </w:rPr>
        <w:t>(</w:t>
      </w:r>
      <w:r w:rsidRPr="00EE1299">
        <w:rPr>
          <w:rFonts w:hAnsi="宋体" w:cs="Arial" w:hint="eastAsia"/>
          <w:szCs w:val="21"/>
        </w:rPr>
        <w:t>除登记公司收保或冻结资金外</w:t>
      </w:r>
      <w:r w:rsidRPr="00EE1299">
        <w:rPr>
          <w:rFonts w:cs="Arial" w:hint="eastAsia"/>
          <w:szCs w:val="21"/>
        </w:rPr>
        <w:t>)</w:t>
      </w:r>
      <w:r w:rsidRPr="00EE1299">
        <w:rPr>
          <w:rFonts w:hAnsi="宋体" w:cs="Arial" w:hint="eastAsia"/>
          <w:szCs w:val="21"/>
        </w:rPr>
        <w:t>上有充足的资金。基金的资金头寸不足时，基金托管人有权拒绝基金管理人发送的划款指令。基金管理人在发送划款指令时应充分考虑基金托管人的划款处理时间。在基金资金头寸充足的情况下，基金托管人对基金管理人符合法律法规、基金合同、本协议的指令不得拖延或拒绝执行。</w:t>
      </w:r>
    </w:p>
    <w:p w14:paraId="53338090"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 xml:space="preserve">2. </w:t>
      </w:r>
      <w:r w:rsidRPr="00EE1299">
        <w:rPr>
          <w:rFonts w:hAnsi="宋体" w:cs="Arial" w:hint="eastAsia"/>
          <w:szCs w:val="21"/>
        </w:rPr>
        <w:t>交易记录、资金和证券账目核对的时间和方式</w:t>
      </w:r>
    </w:p>
    <w:p w14:paraId="79D7F1AC"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w:t>
      </w:r>
      <w:r w:rsidRPr="00EE1299">
        <w:rPr>
          <w:rFonts w:cs="Arial" w:hint="eastAsia"/>
          <w:szCs w:val="21"/>
        </w:rPr>
        <w:t>1</w:t>
      </w:r>
      <w:r w:rsidRPr="00EE1299">
        <w:rPr>
          <w:rFonts w:hAnsi="宋体" w:cs="Arial" w:hint="eastAsia"/>
          <w:szCs w:val="21"/>
        </w:rPr>
        <w:t>）交易记录的核对</w:t>
      </w:r>
    </w:p>
    <w:p w14:paraId="6C5F39C2" w14:textId="77777777" w:rsidR="000D10AE" w:rsidRDefault="000D10AE" w:rsidP="000D10AE">
      <w:pPr>
        <w:adjustRightInd w:val="0"/>
        <w:snapToGrid w:val="0"/>
        <w:spacing w:line="360" w:lineRule="auto"/>
        <w:ind w:firstLineChars="200" w:firstLine="420"/>
        <w:rPr>
          <w:rFonts w:hAnsi="宋体"/>
          <w:kern w:val="0"/>
          <w:szCs w:val="21"/>
        </w:rPr>
      </w:pPr>
      <w:r w:rsidRPr="00EE1299">
        <w:rPr>
          <w:rFonts w:hAnsi="宋体" w:hint="eastAsia"/>
          <w:kern w:val="0"/>
          <w:szCs w:val="21"/>
        </w:rPr>
        <w:t>基金管理人每日与托管人进行交易记录的核对。</w:t>
      </w:r>
    </w:p>
    <w:p w14:paraId="1C37C56F" w14:textId="77777777" w:rsidR="000D10AE" w:rsidRPr="00EE1299" w:rsidRDefault="000D10AE" w:rsidP="000D10AE">
      <w:pPr>
        <w:adjustRightInd w:val="0"/>
        <w:snapToGrid w:val="0"/>
        <w:spacing w:line="360" w:lineRule="auto"/>
        <w:ind w:firstLineChars="200" w:firstLine="420"/>
        <w:rPr>
          <w:rFonts w:cs="Arial"/>
          <w:szCs w:val="21"/>
        </w:rPr>
      </w:pPr>
      <w:r w:rsidRPr="002071A9">
        <w:rPr>
          <w:rFonts w:cs="Arial" w:hint="eastAsia"/>
          <w:szCs w:val="21"/>
        </w:rPr>
        <w:t>基金管理人</w:t>
      </w:r>
      <w:r>
        <w:rPr>
          <w:rFonts w:cs="Arial" w:hint="eastAsia"/>
          <w:szCs w:val="21"/>
        </w:rPr>
        <w:t>以双方约定时间和方式</w:t>
      </w:r>
      <w:r w:rsidRPr="002071A9">
        <w:rPr>
          <w:rFonts w:cs="Arial" w:hint="eastAsia"/>
          <w:szCs w:val="21"/>
        </w:rPr>
        <w:t>，与基金托管人进行核对。</w:t>
      </w:r>
    </w:p>
    <w:p w14:paraId="229DF3D7"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lastRenderedPageBreak/>
        <w:t>（</w:t>
      </w:r>
      <w:r w:rsidRPr="00EE1299">
        <w:rPr>
          <w:rFonts w:cs="Arial" w:hint="eastAsia"/>
          <w:szCs w:val="21"/>
        </w:rPr>
        <w:t>2</w:t>
      </w:r>
      <w:r w:rsidRPr="00EE1299">
        <w:rPr>
          <w:rFonts w:hAnsi="宋体" w:cs="Arial" w:hint="eastAsia"/>
          <w:szCs w:val="21"/>
        </w:rPr>
        <w:t>）资金账目的核对</w:t>
      </w:r>
    </w:p>
    <w:p w14:paraId="20A041A5"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资金账目按日核实。</w:t>
      </w:r>
    </w:p>
    <w:p w14:paraId="3F0315CE"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w:t>
      </w:r>
      <w:r w:rsidRPr="00EE1299">
        <w:rPr>
          <w:rFonts w:cs="Arial" w:hint="eastAsia"/>
          <w:szCs w:val="21"/>
        </w:rPr>
        <w:t>3</w:t>
      </w:r>
      <w:r w:rsidRPr="00EE1299">
        <w:rPr>
          <w:rFonts w:hAnsi="宋体" w:cs="Arial" w:hint="eastAsia"/>
          <w:szCs w:val="21"/>
        </w:rPr>
        <w:t>）证券账目的核对</w:t>
      </w:r>
    </w:p>
    <w:p w14:paraId="746868E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基金管理人和基金托管人每交易日结束后核对基金证券账目，确保双方账目相符。基金管理人和基金托管人每月月末核对实物证券账目。</w:t>
      </w:r>
    </w:p>
    <w:p w14:paraId="648C9944" w14:textId="77777777" w:rsidR="000D10AE" w:rsidRPr="00EE1299" w:rsidRDefault="000D10AE" w:rsidP="000D10AE">
      <w:pPr>
        <w:adjustRightInd w:val="0"/>
        <w:snapToGrid w:val="0"/>
        <w:spacing w:line="360" w:lineRule="auto"/>
        <w:ind w:firstLine="482"/>
        <w:rPr>
          <w:rFonts w:cs="Arial"/>
          <w:szCs w:val="21"/>
        </w:rPr>
      </w:pPr>
      <w:r w:rsidRPr="00EE1299">
        <w:rPr>
          <w:rFonts w:hAnsi="宋体" w:cs="Arial" w:hint="eastAsia"/>
          <w:szCs w:val="21"/>
        </w:rPr>
        <w:t>（三）基金申购和赎回业务处理的基本规定</w:t>
      </w:r>
    </w:p>
    <w:p w14:paraId="00E0A697"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1.</w:t>
      </w:r>
      <w:r w:rsidRPr="00EE1299">
        <w:rPr>
          <w:rFonts w:hAnsi="宋体" w:cs="Arial" w:hint="eastAsia"/>
          <w:szCs w:val="21"/>
        </w:rPr>
        <w:t>基金份额申购、赎回的确认、清算由基金管理人或其委托的注册登记机构负责。</w:t>
      </w:r>
    </w:p>
    <w:p w14:paraId="45639D03"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2.</w:t>
      </w:r>
      <w:r w:rsidRPr="00EE1299">
        <w:rPr>
          <w:rFonts w:hAnsi="宋体" w:cs="Arial" w:hint="eastAsia"/>
          <w:szCs w:val="21"/>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98B51BD"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3.</w:t>
      </w:r>
      <w:r w:rsidRPr="00EE1299">
        <w:rPr>
          <w:rFonts w:hAnsi="宋体" w:cs="Arial" w:hint="eastAsia"/>
          <w:szCs w:val="21"/>
        </w:rPr>
        <w:t>基金管理人应保证本基金（或本基金管理人委托）的注册登记机构每个工作日</w:t>
      </w:r>
      <w:r w:rsidRPr="00EE1299">
        <w:rPr>
          <w:rFonts w:cs="Arial" w:hint="eastAsia"/>
          <w:szCs w:val="21"/>
        </w:rPr>
        <w:t>1</w:t>
      </w:r>
      <w:r>
        <w:rPr>
          <w:rFonts w:cs="Arial" w:hint="eastAsia"/>
          <w:szCs w:val="21"/>
        </w:rPr>
        <w:t>5</w:t>
      </w:r>
      <w:r w:rsidRPr="00EE1299">
        <w:rPr>
          <w:rFonts w:cs="Arial" w:hint="eastAsia"/>
          <w:szCs w:val="21"/>
        </w:rPr>
        <w:t>:00</w:t>
      </w:r>
      <w:r w:rsidRPr="00EE1299">
        <w:rPr>
          <w:rFonts w:hAnsi="宋体" w:cs="Arial" w:hint="eastAsia"/>
          <w:szCs w:val="21"/>
        </w:rPr>
        <w:t>前向基金托管人发送前一开放日上述有关数据，并保证相关数据的准确、完整。</w:t>
      </w:r>
    </w:p>
    <w:p w14:paraId="10CB6FD8"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4.</w:t>
      </w:r>
      <w:r w:rsidRPr="00EE1299">
        <w:rPr>
          <w:rFonts w:hAnsi="宋体" w:cs="Arial" w:hint="eastAsia"/>
          <w:szCs w:val="21"/>
        </w:rPr>
        <w:t>注册登记机构应通过与基金</w:t>
      </w:r>
      <w:r>
        <w:rPr>
          <w:rFonts w:hAnsi="宋体" w:cs="Arial" w:hint="eastAsia"/>
          <w:szCs w:val="21"/>
        </w:rPr>
        <w:t>管理</w:t>
      </w:r>
      <w:r w:rsidRPr="00EE1299">
        <w:rPr>
          <w:rFonts w:hAnsi="宋体" w:cs="Arial" w:hint="eastAsia"/>
          <w:szCs w:val="21"/>
        </w:rPr>
        <w:t>人建立的系统发送有关数据，</w:t>
      </w:r>
      <w:r>
        <w:rPr>
          <w:rFonts w:hAnsi="宋体" w:cs="Arial" w:hint="eastAsia"/>
          <w:szCs w:val="21"/>
        </w:rPr>
        <w:t>由基金管理人向基金托管人发送有关数据，</w:t>
      </w:r>
      <w:r w:rsidRPr="00EE1299">
        <w:rPr>
          <w:rFonts w:hAnsi="宋体" w:cs="Arial" w:hint="eastAsia"/>
          <w:szCs w:val="21"/>
        </w:rPr>
        <w:t>如因各种原因，该系统无法正常发送，双方可协商解决处理方式。基金管理人向基金托管人发送的数据，双方各自按有关规定保存。</w:t>
      </w:r>
    </w:p>
    <w:p w14:paraId="678E5D13"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5.</w:t>
      </w:r>
      <w:r w:rsidRPr="00EE1299">
        <w:rPr>
          <w:rFonts w:hAnsi="宋体" w:cs="Arial" w:hint="eastAsia"/>
          <w:szCs w:val="21"/>
        </w:rPr>
        <w:t>如基金管理人委托其他机构办理本基金的注册登记业务，应保证上述相关事宜按时进行。否则，由基金管理人承担相应的责任。</w:t>
      </w:r>
    </w:p>
    <w:p w14:paraId="5B95972A"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6.</w:t>
      </w:r>
      <w:r w:rsidRPr="00EE1299">
        <w:rPr>
          <w:rFonts w:hAnsi="宋体" w:cs="Arial" w:hint="eastAsia"/>
          <w:szCs w:val="21"/>
        </w:rPr>
        <w:t>关于清算专用账户的设立和管理</w:t>
      </w:r>
    </w:p>
    <w:p w14:paraId="14D50A5D"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为满足申购、赎回及分红资金汇划的需要，由基金管理人开立资金清算的专用账户，该账户由注册登记机构管理。</w:t>
      </w:r>
    </w:p>
    <w:p w14:paraId="4BFB5F09"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7.</w:t>
      </w:r>
      <w:r w:rsidRPr="00EE1299">
        <w:rPr>
          <w:rFonts w:hAnsi="宋体" w:cs="Arial" w:hint="eastAsia"/>
          <w:szCs w:val="21"/>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0579C087"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8.</w:t>
      </w:r>
      <w:r w:rsidRPr="00EE1299">
        <w:rPr>
          <w:rFonts w:hAnsi="宋体" w:cs="Arial" w:hint="eastAsia"/>
          <w:szCs w:val="21"/>
        </w:rPr>
        <w:t>赎回和分红资金划拨规定</w:t>
      </w:r>
    </w:p>
    <w:p w14:paraId="2ADBAFDE"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拨付赎回款或进行基金分红时，如基金资金账户有足够的资金，基金托管人应按时拨付；因基金资金账户没有足够的资金，导致基金托管人不能按时拨付，</w:t>
      </w:r>
      <w:r>
        <w:rPr>
          <w:rFonts w:hAnsi="宋体" w:cs="Arial" w:hint="eastAsia"/>
          <w:szCs w:val="21"/>
        </w:rPr>
        <w:t>托管人不承担责任；</w:t>
      </w:r>
      <w:r w:rsidRPr="00EE1299">
        <w:rPr>
          <w:rFonts w:hAnsi="宋体" w:cs="Arial" w:hint="eastAsia"/>
          <w:szCs w:val="21"/>
        </w:rPr>
        <w:t>如系基金管理人的原因造成，责任由基金管理人承担，基金托管人不承担垫款义务。</w:t>
      </w:r>
    </w:p>
    <w:p w14:paraId="48F6B3A9" w14:textId="77777777" w:rsidR="000D10AE" w:rsidRPr="00EE1299" w:rsidRDefault="000D10AE" w:rsidP="000D10AE">
      <w:pPr>
        <w:adjustRightInd w:val="0"/>
        <w:snapToGrid w:val="0"/>
        <w:spacing w:line="360" w:lineRule="auto"/>
        <w:ind w:firstLine="480"/>
        <w:rPr>
          <w:rFonts w:cs="Arial"/>
          <w:szCs w:val="21"/>
        </w:rPr>
      </w:pPr>
      <w:r w:rsidRPr="00EE1299">
        <w:rPr>
          <w:rFonts w:cs="Arial" w:hint="eastAsia"/>
          <w:szCs w:val="21"/>
        </w:rPr>
        <w:t>9.</w:t>
      </w:r>
      <w:r w:rsidRPr="00EE1299">
        <w:rPr>
          <w:rFonts w:hAnsi="宋体" w:cs="Arial" w:hint="eastAsia"/>
          <w:szCs w:val="21"/>
        </w:rPr>
        <w:t>资金指令</w:t>
      </w:r>
    </w:p>
    <w:p w14:paraId="3B573655"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除申购款项到达基金资金账户需双方按约定方式对账外，回购到期付款和与投资有关的付款、赎回和分红资金划拨时，基金管理人需向基金托管人下达指令。</w:t>
      </w:r>
    </w:p>
    <w:p w14:paraId="1BCC2FDA"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资金指令的格式、内容、发送、接收和确认方式等与投资指令相同。</w:t>
      </w:r>
    </w:p>
    <w:p w14:paraId="035470ED"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（四）申赎净额结算</w:t>
      </w:r>
    </w:p>
    <w:p w14:paraId="597CE673" w14:textId="77777777" w:rsidR="000D10AE" w:rsidRPr="00EE1299" w:rsidRDefault="000D10AE" w:rsidP="000D10AE">
      <w:pPr>
        <w:adjustRightInd w:val="0"/>
        <w:snapToGrid w:val="0"/>
        <w:spacing w:line="360" w:lineRule="auto"/>
        <w:ind w:firstLine="480"/>
        <w:rPr>
          <w:rFonts w:cs="Arial"/>
          <w:szCs w:val="21"/>
        </w:rPr>
      </w:pPr>
      <w:r w:rsidRPr="00EE1299">
        <w:rPr>
          <w:rFonts w:hAnsi="宋体" w:cs="Arial" w:hint="eastAsia"/>
          <w:szCs w:val="21"/>
        </w:rPr>
        <w:t>基金托管账户与</w:t>
      </w:r>
      <w:r w:rsidRPr="00EE1299">
        <w:rPr>
          <w:rFonts w:cs="Arial" w:hint="eastAsia"/>
          <w:szCs w:val="21"/>
        </w:rPr>
        <w:t>“</w:t>
      </w:r>
      <w:r w:rsidRPr="00EE1299">
        <w:rPr>
          <w:rFonts w:hAnsi="宋体" w:cs="Arial" w:hint="eastAsia"/>
          <w:szCs w:val="21"/>
        </w:rPr>
        <w:t>基金清算账户</w:t>
      </w:r>
      <w:r w:rsidRPr="00EE1299">
        <w:rPr>
          <w:rFonts w:cs="Arial" w:hint="eastAsia"/>
          <w:szCs w:val="21"/>
        </w:rPr>
        <w:t>”</w:t>
      </w:r>
      <w:r w:rsidRPr="00EE1299">
        <w:rPr>
          <w:rFonts w:hAnsi="宋体" w:cs="Arial" w:hint="eastAsia"/>
          <w:szCs w:val="21"/>
        </w:rPr>
        <w:t>间的资金结算遵循</w:t>
      </w:r>
      <w:r w:rsidRPr="00EE1299">
        <w:rPr>
          <w:rFonts w:cs="Arial" w:hint="eastAsia"/>
          <w:szCs w:val="21"/>
        </w:rPr>
        <w:t>“</w:t>
      </w:r>
      <w:r w:rsidRPr="00EE1299">
        <w:rPr>
          <w:rFonts w:hAnsi="宋体" w:cs="Arial" w:hint="eastAsia"/>
          <w:szCs w:val="21"/>
        </w:rPr>
        <w:t>全额清算、净额交收</w:t>
      </w:r>
      <w:r w:rsidRPr="00EE1299">
        <w:rPr>
          <w:rFonts w:cs="Arial" w:hint="eastAsia"/>
          <w:szCs w:val="21"/>
        </w:rPr>
        <w:t>”</w:t>
      </w:r>
      <w:r w:rsidRPr="00EE1299">
        <w:rPr>
          <w:rFonts w:hAnsi="宋体" w:cs="Arial" w:hint="eastAsia"/>
          <w:szCs w:val="21"/>
        </w:rPr>
        <w:t>的原则，每日按照托管账户应收资金与应付资金的差额来确定托管账户净应收额或净应付额，以此确定</w:t>
      </w:r>
      <w:r w:rsidRPr="00EE1299">
        <w:rPr>
          <w:rFonts w:hAnsi="宋体" w:cs="Arial" w:hint="eastAsia"/>
          <w:szCs w:val="21"/>
        </w:rPr>
        <w:lastRenderedPageBreak/>
        <w:t>资金交收额。当存在托管账户净应收额时，基金管理人应在</w:t>
      </w:r>
      <w:r w:rsidRPr="00EE1299">
        <w:rPr>
          <w:rFonts w:cs="Arial" w:hint="eastAsia"/>
          <w:szCs w:val="21"/>
        </w:rPr>
        <w:t>T+</w:t>
      </w:r>
      <w:r>
        <w:rPr>
          <w:rFonts w:cs="Arial" w:hint="eastAsia"/>
          <w:szCs w:val="21"/>
        </w:rPr>
        <w:t>3</w:t>
      </w:r>
      <w:r w:rsidRPr="00EE1299">
        <w:rPr>
          <w:rFonts w:hAnsi="宋体" w:cs="Arial" w:hint="eastAsia"/>
          <w:szCs w:val="21"/>
        </w:rPr>
        <w:t>日</w:t>
      </w:r>
      <w:r>
        <w:rPr>
          <w:rFonts w:hAnsi="宋体" w:cs="Arial" w:hint="eastAsia"/>
          <w:szCs w:val="21"/>
        </w:rPr>
        <w:t>11</w:t>
      </w:r>
      <w:r w:rsidRPr="00EE1299">
        <w:rPr>
          <w:rFonts w:hAnsi="宋体" w:cs="Arial" w:hint="eastAsia"/>
          <w:szCs w:val="21"/>
        </w:rPr>
        <w:t>:00</w:t>
      </w:r>
      <w:r w:rsidRPr="00EE1299">
        <w:rPr>
          <w:rFonts w:hAnsi="宋体" w:cs="Arial" w:hint="eastAsia"/>
          <w:szCs w:val="21"/>
        </w:rPr>
        <w:t>时之前从基金清算账户划</w:t>
      </w:r>
      <w:r>
        <w:rPr>
          <w:rFonts w:hAnsi="宋体" w:cs="Arial" w:hint="eastAsia"/>
          <w:szCs w:val="21"/>
        </w:rPr>
        <w:t>往</w:t>
      </w:r>
      <w:r w:rsidRPr="00EE1299">
        <w:rPr>
          <w:rFonts w:hAnsi="宋体" w:cs="Arial" w:hint="eastAsia"/>
          <w:szCs w:val="21"/>
        </w:rPr>
        <w:t>基金托管账户，基金托管人在资金到账后应立即通知基金管理人，</w:t>
      </w:r>
      <w:r>
        <w:rPr>
          <w:rFonts w:hAnsi="宋体" w:cs="Arial" w:hint="eastAsia"/>
          <w:szCs w:val="21"/>
        </w:rPr>
        <w:t>由管理人通过企业银行查询功能确认，并</w:t>
      </w:r>
      <w:r w:rsidRPr="00EE1299">
        <w:rPr>
          <w:rFonts w:hAnsi="宋体" w:cs="Arial" w:hint="eastAsia"/>
          <w:szCs w:val="21"/>
        </w:rPr>
        <w:t>进行账务处理；当存在托管账户净应付额时，基金托管人按照基金管理人的划款指令将托管账户净应付额在</w:t>
      </w:r>
      <w:r w:rsidRPr="00EE1299">
        <w:rPr>
          <w:rFonts w:hAnsi="宋体" w:cs="Arial" w:hint="eastAsia"/>
          <w:szCs w:val="21"/>
        </w:rPr>
        <w:t>T+</w:t>
      </w:r>
      <w:r>
        <w:rPr>
          <w:rFonts w:hAnsi="宋体" w:cs="Arial" w:hint="eastAsia"/>
          <w:szCs w:val="21"/>
        </w:rPr>
        <w:t>3</w:t>
      </w:r>
      <w:r w:rsidRPr="00EE1299">
        <w:rPr>
          <w:rFonts w:hAnsi="宋体" w:cs="Arial" w:hint="eastAsia"/>
          <w:szCs w:val="21"/>
        </w:rPr>
        <w:t>日</w:t>
      </w:r>
      <w:r>
        <w:rPr>
          <w:rFonts w:hAnsi="宋体" w:cs="Arial" w:hint="eastAsia"/>
          <w:szCs w:val="21"/>
        </w:rPr>
        <w:t>11:00</w:t>
      </w:r>
      <w:r w:rsidRPr="00EE1299">
        <w:rPr>
          <w:rFonts w:hAnsi="宋体" w:cs="Arial" w:hint="eastAsia"/>
          <w:szCs w:val="21"/>
        </w:rPr>
        <w:t>前划往基金清算账户，基金托管人在资金划出后立即通知基金管理人，并</w:t>
      </w:r>
      <w:r>
        <w:rPr>
          <w:rFonts w:hAnsi="宋体" w:cs="Arial" w:hint="eastAsia"/>
          <w:szCs w:val="21"/>
        </w:rPr>
        <w:t>提供企业银行的查询功能，便于</w:t>
      </w:r>
      <w:r w:rsidRPr="00EE1299">
        <w:rPr>
          <w:rFonts w:hAnsi="宋体" w:cs="Arial" w:hint="eastAsia"/>
          <w:szCs w:val="21"/>
        </w:rPr>
        <w:t>基金管理人进行账务管理。</w:t>
      </w:r>
    </w:p>
    <w:p w14:paraId="27A1A605" w14:textId="77777777" w:rsidR="000D10AE" w:rsidRPr="00EE1299" w:rsidRDefault="000D10AE" w:rsidP="000D10AE">
      <w:pPr>
        <w:adjustRightInd w:val="0"/>
        <w:snapToGrid w:val="0"/>
        <w:spacing w:line="360" w:lineRule="auto"/>
        <w:ind w:firstLine="482"/>
        <w:rPr>
          <w:rFonts w:cs="Arial"/>
          <w:i/>
          <w:szCs w:val="21"/>
        </w:rPr>
      </w:pPr>
      <w:r w:rsidRPr="00EE1299">
        <w:rPr>
          <w:rFonts w:hAnsi="宋体" w:cs="Arial" w:hint="eastAsia"/>
          <w:szCs w:val="21"/>
        </w:rPr>
        <w:t>当存在托管账户净应付额时，如基金银行账户有足够的资金，基金托管人应按时拨付；因基金银行账户没有足够的资金</w:t>
      </w:r>
      <w:r>
        <w:rPr>
          <w:rFonts w:hAnsi="宋体" w:cs="Arial" w:hint="eastAsia"/>
          <w:szCs w:val="21"/>
        </w:rPr>
        <w:t>或基金管理人指令迟延</w:t>
      </w:r>
      <w:r w:rsidRPr="00EE1299">
        <w:rPr>
          <w:rFonts w:hAnsi="宋体" w:cs="Arial" w:hint="eastAsia"/>
          <w:szCs w:val="21"/>
        </w:rPr>
        <w:t>，导致基金托管人不能按时拨付，基金托管人应及时通知基金管理人，</w:t>
      </w:r>
      <w:r>
        <w:rPr>
          <w:rFonts w:hAnsi="宋体" w:cs="Arial" w:hint="eastAsia"/>
          <w:szCs w:val="21"/>
        </w:rPr>
        <w:t>托管人不承担责任；</w:t>
      </w:r>
      <w:r w:rsidRPr="00EE1299">
        <w:rPr>
          <w:rFonts w:hAnsi="宋体" w:cs="Arial" w:hint="eastAsia"/>
          <w:szCs w:val="21"/>
        </w:rPr>
        <w:t>如系基金管理人的原因造成，责任由基金管理人承担，基金托管人不承担垫款义务。</w:t>
      </w:r>
    </w:p>
    <w:p w14:paraId="7F6AC8EE" w14:textId="77777777" w:rsidR="000D10AE" w:rsidRPr="00AB542D"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（五）基金转换</w:t>
      </w:r>
    </w:p>
    <w:p w14:paraId="3EAB5EBA" w14:textId="77777777" w:rsidR="000D10AE" w:rsidRPr="00AB542D" w:rsidRDefault="000D10AE" w:rsidP="000D10AE">
      <w:pPr>
        <w:adjustRightInd w:val="0"/>
        <w:snapToGrid w:val="0"/>
        <w:spacing w:line="360" w:lineRule="auto"/>
        <w:ind w:firstLine="480"/>
        <w:rPr>
          <w:rFonts w:hAnsi="宋体" w:cs="Arial"/>
          <w:szCs w:val="21"/>
        </w:rPr>
      </w:pPr>
      <w:r w:rsidRPr="00AB542D">
        <w:rPr>
          <w:rFonts w:hAnsi="宋体" w:cs="Arial" w:hint="eastAsia"/>
          <w:szCs w:val="21"/>
        </w:rPr>
        <w:t>1.</w:t>
      </w:r>
      <w:r w:rsidRPr="00EE1299">
        <w:rPr>
          <w:rFonts w:hAnsi="宋体" w:cs="Arial" w:hint="eastAsia"/>
          <w:szCs w:val="21"/>
        </w:rPr>
        <w:t>在本基金与基金管理人管理的其它基金开展转换业务之前，基金管理人应函告基金托管人并就相关事宜进行协商。</w:t>
      </w:r>
    </w:p>
    <w:p w14:paraId="4F5DE09C" w14:textId="77777777" w:rsidR="000D10AE" w:rsidRPr="00AB542D" w:rsidRDefault="000D10AE" w:rsidP="000D10AE">
      <w:pPr>
        <w:adjustRightInd w:val="0"/>
        <w:snapToGrid w:val="0"/>
        <w:spacing w:line="360" w:lineRule="auto"/>
        <w:ind w:firstLine="480"/>
        <w:rPr>
          <w:rFonts w:hAnsi="宋体" w:cs="Arial"/>
          <w:szCs w:val="21"/>
        </w:rPr>
      </w:pPr>
      <w:r w:rsidRPr="00AB542D">
        <w:rPr>
          <w:rFonts w:hAnsi="宋体" w:cs="Arial" w:hint="eastAsia"/>
          <w:szCs w:val="21"/>
        </w:rPr>
        <w:t>2.</w:t>
      </w:r>
      <w:r w:rsidRPr="00EE1299">
        <w:rPr>
          <w:rFonts w:hAnsi="宋体" w:cs="Arial" w:hint="eastAsia"/>
          <w:szCs w:val="21"/>
        </w:rPr>
        <w:t>基金托管人将根据基金管理人传送的基金转换数据进行账务处理，具体资金清算和数据传递的时间、程序及托管协议当事人承担的权责按届时基金管理人</w:t>
      </w:r>
      <w:r>
        <w:rPr>
          <w:rFonts w:hAnsi="宋体" w:cs="Arial" w:hint="eastAsia"/>
          <w:szCs w:val="21"/>
        </w:rPr>
        <w:t>与基金托管人协商一致后</w:t>
      </w:r>
      <w:r w:rsidRPr="00EE1299">
        <w:rPr>
          <w:rFonts w:hAnsi="宋体" w:cs="Arial" w:hint="eastAsia"/>
          <w:szCs w:val="21"/>
        </w:rPr>
        <w:t>的公告执行。</w:t>
      </w:r>
    </w:p>
    <w:p w14:paraId="5F7E8EBF" w14:textId="77777777" w:rsidR="000D10AE" w:rsidRPr="00AB542D" w:rsidRDefault="000D10AE" w:rsidP="000D10AE">
      <w:pPr>
        <w:adjustRightInd w:val="0"/>
        <w:snapToGrid w:val="0"/>
        <w:spacing w:line="360" w:lineRule="auto"/>
        <w:ind w:firstLine="480"/>
        <w:rPr>
          <w:rFonts w:hAnsi="宋体" w:cs="Arial"/>
          <w:szCs w:val="21"/>
        </w:rPr>
      </w:pPr>
      <w:r w:rsidRPr="00AB542D">
        <w:rPr>
          <w:rFonts w:hAnsi="宋体" w:cs="Arial" w:hint="eastAsia"/>
          <w:szCs w:val="21"/>
        </w:rPr>
        <w:t>3.</w:t>
      </w:r>
      <w:r w:rsidRPr="00EE1299">
        <w:rPr>
          <w:rFonts w:hAnsi="宋体" w:cs="Arial" w:hint="eastAsia"/>
          <w:szCs w:val="21"/>
        </w:rPr>
        <w:t>本基金开展基金转换业务应按相关法律法规规定及基金合同的约定进行公告。</w:t>
      </w:r>
    </w:p>
    <w:p w14:paraId="15371992" w14:textId="77777777" w:rsidR="000D10AE" w:rsidRPr="00AB542D" w:rsidRDefault="000D10AE" w:rsidP="000D10AE">
      <w:pPr>
        <w:adjustRightInd w:val="0"/>
        <w:snapToGrid w:val="0"/>
        <w:spacing w:line="360" w:lineRule="auto"/>
        <w:ind w:firstLine="480"/>
        <w:rPr>
          <w:rFonts w:hAnsi="宋体" w:cs="Arial"/>
          <w:szCs w:val="21"/>
        </w:rPr>
      </w:pPr>
      <w:r w:rsidRPr="00EE1299">
        <w:rPr>
          <w:rFonts w:hAnsi="宋体" w:cs="Arial" w:hint="eastAsia"/>
          <w:szCs w:val="21"/>
        </w:rPr>
        <w:t>（六）基金现金分红</w:t>
      </w:r>
    </w:p>
    <w:p w14:paraId="7DDCA3E4" w14:textId="4685BE61" w:rsidR="000D10AE" w:rsidRPr="00AB542D" w:rsidRDefault="000D10AE" w:rsidP="000D10AE">
      <w:pPr>
        <w:adjustRightInd w:val="0"/>
        <w:snapToGrid w:val="0"/>
        <w:spacing w:line="360" w:lineRule="auto"/>
        <w:ind w:firstLine="480"/>
        <w:rPr>
          <w:rFonts w:hAnsi="宋体" w:cs="Arial"/>
          <w:szCs w:val="21"/>
        </w:rPr>
      </w:pPr>
      <w:r w:rsidRPr="00AB542D">
        <w:rPr>
          <w:rFonts w:hAnsi="宋体" w:cs="Arial" w:hint="eastAsia"/>
          <w:szCs w:val="21"/>
        </w:rPr>
        <w:t>1.</w:t>
      </w:r>
      <w:r w:rsidRPr="00EE1299">
        <w:rPr>
          <w:rFonts w:hAnsi="宋体" w:cs="Arial" w:hint="eastAsia"/>
          <w:szCs w:val="21"/>
        </w:rPr>
        <w:t>基金管理人确定分红方案通知基金托管人，双方核定后</w:t>
      </w:r>
      <w:r w:rsidRPr="00AB542D">
        <w:rPr>
          <w:rFonts w:hAnsi="宋体" w:cs="Arial" w:hint="eastAsia"/>
          <w:szCs w:val="21"/>
        </w:rPr>
        <w:t>依照《信息披露办法》的有关规定在中国证监会指定媒体上公告</w:t>
      </w:r>
      <w:r w:rsidRPr="00EE1299">
        <w:rPr>
          <w:rFonts w:hAnsi="宋体" w:cs="Arial" w:hint="eastAsia"/>
          <w:szCs w:val="21"/>
        </w:rPr>
        <w:t>。</w:t>
      </w:r>
    </w:p>
    <w:p w14:paraId="14886854" w14:textId="77777777" w:rsidR="000D10AE" w:rsidRPr="00AB542D" w:rsidRDefault="000D10AE" w:rsidP="000D10AE">
      <w:pPr>
        <w:adjustRightInd w:val="0"/>
        <w:snapToGrid w:val="0"/>
        <w:spacing w:line="360" w:lineRule="auto"/>
        <w:ind w:firstLine="480"/>
        <w:rPr>
          <w:rFonts w:hAnsi="宋体" w:cs="Arial"/>
          <w:szCs w:val="21"/>
        </w:rPr>
      </w:pPr>
      <w:r w:rsidRPr="00AB542D">
        <w:rPr>
          <w:rFonts w:hAnsi="宋体" w:cs="Arial" w:hint="eastAsia"/>
          <w:szCs w:val="21"/>
        </w:rPr>
        <w:t>2.</w:t>
      </w:r>
      <w:r w:rsidRPr="00EE1299">
        <w:rPr>
          <w:rFonts w:hAnsi="宋体" w:cs="Arial" w:hint="eastAsia"/>
          <w:szCs w:val="21"/>
        </w:rPr>
        <w:t>基金托管人和基金管理人对基金分红进行账务处理并核对后，基金管理人向基金托管人发送现金红利的划款指令，基金托管人应及时将资金划入</w:t>
      </w:r>
      <w:r>
        <w:rPr>
          <w:rFonts w:hAnsi="宋体" w:cs="Arial" w:hint="eastAsia"/>
          <w:szCs w:val="21"/>
        </w:rPr>
        <w:t>指定</w:t>
      </w:r>
      <w:r w:rsidRPr="00EE1299">
        <w:rPr>
          <w:rFonts w:hAnsi="宋体" w:cs="Arial" w:hint="eastAsia"/>
          <w:szCs w:val="21"/>
        </w:rPr>
        <w:t>专用账户。</w:t>
      </w:r>
    </w:p>
    <w:p w14:paraId="501713CA" w14:textId="77777777" w:rsidR="000D10AE" w:rsidRPr="00AB542D" w:rsidRDefault="000D10AE" w:rsidP="000D10AE">
      <w:pPr>
        <w:adjustRightInd w:val="0"/>
        <w:snapToGrid w:val="0"/>
        <w:spacing w:line="360" w:lineRule="auto"/>
        <w:ind w:firstLine="480"/>
        <w:rPr>
          <w:rFonts w:hAnsi="宋体" w:cs="Arial"/>
          <w:szCs w:val="21"/>
        </w:rPr>
      </w:pPr>
      <w:r w:rsidRPr="00AB542D">
        <w:rPr>
          <w:rFonts w:hAnsi="宋体" w:cs="Arial" w:hint="eastAsia"/>
          <w:szCs w:val="21"/>
        </w:rPr>
        <w:t>3.</w:t>
      </w:r>
      <w:r w:rsidRPr="00EE1299">
        <w:rPr>
          <w:rFonts w:hAnsi="宋体" w:cs="Arial" w:hint="eastAsia"/>
          <w:szCs w:val="21"/>
        </w:rPr>
        <w:t>基金管理人在下达指令时，应给基金托管人留出必需的划款时间。</w:t>
      </w:r>
    </w:p>
    <w:p w14:paraId="205F0BD8" w14:textId="77777777" w:rsidR="000D10AE" w:rsidRPr="00EE1299" w:rsidRDefault="000D10AE" w:rsidP="000D10AE">
      <w:pPr>
        <w:adjustRightInd w:val="0"/>
        <w:snapToGrid w:val="0"/>
        <w:spacing w:line="360" w:lineRule="auto"/>
        <w:rPr>
          <w:rFonts w:cs="Arial"/>
          <w:szCs w:val="21"/>
        </w:rPr>
      </w:pPr>
      <w:r>
        <w:rPr>
          <w:rFonts w:cs="Arial"/>
          <w:szCs w:val="21"/>
        </w:rPr>
        <w:br w:type="page"/>
      </w:r>
    </w:p>
    <w:p w14:paraId="795620AD" w14:textId="77777777" w:rsidR="000D10AE" w:rsidRPr="00AB3329" w:rsidRDefault="000D10AE" w:rsidP="000D10AE">
      <w:pPr>
        <w:pStyle w:val="21"/>
        <w:numPr>
          <w:ilvl w:val="1"/>
          <w:numId w:val="28"/>
        </w:numPr>
        <w:rPr>
          <w:rFonts w:ascii="Times New Roman" w:hAnsi="Times New Roman"/>
          <w:color w:val="000000"/>
        </w:rPr>
      </w:pPr>
      <w:bookmarkStart w:id="104" w:name="_Toc215903444"/>
      <w:bookmarkStart w:id="105" w:name="_Toc247440589"/>
      <w:bookmarkStart w:id="106" w:name="_Toc250711190"/>
      <w:r w:rsidRPr="00AB3329">
        <w:rPr>
          <w:rFonts w:ascii="Times New Roman" w:hAnsi="Times New Roman" w:hint="eastAsia"/>
          <w:color w:val="000000"/>
        </w:rPr>
        <w:lastRenderedPageBreak/>
        <w:t>基金资产净值计算和会计核算</w:t>
      </w:r>
      <w:bookmarkEnd w:id="104"/>
      <w:bookmarkEnd w:id="105"/>
      <w:bookmarkEnd w:id="106"/>
    </w:p>
    <w:p w14:paraId="78308A6D"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（一）基金资产净值的计算、复核与完成的时间及程序</w:t>
      </w:r>
    </w:p>
    <w:p w14:paraId="793B61EB"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1.基金资产净值</w:t>
      </w:r>
    </w:p>
    <w:p w14:paraId="76286AFB"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基金资产净值是指基金资产总值减去负债后的金额。</w:t>
      </w:r>
    </w:p>
    <w:p w14:paraId="079D0DB5" w14:textId="41791F9A"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基金份额净值是指基金资产净值除以基金份额总数，基金份额净值的计算，精确到0.00</w:t>
      </w:r>
      <w:r w:rsidR="00855EA4">
        <w:rPr>
          <w:rFonts w:ascii="宋体" w:hAnsi="宋体"/>
          <w:szCs w:val="21"/>
        </w:rPr>
        <w:t>0</w:t>
      </w:r>
      <w:r w:rsidRPr="00AB3329">
        <w:rPr>
          <w:rFonts w:ascii="宋体" w:hAnsi="宋体" w:hint="eastAsia"/>
          <w:szCs w:val="21"/>
        </w:rPr>
        <w:t>1元，小数点后第</w:t>
      </w:r>
      <w:r w:rsidR="00855EA4">
        <w:rPr>
          <w:rFonts w:ascii="宋体" w:hAnsi="宋体" w:hint="eastAsia"/>
          <w:szCs w:val="21"/>
        </w:rPr>
        <w:t>五</w:t>
      </w:r>
      <w:r w:rsidRPr="00AB3329">
        <w:rPr>
          <w:rFonts w:ascii="宋体" w:hAnsi="宋体" w:hint="eastAsia"/>
          <w:szCs w:val="21"/>
        </w:rPr>
        <w:t>位四舍五入，国家另有规定的，从其规定。</w:t>
      </w:r>
    </w:p>
    <w:p w14:paraId="2F23893C" w14:textId="13E579CA"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基金管理人每个工作日计算基金资产净值及基金份额净值，经基金托管人复核，按规定</w:t>
      </w:r>
      <w:r w:rsidR="00E14BA3">
        <w:rPr>
          <w:rFonts w:ascii="宋体" w:hAnsi="宋体" w:hint="eastAsia"/>
          <w:szCs w:val="21"/>
        </w:rPr>
        <w:t>披露</w:t>
      </w:r>
      <w:r w:rsidRPr="00AB3329">
        <w:rPr>
          <w:rFonts w:ascii="宋体" w:hAnsi="宋体" w:hint="eastAsia"/>
          <w:szCs w:val="21"/>
        </w:rPr>
        <w:t>。</w:t>
      </w:r>
    </w:p>
    <w:p w14:paraId="01548A48"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2.复核程序</w:t>
      </w:r>
    </w:p>
    <w:p w14:paraId="2349AA93"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基金管理人每工作日对基金资产进行估值后，将基金份额净值结果发送基金托管人，经基金托管人复核无误后，由基金管理人对外公布。</w:t>
      </w:r>
    </w:p>
    <w:p w14:paraId="5C2188A4"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0D83EC9C"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（二）基金资产估值方法和特殊情形的处理</w:t>
      </w:r>
    </w:p>
    <w:p w14:paraId="1918E38F"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1.估值对象</w:t>
      </w:r>
    </w:p>
    <w:p w14:paraId="6ADE91FB"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基金所拥有的股票、权证、债券和银行存款本息、应收款项、其它投资等资产。</w:t>
      </w:r>
    </w:p>
    <w:p w14:paraId="77932A63"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2.估值方法</w:t>
      </w:r>
    </w:p>
    <w:p w14:paraId="63CE20DB"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a、证券交易所上市的有价证券的估值</w:t>
      </w:r>
    </w:p>
    <w:p w14:paraId="75CF6C5D"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317D20D3"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8610E01"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（3）交易所上市未实行净价交易的债券按估值日收盘价减去债券收盘价中所含的债券应</w:t>
      </w:r>
      <w:r w:rsidRPr="00AB3329">
        <w:rPr>
          <w:rFonts w:ascii="宋体" w:hAnsi="宋体" w:hint="eastAsia"/>
          <w:szCs w:val="21"/>
        </w:rPr>
        <w:lastRenderedPageBreak/>
        <w:t>收利息（自债券计息起始日或上一起息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E62FD8D"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26A5E51D"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b、处于未上市期间的有价证券应区分如下情况处理：</w:t>
      </w:r>
    </w:p>
    <w:p w14:paraId="455349AC"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（1）送股、转增股、配股和公开增发的新股，按估值日在证券交易所挂牌的同一股票的市价（收盘价）估值；该日无交易的，以最近一日的市价（收盘价）估值；</w:t>
      </w:r>
    </w:p>
    <w:p w14:paraId="273E37E8"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（2）首次公开发行未上市的股票、债券和权证，采用估值技术确定公允价值，在估值技术难以可靠计量公允价值的情况下，按成本估值；</w:t>
      </w:r>
    </w:p>
    <w:p w14:paraId="18F392C1"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14:paraId="5351B6ED"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c、全国银行间债券市场交易的债券、资产支持证券等固定收益品种，采用估值技术确定公允价值。</w:t>
      </w:r>
    </w:p>
    <w:p w14:paraId="00E38083"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d、同一债券同时在两个或两个以上市场交易的，按债券所处的市场分别估值。</w:t>
      </w:r>
    </w:p>
    <w:p w14:paraId="32C5CFF9"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e、如有确凿证据表明按上述方法进行估值不能客观反映其公允价值的，基金管理人可根据具体情况与基金托管人商定后，按最能反映公允价值的价格估值。</w:t>
      </w:r>
    </w:p>
    <w:p w14:paraId="26CA2504" w14:textId="77777777" w:rsidR="00512E25" w:rsidRDefault="000D10AE" w:rsidP="000D10AE">
      <w:pPr>
        <w:spacing w:line="360" w:lineRule="auto"/>
        <w:ind w:firstLineChars="200" w:firstLine="420"/>
        <w:rPr>
          <w:rFonts w:ascii="宋体" w:hAnsi="宋体"/>
          <w:szCs w:val="21"/>
        </w:rPr>
      </w:pPr>
      <w:r w:rsidRPr="00AB3329">
        <w:rPr>
          <w:rFonts w:ascii="宋体" w:hAnsi="宋体" w:hint="eastAsia"/>
          <w:szCs w:val="21"/>
        </w:rPr>
        <w:t>f、</w:t>
      </w:r>
      <w:r w:rsidR="00512E25" w:rsidRPr="00512E25">
        <w:rPr>
          <w:rFonts w:ascii="宋体" w:hAnsi="宋体" w:hint="eastAsia"/>
          <w:szCs w:val="21"/>
        </w:rPr>
        <w:t>本基金投资存托凭证的估值核算依照内地上市交易的股票执行。</w:t>
      </w:r>
    </w:p>
    <w:p w14:paraId="69C847A4" w14:textId="34C7B3B9" w:rsidR="000D10AE" w:rsidRPr="00AB3329" w:rsidRDefault="00512E25" w:rsidP="000D10AE">
      <w:pPr>
        <w:spacing w:line="360" w:lineRule="auto"/>
        <w:ind w:firstLineChars="200" w:firstLine="420"/>
        <w:rPr>
          <w:rFonts w:ascii="宋体" w:hAnsi="宋体"/>
          <w:szCs w:val="21"/>
        </w:rPr>
      </w:pPr>
      <w:r>
        <w:rPr>
          <w:rFonts w:ascii="宋体" w:hAnsi="宋体"/>
          <w:szCs w:val="21"/>
        </w:rPr>
        <w:t>g</w:t>
      </w:r>
      <w:r>
        <w:rPr>
          <w:rFonts w:ascii="宋体" w:hAnsi="宋体" w:hint="eastAsia"/>
          <w:szCs w:val="21"/>
        </w:rPr>
        <w:t>、</w:t>
      </w:r>
      <w:r w:rsidR="000D10AE" w:rsidRPr="00AB3329">
        <w:rPr>
          <w:rFonts w:ascii="宋体" w:hAnsi="宋体" w:hint="eastAsia"/>
          <w:szCs w:val="21"/>
        </w:rPr>
        <w:t>相关法律法规以及监管部门有强制规定的，从其规定。如有新增事项，按国家最新规定估值。</w:t>
      </w:r>
    </w:p>
    <w:p w14:paraId="43714F28"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CF69B54" w14:textId="77777777" w:rsidR="000D10AE" w:rsidRPr="00AB3329" w:rsidRDefault="000D10AE" w:rsidP="000D10AE">
      <w:pPr>
        <w:spacing w:line="360" w:lineRule="auto"/>
        <w:ind w:firstLineChars="200" w:firstLine="420"/>
        <w:rPr>
          <w:rFonts w:ascii="宋体" w:hAnsi="宋体"/>
        </w:rPr>
      </w:pPr>
      <w:r w:rsidRPr="00AB3329">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B1D1A3" w14:textId="77777777" w:rsidR="000D10AE" w:rsidRPr="00AB3329" w:rsidRDefault="000D10AE" w:rsidP="000D10AE">
      <w:pPr>
        <w:spacing w:line="360" w:lineRule="auto"/>
        <w:ind w:firstLineChars="200" w:firstLine="420"/>
        <w:rPr>
          <w:rFonts w:ascii="宋体" w:hAnsi="宋体"/>
        </w:rPr>
      </w:pPr>
      <w:r w:rsidRPr="00AB3329">
        <w:rPr>
          <w:rFonts w:ascii="宋体" w:hAnsi="宋体" w:hint="eastAsia"/>
        </w:rPr>
        <w:lastRenderedPageBreak/>
        <w:t>3.</w:t>
      </w:r>
      <w:r w:rsidRPr="00AB3329">
        <w:rPr>
          <w:rFonts w:ascii="宋体" w:hint="eastAsia"/>
        </w:rPr>
        <w:t>特殊情形的处理</w:t>
      </w:r>
    </w:p>
    <w:p w14:paraId="7FC4383F" w14:textId="77777777" w:rsidR="000D10AE" w:rsidRPr="00AB3329" w:rsidRDefault="000D10AE" w:rsidP="000D10AE">
      <w:pPr>
        <w:spacing w:line="360" w:lineRule="auto"/>
        <w:ind w:firstLineChars="200" w:firstLine="420"/>
        <w:rPr>
          <w:rFonts w:ascii="宋体" w:hAnsi="宋体"/>
        </w:rPr>
      </w:pPr>
      <w:r w:rsidRPr="00AB3329">
        <w:rPr>
          <w:rFonts w:ascii="宋体" w:hint="eastAsia"/>
        </w:rPr>
        <w:t>基金管理人、基金托管人按估值方法的第</w:t>
      </w:r>
      <w:r w:rsidRPr="00AB3329">
        <w:rPr>
          <w:rFonts w:ascii="宋体" w:hAnsi="宋体" w:hint="eastAsia"/>
        </w:rPr>
        <w:t>e</w:t>
      </w:r>
      <w:r w:rsidRPr="00AB3329">
        <w:rPr>
          <w:rFonts w:ascii="宋体" w:hint="eastAsia"/>
        </w:rPr>
        <w:t>项进行估值时，所造成的误差不作为基金份额净值错误处理。</w:t>
      </w:r>
    </w:p>
    <w:p w14:paraId="25AEC784"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（三）基金份额净值错误的处理方式</w:t>
      </w:r>
    </w:p>
    <w:p w14:paraId="3D28EBE5" w14:textId="41961E5D" w:rsidR="000D10AE" w:rsidRPr="00AB3329" w:rsidRDefault="000D10AE" w:rsidP="000D10AE">
      <w:pPr>
        <w:spacing w:line="360" w:lineRule="auto"/>
        <w:ind w:firstLineChars="200" w:firstLine="420"/>
        <w:rPr>
          <w:rFonts w:ascii="宋体" w:hAnsi="宋体"/>
        </w:rPr>
      </w:pPr>
      <w:r w:rsidRPr="00AB3329">
        <w:rPr>
          <w:rFonts w:ascii="宋体" w:hint="eastAsia"/>
        </w:rPr>
        <w:t>（</w:t>
      </w:r>
      <w:r w:rsidRPr="00AB3329">
        <w:rPr>
          <w:rFonts w:ascii="宋体" w:hAnsi="宋体" w:hint="eastAsia"/>
        </w:rPr>
        <w:t>1</w:t>
      </w:r>
      <w:r w:rsidRPr="00AB3329">
        <w:rPr>
          <w:rFonts w:ascii="宋体" w:hint="eastAsia"/>
        </w:rPr>
        <w:t>）当基金份额净值小数点后</w:t>
      </w:r>
      <w:r w:rsidR="00855EA4">
        <w:rPr>
          <w:rFonts w:ascii="宋体" w:hAnsi="宋体" w:hint="eastAsia"/>
        </w:rPr>
        <w:t>四</w:t>
      </w:r>
      <w:r w:rsidRPr="00AB3329">
        <w:rPr>
          <w:rFonts w:ascii="宋体" w:hint="eastAsia"/>
        </w:rPr>
        <w:t>位以内</w:t>
      </w:r>
      <w:r w:rsidRPr="00AB3329">
        <w:rPr>
          <w:rFonts w:ascii="宋体" w:hAnsi="宋体" w:hint="eastAsia"/>
        </w:rPr>
        <w:t>(</w:t>
      </w:r>
      <w:r w:rsidRPr="00AB3329">
        <w:rPr>
          <w:rFonts w:ascii="宋体" w:hint="eastAsia"/>
        </w:rPr>
        <w:t>含第</w:t>
      </w:r>
      <w:r w:rsidR="00855EA4">
        <w:rPr>
          <w:rFonts w:ascii="宋体" w:hAnsi="宋体" w:hint="eastAsia"/>
        </w:rPr>
        <w:t>四</w:t>
      </w:r>
      <w:r w:rsidRPr="00AB3329">
        <w:rPr>
          <w:rFonts w:ascii="宋体" w:hint="eastAsia"/>
        </w:rPr>
        <w:t>位</w:t>
      </w:r>
      <w:r w:rsidRPr="00AB3329">
        <w:rPr>
          <w:rFonts w:ascii="宋体" w:hAnsi="宋体" w:hint="eastAsia"/>
        </w:rPr>
        <w:t>)</w:t>
      </w:r>
      <w:r w:rsidRPr="00AB3329">
        <w:rPr>
          <w:rFonts w:ascii="宋体" w:hint="eastAsia"/>
        </w:rPr>
        <w:t>发生差错时，视为基金份额净值错误；基金份额净值出现错误时，基金管理人应当立即予以纠正，通报基金托管人，并采取合理的措施防止损失进一步扩大；错误偏差达到基金份额净值的</w:t>
      </w:r>
      <w:r w:rsidRPr="00AB3329">
        <w:rPr>
          <w:rFonts w:ascii="宋体" w:hAnsi="宋体" w:hint="eastAsia"/>
        </w:rPr>
        <w:t>0.25%</w:t>
      </w:r>
      <w:r w:rsidRPr="00AB3329">
        <w:rPr>
          <w:rFonts w:ascii="宋体" w:hint="eastAsia"/>
        </w:rPr>
        <w:t>时，基金管理人应当通报基金托管人并报中国证监会备案</w:t>
      </w:r>
      <w:r w:rsidRPr="00AB3329">
        <w:rPr>
          <w:rFonts w:ascii="宋体" w:hAnsi="宋体" w:hint="eastAsia"/>
          <w:szCs w:val="21"/>
        </w:rPr>
        <w:t>；错误偏差达到基金份额净值的0.5%时，基金管理人应当公告</w:t>
      </w:r>
      <w:r w:rsidRPr="00AB3329">
        <w:rPr>
          <w:rFonts w:ascii="宋体" w:hint="eastAsia"/>
        </w:rPr>
        <w:t>；当发生净值计算错误时，由基金管理人负责处理，由此给基金份额持有人和基金造成损失的，应由基金管理人先行赔付，基金管理人按差错情形，有权向其他当事人追偿。</w:t>
      </w:r>
    </w:p>
    <w:p w14:paraId="65EE7AF8" w14:textId="77777777" w:rsidR="000D10AE" w:rsidRPr="00AB3329" w:rsidRDefault="000D10AE" w:rsidP="000D10AE">
      <w:pPr>
        <w:spacing w:line="360" w:lineRule="auto"/>
        <w:ind w:firstLineChars="200" w:firstLine="420"/>
        <w:rPr>
          <w:rFonts w:ascii="宋体" w:hAnsi="宋体"/>
        </w:rPr>
      </w:pPr>
      <w:r w:rsidRPr="00AB3329">
        <w:rPr>
          <w:rFonts w:ascii="宋体" w:hint="eastAsia"/>
        </w:rPr>
        <w:t>（</w:t>
      </w:r>
      <w:r w:rsidRPr="00AB3329">
        <w:rPr>
          <w:rFonts w:ascii="宋体" w:hAnsi="宋体" w:hint="eastAsia"/>
        </w:rPr>
        <w:t>2</w:t>
      </w:r>
      <w:r w:rsidRPr="00AB3329">
        <w:rPr>
          <w:rFonts w:ascii="宋体" w:hint="eastAsia"/>
        </w:rPr>
        <w:t>）当基金份额净值计算差错给基金和基金份额持有人造成损失需要进行赔偿时，基金管理人和基金托管人应根据实际情况界定双方承担的责任，经确认后按以下条款进行赔偿：</w:t>
      </w:r>
    </w:p>
    <w:p w14:paraId="08F06094" w14:textId="77777777" w:rsidR="000D10AE" w:rsidRPr="00AB3329" w:rsidRDefault="000D10AE" w:rsidP="000D10AE">
      <w:pPr>
        <w:spacing w:line="360" w:lineRule="auto"/>
        <w:ind w:firstLineChars="200" w:firstLine="420"/>
        <w:rPr>
          <w:rFonts w:ascii="宋体" w:hAnsi="宋体"/>
          <w:szCs w:val="21"/>
        </w:rPr>
      </w:pPr>
      <w:r w:rsidRPr="00AB3329">
        <w:rPr>
          <w:rFonts w:ascii="宋体" w:hint="eastAsia"/>
        </w:rPr>
        <w:t>①</w:t>
      </w:r>
      <w:r w:rsidRPr="00AB3329">
        <w:rPr>
          <w:rFonts w:ascii="宋体"/>
        </w:rPr>
        <w:t>本基金的基金会计责任方由基金管理人担任</w:t>
      </w:r>
      <w:r w:rsidRPr="00AB3329">
        <w:rPr>
          <w:rFonts w:ascii="宋体" w:hint="eastAsia"/>
        </w:rPr>
        <w:t>，</w:t>
      </w:r>
      <w:r w:rsidRPr="00AB3329">
        <w:rPr>
          <w:rFonts w:ascii="宋体"/>
        </w:rPr>
        <w:t>与本基金有关的会计问题，如经双方在平等基础上充分讨论后，</w:t>
      </w:r>
      <w:r w:rsidRPr="00AB3329">
        <w:rPr>
          <w:rFonts w:ascii="宋体" w:hint="eastAsia"/>
        </w:rPr>
        <w:t>尚不能达成一致时，</w:t>
      </w:r>
      <w:r w:rsidRPr="00AB3329">
        <w:rPr>
          <w:rFonts w:ascii="宋体"/>
        </w:rPr>
        <w:t>按基金</w:t>
      </w:r>
      <w:r w:rsidRPr="00AB3329">
        <w:rPr>
          <w:rFonts w:ascii="宋体" w:hint="eastAsia"/>
        </w:rPr>
        <w:t>管理人</w:t>
      </w:r>
      <w:r w:rsidRPr="00AB3329">
        <w:rPr>
          <w:rFonts w:ascii="宋体"/>
        </w:rPr>
        <w:t>的建议执行</w:t>
      </w:r>
      <w:r w:rsidRPr="00AB3329">
        <w:rPr>
          <w:rFonts w:ascii="宋体" w:hint="eastAsia"/>
        </w:rPr>
        <w:t>，由此给基金份额持有人和基金财产造成的</w:t>
      </w:r>
      <w:r w:rsidRPr="00AB3329">
        <w:rPr>
          <w:rFonts w:ascii="宋体" w:hAnsi="宋体" w:hint="eastAsia"/>
          <w:szCs w:val="21"/>
        </w:rPr>
        <w:t>损失，由基金管理人负责赔付。</w:t>
      </w:r>
    </w:p>
    <w:p w14:paraId="08B5B123"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3D593500"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14:paraId="22531E10"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④由于基金管理人提供的信息错误（包括但不限于基金申购或赎回金额等），进而导致基金份额净值计算错误而引起的基金份额持有人和基金财产的损失，由基金管理人负责赔付。</w:t>
      </w:r>
    </w:p>
    <w:p w14:paraId="69B51637"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632223FB"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（4）基金管理人和基金托管人由于各自技术系统设置而产生的净值计算尾差，以基金管理人计算结果为准。</w:t>
      </w:r>
    </w:p>
    <w:p w14:paraId="2FCB3285"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lastRenderedPageBreak/>
        <w:t>（5）前述内容如法律法规或者监管部门另有规定的，从其规定。如果行业另有通行做法，双方当事人应本着平等和保护基金份额持有人利益的原则进行协商。</w:t>
      </w:r>
    </w:p>
    <w:p w14:paraId="215DE618"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（四）暂停估值与公告基金份额净值的情形</w:t>
      </w:r>
    </w:p>
    <w:p w14:paraId="2A50EF07"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（1）基金投资所涉及的证券交易所遇法定节假日或因其他原因暂停营业时；</w:t>
      </w:r>
    </w:p>
    <w:p w14:paraId="7DEE9DE1"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（2）因不可抗力或其他情形致使基金管理人、基金托管人无法准确评估基金资产价值时；</w:t>
      </w:r>
    </w:p>
    <w:p w14:paraId="462BC5BC"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（3）占基金相当比例的投资品种的估值出现重大转变，而基金管理人为保障投资人的利益，已决定延迟估值；</w:t>
      </w:r>
    </w:p>
    <w:p w14:paraId="184DA706" w14:textId="26A4825A" w:rsidR="00554A31" w:rsidRDefault="000D10AE" w:rsidP="000D10AE">
      <w:pPr>
        <w:spacing w:line="360" w:lineRule="auto"/>
        <w:ind w:firstLineChars="200" w:firstLine="420"/>
        <w:rPr>
          <w:rFonts w:ascii="宋体" w:hAnsi="宋体"/>
          <w:szCs w:val="21"/>
        </w:rPr>
      </w:pPr>
      <w:r w:rsidRPr="00AB3329">
        <w:rPr>
          <w:rFonts w:ascii="宋体" w:hAnsi="宋体" w:hint="eastAsia"/>
          <w:szCs w:val="21"/>
        </w:rPr>
        <w:t>（4）</w:t>
      </w:r>
      <w:r w:rsidR="00554A31" w:rsidRPr="00554A31">
        <w:rPr>
          <w:rFonts w:ascii="宋体" w:hAnsi="宋体" w:hint="eastAsia"/>
          <w:szCs w:val="21"/>
        </w:rPr>
        <w:t>当前一估值日基金资产净值50%以上的资产出现无可参考的活跃市场价格且采用估值技术仍导致公允价值存在重大不确定性时，经与基金托管人协商一致的，基金应当暂停估值；</w:t>
      </w:r>
    </w:p>
    <w:p w14:paraId="760D4FF7" w14:textId="77777777" w:rsidR="000D10AE" w:rsidRPr="00AB3329" w:rsidRDefault="00554A31" w:rsidP="000D10AE">
      <w:pPr>
        <w:spacing w:line="360" w:lineRule="auto"/>
        <w:ind w:firstLineChars="200" w:firstLine="420"/>
        <w:rPr>
          <w:rFonts w:ascii="宋体" w:hAnsi="宋体"/>
          <w:szCs w:val="21"/>
        </w:rPr>
      </w:pPr>
      <w:r>
        <w:rPr>
          <w:rFonts w:ascii="宋体" w:hAnsi="宋体" w:hint="eastAsia"/>
          <w:szCs w:val="21"/>
        </w:rPr>
        <w:t>（5）</w:t>
      </w:r>
      <w:r w:rsidR="000D10AE" w:rsidRPr="00AB3329">
        <w:rPr>
          <w:rFonts w:ascii="宋体" w:hAnsi="宋体" w:hint="eastAsia"/>
          <w:szCs w:val="21"/>
        </w:rPr>
        <w:t>中国证监会和基金合同认定的其他情形。</w:t>
      </w:r>
    </w:p>
    <w:p w14:paraId="77C1BF2C"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（五）基金会计制度</w:t>
      </w:r>
    </w:p>
    <w:p w14:paraId="5ECFF258"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按国家有关部门规定的会计制度执行。</w:t>
      </w:r>
    </w:p>
    <w:p w14:paraId="6A910171"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（六）基金账册的建立</w:t>
      </w:r>
    </w:p>
    <w:p w14:paraId="57F14655"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管理人和基金托管人在基金合同生效后，应按照双方约定的同一记账方法和会计处理原则，分别独立地设置、登录和保管本基金的全套账册，对相关各方各自的账册定期进行核对，互相监督，以保证基金资产的安全。若基金管理人和基金托管人对会计处理方法存在分歧，应以基金管理人的处理方法为准。若当日核对不符，暂时无法查找到错账的原因而影响到基金资产净值的计算和公告的，以基金管理人的账册为准。</w:t>
      </w:r>
    </w:p>
    <w:p w14:paraId="5E241580"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（七）基金财务报表与报告的编制和复核</w:t>
      </w:r>
    </w:p>
    <w:p w14:paraId="2959BB8C"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1.财务报表的编制</w:t>
      </w:r>
    </w:p>
    <w:p w14:paraId="727CC0D9"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基金财务报表由基金管理人编制，基金托管人复核。</w:t>
      </w:r>
    </w:p>
    <w:p w14:paraId="36FF409D"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2.报表复核</w:t>
      </w:r>
    </w:p>
    <w:p w14:paraId="795EA392"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基金托管人在收到基金管理人编制的基金财务报表后，进行独立的复核。核对不符时，应及时通知基金管理人共同查出原因，进行调整，直至双方数据完全一致。</w:t>
      </w:r>
    </w:p>
    <w:p w14:paraId="3EB5FE64"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3.财务报表的编制与复核时间安排</w:t>
      </w:r>
    </w:p>
    <w:p w14:paraId="66ED20F6"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（1）报表的编制</w:t>
      </w:r>
    </w:p>
    <w:p w14:paraId="32166704" w14:textId="1D2150D0"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基金管理人应当在每月结束后5个工作日内完成月度报表的编制；在每个季度结束之日起15个工作日内完成基金季度报告的编制；在上</w:t>
      </w:r>
      <w:r w:rsidR="000368B3">
        <w:rPr>
          <w:rFonts w:ascii="宋体" w:hAnsi="宋体" w:hint="eastAsia"/>
          <w:szCs w:val="21"/>
        </w:rPr>
        <w:t>半年结束之日起两个月</w:t>
      </w:r>
      <w:r w:rsidRPr="00AB3329">
        <w:rPr>
          <w:rFonts w:ascii="宋体" w:hAnsi="宋体" w:hint="eastAsia"/>
          <w:szCs w:val="21"/>
        </w:rPr>
        <w:t>内完成基金</w:t>
      </w:r>
      <w:r w:rsidR="000368B3">
        <w:rPr>
          <w:rFonts w:ascii="宋体" w:hAnsi="宋体" w:hint="eastAsia"/>
          <w:szCs w:val="21"/>
        </w:rPr>
        <w:t>中期报告</w:t>
      </w:r>
      <w:r w:rsidRPr="00AB3329">
        <w:rPr>
          <w:rFonts w:ascii="宋体" w:hAnsi="宋体" w:hint="eastAsia"/>
          <w:szCs w:val="21"/>
        </w:rPr>
        <w:t>的编制；在每</w:t>
      </w:r>
      <w:r w:rsidR="000368B3">
        <w:rPr>
          <w:rFonts w:ascii="宋体" w:hAnsi="宋体" w:hint="eastAsia"/>
          <w:szCs w:val="21"/>
        </w:rPr>
        <w:t>年结束之日起三个月</w:t>
      </w:r>
      <w:r w:rsidRPr="00AB3329">
        <w:rPr>
          <w:rFonts w:ascii="宋体" w:hAnsi="宋体" w:hint="eastAsia"/>
          <w:szCs w:val="21"/>
        </w:rPr>
        <w:t>内完成基金年度报告的编制。基金年度报告的财务会计报告应当经过审计。基金合同生效不足两个月的，基金管理人可以不编制当期季度报告、</w:t>
      </w:r>
      <w:r w:rsidR="000368B3">
        <w:rPr>
          <w:rFonts w:ascii="宋体" w:hAnsi="宋体" w:hint="eastAsia"/>
          <w:szCs w:val="21"/>
        </w:rPr>
        <w:t>中期报告</w:t>
      </w:r>
      <w:r w:rsidRPr="00AB3329">
        <w:rPr>
          <w:rFonts w:ascii="宋体" w:hAnsi="宋体" w:hint="eastAsia"/>
          <w:szCs w:val="21"/>
        </w:rPr>
        <w:lastRenderedPageBreak/>
        <w:t>或者年度报告。</w:t>
      </w:r>
    </w:p>
    <w:p w14:paraId="207AE2A4"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（2）报表的复核</w:t>
      </w:r>
    </w:p>
    <w:p w14:paraId="25556D6B" w14:textId="2225F1AA"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基金管理人应及时完成报表编制，将有关报表提供基金托管人复核；基金托管人应当在2个工作日内完成月度报表的复核；在7个工作日内完成基金季度报告的复核；在收到报告之日起20日内完成基金</w:t>
      </w:r>
      <w:r w:rsidR="000368B3">
        <w:rPr>
          <w:rFonts w:ascii="宋体" w:hAnsi="宋体" w:hint="eastAsia"/>
          <w:szCs w:val="21"/>
        </w:rPr>
        <w:t>中期报告</w:t>
      </w:r>
      <w:r w:rsidRPr="00AB3329">
        <w:rPr>
          <w:rFonts w:ascii="宋体" w:hAnsi="宋体" w:hint="eastAsia"/>
          <w:szCs w:val="21"/>
        </w:rPr>
        <w:t>的复核；在收到报告之日起30日内完成基金年度报告的复核。基金托管人在复核过程中，发现双方的报表存在不符时，基金管理人和基金托管人应共同查明原因，进行调整，调整以国家有关规定为准。</w:t>
      </w:r>
    </w:p>
    <w:p w14:paraId="7A47A552" w14:textId="150B54EA" w:rsidR="007A0FD7" w:rsidRPr="00AB3329" w:rsidRDefault="000D10AE" w:rsidP="007A0FD7">
      <w:pPr>
        <w:spacing w:line="360" w:lineRule="auto"/>
        <w:ind w:firstLineChars="200" w:firstLine="420"/>
        <w:rPr>
          <w:rFonts w:ascii="宋体" w:hAnsi="宋体"/>
          <w:szCs w:val="21"/>
        </w:rPr>
      </w:pPr>
      <w:r w:rsidRPr="00AB3329">
        <w:rPr>
          <w:rFonts w:ascii="宋体" w:hAnsi="宋体" w:hint="eastAsia"/>
          <w:szCs w:val="21"/>
        </w:rPr>
        <w:t>（八）基金管理人与基金托管人各自计算基金业绩比较基准的数据并核对。</w:t>
      </w:r>
    </w:p>
    <w:p w14:paraId="715956D3" w14:textId="77777777" w:rsidR="000D10AE" w:rsidRPr="00EE1299" w:rsidRDefault="000D10AE" w:rsidP="000D10AE">
      <w:pPr>
        <w:pStyle w:val="a6"/>
        <w:adjustRightInd w:val="0"/>
        <w:snapToGrid w:val="0"/>
        <w:spacing w:line="360" w:lineRule="auto"/>
        <w:ind w:firstLine="0"/>
        <w:rPr>
          <w:rFonts w:cs="Arial"/>
          <w:szCs w:val="21"/>
        </w:rPr>
      </w:pPr>
      <w:r>
        <w:rPr>
          <w:rFonts w:cs="Arial"/>
          <w:szCs w:val="21"/>
        </w:rPr>
        <w:br w:type="page"/>
      </w:r>
    </w:p>
    <w:p w14:paraId="0B64C255" w14:textId="77777777" w:rsidR="000D10AE" w:rsidRPr="00AB3329" w:rsidRDefault="000D10AE" w:rsidP="000D10AE">
      <w:pPr>
        <w:pStyle w:val="21"/>
        <w:numPr>
          <w:ilvl w:val="1"/>
          <w:numId w:val="28"/>
        </w:numPr>
        <w:rPr>
          <w:rFonts w:ascii="Times New Roman" w:hAnsi="Times New Roman"/>
          <w:color w:val="000000"/>
        </w:rPr>
      </w:pPr>
      <w:bookmarkStart w:id="107" w:name="_Toc215903445"/>
      <w:bookmarkStart w:id="108" w:name="_Toc247440590"/>
      <w:bookmarkStart w:id="109" w:name="_Toc250711191"/>
      <w:r w:rsidRPr="00AB3329">
        <w:rPr>
          <w:rFonts w:ascii="Times New Roman" w:hAnsi="Times New Roman" w:hint="eastAsia"/>
          <w:color w:val="000000"/>
        </w:rPr>
        <w:lastRenderedPageBreak/>
        <w:t>基金收益分配</w:t>
      </w:r>
      <w:bookmarkEnd w:id="107"/>
      <w:bookmarkEnd w:id="108"/>
      <w:bookmarkEnd w:id="109"/>
    </w:p>
    <w:p w14:paraId="337FFD16"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基金收益分配是指按规定</w:t>
      </w:r>
      <w:r>
        <w:rPr>
          <w:rFonts w:ascii="宋体" w:hAnsi="宋体" w:hint="eastAsia"/>
          <w:szCs w:val="21"/>
        </w:rPr>
        <w:t>以</w:t>
      </w:r>
      <w:r w:rsidRPr="00AB3329">
        <w:rPr>
          <w:rFonts w:ascii="宋体" w:hAnsi="宋体" w:hint="eastAsia"/>
          <w:szCs w:val="21"/>
        </w:rPr>
        <w:t>基金的期末可供分配利润</w:t>
      </w:r>
      <w:r>
        <w:rPr>
          <w:rFonts w:ascii="宋体" w:hAnsi="宋体" w:hint="eastAsia"/>
          <w:szCs w:val="21"/>
        </w:rPr>
        <w:t>为基准，</w:t>
      </w:r>
      <w:r w:rsidRPr="00AB3329">
        <w:rPr>
          <w:rFonts w:ascii="宋体" w:hAnsi="宋体" w:hint="eastAsia"/>
          <w:szCs w:val="21"/>
        </w:rPr>
        <w:t>按基金份额进行比例分配。</w:t>
      </w:r>
    </w:p>
    <w:p w14:paraId="501D1666" w14:textId="77777777" w:rsidR="000D10AE" w:rsidRDefault="000D10AE" w:rsidP="000D10AE">
      <w:pPr>
        <w:spacing w:line="360" w:lineRule="auto"/>
        <w:ind w:firstLineChars="200" w:firstLine="420"/>
        <w:rPr>
          <w:rFonts w:ascii="宋体" w:hAnsi="宋体"/>
          <w:szCs w:val="21"/>
        </w:rPr>
      </w:pPr>
      <w:r>
        <w:rPr>
          <w:rFonts w:ascii="宋体" w:hAnsi="宋体" w:hint="eastAsia"/>
          <w:szCs w:val="21"/>
        </w:rPr>
        <w:t>（一）基金收益分配的原则</w:t>
      </w:r>
    </w:p>
    <w:p w14:paraId="06F125FE" w14:textId="77777777" w:rsidR="000D10AE" w:rsidRPr="00AF6382" w:rsidRDefault="000D10AE" w:rsidP="000D10AE">
      <w:pPr>
        <w:spacing w:line="360" w:lineRule="auto"/>
        <w:ind w:firstLineChars="200" w:firstLine="420"/>
        <w:rPr>
          <w:rFonts w:ascii="宋体" w:hAnsi="宋体"/>
          <w:szCs w:val="21"/>
        </w:rPr>
      </w:pPr>
      <w:r w:rsidRPr="00AF6382">
        <w:rPr>
          <w:rFonts w:ascii="宋体" w:hAnsi="宋体" w:hint="eastAsia"/>
          <w:szCs w:val="21"/>
        </w:rPr>
        <w:t>1、每一基金份额享有同等分配权；</w:t>
      </w:r>
    </w:p>
    <w:p w14:paraId="6C4B3A11" w14:textId="77777777" w:rsidR="000D10AE" w:rsidRPr="00AF6382" w:rsidRDefault="000D10AE" w:rsidP="000D10AE">
      <w:pPr>
        <w:spacing w:line="360" w:lineRule="auto"/>
        <w:ind w:firstLineChars="200" w:firstLine="420"/>
        <w:rPr>
          <w:rFonts w:ascii="宋体" w:hAnsi="宋体"/>
          <w:szCs w:val="21"/>
        </w:rPr>
      </w:pPr>
      <w:r w:rsidRPr="00AF6382">
        <w:rPr>
          <w:rFonts w:ascii="宋体" w:hAnsi="宋体" w:hint="eastAsia"/>
          <w:szCs w:val="21"/>
        </w:rPr>
        <w:t>2、若《基金合同》生效不满3个月可不进行收益分配；</w:t>
      </w:r>
    </w:p>
    <w:p w14:paraId="1CFF923E" w14:textId="77777777" w:rsidR="000D10AE" w:rsidRPr="00AF6382" w:rsidRDefault="000D10AE" w:rsidP="000D10AE">
      <w:pPr>
        <w:spacing w:line="360" w:lineRule="auto"/>
        <w:ind w:firstLineChars="200" w:firstLine="420"/>
        <w:rPr>
          <w:rFonts w:ascii="宋体" w:hAnsi="宋体"/>
          <w:szCs w:val="21"/>
        </w:rPr>
      </w:pPr>
      <w:r w:rsidRPr="00AF6382">
        <w:rPr>
          <w:rFonts w:ascii="宋体" w:hAnsi="宋体" w:hint="eastAsia"/>
          <w:szCs w:val="21"/>
        </w:rPr>
        <w:t>3、</w:t>
      </w:r>
      <w:r w:rsidRPr="00AF6382">
        <w:rPr>
          <w:rFonts w:ascii="宋体" w:hAnsi="宋体"/>
          <w:szCs w:val="21"/>
        </w:rPr>
        <w:t>基金收益分配后基金份额净值不能低于面值，即：</w:t>
      </w:r>
      <w:r w:rsidRPr="00AF6382">
        <w:rPr>
          <w:rFonts w:ascii="宋体" w:hAnsi="宋体" w:hint="eastAsia"/>
          <w:szCs w:val="21"/>
        </w:rPr>
        <w:t>基金收益分配基准日的基金份额净值减去每单位基金份额收益分配金额后不能低于面值，基金收益分配基准日即期末可供分配利润计算截止日；</w:t>
      </w:r>
    </w:p>
    <w:p w14:paraId="139A15F0" w14:textId="77777777" w:rsidR="000D10AE" w:rsidRPr="00AF6382" w:rsidRDefault="000D10AE" w:rsidP="000D10AE">
      <w:pPr>
        <w:spacing w:line="360" w:lineRule="auto"/>
        <w:ind w:firstLineChars="200" w:firstLine="420"/>
        <w:rPr>
          <w:rFonts w:ascii="宋体" w:hAnsi="宋体"/>
          <w:szCs w:val="21"/>
        </w:rPr>
      </w:pPr>
      <w:r w:rsidRPr="00AF6382">
        <w:rPr>
          <w:rFonts w:ascii="宋体" w:hAnsi="宋体" w:hint="eastAsia"/>
          <w:szCs w:val="21"/>
        </w:rPr>
        <w:t>4、在符合有关基金分红条件的前提下，基金收益分配每年最多</w:t>
      </w:r>
      <w:r>
        <w:rPr>
          <w:rFonts w:ascii="宋体" w:hAnsi="宋体" w:hint="eastAsia"/>
          <w:szCs w:val="21"/>
        </w:rPr>
        <w:t>12</w:t>
      </w:r>
      <w:r w:rsidRPr="00AF6382">
        <w:rPr>
          <w:rFonts w:ascii="宋体" w:hAnsi="宋体" w:hint="eastAsia"/>
          <w:szCs w:val="21"/>
        </w:rPr>
        <w:t>次，每次基金收益分配比例不得低于基金收益分配基准日可供分配利润的10%；</w:t>
      </w:r>
    </w:p>
    <w:p w14:paraId="1948619F" w14:textId="77777777" w:rsidR="000D10AE" w:rsidRPr="00AF6382" w:rsidRDefault="000D10AE" w:rsidP="000D10AE">
      <w:pPr>
        <w:spacing w:line="360" w:lineRule="auto"/>
        <w:ind w:firstLineChars="200" w:firstLine="420"/>
        <w:rPr>
          <w:rFonts w:ascii="宋体" w:hAnsi="宋体"/>
          <w:szCs w:val="21"/>
        </w:rPr>
      </w:pPr>
      <w:r w:rsidRPr="00AF6382">
        <w:rPr>
          <w:rFonts w:ascii="宋体" w:hAnsi="宋体" w:hint="eastAsia"/>
          <w:szCs w:val="21"/>
        </w:rPr>
        <w:t>5、基金收益分配方式分两种：现金分红与红利再投资。基金份额</w:t>
      </w:r>
      <w:r>
        <w:rPr>
          <w:rFonts w:ascii="宋体" w:hAnsi="宋体" w:hint="eastAsia"/>
          <w:szCs w:val="21"/>
        </w:rPr>
        <w:t>持有人</w:t>
      </w:r>
      <w:r w:rsidRPr="00AF6382">
        <w:rPr>
          <w:rFonts w:ascii="宋体" w:hAnsi="宋体" w:hint="eastAsia"/>
          <w:szCs w:val="21"/>
        </w:rPr>
        <w:t>可选择现金红利或将现金红利按除权日的基金份额净值自动转为基金份额进行再投资；若投资者不选择，本基金默认的收益分配方式是现金分红。</w:t>
      </w:r>
    </w:p>
    <w:p w14:paraId="08D5C48A" w14:textId="77777777" w:rsidR="000D10AE" w:rsidRPr="00B60E79" w:rsidRDefault="000D10AE" w:rsidP="000D10AE">
      <w:pPr>
        <w:spacing w:line="360" w:lineRule="auto"/>
        <w:ind w:firstLineChars="200" w:firstLine="420"/>
        <w:rPr>
          <w:rFonts w:ascii="宋体" w:hAnsi="宋体"/>
          <w:szCs w:val="21"/>
        </w:rPr>
      </w:pPr>
      <w:r w:rsidRPr="00AF6382">
        <w:rPr>
          <w:rFonts w:ascii="宋体" w:hAnsi="宋体" w:hint="eastAsia"/>
          <w:szCs w:val="21"/>
        </w:rPr>
        <w:t>6、法律法规或监管机关另有规定的，从其规定。</w:t>
      </w:r>
    </w:p>
    <w:p w14:paraId="0BE1A951" w14:textId="77777777" w:rsidR="000D10AE" w:rsidRPr="00AB3329" w:rsidRDefault="000D10AE" w:rsidP="000D10AE">
      <w:pPr>
        <w:spacing w:line="360" w:lineRule="auto"/>
        <w:ind w:firstLineChars="200" w:firstLine="420"/>
        <w:rPr>
          <w:rFonts w:ascii="宋体" w:hAnsi="宋体"/>
          <w:szCs w:val="21"/>
        </w:rPr>
      </w:pPr>
      <w:r w:rsidRPr="00AB3329">
        <w:rPr>
          <w:rFonts w:ascii="宋体" w:hAnsi="宋体" w:hint="eastAsia"/>
          <w:szCs w:val="21"/>
        </w:rPr>
        <w:t>（二）基金收益分配的时间和程序</w:t>
      </w:r>
    </w:p>
    <w:p w14:paraId="6B295154" w14:textId="1457ADE5" w:rsidR="000D10AE" w:rsidRDefault="000D10AE" w:rsidP="000D10AE">
      <w:pPr>
        <w:spacing w:line="360" w:lineRule="auto"/>
        <w:ind w:firstLineChars="200" w:firstLine="420"/>
        <w:rPr>
          <w:rFonts w:ascii="宋体" w:hAnsi="宋体"/>
          <w:szCs w:val="21"/>
        </w:rPr>
      </w:pPr>
      <w:r w:rsidRPr="00593366">
        <w:rPr>
          <w:rFonts w:ascii="宋体" w:hAnsi="宋体"/>
          <w:szCs w:val="21"/>
        </w:rPr>
        <w:t>1</w:t>
      </w:r>
      <w:r w:rsidRPr="00593366">
        <w:rPr>
          <w:rFonts w:ascii="宋体" w:hAnsi="宋体" w:hint="eastAsia"/>
          <w:szCs w:val="21"/>
        </w:rPr>
        <w:t>、本基金收益分配方案由基金管理人拟定、由基金托管人核实后确定，</w:t>
      </w:r>
      <w:r w:rsidRPr="00B60E79">
        <w:rPr>
          <w:rFonts w:ascii="宋体" w:hAnsi="宋体" w:hint="eastAsia"/>
          <w:szCs w:val="21"/>
        </w:rPr>
        <w:t>依照《信息披露办法》的有关规定</w:t>
      </w:r>
      <w:r w:rsidR="000368B3">
        <w:rPr>
          <w:rFonts w:ascii="宋体" w:hAnsi="宋体" w:hint="eastAsia"/>
          <w:szCs w:val="21"/>
        </w:rPr>
        <w:t>在指定媒体上公告</w:t>
      </w:r>
      <w:r w:rsidRPr="00B60E79">
        <w:rPr>
          <w:rFonts w:ascii="宋体" w:hAnsi="宋体" w:hint="eastAsia"/>
          <w:szCs w:val="21"/>
        </w:rPr>
        <w:t>。</w:t>
      </w:r>
    </w:p>
    <w:p w14:paraId="2B21F99B" w14:textId="77777777" w:rsidR="000D10AE" w:rsidRPr="00593366" w:rsidRDefault="000D10AE" w:rsidP="000D10AE">
      <w:pPr>
        <w:spacing w:line="360" w:lineRule="auto"/>
        <w:ind w:firstLineChars="200" w:firstLine="420"/>
        <w:rPr>
          <w:rFonts w:ascii="宋体" w:hAnsi="宋体"/>
          <w:szCs w:val="21"/>
        </w:rPr>
      </w:pPr>
      <w:r w:rsidRPr="00593366">
        <w:rPr>
          <w:rFonts w:ascii="宋体" w:hAnsi="宋体"/>
          <w:szCs w:val="21"/>
        </w:rPr>
        <w:t>2</w:t>
      </w:r>
      <w:r w:rsidRPr="00593366">
        <w:rPr>
          <w:rFonts w:ascii="宋体" w:hAnsi="宋体" w:hint="eastAsia"/>
          <w:szCs w:val="21"/>
        </w:rPr>
        <w:t>、</w:t>
      </w:r>
      <w:r w:rsidRPr="00AF6382">
        <w:rPr>
          <w:rFonts w:ascii="宋体" w:hAnsi="宋体" w:hint="eastAsia"/>
          <w:szCs w:val="21"/>
        </w:rPr>
        <w:t>基金红利发放日距离收益分配基准日的时间不超过15个工作日；</w:t>
      </w:r>
    </w:p>
    <w:p w14:paraId="1540FA48" w14:textId="53C43029" w:rsidR="0094269D" w:rsidRPr="00B60E79" w:rsidRDefault="000D10AE" w:rsidP="0094269D">
      <w:pPr>
        <w:spacing w:line="360" w:lineRule="auto"/>
        <w:ind w:firstLineChars="200" w:firstLine="420"/>
        <w:rPr>
          <w:rFonts w:ascii="宋体" w:hAnsi="宋体"/>
          <w:szCs w:val="21"/>
        </w:rPr>
      </w:pPr>
      <w:r>
        <w:rPr>
          <w:rFonts w:ascii="宋体" w:hAnsi="宋体" w:hint="eastAsia"/>
          <w:szCs w:val="21"/>
        </w:rPr>
        <w:t>3</w:t>
      </w:r>
      <w:r w:rsidRPr="00593366">
        <w:rPr>
          <w:rFonts w:ascii="宋体" w:hAnsi="宋体" w:hint="eastAsia"/>
          <w:szCs w:val="21"/>
        </w:rPr>
        <w:t>、</w:t>
      </w:r>
      <w:r w:rsidRPr="00B60E79">
        <w:rPr>
          <w:rFonts w:ascii="宋体" w:hAnsi="宋体"/>
          <w:szCs w:val="21"/>
        </w:rPr>
        <w:t>在</w:t>
      </w:r>
      <w:r w:rsidRPr="00B60E79">
        <w:rPr>
          <w:rFonts w:ascii="宋体" w:hAnsi="宋体" w:hint="eastAsia"/>
          <w:szCs w:val="21"/>
        </w:rPr>
        <w:t>收益</w:t>
      </w:r>
      <w:r w:rsidRPr="00B60E79">
        <w:rPr>
          <w:rFonts w:ascii="宋体" w:hAnsi="宋体"/>
          <w:szCs w:val="21"/>
        </w:rPr>
        <w:t>分配方案公布后，基金管理人</w:t>
      </w:r>
      <w:r w:rsidRPr="00B60E79">
        <w:rPr>
          <w:rFonts w:ascii="宋体" w:hAnsi="宋体" w:hint="eastAsia"/>
          <w:szCs w:val="21"/>
        </w:rPr>
        <w:t>依据具体方案的规定</w:t>
      </w:r>
      <w:r w:rsidRPr="00B60E79">
        <w:rPr>
          <w:rFonts w:ascii="宋体" w:hAnsi="宋体"/>
          <w:szCs w:val="21"/>
        </w:rPr>
        <w:t>就支付的现金红利向基金托管人发送划款指令，基金托管人按照基金管理人的指令及时进行分红资金的划付</w:t>
      </w:r>
      <w:r w:rsidRPr="00B60E79">
        <w:rPr>
          <w:rFonts w:ascii="宋体" w:hAnsi="宋体" w:hint="eastAsia"/>
          <w:szCs w:val="21"/>
        </w:rPr>
        <w:t>。</w:t>
      </w:r>
    </w:p>
    <w:p w14:paraId="076E791B" w14:textId="77777777" w:rsidR="000D10AE" w:rsidRPr="00EE1299" w:rsidRDefault="000D10AE" w:rsidP="000D10AE">
      <w:pPr>
        <w:adjustRightInd w:val="0"/>
        <w:snapToGrid w:val="0"/>
        <w:spacing w:line="360" w:lineRule="auto"/>
        <w:rPr>
          <w:rFonts w:cs="Arial"/>
          <w:szCs w:val="21"/>
        </w:rPr>
      </w:pPr>
      <w:r>
        <w:rPr>
          <w:rFonts w:cs="Arial"/>
          <w:szCs w:val="21"/>
        </w:rPr>
        <w:br w:type="page"/>
      </w:r>
    </w:p>
    <w:p w14:paraId="3428C2D2" w14:textId="77777777" w:rsidR="000D10AE" w:rsidRPr="00AB3329" w:rsidRDefault="000D10AE" w:rsidP="000D10AE">
      <w:pPr>
        <w:pStyle w:val="21"/>
        <w:numPr>
          <w:ilvl w:val="1"/>
          <w:numId w:val="28"/>
        </w:numPr>
        <w:rPr>
          <w:rFonts w:ascii="Times New Roman" w:hAnsi="Times New Roman"/>
          <w:color w:val="000000"/>
        </w:rPr>
      </w:pPr>
      <w:bookmarkStart w:id="110" w:name="_Toc215903446"/>
      <w:bookmarkStart w:id="111" w:name="_Toc247440591"/>
      <w:bookmarkStart w:id="112" w:name="_Toc250711192"/>
      <w:r w:rsidRPr="00AB3329">
        <w:rPr>
          <w:rFonts w:ascii="Times New Roman" w:hAnsi="Times New Roman" w:hint="eastAsia"/>
          <w:color w:val="000000"/>
        </w:rPr>
        <w:lastRenderedPageBreak/>
        <w:t>基金信息披露</w:t>
      </w:r>
      <w:bookmarkEnd w:id="110"/>
      <w:bookmarkEnd w:id="111"/>
      <w:bookmarkEnd w:id="112"/>
    </w:p>
    <w:p w14:paraId="1AC6CD1B"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（一）保密义务</w:t>
      </w:r>
    </w:p>
    <w:p w14:paraId="57B73DFA"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2BD1905D" w14:textId="77777777" w:rsidR="000D10AE" w:rsidRPr="00AB3329" w:rsidRDefault="000D10AE" w:rsidP="000D10AE">
      <w:pPr>
        <w:pStyle w:val="a6"/>
        <w:spacing w:line="360" w:lineRule="auto"/>
        <w:rPr>
          <w:rFonts w:hAnsi="宋体" w:cs="Arial"/>
          <w:szCs w:val="21"/>
        </w:rPr>
      </w:pPr>
      <w:r w:rsidRPr="00AB3329">
        <w:rPr>
          <w:rFonts w:hAnsi="宋体" w:cs="Arial" w:hint="eastAsia"/>
          <w:szCs w:val="21"/>
        </w:rPr>
        <w:t>1.</w:t>
      </w:r>
      <w:r w:rsidRPr="00EE1299">
        <w:rPr>
          <w:rFonts w:hAnsi="宋体" w:cs="Arial" w:hint="eastAsia"/>
          <w:szCs w:val="21"/>
        </w:rPr>
        <w:t>非因基金管理人和基金托管人的原因导致保密信息被披露、泄露或公开；</w:t>
      </w:r>
    </w:p>
    <w:p w14:paraId="219C12E2" w14:textId="77777777" w:rsidR="000D10AE" w:rsidRPr="000118F6" w:rsidRDefault="000D10AE" w:rsidP="000D10AE">
      <w:pPr>
        <w:pStyle w:val="a6"/>
        <w:spacing w:line="360" w:lineRule="auto"/>
        <w:rPr>
          <w:rFonts w:hAnsi="宋体" w:cs="Arial"/>
          <w:szCs w:val="21"/>
        </w:rPr>
      </w:pPr>
      <w:r w:rsidRPr="000118F6">
        <w:rPr>
          <w:rFonts w:hAnsi="宋体" w:cs="Arial" w:hint="eastAsia"/>
          <w:szCs w:val="21"/>
        </w:rPr>
        <w:t>2.</w:t>
      </w:r>
      <w:r w:rsidRPr="00EE1299">
        <w:rPr>
          <w:rFonts w:hAnsi="宋体" w:cs="Arial" w:hint="eastAsia"/>
          <w:szCs w:val="21"/>
        </w:rPr>
        <w:t>基金管理人和基金托管人为遵守和服从法院判决或裁定、仲裁裁决或中国证监会等监管机构的命令、决定所做出的信息披露或公开。</w:t>
      </w:r>
    </w:p>
    <w:p w14:paraId="7B8D2C6F" w14:textId="77777777" w:rsidR="000D10AE" w:rsidRPr="000118F6" w:rsidRDefault="000D10AE" w:rsidP="000D10AE">
      <w:pPr>
        <w:pStyle w:val="a6"/>
        <w:spacing w:line="360" w:lineRule="auto"/>
        <w:rPr>
          <w:rFonts w:hAnsi="宋体" w:cs="Arial"/>
          <w:szCs w:val="21"/>
        </w:rPr>
      </w:pPr>
      <w:r w:rsidRPr="00EE1299">
        <w:rPr>
          <w:rFonts w:hAnsi="宋体" w:cs="Arial" w:hint="eastAsia"/>
          <w:szCs w:val="21"/>
        </w:rPr>
        <w:t>（二）信息披露的内容</w:t>
      </w:r>
    </w:p>
    <w:p w14:paraId="71EE9156" w14:textId="3DF59A8A" w:rsidR="000D10AE" w:rsidRPr="000118F6" w:rsidRDefault="000D10AE" w:rsidP="000D10AE">
      <w:pPr>
        <w:pStyle w:val="a6"/>
        <w:spacing w:line="360" w:lineRule="auto"/>
        <w:rPr>
          <w:rFonts w:hAnsi="宋体" w:cs="Arial"/>
          <w:szCs w:val="21"/>
        </w:rPr>
      </w:pPr>
      <w:r w:rsidRPr="00EE1299">
        <w:rPr>
          <w:rFonts w:hAnsi="宋体" w:cs="Arial" w:hint="eastAsia"/>
          <w:szCs w:val="21"/>
        </w:rPr>
        <w:t>基金的信息披露内容主要包括基金招募说明书、基金合同、</w:t>
      </w:r>
      <w:r w:rsidR="000368B3">
        <w:rPr>
          <w:rFonts w:hAnsi="宋体" w:cs="Arial" w:hint="eastAsia"/>
          <w:szCs w:val="21"/>
        </w:rPr>
        <w:t>托管协议、基金产品资料概要、基金份额发售公告</w:t>
      </w:r>
      <w:r w:rsidRPr="00EE1299">
        <w:rPr>
          <w:rFonts w:hAnsi="宋体" w:cs="Arial" w:hint="eastAsia"/>
          <w:szCs w:val="21"/>
        </w:rPr>
        <w:t>、基金募集情况、基金合同生效公告、基金</w:t>
      </w:r>
      <w:r w:rsidR="001368B4">
        <w:rPr>
          <w:rFonts w:hAnsi="宋体" w:cs="Arial" w:hint="eastAsia"/>
          <w:szCs w:val="21"/>
        </w:rPr>
        <w:t>净值信息</w:t>
      </w:r>
      <w:r w:rsidRPr="00EE1299">
        <w:rPr>
          <w:rFonts w:hAnsi="宋体" w:cs="Arial" w:hint="eastAsia"/>
          <w:szCs w:val="21"/>
        </w:rPr>
        <w:t>、基金份额申购、赎回价格、基金定期报告、包括基金年度报告、基金</w:t>
      </w:r>
      <w:r w:rsidR="000368B3">
        <w:rPr>
          <w:rFonts w:hAnsi="宋体" w:cs="Arial" w:hint="eastAsia"/>
          <w:szCs w:val="21"/>
        </w:rPr>
        <w:t>中期报告</w:t>
      </w:r>
      <w:r w:rsidRPr="00EE1299">
        <w:rPr>
          <w:rFonts w:hAnsi="宋体" w:cs="Arial" w:hint="eastAsia"/>
          <w:szCs w:val="21"/>
        </w:rPr>
        <w:t>和基金季度报告、临时报告、澄清公告、基金份额持有人大会决议、中国证监会规定的其他信息。基金年度报告需经</w:t>
      </w:r>
      <w:r w:rsidR="000368B3">
        <w:rPr>
          <w:rFonts w:hAnsi="宋体" w:cs="Arial" w:hint="eastAsia"/>
          <w:szCs w:val="21"/>
        </w:rPr>
        <w:t>具有从事证券、期货相关业务资格</w:t>
      </w:r>
      <w:r w:rsidRPr="00EE1299">
        <w:rPr>
          <w:rFonts w:hAnsi="宋体" w:cs="Arial" w:hint="eastAsia"/>
          <w:szCs w:val="21"/>
        </w:rPr>
        <w:t>的会计师事务所审计后，方可披露。</w:t>
      </w:r>
    </w:p>
    <w:p w14:paraId="684A898D" w14:textId="77777777" w:rsidR="000D10AE" w:rsidRPr="000118F6" w:rsidRDefault="000D10AE" w:rsidP="000D10AE">
      <w:pPr>
        <w:pStyle w:val="a6"/>
        <w:spacing w:line="360" w:lineRule="auto"/>
        <w:rPr>
          <w:rFonts w:hAnsi="宋体" w:cs="Arial"/>
          <w:szCs w:val="21"/>
        </w:rPr>
      </w:pPr>
      <w:r w:rsidRPr="00EE1299">
        <w:rPr>
          <w:rFonts w:hAnsi="宋体" w:cs="Arial" w:hint="eastAsia"/>
          <w:szCs w:val="21"/>
        </w:rPr>
        <w:t>（三）基金托管人和基金管理人在信息披露中的职责和信息披露程序</w:t>
      </w:r>
    </w:p>
    <w:p w14:paraId="0E8BC310" w14:textId="77777777" w:rsidR="000D10AE" w:rsidRPr="000118F6" w:rsidRDefault="000D10AE" w:rsidP="000D10AE">
      <w:pPr>
        <w:pStyle w:val="a6"/>
        <w:spacing w:line="360" w:lineRule="auto"/>
        <w:rPr>
          <w:rFonts w:hAnsi="宋体" w:cs="Arial"/>
          <w:szCs w:val="21"/>
        </w:rPr>
      </w:pPr>
      <w:r w:rsidRPr="000118F6">
        <w:rPr>
          <w:rFonts w:hAnsi="宋体" w:cs="Arial" w:hint="eastAsia"/>
          <w:szCs w:val="21"/>
        </w:rPr>
        <w:t>1.</w:t>
      </w:r>
      <w:r w:rsidRPr="00EE1299">
        <w:rPr>
          <w:rFonts w:hAnsi="宋体" w:cs="Arial" w:hint="eastAsia"/>
          <w:szCs w:val="21"/>
        </w:rPr>
        <w:t>职责</w:t>
      </w:r>
    </w:p>
    <w:p w14:paraId="22C6F250"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基金托管人和基金管理人在信息披露过程中应以保护基金份额持有人利益为宗旨，诚实信用，严守秘密。基金管理人负责办理与基金有关的信息披露事宜，对于</w:t>
      </w:r>
      <w:r>
        <w:rPr>
          <w:rFonts w:hAnsi="宋体" w:cs="Arial" w:hint="eastAsia"/>
          <w:szCs w:val="21"/>
        </w:rPr>
        <w:t>根据</w:t>
      </w:r>
      <w:r w:rsidRPr="00EE1299">
        <w:rPr>
          <w:rFonts w:hAnsi="宋体" w:cs="Arial" w:hint="eastAsia"/>
          <w:szCs w:val="21"/>
        </w:rPr>
        <w:t>相关法律法规和基金合同规定的</w:t>
      </w:r>
      <w:r>
        <w:rPr>
          <w:rFonts w:hAnsi="宋体" w:cs="Arial" w:hint="eastAsia"/>
          <w:szCs w:val="21"/>
        </w:rPr>
        <w:t>需要</w:t>
      </w:r>
      <w:r w:rsidRPr="00EE1299">
        <w:rPr>
          <w:rFonts w:hAnsi="宋体" w:cs="Arial" w:hint="eastAsia"/>
          <w:szCs w:val="21"/>
        </w:rPr>
        <w:t>由基金托管人复核的</w:t>
      </w:r>
      <w:r>
        <w:rPr>
          <w:rFonts w:hAnsi="宋体" w:cs="Arial" w:hint="eastAsia"/>
          <w:szCs w:val="21"/>
        </w:rPr>
        <w:t>信息披露文件，在经</w:t>
      </w:r>
      <w:r w:rsidRPr="00EE1299">
        <w:rPr>
          <w:rFonts w:hAnsi="宋体" w:cs="Arial" w:hint="eastAsia"/>
          <w:szCs w:val="21"/>
        </w:rPr>
        <w:t>基金托管人复核无误后，由基金管理人予以公布。</w:t>
      </w:r>
    </w:p>
    <w:p w14:paraId="454AB510"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对于不需要基金托管人</w:t>
      </w:r>
      <w:r w:rsidRPr="00AB3329">
        <w:rPr>
          <w:rFonts w:hAnsi="宋体" w:cs="Arial" w:hint="eastAsia"/>
          <w:szCs w:val="21"/>
        </w:rPr>
        <w:t>(</w:t>
      </w:r>
      <w:r w:rsidRPr="00EE1299">
        <w:rPr>
          <w:rFonts w:hAnsi="宋体" w:cs="Arial" w:hint="eastAsia"/>
          <w:szCs w:val="21"/>
        </w:rPr>
        <w:t>或基金管理人</w:t>
      </w:r>
      <w:r w:rsidRPr="00AB3329">
        <w:rPr>
          <w:rFonts w:hAnsi="宋体" w:cs="Arial" w:hint="eastAsia"/>
          <w:szCs w:val="21"/>
        </w:rPr>
        <w:t>)</w:t>
      </w:r>
      <w:r w:rsidRPr="00EE1299">
        <w:rPr>
          <w:rFonts w:hAnsi="宋体" w:cs="Arial" w:hint="eastAsia"/>
          <w:szCs w:val="21"/>
        </w:rPr>
        <w:t>复核的信息，基金管理人</w:t>
      </w:r>
      <w:r w:rsidRPr="00AB3329">
        <w:rPr>
          <w:rFonts w:hAnsi="宋体" w:cs="Arial" w:hint="eastAsia"/>
          <w:szCs w:val="21"/>
        </w:rPr>
        <w:t>(</w:t>
      </w:r>
      <w:r w:rsidRPr="00EE1299">
        <w:rPr>
          <w:rFonts w:hAnsi="宋体" w:cs="Arial" w:hint="eastAsia"/>
          <w:szCs w:val="21"/>
        </w:rPr>
        <w:t>或基金托管人</w:t>
      </w:r>
      <w:r w:rsidRPr="00AB3329">
        <w:rPr>
          <w:rFonts w:hAnsi="宋体" w:cs="Arial" w:hint="eastAsia"/>
          <w:szCs w:val="21"/>
        </w:rPr>
        <w:t>)</w:t>
      </w:r>
      <w:r w:rsidRPr="00EE1299">
        <w:rPr>
          <w:rFonts w:hAnsi="宋体" w:cs="Arial" w:hint="eastAsia"/>
          <w:szCs w:val="21"/>
        </w:rPr>
        <w:t>在公告前应告知基金托管人</w:t>
      </w:r>
      <w:r w:rsidRPr="00AB3329">
        <w:rPr>
          <w:rFonts w:hAnsi="宋体" w:cs="Arial" w:hint="eastAsia"/>
          <w:szCs w:val="21"/>
        </w:rPr>
        <w:t>(</w:t>
      </w:r>
      <w:r w:rsidRPr="00EE1299">
        <w:rPr>
          <w:rFonts w:hAnsi="宋体" w:cs="Arial" w:hint="eastAsia"/>
          <w:szCs w:val="21"/>
        </w:rPr>
        <w:t>或基金管理人</w:t>
      </w:r>
      <w:r w:rsidRPr="00AB3329">
        <w:rPr>
          <w:rFonts w:hAnsi="宋体" w:cs="Arial" w:hint="eastAsia"/>
          <w:szCs w:val="21"/>
        </w:rPr>
        <w:t>)</w:t>
      </w:r>
      <w:r w:rsidRPr="00EE1299">
        <w:rPr>
          <w:rFonts w:hAnsi="宋体" w:cs="Arial" w:hint="eastAsia"/>
          <w:szCs w:val="21"/>
        </w:rPr>
        <w:t>。</w:t>
      </w:r>
    </w:p>
    <w:p w14:paraId="5E110406"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基金管理人和基金托管人应积极配合、互相监督，保证其履行按照法定方式和限时披露的义务。</w:t>
      </w:r>
    </w:p>
    <w:p w14:paraId="4DD43285"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基金管理人应当在中国证监会规定的时间内，将应予披露的基金信息通过</w:t>
      </w:r>
      <w:r>
        <w:rPr>
          <w:rFonts w:hAnsi="宋体" w:cs="Arial" w:hint="eastAsia"/>
          <w:szCs w:val="21"/>
        </w:rPr>
        <w:t>指定媒体</w:t>
      </w:r>
      <w:r w:rsidRPr="00EE1299">
        <w:rPr>
          <w:rFonts w:hAnsi="宋体" w:cs="Arial" w:hint="eastAsia"/>
          <w:szCs w:val="21"/>
        </w:rPr>
        <w:t>披露。根据法律法规应由基金托管人公开披露的信息，基金托管人将通过基金托管人的互联网网站公开披露。</w:t>
      </w:r>
    </w:p>
    <w:p w14:paraId="60A2F813"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当出现下述情况时，基金管理人和基金托管人可暂停或延迟披露基金相关信息：</w:t>
      </w:r>
    </w:p>
    <w:p w14:paraId="6713CFFC" w14:textId="77777777" w:rsidR="000D10AE" w:rsidRPr="00AB3329" w:rsidRDefault="000D10AE" w:rsidP="000D10AE">
      <w:pPr>
        <w:pStyle w:val="a6"/>
        <w:spacing w:line="360" w:lineRule="auto"/>
        <w:rPr>
          <w:rFonts w:hAnsi="宋体" w:cs="Arial"/>
          <w:szCs w:val="21"/>
        </w:rPr>
      </w:pPr>
      <w:r w:rsidRPr="00AB3329">
        <w:rPr>
          <w:rFonts w:hAnsi="宋体" w:cs="Arial" w:hint="eastAsia"/>
          <w:szCs w:val="21"/>
        </w:rPr>
        <w:lastRenderedPageBreak/>
        <w:t>(1)</w:t>
      </w:r>
      <w:r w:rsidRPr="00EE1299">
        <w:rPr>
          <w:rFonts w:hAnsi="宋体" w:cs="Arial" w:hint="eastAsia"/>
          <w:szCs w:val="21"/>
        </w:rPr>
        <w:t>不可抗力；</w:t>
      </w:r>
    </w:p>
    <w:p w14:paraId="7E1EE3A4" w14:textId="77777777" w:rsidR="000D10AE" w:rsidRPr="00AB3329" w:rsidRDefault="000D10AE" w:rsidP="000D10AE">
      <w:pPr>
        <w:pStyle w:val="a6"/>
        <w:spacing w:line="360" w:lineRule="auto"/>
        <w:rPr>
          <w:rFonts w:hAnsi="宋体" w:cs="Arial"/>
          <w:szCs w:val="21"/>
        </w:rPr>
      </w:pPr>
      <w:r w:rsidRPr="00AB3329">
        <w:rPr>
          <w:rFonts w:hAnsi="宋体" w:cs="Arial" w:hint="eastAsia"/>
          <w:szCs w:val="21"/>
        </w:rPr>
        <w:t>(2)</w:t>
      </w:r>
      <w:r w:rsidRPr="00EE1299">
        <w:rPr>
          <w:rFonts w:hAnsi="宋体" w:cs="Arial" w:hint="eastAsia"/>
          <w:szCs w:val="21"/>
        </w:rPr>
        <w:t>基金投资所涉及的证券交易市场遇法定节假日或因其他原因暂停营业时；</w:t>
      </w:r>
    </w:p>
    <w:p w14:paraId="020FF667" w14:textId="77777777" w:rsidR="000D10AE" w:rsidRPr="00AB3329" w:rsidRDefault="000D10AE" w:rsidP="000D10AE">
      <w:pPr>
        <w:pStyle w:val="a6"/>
        <w:spacing w:line="360" w:lineRule="auto"/>
        <w:rPr>
          <w:rFonts w:hAnsi="宋体" w:cs="Arial"/>
          <w:szCs w:val="21"/>
        </w:rPr>
      </w:pPr>
      <w:r w:rsidRPr="00AB3329">
        <w:rPr>
          <w:rFonts w:hAnsi="宋体" w:cs="Arial" w:hint="eastAsia"/>
          <w:szCs w:val="21"/>
        </w:rPr>
        <w:t>(3)</w:t>
      </w:r>
      <w:r w:rsidRPr="00EE1299">
        <w:rPr>
          <w:rFonts w:hAnsi="宋体" w:cs="Arial" w:hint="eastAsia"/>
          <w:szCs w:val="21"/>
        </w:rPr>
        <w:t>出现基金管理人认为属于会导致基金管理人不能出售或评估基金资产的紧急事故的任何情况；</w:t>
      </w:r>
    </w:p>
    <w:p w14:paraId="396C8F95" w14:textId="77777777" w:rsidR="000D10AE" w:rsidRPr="00AB3329" w:rsidRDefault="000D10AE" w:rsidP="000D10AE">
      <w:pPr>
        <w:pStyle w:val="a6"/>
        <w:spacing w:line="360" w:lineRule="auto"/>
        <w:rPr>
          <w:rFonts w:hAnsi="宋体" w:cs="Arial"/>
          <w:szCs w:val="21"/>
        </w:rPr>
      </w:pPr>
      <w:r w:rsidRPr="00AB3329">
        <w:rPr>
          <w:rFonts w:hAnsi="宋体" w:cs="Arial" w:hint="eastAsia"/>
          <w:szCs w:val="21"/>
        </w:rPr>
        <w:t>(4)</w:t>
      </w:r>
      <w:r w:rsidRPr="00EE1299">
        <w:rPr>
          <w:rFonts w:hAnsi="宋体" w:cs="Arial" w:hint="eastAsia"/>
          <w:szCs w:val="21"/>
        </w:rPr>
        <w:t>法律法规、基金合同或中国证监会规定的情况。</w:t>
      </w:r>
    </w:p>
    <w:p w14:paraId="14CD0985" w14:textId="77777777" w:rsidR="000D10AE" w:rsidRPr="00AB3329" w:rsidRDefault="000D10AE" w:rsidP="000D10AE">
      <w:pPr>
        <w:pStyle w:val="a6"/>
        <w:spacing w:line="360" w:lineRule="auto"/>
        <w:rPr>
          <w:rFonts w:hAnsi="宋体" w:cs="Arial"/>
          <w:szCs w:val="21"/>
        </w:rPr>
      </w:pPr>
      <w:r w:rsidRPr="00AB3329">
        <w:rPr>
          <w:rFonts w:hAnsi="宋体" w:cs="Arial" w:hint="eastAsia"/>
          <w:szCs w:val="21"/>
        </w:rPr>
        <w:t>2.</w:t>
      </w:r>
      <w:r w:rsidRPr="00EE1299">
        <w:rPr>
          <w:rFonts w:hAnsi="宋体" w:cs="Arial" w:hint="eastAsia"/>
          <w:szCs w:val="21"/>
        </w:rPr>
        <w:t>程序</w:t>
      </w:r>
    </w:p>
    <w:p w14:paraId="18F2FB40" w14:textId="77777777" w:rsidR="000D10AE" w:rsidRPr="00AB3329" w:rsidRDefault="000D10AE" w:rsidP="000D10AE">
      <w:pPr>
        <w:pStyle w:val="a6"/>
        <w:spacing w:line="360" w:lineRule="auto"/>
        <w:rPr>
          <w:rFonts w:hAnsi="宋体" w:cs="Arial"/>
          <w:szCs w:val="21"/>
        </w:rPr>
      </w:pPr>
      <w:r w:rsidRPr="00EE1299">
        <w:rPr>
          <w:rFonts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3C9D881D" w14:textId="77777777" w:rsidR="000D10AE" w:rsidRPr="00AB3329" w:rsidRDefault="000D10AE" w:rsidP="000D10AE">
      <w:pPr>
        <w:pStyle w:val="a6"/>
        <w:spacing w:line="360" w:lineRule="auto"/>
        <w:rPr>
          <w:rFonts w:hAnsi="宋体" w:cs="Arial"/>
          <w:szCs w:val="21"/>
        </w:rPr>
      </w:pPr>
      <w:r w:rsidRPr="00AB3329">
        <w:rPr>
          <w:rFonts w:hAnsi="宋体" w:cs="Arial" w:hint="eastAsia"/>
          <w:szCs w:val="21"/>
        </w:rPr>
        <w:t>3.</w:t>
      </w:r>
      <w:r w:rsidRPr="00EE1299">
        <w:rPr>
          <w:rFonts w:hAnsi="宋体" w:cs="Arial" w:hint="eastAsia"/>
          <w:szCs w:val="21"/>
        </w:rPr>
        <w:t>信息文本的存放</w:t>
      </w:r>
    </w:p>
    <w:p w14:paraId="1E4C970F" w14:textId="13C88B0B" w:rsidR="0094269D" w:rsidRPr="008456C1" w:rsidRDefault="00E14BA3" w:rsidP="0094269D">
      <w:pPr>
        <w:pStyle w:val="a6"/>
        <w:snapToGrid w:val="0"/>
        <w:spacing w:line="360" w:lineRule="auto"/>
      </w:pPr>
      <w:r>
        <w:rPr>
          <w:rFonts w:ascii="宋体" w:hAnsi="宋体"/>
          <w:szCs w:val="21"/>
        </w:rPr>
        <w:t>依法必须披露的信息发布后，基金管理人、基金托管人应当按照相关法律法规规定将信息置备于各自住所，供社会公众查阅、复制</w:t>
      </w:r>
      <w:r w:rsidRPr="00B934BB">
        <w:rPr>
          <w:rFonts w:ascii="宋体" w:hAnsi="宋体" w:cs="Arial" w:hint="eastAsia"/>
          <w:szCs w:val="21"/>
        </w:rPr>
        <w:t>。</w:t>
      </w:r>
    </w:p>
    <w:p w14:paraId="58ECDCEB" w14:textId="44922D67" w:rsidR="000D10AE" w:rsidRPr="00EE1299" w:rsidRDefault="000D10AE" w:rsidP="000D10AE">
      <w:pPr>
        <w:pStyle w:val="a6"/>
        <w:spacing w:line="360" w:lineRule="auto"/>
        <w:rPr>
          <w:rFonts w:cs="Arial"/>
          <w:szCs w:val="21"/>
        </w:rPr>
      </w:pPr>
    </w:p>
    <w:p w14:paraId="11E4132B" w14:textId="77777777" w:rsidR="000D10AE" w:rsidRPr="00EE1299" w:rsidRDefault="000D10AE" w:rsidP="000D10AE">
      <w:pPr>
        <w:pStyle w:val="a6"/>
        <w:spacing w:line="360" w:lineRule="auto"/>
        <w:ind w:firstLine="0"/>
        <w:rPr>
          <w:rFonts w:cs="Arial"/>
          <w:szCs w:val="21"/>
        </w:rPr>
      </w:pPr>
      <w:r>
        <w:rPr>
          <w:rFonts w:cs="Arial"/>
          <w:szCs w:val="21"/>
        </w:rPr>
        <w:br w:type="page"/>
      </w:r>
    </w:p>
    <w:p w14:paraId="75C02366" w14:textId="77777777" w:rsidR="000D10AE" w:rsidRPr="00AB3329" w:rsidRDefault="000D10AE" w:rsidP="000D10AE">
      <w:pPr>
        <w:pStyle w:val="21"/>
        <w:numPr>
          <w:ilvl w:val="1"/>
          <w:numId w:val="28"/>
        </w:numPr>
        <w:rPr>
          <w:rFonts w:ascii="Times New Roman" w:hAnsi="Times New Roman"/>
          <w:color w:val="000000"/>
        </w:rPr>
      </w:pPr>
      <w:bookmarkStart w:id="113" w:name="_Toc215903447"/>
      <w:bookmarkStart w:id="114" w:name="_Toc247440592"/>
      <w:bookmarkStart w:id="115" w:name="_Toc250711193"/>
      <w:r w:rsidRPr="00AB3329">
        <w:rPr>
          <w:rFonts w:ascii="Times New Roman" w:hAnsi="Times New Roman" w:hint="eastAsia"/>
          <w:color w:val="000000"/>
        </w:rPr>
        <w:lastRenderedPageBreak/>
        <w:t>基金费用</w:t>
      </w:r>
      <w:bookmarkEnd w:id="113"/>
      <w:bookmarkEnd w:id="114"/>
      <w:bookmarkEnd w:id="115"/>
    </w:p>
    <w:p w14:paraId="671AE488"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（一）基金管理费的计提比例和计提方法</w:t>
      </w:r>
    </w:p>
    <w:p w14:paraId="0DBE2594" w14:textId="411A55C2"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在通常情况下，基金管理费按前一日基金资产净值</w:t>
      </w:r>
      <w:r w:rsidRPr="00AB3329">
        <w:rPr>
          <w:rFonts w:hAnsi="宋体" w:cs="Arial" w:hint="eastAsia"/>
          <w:szCs w:val="21"/>
        </w:rPr>
        <w:t>1.</w:t>
      </w:r>
      <w:r w:rsidR="00E0613B">
        <w:rPr>
          <w:rFonts w:hAnsi="宋体" w:cs="Arial"/>
          <w:szCs w:val="21"/>
        </w:rPr>
        <w:t>2</w:t>
      </w:r>
      <w:r w:rsidRPr="00AB3329">
        <w:rPr>
          <w:rFonts w:hAnsi="宋体" w:cs="Arial"/>
          <w:szCs w:val="21"/>
        </w:rPr>
        <w:t>%</w:t>
      </w:r>
      <w:r w:rsidRPr="00EE1299">
        <w:rPr>
          <w:rFonts w:hAnsi="宋体" w:cs="Arial" w:hint="eastAsia"/>
          <w:szCs w:val="21"/>
        </w:rPr>
        <w:t>年费率计提。计算方法如下：</w:t>
      </w:r>
    </w:p>
    <w:p w14:paraId="52B44F05"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H</w:t>
      </w:r>
      <w:r w:rsidRPr="00EE1299">
        <w:rPr>
          <w:rFonts w:hAnsi="宋体" w:cs="Arial" w:hint="eastAsia"/>
          <w:szCs w:val="21"/>
        </w:rPr>
        <w:t>＝</w:t>
      </w:r>
      <w:r w:rsidRPr="00AB3329">
        <w:rPr>
          <w:rFonts w:hAnsi="宋体" w:cs="Arial" w:hint="eastAsia"/>
          <w:szCs w:val="21"/>
        </w:rPr>
        <w:t>E</w:t>
      </w:r>
      <w:r w:rsidRPr="00AB3329">
        <w:rPr>
          <w:rFonts w:hAnsi="宋体" w:cs="Arial" w:hint="eastAsia"/>
          <w:szCs w:val="21"/>
        </w:rPr>
        <w:t>×年管理费率÷</w:t>
      </w:r>
      <w:r w:rsidRPr="00EE1299">
        <w:rPr>
          <w:rFonts w:hAnsi="宋体" w:cs="Arial" w:hint="eastAsia"/>
          <w:szCs w:val="21"/>
        </w:rPr>
        <w:t>当年天数</w:t>
      </w:r>
    </w:p>
    <w:p w14:paraId="6A484BC1"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H</w:t>
      </w:r>
      <w:r w:rsidRPr="00EE1299">
        <w:rPr>
          <w:rFonts w:hAnsi="宋体" w:cs="Arial" w:hint="eastAsia"/>
          <w:szCs w:val="21"/>
        </w:rPr>
        <w:t>为每日应计提的基金管理费</w:t>
      </w:r>
    </w:p>
    <w:p w14:paraId="728F1C41"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E</w:t>
      </w:r>
      <w:r w:rsidRPr="00EE1299">
        <w:rPr>
          <w:rFonts w:hAnsi="宋体" w:cs="Arial" w:hint="eastAsia"/>
          <w:szCs w:val="21"/>
        </w:rPr>
        <w:t>为前一日的基金资产净值</w:t>
      </w:r>
    </w:p>
    <w:p w14:paraId="773BCE17"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（二）基金托管费的计提比例和计提方法</w:t>
      </w:r>
    </w:p>
    <w:p w14:paraId="4C5E3886" w14:textId="2A58CDFE"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在通常情况下，基金托管费按前一日基金资产净值的</w:t>
      </w:r>
      <w:r w:rsidRPr="00AB3329">
        <w:rPr>
          <w:rFonts w:hAnsi="宋体" w:cs="Arial" w:hint="eastAsia"/>
          <w:szCs w:val="21"/>
        </w:rPr>
        <w:t>0.2</w:t>
      </w:r>
      <w:r w:rsidRPr="00AB3329">
        <w:rPr>
          <w:rFonts w:hAnsi="宋体" w:cs="Arial"/>
          <w:szCs w:val="21"/>
        </w:rPr>
        <w:t>%</w:t>
      </w:r>
      <w:r w:rsidRPr="00EE1299">
        <w:rPr>
          <w:rFonts w:hAnsi="宋体" w:cs="Arial" w:hint="eastAsia"/>
          <w:szCs w:val="21"/>
        </w:rPr>
        <w:t>年费率计提。计算方法如下：</w:t>
      </w:r>
    </w:p>
    <w:p w14:paraId="55AB435F"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H</w:t>
      </w:r>
      <w:r w:rsidRPr="00EE1299">
        <w:rPr>
          <w:rFonts w:hAnsi="宋体" w:cs="Arial" w:hint="eastAsia"/>
          <w:szCs w:val="21"/>
        </w:rPr>
        <w:t>＝</w:t>
      </w:r>
      <w:r w:rsidRPr="00AB3329">
        <w:rPr>
          <w:rFonts w:hAnsi="宋体" w:cs="Arial" w:hint="eastAsia"/>
          <w:szCs w:val="21"/>
        </w:rPr>
        <w:t>E</w:t>
      </w:r>
      <w:r w:rsidRPr="00AB3329">
        <w:rPr>
          <w:rFonts w:hAnsi="宋体" w:cs="Arial" w:hint="eastAsia"/>
          <w:szCs w:val="21"/>
        </w:rPr>
        <w:t>×年托管费率÷</w:t>
      </w:r>
      <w:r w:rsidRPr="00EE1299">
        <w:rPr>
          <w:rFonts w:hAnsi="宋体" w:cs="Arial" w:hint="eastAsia"/>
          <w:szCs w:val="21"/>
        </w:rPr>
        <w:t>当年天数</w:t>
      </w:r>
    </w:p>
    <w:p w14:paraId="2644736C"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H</w:t>
      </w:r>
      <w:r w:rsidRPr="00EE1299">
        <w:rPr>
          <w:rFonts w:hAnsi="宋体" w:cs="Arial" w:hint="eastAsia"/>
          <w:szCs w:val="21"/>
        </w:rPr>
        <w:t>为每日应计提的基金托管费</w:t>
      </w:r>
    </w:p>
    <w:p w14:paraId="2B0CBCE5"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E</w:t>
      </w:r>
      <w:r w:rsidRPr="00EE1299">
        <w:rPr>
          <w:rFonts w:hAnsi="宋体" w:cs="Arial" w:hint="eastAsia"/>
          <w:szCs w:val="21"/>
        </w:rPr>
        <w:t>为前一日的基金资产净值</w:t>
      </w:r>
    </w:p>
    <w:p w14:paraId="22B75BAF"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三）证券交易费用、基金财产划拨支付的银行费用、基金合同生效后的信息披露费用、基金份额持有人大会费用、基金合同生效后与基金有关的会计师费和律师费等根据有关法律法规、基金合同及相应协议的规定，列入当期基金费用。</w:t>
      </w:r>
    </w:p>
    <w:p w14:paraId="6F450EC8"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（四）不列入基金费用的项目</w:t>
      </w:r>
    </w:p>
    <w:p w14:paraId="4754F010"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基金合同生效前的律师费、会计师费和信息披露费用不得从基金财产中列支。基金管理人与基金托管人因未履行或未完全履行义务导致的费用支出或基金财产的损失，以及处理与基金运作无关的事项发生的费用等不列入基金费用。</w:t>
      </w:r>
    </w:p>
    <w:p w14:paraId="208A74C0"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（五）基金管理费和基金托管费的调整</w:t>
      </w:r>
    </w:p>
    <w:p w14:paraId="7AADA28B"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基金管理人和基金托管人可协商酌情降低基金管理费和基金托管费，此项调整不需要基金份额持有人大会决议通过。基金管理人必须最迟于新的费率实施日前</w:t>
      </w:r>
      <w:r>
        <w:rPr>
          <w:rFonts w:hAnsi="宋体" w:cs="Arial" w:hint="eastAsia"/>
          <w:szCs w:val="21"/>
        </w:rPr>
        <w:t>依照《信息披露办法》的有关规定</w:t>
      </w:r>
      <w:r w:rsidRPr="00EE1299">
        <w:rPr>
          <w:rFonts w:hAnsi="宋体" w:cs="Arial" w:hint="eastAsia"/>
          <w:szCs w:val="21"/>
        </w:rPr>
        <w:t>在指定媒体上刊登公告。</w:t>
      </w:r>
    </w:p>
    <w:p w14:paraId="7241A28F"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（六）基金管理费和基金托管费</w:t>
      </w:r>
      <w:r>
        <w:rPr>
          <w:rFonts w:hAnsi="宋体" w:cs="Arial" w:hint="eastAsia"/>
          <w:szCs w:val="21"/>
        </w:rPr>
        <w:t>等费用</w:t>
      </w:r>
      <w:r w:rsidRPr="00EE1299">
        <w:rPr>
          <w:rFonts w:hAnsi="宋体" w:cs="Arial" w:hint="eastAsia"/>
          <w:szCs w:val="21"/>
        </w:rPr>
        <w:t>的复核程序、支付方式和时间</w:t>
      </w:r>
    </w:p>
    <w:p w14:paraId="5B062FB9"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1.</w:t>
      </w:r>
      <w:r w:rsidRPr="00EE1299">
        <w:rPr>
          <w:rFonts w:hAnsi="宋体" w:cs="Arial" w:hint="eastAsia"/>
          <w:szCs w:val="21"/>
        </w:rPr>
        <w:t>复核程序</w:t>
      </w:r>
    </w:p>
    <w:p w14:paraId="1761BC14" w14:textId="77777777" w:rsidR="000D10AE" w:rsidRPr="00AB3329"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基金托管人对基金管理人计提的基金管理费和基金托管费等，根据本托管协议和基金合同的有关规定进行复核。</w:t>
      </w:r>
    </w:p>
    <w:p w14:paraId="1B790603" w14:textId="77777777" w:rsidR="000D10AE" w:rsidRPr="00AB3329" w:rsidRDefault="000D10AE" w:rsidP="000D10AE">
      <w:pPr>
        <w:adjustRightInd w:val="0"/>
        <w:snapToGrid w:val="0"/>
        <w:spacing w:line="360" w:lineRule="auto"/>
        <w:ind w:firstLineChars="200" w:firstLine="420"/>
        <w:rPr>
          <w:rFonts w:hAnsi="宋体" w:cs="Arial"/>
          <w:szCs w:val="21"/>
        </w:rPr>
      </w:pPr>
      <w:r w:rsidRPr="00AB3329">
        <w:rPr>
          <w:rFonts w:hAnsi="宋体" w:cs="Arial" w:hint="eastAsia"/>
          <w:szCs w:val="21"/>
        </w:rPr>
        <w:t>2.</w:t>
      </w:r>
      <w:r w:rsidRPr="00EE1299">
        <w:rPr>
          <w:rFonts w:hAnsi="宋体" w:cs="Arial" w:hint="eastAsia"/>
          <w:szCs w:val="21"/>
        </w:rPr>
        <w:t>支付方式和时间</w:t>
      </w:r>
    </w:p>
    <w:p w14:paraId="0CE86427"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基金管理费、基金托管费每日计提，按月支付。由基金管理人向基金托管人发送基金管理费、基金托管费划付指令</w:t>
      </w:r>
      <w:r w:rsidRPr="00AB3329">
        <w:rPr>
          <w:rFonts w:hAnsi="宋体" w:cs="Arial" w:hint="eastAsia"/>
          <w:szCs w:val="21"/>
        </w:rPr>
        <w:t>,</w:t>
      </w:r>
      <w:r w:rsidRPr="00EE1299">
        <w:rPr>
          <w:rFonts w:hAnsi="宋体" w:cs="Arial" w:hint="eastAsia"/>
          <w:szCs w:val="21"/>
        </w:rPr>
        <w:t>经基金托管人复核后于次月首日起</w:t>
      </w:r>
      <w:r w:rsidRPr="00AB3329">
        <w:rPr>
          <w:rFonts w:hAnsi="宋体" w:cs="Arial" w:hint="eastAsia"/>
          <w:szCs w:val="21"/>
        </w:rPr>
        <w:t>3</w:t>
      </w:r>
      <w:r w:rsidRPr="00EE1299">
        <w:rPr>
          <w:rFonts w:hAnsi="宋体" w:cs="Arial" w:hint="eastAsia"/>
          <w:szCs w:val="21"/>
        </w:rPr>
        <w:t>个工作日内从基金财产中一次性支付给基金管理人和基金托管人。</w:t>
      </w:r>
      <w:r>
        <w:rPr>
          <w:rFonts w:hAnsi="宋体" w:cs="Arial" w:hint="eastAsia"/>
          <w:szCs w:val="21"/>
        </w:rPr>
        <w:t>银行汇款的扣划费用依据企业银行账户记录进行处理，其他费用的支付依据基金管理人的支付指令，按指令支付时间予以支付。</w:t>
      </w:r>
    </w:p>
    <w:p w14:paraId="4A56F573"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若遇法定节假日、休息日或不可抗力致使无法按时支付的，顺延至最近可支付日支付。</w:t>
      </w:r>
    </w:p>
    <w:p w14:paraId="051308FC"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（七）违规处理方式</w:t>
      </w:r>
    </w:p>
    <w:p w14:paraId="22BF7E5B" w14:textId="7A5B31E1" w:rsidR="00851F19" w:rsidRDefault="000D10AE" w:rsidP="00851F19">
      <w:pPr>
        <w:adjustRightInd w:val="0"/>
        <w:snapToGrid w:val="0"/>
        <w:spacing w:line="360" w:lineRule="auto"/>
        <w:ind w:firstLineChars="200" w:firstLine="420"/>
        <w:rPr>
          <w:rFonts w:hAnsi="宋体" w:cs="Arial"/>
          <w:szCs w:val="21"/>
        </w:rPr>
      </w:pPr>
      <w:r w:rsidRPr="00EE1299">
        <w:rPr>
          <w:rFonts w:hAnsi="宋体" w:cs="Arial" w:hint="eastAsia"/>
          <w:szCs w:val="21"/>
        </w:rPr>
        <w:lastRenderedPageBreak/>
        <w:t>基金托管人发现基金管理人违反《基金法》、基金合同、《运作办法》及其他有关规定从基金财产中列支费用时，基金托管人可要求基金管理人予以说明解释，如基金管理人无正当理由，基金托管人</w:t>
      </w:r>
      <w:r>
        <w:rPr>
          <w:rFonts w:hAnsi="宋体" w:cs="Arial" w:hint="eastAsia"/>
          <w:szCs w:val="21"/>
        </w:rPr>
        <w:t>可</w:t>
      </w:r>
      <w:r w:rsidRPr="00EE1299">
        <w:rPr>
          <w:rFonts w:hAnsi="宋体" w:cs="Arial" w:hint="eastAsia"/>
          <w:szCs w:val="21"/>
        </w:rPr>
        <w:t>拒绝支付。</w:t>
      </w:r>
    </w:p>
    <w:p w14:paraId="7956ACD3" w14:textId="77777777" w:rsidR="000D10AE" w:rsidRPr="00EE1299" w:rsidRDefault="000D10AE" w:rsidP="000D10AE">
      <w:pPr>
        <w:adjustRightInd w:val="0"/>
        <w:snapToGrid w:val="0"/>
        <w:spacing w:line="360" w:lineRule="auto"/>
        <w:ind w:firstLineChars="200" w:firstLine="420"/>
        <w:rPr>
          <w:rFonts w:cs="Arial"/>
          <w:szCs w:val="21"/>
        </w:rPr>
      </w:pPr>
      <w:r>
        <w:rPr>
          <w:rFonts w:hAnsi="宋体" w:cs="Arial"/>
          <w:szCs w:val="21"/>
        </w:rPr>
        <w:br w:type="page"/>
      </w:r>
    </w:p>
    <w:p w14:paraId="0D3117C9" w14:textId="77777777" w:rsidR="000D10AE" w:rsidRPr="00AB3329" w:rsidRDefault="000D10AE" w:rsidP="000D10AE">
      <w:pPr>
        <w:pStyle w:val="21"/>
        <w:numPr>
          <w:ilvl w:val="1"/>
          <w:numId w:val="28"/>
        </w:numPr>
        <w:rPr>
          <w:rFonts w:ascii="Times New Roman" w:hAnsi="Times New Roman"/>
          <w:color w:val="000000"/>
        </w:rPr>
      </w:pPr>
      <w:bookmarkStart w:id="116" w:name="_Toc215903448"/>
      <w:bookmarkStart w:id="117" w:name="_Toc247440593"/>
      <w:bookmarkStart w:id="118" w:name="_Toc250711194"/>
      <w:r w:rsidRPr="00AB3329">
        <w:rPr>
          <w:rFonts w:ascii="Times New Roman" w:hAnsi="Times New Roman" w:hint="eastAsia"/>
          <w:color w:val="000000"/>
        </w:rPr>
        <w:lastRenderedPageBreak/>
        <w:t>基金份额持有人名册的保管</w:t>
      </w:r>
      <w:bookmarkEnd w:id="116"/>
      <w:bookmarkEnd w:id="117"/>
      <w:bookmarkEnd w:id="118"/>
    </w:p>
    <w:p w14:paraId="2F6A3AAF"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基金份额持有人名册至少应包括基金份额持有人的名称</w:t>
      </w:r>
      <w:r>
        <w:rPr>
          <w:rFonts w:hAnsi="宋体" w:cs="Arial" w:hint="eastAsia"/>
          <w:szCs w:val="21"/>
        </w:rPr>
        <w:t>、证件号码</w:t>
      </w:r>
      <w:r w:rsidRPr="00EE1299">
        <w:rPr>
          <w:rFonts w:hAnsi="宋体" w:cs="Arial" w:hint="eastAsia"/>
          <w:szCs w:val="21"/>
        </w:rPr>
        <w:t>和持有的基金份额。基金份额持有人名册由基金注册登记机构根据基金管理人的指令编制和保管，基金管理人和基金托管人应分别保管基金份额持有人名册，保存期不少于</w:t>
      </w:r>
      <w:r w:rsidRPr="00EE1299">
        <w:rPr>
          <w:rFonts w:cs="Arial" w:hint="eastAsia"/>
          <w:szCs w:val="21"/>
        </w:rPr>
        <w:t>15</w:t>
      </w:r>
      <w:r w:rsidRPr="00EE1299">
        <w:rPr>
          <w:rFonts w:hAnsi="宋体" w:cs="Arial" w:hint="eastAsia"/>
          <w:szCs w:val="21"/>
        </w:rPr>
        <w:t>年。如不能妥善保管，则按相关法规承担责任。</w:t>
      </w:r>
    </w:p>
    <w:p w14:paraId="195A1C0D" w14:textId="7C2EAFC6"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在基金托管人要求或编制</w:t>
      </w:r>
      <w:r w:rsidR="000368B3">
        <w:rPr>
          <w:rFonts w:hAnsi="宋体" w:cs="Arial" w:hint="eastAsia"/>
          <w:szCs w:val="21"/>
        </w:rPr>
        <w:t>中期报告</w:t>
      </w:r>
      <w:r w:rsidRPr="00EE1299">
        <w:rPr>
          <w:rFonts w:hAnsi="宋体" w:cs="Arial" w:hint="eastAsia"/>
          <w:szCs w:val="21"/>
        </w:rPr>
        <w:t>和</w:t>
      </w:r>
      <w:r w:rsidR="000368B3">
        <w:rPr>
          <w:rFonts w:hAnsi="宋体" w:cs="Arial" w:hint="eastAsia"/>
          <w:szCs w:val="21"/>
        </w:rPr>
        <w:t>年度报告</w:t>
      </w:r>
      <w:r w:rsidRPr="00EE1299">
        <w:rPr>
          <w:rFonts w:hAnsi="宋体" w:cs="Arial" w:hint="eastAsia"/>
          <w:szCs w:val="21"/>
        </w:rPr>
        <w:t>前，基金管理人应将有关资料送交基金托管人，不得无故拒绝或延误提供，并保证其的真实性、准确性和完整性。</w:t>
      </w:r>
      <w:r w:rsidRPr="00EE1299">
        <w:rPr>
          <w:rFonts w:hAnsi="宋体" w:hint="eastAsia"/>
          <w:kern w:val="0"/>
          <w:szCs w:val="21"/>
        </w:rPr>
        <w:t>基金</w:t>
      </w:r>
      <w:r>
        <w:rPr>
          <w:rFonts w:hAnsi="宋体" w:hint="eastAsia"/>
          <w:kern w:val="0"/>
          <w:szCs w:val="21"/>
        </w:rPr>
        <w:t>管理人和</w:t>
      </w:r>
      <w:r w:rsidRPr="00EE1299">
        <w:rPr>
          <w:rFonts w:hAnsi="宋体" w:hint="eastAsia"/>
          <w:kern w:val="0"/>
          <w:szCs w:val="21"/>
        </w:rPr>
        <w:t>托管人不得将所保管的基金份额持有人名册用于基金托管业务以外的其他用途，并应遵守保密义务。</w:t>
      </w:r>
    </w:p>
    <w:p w14:paraId="30F2D559" w14:textId="77777777" w:rsidR="000D10AE" w:rsidRPr="00EE1299" w:rsidRDefault="000D10AE" w:rsidP="000D10AE">
      <w:pPr>
        <w:adjustRightInd w:val="0"/>
        <w:snapToGrid w:val="0"/>
        <w:spacing w:line="360" w:lineRule="auto"/>
        <w:rPr>
          <w:rFonts w:cs="Arial"/>
          <w:szCs w:val="21"/>
        </w:rPr>
      </w:pPr>
      <w:r>
        <w:rPr>
          <w:rFonts w:cs="Arial"/>
          <w:szCs w:val="21"/>
        </w:rPr>
        <w:br w:type="page"/>
      </w:r>
    </w:p>
    <w:p w14:paraId="6EEF7AC4" w14:textId="77777777" w:rsidR="000D10AE" w:rsidRPr="00AB3329" w:rsidRDefault="000D10AE" w:rsidP="000D10AE">
      <w:pPr>
        <w:pStyle w:val="21"/>
        <w:numPr>
          <w:ilvl w:val="1"/>
          <w:numId w:val="28"/>
        </w:numPr>
        <w:rPr>
          <w:rFonts w:ascii="Times New Roman" w:hAnsi="Times New Roman"/>
          <w:color w:val="000000"/>
        </w:rPr>
      </w:pPr>
      <w:bookmarkStart w:id="119" w:name="_Toc215903449"/>
      <w:bookmarkStart w:id="120" w:name="_Toc247440594"/>
      <w:bookmarkStart w:id="121" w:name="_Toc250711195"/>
      <w:r w:rsidRPr="00AB3329">
        <w:rPr>
          <w:rFonts w:ascii="Times New Roman" w:hAnsi="Times New Roman" w:hint="eastAsia"/>
          <w:color w:val="000000"/>
        </w:rPr>
        <w:lastRenderedPageBreak/>
        <w:t>基金有关文件档案的保存</w:t>
      </w:r>
      <w:bookmarkEnd w:id="119"/>
      <w:bookmarkEnd w:id="120"/>
      <w:bookmarkEnd w:id="121"/>
    </w:p>
    <w:p w14:paraId="74459D5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（一）档案保存</w:t>
      </w:r>
    </w:p>
    <w:p w14:paraId="2DB1573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E1299">
        <w:rPr>
          <w:rFonts w:cs="Arial" w:hint="eastAsia"/>
          <w:szCs w:val="21"/>
        </w:rPr>
        <w:t>15</w:t>
      </w:r>
      <w:r w:rsidRPr="00EE1299">
        <w:rPr>
          <w:rFonts w:hAnsi="宋体" w:cs="Arial" w:hint="eastAsia"/>
          <w:szCs w:val="21"/>
        </w:rPr>
        <w:t>年。</w:t>
      </w:r>
    </w:p>
    <w:p w14:paraId="076AA4C8"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（二）合同档案的建立</w:t>
      </w:r>
    </w:p>
    <w:p w14:paraId="2140460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基金管理人签署重大合同文本后，应及时将合同文本正本送达基金托管人处。</w:t>
      </w:r>
    </w:p>
    <w:p w14:paraId="39CC3FCF"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基金管理人应及时将与本基金账务处理、资金划拨等有关的合同、协议传真至基金托管人。</w:t>
      </w:r>
    </w:p>
    <w:p w14:paraId="6BB8AEE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（三）变更与协助</w:t>
      </w:r>
    </w:p>
    <w:p w14:paraId="271BCC49" w14:textId="77777777" w:rsidR="000D10AE" w:rsidRPr="00EE1299" w:rsidRDefault="000D10AE" w:rsidP="000D10AE">
      <w:pPr>
        <w:adjustRightInd w:val="0"/>
        <w:snapToGrid w:val="0"/>
        <w:spacing w:line="360" w:lineRule="auto"/>
        <w:ind w:firstLineChars="200" w:firstLine="420"/>
        <w:rPr>
          <w:b/>
          <w:bCs/>
          <w:szCs w:val="21"/>
        </w:rPr>
      </w:pPr>
      <w:r w:rsidRPr="00EE1299">
        <w:rPr>
          <w:rFonts w:hAnsi="宋体" w:cs="Arial" w:hint="eastAsia"/>
          <w:szCs w:val="21"/>
        </w:rPr>
        <w:t>若基金管理人</w:t>
      </w:r>
      <w:r w:rsidRPr="00EE1299">
        <w:rPr>
          <w:rFonts w:cs="Arial" w:hint="eastAsia"/>
          <w:szCs w:val="21"/>
        </w:rPr>
        <w:t>/</w:t>
      </w:r>
      <w:r w:rsidRPr="00EE1299">
        <w:rPr>
          <w:rFonts w:hAnsi="宋体" w:cs="Arial" w:hint="eastAsia"/>
          <w:szCs w:val="21"/>
        </w:rPr>
        <w:t>基金托管人发生变更，未变更的一方有义务协助变更后的接任人接收相应文件。</w:t>
      </w:r>
    </w:p>
    <w:p w14:paraId="7078CEA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（四）基金管理人和基金托管人应按各自职责完整保存原始凭证、记账凭证、基金账册、交易记录和重要合同等，承担保密义务并保存至少十五年以上。</w:t>
      </w:r>
    </w:p>
    <w:p w14:paraId="659DD1F5" w14:textId="77777777" w:rsidR="000D10AE" w:rsidRPr="00EE1299" w:rsidRDefault="000D10AE" w:rsidP="000D10AE">
      <w:pPr>
        <w:adjustRightInd w:val="0"/>
        <w:snapToGrid w:val="0"/>
        <w:spacing w:line="360" w:lineRule="auto"/>
        <w:rPr>
          <w:szCs w:val="21"/>
        </w:rPr>
      </w:pPr>
      <w:r>
        <w:rPr>
          <w:szCs w:val="21"/>
        </w:rPr>
        <w:br w:type="page"/>
      </w:r>
    </w:p>
    <w:p w14:paraId="728CA1CE" w14:textId="77777777" w:rsidR="000D10AE" w:rsidRPr="00AB3329" w:rsidRDefault="000D10AE" w:rsidP="000D10AE">
      <w:pPr>
        <w:pStyle w:val="21"/>
        <w:numPr>
          <w:ilvl w:val="1"/>
          <w:numId w:val="28"/>
        </w:numPr>
        <w:rPr>
          <w:rFonts w:ascii="Times New Roman" w:hAnsi="Times New Roman"/>
          <w:color w:val="000000"/>
        </w:rPr>
      </w:pPr>
      <w:bookmarkStart w:id="122" w:name="_Toc215903450"/>
      <w:bookmarkStart w:id="123" w:name="_Toc247440595"/>
      <w:bookmarkStart w:id="124" w:name="_Toc250711196"/>
      <w:r w:rsidRPr="00AB3329">
        <w:rPr>
          <w:rFonts w:ascii="Times New Roman" w:hAnsi="Times New Roman" w:hint="eastAsia"/>
          <w:color w:val="000000"/>
        </w:rPr>
        <w:lastRenderedPageBreak/>
        <w:t>基金管理人和基金托管人的更换</w:t>
      </w:r>
      <w:bookmarkEnd w:id="122"/>
      <w:bookmarkEnd w:id="123"/>
      <w:bookmarkEnd w:id="124"/>
    </w:p>
    <w:p w14:paraId="18285B1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（一）基金管理人的更换</w:t>
      </w:r>
    </w:p>
    <w:p w14:paraId="5F3A5F2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基金管理人的更换条件</w:t>
      </w:r>
    </w:p>
    <w:p w14:paraId="5D6091E3"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有下列情形之一的，基金管理人职责终止：</w:t>
      </w:r>
    </w:p>
    <w:p w14:paraId="5CC998F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szCs w:val="21"/>
        </w:rPr>
        <w:t>基金管理人被依法取消基金管理资格</w:t>
      </w:r>
      <w:r w:rsidRPr="00EE1299">
        <w:rPr>
          <w:rFonts w:hAnsi="宋体" w:cs="Arial" w:hint="eastAsia"/>
          <w:szCs w:val="21"/>
        </w:rPr>
        <w:t>；</w:t>
      </w:r>
    </w:p>
    <w:p w14:paraId="3CFD297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基金管理人依法解散、被依法撤销或者被依法宣告破产；</w:t>
      </w:r>
    </w:p>
    <w:p w14:paraId="572CCB37"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基金管理人被基金份额持有人大会解任；</w:t>
      </w:r>
    </w:p>
    <w:p w14:paraId="6C7CE906"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szCs w:val="21"/>
        </w:rPr>
        <w:t>法律法规和基金合同规定的其他情形</w:t>
      </w:r>
      <w:r w:rsidRPr="00EE1299">
        <w:rPr>
          <w:rFonts w:hAnsi="宋体" w:cs="Arial" w:hint="eastAsia"/>
          <w:szCs w:val="21"/>
        </w:rPr>
        <w:t>。</w:t>
      </w:r>
    </w:p>
    <w:p w14:paraId="0F04888A"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基金管理人的更换程序</w:t>
      </w:r>
    </w:p>
    <w:p w14:paraId="3BF6C543"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更换基金管理人必须依照如下程序进行：</w:t>
      </w:r>
    </w:p>
    <w:p w14:paraId="04FA7ED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提名：新任基金管理人由基金托管人</w:t>
      </w:r>
      <w:r w:rsidRPr="00EE1299">
        <w:rPr>
          <w:rFonts w:hAnsi="宋体" w:hint="eastAsia"/>
          <w:szCs w:val="21"/>
        </w:rPr>
        <w:t>或者单独或合计持有基金总份额</w:t>
      </w:r>
      <w:r w:rsidRPr="00EE1299">
        <w:rPr>
          <w:rFonts w:hint="eastAsia"/>
          <w:szCs w:val="21"/>
        </w:rPr>
        <w:t>10%</w:t>
      </w:r>
      <w:r w:rsidRPr="00EE1299">
        <w:rPr>
          <w:rFonts w:hAnsi="宋体" w:hint="eastAsia"/>
          <w:szCs w:val="21"/>
        </w:rPr>
        <w:t>以上</w:t>
      </w:r>
      <w:r>
        <w:rPr>
          <w:rFonts w:hAnsi="宋体" w:hint="eastAsia"/>
          <w:szCs w:val="21"/>
        </w:rPr>
        <w:t>（含</w:t>
      </w:r>
      <w:r>
        <w:rPr>
          <w:rFonts w:hAnsi="宋体" w:hint="eastAsia"/>
          <w:szCs w:val="21"/>
        </w:rPr>
        <w:t>10%</w:t>
      </w:r>
      <w:r>
        <w:rPr>
          <w:rFonts w:hAnsi="宋体" w:hint="eastAsia"/>
          <w:szCs w:val="21"/>
        </w:rPr>
        <w:t>）</w:t>
      </w:r>
      <w:r w:rsidRPr="00EE1299">
        <w:rPr>
          <w:rFonts w:hAnsi="宋体" w:hint="eastAsia"/>
          <w:szCs w:val="21"/>
        </w:rPr>
        <w:t>的基金份额持有人</w:t>
      </w:r>
      <w:r w:rsidRPr="00EE1299">
        <w:rPr>
          <w:rFonts w:hAnsi="宋体" w:cs="Arial" w:hint="eastAsia"/>
          <w:szCs w:val="21"/>
        </w:rPr>
        <w:t>提名；</w:t>
      </w:r>
    </w:p>
    <w:p w14:paraId="18E106B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决议：基金份额持有人大会在原基金管理人职责终止后</w:t>
      </w:r>
      <w:r w:rsidRPr="00EE1299">
        <w:rPr>
          <w:rFonts w:cs="Arial" w:hint="eastAsia"/>
          <w:szCs w:val="21"/>
        </w:rPr>
        <w:t>6</w:t>
      </w:r>
      <w:r w:rsidRPr="00EE1299">
        <w:rPr>
          <w:rFonts w:hAnsi="宋体" w:cs="Arial" w:hint="eastAsia"/>
          <w:szCs w:val="21"/>
        </w:rPr>
        <w:t>个月内对被提名的新任基金管理人形成决议，新任基金管理人应当符合法律法规及中国证监会规定的资格条件；</w:t>
      </w:r>
    </w:p>
    <w:p w14:paraId="0BCADFE4" w14:textId="00E47D3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00045A8D" w:rsidRPr="00045A8D">
        <w:rPr>
          <w:rFonts w:hAnsi="宋体" w:hint="eastAsia"/>
          <w:szCs w:val="21"/>
        </w:rPr>
        <w:t xml:space="preserve"> </w:t>
      </w:r>
      <w:r w:rsidR="00045A8D">
        <w:rPr>
          <w:rFonts w:hAnsi="宋体" w:hint="eastAsia"/>
          <w:szCs w:val="21"/>
        </w:rPr>
        <w:t>备案</w:t>
      </w:r>
      <w:r w:rsidR="00045A8D" w:rsidRPr="00660607">
        <w:rPr>
          <w:rFonts w:hAnsi="宋体" w:hint="eastAsia"/>
          <w:szCs w:val="21"/>
        </w:rPr>
        <w:t>：新任基金管理人产生之前，由中国证监会指定临时基金管理人；更换基金管理人的基金份额持有人大会决议应</w:t>
      </w:r>
      <w:r w:rsidR="00045A8D">
        <w:rPr>
          <w:rFonts w:hAnsi="宋体" w:hint="eastAsia"/>
          <w:szCs w:val="21"/>
        </w:rPr>
        <w:t>报</w:t>
      </w:r>
      <w:r w:rsidR="00045A8D" w:rsidRPr="00660607">
        <w:rPr>
          <w:rFonts w:hAnsi="宋体" w:hint="eastAsia"/>
          <w:szCs w:val="21"/>
        </w:rPr>
        <w:t>中国证监会</w:t>
      </w:r>
      <w:r w:rsidR="00045A8D">
        <w:rPr>
          <w:rFonts w:hAnsi="宋体" w:hint="eastAsia"/>
          <w:szCs w:val="21"/>
        </w:rPr>
        <w:t>备案</w:t>
      </w:r>
      <w:r w:rsidRPr="00EE1299">
        <w:rPr>
          <w:rFonts w:hAnsi="宋体" w:cs="Arial" w:hint="eastAsia"/>
          <w:szCs w:val="21"/>
        </w:rPr>
        <w:t>；</w:t>
      </w:r>
    </w:p>
    <w:p w14:paraId="00FBDFA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交接：原基金管理人职责终止的，应当妥善保管基金管理业务资料，及时办理基金管理业务的移交手续，新任基金管理人或临时基金管理人应当及时接收，并与基金托管人核对基金资产总值；</w:t>
      </w:r>
    </w:p>
    <w:p w14:paraId="59C001DA" w14:textId="58A46133"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(5)</w:t>
      </w:r>
      <w:r w:rsidRPr="00EE1299">
        <w:rPr>
          <w:rFonts w:hAnsi="宋体" w:cs="Arial" w:hint="eastAsia"/>
          <w:szCs w:val="21"/>
        </w:rPr>
        <w:t>审计：原基金管理人职责终止的，应当按照法律法规规定</w:t>
      </w:r>
      <w:r w:rsidR="000368B3">
        <w:rPr>
          <w:rFonts w:hAnsi="宋体" w:cs="Arial" w:hint="eastAsia"/>
          <w:szCs w:val="21"/>
        </w:rPr>
        <w:t>聘请具有证券、期货相关业务资格的会计师事务所</w:t>
      </w:r>
      <w:r w:rsidRPr="00EE1299">
        <w:rPr>
          <w:rFonts w:hAnsi="宋体" w:cs="Arial" w:hint="eastAsia"/>
          <w:szCs w:val="21"/>
        </w:rPr>
        <w:t>对基金财产进行审计，并将审计结果予以公告，同时报国务院证券监督管理机构备案，审计费用在基金财产中列支；</w:t>
      </w:r>
    </w:p>
    <w:p w14:paraId="3613EF86" w14:textId="2D096659"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(6)</w:t>
      </w:r>
      <w:r w:rsidRPr="00EE1299">
        <w:rPr>
          <w:rFonts w:hAnsi="宋体" w:cs="Arial" w:hint="eastAsia"/>
          <w:szCs w:val="21"/>
        </w:rPr>
        <w:t>公告：基金管理人更换后，</w:t>
      </w:r>
      <w:r w:rsidR="00045A8D" w:rsidRPr="00660607">
        <w:rPr>
          <w:rFonts w:hAnsi="宋体" w:hint="eastAsia"/>
          <w:szCs w:val="21"/>
        </w:rPr>
        <w:t>由基金托管人在</w:t>
      </w:r>
      <w:r w:rsidR="00045A8D">
        <w:rPr>
          <w:rFonts w:hAnsi="宋体" w:hint="eastAsia"/>
          <w:szCs w:val="21"/>
        </w:rPr>
        <w:t>更换</w:t>
      </w:r>
      <w:r w:rsidR="00045A8D" w:rsidRPr="00660607">
        <w:rPr>
          <w:rFonts w:hAnsi="宋体" w:hint="eastAsia"/>
          <w:szCs w:val="21"/>
        </w:rPr>
        <w:t>基金管理人</w:t>
      </w:r>
      <w:r w:rsidR="00045A8D">
        <w:rPr>
          <w:rFonts w:hAnsi="宋体" w:hint="eastAsia"/>
          <w:szCs w:val="21"/>
        </w:rPr>
        <w:t>的基金份额持有人大会生效后</w:t>
      </w:r>
      <w:r w:rsidR="00045A8D">
        <w:rPr>
          <w:rFonts w:ascii="宋体" w:hAnsi="宋体" w:hint="eastAsia"/>
          <w:szCs w:val="21"/>
        </w:rPr>
        <w:t>2日内在</w:t>
      </w:r>
      <w:r w:rsidR="00045A8D">
        <w:rPr>
          <w:rFonts w:ascii="宋体" w:hAnsi="宋体"/>
          <w:szCs w:val="21"/>
        </w:rPr>
        <w:t>指定媒介</w:t>
      </w:r>
      <w:r w:rsidR="00045A8D" w:rsidRPr="00660607">
        <w:rPr>
          <w:rFonts w:hAnsi="宋体" w:hint="eastAsia"/>
          <w:szCs w:val="21"/>
        </w:rPr>
        <w:t>公告</w:t>
      </w:r>
      <w:r w:rsidRPr="00EE1299">
        <w:rPr>
          <w:rFonts w:hAnsi="宋体" w:cs="Arial" w:hint="eastAsia"/>
          <w:szCs w:val="21"/>
        </w:rPr>
        <w:t>；</w:t>
      </w:r>
    </w:p>
    <w:p w14:paraId="35D8B921" w14:textId="77777777" w:rsidR="000D10AE" w:rsidRPr="00EE1299" w:rsidRDefault="000D10AE" w:rsidP="000D10AE">
      <w:pPr>
        <w:spacing w:line="360" w:lineRule="auto"/>
        <w:ind w:firstLineChars="200" w:firstLine="420"/>
        <w:rPr>
          <w:szCs w:val="21"/>
        </w:rPr>
      </w:pPr>
      <w:r w:rsidRPr="00EE1299">
        <w:rPr>
          <w:rFonts w:cs="Arial" w:hint="eastAsia"/>
          <w:szCs w:val="21"/>
        </w:rPr>
        <w:t>(7)</w:t>
      </w:r>
      <w:r w:rsidRPr="00EE1299">
        <w:rPr>
          <w:rFonts w:hAnsi="宋体" w:cs="Arial" w:hint="eastAsia"/>
          <w:szCs w:val="21"/>
        </w:rPr>
        <w:t>基金名称变更：基金管理人更换后，如果原任或新任基金管理人要求，应按其要求替换或删除基金名称中与原任基金管理人有关的名称字样。</w:t>
      </w:r>
    </w:p>
    <w:p w14:paraId="5642EB7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（二）基金托管人的更换</w:t>
      </w:r>
    </w:p>
    <w:p w14:paraId="60505B8B"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基金托管人的更换条件</w:t>
      </w:r>
    </w:p>
    <w:p w14:paraId="05D4D47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有下列情形之一的，基金托管人职责终止：</w:t>
      </w:r>
    </w:p>
    <w:p w14:paraId="50E895F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szCs w:val="21"/>
        </w:rPr>
        <w:t>基金托管人被依法取消基金托管资格</w:t>
      </w:r>
      <w:r w:rsidRPr="00EE1299">
        <w:rPr>
          <w:rFonts w:hAnsi="宋体" w:cs="Arial" w:hint="eastAsia"/>
          <w:szCs w:val="21"/>
        </w:rPr>
        <w:t>；</w:t>
      </w:r>
    </w:p>
    <w:p w14:paraId="05CD839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基金托管人依法解散、被依法撤销或者被依法宣布破产；</w:t>
      </w:r>
    </w:p>
    <w:p w14:paraId="383EECEF"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基金托管人被基金份额持有人大会解任；</w:t>
      </w:r>
    </w:p>
    <w:p w14:paraId="611470E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szCs w:val="21"/>
        </w:rPr>
        <w:t>法律法规和基金合同规定的其他情形</w:t>
      </w:r>
      <w:r w:rsidRPr="00EE1299">
        <w:rPr>
          <w:rFonts w:hAnsi="宋体" w:cs="Arial" w:hint="eastAsia"/>
          <w:szCs w:val="21"/>
        </w:rPr>
        <w:t>。</w:t>
      </w:r>
    </w:p>
    <w:p w14:paraId="683D27B6"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lastRenderedPageBreak/>
        <w:t>2.</w:t>
      </w:r>
      <w:r w:rsidRPr="00EE1299">
        <w:rPr>
          <w:rFonts w:hAnsi="宋体" w:cs="Arial" w:hint="eastAsia"/>
          <w:szCs w:val="21"/>
        </w:rPr>
        <w:t>基金托管人的更换程序</w:t>
      </w:r>
    </w:p>
    <w:p w14:paraId="0D29556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提名：新任基金托管人由基金管理人</w:t>
      </w:r>
      <w:r w:rsidRPr="00EE1299">
        <w:rPr>
          <w:rFonts w:hAnsi="宋体" w:hint="eastAsia"/>
          <w:szCs w:val="21"/>
        </w:rPr>
        <w:t>或者单独或合计持有基金总份额</w:t>
      </w:r>
      <w:r w:rsidRPr="00EE1299">
        <w:rPr>
          <w:rFonts w:hint="eastAsia"/>
          <w:szCs w:val="21"/>
        </w:rPr>
        <w:t>10%</w:t>
      </w:r>
      <w:r w:rsidRPr="00EE1299">
        <w:rPr>
          <w:rFonts w:hAnsi="宋体" w:hint="eastAsia"/>
          <w:szCs w:val="21"/>
        </w:rPr>
        <w:t>以上</w:t>
      </w:r>
      <w:r>
        <w:rPr>
          <w:rFonts w:hAnsi="宋体" w:hint="eastAsia"/>
          <w:szCs w:val="21"/>
        </w:rPr>
        <w:t>（含</w:t>
      </w:r>
      <w:r>
        <w:rPr>
          <w:rFonts w:hAnsi="宋体" w:hint="eastAsia"/>
          <w:szCs w:val="21"/>
        </w:rPr>
        <w:t>10%</w:t>
      </w:r>
      <w:r>
        <w:rPr>
          <w:rFonts w:hAnsi="宋体" w:hint="eastAsia"/>
          <w:szCs w:val="21"/>
        </w:rPr>
        <w:t>）</w:t>
      </w:r>
      <w:r w:rsidRPr="00EE1299">
        <w:rPr>
          <w:rFonts w:hAnsi="宋体" w:hint="eastAsia"/>
          <w:szCs w:val="21"/>
        </w:rPr>
        <w:t>的基金份额持有人</w:t>
      </w:r>
      <w:r w:rsidRPr="00EE1299">
        <w:rPr>
          <w:rFonts w:hAnsi="宋体" w:cs="Arial" w:hint="eastAsia"/>
          <w:szCs w:val="21"/>
        </w:rPr>
        <w:t>提名；</w:t>
      </w:r>
    </w:p>
    <w:p w14:paraId="05BCF8B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决议：基金份额持有人大会在原基金托管人职责终止后</w:t>
      </w:r>
      <w:r w:rsidRPr="00EE1299">
        <w:rPr>
          <w:rFonts w:cs="Arial" w:hint="eastAsia"/>
          <w:szCs w:val="21"/>
        </w:rPr>
        <w:t>6</w:t>
      </w:r>
      <w:r w:rsidRPr="00EE1299">
        <w:rPr>
          <w:rFonts w:hAnsi="宋体" w:cs="Arial" w:hint="eastAsia"/>
          <w:szCs w:val="21"/>
        </w:rPr>
        <w:t>个月内对被提名的新任基金托管人形成决议，新任基金托管人应当符合法律法规及中国证监会规定的资格条件；</w:t>
      </w:r>
    </w:p>
    <w:p w14:paraId="3D9DC70A" w14:textId="5394330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00045A8D" w:rsidRPr="00045A8D">
        <w:rPr>
          <w:rFonts w:hAnsi="宋体" w:hint="eastAsia"/>
          <w:szCs w:val="21"/>
        </w:rPr>
        <w:t xml:space="preserve"> </w:t>
      </w:r>
      <w:r w:rsidR="00045A8D">
        <w:rPr>
          <w:rFonts w:hAnsi="宋体" w:hint="eastAsia"/>
          <w:szCs w:val="21"/>
        </w:rPr>
        <w:t>备案</w:t>
      </w:r>
      <w:r w:rsidR="00045A8D" w:rsidRPr="00660607">
        <w:rPr>
          <w:rFonts w:hAnsi="宋体" w:hint="eastAsia"/>
          <w:szCs w:val="21"/>
        </w:rPr>
        <w:t>：新任基金托管人产生之前，由中国证监会指定临时基金托管人，更换基金托管人的基金份额持有人大会决议应</w:t>
      </w:r>
      <w:r w:rsidR="00045A8D">
        <w:rPr>
          <w:rFonts w:hAnsi="宋体" w:hint="eastAsia"/>
          <w:szCs w:val="21"/>
        </w:rPr>
        <w:t>报</w:t>
      </w:r>
      <w:r w:rsidR="00045A8D" w:rsidRPr="00660607">
        <w:rPr>
          <w:rFonts w:hAnsi="宋体" w:hint="eastAsia"/>
          <w:szCs w:val="21"/>
        </w:rPr>
        <w:t>中国证监会</w:t>
      </w:r>
      <w:r w:rsidR="00045A8D">
        <w:rPr>
          <w:rFonts w:hAnsi="宋体" w:hint="eastAsia"/>
          <w:szCs w:val="21"/>
        </w:rPr>
        <w:t>备案</w:t>
      </w:r>
      <w:r w:rsidRPr="00EE1299">
        <w:rPr>
          <w:rFonts w:hAnsi="宋体" w:cs="Arial" w:hint="eastAsia"/>
          <w:szCs w:val="21"/>
        </w:rPr>
        <w:t>；</w:t>
      </w:r>
    </w:p>
    <w:p w14:paraId="68E9A69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交接：原基金托管人职责终止的，应当妥善保管基金财产和基金托管业务资料，及时办理基金财产和托管业务移交手续，新任基金托管人或临时基金托管人应当及时接收，并与基金管理人核对基金资产总值；</w:t>
      </w:r>
    </w:p>
    <w:p w14:paraId="66A80401" w14:textId="77767BC4"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(5)</w:t>
      </w:r>
      <w:r w:rsidRPr="00EE1299">
        <w:rPr>
          <w:rFonts w:hAnsi="宋体" w:cs="Arial" w:hint="eastAsia"/>
          <w:szCs w:val="21"/>
        </w:rPr>
        <w:t>审计：原基金托管人职责终止的，应当按照法律法规规定</w:t>
      </w:r>
      <w:r w:rsidR="000368B3">
        <w:rPr>
          <w:rFonts w:hAnsi="宋体" w:cs="Arial" w:hint="eastAsia"/>
          <w:szCs w:val="21"/>
        </w:rPr>
        <w:t>聘请具有证券、期货相关业务资格的会计师事务所</w:t>
      </w:r>
      <w:r w:rsidRPr="00EE1299">
        <w:rPr>
          <w:rFonts w:hAnsi="宋体" w:cs="Arial" w:hint="eastAsia"/>
          <w:szCs w:val="21"/>
        </w:rPr>
        <w:t>对基金财产进行审计，并将审计结果予以公告，同时报国务院证券监督管理机构备案，审计费用从基金财产中列支；</w:t>
      </w:r>
    </w:p>
    <w:p w14:paraId="56AE99D1" w14:textId="69F9D52F"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(6)</w:t>
      </w:r>
      <w:r w:rsidRPr="00EE1299">
        <w:rPr>
          <w:rFonts w:hAnsi="宋体" w:cs="Arial" w:hint="eastAsia"/>
          <w:szCs w:val="21"/>
        </w:rPr>
        <w:t>公告：基金托管人更换后，</w:t>
      </w:r>
      <w:r w:rsidR="00045A8D" w:rsidRPr="00660607">
        <w:rPr>
          <w:rFonts w:hAnsi="宋体" w:hint="eastAsia"/>
          <w:szCs w:val="21"/>
        </w:rPr>
        <w:t>由基金管理人在</w:t>
      </w:r>
      <w:r w:rsidR="00045A8D">
        <w:rPr>
          <w:rFonts w:hAnsi="宋体" w:hint="eastAsia"/>
          <w:szCs w:val="21"/>
        </w:rPr>
        <w:t>更换</w:t>
      </w:r>
      <w:r w:rsidR="00045A8D" w:rsidRPr="00660607">
        <w:rPr>
          <w:rFonts w:hAnsi="宋体" w:hint="eastAsia"/>
          <w:szCs w:val="21"/>
        </w:rPr>
        <w:t>基金托管人</w:t>
      </w:r>
      <w:r w:rsidR="00045A8D">
        <w:rPr>
          <w:rFonts w:ascii="宋体" w:hAnsi="宋体" w:hint="eastAsia"/>
          <w:szCs w:val="21"/>
        </w:rPr>
        <w:t>的基金份额持有人大会决议生效后2日内在</w:t>
      </w:r>
      <w:r w:rsidR="00045A8D">
        <w:rPr>
          <w:rFonts w:ascii="宋体" w:hAnsi="宋体"/>
          <w:szCs w:val="21"/>
        </w:rPr>
        <w:t>指定媒介</w:t>
      </w:r>
      <w:r w:rsidR="00045A8D">
        <w:rPr>
          <w:rFonts w:ascii="宋体" w:hAnsi="宋体" w:hint="eastAsia"/>
          <w:szCs w:val="21"/>
        </w:rPr>
        <w:t>公告</w:t>
      </w:r>
      <w:r w:rsidRPr="00EE1299">
        <w:rPr>
          <w:rFonts w:hAnsi="宋体" w:cs="Arial" w:hint="eastAsia"/>
          <w:szCs w:val="21"/>
        </w:rPr>
        <w:t>。</w:t>
      </w:r>
    </w:p>
    <w:p w14:paraId="034FBFA5"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（三）基金管理人与基金托管人同时更换</w:t>
      </w:r>
    </w:p>
    <w:p w14:paraId="2577D2D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szCs w:val="21"/>
        </w:rPr>
        <w:t>提名：如果基金管理人和基金托管人同时更换，由单独或合计持有基金总份额</w:t>
      </w:r>
      <w:r w:rsidRPr="00EE1299">
        <w:rPr>
          <w:rFonts w:cs="Arial"/>
          <w:szCs w:val="21"/>
        </w:rPr>
        <w:t>10%</w:t>
      </w:r>
      <w:r w:rsidRPr="00EE1299">
        <w:rPr>
          <w:rFonts w:hAnsi="宋体" w:cs="Arial"/>
          <w:szCs w:val="21"/>
        </w:rPr>
        <w:t>以上</w:t>
      </w:r>
      <w:r>
        <w:rPr>
          <w:rFonts w:cs="Arial" w:hint="eastAsia"/>
          <w:szCs w:val="21"/>
        </w:rPr>
        <w:t>（含</w:t>
      </w:r>
      <w:r>
        <w:rPr>
          <w:rFonts w:cs="Arial" w:hint="eastAsia"/>
          <w:szCs w:val="21"/>
        </w:rPr>
        <w:t>10%</w:t>
      </w:r>
      <w:r>
        <w:rPr>
          <w:rFonts w:cs="Arial" w:hint="eastAsia"/>
          <w:szCs w:val="21"/>
        </w:rPr>
        <w:t>）</w:t>
      </w:r>
      <w:r w:rsidRPr="00EE1299">
        <w:rPr>
          <w:rFonts w:hAnsi="宋体" w:cs="Arial"/>
          <w:szCs w:val="21"/>
        </w:rPr>
        <w:t>的基金份额持有人提名新的基金管理人和基金托管人；</w:t>
      </w:r>
    </w:p>
    <w:p w14:paraId="00DF666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szCs w:val="21"/>
        </w:rPr>
        <w:t>基金管理人和基金托管人的更换分别按上述程序进行；</w:t>
      </w:r>
    </w:p>
    <w:p w14:paraId="15688365" w14:textId="71F69B91"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szCs w:val="21"/>
        </w:rPr>
        <w:t>公告：新任基金管理人和新任基金托管人</w:t>
      </w:r>
      <w:r w:rsidRPr="00EE1299">
        <w:rPr>
          <w:rFonts w:hAnsi="宋体" w:cs="Arial" w:hint="eastAsia"/>
          <w:szCs w:val="21"/>
        </w:rPr>
        <w:t>应</w:t>
      </w:r>
      <w:r w:rsidRPr="00EE1299">
        <w:rPr>
          <w:rFonts w:hAnsi="宋体" w:cs="Arial"/>
          <w:szCs w:val="21"/>
        </w:rPr>
        <w:t>在</w:t>
      </w:r>
      <w:r w:rsidRPr="00EE1299">
        <w:rPr>
          <w:rFonts w:hAnsi="宋体" w:cs="Arial" w:hint="eastAsia"/>
          <w:szCs w:val="21"/>
        </w:rPr>
        <w:t>更换基金管理人和基金托管人的基金份额持有人大会决议</w:t>
      </w:r>
      <w:r w:rsidR="00045A8D">
        <w:rPr>
          <w:rFonts w:ascii="宋体" w:hAnsi="宋体" w:hint="eastAsia"/>
          <w:szCs w:val="21"/>
        </w:rPr>
        <w:t>生效后2日内</w:t>
      </w:r>
      <w:r w:rsidR="00045A8D" w:rsidRPr="00660607">
        <w:rPr>
          <w:rFonts w:hAnsi="宋体"/>
          <w:szCs w:val="21"/>
        </w:rPr>
        <w:t>在</w:t>
      </w:r>
      <w:r w:rsidR="00045A8D">
        <w:rPr>
          <w:rFonts w:hAnsi="宋体"/>
          <w:szCs w:val="21"/>
        </w:rPr>
        <w:t>指定媒介</w:t>
      </w:r>
      <w:r w:rsidR="00045A8D" w:rsidRPr="00660607">
        <w:rPr>
          <w:rFonts w:hAnsi="宋体"/>
          <w:szCs w:val="21"/>
        </w:rPr>
        <w:t>上联合公告</w:t>
      </w:r>
      <w:r w:rsidRPr="00EE1299">
        <w:rPr>
          <w:rFonts w:hAnsi="宋体" w:cs="Arial"/>
          <w:szCs w:val="21"/>
        </w:rPr>
        <w:t>。</w:t>
      </w:r>
    </w:p>
    <w:p w14:paraId="6585647A"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496C76CC" w14:textId="77777777" w:rsidR="000D10AE" w:rsidRPr="00EE1299" w:rsidRDefault="000D10AE" w:rsidP="000D10AE">
      <w:pPr>
        <w:adjustRightInd w:val="0"/>
        <w:snapToGrid w:val="0"/>
        <w:spacing w:line="360" w:lineRule="auto"/>
        <w:rPr>
          <w:rFonts w:cs="Arial"/>
          <w:szCs w:val="21"/>
        </w:rPr>
      </w:pPr>
      <w:r>
        <w:rPr>
          <w:rFonts w:cs="Arial"/>
          <w:szCs w:val="21"/>
        </w:rPr>
        <w:br w:type="page"/>
      </w:r>
    </w:p>
    <w:p w14:paraId="6116436E" w14:textId="77777777" w:rsidR="000D10AE" w:rsidRPr="00AB3329" w:rsidRDefault="000D10AE" w:rsidP="000D10AE">
      <w:pPr>
        <w:pStyle w:val="21"/>
        <w:numPr>
          <w:ilvl w:val="1"/>
          <w:numId w:val="28"/>
        </w:numPr>
        <w:rPr>
          <w:rFonts w:ascii="Times New Roman" w:hAnsi="Times New Roman"/>
          <w:color w:val="000000"/>
        </w:rPr>
      </w:pPr>
      <w:bookmarkStart w:id="125" w:name="_Toc215903451"/>
      <w:bookmarkStart w:id="126" w:name="_Toc247440596"/>
      <w:bookmarkStart w:id="127" w:name="_Toc250711197"/>
      <w:r w:rsidRPr="00AB3329">
        <w:rPr>
          <w:rFonts w:ascii="Times New Roman" w:hAnsi="Times New Roman" w:hint="eastAsia"/>
          <w:color w:val="000000"/>
        </w:rPr>
        <w:lastRenderedPageBreak/>
        <w:t>禁止行为</w:t>
      </w:r>
      <w:bookmarkEnd w:id="125"/>
      <w:bookmarkEnd w:id="126"/>
      <w:bookmarkEnd w:id="127"/>
    </w:p>
    <w:p w14:paraId="2E25AC3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本协议当事人禁止从事的行为，包括但不限于：</w:t>
      </w:r>
    </w:p>
    <w:p w14:paraId="764C072D" w14:textId="77777777" w:rsidR="000D10AE" w:rsidRPr="005E6980" w:rsidRDefault="000D10AE" w:rsidP="000D10AE">
      <w:pPr>
        <w:adjustRightInd w:val="0"/>
        <w:snapToGrid w:val="0"/>
        <w:spacing w:line="360" w:lineRule="auto"/>
        <w:ind w:firstLineChars="200" w:firstLine="420"/>
        <w:rPr>
          <w:rFonts w:hAnsi="宋体" w:cs="Arial"/>
          <w:szCs w:val="21"/>
        </w:rPr>
      </w:pPr>
      <w:r w:rsidRPr="005E6980">
        <w:rPr>
          <w:rFonts w:hAnsi="宋体" w:cs="Arial" w:hint="eastAsia"/>
          <w:szCs w:val="21"/>
        </w:rPr>
        <w:t>（一）基金管理人、基金托管人将其固有财产或者他人财产混同于基金财产从事证券投资。</w:t>
      </w:r>
    </w:p>
    <w:p w14:paraId="5DBC43B4" w14:textId="77777777" w:rsidR="000D10AE" w:rsidRPr="005E6980" w:rsidRDefault="000D10AE" w:rsidP="000D10AE">
      <w:pPr>
        <w:adjustRightInd w:val="0"/>
        <w:snapToGrid w:val="0"/>
        <w:spacing w:line="360" w:lineRule="auto"/>
        <w:ind w:firstLineChars="200" w:firstLine="420"/>
        <w:rPr>
          <w:rFonts w:hAnsi="宋体" w:cs="Arial"/>
          <w:szCs w:val="21"/>
        </w:rPr>
      </w:pPr>
      <w:r w:rsidRPr="005E6980">
        <w:rPr>
          <w:rFonts w:hAnsi="宋体" w:cs="Arial" w:hint="eastAsia"/>
          <w:szCs w:val="21"/>
        </w:rPr>
        <w:t>（二）基金管理人不公平地对待其管理的不同基金财产，基金托管人不公平地对待其托管的不同基金财产。</w:t>
      </w:r>
    </w:p>
    <w:p w14:paraId="1A7E420F" w14:textId="77777777" w:rsidR="000D10AE" w:rsidRPr="005E6980" w:rsidRDefault="000D10AE" w:rsidP="000D10AE">
      <w:pPr>
        <w:adjustRightInd w:val="0"/>
        <w:snapToGrid w:val="0"/>
        <w:spacing w:line="360" w:lineRule="auto"/>
        <w:ind w:firstLineChars="200" w:firstLine="420"/>
        <w:rPr>
          <w:rFonts w:hAnsi="宋体" w:cs="Arial"/>
          <w:szCs w:val="21"/>
        </w:rPr>
      </w:pPr>
      <w:r w:rsidRPr="005E6980">
        <w:rPr>
          <w:rFonts w:hAnsi="宋体" w:cs="Arial" w:hint="eastAsia"/>
          <w:szCs w:val="21"/>
        </w:rPr>
        <w:t>（三）基金管理人、基金托管人利用基金财产为基金份额持有人以外的第三人牟取利益。</w:t>
      </w:r>
    </w:p>
    <w:p w14:paraId="78B901FA" w14:textId="77777777" w:rsidR="000D10AE" w:rsidRPr="005E6980" w:rsidRDefault="000D10AE" w:rsidP="000D10AE">
      <w:pPr>
        <w:adjustRightInd w:val="0"/>
        <w:snapToGrid w:val="0"/>
        <w:spacing w:line="360" w:lineRule="auto"/>
        <w:ind w:firstLineChars="200" w:firstLine="420"/>
        <w:rPr>
          <w:rFonts w:hAnsi="宋体" w:cs="Arial"/>
          <w:szCs w:val="21"/>
        </w:rPr>
      </w:pPr>
      <w:r w:rsidRPr="005E6980">
        <w:rPr>
          <w:rFonts w:hAnsi="宋体" w:cs="Arial" w:hint="eastAsia"/>
          <w:szCs w:val="21"/>
        </w:rPr>
        <w:t>（四）基金管理人、基金托管人向基金份额持有人违规承诺收益或者承担损失。</w:t>
      </w:r>
    </w:p>
    <w:p w14:paraId="6C8DCD6D" w14:textId="77777777" w:rsidR="000D10AE" w:rsidRPr="005E6980"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（五）基金管理人、基金托管人对他人泄漏基金运作和管理过程中任何尚未按法律法规规定的方式公开披露的信息。</w:t>
      </w:r>
    </w:p>
    <w:p w14:paraId="170EC74F" w14:textId="77777777" w:rsidR="000D10AE" w:rsidRPr="005E6980" w:rsidRDefault="000D10AE" w:rsidP="000D10AE">
      <w:pPr>
        <w:adjustRightInd w:val="0"/>
        <w:snapToGrid w:val="0"/>
        <w:spacing w:line="360" w:lineRule="auto"/>
        <w:ind w:firstLineChars="200" w:firstLine="420"/>
        <w:rPr>
          <w:rFonts w:hAnsi="宋体" w:cs="Arial"/>
          <w:szCs w:val="21"/>
        </w:rPr>
      </w:pPr>
      <w:r w:rsidRPr="00EE1299">
        <w:rPr>
          <w:rFonts w:hAnsi="宋体" w:cs="Arial"/>
          <w:szCs w:val="21"/>
        </w:rPr>
        <w:t>（六）基金管理人在没有充足资金的情况下向基金托管人发出投资指令和赎回、分红资金的划拨指令，或违规向基金托管人发出指令。</w:t>
      </w:r>
    </w:p>
    <w:p w14:paraId="2D00ED27"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（七）基金管理人、基金托管人在行政上、财务上不独立</w:t>
      </w:r>
      <w:r w:rsidRPr="00EE1299">
        <w:rPr>
          <w:rFonts w:cs="Arial" w:hint="eastAsia"/>
          <w:szCs w:val="21"/>
        </w:rPr>
        <w:t>，</w:t>
      </w:r>
      <w:r w:rsidRPr="00EE1299">
        <w:rPr>
          <w:rFonts w:hAnsi="宋体" w:cs="Arial" w:hint="eastAsia"/>
          <w:szCs w:val="21"/>
        </w:rPr>
        <w:t>其高级管理人员和其他从业人员相互兼职。</w:t>
      </w:r>
    </w:p>
    <w:p w14:paraId="1796C7A3" w14:textId="77777777" w:rsidR="000D10AE" w:rsidRPr="00EE1299" w:rsidRDefault="000D10AE" w:rsidP="000D10AE">
      <w:pPr>
        <w:spacing w:line="360" w:lineRule="auto"/>
        <w:ind w:firstLineChars="200" w:firstLine="420"/>
        <w:rPr>
          <w:rFonts w:cs="Arial"/>
          <w:szCs w:val="21"/>
        </w:rPr>
      </w:pPr>
      <w:r w:rsidRPr="00EE1299">
        <w:rPr>
          <w:rFonts w:hAnsi="宋体" w:cs="Arial" w:hint="eastAsia"/>
          <w:szCs w:val="21"/>
        </w:rPr>
        <w:t>（八）基金托管人私自动用或处分基金财产，根据基金管理人的合法指令、基金合同或托管协议的规定进行处分的除外。</w:t>
      </w:r>
    </w:p>
    <w:p w14:paraId="0E758339"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（九）</w:t>
      </w:r>
      <w:r w:rsidRPr="00EE1299">
        <w:rPr>
          <w:rFonts w:hAnsi="宋体" w:cs="Arial" w:hint="eastAsia"/>
          <w:szCs w:val="21"/>
        </w:rPr>
        <w:t>基金财产</w:t>
      </w:r>
      <w:r w:rsidRPr="00EE1299">
        <w:rPr>
          <w:rFonts w:hAnsi="宋体" w:hint="eastAsia"/>
          <w:szCs w:val="21"/>
        </w:rPr>
        <w:t>用于下列投资或者活动：</w:t>
      </w:r>
    </w:p>
    <w:p w14:paraId="4D37CE5D"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w:t>
      </w:r>
      <w:r w:rsidRPr="00EE1299">
        <w:rPr>
          <w:rFonts w:hint="eastAsia"/>
          <w:szCs w:val="21"/>
        </w:rPr>
        <w:t>1</w:t>
      </w:r>
      <w:r w:rsidRPr="00EE1299">
        <w:rPr>
          <w:rFonts w:hAnsi="宋体" w:hint="eastAsia"/>
          <w:szCs w:val="21"/>
        </w:rPr>
        <w:t>）承销证券；</w:t>
      </w:r>
    </w:p>
    <w:p w14:paraId="70F4A983"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w:t>
      </w:r>
      <w:r w:rsidRPr="00EE1299">
        <w:rPr>
          <w:rFonts w:hint="eastAsia"/>
          <w:szCs w:val="21"/>
        </w:rPr>
        <w:t>2</w:t>
      </w:r>
      <w:r w:rsidRPr="00EE1299">
        <w:rPr>
          <w:rFonts w:hAnsi="宋体" w:hint="eastAsia"/>
          <w:szCs w:val="21"/>
        </w:rPr>
        <w:t>）向他人贷款或者提供担保；</w:t>
      </w:r>
    </w:p>
    <w:p w14:paraId="7517FDB9"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w:t>
      </w:r>
      <w:r w:rsidRPr="00EE1299">
        <w:rPr>
          <w:rFonts w:hint="eastAsia"/>
          <w:szCs w:val="21"/>
        </w:rPr>
        <w:t>3</w:t>
      </w:r>
      <w:r w:rsidRPr="00EE1299">
        <w:rPr>
          <w:rFonts w:hAnsi="宋体" w:hint="eastAsia"/>
          <w:szCs w:val="21"/>
        </w:rPr>
        <w:t>）从事承担无限责任的投资；</w:t>
      </w:r>
    </w:p>
    <w:p w14:paraId="346D9B38"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w:t>
      </w:r>
      <w:r w:rsidRPr="00EE1299">
        <w:rPr>
          <w:rFonts w:hint="eastAsia"/>
          <w:szCs w:val="21"/>
        </w:rPr>
        <w:t>4</w:t>
      </w:r>
      <w:r w:rsidRPr="00EE1299">
        <w:rPr>
          <w:rFonts w:hAnsi="宋体" w:hint="eastAsia"/>
          <w:szCs w:val="21"/>
        </w:rPr>
        <w:t>）买卖其他基金份额，但是国务院另有规定的除外；</w:t>
      </w:r>
    </w:p>
    <w:p w14:paraId="6BE8744E"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w:t>
      </w:r>
      <w:r w:rsidRPr="00EE1299">
        <w:rPr>
          <w:rFonts w:hint="eastAsia"/>
          <w:szCs w:val="21"/>
        </w:rPr>
        <w:t>5</w:t>
      </w:r>
      <w:r w:rsidRPr="00EE1299">
        <w:rPr>
          <w:rFonts w:hAnsi="宋体" w:hint="eastAsia"/>
          <w:szCs w:val="21"/>
        </w:rPr>
        <w:t>）向其基金管理人、基金托管人出资或者买卖其基金管理人、基金托管人发行的股票或者债券；</w:t>
      </w:r>
    </w:p>
    <w:p w14:paraId="4FC2C0AE"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w:t>
      </w:r>
      <w:r w:rsidRPr="00EE1299">
        <w:rPr>
          <w:rFonts w:hint="eastAsia"/>
          <w:szCs w:val="21"/>
        </w:rPr>
        <w:t>6</w:t>
      </w:r>
      <w:r w:rsidRPr="00EE1299">
        <w:rPr>
          <w:rFonts w:hAnsi="宋体" w:hint="eastAsia"/>
          <w:szCs w:val="21"/>
        </w:rPr>
        <w:t>）买卖与其基金管理人、基金托管人有控股关系的股东或者与其基金管理人、基金托管人有其他重大利害关系的公司发行的证券或者承销期内承销的证券；</w:t>
      </w:r>
    </w:p>
    <w:p w14:paraId="7D66C639" w14:textId="77777777" w:rsidR="000D10AE" w:rsidRPr="00EE1299" w:rsidRDefault="000D10AE" w:rsidP="000D10AE">
      <w:pPr>
        <w:spacing w:line="360" w:lineRule="auto"/>
        <w:ind w:firstLineChars="200" w:firstLine="420"/>
        <w:rPr>
          <w:rFonts w:hAnsi="宋体"/>
          <w:szCs w:val="21"/>
        </w:rPr>
      </w:pPr>
      <w:r w:rsidRPr="00EE1299">
        <w:rPr>
          <w:rFonts w:hAnsi="宋体" w:hint="eastAsia"/>
          <w:szCs w:val="21"/>
        </w:rPr>
        <w:t>（</w:t>
      </w:r>
      <w:r w:rsidRPr="00EE1299">
        <w:rPr>
          <w:rFonts w:hint="eastAsia"/>
          <w:szCs w:val="21"/>
        </w:rPr>
        <w:t>7</w:t>
      </w:r>
      <w:r w:rsidRPr="00EE1299">
        <w:rPr>
          <w:rFonts w:hAnsi="宋体" w:hint="eastAsia"/>
          <w:szCs w:val="21"/>
        </w:rPr>
        <w:t>）从事内幕交易、操纵证券交易价格及其他不正当的证券交易活动；</w:t>
      </w:r>
    </w:p>
    <w:p w14:paraId="6ACF71F0" w14:textId="77777777" w:rsidR="000D10AE" w:rsidRPr="00EE1299" w:rsidRDefault="000D10AE" w:rsidP="000D10AE">
      <w:pPr>
        <w:spacing w:line="360" w:lineRule="auto"/>
        <w:ind w:firstLineChars="200" w:firstLine="420"/>
        <w:rPr>
          <w:rFonts w:cs="Arial"/>
          <w:szCs w:val="21"/>
        </w:rPr>
      </w:pPr>
      <w:r w:rsidRPr="00EE1299">
        <w:rPr>
          <w:rFonts w:hAnsi="宋体" w:hint="eastAsia"/>
          <w:szCs w:val="21"/>
        </w:rPr>
        <w:t>（</w:t>
      </w:r>
      <w:r w:rsidRPr="00EE1299">
        <w:rPr>
          <w:rFonts w:hint="eastAsia"/>
          <w:szCs w:val="21"/>
        </w:rPr>
        <w:t>8</w:t>
      </w:r>
      <w:r w:rsidRPr="00EE1299">
        <w:rPr>
          <w:rFonts w:hAnsi="宋体" w:hint="eastAsia"/>
          <w:szCs w:val="21"/>
        </w:rPr>
        <w:t>）依照法律、行政法规有关规定，由国务院证券监督管理机构规定禁止的其他活动。</w:t>
      </w:r>
      <w:r w:rsidRPr="00EE1299">
        <w:rPr>
          <w:rFonts w:hAnsi="宋体" w:cs="Arial"/>
          <w:szCs w:val="21"/>
        </w:rPr>
        <w:t>法律法规或</w:t>
      </w:r>
      <w:r w:rsidRPr="00EE1299">
        <w:rPr>
          <w:rFonts w:hAnsi="宋体" w:cs="Arial" w:hint="eastAsia"/>
          <w:szCs w:val="21"/>
        </w:rPr>
        <w:t>监管部门取消</w:t>
      </w:r>
      <w:r w:rsidRPr="00EE1299">
        <w:rPr>
          <w:rFonts w:hAnsi="宋体" w:cs="Arial"/>
          <w:szCs w:val="21"/>
        </w:rPr>
        <w:t>上述限制，</w:t>
      </w:r>
      <w:r w:rsidRPr="00EE1299">
        <w:rPr>
          <w:rFonts w:hAnsi="宋体" w:cs="Arial" w:hint="eastAsia"/>
          <w:szCs w:val="21"/>
        </w:rPr>
        <w:t>如适用于本基金，则本基金投资不再受相关限制</w:t>
      </w:r>
      <w:r w:rsidRPr="00EE1299">
        <w:rPr>
          <w:rFonts w:hAnsi="宋体" w:hint="eastAsia"/>
          <w:szCs w:val="21"/>
        </w:rPr>
        <w:t>。</w:t>
      </w:r>
    </w:p>
    <w:p w14:paraId="3353007F"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（十）法律法规和基金合同禁止的其他行为，以及</w:t>
      </w:r>
      <w:r w:rsidRPr="00EE1299">
        <w:rPr>
          <w:rFonts w:hAnsi="宋体" w:hint="eastAsia"/>
          <w:szCs w:val="21"/>
        </w:rPr>
        <w:t>依照法律、行政法规有关规定，由国务院证券监督管理机构规定禁止基金管理人、基金托管人从事的其他行为。</w:t>
      </w:r>
    </w:p>
    <w:p w14:paraId="1246C8CE" w14:textId="77777777" w:rsidR="000D10AE" w:rsidRPr="00EE1299" w:rsidRDefault="000D10AE" w:rsidP="000D10AE">
      <w:pPr>
        <w:adjustRightInd w:val="0"/>
        <w:snapToGrid w:val="0"/>
        <w:spacing w:line="360" w:lineRule="auto"/>
        <w:rPr>
          <w:szCs w:val="21"/>
        </w:rPr>
      </w:pPr>
      <w:r>
        <w:rPr>
          <w:szCs w:val="21"/>
        </w:rPr>
        <w:br w:type="page"/>
      </w:r>
    </w:p>
    <w:p w14:paraId="409230F2" w14:textId="77777777" w:rsidR="000D10AE" w:rsidRPr="00AB3329" w:rsidRDefault="000D10AE" w:rsidP="000D10AE">
      <w:pPr>
        <w:pStyle w:val="21"/>
        <w:numPr>
          <w:ilvl w:val="1"/>
          <w:numId w:val="28"/>
        </w:numPr>
        <w:rPr>
          <w:rFonts w:ascii="Times New Roman" w:hAnsi="Times New Roman"/>
          <w:color w:val="000000"/>
        </w:rPr>
      </w:pPr>
      <w:bookmarkStart w:id="128" w:name="_Toc215903452"/>
      <w:bookmarkStart w:id="129" w:name="_Toc247440597"/>
      <w:bookmarkStart w:id="130" w:name="_Toc250711198"/>
      <w:r w:rsidRPr="00AB3329">
        <w:rPr>
          <w:rFonts w:ascii="Times New Roman" w:hAnsi="Times New Roman" w:hint="eastAsia"/>
          <w:color w:val="000000"/>
        </w:rPr>
        <w:lastRenderedPageBreak/>
        <w:t>托管协议的变更、终止与基金财产的清算</w:t>
      </w:r>
      <w:bookmarkEnd w:id="128"/>
      <w:bookmarkEnd w:id="129"/>
      <w:bookmarkEnd w:id="130"/>
    </w:p>
    <w:p w14:paraId="436C90E6"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（一）托管协议的变更程序</w:t>
      </w:r>
    </w:p>
    <w:p w14:paraId="36FFB15B" w14:textId="77777777" w:rsidR="000D10AE" w:rsidRPr="00EE1299" w:rsidRDefault="000D10AE" w:rsidP="000D10AE">
      <w:pPr>
        <w:adjustRightInd w:val="0"/>
        <w:snapToGrid w:val="0"/>
        <w:spacing w:line="360" w:lineRule="auto"/>
        <w:ind w:firstLineChars="200" w:firstLine="420"/>
        <w:rPr>
          <w:szCs w:val="21"/>
        </w:rPr>
      </w:pPr>
      <w:r w:rsidRPr="00EE1299">
        <w:rPr>
          <w:rFonts w:hAnsi="宋体" w:cs="Arial" w:hint="eastAsia"/>
          <w:szCs w:val="21"/>
        </w:rPr>
        <w:t>本协议双方当事人经协商一致，可以对协议进行修改。修改后的新协议，其内容不得与基金合同的规定有任何冲突。基金托管协议的变更报中国证监会核准或备案后生效。</w:t>
      </w:r>
    </w:p>
    <w:p w14:paraId="0A43B5D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（二）基金托管协议终止出现的情形</w:t>
      </w:r>
    </w:p>
    <w:p w14:paraId="62A2F0E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基金合同终止；</w:t>
      </w:r>
    </w:p>
    <w:p w14:paraId="200005C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基金托管人解散、依法被撤销、破产或由其他基金托管人接管基金资产；</w:t>
      </w:r>
    </w:p>
    <w:p w14:paraId="3BE9E6C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基金管理人解散、依法被撤销、破产或由其他基金管理人接管基金管理权；</w:t>
      </w:r>
    </w:p>
    <w:p w14:paraId="17463695"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发生法律法规或基金合同规定的终止事项。</w:t>
      </w:r>
    </w:p>
    <w:p w14:paraId="7BA8BC0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（三）基金财产的清算</w:t>
      </w:r>
    </w:p>
    <w:p w14:paraId="1341765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基金财产清算组</w:t>
      </w:r>
    </w:p>
    <w:p w14:paraId="5164AFF5"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基金合同终止时，成立基金财产清算组，基金财产清算组在中国证监会的监督下进行基金清算。</w:t>
      </w:r>
    </w:p>
    <w:p w14:paraId="1EBF1C21" w14:textId="1CBAF86C"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基金财产清算组成员由基金管理人、基金托管人、</w:t>
      </w:r>
      <w:r w:rsidR="000368B3">
        <w:rPr>
          <w:rFonts w:hAnsi="宋体" w:cs="Arial" w:hint="eastAsia"/>
          <w:szCs w:val="21"/>
        </w:rPr>
        <w:t>具有从事证券、期货相关业务资格</w:t>
      </w:r>
      <w:r w:rsidRPr="00EE1299">
        <w:rPr>
          <w:rFonts w:hAnsi="宋体" w:cs="Arial" w:hint="eastAsia"/>
          <w:szCs w:val="21"/>
        </w:rPr>
        <w:t>的注册会计师、律师以及中国证监会指定的人员组成。基金财产清算组可以聘用必要的工作人员。</w:t>
      </w:r>
    </w:p>
    <w:p w14:paraId="24A6D477"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在基金财产清算过程中，基金管理人和基金托管人应各自履行职责，继续忠实、勤勉、尽责地履行基金合同和本托管协议规定的义务，维护基金份额持有人的合法权益。</w:t>
      </w:r>
    </w:p>
    <w:p w14:paraId="2F318EBB"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基金财产清算组负责基金财产的保管、清理、估价、变现和分配。基金财产清算组可以依法进行必要的民事活动。</w:t>
      </w:r>
    </w:p>
    <w:p w14:paraId="1B3D69F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基金财产清算程序</w:t>
      </w:r>
    </w:p>
    <w:p w14:paraId="1E15D30A" w14:textId="77777777" w:rsidR="000D10AE" w:rsidRPr="00EE1299" w:rsidRDefault="000D10AE" w:rsidP="000D10AE">
      <w:pPr>
        <w:adjustRightInd w:val="0"/>
        <w:snapToGrid w:val="0"/>
        <w:spacing w:line="360" w:lineRule="auto"/>
        <w:ind w:firstLineChars="200" w:firstLine="420"/>
        <w:rPr>
          <w:szCs w:val="21"/>
        </w:rPr>
      </w:pPr>
      <w:r w:rsidRPr="00EE1299">
        <w:rPr>
          <w:rFonts w:hAnsi="宋体" w:hint="eastAsia"/>
          <w:szCs w:val="21"/>
        </w:rPr>
        <w:t>基金合同终止，应当按法律法规和本基金合同的有关规定对基金财产进行清算。基金财产清算程序主要包括：</w:t>
      </w:r>
    </w:p>
    <w:p w14:paraId="464DD89C"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szCs w:val="21"/>
        </w:rPr>
        <w:t>基金合同终止后，发布基金</w:t>
      </w:r>
      <w:r w:rsidRPr="00EE1299">
        <w:rPr>
          <w:rFonts w:hAnsi="宋体" w:cs="Arial" w:hint="eastAsia"/>
          <w:szCs w:val="21"/>
        </w:rPr>
        <w:t>财产</w:t>
      </w:r>
      <w:r w:rsidRPr="00EE1299">
        <w:rPr>
          <w:rFonts w:hAnsi="宋体" w:cs="Arial"/>
          <w:szCs w:val="21"/>
        </w:rPr>
        <w:t>清算公告；</w:t>
      </w:r>
    </w:p>
    <w:p w14:paraId="337BB86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基金合同终止时，由基金财产清算组统一接管基金财产；</w:t>
      </w:r>
    </w:p>
    <w:p w14:paraId="2C5F330C"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对基金财产进行清理和确认；</w:t>
      </w:r>
    </w:p>
    <w:p w14:paraId="5B361A17"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对基金财产进行估价和变现；</w:t>
      </w:r>
    </w:p>
    <w:p w14:paraId="4593D02D" w14:textId="4BD90CB1"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(5)</w:t>
      </w:r>
      <w:r w:rsidR="000368B3">
        <w:rPr>
          <w:rFonts w:hAnsi="宋体" w:cs="Arial"/>
          <w:szCs w:val="21"/>
        </w:rPr>
        <w:t>聘请具有证券、期货相关业务资格的会计师事务所</w:t>
      </w:r>
      <w:r w:rsidRPr="00EE1299">
        <w:rPr>
          <w:rFonts w:hAnsi="宋体" w:cs="Arial"/>
          <w:szCs w:val="21"/>
        </w:rPr>
        <w:t>对清算报告进行审计</w:t>
      </w:r>
      <w:r w:rsidRPr="00EE1299">
        <w:rPr>
          <w:rFonts w:hAnsi="宋体" w:cs="Arial" w:hint="eastAsia"/>
          <w:szCs w:val="21"/>
        </w:rPr>
        <w:t>；</w:t>
      </w:r>
    </w:p>
    <w:p w14:paraId="52A636CC"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(6)</w:t>
      </w:r>
      <w:r w:rsidRPr="00EE1299">
        <w:rPr>
          <w:rFonts w:hAnsi="宋体" w:cs="Arial"/>
          <w:szCs w:val="21"/>
        </w:rPr>
        <w:t>聘请律师事务所出具法律意见书</w:t>
      </w:r>
      <w:r w:rsidRPr="00EE1299">
        <w:rPr>
          <w:rFonts w:hAnsi="宋体" w:cs="Arial" w:hint="eastAsia"/>
          <w:szCs w:val="21"/>
        </w:rPr>
        <w:t>；</w:t>
      </w:r>
    </w:p>
    <w:p w14:paraId="4D9111E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(7)</w:t>
      </w:r>
      <w:r w:rsidRPr="00EE1299">
        <w:rPr>
          <w:rFonts w:hAnsi="宋体" w:cs="Arial" w:hint="eastAsia"/>
          <w:szCs w:val="21"/>
        </w:rPr>
        <w:t>将基金财产清算结果报告中国证监会；</w:t>
      </w:r>
    </w:p>
    <w:p w14:paraId="5168333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(8)</w:t>
      </w:r>
      <w:r w:rsidRPr="00EE1299">
        <w:rPr>
          <w:rFonts w:hAnsi="宋体" w:cs="Arial"/>
          <w:szCs w:val="21"/>
        </w:rPr>
        <w:t>参加与基金</w:t>
      </w:r>
      <w:r w:rsidRPr="00EE1299">
        <w:rPr>
          <w:rFonts w:hAnsi="宋体" w:cs="Arial" w:hint="eastAsia"/>
          <w:szCs w:val="21"/>
        </w:rPr>
        <w:t>财产</w:t>
      </w:r>
      <w:r w:rsidRPr="00EE1299">
        <w:rPr>
          <w:rFonts w:hAnsi="宋体" w:cs="Arial"/>
          <w:szCs w:val="21"/>
        </w:rPr>
        <w:t>有关的民事诉讼</w:t>
      </w:r>
      <w:r w:rsidRPr="00EE1299">
        <w:rPr>
          <w:rFonts w:hAnsi="宋体" w:cs="Arial" w:hint="eastAsia"/>
          <w:szCs w:val="21"/>
        </w:rPr>
        <w:t>；</w:t>
      </w:r>
    </w:p>
    <w:p w14:paraId="25829C1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(9)</w:t>
      </w:r>
      <w:r w:rsidRPr="00EE1299">
        <w:rPr>
          <w:rFonts w:hAnsi="宋体" w:cs="Arial" w:hint="eastAsia"/>
          <w:szCs w:val="21"/>
        </w:rPr>
        <w:t>公布基金财产清算结果；</w:t>
      </w:r>
    </w:p>
    <w:p w14:paraId="1EAA7AD8"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(10)</w:t>
      </w:r>
      <w:r w:rsidRPr="00EE1299">
        <w:rPr>
          <w:rFonts w:hAnsi="宋体" w:cs="Arial" w:hint="eastAsia"/>
          <w:szCs w:val="21"/>
        </w:rPr>
        <w:t>对基金剩余财产进行分配。</w:t>
      </w:r>
    </w:p>
    <w:p w14:paraId="0D37603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清算费用</w:t>
      </w:r>
    </w:p>
    <w:p w14:paraId="2072530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lastRenderedPageBreak/>
        <w:t>清算费用是指基金财产清算组在进行基金财产清算过程中发生的所有合理费用，清算费用由基金财产清算组优先从基金财产中支付。</w:t>
      </w:r>
    </w:p>
    <w:p w14:paraId="5CE9015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基金财产按下列顺序清偿：</w:t>
      </w:r>
    </w:p>
    <w:p w14:paraId="71E5953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支付清算费用；</w:t>
      </w:r>
    </w:p>
    <w:p w14:paraId="0F9934D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交纳所欠税款；</w:t>
      </w:r>
    </w:p>
    <w:p w14:paraId="038C22C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(3)</w:t>
      </w:r>
      <w:r w:rsidRPr="00EE1299">
        <w:rPr>
          <w:rFonts w:hAnsi="宋体" w:cs="Arial" w:hint="eastAsia"/>
          <w:szCs w:val="21"/>
        </w:rPr>
        <w:t>清偿基金债务；</w:t>
      </w:r>
    </w:p>
    <w:p w14:paraId="321FC307"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(4)</w:t>
      </w:r>
      <w:r w:rsidRPr="00EE1299">
        <w:rPr>
          <w:rFonts w:hAnsi="宋体" w:cs="Arial" w:hint="eastAsia"/>
          <w:szCs w:val="21"/>
        </w:rPr>
        <w:t>按基金份额持有人持有的基金份额比例进行分配。</w:t>
      </w:r>
    </w:p>
    <w:p w14:paraId="0789B1FF"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基金财产未按前款</w:t>
      </w:r>
      <w:r w:rsidRPr="00EE1299">
        <w:rPr>
          <w:rFonts w:cs="Arial" w:hint="eastAsia"/>
          <w:szCs w:val="21"/>
        </w:rPr>
        <w:t>(1)</w:t>
      </w:r>
      <w:r w:rsidRPr="00EE1299">
        <w:rPr>
          <w:rFonts w:hAnsi="宋体" w:cs="Arial" w:hint="eastAsia"/>
          <w:szCs w:val="21"/>
        </w:rPr>
        <w:t>－</w:t>
      </w:r>
      <w:r w:rsidRPr="00EE1299">
        <w:rPr>
          <w:rFonts w:cs="Arial" w:hint="eastAsia"/>
          <w:szCs w:val="21"/>
        </w:rPr>
        <w:t>(</w:t>
      </w:r>
      <w:r w:rsidRPr="00EE1299">
        <w:rPr>
          <w:rFonts w:cs="Arial"/>
          <w:szCs w:val="21"/>
        </w:rPr>
        <w:t>3</w:t>
      </w:r>
      <w:r w:rsidRPr="00EE1299">
        <w:rPr>
          <w:rFonts w:cs="Arial" w:hint="eastAsia"/>
          <w:szCs w:val="21"/>
        </w:rPr>
        <w:t>)</w:t>
      </w:r>
      <w:r w:rsidRPr="00EE1299">
        <w:rPr>
          <w:rFonts w:hAnsi="宋体" w:cs="Arial" w:hint="eastAsia"/>
          <w:szCs w:val="21"/>
        </w:rPr>
        <w:t>项规定清偿前，不分配给基金份额持有人。</w:t>
      </w:r>
    </w:p>
    <w:p w14:paraId="487E3DE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5.</w:t>
      </w:r>
      <w:r w:rsidRPr="00EE1299">
        <w:rPr>
          <w:rFonts w:hAnsi="宋体" w:cs="Arial" w:hint="eastAsia"/>
          <w:szCs w:val="21"/>
        </w:rPr>
        <w:t>基金财产清算的公告</w:t>
      </w:r>
    </w:p>
    <w:p w14:paraId="2E1AB971" w14:textId="60C8CAC0"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szCs w:val="21"/>
        </w:rPr>
        <w:t>基金财产清算公告于</w:t>
      </w:r>
      <w:r w:rsidRPr="00EE1299">
        <w:rPr>
          <w:rFonts w:hAnsi="宋体" w:cs="Arial" w:hint="eastAsia"/>
          <w:szCs w:val="21"/>
        </w:rPr>
        <w:t>基金合同终止并报中国证监会备案后</w:t>
      </w:r>
      <w:r w:rsidRPr="00EE1299">
        <w:rPr>
          <w:rFonts w:cs="Arial"/>
          <w:szCs w:val="21"/>
        </w:rPr>
        <w:t>5</w:t>
      </w:r>
      <w:r w:rsidRPr="00EE1299">
        <w:rPr>
          <w:rFonts w:hAnsi="宋体" w:cs="Arial" w:hint="eastAsia"/>
          <w:szCs w:val="21"/>
        </w:rPr>
        <w:t>个工作日内由基金财产清算组公告</w:t>
      </w:r>
      <w:r w:rsidR="00E14BA3">
        <w:rPr>
          <w:rFonts w:ascii="宋体" w:hAnsi="宋体" w:cs="Arial" w:hint="eastAsia"/>
          <w:szCs w:val="21"/>
        </w:rPr>
        <w:t>，</w:t>
      </w:r>
      <w:r w:rsidR="00E14BA3" w:rsidRPr="00072F7C">
        <w:rPr>
          <w:rFonts w:ascii="宋体" w:hAnsi="宋体" w:hint="eastAsia"/>
          <w:color w:val="000000"/>
          <w:szCs w:val="21"/>
        </w:rPr>
        <w:t>基金财产清算小组应当将清算报告登载在指定网站上，并将清算报告提示性公告登载在指定报刊上</w:t>
      </w:r>
      <w:r w:rsidRPr="00EE1299">
        <w:rPr>
          <w:rFonts w:hAnsi="宋体" w:cs="Arial" w:hint="eastAsia"/>
          <w:szCs w:val="21"/>
        </w:rPr>
        <w:t>；清算过程中的有关重大事项须及时公告；基金财产清算结果</w:t>
      </w:r>
      <w:r w:rsidR="000368B3">
        <w:rPr>
          <w:rFonts w:hAnsi="宋体" w:cs="Arial" w:hint="eastAsia"/>
          <w:szCs w:val="21"/>
        </w:rPr>
        <w:t>经具有证券、期货相关业务资格的会计师事务所审计</w:t>
      </w:r>
      <w:r w:rsidRPr="00EE1299">
        <w:rPr>
          <w:rFonts w:hAnsi="宋体" w:cs="Arial" w:hint="eastAsia"/>
          <w:szCs w:val="21"/>
        </w:rPr>
        <w:t>，律师事务所出具法律意见书后，由基金财产清算组报中国证监会备案并公告。</w:t>
      </w:r>
    </w:p>
    <w:p w14:paraId="5248DFB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6.</w:t>
      </w:r>
      <w:r w:rsidRPr="00EE1299">
        <w:rPr>
          <w:rFonts w:hAnsi="宋体" w:cs="Arial" w:hint="eastAsia"/>
          <w:szCs w:val="21"/>
        </w:rPr>
        <w:t>基金财产清算账册及文件的保存</w:t>
      </w:r>
    </w:p>
    <w:p w14:paraId="50BA799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基金财产清算账册及有关文件由基金托管人保存</w:t>
      </w:r>
      <w:r w:rsidRPr="00EE1299">
        <w:rPr>
          <w:rFonts w:cs="Arial"/>
          <w:szCs w:val="21"/>
        </w:rPr>
        <w:t>15</w:t>
      </w:r>
      <w:r w:rsidRPr="00EE1299">
        <w:rPr>
          <w:rFonts w:hAnsi="宋体" w:cs="Arial" w:hint="eastAsia"/>
          <w:szCs w:val="21"/>
        </w:rPr>
        <w:t>年以上。</w:t>
      </w:r>
    </w:p>
    <w:p w14:paraId="1CD886F4" w14:textId="77777777" w:rsidR="000D10AE" w:rsidRPr="00EE1299" w:rsidRDefault="000D10AE" w:rsidP="000D10AE">
      <w:pPr>
        <w:adjustRightInd w:val="0"/>
        <w:snapToGrid w:val="0"/>
        <w:spacing w:line="360" w:lineRule="auto"/>
        <w:rPr>
          <w:rFonts w:cs="Arial"/>
          <w:szCs w:val="21"/>
        </w:rPr>
      </w:pPr>
      <w:r>
        <w:rPr>
          <w:rFonts w:cs="Arial"/>
          <w:szCs w:val="21"/>
        </w:rPr>
        <w:br w:type="page"/>
      </w:r>
    </w:p>
    <w:p w14:paraId="39BE0F57" w14:textId="77777777" w:rsidR="000D10AE" w:rsidRPr="00AB3329" w:rsidRDefault="000D10AE" w:rsidP="000D10AE">
      <w:pPr>
        <w:pStyle w:val="21"/>
        <w:numPr>
          <w:ilvl w:val="1"/>
          <w:numId w:val="28"/>
        </w:numPr>
        <w:rPr>
          <w:rFonts w:ascii="Times New Roman" w:hAnsi="Times New Roman"/>
          <w:color w:val="000000"/>
        </w:rPr>
      </w:pPr>
      <w:bookmarkStart w:id="131" w:name="_Toc215903453"/>
      <w:bookmarkStart w:id="132" w:name="_Toc247440598"/>
      <w:bookmarkStart w:id="133" w:name="_Toc250711199"/>
      <w:r w:rsidRPr="00AB3329">
        <w:rPr>
          <w:rFonts w:ascii="Times New Roman" w:hAnsi="Times New Roman" w:hint="eastAsia"/>
          <w:color w:val="000000"/>
        </w:rPr>
        <w:lastRenderedPageBreak/>
        <w:t>违约责任</w:t>
      </w:r>
      <w:bookmarkEnd w:id="131"/>
      <w:bookmarkEnd w:id="132"/>
      <w:bookmarkEnd w:id="133"/>
    </w:p>
    <w:p w14:paraId="4B5F482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（一）</w:t>
      </w:r>
      <w:r w:rsidRPr="00EE1299">
        <w:rPr>
          <w:rFonts w:hAnsi="宋体" w:cs="Arial"/>
          <w:szCs w:val="21"/>
        </w:rPr>
        <w:t>基金管理人、基金托管人</w:t>
      </w:r>
      <w:r w:rsidRPr="00EE1299">
        <w:rPr>
          <w:rFonts w:hAnsi="宋体" w:cs="Arial" w:hint="eastAsia"/>
          <w:szCs w:val="21"/>
        </w:rPr>
        <w:t>不</w:t>
      </w:r>
      <w:r w:rsidRPr="00EE1299">
        <w:rPr>
          <w:rFonts w:hAnsi="宋体" w:cs="Arial"/>
          <w:szCs w:val="21"/>
        </w:rPr>
        <w:t>履行</w:t>
      </w:r>
      <w:r w:rsidRPr="00EE1299">
        <w:rPr>
          <w:rFonts w:hAnsi="宋体" w:cs="Arial" w:hint="eastAsia"/>
          <w:szCs w:val="21"/>
        </w:rPr>
        <w:t>本协议或履行本协议不符合约定的，应当承担违约责任。</w:t>
      </w:r>
    </w:p>
    <w:p w14:paraId="215F1DCA"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（二）</w:t>
      </w:r>
      <w:r w:rsidRPr="00EE1299">
        <w:rPr>
          <w:rFonts w:hAnsi="宋体" w:cs="Arial"/>
          <w:szCs w:val="21"/>
        </w:rPr>
        <w:t>基金管理人、基金托管人在履行各自职责的过程中，违反</w:t>
      </w:r>
      <w:r w:rsidRPr="00EE1299">
        <w:rPr>
          <w:rFonts w:hAnsi="宋体" w:cs="Arial" w:hint="eastAsia"/>
          <w:szCs w:val="21"/>
        </w:rPr>
        <w:t>《基金法》</w:t>
      </w:r>
      <w:r w:rsidRPr="00EE1299">
        <w:rPr>
          <w:rFonts w:hAnsi="宋体" w:cs="Arial"/>
          <w:szCs w:val="21"/>
        </w:rPr>
        <w:t>或者</w:t>
      </w:r>
      <w:r w:rsidRPr="00EE1299">
        <w:rPr>
          <w:rFonts w:hAnsi="宋体" w:cs="Arial" w:hint="eastAsia"/>
          <w:szCs w:val="21"/>
        </w:rPr>
        <w:t>基金合同和本托管协议</w:t>
      </w:r>
      <w:r w:rsidRPr="00EE1299">
        <w:rPr>
          <w:rFonts w:hAnsi="宋体" w:cs="Arial"/>
          <w:szCs w:val="21"/>
        </w:rPr>
        <w:t>约定，给基金财产或者基金份额持有人造成损害的，应当分别对各自的行为依法承担赔偿责任；因共同行为给基金财产或者基金份额持有人造成损害的，</w:t>
      </w:r>
      <w:r w:rsidRPr="00660607">
        <w:rPr>
          <w:rFonts w:hAnsi="宋体"/>
          <w:szCs w:val="21"/>
        </w:rPr>
        <w:t>应当承担连带赔偿责任</w:t>
      </w:r>
      <w:r w:rsidRPr="00EE1299">
        <w:rPr>
          <w:rFonts w:hAnsi="宋体" w:cs="Arial"/>
          <w:szCs w:val="21"/>
        </w:rPr>
        <w:t>。</w:t>
      </w:r>
    </w:p>
    <w:p w14:paraId="59069544"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6C992519"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1.</w:t>
      </w:r>
      <w:r w:rsidRPr="00EE1299">
        <w:rPr>
          <w:rFonts w:hAnsi="宋体" w:cs="Arial" w:hint="eastAsia"/>
          <w:szCs w:val="21"/>
        </w:rPr>
        <w:t>不可抗力；</w:t>
      </w:r>
    </w:p>
    <w:p w14:paraId="4A31104A"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2.</w:t>
      </w:r>
      <w:r w:rsidRPr="00EE1299">
        <w:rPr>
          <w:rFonts w:hAnsi="宋体" w:cs="Arial" w:hint="eastAsia"/>
          <w:szCs w:val="21"/>
        </w:rPr>
        <w:t>基金管理人、基金托管人按照当时有效的法律法规或中国证监会的规定作为或不作为而造成的损失等；</w:t>
      </w:r>
    </w:p>
    <w:p w14:paraId="574AC96A" w14:textId="77777777" w:rsidR="000D10AE" w:rsidRDefault="000D10AE" w:rsidP="000D10AE">
      <w:pPr>
        <w:adjustRightInd w:val="0"/>
        <w:snapToGrid w:val="0"/>
        <w:spacing w:line="360" w:lineRule="auto"/>
        <w:ind w:firstLineChars="200" w:firstLine="420"/>
        <w:rPr>
          <w:rFonts w:hAnsi="宋体" w:cs="Arial"/>
          <w:szCs w:val="21"/>
        </w:rPr>
      </w:pPr>
      <w:r w:rsidRPr="00EE1299">
        <w:rPr>
          <w:rFonts w:cs="Arial" w:hint="eastAsia"/>
          <w:szCs w:val="21"/>
        </w:rPr>
        <w:t>3.</w:t>
      </w:r>
      <w:r w:rsidRPr="00EE1299">
        <w:rPr>
          <w:rFonts w:hAnsi="宋体" w:cs="Arial" w:hint="eastAsia"/>
          <w:szCs w:val="21"/>
        </w:rPr>
        <w:t>在没有过错的情况下，基金管理人由于按照基金合同规定的投资原则投资或不投资造成的直接损失或潜在损失等；</w:t>
      </w:r>
    </w:p>
    <w:p w14:paraId="6B1DBBE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（四）一方当事人违约，另一方当事人在职责范围内有义务及时采取必要的措施，尽力防止损失的扩大。</w:t>
      </w:r>
    </w:p>
    <w:p w14:paraId="6EBD6E7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7442DECE" w14:textId="77777777" w:rsidR="000D10AE"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Ansi="宋体" w:cs="Arial" w:hint="eastAsia"/>
          <w:szCs w:val="21"/>
        </w:rPr>
        <w:t>减轻或</w:t>
      </w:r>
      <w:r w:rsidRPr="00EE1299">
        <w:rPr>
          <w:rFonts w:hAnsi="宋体" w:cs="Arial" w:hint="eastAsia"/>
          <w:szCs w:val="21"/>
        </w:rPr>
        <w:t>消除由此造成的影响。</w:t>
      </w:r>
    </w:p>
    <w:p w14:paraId="446A8B7B" w14:textId="77777777" w:rsidR="000D10AE" w:rsidRPr="00EE1299" w:rsidRDefault="000D10AE" w:rsidP="000D10AE">
      <w:pPr>
        <w:adjustRightInd w:val="0"/>
        <w:snapToGrid w:val="0"/>
        <w:spacing w:line="360" w:lineRule="auto"/>
        <w:ind w:firstLineChars="200" w:firstLine="420"/>
        <w:rPr>
          <w:rFonts w:cs="Arial"/>
          <w:szCs w:val="21"/>
        </w:rPr>
      </w:pPr>
      <w:r>
        <w:rPr>
          <w:rFonts w:hAnsi="宋体" w:cs="Arial"/>
          <w:szCs w:val="21"/>
        </w:rPr>
        <w:br w:type="page"/>
      </w:r>
    </w:p>
    <w:p w14:paraId="4675D742" w14:textId="77777777" w:rsidR="000D10AE" w:rsidRPr="00AB3329" w:rsidRDefault="000D10AE" w:rsidP="000D10AE">
      <w:pPr>
        <w:pStyle w:val="21"/>
        <w:numPr>
          <w:ilvl w:val="1"/>
          <w:numId w:val="28"/>
        </w:numPr>
        <w:rPr>
          <w:rFonts w:ascii="Times New Roman" w:hAnsi="Times New Roman"/>
          <w:color w:val="000000"/>
        </w:rPr>
      </w:pPr>
      <w:bookmarkStart w:id="134" w:name="_Toc215903454"/>
      <w:bookmarkStart w:id="135" w:name="_Toc247440599"/>
      <w:bookmarkStart w:id="136" w:name="_Toc250711200"/>
      <w:r w:rsidRPr="00AB3329">
        <w:rPr>
          <w:rFonts w:ascii="Times New Roman" w:hAnsi="Times New Roman" w:hint="eastAsia"/>
          <w:color w:val="000000"/>
        </w:rPr>
        <w:lastRenderedPageBreak/>
        <w:t>争议解决方式</w:t>
      </w:r>
      <w:bookmarkEnd w:id="134"/>
      <w:bookmarkEnd w:id="135"/>
      <w:bookmarkEnd w:id="136"/>
    </w:p>
    <w:p w14:paraId="31CFD632"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因本协议产生或与之相关的争议，双方当事人应通过协商、调解解决，协商、调解不能解决的，任何一方均有权将争议提交中国国际经济贸易仲裁委员会</w:t>
      </w:r>
      <w:r>
        <w:rPr>
          <w:rFonts w:hAnsi="宋体" w:cs="Arial" w:hint="eastAsia"/>
          <w:szCs w:val="21"/>
        </w:rPr>
        <w:t>华南分会</w:t>
      </w:r>
      <w:r w:rsidRPr="00EE1299">
        <w:rPr>
          <w:rFonts w:hAnsi="宋体" w:cs="Arial" w:hint="eastAsia"/>
          <w:szCs w:val="21"/>
        </w:rPr>
        <w:t>，仲裁地点为</w:t>
      </w:r>
      <w:r>
        <w:rPr>
          <w:rFonts w:hAnsi="宋体" w:cs="Arial" w:hint="eastAsia"/>
          <w:szCs w:val="21"/>
        </w:rPr>
        <w:t>深圳</w:t>
      </w:r>
      <w:r w:rsidRPr="00EE1299">
        <w:rPr>
          <w:rFonts w:hAnsi="宋体" w:cs="Arial" w:hint="eastAsia"/>
          <w:szCs w:val="21"/>
        </w:rPr>
        <w:t>市，按照中国国际经济贸易仲裁委员会届时有效的仲裁规则进行仲裁。仲裁裁决是终局的，对当事人均有约束力，仲裁费用由败诉方承担。</w:t>
      </w:r>
    </w:p>
    <w:p w14:paraId="0D590021"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2A669BCD" w14:textId="77777777" w:rsidR="000D10AE" w:rsidRDefault="000D10AE" w:rsidP="000D10AE">
      <w:pPr>
        <w:adjustRightInd w:val="0"/>
        <w:snapToGrid w:val="0"/>
        <w:spacing w:line="360" w:lineRule="auto"/>
        <w:ind w:firstLineChars="200" w:firstLine="420"/>
        <w:rPr>
          <w:rFonts w:hAnsi="宋体" w:cs="Arial"/>
          <w:szCs w:val="21"/>
        </w:rPr>
      </w:pPr>
      <w:r w:rsidRPr="00EE1299">
        <w:rPr>
          <w:rFonts w:hAnsi="宋体" w:cs="Arial" w:hint="eastAsia"/>
          <w:szCs w:val="21"/>
        </w:rPr>
        <w:t>本协议受中国法律管辖。</w:t>
      </w:r>
    </w:p>
    <w:p w14:paraId="3D73C896" w14:textId="77777777" w:rsidR="000D10AE" w:rsidRPr="00EE1299" w:rsidRDefault="000D10AE" w:rsidP="000D10AE">
      <w:pPr>
        <w:adjustRightInd w:val="0"/>
        <w:snapToGrid w:val="0"/>
        <w:spacing w:line="360" w:lineRule="auto"/>
        <w:ind w:firstLineChars="200" w:firstLine="420"/>
        <w:rPr>
          <w:rFonts w:cs="Arial"/>
          <w:szCs w:val="21"/>
        </w:rPr>
      </w:pPr>
      <w:r>
        <w:rPr>
          <w:rFonts w:hAnsi="宋体" w:cs="Arial"/>
          <w:szCs w:val="21"/>
        </w:rPr>
        <w:br w:type="page"/>
      </w:r>
    </w:p>
    <w:p w14:paraId="1DE2F66A" w14:textId="77777777" w:rsidR="000D10AE" w:rsidRPr="00AB3329" w:rsidRDefault="000D10AE" w:rsidP="000D10AE">
      <w:pPr>
        <w:pStyle w:val="21"/>
        <w:numPr>
          <w:ilvl w:val="1"/>
          <w:numId w:val="28"/>
        </w:numPr>
        <w:rPr>
          <w:rFonts w:ascii="Times New Roman" w:hAnsi="Times New Roman"/>
          <w:color w:val="000000"/>
        </w:rPr>
      </w:pPr>
      <w:bookmarkStart w:id="137" w:name="_Toc215903455"/>
      <w:bookmarkStart w:id="138" w:name="_Toc247440600"/>
      <w:bookmarkStart w:id="139" w:name="_Toc250711201"/>
      <w:r w:rsidRPr="00AB3329">
        <w:rPr>
          <w:rFonts w:ascii="Times New Roman" w:hAnsi="Times New Roman" w:hint="eastAsia"/>
          <w:color w:val="000000"/>
        </w:rPr>
        <w:lastRenderedPageBreak/>
        <w:t>托管协议的效力</w:t>
      </w:r>
      <w:bookmarkEnd w:id="137"/>
      <w:bookmarkEnd w:id="138"/>
      <w:bookmarkEnd w:id="139"/>
    </w:p>
    <w:p w14:paraId="271404C5"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hAnsi="宋体" w:cs="Arial" w:hint="eastAsia"/>
          <w:szCs w:val="21"/>
        </w:rPr>
        <w:t>双方对托管协议的效力约定如下：</w:t>
      </w:r>
    </w:p>
    <w:p w14:paraId="4607BF4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（一）基金管理人在向中国证监会申请发售基金份额时提交的托管协议草案，应经托管协议当事人双方盖章以及双方法定代表人或授权代表签字，协议当事人双方根据中国证监会的意见修改</w:t>
      </w:r>
      <w:r>
        <w:rPr>
          <w:rFonts w:cs="Arial" w:hint="eastAsia"/>
          <w:szCs w:val="21"/>
        </w:rPr>
        <w:t>并正式签署</w:t>
      </w:r>
      <w:r w:rsidRPr="00EE1299">
        <w:rPr>
          <w:rFonts w:cs="Arial" w:hint="eastAsia"/>
          <w:szCs w:val="21"/>
        </w:rPr>
        <w:t>托管协议。托管协议以中国证监会核准的文本为正式文本。</w:t>
      </w:r>
    </w:p>
    <w:p w14:paraId="3240D13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（二）托管协议自基金合同成立之日起成立，自基金合同生效之日起生效。托管协议的有效期自其生效之日起至基金财产清算结果报中国证监会备案并公告之日止。</w:t>
      </w:r>
    </w:p>
    <w:p w14:paraId="7BA80CF0"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（三）托管协议自生效之日起对托管协议当事人具有同等的法律约束力。</w:t>
      </w:r>
    </w:p>
    <w:p w14:paraId="79055616" w14:textId="77777777" w:rsidR="000D10AE" w:rsidRPr="00EE1299" w:rsidRDefault="000D10AE" w:rsidP="000D10AE">
      <w:pPr>
        <w:adjustRightInd w:val="0"/>
        <w:snapToGrid w:val="0"/>
        <w:spacing w:line="360" w:lineRule="auto"/>
        <w:ind w:firstLineChars="200" w:firstLine="420"/>
        <w:rPr>
          <w:szCs w:val="21"/>
        </w:rPr>
      </w:pPr>
      <w:r w:rsidRPr="00EE1299">
        <w:rPr>
          <w:rFonts w:cs="Arial" w:hint="eastAsia"/>
          <w:szCs w:val="21"/>
        </w:rPr>
        <w:t>（四）本协议一式</w:t>
      </w:r>
      <w:r w:rsidR="00263BA2">
        <w:rPr>
          <w:rFonts w:cs="Arial" w:hint="eastAsia"/>
          <w:szCs w:val="21"/>
        </w:rPr>
        <w:t>六</w:t>
      </w:r>
      <w:r w:rsidRPr="00EE1299">
        <w:rPr>
          <w:rFonts w:cs="Arial" w:hint="eastAsia"/>
          <w:szCs w:val="21"/>
        </w:rPr>
        <w:t>份，协议双方各持二份，上报中国证监会和银行业监督管理机构各</w:t>
      </w:r>
      <w:r w:rsidR="00263BA2">
        <w:rPr>
          <w:rFonts w:cs="Arial" w:hint="eastAsia"/>
          <w:szCs w:val="21"/>
        </w:rPr>
        <w:t>一</w:t>
      </w:r>
      <w:r w:rsidRPr="00EE1299">
        <w:rPr>
          <w:rFonts w:cs="Arial" w:hint="eastAsia"/>
          <w:szCs w:val="21"/>
        </w:rPr>
        <w:t>份，每份具有同等法律效力。</w:t>
      </w:r>
    </w:p>
    <w:p w14:paraId="5CC4706B" w14:textId="77777777" w:rsidR="000D10AE" w:rsidRPr="00EE1299" w:rsidRDefault="000D10AE" w:rsidP="000D10AE">
      <w:pPr>
        <w:adjustRightInd w:val="0"/>
        <w:snapToGrid w:val="0"/>
        <w:spacing w:line="360" w:lineRule="auto"/>
        <w:rPr>
          <w:rFonts w:cs="Arial"/>
          <w:szCs w:val="21"/>
        </w:rPr>
      </w:pPr>
      <w:r>
        <w:rPr>
          <w:rFonts w:cs="Arial"/>
          <w:szCs w:val="21"/>
        </w:rPr>
        <w:br w:type="page"/>
      </w:r>
    </w:p>
    <w:p w14:paraId="77199E65" w14:textId="77777777" w:rsidR="000D10AE" w:rsidRPr="00AB3329" w:rsidRDefault="000D10AE" w:rsidP="000D10AE">
      <w:pPr>
        <w:pStyle w:val="21"/>
        <w:numPr>
          <w:ilvl w:val="1"/>
          <w:numId w:val="28"/>
        </w:numPr>
        <w:rPr>
          <w:rFonts w:ascii="Times New Roman" w:hAnsi="Times New Roman"/>
          <w:color w:val="000000"/>
        </w:rPr>
      </w:pPr>
      <w:bookmarkStart w:id="140" w:name="_Toc215903456"/>
      <w:bookmarkStart w:id="141" w:name="_Toc247440601"/>
      <w:bookmarkStart w:id="142" w:name="_Toc250711202"/>
      <w:r w:rsidRPr="00AB3329">
        <w:rPr>
          <w:rFonts w:ascii="Times New Roman" w:hAnsi="Times New Roman" w:hint="eastAsia"/>
          <w:color w:val="000000"/>
        </w:rPr>
        <w:lastRenderedPageBreak/>
        <w:t>其他事项</w:t>
      </w:r>
      <w:bookmarkEnd w:id="140"/>
      <w:bookmarkEnd w:id="141"/>
      <w:bookmarkEnd w:id="142"/>
    </w:p>
    <w:p w14:paraId="2CDE8D9E"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如发生有权司法机关依法冻结基金份额持有人的基金份额时，基金管理人应予以配合，承担司法协助义务。</w:t>
      </w:r>
    </w:p>
    <w:p w14:paraId="70EBA2DD"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除本协议有明确定义外，本协议的用语定义适用基金合同的约定。本协议未尽事宜，当事人依据基金合同、有关法律法规等规定协商办理。</w:t>
      </w:r>
    </w:p>
    <w:p w14:paraId="1AD3E888" w14:textId="77777777" w:rsidR="000D10AE" w:rsidRPr="00EE1299" w:rsidRDefault="000D10AE" w:rsidP="000D10AE">
      <w:pPr>
        <w:adjustRightInd w:val="0"/>
        <w:snapToGrid w:val="0"/>
        <w:spacing w:line="360" w:lineRule="auto"/>
        <w:rPr>
          <w:b/>
          <w:bCs/>
          <w:szCs w:val="21"/>
        </w:rPr>
      </w:pPr>
      <w:r>
        <w:rPr>
          <w:b/>
          <w:bCs/>
          <w:szCs w:val="21"/>
        </w:rPr>
        <w:br w:type="page"/>
      </w:r>
    </w:p>
    <w:p w14:paraId="4E8C60C7" w14:textId="77777777" w:rsidR="000D10AE" w:rsidRPr="00AB3329" w:rsidRDefault="000D10AE" w:rsidP="000D10AE">
      <w:pPr>
        <w:pStyle w:val="21"/>
        <w:numPr>
          <w:ilvl w:val="1"/>
          <w:numId w:val="28"/>
        </w:numPr>
        <w:rPr>
          <w:rFonts w:ascii="Times New Roman" w:hAnsi="Times New Roman"/>
          <w:color w:val="000000"/>
        </w:rPr>
      </w:pPr>
      <w:bookmarkStart w:id="143" w:name="_Toc215903457"/>
      <w:bookmarkStart w:id="144" w:name="_Toc247440602"/>
      <w:bookmarkStart w:id="145" w:name="_Toc250711203"/>
      <w:r w:rsidRPr="00AB3329">
        <w:rPr>
          <w:rFonts w:ascii="Times New Roman" w:hAnsi="Times New Roman" w:hint="eastAsia"/>
          <w:color w:val="000000"/>
        </w:rPr>
        <w:lastRenderedPageBreak/>
        <w:t>托管协议的签订</w:t>
      </w:r>
      <w:bookmarkEnd w:id="143"/>
      <w:bookmarkEnd w:id="144"/>
      <w:bookmarkEnd w:id="145"/>
    </w:p>
    <w:p w14:paraId="7A69950C" w14:textId="77777777" w:rsidR="000D10AE" w:rsidRPr="00EE1299" w:rsidRDefault="000D10AE" w:rsidP="000D10AE">
      <w:pPr>
        <w:adjustRightInd w:val="0"/>
        <w:snapToGrid w:val="0"/>
        <w:spacing w:line="360" w:lineRule="auto"/>
        <w:ind w:firstLineChars="200" w:firstLine="420"/>
        <w:rPr>
          <w:rFonts w:cs="Arial"/>
          <w:szCs w:val="21"/>
        </w:rPr>
      </w:pPr>
      <w:r w:rsidRPr="00EE1299">
        <w:rPr>
          <w:rFonts w:cs="Arial" w:hint="eastAsia"/>
          <w:szCs w:val="21"/>
        </w:rPr>
        <w:t>本协议双方法定代表人或授权代表人签章、签订地、签订日</w:t>
      </w:r>
    </w:p>
    <w:p w14:paraId="3F87D6A2" w14:textId="77777777" w:rsidR="000D10AE" w:rsidRPr="00EE1299" w:rsidRDefault="000D10AE" w:rsidP="000D10AE">
      <w:pPr>
        <w:adjustRightInd w:val="0"/>
        <w:snapToGrid w:val="0"/>
        <w:spacing w:line="360" w:lineRule="auto"/>
        <w:ind w:firstLineChars="200" w:firstLine="420"/>
        <w:rPr>
          <w:rFonts w:cs="Arial"/>
          <w:szCs w:val="21"/>
        </w:rPr>
      </w:pPr>
    </w:p>
    <w:p w14:paraId="5941E6A2" w14:textId="77777777" w:rsidR="000D10AE" w:rsidRPr="00EE1299" w:rsidRDefault="000D10AE" w:rsidP="000D10AE">
      <w:pPr>
        <w:adjustRightInd w:val="0"/>
        <w:snapToGrid w:val="0"/>
        <w:spacing w:line="360" w:lineRule="auto"/>
        <w:ind w:firstLineChars="200" w:firstLine="420"/>
        <w:rPr>
          <w:rFonts w:cs="Arial"/>
          <w:szCs w:val="21"/>
        </w:rPr>
        <w:sectPr w:rsidR="000D10AE" w:rsidRPr="00EE1299" w:rsidSect="00640416">
          <w:headerReference w:type="default" r:id="rId11"/>
          <w:pgSz w:w="11906" w:h="16838" w:code="9"/>
          <w:pgMar w:top="1418" w:right="1701" w:bottom="1418" w:left="1701" w:header="851" w:footer="992" w:gutter="0"/>
          <w:pgNumType w:start="0" w:chapStyle="1"/>
          <w:cols w:space="425"/>
          <w:titlePg/>
          <w:docGrid w:type="lines" w:linePitch="312"/>
        </w:sectPr>
      </w:pPr>
    </w:p>
    <w:p w14:paraId="5039B043" w14:textId="77777777" w:rsidR="000D10AE" w:rsidRPr="00EE1299" w:rsidRDefault="000D10AE" w:rsidP="000D10AE">
      <w:pPr>
        <w:spacing w:line="360" w:lineRule="auto"/>
        <w:ind w:right="26"/>
        <w:rPr>
          <w:szCs w:val="21"/>
        </w:rPr>
      </w:pPr>
      <w:r w:rsidRPr="00EE1299">
        <w:rPr>
          <w:rFonts w:hint="eastAsia"/>
          <w:szCs w:val="21"/>
        </w:rPr>
        <w:lastRenderedPageBreak/>
        <w:t>本页无正文，为《</w:t>
      </w:r>
      <w:r>
        <w:rPr>
          <w:rFonts w:hint="eastAsia"/>
          <w:szCs w:val="21"/>
        </w:rPr>
        <w:t>南方策略优化</w:t>
      </w:r>
      <w:r w:rsidR="007823C0">
        <w:rPr>
          <w:rFonts w:hint="eastAsia"/>
          <w:szCs w:val="21"/>
        </w:rPr>
        <w:t>混合型</w:t>
      </w:r>
      <w:r>
        <w:rPr>
          <w:rFonts w:hint="eastAsia"/>
          <w:szCs w:val="21"/>
        </w:rPr>
        <w:t>证券</w:t>
      </w:r>
      <w:r w:rsidRPr="00EE1299">
        <w:rPr>
          <w:rFonts w:hint="eastAsia"/>
          <w:szCs w:val="21"/>
        </w:rPr>
        <w:t>投资基金托管协议》的签字盖章页。</w:t>
      </w:r>
    </w:p>
    <w:p w14:paraId="502BEB42" w14:textId="77777777" w:rsidR="000D10AE" w:rsidRPr="00EE1299" w:rsidRDefault="000D10AE" w:rsidP="000D10AE">
      <w:pPr>
        <w:spacing w:line="360" w:lineRule="auto"/>
        <w:rPr>
          <w:szCs w:val="21"/>
        </w:rPr>
      </w:pPr>
    </w:p>
    <w:p w14:paraId="3FED128D" w14:textId="77777777" w:rsidR="000D10AE" w:rsidRPr="00EE1299" w:rsidRDefault="000D10AE" w:rsidP="000D10AE">
      <w:pPr>
        <w:spacing w:line="360" w:lineRule="auto"/>
        <w:rPr>
          <w:szCs w:val="21"/>
        </w:rPr>
      </w:pPr>
    </w:p>
    <w:p w14:paraId="04ED8152" w14:textId="77777777" w:rsidR="000D10AE" w:rsidRPr="00EE1299" w:rsidRDefault="000D10AE" w:rsidP="000D10AE">
      <w:pPr>
        <w:spacing w:line="360" w:lineRule="auto"/>
        <w:rPr>
          <w:szCs w:val="21"/>
        </w:rPr>
      </w:pPr>
    </w:p>
    <w:p w14:paraId="2686CEF4" w14:textId="77777777" w:rsidR="000D10AE" w:rsidRPr="00EE1299" w:rsidRDefault="000D10AE" w:rsidP="000D10AE">
      <w:pPr>
        <w:spacing w:line="360" w:lineRule="auto"/>
        <w:ind w:right="26"/>
        <w:rPr>
          <w:szCs w:val="21"/>
        </w:rPr>
      </w:pPr>
      <w:r w:rsidRPr="00EE1299">
        <w:rPr>
          <w:rFonts w:hint="eastAsia"/>
          <w:szCs w:val="21"/>
        </w:rPr>
        <w:t>基金管理人：</w:t>
      </w:r>
      <w:r w:rsidR="00C41FB4">
        <w:rPr>
          <w:rFonts w:hint="eastAsia"/>
          <w:szCs w:val="21"/>
        </w:rPr>
        <w:t>南方基金管理股份有限公司</w:t>
      </w:r>
      <w:r w:rsidRPr="00EE1299">
        <w:rPr>
          <w:rFonts w:hint="eastAsia"/>
          <w:szCs w:val="21"/>
        </w:rPr>
        <w:t>（公章）</w:t>
      </w:r>
    </w:p>
    <w:p w14:paraId="1CBE27E8" w14:textId="77777777" w:rsidR="000D10AE" w:rsidRPr="00EE1299" w:rsidRDefault="000D10AE" w:rsidP="000D10AE">
      <w:pPr>
        <w:spacing w:line="360" w:lineRule="auto"/>
        <w:ind w:right="26"/>
        <w:rPr>
          <w:szCs w:val="21"/>
        </w:rPr>
      </w:pPr>
    </w:p>
    <w:p w14:paraId="460DAAC6" w14:textId="77777777" w:rsidR="000D10AE" w:rsidRPr="00EE1299" w:rsidRDefault="000D10AE" w:rsidP="000D10AE">
      <w:pPr>
        <w:spacing w:line="360" w:lineRule="auto"/>
        <w:ind w:right="26"/>
        <w:rPr>
          <w:szCs w:val="21"/>
        </w:rPr>
      </w:pPr>
    </w:p>
    <w:p w14:paraId="155D5050" w14:textId="77777777" w:rsidR="000D10AE" w:rsidRPr="00EE1299" w:rsidRDefault="000D10AE" w:rsidP="000D10AE">
      <w:pPr>
        <w:spacing w:line="360" w:lineRule="auto"/>
        <w:ind w:right="26"/>
        <w:rPr>
          <w:szCs w:val="21"/>
        </w:rPr>
      </w:pPr>
    </w:p>
    <w:p w14:paraId="37DED37F" w14:textId="77777777" w:rsidR="000D10AE" w:rsidRPr="00EE1299" w:rsidRDefault="000D10AE" w:rsidP="000D10AE">
      <w:pPr>
        <w:spacing w:line="360" w:lineRule="auto"/>
        <w:ind w:right="26"/>
        <w:rPr>
          <w:szCs w:val="21"/>
        </w:rPr>
      </w:pPr>
    </w:p>
    <w:p w14:paraId="7A647F15" w14:textId="77777777" w:rsidR="000D10AE" w:rsidRPr="00EE1299" w:rsidRDefault="000D10AE" w:rsidP="000D10AE">
      <w:pPr>
        <w:spacing w:line="360" w:lineRule="auto"/>
        <w:ind w:right="26"/>
        <w:rPr>
          <w:szCs w:val="21"/>
        </w:rPr>
      </w:pPr>
      <w:r w:rsidRPr="00EE1299">
        <w:rPr>
          <w:rFonts w:hint="eastAsia"/>
          <w:szCs w:val="21"/>
        </w:rPr>
        <w:t>法定代表人或授权代表：</w:t>
      </w:r>
      <w:r w:rsidRPr="00EE1299">
        <w:rPr>
          <w:rFonts w:hint="eastAsia"/>
          <w:szCs w:val="21"/>
        </w:rPr>
        <w:t xml:space="preserve">                   </w:t>
      </w:r>
    </w:p>
    <w:p w14:paraId="7C6C418F" w14:textId="77777777" w:rsidR="000D10AE" w:rsidRPr="00EE1299" w:rsidRDefault="000D10AE" w:rsidP="000D10AE">
      <w:pPr>
        <w:spacing w:line="360" w:lineRule="auto"/>
        <w:ind w:right="26"/>
        <w:rPr>
          <w:szCs w:val="21"/>
        </w:rPr>
      </w:pPr>
    </w:p>
    <w:p w14:paraId="601C11BE" w14:textId="77777777" w:rsidR="000D10AE" w:rsidRPr="00EE1299" w:rsidRDefault="000D10AE" w:rsidP="000D10AE">
      <w:pPr>
        <w:spacing w:line="360" w:lineRule="auto"/>
        <w:ind w:right="26"/>
        <w:rPr>
          <w:szCs w:val="21"/>
        </w:rPr>
      </w:pPr>
    </w:p>
    <w:p w14:paraId="2FE19D89" w14:textId="77777777" w:rsidR="000D10AE" w:rsidRPr="00EE1299" w:rsidRDefault="000D10AE" w:rsidP="000D10AE">
      <w:pPr>
        <w:spacing w:line="360" w:lineRule="auto"/>
        <w:ind w:right="26"/>
        <w:rPr>
          <w:szCs w:val="21"/>
        </w:rPr>
      </w:pPr>
    </w:p>
    <w:p w14:paraId="7D655FBE" w14:textId="77777777" w:rsidR="000D10AE" w:rsidRPr="00EE1299" w:rsidRDefault="000D10AE" w:rsidP="000D10AE">
      <w:pPr>
        <w:spacing w:line="360" w:lineRule="auto"/>
        <w:ind w:right="26"/>
        <w:rPr>
          <w:szCs w:val="21"/>
        </w:rPr>
      </w:pPr>
    </w:p>
    <w:p w14:paraId="3516E719" w14:textId="77777777" w:rsidR="000D10AE" w:rsidRPr="00EE1299" w:rsidRDefault="000D10AE" w:rsidP="000D10AE">
      <w:pPr>
        <w:spacing w:line="360" w:lineRule="auto"/>
        <w:ind w:right="26"/>
        <w:rPr>
          <w:szCs w:val="21"/>
        </w:rPr>
      </w:pPr>
    </w:p>
    <w:p w14:paraId="4AAC7349" w14:textId="77777777" w:rsidR="000D10AE" w:rsidRPr="00EE1299" w:rsidRDefault="000D10AE" w:rsidP="000D10AE">
      <w:pPr>
        <w:spacing w:line="360" w:lineRule="auto"/>
        <w:ind w:right="26"/>
        <w:rPr>
          <w:szCs w:val="21"/>
        </w:rPr>
      </w:pPr>
      <w:r w:rsidRPr="00EE1299">
        <w:rPr>
          <w:rFonts w:hint="eastAsia"/>
          <w:szCs w:val="21"/>
        </w:rPr>
        <w:t>基金托管人：招商银行股份有限公司（公章）</w:t>
      </w:r>
    </w:p>
    <w:p w14:paraId="54CFA31E" w14:textId="77777777" w:rsidR="000D10AE" w:rsidRPr="00EE1299" w:rsidRDefault="000D10AE" w:rsidP="000D10AE">
      <w:pPr>
        <w:spacing w:line="360" w:lineRule="auto"/>
        <w:ind w:right="26"/>
        <w:rPr>
          <w:szCs w:val="21"/>
        </w:rPr>
      </w:pPr>
    </w:p>
    <w:p w14:paraId="3CB18972" w14:textId="77777777" w:rsidR="000D10AE" w:rsidRPr="00EE1299" w:rsidRDefault="000D10AE" w:rsidP="000D10AE">
      <w:pPr>
        <w:spacing w:line="360" w:lineRule="auto"/>
        <w:ind w:right="26"/>
        <w:rPr>
          <w:szCs w:val="21"/>
        </w:rPr>
      </w:pPr>
    </w:p>
    <w:p w14:paraId="01F2A233" w14:textId="77777777" w:rsidR="000D10AE" w:rsidRPr="00EE1299" w:rsidRDefault="000D10AE" w:rsidP="000D10AE">
      <w:pPr>
        <w:spacing w:line="360" w:lineRule="auto"/>
        <w:ind w:right="26"/>
        <w:rPr>
          <w:szCs w:val="21"/>
        </w:rPr>
      </w:pPr>
    </w:p>
    <w:p w14:paraId="54453274" w14:textId="77777777" w:rsidR="000D10AE" w:rsidRPr="00EE1299" w:rsidRDefault="000D10AE" w:rsidP="000D10AE">
      <w:pPr>
        <w:spacing w:line="360" w:lineRule="auto"/>
        <w:ind w:right="26"/>
        <w:rPr>
          <w:szCs w:val="21"/>
        </w:rPr>
      </w:pPr>
    </w:p>
    <w:p w14:paraId="7DAD6142" w14:textId="77777777" w:rsidR="000D10AE" w:rsidRPr="00EE1299" w:rsidRDefault="000D10AE" w:rsidP="000D10AE">
      <w:pPr>
        <w:spacing w:line="360" w:lineRule="auto"/>
        <w:ind w:right="26"/>
        <w:rPr>
          <w:szCs w:val="21"/>
        </w:rPr>
      </w:pPr>
      <w:r w:rsidRPr="00EE1299">
        <w:rPr>
          <w:rFonts w:hint="eastAsia"/>
          <w:szCs w:val="21"/>
        </w:rPr>
        <w:t>法定代表人或授权代表：</w:t>
      </w:r>
      <w:r w:rsidRPr="00EE1299">
        <w:rPr>
          <w:rFonts w:hint="eastAsia"/>
          <w:szCs w:val="21"/>
        </w:rPr>
        <w:t xml:space="preserve">                   </w:t>
      </w:r>
    </w:p>
    <w:p w14:paraId="7F791F01" w14:textId="77777777" w:rsidR="000D10AE" w:rsidRPr="00EE1299" w:rsidRDefault="000D10AE" w:rsidP="000D10AE">
      <w:pPr>
        <w:spacing w:line="360" w:lineRule="auto"/>
        <w:ind w:right="26"/>
        <w:rPr>
          <w:b/>
          <w:szCs w:val="21"/>
        </w:rPr>
      </w:pPr>
    </w:p>
    <w:p w14:paraId="64A75748" w14:textId="77777777" w:rsidR="000D10AE" w:rsidRPr="00EE1299" w:rsidRDefault="000D10AE" w:rsidP="000D10AE">
      <w:pPr>
        <w:spacing w:line="360" w:lineRule="auto"/>
        <w:ind w:right="26"/>
        <w:rPr>
          <w:b/>
          <w:szCs w:val="21"/>
        </w:rPr>
      </w:pPr>
    </w:p>
    <w:p w14:paraId="02CC50FB" w14:textId="77777777" w:rsidR="000D10AE" w:rsidRPr="00EE1299" w:rsidRDefault="000D10AE" w:rsidP="000D10AE">
      <w:pPr>
        <w:spacing w:line="360" w:lineRule="auto"/>
        <w:ind w:right="26"/>
        <w:rPr>
          <w:b/>
          <w:szCs w:val="21"/>
        </w:rPr>
      </w:pPr>
    </w:p>
    <w:p w14:paraId="734B6F44" w14:textId="77777777" w:rsidR="000D10AE" w:rsidRPr="00EE1299" w:rsidRDefault="000D10AE" w:rsidP="000D10AE">
      <w:pPr>
        <w:spacing w:line="360" w:lineRule="auto"/>
        <w:ind w:right="26"/>
        <w:rPr>
          <w:b/>
          <w:szCs w:val="21"/>
        </w:rPr>
      </w:pPr>
      <w:r w:rsidRPr="00EE1299">
        <w:rPr>
          <w:rFonts w:hint="eastAsia"/>
          <w:b/>
          <w:szCs w:val="21"/>
        </w:rPr>
        <w:t>签订地点：</w:t>
      </w:r>
      <w:r w:rsidRPr="00EE1299" w:rsidDel="00F33824">
        <w:rPr>
          <w:rFonts w:hint="eastAsia"/>
          <w:b/>
          <w:szCs w:val="21"/>
        </w:rPr>
        <w:t xml:space="preserve"> </w:t>
      </w:r>
    </w:p>
    <w:p w14:paraId="2FF88BDA" w14:textId="77777777" w:rsidR="000D10AE" w:rsidRPr="00EE1299" w:rsidRDefault="000D10AE" w:rsidP="000D10AE">
      <w:pPr>
        <w:spacing w:line="360" w:lineRule="auto"/>
        <w:ind w:right="26"/>
        <w:rPr>
          <w:b/>
          <w:szCs w:val="21"/>
        </w:rPr>
      </w:pPr>
      <w:r w:rsidRPr="00EE1299">
        <w:rPr>
          <w:rFonts w:hint="eastAsia"/>
          <w:b/>
          <w:szCs w:val="21"/>
        </w:rPr>
        <w:t>签</w:t>
      </w:r>
      <w:r w:rsidRPr="00EE1299">
        <w:rPr>
          <w:rFonts w:hint="eastAsia"/>
          <w:b/>
          <w:szCs w:val="21"/>
        </w:rPr>
        <w:t xml:space="preserve"> </w:t>
      </w:r>
      <w:r w:rsidRPr="00EE1299">
        <w:rPr>
          <w:rFonts w:hint="eastAsia"/>
          <w:b/>
          <w:szCs w:val="21"/>
        </w:rPr>
        <w:t>订</w:t>
      </w:r>
      <w:r w:rsidRPr="00EE1299">
        <w:rPr>
          <w:rFonts w:hint="eastAsia"/>
          <w:b/>
          <w:szCs w:val="21"/>
        </w:rPr>
        <w:t xml:space="preserve"> </w:t>
      </w:r>
      <w:r w:rsidRPr="00EE1299">
        <w:rPr>
          <w:rFonts w:hint="eastAsia"/>
          <w:b/>
          <w:szCs w:val="21"/>
        </w:rPr>
        <w:t>日：</w:t>
      </w:r>
      <w:r w:rsidR="00E33445">
        <w:rPr>
          <w:rFonts w:hint="eastAsia"/>
          <w:b/>
          <w:szCs w:val="21"/>
        </w:rPr>
        <w:t xml:space="preserve"> </w:t>
      </w:r>
      <w:r w:rsidR="00D71B51">
        <w:rPr>
          <w:rFonts w:hint="eastAsia"/>
          <w:b/>
          <w:szCs w:val="21"/>
        </w:rPr>
        <w:t xml:space="preserve">    </w:t>
      </w:r>
      <w:r w:rsidRPr="00EE1299">
        <w:rPr>
          <w:rFonts w:hint="eastAsia"/>
          <w:b/>
          <w:szCs w:val="21"/>
        </w:rPr>
        <w:t>年</w:t>
      </w:r>
      <w:r w:rsidRPr="00EE1299">
        <w:rPr>
          <w:rFonts w:hint="eastAsia"/>
          <w:b/>
          <w:szCs w:val="21"/>
        </w:rPr>
        <w:t xml:space="preserve"> </w:t>
      </w:r>
      <w:r w:rsidR="00D71B51">
        <w:rPr>
          <w:rFonts w:hint="eastAsia"/>
          <w:b/>
          <w:szCs w:val="21"/>
        </w:rPr>
        <w:t xml:space="preserve"> </w:t>
      </w:r>
      <w:r w:rsidRPr="00EE1299">
        <w:rPr>
          <w:rFonts w:hint="eastAsia"/>
          <w:b/>
          <w:szCs w:val="21"/>
        </w:rPr>
        <w:t xml:space="preserve"> </w:t>
      </w:r>
      <w:r w:rsidRPr="00EE1299">
        <w:rPr>
          <w:rFonts w:hint="eastAsia"/>
          <w:b/>
          <w:szCs w:val="21"/>
        </w:rPr>
        <w:t>月</w:t>
      </w:r>
      <w:r w:rsidR="00D71B51">
        <w:rPr>
          <w:rFonts w:hint="eastAsia"/>
          <w:b/>
          <w:szCs w:val="21"/>
        </w:rPr>
        <w:t xml:space="preserve"> </w:t>
      </w:r>
      <w:r w:rsidRPr="00EE1299">
        <w:rPr>
          <w:rFonts w:hint="eastAsia"/>
          <w:b/>
          <w:szCs w:val="21"/>
        </w:rPr>
        <w:t xml:space="preserve">   </w:t>
      </w:r>
      <w:r w:rsidRPr="00EE1299">
        <w:rPr>
          <w:rFonts w:hint="eastAsia"/>
          <w:b/>
          <w:szCs w:val="21"/>
        </w:rPr>
        <w:t>日</w:t>
      </w:r>
    </w:p>
    <w:p w14:paraId="6D19F63F" w14:textId="77777777" w:rsidR="000D10AE" w:rsidRPr="00AB3329" w:rsidRDefault="000D10AE" w:rsidP="000D10AE">
      <w:pPr>
        <w:spacing w:line="400" w:lineRule="atLeast"/>
        <w:rPr>
          <w:color w:val="000000"/>
        </w:rPr>
      </w:pPr>
    </w:p>
    <w:p w14:paraId="1808B6BD" w14:textId="77777777" w:rsidR="00C11CDC" w:rsidRDefault="00C11CDC"/>
    <w:sectPr w:rsidR="00C11CDC">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5BEB3" w14:textId="77777777" w:rsidR="00366766" w:rsidRDefault="00366766">
      <w:r>
        <w:separator/>
      </w:r>
    </w:p>
  </w:endnote>
  <w:endnote w:type="continuationSeparator" w:id="0">
    <w:p w14:paraId="045C7281" w14:textId="77777777" w:rsidR="00366766" w:rsidRDefault="003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6"/>
    <w:family w:val="swiss"/>
    <w:pitch w:val="variable"/>
    <w:sig w:usb0="F7FFAFFF" w:usb1="E9DFFFFF" w:usb2="0000003F" w:usb3="00000000" w:csb0="001F00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五">
    <w:altName w:val="黑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FE1D" w14:textId="77777777" w:rsidR="001368B4" w:rsidRDefault="001368B4" w:rsidP="00640416">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40</w:t>
    </w:r>
    <w:r>
      <w:rPr>
        <w:rStyle w:val="af7"/>
      </w:rPr>
      <w:fldChar w:fldCharType="end"/>
    </w:r>
  </w:p>
  <w:p w14:paraId="043F510A" w14:textId="77777777" w:rsidR="001368B4" w:rsidRDefault="001368B4" w:rsidP="0064041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C7A7" w14:textId="2D2A9D49" w:rsidR="001368B4" w:rsidRDefault="001368B4" w:rsidP="00640416">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313FB7">
      <w:rPr>
        <w:rStyle w:val="af7"/>
        <w:noProof/>
      </w:rPr>
      <w:t>39</w:t>
    </w:r>
    <w:r>
      <w:rPr>
        <w:rStyle w:val="af7"/>
      </w:rPr>
      <w:fldChar w:fldCharType="end"/>
    </w:r>
  </w:p>
  <w:p w14:paraId="75151B05" w14:textId="77777777" w:rsidR="001368B4" w:rsidRDefault="001368B4" w:rsidP="00640416">
    <w:pPr>
      <w:pStyle w:val="a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74B3" w14:textId="77777777" w:rsidR="001368B4" w:rsidRDefault="001368B4" w:rsidP="00640416">
    <w:pPr>
      <w:pStyle w:val="a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9F50" w14:textId="77777777" w:rsidR="00366766" w:rsidRDefault="00366766">
      <w:r>
        <w:separator/>
      </w:r>
    </w:p>
  </w:footnote>
  <w:footnote w:type="continuationSeparator" w:id="0">
    <w:p w14:paraId="4CD1501E" w14:textId="77777777" w:rsidR="00366766" w:rsidRDefault="0036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4CF1" w14:textId="77777777" w:rsidR="001368B4" w:rsidRPr="008F46C1" w:rsidRDefault="001368B4" w:rsidP="00EA5437">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B026" w14:textId="77777777" w:rsidR="001368B4" w:rsidRPr="008F46C1" w:rsidRDefault="001368B4" w:rsidP="00EA5437">
    <w:pPr>
      <w:pStyle w:val="a9"/>
      <w:jc w:val="right"/>
    </w:pPr>
    <w:r>
      <w:rPr>
        <w:rFonts w:hint="eastAsia"/>
      </w:rPr>
      <w:t>托管协议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E06F" w14:textId="77777777" w:rsidR="001368B4" w:rsidRPr="008F46C1" w:rsidRDefault="001368B4" w:rsidP="00EA5437">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C10"/>
    <w:multiLevelType w:val="multilevel"/>
    <w:tmpl w:val="E2D0CC28"/>
    <w:lvl w:ilvl="0">
      <w:start w:val="1"/>
      <w:numFmt w:val="chineseCountingThousand"/>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sz w:val="32"/>
        <w:szCs w:val="32"/>
      </w:r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A7045F"/>
    <w:multiLevelType w:val="hybridMultilevel"/>
    <w:tmpl w:val="7D246B8C"/>
    <w:lvl w:ilvl="0" w:tplc="04466BAE">
      <w:start w:val="2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7322B13"/>
    <w:multiLevelType w:val="hybridMultilevel"/>
    <w:tmpl w:val="3EF833CE"/>
    <w:lvl w:ilvl="0" w:tplc="4DD4493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96C2ACA"/>
    <w:multiLevelType w:val="singleLevel"/>
    <w:tmpl w:val="78084282"/>
    <w:lvl w:ilvl="0">
      <w:start w:val="2"/>
      <w:numFmt w:val="japaneseCounting"/>
      <w:pStyle w:val="1"/>
      <w:lvlText w:val="（%1）"/>
      <w:lvlJc w:val="left"/>
      <w:pPr>
        <w:tabs>
          <w:tab w:val="num" w:pos="870"/>
        </w:tabs>
        <w:ind w:left="870" w:hanging="870"/>
      </w:pPr>
    </w:lvl>
  </w:abstractNum>
  <w:abstractNum w:abstractNumId="5" w15:restartNumberingAfterBreak="0">
    <w:nsid w:val="0A6F016F"/>
    <w:multiLevelType w:val="hybridMultilevel"/>
    <w:tmpl w:val="629A4DC6"/>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0792664"/>
    <w:multiLevelType w:val="hybridMultilevel"/>
    <w:tmpl w:val="A2B4575C"/>
    <w:lvl w:ilvl="0" w:tplc="F3D86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B55A55"/>
    <w:multiLevelType w:val="hybridMultilevel"/>
    <w:tmpl w:val="09484E78"/>
    <w:lvl w:ilvl="0" w:tplc="7F94BB5A">
      <w:start w:val="1"/>
      <w:numFmt w:val="japaneseCounting"/>
      <w:lvlText w:val="%1、"/>
      <w:lvlJc w:val="left"/>
      <w:pPr>
        <w:tabs>
          <w:tab w:val="num" w:pos="420"/>
        </w:tabs>
        <w:ind w:left="420" w:hanging="420"/>
      </w:pPr>
      <w:rPr>
        <w:rFonts w:hint="default"/>
      </w:rPr>
    </w:lvl>
    <w:lvl w:ilvl="1" w:tplc="D0F014E0">
      <w:start w:val="12"/>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15:restartNumberingAfterBreak="0">
    <w:nsid w:val="222054D2"/>
    <w:multiLevelType w:val="hybridMultilevel"/>
    <w:tmpl w:val="A18E3322"/>
    <w:lvl w:ilvl="0" w:tplc="14DC79D0">
      <w:start w:val="20"/>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0F188C"/>
    <w:multiLevelType w:val="multilevel"/>
    <w:tmpl w:val="39DA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27C73576"/>
    <w:multiLevelType w:val="hybridMultilevel"/>
    <w:tmpl w:val="5274BCC4"/>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15:restartNumberingAfterBreak="0">
    <w:nsid w:val="2CBF6A10"/>
    <w:multiLevelType w:val="hybridMultilevel"/>
    <w:tmpl w:val="E18AF854"/>
    <w:lvl w:ilvl="0" w:tplc="E0EAEF02">
      <w:start w:val="15"/>
      <w:numFmt w:val="decimal"/>
      <w:lvlText w:val="%1、"/>
      <w:lvlJc w:val="left"/>
      <w:pPr>
        <w:tabs>
          <w:tab w:val="num" w:pos="885"/>
        </w:tabs>
        <w:ind w:left="885" w:hanging="885"/>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07838AF"/>
    <w:multiLevelType w:val="hybridMultilevel"/>
    <w:tmpl w:val="7C9E37C8"/>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61871B1"/>
    <w:multiLevelType w:val="hybridMultilevel"/>
    <w:tmpl w:val="A62A2F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C170302"/>
    <w:multiLevelType w:val="hybridMultilevel"/>
    <w:tmpl w:val="32240E6C"/>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20" w15:restartNumberingAfterBreak="0">
    <w:nsid w:val="40BE0844"/>
    <w:multiLevelType w:val="hybridMultilevel"/>
    <w:tmpl w:val="35767AF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6334D2C"/>
    <w:multiLevelType w:val="hybridMultilevel"/>
    <w:tmpl w:val="B73C0E8E"/>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A253206"/>
    <w:multiLevelType w:val="hybridMultilevel"/>
    <w:tmpl w:val="81F891B8"/>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EF96481"/>
    <w:multiLevelType w:val="hybridMultilevel"/>
    <w:tmpl w:val="0066ABE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50063E90"/>
    <w:multiLevelType w:val="hybridMultilevel"/>
    <w:tmpl w:val="823E286E"/>
    <w:lvl w:ilvl="0" w:tplc="CBCA90CC">
      <w:start w:val="3"/>
      <w:numFmt w:val="decimalEnclosedCircle"/>
      <w:lvlText w:val="%1"/>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7" w15:restartNumberingAfterBreak="0">
    <w:nsid w:val="57D708DB"/>
    <w:multiLevelType w:val="hybridMultilevel"/>
    <w:tmpl w:val="8D4AF8D8"/>
    <w:lvl w:ilvl="0" w:tplc="6E18FE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BF80507"/>
    <w:multiLevelType w:val="hybridMultilevel"/>
    <w:tmpl w:val="20163360"/>
    <w:lvl w:ilvl="0" w:tplc="991680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61CA51C3"/>
    <w:multiLevelType w:val="hybridMultilevel"/>
    <w:tmpl w:val="E7C870D4"/>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5164B80"/>
    <w:multiLevelType w:val="multilevel"/>
    <w:tmpl w:val="9D6E0C68"/>
    <w:lvl w:ilvl="0">
      <w:start w:val="1"/>
      <w:numFmt w:val="chineseCountingThousand"/>
      <w:pStyle w:val="10"/>
      <w:isLgl/>
      <w:lvlText w:val="%1、"/>
      <w:lvlJc w:val="left"/>
      <w:pPr>
        <w:tabs>
          <w:tab w:val="num" w:pos="720"/>
        </w:tabs>
        <w:ind w:left="425" w:hanging="425"/>
      </w:pPr>
      <w:rPr>
        <w:rFonts w:hint="eastAsia"/>
      </w:rPr>
    </w:lvl>
    <w:lvl w:ilvl="1">
      <w:start w:val="1"/>
      <w:numFmt w:val="decimal"/>
      <w:lvlText w:val="%2、"/>
      <w:lvlJc w:val="left"/>
      <w:pPr>
        <w:tabs>
          <w:tab w:val="num" w:pos="360"/>
        </w:tabs>
        <w:ind w:left="840" w:hanging="840"/>
      </w:pPr>
      <w:rPr>
        <w:rFonts w:hint="default"/>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65B114CE"/>
    <w:multiLevelType w:val="hybridMultilevel"/>
    <w:tmpl w:val="B94AF286"/>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15:restartNumberingAfterBreak="0">
    <w:nsid w:val="67C07B17"/>
    <w:multiLevelType w:val="hybridMultilevel"/>
    <w:tmpl w:val="485C631E"/>
    <w:lvl w:ilvl="0" w:tplc="FFFFFFFF">
      <w:start w:val="1"/>
      <w:numFmt w:val="decimal"/>
      <w:lvlText w:val="%1、"/>
      <w:lvlJc w:val="left"/>
      <w:pPr>
        <w:tabs>
          <w:tab w:val="num" w:pos="840"/>
        </w:tabs>
        <w:ind w:left="840" w:hanging="360"/>
      </w:pPr>
      <w:rPr>
        <w:rFonts w:hint="eastAsia"/>
      </w:rPr>
    </w:lvl>
    <w:lvl w:ilvl="1" w:tplc="FFFFFFFF">
      <w:start w:val="1"/>
      <w:numFmt w:val="decimal"/>
      <w:lvlText w:val="（%2）"/>
      <w:lvlJc w:val="left"/>
      <w:pPr>
        <w:tabs>
          <w:tab w:val="num" w:pos="720"/>
        </w:tabs>
        <w:ind w:left="720" w:hanging="720"/>
      </w:pPr>
      <w:rPr>
        <w:rFonts w:hint="eastAsia"/>
        <w:lang w:val="en-US"/>
      </w:r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34"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0582BDB"/>
    <w:multiLevelType w:val="hybridMultilevel"/>
    <w:tmpl w:val="39DAC22C"/>
    <w:lvl w:ilvl="0" w:tplc="7F684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53544BE"/>
    <w:multiLevelType w:val="hybridMultilevel"/>
    <w:tmpl w:val="F04661D2"/>
    <w:lvl w:ilvl="0" w:tplc="5A944E30">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99818C7"/>
    <w:multiLevelType w:val="multilevel"/>
    <w:tmpl w:val="430237AA"/>
    <w:lvl w:ilvl="0">
      <w:start w:val="1"/>
      <w:numFmt w:val="chineseCountingThousand"/>
      <w:isLgl/>
      <w:lvlText w:val="%1、"/>
      <w:lvlJc w:val="left"/>
      <w:pPr>
        <w:tabs>
          <w:tab w:val="num" w:pos="720"/>
        </w:tabs>
        <w:ind w:left="425" w:hanging="425"/>
      </w:pPr>
      <w:rPr>
        <w:rFonts w:hint="eastAsia"/>
      </w:r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hint="eastAsia"/>
        <w:sz w:val="32"/>
        <w:szCs w:val="32"/>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1" w15:restartNumberingAfterBreak="0">
    <w:nsid w:val="79EF1DB4"/>
    <w:multiLevelType w:val="hybridMultilevel"/>
    <w:tmpl w:val="74A8E63A"/>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31"/>
  </w:num>
  <w:num w:numId="2">
    <w:abstractNumId w:val="19"/>
    <w:lvlOverride w:ilvl="0">
      <w:startOverride w:val="1"/>
    </w:lvlOverride>
  </w:num>
  <w:num w:numId="3">
    <w:abstractNumId w:val="4"/>
    <w:lvlOverride w:ilvl="0">
      <w:startOverride w:val="2"/>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4"/>
  </w:num>
  <w:num w:numId="8">
    <w:abstractNumId w:val="26"/>
  </w:num>
  <w:num w:numId="9">
    <w:abstractNumId w:val="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25"/>
  </w:num>
  <w:num w:numId="14">
    <w:abstractNumId w:val="28"/>
  </w:num>
  <w:num w:numId="15">
    <w:abstractNumId w:val="8"/>
  </w:num>
  <w:num w:numId="16">
    <w:abstractNumId w:val="17"/>
  </w:num>
  <w:num w:numId="17">
    <w:abstractNumId w:val="33"/>
  </w:num>
  <w:num w:numId="18">
    <w:abstractNumId w:val="3"/>
  </w:num>
  <w:num w:numId="19">
    <w:abstractNumId w:val="41"/>
  </w:num>
  <w:num w:numId="20">
    <w:abstractNumId w:val="9"/>
  </w:num>
  <w:num w:numId="21">
    <w:abstractNumId w:val="14"/>
  </w:num>
  <w:num w:numId="22">
    <w:abstractNumId w:val="1"/>
  </w:num>
  <w:num w:numId="23">
    <w:abstractNumId w:val="35"/>
  </w:num>
  <w:num w:numId="24">
    <w:abstractNumId w:val="40"/>
  </w:num>
  <w:num w:numId="25">
    <w:abstractNumId w:val="29"/>
  </w:num>
  <w:num w:numId="26">
    <w:abstractNumId w:val="37"/>
  </w:num>
  <w:num w:numId="27">
    <w:abstractNumId w:val="0"/>
  </w:num>
  <w:num w:numId="28">
    <w:abstractNumId w:val="31"/>
  </w:num>
  <w:num w:numId="29">
    <w:abstractNumId w:val="27"/>
  </w:num>
  <w:num w:numId="30">
    <w:abstractNumId w:val="6"/>
  </w:num>
  <w:num w:numId="31">
    <w:abstractNumId w:val="38"/>
  </w:num>
  <w:num w:numId="32">
    <w:abstractNumId w:val="10"/>
  </w:num>
  <w:num w:numId="33">
    <w:abstractNumId w:val="2"/>
  </w:num>
  <w:num w:numId="34">
    <w:abstractNumId w:val="36"/>
  </w:num>
  <w:num w:numId="35">
    <w:abstractNumId w:val="12"/>
  </w:num>
  <w:num w:numId="36">
    <w:abstractNumId w:val="20"/>
  </w:num>
  <w:num w:numId="37">
    <w:abstractNumId w:val="24"/>
  </w:num>
  <w:num w:numId="38">
    <w:abstractNumId w:val="32"/>
  </w:num>
  <w:num w:numId="39">
    <w:abstractNumId w:val="18"/>
  </w:num>
  <w:num w:numId="40">
    <w:abstractNumId w:val="21"/>
  </w:num>
  <w:num w:numId="41">
    <w:abstractNumId w:val="13"/>
  </w:num>
  <w:num w:numId="42">
    <w:abstractNumId w:val="5"/>
  </w:num>
  <w:num w:numId="43">
    <w:abstractNumId w:val="16"/>
  </w:num>
  <w:num w:numId="44">
    <w:abstractNumId w:val="23"/>
  </w:num>
  <w:num w:numId="45">
    <w:abstractNumId w:val="3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AE"/>
    <w:rsid w:val="00001EDF"/>
    <w:rsid w:val="00005BB8"/>
    <w:rsid w:val="00012258"/>
    <w:rsid w:val="000126AE"/>
    <w:rsid w:val="00013387"/>
    <w:rsid w:val="000139E8"/>
    <w:rsid w:val="00015336"/>
    <w:rsid w:val="00015407"/>
    <w:rsid w:val="00015B9E"/>
    <w:rsid w:val="0001694C"/>
    <w:rsid w:val="00017F49"/>
    <w:rsid w:val="00020E9E"/>
    <w:rsid w:val="00022681"/>
    <w:rsid w:val="00023C61"/>
    <w:rsid w:val="000246A0"/>
    <w:rsid w:val="000250AB"/>
    <w:rsid w:val="00027866"/>
    <w:rsid w:val="00031207"/>
    <w:rsid w:val="00034335"/>
    <w:rsid w:val="0003566F"/>
    <w:rsid w:val="000368B3"/>
    <w:rsid w:val="000403F2"/>
    <w:rsid w:val="0004133F"/>
    <w:rsid w:val="000450BD"/>
    <w:rsid w:val="00045A8D"/>
    <w:rsid w:val="000463D0"/>
    <w:rsid w:val="000472F7"/>
    <w:rsid w:val="00052320"/>
    <w:rsid w:val="00053197"/>
    <w:rsid w:val="000543C9"/>
    <w:rsid w:val="00056973"/>
    <w:rsid w:val="00056AFC"/>
    <w:rsid w:val="0006136A"/>
    <w:rsid w:val="00071AB8"/>
    <w:rsid w:val="00071C0D"/>
    <w:rsid w:val="00072585"/>
    <w:rsid w:val="00073EF3"/>
    <w:rsid w:val="000747B0"/>
    <w:rsid w:val="00076588"/>
    <w:rsid w:val="00086295"/>
    <w:rsid w:val="00092475"/>
    <w:rsid w:val="000A088F"/>
    <w:rsid w:val="000A2974"/>
    <w:rsid w:val="000A3971"/>
    <w:rsid w:val="000A399B"/>
    <w:rsid w:val="000B0D53"/>
    <w:rsid w:val="000B127D"/>
    <w:rsid w:val="000B4778"/>
    <w:rsid w:val="000C2407"/>
    <w:rsid w:val="000D0D90"/>
    <w:rsid w:val="000D10AE"/>
    <w:rsid w:val="000D1538"/>
    <w:rsid w:val="000D2145"/>
    <w:rsid w:val="000D522A"/>
    <w:rsid w:val="000D7180"/>
    <w:rsid w:val="000E12EC"/>
    <w:rsid w:val="000F0C0D"/>
    <w:rsid w:val="000F23DA"/>
    <w:rsid w:val="000F39F9"/>
    <w:rsid w:val="000F3D82"/>
    <w:rsid w:val="000F4389"/>
    <w:rsid w:val="00102CC7"/>
    <w:rsid w:val="00105F3F"/>
    <w:rsid w:val="00106B63"/>
    <w:rsid w:val="00107A90"/>
    <w:rsid w:val="001136F0"/>
    <w:rsid w:val="001145BA"/>
    <w:rsid w:val="00122B05"/>
    <w:rsid w:val="00132938"/>
    <w:rsid w:val="001368B4"/>
    <w:rsid w:val="00136FBC"/>
    <w:rsid w:val="00141DD0"/>
    <w:rsid w:val="00142782"/>
    <w:rsid w:val="0014651D"/>
    <w:rsid w:val="001476FA"/>
    <w:rsid w:val="00152299"/>
    <w:rsid w:val="0015282B"/>
    <w:rsid w:val="00153ED4"/>
    <w:rsid w:val="00154790"/>
    <w:rsid w:val="001564C6"/>
    <w:rsid w:val="00157FA0"/>
    <w:rsid w:val="00160726"/>
    <w:rsid w:val="00161847"/>
    <w:rsid w:val="0016339E"/>
    <w:rsid w:val="001738F4"/>
    <w:rsid w:val="0018267F"/>
    <w:rsid w:val="0018626A"/>
    <w:rsid w:val="0019052A"/>
    <w:rsid w:val="00190995"/>
    <w:rsid w:val="00193388"/>
    <w:rsid w:val="00194416"/>
    <w:rsid w:val="001950E6"/>
    <w:rsid w:val="001A0697"/>
    <w:rsid w:val="001A336B"/>
    <w:rsid w:val="001A64CE"/>
    <w:rsid w:val="001A75C2"/>
    <w:rsid w:val="001B0B66"/>
    <w:rsid w:val="001B70D2"/>
    <w:rsid w:val="001C7E54"/>
    <w:rsid w:val="001D229D"/>
    <w:rsid w:val="001E0227"/>
    <w:rsid w:val="001E6A34"/>
    <w:rsid w:val="001F179F"/>
    <w:rsid w:val="001F2520"/>
    <w:rsid w:val="001F4688"/>
    <w:rsid w:val="001F487A"/>
    <w:rsid w:val="001F501B"/>
    <w:rsid w:val="002079FD"/>
    <w:rsid w:val="0021116A"/>
    <w:rsid w:val="00213E9B"/>
    <w:rsid w:val="00222770"/>
    <w:rsid w:val="00224F24"/>
    <w:rsid w:val="00226A45"/>
    <w:rsid w:val="00231404"/>
    <w:rsid w:val="00237DFC"/>
    <w:rsid w:val="00241A45"/>
    <w:rsid w:val="002430F3"/>
    <w:rsid w:val="0024547C"/>
    <w:rsid w:val="00247013"/>
    <w:rsid w:val="002515B9"/>
    <w:rsid w:val="00251ADB"/>
    <w:rsid w:val="00254921"/>
    <w:rsid w:val="002556E2"/>
    <w:rsid w:val="00255F7C"/>
    <w:rsid w:val="00263B74"/>
    <w:rsid w:val="00263BA2"/>
    <w:rsid w:val="0026453B"/>
    <w:rsid w:val="00264D50"/>
    <w:rsid w:val="0027001B"/>
    <w:rsid w:val="00273E2E"/>
    <w:rsid w:val="0027722D"/>
    <w:rsid w:val="00281865"/>
    <w:rsid w:val="002830D2"/>
    <w:rsid w:val="002A262A"/>
    <w:rsid w:val="002B0FF0"/>
    <w:rsid w:val="002B496A"/>
    <w:rsid w:val="002B6882"/>
    <w:rsid w:val="002C05DA"/>
    <w:rsid w:val="002C33FF"/>
    <w:rsid w:val="002C3D2B"/>
    <w:rsid w:val="002C709F"/>
    <w:rsid w:val="002D255A"/>
    <w:rsid w:val="002E03A5"/>
    <w:rsid w:val="002E0C02"/>
    <w:rsid w:val="002E3F00"/>
    <w:rsid w:val="002E58DC"/>
    <w:rsid w:val="002E5968"/>
    <w:rsid w:val="002E5F38"/>
    <w:rsid w:val="002F1F9E"/>
    <w:rsid w:val="002F4641"/>
    <w:rsid w:val="0030078A"/>
    <w:rsid w:val="00312C09"/>
    <w:rsid w:val="00313FB7"/>
    <w:rsid w:val="003148ED"/>
    <w:rsid w:val="00316A9A"/>
    <w:rsid w:val="00322EC1"/>
    <w:rsid w:val="00324552"/>
    <w:rsid w:val="00325B32"/>
    <w:rsid w:val="00334638"/>
    <w:rsid w:val="003433E4"/>
    <w:rsid w:val="00345500"/>
    <w:rsid w:val="003502B3"/>
    <w:rsid w:val="00350B82"/>
    <w:rsid w:val="0035170C"/>
    <w:rsid w:val="003576DC"/>
    <w:rsid w:val="00366766"/>
    <w:rsid w:val="00366854"/>
    <w:rsid w:val="00371ED7"/>
    <w:rsid w:val="00373DAE"/>
    <w:rsid w:val="00382D89"/>
    <w:rsid w:val="00383E6E"/>
    <w:rsid w:val="00391714"/>
    <w:rsid w:val="00392B5B"/>
    <w:rsid w:val="00396505"/>
    <w:rsid w:val="00396DFA"/>
    <w:rsid w:val="003973F2"/>
    <w:rsid w:val="003A1193"/>
    <w:rsid w:val="003A18C5"/>
    <w:rsid w:val="003B4565"/>
    <w:rsid w:val="003B4571"/>
    <w:rsid w:val="003B6C51"/>
    <w:rsid w:val="003B7281"/>
    <w:rsid w:val="003C1E51"/>
    <w:rsid w:val="003C66B4"/>
    <w:rsid w:val="003C7976"/>
    <w:rsid w:val="003C7BD3"/>
    <w:rsid w:val="003D1934"/>
    <w:rsid w:val="003D2B83"/>
    <w:rsid w:val="003D34D3"/>
    <w:rsid w:val="003D373E"/>
    <w:rsid w:val="003D68D4"/>
    <w:rsid w:val="003D6B81"/>
    <w:rsid w:val="003D6BD7"/>
    <w:rsid w:val="003D7119"/>
    <w:rsid w:val="003D7557"/>
    <w:rsid w:val="003E000B"/>
    <w:rsid w:val="003E031F"/>
    <w:rsid w:val="003E34D5"/>
    <w:rsid w:val="003E3DE2"/>
    <w:rsid w:val="003E3E3C"/>
    <w:rsid w:val="003E3EE9"/>
    <w:rsid w:val="003E7BF8"/>
    <w:rsid w:val="003F03CC"/>
    <w:rsid w:val="003F05DE"/>
    <w:rsid w:val="003F0FE5"/>
    <w:rsid w:val="003F1F8A"/>
    <w:rsid w:val="003F2F1C"/>
    <w:rsid w:val="003F3889"/>
    <w:rsid w:val="003F64E1"/>
    <w:rsid w:val="003F786E"/>
    <w:rsid w:val="00401C41"/>
    <w:rsid w:val="00406888"/>
    <w:rsid w:val="00422D8B"/>
    <w:rsid w:val="00425B9B"/>
    <w:rsid w:val="00425DD3"/>
    <w:rsid w:val="0043731C"/>
    <w:rsid w:val="00440C24"/>
    <w:rsid w:val="00442DDF"/>
    <w:rsid w:val="004432DB"/>
    <w:rsid w:val="0045005F"/>
    <w:rsid w:val="00451B86"/>
    <w:rsid w:val="004551C6"/>
    <w:rsid w:val="00463001"/>
    <w:rsid w:val="00463B59"/>
    <w:rsid w:val="0046437E"/>
    <w:rsid w:val="00470751"/>
    <w:rsid w:val="00472177"/>
    <w:rsid w:val="00472897"/>
    <w:rsid w:val="00472CA2"/>
    <w:rsid w:val="004732F1"/>
    <w:rsid w:val="0047678B"/>
    <w:rsid w:val="00483CA6"/>
    <w:rsid w:val="00484B09"/>
    <w:rsid w:val="004850FC"/>
    <w:rsid w:val="0049091C"/>
    <w:rsid w:val="00490E18"/>
    <w:rsid w:val="00493E22"/>
    <w:rsid w:val="00494A49"/>
    <w:rsid w:val="00497DF5"/>
    <w:rsid w:val="004A52CA"/>
    <w:rsid w:val="004A7245"/>
    <w:rsid w:val="004B2131"/>
    <w:rsid w:val="004B2DED"/>
    <w:rsid w:val="004B4833"/>
    <w:rsid w:val="004B629F"/>
    <w:rsid w:val="004B71EE"/>
    <w:rsid w:val="004C42F7"/>
    <w:rsid w:val="004C7170"/>
    <w:rsid w:val="004E53A0"/>
    <w:rsid w:val="004F0FF1"/>
    <w:rsid w:val="004F151C"/>
    <w:rsid w:val="004F570A"/>
    <w:rsid w:val="005036BB"/>
    <w:rsid w:val="0050794E"/>
    <w:rsid w:val="00510058"/>
    <w:rsid w:val="00512E25"/>
    <w:rsid w:val="00520E4E"/>
    <w:rsid w:val="00521C57"/>
    <w:rsid w:val="00530ACE"/>
    <w:rsid w:val="00532ADE"/>
    <w:rsid w:val="00534123"/>
    <w:rsid w:val="00534994"/>
    <w:rsid w:val="00534C9A"/>
    <w:rsid w:val="00534F2C"/>
    <w:rsid w:val="00536E63"/>
    <w:rsid w:val="00537696"/>
    <w:rsid w:val="005378B9"/>
    <w:rsid w:val="00537EE4"/>
    <w:rsid w:val="00552776"/>
    <w:rsid w:val="00552F0F"/>
    <w:rsid w:val="00554A31"/>
    <w:rsid w:val="00556DA9"/>
    <w:rsid w:val="00563052"/>
    <w:rsid w:val="005632DD"/>
    <w:rsid w:val="00573175"/>
    <w:rsid w:val="005767A6"/>
    <w:rsid w:val="005776AA"/>
    <w:rsid w:val="00582B2E"/>
    <w:rsid w:val="00591980"/>
    <w:rsid w:val="00592C20"/>
    <w:rsid w:val="00597705"/>
    <w:rsid w:val="005A2037"/>
    <w:rsid w:val="005A2179"/>
    <w:rsid w:val="005A278B"/>
    <w:rsid w:val="005A5826"/>
    <w:rsid w:val="005B172C"/>
    <w:rsid w:val="005B3457"/>
    <w:rsid w:val="005B4FCF"/>
    <w:rsid w:val="005C03C6"/>
    <w:rsid w:val="005C0801"/>
    <w:rsid w:val="005C744B"/>
    <w:rsid w:val="005D0DA6"/>
    <w:rsid w:val="005D13B0"/>
    <w:rsid w:val="005D1E26"/>
    <w:rsid w:val="005D292A"/>
    <w:rsid w:val="005D44AA"/>
    <w:rsid w:val="005D6E2F"/>
    <w:rsid w:val="005E1137"/>
    <w:rsid w:val="005E3D20"/>
    <w:rsid w:val="005E4C86"/>
    <w:rsid w:val="005E569C"/>
    <w:rsid w:val="005E5B2A"/>
    <w:rsid w:val="005E7E4E"/>
    <w:rsid w:val="005F116A"/>
    <w:rsid w:val="005F2C81"/>
    <w:rsid w:val="005F2D72"/>
    <w:rsid w:val="00600899"/>
    <w:rsid w:val="0060773B"/>
    <w:rsid w:val="00616E71"/>
    <w:rsid w:val="00621604"/>
    <w:rsid w:val="0062212C"/>
    <w:rsid w:val="00625BE7"/>
    <w:rsid w:val="00635B6C"/>
    <w:rsid w:val="00640416"/>
    <w:rsid w:val="00640B43"/>
    <w:rsid w:val="00644A1E"/>
    <w:rsid w:val="006458E7"/>
    <w:rsid w:val="0065566F"/>
    <w:rsid w:val="00655F6B"/>
    <w:rsid w:val="0065656B"/>
    <w:rsid w:val="00657809"/>
    <w:rsid w:val="00666D60"/>
    <w:rsid w:val="00670EDA"/>
    <w:rsid w:val="00675E7A"/>
    <w:rsid w:val="006767CA"/>
    <w:rsid w:val="006801CE"/>
    <w:rsid w:val="006925A2"/>
    <w:rsid w:val="00694171"/>
    <w:rsid w:val="00694A3B"/>
    <w:rsid w:val="006A449A"/>
    <w:rsid w:val="006A7AB7"/>
    <w:rsid w:val="006B1AF0"/>
    <w:rsid w:val="006B705F"/>
    <w:rsid w:val="006C14D6"/>
    <w:rsid w:val="006C25FB"/>
    <w:rsid w:val="006C7B68"/>
    <w:rsid w:val="006D0E53"/>
    <w:rsid w:val="006D182D"/>
    <w:rsid w:val="006D326A"/>
    <w:rsid w:val="006D7555"/>
    <w:rsid w:val="006E0A4C"/>
    <w:rsid w:val="006E6D4B"/>
    <w:rsid w:val="006F155D"/>
    <w:rsid w:val="006F2C28"/>
    <w:rsid w:val="006F4425"/>
    <w:rsid w:val="006F50BA"/>
    <w:rsid w:val="00707509"/>
    <w:rsid w:val="007112AC"/>
    <w:rsid w:val="007147A7"/>
    <w:rsid w:val="00717173"/>
    <w:rsid w:val="00717C77"/>
    <w:rsid w:val="007200D5"/>
    <w:rsid w:val="00720A17"/>
    <w:rsid w:val="007241D3"/>
    <w:rsid w:val="00725104"/>
    <w:rsid w:val="00725473"/>
    <w:rsid w:val="00725D40"/>
    <w:rsid w:val="007306AD"/>
    <w:rsid w:val="00730F2A"/>
    <w:rsid w:val="007321EA"/>
    <w:rsid w:val="00736A41"/>
    <w:rsid w:val="00737F9C"/>
    <w:rsid w:val="0074012D"/>
    <w:rsid w:val="0074575E"/>
    <w:rsid w:val="00746282"/>
    <w:rsid w:val="00753F64"/>
    <w:rsid w:val="00762BA0"/>
    <w:rsid w:val="00762F8A"/>
    <w:rsid w:val="00766F95"/>
    <w:rsid w:val="00770D61"/>
    <w:rsid w:val="00771A70"/>
    <w:rsid w:val="00772184"/>
    <w:rsid w:val="00776E91"/>
    <w:rsid w:val="00776FF8"/>
    <w:rsid w:val="007814DD"/>
    <w:rsid w:val="007823C0"/>
    <w:rsid w:val="0078278B"/>
    <w:rsid w:val="0078415C"/>
    <w:rsid w:val="0078480D"/>
    <w:rsid w:val="00785128"/>
    <w:rsid w:val="007A0FD7"/>
    <w:rsid w:val="007A2C24"/>
    <w:rsid w:val="007A31CF"/>
    <w:rsid w:val="007A396D"/>
    <w:rsid w:val="007A795B"/>
    <w:rsid w:val="007B6A9F"/>
    <w:rsid w:val="007C2D3F"/>
    <w:rsid w:val="007C36CF"/>
    <w:rsid w:val="007C4054"/>
    <w:rsid w:val="007D0A9A"/>
    <w:rsid w:val="007D219F"/>
    <w:rsid w:val="007E262B"/>
    <w:rsid w:val="007E2FA4"/>
    <w:rsid w:val="007F0A0A"/>
    <w:rsid w:val="00802C2F"/>
    <w:rsid w:val="00803176"/>
    <w:rsid w:val="00811CF1"/>
    <w:rsid w:val="00812150"/>
    <w:rsid w:val="0081710F"/>
    <w:rsid w:val="008233E2"/>
    <w:rsid w:val="00824BEE"/>
    <w:rsid w:val="00831F44"/>
    <w:rsid w:val="00834441"/>
    <w:rsid w:val="00835172"/>
    <w:rsid w:val="00835AB8"/>
    <w:rsid w:val="00841936"/>
    <w:rsid w:val="00841C1E"/>
    <w:rsid w:val="00842F07"/>
    <w:rsid w:val="0084395E"/>
    <w:rsid w:val="00846BFD"/>
    <w:rsid w:val="00847C6D"/>
    <w:rsid w:val="008502F4"/>
    <w:rsid w:val="00851F19"/>
    <w:rsid w:val="008535A9"/>
    <w:rsid w:val="00854C33"/>
    <w:rsid w:val="008556D3"/>
    <w:rsid w:val="00855EA4"/>
    <w:rsid w:val="008607FD"/>
    <w:rsid w:val="00862424"/>
    <w:rsid w:val="008647E5"/>
    <w:rsid w:val="0086530E"/>
    <w:rsid w:val="0087214D"/>
    <w:rsid w:val="00880188"/>
    <w:rsid w:val="008803E9"/>
    <w:rsid w:val="008806E1"/>
    <w:rsid w:val="00882D48"/>
    <w:rsid w:val="00882FFD"/>
    <w:rsid w:val="00892361"/>
    <w:rsid w:val="008958F3"/>
    <w:rsid w:val="008975A7"/>
    <w:rsid w:val="008A1CA4"/>
    <w:rsid w:val="008B340E"/>
    <w:rsid w:val="008C1F3C"/>
    <w:rsid w:val="008C22CF"/>
    <w:rsid w:val="008C437E"/>
    <w:rsid w:val="008C536C"/>
    <w:rsid w:val="008C5778"/>
    <w:rsid w:val="008C625D"/>
    <w:rsid w:val="008C655C"/>
    <w:rsid w:val="008D6725"/>
    <w:rsid w:val="008E2F40"/>
    <w:rsid w:val="008F48AC"/>
    <w:rsid w:val="008F4F99"/>
    <w:rsid w:val="00900B5A"/>
    <w:rsid w:val="00911042"/>
    <w:rsid w:val="0092608E"/>
    <w:rsid w:val="009260E4"/>
    <w:rsid w:val="00930AE2"/>
    <w:rsid w:val="0094269D"/>
    <w:rsid w:val="00947BDA"/>
    <w:rsid w:val="009548AF"/>
    <w:rsid w:val="009671DE"/>
    <w:rsid w:val="009743F0"/>
    <w:rsid w:val="00975321"/>
    <w:rsid w:val="00976CE8"/>
    <w:rsid w:val="00977112"/>
    <w:rsid w:val="009773EB"/>
    <w:rsid w:val="00983D82"/>
    <w:rsid w:val="00987F79"/>
    <w:rsid w:val="00993D9E"/>
    <w:rsid w:val="00996837"/>
    <w:rsid w:val="009A0578"/>
    <w:rsid w:val="009A4309"/>
    <w:rsid w:val="009A467B"/>
    <w:rsid w:val="009A48E8"/>
    <w:rsid w:val="009A671C"/>
    <w:rsid w:val="009B0622"/>
    <w:rsid w:val="009B0D0D"/>
    <w:rsid w:val="009B55E6"/>
    <w:rsid w:val="009C184C"/>
    <w:rsid w:val="009C360B"/>
    <w:rsid w:val="009C5B0E"/>
    <w:rsid w:val="009C794D"/>
    <w:rsid w:val="009D6A0D"/>
    <w:rsid w:val="009E0427"/>
    <w:rsid w:val="009E1729"/>
    <w:rsid w:val="009E2C1C"/>
    <w:rsid w:val="009E3905"/>
    <w:rsid w:val="009F2E23"/>
    <w:rsid w:val="009F47F8"/>
    <w:rsid w:val="009F6A41"/>
    <w:rsid w:val="009F797C"/>
    <w:rsid w:val="009F7B43"/>
    <w:rsid w:val="00A03005"/>
    <w:rsid w:val="00A0321E"/>
    <w:rsid w:val="00A07D4F"/>
    <w:rsid w:val="00A11917"/>
    <w:rsid w:val="00A1393A"/>
    <w:rsid w:val="00A20DC3"/>
    <w:rsid w:val="00A21F28"/>
    <w:rsid w:val="00A2241F"/>
    <w:rsid w:val="00A2294B"/>
    <w:rsid w:val="00A23473"/>
    <w:rsid w:val="00A2382E"/>
    <w:rsid w:val="00A241B3"/>
    <w:rsid w:val="00A25174"/>
    <w:rsid w:val="00A32851"/>
    <w:rsid w:val="00A42FF4"/>
    <w:rsid w:val="00A47458"/>
    <w:rsid w:val="00A51FE4"/>
    <w:rsid w:val="00A5455A"/>
    <w:rsid w:val="00A56ACB"/>
    <w:rsid w:val="00A573B4"/>
    <w:rsid w:val="00A57EEB"/>
    <w:rsid w:val="00A62F09"/>
    <w:rsid w:val="00A63F9B"/>
    <w:rsid w:val="00A65ECB"/>
    <w:rsid w:val="00A705BA"/>
    <w:rsid w:val="00A7110E"/>
    <w:rsid w:val="00A73483"/>
    <w:rsid w:val="00A7634F"/>
    <w:rsid w:val="00A80AAD"/>
    <w:rsid w:val="00A83181"/>
    <w:rsid w:val="00A84BCD"/>
    <w:rsid w:val="00A85AB3"/>
    <w:rsid w:val="00A85FF8"/>
    <w:rsid w:val="00A90274"/>
    <w:rsid w:val="00A91805"/>
    <w:rsid w:val="00A91B22"/>
    <w:rsid w:val="00A963D3"/>
    <w:rsid w:val="00AA2982"/>
    <w:rsid w:val="00AA298B"/>
    <w:rsid w:val="00AA4450"/>
    <w:rsid w:val="00AA6C8C"/>
    <w:rsid w:val="00AB10E5"/>
    <w:rsid w:val="00AB24D3"/>
    <w:rsid w:val="00AB5D4F"/>
    <w:rsid w:val="00AC060B"/>
    <w:rsid w:val="00AC0E25"/>
    <w:rsid w:val="00AC2D14"/>
    <w:rsid w:val="00AC3A92"/>
    <w:rsid w:val="00AC52DD"/>
    <w:rsid w:val="00AC617D"/>
    <w:rsid w:val="00AC775C"/>
    <w:rsid w:val="00AD0511"/>
    <w:rsid w:val="00AD0D46"/>
    <w:rsid w:val="00AD18BA"/>
    <w:rsid w:val="00AD257F"/>
    <w:rsid w:val="00AD3FD0"/>
    <w:rsid w:val="00AD7AAF"/>
    <w:rsid w:val="00AE66BD"/>
    <w:rsid w:val="00AF33BE"/>
    <w:rsid w:val="00AF4EE5"/>
    <w:rsid w:val="00AF6D2C"/>
    <w:rsid w:val="00B0605A"/>
    <w:rsid w:val="00B07DDB"/>
    <w:rsid w:val="00B2020B"/>
    <w:rsid w:val="00B36732"/>
    <w:rsid w:val="00B370FD"/>
    <w:rsid w:val="00B424E0"/>
    <w:rsid w:val="00B4395E"/>
    <w:rsid w:val="00B43A7C"/>
    <w:rsid w:val="00B43F51"/>
    <w:rsid w:val="00B50709"/>
    <w:rsid w:val="00B50D3E"/>
    <w:rsid w:val="00B50E39"/>
    <w:rsid w:val="00B51C50"/>
    <w:rsid w:val="00B54E2D"/>
    <w:rsid w:val="00B555A2"/>
    <w:rsid w:val="00B64006"/>
    <w:rsid w:val="00B659D6"/>
    <w:rsid w:val="00B65CD5"/>
    <w:rsid w:val="00B67779"/>
    <w:rsid w:val="00B71475"/>
    <w:rsid w:val="00B7530B"/>
    <w:rsid w:val="00B76D3D"/>
    <w:rsid w:val="00B81E80"/>
    <w:rsid w:val="00B828A8"/>
    <w:rsid w:val="00B905D6"/>
    <w:rsid w:val="00B93166"/>
    <w:rsid w:val="00BA09C0"/>
    <w:rsid w:val="00BA0C2F"/>
    <w:rsid w:val="00BA1CC1"/>
    <w:rsid w:val="00BA2E06"/>
    <w:rsid w:val="00BB00D2"/>
    <w:rsid w:val="00BB16DF"/>
    <w:rsid w:val="00BB1E3C"/>
    <w:rsid w:val="00BB37FC"/>
    <w:rsid w:val="00BC74E1"/>
    <w:rsid w:val="00BD3869"/>
    <w:rsid w:val="00BD43BB"/>
    <w:rsid w:val="00BE221A"/>
    <w:rsid w:val="00BE56CC"/>
    <w:rsid w:val="00BF31D5"/>
    <w:rsid w:val="00C011F4"/>
    <w:rsid w:val="00C06E39"/>
    <w:rsid w:val="00C06F47"/>
    <w:rsid w:val="00C076FC"/>
    <w:rsid w:val="00C11CDC"/>
    <w:rsid w:val="00C13458"/>
    <w:rsid w:val="00C22140"/>
    <w:rsid w:val="00C24A57"/>
    <w:rsid w:val="00C26265"/>
    <w:rsid w:val="00C27A9B"/>
    <w:rsid w:val="00C302DF"/>
    <w:rsid w:val="00C3068A"/>
    <w:rsid w:val="00C372D8"/>
    <w:rsid w:val="00C379B9"/>
    <w:rsid w:val="00C402CA"/>
    <w:rsid w:val="00C408A8"/>
    <w:rsid w:val="00C417E4"/>
    <w:rsid w:val="00C41FB4"/>
    <w:rsid w:val="00C43059"/>
    <w:rsid w:val="00C44198"/>
    <w:rsid w:val="00C4764B"/>
    <w:rsid w:val="00C479A1"/>
    <w:rsid w:val="00C60CEF"/>
    <w:rsid w:val="00C60E57"/>
    <w:rsid w:val="00C60EAC"/>
    <w:rsid w:val="00C612AB"/>
    <w:rsid w:val="00C67779"/>
    <w:rsid w:val="00C70B5B"/>
    <w:rsid w:val="00C73532"/>
    <w:rsid w:val="00C74097"/>
    <w:rsid w:val="00C80DF4"/>
    <w:rsid w:val="00C83FDD"/>
    <w:rsid w:val="00C930C4"/>
    <w:rsid w:val="00C941CF"/>
    <w:rsid w:val="00C97EA3"/>
    <w:rsid w:val="00CB09C4"/>
    <w:rsid w:val="00CB1D86"/>
    <w:rsid w:val="00CB2131"/>
    <w:rsid w:val="00CB223A"/>
    <w:rsid w:val="00CB3C52"/>
    <w:rsid w:val="00CC095C"/>
    <w:rsid w:val="00CC62D4"/>
    <w:rsid w:val="00CD0F9D"/>
    <w:rsid w:val="00CD4863"/>
    <w:rsid w:val="00CD6E24"/>
    <w:rsid w:val="00CE100F"/>
    <w:rsid w:val="00CE1683"/>
    <w:rsid w:val="00CE3023"/>
    <w:rsid w:val="00CE3067"/>
    <w:rsid w:val="00CE34BF"/>
    <w:rsid w:val="00CE5AC5"/>
    <w:rsid w:val="00CE6809"/>
    <w:rsid w:val="00CF38BA"/>
    <w:rsid w:val="00CF41D5"/>
    <w:rsid w:val="00D0090F"/>
    <w:rsid w:val="00D0333D"/>
    <w:rsid w:val="00D05531"/>
    <w:rsid w:val="00D0627D"/>
    <w:rsid w:val="00D11338"/>
    <w:rsid w:val="00D233FE"/>
    <w:rsid w:val="00D25B7D"/>
    <w:rsid w:val="00D2658A"/>
    <w:rsid w:val="00D34D2A"/>
    <w:rsid w:val="00D35E30"/>
    <w:rsid w:val="00D45670"/>
    <w:rsid w:val="00D470B0"/>
    <w:rsid w:val="00D57C0F"/>
    <w:rsid w:val="00D65A42"/>
    <w:rsid w:val="00D67921"/>
    <w:rsid w:val="00D71B51"/>
    <w:rsid w:val="00D72D9E"/>
    <w:rsid w:val="00D75780"/>
    <w:rsid w:val="00D819F9"/>
    <w:rsid w:val="00D83976"/>
    <w:rsid w:val="00D84175"/>
    <w:rsid w:val="00D8499B"/>
    <w:rsid w:val="00D85FFC"/>
    <w:rsid w:val="00D87C94"/>
    <w:rsid w:val="00D93ACD"/>
    <w:rsid w:val="00D949D5"/>
    <w:rsid w:val="00DA0452"/>
    <w:rsid w:val="00DB1C9B"/>
    <w:rsid w:val="00DB61F4"/>
    <w:rsid w:val="00DB69A0"/>
    <w:rsid w:val="00DB6DAB"/>
    <w:rsid w:val="00DC050B"/>
    <w:rsid w:val="00DC0834"/>
    <w:rsid w:val="00DC31C2"/>
    <w:rsid w:val="00DC3D11"/>
    <w:rsid w:val="00DC67AD"/>
    <w:rsid w:val="00DC739F"/>
    <w:rsid w:val="00DD12D8"/>
    <w:rsid w:val="00DD3603"/>
    <w:rsid w:val="00DD6317"/>
    <w:rsid w:val="00DE5D9B"/>
    <w:rsid w:val="00DF1C01"/>
    <w:rsid w:val="00DF39A3"/>
    <w:rsid w:val="00E05FEE"/>
    <w:rsid w:val="00E0613B"/>
    <w:rsid w:val="00E14494"/>
    <w:rsid w:val="00E147E9"/>
    <w:rsid w:val="00E14BA3"/>
    <w:rsid w:val="00E179AF"/>
    <w:rsid w:val="00E2262A"/>
    <w:rsid w:val="00E22AF0"/>
    <w:rsid w:val="00E302B1"/>
    <w:rsid w:val="00E33445"/>
    <w:rsid w:val="00E3503C"/>
    <w:rsid w:val="00E36639"/>
    <w:rsid w:val="00E43CF0"/>
    <w:rsid w:val="00E46F14"/>
    <w:rsid w:val="00E55DA4"/>
    <w:rsid w:val="00E5677C"/>
    <w:rsid w:val="00E65E12"/>
    <w:rsid w:val="00E70084"/>
    <w:rsid w:val="00E72500"/>
    <w:rsid w:val="00E736C5"/>
    <w:rsid w:val="00E744AD"/>
    <w:rsid w:val="00E75A70"/>
    <w:rsid w:val="00E75ACC"/>
    <w:rsid w:val="00E770F4"/>
    <w:rsid w:val="00E81511"/>
    <w:rsid w:val="00E823A1"/>
    <w:rsid w:val="00E8263E"/>
    <w:rsid w:val="00E84672"/>
    <w:rsid w:val="00E848F0"/>
    <w:rsid w:val="00E86ED2"/>
    <w:rsid w:val="00E87732"/>
    <w:rsid w:val="00E927C9"/>
    <w:rsid w:val="00E9689D"/>
    <w:rsid w:val="00EA0447"/>
    <w:rsid w:val="00EA2BCD"/>
    <w:rsid w:val="00EA4D0C"/>
    <w:rsid w:val="00EA5437"/>
    <w:rsid w:val="00EA7B63"/>
    <w:rsid w:val="00EB1276"/>
    <w:rsid w:val="00EB25C7"/>
    <w:rsid w:val="00EB50DF"/>
    <w:rsid w:val="00EC5E84"/>
    <w:rsid w:val="00ED6D41"/>
    <w:rsid w:val="00EE08D7"/>
    <w:rsid w:val="00EE185A"/>
    <w:rsid w:val="00EE57AE"/>
    <w:rsid w:val="00EE6B20"/>
    <w:rsid w:val="00EF5862"/>
    <w:rsid w:val="00F00D15"/>
    <w:rsid w:val="00F03265"/>
    <w:rsid w:val="00F06501"/>
    <w:rsid w:val="00F10CFE"/>
    <w:rsid w:val="00F128C8"/>
    <w:rsid w:val="00F259B0"/>
    <w:rsid w:val="00F31211"/>
    <w:rsid w:val="00F31B98"/>
    <w:rsid w:val="00F3402E"/>
    <w:rsid w:val="00F37298"/>
    <w:rsid w:val="00F40C64"/>
    <w:rsid w:val="00F41A63"/>
    <w:rsid w:val="00F454E4"/>
    <w:rsid w:val="00F47E50"/>
    <w:rsid w:val="00F5293A"/>
    <w:rsid w:val="00F5541D"/>
    <w:rsid w:val="00F61174"/>
    <w:rsid w:val="00F61D5F"/>
    <w:rsid w:val="00F70DCE"/>
    <w:rsid w:val="00F853BC"/>
    <w:rsid w:val="00F8555C"/>
    <w:rsid w:val="00F86B43"/>
    <w:rsid w:val="00F95CAD"/>
    <w:rsid w:val="00FA6711"/>
    <w:rsid w:val="00FB3624"/>
    <w:rsid w:val="00FB57F4"/>
    <w:rsid w:val="00FB5FA1"/>
    <w:rsid w:val="00FB6C21"/>
    <w:rsid w:val="00FB7EC4"/>
    <w:rsid w:val="00FC0613"/>
    <w:rsid w:val="00FC1B4B"/>
    <w:rsid w:val="00FC42A9"/>
    <w:rsid w:val="00FC4DA9"/>
    <w:rsid w:val="00FD25F8"/>
    <w:rsid w:val="00FD47B6"/>
    <w:rsid w:val="00FD5526"/>
    <w:rsid w:val="00FE5718"/>
    <w:rsid w:val="00FE6590"/>
    <w:rsid w:val="00FF2561"/>
    <w:rsid w:val="00FF26C9"/>
    <w:rsid w:val="00FF3DD7"/>
    <w:rsid w:val="00FF46AF"/>
    <w:rsid w:val="00FF5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E67D767"/>
  <w15:chartTrackingRefBased/>
  <w15:docId w15:val="{8E8B0A24-BA79-4196-8296-FA500BC1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AE"/>
    <w:pPr>
      <w:widowControl w:val="0"/>
      <w:jc w:val="both"/>
    </w:pPr>
    <w:rPr>
      <w:kern w:val="2"/>
      <w:sz w:val="21"/>
      <w:szCs w:val="24"/>
    </w:rPr>
  </w:style>
  <w:style w:type="paragraph" w:styleId="10">
    <w:name w:val="heading 1"/>
    <w:aliases w:val="H1,Heading 0"/>
    <w:basedOn w:val="a"/>
    <w:next w:val="a"/>
    <w:qFormat/>
    <w:rsid w:val="000D10AE"/>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
    <w:next w:val="a"/>
    <w:qFormat/>
    <w:rsid w:val="000D10AE"/>
    <w:pPr>
      <w:keepNext/>
      <w:keepLines/>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qFormat/>
    <w:rsid w:val="000D10AE"/>
    <w:pPr>
      <w:keepNext/>
      <w:keepLines/>
      <w:spacing w:before="260" w:after="260" w:line="415" w:lineRule="auto"/>
      <w:outlineLvl w:val="2"/>
    </w:pPr>
    <w:rPr>
      <w:b/>
      <w:bCs/>
      <w:sz w:val="32"/>
      <w:szCs w:val="32"/>
    </w:rPr>
  </w:style>
  <w:style w:type="paragraph" w:styleId="4">
    <w:name w:val="heading 4"/>
    <w:aliases w:val="H4,4th level,h4,PIM 4"/>
    <w:basedOn w:val="a"/>
    <w:next w:val="a"/>
    <w:qFormat/>
    <w:rsid w:val="000D10AE"/>
    <w:pPr>
      <w:keepNext/>
      <w:keepLine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qFormat/>
    <w:rsid w:val="000D10AE"/>
    <w:pPr>
      <w:keepNext/>
      <w:keepLines/>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qFormat/>
    <w:rsid w:val="000D10AE"/>
    <w:pPr>
      <w:keepNext/>
      <w:keepLine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qFormat/>
    <w:rsid w:val="000D10AE"/>
    <w:pPr>
      <w:keepNext/>
      <w:keepLines/>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qFormat/>
    <w:rsid w:val="000D10AE"/>
    <w:pPr>
      <w:keepNext/>
      <w:keepLine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qFormat/>
    <w:rsid w:val="000D10AE"/>
    <w:pPr>
      <w:keepNext/>
      <w:keepLines/>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0D10AE"/>
  </w:style>
  <w:style w:type="character" w:styleId="a3">
    <w:name w:val="Hyperlink"/>
    <w:rsid w:val="000D10AE"/>
    <w:rPr>
      <w:color w:val="0000FF"/>
      <w:u w:val="single"/>
    </w:rPr>
  </w:style>
  <w:style w:type="character" w:customStyle="1" w:styleId="a4">
    <w:name w:val="已访问的超链接"/>
    <w:rsid w:val="000D10AE"/>
    <w:rPr>
      <w:color w:val="800080"/>
      <w:u w:val="single"/>
    </w:rPr>
  </w:style>
  <w:style w:type="paragraph" w:styleId="a5">
    <w:name w:val="Normal (Web)"/>
    <w:basedOn w:val="a"/>
    <w:rsid w:val="000D10AE"/>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
    <w:next w:val="a"/>
    <w:autoRedefine/>
    <w:semiHidden/>
    <w:rsid w:val="000D10AE"/>
    <w:pPr>
      <w:spacing w:line="360" w:lineRule="auto"/>
      <w:ind w:firstLineChars="200" w:firstLine="422"/>
      <w:outlineLvl w:val="0"/>
    </w:pPr>
    <w:rPr>
      <w:rFonts w:ascii="宋体" w:hAnsi="宋体"/>
      <w:b/>
      <w:bCs/>
      <w:color w:val="000000"/>
      <w:kern w:val="0"/>
    </w:rPr>
  </w:style>
  <w:style w:type="paragraph" w:styleId="12">
    <w:name w:val="toc 1"/>
    <w:basedOn w:val="a"/>
    <w:next w:val="a"/>
    <w:autoRedefine/>
    <w:semiHidden/>
    <w:rsid w:val="000D10AE"/>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
    <w:next w:val="a"/>
    <w:autoRedefine/>
    <w:semiHidden/>
    <w:rsid w:val="000D10AE"/>
    <w:pPr>
      <w:tabs>
        <w:tab w:val="left" w:pos="840"/>
        <w:tab w:val="left" w:pos="1050"/>
        <w:tab w:val="left" w:pos="1080"/>
        <w:tab w:val="right" w:leader="dot" w:pos="8296"/>
      </w:tabs>
      <w:spacing w:line="360" w:lineRule="auto"/>
      <w:ind w:left="210"/>
      <w:jc w:val="left"/>
    </w:pPr>
  </w:style>
  <w:style w:type="paragraph" w:styleId="30">
    <w:name w:val="toc 3"/>
    <w:basedOn w:val="a"/>
    <w:next w:val="a"/>
    <w:autoRedefine/>
    <w:semiHidden/>
    <w:rsid w:val="000D10AE"/>
    <w:pPr>
      <w:ind w:left="420"/>
      <w:jc w:val="left"/>
    </w:pPr>
    <w:rPr>
      <w:szCs w:val="21"/>
    </w:rPr>
  </w:style>
  <w:style w:type="paragraph" w:styleId="40">
    <w:name w:val="toc 4"/>
    <w:basedOn w:val="a"/>
    <w:next w:val="a"/>
    <w:autoRedefine/>
    <w:semiHidden/>
    <w:rsid w:val="000D10AE"/>
    <w:pPr>
      <w:ind w:left="630"/>
      <w:jc w:val="left"/>
    </w:pPr>
    <w:rPr>
      <w:szCs w:val="21"/>
    </w:rPr>
  </w:style>
  <w:style w:type="paragraph" w:styleId="50">
    <w:name w:val="toc 5"/>
    <w:basedOn w:val="a"/>
    <w:next w:val="a"/>
    <w:autoRedefine/>
    <w:semiHidden/>
    <w:rsid w:val="000D10AE"/>
    <w:pPr>
      <w:ind w:left="840"/>
      <w:jc w:val="left"/>
    </w:pPr>
    <w:rPr>
      <w:szCs w:val="21"/>
    </w:rPr>
  </w:style>
  <w:style w:type="paragraph" w:styleId="60">
    <w:name w:val="toc 6"/>
    <w:basedOn w:val="a"/>
    <w:next w:val="a"/>
    <w:autoRedefine/>
    <w:semiHidden/>
    <w:rsid w:val="000D10AE"/>
    <w:pPr>
      <w:ind w:left="1050"/>
      <w:jc w:val="left"/>
    </w:pPr>
    <w:rPr>
      <w:szCs w:val="21"/>
    </w:rPr>
  </w:style>
  <w:style w:type="paragraph" w:styleId="70">
    <w:name w:val="toc 7"/>
    <w:basedOn w:val="a"/>
    <w:next w:val="a"/>
    <w:autoRedefine/>
    <w:semiHidden/>
    <w:rsid w:val="000D10AE"/>
    <w:pPr>
      <w:ind w:left="1260"/>
      <w:jc w:val="left"/>
    </w:pPr>
    <w:rPr>
      <w:szCs w:val="21"/>
    </w:rPr>
  </w:style>
  <w:style w:type="paragraph" w:styleId="80">
    <w:name w:val="toc 8"/>
    <w:basedOn w:val="a"/>
    <w:next w:val="a"/>
    <w:autoRedefine/>
    <w:semiHidden/>
    <w:rsid w:val="000D10AE"/>
    <w:pPr>
      <w:ind w:left="1470"/>
      <w:jc w:val="left"/>
    </w:pPr>
    <w:rPr>
      <w:szCs w:val="21"/>
    </w:rPr>
  </w:style>
  <w:style w:type="paragraph" w:styleId="90">
    <w:name w:val="toc 9"/>
    <w:basedOn w:val="a"/>
    <w:next w:val="a"/>
    <w:autoRedefine/>
    <w:semiHidden/>
    <w:rsid w:val="000D10AE"/>
    <w:pPr>
      <w:ind w:left="1680"/>
      <w:jc w:val="left"/>
    </w:pPr>
    <w:rPr>
      <w:szCs w:val="21"/>
    </w:rPr>
  </w:style>
  <w:style w:type="paragraph" w:styleId="a6">
    <w:name w:val="Normal Indent"/>
    <w:aliases w:val="特点,表正文,正文非缩进,段1,正文缩进1,ALT+Z"/>
    <w:basedOn w:val="a"/>
    <w:uiPriority w:val="99"/>
    <w:rsid w:val="000D10AE"/>
    <w:pPr>
      <w:ind w:firstLine="420"/>
    </w:pPr>
    <w:rPr>
      <w:szCs w:val="20"/>
    </w:rPr>
  </w:style>
  <w:style w:type="paragraph" w:styleId="a7">
    <w:name w:val="footnote text"/>
    <w:basedOn w:val="a"/>
    <w:semiHidden/>
    <w:rsid w:val="000D10AE"/>
    <w:pPr>
      <w:snapToGrid w:val="0"/>
      <w:jc w:val="left"/>
    </w:pPr>
    <w:rPr>
      <w:sz w:val="18"/>
      <w:szCs w:val="18"/>
    </w:rPr>
  </w:style>
  <w:style w:type="paragraph" w:styleId="a8">
    <w:name w:val="annotation text"/>
    <w:basedOn w:val="a"/>
    <w:semiHidden/>
    <w:rsid w:val="000D10AE"/>
    <w:pPr>
      <w:jc w:val="left"/>
    </w:pPr>
    <w:rPr>
      <w:sz w:val="24"/>
      <w:szCs w:val="20"/>
    </w:rPr>
  </w:style>
  <w:style w:type="paragraph" w:styleId="a9">
    <w:name w:val="header"/>
    <w:basedOn w:val="a"/>
    <w:rsid w:val="000D10AE"/>
    <w:pPr>
      <w:pBdr>
        <w:bottom w:val="single" w:sz="6" w:space="1" w:color="auto"/>
      </w:pBdr>
      <w:tabs>
        <w:tab w:val="center" w:pos="4153"/>
        <w:tab w:val="right" w:pos="8306"/>
      </w:tabs>
      <w:snapToGrid w:val="0"/>
      <w:jc w:val="center"/>
    </w:pPr>
    <w:rPr>
      <w:sz w:val="18"/>
      <w:szCs w:val="18"/>
    </w:rPr>
  </w:style>
  <w:style w:type="paragraph" w:styleId="aa">
    <w:name w:val="footer"/>
    <w:basedOn w:val="a"/>
    <w:rsid w:val="000D10AE"/>
    <w:pPr>
      <w:tabs>
        <w:tab w:val="center" w:pos="4153"/>
        <w:tab w:val="right" w:pos="8306"/>
      </w:tabs>
      <w:snapToGrid w:val="0"/>
      <w:jc w:val="left"/>
    </w:pPr>
    <w:rPr>
      <w:sz w:val="18"/>
      <w:szCs w:val="18"/>
    </w:rPr>
  </w:style>
  <w:style w:type="paragraph" w:styleId="ab">
    <w:name w:val="caption"/>
    <w:basedOn w:val="a"/>
    <w:next w:val="a"/>
    <w:qFormat/>
    <w:rsid w:val="000D10AE"/>
    <w:pPr>
      <w:adjustRightInd w:val="0"/>
      <w:spacing w:before="152" w:after="160" w:line="360" w:lineRule="auto"/>
      <w:ind w:firstLineChars="200" w:firstLine="567"/>
    </w:pPr>
    <w:rPr>
      <w:rFonts w:ascii="Arial" w:eastAsia="黑体" w:hAnsi="Arial"/>
      <w:sz w:val="24"/>
      <w:szCs w:val="20"/>
    </w:rPr>
  </w:style>
  <w:style w:type="paragraph" w:styleId="ac">
    <w:name w:val="Title"/>
    <w:basedOn w:val="a"/>
    <w:qFormat/>
    <w:rsid w:val="000D10AE"/>
    <w:pPr>
      <w:spacing w:before="240" w:after="60" w:line="360" w:lineRule="auto"/>
      <w:ind w:firstLine="425"/>
      <w:jc w:val="center"/>
      <w:outlineLvl w:val="0"/>
    </w:pPr>
    <w:rPr>
      <w:rFonts w:ascii="Arial" w:hAnsi="Arial"/>
      <w:b/>
      <w:sz w:val="32"/>
      <w:szCs w:val="20"/>
    </w:rPr>
  </w:style>
  <w:style w:type="paragraph" w:styleId="ad">
    <w:name w:val="Body Text"/>
    <w:basedOn w:val="a"/>
    <w:rsid w:val="000D10AE"/>
    <w:pPr>
      <w:spacing w:line="360" w:lineRule="auto"/>
    </w:pPr>
    <w:rPr>
      <w:sz w:val="24"/>
    </w:rPr>
  </w:style>
  <w:style w:type="paragraph" w:styleId="ae">
    <w:name w:val="Body Text Indent"/>
    <w:basedOn w:val="a"/>
    <w:rsid w:val="000D10AE"/>
    <w:pPr>
      <w:autoSpaceDE w:val="0"/>
      <w:autoSpaceDN w:val="0"/>
      <w:adjustRightInd w:val="0"/>
      <w:spacing w:after="120" w:line="440" w:lineRule="atLeast"/>
      <w:ind w:firstLine="539"/>
    </w:pPr>
    <w:rPr>
      <w:rFonts w:ascii="宋体" w:hint="eastAsia"/>
      <w:kern w:val="0"/>
      <w:sz w:val="24"/>
      <w:szCs w:val="20"/>
    </w:rPr>
  </w:style>
  <w:style w:type="paragraph" w:styleId="af">
    <w:name w:val="Date"/>
    <w:basedOn w:val="a"/>
    <w:next w:val="a"/>
    <w:rsid w:val="000D10AE"/>
    <w:pPr>
      <w:ind w:leftChars="2500" w:left="2500"/>
    </w:pPr>
    <w:rPr>
      <w:rFonts w:ascii="宋体" w:eastAsia="仿宋_GB2312" w:hAnsi="宋体" w:hint="eastAsia"/>
      <w:sz w:val="28"/>
    </w:rPr>
  </w:style>
  <w:style w:type="paragraph" w:styleId="23">
    <w:name w:val="Body Text 2"/>
    <w:basedOn w:val="a"/>
    <w:rsid w:val="000D10AE"/>
    <w:rPr>
      <w:sz w:val="28"/>
      <w:szCs w:val="20"/>
    </w:rPr>
  </w:style>
  <w:style w:type="paragraph" w:styleId="31">
    <w:name w:val="Body Text 3"/>
    <w:basedOn w:val="a"/>
    <w:rsid w:val="000D10AE"/>
    <w:pPr>
      <w:autoSpaceDE w:val="0"/>
      <w:autoSpaceDN w:val="0"/>
      <w:adjustRightInd w:val="0"/>
      <w:spacing w:after="120" w:line="360" w:lineRule="auto"/>
    </w:pPr>
    <w:rPr>
      <w:kern w:val="0"/>
      <w:sz w:val="24"/>
      <w:szCs w:val="20"/>
      <w:u w:val="single"/>
    </w:rPr>
  </w:style>
  <w:style w:type="paragraph" w:styleId="24">
    <w:name w:val="Body Text Indent 2"/>
    <w:basedOn w:val="a"/>
    <w:rsid w:val="000D10AE"/>
    <w:pPr>
      <w:spacing w:line="360" w:lineRule="auto"/>
      <w:ind w:firstLineChars="200" w:firstLine="560"/>
    </w:pPr>
    <w:rPr>
      <w:rFonts w:eastAsia="仿宋_GB2312"/>
      <w:sz w:val="28"/>
    </w:rPr>
  </w:style>
  <w:style w:type="paragraph" w:styleId="32">
    <w:name w:val="Body Text Indent 3"/>
    <w:basedOn w:val="a"/>
    <w:rsid w:val="000D10AE"/>
    <w:pPr>
      <w:spacing w:line="400" w:lineRule="atLeast"/>
      <w:ind w:firstLine="600"/>
    </w:pPr>
    <w:rPr>
      <w:rFonts w:ascii="宋体" w:hint="eastAsia"/>
      <w:sz w:val="28"/>
      <w:szCs w:val="20"/>
    </w:rPr>
  </w:style>
  <w:style w:type="paragraph" w:styleId="af0">
    <w:name w:val="Document Map"/>
    <w:basedOn w:val="a"/>
    <w:semiHidden/>
    <w:rsid w:val="000D10AE"/>
    <w:pPr>
      <w:shd w:val="clear" w:color="auto" w:fill="000080"/>
    </w:pPr>
  </w:style>
  <w:style w:type="paragraph" w:styleId="af1">
    <w:name w:val="Plain Text"/>
    <w:basedOn w:val="a"/>
    <w:rsid w:val="000D10AE"/>
    <w:rPr>
      <w:rFonts w:ascii="宋体" w:hAnsi="Courier New" w:hint="eastAsia"/>
      <w:szCs w:val="20"/>
    </w:rPr>
  </w:style>
  <w:style w:type="paragraph" w:customStyle="1" w:styleId="font523908">
    <w:name w:val="font523908"/>
    <w:basedOn w:val="a"/>
    <w:rsid w:val="000D10AE"/>
    <w:pPr>
      <w:widowControl/>
      <w:spacing w:before="100" w:after="100"/>
      <w:jc w:val="left"/>
    </w:pPr>
    <w:rPr>
      <w:rFonts w:ascii="宋体" w:hAnsi="宋体" w:hint="eastAsia"/>
      <w:kern w:val="0"/>
      <w:sz w:val="18"/>
    </w:rPr>
  </w:style>
  <w:style w:type="paragraph" w:customStyle="1" w:styleId="font623908">
    <w:name w:val="font623908"/>
    <w:basedOn w:val="a"/>
    <w:rsid w:val="000D10AE"/>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rsid w:val="000D10AE"/>
    <w:pPr>
      <w:widowControl/>
      <w:spacing w:before="100" w:after="100"/>
      <w:jc w:val="center"/>
    </w:pPr>
    <w:rPr>
      <w:rFonts w:ascii="宋体" w:hAnsi="宋体" w:hint="eastAsia"/>
      <w:kern w:val="0"/>
      <w:sz w:val="24"/>
    </w:rPr>
  </w:style>
  <w:style w:type="paragraph" w:customStyle="1" w:styleId="xl2423908">
    <w:name w:val="xl2423908"/>
    <w:basedOn w:val="a"/>
    <w:rsid w:val="000D10AE"/>
    <w:pPr>
      <w:widowControl/>
      <w:spacing w:before="100" w:after="100"/>
      <w:jc w:val="left"/>
    </w:pPr>
    <w:rPr>
      <w:rFonts w:ascii="宋体" w:hAnsi="宋体" w:hint="eastAsia"/>
      <w:kern w:val="0"/>
      <w:sz w:val="24"/>
    </w:rPr>
  </w:style>
  <w:style w:type="paragraph" w:customStyle="1" w:styleId="xl2723908">
    <w:name w:val="xl2723908"/>
    <w:basedOn w:val="a"/>
    <w:rsid w:val="000D10AE"/>
    <w:pPr>
      <w:widowControl/>
      <w:spacing w:before="100" w:after="100"/>
      <w:jc w:val="left"/>
    </w:pPr>
    <w:rPr>
      <w:rFonts w:ascii="楷体_GB2312" w:eastAsia="楷体_GB2312" w:hAnsi="宋体" w:hint="eastAsia"/>
      <w:kern w:val="0"/>
      <w:sz w:val="24"/>
    </w:rPr>
  </w:style>
  <w:style w:type="paragraph" w:customStyle="1" w:styleId="xl2823908">
    <w:name w:val="xl2823908"/>
    <w:basedOn w:val="a"/>
    <w:rsid w:val="000D10AE"/>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
    <w:next w:val="a"/>
    <w:rsid w:val="000D10AE"/>
    <w:pPr>
      <w:tabs>
        <w:tab w:val="num" w:pos="644"/>
      </w:tabs>
      <w:spacing w:line="360" w:lineRule="auto"/>
      <w:ind w:left="567" w:hanging="283"/>
    </w:pPr>
    <w:rPr>
      <w:szCs w:val="20"/>
    </w:rPr>
  </w:style>
  <w:style w:type="paragraph" w:customStyle="1" w:styleId="20">
    <w:name w:val="列表2"/>
    <w:basedOn w:val="a"/>
    <w:next w:val="ac"/>
    <w:rsid w:val="000D10AE"/>
    <w:pPr>
      <w:numPr>
        <w:numId w:val="2"/>
      </w:numPr>
      <w:spacing w:line="360" w:lineRule="auto"/>
    </w:pPr>
    <w:rPr>
      <w:szCs w:val="20"/>
    </w:rPr>
  </w:style>
  <w:style w:type="paragraph" w:styleId="af2">
    <w:name w:val="Balloon Text"/>
    <w:basedOn w:val="a"/>
    <w:rsid w:val="000D10AE"/>
    <w:rPr>
      <w:sz w:val="18"/>
      <w:szCs w:val="18"/>
    </w:rPr>
  </w:style>
  <w:style w:type="paragraph" w:customStyle="1" w:styleId="33">
    <w:name w:val="列表3"/>
    <w:basedOn w:val="a"/>
    <w:rsid w:val="000D10AE"/>
    <w:pPr>
      <w:spacing w:line="360" w:lineRule="auto"/>
    </w:pPr>
    <w:rPr>
      <w:rFonts w:ascii="宋体" w:hint="eastAsia"/>
      <w:szCs w:val="20"/>
    </w:rPr>
  </w:style>
  <w:style w:type="paragraph" w:customStyle="1" w:styleId="2211">
    <w:name w:val="样式 标题 2 + 首行缩进:  2 字符 段前: 1 行 段后: 1 行"/>
    <w:basedOn w:val="21"/>
    <w:rsid w:val="000D10AE"/>
    <w:pPr>
      <w:tabs>
        <w:tab w:val="num" w:pos="1276"/>
      </w:tabs>
      <w:spacing w:before="100" w:after="100" w:line="240" w:lineRule="auto"/>
      <w:ind w:left="851"/>
    </w:pPr>
    <w:rPr>
      <w:rFonts w:eastAsia="宋体"/>
      <w:bCs w:val="0"/>
      <w:sz w:val="28"/>
      <w:szCs w:val="20"/>
    </w:rPr>
  </w:style>
  <w:style w:type="paragraph" w:styleId="af3">
    <w:name w:val="annotation subject"/>
    <w:basedOn w:val="a8"/>
    <w:next w:val="a8"/>
    <w:rsid w:val="000D10AE"/>
    <w:rPr>
      <w:b/>
      <w:bCs/>
      <w:sz w:val="21"/>
      <w:szCs w:val="24"/>
    </w:rPr>
  </w:style>
  <w:style w:type="paragraph" w:customStyle="1" w:styleId="1">
    <w:name w:val="1"/>
    <w:basedOn w:val="a"/>
    <w:rsid w:val="000D10AE"/>
    <w:pPr>
      <w:numPr>
        <w:numId w:val="3"/>
      </w:numPr>
      <w:spacing w:before="100" w:beforeAutospacing="1" w:after="100" w:afterAutospacing="1" w:line="360" w:lineRule="auto"/>
      <w:ind w:leftChars="200" w:left="0" w:firstLine="0"/>
    </w:pPr>
  </w:style>
  <w:style w:type="paragraph" w:customStyle="1" w:styleId="15">
    <w:name w:val="样式 宋体 四号 行距: 1.5 倍行距"/>
    <w:basedOn w:val="a"/>
    <w:rsid w:val="000D10AE"/>
    <w:pPr>
      <w:spacing w:line="360" w:lineRule="auto"/>
    </w:pPr>
    <w:rPr>
      <w:rFonts w:ascii="宋体" w:hAnsi="宋体" w:hint="eastAsia"/>
      <w:sz w:val="24"/>
      <w:szCs w:val="20"/>
    </w:rPr>
  </w:style>
  <w:style w:type="paragraph" w:customStyle="1" w:styleId="af4">
    <w:name w:val="正文正文"/>
    <w:basedOn w:val="a"/>
    <w:rsid w:val="000D10AE"/>
    <w:pPr>
      <w:spacing w:afterLines="25" w:line="360" w:lineRule="auto"/>
      <w:ind w:firstLineChars="200" w:firstLine="200"/>
    </w:pPr>
    <w:rPr>
      <w:sz w:val="24"/>
    </w:rPr>
  </w:style>
  <w:style w:type="paragraph" w:customStyle="1" w:styleId="unnamed1">
    <w:name w:val="unnamed1"/>
    <w:basedOn w:val="a"/>
    <w:rsid w:val="000D10AE"/>
    <w:pPr>
      <w:widowControl/>
      <w:spacing w:before="60" w:after="60"/>
      <w:ind w:left="15" w:right="15"/>
      <w:jc w:val="left"/>
    </w:pPr>
    <w:rPr>
      <w:rFonts w:ascii="宋体" w:hAnsi="宋体" w:hint="eastAsia"/>
      <w:color w:val="000000"/>
      <w:kern w:val="0"/>
      <w:sz w:val="18"/>
      <w:szCs w:val="18"/>
    </w:rPr>
  </w:style>
  <w:style w:type="paragraph" w:customStyle="1" w:styleId="af5">
    <w:name w:val="第三级标题"/>
    <w:basedOn w:val="af4"/>
    <w:next w:val="af4"/>
    <w:rsid w:val="000D10AE"/>
    <w:pPr>
      <w:keepNext/>
      <w:outlineLvl w:val="2"/>
    </w:pPr>
    <w:rPr>
      <w:b/>
    </w:rPr>
  </w:style>
  <w:style w:type="character" w:customStyle="1" w:styleId="tt11">
    <w:name w:val="tt11"/>
    <w:rsid w:val="000D10AE"/>
    <w:rPr>
      <w:spacing w:val="400"/>
      <w:sz w:val="22"/>
      <w:szCs w:val="22"/>
    </w:rPr>
  </w:style>
  <w:style w:type="character" w:customStyle="1" w:styleId="af6">
    <w:name w:val="a"/>
    <w:basedOn w:val="a0"/>
    <w:rsid w:val="000D10AE"/>
  </w:style>
  <w:style w:type="character" w:customStyle="1" w:styleId="md1">
    <w:name w:val="md1"/>
    <w:rsid w:val="000D10AE"/>
    <w:rPr>
      <w:spacing w:val="360"/>
      <w:sz w:val="25"/>
      <w:szCs w:val="25"/>
    </w:rPr>
  </w:style>
  <w:style w:type="character" w:customStyle="1" w:styleId="style21">
    <w:name w:val="style21"/>
    <w:rsid w:val="000D10AE"/>
    <w:rPr>
      <w:strike w:val="0"/>
      <w:dstrike w:val="0"/>
      <w:color w:val="006699"/>
      <w:spacing w:val="31680"/>
      <w:sz w:val="18"/>
      <w:szCs w:val="18"/>
      <w:u w:val="none"/>
      <w:effect w:val="none"/>
    </w:rPr>
  </w:style>
  <w:style w:type="character" w:customStyle="1" w:styleId="read">
    <w:name w:val="read"/>
    <w:basedOn w:val="a0"/>
    <w:rsid w:val="000D10AE"/>
  </w:style>
  <w:style w:type="character" w:customStyle="1" w:styleId="big1">
    <w:name w:val="big1"/>
    <w:rsid w:val="000D10AE"/>
    <w:rPr>
      <w:spacing w:val="360"/>
      <w:sz w:val="22"/>
      <w:szCs w:val="22"/>
    </w:rPr>
  </w:style>
  <w:style w:type="character" w:styleId="af7">
    <w:name w:val="page number"/>
    <w:basedOn w:val="a0"/>
    <w:rsid w:val="000D10AE"/>
  </w:style>
  <w:style w:type="character" w:styleId="af8">
    <w:name w:val="Strong"/>
    <w:qFormat/>
    <w:rsid w:val="000D10AE"/>
    <w:rPr>
      <w:b/>
      <w:bCs/>
    </w:rPr>
  </w:style>
  <w:style w:type="paragraph" w:customStyle="1" w:styleId="Default">
    <w:name w:val="Default"/>
    <w:rsid w:val="000D10AE"/>
    <w:pPr>
      <w:widowControl w:val="0"/>
      <w:autoSpaceDE w:val="0"/>
      <w:autoSpaceDN w:val="0"/>
      <w:adjustRightInd w:val="0"/>
    </w:pPr>
    <w:rPr>
      <w:rFonts w:ascii="宋体"/>
      <w:color w:val="000000"/>
      <w:sz w:val="24"/>
      <w:szCs w:val="24"/>
    </w:rPr>
  </w:style>
  <w:style w:type="paragraph" w:customStyle="1" w:styleId="CharCharCharChar">
    <w:name w:val="Char Char Char Char"/>
    <w:basedOn w:val="a"/>
    <w:autoRedefine/>
    <w:rsid w:val="000D10AE"/>
    <w:pPr>
      <w:tabs>
        <w:tab w:val="num" w:pos="360"/>
      </w:tabs>
    </w:pPr>
    <w:rPr>
      <w:sz w:val="24"/>
    </w:rPr>
  </w:style>
  <w:style w:type="character" w:customStyle="1" w:styleId="f221">
    <w:name w:val="f221"/>
    <w:rsid w:val="000D10AE"/>
    <w:rPr>
      <w:rFonts w:ascii="ˎ̥" w:hAnsi="ˎ̥" w:hint="default"/>
      <w:b/>
      <w:bCs/>
      <w:color w:val="07519A"/>
      <w:sz w:val="33"/>
      <w:szCs w:val="33"/>
    </w:rPr>
  </w:style>
  <w:style w:type="paragraph" w:customStyle="1" w:styleId="ParaChar">
    <w:name w:val="默认段落字体 Para Char"/>
    <w:basedOn w:val="a"/>
    <w:autoRedefine/>
    <w:rsid w:val="000D10AE"/>
    <w:pPr>
      <w:tabs>
        <w:tab w:val="num" w:pos="870"/>
      </w:tabs>
      <w:ind w:left="870" w:hanging="870"/>
    </w:pPr>
    <w:rPr>
      <w:sz w:val="24"/>
    </w:rPr>
  </w:style>
  <w:style w:type="character" w:customStyle="1" w:styleId="hangju">
    <w:name w:val="hangju"/>
    <w:basedOn w:val="a0"/>
    <w:rsid w:val="000D10AE"/>
  </w:style>
  <w:style w:type="paragraph" w:styleId="af9">
    <w:name w:val="Body Text First Indent"/>
    <w:basedOn w:val="ad"/>
    <w:rsid w:val="000D10AE"/>
    <w:pPr>
      <w:spacing w:after="120" w:line="240" w:lineRule="auto"/>
      <w:ind w:firstLineChars="100" w:firstLine="420"/>
    </w:pPr>
    <w:rPr>
      <w:sz w:val="21"/>
    </w:rPr>
  </w:style>
  <w:style w:type="paragraph" w:customStyle="1" w:styleId="2">
    <w:name w:val="编号正文2"/>
    <w:basedOn w:val="a"/>
    <w:rsid w:val="000D10AE"/>
    <w:pPr>
      <w:numPr>
        <w:numId w:val="9"/>
      </w:numPr>
      <w:autoSpaceDE w:val="0"/>
      <w:autoSpaceDN w:val="0"/>
      <w:adjustRightInd w:val="0"/>
      <w:spacing w:after="120" w:line="300" w:lineRule="auto"/>
    </w:pPr>
    <w:rPr>
      <w:rFonts w:ascii="宋体"/>
      <w:kern w:val="0"/>
      <w:szCs w:val="20"/>
    </w:rPr>
  </w:style>
  <w:style w:type="paragraph" w:customStyle="1" w:styleId="Char">
    <w:name w:val="Char"/>
    <w:basedOn w:val="a"/>
    <w:rsid w:val="000D10AE"/>
  </w:style>
  <w:style w:type="character" w:customStyle="1" w:styleId="unnamed11">
    <w:name w:val="unnamed11"/>
    <w:rsid w:val="000D10AE"/>
    <w:rPr>
      <w:rFonts w:ascii="宋体" w:eastAsia="宋体" w:hAnsi="宋体" w:hint="eastAsia"/>
      <w:sz w:val="18"/>
      <w:szCs w:val="18"/>
    </w:rPr>
  </w:style>
  <w:style w:type="character" w:customStyle="1" w:styleId="heigh1801">
    <w:name w:val="heigh1801"/>
    <w:basedOn w:val="a0"/>
    <w:rsid w:val="000D10AE"/>
  </w:style>
  <w:style w:type="paragraph" w:customStyle="1" w:styleId="2H2Heading2HiddenHeading2CCBS">
    <w:name w:val="样式 标题 2H2Heading 2 HiddenHeading 2 CCBS + (西文) 宋体"/>
    <w:basedOn w:val="21"/>
    <w:rsid w:val="000D10AE"/>
    <w:rPr>
      <w:rFonts w:ascii="宋体" w:hAnsi="宋体"/>
    </w:rPr>
  </w:style>
  <w:style w:type="paragraph" w:customStyle="1" w:styleId="CharCharChar1">
    <w:name w:val="Char Char Char1"/>
    <w:basedOn w:val="a"/>
    <w:rsid w:val="000D10AE"/>
  </w:style>
  <w:style w:type="paragraph" w:customStyle="1" w:styleId="CharCharCharCharChar1Char">
    <w:name w:val="Char Char Char Char Char1 Char"/>
    <w:basedOn w:val="a"/>
    <w:rsid w:val="000D10AE"/>
  </w:style>
  <w:style w:type="paragraph" w:customStyle="1" w:styleId="wz1">
    <w:name w:val="wz1"/>
    <w:basedOn w:val="a"/>
    <w:rsid w:val="000D10A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CharChar">
    <w:name w:val="Char Char Char"/>
    <w:basedOn w:val="a"/>
    <w:rsid w:val="000D10AE"/>
  </w:style>
  <w:style w:type="paragraph" w:customStyle="1" w:styleId="25">
    <w:name w:val="2"/>
    <w:basedOn w:val="a"/>
    <w:next w:val="32"/>
    <w:rsid w:val="000D10AE"/>
    <w:pPr>
      <w:adjustRightInd w:val="0"/>
      <w:snapToGrid w:val="0"/>
      <w:ind w:firstLineChars="200" w:firstLine="480"/>
    </w:pPr>
    <w:rPr>
      <w:rFonts w:ascii="仿宋_GB2312" w:eastAsia="仿宋_GB2312" w:hAnsi="宋体" w:cs="Arial"/>
      <w:color w:val="000000"/>
      <w:sz w:val="24"/>
    </w:rPr>
  </w:style>
  <w:style w:type="paragraph" w:customStyle="1" w:styleId="Char0">
    <w:name w:val="Char"/>
    <w:basedOn w:val="a"/>
    <w:rsid w:val="000D10AE"/>
  </w:style>
  <w:style w:type="paragraph" w:customStyle="1" w:styleId="Char20">
    <w:name w:val="Char2"/>
    <w:basedOn w:val="a"/>
    <w:rsid w:val="000D10AE"/>
  </w:style>
  <w:style w:type="paragraph" w:customStyle="1" w:styleId="CharCharCharCharCharCharChar">
    <w:name w:val="Char Char Char Char Char Char Char"/>
    <w:basedOn w:val="a"/>
    <w:rsid w:val="000D10AE"/>
  </w:style>
  <w:style w:type="paragraph" w:customStyle="1" w:styleId="c">
    <w:name w:val="c_"/>
    <w:rsid w:val="000D10AE"/>
    <w:pPr>
      <w:widowControl w:val="0"/>
      <w:autoSpaceDE w:val="0"/>
      <w:autoSpaceDN w:val="0"/>
      <w:adjustRightInd w:val="0"/>
      <w:jc w:val="both"/>
    </w:pPr>
    <w:rPr>
      <w:rFonts w:ascii="五" w:eastAsia="五"/>
      <w:sz w:val="24"/>
    </w:rPr>
  </w:style>
  <w:style w:type="paragraph" w:customStyle="1" w:styleId="CharCharCharCharCharChar1CharCharChar">
    <w:name w:val="Char Char Char Char Char Char1 Char Char Char"/>
    <w:basedOn w:val="a"/>
    <w:rsid w:val="000D10AE"/>
    <w:pPr>
      <w:autoSpaceDE w:val="0"/>
      <w:autoSpaceDN w:val="0"/>
      <w:adjustRightInd w:val="0"/>
      <w:jc w:val="left"/>
      <w:textAlignment w:val="baseline"/>
    </w:pPr>
    <w:rPr>
      <w:rFonts w:ascii="宋体"/>
      <w:kern w:val="0"/>
      <w:sz w:val="34"/>
      <w:szCs w:val="20"/>
    </w:rPr>
  </w:style>
  <w:style w:type="paragraph" w:customStyle="1" w:styleId="Char1">
    <w:name w:val="Char1"/>
    <w:basedOn w:val="a"/>
    <w:autoRedefine/>
    <w:rsid w:val="000D10AE"/>
    <w:pPr>
      <w:tabs>
        <w:tab w:val="num" w:pos="832"/>
      </w:tabs>
      <w:ind w:left="832" w:hanging="420"/>
      <w:jc w:val="center"/>
    </w:pPr>
    <w:rPr>
      <w:rFonts w:ascii="楷体_GB2312" w:eastAsia="楷体_GB2312"/>
      <w:b/>
      <w:color w:val="000080"/>
      <w:sz w:val="30"/>
      <w:szCs w:val="30"/>
    </w:rPr>
  </w:style>
  <w:style w:type="paragraph" w:customStyle="1" w:styleId="Char1CharCharChar">
    <w:name w:val="Char1 Char Char Char"/>
    <w:basedOn w:val="a"/>
    <w:rsid w:val="00263BA2"/>
  </w:style>
  <w:style w:type="paragraph" w:styleId="afa">
    <w:name w:val="Revision"/>
    <w:hidden/>
    <w:uiPriority w:val="99"/>
    <w:semiHidden/>
    <w:rsid w:val="00554A31"/>
    <w:rPr>
      <w:kern w:val="2"/>
      <w:sz w:val="21"/>
      <w:szCs w:val="24"/>
    </w:rPr>
  </w:style>
  <w:style w:type="character" w:styleId="afb">
    <w:name w:val="annotation reference"/>
    <w:basedOn w:val="a0"/>
    <w:rsid w:val="00670ED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A4DE-91D0-4CF3-A952-E5D64483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3982</Words>
  <Characters>22701</Characters>
  <DocSecurity>0</DocSecurity>
  <Lines>189</Lines>
  <Paragraphs>53</Paragraphs>
  <ScaleCrop>false</ScaleCrop>
  <LinksUpToDate>false</LinksUpToDate>
  <CharactersWithSpaces>26630</CharactersWithSpaces>
  <SharedDoc>false</SharedDoc>
  <HLinks>
    <vt:vector size="126" baseType="variant">
      <vt:variant>
        <vt:i4>1310769</vt:i4>
      </vt:variant>
      <vt:variant>
        <vt:i4>122</vt:i4>
      </vt:variant>
      <vt:variant>
        <vt:i4>0</vt:i4>
      </vt:variant>
      <vt:variant>
        <vt:i4>5</vt:i4>
      </vt:variant>
      <vt:variant>
        <vt:lpwstr/>
      </vt:variant>
      <vt:variant>
        <vt:lpwstr>_Toc250711203</vt:lpwstr>
      </vt:variant>
      <vt:variant>
        <vt:i4>1310769</vt:i4>
      </vt:variant>
      <vt:variant>
        <vt:i4>116</vt:i4>
      </vt:variant>
      <vt:variant>
        <vt:i4>0</vt:i4>
      </vt:variant>
      <vt:variant>
        <vt:i4>5</vt:i4>
      </vt:variant>
      <vt:variant>
        <vt:lpwstr/>
      </vt:variant>
      <vt:variant>
        <vt:lpwstr>_Toc250711202</vt:lpwstr>
      </vt:variant>
      <vt:variant>
        <vt:i4>1310769</vt:i4>
      </vt:variant>
      <vt:variant>
        <vt:i4>110</vt:i4>
      </vt:variant>
      <vt:variant>
        <vt:i4>0</vt:i4>
      </vt:variant>
      <vt:variant>
        <vt:i4>5</vt:i4>
      </vt:variant>
      <vt:variant>
        <vt:lpwstr/>
      </vt:variant>
      <vt:variant>
        <vt:lpwstr>_Toc250711201</vt:lpwstr>
      </vt:variant>
      <vt:variant>
        <vt:i4>1310769</vt:i4>
      </vt:variant>
      <vt:variant>
        <vt:i4>104</vt:i4>
      </vt:variant>
      <vt:variant>
        <vt:i4>0</vt:i4>
      </vt:variant>
      <vt:variant>
        <vt:i4>5</vt:i4>
      </vt:variant>
      <vt:variant>
        <vt:lpwstr/>
      </vt:variant>
      <vt:variant>
        <vt:lpwstr>_Toc250711200</vt:lpwstr>
      </vt:variant>
      <vt:variant>
        <vt:i4>1900594</vt:i4>
      </vt:variant>
      <vt:variant>
        <vt:i4>98</vt:i4>
      </vt:variant>
      <vt:variant>
        <vt:i4>0</vt:i4>
      </vt:variant>
      <vt:variant>
        <vt:i4>5</vt:i4>
      </vt:variant>
      <vt:variant>
        <vt:lpwstr/>
      </vt:variant>
      <vt:variant>
        <vt:lpwstr>_Toc250711199</vt:lpwstr>
      </vt:variant>
      <vt:variant>
        <vt:i4>1900594</vt:i4>
      </vt:variant>
      <vt:variant>
        <vt:i4>92</vt:i4>
      </vt:variant>
      <vt:variant>
        <vt:i4>0</vt:i4>
      </vt:variant>
      <vt:variant>
        <vt:i4>5</vt:i4>
      </vt:variant>
      <vt:variant>
        <vt:lpwstr/>
      </vt:variant>
      <vt:variant>
        <vt:lpwstr>_Toc250711198</vt:lpwstr>
      </vt:variant>
      <vt:variant>
        <vt:i4>1900594</vt:i4>
      </vt:variant>
      <vt:variant>
        <vt:i4>86</vt:i4>
      </vt:variant>
      <vt:variant>
        <vt:i4>0</vt:i4>
      </vt:variant>
      <vt:variant>
        <vt:i4>5</vt:i4>
      </vt:variant>
      <vt:variant>
        <vt:lpwstr/>
      </vt:variant>
      <vt:variant>
        <vt:lpwstr>_Toc250711197</vt:lpwstr>
      </vt:variant>
      <vt:variant>
        <vt:i4>1900594</vt:i4>
      </vt:variant>
      <vt:variant>
        <vt:i4>80</vt:i4>
      </vt:variant>
      <vt:variant>
        <vt:i4>0</vt:i4>
      </vt:variant>
      <vt:variant>
        <vt:i4>5</vt:i4>
      </vt:variant>
      <vt:variant>
        <vt:lpwstr/>
      </vt:variant>
      <vt:variant>
        <vt:lpwstr>_Toc250711196</vt:lpwstr>
      </vt:variant>
      <vt:variant>
        <vt:i4>1900594</vt:i4>
      </vt:variant>
      <vt:variant>
        <vt:i4>74</vt:i4>
      </vt:variant>
      <vt:variant>
        <vt:i4>0</vt:i4>
      </vt:variant>
      <vt:variant>
        <vt:i4>5</vt:i4>
      </vt:variant>
      <vt:variant>
        <vt:lpwstr/>
      </vt:variant>
      <vt:variant>
        <vt:lpwstr>_Toc250711195</vt:lpwstr>
      </vt:variant>
      <vt:variant>
        <vt:i4>1900594</vt:i4>
      </vt:variant>
      <vt:variant>
        <vt:i4>68</vt:i4>
      </vt:variant>
      <vt:variant>
        <vt:i4>0</vt:i4>
      </vt:variant>
      <vt:variant>
        <vt:i4>5</vt:i4>
      </vt:variant>
      <vt:variant>
        <vt:lpwstr/>
      </vt:variant>
      <vt:variant>
        <vt:lpwstr>_Toc250711194</vt:lpwstr>
      </vt:variant>
      <vt:variant>
        <vt:i4>1900594</vt:i4>
      </vt:variant>
      <vt:variant>
        <vt:i4>62</vt:i4>
      </vt:variant>
      <vt:variant>
        <vt:i4>0</vt:i4>
      </vt:variant>
      <vt:variant>
        <vt:i4>5</vt:i4>
      </vt:variant>
      <vt:variant>
        <vt:lpwstr/>
      </vt:variant>
      <vt:variant>
        <vt:lpwstr>_Toc250711193</vt:lpwstr>
      </vt:variant>
      <vt:variant>
        <vt:i4>1900594</vt:i4>
      </vt:variant>
      <vt:variant>
        <vt:i4>56</vt:i4>
      </vt:variant>
      <vt:variant>
        <vt:i4>0</vt:i4>
      </vt:variant>
      <vt:variant>
        <vt:i4>5</vt:i4>
      </vt:variant>
      <vt:variant>
        <vt:lpwstr/>
      </vt:variant>
      <vt:variant>
        <vt:lpwstr>_Toc250711192</vt:lpwstr>
      </vt:variant>
      <vt:variant>
        <vt:i4>1900594</vt:i4>
      </vt:variant>
      <vt:variant>
        <vt:i4>50</vt:i4>
      </vt:variant>
      <vt:variant>
        <vt:i4>0</vt:i4>
      </vt:variant>
      <vt:variant>
        <vt:i4>5</vt:i4>
      </vt:variant>
      <vt:variant>
        <vt:lpwstr/>
      </vt:variant>
      <vt:variant>
        <vt:lpwstr>_Toc250711191</vt:lpwstr>
      </vt:variant>
      <vt:variant>
        <vt:i4>1900594</vt:i4>
      </vt:variant>
      <vt:variant>
        <vt:i4>44</vt:i4>
      </vt:variant>
      <vt:variant>
        <vt:i4>0</vt:i4>
      </vt:variant>
      <vt:variant>
        <vt:i4>5</vt:i4>
      </vt:variant>
      <vt:variant>
        <vt:lpwstr/>
      </vt:variant>
      <vt:variant>
        <vt:lpwstr>_Toc250711190</vt:lpwstr>
      </vt:variant>
      <vt:variant>
        <vt:i4>1835058</vt:i4>
      </vt:variant>
      <vt:variant>
        <vt:i4>38</vt:i4>
      </vt:variant>
      <vt:variant>
        <vt:i4>0</vt:i4>
      </vt:variant>
      <vt:variant>
        <vt:i4>5</vt:i4>
      </vt:variant>
      <vt:variant>
        <vt:lpwstr/>
      </vt:variant>
      <vt:variant>
        <vt:lpwstr>_Toc250711189</vt:lpwstr>
      </vt:variant>
      <vt:variant>
        <vt:i4>1835058</vt:i4>
      </vt:variant>
      <vt:variant>
        <vt:i4>32</vt:i4>
      </vt:variant>
      <vt:variant>
        <vt:i4>0</vt:i4>
      </vt:variant>
      <vt:variant>
        <vt:i4>5</vt:i4>
      </vt:variant>
      <vt:variant>
        <vt:lpwstr/>
      </vt:variant>
      <vt:variant>
        <vt:lpwstr>_Toc250711188</vt:lpwstr>
      </vt:variant>
      <vt:variant>
        <vt:i4>1835058</vt:i4>
      </vt:variant>
      <vt:variant>
        <vt:i4>26</vt:i4>
      </vt:variant>
      <vt:variant>
        <vt:i4>0</vt:i4>
      </vt:variant>
      <vt:variant>
        <vt:i4>5</vt:i4>
      </vt:variant>
      <vt:variant>
        <vt:lpwstr/>
      </vt:variant>
      <vt:variant>
        <vt:lpwstr>_Toc250711187</vt:lpwstr>
      </vt:variant>
      <vt:variant>
        <vt:i4>1835058</vt:i4>
      </vt:variant>
      <vt:variant>
        <vt:i4>20</vt:i4>
      </vt:variant>
      <vt:variant>
        <vt:i4>0</vt:i4>
      </vt:variant>
      <vt:variant>
        <vt:i4>5</vt:i4>
      </vt:variant>
      <vt:variant>
        <vt:lpwstr/>
      </vt:variant>
      <vt:variant>
        <vt:lpwstr>_Toc250711186</vt:lpwstr>
      </vt:variant>
      <vt:variant>
        <vt:i4>1835058</vt:i4>
      </vt:variant>
      <vt:variant>
        <vt:i4>14</vt:i4>
      </vt:variant>
      <vt:variant>
        <vt:i4>0</vt:i4>
      </vt:variant>
      <vt:variant>
        <vt:i4>5</vt:i4>
      </vt:variant>
      <vt:variant>
        <vt:lpwstr/>
      </vt:variant>
      <vt:variant>
        <vt:lpwstr>_Toc250711185</vt:lpwstr>
      </vt:variant>
      <vt:variant>
        <vt:i4>1835058</vt:i4>
      </vt:variant>
      <vt:variant>
        <vt:i4>8</vt:i4>
      </vt:variant>
      <vt:variant>
        <vt:i4>0</vt:i4>
      </vt:variant>
      <vt:variant>
        <vt:i4>5</vt:i4>
      </vt:variant>
      <vt:variant>
        <vt:lpwstr/>
      </vt:variant>
      <vt:variant>
        <vt:lpwstr>_Toc250711184</vt:lpwstr>
      </vt:variant>
      <vt:variant>
        <vt:i4>1835058</vt:i4>
      </vt:variant>
      <vt:variant>
        <vt:i4>2</vt:i4>
      </vt:variant>
      <vt:variant>
        <vt:i4>0</vt:i4>
      </vt:variant>
      <vt:variant>
        <vt:i4>5</vt:i4>
      </vt:variant>
      <vt:variant>
        <vt:lpwstr/>
      </vt:variant>
      <vt:variant>
        <vt:lpwstr>_Toc250711183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2010-02-04T11:17:00Z</cp:lastPrinted>
  <dcterms:created xsi:type="dcterms:W3CDTF">2024-01-18T02:07:00Z</dcterms:created>
  <dcterms:modified xsi:type="dcterms:W3CDTF">2024-03-25T03:18:00Z</dcterms:modified>
</cp:coreProperties>
</file>