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BF16D" w14:textId="77777777" w:rsidR="00F47A54" w:rsidRDefault="00F47A54" w:rsidP="00F47A54">
      <w:pPr>
        <w:widowControl/>
        <w:autoSpaceDE w:val="0"/>
        <w:autoSpaceDN w:val="0"/>
        <w:spacing w:line="360" w:lineRule="auto"/>
        <w:jc w:val="center"/>
        <w:textAlignment w:val="bottom"/>
        <w:rPr>
          <w:b/>
          <w:sz w:val="44"/>
        </w:rPr>
      </w:pPr>
    </w:p>
    <w:p w14:paraId="7949867C" w14:textId="77777777" w:rsidR="00F47A54" w:rsidRDefault="00F47A54" w:rsidP="00F47A54">
      <w:pPr>
        <w:widowControl/>
        <w:autoSpaceDE w:val="0"/>
        <w:autoSpaceDN w:val="0"/>
        <w:spacing w:line="360" w:lineRule="auto"/>
        <w:jc w:val="center"/>
        <w:textAlignment w:val="bottom"/>
        <w:rPr>
          <w:b/>
          <w:sz w:val="44"/>
        </w:rPr>
      </w:pPr>
    </w:p>
    <w:p w14:paraId="14B9437A" w14:textId="77777777" w:rsidR="00F47A54" w:rsidRDefault="00F47A54" w:rsidP="00F47A54">
      <w:pPr>
        <w:widowControl/>
        <w:autoSpaceDE w:val="0"/>
        <w:autoSpaceDN w:val="0"/>
        <w:spacing w:line="360" w:lineRule="auto"/>
        <w:jc w:val="center"/>
        <w:textAlignment w:val="bottom"/>
        <w:rPr>
          <w:b/>
          <w:sz w:val="44"/>
        </w:rPr>
      </w:pPr>
    </w:p>
    <w:p w14:paraId="225E5FB0" w14:textId="77777777" w:rsidR="00F47A54" w:rsidRDefault="00F47A54" w:rsidP="00F47A54">
      <w:pPr>
        <w:widowControl/>
        <w:autoSpaceDE w:val="0"/>
        <w:autoSpaceDN w:val="0"/>
        <w:spacing w:line="360" w:lineRule="auto"/>
        <w:jc w:val="center"/>
        <w:textAlignment w:val="bottom"/>
        <w:rPr>
          <w:b/>
          <w:sz w:val="44"/>
        </w:rPr>
      </w:pPr>
    </w:p>
    <w:p w14:paraId="1989978A" w14:textId="77777777" w:rsidR="00F47A54" w:rsidRDefault="00F47A54" w:rsidP="00F47A54">
      <w:pPr>
        <w:widowControl/>
        <w:autoSpaceDE w:val="0"/>
        <w:autoSpaceDN w:val="0"/>
        <w:spacing w:line="360" w:lineRule="auto"/>
        <w:jc w:val="center"/>
        <w:textAlignment w:val="bottom"/>
        <w:rPr>
          <w:b/>
          <w:sz w:val="44"/>
        </w:rPr>
      </w:pPr>
    </w:p>
    <w:p w14:paraId="4E87503D" w14:textId="77777777" w:rsidR="00F47A54" w:rsidRDefault="00F47A54" w:rsidP="00F47A54">
      <w:bookmarkStart w:id="0" w:name="_Toc10554386"/>
      <w:bookmarkStart w:id="1" w:name="_Toc10604959"/>
      <w:bookmarkStart w:id="2" w:name="_Toc15987771"/>
      <w:bookmarkStart w:id="3" w:name="_Toc174790098"/>
    </w:p>
    <w:p w14:paraId="381E1C76" w14:textId="77777777" w:rsidR="00F47A54" w:rsidRDefault="00F47A54" w:rsidP="00F47A54">
      <w:pPr>
        <w:pStyle w:val="af0"/>
        <w:jc w:val="center"/>
        <w:rPr>
          <w:b/>
          <w:sz w:val="44"/>
          <w:szCs w:val="44"/>
        </w:rPr>
      </w:pPr>
      <w:r w:rsidRPr="00F47A54">
        <w:rPr>
          <w:rFonts w:hint="eastAsia"/>
          <w:b/>
          <w:sz w:val="44"/>
          <w:szCs w:val="44"/>
        </w:rPr>
        <w:t>南方全球精选配置证券投资基金</w:t>
      </w:r>
    </w:p>
    <w:p w14:paraId="7636AEB5" w14:textId="77777777" w:rsidR="00F47A54" w:rsidRPr="00F47A54" w:rsidRDefault="00F47A54" w:rsidP="00F47A54">
      <w:pPr>
        <w:pStyle w:val="af0"/>
        <w:jc w:val="center"/>
        <w:rPr>
          <w:b/>
          <w:sz w:val="44"/>
          <w:szCs w:val="44"/>
        </w:rPr>
      </w:pPr>
      <w:r w:rsidRPr="00F47A54">
        <w:rPr>
          <w:rFonts w:hint="eastAsia"/>
          <w:b/>
          <w:sz w:val="44"/>
          <w:szCs w:val="44"/>
        </w:rPr>
        <w:t>托管协议</w:t>
      </w:r>
      <w:bookmarkEnd w:id="0"/>
      <w:bookmarkEnd w:id="1"/>
      <w:bookmarkEnd w:id="2"/>
      <w:r w:rsidRPr="00F47A54">
        <w:rPr>
          <w:b/>
          <w:sz w:val="44"/>
          <w:szCs w:val="44"/>
        </w:rPr>
        <w:br/>
      </w:r>
      <w:bookmarkEnd w:id="3"/>
    </w:p>
    <w:p w14:paraId="2AD95FC6" w14:textId="77777777" w:rsidR="00F47A54" w:rsidRDefault="00F47A54" w:rsidP="00F47A54">
      <w:pPr>
        <w:widowControl/>
        <w:autoSpaceDE w:val="0"/>
        <w:autoSpaceDN w:val="0"/>
        <w:spacing w:after="120" w:line="500" w:lineRule="atLeast"/>
        <w:ind w:firstLine="624"/>
        <w:jc w:val="center"/>
        <w:textAlignment w:val="bottom"/>
        <w:rPr>
          <w:b/>
          <w:sz w:val="28"/>
        </w:rPr>
      </w:pPr>
    </w:p>
    <w:p w14:paraId="703BF8E2" w14:textId="77777777" w:rsidR="00F47A54" w:rsidRDefault="00F47A54" w:rsidP="00F47A54">
      <w:pPr>
        <w:widowControl/>
        <w:autoSpaceDE w:val="0"/>
        <w:autoSpaceDN w:val="0"/>
        <w:spacing w:after="120" w:line="500" w:lineRule="atLeast"/>
        <w:ind w:firstLine="624"/>
        <w:jc w:val="center"/>
        <w:textAlignment w:val="bottom"/>
        <w:rPr>
          <w:b/>
          <w:sz w:val="28"/>
        </w:rPr>
      </w:pPr>
    </w:p>
    <w:p w14:paraId="47C7DAA8" w14:textId="77777777" w:rsidR="00F47A54" w:rsidRDefault="00F47A54" w:rsidP="00F47A54">
      <w:pPr>
        <w:widowControl/>
        <w:autoSpaceDE w:val="0"/>
        <w:autoSpaceDN w:val="0"/>
        <w:spacing w:after="120" w:line="500" w:lineRule="atLeast"/>
        <w:ind w:firstLine="624"/>
        <w:jc w:val="center"/>
        <w:textAlignment w:val="bottom"/>
        <w:rPr>
          <w:b/>
          <w:sz w:val="28"/>
        </w:rPr>
      </w:pPr>
    </w:p>
    <w:p w14:paraId="591C2FE1" w14:textId="77777777" w:rsidR="00F47A54" w:rsidRDefault="00F47A54" w:rsidP="00F47A54">
      <w:pPr>
        <w:widowControl/>
        <w:autoSpaceDE w:val="0"/>
        <w:autoSpaceDN w:val="0"/>
        <w:spacing w:after="120" w:line="500" w:lineRule="atLeast"/>
        <w:ind w:firstLine="624"/>
        <w:jc w:val="center"/>
        <w:textAlignment w:val="bottom"/>
        <w:rPr>
          <w:b/>
          <w:sz w:val="28"/>
        </w:rPr>
      </w:pPr>
      <w:bookmarkStart w:id="4" w:name="_GoBack"/>
      <w:bookmarkEnd w:id="4"/>
    </w:p>
    <w:p w14:paraId="2965A434" w14:textId="77777777" w:rsidR="00F47A54" w:rsidRPr="00F47A54" w:rsidRDefault="00F47A54" w:rsidP="00F47A54">
      <w:pPr>
        <w:tabs>
          <w:tab w:val="num" w:pos="961"/>
        </w:tabs>
        <w:snapToGrid w:val="0"/>
        <w:spacing w:line="360" w:lineRule="auto"/>
        <w:ind w:firstLineChars="200" w:firstLine="640"/>
        <w:jc w:val="center"/>
        <w:rPr>
          <w:bCs/>
          <w:sz w:val="32"/>
          <w:szCs w:val="32"/>
        </w:rPr>
      </w:pPr>
      <w:r w:rsidRPr="00F47A54">
        <w:rPr>
          <w:rFonts w:hint="eastAsia"/>
          <w:bCs/>
          <w:sz w:val="32"/>
          <w:szCs w:val="32"/>
        </w:rPr>
        <w:t>基金管理人：</w:t>
      </w:r>
      <w:r w:rsidR="006118A2">
        <w:rPr>
          <w:rFonts w:hint="eastAsia"/>
          <w:bCs/>
          <w:sz w:val="32"/>
          <w:szCs w:val="32"/>
        </w:rPr>
        <w:t>南方基金管理股份有限公司</w:t>
      </w:r>
    </w:p>
    <w:p w14:paraId="3B593416" w14:textId="77777777" w:rsidR="00F47A54" w:rsidRDefault="00F47A54" w:rsidP="00F47A54">
      <w:pPr>
        <w:tabs>
          <w:tab w:val="num" w:pos="961"/>
        </w:tabs>
        <w:snapToGrid w:val="0"/>
        <w:spacing w:line="360" w:lineRule="auto"/>
        <w:ind w:firstLineChars="200" w:firstLine="640"/>
        <w:jc w:val="center"/>
        <w:rPr>
          <w:bCs/>
          <w:sz w:val="32"/>
          <w:szCs w:val="32"/>
        </w:rPr>
      </w:pPr>
      <w:r w:rsidRPr="00F47A54">
        <w:rPr>
          <w:rFonts w:hint="eastAsia"/>
          <w:bCs/>
          <w:sz w:val="32"/>
          <w:szCs w:val="32"/>
        </w:rPr>
        <w:t>基金托管人：中国工商银行股份有限公司</w:t>
      </w:r>
    </w:p>
    <w:p w14:paraId="682FF79F" w14:textId="77777777" w:rsidR="00C14735" w:rsidRDefault="00C14735" w:rsidP="00F47A54">
      <w:pPr>
        <w:tabs>
          <w:tab w:val="num" w:pos="961"/>
        </w:tabs>
        <w:snapToGrid w:val="0"/>
        <w:spacing w:line="360" w:lineRule="auto"/>
        <w:ind w:firstLineChars="200" w:firstLine="640"/>
        <w:jc w:val="center"/>
        <w:rPr>
          <w:bCs/>
          <w:sz w:val="32"/>
          <w:szCs w:val="32"/>
        </w:rPr>
      </w:pPr>
    </w:p>
    <w:p w14:paraId="133B817B" w14:textId="77777777" w:rsidR="003328E6" w:rsidRDefault="003328E6" w:rsidP="00F47A54">
      <w:pPr>
        <w:tabs>
          <w:tab w:val="num" w:pos="961"/>
        </w:tabs>
        <w:snapToGrid w:val="0"/>
        <w:spacing w:line="360" w:lineRule="auto"/>
        <w:ind w:firstLineChars="200" w:firstLine="640"/>
        <w:jc w:val="center"/>
        <w:rPr>
          <w:bCs/>
          <w:sz w:val="32"/>
          <w:szCs w:val="32"/>
        </w:rPr>
      </w:pPr>
    </w:p>
    <w:p w14:paraId="6CE302AE" w14:textId="4EFAA829" w:rsidR="00C14735" w:rsidRPr="00F47A54" w:rsidRDefault="007F7DBE" w:rsidP="00F47A54">
      <w:pPr>
        <w:tabs>
          <w:tab w:val="num" w:pos="961"/>
        </w:tabs>
        <w:snapToGrid w:val="0"/>
        <w:spacing w:line="360" w:lineRule="auto"/>
        <w:ind w:firstLineChars="200" w:firstLine="640"/>
        <w:jc w:val="center"/>
        <w:rPr>
          <w:bCs/>
          <w:sz w:val="32"/>
          <w:szCs w:val="32"/>
        </w:rPr>
      </w:pPr>
      <w:r w:rsidRPr="007F7DBE">
        <w:rPr>
          <w:rFonts w:hint="eastAsia"/>
          <w:bCs/>
          <w:sz w:val="32"/>
          <w:szCs w:val="32"/>
        </w:rPr>
        <w:t>2024</w:t>
      </w:r>
      <w:r w:rsidRPr="007F7DBE">
        <w:rPr>
          <w:rFonts w:hint="eastAsia"/>
          <w:bCs/>
          <w:sz w:val="32"/>
          <w:szCs w:val="32"/>
        </w:rPr>
        <w:t>年</w:t>
      </w:r>
      <w:r w:rsidR="00A50108">
        <w:rPr>
          <w:bCs/>
          <w:sz w:val="32"/>
          <w:szCs w:val="32"/>
        </w:rPr>
        <w:t>4</w:t>
      </w:r>
      <w:r w:rsidRPr="007F7DBE">
        <w:rPr>
          <w:rFonts w:hint="eastAsia"/>
          <w:bCs/>
          <w:sz w:val="32"/>
          <w:szCs w:val="32"/>
        </w:rPr>
        <w:t>月</w:t>
      </w:r>
    </w:p>
    <w:p w14:paraId="5BEAB37D" w14:textId="77777777" w:rsidR="00F47A54" w:rsidRDefault="00F47A54" w:rsidP="00F47A54">
      <w:pPr>
        <w:spacing w:line="400" w:lineRule="atLeast"/>
        <w:rPr>
          <w:b/>
          <w:sz w:val="32"/>
          <w:szCs w:val="32"/>
        </w:rPr>
      </w:pPr>
      <w:r>
        <w:br w:type="page"/>
      </w:r>
    </w:p>
    <w:p w14:paraId="55F49A00" w14:textId="77777777" w:rsidR="00F47A54" w:rsidRDefault="00F47A54" w:rsidP="00F47A54">
      <w:pPr>
        <w:spacing w:line="400" w:lineRule="atLeast"/>
        <w:jc w:val="center"/>
        <w:rPr>
          <w:b/>
          <w:sz w:val="36"/>
          <w:szCs w:val="36"/>
        </w:rPr>
      </w:pPr>
      <w:r w:rsidRPr="00F47A54">
        <w:rPr>
          <w:rFonts w:hint="eastAsia"/>
          <w:b/>
          <w:sz w:val="36"/>
          <w:szCs w:val="36"/>
        </w:rPr>
        <w:lastRenderedPageBreak/>
        <w:t>目录</w:t>
      </w:r>
    </w:p>
    <w:p w14:paraId="23C4D8CE" w14:textId="77777777" w:rsidR="00F47A54" w:rsidRPr="00F47A54" w:rsidRDefault="00F47A54" w:rsidP="00F47A54">
      <w:pPr>
        <w:spacing w:line="400" w:lineRule="atLeast"/>
        <w:jc w:val="center"/>
        <w:rPr>
          <w:b/>
          <w:sz w:val="36"/>
          <w:szCs w:val="36"/>
        </w:rPr>
      </w:pPr>
    </w:p>
    <w:p w14:paraId="51BE1267" w14:textId="6941364E" w:rsidR="00F47A54" w:rsidRPr="00F47A54" w:rsidRDefault="00F47A54" w:rsidP="00F47A54">
      <w:pPr>
        <w:pStyle w:val="21"/>
        <w:tabs>
          <w:tab w:val="left" w:pos="630"/>
          <w:tab w:val="right" w:leader="dot" w:pos="8296"/>
        </w:tabs>
        <w:snapToGrid w:val="0"/>
        <w:spacing w:line="360" w:lineRule="auto"/>
        <w:rPr>
          <w:rFonts w:ascii="宋体" w:hAnsi="宋体"/>
          <w:smallCaps w:val="0"/>
          <w:noProof/>
          <w:sz w:val="21"/>
          <w:szCs w:val="21"/>
        </w:rPr>
      </w:pPr>
      <w:r>
        <w:rPr>
          <w:smallCaps w:val="0"/>
        </w:rPr>
        <w:fldChar w:fldCharType="begin"/>
      </w:r>
      <w:r>
        <w:rPr>
          <w:smallCaps w:val="0"/>
        </w:rPr>
        <w:instrText xml:space="preserve"> TOC \o "1-3" \h \z \u </w:instrText>
      </w:r>
      <w:r>
        <w:rPr>
          <w:smallCaps w:val="0"/>
        </w:rPr>
        <w:fldChar w:fldCharType="separate"/>
      </w:r>
      <w:hyperlink w:anchor="_Toc176599852" w:history="1">
        <w:r w:rsidRPr="00F47A54">
          <w:rPr>
            <w:rStyle w:val="a6"/>
            <w:rFonts w:ascii="宋体" w:hAnsi="宋体"/>
            <w:noProof/>
            <w:sz w:val="21"/>
            <w:szCs w:val="21"/>
          </w:rPr>
          <w:t>1.</w:t>
        </w:r>
        <w:r w:rsidRPr="00F47A54">
          <w:rPr>
            <w:rFonts w:ascii="宋体" w:hAnsi="宋体"/>
            <w:smallCaps w:val="0"/>
            <w:noProof/>
            <w:sz w:val="21"/>
            <w:szCs w:val="21"/>
          </w:rPr>
          <w:tab/>
        </w:r>
        <w:r w:rsidRPr="00F47A54">
          <w:rPr>
            <w:rStyle w:val="a6"/>
            <w:rFonts w:ascii="宋体" w:hAnsi="宋体" w:hint="eastAsia"/>
            <w:noProof/>
            <w:sz w:val="21"/>
            <w:szCs w:val="21"/>
          </w:rPr>
          <w:t>基金托管协议当事人</w:t>
        </w:r>
        <w:r w:rsidRPr="00F47A54">
          <w:rPr>
            <w:rFonts w:ascii="宋体" w:hAnsi="宋体"/>
            <w:noProof/>
            <w:webHidden/>
            <w:sz w:val="21"/>
            <w:szCs w:val="21"/>
          </w:rPr>
          <w:tab/>
        </w:r>
        <w:r w:rsidRPr="00F47A54">
          <w:rPr>
            <w:rFonts w:ascii="宋体" w:hAnsi="宋体"/>
            <w:noProof/>
            <w:webHidden/>
            <w:sz w:val="21"/>
            <w:szCs w:val="21"/>
          </w:rPr>
          <w:fldChar w:fldCharType="begin"/>
        </w:r>
        <w:r w:rsidRPr="00F47A54">
          <w:rPr>
            <w:rFonts w:ascii="宋体" w:hAnsi="宋体"/>
            <w:noProof/>
            <w:webHidden/>
            <w:sz w:val="21"/>
            <w:szCs w:val="21"/>
          </w:rPr>
          <w:instrText xml:space="preserve"> PAGEREF _Toc176599852 \h </w:instrText>
        </w:r>
        <w:r w:rsidRPr="00F47A54">
          <w:rPr>
            <w:rFonts w:ascii="宋体" w:hAnsi="宋体"/>
            <w:noProof/>
            <w:webHidden/>
            <w:sz w:val="21"/>
            <w:szCs w:val="21"/>
          </w:rPr>
        </w:r>
        <w:r w:rsidRPr="00F47A54">
          <w:rPr>
            <w:rFonts w:ascii="宋体" w:hAnsi="宋体"/>
            <w:noProof/>
            <w:webHidden/>
            <w:sz w:val="21"/>
            <w:szCs w:val="21"/>
          </w:rPr>
          <w:fldChar w:fldCharType="separate"/>
        </w:r>
        <w:r w:rsidR="00FE4EEB">
          <w:rPr>
            <w:rFonts w:ascii="宋体" w:hAnsi="宋体"/>
            <w:noProof/>
            <w:webHidden/>
            <w:sz w:val="21"/>
            <w:szCs w:val="21"/>
          </w:rPr>
          <w:t>1</w:t>
        </w:r>
        <w:r w:rsidRPr="00F47A54">
          <w:rPr>
            <w:rFonts w:ascii="宋体" w:hAnsi="宋体"/>
            <w:noProof/>
            <w:webHidden/>
            <w:sz w:val="21"/>
            <w:szCs w:val="21"/>
          </w:rPr>
          <w:fldChar w:fldCharType="end"/>
        </w:r>
      </w:hyperlink>
    </w:p>
    <w:p w14:paraId="03D4E2C5" w14:textId="0CEB7402"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3" w:history="1">
        <w:r w:rsidR="00F47A54" w:rsidRPr="00F47A54">
          <w:rPr>
            <w:rStyle w:val="a6"/>
            <w:rFonts w:ascii="宋体" w:hAnsi="宋体"/>
            <w:noProof/>
            <w:sz w:val="21"/>
            <w:szCs w:val="21"/>
          </w:rPr>
          <w:t>2.</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基金托管协议的依据、目的和原则</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_Toc176599853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w:t>
        </w:r>
        <w:r w:rsidR="00F47A54" w:rsidRPr="00F47A54">
          <w:rPr>
            <w:rFonts w:ascii="宋体" w:hAnsi="宋体"/>
            <w:noProof/>
            <w:webHidden/>
            <w:sz w:val="21"/>
            <w:szCs w:val="21"/>
          </w:rPr>
          <w:fldChar w:fldCharType="end"/>
        </w:r>
      </w:hyperlink>
    </w:p>
    <w:p w14:paraId="190C61E1" w14:textId="6522CE90"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4" w:history="1">
        <w:r w:rsidR="00F47A54" w:rsidRPr="00F47A54">
          <w:rPr>
            <w:rStyle w:val="a6"/>
            <w:rFonts w:ascii="宋体" w:hAnsi="宋体"/>
            <w:noProof/>
            <w:sz w:val="21"/>
            <w:szCs w:val="21"/>
          </w:rPr>
          <w:t>3.</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基金托管人的受托职责和托管职责</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_Toc176599854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4</w:t>
        </w:r>
        <w:r w:rsidR="00F47A54" w:rsidRPr="00F47A54">
          <w:rPr>
            <w:rFonts w:ascii="宋体" w:hAnsi="宋体"/>
            <w:noProof/>
            <w:webHidden/>
            <w:sz w:val="21"/>
            <w:szCs w:val="21"/>
          </w:rPr>
          <w:fldChar w:fldCharType="end"/>
        </w:r>
      </w:hyperlink>
    </w:p>
    <w:p w14:paraId="0B13C511" w14:textId="6BE7F1BF"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5" w:history="1">
        <w:r w:rsidR="00F47A54" w:rsidRPr="00F47A54">
          <w:rPr>
            <w:rStyle w:val="a6"/>
            <w:rFonts w:ascii="宋体" w:hAnsi="宋体"/>
            <w:noProof/>
            <w:sz w:val="21"/>
            <w:szCs w:val="21"/>
          </w:rPr>
          <w:t>4.</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基金托管人对基金管理人的业务监督和核查</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_Toc176599855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5</w:t>
        </w:r>
        <w:r w:rsidR="00F47A54" w:rsidRPr="00F47A54">
          <w:rPr>
            <w:rFonts w:ascii="宋体" w:hAnsi="宋体"/>
            <w:noProof/>
            <w:webHidden/>
            <w:sz w:val="21"/>
            <w:szCs w:val="21"/>
          </w:rPr>
          <w:fldChar w:fldCharType="end"/>
        </w:r>
      </w:hyperlink>
    </w:p>
    <w:p w14:paraId="107BC5DD" w14:textId="585D99A0"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6" w:history="1">
        <w:r w:rsidR="00F47A54" w:rsidRPr="00F47A54">
          <w:rPr>
            <w:rStyle w:val="a6"/>
            <w:rFonts w:ascii="宋体" w:hAnsi="宋体"/>
            <w:noProof/>
            <w:sz w:val="21"/>
            <w:szCs w:val="21"/>
          </w:rPr>
          <w:t>5.</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基金管理人对基金托管人的业务核查</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_Toc176599856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11</w:t>
        </w:r>
        <w:r w:rsidR="00F47A54" w:rsidRPr="00F47A54">
          <w:rPr>
            <w:rFonts w:ascii="宋体" w:hAnsi="宋体"/>
            <w:noProof/>
            <w:webHidden/>
            <w:sz w:val="21"/>
            <w:szCs w:val="21"/>
          </w:rPr>
          <w:fldChar w:fldCharType="end"/>
        </w:r>
      </w:hyperlink>
    </w:p>
    <w:p w14:paraId="77627AF6" w14:textId="138858C8"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7" w:history="1">
        <w:r w:rsidR="00F47A54" w:rsidRPr="00F47A54">
          <w:rPr>
            <w:rStyle w:val="a6"/>
            <w:rFonts w:ascii="宋体" w:hAnsi="宋体"/>
            <w:noProof/>
            <w:sz w:val="21"/>
            <w:szCs w:val="21"/>
          </w:rPr>
          <w:t>6.</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基金财产保管</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_Toc176599857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12</w:t>
        </w:r>
        <w:r w:rsidR="00F47A54" w:rsidRPr="00F47A54">
          <w:rPr>
            <w:rFonts w:ascii="宋体" w:hAnsi="宋体"/>
            <w:noProof/>
            <w:webHidden/>
            <w:sz w:val="21"/>
            <w:szCs w:val="21"/>
          </w:rPr>
          <w:fldChar w:fldCharType="end"/>
        </w:r>
      </w:hyperlink>
    </w:p>
    <w:p w14:paraId="18141ABE" w14:textId="7FD38B71"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8" w:history="1">
        <w:r w:rsidR="00F47A54" w:rsidRPr="00F47A54">
          <w:rPr>
            <w:rStyle w:val="a6"/>
            <w:rFonts w:ascii="宋体" w:hAnsi="宋体"/>
            <w:noProof/>
            <w:sz w:val="21"/>
            <w:szCs w:val="21"/>
          </w:rPr>
          <w:t>7.</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指令的发送、确认和执行</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_Toc176599858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15</w:t>
        </w:r>
        <w:r w:rsidR="00F47A54" w:rsidRPr="00F47A54">
          <w:rPr>
            <w:rFonts w:ascii="宋体" w:hAnsi="宋体"/>
            <w:noProof/>
            <w:webHidden/>
            <w:sz w:val="21"/>
            <w:szCs w:val="21"/>
          </w:rPr>
          <w:fldChar w:fldCharType="end"/>
        </w:r>
      </w:hyperlink>
    </w:p>
    <w:p w14:paraId="5652A9BD" w14:textId="0ABE1482"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59" w:history="1">
        <w:r w:rsidR="00F47A54" w:rsidRPr="00F47A54">
          <w:rPr>
            <w:rStyle w:val="a6"/>
            <w:rFonts w:ascii="宋体" w:hAnsi="宋体"/>
            <w:noProof/>
            <w:sz w:val="21"/>
            <w:szCs w:val="21"/>
          </w:rPr>
          <w:t>8.</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交易及清算交收安排</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_Toc176599859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18</w:t>
        </w:r>
        <w:r w:rsidR="00F47A54" w:rsidRPr="00F47A54">
          <w:rPr>
            <w:rFonts w:ascii="宋体" w:hAnsi="宋体"/>
            <w:noProof/>
            <w:webHidden/>
            <w:sz w:val="21"/>
            <w:szCs w:val="21"/>
          </w:rPr>
          <w:fldChar w:fldCharType="end"/>
        </w:r>
      </w:hyperlink>
    </w:p>
    <w:p w14:paraId="3C4692C6" w14:textId="31622B47" w:rsidR="00F47A54" w:rsidRPr="00F47A54" w:rsidRDefault="00A5324C" w:rsidP="00F47A54">
      <w:pPr>
        <w:pStyle w:val="21"/>
        <w:tabs>
          <w:tab w:val="left" w:pos="630"/>
          <w:tab w:val="right" w:leader="dot" w:pos="8296"/>
        </w:tabs>
        <w:snapToGrid w:val="0"/>
        <w:spacing w:line="360" w:lineRule="auto"/>
        <w:rPr>
          <w:rFonts w:ascii="宋体" w:hAnsi="宋体"/>
          <w:smallCaps w:val="0"/>
          <w:noProof/>
          <w:sz w:val="21"/>
          <w:szCs w:val="21"/>
        </w:rPr>
      </w:pPr>
      <w:hyperlink w:anchor="_Toc176599860" w:history="1">
        <w:r w:rsidR="00F47A54" w:rsidRPr="00F47A54">
          <w:rPr>
            <w:rStyle w:val="a6"/>
            <w:rFonts w:ascii="宋体" w:hAnsi="宋体" w:cs="Arial"/>
            <w:noProof/>
            <w:sz w:val="21"/>
            <w:szCs w:val="21"/>
          </w:rPr>
          <w:t>9.</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基金资产净值计算和会计核算</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_Toc176599860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21</w:t>
        </w:r>
        <w:r w:rsidR="00F47A54" w:rsidRPr="00F47A54">
          <w:rPr>
            <w:rFonts w:ascii="宋体" w:hAnsi="宋体"/>
            <w:noProof/>
            <w:webHidden/>
            <w:sz w:val="21"/>
            <w:szCs w:val="21"/>
          </w:rPr>
          <w:fldChar w:fldCharType="end"/>
        </w:r>
      </w:hyperlink>
    </w:p>
    <w:p w14:paraId="7A798AF8" w14:textId="53007831"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1" w:history="1">
        <w:r w:rsidR="00F47A54" w:rsidRPr="00F47A54">
          <w:rPr>
            <w:rStyle w:val="a6"/>
            <w:rFonts w:ascii="宋体" w:hAnsi="宋体"/>
            <w:noProof/>
            <w:sz w:val="21"/>
            <w:szCs w:val="21"/>
          </w:rPr>
          <w:t>10.</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基金收益分配</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_Toc176599861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26</w:t>
        </w:r>
        <w:r w:rsidR="00F47A54" w:rsidRPr="00F47A54">
          <w:rPr>
            <w:rFonts w:ascii="宋体" w:hAnsi="宋体"/>
            <w:noProof/>
            <w:webHidden/>
            <w:sz w:val="21"/>
            <w:szCs w:val="21"/>
          </w:rPr>
          <w:fldChar w:fldCharType="end"/>
        </w:r>
      </w:hyperlink>
    </w:p>
    <w:p w14:paraId="23D55284" w14:textId="4EA1CC38"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2" w:history="1">
        <w:r w:rsidR="00F47A54" w:rsidRPr="00F47A54">
          <w:rPr>
            <w:rStyle w:val="a6"/>
            <w:rFonts w:ascii="宋体" w:hAnsi="宋体"/>
            <w:noProof/>
            <w:sz w:val="21"/>
            <w:szCs w:val="21"/>
          </w:rPr>
          <w:t>11.</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信息披露</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_Toc176599862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27</w:t>
        </w:r>
        <w:r w:rsidR="00F47A54" w:rsidRPr="00F47A54">
          <w:rPr>
            <w:rFonts w:ascii="宋体" w:hAnsi="宋体"/>
            <w:noProof/>
            <w:webHidden/>
            <w:sz w:val="21"/>
            <w:szCs w:val="21"/>
          </w:rPr>
          <w:fldChar w:fldCharType="end"/>
        </w:r>
      </w:hyperlink>
    </w:p>
    <w:p w14:paraId="49CB66B2" w14:textId="1CD5056A"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3" w:history="1">
        <w:r w:rsidR="00F47A54" w:rsidRPr="00F47A54">
          <w:rPr>
            <w:rStyle w:val="a6"/>
            <w:rFonts w:ascii="宋体" w:hAnsi="宋体" w:cs="Arial"/>
            <w:noProof/>
            <w:sz w:val="21"/>
            <w:szCs w:val="21"/>
          </w:rPr>
          <w:t>12.</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基金费用</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_Toc176599863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28</w:t>
        </w:r>
        <w:r w:rsidR="00F47A54" w:rsidRPr="00F47A54">
          <w:rPr>
            <w:rFonts w:ascii="宋体" w:hAnsi="宋体"/>
            <w:noProof/>
            <w:webHidden/>
            <w:sz w:val="21"/>
            <w:szCs w:val="21"/>
          </w:rPr>
          <w:fldChar w:fldCharType="end"/>
        </w:r>
      </w:hyperlink>
    </w:p>
    <w:p w14:paraId="1B2FA537" w14:textId="7B047FFA"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4" w:history="1">
        <w:r w:rsidR="00F47A54" w:rsidRPr="00F47A54">
          <w:rPr>
            <w:rStyle w:val="a6"/>
            <w:rFonts w:ascii="宋体" w:hAnsi="宋体"/>
            <w:noProof/>
            <w:sz w:val="21"/>
            <w:szCs w:val="21"/>
          </w:rPr>
          <w:t>13.</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基金份额持有人名册的保管</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_Toc176599864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30</w:t>
        </w:r>
        <w:r w:rsidR="00F47A54" w:rsidRPr="00F47A54">
          <w:rPr>
            <w:rFonts w:ascii="宋体" w:hAnsi="宋体"/>
            <w:noProof/>
            <w:webHidden/>
            <w:sz w:val="21"/>
            <w:szCs w:val="21"/>
          </w:rPr>
          <w:fldChar w:fldCharType="end"/>
        </w:r>
      </w:hyperlink>
    </w:p>
    <w:p w14:paraId="0DE1EDB3" w14:textId="792ACBDE"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5" w:history="1">
        <w:r w:rsidR="00F47A54" w:rsidRPr="00F47A54">
          <w:rPr>
            <w:rStyle w:val="a6"/>
            <w:rFonts w:ascii="宋体" w:hAnsi="宋体"/>
            <w:noProof/>
            <w:sz w:val="21"/>
            <w:szCs w:val="21"/>
          </w:rPr>
          <w:t>14.</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基金有关文件和档案的保存</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_Toc176599865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31</w:t>
        </w:r>
        <w:r w:rsidR="00F47A54" w:rsidRPr="00F47A54">
          <w:rPr>
            <w:rFonts w:ascii="宋体" w:hAnsi="宋体"/>
            <w:noProof/>
            <w:webHidden/>
            <w:sz w:val="21"/>
            <w:szCs w:val="21"/>
          </w:rPr>
          <w:fldChar w:fldCharType="end"/>
        </w:r>
      </w:hyperlink>
    </w:p>
    <w:p w14:paraId="2F68A0C7" w14:textId="4EF2F3A2"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6" w:history="1">
        <w:r w:rsidR="00F47A54" w:rsidRPr="00F47A54">
          <w:rPr>
            <w:rStyle w:val="a6"/>
            <w:rFonts w:ascii="宋体" w:hAnsi="宋体"/>
            <w:noProof/>
            <w:sz w:val="21"/>
            <w:szCs w:val="21"/>
          </w:rPr>
          <w:t>15.</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基金管理人和基金托管人的更换</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_Toc176599866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32</w:t>
        </w:r>
        <w:r w:rsidR="00F47A54" w:rsidRPr="00F47A54">
          <w:rPr>
            <w:rFonts w:ascii="宋体" w:hAnsi="宋体"/>
            <w:noProof/>
            <w:webHidden/>
            <w:sz w:val="21"/>
            <w:szCs w:val="21"/>
          </w:rPr>
          <w:fldChar w:fldCharType="end"/>
        </w:r>
      </w:hyperlink>
    </w:p>
    <w:p w14:paraId="5BECC756" w14:textId="6E495F34"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7" w:history="1">
        <w:r w:rsidR="00F47A54" w:rsidRPr="00F47A54">
          <w:rPr>
            <w:rStyle w:val="a6"/>
            <w:rFonts w:ascii="宋体" w:hAnsi="宋体"/>
            <w:noProof/>
            <w:sz w:val="21"/>
            <w:szCs w:val="21"/>
          </w:rPr>
          <w:t>16.</w:t>
        </w:r>
        <w:r w:rsidR="00F47A54" w:rsidRPr="00F47A54">
          <w:rPr>
            <w:rFonts w:ascii="宋体" w:hAnsi="宋体"/>
            <w:smallCaps w:val="0"/>
            <w:noProof/>
            <w:sz w:val="21"/>
            <w:szCs w:val="21"/>
          </w:rPr>
          <w:tab/>
        </w:r>
        <w:r w:rsidR="00F47A54" w:rsidRPr="00F47A54">
          <w:rPr>
            <w:rStyle w:val="a6"/>
            <w:rFonts w:ascii="宋体" w:hAnsi="宋体" w:hint="eastAsia"/>
            <w:noProof/>
            <w:sz w:val="21"/>
            <w:szCs w:val="21"/>
          </w:rPr>
          <w:t>禁止行为</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_Toc176599867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34</w:t>
        </w:r>
        <w:r w:rsidR="00F47A54" w:rsidRPr="00F47A54">
          <w:rPr>
            <w:rFonts w:ascii="宋体" w:hAnsi="宋体"/>
            <w:noProof/>
            <w:webHidden/>
            <w:sz w:val="21"/>
            <w:szCs w:val="21"/>
          </w:rPr>
          <w:fldChar w:fldCharType="end"/>
        </w:r>
      </w:hyperlink>
    </w:p>
    <w:p w14:paraId="25A80E4D" w14:textId="6AA50152"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8" w:history="1">
        <w:r w:rsidR="00F47A54" w:rsidRPr="00F47A54">
          <w:rPr>
            <w:rStyle w:val="a6"/>
            <w:rFonts w:ascii="宋体" w:hAnsi="宋体"/>
            <w:noProof/>
            <w:sz w:val="21"/>
            <w:szCs w:val="21"/>
          </w:rPr>
          <w:t>17.</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基金托管协议的变更、终止与基金财产的清算</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_Toc176599868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35</w:t>
        </w:r>
        <w:r w:rsidR="00F47A54" w:rsidRPr="00F47A54">
          <w:rPr>
            <w:rFonts w:ascii="宋体" w:hAnsi="宋体"/>
            <w:noProof/>
            <w:webHidden/>
            <w:sz w:val="21"/>
            <w:szCs w:val="21"/>
          </w:rPr>
          <w:fldChar w:fldCharType="end"/>
        </w:r>
      </w:hyperlink>
    </w:p>
    <w:p w14:paraId="3B397491" w14:textId="7B442E03"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69" w:history="1">
        <w:r w:rsidR="00F47A54" w:rsidRPr="00F47A54">
          <w:rPr>
            <w:rStyle w:val="a6"/>
            <w:rFonts w:ascii="宋体" w:hAnsi="宋体" w:cs="Arial"/>
            <w:noProof/>
            <w:sz w:val="21"/>
            <w:szCs w:val="21"/>
          </w:rPr>
          <w:t>18.</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违约责任</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_Toc176599869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37</w:t>
        </w:r>
        <w:r w:rsidR="00F47A54" w:rsidRPr="00F47A54">
          <w:rPr>
            <w:rFonts w:ascii="宋体" w:hAnsi="宋体"/>
            <w:noProof/>
            <w:webHidden/>
            <w:sz w:val="21"/>
            <w:szCs w:val="21"/>
          </w:rPr>
          <w:fldChar w:fldCharType="end"/>
        </w:r>
      </w:hyperlink>
    </w:p>
    <w:p w14:paraId="2639BB4A" w14:textId="6C400912"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70" w:history="1">
        <w:r w:rsidR="00F47A54" w:rsidRPr="00F47A54">
          <w:rPr>
            <w:rStyle w:val="a6"/>
            <w:rFonts w:ascii="宋体" w:hAnsi="宋体" w:cs="Arial"/>
            <w:noProof/>
            <w:sz w:val="21"/>
            <w:szCs w:val="21"/>
          </w:rPr>
          <w:t>19.</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争议解决方式</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_Toc176599870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39</w:t>
        </w:r>
        <w:r w:rsidR="00F47A54" w:rsidRPr="00F47A54">
          <w:rPr>
            <w:rFonts w:ascii="宋体" w:hAnsi="宋体"/>
            <w:noProof/>
            <w:webHidden/>
            <w:sz w:val="21"/>
            <w:szCs w:val="21"/>
          </w:rPr>
          <w:fldChar w:fldCharType="end"/>
        </w:r>
      </w:hyperlink>
    </w:p>
    <w:p w14:paraId="0FD2CCD8" w14:textId="6D30D247"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71" w:history="1">
        <w:r w:rsidR="00F47A54" w:rsidRPr="00F47A54">
          <w:rPr>
            <w:rStyle w:val="a6"/>
            <w:rFonts w:ascii="宋体" w:hAnsi="宋体" w:cs="Arial"/>
            <w:noProof/>
            <w:sz w:val="21"/>
            <w:szCs w:val="21"/>
          </w:rPr>
          <w:t>20.</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基金托管协议的效力</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_Toc176599871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40</w:t>
        </w:r>
        <w:r w:rsidR="00F47A54" w:rsidRPr="00F47A54">
          <w:rPr>
            <w:rFonts w:ascii="宋体" w:hAnsi="宋体"/>
            <w:noProof/>
            <w:webHidden/>
            <w:sz w:val="21"/>
            <w:szCs w:val="21"/>
          </w:rPr>
          <w:fldChar w:fldCharType="end"/>
        </w:r>
      </w:hyperlink>
    </w:p>
    <w:p w14:paraId="25092E79" w14:textId="70FC48C0" w:rsidR="00F47A54" w:rsidRPr="00F47A54" w:rsidRDefault="00A5324C" w:rsidP="00F47A54">
      <w:pPr>
        <w:pStyle w:val="21"/>
        <w:tabs>
          <w:tab w:val="left" w:pos="840"/>
          <w:tab w:val="right" w:leader="dot" w:pos="8296"/>
        </w:tabs>
        <w:snapToGrid w:val="0"/>
        <w:spacing w:line="360" w:lineRule="auto"/>
        <w:rPr>
          <w:rFonts w:ascii="宋体" w:hAnsi="宋体"/>
          <w:smallCaps w:val="0"/>
          <w:noProof/>
          <w:sz w:val="21"/>
          <w:szCs w:val="21"/>
        </w:rPr>
      </w:pPr>
      <w:hyperlink w:anchor="_Toc176599872" w:history="1">
        <w:r w:rsidR="00F47A54" w:rsidRPr="00F47A54">
          <w:rPr>
            <w:rStyle w:val="a6"/>
            <w:rFonts w:ascii="宋体" w:hAnsi="宋体" w:cs="Arial"/>
            <w:noProof/>
            <w:sz w:val="21"/>
            <w:szCs w:val="21"/>
          </w:rPr>
          <w:t>21.</w:t>
        </w:r>
        <w:r w:rsidR="00F47A54" w:rsidRPr="00F47A54">
          <w:rPr>
            <w:rFonts w:ascii="宋体" w:hAnsi="宋体"/>
            <w:smallCaps w:val="0"/>
            <w:noProof/>
            <w:sz w:val="21"/>
            <w:szCs w:val="21"/>
          </w:rPr>
          <w:tab/>
        </w:r>
        <w:r w:rsidR="00F47A54" w:rsidRPr="00F47A54">
          <w:rPr>
            <w:rStyle w:val="a6"/>
            <w:rFonts w:ascii="宋体" w:hAnsi="宋体" w:cs="Arial" w:hint="eastAsia"/>
            <w:noProof/>
            <w:sz w:val="21"/>
            <w:szCs w:val="21"/>
          </w:rPr>
          <w:t>基金托管协议的签订</w:t>
        </w:r>
        <w:r w:rsidR="00F47A54" w:rsidRPr="00F47A54">
          <w:rPr>
            <w:rFonts w:ascii="宋体" w:hAnsi="宋体"/>
            <w:noProof/>
            <w:webHidden/>
            <w:sz w:val="21"/>
            <w:szCs w:val="21"/>
          </w:rPr>
          <w:tab/>
        </w:r>
        <w:r w:rsidR="00F47A54" w:rsidRPr="00F47A54">
          <w:rPr>
            <w:rFonts w:ascii="宋体" w:hAnsi="宋体"/>
            <w:noProof/>
            <w:webHidden/>
            <w:sz w:val="21"/>
            <w:szCs w:val="21"/>
          </w:rPr>
          <w:fldChar w:fldCharType="begin"/>
        </w:r>
        <w:r w:rsidR="00F47A54" w:rsidRPr="00F47A54">
          <w:rPr>
            <w:rFonts w:ascii="宋体" w:hAnsi="宋体"/>
            <w:noProof/>
            <w:webHidden/>
            <w:sz w:val="21"/>
            <w:szCs w:val="21"/>
          </w:rPr>
          <w:instrText xml:space="preserve"> PAGEREF _Toc176599872 \h </w:instrText>
        </w:r>
        <w:r w:rsidR="00F47A54" w:rsidRPr="00F47A54">
          <w:rPr>
            <w:rFonts w:ascii="宋体" w:hAnsi="宋体"/>
            <w:noProof/>
            <w:webHidden/>
            <w:sz w:val="21"/>
            <w:szCs w:val="21"/>
          </w:rPr>
        </w:r>
        <w:r w:rsidR="00F47A54" w:rsidRPr="00F47A54">
          <w:rPr>
            <w:rFonts w:ascii="宋体" w:hAnsi="宋体"/>
            <w:noProof/>
            <w:webHidden/>
            <w:sz w:val="21"/>
            <w:szCs w:val="21"/>
          </w:rPr>
          <w:fldChar w:fldCharType="separate"/>
        </w:r>
        <w:r w:rsidR="00FE4EEB">
          <w:rPr>
            <w:rFonts w:ascii="宋体" w:hAnsi="宋体"/>
            <w:noProof/>
            <w:webHidden/>
            <w:sz w:val="21"/>
            <w:szCs w:val="21"/>
          </w:rPr>
          <w:t>41</w:t>
        </w:r>
        <w:r w:rsidR="00F47A54" w:rsidRPr="00F47A54">
          <w:rPr>
            <w:rFonts w:ascii="宋体" w:hAnsi="宋体"/>
            <w:noProof/>
            <w:webHidden/>
            <w:sz w:val="21"/>
            <w:szCs w:val="21"/>
          </w:rPr>
          <w:fldChar w:fldCharType="end"/>
        </w:r>
      </w:hyperlink>
    </w:p>
    <w:p w14:paraId="6C488DAE" w14:textId="77777777" w:rsidR="00217EEE" w:rsidRDefault="00F47A54" w:rsidP="00F47A54">
      <w:pPr>
        <w:spacing w:line="400" w:lineRule="atLeast"/>
        <w:rPr>
          <w:smallCaps/>
          <w:sz w:val="20"/>
          <w:szCs w:val="20"/>
        </w:rPr>
        <w:sectPr w:rsidR="00217EEE" w:rsidSect="00217EEE">
          <w:headerReference w:type="default" r:id="rId7"/>
          <w:footerReference w:type="even" r:id="rId8"/>
          <w:footerReference w:type="default" r:id="rId9"/>
          <w:headerReference w:type="first" r:id="rId10"/>
          <w:pgSz w:w="11906" w:h="16838"/>
          <w:pgMar w:top="1440" w:right="1800" w:bottom="1440" w:left="1800" w:header="851" w:footer="992" w:gutter="0"/>
          <w:pgNumType w:start="1"/>
          <w:cols w:space="425"/>
          <w:titlePg/>
          <w:docGrid w:type="lines" w:linePitch="312"/>
        </w:sectPr>
      </w:pPr>
      <w:r>
        <w:rPr>
          <w:smallCaps/>
          <w:sz w:val="20"/>
          <w:szCs w:val="20"/>
        </w:rPr>
        <w:fldChar w:fldCharType="end"/>
      </w:r>
    </w:p>
    <w:p w14:paraId="36702F1E" w14:textId="77777777" w:rsidR="00F47A54" w:rsidRDefault="00F47A54" w:rsidP="00F47A54">
      <w:pPr>
        <w:spacing w:line="400" w:lineRule="atLeast"/>
      </w:pPr>
    </w:p>
    <w:p w14:paraId="08CC62C0" w14:textId="77777777" w:rsidR="00F47A54" w:rsidRPr="004C5A59" w:rsidRDefault="00F47A54" w:rsidP="00F47A54">
      <w:pPr>
        <w:pStyle w:val="20"/>
        <w:numPr>
          <w:ilvl w:val="0"/>
          <w:numId w:val="45"/>
        </w:numPr>
      </w:pPr>
      <w:bookmarkStart w:id="5" w:name="_Toc174790099"/>
      <w:bookmarkStart w:id="6" w:name="_Toc176599588"/>
      <w:bookmarkStart w:id="7" w:name="_Toc176599852"/>
      <w:r w:rsidRPr="004C5A59">
        <w:rPr>
          <w:rFonts w:hint="eastAsia"/>
        </w:rPr>
        <w:t>基金托管协议当事人</w:t>
      </w:r>
      <w:bookmarkEnd w:id="5"/>
      <w:bookmarkEnd w:id="6"/>
      <w:bookmarkEnd w:id="7"/>
    </w:p>
    <w:p w14:paraId="23F512DA" w14:textId="77777777" w:rsidR="00F47A54" w:rsidRPr="004C5A59" w:rsidRDefault="00F47A54" w:rsidP="00F47A54">
      <w:pPr>
        <w:snapToGrid w:val="0"/>
        <w:spacing w:line="360" w:lineRule="auto"/>
        <w:ind w:firstLineChars="200" w:firstLine="422"/>
        <w:rPr>
          <w:rFonts w:ascii="宋体" w:hAnsi="宋体"/>
          <w:b/>
        </w:rPr>
      </w:pPr>
      <w:bookmarkStart w:id="8" w:name="_Toc22454433"/>
      <w:bookmarkStart w:id="9" w:name="_Toc48703885"/>
      <w:bookmarkStart w:id="10" w:name="_Toc174497167"/>
      <w:bookmarkStart w:id="11" w:name="_Toc174501001"/>
      <w:bookmarkStart w:id="12" w:name="_Toc174502373"/>
      <w:bookmarkStart w:id="13" w:name="_Toc174616272"/>
      <w:r w:rsidRPr="004C5A59">
        <w:rPr>
          <w:rFonts w:ascii="宋体" w:hAnsi="宋体" w:hint="eastAsia"/>
          <w:b/>
        </w:rPr>
        <w:t>（一）基金管理人</w:t>
      </w:r>
      <w:bookmarkEnd w:id="8"/>
      <w:bookmarkEnd w:id="9"/>
      <w:bookmarkEnd w:id="10"/>
      <w:bookmarkEnd w:id="11"/>
      <w:bookmarkEnd w:id="12"/>
      <w:bookmarkEnd w:id="13"/>
    </w:p>
    <w:p w14:paraId="0BE10A64"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名称：南方基金管理股份有限公司</w:t>
      </w:r>
    </w:p>
    <w:p w14:paraId="535865F5"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245912" w:rsidRPr="00245912">
        <w:rPr>
          <w:rFonts w:ascii="宋体" w:hAnsi="宋体" w:hint="eastAsia"/>
          <w:szCs w:val="21"/>
        </w:rPr>
        <w:t>深圳市福田区莲花街道益田路5999号基金大厦32-42楼</w:t>
      </w:r>
    </w:p>
    <w:p w14:paraId="014C5AB9" w14:textId="4E0FFFDB"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283300" w:rsidRPr="00283300">
        <w:rPr>
          <w:rFonts w:ascii="宋体" w:hAnsi="宋体" w:hint="eastAsia"/>
          <w:szCs w:val="21"/>
        </w:rPr>
        <w:t>杨小松（代为履行法定代表人职责）</w:t>
      </w:r>
    </w:p>
    <w:p w14:paraId="69412234"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02CA0B2C"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1C1B539B"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3328E6">
        <w:rPr>
          <w:rFonts w:ascii="宋体" w:hAnsi="宋体" w:hint="eastAsia"/>
          <w:szCs w:val="21"/>
        </w:rPr>
        <w:t>人民币3.6172亿元</w:t>
      </w:r>
    </w:p>
    <w:p w14:paraId="5F6312C3"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w:t>
      </w:r>
      <w:r w:rsidRPr="007A36C1">
        <w:rPr>
          <w:rFonts w:ascii="宋体" w:hAnsi="宋体"/>
          <w:szCs w:val="21"/>
        </w:rPr>
        <w:t xml:space="preserve">: </w:t>
      </w:r>
      <w:r w:rsidRPr="007A36C1">
        <w:rPr>
          <w:rFonts w:ascii="宋体" w:hAnsi="宋体" w:hint="eastAsia"/>
          <w:szCs w:val="21"/>
        </w:rPr>
        <w:t>股份有限公司</w:t>
      </w:r>
    </w:p>
    <w:p w14:paraId="76D3AF2F"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经营范围：基金募集；基金销售；资产管理以及中国证监会许可的其他业务</w:t>
      </w:r>
    </w:p>
    <w:p w14:paraId="31F490F1"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E693290"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 xml:space="preserve"> 0755-82763888</w:t>
      </w:r>
    </w:p>
    <w:p w14:paraId="74C57CF3"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0755-82763889</w:t>
      </w:r>
    </w:p>
    <w:p w14:paraId="575770C9"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联系人：</w:t>
      </w:r>
      <w:r w:rsidR="00C14735">
        <w:rPr>
          <w:rFonts w:ascii="宋体" w:hAnsi="宋体" w:hint="eastAsia"/>
          <w:szCs w:val="21"/>
        </w:rPr>
        <w:t>常克川</w:t>
      </w:r>
    </w:p>
    <w:p w14:paraId="508EA842" w14:textId="77777777" w:rsidR="00F47A54" w:rsidRDefault="00F47A54" w:rsidP="00F47A54">
      <w:pPr>
        <w:adjustRightInd w:val="0"/>
        <w:snapToGrid w:val="0"/>
        <w:spacing w:line="360" w:lineRule="auto"/>
        <w:ind w:firstLine="400"/>
      </w:pPr>
    </w:p>
    <w:p w14:paraId="0BD9D2A2" w14:textId="77777777" w:rsidR="00F47A54" w:rsidRPr="004C5A59" w:rsidRDefault="00F47A54" w:rsidP="00F47A54">
      <w:pPr>
        <w:snapToGrid w:val="0"/>
        <w:spacing w:line="360" w:lineRule="auto"/>
        <w:ind w:firstLineChars="200" w:firstLine="422"/>
        <w:rPr>
          <w:rFonts w:ascii="宋体" w:hAnsi="宋体"/>
          <w:b/>
        </w:rPr>
      </w:pPr>
      <w:bookmarkStart w:id="14" w:name="_Toc174497168"/>
      <w:bookmarkStart w:id="15" w:name="_Toc174501002"/>
      <w:bookmarkStart w:id="16" w:name="_Toc174502374"/>
      <w:bookmarkStart w:id="17" w:name="_Toc174616273"/>
      <w:r w:rsidRPr="004C5A59">
        <w:rPr>
          <w:rFonts w:ascii="宋体" w:hAnsi="宋体" w:hint="eastAsia"/>
          <w:b/>
        </w:rPr>
        <w:t>（二）基金托管人</w:t>
      </w:r>
      <w:bookmarkEnd w:id="14"/>
      <w:bookmarkEnd w:id="15"/>
      <w:bookmarkEnd w:id="16"/>
      <w:bookmarkEnd w:id="17"/>
    </w:p>
    <w:p w14:paraId="3E723E7C"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3FD3E646"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r w:rsidRPr="007A36C1">
        <w:rPr>
          <w:rFonts w:ascii="宋体" w:hAnsi="宋体"/>
          <w:szCs w:val="21"/>
        </w:rPr>
        <w:t>100032</w:t>
      </w:r>
      <w:r w:rsidRPr="007A36C1">
        <w:rPr>
          <w:rFonts w:ascii="宋体" w:hAnsi="宋体" w:hint="eastAsia"/>
          <w:szCs w:val="21"/>
        </w:rPr>
        <w:t>）</w:t>
      </w:r>
    </w:p>
    <w:p w14:paraId="3F35F35B"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29515F">
        <w:rPr>
          <w:rFonts w:ascii="宋体" w:hAnsi="宋体" w:hint="eastAsia"/>
          <w:szCs w:val="21"/>
        </w:rPr>
        <w:t>陈</w:t>
      </w:r>
      <w:r w:rsidR="0029515F">
        <w:rPr>
          <w:rFonts w:ascii="宋体" w:hAnsi="宋体"/>
          <w:szCs w:val="21"/>
        </w:rPr>
        <w:t>四清</w:t>
      </w:r>
    </w:p>
    <w:p w14:paraId="13C5C16E"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010</w:t>
      </w:r>
      <w:r w:rsidRPr="007A36C1">
        <w:rPr>
          <w:rFonts w:ascii="宋体" w:hAnsi="宋体" w:hint="eastAsia"/>
          <w:szCs w:val="21"/>
        </w:rPr>
        <w:t>）</w:t>
      </w:r>
      <w:r w:rsidRPr="007A36C1">
        <w:rPr>
          <w:rFonts w:ascii="宋体" w:hAnsi="宋体"/>
          <w:szCs w:val="21"/>
        </w:rPr>
        <w:t>66105799</w:t>
      </w:r>
    </w:p>
    <w:p w14:paraId="249A447F"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010</w:t>
      </w:r>
      <w:r w:rsidRPr="007A36C1">
        <w:rPr>
          <w:rFonts w:ascii="宋体" w:hAnsi="宋体" w:hint="eastAsia"/>
          <w:szCs w:val="21"/>
        </w:rPr>
        <w:t>）</w:t>
      </w:r>
      <w:r w:rsidRPr="007A36C1">
        <w:rPr>
          <w:rFonts w:ascii="宋体" w:hAnsi="宋体"/>
          <w:szCs w:val="21"/>
        </w:rPr>
        <w:t>66105798</w:t>
      </w:r>
    </w:p>
    <w:p w14:paraId="4D428411"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联系人：</w:t>
      </w:r>
      <w:r w:rsidR="00C14735">
        <w:rPr>
          <w:rFonts w:ascii="宋体" w:hAnsi="宋体" w:hint="eastAsia"/>
          <w:szCs w:val="21"/>
        </w:rPr>
        <w:t>郭明</w:t>
      </w:r>
    </w:p>
    <w:p w14:paraId="0BD16868"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7B9F044B"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1E749906" w14:textId="563704DE"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283300" w:rsidRPr="00283300">
        <w:rPr>
          <w:rFonts w:ascii="宋体" w:hAnsi="宋体" w:hint="eastAsia"/>
          <w:szCs w:val="21"/>
        </w:rPr>
        <w:t>人民币35,640,625.7089万元</w:t>
      </w:r>
    </w:p>
    <w:p w14:paraId="7A1F44AE" w14:textId="77777777" w:rsidR="006118A2" w:rsidRPr="007A36C1" w:rsidRDefault="006118A2" w:rsidP="003971B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1C9ACEAF" w14:textId="77777777" w:rsidR="006118A2" w:rsidRPr="007A36C1" w:rsidRDefault="006118A2" w:rsidP="006118A2">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79F7D2A2" w14:textId="77777777" w:rsidR="00F47A54" w:rsidRPr="00693F26" w:rsidRDefault="00F47A54" w:rsidP="00F47A54">
      <w:pPr>
        <w:tabs>
          <w:tab w:val="num" w:pos="961"/>
        </w:tabs>
        <w:snapToGrid w:val="0"/>
        <w:spacing w:line="360" w:lineRule="auto"/>
        <w:ind w:firstLineChars="200" w:firstLine="420"/>
        <w:rPr>
          <w:bCs/>
          <w:szCs w:val="21"/>
        </w:rPr>
      </w:pPr>
    </w:p>
    <w:p w14:paraId="3358807F" w14:textId="77777777" w:rsidR="00F47A54" w:rsidRPr="00693F26" w:rsidRDefault="00F47A54" w:rsidP="00F47A54">
      <w:pPr>
        <w:tabs>
          <w:tab w:val="num" w:pos="961"/>
        </w:tabs>
        <w:snapToGrid w:val="0"/>
        <w:spacing w:line="360" w:lineRule="auto"/>
        <w:ind w:firstLineChars="200" w:firstLine="420"/>
        <w:rPr>
          <w:bCs/>
          <w:szCs w:val="21"/>
        </w:rPr>
      </w:pPr>
      <w:r w:rsidRPr="00693F26">
        <w:rPr>
          <w:rFonts w:hint="eastAsia"/>
          <w:bCs/>
          <w:szCs w:val="21"/>
        </w:rPr>
        <w:t>经营范围：办理人民币存款、贷款、同业拆借业务；国内外结算；办理票据承兑、贴现、转贴现、各类汇兑业务；代理资金清算；提供信用证服务及担保；代理销售业务；代理发行、</w:t>
      </w:r>
      <w:r w:rsidRPr="00693F26">
        <w:rPr>
          <w:rFonts w:hint="eastAsia"/>
          <w:bCs/>
          <w:szCs w:val="21"/>
        </w:rPr>
        <w:lastRenderedPageBreak/>
        <w:t>代理承销、代理兑付政府债券；代收代付业务；代理证券投资基金清算业务（银证转账）；保险兼业代理业务（有效期至</w:t>
      </w:r>
      <w:smartTag w:uri="urn:schemas-microsoft-com:office:smarttags" w:element="chsdate">
        <w:smartTagPr>
          <w:attr w:name="IsROCDate" w:val="False"/>
          <w:attr w:name="IsLunarDate" w:val="False"/>
          <w:attr w:name="Day" w:val="4"/>
          <w:attr w:name="Month" w:val="9"/>
          <w:attr w:name="Year" w:val="2008"/>
        </w:smartTagPr>
        <w:r w:rsidRPr="00693F26">
          <w:rPr>
            <w:bCs/>
            <w:szCs w:val="21"/>
          </w:rPr>
          <w:t>2008</w:t>
        </w:r>
        <w:r w:rsidRPr="00693F26">
          <w:rPr>
            <w:rFonts w:hint="eastAsia"/>
            <w:bCs/>
            <w:szCs w:val="21"/>
          </w:rPr>
          <w:t>年</w:t>
        </w:r>
        <w:r w:rsidRPr="00693F26">
          <w:rPr>
            <w:bCs/>
            <w:szCs w:val="21"/>
          </w:rPr>
          <w:t>9</w:t>
        </w:r>
        <w:r w:rsidRPr="00693F26">
          <w:rPr>
            <w:rFonts w:hint="eastAsia"/>
            <w:bCs/>
            <w:szCs w:val="21"/>
          </w:rPr>
          <w:t>月</w:t>
        </w:r>
        <w:r w:rsidRPr="00693F26">
          <w:rPr>
            <w:bCs/>
            <w:szCs w:val="21"/>
          </w:rPr>
          <w:t>4</w:t>
        </w:r>
        <w:r w:rsidRPr="00693F26">
          <w:rPr>
            <w:rFonts w:hint="eastAsia"/>
            <w:bCs/>
            <w:szCs w:val="21"/>
          </w:rPr>
          <w:t>日</w:t>
        </w:r>
      </w:smartTag>
      <w:r w:rsidRPr="00693F26">
        <w:rPr>
          <w:rFonts w:hint="eastAsia"/>
          <w:bCs/>
          <w:szCs w:val="21"/>
        </w:rPr>
        <w:t>）；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6546547D" w14:textId="77777777" w:rsidR="00F47A54" w:rsidRDefault="00F47A54" w:rsidP="00F47A54">
      <w:pPr>
        <w:snapToGrid w:val="0"/>
        <w:spacing w:line="360" w:lineRule="auto"/>
        <w:ind w:firstLineChars="200" w:firstLine="420"/>
        <w:rPr>
          <w:rFonts w:ascii="宋体" w:hAnsi="宋体"/>
          <w:sz w:val="24"/>
        </w:rPr>
      </w:pPr>
      <w:r>
        <w:rPr>
          <w:rFonts w:ascii="宋体" w:hAnsi="宋体"/>
        </w:rPr>
        <w:br w:type="page"/>
      </w:r>
    </w:p>
    <w:p w14:paraId="56241CC5" w14:textId="77777777" w:rsidR="00F47A54" w:rsidRPr="00770790" w:rsidRDefault="00F47A54" w:rsidP="00F47A54">
      <w:pPr>
        <w:pStyle w:val="20"/>
        <w:numPr>
          <w:ilvl w:val="0"/>
          <w:numId w:val="45"/>
        </w:numPr>
      </w:pPr>
      <w:bookmarkStart w:id="18" w:name="_Toc523829993"/>
      <w:bookmarkStart w:id="19" w:name="_Toc22454435"/>
      <w:bookmarkStart w:id="20" w:name="_Toc48703887"/>
      <w:bookmarkStart w:id="21" w:name="_Toc123626168"/>
      <w:bookmarkStart w:id="22" w:name="_Toc124749226"/>
      <w:bookmarkStart w:id="23" w:name="_Toc124749937"/>
      <w:bookmarkStart w:id="24" w:name="_Toc125361074"/>
      <w:bookmarkStart w:id="25" w:name="_Toc140002337"/>
      <w:bookmarkStart w:id="26" w:name="_Toc174788852"/>
      <w:bookmarkStart w:id="27" w:name="_Toc174790100"/>
      <w:bookmarkStart w:id="28" w:name="_Toc176599589"/>
      <w:bookmarkStart w:id="29" w:name="_Toc176599853"/>
      <w:r w:rsidRPr="00770790">
        <w:rPr>
          <w:rFonts w:hint="eastAsia"/>
        </w:rPr>
        <w:lastRenderedPageBreak/>
        <w:t>基金托管协议的依据、目的和原则</w:t>
      </w:r>
      <w:bookmarkEnd w:id="18"/>
      <w:bookmarkEnd w:id="19"/>
      <w:bookmarkEnd w:id="20"/>
      <w:bookmarkEnd w:id="21"/>
      <w:bookmarkEnd w:id="22"/>
      <w:bookmarkEnd w:id="23"/>
      <w:bookmarkEnd w:id="24"/>
      <w:bookmarkEnd w:id="25"/>
      <w:bookmarkEnd w:id="26"/>
      <w:bookmarkEnd w:id="27"/>
      <w:bookmarkEnd w:id="28"/>
      <w:bookmarkEnd w:id="29"/>
    </w:p>
    <w:p w14:paraId="427097D8" w14:textId="77777777" w:rsidR="00F47A54" w:rsidRPr="00B4137B" w:rsidRDefault="00F47A54" w:rsidP="00F47A54">
      <w:pPr>
        <w:snapToGrid w:val="0"/>
        <w:spacing w:line="360" w:lineRule="auto"/>
        <w:ind w:firstLineChars="200" w:firstLine="422"/>
        <w:rPr>
          <w:rFonts w:ascii="宋体" w:hAnsi="宋体"/>
          <w:b/>
          <w:snapToGrid w:val="0"/>
          <w:kern w:val="0"/>
          <w:szCs w:val="21"/>
        </w:rPr>
      </w:pPr>
      <w:r w:rsidRPr="00B4137B">
        <w:rPr>
          <w:rFonts w:ascii="宋体" w:hAnsi="宋体" w:hint="eastAsia"/>
          <w:b/>
          <w:bCs/>
          <w:snapToGrid w:val="0"/>
          <w:kern w:val="0"/>
        </w:rPr>
        <w:t>（一）订立</w:t>
      </w:r>
      <w:r w:rsidRPr="00B4137B">
        <w:rPr>
          <w:rFonts w:ascii="宋体" w:hAnsi="宋体" w:hint="eastAsia"/>
          <w:b/>
          <w:snapToGrid w:val="0"/>
          <w:kern w:val="0"/>
          <w:szCs w:val="21"/>
        </w:rPr>
        <w:t>托管协议的依据</w:t>
      </w:r>
    </w:p>
    <w:p w14:paraId="747E10FB" w14:textId="77777777" w:rsidR="00F47A54" w:rsidRPr="00F149E8" w:rsidRDefault="00F47A54" w:rsidP="00F47A54">
      <w:pPr>
        <w:snapToGrid w:val="0"/>
        <w:spacing w:line="360" w:lineRule="auto"/>
        <w:ind w:firstLineChars="200" w:firstLine="420"/>
        <w:rPr>
          <w:rFonts w:ascii="宋体" w:hAnsi="宋体"/>
        </w:rPr>
      </w:pPr>
      <w:r w:rsidRPr="00F149E8">
        <w:rPr>
          <w:rFonts w:ascii="宋体" w:hAnsi="宋体" w:hint="eastAsia"/>
        </w:rPr>
        <w:t>订立本协议的依据是</w:t>
      </w:r>
      <w:r w:rsidRPr="00F149E8">
        <w:rPr>
          <w:rFonts w:ascii="宋体" w:hAnsi="宋体"/>
        </w:rPr>
        <w:t>《中华人民共和国</w:t>
      </w:r>
      <w:hyperlink r:id="rId11" w:tgtFrame="_blank" w:history="1">
        <w:r w:rsidRPr="00F149E8">
          <w:rPr>
            <w:rFonts w:ascii="宋体" w:hAnsi="宋体"/>
          </w:rPr>
          <w:t>证券投资基金法</w:t>
        </w:r>
      </w:hyperlink>
      <w:r w:rsidRPr="00F149E8">
        <w:rPr>
          <w:rFonts w:ascii="宋体" w:hAnsi="宋体"/>
        </w:rPr>
        <w:t>》(以下简称《基金法》)、《</w:t>
      </w:r>
      <w:r w:rsidR="00245912">
        <w:rPr>
          <w:rFonts w:ascii="宋体" w:hAnsi="宋体" w:hint="eastAsia"/>
        </w:rPr>
        <w:t>公开</w:t>
      </w:r>
      <w:r w:rsidR="00245912">
        <w:rPr>
          <w:rFonts w:ascii="宋体" w:hAnsi="宋体"/>
        </w:rPr>
        <w:t>募集</w:t>
      </w:r>
      <w:hyperlink r:id="rId12" w:tgtFrame="_blank" w:history="1">
        <w:r w:rsidRPr="00F149E8">
          <w:t>证券投资基金信息披露管理办法</w:t>
        </w:r>
      </w:hyperlink>
      <w:r w:rsidRPr="00F149E8">
        <w:rPr>
          <w:rFonts w:ascii="宋体" w:hAnsi="宋体"/>
        </w:rPr>
        <w:t>》(以下简称《信息披露办法》)、《</w:t>
      </w:r>
      <w:hyperlink r:id="rId13" w:tgtFrame="_blank" w:history="1">
        <w:r w:rsidRPr="00F149E8">
          <w:t>证券投资基金运作管理办法</w:t>
        </w:r>
      </w:hyperlink>
      <w:r w:rsidRPr="00F149E8">
        <w:rPr>
          <w:rFonts w:ascii="宋体" w:hAnsi="宋体"/>
        </w:rPr>
        <w:t>》(以下简称《运作办法》)</w:t>
      </w:r>
      <w:r w:rsidRPr="00F149E8">
        <w:rPr>
          <w:rFonts w:ascii="宋体" w:hAnsi="宋体" w:hint="eastAsia"/>
        </w:rPr>
        <w:t>、《合格境内机构投资者境外证券投资管理试行办法》（以下简称《试行办法》）及《关于实施</w:t>
      </w:r>
      <w:r w:rsidR="00F326D3">
        <w:rPr>
          <w:rFonts w:ascii="宋体" w:hAnsi="宋体" w:hint="eastAsia"/>
        </w:rPr>
        <w:t>&lt;</w:t>
      </w:r>
      <w:r w:rsidRPr="00F149E8">
        <w:rPr>
          <w:rFonts w:ascii="宋体" w:hAnsi="宋体" w:hint="eastAsia"/>
        </w:rPr>
        <w:t>合格境内机构投资者境外证券投资管理试行办法</w:t>
      </w:r>
      <w:r w:rsidR="00F326D3">
        <w:rPr>
          <w:rFonts w:ascii="宋体" w:hAnsi="宋体" w:hint="eastAsia"/>
        </w:rPr>
        <w:t>&gt;</w:t>
      </w:r>
      <w:r w:rsidRPr="00F149E8">
        <w:rPr>
          <w:rFonts w:ascii="宋体" w:hAnsi="宋体" w:hint="eastAsia"/>
        </w:rPr>
        <w:t>有关问题的通知》（以下简称《通知》）</w:t>
      </w:r>
      <w:r w:rsidR="00B115D4" w:rsidRPr="00B115D4">
        <w:rPr>
          <w:rFonts w:ascii="宋体" w:hAnsi="宋体" w:hint="eastAsia"/>
        </w:rPr>
        <w:t>、《公开募集开放式证券投资基金流动性风险管理规定》</w:t>
      </w:r>
      <w:r w:rsidRPr="00F149E8">
        <w:rPr>
          <w:rFonts w:ascii="宋体" w:hAnsi="宋体" w:hint="eastAsia"/>
        </w:rPr>
        <w:t>等相关法律法规和《南方全球精选配置证券投资基金基金合同》（以下简称《基金合同》）及其他有关规定。</w:t>
      </w:r>
    </w:p>
    <w:p w14:paraId="235E7362" w14:textId="77777777" w:rsidR="00F47A54" w:rsidRDefault="00F47A54" w:rsidP="00F47A54">
      <w:pPr>
        <w:snapToGrid w:val="0"/>
        <w:spacing w:line="360" w:lineRule="auto"/>
        <w:ind w:firstLineChars="200" w:firstLine="422"/>
        <w:rPr>
          <w:rFonts w:ascii="宋体" w:hAnsi="宋体"/>
          <w:b/>
        </w:rPr>
      </w:pPr>
      <w:bookmarkStart w:id="30" w:name="_Toc136455373"/>
      <w:r>
        <w:rPr>
          <w:rFonts w:ascii="宋体" w:hAnsi="宋体" w:hint="eastAsia"/>
          <w:b/>
          <w:kern w:val="0"/>
          <w:szCs w:val="32"/>
        </w:rPr>
        <w:t>（二）订立托管协议的目的</w:t>
      </w:r>
      <w:bookmarkEnd w:id="30"/>
    </w:p>
    <w:p w14:paraId="797D365D" w14:textId="77777777" w:rsidR="00F47A54" w:rsidRDefault="00F47A54" w:rsidP="00F47A54">
      <w:pPr>
        <w:snapToGrid w:val="0"/>
        <w:spacing w:line="360" w:lineRule="auto"/>
        <w:ind w:firstLineChars="200" w:firstLine="420"/>
        <w:rPr>
          <w:szCs w:val="21"/>
        </w:rPr>
      </w:pPr>
      <w:r>
        <w:rPr>
          <w:rFonts w:ascii="宋体" w:hAnsi="宋体"/>
        </w:rPr>
        <w:t>订立基金托管协议的目的是明确</w:t>
      </w:r>
      <w:r>
        <w:rPr>
          <w:rFonts w:ascii="宋体" w:hAnsi="宋体" w:hint="eastAsia"/>
        </w:rPr>
        <w:t>南方全球精选配置证券投资基金（以下简称基金或本基金）</w:t>
      </w:r>
      <w:r>
        <w:rPr>
          <w:rFonts w:ascii="宋体" w:hAnsi="宋体"/>
        </w:rPr>
        <w:t>基金托管人与基金管理人在基金财产的保管、投资</w:t>
      </w:r>
      <w:r>
        <w:rPr>
          <w:szCs w:val="21"/>
        </w:rPr>
        <w:t>运作、净值计算、收益分配、信息披露及相互监督等相关事宜中的权利义务及职责，确保基金财产的安全，保护基金份额持有人的合法权益。</w:t>
      </w:r>
    </w:p>
    <w:p w14:paraId="539B7DBA" w14:textId="77777777" w:rsidR="00F47A54" w:rsidRDefault="00F47A54" w:rsidP="00F47A54">
      <w:pPr>
        <w:snapToGrid w:val="0"/>
        <w:spacing w:line="360" w:lineRule="auto"/>
        <w:ind w:firstLineChars="200" w:firstLine="422"/>
        <w:rPr>
          <w:b/>
          <w:szCs w:val="21"/>
        </w:rPr>
      </w:pPr>
      <w:bookmarkStart w:id="31" w:name="_Toc136455374"/>
      <w:r>
        <w:rPr>
          <w:rFonts w:ascii="宋体" w:hAnsi="宋体" w:hint="eastAsia"/>
          <w:b/>
          <w:kern w:val="0"/>
          <w:szCs w:val="32"/>
        </w:rPr>
        <w:t>（三）订立托管协议的原则</w:t>
      </w:r>
      <w:bookmarkEnd w:id="31"/>
    </w:p>
    <w:p w14:paraId="0F3330CD"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基金管理人和基金托管人本着平等自愿、诚实信用、充分保护基金份额持有人合法权益的原则，经协商一致，签订本协议。</w:t>
      </w:r>
    </w:p>
    <w:p w14:paraId="39E3CEFD" w14:textId="77777777" w:rsidR="00F47A54" w:rsidRDefault="00F47A54" w:rsidP="00FE4EEB">
      <w:pPr>
        <w:snapToGrid w:val="0"/>
        <w:spacing w:line="360" w:lineRule="auto"/>
        <w:ind w:firstLineChars="200" w:firstLine="420"/>
        <w:rPr>
          <w:rFonts w:ascii="宋体" w:hAnsi="宋体"/>
        </w:rPr>
      </w:pPr>
      <w:r>
        <w:rPr>
          <w:rFonts w:ascii="宋体" w:hAnsi="宋体" w:hint="eastAsia"/>
        </w:rPr>
        <w:t>除非本协议另有约定，本协议所使用的词语或简称与其在《基金合同》的释义部分具有相同含义。</w:t>
      </w:r>
    </w:p>
    <w:p w14:paraId="73888152" w14:textId="77777777" w:rsidR="0070704E" w:rsidRPr="00FE4EEB" w:rsidRDefault="0070704E" w:rsidP="00FE4EEB">
      <w:pPr>
        <w:snapToGrid w:val="0"/>
        <w:spacing w:line="360" w:lineRule="auto"/>
        <w:ind w:firstLineChars="200" w:firstLine="422"/>
        <w:rPr>
          <w:rFonts w:ascii="宋体" w:hAnsi="宋体"/>
          <w:b/>
          <w:kern w:val="0"/>
          <w:szCs w:val="32"/>
        </w:rPr>
      </w:pPr>
      <w:r w:rsidRPr="00FE4EEB">
        <w:rPr>
          <w:rFonts w:ascii="宋体" w:hAnsi="宋体" w:hint="eastAsia"/>
          <w:b/>
        </w:rPr>
        <w:t>（四）若本基金实施侧袋机制的，侧袋机制实施期间的相关安排见基金合同和招募说明书的规</w:t>
      </w:r>
      <w:r w:rsidRPr="00FE4EEB">
        <w:rPr>
          <w:rFonts w:ascii="宋体" w:hAnsi="宋体" w:hint="eastAsia"/>
          <w:b/>
          <w:kern w:val="0"/>
          <w:szCs w:val="32"/>
        </w:rPr>
        <w:t>定。</w:t>
      </w:r>
    </w:p>
    <w:p w14:paraId="56D61695" w14:textId="77777777" w:rsidR="00F47A54" w:rsidRDefault="00F47A54" w:rsidP="00F47A54">
      <w:pPr>
        <w:adjustRightInd w:val="0"/>
        <w:snapToGrid w:val="0"/>
        <w:spacing w:after="240" w:line="360" w:lineRule="auto"/>
        <w:ind w:firstLineChars="151" w:firstLine="317"/>
      </w:pPr>
      <w:bookmarkStart w:id="32" w:name="_Toc170466872"/>
      <w:bookmarkStart w:id="33" w:name="_Toc124749227"/>
      <w:bookmarkStart w:id="34" w:name="_Toc124749938"/>
      <w:bookmarkStart w:id="35" w:name="_Toc125361075"/>
      <w:bookmarkStart w:id="36" w:name="_Toc140002338"/>
      <w:r>
        <w:br w:type="page"/>
      </w:r>
      <w:bookmarkEnd w:id="32"/>
      <w:bookmarkEnd w:id="33"/>
      <w:bookmarkEnd w:id="34"/>
      <w:bookmarkEnd w:id="35"/>
      <w:bookmarkEnd w:id="36"/>
    </w:p>
    <w:p w14:paraId="6E2D2C44" w14:textId="77777777" w:rsidR="00F47A54" w:rsidRPr="00770790" w:rsidRDefault="00F47A54" w:rsidP="00F47A54">
      <w:pPr>
        <w:pStyle w:val="20"/>
        <w:numPr>
          <w:ilvl w:val="0"/>
          <w:numId w:val="45"/>
        </w:numPr>
      </w:pPr>
      <w:bookmarkStart w:id="37" w:name="_Toc174788853"/>
      <w:bookmarkStart w:id="38" w:name="_Toc174790101"/>
      <w:bookmarkStart w:id="39" w:name="_Toc176599590"/>
      <w:bookmarkStart w:id="40" w:name="_Toc176599854"/>
      <w:r w:rsidRPr="00770790">
        <w:rPr>
          <w:rFonts w:hint="eastAsia"/>
        </w:rPr>
        <w:lastRenderedPageBreak/>
        <w:t>基金托管人的受托职责和托管职责</w:t>
      </w:r>
      <w:bookmarkEnd w:id="37"/>
      <w:bookmarkEnd w:id="38"/>
      <w:bookmarkEnd w:id="39"/>
      <w:bookmarkEnd w:id="40"/>
    </w:p>
    <w:p w14:paraId="56081A3F" w14:textId="77777777" w:rsidR="00F47A54" w:rsidRPr="004F1DE5" w:rsidRDefault="00F47A54" w:rsidP="00F47A54">
      <w:pPr>
        <w:pStyle w:val="AODocTxtL1"/>
        <w:tabs>
          <w:tab w:val="clear" w:pos="780"/>
        </w:tabs>
        <w:adjustRightInd w:val="0"/>
        <w:snapToGrid w:val="0"/>
        <w:spacing w:before="0" w:line="360" w:lineRule="auto"/>
        <w:ind w:firstLine="0"/>
        <w:jc w:val="both"/>
        <w:rPr>
          <w:b/>
          <w:sz w:val="21"/>
          <w:lang w:val="en-US" w:eastAsia="zh-CN"/>
        </w:rPr>
      </w:pPr>
      <w:r w:rsidRPr="004F1DE5">
        <w:rPr>
          <w:rFonts w:ascii="宋体" w:hAnsi="宋体" w:cs="Arial" w:hint="eastAsia"/>
          <w:b/>
          <w:sz w:val="21"/>
          <w:szCs w:val="20"/>
          <w:lang w:val="en-US" w:eastAsia="zh-CN"/>
        </w:rPr>
        <w:t>（一）基金</w:t>
      </w:r>
      <w:r w:rsidRPr="004F1DE5">
        <w:rPr>
          <w:rFonts w:ascii="宋体" w:hAnsi="宋体" w:cs="Arial" w:hint="eastAsia"/>
          <w:b/>
          <w:sz w:val="21"/>
          <w:szCs w:val="20"/>
          <w:lang w:eastAsia="zh-CN"/>
        </w:rPr>
        <w:t>托管人应当按照有关法律法规履行下列受托人职责：</w:t>
      </w:r>
    </w:p>
    <w:p w14:paraId="0FE3D24F"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保护持有人利益，按照规定对基金日常投资行为和资金汇出入情况实施监督，如发现投资指令或资金汇出入违法、违规，应当及时向中国证监会、国家外汇局报告；</w:t>
      </w:r>
    </w:p>
    <w:p w14:paraId="3207D7FF"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安全保护基金财产，准时将公司行为信息通知基金管理人，确保基金及时收取所有应得收入；</w:t>
      </w:r>
    </w:p>
    <w:p w14:paraId="71F62D6C"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确保基金按照有关法律法规、《基金合同》约定的投资目标和限制进行管理；</w:t>
      </w:r>
    </w:p>
    <w:p w14:paraId="0C3975A2"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按照有关法律法规、《基金合同》的约定执行基金管理人、境外投资顾问的指令，及时办理清算、交割事宜；</w:t>
      </w:r>
    </w:p>
    <w:p w14:paraId="136282D3"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确保基金的份额净值按照有关法律法规、《基金合同》规定的方法进行计算；</w:t>
      </w:r>
    </w:p>
    <w:p w14:paraId="45418A41"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确保基金按照有关法律法规、《基金合同》的规定进行认购、申购、赎回等日常交易；</w:t>
      </w:r>
    </w:p>
    <w:p w14:paraId="7E61C2E4"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确保基金根据有关法律法规、《基金合同》确定并实施收益分配方案；</w:t>
      </w:r>
    </w:p>
    <w:p w14:paraId="077E9885"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按照有关法律法规、《基金合同》的规定以受托人名义或其指定的代理人名义登记资产；</w:t>
      </w:r>
    </w:p>
    <w:p w14:paraId="1EADEB2E"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每月结束后7个工作日内，向中国证监会和国家外汇局报告基金管理人境外投资情况，并按相关规定进行国际收支申报；</w:t>
      </w:r>
    </w:p>
    <w:p w14:paraId="1123F46B" w14:textId="77777777" w:rsidR="00F47A54" w:rsidRDefault="00F47A54" w:rsidP="00F47A54">
      <w:pPr>
        <w:pStyle w:val="AODocTxtL1"/>
        <w:numPr>
          <w:ilvl w:val="0"/>
          <w:numId w:val="37"/>
        </w:numPr>
        <w:tabs>
          <w:tab w:val="clear" w:pos="1534"/>
          <w:tab w:val="num" w:pos="0"/>
          <w:tab w:val="left" w:pos="540"/>
        </w:tabs>
        <w:adjustRightInd w:val="0"/>
        <w:snapToGrid w:val="0"/>
        <w:spacing w:before="0" w:line="360" w:lineRule="auto"/>
        <w:ind w:left="0" w:firstLine="360"/>
        <w:jc w:val="both"/>
        <w:rPr>
          <w:sz w:val="21"/>
          <w:lang w:val="en-US" w:eastAsia="zh-CN"/>
        </w:rPr>
      </w:pPr>
      <w:r>
        <w:rPr>
          <w:rFonts w:ascii="宋体" w:hAnsi="宋体" w:cs="Arial" w:hint="eastAsia"/>
          <w:sz w:val="21"/>
          <w:szCs w:val="20"/>
          <w:lang w:eastAsia="zh-CN"/>
        </w:rPr>
        <w:t>《基金法》和相关法律法规以及中国证监会、国家外汇局根据审慎监管原则规定的其他职责。</w:t>
      </w:r>
    </w:p>
    <w:p w14:paraId="2B6462E5" w14:textId="77777777" w:rsidR="00F47A54" w:rsidRPr="004F1DE5" w:rsidRDefault="00F47A54" w:rsidP="00F47A54">
      <w:pPr>
        <w:pStyle w:val="AODocTxtL1"/>
        <w:tabs>
          <w:tab w:val="clear" w:pos="780"/>
          <w:tab w:val="num" w:pos="0"/>
          <w:tab w:val="left" w:pos="540"/>
        </w:tabs>
        <w:adjustRightInd w:val="0"/>
        <w:snapToGrid w:val="0"/>
        <w:spacing w:before="0" w:line="360" w:lineRule="auto"/>
        <w:ind w:firstLine="360"/>
        <w:jc w:val="both"/>
        <w:rPr>
          <w:rFonts w:ascii="宋体" w:hAnsi="宋体" w:cs="Arial"/>
          <w:b/>
          <w:sz w:val="21"/>
          <w:szCs w:val="20"/>
          <w:lang w:eastAsia="zh-CN"/>
        </w:rPr>
      </w:pPr>
      <w:r w:rsidRPr="004F1DE5">
        <w:rPr>
          <w:rFonts w:ascii="宋体" w:hAnsi="宋体" w:cs="Arial" w:hint="eastAsia"/>
          <w:b/>
          <w:sz w:val="21"/>
          <w:szCs w:val="20"/>
          <w:lang w:val="en-US" w:eastAsia="zh-CN"/>
        </w:rPr>
        <w:t>（二）基金</w:t>
      </w:r>
      <w:r w:rsidRPr="004F1DE5">
        <w:rPr>
          <w:rFonts w:ascii="宋体" w:hAnsi="宋体" w:cs="Arial" w:hint="eastAsia"/>
          <w:b/>
          <w:sz w:val="21"/>
          <w:szCs w:val="20"/>
          <w:lang w:eastAsia="zh-CN"/>
        </w:rPr>
        <w:t>托管人应当按照有关法律法规履行下列托管职责：</w:t>
      </w:r>
    </w:p>
    <w:p w14:paraId="4532C39B" w14:textId="77777777" w:rsidR="00F47A54" w:rsidRDefault="00F47A54" w:rsidP="00F47A54">
      <w:pPr>
        <w:pStyle w:val="AODocTxtL1"/>
        <w:numPr>
          <w:ilvl w:val="1"/>
          <w:numId w:val="35"/>
        </w:numPr>
        <w:tabs>
          <w:tab w:val="clear" w:pos="2521"/>
          <w:tab w:val="num" w:pos="0"/>
          <w:tab w:val="left" w:pos="360"/>
        </w:tabs>
        <w:adjustRightInd w:val="0"/>
        <w:snapToGrid w:val="0"/>
        <w:spacing w:before="0" w:line="360" w:lineRule="auto"/>
        <w:ind w:left="0" w:firstLine="360"/>
        <w:jc w:val="both"/>
        <w:rPr>
          <w:rFonts w:ascii="宋体" w:hAnsi="宋体" w:cs="Arial"/>
          <w:sz w:val="21"/>
          <w:szCs w:val="20"/>
          <w:lang w:eastAsia="zh-CN"/>
        </w:rPr>
      </w:pPr>
      <w:r>
        <w:rPr>
          <w:rFonts w:ascii="宋体" w:hAnsi="宋体" w:cs="Arial" w:hint="eastAsia"/>
          <w:sz w:val="21"/>
          <w:szCs w:val="20"/>
          <w:lang w:eastAsia="zh-CN"/>
        </w:rPr>
        <w:t>安全保管基金资产，开设资金账户和证券账户；</w:t>
      </w:r>
    </w:p>
    <w:p w14:paraId="4786F809" w14:textId="77777777" w:rsidR="00F47A54" w:rsidRDefault="00F47A54" w:rsidP="00F47A54">
      <w:pPr>
        <w:pStyle w:val="AODocTxtL1"/>
        <w:numPr>
          <w:ilvl w:val="1"/>
          <w:numId w:val="35"/>
        </w:numPr>
        <w:tabs>
          <w:tab w:val="clear" w:pos="2521"/>
          <w:tab w:val="num" w:pos="0"/>
          <w:tab w:val="left" w:pos="360"/>
        </w:tabs>
        <w:adjustRightInd w:val="0"/>
        <w:snapToGrid w:val="0"/>
        <w:spacing w:before="0" w:line="360" w:lineRule="auto"/>
        <w:ind w:left="0" w:firstLine="360"/>
        <w:jc w:val="both"/>
        <w:rPr>
          <w:rFonts w:ascii="宋体" w:hAnsi="宋体" w:cs="Arial"/>
          <w:sz w:val="21"/>
          <w:szCs w:val="20"/>
          <w:lang w:val="en-US" w:eastAsia="zh-CN"/>
        </w:rPr>
      </w:pPr>
      <w:r>
        <w:rPr>
          <w:rFonts w:ascii="宋体" w:hAnsi="宋体" w:cs="Arial" w:hint="eastAsia"/>
          <w:sz w:val="21"/>
          <w:szCs w:val="20"/>
          <w:lang w:eastAsia="zh-CN"/>
        </w:rPr>
        <w:t>办理基金管理人就管理本基金的有关结汇、售汇、收汇、付汇和人民币资金结算业务；</w:t>
      </w:r>
    </w:p>
    <w:p w14:paraId="1FE64C3C" w14:textId="77777777" w:rsidR="00F47A54" w:rsidRDefault="00F47A54" w:rsidP="00F47A54">
      <w:pPr>
        <w:pStyle w:val="AODocTxtL1"/>
        <w:numPr>
          <w:ilvl w:val="1"/>
          <w:numId w:val="35"/>
        </w:numPr>
        <w:tabs>
          <w:tab w:val="clear" w:pos="2521"/>
          <w:tab w:val="num" w:pos="0"/>
          <w:tab w:val="left" w:pos="360"/>
        </w:tabs>
        <w:adjustRightInd w:val="0"/>
        <w:snapToGrid w:val="0"/>
        <w:spacing w:before="0" w:line="360" w:lineRule="auto"/>
        <w:ind w:left="0" w:firstLine="360"/>
        <w:jc w:val="both"/>
        <w:rPr>
          <w:rFonts w:ascii="宋体" w:hAnsi="宋体" w:cs="Arial"/>
          <w:sz w:val="21"/>
          <w:szCs w:val="20"/>
          <w:lang w:val="en-US" w:eastAsia="zh-CN"/>
        </w:rPr>
      </w:pPr>
      <w:r>
        <w:rPr>
          <w:rFonts w:ascii="宋体" w:hAnsi="宋体" w:cs="Arial" w:hint="eastAsia"/>
          <w:sz w:val="21"/>
          <w:szCs w:val="20"/>
          <w:lang w:eastAsia="zh-CN"/>
        </w:rPr>
        <w:t>保存基金管理人就管理本基金的资金汇出、汇入、兑换、收汇、付汇、资金往来、委托及成交记录等相关资料，其保存的时间应当不少于20年；</w:t>
      </w:r>
    </w:p>
    <w:p w14:paraId="610760E7" w14:textId="77777777" w:rsidR="00F47A54" w:rsidRDefault="00F47A54" w:rsidP="00F47A54">
      <w:pPr>
        <w:pStyle w:val="AODocTxtL1"/>
        <w:numPr>
          <w:ilvl w:val="1"/>
          <w:numId w:val="35"/>
        </w:numPr>
        <w:tabs>
          <w:tab w:val="clear" w:pos="2521"/>
          <w:tab w:val="num" w:pos="0"/>
          <w:tab w:val="left" w:pos="360"/>
        </w:tabs>
        <w:adjustRightInd w:val="0"/>
        <w:snapToGrid w:val="0"/>
        <w:spacing w:before="0" w:line="360" w:lineRule="auto"/>
        <w:ind w:left="0" w:firstLine="360"/>
        <w:jc w:val="both"/>
        <w:rPr>
          <w:rFonts w:ascii="宋体" w:hAnsi="宋体" w:cs="Arial"/>
          <w:sz w:val="21"/>
          <w:szCs w:val="20"/>
          <w:lang w:val="en-US" w:eastAsia="zh-CN"/>
        </w:rPr>
      </w:pPr>
      <w:r>
        <w:rPr>
          <w:rFonts w:ascii="宋体" w:hAnsi="宋体" w:cs="Arial" w:hint="eastAsia"/>
          <w:sz w:val="21"/>
          <w:szCs w:val="20"/>
          <w:lang w:eastAsia="zh-CN"/>
        </w:rPr>
        <w:t>《基金法》和相关法律法规以及中国证监会、国家外汇局根据审慎监管原则规定的其他职责。</w:t>
      </w:r>
    </w:p>
    <w:p w14:paraId="731D6637" w14:textId="77777777" w:rsidR="00F47A54" w:rsidRDefault="00F47A54" w:rsidP="00F47A54">
      <w:pPr>
        <w:pStyle w:val="AODocTxtL1"/>
        <w:tabs>
          <w:tab w:val="clear" w:pos="780"/>
        </w:tabs>
        <w:adjustRightInd w:val="0"/>
        <w:snapToGrid w:val="0"/>
        <w:spacing w:before="0" w:line="360" w:lineRule="auto"/>
        <w:ind w:firstLineChars="200" w:firstLine="422"/>
        <w:jc w:val="both"/>
        <w:rPr>
          <w:rFonts w:ascii="宋体" w:hAnsi="宋体" w:cs="Arial"/>
          <w:sz w:val="21"/>
          <w:szCs w:val="20"/>
          <w:lang w:eastAsia="zh-CN"/>
        </w:rPr>
      </w:pPr>
      <w:r w:rsidRPr="004F1DE5">
        <w:rPr>
          <w:rFonts w:ascii="宋体" w:hAnsi="宋体" w:cs="Arial" w:hint="eastAsia"/>
          <w:b/>
          <w:sz w:val="21"/>
          <w:szCs w:val="20"/>
          <w:lang w:val="en-US" w:eastAsia="zh-CN"/>
        </w:rPr>
        <w:t>（三）</w:t>
      </w:r>
      <w:r w:rsidRPr="004F1DE5">
        <w:rPr>
          <w:rFonts w:ascii="宋体" w:hAnsi="宋体" w:cs="Arial" w:hint="eastAsia"/>
          <w:b/>
          <w:sz w:val="21"/>
          <w:szCs w:val="20"/>
          <w:lang w:eastAsia="zh-CN"/>
        </w:rPr>
        <w:t>对基金境外财产，基金托管人可授权境外托管人代为履行其承担的职</w:t>
      </w:r>
      <w:r w:rsidRPr="00BC3159">
        <w:rPr>
          <w:rFonts w:ascii="宋体" w:hAnsi="宋体" w:cs="Arial" w:hint="eastAsia"/>
          <w:b/>
          <w:sz w:val="21"/>
          <w:szCs w:val="20"/>
          <w:lang w:eastAsia="zh-CN"/>
        </w:rPr>
        <w:t>责</w:t>
      </w:r>
      <w:r w:rsidRPr="00BC3159">
        <w:rPr>
          <w:rFonts w:ascii="宋体" w:hAnsi="宋体" w:hint="eastAsia"/>
          <w:b/>
          <w:lang w:eastAsia="zh-CN"/>
        </w:rPr>
        <w:t>,并对境外托管人处理有关本基金事务的行为承担相应责任</w:t>
      </w:r>
      <w:r w:rsidRPr="00BC3159">
        <w:rPr>
          <w:rFonts w:ascii="宋体" w:hAnsi="宋体" w:cs="Arial" w:hint="eastAsia"/>
          <w:b/>
          <w:sz w:val="21"/>
          <w:szCs w:val="20"/>
          <w:lang w:eastAsia="zh-CN"/>
        </w:rPr>
        <w:t>。</w:t>
      </w:r>
      <w:r>
        <w:rPr>
          <w:rFonts w:ascii="宋体" w:hAnsi="宋体" w:cs="Arial" w:hint="eastAsia"/>
          <w:sz w:val="21"/>
          <w:szCs w:val="20"/>
          <w:lang w:eastAsia="zh-CN"/>
        </w:rPr>
        <w:t>境外托管人在履行职责过程中，因本身过错、疏忽等原因而导致基金财产受损的，基金托管人应当承担相应责任。</w:t>
      </w:r>
    </w:p>
    <w:p w14:paraId="49E74630" w14:textId="77777777" w:rsidR="00F47A54" w:rsidRPr="00301920" w:rsidRDefault="00F47A54" w:rsidP="00F47A54">
      <w:pPr>
        <w:widowControl/>
        <w:snapToGrid w:val="0"/>
        <w:spacing w:line="360" w:lineRule="auto"/>
        <w:ind w:firstLineChars="200" w:firstLine="420"/>
        <w:jc w:val="left"/>
        <w:rPr>
          <w:rFonts w:ascii="宋体" w:hAnsi="宋体" w:cs="Arial"/>
          <w:kern w:val="0"/>
          <w:szCs w:val="20"/>
          <w:lang w:val="en-GB"/>
        </w:rPr>
      </w:pPr>
      <w:bookmarkStart w:id="41" w:name="_Toc170466876"/>
      <w:r w:rsidRPr="00301920">
        <w:rPr>
          <w:rFonts w:ascii="宋体" w:hAnsi="宋体" w:cs="Arial"/>
          <w:kern w:val="0"/>
          <w:szCs w:val="20"/>
          <w:lang w:val="en-GB"/>
        </w:rPr>
        <w:br w:type="page"/>
      </w:r>
    </w:p>
    <w:p w14:paraId="487C832B" w14:textId="77777777" w:rsidR="00F47A54" w:rsidRPr="000163E3" w:rsidRDefault="00F47A54" w:rsidP="00F47A54">
      <w:pPr>
        <w:pStyle w:val="20"/>
        <w:numPr>
          <w:ilvl w:val="0"/>
          <w:numId w:val="45"/>
        </w:numPr>
      </w:pPr>
      <w:bookmarkStart w:id="42" w:name="_Toc174788854"/>
      <w:bookmarkStart w:id="43" w:name="_Toc174790102"/>
      <w:bookmarkStart w:id="44" w:name="_Toc176599591"/>
      <w:bookmarkStart w:id="45" w:name="_Toc176599855"/>
      <w:r w:rsidRPr="000163E3">
        <w:rPr>
          <w:rFonts w:hint="eastAsia"/>
        </w:rPr>
        <w:lastRenderedPageBreak/>
        <w:t>基金托管人对基金管理人的业务监督和核查</w:t>
      </w:r>
      <w:bookmarkEnd w:id="42"/>
      <w:bookmarkEnd w:id="43"/>
      <w:bookmarkEnd w:id="44"/>
      <w:bookmarkEnd w:id="45"/>
    </w:p>
    <w:p w14:paraId="6BC0D964" w14:textId="77777777" w:rsidR="00F47A54" w:rsidRPr="0068266B" w:rsidRDefault="00F47A54" w:rsidP="00F47A54">
      <w:pPr>
        <w:widowControl/>
        <w:snapToGrid w:val="0"/>
        <w:spacing w:line="360" w:lineRule="auto"/>
        <w:ind w:firstLineChars="200" w:firstLine="422"/>
        <w:jc w:val="left"/>
        <w:rPr>
          <w:rFonts w:ascii="宋体" w:hAnsi="宋体"/>
          <w:b/>
          <w:szCs w:val="21"/>
        </w:rPr>
      </w:pPr>
      <w:bookmarkStart w:id="46" w:name="_Toc174497178"/>
      <w:bookmarkStart w:id="47" w:name="_Toc174501008"/>
      <w:bookmarkStart w:id="48" w:name="_Toc174502380"/>
      <w:bookmarkStart w:id="49" w:name="_Toc174616279"/>
      <w:r w:rsidRPr="0068266B">
        <w:rPr>
          <w:rFonts w:ascii="宋体" w:hAnsi="宋体" w:hint="eastAsia"/>
          <w:b/>
          <w:szCs w:val="21"/>
        </w:rPr>
        <w:t>（一）基金托管人对基金管理人的投资行为行使监督权</w:t>
      </w:r>
      <w:bookmarkEnd w:id="46"/>
      <w:bookmarkEnd w:id="47"/>
      <w:bookmarkEnd w:id="48"/>
      <w:bookmarkEnd w:id="49"/>
    </w:p>
    <w:p w14:paraId="6060CA30" w14:textId="77777777" w:rsidR="00F47A54" w:rsidRDefault="00F47A54" w:rsidP="00F47A54">
      <w:pPr>
        <w:widowControl/>
        <w:snapToGrid w:val="0"/>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7C396CD3" w14:textId="77777777" w:rsidR="00F47A54" w:rsidRPr="00551766" w:rsidRDefault="00F47A54" w:rsidP="00F47A54">
      <w:pPr>
        <w:widowControl/>
        <w:snapToGrid w:val="0"/>
        <w:spacing w:line="360" w:lineRule="auto"/>
        <w:ind w:firstLineChars="200" w:firstLine="420"/>
        <w:jc w:val="left"/>
        <w:rPr>
          <w:rFonts w:ascii="宋体" w:hAnsi="宋体"/>
        </w:rPr>
      </w:pPr>
      <w:r>
        <w:rPr>
          <w:rFonts w:ascii="宋体" w:hAnsi="宋体" w:hint="eastAsia"/>
        </w:rPr>
        <w:t>本</w:t>
      </w:r>
      <w:r w:rsidRPr="00551766">
        <w:rPr>
          <w:rFonts w:ascii="宋体" w:hAnsi="宋体" w:hint="eastAsia"/>
        </w:rPr>
        <w:t>基金将投资于以下金融工具：</w:t>
      </w:r>
    </w:p>
    <w:p w14:paraId="4210CF3E" w14:textId="77777777" w:rsidR="00F47A54" w:rsidRPr="005F070A" w:rsidRDefault="00F47A54" w:rsidP="00F47A54">
      <w:pPr>
        <w:widowControl/>
        <w:spacing w:line="360" w:lineRule="auto"/>
        <w:ind w:firstLineChars="200" w:firstLine="420"/>
        <w:jc w:val="left"/>
        <w:rPr>
          <w:rFonts w:ascii="宋体" w:hAnsi="宋体"/>
        </w:rPr>
      </w:pPr>
      <w:r w:rsidRPr="005F070A">
        <w:rPr>
          <w:rFonts w:ascii="宋体" w:hAnsi="宋体"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14:paraId="19EB4947" w14:textId="77777777" w:rsidR="00F47A54" w:rsidRDefault="00F47A54" w:rsidP="00F47A54">
      <w:pPr>
        <w:widowControl/>
        <w:snapToGrid w:val="0"/>
        <w:spacing w:line="360" w:lineRule="auto"/>
        <w:ind w:firstLineChars="200" w:firstLine="420"/>
        <w:jc w:val="left"/>
        <w:rPr>
          <w:rFonts w:ascii="宋体" w:hAnsi="宋体" w:cs="宋体"/>
          <w:kern w:val="0"/>
        </w:rPr>
      </w:pPr>
      <w:r>
        <w:rPr>
          <w:rFonts w:ascii="宋体" w:hAnsi="宋体"/>
          <w:kern w:val="0"/>
        </w:rPr>
        <w:t>本基金不得投资于</w:t>
      </w:r>
      <w:r>
        <w:rPr>
          <w:rFonts w:ascii="宋体" w:hAnsi="宋体" w:hint="eastAsia"/>
          <w:kern w:val="0"/>
        </w:rPr>
        <w:t>相关法律法规及《基金合同》禁止投资的投资工具</w:t>
      </w:r>
      <w:r>
        <w:rPr>
          <w:rFonts w:ascii="宋体" w:hAnsi="宋体"/>
          <w:kern w:val="0"/>
        </w:rPr>
        <w:t>。</w:t>
      </w:r>
    </w:p>
    <w:p w14:paraId="7266F4C4" w14:textId="77777777" w:rsidR="00F47A54" w:rsidRDefault="00F47A54" w:rsidP="00F47A54">
      <w:pPr>
        <w:snapToGrid w:val="0"/>
        <w:spacing w:after="120" w:line="360"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72C90A72" w14:textId="77777777" w:rsidR="00F47A54" w:rsidRDefault="00F47A54" w:rsidP="00F47A54">
      <w:pPr>
        <w:snapToGrid w:val="0"/>
        <w:spacing w:line="360" w:lineRule="auto"/>
        <w:ind w:firstLine="480"/>
        <w:rPr>
          <w:rFonts w:ascii="宋体" w:hAnsi="宋体"/>
          <w:szCs w:val="21"/>
        </w:rPr>
      </w:pPr>
      <w:r>
        <w:rPr>
          <w:rFonts w:ascii="宋体" w:hAnsi="宋体" w:hint="eastAsia"/>
          <w:szCs w:val="21"/>
        </w:rPr>
        <w:t>（1）</w:t>
      </w:r>
      <w:r>
        <w:rPr>
          <w:rFonts w:ascii="宋体" w:hAnsi="宋体" w:hint="eastAsia"/>
        </w:rPr>
        <w:t>按法律法规的规定及《基金合同》的约定，</w:t>
      </w:r>
      <w:r>
        <w:rPr>
          <w:rFonts w:ascii="宋体" w:hAnsi="宋体" w:hint="eastAsia"/>
          <w:szCs w:val="21"/>
        </w:rPr>
        <w:t>本基金的投资资产配置比例为</w:t>
      </w:r>
      <w:r>
        <w:rPr>
          <w:rFonts w:ascii="宋体" w:hAnsi="宋体" w:hint="eastAsia"/>
        </w:rPr>
        <w:t>：</w:t>
      </w:r>
    </w:p>
    <w:p w14:paraId="25A2B260" w14:textId="77777777" w:rsidR="00F47A54" w:rsidRPr="005F070A" w:rsidRDefault="00F47A54" w:rsidP="00F47A54">
      <w:pPr>
        <w:widowControl/>
        <w:spacing w:line="360" w:lineRule="auto"/>
        <w:ind w:firstLineChars="200" w:firstLine="420"/>
        <w:jc w:val="left"/>
        <w:rPr>
          <w:rFonts w:ascii="宋体" w:hAnsi="宋体"/>
        </w:rPr>
      </w:pPr>
      <w:r w:rsidRPr="005F070A">
        <w:rPr>
          <w:rFonts w:ascii="宋体" w:hAnsi="宋体" w:hint="eastAsia"/>
        </w:rPr>
        <w:t>本基金投资组合为：对基金和股票投资占本基金基金资产的目标比例为95%，可能比例为60%-100%，其中投资于基金的部分不低于本基金基金资产的60%，投资于股票的部分</w:t>
      </w:r>
      <w:r>
        <w:rPr>
          <w:rFonts w:ascii="宋体" w:hAnsi="宋体" w:hint="eastAsia"/>
        </w:rPr>
        <w:t>(仅限于香港</w:t>
      </w:r>
      <w:r w:rsidRPr="005F070A">
        <w:rPr>
          <w:rFonts w:ascii="宋体" w:hAnsi="宋体" w:hint="eastAsia"/>
        </w:rPr>
        <w:t>证券市场公开发行、上市的股票</w:t>
      </w:r>
      <w:r>
        <w:rPr>
          <w:rFonts w:ascii="宋体" w:hAnsi="宋体" w:hint="eastAsia"/>
        </w:rPr>
        <w:t>)不高于</w:t>
      </w:r>
      <w:r w:rsidRPr="005F070A">
        <w:rPr>
          <w:rFonts w:ascii="宋体" w:hAnsi="宋体" w:hint="eastAsia"/>
        </w:rPr>
        <w:t>本基金基金资产的40%</w:t>
      </w:r>
      <w:r>
        <w:rPr>
          <w:rFonts w:ascii="宋体" w:hAnsi="宋体" w:hint="eastAsia"/>
        </w:rPr>
        <w:t>；</w:t>
      </w:r>
      <w:r w:rsidRPr="005F070A">
        <w:rPr>
          <w:rFonts w:ascii="宋体" w:hAnsi="宋体" w:hint="eastAsia"/>
        </w:rPr>
        <w:t>货币市场工具及其他金融工具占本基金基金资产的0-40%。</w:t>
      </w:r>
    </w:p>
    <w:p w14:paraId="6DA1C332" w14:textId="77777777" w:rsidR="00F47A54" w:rsidRDefault="006A053C" w:rsidP="00F47A54">
      <w:pPr>
        <w:snapToGrid w:val="0"/>
        <w:spacing w:line="360" w:lineRule="auto"/>
        <w:ind w:firstLine="420"/>
        <w:rPr>
          <w:rFonts w:ascii="宋体" w:hAnsi="宋体"/>
        </w:rPr>
      </w:pPr>
      <w:r w:rsidRPr="006A053C">
        <w:rPr>
          <w:rFonts w:ascii="宋体" w:hAnsi="宋体"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r w:rsidR="00F47A54">
        <w:rPr>
          <w:rFonts w:ascii="宋体" w:hAnsi="宋体" w:hint="eastAsia"/>
        </w:rPr>
        <w:t>。</w:t>
      </w:r>
    </w:p>
    <w:p w14:paraId="71CA4973" w14:textId="77777777" w:rsidR="00F47A54" w:rsidRDefault="00F47A54" w:rsidP="00F47A54">
      <w:pPr>
        <w:widowControl/>
        <w:spacing w:line="360" w:lineRule="auto"/>
        <w:ind w:firstLineChars="200" w:firstLine="420"/>
        <w:jc w:val="left"/>
        <w:rPr>
          <w:rFonts w:ascii="宋体" w:hAnsi="宋体"/>
        </w:rPr>
      </w:pPr>
      <w:r>
        <w:rPr>
          <w:rFonts w:ascii="宋体" w:hAnsi="宋体" w:hint="eastAsia"/>
        </w:rPr>
        <w:t>如与中国证监会签订</w:t>
      </w:r>
      <w:r>
        <w:t>双边监管合作谅解备忘录</w:t>
      </w:r>
      <w:r>
        <w:rPr>
          <w:rFonts w:hint="eastAsia"/>
        </w:rPr>
        <w:t>的国家</w:t>
      </w:r>
      <w:r w:rsidR="00EC69B5">
        <w:rPr>
          <w:rFonts w:hint="eastAsia"/>
        </w:rPr>
        <w:t>或地区</w:t>
      </w:r>
      <w:r>
        <w:rPr>
          <w:rFonts w:hint="eastAsia"/>
        </w:rPr>
        <w:t>增加、减少或变更，本基金投资的主要证券市场将相应调整。</w:t>
      </w:r>
    </w:p>
    <w:p w14:paraId="7870BD61" w14:textId="77777777" w:rsidR="00F47A54" w:rsidRDefault="00F47A54" w:rsidP="00F47A54">
      <w:pPr>
        <w:snapToGrid w:val="0"/>
        <w:spacing w:line="360" w:lineRule="auto"/>
        <w:ind w:firstLine="420"/>
        <w:rPr>
          <w:rFonts w:ascii="宋体" w:hAnsi="宋体"/>
        </w:rPr>
      </w:pPr>
      <w:r>
        <w:rPr>
          <w:rFonts w:ascii="宋体" w:hAnsi="宋体" w:hint="eastAsia"/>
        </w:rPr>
        <w:t>因基金规模或市场变化等因素导致投资组合不符合上述规定的，基金管理人应在合理的期限内调整基金的投资组合，以符合上述比例限定。法律法规另有规定时，从其规定。</w:t>
      </w:r>
    </w:p>
    <w:p w14:paraId="181E3524" w14:textId="77777777" w:rsidR="00F47A54" w:rsidRDefault="00F47A54" w:rsidP="00F47A54">
      <w:pPr>
        <w:snapToGrid w:val="0"/>
        <w:spacing w:line="360" w:lineRule="auto"/>
        <w:ind w:firstLine="420"/>
        <w:rPr>
          <w:rFonts w:ascii="宋体" w:hAnsi="宋体"/>
        </w:rPr>
      </w:pPr>
      <w:r>
        <w:rPr>
          <w:rFonts w:ascii="宋体" w:hAnsi="宋体" w:hint="eastAsia"/>
        </w:rPr>
        <w:t>如法律法规或监管机构以后允许本基金投资其他品种，基金管理人在履行适当程序后，可以将其纳入投资范围，并可依据届时有效的法律法规适时合理地调整投资范围。</w:t>
      </w:r>
    </w:p>
    <w:p w14:paraId="59E96624" w14:textId="77777777" w:rsidR="00F47A54" w:rsidRDefault="00F47A54" w:rsidP="00F47A54">
      <w:pPr>
        <w:pStyle w:val="a9"/>
        <w:adjustRightInd w:val="0"/>
        <w:snapToGrid w:val="0"/>
        <w:spacing w:line="360" w:lineRule="auto"/>
        <w:ind w:firstLineChars="200"/>
        <w:rPr>
          <w:rFonts w:ascii="宋体" w:hAnsi="宋体"/>
        </w:rPr>
      </w:pPr>
      <w:r>
        <w:rPr>
          <w:rFonts w:ascii="宋体" w:hAnsi="宋体" w:hint="eastAsia"/>
        </w:rPr>
        <w:t>（2）根据法律法规的规定及《基金合同》的约定，本基金投资组合遵循以下投资限制：</w:t>
      </w:r>
    </w:p>
    <w:p w14:paraId="6A005887" w14:textId="77777777" w:rsidR="00F47A54" w:rsidRDefault="00F47A54" w:rsidP="00F47A54">
      <w:pPr>
        <w:pStyle w:val="a9"/>
        <w:adjustRightInd w:val="0"/>
        <w:snapToGrid w:val="0"/>
        <w:spacing w:line="360" w:lineRule="auto"/>
        <w:ind w:firstLineChars="200"/>
        <w:rPr>
          <w:rFonts w:ascii="宋体" w:hAnsi="宋体"/>
        </w:rPr>
      </w:pPr>
      <w:r>
        <w:rPr>
          <w:rFonts w:ascii="宋体" w:hAnsi="宋体"/>
        </w:rPr>
        <w:t>1</w:t>
      </w:r>
      <w:r>
        <w:rPr>
          <w:rFonts w:ascii="宋体" w:hAnsi="宋体" w:hint="eastAsia"/>
        </w:rPr>
        <w:t>)本</w:t>
      </w:r>
      <w:r>
        <w:rPr>
          <w:rFonts w:ascii="宋体" w:hAnsi="宋体"/>
        </w:rPr>
        <w:t>基金持有同一家银行的存款不得超过基金净值的20%。在基金托管账户的存款可以不受上述限制。</w:t>
      </w:r>
    </w:p>
    <w:p w14:paraId="2A513100" w14:textId="77777777" w:rsidR="00F47A54" w:rsidRDefault="00F47A54" w:rsidP="00F47A54">
      <w:pPr>
        <w:pStyle w:val="a9"/>
        <w:adjustRightInd w:val="0"/>
        <w:snapToGrid w:val="0"/>
        <w:spacing w:line="360" w:lineRule="auto"/>
        <w:ind w:firstLineChars="200"/>
        <w:rPr>
          <w:rFonts w:ascii="宋体" w:hAnsi="宋体"/>
        </w:rPr>
      </w:pPr>
      <w:r>
        <w:rPr>
          <w:rFonts w:ascii="宋体" w:hAnsi="宋体"/>
        </w:rPr>
        <w:t>2</w:t>
      </w:r>
      <w:r>
        <w:rPr>
          <w:rFonts w:ascii="宋体" w:hAnsi="宋体" w:hint="eastAsia"/>
        </w:rPr>
        <w:t>)本</w:t>
      </w:r>
      <w:r>
        <w:rPr>
          <w:rFonts w:ascii="宋体" w:hAnsi="宋体"/>
        </w:rPr>
        <w:t>基金持有同一机构（政府、国际金融组织除外）发行的证券市值不得超过基金</w:t>
      </w:r>
      <w:r>
        <w:rPr>
          <w:rFonts w:ascii="宋体" w:hAnsi="宋体" w:hint="eastAsia"/>
        </w:rPr>
        <w:t>资产</w:t>
      </w:r>
      <w:r>
        <w:rPr>
          <w:rFonts w:ascii="宋体" w:hAnsi="宋体"/>
        </w:rPr>
        <w:t>净值的10%。</w:t>
      </w:r>
    </w:p>
    <w:p w14:paraId="07D18D71" w14:textId="77777777" w:rsidR="00F47A54" w:rsidRDefault="00F47A54" w:rsidP="00F47A54">
      <w:pPr>
        <w:pStyle w:val="a9"/>
        <w:adjustRightInd w:val="0"/>
        <w:snapToGrid w:val="0"/>
        <w:spacing w:line="360" w:lineRule="auto"/>
        <w:ind w:firstLineChars="200"/>
        <w:rPr>
          <w:rFonts w:ascii="宋体" w:hAnsi="宋体"/>
        </w:rPr>
      </w:pPr>
      <w:r>
        <w:rPr>
          <w:rFonts w:ascii="宋体" w:hAnsi="宋体"/>
        </w:rPr>
        <w:lastRenderedPageBreak/>
        <w:t>3</w:t>
      </w:r>
      <w:r>
        <w:rPr>
          <w:rFonts w:ascii="宋体" w:hAnsi="宋体" w:hint="eastAsia"/>
        </w:rPr>
        <w:t>)本</w:t>
      </w:r>
      <w:r>
        <w:rPr>
          <w:rFonts w:ascii="宋体" w:hAnsi="宋体"/>
        </w:rPr>
        <w:t>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14:paraId="0D2BE39F" w14:textId="77777777" w:rsidR="00F47A54" w:rsidRDefault="00F47A54" w:rsidP="00F47A54">
      <w:pPr>
        <w:pStyle w:val="a9"/>
        <w:adjustRightInd w:val="0"/>
        <w:snapToGrid w:val="0"/>
        <w:spacing w:line="360" w:lineRule="auto"/>
        <w:ind w:firstLineChars="200"/>
        <w:rPr>
          <w:rFonts w:ascii="宋体" w:hAnsi="宋体"/>
        </w:rPr>
      </w:pPr>
      <w:r>
        <w:rPr>
          <w:rFonts w:ascii="宋体" w:hAnsi="宋体"/>
        </w:rPr>
        <w:t>4</w:t>
      </w:r>
      <w:r>
        <w:rPr>
          <w:rFonts w:ascii="宋体" w:hAnsi="宋体" w:hint="eastAsia"/>
        </w:rPr>
        <w:t>）基金管理人</w:t>
      </w:r>
      <w:r>
        <w:rPr>
          <w:rFonts w:ascii="宋体" w:hAnsi="宋体"/>
        </w:rPr>
        <w:t>管理的全部基金不得持有同一机构10%以上具有投票权的证券发行总量。</w:t>
      </w:r>
    </w:p>
    <w:p w14:paraId="67C80DBF" w14:textId="77777777" w:rsidR="00F47A54" w:rsidRDefault="00F47A54" w:rsidP="00F47A54">
      <w:pPr>
        <w:pStyle w:val="a9"/>
        <w:adjustRightInd w:val="0"/>
        <w:snapToGrid w:val="0"/>
        <w:spacing w:line="360" w:lineRule="auto"/>
        <w:ind w:firstLineChars="200"/>
        <w:rPr>
          <w:rFonts w:ascii="宋体" w:hAnsi="宋体"/>
        </w:rPr>
      </w:pPr>
      <w:r>
        <w:rPr>
          <w:rFonts w:ascii="宋体" w:hAnsi="宋体" w:hint="eastAsia"/>
        </w:rPr>
        <w:t>上述</w:t>
      </w:r>
      <w:r>
        <w:rPr>
          <w:rFonts w:ascii="宋体" w:hAnsi="宋体"/>
        </w:rPr>
        <w:t>投资比例限制应当合并计算同一机构境内外上市的总股本，同时应当一并计算全球存托凭证和美国存托凭证所代表的基础证券，并假设对持有的股本权证行使转换。</w:t>
      </w:r>
    </w:p>
    <w:p w14:paraId="00C44111" w14:textId="77777777" w:rsidR="00F47A54" w:rsidRDefault="00F47A54" w:rsidP="00F47A54">
      <w:pPr>
        <w:pStyle w:val="a9"/>
        <w:adjustRightInd w:val="0"/>
        <w:snapToGrid w:val="0"/>
        <w:spacing w:line="360" w:lineRule="auto"/>
        <w:ind w:firstLineChars="200"/>
        <w:rPr>
          <w:rFonts w:ascii="宋体" w:hAnsi="宋体"/>
        </w:rPr>
      </w:pPr>
      <w:r>
        <w:rPr>
          <w:rFonts w:ascii="宋体" w:hAnsi="宋体"/>
        </w:rPr>
        <w:t>5</w:t>
      </w:r>
      <w:r>
        <w:rPr>
          <w:rFonts w:ascii="宋体" w:hAnsi="宋体" w:hint="eastAsia"/>
        </w:rPr>
        <w:t>）本</w:t>
      </w:r>
      <w:r>
        <w:rPr>
          <w:rFonts w:ascii="宋体" w:hAnsi="宋体"/>
        </w:rPr>
        <w:t>基金持有非流动性资产市值不得超过基金</w:t>
      </w:r>
      <w:r>
        <w:rPr>
          <w:rFonts w:ascii="宋体" w:hAnsi="宋体" w:hint="eastAsia"/>
        </w:rPr>
        <w:t>资产</w:t>
      </w:r>
      <w:r>
        <w:rPr>
          <w:rFonts w:ascii="宋体" w:hAnsi="宋体"/>
        </w:rPr>
        <w:t>净值的10%。</w:t>
      </w:r>
    </w:p>
    <w:p w14:paraId="0400D324" w14:textId="77777777" w:rsidR="00F47A54" w:rsidRDefault="00F47A54" w:rsidP="00F47A54">
      <w:pPr>
        <w:pStyle w:val="a9"/>
        <w:adjustRightInd w:val="0"/>
        <w:snapToGrid w:val="0"/>
        <w:spacing w:line="360" w:lineRule="auto"/>
        <w:ind w:firstLineChars="200"/>
        <w:rPr>
          <w:rFonts w:ascii="宋体" w:hAnsi="宋体"/>
        </w:rPr>
      </w:pPr>
      <w:r>
        <w:rPr>
          <w:rFonts w:ascii="宋体" w:hAnsi="宋体" w:hint="eastAsia"/>
        </w:rPr>
        <w:t>上述</w:t>
      </w:r>
      <w:r>
        <w:rPr>
          <w:rFonts w:ascii="宋体" w:hAnsi="宋体"/>
        </w:rPr>
        <w:t>非流动性资产是指法律或基金合同规定的流通受限证券以及中国证监会认定的其他资产。</w:t>
      </w:r>
    </w:p>
    <w:p w14:paraId="2EB0B4C4" w14:textId="77777777" w:rsidR="00F47A54" w:rsidRDefault="00F47A54" w:rsidP="00F47A54">
      <w:pPr>
        <w:pStyle w:val="a9"/>
        <w:adjustRightInd w:val="0"/>
        <w:snapToGrid w:val="0"/>
        <w:spacing w:line="360" w:lineRule="auto"/>
        <w:ind w:firstLineChars="200"/>
        <w:rPr>
          <w:rFonts w:ascii="ˎ̥" w:hAnsi="ˎ̥" w:cs="Arial"/>
          <w:szCs w:val="21"/>
        </w:rPr>
      </w:pPr>
      <w:r>
        <w:rPr>
          <w:rFonts w:ascii="宋体" w:hAnsi="宋体" w:hint="eastAsia"/>
        </w:rPr>
        <w:t>6）基金管理人</w:t>
      </w:r>
      <w:r>
        <w:rPr>
          <w:rFonts w:ascii="宋体" w:hAnsi="宋体"/>
        </w:rPr>
        <w:t>管理的全部基金持有任何一只境外基金，不得超过该境外基金总份额的20％。</w:t>
      </w:r>
    </w:p>
    <w:p w14:paraId="4C139A61" w14:textId="77777777" w:rsidR="00F47A54" w:rsidRDefault="00F47A54" w:rsidP="00F47A54">
      <w:pPr>
        <w:snapToGrid w:val="0"/>
        <w:spacing w:line="360" w:lineRule="auto"/>
        <w:ind w:firstLineChars="171" w:firstLine="359"/>
        <w:rPr>
          <w:rFonts w:ascii="ˎ̥" w:hAnsi="ˎ̥" w:cs="Arial"/>
          <w:szCs w:val="21"/>
        </w:rPr>
      </w:pPr>
      <w:r>
        <w:rPr>
          <w:rFonts w:ascii="ˎ̥" w:hAnsi="ˎ̥" w:cs="Arial" w:hint="eastAsia"/>
          <w:szCs w:val="21"/>
        </w:rPr>
        <w:t>7</w:t>
      </w:r>
      <w:r>
        <w:rPr>
          <w:rFonts w:ascii="ˎ̥" w:hAnsi="ˎ̥" w:cs="Arial" w:hint="eastAsia"/>
          <w:szCs w:val="21"/>
        </w:rPr>
        <w:t>）为应付赎回</w:t>
      </w:r>
      <w:r>
        <w:rPr>
          <w:rFonts w:hint="eastAsia"/>
        </w:rPr>
        <w:t>、交易清算等临时用途借入现金的比例不得超过基金资产净值的</w:t>
      </w:r>
      <w:r>
        <w:rPr>
          <w:rFonts w:hint="eastAsia"/>
        </w:rPr>
        <w:t>10%</w:t>
      </w:r>
      <w:r>
        <w:rPr>
          <w:rFonts w:hint="eastAsia"/>
        </w:rPr>
        <w:t>。</w:t>
      </w:r>
    </w:p>
    <w:p w14:paraId="27164741" w14:textId="77777777" w:rsidR="002E2399" w:rsidRPr="002E2399" w:rsidRDefault="002E2399" w:rsidP="002E2399">
      <w:pPr>
        <w:snapToGrid w:val="0"/>
        <w:spacing w:line="360" w:lineRule="auto"/>
        <w:ind w:firstLineChars="171" w:firstLine="359"/>
        <w:rPr>
          <w:rFonts w:ascii="ˎ̥" w:hAnsi="ˎ̥" w:cs="Arial"/>
          <w:szCs w:val="21"/>
        </w:rPr>
      </w:pPr>
      <w:r w:rsidRPr="002E2399">
        <w:rPr>
          <w:rFonts w:ascii="ˎ̥" w:hAnsi="ˎ̥" w:cs="Arial" w:hint="eastAsia"/>
          <w:szCs w:val="21"/>
        </w:rPr>
        <w:t>8</w:t>
      </w:r>
      <w:r>
        <w:rPr>
          <w:rFonts w:ascii="ˎ̥" w:hAnsi="ˎ̥" w:cs="Arial" w:hint="eastAsia"/>
          <w:szCs w:val="21"/>
        </w:rPr>
        <w:t>）</w:t>
      </w:r>
      <w:r w:rsidRPr="002E2399">
        <w:rPr>
          <w:rFonts w:ascii="ˎ̥" w:hAnsi="ˎ̥" w:cs="Arial" w:hint="eastAsia"/>
          <w:szCs w:val="21"/>
        </w:rPr>
        <w:t>本基金主动投资于流动性受限资产的市值合计不得超过基金资产净值的</w:t>
      </w:r>
      <w:r w:rsidRPr="002E2399">
        <w:rPr>
          <w:rFonts w:ascii="ˎ̥" w:hAnsi="ˎ̥" w:cs="Arial" w:hint="eastAsia"/>
          <w:szCs w:val="21"/>
        </w:rPr>
        <w:t>15%</w:t>
      </w:r>
      <w:r w:rsidRPr="002E2399">
        <w:rPr>
          <w:rFonts w:ascii="ˎ̥" w:hAnsi="ˎ̥" w:cs="Arial" w:hint="eastAsia"/>
          <w:szCs w:val="21"/>
        </w:rPr>
        <w:t>；因证券市场波动、上市公司股票停牌、基金规模变动等基金管理人之外的因素致使基金不符合该比例限制的，基金管理人不得主动新增流动性受限资产的投资。</w:t>
      </w:r>
    </w:p>
    <w:p w14:paraId="1CB859D7" w14:textId="77777777" w:rsidR="002E2399" w:rsidRDefault="002E2399" w:rsidP="002E2399">
      <w:pPr>
        <w:snapToGrid w:val="0"/>
        <w:spacing w:line="360" w:lineRule="auto"/>
        <w:ind w:firstLineChars="171" w:firstLine="359"/>
        <w:rPr>
          <w:rFonts w:ascii="ˎ̥" w:hAnsi="ˎ̥" w:cs="Arial"/>
          <w:szCs w:val="21"/>
        </w:rPr>
      </w:pPr>
      <w:r w:rsidRPr="002E2399">
        <w:rPr>
          <w:rFonts w:ascii="ˎ̥" w:hAnsi="ˎ̥" w:cs="Arial" w:hint="eastAsia"/>
          <w:szCs w:val="21"/>
        </w:rPr>
        <w:t>9</w:t>
      </w:r>
      <w:r>
        <w:rPr>
          <w:rFonts w:ascii="ˎ̥" w:hAnsi="ˎ̥" w:cs="Arial" w:hint="eastAsia"/>
          <w:szCs w:val="21"/>
        </w:rPr>
        <w:t>）</w:t>
      </w:r>
      <w:r w:rsidRPr="002E2399">
        <w:rPr>
          <w:rFonts w:ascii="ˎ̥" w:hAnsi="ˎ̥" w:cs="Arial" w:hint="eastAsia"/>
          <w:szCs w:val="21"/>
        </w:rPr>
        <w:t>本基金与私募类证券资管产品及中国证监会认定的其他主体为交易对手开展逆回购交易的，可接受质押品的资质要求应当与基金合同约定的投资范围保持一致。</w:t>
      </w:r>
    </w:p>
    <w:p w14:paraId="675B3CAF" w14:textId="77777777" w:rsidR="00F47A54" w:rsidRDefault="00F47A54" w:rsidP="002E2399">
      <w:pPr>
        <w:snapToGrid w:val="0"/>
        <w:spacing w:line="360" w:lineRule="auto"/>
        <w:ind w:firstLineChars="171" w:firstLine="359"/>
        <w:rPr>
          <w:rFonts w:ascii="ˎ̥" w:hAnsi="ˎ̥" w:cs="Arial"/>
          <w:szCs w:val="21"/>
        </w:rPr>
      </w:pPr>
      <w:r>
        <w:rPr>
          <w:rFonts w:ascii="ˎ̥" w:hAnsi="ˎ̥" w:cs="Arial"/>
          <w:szCs w:val="21"/>
        </w:rPr>
        <w:t>若基金超过上述</w:t>
      </w:r>
      <w:r>
        <w:rPr>
          <w:rFonts w:ascii="ˎ̥" w:hAnsi="ˎ̥" w:cs="Arial" w:hint="eastAsia"/>
          <w:szCs w:val="21"/>
        </w:rPr>
        <w:t>1</w:t>
      </w:r>
      <w:r w:rsidR="002E2399">
        <w:rPr>
          <w:rFonts w:ascii="ˎ̥" w:hAnsi="ˎ̥" w:cs="Arial" w:hint="eastAsia"/>
          <w:szCs w:val="21"/>
        </w:rPr>
        <w:t>）</w:t>
      </w:r>
      <w:r>
        <w:rPr>
          <w:rFonts w:ascii="ˎ̥" w:hAnsi="ˎ̥" w:cs="Arial" w:hint="eastAsia"/>
          <w:szCs w:val="21"/>
        </w:rPr>
        <w:t>-7</w:t>
      </w:r>
      <w:r w:rsidR="002E2399">
        <w:rPr>
          <w:rFonts w:ascii="ˎ̥" w:hAnsi="ˎ̥" w:cs="Arial" w:hint="eastAsia"/>
          <w:szCs w:val="21"/>
        </w:rPr>
        <w:t>）</w:t>
      </w:r>
      <w:r>
        <w:rPr>
          <w:rFonts w:ascii="ˎ̥" w:hAnsi="ˎ̥" w:cs="Arial" w:hint="eastAsia"/>
          <w:szCs w:val="21"/>
        </w:rPr>
        <w:t>项</w:t>
      </w:r>
      <w:r>
        <w:rPr>
          <w:rFonts w:ascii="ˎ̥" w:hAnsi="ˎ̥" w:cs="Arial"/>
          <w:szCs w:val="21"/>
        </w:rPr>
        <w:t>投资比例限制，应当在超过比例后</w:t>
      </w:r>
      <w:r>
        <w:rPr>
          <w:rFonts w:ascii="ˎ̥" w:hAnsi="ˎ̥" w:cs="Arial"/>
          <w:szCs w:val="21"/>
        </w:rPr>
        <w:t>30</w:t>
      </w:r>
      <w:r>
        <w:rPr>
          <w:rFonts w:ascii="ˎ̥" w:hAnsi="ˎ̥" w:cs="Arial"/>
          <w:szCs w:val="21"/>
        </w:rPr>
        <w:t>个工作日内采用合理的商业措施减仓以符合投资比例限制要求。</w:t>
      </w:r>
    </w:p>
    <w:p w14:paraId="3233EC87" w14:textId="77777777" w:rsidR="00F47A54" w:rsidRDefault="002E2399" w:rsidP="00F47A54">
      <w:pPr>
        <w:snapToGrid w:val="0"/>
        <w:spacing w:line="360" w:lineRule="auto"/>
        <w:ind w:firstLineChars="171" w:firstLine="359"/>
        <w:rPr>
          <w:rFonts w:ascii="ˎ̥" w:hAnsi="ˎ̥" w:cs="Arial"/>
          <w:szCs w:val="21"/>
        </w:rPr>
      </w:pPr>
      <w:r>
        <w:rPr>
          <w:rFonts w:ascii="ˎ̥" w:hAnsi="ˎ̥" w:cs="Arial"/>
          <w:szCs w:val="21"/>
        </w:rPr>
        <w:t>10</w:t>
      </w:r>
      <w:r w:rsidR="00F47A54">
        <w:rPr>
          <w:rFonts w:ascii="ˎ̥" w:hAnsi="ˎ̥" w:cs="Arial" w:hint="eastAsia"/>
          <w:szCs w:val="21"/>
        </w:rPr>
        <w:t>）</w:t>
      </w:r>
      <w:r w:rsidR="00F47A54">
        <w:rPr>
          <w:rFonts w:ascii="ˎ̥" w:hAnsi="ˎ̥" w:cs="Arial"/>
          <w:szCs w:val="21"/>
        </w:rPr>
        <w:t>每只境外基金投资比例不超过</w:t>
      </w:r>
      <w:r w:rsidR="00F47A54">
        <w:rPr>
          <w:rFonts w:ascii="ˎ̥" w:hAnsi="ˎ̥" w:cs="Arial" w:hint="eastAsia"/>
          <w:szCs w:val="21"/>
        </w:rPr>
        <w:t>本基金基金</w:t>
      </w:r>
      <w:r w:rsidR="00F47A54">
        <w:rPr>
          <w:rFonts w:ascii="ˎ̥" w:hAnsi="ˎ̥" w:cs="Arial"/>
          <w:szCs w:val="21"/>
        </w:rPr>
        <w:t>资产净值的</w:t>
      </w:r>
      <w:r w:rsidR="00F47A54">
        <w:rPr>
          <w:rFonts w:ascii="ˎ̥" w:hAnsi="ˎ̥" w:cs="Arial"/>
          <w:szCs w:val="21"/>
        </w:rPr>
        <w:t>20</w:t>
      </w:r>
      <w:r w:rsidR="00F47A54">
        <w:rPr>
          <w:rFonts w:ascii="ˎ̥" w:hAnsi="ˎ̥" w:cs="Arial"/>
          <w:szCs w:val="21"/>
        </w:rPr>
        <w:t>％。</w:t>
      </w:r>
      <w:r w:rsidR="00F47A54">
        <w:rPr>
          <w:rFonts w:ascii="ˎ̥" w:hAnsi="ˎ̥" w:cs="Arial" w:hint="eastAsia"/>
          <w:szCs w:val="21"/>
        </w:rPr>
        <w:t>本基金</w:t>
      </w:r>
      <w:r w:rsidR="00F47A54">
        <w:rPr>
          <w:rFonts w:ascii="ˎ̥" w:hAnsi="ˎ̥" w:cs="Arial"/>
          <w:szCs w:val="21"/>
        </w:rPr>
        <w:t>投资境外伞型基金的，该伞型基金应当视为一只基金。</w:t>
      </w:r>
    </w:p>
    <w:p w14:paraId="0D05C08D" w14:textId="77777777" w:rsidR="00F47A54" w:rsidRDefault="002E2399" w:rsidP="00F47A54">
      <w:pPr>
        <w:snapToGrid w:val="0"/>
        <w:spacing w:line="360" w:lineRule="auto"/>
        <w:ind w:firstLineChars="171" w:firstLine="359"/>
        <w:rPr>
          <w:rFonts w:ascii="ˎ̥" w:hAnsi="ˎ̥" w:cs="Arial"/>
          <w:szCs w:val="21"/>
        </w:rPr>
      </w:pPr>
      <w:r>
        <w:rPr>
          <w:rFonts w:ascii="ˎ̥" w:hAnsi="ˎ̥" w:cs="Arial"/>
          <w:szCs w:val="21"/>
        </w:rPr>
        <w:t>11</w:t>
      </w:r>
      <w:r w:rsidR="00F47A54">
        <w:rPr>
          <w:rFonts w:ascii="ˎ̥" w:hAnsi="ˎ̥" w:cs="Arial" w:hint="eastAsia"/>
          <w:szCs w:val="21"/>
        </w:rPr>
        <w:t>）本基金</w:t>
      </w:r>
      <w:r w:rsidR="00F47A54">
        <w:rPr>
          <w:rFonts w:ascii="ˎ̥" w:hAnsi="ˎ̥" w:cs="Arial"/>
          <w:szCs w:val="21"/>
        </w:rPr>
        <w:t>不得投资于以下基金：</w:t>
      </w:r>
    </w:p>
    <w:p w14:paraId="30B89BF8"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szCs w:val="21"/>
        </w:rPr>
        <w:t>其他基金中基金；</w:t>
      </w:r>
    </w:p>
    <w:p w14:paraId="35443C28"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szCs w:val="21"/>
        </w:rPr>
        <w:t>联接基金（</w:t>
      </w:r>
      <w:r>
        <w:rPr>
          <w:rFonts w:ascii="ˎ̥" w:hAnsi="ˎ̥" w:cs="Arial"/>
          <w:szCs w:val="21"/>
        </w:rPr>
        <w:t>A Feeder Fund</w:t>
      </w:r>
      <w:r>
        <w:rPr>
          <w:rFonts w:ascii="ˎ̥" w:hAnsi="ˎ̥" w:cs="Arial"/>
          <w:szCs w:val="21"/>
        </w:rPr>
        <w:t>）；</w:t>
      </w:r>
    </w:p>
    <w:p w14:paraId="15C493D0"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szCs w:val="21"/>
        </w:rPr>
        <w:t>投资于前述两项基金的伞型基金子基金。</w:t>
      </w:r>
    </w:p>
    <w:p w14:paraId="31675EC4" w14:textId="77777777" w:rsidR="00F47A54" w:rsidRDefault="002E2399" w:rsidP="00F47A54">
      <w:pPr>
        <w:snapToGrid w:val="0"/>
        <w:spacing w:line="360" w:lineRule="auto"/>
        <w:ind w:firstLineChars="200" w:firstLine="420"/>
        <w:rPr>
          <w:rFonts w:ascii="ˎ̥" w:hAnsi="ˎ̥" w:cs="Arial"/>
          <w:szCs w:val="21"/>
        </w:rPr>
      </w:pPr>
      <w:r>
        <w:rPr>
          <w:rFonts w:ascii="ˎ̥" w:hAnsi="ˎ̥" w:cs="Arial" w:hint="eastAsia"/>
          <w:szCs w:val="21"/>
        </w:rPr>
        <w:t>1</w:t>
      </w:r>
      <w:r>
        <w:rPr>
          <w:rFonts w:ascii="ˎ̥" w:hAnsi="ˎ̥" w:cs="Arial"/>
          <w:szCs w:val="21"/>
        </w:rPr>
        <w:t>2</w:t>
      </w:r>
      <w:r w:rsidR="00F47A54">
        <w:rPr>
          <w:rFonts w:ascii="ˎ̥" w:hAnsi="ˎ̥" w:cs="Arial" w:hint="eastAsia"/>
          <w:szCs w:val="21"/>
        </w:rPr>
        <w:t>）本</w:t>
      </w:r>
      <w:r w:rsidR="00F47A54">
        <w:rPr>
          <w:rFonts w:ascii="ˎ̥" w:hAnsi="ˎ̥" w:cs="Arial"/>
          <w:szCs w:val="21"/>
        </w:rPr>
        <w:t>基金投资衍生品应当仅限于投资组合避险或有效管理，不得用于投机或放大交易，同时应当严格遵守下列规定：</w:t>
      </w:r>
    </w:p>
    <w:p w14:paraId="65AB54A0"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hint="eastAsia"/>
          <w:szCs w:val="21"/>
        </w:rPr>
        <w:t>本</w:t>
      </w:r>
      <w:r>
        <w:rPr>
          <w:rFonts w:ascii="ˎ̥" w:hAnsi="ˎ̥" w:cs="Arial"/>
          <w:szCs w:val="21"/>
        </w:rPr>
        <w:t>基金的金融衍生品全部敞口不得高于基金资产净值的</w:t>
      </w:r>
      <w:r>
        <w:rPr>
          <w:rFonts w:ascii="ˎ̥" w:hAnsi="ˎ̥" w:cs="Arial"/>
          <w:szCs w:val="21"/>
        </w:rPr>
        <w:t>100</w:t>
      </w:r>
      <w:r>
        <w:rPr>
          <w:rFonts w:ascii="ˎ̥" w:hAnsi="ˎ̥" w:cs="Arial"/>
          <w:szCs w:val="21"/>
        </w:rPr>
        <w:t>％。</w:t>
      </w:r>
    </w:p>
    <w:p w14:paraId="78DA6CA4"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hint="eastAsia"/>
          <w:szCs w:val="21"/>
        </w:rPr>
        <w:t>本</w:t>
      </w:r>
      <w:r>
        <w:rPr>
          <w:rFonts w:ascii="ˎ̥" w:hAnsi="ˎ̥" w:cs="Arial"/>
          <w:szCs w:val="21"/>
        </w:rPr>
        <w:t>基金投资期货支付的初始保证金、投资期权支付或收取的期权费、投资柜台交易衍生品支付的初始费用的总额不得高于基金资产净值的</w:t>
      </w:r>
      <w:r>
        <w:rPr>
          <w:rFonts w:ascii="ˎ̥" w:hAnsi="ˎ̥" w:cs="Arial"/>
          <w:szCs w:val="21"/>
        </w:rPr>
        <w:t>10</w:t>
      </w:r>
      <w:r>
        <w:rPr>
          <w:rFonts w:ascii="ˎ̥" w:hAnsi="ˎ̥" w:cs="Arial"/>
          <w:szCs w:val="21"/>
        </w:rPr>
        <w:t>％。</w:t>
      </w:r>
    </w:p>
    <w:p w14:paraId="6E86CCB5"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hint="eastAsia"/>
          <w:szCs w:val="21"/>
        </w:rPr>
        <w:t>本</w:t>
      </w:r>
      <w:r>
        <w:rPr>
          <w:rFonts w:ascii="ˎ̥" w:hAnsi="ˎ̥" w:cs="Arial"/>
          <w:szCs w:val="21"/>
        </w:rPr>
        <w:t>基金投资于远期合约、互换等柜台交易金融衍生品，应当符合以下要求：</w:t>
      </w:r>
    </w:p>
    <w:p w14:paraId="446822C8"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szCs w:val="21"/>
        </w:rPr>
        <w:t>所有参与交易的对手方（中资商业银行除外）应当具有不低于中国证监会认可的信用评级机构评级</w:t>
      </w:r>
      <w:r>
        <w:rPr>
          <w:rFonts w:ascii="ˎ̥" w:hAnsi="ˎ̥" w:cs="Arial" w:hint="eastAsia"/>
          <w:szCs w:val="21"/>
        </w:rPr>
        <w:t>；</w:t>
      </w:r>
    </w:p>
    <w:p w14:paraId="6A0B2334"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szCs w:val="21"/>
        </w:rPr>
        <w:t>交易对手方应当至少每个工作日对交易进行估值，并且基金可在任何时候以公允价值</w:t>
      </w:r>
      <w:r>
        <w:rPr>
          <w:rFonts w:ascii="ˎ̥" w:hAnsi="ˎ̥" w:cs="Arial"/>
          <w:szCs w:val="21"/>
        </w:rPr>
        <w:lastRenderedPageBreak/>
        <w:t>终止交易</w:t>
      </w:r>
      <w:r>
        <w:rPr>
          <w:rFonts w:ascii="ˎ̥" w:hAnsi="ˎ̥" w:cs="Arial" w:hint="eastAsia"/>
          <w:szCs w:val="21"/>
        </w:rPr>
        <w:t>；</w:t>
      </w:r>
    </w:p>
    <w:p w14:paraId="485265D8"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szCs w:val="21"/>
        </w:rPr>
        <w:t>任一交易对手方的市值计价敞口不得超过基金资产净值的</w:t>
      </w:r>
      <w:r>
        <w:rPr>
          <w:rFonts w:ascii="ˎ̥" w:hAnsi="ˎ̥" w:cs="Arial"/>
          <w:szCs w:val="21"/>
        </w:rPr>
        <w:t>20</w:t>
      </w:r>
      <w:r>
        <w:rPr>
          <w:rFonts w:ascii="ˎ̥" w:hAnsi="ˎ̥" w:cs="Arial"/>
          <w:szCs w:val="21"/>
        </w:rPr>
        <w:t>％</w:t>
      </w:r>
      <w:r>
        <w:rPr>
          <w:rFonts w:ascii="ˎ̥" w:hAnsi="ˎ̥" w:cs="Arial" w:hint="eastAsia"/>
          <w:szCs w:val="21"/>
        </w:rPr>
        <w:t>；</w:t>
      </w:r>
    </w:p>
    <w:p w14:paraId="1C19F526" w14:textId="77777777" w:rsidR="00F47A54" w:rsidRDefault="002E2399" w:rsidP="00F47A54">
      <w:pPr>
        <w:snapToGrid w:val="0"/>
        <w:spacing w:line="360" w:lineRule="auto"/>
        <w:ind w:firstLineChars="200" w:firstLine="420"/>
        <w:rPr>
          <w:rFonts w:ascii="ˎ̥" w:hAnsi="ˎ̥" w:cs="Arial"/>
          <w:szCs w:val="21"/>
        </w:rPr>
      </w:pPr>
      <w:r>
        <w:rPr>
          <w:rFonts w:ascii="ˎ̥" w:hAnsi="ˎ̥" w:cs="Arial" w:hint="eastAsia"/>
          <w:szCs w:val="21"/>
        </w:rPr>
        <w:t>1</w:t>
      </w:r>
      <w:r>
        <w:rPr>
          <w:rFonts w:ascii="ˎ̥" w:hAnsi="ˎ̥" w:cs="Arial"/>
          <w:szCs w:val="21"/>
        </w:rPr>
        <w:t>3</w:t>
      </w:r>
      <w:r w:rsidR="00F47A54">
        <w:rPr>
          <w:rFonts w:ascii="ˎ̥" w:hAnsi="ˎ̥" w:cs="Arial" w:hint="eastAsia"/>
          <w:szCs w:val="21"/>
        </w:rPr>
        <w:t>）本基金可以参与证券借贷交易，并且应当遵守下列规定：</w:t>
      </w:r>
    </w:p>
    <w:p w14:paraId="2ADE78F0"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szCs w:val="21"/>
        </w:rPr>
        <w:t>所有参与交易的对手方（中资商业银行除外）应当具有中国证监会认可的信用评级机构评级。</w:t>
      </w:r>
    </w:p>
    <w:p w14:paraId="33D269A1"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szCs w:val="21"/>
        </w:rPr>
        <w:t>应当采取市值计价制度进行调整以确保担保物市值不低于已借出证券市值的</w:t>
      </w:r>
      <w:r>
        <w:rPr>
          <w:rFonts w:ascii="ˎ̥" w:hAnsi="ˎ̥" w:cs="Arial"/>
          <w:szCs w:val="21"/>
        </w:rPr>
        <w:t>102</w:t>
      </w:r>
      <w:r>
        <w:rPr>
          <w:rFonts w:ascii="ˎ̥" w:hAnsi="ˎ̥" w:cs="Arial"/>
          <w:szCs w:val="21"/>
        </w:rPr>
        <w:t>％。</w:t>
      </w:r>
    </w:p>
    <w:p w14:paraId="2A2B022F"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szCs w:val="21"/>
        </w:rPr>
        <w:t>借方应当在交易期内及时向</w:t>
      </w:r>
      <w:r>
        <w:rPr>
          <w:rFonts w:ascii="ˎ̥" w:hAnsi="ˎ̥" w:cs="Arial" w:hint="eastAsia"/>
          <w:szCs w:val="21"/>
        </w:rPr>
        <w:t>本</w:t>
      </w:r>
      <w:r>
        <w:rPr>
          <w:rFonts w:ascii="ˎ̥" w:hAnsi="ˎ̥" w:cs="Arial"/>
          <w:szCs w:val="21"/>
        </w:rPr>
        <w:t>基金支付已借出证券产生的所有股息、利息和分红。一旦借方违约，</w:t>
      </w:r>
      <w:r>
        <w:rPr>
          <w:rFonts w:ascii="ˎ̥" w:hAnsi="ˎ̥" w:cs="Arial" w:hint="eastAsia"/>
          <w:szCs w:val="21"/>
        </w:rPr>
        <w:t>本</w:t>
      </w:r>
      <w:r>
        <w:rPr>
          <w:rFonts w:ascii="ˎ̥" w:hAnsi="ˎ̥" w:cs="Arial"/>
          <w:szCs w:val="21"/>
        </w:rPr>
        <w:t>基金根据协议和有关法律有权保留和处置担保物以满足索赔需要。</w:t>
      </w:r>
    </w:p>
    <w:p w14:paraId="4EFF7D7F"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D.</w:t>
      </w:r>
      <w:r>
        <w:rPr>
          <w:rFonts w:ascii="ˎ̥" w:hAnsi="ˎ̥" w:cs="Arial"/>
          <w:szCs w:val="21"/>
        </w:rPr>
        <w:t>除中国证监会另有规定外，担保物可以是以下金融工具或品种：</w:t>
      </w:r>
    </w:p>
    <w:p w14:paraId="3A7E425C"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szCs w:val="21"/>
        </w:rPr>
        <w:t>现金；</w:t>
      </w:r>
    </w:p>
    <w:p w14:paraId="18C4995E"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szCs w:val="21"/>
        </w:rPr>
        <w:t>存款证明；</w:t>
      </w:r>
    </w:p>
    <w:p w14:paraId="493C6BBD"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szCs w:val="21"/>
        </w:rPr>
        <w:t>商业票据；</w:t>
      </w:r>
    </w:p>
    <w:p w14:paraId="2DFDFB2B"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d.</w:t>
      </w:r>
      <w:r>
        <w:rPr>
          <w:rFonts w:ascii="ˎ̥" w:hAnsi="ˎ̥" w:cs="Arial"/>
          <w:szCs w:val="21"/>
        </w:rPr>
        <w:t>政府债券；</w:t>
      </w:r>
    </w:p>
    <w:p w14:paraId="03995B5E"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e.</w:t>
      </w:r>
      <w:r>
        <w:rPr>
          <w:rFonts w:ascii="ˎ̥" w:hAnsi="ˎ̥" w:cs="Arial"/>
          <w:szCs w:val="21"/>
        </w:rPr>
        <w:t>中资商业银行或由不低于中国证监会认可的信用评级机构评级的境外金融机构（作为交易对手方或其关联方的除外）出具的不可撤销信用证。</w:t>
      </w:r>
    </w:p>
    <w:p w14:paraId="2D52E836" w14:textId="77777777" w:rsidR="00F47A54" w:rsidRDefault="00F47A54" w:rsidP="006A053C">
      <w:pPr>
        <w:snapToGrid w:val="0"/>
        <w:spacing w:line="360" w:lineRule="auto"/>
        <w:ind w:firstLineChars="200" w:firstLine="420"/>
        <w:rPr>
          <w:rFonts w:ascii="ˎ̥" w:hAnsi="ˎ̥" w:cs="Arial"/>
          <w:szCs w:val="21"/>
        </w:rPr>
      </w:pPr>
      <w:r>
        <w:rPr>
          <w:rFonts w:ascii="ˎ̥" w:hAnsi="ˎ̥" w:cs="Arial" w:hint="eastAsia"/>
          <w:szCs w:val="21"/>
        </w:rPr>
        <w:t>E.</w:t>
      </w:r>
      <w:r>
        <w:rPr>
          <w:rFonts w:ascii="ˎ̥" w:hAnsi="ˎ̥" w:cs="Arial" w:hint="eastAsia"/>
          <w:szCs w:val="21"/>
        </w:rPr>
        <w:t>本</w:t>
      </w:r>
      <w:r>
        <w:rPr>
          <w:rFonts w:ascii="ˎ̥" w:hAnsi="ˎ̥" w:cs="Arial"/>
          <w:szCs w:val="21"/>
        </w:rPr>
        <w:t>基金有权在任何时候终止证券借贷交易并在正常市场惯例的合理期限内要求归还任一或所有已借出的证券。</w:t>
      </w:r>
    </w:p>
    <w:p w14:paraId="60A328E5" w14:textId="77777777" w:rsidR="00F47A54" w:rsidRDefault="002E2399" w:rsidP="00F47A54">
      <w:pPr>
        <w:snapToGrid w:val="0"/>
        <w:spacing w:line="360" w:lineRule="auto"/>
        <w:ind w:firstLineChars="200" w:firstLine="420"/>
        <w:rPr>
          <w:rFonts w:ascii="ˎ̥" w:hAnsi="ˎ̥" w:cs="Arial"/>
          <w:szCs w:val="21"/>
        </w:rPr>
      </w:pPr>
      <w:r>
        <w:rPr>
          <w:rFonts w:ascii="ˎ̥" w:hAnsi="ˎ̥" w:cs="Arial" w:hint="eastAsia"/>
          <w:szCs w:val="21"/>
        </w:rPr>
        <w:t>1</w:t>
      </w:r>
      <w:r>
        <w:rPr>
          <w:rFonts w:ascii="ˎ̥" w:hAnsi="ˎ̥" w:cs="Arial"/>
          <w:szCs w:val="21"/>
        </w:rPr>
        <w:t>4</w:t>
      </w:r>
      <w:r w:rsidR="00F47A54">
        <w:rPr>
          <w:rFonts w:ascii="ˎ̥" w:hAnsi="ˎ̥" w:cs="Arial" w:hint="eastAsia"/>
          <w:szCs w:val="21"/>
        </w:rPr>
        <w:t>）</w:t>
      </w:r>
      <w:r w:rsidR="00F47A54">
        <w:rPr>
          <w:rFonts w:ascii="ˎ̥" w:hAnsi="ˎ̥" w:cs="Arial"/>
          <w:szCs w:val="21"/>
        </w:rPr>
        <w:t>基金可以根据正常市场惯例参与正回购交易、逆回购交易，并且应当遵守下列规定：</w:t>
      </w:r>
    </w:p>
    <w:p w14:paraId="6E64CBC1"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A.</w:t>
      </w:r>
      <w:r>
        <w:rPr>
          <w:rFonts w:ascii="ˎ̥" w:hAnsi="ˎ̥" w:cs="Arial"/>
          <w:szCs w:val="21"/>
        </w:rPr>
        <w:t>所有参与正回购交易的对手方（中资商业银行除外）应当具有中国证监会认可的信用评级机构信用评级。</w:t>
      </w:r>
    </w:p>
    <w:p w14:paraId="2BE9A0E7"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B.</w:t>
      </w:r>
      <w:r>
        <w:rPr>
          <w:rFonts w:ascii="ˎ̥" w:hAnsi="ˎ̥" w:cs="Arial"/>
          <w:szCs w:val="21"/>
        </w:rPr>
        <w:t>参与正回购交易，应当采取市值计价制度对卖出收益进行调整以确保现金不低于已售出证券市值的</w:t>
      </w:r>
      <w:r>
        <w:rPr>
          <w:rFonts w:ascii="ˎ̥" w:hAnsi="ˎ̥" w:cs="Arial"/>
          <w:szCs w:val="21"/>
        </w:rPr>
        <w:t>102</w:t>
      </w:r>
      <w:r>
        <w:rPr>
          <w:rFonts w:ascii="ˎ̥" w:hAnsi="ˎ̥" w:cs="Arial"/>
          <w:szCs w:val="21"/>
        </w:rPr>
        <w:t>％。一旦买方违约，</w:t>
      </w:r>
      <w:r>
        <w:rPr>
          <w:rFonts w:ascii="ˎ̥" w:hAnsi="ˎ̥" w:cs="Arial" w:hint="eastAsia"/>
          <w:szCs w:val="21"/>
        </w:rPr>
        <w:t>本</w:t>
      </w:r>
      <w:r>
        <w:rPr>
          <w:rFonts w:ascii="ˎ̥" w:hAnsi="ˎ̥" w:cs="Arial"/>
          <w:szCs w:val="21"/>
        </w:rPr>
        <w:t>基金根据协议和有关法律有权保留或处置卖出收益以满足索赔需要。</w:t>
      </w:r>
    </w:p>
    <w:p w14:paraId="3CCE8613"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C.</w:t>
      </w:r>
      <w:r>
        <w:rPr>
          <w:rFonts w:ascii="ˎ̥" w:hAnsi="ˎ̥" w:cs="Arial"/>
          <w:szCs w:val="21"/>
        </w:rPr>
        <w:t>买方应当在正回购交易期内及时向</w:t>
      </w:r>
      <w:r>
        <w:rPr>
          <w:rFonts w:ascii="ˎ̥" w:hAnsi="ˎ̥" w:cs="Arial" w:hint="eastAsia"/>
          <w:szCs w:val="21"/>
        </w:rPr>
        <w:t>本</w:t>
      </w:r>
      <w:r>
        <w:rPr>
          <w:rFonts w:ascii="ˎ̥" w:hAnsi="ˎ̥" w:cs="Arial"/>
          <w:szCs w:val="21"/>
        </w:rPr>
        <w:t>基金支付售出证券产生的所有股息、利息和分红。</w:t>
      </w:r>
    </w:p>
    <w:p w14:paraId="59FA5DAB" w14:textId="77777777" w:rsidR="00F47A54" w:rsidRDefault="00F47A54" w:rsidP="00F47A54">
      <w:pPr>
        <w:snapToGrid w:val="0"/>
        <w:spacing w:line="360" w:lineRule="auto"/>
        <w:ind w:firstLineChars="200" w:firstLine="420"/>
        <w:rPr>
          <w:rFonts w:ascii="ˎ̥" w:hAnsi="ˎ̥" w:cs="Arial"/>
          <w:szCs w:val="21"/>
        </w:rPr>
      </w:pPr>
      <w:r>
        <w:rPr>
          <w:rFonts w:ascii="ˎ̥" w:hAnsi="ˎ̥" w:cs="Arial" w:hint="eastAsia"/>
          <w:szCs w:val="21"/>
        </w:rPr>
        <w:t>D.</w:t>
      </w:r>
      <w:r>
        <w:rPr>
          <w:rFonts w:ascii="ˎ̥" w:hAnsi="ˎ̥" w:cs="Arial"/>
          <w:szCs w:val="21"/>
        </w:rPr>
        <w:t>参与逆回购交易，应当对购入证券采取市值计价制度进行调整以确保已购入证券市值不低于支付现金的</w:t>
      </w:r>
      <w:r>
        <w:rPr>
          <w:rFonts w:ascii="ˎ̥" w:hAnsi="ˎ̥" w:cs="Arial"/>
          <w:szCs w:val="21"/>
        </w:rPr>
        <w:t>102</w:t>
      </w:r>
      <w:r>
        <w:rPr>
          <w:rFonts w:ascii="ˎ̥" w:hAnsi="ˎ̥" w:cs="Arial"/>
          <w:szCs w:val="21"/>
        </w:rPr>
        <w:t>％。一旦卖方违约，</w:t>
      </w:r>
      <w:r>
        <w:rPr>
          <w:rFonts w:ascii="ˎ̥" w:hAnsi="ˎ̥" w:cs="Arial" w:hint="eastAsia"/>
          <w:szCs w:val="21"/>
        </w:rPr>
        <w:t>本</w:t>
      </w:r>
      <w:r>
        <w:rPr>
          <w:rFonts w:ascii="ˎ̥" w:hAnsi="ˎ̥" w:cs="Arial"/>
          <w:szCs w:val="21"/>
        </w:rPr>
        <w:t>基金根据协议和有关法律有权保留或处置已购入证券以满足索赔需要。</w:t>
      </w:r>
    </w:p>
    <w:p w14:paraId="74E84FFF" w14:textId="77777777" w:rsidR="006A053C" w:rsidRPr="006A053C" w:rsidRDefault="002E2399" w:rsidP="006A053C">
      <w:pPr>
        <w:pStyle w:val="a9"/>
        <w:adjustRightInd w:val="0"/>
        <w:snapToGrid w:val="0"/>
        <w:spacing w:line="360" w:lineRule="auto"/>
        <w:ind w:firstLineChars="200"/>
        <w:rPr>
          <w:rFonts w:ascii="ˎ̥" w:hAnsi="ˎ̥" w:cs="Arial"/>
          <w:szCs w:val="21"/>
        </w:rPr>
      </w:pPr>
      <w:r>
        <w:rPr>
          <w:rFonts w:ascii="ˎ̥" w:hAnsi="ˎ̥" w:cs="Arial" w:hint="eastAsia"/>
          <w:szCs w:val="21"/>
        </w:rPr>
        <w:t>1</w:t>
      </w:r>
      <w:r>
        <w:rPr>
          <w:rFonts w:ascii="ˎ̥" w:hAnsi="ˎ̥" w:cs="Arial"/>
          <w:szCs w:val="21"/>
        </w:rPr>
        <w:t>5</w:t>
      </w:r>
      <w:r w:rsidR="00F47A54">
        <w:rPr>
          <w:rFonts w:ascii="ˎ̥" w:hAnsi="ˎ̥" w:cs="Arial" w:hint="eastAsia"/>
          <w:szCs w:val="21"/>
        </w:rPr>
        <w:t>）</w:t>
      </w:r>
      <w:r w:rsidR="006A053C" w:rsidRPr="006A053C">
        <w:rPr>
          <w:rFonts w:ascii="ˎ̥" w:hAnsi="ˎ̥" w:cs="Arial" w:hint="eastAsia"/>
          <w:szCs w:val="21"/>
        </w:rPr>
        <w:t>基金参与证券借贷交易、正回购交易，所有已借出而未归还证券总市值或所有已售出而未回购证券总市值均不得超过基金总资产的</w:t>
      </w:r>
      <w:r w:rsidR="006A053C" w:rsidRPr="006A053C">
        <w:rPr>
          <w:rFonts w:ascii="ˎ̥" w:hAnsi="ˎ̥" w:cs="Arial" w:hint="eastAsia"/>
          <w:szCs w:val="21"/>
        </w:rPr>
        <w:t>50</w:t>
      </w:r>
      <w:r w:rsidR="006A053C" w:rsidRPr="006A053C">
        <w:rPr>
          <w:rFonts w:ascii="ˎ̥" w:hAnsi="ˎ̥" w:cs="Arial" w:hint="eastAsia"/>
          <w:szCs w:val="21"/>
        </w:rPr>
        <w:t>％。</w:t>
      </w:r>
    </w:p>
    <w:p w14:paraId="0F51D28A" w14:textId="77777777" w:rsidR="00F47A54" w:rsidRDefault="006A053C" w:rsidP="006A053C">
      <w:pPr>
        <w:pStyle w:val="a9"/>
        <w:adjustRightInd w:val="0"/>
        <w:snapToGrid w:val="0"/>
        <w:spacing w:line="360" w:lineRule="auto"/>
        <w:ind w:firstLineChars="200"/>
        <w:rPr>
          <w:rFonts w:ascii="宋体" w:hAnsi="宋体"/>
        </w:rPr>
      </w:pPr>
      <w:r w:rsidRPr="006A053C">
        <w:rPr>
          <w:rFonts w:ascii="ˎ̥" w:hAnsi="ˎ̥" w:cs="Arial" w:hint="eastAsia"/>
          <w:szCs w:val="21"/>
        </w:rPr>
        <w:t>前项比例限制计算，基金因参与证券借贷交易、正回购交易而持有的担保物、现金不得</w:t>
      </w:r>
      <w:r>
        <w:rPr>
          <w:rFonts w:ascii="ˎ̥" w:hAnsi="ˎ̥" w:cs="Arial" w:hint="eastAsia"/>
          <w:szCs w:val="21"/>
        </w:rPr>
        <w:t>计入基金总资产</w:t>
      </w:r>
      <w:r w:rsidR="00F47A54">
        <w:rPr>
          <w:rFonts w:ascii="ˎ̥" w:hAnsi="ˎ̥" w:cs="Arial"/>
          <w:szCs w:val="21"/>
        </w:rPr>
        <w:t>。</w:t>
      </w:r>
    </w:p>
    <w:p w14:paraId="5106B6FF" w14:textId="77777777" w:rsidR="00F47A54" w:rsidRDefault="00F47A54" w:rsidP="00F47A54">
      <w:pPr>
        <w:pStyle w:val="a9"/>
        <w:adjustRightInd w:val="0"/>
        <w:snapToGrid w:val="0"/>
        <w:spacing w:line="360" w:lineRule="auto"/>
        <w:ind w:firstLineChars="200"/>
      </w:pPr>
      <w:r>
        <w:t>《基金法》及其他有关法律法规或监管部门</w:t>
      </w:r>
      <w:r>
        <w:rPr>
          <w:rFonts w:hint="eastAsia"/>
        </w:rPr>
        <w:t>取消</w:t>
      </w:r>
      <w:r>
        <w:t>上述限制</w:t>
      </w:r>
      <w:r>
        <w:rPr>
          <w:rFonts w:hint="eastAsia"/>
        </w:rPr>
        <w:t>的</w:t>
      </w:r>
      <w:r>
        <w:t>，</w:t>
      </w:r>
      <w:r>
        <w:rPr>
          <w:rFonts w:hint="eastAsia"/>
        </w:rPr>
        <w:t>履行适当程序后，基金不受上述限制</w:t>
      </w:r>
      <w:r>
        <w:t>。</w:t>
      </w:r>
    </w:p>
    <w:p w14:paraId="09A73DB1" w14:textId="77777777" w:rsidR="00F47A54" w:rsidRDefault="00F47A54" w:rsidP="00F47A54">
      <w:pPr>
        <w:pStyle w:val="a9"/>
        <w:adjustRightInd w:val="0"/>
        <w:snapToGrid w:val="0"/>
        <w:spacing w:line="360" w:lineRule="auto"/>
        <w:ind w:firstLineChars="200"/>
        <w:rPr>
          <w:rFonts w:ascii="宋体" w:hAnsi="宋体"/>
          <w:bCs/>
          <w:kern w:val="0"/>
          <w:szCs w:val="28"/>
        </w:rPr>
      </w:pPr>
      <w:r>
        <w:rPr>
          <w:rFonts w:ascii="宋体" w:hAnsi="宋体" w:cs="宋体" w:hint="eastAsia"/>
          <w:kern w:val="0"/>
        </w:rPr>
        <w:t>除投资资产配置外，基金托管人对基金的投资的监督和检查自本基金合同生效之日起开</w:t>
      </w:r>
      <w:r>
        <w:rPr>
          <w:rFonts w:ascii="宋体" w:hAnsi="宋体" w:cs="宋体" w:hint="eastAsia"/>
          <w:kern w:val="0"/>
        </w:rPr>
        <w:lastRenderedPageBreak/>
        <w:t>始。</w:t>
      </w:r>
    </w:p>
    <w:p w14:paraId="6FF655BD" w14:textId="77777777" w:rsidR="00F47A54" w:rsidRDefault="00F47A54" w:rsidP="00F47A54">
      <w:pPr>
        <w:pStyle w:val="a9"/>
        <w:adjustRightInd w:val="0"/>
        <w:snapToGrid w:val="0"/>
        <w:spacing w:line="360" w:lineRule="auto"/>
        <w:ind w:firstLineChars="200"/>
        <w:rPr>
          <w:rFonts w:ascii="宋体" w:hAnsi="宋体" w:cs="宋体"/>
          <w:kern w:val="0"/>
        </w:rPr>
      </w:pPr>
      <w:r>
        <w:rPr>
          <w:rFonts w:ascii="宋体" w:hAnsi="宋体" w:cs="宋体" w:hint="eastAsia"/>
          <w:kern w:val="0"/>
        </w:rPr>
        <w:t>（3）相关法律、法规或部门规章规定的其他比例限制。</w:t>
      </w:r>
    </w:p>
    <w:p w14:paraId="58441477" w14:textId="77777777" w:rsidR="00F47A54" w:rsidRDefault="00F47A54" w:rsidP="00F47A54">
      <w:pPr>
        <w:snapToGrid w:val="0"/>
        <w:spacing w:after="120" w:line="360" w:lineRule="auto"/>
        <w:ind w:firstLine="397"/>
        <w:rPr>
          <w:rFonts w:ascii="宋体" w:hAnsi="宋体"/>
          <w:szCs w:val="21"/>
        </w:rPr>
      </w:pPr>
      <w:r>
        <w:rPr>
          <w:rFonts w:ascii="宋体" w:hAnsi="宋体" w:hint="eastAsia"/>
          <w:szCs w:val="21"/>
        </w:rPr>
        <w:t>基金托管人对基金投资的监督和检查自《基金合同》生效之日起开始。</w:t>
      </w:r>
    </w:p>
    <w:p w14:paraId="46D20D25" w14:textId="77777777" w:rsidR="00F47A54" w:rsidRDefault="00F47A54" w:rsidP="00F47A54">
      <w:pPr>
        <w:snapToGrid w:val="0"/>
        <w:spacing w:after="120" w:line="360" w:lineRule="auto"/>
        <w:ind w:firstLineChars="200" w:firstLine="420"/>
        <w:rPr>
          <w:rFonts w:ascii="宋体" w:hAnsi="宋体"/>
          <w:szCs w:val="21"/>
        </w:rPr>
      </w:pPr>
      <w:r>
        <w:rPr>
          <w:rFonts w:ascii="宋体" w:hAnsi="宋体" w:hint="eastAsia"/>
          <w:szCs w:val="21"/>
        </w:rPr>
        <w:t>3、基金托管人根据有关法律法规的规定及《基金合同》的约定对下述基金投资禁止行为进行监督：</w:t>
      </w:r>
    </w:p>
    <w:p w14:paraId="034F1E36" w14:textId="77777777" w:rsidR="00F47A54" w:rsidRDefault="00F47A54" w:rsidP="00F47A54">
      <w:pPr>
        <w:pStyle w:val="a9"/>
        <w:adjustRightInd w:val="0"/>
        <w:snapToGrid w:val="0"/>
        <w:spacing w:line="360" w:lineRule="auto"/>
        <w:ind w:firstLineChars="200"/>
        <w:rPr>
          <w:rFonts w:ascii="宋体" w:hAnsi="宋体"/>
        </w:rPr>
      </w:pPr>
      <w:r>
        <w:rPr>
          <w:rFonts w:ascii="宋体" w:hAnsi="宋体" w:hint="eastAsia"/>
        </w:rPr>
        <w:t>根据法律法规的规定及《基金合同》的约定，本基金禁止从事下列行为：</w:t>
      </w:r>
    </w:p>
    <w:p w14:paraId="0D46A1F6"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承销证券；</w:t>
      </w:r>
    </w:p>
    <w:p w14:paraId="69C01184"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向他人贷款或提供担保；</w:t>
      </w:r>
    </w:p>
    <w:p w14:paraId="086CD9CD"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从事承担无限责任的投资；</w:t>
      </w:r>
    </w:p>
    <w:p w14:paraId="52EC4465" w14:textId="77777777" w:rsidR="00F47A54" w:rsidRDefault="00F47A54" w:rsidP="00F47A54">
      <w:pPr>
        <w:pStyle w:val="a9"/>
        <w:numPr>
          <w:ilvl w:val="1"/>
          <w:numId w:val="36"/>
        </w:numPr>
        <w:adjustRightInd w:val="0"/>
        <w:snapToGrid w:val="0"/>
        <w:spacing w:line="360" w:lineRule="auto"/>
        <w:rPr>
          <w:rFonts w:ascii="ˎ̥" w:hAnsi="ˎ̥" w:cs="Arial"/>
          <w:szCs w:val="21"/>
        </w:rPr>
      </w:pPr>
      <w:r>
        <w:rPr>
          <w:rFonts w:ascii="宋体" w:hAnsi="宋体" w:cs="Arial"/>
        </w:rPr>
        <w:t>购买不动产</w:t>
      </w:r>
      <w:r>
        <w:rPr>
          <w:rFonts w:ascii="宋体" w:hAnsi="宋体" w:cs="Arial" w:hint="eastAsia"/>
        </w:rPr>
        <w:t>；</w:t>
      </w:r>
    </w:p>
    <w:p w14:paraId="4D08B600"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购买房地产抵押按揭</w:t>
      </w:r>
      <w:r>
        <w:rPr>
          <w:rFonts w:ascii="宋体" w:hAnsi="宋体" w:cs="Arial" w:hint="eastAsia"/>
        </w:rPr>
        <w:t>；</w:t>
      </w:r>
    </w:p>
    <w:p w14:paraId="623AF9A3"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购买贵重金属或代表贵重金属的凭证</w:t>
      </w:r>
      <w:r>
        <w:rPr>
          <w:rFonts w:ascii="宋体" w:hAnsi="宋体" w:cs="Arial" w:hint="eastAsia"/>
        </w:rPr>
        <w:t>；</w:t>
      </w:r>
    </w:p>
    <w:p w14:paraId="0B87C1AD"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购买实物商品</w:t>
      </w:r>
      <w:r>
        <w:rPr>
          <w:rFonts w:ascii="宋体" w:hAnsi="宋体" w:cs="Arial" w:hint="eastAsia"/>
        </w:rPr>
        <w:t>；</w:t>
      </w:r>
    </w:p>
    <w:p w14:paraId="721DCD0E"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除应付赎回、交易清算等临时用途以外，借入现金</w:t>
      </w:r>
      <w:r>
        <w:rPr>
          <w:rFonts w:ascii="宋体" w:hAnsi="宋体" w:cs="Arial" w:hint="eastAsia"/>
        </w:rPr>
        <w:t>；</w:t>
      </w:r>
    </w:p>
    <w:p w14:paraId="7C508FAA"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利用融资购买证券，但投资金融衍生品除外</w:t>
      </w:r>
      <w:r>
        <w:rPr>
          <w:rFonts w:ascii="宋体" w:hAnsi="宋体" w:cs="Arial" w:hint="eastAsia"/>
        </w:rPr>
        <w:t>；</w:t>
      </w:r>
    </w:p>
    <w:p w14:paraId="39A45715"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rPr>
        <w:t>参与未持有基础资产的卖空交易</w:t>
      </w:r>
      <w:r>
        <w:rPr>
          <w:rFonts w:ascii="宋体" w:hAnsi="宋体" w:cs="Arial" w:hint="eastAsia"/>
        </w:rPr>
        <w:t>；</w:t>
      </w:r>
    </w:p>
    <w:p w14:paraId="70AD90E0"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购买证券用于控制或影响发行该证券的机构或其管理层；</w:t>
      </w:r>
    </w:p>
    <w:p w14:paraId="4D9BCFD2"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直接投资与实物商品相关的衍生品；</w:t>
      </w:r>
    </w:p>
    <w:p w14:paraId="6D807B3C"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向基金管理人、基金托管人出资或者买卖其基金管理人、基金托管人发行的股票或债券；</w:t>
      </w:r>
    </w:p>
    <w:p w14:paraId="7504A5BA"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买卖与基金管理人、基金托管人有控股关系的股东或者与基金管理人、基金托管人有其他重大利害关系的公司发行的证券或者承销期内承销的证券；</w:t>
      </w:r>
    </w:p>
    <w:p w14:paraId="4E56D75E"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从事内幕交易、操纵证券价格及其他不正当的证券交易活动；</w:t>
      </w:r>
    </w:p>
    <w:p w14:paraId="7491024B" w14:textId="77777777" w:rsidR="00F47A54" w:rsidRDefault="00F47A54" w:rsidP="00F47A54">
      <w:pPr>
        <w:pStyle w:val="a9"/>
        <w:numPr>
          <w:ilvl w:val="1"/>
          <w:numId w:val="36"/>
        </w:numPr>
        <w:adjustRightInd w:val="0"/>
        <w:snapToGrid w:val="0"/>
        <w:spacing w:line="360" w:lineRule="auto"/>
        <w:rPr>
          <w:rFonts w:ascii="宋体" w:hAnsi="宋体" w:cs="Arial"/>
        </w:rPr>
      </w:pPr>
      <w:r>
        <w:rPr>
          <w:rFonts w:ascii="宋体" w:hAnsi="宋体" w:cs="Arial" w:hint="eastAsia"/>
        </w:rPr>
        <w:t>当时有效的法律法规、中国证监会及《基金合同》规定禁止从事的其他行为。</w:t>
      </w:r>
    </w:p>
    <w:p w14:paraId="7A11EC95" w14:textId="77777777" w:rsidR="00F47A54" w:rsidRDefault="00F47A54" w:rsidP="00F47A54">
      <w:pPr>
        <w:pStyle w:val="a9"/>
        <w:adjustRightInd w:val="0"/>
        <w:snapToGrid w:val="0"/>
        <w:spacing w:line="360" w:lineRule="auto"/>
        <w:ind w:left="420" w:firstLine="0"/>
        <w:rPr>
          <w:rFonts w:ascii="宋体" w:hAnsi="宋体"/>
          <w:bCs/>
          <w:kern w:val="0"/>
          <w:szCs w:val="28"/>
        </w:rPr>
      </w:pPr>
      <w:r>
        <w:rPr>
          <w:rFonts w:ascii="宋体" w:hAnsi="宋体" w:cs="Arial"/>
        </w:rPr>
        <w:t>如法律</w:t>
      </w:r>
      <w:r>
        <w:rPr>
          <w:rFonts w:ascii="宋体" w:hAnsi="宋体"/>
          <w:bCs/>
          <w:kern w:val="0"/>
          <w:szCs w:val="28"/>
        </w:rPr>
        <w:t>法规</w:t>
      </w:r>
      <w:r>
        <w:t>或监管部门取消上述禁止性规定，本基金管理人在履行适当程序后可不受上述规定的限制。</w:t>
      </w:r>
    </w:p>
    <w:p w14:paraId="1CADFB5B" w14:textId="77777777" w:rsidR="00F47A54" w:rsidRDefault="00F47A54" w:rsidP="00F47A54">
      <w:pPr>
        <w:pStyle w:val="a9"/>
        <w:adjustRightInd w:val="0"/>
        <w:snapToGrid w:val="0"/>
        <w:spacing w:line="360" w:lineRule="auto"/>
        <w:ind w:firstLineChars="200"/>
        <w:rPr>
          <w:szCs w:val="21"/>
        </w:rPr>
      </w:pPr>
      <w:r>
        <w:rPr>
          <w:rFonts w:hint="eastAsia"/>
          <w:kern w:val="0"/>
        </w:rPr>
        <w:t>4</w:t>
      </w:r>
      <w:r>
        <w:rPr>
          <w:rFonts w:hint="eastAsia"/>
          <w:kern w:val="0"/>
        </w:rPr>
        <w:t>、基金托管人依据有关法律法规的规定和《基金合同》的约定对于基金关联投资限制进行监督。</w:t>
      </w:r>
    </w:p>
    <w:p w14:paraId="599082D6" w14:textId="77777777" w:rsidR="00F47A54" w:rsidRDefault="00F47A54" w:rsidP="00F47A54">
      <w:pPr>
        <w:snapToGrid w:val="0"/>
        <w:spacing w:after="120" w:line="360" w:lineRule="auto"/>
        <w:ind w:firstLineChars="200" w:firstLine="420"/>
        <w:rPr>
          <w:rFonts w:ascii="宋体" w:hAnsi="宋体"/>
        </w:rPr>
      </w:pPr>
      <w:r>
        <w:rPr>
          <w:rFonts w:ascii="宋体" w:hAnsi="宋体" w:hint="eastAsia"/>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Pr>
          <w:rFonts w:ascii="宋体" w:hAnsi="宋体" w:hint="eastAsia"/>
        </w:rPr>
        <w:t>如</w:t>
      </w:r>
      <w:r>
        <w:rPr>
          <w:rFonts w:ascii="宋体" w:hAnsi="宋体" w:hint="eastAsia"/>
        </w:rPr>
        <w:lastRenderedPageBreak/>
        <w:t>果基金托管人在运作中严格遵循了监督流程，基金管理人仍违规进行关联交易，并造成基金资产损失的，由基金管理人承担责任。</w:t>
      </w:r>
    </w:p>
    <w:p w14:paraId="17F82F1A" w14:textId="77777777" w:rsidR="00F47A54" w:rsidRDefault="00F47A54" w:rsidP="00F47A54">
      <w:pPr>
        <w:pStyle w:val="a9"/>
        <w:adjustRightInd w:val="0"/>
        <w:snapToGrid w:val="0"/>
        <w:spacing w:line="360" w:lineRule="auto"/>
        <w:ind w:firstLineChars="200"/>
        <w:rPr>
          <w:rFonts w:ascii="宋体" w:hAnsi="宋体"/>
          <w:bCs/>
          <w:kern w:val="0"/>
          <w:szCs w:val="28"/>
        </w:rPr>
      </w:pPr>
      <w:r>
        <w:rPr>
          <w:rFonts w:ascii="宋体" w:hAnsi="宋体" w:hint="eastAsia"/>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w:t>
      </w:r>
      <w:r>
        <w:rPr>
          <w:rFonts w:ascii="宋体" w:hAnsi="宋体" w:hint="eastAsia"/>
          <w:bCs/>
          <w:kern w:val="0"/>
          <w:szCs w:val="28"/>
        </w:rPr>
        <w:t>告。</w:t>
      </w:r>
    </w:p>
    <w:p w14:paraId="2733A661" w14:textId="77777777" w:rsidR="00F47A54" w:rsidRDefault="00F47A54" w:rsidP="00F47A54">
      <w:pPr>
        <w:snapToGrid w:val="0"/>
        <w:spacing w:line="360" w:lineRule="auto"/>
        <w:ind w:leftChars="114" w:left="239" w:firstLineChars="100" w:firstLine="210"/>
        <w:rPr>
          <w:rFonts w:ascii="宋体" w:hAnsi="宋体"/>
          <w:szCs w:val="21"/>
        </w:rPr>
      </w:pPr>
      <w:r>
        <w:rPr>
          <w:rFonts w:ascii="宋体" w:hAnsi="宋体" w:hint="eastAsia"/>
          <w:szCs w:val="21"/>
        </w:rPr>
        <w:t>6、基金托管人对基金管理人选择存款银行进行监督。</w:t>
      </w:r>
    </w:p>
    <w:p w14:paraId="038297FB" w14:textId="77777777" w:rsidR="00F47A54" w:rsidRDefault="00F47A54" w:rsidP="00F47A54">
      <w:pPr>
        <w:snapToGrid w:val="0"/>
        <w:spacing w:line="360" w:lineRule="auto"/>
        <w:ind w:firstLineChars="215" w:firstLine="451"/>
        <w:rPr>
          <w:rFonts w:ascii="宋体" w:hAnsi="宋体"/>
          <w:szCs w:val="21"/>
        </w:rPr>
      </w:pPr>
      <w:r>
        <w:rPr>
          <w:rFonts w:ascii="宋体" w:hAnsi="宋体" w:hint="eastAsia"/>
          <w:kern w:val="0"/>
          <w:szCs w:val="20"/>
        </w:rPr>
        <w:t>本基金投资银行存款的信用风险主要包括存款银行的信用等级、存款银行的支付能力等涉及到存款银行选择方面的风险。</w:t>
      </w:r>
      <w:r>
        <w:rPr>
          <w:rFonts w:ascii="宋体" w:hAnsi="宋体"/>
          <w:szCs w:val="18"/>
        </w:rPr>
        <w:t>基金投资银行存款的，其基金管理人应根据法律法规的规定及基金合同的约定，确定符合条件的所有存款银行的名单，并及时提供给基金托管人，基金托管人应据以对基金投资银行存款的交易对手是否符合有关规定进行监督。</w:t>
      </w:r>
      <w:r>
        <w:rPr>
          <w:rFonts w:ascii="宋体" w:hAnsi="宋体" w:hint="eastAsia"/>
          <w:kern w:val="0"/>
          <w:szCs w:val="20"/>
        </w:rPr>
        <w:t>本</w:t>
      </w:r>
      <w:r>
        <w:rPr>
          <w:rFonts w:ascii="宋体" w:hAnsi="宋体" w:hint="eastAsia"/>
          <w:szCs w:val="21"/>
        </w:rPr>
        <w:t>基金投资除提供的</w:t>
      </w:r>
      <w:r>
        <w:rPr>
          <w:rFonts w:ascii="宋体" w:hAnsi="宋体"/>
          <w:szCs w:val="18"/>
        </w:rPr>
        <w:t>存款银行名单</w:t>
      </w:r>
      <w:r>
        <w:rPr>
          <w:rFonts w:ascii="宋体" w:hAnsi="宋体" w:hint="eastAsia"/>
          <w:szCs w:val="21"/>
        </w:rPr>
        <w:t>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存款银行名单进行调整。</w:t>
      </w:r>
    </w:p>
    <w:p w14:paraId="440D2943" w14:textId="77777777" w:rsidR="00F47A54" w:rsidRDefault="00F47A54" w:rsidP="00F47A54">
      <w:pPr>
        <w:snapToGrid w:val="0"/>
        <w:spacing w:line="360" w:lineRule="auto"/>
        <w:ind w:firstLineChars="200" w:firstLine="420"/>
      </w:pPr>
      <w:bookmarkStart w:id="50" w:name="_Toc174497179"/>
      <w:bookmarkStart w:id="51" w:name="_Toc174501009"/>
      <w:bookmarkStart w:id="52" w:name="_Toc174502381"/>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50"/>
      <w:bookmarkEnd w:id="51"/>
      <w:bookmarkEnd w:id="52"/>
    </w:p>
    <w:p w14:paraId="47F4C834" w14:textId="77777777" w:rsidR="00F47A54" w:rsidRDefault="00F47A54" w:rsidP="00F47A54">
      <w:pPr>
        <w:adjustRightInd w:val="0"/>
        <w:snapToGrid w:val="0"/>
        <w:spacing w:line="360" w:lineRule="auto"/>
        <w:ind w:firstLine="400"/>
      </w:pPr>
      <w:r w:rsidRPr="00555363">
        <w:rPr>
          <w:rFonts w:hint="eastAsia"/>
        </w:rPr>
        <w:t>（三）</w:t>
      </w:r>
      <w:r>
        <w:rPr>
          <w:rFonts w:hint="eastAsia"/>
        </w:rPr>
        <w:t>基金托管人发现基金管理人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14:paraId="14B15D11" w14:textId="77777777" w:rsidR="00F47A54" w:rsidRDefault="00F47A54" w:rsidP="00F47A54">
      <w:pPr>
        <w:snapToGrid w:val="0"/>
        <w:spacing w:line="360" w:lineRule="auto"/>
        <w:ind w:firstLineChars="200" w:firstLine="420"/>
        <w:rPr>
          <w:rFonts w:ascii="宋体" w:hAnsi="宋体"/>
          <w:szCs w:val="21"/>
        </w:rPr>
      </w:pPr>
      <w:r>
        <w:rPr>
          <w:rFonts w:hint="eastAsia"/>
        </w:rPr>
        <w:t>基金托管人发现基金管理人或其授权投资机构有重大违法违规行为，应立即报告有关监管机构，同时通知基金管理人；由基金管理人限期纠正，并将纠正结果报告有关机监管机构。</w:t>
      </w:r>
    </w:p>
    <w:p w14:paraId="734C1769"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92B06DD" w14:textId="77777777" w:rsidR="00F47A54" w:rsidRDefault="00F47A54" w:rsidP="00F47A54">
      <w:pPr>
        <w:pStyle w:val="a9"/>
        <w:adjustRightInd w:val="0"/>
        <w:snapToGrid w:val="0"/>
        <w:spacing w:line="360" w:lineRule="auto"/>
        <w:ind w:firstLineChars="200"/>
        <w:rPr>
          <w:rFonts w:ascii="宋体" w:hAnsi="宋体"/>
          <w:bCs/>
          <w:kern w:val="0"/>
          <w:szCs w:val="28"/>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2B31F89" w14:textId="77777777" w:rsidR="00F47A54" w:rsidRDefault="00F47A54" w:rsidP="00F47A54">
      <w:pPr>
        <w:pStyle w:val="a9"/>
        <w:adjustRightInd w:val="0"/>
        <w:snapToGrid w:val="0"/>
        <w:spacing w:line="360" w:lineRule="auto"/>
        <w:ind w:firstLineChars="200"/>
      </w:pPr>
      <w:r>
        <w:rPr>
          <w:rFonts w:ascii="宋体" w:hint="eastAsia"/>
          <w:bCs/>
          <w:kern w:val="0"/>
          <w:szCs w:val="28"/>
        </w:rPr>
        <w:t>（四）</w:t>
      </w:r>
      <w:r>
        <w:rPr>
          <w:rFonts w:hint="eastAsia"/>
        </w:rPr>
        <w:t>基金管理人认可，基金托管人及其</w:t>
      </w:r>
      <w:r>
        <w:rPr>
          <w:rFonts w:ascii="宋体" w:hAnsi="宋体" w:cs="宋体" w:hint="eastAsia"/>
        </w:rPr>
        <w:t>境外托管人</w:t>
      </w:r>
      <w:r>
        <w:rPr>
          <w:rFonts w:hint="eastAsia"/>
        </w:rPr>
        <w:t>的合规监管系统的准确性和完整性受限于基金管理人、经纪人及其他中介机构提供用于该系统的数据和信息，合规投资责任方为基金管理人。在不存在过错的前提下，基金托管人及其境外托管人对这些机构的信息的准</w:t>
      </w:r>
      <w:r>
        <w:rPr>
          <w:rFonts w:hint="eastAsia"/>
        </w:rPr>
        <w:lastRenderedPageBreak/>
        <w:t>确性和完整性不作任何担保、暗示或表示，并对这些机构的信息的准确性和完整性所引起的损失不负任何责任。</w:t>
      </w:r>
    </w:p>
    <w:p w14:paraId="7CCD76AD" w14:textId="77777777" w:rsidR="00F47A54" w:rsidRDefault="00F47A54" w:rsidP="00F47A54">
      <w:pPr>
        <w:adjustRightInd w:val="0"/>
        <w:snapToGrid w:val="0"/>
        <w:spacing w:line="360" w:lineRule="auto"/>
        <w:ind w:firstLine="400"/>
      </w:pPr>
      <w:r>
        <w:rPr>
          <w:rFonts w:hint="eastAsia"/>
        </w:rPr>
        <w:t>（五）</w:t>
      </w:r>
      <w:r>
        <w:t>无投资责任</w:t>
      </w:r>
      <w:r>
        <w:rPr>
          <w:rFonts w:hint="eastAsia"/>
        </w:rPr>
        <w:t>：</w:t>
      </w:r>
      <w:r>
        <w:rPr>
          <w:rFonts w:hint="eastAsia"/>
        </w:rPr>
        <w:t xml:space="preserve"> </w:t>
      </w:r>
    </w:p>
    <w:p w14:paraId="714EB59E" w14:textId="77777777" w:rsidR="00F47A54" w:rsidRDefault="00F47A54" w:rsidP="00F47A54">
      <w:pPr>
        <w:adjustRightInd w:val="0"/>
        <w:snapToGrid w:val="0"/>
        <w:spacing w:line="360" w:lineRule="auto"/>
        <w:ind w:firstLine="400"/>
      </w:pPr>
      <w:r>
        <w:rPr>
          <w:rFonts w:hint="eastAsia"/>
        </w:rPr>
        <w:t>基金管理人应</w:t>
      </w:r>
      <w:r>
        <w:t>理解，</w:t>
      </w:r>
      <w:r>
        <w:rPr>
          <w:rFonts w:hint="eastAsia"/>
        </w:rPr>
        <w:t>托管人对于基金管理人的交易监督服务</w:t>
      </w:r>
      <w:r>
        <w:t>是一种加工</w:t>
      </w:r>
      <w:r>
        <w:rPr>
          <w:rFonts w:hint="eastAsia"/>
        </w:rPr>
        <w:t>应用</w:t>
      </w:r>
      <w:r>
        <w:t>信息</w:t>
      </w:r>
      <w:r>
        <w:rPr>
          <w:rFonts w:hint="eastAsia"/>
        </w:rPr>
        <w:t>的服务</w:t>
      </w:r>
      <w:r>
        <w:t>，而</w:t>
      </w:r>
      <w:r>
        <w:rPr>
          <w:rFonts w:hint="eastAsia"/>
        </w:rPr>
        <w:t>非</w:t>
      </w:r>
      <w:r>
        <w:t>投资服务。</w:t>
      </w:r>
      <w:r>
        <w:rPr>
          <w:rFonts w:hint="eastAsia"/>
        </w:rPr>
        <w:t>除下列第（六）项外，基金托管人、及其境外托管人</w:t>
      </w:r>
      <w:r>
        <w:t>将不会因为提供</w:t>
      </w:r>
      <w:r>
        <w:rPr>
          <w:rFonts w:hint="eastAsia"/>
        </w:rPr>
        <w:t>交易监督服务</w:t>
      </w:r>
      <w:r>
        <w:t>而承担任何</w:t>
      </w:r>
      <w:r>
        <w:rPr>
          <w:rFonts w:hint="eastAsia"/>
        </w:rPr>
        <w:t>因基金管理人违规投资所产生的</w:t>
      </w:r>
      <w:r>
        <w:t>有关责任，</w:t>
      </w:r>
      <w:r>
        <w:rPr>
          <w:rFonts w:hint="eastAsia"/>
        </w:rPr>
        <w:t>，</w:t>
      </w:r>
      <w:r>
        <w:t>也没有义务去采取任何手段回应任何与</w:t>
      </w:r>
      <w:r>
        <w:rPr>
          <w:rFonts w:hint="eastAsia"/>
        </w:rPr>
        <w:t>合规分析</w:t>
      </w:r>
      <w:r>
        <w:t>服务有关的信息和报道，除非接到</w:t>
      </w:r>
      <w:r>
        <w:rPr>
          <w:rFonts w:hint="eastAsia"/>
        </w:rPr>
        <w:t>基金管理人</w:t>
      </w:r>
      <w:r>
        <w:t>或其授权机构</w:t>
      </w:r>
      <w:r>
        <w:rPr>
          <w:rFonts w:hint="eastAsia"/>
        </w:rPr>
        <w:t>要求基金托管人或其境外托管人</w:t>
      </w:r>
      <w:r>
        <w:t>针对某个信息和报道作回应的书面</w:t>
      </w:r>
      <w:r>
        <w:rPr>
          <w:rFonts w:hint="eastAsia"/>
        </w:rPr>
        <w:t>指示</w:t>
      </w:r>
      <w:r>
        <w:t>。</w:t>
      </w:r>
    </w:p>
    <w:p w14:paraId="2476ABC8" w14:textId="7D1D96B7" w:rsidR="008A140B" w:rsidRPr="008A140B" w:rsidRDefault="00F47A54" w:rsidP="008A140B">
      <w:pPr>
        <w:snapToGrid w:val="0"/>
        <w:spacing w:line="360" w:lineRule="auto"/>
        <w:ind w:firstLineChars="200" w:firstLine="420"/>
      </w:pPr>
      <w:r>
        <w:rPr>
          <w:rFonts w:hint="eastAsia"/>
        </w:rPr>
        <w:t>（六）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管理人造成损失，否则基金托管人或其境外托管人不应就交易监督服务承担任何责任。</w:t>
      </w:r>
      <w:bookmarkStart w:id="53" w:name="_Toc123705448"/>
      <w:bookmarkStart w:id="54" w:name="_Toc124749228"/>
      <w:bookmarkStart w:id="55" w:name="_Toc124749939"/>
      <w:bookmarkStart w:id="56" w:name="_Toc125361076"/>
      <w:bookmarkStart w:id="57" w:name="_Toc140002339"/>
    </w:p>
    <w:p w14:paraId="05A6264D" w14:textId="77777777" w:rsidR="00F47A54" w:rsidRPr="00301920" w:rsidRDefault="00F47A54" w:rsidP="00F47A54">
      <w:pPr>
        <w:snapToGrid w:val="0"/>
        <w:spacing w:line="360" w:lineRule="auto"/>
        <w:ind w:firstLineChars="200" w:firstLine="420"/>
      </w:pPr>
      <w:r>
        <w:br w:type="page"/>
      </w:r>
    </w:p>
    <w:p w14:paraId="52180AB3" w14:textId="77777777" w:rsidR="00F47A54" w:rsidRPr="000163E3" w:rsidRDefault="00F47A54" w:rsidP="00F47A54">
      <w:pPr>
        <w:pStyle w:val="20"/>
        <w:numPr>
          <w:ilvl w:val="0"/>
          <w:numId w:val="45"/>
        </w:numPr>
      </w:pPr>
      <w:bookmarkStart w:id="58" w:name="_Toc174788855"/>
      <w:bookmarkStart w:id="59" w:name="_Toc174790103"/>
      <w:bookmarkStart w:id="60" w:name="_Toc176599592"/>
      <w:bookmarkStart w:id="61" w:name="_Toc176599856"/>
      <w:r w:rsidRPr="000163E3">
        <w:rPr>
          <w:rFonts w:hint="eastAsia"/>
        </w:rPr>
        <w:lastRenderedPageBreak/>
        <w:t>基金管理人对基金托管人的业务核查</w:t>
      </w:r>
      <w:bookmarkEnd w:id="53"/>
      <w:bookmarkEnd w:id="54"/>
      <w:bookmarkEnd w:id="55"/>
      <w:bookmarkEnd w:id="56"/>
      <w:bookmarkEnd w:id="57"/>
      <w:bookmarkEnd w:id="58"/>
      <w:bookmarkEnd w:id="59"/>
      <w:bookmarkEnd w:id="60"/>
      <w:bookmarkEnd w:id="61"/>
    </w:p>
    <w:p w14:paraId="7F5F4DBD" w14:textId="77777777" w:rsidR="00F47A54" w:rsidRDefault="00F47A54" w:rsidP="00F47A54">
      <w:pPr>
        <w:snapToGrid w:val="0"/>
        <w:spacing w:line="360" w:lineRule="auto"/>
        <w:ind w:firstLineChars="200" w:firstLine="420"/>
        <w:rPr>
          <w:rFonts w:ascii="宋体" w:hAnsi="宋体"/>
          <w:szCs w:val="21"/>
        </w:rPr>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w:t>
      </w:r>
      <w:r>
        <w:rPr>
          <w:rFonts w:ascii="宋体" w:hAnsi="宋体" w:hint="eastAsia"/>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14:paraId="06364E44" w14:textId="77777777" w:rsidR="00F47A54" w:rsidRDefault="00F47A54" w:rsidP="00F47A54">
      <w:pPr>
        <w:snapToGrid w:val="0"/>
        <w:spacing w:line="360" w:lineRule="auto"/>
        <w:ind w:firstLineChars="200" w:firstLine="420"/>
      </w:pPr>
      <w:r>
        <w:rPr>
          <w:rFonts w:ascii="宋体" w:hAnsi="宋体" w:hint="eastAsia"/>
          <w:szCs w:val="21"/>
        </w:rPr>
        <w:t>（二）基金管理人发现基金托管人擅自挪用基金财产、未对基金财产实行分账管理、未执行或无故延迟执行基金管理人资金划拨指令、泄露基金投资信息等违反《基金法》、《基金合同》、本托管协议及其他有关规定时，</w:t>
      </w:r>
      <w:r>
        <w:rPr>
          <w:rFonts w:hint="eastAsia"/>
        </w:rPr>
        <w:t>基金管理人须向基金托管人作出书面提示；基金托管人在接到提示后，应立即对提示内容予以确认，如无异议，应在基金管理人给定的合理期限内改进，如有异议，应作出书面解释。</w:t>
      </w:r>
    </w:p>
    <w:p w14:paraId="6C652AE4" w14:textId="77777777" w:rsidR="00F47A54" w:rsidRDefault="00F47A54" w:rsidP="00F47A54">
      <w:pPr>
        <w:snapToGrid w:val="0"/>
        <w:spacing w:line="360" w:lineRule="auto"/>
        <w:ind w:firstLineChars="200" w:firstLine="420"/>
      </w:pPr>
      <w:r>
        <w:rPr>
          <w:rFonts w:hint="eastAsia"/>
        </w:rPr>
        <w:t>（三）基金托管人应积极配合基金管理人的核查行为，包括但不限于：提交相关资料以供基金管理人核查托管财产的完整性和真实性，在规定时间内答复基金管理人并改正。</w:t>
      </w:r>
      <w:bookmarkStart w:id="62" w:name="_Toc523829995"/>
      <w:bookmarkStart w:id="63" w:name="_Toc22454437"/>
      <w:bookmarkStart w:id="64" w:name="_Toc48703889"/>
      <w:bookmarkStart w:id="65" w:name="_Toc123626171"/>
      <w:bookmarkStart w:id="66" w:name="_Toc124749229"/>
      <w:bookmarkStart w:id="67" w:name="_Toc124749940"/>
      <w:bookmarkStart w:id="68" w:name="_Toc125361077"/>
      <w:bookmarkStart w:id="69" w:name="_Toc140002340"/>
    </w:p>
    <w:p w14:paraId="002B62C5" w14:textId="77777777" w:rsidR="00F47A54" w:rsidRDefault="00F47A54" w:rsidP="00F47A54">
      <w:pPr>
        <w:snapToGrid w:val="0"/>
        <w:spacing w:line="360" w:lineRule="auto"/>
        <w:ind w:firstLineChars="200" w:firstLine="420"/>
      </w:pPr>
      <w:r>
        <w:br w:type="page"/>
      </w:r>
    </w:p>
    <w:p w14:paraId="1B78CF73" w14:textId="77777777" w:rsidR="00F47A54" w:rsidRPr="000163E3" w:rsidRDefault="00F47A54" w:rsidP="00F47A54">
      <w:pPr>
        <w:pStyle w:val="20"/>
        <w:numPr>
          <w:ilvl w:val="0"/>
          <w:numId w:val="45"/>
        </w:numPr>
      </w:pPr>
      <w:bookmarkStart w:id="70" w:name="_Toc174788856"/>
      <w:bookmarkStart w:id="71" w:name="_Toc174790104"/>
      <w:bookmarkStart w:id="72" w:name="_Toc176599593"/>
      <w:bookmarkStart w:id="73" w:name="_Toc176599857"/>
      <w:r w:rsidRPr="000163E3">
        <w:rPr>
          <w:rFonts w:hint="eastAsia"/>
        </w:rPr>
        <w:lastRenderedPageBreak/>
        <w:t>基金财产保管</w:t>
      </w:r>
      <w:bookmarkEnd w:id="62"/>
      <w:bookmarkEnd w:id="63"/>
      <w:bookmarkEnd w:id="64"/>
      <w:bookmarkEnd w:id="65"/>
      <w:bookmarkEnd w:id="66"/>
      <w:bookmarkEnd w:id="67"/>
      <w:bookmarkEnd w:id="68"/>
      <w:bookmarkEnd w:id="69"/>
      <w:bookmarkEnd w:id="70"/>
      <w:bookmarkEnd w:id="71"/>
      <w:bookmarkEnd w:id="72"/>
      <w:bookmarkEnd w:id="73"/>
    </w:p>
    <w:p w14:paraId="04BB24E2" w14:textId="77777777" w:rsidR="00F47A54" w:rsidRPr="00211E6D" w:rsidRDefault="00F47A54" w:rsidP="00F47A54">
      <w:pPr>
        <w:widowControl/>
        <w:snapToGrid w:val="0"/>
        <w:spacing w:line="360" w:lineRule="auto"/>
        <w:ind w:firstLineChars="200" w:firstLine="422"/>
        <w:jc w:val="left"/>
        <w:rPr>
          <w:rFonts w:ascii="宋体" w:hAnsi="宋体"/>
          <w:b/>
          <w:szCs w:val="21"/>
        </w:rPr>
      </w:pPr>
      <w:bookmarkStart w:id="74" w:name="_Toc37159173"/>
      <w:bookmarkStart w:id="75" w:name="_Toc174497183"/>
      <w:bookmarkStart w:id="76" w:name="_Toc174501012"/>
      <w:bookmarkStart w:id="77" w:name="_Toc174502384"/>
      <w:bookmarkStart w:id="78" w:name="_Toc174616283"/>
      <w:bookmarkEnd w:id="41"/>
      <w:r w:rsidRPr="00211E6D">
        <w:rPr>
          <w:rFonts w:ascii="宋体" w:hAnsi="宋体" w:hint="eastAsia"/>
          <w:b/>
          <w:szCs w:val="21"/>
        </w:rPr>
        <w:t>（一）基金财产保管的原则</w:t>
      </w:r>
      <w:bookmarkEnd w:id="74"/>
      <w:bookmarkEnd w:id="75"/>
      <w:bookmarkEnd w:id="76"/>
      <w:bookmarkEnd w:id="77"/>
      <w:bookmarkEnd w:id="78"/>
    </w:p>
    <w:p w14:paraId="1A829326"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基金财产应独立于基金管理人、基金托管人的固有财产。</w:t>
      </w:r>
    </w:p>
    <w:p w14:paraId="1E53D041"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rPr>
        <w:t>基金托管人应安全保管基金财产</w:t>
      </w:r>
      <w:r>
        <w:rPr>
          <w:rFonts w:ascii="宋体" w:hAnsi="宋体" w:hint="eastAsia"/>
        </w:rPr>
        <w:t>；</w:t>
      </w:r>
      <w:r>
        <w:rPr>
          <w:rFonts w:ascii="宋体" w:hAnsi="宋体"/>
        </w:rPr>
        <w:t>基金托管人按照规定开设基金财产的资金账户和证券账户</w:t>
      </w:r>
      <w:r>
        <w:rPr>
          <w:rFonts w:ascii="宋体" w:hAnsi="宋体" w:hint="eastAsia"/>
        </w:rPr>
        <w:t>；</w:t>
      </w:r>
    </w:p>
    <w:p w14:paraId="106910FA"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rPr>
        <w:t>基金托管人对所托管的不同基金财产分别设置账户，确保基金财产的完整与独立</w:t>
      </w:r>
      <w:r>
        <w:rPr>
          <w:rFonts w:ascii="宋体" w:hAnsi="宋体" w:hint="eastAsia"/>
        </w:rPr>
        <w:t>；</w:t>
      </w:r>
    </w:p>
    <w:p w14:paraId="29BD059D"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hint="eastAsia"/>
        </w:rPr>
        <w:t>除依据有关法律法规规定和本协议约定外，基金托管人、及其境外托管人不得利用基金财产为自己或第三方谋取利益，违反此义务所得利益归于</w:t>
      </w:r>
      <w:r w:rsidRPr="00FF2D5C">
        <w:rPr>
          <w:rFonts w:ascii="宋体" w:hAnsi="宋体" w:hint="eastAsia"/>
        </w:rPr>
        <w:t>基金财产</w:t>
      </w:r>
      <w:r>
        <w:rPr>
          <w:rFonts w:ascii="宋体" w:hAnsi="宋体" w:hint="eastAsia"/>
        </w:rPr>
        <w:t>，由此造成的直接损失由基金托管人承担，该等责任包括但不限于恢复基金财产的原状、承担因此所引起的直接损失的赔偿责任；</w:t>
      </w:r>
    </w:p>
    <w:p w14:paraId="538D13C1"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hint="eastAsia"/>
        </w:rPr>
        <w:t>基金托管人自身，并尽商业上的一切努力确保境外托管人不得自行运用、处分、分配托管证券；</w:t>
      </w:r>
    </w:p>
    <w:p w14:paraId="663BA409"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hint="eastAsia"/>
        </w:rPr>
        <w:t>除非根据基金管理人书面同意，基金托管人和境外托管人不得在任何托管资产上设立任何担保权利，包括但不限于抵押、质押、留置等；</w:t>
      </w:r>
    </w:p>
    <w:p w14:paraId="1910CDB4" w14:textId="77777777" w:rsidR="00F47A54" w:rsidRDefault="00F47A54" w:rsidP="00F47A54">
      <w:pPr>
        <w:tabs>
          <w:tab w:val="num" w:pos="0"/>
        </w:tabs>
        <w:snapToGrid w:val="0"/>
        <w:spacing w:line="360" w:lineRule="auto"/>
        <w:ind w:firstLineChars="200" w:firstLine="420"/>
        <w:rPr>
          <w:rFonts w:ascii="宋体" w:hAnsi="宋体"/>
        </w:rPr>
      </w:pPr>
      <w:r>
        <w:rPr>
          <w:rFonts w:ascii="宋体" w:hAnsi="宋体" w:hint="eastAsia"/>
        </w:rPr>
        <w:t>对于因为基金管理人进行本协议项下基金投资产生的应收资产，应由基金管理人负责与有关当事人确定到账日期并通知基金托管人。到账日没有到达托管账户的，基金托管人应及时通知并配合基金管理人采取措施进行催收，由此给基金造成损失的，基金管理人应负责向有关当事人追偿基金的损失。</w:t>
      </w:r>
    </w:p>
    <w:p w14:paraId="34B04377" w14:textId="77777777" w:rsidR="00F47A54" w:rsidRPr="00211E6D" w:rsidRDefault="00F47A54" w:rsidP="00F47A54">
      <w:pPr>
        <w:widowControl/>
        <w:snapToGrid w:val="0"/>
        <w:spacing w:line="360" w:lineRule="auto"/>
        <w:ind w:firstLineChars="200" w:firstLine="422"/>
        <w:jc w:val="left"/>
        <w:rPr>
          <w:rFonts w:ascii="宋体" w:hAnsi="宋体"/>
          <w:b/>
          <w:szCs w:val="21"/>
        </w:rPr>
      </w:pPr>
      <w:bookmarkStart w:id="79" w:name="_Toc37159174"/>
      <w:bookmarkStart w:id="80" w:name="_Toc174497184"/>
      <w:bookmarkStart w:id="81" w:name="_Toc174501013"/>
      <w:bookmarkStart w:id="82" w:name="_Toc174502385"/>
      <w:bookmarkStart w:id="83" w:name="_Toc174616284"/>
      <w:r w:rsidRPr="00211E6D">
        <w:rPr>
          <w:rFonts w:ascii="宋体" w:hAnsi="宋体" w:hint="eastAsia"/>
          <w:b/>
          <w:szCs w:val="21"/>
        </w:rPr>
        <w:t>（二）基金募集期间及募集资金的验资</w:t>
      </w:r>
      <w:bookmarkEnd w:id="79"/>
      <w:bookmarkEnd w:id="80"/>
      <w:bookmarkEnd w:id="81"/>
      <w:bookmarkEnd w:id="82"/>
      <w:bookmarkEnd w:id="83"/>
    </w:p>
    <w:p w14:paraId="6918F43C" w14:textId="77777777" w:rsidR="00F47A54" w:rsidRDefault="00F47A54" w:rsidP="00F47A54">
      <w:pPr>
        <w:snapToGrid w:val="0"/>
        <w:spacing w:line="360" w:lineRule="auto"/>
        <w:ind w:firstLineChars="200" w:firstLine="420"/>
        <w:rPr>
          <w:rFonts w:ascii="宋体" w:hAnsi="宋体"/>
        </w:rPr>
      </w:pPr>
      <w:r>
        <w:rPr>
          <w:rFonts w:ascii="宋体" w:hAnsi="宋体"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Pr>
          <w:rFonts w:ascii="宋体" w:hAnsi="宋体"/>
        </w:rPr>
        <w:t>2</w:t>
      </w:r>
      <w:r>
        <w:rPr>
          <w:rFonts w:ascii="宋体" w:hAnsi="宋体" w:hint="eastAsia"/>
        </w:rPr>
        <w:t>名以上（含</w:t>
      </w:r>
      <w:r>
        <w:rPr>
          <w:rFonts w:ascii="宋体" w:hAnsi="宋体"/>
        </w:rPr>
        <w:t>2</w:t>
      </w:r>
      <w:r>
        <w:rPr>
          <w:rFonts w:ascii="宋体" w:hAnsi="宋体" w:hint="eastAsia"/>
        </w:rPr>
        <w:t>名）中国注册会计师签字有效。</w:t>
      </w:r>
    </w:p>
    <w:p w14:paraId="7D5E90FD" w14:textId="77777777" w:rsidR="00F47A54" w:rsidRDefault="00F47A54" w:rsidP="00F47A54">
      <w:pPr>
        <w:snapToGrid w:val="0"/>
        <w:spacing w:line="360" w:lineRule="auto"/>
        <w:ind w:firstLineChars="200" w:firstLine="420"/>
        <w:rPr>
          <w:rFonts w:ascii="宋体" w:hAnsi="宋体"/>
        </w:rPr>
      </w:pPr>
      <w:r>
        <w:rPr>
          <w:rFonts w:ascii="宋体" w:hAnsi="宋体" w:hint="eastAsia"/>
        </w:rPr>
        <w:t>2、验资完成，基金管理人应将募集的</w:t>
      </w:r>
      <w:r>
        <w:rPr>
          <w:rFonts w:ascii="宋体" w:hAnsi="宋体" w:hint="eastAsia"/>
          <w:szCs w:val="21"/>
        </w:rPr>
        <w:t>属于本基金财产的全部资金</w:t>
      </w:r>
      <w:r>
        <w:rPr>
          <w:rFonts w:ascii="宋体" w:hAnsi="宋体" w:hint="eastAsia"/>
        </w:rPr>
        <w:t>划入基金托管人为基金开立的资产托管专户中，基金托管人在收到资金当日出具确认文件。</w:t>
      </w:r>
    </w:p>
    <w:p w14:paraId="2FED2908" w14:textId="77777777" w:rsidR="00F47A54" w:rsidRDefault="00F47A54" w:rsidP="00F47A54">
      <w:pPr>
        <w:pStyle w:val="af1"/>
        <w:snapToGrid w:val="0"/>
        <w:spacing w:after="0" w:line="360" w:lineRule="auto"/>
        <w:ind w:leftChars="6" w:left="13" w:firstLineChars="200" w:firstLine="420"/>
        <w:rPr>
          <w:rFonts w:hAnsi="宋体" w:cs="Arial" w:hint="default"/>
          <w:sz w:val="21"/>
          <w:szCs w:val="24"/>
        </w:rPr>
      </w:pPr>
      <w:r>
        <w:rPr>
          <w:rFonts w:hAnsi="宋体" w:cs="Arial"/>
          <w:sz w:val="21"/>
          <w:szCs w:val="24"/>
        </w:rPr>
        <w:t>3、若基金募集期限届满，未能达到《基金合同》生效的条件，由基金管理人按规定办理退款事宜。</w:t>
      </w:r>
    </w:p>
    <w:p w14:paraId="384BD9C5" w14:textId="77777777" w:rsidR="00F47A54" w:rsidRPr="000163E3" w:rsidRDefault="00F47A54" w:rsidP="00F47A54">
      <w:pPr>
        <w:adjustRightInd w:val="0"/>
        <w:snapToGrid w:val="0"/>
        <w:spacing w:line="360" w:lineRule="auto"/>
        <w:ind w:firstLine="422"/>
        <w:rPr>
          <w:rFonts w:ascii="宋体" w:hAnsi="宋体"/>
          <w:b/>
        </w:rPr>
      </w:pPr>
      <w:bookmarkStart w:id="84" w:name="_Toc174616285"/>
      <w:r w:rsidRPr="000163E3">
        <w:rPr>
          <w:rFonts w:ascii="宋体" w:hAnsi="宋体" w:hint="eastAsia"/>
          <w:b/>
        </w:rPr>
        <w:t>（三）资产保管内容和约定事项</w:t>
      </w:r>
      <w:bookmarkEnd w:id="84"/>
    </w:p>
    <w:p w14:paraId="50EE2771"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基金管理人同意，现金账户中的现金将由基金托管人或其境外托管人以基金托管人或其境外托管人的银行身份持有。</w:t>
      </w:r>
    </w:p>
    <w:p w14:paraId="5B6C01D3" w14:textId="77777777" w:rsidR="00F47A54" w:rsidRDefault="00F47A54" w:rsidP="00F47A54">
      <w:pPr>
        <w:adjustRightInd w:val="0"/>
        <w:snapToGrid w:val="0"/>
        <w:spacing w:line="360" w:lineRule="auto"/>
        <w:ind w:firstLine="400"/>
        <w:rPr>
          <w:rFonts w:ascii="宋体" w:hAnsi="宋体"/>
        </w:rPr>
      </w:pPr>
      <w:r>
        <w:rPr>
          <w:rFonts w:ascii="宋体" w:hAnsi="宋体" w:hint="eastAsia"/>
        </w:rPr>
        <w:t>除非授权人士按指令程序发送的指令另有规定，否则，基金托管人和其境外托管人应在收到授权人士的指令后，按下述方式支付现金、售出或交付证券：</w:t>
      </w:r>
      <w:r>
        <w:rPr>
          <w:rFonts w:ascii="宋体" w:hAnsi="宋体"/>
        </w:rPr>
        <w:t>(a)</w:t>
      </w:r>
      <w:r>
        <w:rPr>
          <w:rFonts w:ascii="宋体" w:hAnsi="宋体" w:hint="eastAsia"/>
        </w:rPr>
        <w:t>按照交易发生的司法管辖区或市场的有关惯常和既定惯例和程序作出；或</w:t>
      </w:r>
      <w:r>
        <w:rPr>
          <w:rFonts w:ascii="宋体" w:hAnsi="宋体"/>
        </w:rPr>
        <w:t>(b)</w:t>
      </w:r>
      <w:r>
        <w:rPr>
          <w:rFonts w:ascii="宋体" w:hAnsi="宋体" w:hint="eastAsia"/>
        </w:rPr>
        <w:t>就通过证券系统进行的买卖而言，</w:t>
      </w:r>
      <w:r>
        <w:rPr>
          <w:rFonts w:ascii="宋体" w:hAnsi="宋体" w:hint="eastAsia"/>
        </w:rPr>
        <w:lastRenderedPageBreak/>
        <w:t>按照管辖该系统运营的规则、条例和条件作出。基金托管人和其境外托管人应不时将该等有关惯例、程序、规则、条例和条件及时通知基金管理人。</w:t>
      </w:r>
    </w:p>
    <w:p w14:paraId="598EEB72"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基金托管人在因依法解散、被依法撤销或者被依法宣告清盘或破产等原因进行终止清算时，不得将基金财产归入其清算财产。</w:t>
      </w:r>
    </w:p>
    <w:p w14:paraId="5AEB4E8D"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基金托管人应自身，并确保其境外托管人尽商业的合理努力建立安全的数据管理机制，安全完整地保存基金管理人与基金财产相关的业务数据和信息。</w:t>
      </w:r>
    </w:p>
    <w:p w14:paraId="103164C5" w14:textId="77777777" w:rsidR="00F47A54" w:rsidRPr="000163E3" w:rsidRDefault="00F47A54" w:rsidP="00F47A54">
      <w:pPr>
        <w:adjustRightInd w:val="0"/>
        <w:snapToGrid w:val="0"/>
        <w:spacing w:line="360" w:lineRule="auto"/>
        <w:ind w:firstLine="422"/>
        <w:rPr>
          <w:rFonts w:ascii="宋体" w:hAnsi="宋体"/>
          <w:b/>
        </w:rPr>
      </w:pPr>
      <w:bookmarkStart w:id="85" w:name="_Toc174616286"/>
      <w:r w:rsidRPr="000163E3">
        <w:rPr>
          <w:rFonts w:ascii="宋体" w:hAnsi="宋体" w:hint="eastAsia"/>
          <w:b/>
        </w:rPr>
        <w:t>（四）基金资金账户的开立和管理</w:t>
      </w:r>
      <w:bookmarkEnd w:id="85"/>
    </w:p>
    <w:p w14:paraId="51F3A279"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1、基金托管人可以基金、基金托管人或其境外托管人的名义在其营业机构或其境外托管人开立基金的资金账户，并根据基金管理人合法合规的指令办理资金收付。基金的银行预留印鉴由基金托管人或其境外托管人的营业机构保管和使用。</w:t>
      </w:r>
    </w:p>
    <w:p w14:paraId="0AACCBAF"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2、基金资金账户的开立和使用，限于满足开展基金业务的需要。基金托管人、基金管理人不得假借基金的名义开立任何其他银行账户；亦不得使用基金的任何账户进行基金业务以外的活动。</w:t>
      </w:r>
    </w:p>
    <w:p w14:paraId="220EB63E"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3、基金资金账户的开立和管理应符合账户所在国家或地区相关监管机构的有关规定。</w:t>
      </w:r>
    </w:p>
    <w:p w14:paraId="29722ECF" w14:textId="77777777" w:rsidR="00F47A54" w:rsidRPr="000163E3" w:rsidRDefault="00F47A54" w:rsidP="00F47A54">
      <w:pPr>
        <w:adjustRightInd w:val="0"/>
        <w:snapToGrid w:val="0"/>
        <w:spacing w:line="360" w:lineRule="auto"/>
        <w:ind w:firstLine="422"/>
        <w:rPr>
          <w:rFonts w:ascii="宋体" w:hAnsi="宋体"/>
          <w:b/>
        </w:rPr>
      </w:pPr>
      <w:bookmarkStart w:id="86" w:name="_Toc174616287"/>
      <w:r w:rsidRPr="000163E3">
        <w:rPr>
          <w:rFonts w:ascii="宋体" w:hAnsi="宋体" w:hint="eastAsia"/>
          <w:b/>
        </w:rPr>
        <w:t>（五）</w:t>
      </w:r>
      <w:bookmarkStart w:id="87" w:name="_Toc136455381"/>
      <w:r w:rsidRPr="000163E3">
        <w:rPr>
          <w:rFonts w:ascii="宋体" w:hAnsi="宋体" w:hint="eastAsia"/>
          <w:b/>
        </w:rPr>
        <w:t>基金证券账户的开立和管理</w:t>
      </w:r>
      <w:bookmarkEnd w:id="86"/>
      <w:bookmarkEnd w:id="87"/>
    </w:p>
    <w:p w14:paraId="1C7A7D37"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1、基金托管人在基金所投资市场或证券交易所适用的登记结算机构为基金开立基金托管人或其境外托管人名义或基金托管人与基金联名的证券账户。由基金托管人或其境外托管人负责办理与开立证券账户有关的手续。</w:t>
      </w:r>
    </w:p>
    <w:p w14:paraId="22225B6F"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2、基金证券账户的开立和使用，仅限于满足开展基金业务的需要。基金托管人和基金管理人以及各自境外托管人均不得出借或未经基金托管人、基金管理人双方同意擅自转让基金的任何证券账户，亦不得使用基金的任何账户进行基金业务以外的活动。</w:t>
      </w:r>
    </w:p>
    <w:p w14:paraId="1B1A6A7F"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3、基金证券账户的开立和证券账户相关证明文件的保管由基金托管人负责，账户资产的管理和运用由基金管理人负责。</w:t>
      </w:r>
    </w:p>
    <w:p w14:paraId="5F745450"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4、基金管理人投资于合法合规、符合基金合同的其他非交易所市场的投资品种时，在基金合同生效后，基金托管人或其境外托管人根据投资所在市场以及国家或地区的相关规定，开立进行基金的投资活动所需要的各类证券和结算账户。</w:t>
      </w:r>
    </w:p>
    <w:p w14:paraId="0CD37A86" w14:textId="77777777" w:rsidR="00F47A54" w:rsidRDefault="00F47A54" w:rsidP="00F47A54">
      <w:pPr>
        <w:snapToGrid w:val="0"/>
        <w:spacing w:line="360" w:lineRule="auto"/>
        <w:ind w:firstLineChars="200" w:firstLine="420"/>
        <w:rPr>
          <w:rFonts w:ascii="宋体" w:hAnsi="宋体"/>
        </w:rPr>
      </w:pPr>
      <w:r>
        <w:rPr>
          <w:rFonts w:ascii="宋体" w:hAnsi="宋体" w:hint="eastAsia"/>
          <w:szCs w:val="21"/>
        </w:rPr>
        <w:t>5、 基金证券账户的开立和管理应符合账户所在国家或地区有关法律的规定。</w:t>
      </w:r>
    </w:p>
    <w:p w14:paraId="28102B04" w14:textId="77777777" w:rsidR="00F47A54" w:rsidRPr="000163E3" w:rsidRDefault="00F47A54" w:rsidP="00F47A54">
      <w:pPr>
        <w:adjustRightInd w:val="0"/>
        <w:snapToGrid w:val="0"/>
        <w:spacing w:line="360" w:lineRule="auto"/>
        <w:ind w:firstLine="422"/>
        <w:rPr>
          <w:rFonts w:ascii="宋体" w:hAnsi="宋体"/>
          <w:b/>
        </w:rPr>
      </w:pPr>
      <w:bookmarkStart w:id="88" w:name="_Toc136455382"/>
      <w:bookmarkStart w:id="89" w:name="_Toc174616288"/>
      <w:r w:rsidRPr="000163E3">
        <w:rPr>
          <w:rFonts w:ascii="宋体" w:hAnsi="宋体" w:hint="eastAsia"/>
          <w:b/>
        </w:rPr>
        <w:t>（六）其他账户的开立和管理</w:t>
      </w:r>
      <w:bookmarkEnd w:id="88"/>
      <w:bookmarkEnd w:id="89"/>
    </w:p>
    <w:p w14:paraId="0F4F051C"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1、因业务发展需要而开立的其他账户，可以根据投资市场所在国家或地区法律法规和基金合同的规定，由基金托管人或其境外托管人负责开立。</w:t>
      </w:r>
    </w:p>
    <w:p w14:paraId="6583AFAD" w14:textId="77777777" w:rsidR="00F47A54" w:rsidRDefault="00F47A54" w:rsidP="00F47A54">
      <w:pPr>
        <w:pStyle w:val="AODocTxt"/>
        <w:numPr>
          <w:ilvl w:val="0"/>
          <w:numId w:val="0"/>
        </w:numPr>
        <w:adjustRightInd w:val="0"/>
        <w:snapToGrid w:val="0"/>
        <w:spacing w:before="0" w:line="360" w:lineRule="auto"/>
        <w:ind w:firstLineChars="171" w:firstLine="376"/>
        <w:rPr>
          <w:rFonts w:ascii="宋体" w:hAnsi="宋体"/>
          <w:szCs w:val="21"/>
          <w:lang w:eastAsia="zh-CN"/>
        </w:rPr>
      </w:pPr>
      <w:r>
        <w:rPr>
          <w:rFonts w:ascii="宋体" w:hAnsi="宋体" w:hint="eastAsia"/>
          <w:szCs w:val="21"/>
          <w:lang w:eastAsia="zh-CN"/>
        </w:rPr>
        <w:t>2、投资市场所在国家或地区法律法规等有关规定对相关账户的开立和管理另有规定的，从其规定办理。</w:t>
      </w:r>
    </w:p>
    <w:p w14:paraId="07F77C02" w14:textId="77777777" w:rsidR="00F47A54" w:rsidRPr="000163E3" w:rsidRDefault="00F47A54" w:rsidP="00F47A54">
      <w:pPr>
        <w:adjustRightInd w:val="0"/>
        <w:snapToGrid w:val="0"/>
        <w:spacing w:line="360" w:lineRule="auto"/>
        <w:ind w:firstLine="422"/>
        <w:rPr>
          <w:rFonts w:ascii="宋体" w:hAnsi="宋体"/>
          <w:b/>
        </w:rPr>
      </w:pPr>
      <w:bookmarkStart w:id="90" w:name="_Toc174616289"/>
      <w:r w:rsidRPr="000163E3">
        <w:rPr>
          <w:rFonts w:ascii="宋体" w:hAnsi="宋体" w:hint="eastAsia"/>
          <w:b/>
        </w:rPr>
        <w:t>（七）证券登记</w:t>
      </w:r>
      <w:bookmarkEnd w:id="90"/>
    </w:p>
    <w:p w14:paraId="3C5D0B61"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1、</w:t>
      </w:r>
      <w:r w:rsidRPr="004A29CE">
        <w:rPr>
          <w:rFonts w:ascii="宋体" w:hAnsi="宋体" w:hint="eastAsia"/>
          <w:szCs w:val="21"/>
        </w:rPr>
        <w:t>境外证券的注册登记方式应符合投资当地市场的有关法律、法规和市场惯例。</w:t>
      </w:r>
    </w:p>
    <w:p w14:paraId="588A59FC"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lastRenderedPageBreak/>
        <w:t>2、</w:t>
      </w:r>
      <w:r w:rsidRPr="004A29CE">
        <w:rPr>
          <w:rFonts w:ascii="宋体" w:hAnsi="宋体" w:hint="eastAsia"/>
          <w:szCs w:val="21"/>
        </w:rPr>
        <w:t xml:space="preserve">基金托管人应确保基金管理人所管理的基金或基金份额持有人始终是所有证券的实益所有人(beneficial </w:t>
      </w:r>
      <w:r w:rsidRPr="004A29CE">
        <w:rPr>
          <w:rFonts w:ascii="宋体" w:hAnsi="宋体"/>
          <w:szCs w:val="21"/>
        </w:rPr>
        <w:t>owner</w:t>
      </w:r>
      <w:r w:rsidRPr="004A29CE">
        <w:rPr>
          <w:rFonts w:ascii="宋体" w:hAnsi="宋体" w:hint="eastAsia"/>
          <w:szCs w:val="21"/>
        </w:rPr>
        <w:t>)的方式持有基金财产中的所有证券。</w:t>
      </w:r>
    </w:p>
    <w:p w14:paraId="4EAAF8E7"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3、</w:t>
      </w:r>
      <w:r w:rsidRPr="004A29CE">
        <w:rPr>
          <w:rFonts w:ascii="宋体" w:hAnsi="宋体" w:hint="eastAsia"/>
          <w:szCs w:val="21"/>
        </w:rPr>
        <w:t>基金托管人应该：</w:t>
      </w:r>
      <w:r w:rsidRPr="004A29CE">
        <w:rPr>
          <w:rFonts w:ascii="宋体" w:hAnsi="宋体"/>
          <w:szCs w:val="21"/>
        </w:rPr>
        <w:t>(a)</w:t>
      </w:r>
      <w:r w:rsidRPr="004A29CE">
        <w:rPr>
          <w:rFonts w:ascii="宋体" w:hAnsi="宋体" w:hint="eastAsia"/>
          <w:szCs w:val="21"/>
        </w:rPr>
        <w:t>在其帐目和记录中单独列记属于本基金的证券，并且</w:t>
      </w:r>
      <w:r w:rsidRPr="004A29CE">
        <w:rPr>
          <w:rFonts w:ascii="宋体" w:hAnsi="宋体"/>
          <w:szCs w:val="21"/>
        </w:rPr>
        <w:t>(b)</w:t>
      </w:r>
      <w:r w:rsidRPr="004A29CE">
        <w:rPr>
          <w:rFonts w:ascii="宋体" w:hAnsi="宋体" w:hint="eastAsia"/>
          <w:szCs w:val="21"/>
        </w:rPr>
        <w:t>要求和尽商业上的合理努力确保其境外托管人在其各自帐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14:paraId="101BA663"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4、</w:t>
      </w:r>
      <w:r w:rsidRPr="004A29CE">
        <w:rPr>
          <w:rFonts w:ascii="宋体" w:hAnsi="宋体" w:hint="eastAsia"/>
          <w:szCs w:val="21"/>
        </w:rPr>
        <w:t>除非基金托管人及其境外托管人存在过失、疏忽、欺诈或故意不当行为，基金托管人将不保证其或其境外托管人所接收基金财产中的证券的所有权、合法性或真实性（包括是否以良好形式转让）。</w:t>
      </w:r>
    </w:p>
    <w:p w14:paraId="0FCAF018"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5、</w:t>
      </w:r>
      <w:r w:rsidRPr="004A29CE">
        <w:rPr>
          <w:rFonts w:ascii="宋体" w:hAnsi="宋体" w:hint="eastAsia"/>
          <w:szCs w:val="21"/>
        </w:rPr>
        <w:t>存放在证券系统的证券应按照基金托管人及其境外托管人的指示为基金的实益所有人持有，但须遵守管辖该系统运营的规则、条例和条件。</w:t>
      </w:r>
    </w:p>
    <w:p w14:paraId="7769912C"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6、</w:t>
      </w:r>
      <w:r w:rsidRPr="004A29CE">
        <w:rPr>
          <w:rFonts w:ascii="宋体" w:hAnsi="宋体" w:hint="eastAsia"/>
          <w:szCs w:val="21"/>
        </w:rPr>
        <w:t>由基金托管人及其境外托管人为基金的利益而持有的证券</w:t>
      </w:r>
      <w:r w:rsidRPr="004A29CE">
        <w:rPr>
          <w:rFonts w:ascii="宋体" w:hAnsi="宋体"/>
          <w:szCs w:val="21"/>
        </w:rPr>
        <w:t>(</w:t>
      </w:r>
      <w:r w:rsidRPr="004A29CE">
        <w:rPr>
          <w:rFonts w:ascii="宋体" w:hAnsi="宋体" w:hint="eastAsia"/>
          <w:szCs w:val="21"/>
        </w:rPr>
        <w:t>无记名证券和在证券系统持有的证券除外</w:t>
      </w:r>
      <w:r w:rsidRPr="004A29CE">
        <w:rPr>
          <w:rFonts w:ascii="宋体" w:hAnsi="宋体"/>
          <w:szCs w:val="21"/>
        </w:rPr>
        <w:t>)</w:t>
      </w:r>
      <w:r w:rsidRPr="004A29CE">
        <w:rPr>
          <w:rFonts w:ascii="宋体" w:hAnsi="宋体" w:hint="eastAsia"/>
          <w:szCs w:val="21"/>
        </w:rPr>
        <w:t>应按本协议约定登记。</w:t>
      </w:r>
    </w:p>
    <w:p w14:paraId="27F337A0" w14:textId="77777777" w:rsidR="00F47A54" w:rsidRPr="004A29CE" w:rsidRDefault="00F47A54" w:rsidP="00F47A54">
      <w:pPr>
        <w:snapToGrid w:val="0"/>
        <w:spacing w:line="360" w:lineRule="auto"/>
        <w:ind w:firstLine="420"/>
        <w:rPr>
          <w:rFonts w:ascii="宋体" w:hAnsi="宋体"/>
          <w:szCs w:val="21"/>
        </w:rPr>
      </w:pPr>
      <w:r>
        <w:rPr>
          <w:rFonts w:ascii="宋体" w:hAnsi="宋体" w:hint="eastAsia"/>
          <w:szCs w:val="21"/>
        </w:rPr>
        <w:t>7、</w:t>
      </w:r>
      <w:r w:rsidRPr="004A29CE">
        <w:rPr>
          <w:rFonts w:ascii="宋体" w:hAnsi="宋体" w:hint="eastAsia"/>
          <w:szCs w:val="21"/>
        </w:rPr>
        <w:t>基金托管人及其委托应就其为基金管理人利益而持有证券的市场有关证券登记方式的重大改变通知基金管理人，并应基金管理人要求将这些市场发生的事件或惯例变化通知基金管理人。若基金管理人要求改变本协议约定的证券登记方式，基金托管人及其委托应就此予以充分配合。</w:t>
      </w:r>
    </w:p>
    <w:p w14:paraId="38A9CBAB" w14:textId="77777777" w:rsidR="00F47A54" w:rsidRPr="000163E3" w:rsidRDefault="00F47A54" w:rsidP="00F47A54">
      <w:pPr>
        <w:adjustRightInd w:val="0"/>
        <w:snapToGrid w:val="0"/>
        <w:spacing w:line="360" w:lineRule="auto"/>
        <w:ind w:firstLine="422"/>
        <w:rPr>
          <w:rFonts w:ascii="宋体" w:hAnsi="宋体"/>
          <w:b/>
        </w:rPr>
      </w:pPr>
      <w:bookmarkStart w:id="91" w:name="_Toc174497185"/>
      <w:bookmarkStart w:id="92" w:name="_Toc174501014"/>
      <w:bookmarkStart w:id="93" w:name="_Toc174502386"/>
      <w:bookmarkStart w:id="94" w:name="_Toc174616290"/>
      <w:r w:rsidRPr="000163E3">
        <w:rPr>
          <w:rFonts w:ascii="宋体" w:hAnsi="宋体" w:hint="eastAsia"/>
          <w:b/>
        </w:rPr>
        <w:t>（八）基金财产投资的有关实物证券、银行定期存款存单等有价凭证的保管</w:t>
      </w:r>
      <w:bookmarkEnd w:id="91"/>
      <w:bookmarkEnd w:id="92"/>
      <w:bookmarkEnd w:id="93"/>
      <w:bookmarkEnd w:id="94"/>
    </w:p>
    <w:p w14:paraId="64F73117"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财产投资的有关实物证券由基金托管人存放于基金托管人及其境外托管人的保管库。实物证券的购买和转让，由基金托管人及其境外托管人根据基金管理人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14:paraId="7A23349D" w14:textId="77777777" w:rsidR="00F47A54" w:rsidRPr="000163E3" w:rsidRDefault="00F47A54" w:rsidP="00F47A54">
      <w:pPr>
        <w:adjustRightInd w:val="0"/>
        <w:snapToGrid w:val="0"/>
        <w:spacing w:line="360" w:lineRule="auto"/>
        <w:ind w:firstLine="422"/>
        <w:rPr>
          <w:rFonts w:ascii="宋体" w:hAnsi="宋体"/>
          <w:b/>
        </w:rPr>
      </w:pPr>
      <w:bookmarkStart w:id="95" w:name="_Toc37159180"/>
      <w:bookmarkStart w:id="96" w:name="_Toc174497186"/>
      <w:bookmarkStart w:id="97" w:name="_Toc174501015"/>
      <w:bookmarkStart w:id="98" w:name="_Toc174502387"/>
      <w:bookmarkStart w:id="99" w:name="_Toc174616291"/>
      <w:r w:rsidRPr="000163E3">
        <w:rPr>
          <w:rFonts w:ascii="宋体" w:hAnsi="宋体" w:hint="eastAsia"/>
          <w:b/>
        </w:rPr>
        <w:t>（九）与基金财产有关的重大合同的保管</w:t>
      </w:r>
      <w:bookmarkEnd w:id="95"/>
      <w:bookmarkEnd w:id="96"/>
      <w:bookmarkEnd w:id="97"/>
      <w:bookmarkEnd w:id="98"/>
      <w:bookmarkEnd w:id="99"/>
    </w:p>
    <w:p w14:paraId="33A67581" w14:textId="77777777" w:rsidR="00F47A54" w:rsidRDefault="00F47A54" w:rsidP="00F47A54">
      <w:pPr>
        <w:pStyle w:val="a9"/>
        <w:adjustRightInd w:val="0"/>
        <w:snapToGrid w:val="0"/>
        <w:spacing w:line="360" w:lineRule="auto"/>
        <w:ind w:firstLineChars="200"/>
        <w:rPr>
          <w:kern w:val="0"/>
          <w:szCs w:val="24"/>
        </w:rPr>
      </w:pPr>
      <w:r>
        <w:rPr>
          <w:rFonts w:hint="eastAsia"/>
          <w:kern w:val="0"/>
          <w:szCs w:val="24"/>
        </w:rPr>
        <w:t>基金管理人应及时向基金托管人提供涉及基金财产投资运作的书面协议的副本。</w:t>
      </w:r>
    </w:p>
    <w:p w14:paraId="13F6A31E" w14:textId="77777777" w:rsidR="00F47A54" w:rsidRPr="00E05FE2" w:rsidRDefault="00F47A54" w:rsidP="00F47A54">
      <w:pPr>
        <w:pStyle w:val="a9"/>
        <w:adjustRightInd w:val="0"/>
        <w:snapToGrid w:val="0"/>
        <w:spacing w:line="360" w:lineRule="auto"/>
        <w:ind w:firstLineChars="20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14:paraId="77DC73C9" w14:textId="77777777" w:rsidR="00F47A54" w:rsidRDefault="00F47A54" w:rsidP="00F47A54">
      <w:pPr>
        <w:pStyle w:val="a9"/>
        <w:adjustRightInd w:val="0"/>
        <w:snapToGrid w:val="0"/>
        <w:spacing w:line="360" w:lineRule="auto"/>
        <w:ind w:firstLine="400"/>
        <w:rPr>
          <w:rFonts w:cs="宋体"/>
          <w:szCs w:val="24"/>
          <w:lang w:val="zh-CN"/>
        </w:rPr>
      </w:pPr>
    </w:p>
    <w:p w14:paraId="5F52E792" w14:textId="77777777" w:rsidR="00F47A54" w:rsidRDefault="00F47A54" w:rsidP="00F47A54">
      <w:pPr>
        <w:snapToGrid w:val="0"/>
        <w:spacing w:line="360" w:lineRule="auto"/>
        <w:ind w:firstLineChars="200" w:firstLine="420"/>
        <w:rPr>
          <w:rFonts w:ascii="宋体" w:hAnsi="宋体" w:cs="Arial"/>
        </w:rPr>
      </w:pPr>
      <w:bookmarkStart w:id="100" w:name="_Toc123626172"/>
      <w:bookmarkStart w:id="101" w:name="_Toc124749230"/>
      <w:bookmarkStart w:id="102" w:name="_Toc124749941"/>
      <w:bookmarkStart w:id="103" w:name="_Toc125361078"/>
      <w:bookmarkStart w:id="104" w:name="_Toc140002341"/>
      <w:r>
        <w:rPr>
          <w:rFonts w:ascii="宋体" w:hAnsi="宋体" w:cs="Arial"/>
        </w:rPr>
        <w:br w:type="page"/>
      </w:r>
    </w:p>
    <w:p w14:paraId="0A8AA821" w14:textId="77777777" w:rsidR="00F47A54" w:rsidRPr="000163E3" w:rsidRDefault="00F47A54" w:rsidP="00F47A54">
      <w:pPr>
        <w:pStyle w:val="20"/>
        <w:numPr>
          <w:ilvl w:val="0"/>
          <w:numId w:val="45"/>
        </w:numPr>
      </w:pPr>
      <w:bookmarkStart w:id="105" w:name="_Toc174788857"/>
      <w:bookmarkStart w:id="106" w:name="_Toc174790105"/>
      <w:bookmarkStart w:id="107" w:name="_Toc176599594"/>
      <w:bookmarkStart w:id="108" w:name="_Toc176599858"/>
      <w:r w:rsidRPr="000163E3">
        <w:rPr>
          <w:rFonts w:hint="eastAsia"/>
        </w:rPr>
        <w:lastRenderedPageBreak/>
        <w:t>指令的发送、确认和执行</w:t>
      </w:r>
      <w:bookmarkEnd w:id="100"/>
      <w:bookmarkEnd w:id="101"/>
      <w:bookmarkEnd w:id="102"/>
      <w:bookmarkEnd w:id="103"/>
      <w:bookmarkEnd w:id="104"/>
      <w:bookmarkEnd w:id="105"/>
      <w:bookmarkEnd w:id="106"/>
      <w:bookmarkEnd w:id="107"/>
      <w:bookmarkEnd w:id="108"/>
    </w:p>
    <w:p w14:paraId="0460B689" w14:textId="77777777" w:rsidR="00F47A54" w:rsidRDefault="00F47A54" w:rsidP="00F47A54">
      <w:pPr>
        <w:snapToGrid w:val="0"/>
        <w:spacing w:line="360" w:lineRule="auto"/>
        <w:ind w:firstLineChars="200" w:firstLine="420"/>
      </w:pPr>
      <w:bookmarkStart w:id="109" w:name="_Toc48703899"/>
      <w:bookmarkStart w:id="110" w:name="_Toc174497188"/>
      <w:r>
        <w:rPr>
          <w:rFonts w:hint="eastAsia"/>
        </w:rPr>
        <w:t>基金管理人在运用基金财产时向基金托管人发送资金划拨及其他款项收付指令，基金托管人执行基金管理人的指令、办理基金的资金往来等有关事项。</w:t>
      </w:r>
    </w:p>
    <w:p w14:paraId="0D475042" w14:textId="77777777" w:rsidR="00F47A54" w:rsidRPr="000163E3" w:rsidRDefault="00F47A54" w:rsidP="00F47A54">
      <w:pPr>
        <w:snapToGrid w:val="0"/>
        <w:spacing w:line="360" w:lineRule="auto"/>
        <w:ind w:firstLineChars="200" w:firstLine="422"/>
        <w:rPr>
          <w:b/>
        </w:rPr>
      </w:pPr>
      <w:bookmarkStart w:id="111" w:name="_Toc174616293"/>
      <w:r w:rsidRPr="000163E3">
        <w:rPr>
          <w:rFonts w:hint="eastAsia"/>
          <w:b/>
        </w:rPr>
        <w:t>（一）指令相关词语释义</w:t>
      </w:r>
      <w:bookmarkEnd w:id="109"/>
      <w:bookmarkEnd w:id="110"/>
      <w:bookmarkEnd w:id="111"/>
    </w:p>
    <w:tbl>
      <w:tblPr>
        <w:tblW w:w="8280" w:type="dxa"/>
        <w:tblInd w:w="288" w:type="dxa"/>
        <w:tblLayout w:type="fixed"/>
        <w:tblLook w:val="01E0" w:firstRow="1" w:lastRow="1" w:firstColumn="1" w:lastColumn="1" w:noHBand="0" w:noVBand="0"/>
      </w:tblPr>
      <w:tblGrid>
        <w:gridCol w:w="2088"/>
        <w:gridCol w:w="6192"/>
      </w:tblGrid>
      <w:tr w:rsidR="00F47A54" w14:paraId="4D729980" w14:textId="77777777">
        <w:tc>
          <w:tcPr>
            <w:tcW w:w="2088" w:type="dxa"/>
          </w:tcPr>
          <w:p w14:paraId="03DEA715" w14:textId="77777777" w:rsidR="00F47A54" w:rsidRDefault="00F47A54" w:rsidP="00F47A54">
            <w:pPr>
              <w:adjustRightInd w:val="0"/>
              <w:snapToGrid w:val="0"/>
              <w:spacing w:beforeLines="50" w:before="156" w:line="360" w:lineRule="auto"/>
              <w:ind w:firstLine="320"/>
            </w:pPr>
            <w:r>
              <w:rPr>
                <w:rFonts w:hint="eastAsia"/>
              </w:rPr>
              <w:t>授权通知：</w:t>
            </w:r>
          </w:p>
        </w:tc>
        <w:tc>
          <w:tcPr>
            <w:tcW w:w="6192" w:type="dxa"/>
          </w:tcPr>
          <w:p w14:paraId="0FBC7F76" w14:textId="77777777" w:rsidR="00F47A54" w:rsidRDefault="00F47A54" w:rsidP="00F47A54">
            <w:pPr>
              <w:adjustRightInd w:val="0"/>
              <w:snapToGrid w:val="0"/>
              <w:spacing w:beforeLines="50" w:before="156" w:line="360" w:lineRule="auto"/>
            </w:pPr>
            <w:r>
              <w:rPr>
                <w:rFonts w:hint="eastAsia"/>
              </w:rPr>
              <w:t>基金管理人事先按约定格式向基金托管人提供的注明授权人士的名单、权限、期限、预留印鉴和签字样本等事项的书面授权通知；</w:t>
            </w:r>
          </w:p>
        </w:tc>
      </w:tr>
      <w:tr w:rsidR="00F47A54" w14:paraId="504EDCDD" w14:textId="77777777">
        <w:tc>
          <w:tcPr>
            <w:tcW w:w="2088" w:type="dxa"/>
          </w:tcPr>
          <w:p w14:paraId="40778FDA" w14:textId="77777777" w:rsidR="00F47A54" w:rsidRDefault="00F47A54" w:rsidP="00F47A54">
            <w:pPr>
              <w:adjustRightInd w:val="0"/>
              <w:snapToGrid w:val="0"/>
              <w:spacing w:beforeLines="50" w:before="156" w:line="360" w:lineRule="auto"/>
              <w:ind w:firstLine="320"/>
            </w:pPr>
            <w:r>
              <w:rPr>
                <w:rFonts w:hint="eastAsia"/>
              </w:rPr>
              <w:t>授权人士：</w:t>
            </w:r>
          </w:p>
        </w:tc>
        <w:tc>
          <w:tcPr>
            <w:tcW w:w="6192" w:type="dxa"/>
          </w:tcPr>
          <w:p w14:paraId="45D67B8E" w14:textId="77777777" w:rsidR="00F47A54" w:rsidRDefault="00F47A54" w:rsidP="00F47A54">
            <w:pPr>
              <w:adjustRightInd w:val="0"/>
              <w:snapToGrid w:val="0"/>
              <w:spacing w:beforeLines="50" w:before="156" w:line="360" w:lineRule="auto"/>
            </w:pPr>
            <w:r>
              <w:rPr>
                <w:rFonts w:hint="eastAsia"/>
              </w:rPr>
              <w:t>基金管理人的授权通知所指定的有权就托管资产按指令程序向基金托管人及其境外托管人发出指令的人士；</w:t>
            </w:r>
          </w:p>
        </w:tc>
      </w:tr>
      <w:tr w:rsidR="00F47A54" w14:paraId="03DF7778" w14:textId="77777777">
        <w:tc>
          <w:tcPr>
            <w:tcW w:w="2088" w:type="dxa"/>
          </w:tcPr>
          <w:p w14:paraId="7C7BE1CC" w14:textId="77777777" w:rsidR="00F47A54" w:rsidRDefault="00F47A54" w:rsidP="00F47A54">
            <w:pPr>
              <w:adjustRightInd w:val="0"/>
              <w:snapToGrid w:val="0"/>
              <w:spacing w:beforeLines="50" w:before="156" w:line="360" w:lineRule="auto"/>
              <w:ind w:firstLine="320"/>
            </w:pPr>
            <w:r>
              <w:rPr>
                <w:rFonts w:hint="eastAsia"/>
              </w:rPr>
              <w:t>指令：</w:t>
            </w:r>
          </w:p>
        </w:tc>
        <w:tc>
          <w:tcPr>
            <w:tcW w:w="6192" w:type="dxa"/>
          </w:tcPr>
          <w:p w14:paraId="3792554F" w14:textId="77777777" w:rsidR="00F47A54" w:rsidRDefault="00F47A54" w:rsidP="00F47A54">
            <w:pPr>
              <w:adjustRightInd w:val="0"/>
              <w:snapToGrid w:val="0"/>
              <w:spacing w:beforeLines="50" w:before="156" w:line="360" w:lineRule="auto"/>
            </w:pPr>
            <w:r>
              <w:rPr>
                <w:rFonts w:hint="eastAsia"/>
              </w:rPr>
              <w:t>指基金管理人通过授权人士根据指令程序就托管资产向基金托管人或其境外托管人发送的指令要求，包括但不限于现金汇划指令及交易结算指令；</w:t>
            </w:r>
          </w:p>
        </w:tc>
      </w:tr>
      <w:tr w:rsidR="00F47A54" w14:paraId="043FDCBD" w14:textId="77777777">
        <w:tc>
          <w:tcPr>
            <w:tcW w:w="2088" w:type="dxa"/>
          </w:tcPr>
          <w:p w14:paraId="2EF6D9D0" w14:textId="77777777" w:rsidR="00F47A54" w:rsidRDefault="00F47A54" w:rsidP="00F47A54">
            <w:pPr>
              <w:adjustRightInd w:val="0"/>
              <w:snapToGrid w:val="0"/>
              <w:spacing w:beforeLines="50" w:before="156" w:line="360" w:lineRule="auto"/>
              <w:ind w:firstLine="320"/>
            </w:pPr>
            <w:r>
              <w:rPr>
                <w:rFonts w:hint="eastAsia"/>
              </w:rPr>
              <w:t>指令程序：</w:t>
            </w:r>
          </w:p>
        </w:tc>
        <w:tc>
          <w:tcPr>
            <w:tcW w:w="6192" w:type="dxa"/>
          </w:tcPr>
          <w:p w14:paraId="4F0EC246" w14:textId="77777777" w:rsidR="00F47A54" w:rsidRDefault="00F47A54" w:rsidP="00F47A54">
            <w:pPr>
              <w:adjustRightInd w:val="0"/>
              <w:snapToGrid w:val="0"/>
              <w:spacing w:beforeLines="50" w:before="156" w:line="360" w:lineRule="auto"/>
            </w:pPr>
            <w:r>
              <w:rPr>
                <w:rFonts w:hint="eastAsia"/>
              </w:rPr>
              <w:t>指本协议规定以及基金托管人和基金管理人双方不时以书面方式修改的基金管理人授权人士就托管资产向基金托管人发送指令的程序和方式；</w:t>
            </w:r>
          </w:p>
        </w:tc>
      </w:tr>
    </w:tbl>
    <w:p w14:paraId="2103E1F4" w14:textId="77777777" w:rsidR="00F47A54" w:rsidRPr="000163E3" w:rsidRDefault="00F47A54" w:rsidP="00F47A54">
      <w:pPr>
        <w:snapToGrid w:val="0"/>
        <w:spacing w:line="360" w:lineRule="auto"/>
        <w:ind w:firstLineChars="200" w:firstLine="422"/>
        <w:rPr>
          <w:b/>
        </w:rPr>
      </w:pPr>
      <w:bookmarkStart w:id="112" w:name="_Toc174616294"/>
      <w:r w:rsidRPr="000163E3">
        <w:rPr>
          <w:rFonts w:hint="eastAsia"/>
          <w:b/>
        </w:rPr>
        <w:t>(</w:t>
      </w:r>
      <w:r w:rsidRPr="000163E3">
        <w:rPr>
          <w:rFonts w:hint="eastAsia"/>
          <w:b/>
        </w:rPr>
        <w:t>二</w:t>
      </w:r>
      <w:r w:rsidRPr="000163E3">
        <w:rPr>
          <w:rFonts w:hint="eastAsia"/>
          <w:b/>
        </w:rPr>
        <w:t xml:space="preserve">) </w:t>
      </w:r>
      <w:r w:rsidRPr="000163E3">
        <w:rPr>
          <w:rFonts w:hint="eastAsia"/>
          <w:b/>
        </w:rPr>
        <w:t>基金管理人对发送指令人员的书面授权</w:t>
      </w:r>
      <w:bookmarkEnd w:id="112"/>
    </w:p>
    <w:p w14:paraId="2D001653" w14:textId="77777777" w:rsidR="00F47A54" w:rsidRDefault="00F47A54" w:rsidP="00F47A54">
      <w:pPr>
        <w:pStyle w:val="23"/>
        <w:snapToGrid w:val="0"/>
        <w:ind w:firstLine="420"/>
        <w:rPr>
          <w:rFonts w:ascii="宋体" w:eastAsia="宋体" w:hAnsi="宋体"/>
          <w:sz w:val="21"/>
        </w:rPr>
      </w:pPr>
      <w:r>
        <w:rPr>
          <w:rFonts w:ascii="宋体" w:eastAsia="宋体" w:hAnsi="宋体" w:hint="eastAsia"/>
          <w:sz w:val="21"/>
        </w:rPr>
        <w:t>基金管理人授权人士应事先向基金托管人提供书面授权通知，并将其详情通知基金托管人。基金托管人在收到授权通知后以回函确认。若基金管理人改变任何授权人士的名单或权限时，应以书面形式将变化提前通知基金托管人。基金托管人在接到该等有关授权变动的书面通知之前，若接到原有名单上的人士的指令或指示，在不知情的情况下，根据善意原则按照该等指示、指令和其它信息行事，则基金托管人对该等有关授权人变动的书面通知的传送迟误或错误，或不传送等行为及后果，不负任何责任。</w:t>
      </w:r>
    </w:p>
    <w:p w14:paraId="776528F8" w14:textId="77777777" w:rsidR="00F47A54" w:rsidRPr="000163E3" w:rsidRDefault="00F47A54" w:rsidP="00F47A54">
      <w:pPr>
        <w:snapToGrid w:val="0"/>
        <w:spacing w:line="360" w:lineRule="auto"/>
        <w:ind w:firstLineChars="200" w:firstLine="422"/>
        <w:rPr>
          <w:b/>
        </w:rPr>
      </w:pPr>
      <w:bookmarkStart w:id="113" w:name="_Toc48703900"/>
      <w:bookmarkStart w:id="114" w:name="_Toc174497189"/>
      <w:bookmarkStart w:id="115" w:name="_Toc174616295"/>
      <w:r w:rsidRPr="000163E3">
        <w:rPr>
          <w:rFonts w:hint="eastAsia"/>
          <w:b/>
        </w:rPr>
        <w:t>（三）指令的内容</w:t>
      </w:r>
      <w:bookmarkEnd w:id="113"/>
      <w:bookmarkEnd w:id="114"/>
      <w:bookmarkEnd w:id="115"/>
    </w:p>
    <w:p w14:paraId="7EE1A27C" w14:textId="77777777" w:rsidR="00F47A54" w:rsidRDefault="00F47A54" w:rsidP="00F47A54">
      <w:pPr>
        <w:snapToGrid w:val="0"/>
        <w:spacing w:line="360" w:lineRule="auto"/>
        <w:ind w:firstLineChars="200" w:firstLine="420"/>
        <w:rPr>
          <w:rFonts w:ascii="宋体" w:hAnsi="宋体"/>
        </w:rPr>
      </w:pPr>
      <w:r>
        <w:rPr>
          <w:rFonts w:ascii="宋体" w:hAnsi="宋体" w:hint="eastAsia"/>
          <w:szCs w:val="21"/>
        </w:rPr>
        <w:t>指令是基金管理人在运用基金资产时，向基金托管人发出的资金划拨及其他款项支付的指令。</w:t>
      </w:r>
      <w:r>
        <w:rPr>
          <w:rFonts w:ascii="宋体" w:hAnsi="宋体" w:hint="eastAsia"/>
        </w:rPr>
        <w:t>基金管理人发给基金托管人的指令应写明款项事由、支付时间、到帐时间、金额、账户等，加盖预留印鉴并有被授权人签字。</w:t>
      </w:r>
    </w:p>
    <w:p w14:paraId="31235A92" w14:textId="77777777" w:rsidR="00F47A54" w:rsidRPr="000163E3" w:rsidRDefault="00F47A54" w:rsidP="00F47A54">
      <w:pPr>
        <w:snapToGrid w:val="0"/>
        <w:spacing w:line="360" w:lineRule="auto"/>
        <w:ind w:firstLineChars="200" w:firstLine="422"/>
        <w:rPr>
          <w:b/>
        </w:rPr>
      </w:pPr>
      <w:bookmarkStart w:id="116" w:name="_Toc48703901"/>
      <w:bookmarkStart w:id="117" w:name="_Toc174497190"/>
      <w:bookmarkStart w:id="118" w:name="_Toc174616296"/>
      <w:r w:rsidRPr="000163E3">
        <w:rPr>
          <w:rFonts w:hint="eastAsia"/>
          <w:b/>
        </w:rPr>
        <w:t>（四）指令的发送、确认和执行</w:t>
      </w:r>
      <w:bookmarkEnd w:id="116"/>
      <w:r w:rsidRPr="000163E3">
        <w:rPr>
          <w:rFonts w:hint="eastAsia"/>
          <w:b/>
        </w:rPr>
        <w:t>的时间和程序</w:t>
      </w:r>
      <w:bookmarkEnd w:id="117"/>
      <w:bookmarkEnd w:id="118"/>
    </w:p>
    <w:p w14:paraId="34565FB1" w14:textId="77777777" w:rsidR="00F47A54" w:rsidRDefault="00F47A54" w:rsidP="00F47A54">
      <w:pPr>
        <w:adjustRightInd w:val="0"/>
        <w:snapToGrid w:val="0"/>
        <w:spacing w:line="360" w:lineRule="auto"/>
        <w:ind w:firstLine="400"/>
        <w:rPr>
          <w:rFonts w:ascii="宋体" w:hAnsi="宋体"/>
        </w:rPr>
      </w:pPr>
      <w:r>
        <w:rPr>
          <w:rFonts w:ascii="宋体" w:hAnsi="宋体" w:hint="eastAsia"/>
        </w:rPr>
        <w:t>1. 指令的发送</w:t>
      </w:r>
    </w:p>
    <w:p w14:paraId="70A1DC2B" w14:textId="77777777" w:rsidR="00F47A54" w:rsidRDefault="00F47A54" w:rsidP="00F47A54">
      <w:pPr>
        <w:adjustRightInd w:val="0"/>
        <w:snapToGrid w:val="0"/>
        <w:spacing w:line="360" w:lineRule="auto"/>
        <w:ind w:firstLine="400"/>
        <w:rPr>
          <w:rFonts w:ascii="宋体" w:hAnsi="宋体"/>
          <w:b/>
        </w:rPr>
      </w:pPr>
      <w:r>
        <w:rPr>
          <w:rFonts w:ascii="宋体" w:hAnsi="宋体" w:hint="eastAsia"/>
        </w:rPr>
        <w:t>基金管理人应根据指令程序向基金托管人、及其境外托管人通过授权人士对基金财产的托管发送指令。基金托管人、及其境外托管人应尽合理努力按授权人士的指令对基金财产进行托管。当基金管理人的授权人士有两个或以上时，除非基金管理人事先有另外通知，否则，基金托管人、及其境外托管人可执行任何一位授权人士的指令。基金托管人、及其境外托管</w:t>
      </w:r>
      <w:r>
        <w:rPr>
          <w:rFonts w:ascii="宋体" w:hAnsi="宋体" w:hint="eastAsia"/>
        </w:rPr>
        <w:lastRenderedPageBreak/>
        <w:t>人除非收到基金管理人更换授权人士的书面通知及在该更换生效之前，否则，可按原授权人士的指令对基金财产进行托管。</w:t>
      </w:r>
    </w:p>
    <w:p w14:paraId="0C8859C8" w14:textId="77777777" w:rsidR="00F47A54" w:rsidRDefault="00F47A54" w:rsidP="00F47A54">
      <w:pPr>
        <w:adjustRightInd w:val="0"/>
        <w:snapToGrid w:val="0"/>
        <w:spacing w:line="360" w:lineRule="auto"/>
        <w:ind w:firstLine="400"/>
        <w:rPr>
          <w:rFonts w:ascii="宋体" w:hAnsi="宋体"/>
        </w:rPr>
      </w:pPr>
      <w:r>
        <w:rPr>
          <w:rFonts w:ascii="宋体" w:hAnsi="宋体" w:hint="eastAsia"/>
        </w:rPr>
        <w:t>2. 指令程序</w:t>
      </w:r>
    </w:p>
    <w:p w14:paraId="65E90061" w14:textId="77777777" w:rsidR="00F47A54" w:rsidRDefault="00F47A54" w:rsidP="00F47A54">
      <w:pPr>
        <w:adjustRightInd w:val="0"/>
        <w:snapToGrid w:val="0"/>
        <w:spacing w:line="360" w:lineRule="auto"/>
        <w:ind w:firstLine="400"/>
        <w:rPr>
          <w:rFonts w:ascii="宋体" w:hAnsi="宋体"/>
          <w:b/>
        </w:rPr>
      </w:pPr>
      <w:r>
        <w:rPr>
          <w:rFonts w:ascii="宋体" w:hAnsi="宋体" w:hint="eastAsia"/>
        </w:rPr>
        <w:t>授权人士应以下述任何一种方式向基金托管人、及其境外托管人发送指令：</w:t>
      </w:r>
    </w:p>
    <w:p w14:paraId="36C08851" w14:textId="77777777" w:rsidR="00F47A54" w:rsidRDefault="00F47A54" w:rsidP="00F47A54">
      <w:pPr>
        <w:adjustRightInd w:val="0"/>
        <w:snapToGrid w:val="0"/>
        <w:spacing w:line="360" w:lineRule="auto"/>
        <w:ind w:firstLine="400"/>
        <w:rPr>
          <w:rFonts w:ascii="宋体" w:hAnsi="宋体"/>
        </w:rPr>
      </w:pPr>
      <w:r>
        <w:rPr>
          <w:rFonts w:ascii="宋体" w:hAnsi="宋体"/>
        </w:rPr>
        <w:t>S.W.I.F.T.</w:t>
      </w:r>
      <w:r>
        <w:rPr>
          <w:rFonts w:ascii="宋体" w:hAnsi="宋体" w:hint="eastAsia"/>
        </w:rPr>
        <w:t>指示；</w:t>
      </w:r>
    </w:p>
    <w:p w14:paraId="133A67AA"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加密传真；</w:t>
      </w:r>
    </w:p>
    <w:p w14:paraId="42A7AF3D" w14:textId="77777777" w:rsidR="00F47A54" w:rsidRDefault="00F47A54" w:rsidP="00F47A54">
      <w:pPr>
        <w:adjustRightInd w:val="0"/>
        <w:snapToGrid w:val="0"/>
        <w:spacing w:line="360" w:lineRule="auto"/>
        <w:ind w:firstLine="400"/>
        <w:rPr>
          <w:rFonts w:ascii="宋体" w:hAnsi="宋体"/>
        </w:rPr>
      </w:pPr>
      <w:r>
        <w:rPr>
          <w:rFonts w:ascii="宋体" w:hAnsi="宋体"/>
        </w:rPr>
        <w:tab/>
      </w:r>
      <w:r>
        <w:rPr>
          <w:rFonts w:ascii="宋体" w:hAnsi="宋体" w:hint="eastAsia"/>
        </w:rPr>
        <w:t>按基金管理人与基金托管人书面约定的程序和安全措施发送的电传；</w:t>
      </w:r>
    </w:p>
    <w:p w14:paraId="35FA7FC4" w14:textId="77777777" w:rsidR="00F47A54" w:rsidRDefault="00F47A54" w:rsidP="00F47A54">
      <w:pPr>
        <w:adjustRightInd w:val="0"/>
        <w:snapToGrid w:val="0"/>
        <w:spacing w:line="360" w:lineRule="auto"/>
        <w:ind w:firstLine="400"/>
        <w:rPr>
          <w:rFonts w:ascii="宋体" w:hAnsi="宋体"/>
        </w:rPr>
      </w:pPr>
      <w:r>
        <w:rPr>
          <w:rFonts w:ascii="宋体" w:hAnsi="宋体" w:hint="eastAsia"/>
        </w:rPr>
        <w:t>网上银行；</w:t>
      </w:r>
    </w:p>
    <w:p w14:paraId="66045C6A" w14:textId="77777777" w:rsidR="00F47A54" w:rsidRDefault="00F47A54" w:rsidP="00F47A54">
      <w:pPr>
        <w:adjustRightInd w:val="0"/>
        <w:snapToGrid w:val="0"/>
        <w:spacing w:line="360" w:lineRule="auto"/>
        <w:ind w:firstLine="400"/>
        <w:rPr>
          <w:rFonts w:ascii="宋体" w:hAnsi="宋体"/>
        </w:rPr>
      </w:pPr>
      <w:r>
        <w:rPr>
          <w:rFonts w:ascii="宋体" w:hAnsi="宋体"/>
        </w:rPr>
        <w:tab/>
      </w:r>
      <w:r>
        <w:rPr>
          <w:rFonts w:ascii="宋体" w:hAnsi="宋体" w:hint="eastAsia"/>
        </w:rPr>
        <w:t>电脑可读指令，通常用于基金管理人与基金托管人书面约定的某些信息的传送；</w:t>
      </w:r>
    </w:p>
    <w:p w14:paraId="505A4305" w14:textId="77777777" w:rsidR="00F47A54" w:rsidRDefault="00F47A54" w:rsidP="00F47A54">
      <w:pPr>
        <w:adjustRightInd w:val="0"/>
        <w:snapToGrid w:val="0"/>
        <w:spacing w:line="360" w:lineRule="auto"/>
        <w:ind w:firstLine="400"/>
        <w:rPr>
          <w:rFonts w:ascii="宋体" w:hAnsi="宋体"/>
        </w:rPr>
      </w:pPr>
      <w:r>
        <w:rPr>
          <w:rFonts w:ascii="宋体" w:hAnsi="宋体"/>
        </w:rPr>
        <w:tab/>
      </w:r>
      <w:r>
        <w:rPr>
          <w:rFonts w:ascii="宋体" w:hAnsi="宋体" w:hint="eastAsia"/>
        </w:rPr>
        <w:t>电话指令；授权人士通过电话向基金托管人、及其境外托管人发出的涉及交易结算、现金划拨以及公司行动的指令或其相关信息应立即在事后进行书面确认，但基金托管人及其境外托管人在未收到授权人士发出的书面确认、或所收到的书面确认与基金托管人或其境外托管人在之前所收到的有关电话指令内容不一致的情况下，无义务采取任何行动，并对按照相关电话指令所采取的行动不负任何责任。</w:t>
      </w:r>
    </w:p>
    <w:p w14:paraId="31CA01F7" w14:textId="77777777" w:rsidR="00F47A54" w:rsidRDefault="00F47A54" w:rsidP="00F47A54">
      <w:pPr>
        <w:adjustRightInd w:val="0"/>
        <w:snapToGrid w:val="0"/>
        <w:spacing w:line="360" w:lineRule="auto"/>
        <w:ind w:firstLine="400"/>
        <w:rPr>
          <w:rFonts w:ascii="宋体" w:hAnsi="宋体"/>
        </w:rPr>
      </w:pPr>
      <w:r>
        <w:rPr>
          <w:rFonts w:ascii="宋体" w:hAnsi="宋体"/>
        </w:rPr>
        <w:tab/>
      </w:r>
      <w:r>
        <w:rPr>
          <w:rFonts w:ascii="宋体" w:hAnsi="宋体" w:hint="eastAsia"/>
        </w:rPr>
        <w:t>授权人士签署的书面指令；或者</w:t>
      </w:r>
    </w:p>
    <w:p w14:paraId="2DBA30D5" w14:textId="77777777" w:rsidR="00F47A54" w:rsidRDefault="00F47A54" w:rsidP="00F47A54">
      <w:pPr>
        <w:adjustRightInd w:val="0"/>
        <w:snapToGrid w:val="0"/>
        <w:spacing w:line="360" w:lineRule="auto"/>
        <w:ind w:firstLine="400"/>
        <w:rPr>
          <w:rFonts w:ascii="宋体" w:hAnsi="宋体"/>
        </w:rPr>
      </w:pPr>
      <w:r>
        <w:rPr>
          <w:rFonts w:ascii="宋体" w:hAnsi="宋体"/>
        </w:rPr>
        <w:tab/>
      </w:r>
      <w:r>
        <w:rPr>
          <w:rFonts w:ascii="宋体" w:hAnsi="宋体" w:hint="eastAsia"/>
        </w:rPr>
        <w:t>基金管理人与基金托管人书面约定的根据基金管理人规定的条件经测试鉴定的其他通讯方式。</w:t>
      </w:r>
    </w:p>
    <w:p w14:paraId="5AF01586" w14:textId="77777777" w:rsidR="00F47A54" w:rsidRDefault="00F47A54" w:rsidP="00F47A54">
      <w:pPr>
        <w:adjustRightInd w:val="0"/>
        <w:snapToGrid w:val="0"/>
        <w:spacing w:line="360" w:lineRule="auto"/>
        <w:ind w:firstLine="400"/>
        <w:rPr>
          <w:rFonts w:ascii="宋体" w:hAnsi="宋体"/>
        </w:rPr>
      </w:pPr>
      <w:r>
        <w:rPr>
          <w:rFonts w:ascii="宋体" w:hAnsi="宋体" w:hint="eastAsia"/>
        </w:rPr>
        <w:t>3.指令的确认和执行</w:t>
      </w:r>
    </w:p>
    <w:p w14:paraId="47768DB8"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托管人、及其境外托管人收到授权人士按本协议约定的方式发出的指令后，应验证指令有关内容及印鉴和签名的表面真实性，经查验无误后，方可按相关市场惯例尽合理努力执行，并将执行结果按本协议约定通知基金管理人。基金托管人如有疑问应及时通知基金管理人。基金管理人确认所有基金托管人在基金托管人收到基金管理人撤销或变更其指令前，按基金管理人指令根据本协议条款代表基金管理人签署的文件或所做出的适当行动。双方同意，如有关指令违反相关法律法规或当地市场惯例或本协议及相关附件约定，基金托管人无须执行有关指令，但基金托管人应在无不合理的延误下尽快通知基金管理人有关情况，基金托管人无须就此而引致的延误负责。此外，基金托管人无需就其在有合理理由下向基金管理人或授权人士澄清指令所产生的延误而引起的损失负责。</w:t>
      </w:r>
    </w:p>
    <w:p w14:paraId="2A27B618" w14:textId="77777777" w:rsidR="00F47A54" w:rsidRPr="000163E3" w:rsidRDefault="00F47A54" w:rsidP="00F47A54">
      <w:pPr>
        <w:snapToGrid w:val="0"/>
        <w:spacing w:line="360" w:lineRule="auto"/>
        <w:ind w:firstLineChars="200" w:firstLine="422"/>
        <w:rPr>
          <w:b/>
        </w:rPr>
      </w:pPr>
      <w:bookmarkStart w:id="119" w:name="_Toc174497191"/>
      <w:bookmarkStart w:id="120" w:name="_Toc174616297"/>
      <w:r w:rsidRPr="000163E3">
        <w:rPr>
          <w:rFonts w:hint="eastAsia"/>
          <w:b/>
        </w:rPr>
        <w:t>（五）基金管理人发送错误指令的情形和处理程序</w:t>
      </w:r>
      <w:bookmarkEnd w:id="119"/>
      <w:bookmarkEnd w:id="120"/>
    </w:p>
    <w:p w14:paraId="50817FEC" w14:textId="77777777" w:rsidR="00F47A54" w:rsidRDefault="00F47A54" w:rsidP="00F47A54">
      <w:pPr>
        <w:snapToGrid w:val="0"/>
        <w:spacing w:line="360" w:lineRule="auto"/>
        <w:ind w:firstLineChars="200" w:firstLine="420"/>
        <w:rPr>
          <w:rFonts w:ascii="宋体" w:hAnsi="宋体"/>
        </w:rPr>
      </w:pPr>
      <w:r>
        <w:rPr>
          <w:rFonts w:ascii="宋体" w:hAnsi="宋体" w:hint="eastAsia"/>
        </w:rPr>
        <w:t>若任何授权人士没有按照本协议规定的任何一种方式向基金托管人、及其境外托管人发送指令或任何指令未经授权人士适当签署，基金托管人、及其境外托管人有权且有义务拒绝执行。基金</w:t>
      </w:r>
      <w:r>
        <w:rPr>
          <w:rFonts w:ascii="宋体" w:hint="eastAsia"/>
          <w:kern w:val="0"/>
        </w:rPr>
        <w:t>托管人因执行基金管理人发出的错误指令对基金造成的损失，</w:t>
      </w:r>
      <w:r>
        <w:rPr>
          <w:rFonts w:ascii="宋体" w:hAnsi="宋体" w:hint="eastAsia"/>
        </w:rPr>
        <w:t>由基金管理人负责。</w:t>
      </w:r>
    </w:p>
    <w:p w14:paraId="13156C56" w14:textId="77777777" w:rsidR="00F47A54" w:rsidRPr="000163E3" w:rsidRDefault="00F47A54" w:rsidP="00F47A54">
      <w:pPr>
        <w:snapToGrid w:val="0"/>
        <w:spacing w:line="360" w:lineRule="auto"/>
        <w:ind w:firstLineChars="200" w:firstLine="422"/>
        <w:rPr>
          <w:b/>
        </w:rPr>
      </w:pPr>
      <w:bookmarkStart w:id="121" w:name="_Toc174497192"/>
      <w:bookmarkStart w:id="122" w:name="_Toc174616298"/>
      <w:r w:rsidRPr="000163E3">
        <w:rPr>
          <w:rFonts w:hint="eastAsia"/>
          <w:b/>
        </w:rPr>
        <w:t>（六）基金托管人依照法律法规暂缓、拒绝执行指令的情形和处理程序</w:t>
      </w:r>
      <w:bookmarkEnd w:id="121"/>
      <w:bookmarkEnd w:id="122"/>
    </w:p>
    <w:p w14:paraId="37E9CC6D"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基金托管人发现基金管理人发送的指令违反《基金法》、《基金合同》、本协议或有关基金法规的有关规定，不予执行，并应及时以书面形式通知基金管理人纠正，基金管理人收到</w:t>
      </w:r>
      <w:r>
        <w:rPr>
          <w:rFonts w:ascii="宋体" w:hAnsi="宋体" w:hint="eastAsia"/>
        </w:rPr>
        <w:lastRenderedPageBreak/>
        <w:t>通知后应及时核对，并以书面形式对基金托管人发出回函确认，由此造成的损失由基金管理人承担。</w:t>
      </w:r>
    </w:p>
    <w:p w14:paraId="1F543962" w14:textId="77777777" w:rsidR="00F47A54" w:rsidRPr="000163E3" w:rsidRDefault="00F47A54" w:rsidP="00F47A54">
      <w:pPr>
        <w:snapToGrid w:val="0"/>
        <w:spacing w:line="360" w:lineRule="auto"/>
        <w:ind w:firstLineChars="200" w:firstLine="422"/>
        <w:rPr>
          <w:b/>
        </w:rPr>
      </w:pPr>
      <w:bookmarkStart w:id="123" w:name="_Toc174497193"/>
      <w:bookmarkStart w:id="124" w:name="_Toc174616299"/>
      <w:r w:rsidRPr="000163E3">
        <w:rPr>
          <w:rFonts w:hint="eastAsia"/>
          <w:b/>
        </w:rPr>
        <w:t>（七）基金托管人未按照基金管理人指令执行的处理方法</w:t>
      </w:r>
      <w:bookmarkEnd w:id="123"/>
      <w:bookmarkEnd w:id="124"/>
    </w:p>
    <w:p w14:paraId="7D2A1886"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基金托管人由于自身原因造成未按照或者未及时按照基金管理人发送的正常指令执行，给基金份额持有人造成损失的，应负赔偿责任。</w:t>
      </w:r>
    </w:p>
    <w:p w14:paraId="52FBC829" w14:textId="77777777" w:rsidR="00F47A54" w:rsidRPr="000163E3" w:rsidRDefault="00F47A54" w:rsidP="00F47A54">
      <w:pPr>
        <w:snapToGrid w:val="0"/>
        <w:spacing w:line="360" w:lineRule="auto"/>
        <w:ind w:firstLineChars="200" w:firstLine="422"/>
        <w:rPr>
          <w:b/>
        </w:rPr>
      </w:pPr>
      <w:bookmarkStart w:id="125" w:name="_Toc48703902"/>
      <w:bookmarkStart w:id="126" w:name="_Toc174497194"/>
      <w:bookmarkStart w:id="127" w:name="_Toc174616300"/>
      <w:r w:rsidRPr="000163E3">
        <w:rPr>
          <w:rFonts w:hint="eastAsia"/>
          <w:b/>
        </w:rPr>
        <w:t>（八）更换被授权人的</w:t>
      </w:r>
      <w:bookmarkEnd w:id="125"/>
      <w:r w:rsidRPr="000163E3">
        <w:rPr>
          <w:rFonts w:hint="eastAsia"/>
          <w:b/>
        </w:rPr>
        <w:t>程序</w:t>
      </w:r>
      <w:bookmarkEnd w:id="126"/>
      <w:bookmarkEnd w:id="127"/>
    </w:p>
    <w:p w14:paraId="203AB3EC"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基金管理人撤换被授权人员或改变被授权人员的权限，必须提前向基金托管人发出由授权人签字和盖章的被授权人变更通知，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更换被授权人</w:t>
      </w:r>
      <w:r>
        <w:rPr>
          <w:rFonts w:ascii="宋体" w:hAnsi="宋体" w:hint="eastAsia"/>
          <w:szCs w:val="21"/>
        </w:rPr>
        <w:t>通知生效后，对于已被撤换的人员无权发送的指令，或被改变授权人员超权限发送的指令，基金管理人不承担责任。</w:t>
      </w:r>
    </w:p>
    <w:p w14:paraId="07153536" w14:textId="77777777" w:rsidR="00F47A54" w:rsidRPr="000163E3" w:rsidRDefault="00F47A54" w:rsidP="00F47A54">
      <w:pPr>
        <w:adjustRightInd w:val="0"/>
        <w:snapToGrid w:val="0"/>
        <w:spacing w:line="360" w:lineRule="auto"/>
        <w:ind w:firstLine="400"/>
      </w:pPr>
      <w:bookmarkStart w:id="128" w:name="_Toc466788856"/>
      <w:bookmarkStart w:id="129" w:name="_Toc523829997"/>
      <w:bookmarkStart w:id="130" w:name="_Toc22454451"/>
      <w:bookmarkStart w:id="131" w:name="_Toc48703903"/>
      <w:bookmarkStart w:id="132" w:name="_Toc123626173"/>
      <w:bookmarkStart w:id="133" w:name="_Toc124749231"/>
      <w:bookmarkStart w:id="134" w:name="_Toc124749942"/>
      <w:bookmarkStart w:id="135" w:name="_Toc125361079"/>
      <w:bookmarkStart w:id="136" w:name="_Toc140002342"/>
      <w:r>
        <w:rPr>
          <w:rFonts w:ascii="宋体" w:hAnsi="宋体" w:cs="Arial"/>
        </w:rPr>
        <w:br w:type="page"/>
      </w:r>
    </w:p>
    <w:p w14:paraId="53A70F3D" w14:textId="77777777" w:rsidR="00F47A54" w:rsidRPr="000163E3" w:rsidRDefault="00F47A54" w:rsidP="00F47A54">
      <w:pPr>
        <w:pStyle w:val="20"/>
        <w:numPr>
          <w:ilvl w:val="0"/>
          <w:numId w:val="45"/>
        </w:numPr>
      </w:pPr>
      <w:bookmarkStart w:id="137" w:name="_Toc174788858"/>
      <w:bookmarkStart w:id="138" w:name="_Toc174790106"/>
      <w:bookmarkStart w:id="139" w:name="_Toc176599595"/>
      <w:bookmarkStart w:id="140" w:name="_Toc176599859"/>
      <w:r w:rsidRPr="000163E3">
        <w:rPr>
          <w:rFonts w:hint="eastAsia"/>
        </w:rPr>
        <w:lastRenderedPageBreak/>
        <w:t>交易及清算交收安排</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4B0080F5" w14:textId="77777777" w:rsidR="00F47A54" w:rsidRPr="00590FD2" w:rsidRDefault="00F47A54" w:rsidP="00F47A54">
      <w:pPr>
        <w:adjustRightInd w:val="0"/>
        <w:snapToGrid w:val="0"/>
        <w:spacing w:line="360" w:lineRule="auto"/>
        <w:ind w:firstLine="422"/>
        <w:rPr>
          <w:b/>
          <w:bCs/>
        </w:rPr>
      </w:pPr>
      <w:bookmarkStart w:id="141" w:name="_Toc174616305"/>
      <w:r w:rsidRPr="00590FD2">
        <w:rPr>
          <w:rFonts w:hint="eastAsia"/>
          <w:b/>
          <w:bCs/>
        </w:rPr>
        <w:t>（一）</w:t>
      </w:r>
      <w:bookmarkStart w:id="142" w:name="_Toc48703905"/>
      <w:r w:rsidRPr="00590FD2">
        <w:rPr>
          <w:rFonts w:hint="eastAsia"/>
          <w:b/>
          <w:bCs/>
        </w:rPr>
        <w:t>基金投资证券后的清算</w:t>
      </w:r>
      <w:bookmarkEnd w:id="142"/>
      <w:r w:rsidRPr="00590FD2">
        <w:rPr>
          <w:rFonts w:hint="eastAsia"/>
          <w:b/>
          <w:bCs/>
        </w:rPr>
        <w:t>交收安排</w:t>
      </w:r>
      <w:bookmarkStart w:id="143" w:name="_Toc114673051"/>
      <w:bookmarkStart w:id="144" w:name="_Toc170466751"/>
      <w:bookmarkStart w:id="145" w:name="_Toc170466885"/>
      <w:bookmarkEnd w:id="141"/>
    </w:p>
    <w:p w14:paraId="6D60231F" w14:textId="77777777" w:rsidR="00F47A54" w:rsidRDefault="00F47A54" w:rsidP="00F47A54">
      <w:pPr>
        <w:pStyle w:val="a9"/>
        <w:adjustRightInd w:val="0"/>
        <w:snapToGrid w:val="0"/>
        <w:spacing w:line="360" w:lineRule="auto"/>
        <w:ind w:firstLine="400"/>
      </w:pPr>
      <w:r>
        <w:rPr>
          <w:rFonts w:hint="eastAsia"/>
        </w:rPr>
        <w:t xml:space="preserve">1. </w:t>
      </w:r>
      <w:r>
        <w:rPr>
          <w:rFonts w:hint="eastAsia"/>
        </w:rPr>
        <w:t>基金托管人清算职责</w:t>
      </w:r>
      <w:bookmarkEnd w:id="143"/>
      <w:bookmarkEnd w:id="144"/>
      <w:bookmarkEnd w:id="145"/>
    </w:p>
    <w:p w14:paraId="1C306096" w14:textId="77777777" w:rsidR="00F47A54" w:rsidRDefault="00F47A54" w:rsidP="00F47A54">
      <w:pPr>
        <w:adjustRightInd w:val="0"/>
        <w:snapToGrid w:val="0"/>
        <w:spacing w:line="360" w:lineRule="auto"/>
        <w:ind w:firstLine="400"/>
      </w:pPr>
      <w:r>
        <w:rPr>
          <w:rFonts w:hint="eastAsia"/>
        </w:rPr>
        <w:t>基金托管人应执行基金管理人授权人士按指令程序发送的现金汇划指令，办理基金财产在境内托管账户和境外托管账户之间的汇入、汇出以及相关汇兑手续，或将</w:t>
      </w:r>
      <w:r>
        <w:rPr>
          <w:rFonts w:ascii="宋体" w:hAnsi="宋体" w:cs="宋体" w:hint="eastAsia"/>
        </w:rPr>
        <w:t>基金财产</w:t>
      </w:r>
      <w:r>
        <w:rPr>
          <w:rFonts w:hint="eastAsia"/>
        </w:rPr>
        <w:t>划回基金管理人指定的账户，或完成投资相关的资金交收与证券交割，或支付相关费用。</w:t>
      </w:r>
    </w:p>
    <w:p w14:paraId="06F62BF1" w14:textId="77777777" w:rsidR="00F47A54" w:rsidRDefault="00F47A54" w:rsidP="00F47A54">
      <w:pPr>
        <w:adjustRightInd w:val="0"/>
        <w:snapToGrid w:val="0"/>
        <w:spacing w:line="360" w:lineRule="auto"/>
        <w:ind w:firstLine="400"/>
        <w:rPr>
          <w:rFonts w:ascii="宋体" w:hAnsi="宋体"/>
        </w:rPr>
      </w:pPr>
      <w:bookmarkStart w:id="146" w:name="_Toc114673052"/>
      <w:bookmarkStart w:id="147" w:name="_Toc170466752"/>
      <w:bookmarkStart w:id="148" w:name="_Toc170466886"/>
      <w:r w:rsidRPr="00537054">
        <w:rPr>
          <w:rFonts w:ascii="宋体" w:hAnsi="宋体" w:hint="eastAsia"/>
        </w:rPr>
        <w:t xml:space="preserve">2. </w:t>
      </w:r>
      <w:r>
        <w:rPr>
          <w:rFonts w:ascii="宋体" w:hAnsi="宋体" w:hint="eastAsia"/>
        </w:rPr>
        <w:t>基金出现超买或超卖的责任认定及处理程序</w:t>
      </w:r>
    </w:p>
    <w:p w14:paraId="2D008109" w14:textId="77777777" w:rsidR="00F47A54" w:rsidRDefault="00F47A54" w:rsidP="00F47A54">
      <w:pPr>
        <w:adjustRightInd w:val="0"/>
        <w:snapToGrid w:val="0"/>
        <w:spacing w:line="360" w:lineRule="auto"/>
        <w:ind w:firstLine="400"/>
        <w:rPr>
          <w:rFonts w:ascii="宋体" w:hAnsi="宋体"/>
        </w:rPr>
      </w:pPr>
      <w:r>
        <w:rPr>
          <w:rFonts w:ascii="宋体" w:hAnsi="宋体" w:hint="eastAsia"/>
        </w:rPr>
        <w:t>基金托管人在履行监督职能时，如果发现基金投资证券过程中出现超买或超卖现象，应立即提醒基金管理人，由基金管理人负责解决，由此给基金造成的损失由基金管理人承担。</w:t>
      </w:r>
    </w:p>
    <w:p w14:paraId="076310DD" w14:textId="77777777" w:rsidR="00F47A54" w:rsidRDefault="00F47A54" w:rsidP="00F47A54">
      <w:pPr>
        <w:adjustRightInd w:val="0"/>
        <w:snapToGrid w:val="0"/>
        <w:spacing w:line="360" w:lineRule="auto"/>
        <w:ind w:firstLine="400"/>
      </w:pPr>
      <w:r>
        <w:rPr>
          <w:rFonts w:ascii="宋体" w:hAnsi="宋体" w:hint="eastAsia"/>
        </w:rPr>
        <w:t xml:space="preserve">3. </w:t>
      </w:r>
      <w:r>
        <w:rPr>
          <w:rFonts w:hint="eastAsia"/>
        </w:rPr>
        <w:t>境内现金清算的实施</w:t>
      </w:r>
      <w:bookmarkEnd w:id="146"/>
      <w:bookmarkEnd w:id="147"/>
      <w:bookmarkEnd w:id="148"/>
    </w:p>
    <w:p w14:paraId="7E8A928C" w14:textId="77777777" w:rsidR="00F47A54" w:rsidRDefault="00F47A54" w:rsidP="00F47A54">
      <w:pPr>
        <w:adjustRightInd w:val="0"/>
        <w:snapToGrid w:val="0"/>
        <w:spacing w:line="360" w:lineRule="auto"/>
        <w:ind w:firstLine="400"/>
      </w:pPr>
      <w:r>
        <w:rPr>
          <w:rFonts w:hint="eastAsia"/>
        </w:rPr>
        <w:t>（</w:t>
      </w:r>
      <w:r>
        <w:rPr>
          <w:rFonts w:hint="eastAsia"/>
        </w:rPr>
        <w:t>1</w:t>
      </w:r>
      <w:r>
        <w:rPr>
          <w:rFonts w:hint="eastAsia"/>
        </w:rPr>
        <w:t>）现金汇划指令</w:t>
      </w:r>
    </w:p>
    <w:p w14:paraId="252501C4" w14:textId="77777777" w:rsidR="00F47A54" w:rsidRDefault="00F47A54" w:rsidP="00F47A54">
      <w:pPr>
        <w:adjustRightInd w:val="0"/>
        <w:snapToGrid w:val="0"/>
        <w:spacing w:line="360" w:lineRule="auto"/>
        <w:ind w:firstLine="400"/>
      </w:pPr>
      <w:r>
        <w:rPr>
          <w:rFonts w:hint="eastAsia"/>
        </w:rPr>
        <w:t>现金汇划指令是基金管理人在运用</w:t>
      </w:r>
      <w:r>
        <w:rPr>
          <w:rFonts w:ascii="宋体" w:hAnsi="宋体" w:cs="宋体" w:hint="eastAsia"/>
        </w:rPr>
        <w:t>基金财产</w:t>
      </w:r>
      <w:r>
        <w:rPr>
          <w:rFonts w:hint="eastAsia"/>
        </w:rPr>
        <w:t>时，由授权人士按指令程序向基金托管人发出的在境内托管账户与境外托管账户之间的现金汇入、汇出、或将现金汇回基金管理人指定的账户以及其他现金划拨的指令。</w:t>
      </w:r>
    </w:p>
    <w:p w14:paraId="17C18E41" w14:textId="77777777" w:rsidR="00F47A54" w:rsidRDefault="00F47A54" w:rsidP="00F47A54">
      <w:pPr>
        <w:adjustRightInd w:val="0"/>
        <w:snapToGrid w:val="0"/>
        <w:spacing w:line="360" w:lineRule="auto"/>
        <w:ind w:firstLine="400"/>
        <w:rPr>
          <w:lang w:val="en-GB"/>
        </w:rPr>
      </w:pPr>
      <w:bookmarkStart w:id="149" w:name="_Toc114667467"/>
      <w:r>
        <w:rPr>
          <w:rFonts w:hint="eastAsia"/>
        </w:rPr>
        <w:t>（</w:t>
      </w:r>
      <w:r>
        <w:rPr>
          <w:rFonts w:hint="eastAsia"/>
        </w:rPr>
        <w:t>2</w:t>
      </w:r>
      <w:r>
        <w:rPr>
          <w:rFonts w:hint="eastAsia"/>
        </w:rPr>
        <w:t>）现金汇划指令的确认和执行</w:t>
      </w:r>
      <w:bookmarkEnd w:id="149"/>
    </w:p>
    <w:p w14:paraId="777B031D" w14:textId="77777777" w:rsidR="00F47A54" w:rsidRDefault="00F47A54" w:rsidP="00F47A54">
      <w:pPr>
        <w:pStyle w:val="32"/>
        <w:adjustRightInd w:val="0"/>
        <w:snapToGrid w:val="0"/>
        <w:spacing w:line="360" w:lineRule="auto"/>
        <w:ind w:firstLineChars="200" w:firstLine="420"/>
        <w:rPr>
          <w:rFonts w:hint="default"/>
          <w:sz w:val="21"/>
          <w:szCs w:val="24"/>
        </w:rPr>
      </w:pPr>
      <w:r>
        <w:rPr>
          <w:sz w:val="21"/>
          <w:szCs w:val="24"/>
        </w:rPr>
        <w:t>基金管理人应当指定授权人士向基金托管人发送现金汇划指令，基金托管人应当验证现金汇划指令有关内容及印鉴和签名的有效性，经查验无误后，方可执行现金汇划指令，如有疑问应及时通知基金管理人。对于授权人士发出的指令，基金管理人不得否认其效力。若基金管理人已经撤销或更改对授权人士的授权，且基金托管人已收到有关上述撤销或更改的书面通知，则因基金托管人依无权或超越权限发送现金汇划指令的授权人士所发送的现金汇划指令行事而造成的直接损失，由基金托管人承担责任。</w:t>
      </w:r>
    </w:p>
    <w:p w14:paraId="453375E2" w14:textId="77777777" w:rsidR="00F47A54" w:rsidRDefault="00F47A54" w:rsidP="00F47A54">
      <w:pPr>
        <w:pStyle w:val="32"/>
        <w:adjustRightInd w:val="0"/>
        <w:snapToGrid w:val="0"/>
        <w:spacing w:line="360" w:lineRule="auto"/>
        <w:ind w:firstLineChars="200" w:firstLine="420"/>
        <w:rPr>
          <w:rFonts w:hint="default"/>
          <w:sz w:val="21"/>
          <w:szCs w:val="24"/>
        </w:rPr>
      </w:pPr>
      <w:r>
        <w:rPr>
          <w:sz w:val="21"/>
          <w:szCs w:val="24"/>
        </w:rPr>
        <w:t>如为限期执行的指令，基金管理人在指定期限内，应为基金托管人留出充足且合理的业务处理时间。基金托管人对现金汇划指令验证后，应在基金管理人规定的合理期限内执行。</w:t>
      </w:r>
    </w:p>
    <w:p w14:paraId="623E2CCD" w14:textId="77777777" w:rsidR="00F47A54" w:rsidRDefault="00F47A54" w:rsidP="00F47A54">
      <w:pPr>
        <w:adjustRightInd w:val="0"/>
        <w:snapToGrid w:val="0"/>
        <w:spacing w:line="360" w:lineRule="auto"/>
        <w:ind w:firstLine="400"/>
      </w:pPr>
      <w:bookmarkStart w:id="150" w:name="_Toc114673054"/>
      <w:bookmarkStart w:id="151" w:name="_Toc170466753"/>
      <w:bookmarkStart w:id="152" w:name="_Toc170466887"/>
      <w:r>
        <w:rPr>
          <w:rFonts w:hint="eastAsia"/>
        </w:rPr>
        <w:t>4.</w:t>
      </w:r>
      <w:r>
        <w:rPr>
          <w:rFonts w:hint="eastAsia"/>
        </w:rPr>
        <w:t>境外现金清算的实施</w:t>
      </w:r>
      <w:bookmarkEnd w:id="150"/>
      <w:bookmarkEnd w:id="151"/>
      <w:bookmarkEnd w:id="152"/>
    </w:p>
    <w:p w14:paraId="06499C2D" w14:textId="77777777" w:rsidR="00F47A54" w:rsidRDefault="00F47A54" w:rsidP="00F47A54">
      <w:pPr>
        <w:tabs>
          <w:tab w:val="left" w:pos="1440"/>
          <w:tab w:val="num" w:pos="1650"/>
          <w:tab w:val="left" w:pos="2835"/>
        </w:tabs>
        <w:adjustRightInd w:val="0"/>
        <w:snapToGrid w:val="0"/>
        <w:spacing w:line="360" w:lineRule="auto"/>
        <w:ind w:firstLineChars="200" w:firstLine="420"/>
      </w:pPr>
      <w:r>
        <w:rPr>
          <w:rFonts w:hint="eastAsia"/>
        </w:rPr>
        <w:t>(</w:t>
      </w:r>
      <w:r>
        <w:rPr>
          <w:rFonts w:hint="eastAsia"/>
        </w:rPr>
        <w:t>１</w:t>
      </w:r>
      <w:r>
        <w:rPr>
          <w:rFonts w:hint="eastAsia"/>
        </w:rPr>
        <w:t>)</w:t>
      </w:r>
      <w:r>
        <w:rPr>
          <w:rFonts w:hint="eastAsia"/>
        </w:rPr>
        <w:t>基金托管人及其境外托管人应当根据授权人士的指令，并根据行业惯例，售出、转让、转移或存托</w:t>
      </w:r>
      <w:r>
        <w:rPr>
          <w:rFonts w:ascii="宋体" w:hAnsi="宋体" w:cs="宋体" w:hint="eastAsia"/>
        </w:rPr>
        <w:t>基金财产</w:t>
      </w:r>
      <w:r>
        <w:rPr>
          <w:rFonts w:hint="eastAsia"/>
        </w:rPr>
        <w:t xml:space="preserve">, </w:t>
      </w:r>
      <w:r>
        <w:rPr>
          <w:rFonts w:hint="eastAsia"/>
        </w:rPr>
        <w:t>接收或交付所买卖证券或其它工具，并支付或收取相应款项。</w:t>
      </w:r>
    </w:p>
    <w:p w14:paraId="50F92CCF" w14:textId="77777777" w:rsidR="00F47A54" w:rsidRDefault="00F47A54" w:rsidP="00F47A54">
      <w:pPr>
        <w:tabs>
          <w:tab w:val="left" w:pos="1440"/>
          <w:tab w:val="num" w:pos="1650"/>
        </w:tabs>
        <w:adjustRightInd w:val="0"/>
        <w:snapToGrid w:val="0"/>
        <w:spacing w:line="360" w:lineRule="auto"/>
        <w:ind w:firstLineChars="200" w:firstLine="420"/>
      </w:pPr>
      <w:r>
        <w:rPr>
          <w:rFonts w:hint="eastAsia"/>
        </w:rPr>
        <w:t>(</w:t>
      </w:r>
      <w:r>
        <w:rPr>
          <w:rFonts w:hint="eastAsia"/>
        </w:rPr>
        <w:t>２</w:t>
      </w:r>
      <w:r>
        <w:rPr>
          <w:rFonts w:hint="eastAsia"/>
        </w:rPr>
        <w:t>)</w:t>
      </w:r>
      <w:r>
        <w:rPr>
          <w:rFonts w:hint="eastAsia"/>
        </w:rPr>
        <w:t>基金管理人自身应确保遵循法律法规、《基金合同》和本协议的规定。</w:t>
      </w:r>
    </w:p>
    <w:p w14:paraId="0238DF77" w14:textId="77777777" w:rsidR="00F47A54" w:rsidRDefault="00F47A54" w:rsidP="00F47A54">
      <w:pPr>
        <w:tabs>
          <w:tab w:val="left" w:pos="1440"/>
          <w:tab w:val="num" w:pos="1650"/>
        </w:tabs>
        <w:adjustRightInd w:val="0"/>
        <w:snapToGrid w:val="0"/>
        <w:spacing w:line="360" w:lineRule="auto"/>
        <w:ind w:firstLineChars="200" w:firstLine="420"/>
      </w:pPr>
      <w:r>
        <w:rPr>
          <w:rFonts w:hint="eastAsia"/>
        </w:rPr>
        <w:t>(</w:t>
      </w:r>
      <w:r>
        <w:rPr>
          <w:rFonts w:hint="eastAsia"/>
        </w:rPr>
        <w:t>３</w:t>
      </w:r>
      <w:r>
        <w:rPr>
          <w:rFonts w:hint="eastAsia"/>
        </w:rPr>
        <w:t>)</w:t>
      </w:r>
      <w:r>
        <w:rPr>
          <w:rFonts w:hint="eastAsia"/>
        </w:rPr>
        <w:t>基金管理人可授权，但基金托管人及其境外托管人没有义务，在账户现金不足的情况下垫付完成交易所需现金。基金管理人认可，基金托管人及其境外托管人有权向基金管理人收回所垫付的现金，并收取与所垫付现金有关的合理费用。基金管理人应认可，基金托管人及其境外托管人根据不同国家</w:t>
      </w:r>
      <w:r w:rsidR="00EC69B5">
        <w:rPr>
          <w:rFonts w:hint="eastAsia"/>
        </w:rPr>
        <w:t>或地区</w:t>
      </w:r>
      <w:r>
        <w:rPr>
          <w:rFonts w:hint="eastAsia"/>
        </w:rPr>
        <w:t>、市场以及投资品种，做出相应决定，在账户现金不足的情况下垫付交易所需现金。除非基金管理人及时支付，基金托管人及其境外托管人所垫付的现金及相关的合理费用应从基金管理人的</w:t>
      </w:r>
      <w:r>
        <w:rPr>
          <w:rFonts w:ascii="宋体" w:hAnsi="宋体" w:cs="宋体" w:hint="eastAsia"/>
        </w:rPr>
        <w:t>基金财产</w:t>
      </w:r>
      <w:r>
        <w:rPr>
          <w:rFonts w:hint="eastAsia"/>
        </w:rPr>
        <w:t>中支付。基金管理人认可，基金托管</w:t>
      </w:r>
      <w:r>
        <w:rPr>
          <w:rFonts w:hint="eastAsia"/>
        </w:rPr>
        <w:lastRenderedPageBreak/>
        <w:t>人及其境外托管人有权从贷记或应付基金管理人的款项中扣除其所垫付的现金及相关的合理费用。若相应账户中的金额不足，基金管理人应当按照基金托管人及其境外托管人的书面通知，向基金托管人及其境外托管人补足所需现金缺额，否则基金托管人及其境外托管人对基金管理人托管账户中与已垫付现金和相关合理费用额度相当的基金财产拥有</w:t>
      </w:r>
      <w:r>
        <w:rPr>
          <w:rFonts w:hint="eastAsia"/>
        </w:rPr>
        <w:t>(</w:t>
      </w:r>
      <w:r>
        <w:rPr>
          <w:rFonts w:hint="eastAsia"/>
        </w:rPr>
        <w:t>并有权行使</w:t>
      </w:r>
      <w:r>
        <w:rPr>
          <w:rFonts w:hint="eastAsia"/>
        </w:rPr>
        <w:t>)</w:t>
      </w:r>
      <w:r>
        <w:rPr>
          <w:rFonts w:hint="eastAsia"/>
        </w:rPr>
        <w:t>留置权。当基金托管人及其境外托管人从基金管理人收回所垫付现金和相关合理费用时，应当相应地解除设置于基金财产上的、与收回金额相当的留置权。</w:t>
      </w:r>
    </w:p>
    <w:p w14:paraId="5AE178AC" w14:textId="77777777" w:rsidR="00F47A54" w:rsidRDefault="00F47A54" w:rsidP="00F47A54">
      <w:pPr>
        <w:tabs>
          <w:tab w:val="left" w:pos="1440"/>
          <w:tab w:val="num" w:pos="1650"/>
        </w:tabs>
        <w:adjustRightInd w:val="0"/>
        <w:snapToGrid w:val="0"/>
        <w:spacing w:line="360" w:lineRule="auto"/>
        <w:ind w:firstLineChars="200" w:firstLine="420"/>
      </w:pPr>
      <w:r>
        <w:rPr>
          <w:rFonts w:hint="eastAsia"/>
        </w:rPr>
        <w:t>(</w:t>
      </w:r>
      <w:r>
        <w:rPr>
          <w:rFonts w:hint="eastAsia"/>
        </w:rPr>
        <w:t>４</w:t>
      </w:r>
      <w:r>
        <w:rPr>
          <w:rFonts w:hint="eastAsia"/>
        </w:rPr>
        <w:t xml:space="preserve">) </w:t>
      </w:r>
      <w:r>
        <w:rPr>
          <w:rFonts w:hint="eastAsia"/>
        </w:rPr>
        <w:t>基金托管人确保其境外托管人按基金管理人的指令，向特定对象、按指定金额、时间和方式划拨</w:t>
      </w:r>
      <w:r>
        <w:rPr>
          <w:rFonts w:ascii="宋体" w:hAnsi="宋体" w:cs="宋体" w:hint="eastAsia"/>
        </w:rPr>
        <w:t>基金财产</w:t>
      </w:r>
      <w:r>
        <w:rPr>
          <w:rFonts w:hint="eastAsia"/>
        </w:rPr>
        <w:t>。在没有关于接收对象变化情况的实际信息或通知的情况下，基金托管人及其境外托管人对其根据基金管理人指令或善意原则做出的资产划拨不负责任。若划拨的资产因无人领取被退回，基金托管人应及时通知基金管理人，并按基金管理人的指令处置资产。在上述划拨资产的过程中，在途现金不计利息。</w:t>
      </w:r>
    </w:p>
    <w:p w14:paraId="16DF5148" w14:textId="77777777" w:rsidR="00F47A54" w:rsidRDefault="00F47A54" w:rsidP="00F47A54">
      <w:pPr>
        <w:tabs>
          <w:tab w:val="left" w:pos="1440"/>
          <w:tab w:val="num" w:pos="1650"/>
        </w:tabs>
        <w:adjustRightInd w:val="0"/>
        <w:snapToGrid w:val="0"/>
        <w:spacing w:line="360" w:lineRule="auto"/>
        <w:ind w:firstLineChars="200" w:firstLine="420"/>
      </w:pPr>
      <w:r>
        <w:rPr>
          <w:rFonts w:hint="eastAsia"/>
        </w:rPr>
        <w:t>5.</w:t>
      </w:r>
      <w:r>
        <w:rPr>
          <w:szCs w:val="21"/>
        </w:rPr>
        <w:t>基金管理人在发送划款指令时应充分考虑基金托管人的划款处理时间。在基金资金头寸充足的情况下，基金托管人对基金管理人符合法律法规、基金合同、基金托管协议的指令不得拖延或拒绝执行</w:t>
      </w:r>
      <w:r>
        <w:rPr>
          <w:rFonts w:hint="eastAsia"/>
          <w:szCs w:val="21"/>
        </w:rPr>
        <w:t>。</w:t>
      </w:r>
    </w:p>
    <w:p w14:paraId="103DE5C4" w14:textId="77777777" w:rsidR="00F47A54" w:rsidRPr="000163E3" w:rsidRDefault="00F47A54" w:rsidP="00F47A54">
      <w:pPr>
        <w:adjustRightInd w:val="0"/>
        <w:snapToGrid w:val="0"/>
        <w:spacing w:line="360" w:lineRule="auto"/>
        <w:ind w:firstLine="422"/>
        <w:rPr>
          <w:b/>
          <w:bCs/>
        </w:rPr>
      </w:pPr>
      <w:bookmarkStart w:id="153" w:name="_Toc170466754"/>
      <w:bookmarkStart w:id="154" w:name="_Toc170466888"/>
      <w:bookmarkStart w:id="155" w:name="_Toc174616306"/>
      <w:r w:rsidRPr="000163E3">
        <w:rPr>
          <w:rFonts w:hint="eastAsia"/>
          <w:b/>
          <w:bCs/>
        </w:rPr>
        <w:t>（二）资金、证券账目及交易记录的核对</w:t>
      </w:r>
      <w:bookmarkEnd w:id="153"/>
      <w:bookmarkEnd w:id="154"/>
      <w:bookmarkEnd w:id="155"/>
    </w:p>
    <w:p w14:paraId="31A442EE" w14:textId="77777777" w:rsidR="00F47A54" w:rsidRDefault="00F47A54" w:rsidP="00F47A54">
      <w:pPr>
        <w:adjustRightInd w:val="0"/>
        <w:snapToGrid w:val="0"/>
        <w:spacing w:line="360" w:lineRule="auto"/>
        <w:ind w:firstLine="400"/>
        <w:rPr>
          <w:bCs/>
        </w:rPr>
      </w:pPr>
      <w:r>
        <w:rPr>
          <w:rFonts w:hint="eastAsia"/>
          <w:bCs/>
        </w:rPr>
        <w:t xml:space="preserve">1. </w:t>
      </w:r>
      <w:r>
        <w:rPr>
          <w:rFonts w:hint="eastAsia"/>
          <w:bCs/>
        </w:rPr>
        <w:t>交易记录的核对</w:t>
      </w:r>
    </w:p>
    <w:p w14:paraId="05A87D2E" w14:textId="77777777" w:rsidR="00F47A54" w:rsidRDefault="00F47A54" w:rsidP="00F47A54">
      <w:pPr>
        <w:adjustRightInd w:val="0"/>
        <w:snapToGrid w:val="0"/>
        <w:spacing w:line="360" w:lineRule="auto"/>
        <w:ind w:firstLine="400"/>
        <w:rPr>
          <w:bCs/>
          <w:iCs/>
        </w:rPr>
      </w:pPr>
      <w:r>
        <w:rPr>
          <w:rFonts w:hint="eastAsia"/>
          <w:bCs/>
          <w:iCs/>
        </w:rPr>
        <w:t>基金管理人、基金托管人应按日或与基金管理人约定的时间进行交易记录的核对。在定期对外披露净值之前，必须保证当天所有实际交易记录与会计账簿上的交易记录完全一致。</w:t>
      </w:r>
    </w:p>
    <w:p w14:paraId="2BD70396" w14:textId="77777777" w:rsidR="00F47A54" w:rsidRDefault="00F47A54" w:rsidP="00F47A54">
      <w:pPr>
        <w:adjustRightInd w:val="0"/>
        <w:snapToGrid w:val="0"/>
        <w:spacing w:line="360" w:lineRule="auto"/>
        <w:ind w:firstLine="400"/>
        <w:rPr>
          <w:bCs/>
          <w:iCs/>
        </w:rPr>
      </w:pPr>
      <w:r>
        <w:rPr>
          <w:rFonts w:hint="eastAsia"/>
          <w:bCs/>
        </w:rPr>
        <w:t>2.</w:t>
      </w:r>
      <w:r>
        <w:rPr>
          <w:rFonts w:hint="eastAsia"/>
          <w:bCs/>
        </w:rPr>
        <w:t>资金账目的核对</w:t>
      </w:r>
    </w:p>
    <w:p w14:paraId="72B15BF8" w14:textId="77777777" w:rsidR="00F47A54" w:rsidRDefault="00F47A54" w:rsidP="00F47A54">
      <w:pPr>
        <w:adjustRightInd w:val="0"/>
        <w:snapToGrid w:val="0"/>
        <w:spacing w:line="360" w:lineRule="auto"/>
        <w:ind w:firstLine="400"/>
        <w:rPr>
          <w:bCs/>
        </w:rPr>
      </w:pPr>
      <w:r>
        <w:rPr>
          <w:rFonts w:hint="eastAsia"/>
          <w:bCs/>
        </w:rPr>
        <w:t>基金托管人按日对境内、境外托管账户进行核实，确保账实相符。</w:t>
      </w:r>
    </w:p>
    <w:p w14:paraId="19222811" w14:textId="77777777" w:rsidR="00F47A54" w:rsidRDefault="00F47A54" w:rsidP="00F47A54">
      <w:pPr>
        <w:adjustRightInd w:val="0"/>
        <w:snapToGrid w:val="0"/>
        <w:spacing w:line="360" w:lineRule="auto"/>
        <w:ind w:firstLine="400"/>
        <w:rPr>
          <w:bCs/>
          <w:iCs/>
        </w:rPr>
      </w:pPr>
      <w:r>
        <w:rPr>
          <w:rFonts w:hint="eastAsia"/>
          <w:bCs/>
        </w:rPr>
        <w:t>基金托管人每日或按照基金管理人要求的时间向基金管理人提供基金资产资金余额表，并保证其所记录的资金余额、币种与实际相符。</w:t>
      </w:r>
    </w:p>
    <w:p w14:paraId="4E67C81A" w14:textId="77777777" w:rsidR="00F47A54" w:rsidRDefault="00F47A54" w:rsidP="00F47A54">
      <w:pPr>
        <w:adjustRightInd w:val="0"/>
        <w:snapToGrid w:val="0"/>
        <w:spacing w:line="360" w:lineRule="auto"/>
        <w:ind w:firstLine="400"/>
        <w:rPr>
          <w:bCs/>
          <w:iCs/>
        </w:rPr>
      </w:pPr>
      <w:r>
        <w:rPr>
          <w:rFonts w:hint="eastAsia"/>
          <w:bCs/>
        </w:rPr>
        <w:t>3.</w:t>
      </w:r>
      <w:r>
        <w:rPr>
          <w:rFonts w:hint="eastAsia"/>
          <w:bCs/>
        </w:rPr>
        <w:t>证券账目的核对</w:t>
      </w:r>
    </w:p>
    <w:p w14:paraId="7E74628F" w14:textId="77777777" w:rsidR="00F47A54" w:rsidRDefault="00F47A54" w:rsidP="00F47A54">
      <w:pPr>
        <w:adjustRightInd w:val="0"/>
        <w:snapToGrid w:val="0"/>
        <w:spacing w:line="360" w:lineRule="auto"/>
        <w:ind w:firstLine="400"/>
      </w:pPr>
      <w:r>
        <w:rPr>
          <w:rFonts w:hint="eastAsia"/>
          <w:bCs/>
        </w:rPr>
        <w:t>基金管理人和基金托管人</w:t>
      </w:r>
      <w:r>
        <w:rPr>
          <w:bCs/>
        </w:rPr>
        <w:t>每交易日结束后核对基金资产的证券账目，确保</w:t>
      </w:r>
      <w:r>
        <w:rPr>
          <w:rFonts w:hint="eastAsia"/>
          <w:bCs/>
        </w:rPr>
        <w:t>基金管理人和基金托管人</w:t>
      </w:r>
      <w:r>
        <w:rPr>
          <w:bCs/>
        </w:rPr>
        <w:t>账目相符。</w:t>
      </w:r>
      <w:r>
        <w:rPr>
          <w:rFonts w:hint="eastAsia"/>
          <w:bCs/>
        </w:rPr>
        <w:t>基金管理人和基金托管人</w:t>
      </w:r>
      <w:r>
        <w:rPr>
          <w:bCs/>
        </w:rPr>
        <w:t>每月月末核对实物证券账目。基金托管人在每月月初五个工作日内向基金管理人提供上月月末的证券数量月度报告，并保证其所记录的证券数量与实际相符。</w:t>
      </w:r>
    </w:p>
    <w:p w14:paraId="51F61557" w14:textId="77777777" w:rsidR="00F47A54" w:rsidRPr="000163E3" w:rsidRDefault="00F47A54" w:rsidP="00F47A54">
      <w:pPr>
        <w:adjustRightInd w:val="0"/>
        <w:snapToGrid w:val="0"/>
        <w:spacing w:line="360" w:lineRule="auto"/>
        <w:ind w:firstLine="422"/>
        <w:rPr>
          <w:b/>
          <w:bCs/>
        </w:rPr>
      </w:pPr>
      <w:bookmarkStart w:id="156" w:name="_Toc170466755"/>
      <w:bookmarkStart w:id="157" w:name="_Toc170466889"/>
      <w:r w:rsidRPr="000163E3">
        <w:rPr>
          <w:b/>
          <w:bCs/>
        </w:rPr>
        <w:t>（</w:t>
      </w:r>
      <w:r>
        <w:rPr>
          <w:rFonts w:hint="eastAsia"/>
          <w:b/>
          <w:bCs/>
        </w:rPr>
        <w:t>三</w:t>
      </w:r>
      <w:r w:rsidRPr="000163E3">
        <w:rPr>
          <w:b/>
          <w:bCs/>
        </w:rPr>
        <w:t>）基金申购和赎回业务处理的基本规定</w:t>
      </w:r>
      <w:bookmarkEnd w:id="156"/>
      <w:bookmarkEnd w:id="157"/>
    </w:p>
    <w:p w14:paraId="689D7B27" w14:textId="77777777" w:rsidR="00F47A54" w:rsidRPr="00555363" w:rsidRDefault="00F47A54" w:rsidP="00F47A54">
      <w:pPr>
        <w:adjustRightInd w:val="0"/>
        <w:snapToGrid w:val="0"/>
        <w:spacing w:line="360" w:lineRule="auto"/>
        <w:ind w:firstLine="400"/>
        <w:rPr>
          <w:bCs/>
        </w:rPr>
      </w:pPr>
      <w:r>
        <w:rPr>
          <w:rFonts w:hint="eastAsia"/>
          <w:bCs/>
        </w:rPr>
        <w:t>1</w:t>
      </w:r>
      <w:r>
        <w:rPr>
          <w:rFonts w:hint="eastAsia"/>
          <w:bCs/>
        </w:rPr>
        <w:t>、</w:t>
      </w:r>
      <w:r w:rsidRPr="00555363">
        <w:rPr>
          <w:bCs/>
        </w:rPr>
        <w:t>基金份额申购、赎回的确认、清算由基金管理人指定的注册登记机构负责。</w:t>
      </w:r>
    </w:p>
    <w:p w14:paraId="7C8A6B1E" w14:textId="77777777" w:rsidR="00F47A54" w:rsidRPr="00555363" w:rsidRDefault="00F47A54" w:rsidP="00F47A54">
      <w:pPr>
        <w:adjustRightInd w:val="0"/>
        <w:snapToGrid w:val="0"/>
        <w:spacing w:line="360" w:lineRule="auto"/>
        <w:ind w:firstLine="400"/>
        <w:rPr>
          <w:bCs/>
        </w:rPr>
      </w:pPr>
      <w:r>
        <w:rPr>
          <w:rFonts w:hint="eastAsia"/>
          <w:bCs/>
        </w:rPr>
        <w:t>2</w:t>
      </w:r>
      <w:r>
        <w:rPr>
          <w:rFonts w:hint="eastAsia"/>
          <w:bCs/>
        </w:rPr>
        <w:t>、</w:t>
      </w:r>
      <w:r w:rsidRPr="00555363">
        <w:rPr>
          <w:bCs/>
        </w:rPr>
        <w:t>基金管理人应将每个开放日的申购、赎回、转换等的数据传送给基金托管人。基金管理人应对传递的申购、赎回、转换等数据真实性负责。基金托管人应及时查收申购资金的到账情况并根据基金管理人指令及时划付赎回款项。</w:t>
      </w:r>
    </w:p>
    <w:p w14:paraId="653C69F0" w14:textId="77777777" w:rsidR="00F47A54" w:rsidRPr="00555363" w:rsidRDefault="00F47A54" w:rsidP="00F47A54">
      <w:pPr>
        <w:adjustRightInd w:val="0"/>
        <w:snapToGrid w:val="0"/>
        <w:spacing w:line="360" w:lineRule="auto"/>
        <w:ind w:firstLine="400"/>
        <w:rPr>
          <w:bCs/>
        </w:rPr>
      </w:pPr>
      <w:r>
        <w:rPr>
          <w:rFonts w:hint="eastAsia"/>
          <w:bCs/>
        </w:rPr>
        <w:t>3</w:t>
      </w:r>
      <w:r>
        <w:rPr>
          <w:rFonts w:hint="eastAsia"/>
          <w:bCs/>
        </w:rPr>
        <w:t>、</w:t>
      </w:r>
      <w:r w:rsidRPr="00555363">
        <w:rPr>
          <w:bCs/>
        </w:rPr>
        <w:t>基金管理人应保证本基金（或基金管理人委托）的注册登记机构于基金份额申请确认日</w:t>
      </w:r>
      <w:r w:rsidRPr="00555363">
        <w:rPr>
          <w:bCs/>
        </w:rPr>
        <w:t>15:00</w:t>
      </w:r>
      <w:r w:rsidRPr="00555363">
        <w:rPr>
          <w:bCs/>
        </w:rPr>
        <w:t>前向基金托管人发送前一开放日上述有关数据，并保证相关数据的准确、完整。</w:t>
      </w:r>
    </w:p>
    <w:p w14:paraId="59B908C2" w14:textId="77777777" w:rsidR="00F47A54" w:rsidRPr="00555363" w:rsidRDefault="00F47A54" w:rsidP="00F47A54">
      <w:pPr>
        <w:adjustRightInd w:val="0"/>
        <w:snapToGrid w:val="0"/>
        <w:spacing w:line="360" w:lineRule="auto"/>
        <w:ind w:firstLine="400"/>
        <w:rPr>
          <w:bCs/>
        </w:rPr>
      </w:pPr>
      <w:r>
        <w:rPr>
          <w:rFonts w:hint="eastAsia"/>
          <w:bCs/>
        </w:rPr>
        <w:lastRenderedPageBreak/>
        <w:t>4</w:t>
      </w:r>
      <w:r>
        <w:rPr>
          <w:rFonts w:hint="eastAsia"/>
          <w:bCs/>
        </w:rPr>
        <w:t>、</w:t>
      </w:r>
      <w:r w:rsidRPr="00555363">
        <w:rPr>
          <w:bCs/>
        </w:rPr>
        <w:t>注册登记机构应通过与基金托管人建立的加密系统发送有关数据</w:t>
      </w:r>
      <w:r w:rsidRPr="00555363">
        <w:rPr>
          <w:bCs/>
        </w:rPr>
        <w:t>(</w:t>
      </w:r>
      <w:r w:rsidRPr="00555363">
        <w:rPr>
          <w:bCs/>
        </w:rPr>
        <w:t>包括电子数据和盖章生效的纸制清算汇总表</w:t>
      </w:r>
      <w:r w:rsidRPr="00555363">
        <w:rPr>
          <w:bCs/>
        </w:rPr>
        <w:t>)</w:t>
      </w:r>
      <w:r w:rsidRPr="00555363">
        <w:rPr>
          <w:bCs/>
        </w:rPr>
        <w:t>，如因各种原因，该系统无法正常发送，双方可协商解决处理方式。基金管理人向基金托管人发送的数据，双方各自按有关规定保存。</w:t>
      </w:r>
    </w:p>
    <w:p w14:paraId="2A91DBE3" w14:textId="77777777" w:rsidR="00F47A54" w:rsidRPr="00555363" w:rsidRDefault="00F47A54" w:rsidP="00F47A54">
      <w:pPr>
        <w:adjustRightInd w:val="0"/>
        <w:snapToGrid w:val="0"/>
        <w:spacing w:line="360" w:lineRule="auto"/>
        <w:ind w:firstLine="400"/>
        <w:rPr>
          <w:bCs/>
        </w:rPr>
      </w:pPr>
      <w:r>
        <w:rPr>
          <w:rFonts w:hint="eastAsia"/>
          <w:bCs/>
        </w:rPr>
        <w:t>5</w:t>
      </w:r>
      <w:r>
        <w:rPr>
          <w:rFonts w:hint="eastAsia"/>
          <w:bCs/>
        </w:rPr>
        <w:t>、</w:t>
      </w:r>
      <w:r w:rsidRPr="00555363">
        <w:rPr>
          <w:bCs/>
        </w:rPr>
        <w:t>如基金管理人委托其他机构办理本基金的注册登记业务，应保证上述相关事宜按时进行。否则，由基金管理人承担相应的责任。</w:t>
      </w:r>
    </w:p>
    <w:p w14:paraId="38AD4C09" w14:textId="77777777" w:rsidR="00F47A54" w:rsidRPr="00555363" w:rsidRDefault="00F47A54" w:rsidP="00F47A54">
      <w:pPr>
        <w:adjustRightInd w:val="0"/>
        <w:snapToGrid w:val="0"/>
        <w:spacing w:line="360" w:lineRule="auto"/>
        <w:ind w:firstLine="400"/>
        <w:rPr>
          <w:bCs/>
        </w:rPr>
      </w:pPr>
      <w:r>
        <w:rPr>
          <w:rFonts w:hint="eastAsia"/>
          <w:bCs/>
        </w:rPr>
        <w:t>6</w:t>
      </w:r>
      <w:r>
        <w:rPr>
          <w:rFonts w:hint="eastAsia"/>
          <w:bCs/>
        </w:rPr>
        <w:t>、</w:t>
      </w:r>
      <w:r w:rsidRPr="00555363">
        <w:rPr>
          <w:bCs/>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6B4AD46D" w14:textId="77777777" w:rsidR="00F47A54" w:rsidRDefault="00F47A54" w:rsidP="00F47A54">
      <w:pPr>
        <w:adjustRightInd w:val="0"/>
        <w:snapToGrid w:val="0"/>
        <w:spacing w:line="360" w:lineRule="auto"/>
        <w:ind w:firstLine="400"/>
        <w:rPr>
          <w:bCs/>
        </w:rPr>
      </w:pPr>
    </w:p>
    <w:p w14:paraId="30C44DAA" w14:textId="77777777" w:rsidR="00F47A54" w:rsidRPr="00555363" w:rsidRDefault="00F47A54" w:rsidP="00F47A54">
      <w:pPr>
        <w:adjustRightInd w:val="0"/>
        <w:snapToGrid w:val="0"/>
        <w:spacing w:line="360" w:lineRule="auto"/>
        <w:ind w:firstLine="400"/>
        <w:rPr>
          <w:bCs/>
        </w:rPr>
      </w:pPr>
      <w:r>
        <w:rPr>
          <w:bCs/>
        </w:rPr>
        <w:br w:type="page"/>
      </w:r>
    </w:p>
    <w:p w14:paraId="75E4342B" w14:textId="77777777" w:rsidR="00F47A54" w:rsidRPr="000163E3" w:rsidRDefault="00F47A54" w:rsidP="00F47A54">
      <w:pPr>
        <w:pStyle w:val="20"/>
        <w:numPr>
          <w:ilvl w:val="0"/>
          <w:numId w:val="45"/>
        </w:numPr>
        <w:rPr>
          <w:rFonts w:ascii="黑体" w:hAnsi="宋体" w:cs="Arial"/>
        </w:rPr>
      </w:pPr>
      <w:bookmarkStart w:id="158" w:name="_Toc174789800"/>
      <w:bookmarkStart w:id="159" w:name="_Toc174789801"/>
      <w:bookmarkStart w:id="160" w:name="_Toc125361080"/>
      <w:bookmarkStart w:id="161" w:name="_Toc140002343"/>
      <w:bookmarkStart w:id="162" w:name="_Toc174788859"/>
      <w:bookmarkStart w:id="163" w:name="_Toc174790107"/>
      <w:bookmarkStart w:id="164" w:name="_Toc176599596"/>
      <w:bookmarkStart w:id="165" w:name="_Toc176599860"/>
      <w:bookmarkStart w:id="166" w:name="_Toc170466890"/>
      <w:bookmarkEnd w:id="158"/>
      <w:bookmarkEnd w:id="159"/>
      <w:r w:rsidRPr="000163E3">
        <w:rPr>
          <w:rFonts w:hint="eastAsia"/>
        </w:rPr>
        <w:lastRenderedPageBreak/>
        <w:t>基金资产净值计算和会计核算</w:t>
      </w:r>
      <w:bookmarkEnd w:id="160"/>
      <w:bookmarkEnd w:id="161"/>
      <w:bookmarkEnd w:id="162"/>
      <w:bookmarkEnd w:id="163"/>
      <w:bookmarkEnd w:id="164"/>
      <w:bookmarkEnd w:id="165"/>
    </w:p>
    <w:p w14:paraId="4EB2456A" w14:textId="77777777" w:rsidR="00F47A54" w:rsidRPr="004B4DF6" w:rsidRDefault="00F47A54" w:rsidP="00F47A54">
      <w:pPr>
        <w:adjustRightInd w:val="0"/>
        <w:snapToGrid w:val="0"/>
        <w:spacing w:line="360" w:lineRule="auto"/>
        <w:ind w:firstLineChars="200" w:firstLine="422"/>
        <w:rPr>
          <w:b/>
          <w:kern w:val="0"/>
        </w:rPr>
      </w:pPr>
      <w:bookmarkStart w:id="167" w:name="_Toc174616309"/>
      <w:r w:rsidRPr="004B4DF6">
        <w:rPr>
          <w:rFonts w:hint="eastAsia"/>
          <w:b/>
          <w:kern w:val="0"/>
        </w:rPr>
        <w:t>（一）资产定价</w:t>
      </w:r>
      <w:bookmarkEnd w:id="166"/>
      <w:bookmarkEnd w:id="167"/>
    </w:p>
    <w:p w14:paraId="281DCDA6" w14:textId="77777777" w:rsidR="00F47A54" w:rsidRPr="004B4DF6" w:rsidRDefault="00F47A54" w:rsidP="00F47A54">
      <w:pPr>
        <w:adjustRightInd w:val="0"/>
        <w:snapToGrid w:val="0"/>
        <w:spacing w:line="360" w:lineRule="auto"/>
        <w:ind w:firstLineChars="200" w:firstLine="420"/>
        <w:rPr>
          <w:kern w:val="0"/>
        </w:rPr>
      </w:pPr>
      <w:r w:rsidRPr="004B4DF6">
        <w:rPr>
          <w:rFonts w:hint="eastAsia"/>
          <w:kern w:val="0"/>
        </w:rPr>
        <w:t>基金托管人、境外托管人负责按基金管理人和基金托管人约定的定价原则对基金资产进行定价。在进行资产定价时，基金托管人、境外托管人有权本着诚意原则，依赖本协议所约定的经纪人、定价服务机构或其他机构的定价信息，但在不存在过错的前提下，基金托管人、境外托管人对上述机构提供的信息的准确性和完整性不作任何担保，并对这些机构的信息的准确性和完整性所引起的基金管理人或基金财产损失不负任何责任。对基金托管人、境外托管人违反</w:t>
      </w:r>
      <w:r>
        <w:rPr>
          <w:rFonts w:ascii="宋体" w:hAnsi="宋体" w:hint="eastAsia"/>
        </w:rPr>
        <w:t>基金管理人和基金托管人</w:t>
      </w:r>
      <w:r w:rsidRPr="004B4DF6">
        <w:rPr>
          <w:rFonts w:hint="eastAsia"/>
          <w:kern w:val="0"/>
        </w:rPr>
        <w:t>约定的定价原则所引起的直接损失，由基金托管人、境外托管人承担赔偿责任。</w:t>
      </w:r>
    </w:p>
    <w:p w14:paraId="1A67207D" w14:textId="77777777" w:rsidR="00F47A54" w:rsidRPr="004B4DF6" w:rsidRDefault="00F47A54" w:rsidP="00F47A54">
      <w:pPr>
        <w:snapToGrid w:val="0"/>
        <w:spacing w:line="360" w:lineRule="auto"/>
        <w:ind w:firstLine="422"/>
        <w:rPr>
          <w:b/>
          <w:kern w:val="0"/>
        </w:rPr>
      </w:pPr>
      <w:bookmarkStart w:id="168" w:name="_Toc174616310"/>
      <w:r w:rsidRPr="004B4DF6">
        <w:rPr>
          <w:rFonts w:hint="eastAsia"/>
          <w:b/>
          <w:kern w:val="0"/>
        </w:rPr>
        <w:t>（二）基金资产估值方法和特殊情形的处理</w:t>
      </w:r>
      <w:bookmarkEnd w:id="168"/>
    </w:p>
    <w:p w14:paraId="01562452" w14:textId="77777777" w:rsidR="00F47A54" w:rsidRDefault="00F47A54" w:rsidP="00F47A54">
      <w:pPr>
        <w:adjustRightInd w:val="0"/>
        <w:snapToGrid w:val="0"/>
        <w:spacing w:line="360" w:lineRule="auto"/>
        <w:ind w:firstLine="400"/>
        <w:rPr>
          <w:kern w:val="0"/>
        </w:rPr>
      </w:pPr>
      <w:r>
        <w:rPr>
          <w:rFonts w:hint="eastAsia"/>
          <w:kern w:val="0"/>
        </w:rPr>
        <w:t>1.</w:t>
      </w:r>
      <w:r>
        <w:rPr>
          <w:rFonts w:hint="eastAsia"/>
          <w:kern w:val="0"/>
        </w:rPr>
        <w:t>会计核算和估值的处理原则</w:t>
      </w:r>
    </w:p>
    <w:p w14:paraId="60BC0726" w14:textId="77777777" w:rsidR="00F47A54" w:rsidRDefault="00F47A54" w:rsidP="00F47A54">
      <w:pPr>
        <w:adjustRightInd w:val="0"/>
        <w:snapToGrid w:val="0"/>
        <w:spacing w:line="360" w:lineRule="auto"/>
        <w:ind w:firstLineChars="200" w:firstLine="420"/>
        <w:rPr>
          <w:kern w:val="0"/>
        </w:rPr>
      </w:pPr>
      <w:r>
        <w:rPr>
          <w:rFonts w:hint="eastAsia"/>
          <w:kern w:val="0"/>
        </w:rPr>
        <w:t>(1)</w:t>
      </w:r>
      <w:r>
        <w:rPr>
          <w:rFonts w:hint="eastAsia"/>
          <w:kern w:val="0"/>
        </w:rPr>
        <w:t>基金资产的会计责任主体为基金管理人，基金管理人应根据与基金托管人协商确定的会计原则和核算方法进行会计处理。监管部门或行业组织另有约定的从其约定。基金托管人应根据与基金管理人协商确定的会计原则和核算方法对本基金进行会计处理、对资产净值计算进行复核。</w:t>
      </w:r>
      <w:r>
        <w:rPr>
          <w:rFonts w:ascii="宋体" w:hAnsi="宋体" w:hint="eastAsia"/>
          <w:szCs w:val="21"/>
        </w:rPr>
        <w:t>基金管</w:t>
      </w:r>
      <w:r>
        <w:rPr>
          <w:rFonts w:hint="eastAsia"/>
          <w:kern w:val="0"/>
        </w:rPr>
        <w:t>理人应向基金托管人提供基金托管人进行本基金的净值计算复核和本基金进行信息披露所需要的相关信息。基金管理人应依据与基金托管人协商确定的会计原则和会计准则进行会计处理。监管部门或行业组织另有约定的，从其约定。</w:t>
      </w:r>
    </w:p>
    <w:p w14:paraId="286B20D6" w14:textId="77777777" w:rsidR="00F47A54" w:rsidRDefault="00F47A54" w:rsidP="00F47A54">
      <w:pPr>
        <w:adjustRightInd w:val="0"/>
        <w:snapToGrid w:val="0"/>
        <w:spacing w:line="360" w:lineRule="auto"/>
        <w:ind w:firstLineChars="200" w:firstLine="420"/>
        <w:rPr>
          <w:kern w:val="0"/>
        </w:rPr>
      </w:pPr>
      <w:r>
        <w:rPr>
          <w:rFonts w:hint="eastAsia"/>
          <w:kern w:val="0"/>
        </w:rPr>
        <w:t>基金托管人、境外托管人应按国家规定和基金管理人要求对基金资产中的证券账户和现金账户进行帐实核对。</w:t>
      </w:r>
    </w:p>
    <w:p w14:paraId="30D7837D" w14:textId="77777777" w:rsidR="00F47A54" w:rsidRDefault="00F47A54" w:rsidP="00F47A54">
      <w:pPr>
        <w:adjustRightInd w:val="0"/>
        <w:snapToGrid w:val="0"/>
        <w:spacing w:line="360" w:lineRule="auto"/>
        <w:ind w:firstLineChars="200" w:firstLine="420"/>
        <w:rPr>
          <w:rFonts w:ascii="宋体" w:hAnsi="宋体"/>
          <w:szCs w:val="21"/>
        </w:rPr>
      </w:pPr>
      <w:r>
        <w:rPr>
          <w:rFonts w:ascii="宋体" w:hAnsi="宋体" w:hint="eastAsia"/>
          <w:szCs w:val="21"/>
        </w:rPr>
        <w:t>(2)基金管理人有权委托第三方独立机构进行会计核算，并认可其委托的第三方独立机构所计算的基金资产净值，基金托管人对基金管理人认可的第三方独立机构所计算的资产净值进行复核。</w:t>
      </w:r>
    </w:p>
    <w:p w14:paraId="56DC32C4" w14:textId="77777777" w:rsidR="00F47A54" w:rsidRDefault="00F47A54" w:rsidP="00F47A54">
      <w:pPr>
        <w:adjustRightInd w:val="0"/>
        <w:snapToGrid w:val="0"/>
        <w:spacing w:line="360" w:lineRule="auto"/>
        <w:ind w:firstLine="400"/>
        <w:rPr>
          <w:kern w:val="0"/>
        </w:rPr>
      </w:pPr>
      <w:r>
        <w:rPr>
          <w:rFonts w:hint="eastAsia"/>
          <w:kern w:val="0"/>
        </w:rPr>
        <w:t xml:space="preserve">2. </w:t>
      </w:r>
      <w:r>
        <w:rPr>
          <w:rFonts w:hint="eastAsia"/>
          <w:kern w:val="0"/>
        </w:rPr>
        <w:t>基金托管人的会计核算处理</w:t>
      </w:r>
    </w:p>
    <w:p w14:paraId="589479AB" w14:textId="77777777" w:rsidR="00F47A54" w:rsidRDefault="00F47A54" w:rsidP="00F47A54">
      <w:pPr>
        <w:pStyle w:val="a9"/>
        <w:adjustRightInd w:val="0"/>
        <w:snapToGrid w:val="0"/>
        <w:spacing w:line="360" w:lineRule="auto"/>
        <w:ind w:firstLineChars="200"/>
        <w:rPr>
          <w:kern w:val="0"/>
          <w:szCs w:val="24"/>
        </w:rPr>
      </w:pPr>
      <w:r>
        <w:rPr>
          <w:rFonts w:hint="eastAsia"/>
          <w:kern w:val="0"/>
          <w:szCs w:val="24"/>
        </w:rPr>
        <w:t>(1)</w:t>
      </w:r>
      <w:r>
        <w:rPr>
          <w:rFonts w:hint="eastAsia"/>
          <w:kern w:val="0"/>
          <w:szCs w:val="24"/>
        </w:rPr>
        <w:t>在遵守相关会计法律法规的前提下，基金托管人应按</w:t>
      </w:r>
      <w:r>
        <w:rPr>
          <w:rFonts w:hint="eastAsia"/>
        </w:rPr>
        <w:t>基金管理人和基金托管人</w:t>
      </w:r>
      <w:r>
        <w:rPr>
          <w:rFonts w:hint="eastAsia"/>
          <w:kern w:val="0"/>
          <w:szCs w:val="24"/>
        </w:rPr>
        <w:t>协商确定的会计核算方法和处理原则进行会计核算，并按照基金管理人对资产的划分，分别对基金财产单独建账、独立核算，并应指定专门人员负责会计核算与会计资料保管。属于</w:t>
      </w:r>
      <w:r>
        <w:rPr>
          <w:rFonts w:ascii="宋体" w:hAnsi="宋体" w:cs="宋体" w:hint="eastAsia"/>
          <w:kern w:val="0"/>
          <w:szCs w:val="24"/>
        </w:rPr>
        <w:t>基金财产</w:t>
      </w:r>
      <w:r>
        <w:rPr>
          <w:rFonts w:hint="eastAsia"/>
          <w:kern w:val="0"/>
          <w:szCs w:val="24"/>
        </w:rPr>
        <w:t>的收益应全额计入会计账簿，不得与其他托管资产的收益相混淆。</w:t>
      </w:r>
    </w:p>
    <w:p w14:paraId="530C879C" w14:textId="77777777" w:rsidR="00F47A54" w:rsidRDefault="00F47A54" w:rsidP="00F47A54">
      <w:pPr>
        <w:pStyle w:val="a9"/>
        <w:adjustRightInd w:val="0"/>
        <w:snapToGrid w:val="0"/>
        <w:spacing w:line="360" w:lineRule="auto"/>
        <w:ind w:firstLineChars="200"/>
        <w:rPr>
          <w:kern w:val="0"/>
          <w:szCs w:val="24"/>
        </w:rPr>
      </w:pPr>
      <w:r>
        <w:rPr>
          <w:rFonts w:hint="eastAsia"/>
          <w:kern w:val="0"/>
          <w:szCs w:val="24"/>
        </w:rPr>
        <w:t>(2)</w:t>
      </w:r>
      <w:r>
        <w:rPr>
          <w:rFonts w:hint="eastAsia"/>
          <w:kern w:val="0"/>
          <w:szCs w:val="24"/>
        </w:rPr>
        <w:t>基金资产核算的内容包括但不限于：证券买卖业务的核算、持有资产的付息、兑付、分红等业务的核算、证券发行认购业务的核算、货币市场工具买卖业务的核算、银行存款计息、存款账户间的资金划付业务的核算、支付费用的核算、汇兑损益的核算等。</w:t>
      </w:r>
    </w:p>
    <w:p w14:paraId="22BB5A7E" w14:textId="77777777" w:rsidR="00F47A54" w:rsidRDefault="00F47A54" w:rsidP="00F47A54">
      <w:pPr>
        <w:adjustRightInd w:val="0"/>
        <w:snapToGrid w:val="0"/>
        <w:spacing w:line="360" w:lineRule="auto"/>
        <w:ind w:firstLine="400"/>
        <w:rPr>
          <w:kern w:val="0"/>
        </w:rPr>
      </w:pPr>
      <w:r>
        <w:rPr>
          <w:rFonts w:hint="eastAsia"/>
          <w:kern w:val="0"/>
        </w:rPr>
        <w:t xml:space="preserve">3. </w:t>
      </w:r>
      <w:r>
        <w:rPr>
          <w:rFonts w:hint="eastAsia"/>
          <w:kern w:val="0"/>
        </w:rPr>
        <w:t>净值计算</w:t>
      </w:r>
    </w:p>
    <w:p w14:paraId="088B600E" w14:textId="2EBDB80A" w:rsidR="00F47A54" w:rsidRPr="00C00DAE" w:rsidRDefault="00F47A54" w:rsidP="00F47A54">
      <w:pPr>
        <w:adjustRightInd w:val="0"/>
        <w:snapToGrid w:val="0"/>
        <w:spacing w:line="360" w:lineRule="auto"/>
        <w:ind w:firstLineChars="200" w:firstLine="420"/>
        <w:jc w:val="left"/>
        <w:rPr>
          <w:rFonts w:ascii="宋体" w:hAnsi="宋体"/>
        </w:rPr>
      </w:pPr>
      <w:r>
        <w:rPr>
          <w:rFonts w:hint="eastAsia"/>
        </w:rPr>
        <w:t>(1)</w:t>
      </w:r>
      <w:r>
        <w:rPr>
          <w:rFonts w:hint="eastAsia"/>
        </w:rPr>
        <w:t>基金资产净值是指基金资产总值减去负债后的金额。份额净值是指基金资产净值除以份额总数，基金份额净值的计算，精确到</w:t>
      </w:r>
      <w:r>
        <w:rPr>
          <w:rFonts w:hint="eastAsia"/>
        </w:rPr>
        <w:t>0.00</w:t>
      </w:r>
      <w:r w:rsidR="00356827">
        <w:t>0</w:t>
      </w:r>
      <w:r>
        <w:rPr>
          <w:rFonts w:hint="eastAsia"/>
        </w:rPr>
        <w:t>1</w:t>
      </w:r>
      <w:r>
        <w:rPr>
          <w:rFonts w:hint="eastAsia"/>
        </w:rPr>
        <w:t>人民币，小数点后</w:t>
      </w:r>
      <w:r w:rsidR="00792DA1">
        <w:rPr>
          <w:rFonts w:hint="eastAsia"/>
        </w:rPr>
        <w:t>第</w:t>
      </w:r>
      <w:r w:rsidR="00792DA1">
        <w:t>5</w:t>
      </w:r>
      <w:r>
        <w:rPr>
          <w:rFonts w:hint="eastAsia"/>
        </w:rPr>
        <w:t>位四舍五入，国</w:t>
      </w:r>
      <w:r>
        <w:rPr>
          <w:rFonts w:hint="eastAsia"/>
        </w:rPr>
        <w:lastRenderedPageBreak/>
        <w:t>家另有规</w:t>
      </w:r>
      <w:r w:rsidRPr="00C00DAE">
        <w:rPr>
          <w:rFonts w:ascii="宋体" w:hAnsi="宋体" w:hint="eastAsia"/>
        </w:rPr>
        <w:t>定的，从其规定。</w:t>
      </w:r>
    </w:p>
    <w:p w14:paraId="65F0A91D" w14:textId="77777777" w:rsidR="00F47A54" w:rsidRPr="00C00DAE" w:rsidRDefault="00F47A54" w:rsidP="00F47A54">
      <w:pPr>
        <w:adjustRightInd w:val="0"/>
        <w:snapToGrid w:val="0"/>
        <w:spacing w:line="360" w:lineRule="auto"/>
        <w:ind w:firstLineChars="200" w:firstLine="420"/>
        <w:jc w:val="left"/>
        <w:rPr>
          <w:rFonts w:ascii="宋体" w:hAnsi="宋体"/>
        </w:rPr>
      </w:pPr>
      <w:r w:rsidRPr="00C00DAE">
        <w:rPr>
          <w:rFonts w:ascii="宋体" w:hAnsi="宋体" w:hint="eastAsia"/>
        </w:rPr>
        <w:t>(2)基金资产净值的计算日为每一工作日，基金管理人和基金托管人在收集净值计算日估值价格截止时点所估值证券的最近市场价格后，对各类估值资产进行估值，计算出基金资产净值及基金份额净值，并按规定</w:t>
      </w:r>
      <w:r w:rsidR="00245912">
        <w:rPr>
          <w:rFonts w:ascii="宋体" w:hAnsi="宋体" w:hint="eastAsia"/>
        </w:rPr>
        <w:t>披露</w:t>
      </w:r>
      <w:r w:rsidRPr="00C00DAE">
        <w:rPr>
          <w:rFonts w:ascii="宋体" w:hAnsi="宋体" w:hint="eastAsia"/>
        </w:rPr>
        <w:t>。</w:t>
      </w:r>
    </w:p>
    <w:p w14:paraId="5C94A7EF" w14:textId="77777777" w:rsidR="00F47A54" w:rsidRPr="00C00DAE" w:rsidRDefault="00F47A54" w:rsidP="00F47A54">
      <w:pPr>
        <w:adjustRightInd w:val="0"/>
        <w:snapToGrid w:val="0"/>
        <w:spacing w:line="360" w:lineRule="auto"/>
        <w:ind w:firstLineChars="200" w:firstLine="422"/>
        <w:jc w:val="left"/>
        <w:rPr>
          <w:rFonts w:ascii="宋体" w:hAnsi="宋体"/>
          <w:b/>
        </w:rPr>
      </w:pPr>
      <w:bookmarkStart w:id="169" w:name="_Toc136455403"/>
      <w:bookmarkStart w:id="170" w:name="_Toc174616311"/>
      <w:r w:rsidRPr="00C00DAE">
        <w:rPr>
          <w:rFonts w:ascii="宋体" w:hAnsi="宋体" w:hint="eastAsia"/>
          <w:b/>
        </w:rPr>
        <w:t>（三）基金份额净值错误的处理方式</w:t>
      </w:r>
      <w:bookmarkEnd w:id="169"/>
      <w:bookmarkEnd w:id="170"/>
    </w:p>
    <w:p w14:paraId="4DFB52F7" w14:textId="1CA09D66" w:rsidR="00F47A54" w:rsidRDefault="00F47A54" w:rsidP="00F47A54">
      <w:pPr>
        <w:snapToGrid w:val="0"/>
        <w:spacing w:line="360" w:lineRule="auto"/>
        <w:ind w:firstLineChars="200" w:firstLine="420"/>
        <w:rPr>
          <w:rFonts w:ascii="宋体" w:hAnsi="宋体"/>
        </w:rPr>
      </w:pPr>
      <w:r>
        <w:rPr>
          <w:rFonts w:ascii="宋体" w:hAnsi="宋体" w:hint="eastAsia"/>
        </w:rPr>
        <w:t>基金份额净值的计算保留到小数点后</w:t>
      </w:r>
      <w:r w:rsidR="00792DA1">
        <w:rPr>
          <w:rFonts w:ascii="宋体" w:hAnsi="宋体"/>
        </w:rPr>
        <w:t>4</w:t>
      </w:r>
      <w:r>
        <w:rPr>
          <w:rFonts w:ascii="宋体" w:hAnsi="宋体" w:hint="eastAsia"/>
        </w:rPr>
        <w:t>位，小数点后第</w:t>
      </w:r>
      <w:r w:rsidR="00792DA1">
        <w:rPr>
          <w:rFonts w:ascii="宋体" w:hAnsi="宋体" w:hint="eastAsia"/>
        </w:rPr>
        <w:t>5</w:t>
      </w:r>
      <w:r>
        <w:rPr>
          <w:rFonts w:ascii="宋体" w:hAnsi="宋体" w:hint="eastAsia"/>
        </w:rPr>
        <w:t>位四舍五入。当基金估值出现影响基金份额净值的错误时，基金管理人应当立即纠正，并采取合理的措施防止损失进一步扩大；估值错误偏差达到</w:t>
      </w:r>
      <w:r>
        <w:rPr>
          <w:rFonts w:ascii="宋体" w:hAnsi="宋体"/>
        </w:rPr>
        <w:t>基金份额净值</w:t>
      </w:r>
      <w:r>
        <w:rPr>
          <w:rFonts w:ascii="宋体" w:hAnsi="宋体" w:hint="eastAsia"/>
        </w:rPr>
        <w:t>的</w:t>
      </w:r>
      <w:r>
        <w:rPr>
          <w:rFonts w:ascii="宋体" w:hAnsi="宋体"/>
        </w:rPr>
        <w:t>0.5%</w:t>
      </w:r>
      <w:r>
        <w:rPr>
          <w:rFonts w:ascii="宋体" w:hAnsi="宋体" w:hint="eastAsia"/>
        </w:rPr>
        <w:t>时，基金管理人</w:t>
      </w:r>
      <w:r>
        <w:rPr>
          <w:rFonts w:ascii="宋体" w:hAnsi="宋体"/>
        </w:rPr>
        <w:t>应当公告，并报</w:t>
      </w:r>
      <w:r>
        <w:rPr>
          <w:rFonts w:ascii="宋体" w:hAnsi="宋体" w:hint="eastAsia"/>
        </w:rPr>
        <w:t>中国证监会</w:t>
      </w:r>
      <w:r>
        <w:rPr>
          <w:rFonts w:ascii="宋体" w:hAnsi="宋体"/>
        </w:rPr>
        <w:t>备案。</w:t>
      </w:r>
      <w:r>
        <w:rPr>
          <w:rFonts w:ascii="宋体" w:hAnsi="宋体" w:hint="eastAsia"/>
        </w:rPr>
        <w:t>因基金估值错误给投资者造成损失的，应先由基金管理人承担，基金管理人对不应由其承担的责任，有权向过错人追偿。</w:t>
      </w:r>
    </w:p>
    <w:p w14:paraId="3DAAB116" w14:textId="77777777" w:rsidR="00F47A54" w:rsidRDefault="00F47A54" w:rsidP="00F47A54">
      <w:pPr>
        <w:snapToGrid w:val="0"/>
        <w:spacing w:line="360" w:lineRule="auto"/>
        <w:ind w:firstLineChars="200" w:firstLine="420"/>
        <w:rPr>
          <w:rFonts w:ascii="宋体" w:hAnsi="宋体"/>
        </w:rPr>
      </w:pPr>
      <w:r>
        <w:rPr>
          <w:rFonts w:ascii="宋体" w:hAnsi="宋体" w:hint="eastAsia"/>
        </w:rPr>
        <w:t>关于差错处理，本合同的当事人按照以下约定处理：</w:t>
      </w:r>
    </w:p>
    <w:p w14:paraId="58586D49" w14:textId="77777777" w:rsidR="00F47A54" w:rsidRDefault="00F47A54" w:rsidP="00F47A54">
      <w:pPr>
        <w:snapToGrid w:val="0"/>
        <w:spacing w:line="360" w:lineRule="auto"/>
        <w:ind w:firstLineChars="200" w:firstLine="420"/>
        <w:rPr>
          <w:rFonts w:ascii="宋体" w:hAnsi="宋体"/>
        </w:rPr>
      </w:pPr>
      <w:r>
        <w:rPr>
          <w:rFonts w:ascii="宋体" w:hAnsi="宋体"/>
        </w:rPr>
        <w:t>1</w:t>
      </w:r>
      <w:r>
        <w:rPr>
          <w:rFonts w:ascii="宋体" w:hAnsi="宋体" w:hint="eastAsia"/>
        </w:rPr>
        <w:t>、差错类型</w:t>
      </w:r>
    </w:p>
    <w:p w14:paraId="5365709F" w14:textId="77777777" w:rsidR="00F47A54" w:rsidRDefault="00F47A54" w:rsidP="00F47A54">
      <w:pPr>
        <w:snapToGrid w:val="0"/>
        <w:spacing w:line="360" w:lineRule="auto"/>
        <w:ind w:firstLineChars="200" w:firstLine="420"/>
        <w:rPr>
          <w:rFonts w:ascii="宋体" w:hAnsi="宋体"/>
        </w:rPr>
      </w:pPr>
      <w:r>
        <w:rPr>
          <w:rFonts w:ascii="宋体" w:hAnsi="宋体"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759E5B33" w14:textId="77777777" w:rsidR="00F47A54" w:rsidRDefault="00F47A54" w:rsidP="00F47A54">
      <w:pPr>
        <w:snapToGrid w:val="0"/>
        <w:spacing w:line="360" w:lineRule="auto"/>
        <w:ind w:firstLineChars="200" w:firstLine="420"/>
        <w:rPr>
          <w:rFonts w:ascii="宋体" w:hAnsi="宋体"/>
        </w:rPr>
      </w:pPr>
      <w:r>
        <w:rPr>
          <w:rFonts w:ascii="宋体" w:hAnsi="宋体"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14:paraId="571DB2C1" w14:textId="77777777" w:rsidR="00F47A54" w:rsidRDefault="00F47A54" w:rsidP="00F47A54">
      <w:pPr>
        <w:snapToGrid w:val="0"/>
        <w:spacing w:line="360" w:lineRule="auto"/>
        <w:ind w:firstLineChars="200" w:firstLine="420"/>
        <w:rPr>
          <w:rFonts w:ascii="宋体" w:hAnsi="宋体"/>
        </w:rPr>
      </w:pPr>
      <w:r>
        <w:rPr>
          <w:rFonts w:ascii="宋体" w:hAnsi="宋体"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295F8070" w14:textId="77777777" w:rsidR="00F47A54" w:rsidRDefault="00F47A54" w:rsidP="00F47A54">
      <w:pPr>
        <w:snapToGrid w:val="0"/>
        <w:spacing w:line="360" w:lineRule="auto"/>
        <w:ind w:firstLineChars="200" w:firstLine="420"/>
        <w:rPr>
          <w:rFonts w:ascii="宋体" w:hAnsi="宋体"/>
        </w:rPr>
      </w:pPr>
      <w:r>
        <w:rPr>
          <w:rFonts w:ascii="宋体" w:hAnsi="宋体"/>
        </w:rPr>
        <w:t>2</w:t>
      </w:r>
      <w:r>
        <w:rPr>
          <w:rFonts w:ascii="宋体" w:hAnsi="宋体" w:hint="eastAsia"/>
        </w:rPr>
        <w:t>、差错处理原则</w:t>
      </w:r>
    </w:p>
    <w:p w14:paraId="4FCF18DC"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56F99766"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）差错的责任方对可能导致有关当事人的直接损失负责，不对间接损失负责，并且仅对差错的有关直接当事人负责，不对第三方负责。</w:t>
      </w:r>
    </w:p>
    <w:p w14:paraId="4031F7FA"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3</w:t>
      </w:r>
      <w:r>
        <w:rPr>
          <w:rFonts w:ascii="宋体" w:hAnsi="宋体" w:hint="eastAsia"/>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w:t>
      </w:r>
      <w:r>
        <w:rPr>
          <w:rFonts w:ascii="宋体" w:hAnsi="宋体" w:hint="eastAsia"/>
        </w:rPr>
        <w:lastRenderedPageBreak/>
        <w:t>不当得利返还的总和超过其实际损失的差额部分支付给差错责任方。</w:t>
      </w:r>
    </w:p>
    <w:p w14:paraId="5802F614"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4</w:t>
      </w:r>
      <w:r>
        <w:rPr>
          <w:rFonts w:ascii="宋体" w:hAnsi="宋体" w:hint="eastAsia"/>
        </w:rPr>
        <w:t>）差错调整采用尽量恢复至假设未发生差错的正确情形的方式。</w:t>
      </w:r>
    </w:p>
    <w:p w14:paraId="04A74951"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5</w:t>
      </w:r>
      <w:r>
        <w:rPr>
          <w:rFonts w:ascii="宋体" w:hAnsi="宋体" w:hint="eastAsia"/>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20B4590E"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6</w:t>
      </w:r>
      <w:r>
        <w:rPr>
          <w:rFonts w:ascii="宋体" w:hAnsi="宋体" w:hint="eastAsia"/>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41C94381"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7</w:t>
      </w:r>
      <w:r>
        <w:rPr>
          <w:rFonts w:ascii="宋体" w:hAnsi="宋体" w:hint="eastAsia"/>
        </w:rPr>
        <w:t>）按法律法规规定的其他原则处理差错。</w:t>
      </w:r>
    </w:p>
    <w:p w14:paraId="612F8866" w14:textId="77777777" w:rsidR="00F47A54" w:rsidRDefault="00F47A54" w:rsidP="00F47A54">
      <w:pPr>
        <w:snapToGrid w:val="0"/>
        <w:spacing w:line="360" w:lineRule="auto"/>
        <w:ind w:firstLineChars="200" w:firstLine="420"/>
        <w:rPr>
          <w:rFonts w:ascii="宋体" w:hAnsi="宋体"/>
        </w:rPr>
      </w:pPr>
      <w:r>
        <w:rPr>
          <w:rFonts w:ascii="宋体" w:hAnsi="宋体"/>
        </w:rPr>
        <w:t>3</w:t>
      </w:r>
      <w:r>
        <w:rPr>
          <w:rFonts w:ascii="宋体" w:hAnsi="宋体" w:hint="eastAsia"/>
        </w:rPr>
        <w:t>、差错处理程序</w:t>
      </w:r>
    </w:p>
    <w:p w14:paraId="77909767" w14:textId="77777777" w:rsidR="00F47A54" w:rsidRDefault="00F47A54" w:rsidP="00F47A54">
      <w:pPr>
        <w:snapToGrid w:val="0"/>
        <w:spacing w:line="360" w:lineRule="auto"/>
        <w:ind w:firstLineChars="200" w:firstLine="420"/>
        <w:rPr>
          <w:rFonts w:ascii="宋体" w:hAnsi="宋体"/>
        </w:rPr>
      </w:pPr>
      <w:r>
        <w:rPr>
          <w:rFonts w:ascii="宋体" w:hAnsi="宋体" w:hint="eastAsia"/>
        </w:rPr>
        <w:t>差错被发现后，有关的当事人应当及时进行处理，处理的程序如下：</w:t>
      </w:r>
    </w:p>
    <w:p w14:paraId="010D4F45"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）查明差错发生的原因，列明所有的当事人，并根据差错发生的原因确定差错的责任方；</w:t>
      </w:r>
    </w:p>
    <w:p w14:paraId="76A6BF7D"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）根据差错处理原则或当事人协商的方法对因差错造成的损失进行评估；</w:t>
      </w:r>
    </w:p>
    <w:p w14:paraId="760D0BCE"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3</w:t>
      </w:r>
      <w:r>
        <w:rPr>
          <w:rFonts w:ascii="宋体" w:hAnsi="宋体" w:hint="eastAsia"/>
        </w:rPr>
        <w:t>）根据差错处理原则或当事人协商的方法由差错的责任方进行更正和赔偿损失；</w:t>
      </w:r>
    </w:p>
    <w:p w14:paraId="6D8ACAB4"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4</w:t>
      </w:r>
      <w:r>
        <w:rPr>
          <w:rFonts w:ascii="宋体" w:hAnsi="宋体" w:hint="eastAsia"/>
        </w:rPr>
        <w:t>）根据差错处理的方法，需要修改基金注册登记机构的交易数据的，由基金注册登记机构进行更正，并就差错的更正向有关当事人进行确认；</w:t>
      </w:r>
    </w:p>
    <w:p w14:paraId="008F58C0" w14:textId="77777777" w:rsidR="00F47A54" w:rsidRDefault="00F47A54" w:rsidP="00F47A54">
      <w:pPr>
        <w:snapToGrid w:val="0"/>
        <w:spacing w:line="360" w:lineRule="auto"/>
        <w:ind w:firstLineChars="200" w:firstLine="420"/>
        <w:rPr>
          <w:rFonts w:ascii="宋体" w:hAnsi="宋体"/>
        </w:rPr>
      </w:pPr>
      <w:r>
        <w:rPr>
          <w:rFonts w:ascii="宋体" w:hAnsi="宋体" w:hint="eastAsia"/>
        </w:rPr>
        <w:t>（</w:t>
      </w:r>
      <w:r>
        <w:rPr>
          <w:rFonts w:ascii="宋体" w:hAnsi="宋体"/>
        </w:rPr>
        <w:t>5</w:t>
      </w:r>
      <w:r>
        <w:rPr>
          <w:rFonts w:ascii="宋体" w:hAnsi="宋体" w:hint="eastAsia"/>
        </w:rPr>
        <w:t>）基金管理人及基金托管人基金份额净值计算错误偏差达到基金份额净值的</w:t>
      </w:r>
      <w:r>
        <w:rPr>
          <w:rFonts w:ascii="宋体" w:hAnsi="宋体"/>
        </w:rPr>
        <w:t>0.5%</w:t>
      </w:r>
      <w:r>
        <w:rPr>
          <w:rFonts w:ascii="宋体" w:hAnsi="宋体" w:hint="eastAsia"/>
        </w:rPr>
        <w:t>时，基金管理人应当公告并报中国证监会备案。</w:t>
      </w:r>
    </w:p>
    <w:p w14:paraId="164C6CE2" w14:textId="77777777" w:rsidR="00F47A54" w:rsidRPr="00590FD2" w:rsidRDefault="00F47A54" w:rsidP="00F47A54">
      <w:pPr>
        <w:snapToGrid w:val="0"/>
        <w:spacing w:line="360" w:lineRule="auto"/>
        <w:ind w:firstLine="422"/>
        <w:rPr>
          <w:b/>
        </w:rPr>
      </w:pPr>
      <w:bookmarkStart w:id="171" w:name="_Toc136455404"/>
      <w:bookmarkStart w:id="172" w:name="_Toc174616312"/>
      <w:r w:rsidRPr="00590FD2">
        <w:rPr>
          <w:rFonts w:hint="eastAsia"/>
          <w:b/>
        </w:rPr>
        <w:t>（四）暂停估值的情形</w:t>
      </w:r>
      <w:bookmarkEnd w:id="171"/>
      <w:bookmarkEnd w:id="172"/>
    </w:p>
    <w:p w14:paraId="0CF9D73F"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hint="eastAsia"/>
        </w:rPr>
        <w:t>（1）</w:t>
      </w:r>
      <w:r>
        <w:rPr>
          <w:rFonts w:ascii="宋体" w:hAnsi="宋体" w:hint="eastAsia"/>
          <w:szCs w:val="21"/>
        </w:rPr>
        <w:t>与基金投资有关的所有</w:t>
      </w:r>
      <w:r>
        <w:rPr>
          <w:rFonts w:ascii="宋体" w:hAnsi="宋体" w:hint="eastAsia"/>
        </w:rPr>
        <w:t>证券交易场所遇法定节假日或因其他原因暂停交易时；</w:t>
      </w:r>
    </w:p>
    <w:p w14:paraId="67C35341" w14:textId="77777777" w:rsidR="00F47A54" w:rsidRPr="00947389" w:rsidRDefault="00F47A54" w:rsidP="00F47A54">
      <w:pPr>
        <w:adjustRightInd w:val="0"/>
        <w:snapToGrid w:val="0"/>
        <w:spacing w:line="360" w:lineRule="auto"/>
        <w:ind w:firstLineChars="200" w:firstLine="420"/>
        <w:jc w:val="left"/>
        <w:rPr>
          <w:rFonts w:ascii="宋体" w:hAnsi="宋体"/>
          <w:szCs w:val="21"/>
        </w:rPr>
      </w:pPr>
      <w:r>
        <w:rPr>
          <w:rFonts w:ascii="宋体" w:hAnsi="宋体" w:hint="eastAsia"/>
        </w:rPr>
        <w:t>（2）因不可抗力或其他情形致使基金管理人、基金托管人无法准确评估基金资产价值时；</w:t>
      </w:r>
    </w:p>
    <w:p w14:paraId="4B5DD21F" w14:textId="6038C0FF" w:rsidR="00B115D4" w:rsidRPr="001C4F41" w:rsidRDefault="00B115D4" w:rsidP="00F47A54">
      <w:pPr>
        <w:adjustRightInd w:val="0"/>
        <w:snapToGrid w:val="0"/>
        <w:spacing w:line="360" w:lineRule="auto"/>
        <w:ind w:firstLineChars="200" w:firstLine="420"/>
        <w:jc w:val="left"/>
        <w:rPr>
          <w:rFonts w:ascii="宋体" w:hAnsi="宋体"/>
          <w:szCs w:val="21"/>
        </w:rPr>
      </w:pPr>
      <w:r w:rsidRPr="0093187D">
        <w:rPr>
          <w:rFonts w:ascii="宋体" w:hAnsi="宋体" w:hint="eastAsia"/>
          <w:szCs w:val="21"/>
        </w:rPr>
        <w:t>（3</w:t>
      </w:r>
      <w:r w:rsidRPr="008A140B">
        <w:rPr>
          <w:rFonts w:ascii="宋体" w:hAnsi="宋体" w:hint="eastAsia"/>
          <w:szCs w:val="21"/>
        </w:rPr>
        <w:t>）</w:t>
      </w:r>
      <w:r w:rsidRPr="001C4F41">
        <w:rPr>
          <w:rFonts w:ascii="宋体" w:hAnsi="宋体" w:hint="eastAsia"/>
          <w:szCs w:val="21"/>
        </w:rPr>
        <w:t>当前一估值日基金资产净值</w:t>
      </w:r>
      <w:r w:rsidRPr="001C4F41">
        <w:rPr>
          <w:rFonts w:ascii="宋体" w:hAnsi="宋体"/>
          <w:szCs w:val="21"/>
        </w:rPr>
        <w:t>50%以上的资产出现无可参考的活跃市场价格且采用估值技术仍导致公允价值存在重大不确定性时，经与基金托管人协商一致的，基金应当暂停估值</w:t>
      </w:r>
      <w:r w:rsidRPr="001C4F41">
        <w:rPr>
          <w:rFonts w:ascii="宋体" w:hAnsi="宋体" w:hint="eastAsia"/>
          <w:szCs w:val="21"/>
        </w:rPr>
        <w:t>；</w:t>
      </w:r>
    </w:p>
    <w:p w14:paraId="6952C7D3" w14:textId="77777777" w:rsidR="00F47A54" w:rsidRDefault="00F47A54" w:rsidP="00F47A54">
      <w:pPr>
        <w:adjustRightInd w:val="0"/>
        <w:snapToGrid w:val="0"/>
        <w:spacing w:line="360" w:lineRule="auto"/>
        <w:ind w:firstLineChars="200" w:firstLine="420"/>
        <w:jc w:val="left"/>
      </w:pPr>
      <w:r>
        <w:rPr>
          <w:rFonts w:ascii="宋体" w:hAnsi="宋体" w:hint="eastAsia"/>
        </w:rPr>
        <w:t>（</w:t>
      </w:r>
      <w:r w:rsidR="00B115D4">
        <w:rPr>
          <w:rFonts w:ascii="宋体" w:hAnsi="宋体" w:hint="eastAsia"/>
        </w:rPr>
        <w:t>4</w:t>
      </w:r>
      <w:r>
        <w:rPr>
          <w:rFonts w:ascii="宋体" w:hAnsi="宋体" w:hint="eastAsia"/>
        </w:rPr>
        <w:t>）监管机构认定的其他情形。</w:t>
      </w:r>
    </w:p>
    <w:p w14:paraId="27C8DE51" w14:textId="77777777" w:rsidR="00F47A54" w:rsidRPr="00590FD2" w:rsidRDefault="00F47A54" w:rsidP="00F47A54">
      <w:pPr>
        <w:snapToGrid w:val="0"/>
        <w:spacing w:line="360" w:lineRule="auto"/>
        <w:ind w:firstLine="422"/>
        <w:rPr>
          <w:b/>
        </w:rPr>
      </w:pPr>
      <w:bookmarkStart w:id="173" w:name="_Toc134845640"/>
      <w:bookmarkStart w:id="174" w:name="_Toc138227584"/>
      <w:bookmarkStart w:id="175" w:name="_Toc152143545"/>
      <w:bookmarkStart w:id="176" w:name="_Toc152223145"/>
      <w:bookmarkStart w:id="177" w:name="_Toc152223626"/>
      <w:bookmarkStart w:id="178" w:name="_Toc174616313"/>
      <w:r w:rsidRPr="00590FD2">
        <w:rPr>
          <w:rFonts w:hint="eastAsia"/>
          <w:b/>
        </w:rPr>
        <w:t>（五）</w:t>
      </w:r>
      <w:r w:rsidRPr="00590FD2">
        <w:rPr>
          <w:b/>
        </w:rPr>
        <w:t>特殊情况的处理</w:t>
      </w:r>
      <w:bookmarkEnd w:id="173"/>
      <w:bookmarkEnd w:id="174"/>
      <w:bookmarkEnd w:id="175"/>
      <w:bookmarkEnd w:id="176"/>
      <w:bookmarkEnd w:id="177"/>
      <w:bookmarkEnd w:id="178"/>
    </w:p>
    <w:p w14:paraId="60059C25"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hint="eastAsia"/>
        </w:rPr>
        <w:t>（1）基金管理人</w:t>
      </w:r>
      <w:r>
        <w:rPr>
          <w:rFonts w:ascii="宋体" w:hAnsi="宋体"/>
        </w:rPr>
        <w:t>或</w:t>
      </w:r>
      <w:r>
        <w:rPr>
          <w:rFonts w:ascii="宋体" w:hAnsi="宋体" w:hint="eastAsia"/>
        </w:rPr>
        <w:t>基金托管人</w:t>
      </w:r>
      <w:r>
        <w:rPr>
          <w:rFonts w:ascii="宋体" w:hAnsi="宋体"/>
        </w:rPr>
        <w:t>按</w:t>
      </w:r>
      <w:r>
        <w:rPr>
          <w:rFonts w:ascii="宋体" w:hAnsi="宋体" w:hint="eastAsia"/>
        </w:rPr>
        <w:t>《基金合同》规定</w:t>
      </w:r>
      <w:r>
        <w:rPr>
          <w:rFonts w:ascii="宋体" w:hAnsi="宋体"/>
        </w:rPr>
        <w:t>估值方法进行估值时，所造成的误差不作为</w:t>
      </w:r>
      <w:r>
        <w:rPr>
          <w:rFonts w:ascii="宋体" w:hAnsi="宋体" w:hint="eastAsia"/>
        </w:rPr>
        <w:t>基金</w:t>
      </w:r>
      <w:r>
        <w:rPr>
          <w:rFonts w:ascii="宋体" w:hAnsi="宋体"/>
        </w:rPr>
        <w:t>份额净值错误处理。</w:t>
      </w:r>
    </w:p>
    <w:p w14:paraId="524425A9"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hint="eastAsia"/>
        </w:rPr>
        <w:t>（2）</w:t>
      </w:r>
      <w:r>
        <w:rPr>
          <w:rFonts w:ascii="宋体" w:hAnsi="宋体"/>
        </w:rPr>
        <w:t>由于不可抗力原因，或由于</w:t>
      </w:r>
      <w:r>
        <w:rPr>
          <w:rFonts w:ascii="宋体" w:hAnsi="宋体" w:hint="eastAsia"/>
        </w:rPr>
        <w:t>各家</w:t>
      </w:r>
      <w:r>
        <w:rPr>
          <w:rFonts w:ascii="宋体" w:hAnsi="宋体"/>
        </w:rPr>
        <w:t>数据服务机构发送的数据错误，</w:t>
      </w:r>
      <w:r>
        <w:rPr>
          <w:rFonts w:ascii="宋体" w:hAnsi="宋体" w:hint="eastAsia"/>
        </w:rPr>
        <w:t>基金管理人</w:t>
      </w:r>
      <w:r>
        <w:rPr>
          <w:rFonts w:ascii="宋体" w:hAnsi="宋体"/>
        </w:rPr>
        <w:t>和</w:t>
      </w:r>
      <w:r>
        <w:rPr>
          <w:rFonts w:ascii="宋体" w:hAnsi="宋体" w:hint="eastAsia"/>
        </w:rPr>
        <w:t>基金托管人</w:t>
      </w:r>
      <w:r>
        <w:rPr>
          <w:rFonts w:ascii="宋体" w:hAnsi="宋体"/>
        </w:rPr>
        <w:t>虽然已经采取必要、适当、合理的措施进行检查，但未能发现错误的，由此造成</w:t>
      </w:r>
      <w:r>
        <w:rPr>
          <w:rFonts w:ascii="宋体" w:hAnsi="宋体"/>
        </w:rPr>
        <w:lastRenderedPageBreak/>
        <w:t>的</w:t>
      </w:r>
      <w:r>
        <w:rPr>
          <w:rFonts w:ascii="宋体" w:hAnsi="宋体" w:hint="eastAsia"/>
        </w:rPr>
        <w:t>基金</w:t>
      </w:r>
      <w:r>
        <w:rPr>
          <w:rFonts w:ascii="宋体" w:hAnsi="宋体"/>
        </w:rPr>
        <w:t>资产估值错误，</w:t>
      </w:r>
      <w:r>
        <w:rPr>
          <w:rFonts w:ascii="宋体" w:hAnsi="宋体" w:hint="eastAsia"/>
        </w:rPr>
        <w:t>基金管理人</w:t>
      </w:r>
      <w:r>
        <w:rPr>
          <w:rFonts w:ascii="宋体" w:hAnsi="宋体"/>
        </w:rPr>
        <w:t>和</w:t>
      </w:r>
      <w:r>
        <w:rPr>
          <w:rFonts w:ascii="宋体" w:hAnsi="宋体" w:hint="eastAsia"/>
        </w:rPr>
        <w:t>基金托管人</w:t>
      </w:r>
      <w:r>
        <w:rPr>
          <w:rFonts w:ascii="宋体" w:hAnsi="宋体"/>
        </w:rPr>
        <w:t>可以免除赔偿责任。但</w:t>
      </w:r>
      <w:r>
        <w:rPr>
          <w:rFonts w:ascii="宋体" w:hAnsi="宋体" w:hint="eastAsia"/>
        </w:rPr>
        <w:t>基金管理人</w:t>
      </w:r>
      <w:r>
        <w:rPr>
          <w:rFonts w:ascii="宋体" w:hAnsi="宋体"/>
        </w:rPr>
        <w:t>应当积极采取必要的措施消除由此造成的影响。</w:t>
      </w:r>
    </w:p>
    <w:p w14:paraId="1B65A5A7" w14:textId="77777777" w:rsidR="00F47A54" w:rsidRPr="00590FD2" w:rsidRDefault="00F47A54" w:rsidP="00F47A54">
      <w:pPr>
        <w:snapToGrid w:val="0"/>
        <w:spacing w:line="360" w:lineRule="auto"/>
        <w:ind w:firstLine="422"/>
        <w:rPr>
          <w:b/>
        </w:rPr>
      </w:pPr>
      <w:bookmarkStart w:id="179" w:name="_Toc174616314"/>
      <w:r w:rsidRPr="00590FD2">
        <w:rPr>
          <w:rFonts w:hint="eastAsia"/>
          <w:b/>
        </w:rPr>
        <w:t>（六）</w:t>
      </w:r>
      <w:r w:rsidRPr="00590FD2">
        <w:rPr>
          <w:rFonts w:hint="eastAsia"/>
          <w:b/>
        </w:rPr>
        <w:t xml:space="preserve"> </w:t>
      </w:r>
      <w:r w:rsidRPr="00590FD2">
        <w:rPr>
          <w:rFonts w:hint="eastAsia"/>
          <w:b/>
        </w:rPr>
        <w:t>基金</w:t>
      </w:r>
      <w:r>
        <w:rPr>
          <w:rFonts w:hint="eastAsia"/>
          <w:b/>
        </w:rPr>
        <w:t>账册</w:t>
      </w:r>
      <w:r w:rsidRPr="00590FD2">
        <w:rPr>
          <w:rFonts w:hint="eastAsia"/>
          <w:b/>
        </w:rPr>
        <w:t>的建立</w:t>
      </w:r>
      <w:bookmarkEnd w:id="179"/>
    </w:p>
    <w:p w14:paraId="2590C8AB" w14:textId="77777777" w:rsidR="00F47A54" w:rsidRDefault="00F47A54" w:rsidP="00F47A54">
      <w:pPr>
        <w:snapToGrid w:val="0"/>
        <w:spacing w:line="360" w:lineRule="auto"/>
        <w:ind w:firstLineChars="200" w:firstLine="420"/>
        <w:rPr>
          <w:rFonts w:ascii="宋体" w:hAnsi="宋体"/>
        </w:rPr>
      </w:pPr>
      <w:r>
        <w:rPr>
          <w:rFonts w:ascii="宋体" w:hAnsi="宋体" w:hint="eastAsia"/>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14:paraId="3E6F0929"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hint="eastAsia"/>
        </w:rPr>
        <w:t>经对账发现相关各方的账目存在不符的，基金管理人和基金托管人必须及时查明原因并纠正，保证相关各方平行登录的账册记录相符。</w:t>
      </w:r>
    </w:p>
    <w:p w14:paraId="44BF36D9" w14:textId="77777777" w:rsidR="00F47A54" w:rsidRPr="00590FD2" w:rsidRDefault="00F47A54" w:rsidP="00F47A54">
      <w:pPr>
        <w:snapToGrid w:val="0"/>
        <w:spacing w:line="360" w:lineRule="auto"/>
        <w:ind w:firstLine="422"/>
        <w:rPr>
          <w:b/>
        </w:rPr>
      </w:pPr>
      <w:bookmarkStart w:id="180" w:name="_Toc174616315"/>
      <w:r w:rsidRPr="00590FD2">
        <w:rPr>
          <w:rFonts w:hint="eastAsia"/>
          <w:b/>
        </w:rPr>
        <w:t>（七）</w:t>
      </w:r>
      <w:r w:rsidRPr="00590FD2">
        <w:rPr>
          <w:rFonts w:hint="eastAsia"/>
          <w:b/>
        </w:rPr>
        <w:t xml:space="preserve"> </w:t>
      </w:r>
      <w:r w:rsidRPr="00590FD2">
        <w:rPr>
          <w:rFonts w:hint="eastAsia"/>
          <w:b/>
        </w:rPr>
        <w:t>基金定期报告的编制和复核</w:t>
      </w:r>
      <w:bookmarkEnd w:id="180"/>
    </w:p>
    <w:p w14:paraId="76A7EB36" w14:textId="77777777" w:rsidR="00F47A54" w:rsidRDefault="00F47A54" w:rsidP="00F47A54">
      <w:pPr>
        <w:pStyle w:val="a9"/>
        <w:tabs>
          <w:tab w:val="left" w:pos="645"/>
        </w:tabs>
        <w:adjustRightInd w:val="0"/>
        <w:snapToGrid w:val="0"/>
        <w:spacing w:line="360" w:lineRule="auto"/>
        <w:ind w:firstLine="400"/>
        <w:rPr>
          <w:kern w:val="0"/>
          <w:szCs w:val="24"/>
        </w:rPr>
      </w:pPr>
      <w:r>
        <w:rPr>
          <w:rFonts w:hint="eastAsia"/>
          <w:kern w:val="0"/>
          <w:szCs w:val="24"/>
        </w:rPr>
        <w:t>1</w:t>
      </w:r>
      <w:r>
        <w:rPr>
          <w:rFonts w:hint="eastAsia"/>
          <w:kern w:val="0"/>
          <w:szCs w:val="24"/>
        </w:rPr>
        <w:t>、基金托管人法定报告</w:t>
      </w:r>
    </w:p>
    <w:p w14:paraId="22F7624B"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基金托管人需根据相关法律法规的规定向监管机构报告相关信息，包括但不限于以下内容：</w:t>
      </w:r>
    </w:p>
    <w:p w14:paraId="07828B7A"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w:t>
      </w:r>
      <w:r>
        <w:rPr>
          <w:rFonts w:ascii="Times New Roman" w:eastAsia="宋体" w:hAnsi="Times New Roman" w:cs="Times New Roman"/>
          <w:color w:val="auto"/>
          <w:sz w:val="21"/>
        </w:rPr>
        <w:t>1</w:t>
      </w:r>
      <w:r>
        <w:rPr>
          <w:rFonts w:ascii="Times New Roman" w:eastAsia="宋体" w:hAnsi="Times New Roman" w:cs="Times New Roman"/>
          <w:color w:val="auto"/>
          <w:sz w:val="21"/>
        </w:rPr>
        <w:t>）自开设境外结算账户之日起</w:t>
      </w:r>
      <w:r>
        <w:rPr>
          <w:rFonts w:ascii="Times New Roman" w:eastAsia="宋体" w:hAnsi="Times New Roman" w:cs="Times New Roman"/>
          <w:color w:val="auto"/>
          <w:sz w:val="21"/>
        </w:rPr>
        <w:t>5</w:t>
      </w:r>
      <w:r>
        <w:rPr>
          <w:rFonts w:ascii="Times New Roman" w:eastAsia="宋体" w:hAnsi="Times New Roman" w:cs="Times New Roman"/>
          <w:color w:val="auto"/>
          <w:sz w:val="21"/>
        </w:rPr>
        <w:t>日内，将有关账户的详情报告国家外汇局；</w:t>
      </w:r>
    </w:p>
    <w:p w14:paraId="362D6B96"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w:t>
      </w:r>
      <w:r>
        <w:rPr>
          <w:rFonts w:ascii="Times New Roman" w:eastAsia="宋体" w:hAnsi="Times New Roman" w:cs="Times New Roman"/>
          <w:color w:val="auto"/>
          <w:sz w:val="21"/>
        </w:rPr>
        <w:t>2</w:t>
      </w:r>
      <w:r>
        <w:rPr>
          <w:rFonts w:ascii="Times New Roman" w:eastAsia="宋体" w:hAnsi="Times New Roman" w:cs="Times New Roman"/>
          <w:color w:val="auto"/>
          <w:sz w:val="21"/>
        </w:rPr>
        <w:t>）每月结束后</w:t>
      </w:r>
      <w:r>
        <w:rPr>
          <w:rFonts w:ascii="Times New Roman" w:eastAsia="宋体" w:hAnsi="Times New Roman" w:cs="Times New Roman"/>
          <w:color w:val="auto"/>
          <w:sz w:val="21"/>
        </w:rPr>
        <w:t>7</w:t>
      </w:r>
      <w:r>
        <w:rPr>
          <w:rFonts w:ascii="Times New Roman" w:eastAsia="宋体" w:hAnsi="Times New Roman" w:cs="Times New Roman"/>
          <w:color w:val="auto"/>
          <w:sz w:val="21"/>
        </w:rPr>
        <w:t>个工作日内，向中国证监会和</w:t>
      </w:r>
      <w:r>
        <w:rPr>
          <w:rFonts w:ascii="宋体" w:eastAsia="宋体" w:hAnsi="宋体" w:cs="宋体"/>
          <w:color w:val="auto"/>
          <w:sz w:val="21"/>
        </w:rPr>
        <w:t>国家外汇局</w:t>
      </w:r>
      <w:r>
        <w:rPr>
          <w:rFonts w:ascii="Times New Roman" w:eastAsia="宋体" w:hAnsi="Times New Roman" w:cs="Times New Roman"/>
          <w:color w:val="auto"/>
          <w:sz w:val="21"/>
        </w:rPr>
        <w:t>报告基金境外投资情况，并按相关监管规定进行国际收支申报；</w:t>
      </w:r>
      <w:r>
        <w:rPr>
          <w:rFonts w:ascii="Times New Roman" w:eastAsia="宋体" w:hAnsi="Times New Roman" w:cs="Times New Roman"/>
          <w:color w:val="auto"/>
          <w:sz w:val="21"/>
        </w:rPr>
        <w:t xml:space="preserve"> </w:t>
      </w:r>
    </w:p>
    <w:p w14:paraId="0785300A"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w:t>
      </w:r>
      <w:r>
        <w:rPr>
          <w:rFonts w:ascii="Times New Roman" w:eastAsia="宋体" w:hAnsi="Times New Roman" w:cs="Times New Roman"/>
          <w:color w:val="auto"/>
          <w:sz w:val="21"/>
        </w:rPr>
        <w:t>3</w:t>
      </w:r>
      <w:r>
        <w:rPr>
          <w:rFonts w:ascii="Times New Roman" w:eastAsia="宋体" w:hAnsi="Times New Roman" w:cs="Times New Roman"/>
          <w:color w:val="auto"/>
          <w:sz w:val="21"/>
        </w:rPr>
        <w:t>）发现基金管理人投资指令或资金汇出违法、违规的，及时向中国证监会或</w:t>
      </w:r>
      <w:r>
        <w:rPr>
          <w:rFonts w:ascii="宋体" w:eastAsia="宋体" w:hAnsi="宋体" w:cs="宋体"/>
          <w:color w:val="auto"/>
          <w:sz w:val="21"/>
        </w:rPr>
        <w:t>国家外汇局</w:t>
      </w:r>
      <w:r>
        <w:rPr>
          <w:rFonts w:ascii="Times New Roman" w:eastAsia="宋体" w:hAnsi="Times New Roman" w:cs="Times New Roman"/>
          <w:color w:val="auto"/>
          <w:sz w:val="21"/>
        </w:rPr>
        <w:t>报告；</w:t>
      </w:r>
      <w:r>
        <w:rPr>
          <w:rFonts w:ascii="Times New Roman" w:eastAsia="宋体" w:hAnsi="Times New Roman" w:cs="Times New Roman"/>
          <w:color w:val="auto"/>
          <w:sz w:val="21"/>
        </w:rPr>
        <w:t xml:space="preserve"> </w:t>
      </w:r>
    </w:p>
    <w:p w14:paraId="1B909B3E"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w:t>
      </w:r>
      <w:r>
        <w:rPr>
          <w:rFonts w:ascii="Times New Roman" w:eastAsia="宋体" w:hAnsi="Times New Roman" w:cs="Times New Roman"/>
          <w:color w:val="auto"/>
          <w:sz w:val="21"/>
        </w:rPr>
        <w:t>4</w:t>
      </w:r>
      <w:r>
        <w:rPr>
          <w:rFonts w:ascii="Times New Roman" w:eastAsia="宋体" w:hAnsi="Times New Roman" w:cs="Times New Roman"/>
          <w:color w:val="auto"/>
          <w:sz w:val="21"/>
        </w:rPr>
        <w:t>）中国证监会和国家外汇局规定的其他报告事项；</w:t>
      </w:r>
    </w:p>
    <w:p w14:paraId="15A0686D"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Times New Roman" w:eastAsia="宋体" w:hAnsi="Times New Roman" w:cs="Times New Roman" w:hint="default"/>
          <w:color w:val="auto"/>
          <w:sz w:val="21"/>
        </w:rPr>
      </w:pPr>
      <w:r>
        <w:rPr>
          <w:rFonts w:ascii="Times New Roman" w:eastAsia="宋体" w:hAnsi="Times New Roman" w:cs="Times New Roman"/>
          <w:color w:val="auto"/>
          <w:sz w:val="21"/>
        </w:rPr>
        <w:t>上述报告应同时抄送基金管理人，对于基金托管人提供上述报告，基金管理人应予以支持和配合。</w:t>
      </w:r>
    </w:p>
    <w:p w14:paraId="45D2DB57" w14:textId="77777777" w:rsidR="00F47A54" w:rsidRDefault="00F47A54" w:rsidP="00F47A54">
      <w:pPr>
        <w:pStyle w:val="a8"/>
        <w:adjustRightInd w:val="0"/>
        <w:snapToGrid w:val="0"/>
        <w:spacing w:before="0" w:beforeAutospacing="0" w:after="0" w:afterAutospacing="0" w:line="360" w:lineRule="auto"/>
        <w:ind w:firstLine="400"/>
        <w:jc w:val="both"/>
        <w:rPr>
          <w:rFonts w:ascii="宋体" w:eastAsia="宋体" w:hAnsi="宋体" w:hint="default"/>
          <w:color w:val="auto"/>
          <w:sz w:val="21"/>
        </w:rPr>
      </w:pPr>
      <w:r>
        <w:rPr>
          <w:rFonts w:ascii="Times New Roman" w:eastAsia="宋体" w:hAnsi="Times New Roman" w:cs="Times New Roman"/>
          <w:color w:val="auto"/>
          <w:sz w:val="21"/>
        </w:rPr>
        <w:t>2</w:t>
      </w:r>
      <w:r>
        <w:rPr>
          <w:rFonts w:ascii="Times New Roman" w:eastAsia="宋体" w:hAnsi="Times New Roman" w:cs="Times New Roman"/>
          <w:color w:val="auto"/>
          <w:sz w:val="21"/>
        </w:rPr>
        <w:t>、</w:t>
      </w:r>
      <w:r>
        <w:rPr>
          <w:rFonts w:ascii="宋体" w:eastAsia="宋体" w:hAnsi="宋体"/>
          <w:color w:val="auto"/>
          <w:sz w:val="21"/>
        </w:rPr>
        <w:t>定期信息和报告</w:t>
      </w:r>
    </w:p>
    <w:p w14:paraId="453565DB"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rPr>
      </w:pPr>
      <w:r>
        <w:rPr>
          <w:rFonts w:ascii="宋体" w:eastAsia="宋体" w:hAnsi="宋体"/>
          <w:color w:val="auto"/>
          <w:sz w:val="21"/>
        </w:rPr>
        <w:t>（1）基金托管人应按照本协议及时向基金管理人提供与</w:t>
      </w:r>
      <w:r>
        <w:rPr>
          <w:rFonts w:ascii="宋体" w:eastAsia="宋体" w:hAnsi="宋体" w:cs="宋体"/>
          <w:color w:val="auto"/>
          <w:sz w:val="21"/>
        </w:rPr>
        <w:t>基金财产</w:t>
      </w:r>
      <w:r>
        <w:rPr>
          <w:rFonts w:ascii="宋体" w:eastAsia="宋体" w:hAnsi="宋体"/>
          <w:color w:val="auto"/>
          <w:sz w:val="21"/>
        </w:rPr>
        <w:t>托管业务相关的信息报告，包括但不限于定期报告的基金财产账户的相关评估报告、会计报表、估值报告、监管报告；</w:t>
      </w:r>
    </w:p>
    <w:p w14:paraId="2C9166D0"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hint="eastAsia"/>
        </w:rPr>
        <w:t>（2）</w:t>
      </w:r>
      <w:r>
        <w:rPr>
          <w:rFonts w:ascii="宋体" w:hAnsi="宋体"/>
        </w:rPr>
        <w:t>应基金管理人要求，基金托管人及境外托管人可以就有关法律规定和市场惯例等事项向咨询机构进行咨询，但应谨慎处理该等咨询事项并向基金管理人报告有关结果。</w:t>
      </w:r>
    </w:p>
    <w:p w14:paraId="612214C0" w14:textId="77777777" w:rsidR="00F47A54" w:rsidRPr="00590FD2" w:rsidRDefault="00F47A54" w:rsidP="00F47A54">
      <w:pPr>
        <w:snapToGrid w:val="0"/>
        <w:spacing w:line="360" w:lineRule="auto"/>
        <w:ind w:firstLine="422"/>
        <w:rPr>
          <w:b/>
        </w:rPr>
      </w:pPr>
      <w:bookmarkStart w:id="181" w:name="_Toc136455405"/>
      <w:bookmarkStart w:id="182" w:name="_Toc174616316"/>
      <w:r w:rsidRPr="00590FD2">
        <w:rPr>
          <w:rFonts w:hint="eastAsia"/>
          <w:b/>
        </w:rPr>
        <w:t>（八）基金会计制度</w:t>
      </w:r>
      <w:bookmarkEnd w:id="181"/>
      <w:bookmarkEnd w:id="182"/>
    </w:p>
    <w:p w14:paraId="7382E5C2"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按国家有关部门规定的会计制度和准则执行。</w:t>
      </w:r>
    </w:p>
    <w:p w14:paraId="7FB545C6" w14:textId="77777777" w:rsidR="00F47A54" w:rsidRPr="00590FD2" w:rsidRDefault="00F47A54" w:rsidP="00F47A54">
      <w:pPr>
        <w:snapToGrid w:val="0"/>
        <w:spacing w:line="360" w:lineRule="auto"/>
        <w:ind w:firstLine="422"/>
        <w:rPr>
          <w:b/>
        </w:rPr>
      </w:pPr>
      <w:bookmarkStart w:id="183" w:name="_Toc136455406"/>
      <w:bookmarkStart w:id="184" w:name="_Toc174616317"/>
      <w:r w:rsidRPr="00590FD2">
        <w:rPr>
          <w:rFonts w:hint="eastAsia"/>
          <w:b/>
        </w:rPr>
        <w:t>（九）基金账册的建立</w:t>
      </w:r>
      <w:bookmarkEnd w:id="183"/>
      <w:bookmarkEnd w:id="184"/>
    </w:p>
    <w:p w14:paraId="6842B856"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基金管理人进行基金会计核算，基金托管人对本基金的基金资产净值计算进行复核。基金托管人和基金管理人分别独立地设置、记录和保管本基金的全套账册。基金托管人应向基金管理人提供基金管理人进行本基金的净值计算复核和本基金进行信息披露所需要的相关信息。</w:t>
      </w:r>
    </w:p>
    <w:p w14:paraId="62A69B60" w14:textId="77777777" w:rsidR="00F47A54" w:rsidRPr="00590FD2" w:rsidRDefault="00F47A54" w:rsidP="00F47A54">
      <w:pPr>
        <w:snapToGrid w:val="0"/>
        <w:spacing w:line="360" w:lineRule="auto"/>
        <w:ind w:firstLine="422"/>
        <w:rPr>
          <w:b/>
        </w:rPr>
      </w:pPr>
      <w:bookmarkStart w:id="185" w:name="_Toc136455407"/>
      <w:bookmarkStart w:id="186" w:name="_Toc174616318"/>
      <w:r w:rsidRPr="00590FD2">
        <w:rPr>
          <w:rFonts w:hint="eastAsia"/>
          <w:b/>
        </w:rPr>
        <w:t>（十）基金财务报表与报告的编制和复核</w:t>
      </w:r>
      <w:bookmarkEnd w:id="185"/>
      <w:bookmarkEnd w:id="186"/>
    </w:p>
    <w:p w14:paraId="2CA38D70"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lastRenderedPageBreak/>
        <w:t>1、财务报表的编制</w:t>
      </w:r>
    </w:p>
    <w:p w14:paraId="1975DA2E"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基金财务报表由基金管理人编制，基金托管人复核。</w:t>
      </w:r>
    </w:p>
    <w:p w14:paraId="593FDE0B"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2、报表复核</w:t>
      </w:r>
    </w:p>
    <w:p w14:paraId="023622D8"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基金托管人在收到基金管理人编制的基金财务报表后，进行独立的复核。核对不符时，应及时通知基金管理人共同查出原因，进行调整，直至双方数据完全一致。</w:t>
      </w:r>
    </w:p>
    <w:p w14:paraId="71E35996"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3、财务报表的编制与复核时间安排</w:t>
      </w:r>
    </w:p>
    <w:p w14:paraId="39F0B446"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（1）报表的编制</w:t>
      </w:r>
    </w:p>
    <w:p w14:paraId="6240B7AC"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基金管理人应当在上</w:t>
      </w:r>
      <w:r w:rsidR="003328E6">
        <w:rPr>
          <w:rFonts w:ascii="宋体" w:hAnsi="宋体" w:hint="eastAsia"/>
          <w:szCs w:val="21"/>
        </w:rPr>
        <w:t>半年结束之日起两个月</w:t>
      </w:r>
      <w:r>
        <w:rPr>
          <w:rFonts w:ascii="宋体" w:hAnsi="宋体" w:hint="eastAsia"/>
          <w:szCs w:val="21"/>
        </w:rPr>
        <w:t>内完成基金</w:t>
      </w:r>
      <w:r w:rsidR="003328E6">
        <w:rPr>
          <w:rFonts w:ascii="宋体" w:hAnsi="宋体" w:hint="eastAsia"/>
          <w:szCs w:val="21"/>
        </w:rPr>
        <w:t>中期报告</w:t>
      </w:r>
      <w:r>
        <w:rPr>
          <w:rFonts w:ascii="宋体" w:hAnsi="宋体" w:hint="eastAsia"/>
          <w:szCs w:val="21"/>
        </w:rPr>
        <w:t>的编制；在每</w:t>
      </w:r>
      <w:r w:rsidR="003328E6">
        <w:rPr>
          <w:rFonts w:ascii="宋体" w:hAnsi="宋体" w:hint="eastAsia"/>
          <w:szCs w:val="21"/>
        </w:rPr>
        <w:t>年结束之日起三个月</w:t>
      </w:r>
      <w:r>
        <w:rPr>
          <w:rFonts w:ascii="宋体" w:hAnsi="宋体" w:hint="eastAsia"/>
          <w:szCs w:val="21"/>
        </w:rPr>
        <w:t>内完成基金年度报告的编制。基金年度报告的财务会计报告应当经过</w:t>
      </w:r>
      <w:r w:rsidR="00CB3AE6" w:rsidRPr="00CB3AE6">
        <w:rPr>
          <w:rFonts w:ascii="宋体" w:hAnsi="宋体" w:hint="eastAsia"/>
          <w:szCs w:val="21"/>
        </w:rPr>
        <w:t>具有证券、期货相关业务资格的会计师事务所</w:t>
      </w:r>
      <w:r>
        <w:rPr>
          <w:rFonts w:ascii="宋体" w:hAnsi="宋体" w:hint="eastAsia"/>
          <w:szCs w:val="21"/>
        </w:rPr>
        <w:t>审计。基金合同生效不足两个月的，基金管理人可以不编制当期</w:t>
      </w:r>
      <w:r w:rsidR="00CB3AE6">
        <w:rPr>
          <w:rFonts w:ascii="宋体" w:hAnsi="宋体" w:hint="eastAsia"/>
          <w:szCs w:val="21"/>
        </w:rPr>
        <w:t>季度</w:t>
      </w:r>
      <w:r w:rsidR="00CB3AE6">
        <w:rPr>
          <w:rFonts w:ascii="宋体" w:hAnsi="宋体"/>
          <w:szCs w:val="21"/>
        </w:rPr>
        <w:t>报告、</w:t>
      </w:r>
      <w:r w:rsidR="003328E6">
        <w:rPr>
          <w:rFonts w:ascii="宋体" w:hAnsi="宋体" w:hint="eastAsia"/>
          <w:szCs w:val="21"/>
        </w:rPr>
        <w:t>中期报告</w:t>
      </w:r>
      <w:r>
        <w:rPr>
          <w:rFonts w:ascii="宋体" w:hAnsi="宋体" w:hint="eastAsia"/>
          <w:szCs w:val="21"/>
        </w:rPr>
        <w:t>或者年度报告。</w:t>
      </w:r>
    </w:p>
    <w:p w14:paraId="67D31DF2"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（2）报表的复核</w:t>
      </w:r>
    </w:p>
    <w:p w14:paraId="2930AC4D" w14:textId="77777777" w:rsidR="00F47A54" w:rsidRDefault="00F47A54" w:rsidP="00F47A54">
      <w:pPr>
        <w:snapToGrid w:val="0"/>
        <w:spacing w:line="360" w:lineRule="auto"/>
        <w:ind w:firstLine="420"/>
        <w:rPr>
          <w:rFonts w:ascii="宋体" w:hAnsi="宋体"/>
          <w:szCs w:val="21"/>
        </w:rPr>
      </w:pPr>
      <w:r>
        <w:rPr>
          <w:rFonts w:ascii="宋体" w:hAnsi="宋体"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2ACBAA1" w14:textId="7C360BD7" w:rsidR="00947389" w:rsidRPr="00947389" w:rsidRDefault="00F47A54" w:rsidP="00F47A54">
      <w:pPr>
        <w:adjustRightInd w:val="0"/>
        <w:snapToGrid w:val="0"/>
        <w:spacing w:line="360" w:lineRule="auto"/>
        <w:ind w:firstLineChars="200" w:firstLine="420"/>
        <w:jc w:val="left"/>
        <w:rPr>
          <w:rFonts w:ascii="宋体" w:hAnsi="宋体"/>
          <w:szCs w:val="21"/>
        </w:rPr>
      </w:pPr>
      <w:r>
        <w:rPr>
          <w:rFonts w:ascii="宋体" w:hAnsi="宋体" w:hint="eastAsia"/>
          <w:szCs w:val="21"/>
        </w:rPr>
        <w:t>基金管理人应留足充分的时间，便于基金托管人复核相关报表及报告。</w:t>
      </w:r>
    </w:p>
    <w:p w14:paraId="277D9352" w14:textId="77777777" w:rsidR="00F47A54" w:rsidRDefault="00F47A54" w:rsidP="00F47A54">
      <w:pPr>
        <w:adjustRightInd w:val="0"/>
        <w:snapToGrid w:val="0"/>
        <w:spacing w:line="360" w:lineRule="auto"/>
        <w:ind w:firstLineChars="200" w:firstLine="420"/>
        <w:jc w:val="left"/>
        <w:rPr>
          <w:rFonts w:ascii="宋体" w:hAnsi="宋体"/>
        </w:rPr>
      </w:pPr>
      <w:r>
        <w:rPr>
          <w:rFonts w:ascii="宋体" w:hAnsi="宋体"/>
          <w:szCs w:val="21"/>
        </w:rPr>
        <w:br w:type="page"/>
      </w:r>
    </w:p>
    <w:p w14:paraId="17897461" w14:textId="77777777" w:rsidR="00F47A54" w:rsidRPr="00905FB5" w:rsidRDefault="00F47A54" w:rsidP="00F47A54">
      <w:pPr>
        <w:pStyle w:val="20"/>
        <w:numPr>
          <w:ilvl w:val="0"/>
          <w:numId w:val="45"/>
        </w:numPr>
      </w:pPr>
      <w:bookmarkStart w:id="187" w:name="_Toc174789803"/>
      <w:bookmarkStart w:id="188" w:name="_Toc123626175"/>
      <w:bookmarkStart w:id="189" w:name="_Toc124749233"/>
      <w:bookmarkStart w:id="190" w:name="_Toc124749944"/>
      <w:bookmarkStart w:id="191" w:name="_Toc125361081"/>
      <w:bookmarkStart w:id="192" w:name="_Toc140002344"/>
      <w:bookmarkStart w:id="193" w:name="_Toc174788860"/>
      <w:bookmarkStart w:id="194" w:name="_Toc174790108"/>
      <w:bookmarkStart w:id="195" w:name="_Toc176599597"/>
      <w:bookmarkStart w:id="196" w:name="_Toc176599861"/>
      <w:bookmarkEnd w:id="187"/>
      <w:r w:rsidRPr="00905FB5">
        <w:rPr>
          <w:rFonts w:hint="eastAsia"/>
        </w:rPr>
        <w:lastRenderedPageBreak/>
        <w:t>基金收益分配</w:t>
      </w:r>
      <w:bookmarkEnd w:id="188"/>
      <w:bookmarkEnd w:id="189"/>
      <w:bookmarkEnd w:id="190"/>
      <w:bookmarkEnd w:id="191"/>
      <w:bookmarkEnd w:id="192"/>
      <w:bookmarkEnd w:id="193"/>
      <w:bookmarkEnd w:id="194"/>
      <w:bookmarkEnd w:id="195"/>
      <w:bookmarkEnd w:id="196"/>
    </w:p>
    <w:p w14:paraId="0F425A93" w14:textId="77777777" w:rsidR="00F47A54" w:rsidRPr="00E8318C" w:rsidRDefault="00F47A54" w:rsidP="00F47A54">
      <w:pPr>
        <w:pStyle w:val="af0"/>
        <w:ind w:firstLine="422"/>
        <w:rPr>
          <w:rFonts w:ascii="宋体" w:hAnsi="宋体"/>
          <w:sz w:val="21"/>
        </w:rPr>
      </w:pPr>
      <w:bookmarkStart w:id="197" w:name="_Toc22454462"/>
      <w:bookmarkStart w:id="198" w:name="_Toc48703913"/>
      <w:bookmarkStart w:id="199" w:name="_Toc174497202"/>
      <w:bookmarkStart w:id="200" w:name="_Toc174501029"/>
      <w:bookmarkStart w:id="201" w:name="_Toc174502401"/>
      <w:bookmarkStart w:id="202" w:name="_Toc174616321"/>
      <w:r w:rsidRPr="00F96138">
        <w:rPr>
          <w:rFonts w:hint="eastAsia"/>
          <w:b/>
          <w:sz w:val="21"/>
          <w:szCs w:val="21"/>
        </w:rPr>
        <w:t>（一）基金收益分配</w:t>
      </w:r>
      <w:bookmarkEnd w:id="197"/>
      <w:bookmarkEnd w:id="198"/>
      <w:r w:rsidRPr="00F96138">
        <w:rPr>
          <w:rFonts w:hint="eastAsia"/>
          <w:b/>
          <w:sz w:val="21"/>
          <w:szCs w:val="21"/>
        </w:rPr>
        <w:t>的原则</w:t>
      </w:r>
      <w:bookmarkEnd w:id="199"/>
      <w:bookmarkEnd w:id="200"/>
      <w:bookmarkEnd w:id="201"/>
      <w:bookmarkEnd w:id="202"/>
    </w:p>
    <w:p w14:paraId="7F9968C1" w14:textId="77777777" w:rsidR="00F47A54" w:rsidRDefault="00F47A54" w:rsidP="00F47A54">
      <w:pPr>
        <w:snapToGrid w:val="0"/>
        <w:spacing w:line="360" w:lineRule="auto"/>
        <w:ind w:firstLineChars="200" w:firstLine="420"/>
        <w:rPr>
          <w:rFonts w:ascii="宋体" w:hAnsi="宋体"/>
        </w:rPr>
      </w:pPr>
      <w:r>
        <w:rPr>
          <w:rFonts w:ascii="宋体" w:hAnsi="宋体" w:hint="eastAsia"/>
        </w:rPr>
        <w:t>1、在符合有关基金分红条件的前提下，本基金每年收益分配次数最多为</w:t>
      </w:r>
      <w:r w:rsidRPr="00E8318C">
        <w:rPr>
          <w:rFonts w:ascii="宋体" w:hAnsi="宋体" w:hint="eastAsia"/>
        </w:rPr>
        <w:t>12</w:t>
      </w:r>
      <w:r>
        <w:rPr>
          <w:rFonts w:ascii="宋体" w:hAnsi="宋体" w:hint="eastAsia"/>
        </w:rPr>
        <w:t>次，全年分配比例不得低于年度可供分配收益的</w:t>
      </w:r>
      <w:r w:rsidRPr="00E8318C">
        <w:rPr>
          <w:rFonts w:ascii="宋体" w:hAnsi="宋体" w:hint="eastAsia"/>
        </w:rPr>
        <w:t>60</w:t>
      </w:r>
      <w:r>
        <w:rPr>
          <w:rFonts w:ascii="宋体" w:hAnsi="宋体" w:hint="eastAsia"/>
        </w:rPr>
        <w:t>%，若《基金合同》生效不满</w:t>
      </w:r>
      <w:r w:rsidRPr="00E8318C">
        <w:rPr>
          <w:rFonts w:ascii="宋体" w:hAnsi="宋体" w:hint="eastAsia"/>
        </w:rPr>
        <w:t>3</w:t>
      </w:r>
      <w:r>
        <w:rPr>
          <w:rFonts w:ascii="宋体" w:hAnsi="宋体" w:hint="eastAsia"/>
        </w:rPr>
        <w:t>个月可不进行收益分配；</w:t>
      </w:r>
    </w:p>
    <w:p w14:paraId="3B54AC86" w14:textId="77777777" w:rsidR="00F47A54" w:rsidRDefault="00F47A54" w:rsidP="00F47A54">
      <w:pPr>
        <w:snapToGrid w:val="0"/>
        <w:spacing w:line="360" w:lineRule="auto"/>
        <w:ind w:firstLineChars="200" w:firstLine="420"/>
        <w:rPr>
          <w:rFonts w:ascii="宋体" w:hAnsi="宋体"/>
        </w:rPr>
      </w:pPr>
      <w:r>
        <w:rPr>
          <w:rFonts w:ascii="宋体" w:hAnsi="宋体"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3A6B66A0" w14:textId="77777777" w:rsidR="00F47A54" w:rsidRDefault="00F47A54" w:rsidP="00F47A54">
      <w:pPr>
        <w:snapToGrid w:val="0"/>
        <w:spacing w:line="360" w:lineRule="auto"/>
        <w:ind w:firstLineChars="200" w:firstLine="420"/>
        <w:rPr>
          <w:rFonts w:ascii="宋体" w:hAnsi="宋体"/>
        </w:rPr>
      </w:pPr>
      <w:r>
        <w:rPr>
          <w:rFonts w:ascii="宋体" w:hAnsi="宋体" w:hint="eastAsia"/>
        </w:rPr>
        <w:t>3、基金投资当期出现净亏损，则不进行收益分配；</w:t>
      </w:r>
    </w:p>
    <w:p w14:paraId="454CC8B7" w14:textId="77777777" w:rsidR="00F47A54" w:rsidRDefault="00F47A54" w:rsidP="00F47A54">
      <w:pPr>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2DBCDDFD" w14:textId="77777777" w:rsidR="00F47A54" w:rsidRDefault="00F47A54" w:rsidP="00F47A54">
      <w:pPr>
        <w:snapToGrid w:val="0"/>
        <w:spacing w:line="360" w:lineRule="auto"/>
        <w:ind w:firstLineChars="200" w:firstLine="420"/>
        <w:rPr>
          <w:rFonts w:ascii="宋体" w:hAnsi="宋体"/>
        </w:rPr>
      </w:pPr>
      <w:r>
        <w:rPr>
          <w:rFonts w:ascii="宋体" w:hAnsi="宋体" w:hint="eastAsia"/>
        </w:rPr>
        <w:t>5、基金收益分配后基金份额净值不能低于面值；</w:t>
      </w:r>
    </w:p>
    <w:p w14:paraId="419CEDA7" w14:textId="77777777" w:rsidR="00F47A54" w:rsidRDefault="00F47A54" w:rsidP="00F47A54">
      <w:pPr>
        <w:snapToGrid w:val="0"/>
        <w:spacing w:line="360" w:lineRule="auto"/>
        <w:ind w:firstLineChars="200" w:firstLine="420"/>
        <w:rPr>
          <w:rFonts w:ascii="宋体" w:hAnsi="宋体"/>
        </w:rPr>
      </w:pPr>
      <w:r>
        <w:rPr>
          <w:rFonts w:ascii="宋体" w:hAnsi="宋体" w:hint="eastAsia"/>
        </w:rPr>
        <w:t>6、每一基金份额享有同等分配权；</w:t>
      </w:r>
    </w:p>
    <w:p w14:paraId="3C560918" w14:textId="77777777" w:rsidR="00F47A54" w:rsidRDefault="00F47A54" w:rsidP="00F47A54">
      <w:pPr>
        <w:snapToGrid w:val="0"/>
        <w:spacing w:line="360" w:lineRule="auto"/>
        <w:ind w:firstLineChars="200" w:firstLine="420"/>
        <w:rPr>
          <w:rFonts w:ascii="宋体" w:hAnsi="宋体"/>
        </w:rPr>
      </w:pPr>
      <w:r>
        <w:rPr>
          <w:rFonts w:ascii="宋体" w:hAnsi="宋体" w:hint="eastAsia"/>
        </w:rPr>
        <w:t>7、法律法规或监管机关另有规定的，从其规定。</w:t>
      </w:r>
    </w:p>
    <w:p w14:paraId="4BA7A700" w14:textId="77777777" w:rsidR="00F47A54" w:rsidRPr="00F96138" w:rsidRDefault="00F47A54" w:rsidP="00F47A54">
      <w:pPr>
        <w:pStyle w:val="af0"/>
        <w:ind w:firstLine="422"/>
        <w:rPr>
          <w:b/>
          <w:sz w:val="21"/>
          <w:szCs w:val="21"/>
        </w:rPr>
      </w:pPr>
      <w:bookmarkStart w:id="203" w:name="_Toc174497203"/>
      <w:bookmarkStart w:id="204" w:name="_Toc174501030"/>
      <w:bookmarkStart w:id="205" w:name="_Toc174502402"/>
      <w:bookmarkStart w:id="206" w:name="_Toc174616322"/>
      <w:r w:rsidRPr="00F96138">
        <w:rPr>
          <w:rFonts w:hint="eastAsia"/>
          <w:b/>
          <w:sz w:val="21"/>
          <w:szCs w:val="21"/>
        </w:rPr>
        <w:t>（二）基金收益分配方案的制定和实施程序</w:t>
      </w:r>
      <w:bookmarkEnd w:id="203"/>
      <w:bookmarkEnd w:id="204"/>
      <w:bookmarkEnd w:id="205"/>
      <w:bookmarkEnd w:id="206"/>
    </w:p>
    <w:p w14:paraId="79BE7733" w14:textId="77777777" w:rsidR="00F47A54" w:rsidRDefault="00F47A54" w:rsidP="00F47A54">
      <w:pPr>
        <w:snapToGrid w:val="0"/>
        <w:spacing w:line="360" w:lineRule="auto"/>
        <w:ind w:right="28" w:firstLineChars="200" w:firstLine="420"/>
        <w:rPr>
          <w:rFonts w:ascii="宋体" w:hAnsi="宋体"/>
        </w:rPr>
      </w:pPr>
      <w:r>
        <w:rPr>
          <w:rFonts w:ascii="宋体" w:hAnsi="宋体" w:hint="eastAsia"/>
          <w:szCs w:val="21"/>
        </w:rPr>
        <w:t>基金收益分配方案由</w:t>
      </w:r>
      <w:r>
        <w:rPr>
          <w:rFonts w:ascii="宋体" w:hAnsi="宋体" w:hint="eastAsia"/>
        </w:rPr>
        <w:t>基金管理人拟定，并由基金托管人复核。</w:t>
      </w:r>
    </w:p>
    <w:p w14:paraId="1AEFD551"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基金收益分配方案确定后，由基金管理人在</w:t>
      </w:r>
      <w:r w:rsidRPr="00E56169">
        <w:rPr>
          <w:rFonts w:ascii="宋体" w:hAnsi="宋体" w:hint="eastAsia"/>
          <w:szCs w:val="21"/>
        </w:rPr>
        <w:t>2日内</w:t>
      </w:r>
      <w:r>
        <w:rPr>
          <w:rFonts w:ascii="宋体" w:hAnsi="宋体" w:hint="eastAsia"/>
          <w:szCs w:val="21"/>
        </w:rPr>
        <w:t>在</w:t>
      </w:r>
      <w:r w:rsidRPr="00A60CA8">
        <w:rPr>
          <w:rFonts w:ascii="宋体" w:hAnsi="宋体" w:hint="eastAsia"/>
          <w:szCs w:val="21"/>
        </w:rPr>
        <w:t>至</w:t>
      </w:r>
      <w:r>
        <w:rPr>
          <w:rFonts w:ascii="宋体" w:hAnsi="宋体" w:hint="eastAsia"/>
        </w:rPr>
        <w:t>少一家指定媒体</w:t>
      </w:r>
      <w:r>
        <w:rPr>
          <w:rFonts w:ascii="宋体" w:hAnsi="宋体" w:hint="eastAsia"/>
          <w:szCs w:val="21"/>
        </w:rPr>
        <w:t>公告。</w:t>
      </w:r>
    </w:p>
    <w:p w14:paraId="18FFEF78" w14:textId="7C4273C5" w:rsidR="0093187D" w:rsidRPr="0093187D" w:rsidRDefault="00F47A54" w:rsidP="00F47A54">
      <w:pPr>
        <w:pStyle w:val="a9"/>
        <w:tabs>
          <w:tab w:val="left" w:pos="851"/>
        </w:tabs>
        <w:adjustRightInd w:val="0"/>
        <w:snapToGrid w:val="0"/>
        <w:spacing w:line="360" w:lineRule="auto"/>
        <w:ind w:firstLineChars="200"/>
        <w:rPr>
          <w:kern w:val="0"/>
          <w:szCs w:val="24"/>
        </w:rPr>
      </w:pPr>
      <w:r>
        <w:rPr>
          <w:rFonts w:ascii="宋体" w:hAnsi="宋体" w:hint="eastAsia"/>
          <w:szCs w:val="21"/>
        </w:rPr>
        <w:t>基金管理人向基金托管人下达收益分配的付款指令，基金托管人按指令将收益分配的全部资</w:t>
      </w:r>
      <w:r w:rsidRPr="0093187D">
        <w:rPr>
          <w:rFonts w:ascii="宋体" w:hAnsi="宋体" w:hint="eastAsia"/>
        </w:rPr>
        <w:t>金划入基金管理人的指定账户。</w:t>
      </w:r>
    </w:p>
    <w:p w14:paraId="47A1C6E5" w14:textId="77777777" w:rsidR="00F47A54" w:rsidRPr="003120FB" w:rsidRDefault="00F47A54" w:rsidP="00F47A54">
      <w:pPr>
        <w:tabs>
          <w:tab w:val="left" w:pos="1843"/>
        </w:tabs>
        <w:adjustRightInd w:val="0"/>
        <w:snapToGrid w:val="0"/>
        <w:spacing w:line="360" w:lineRule="auto"/>
        <w:ind w:firstLine="400"/>
        <w:rPr>
          <w:rFonts w:ascii="宋体" w:hAnsi="宋体"/>
          <w:szCs w:val="21"/>
        </w:rPr>
      </w:pPr>
      <w:bookmarkStart w:id="207" w:name="_Toc170466914"/>
      <w:bookmarkStart w:id="208" w:name="_Toc123626176"/>
      <w:bookmarkStart w:id="209" w:name="_Toc124749234"/>
      <w:bookmarkStart w:id="210" w:name="_Toc124749945"/>
      <w:bookmarkStart w:id="211" w:name="_Toc466788861"/>
      <w:bookmarkStart w:id="212" w:name="_Toc523830002"/>
      <w:bookmarkStart w:id="213" w:name="_Toc22454465"/>
      <w:bookmarkStart w:id="214" w:name="_Toc48703916"/>
      <w:bookmarkStart w:id="215" w:name="_Toc125361082"/>
      <w:bookmarkStart w:id="216" w:name="_Toc140002345"/>
      <w:bookmarkStart w:id="217" w:name="_Toc466788863"/>
      <w:r>
        <w:rPr>
          <w:rFonts w:ascii="宋体" w:hAnsi="宋体" w:cs="Arial"/>
        </w:rPr>
        <w:br w:type="page"/>
      </w:r>
    </w:p>
    <w:p w14:paraId="24582638" w14:textId="77777777" w:rsidR="00F47A54" w:rsidRDefault="00F47A54" w:rsidP="00F47A54">
      <w:pPr>
        <w:pStyle w:val="20"/>
        <w:numPr>
          <w:ilvl w:val="0"/>
          <w:numId w:val="45"/>
        </w:numPr>
      </w:pPr>
      <w:bookmarkStart w:id="218" w:name="_Toc174788861"/>
      <w:bookmarkStart w:id="219" w:name="_Toc174790109"/>
      <w:bookmarkStart w:id="220" w:name="_Toc176599598"/>
      <w:bookmarkStart w:id="221" w:name="_Toc176599862"/>
      <w:r w:rsidRPr="003120FB">
        <w:rPr>
          <w:rFonts w:ascii="黑体" w:hAnsi="宋体" w:cs="Arial" w:hint="eastAsia"/>
        </w:rPr>
        <w:lastRenderedPageBreak/>
        <w:t>信息披露</w:t>
      </w:r>
      <w:bookmarkStart w:id="222" w:name="_Toc22454466"/>
      <w:bookmarkStart w:id="223" w:name="_Toc48703917"/>
      <w:bookmarkStart w:id="224" w:name="_Toc174616324"/>
      <w:bookmarkEnd w:id="207"/>
      <w:bookmarkEnd w:id="208"/>
      <w:bookmarkEnd w:id="209"/>
      <w:bookmarkEnd w:id="210"/>
      <w:bookmarkEnd w:id="211"/>
      <w:bookmarkEnd w:id="212"/>
      <w:bookmarkEnd w:id="213"/>
      <w:bookmarkEnd w:id="214"/>
      <w:bookmarkEnd w:id="215"/>
      <w:bookmarkEnd w:id="216"/>
      <w:bookmarkEnd w:id="218"/>
      <w:bookmarkEnd w:id="219"/>
      <w:bookmarkEnd w:id="220"/>
      <w:bookmarkEnd w:id="221"/>
    </w:p>
    <w:p w14:paraId="64BF02D1" w14:textId="77777777" w:rsidR="00F47A54" w:rsidRPr="00F96138" w:rsidRDefault="00F47A54" w:rsidP="00F47A54">
      <w:pPr>
        <w:pStyle w:val="af0"/>
        <w:ind w:firstLine="422"/>
        <w:rPr>
          <w:b/>
          <w:sz w:val="21"/>
          <w:szCs w:val="21"/>
        </w:rPr>
      </w:pPr>
      <w:r w:rsidRPr="00F96138">
        <w:rPr>
          <w:rFonts w:hint="eastAsia"/>
          <w:b/>
          <w:sz w:val="21"/>
          <w:szCs w:val="21"/>
        </w:rPr>
        <w:t>（一）保密义务</w:t>
      </w:r>
      <w:bookmarkEnd w:id="222"/>
      <w:bookmarkEnd w:id="223"/>
      <w:bookmarkEnd w:id="224"/>
    </w:p>
    <w:p w14:paraId="0EDBE8EA" w14:textId="77777777" w:rsidR="00F47A54" w:rsidRDefault="00F47A54" w:rsidP="00F47A54">
      <w:pPr>
        <w:tabs>
          <w:tab w:val="left" w:pos="1843"/>
        </w:tabs>
        <w:adjustRightInd w:val="0"/>
        <w:snapToGrid w:val="0"/>
        <w:spacing w:line="360" w:lineRule="auto"/>
        <w:ind w:firstLine="400"/>
      </w:pPr>
      <w:r>
        <w:rPr>
          <w:rFonts w:ascii="宋体" w:hAnsi="宋体"/>
          <w:szCs w:val="21"/>
        </w:rPr>
        <w:t>除按《基金法》、基金合同、《信息披露办法》</w:t>
      </w:r>
      <w:r>
        <w:rPr>
          <w:rFonts w:ascii="宋体" w:hAnsi="宋体" w:hint="eastAsia"/>
          <w:szCs w:val="21"/>
        </w:rPr>
        <w:t>、《试行办法》、《通知》</w:t>
      </w:r>
      <w:r>
        <w:rPr>
          <w:rFonts w:ascii="宋体" w:hAnsi="宋体"/>
          <w:szCs w:val="21"/>
        </w:rPr>
        <w:t>及其他有关规定进行信息披露外，</w:t>
      </w:r>
      <w:r>
        <w:rPr>
          <w:rFonts w:ascii="宋体" w:hAnsi="宋体" w:hint="eastAsia"/>
          <w:szCs w:val="21"/>
        </w:rPr>
        <w:t>，基金管理人和基金托管人对基金运作中产生的信息以及从对方获得的业务信息应予</w:t>
      </w:r>
      <w:r>
        <w:rPr>
          <w:rFonts w:hint="eastAsia"/>
        </w:rPr>
        <w:t>保密。</w:t>
      </w:r>
    </w:p>
    <w:p w14:paraId="25831C72" w14:textId="77777777" w:rsidR="00F47A54" w:rsidRPr="00F96138" w:rsidRDefault="00F47A54" w:rsidP="00F47A54">
      <w:pPr>
        <w:pStyle w:val="af0"/>
        <w:ind w:firstLine="422"/>
        <w:rPr>
          <w:b/>
          <w:sz w:val="21"/>
          <w:szCs w:val="21"/>
        </w:rPr>
      </w:pPr>
      <w:bookmarkStart w:id="225" w:name="_Toc22454467"/>
      <w:bookmarkStart w:id="226" w:name="_Toc48703918"/>
      <w:bookmarkStart w:id="227" w:name="_Toc174497206"/>
      <w:bookmarkStart w:id="228" w:name="_Toc174501032"/>
      <w:bookmarkStart w:id="229" w:name="_Toc174502404"/>
      <w:bookmarkStart w:id="230" w:name="_Toc174616325"/>
      <w:r w:rsidRPr="00F96138">
        <w:rPr>
          <w:rFonts w:hint="eastAsia"/>
          <w:b/>
          <w:sz w:val="21"/>
          <w:szCs w:val="21"/>
        </w:rPr>
        <w:t>（二）基金管理人和基金托管人在信息披露中的职责、内容和信息披露程序</w:t>
      </w:r>
      <w:bookmarkEnd w:id="225"/>
      <w:bookmarkEnd w:id="226"/>
      <w:bookmarkEnd w:id="227"/>
      <w:bookmarkEnd w:id="228"/>
      <w:bookmarkEnd w:id="229"/>
      <w:bookmarkEnd w:id="230"/>
    </w:p>
    <w:p w14:paraId="31E7072C" w14:textId="77777777" w:rsidR="00F47A54" w:rsidRDefault="00F47A54" w:rsidP="00F47A54">
      <w:pPr>
        <w:tabs>
          <w:tab w:val="left" w:pos="1843"/>
        </w:tabs>
        <w:adjustRightInd w:val="0"/>
        <w:snapToGrid w:val="0"/>
        <w:spacing w:line="360" w:lineRule="auto"/>
        <w:ind w:firstLine="400"/>
      </w:pPr>
      <w:r>
        <w:rPr>
          <w:rFonts w:hint="eastAsia"/>
        </w:rPr>
        <w:t>1</w:t>
      </w:r>
      <w:r>
        <w:rPr>
          <w:rFonts w:hint="eastAsia"/>
        </w:rPr>
        <w:t>．基金的信息披露内容应遵循法律法规和《基金合同》的约定。</w:t>
      </w:r>
    </w:p>
    <w:p w14:paraId="070B00F3" w14:textId="77777777" w:rsidR="00F47A54" w:rsidRDefault="00F47A54" w:rsidP="00F47A54">
      <w:pPr>
        <w:tabs>
          <w:tab w:val="left" w:pos="1843"/>
        </w:tabs>
        <w:adjustRightInd w:val="0"/>
        <w:snapToGrid w:val="0"/>
        <w:spacing w:line="360" w:lineRule="auto"/>
        <w:ind w:firstLine="400"/>
        <w:rPr>
          <w:rFonts w:ascii="宋体" w:hAnsi="宋体"/>
          <w:szCs w:val="21"/>
        </w:rPr>
      </w:pPr>
      <w:r>
        <w:rPr>
          <w:rFonts w:hint="eastAsia"/>
        </w:rPr>
        <w:t>2</w:t>
      </w:r>
      <w:r>
        <w:rPr>
          <w:rFonts w:hint="eastAsia"/>
        </w:rPr>
        <w:t>．</w:t>
      </w:r>
      <w:r>
        <w:rPr>
          <w:rFonts w:ascii="宋体" w:hAnsi="宋体" w:hint="eastAsia"/>
          <w:szCs w:val="21"/>
        </w:rPr>
        <w:t>基金管理人和基金托管人在信息披露过程中应以保护基金份额持有人利益为宗旨，诚实信用，严守秘密。基金管理人和基金托管人负责办理与基金有关的信息披露事宜时，对于根据本协议、《基金合同》规定或信息使用方要求的应由对方复核的事项，应经对方复核无误后，由基金管理人或基金托管人予以公布。</w:t>
      </w:r>
    </w:p>
    <w:p w14:paraId="4C301536" w14:textId="77777777" w:rsidR="00F47A54" w:rsidRDefault="00F47A54" w:rsidP="00F47A54">
      <w:pPr>
        <w:tabs>
          <w:tab w:val="left" w:pos="1843"/>
        </w:tabs>
        <w:adjustRightInd w:val="0"/>
        <w:snapToGrid w:val="0"/>
        <w:spacing w:line="360" w:lineRule="auto"/>
        <w:ind w:firstLine="400"/>
        <w:rPr>
          <w:rFonts w:ascii="宋体" w:hAnsi="宋体"/>
          <w:szCs w:val="21"/>
        </w:rPr>
      </w:pPr>
      <w:r w:rsidRPr="004B3135">
        <w:rPr>
          <w:rFonts w:ascii="宋体" w:hAnsi="宋体" w:hint="eastAsia"/>
          <w:szCs w:val="21"/>
        </w:rPr>
        <w:t>3．</w:t>
      </w:r>
      <w:r>
        <w:rPr>
          <w:rFonts w:ascii="宋体" w:hAnsi="宋体" w:hint="eastAsia"/>
          <w:szCs w:val="21"/>
        </w:rPr>
        <w:t>对于不需要基金托管人(或基金管理人)复核的信息，基金管理人(或基金托管人)在信息披露前应告知基金托管人(或基金管理人)。</w:t>
      </w:r>
    </w:p>
    <w:p w14:paraId="6BAA9587" w14:textId="77777777" w:rsidR="00F47A54" w:rsidRDefault="00F47A54" w:rsidP="00F47A54">
      <w:pPr>
        <w:tabs>
          <w:tab w:val="left" w:pos="1843"/>
        </w:tabs>
        <w:adjustRightInd w:val="0"/>
        <w:snapToGrid w:val="0"/>
        <w:spacing w:line="360" w:lineRule="auto"/>
        <w:ind w:firstLine="400"/>
        <w:rPr>
          <w:rFonts w:ascii="宋体" w:hAnsi="宋体"/>
          <w:szCs w:val="21"/>
        </w:rPr>
      </w:pPr>
      <w:r>
        <w:rPr>
          <w:rFonts w:ascii="宋体" w:hAnsi="宋体" w:hint="eastAsia"/>
          <w:szCs w:val="21"/>
        </w:rPr>
        <w:t>4、</w:t>
      </w:r>
      <w:r w:rsidRPr="004B3135">
        <w:rPr>
          <w:szCs w:val="21"/>
        </w:rPr>
        <w:t>基金托管人应当按照相关法律、行政法规、中国证监会的规定和《基金合同》的约定，对基金管理人编制的基金资产净值、基金份额净值、基金业绩表现数据、基金定期报告和</w:t>
      </w:r>
      <w:r w:rsidR="003328E6">
        <w:rPr>
          <w:szCs w:val="21"/>
        </w:rPr>
        <w:t>更新的招募说明书、基金产品资料概要、基金清算报告</w:t>
      </w:r>
      <w:r w:rsidRPr="004B3135">
        <w:rPr>
          <w:szCs w:val="21"/>
        </w:rPr>
        <w:t>等公开披露的相关基金信息进行复核、审查，并向基金管理人出具书面文件或者</w:t>
      </w:r>
      <w:r w:rsidR="003328E6">
        <w:rPr>
          <w:szCs w:val="21"/>
        </w:rPr>
        <w:t>盖章确认或者通过电子方式确认</w:t>
      </w:r>
      <w:r w:rsidRPr="004B3135">
        <w:rPr>
          <w:szCs w:val="21"/>
        </w:rPr>
        <w:t>。基金</w:t>
      </w:r>
      <w:r w:rsidR="003328E6">
        <w:rPr>
          <w:szCs w:val="21"/>
        </w:rPr>
        <w:t>年度报告</w:t>
      </w:r>
      <w:r w:rsidRPr="004B3135">
        <w:rPr>
          <w:szCs w:val="21"/>
        </w:rPr>
        <w:t>中的财务报告部分，经有从事证券</w:t>
      </w:r>
      <w:r w:rsidR="00CB3AE6">
        <w:rPr>
          <w:rFonts w:hint="eastAsia"/>
          <w:szCs w:val="21"/>
        </w:rPr>
        <w:t>、</w:t>
      </w:r>
      <w:r w:rsidR="00CB3AE6">
        <w:rPr>
          <w:szCs w:val="21"/>
        </w:rPr>
        <w:t>期货</w:t>
      </w:r>
      <w:r w:rsidRPr="004B3135">
        <w:rPr>
          <w:szCs w:val="21"/>
        </w:rPr>
        <w:t>相关业务资格的会计师事务所审计后，方可披露。基金管理人应当在中国证监会规定的时间内，将应予披露的基金信息通过</w:t>
      </w:r>
      <w:r w:rsidR="00480B39">
        <w:rPr>
          <w:rFonts w:hint="eastAsia"/>
          <w:szCs w:val="21"/>
        </w:rPr>
        <w:t>中</w:t>
      </w:r>
      <w:r w:rsidR="00480B39">
        <w:rPr>
          <w:szCs w:val="21"/>
        </w:rPr>
        <w:t>国证监会指定的</w:t>
      </w:r>
      <w:r w:rsidR="00CB3AE6">
        <w:rPr>
          <w:rFonts w:ascii="宋体"/>
          <w:bCs/>
          <w:szCs w:val="21"/>
        </w:rPr>
        <w:t>用以进行信息披露的</w:t>
      </w:r>
      <w:r w:rsidR="00CB3AE6" w:rsidRPr="00117DC5">
        <w:rPr>
          <w:rFonts w:ascii="宋体" w:hAnsi="宋体" w:hint="eastAsia"/>
          <w:bCs/>
          <w:szCs w:val="21"/>
        </w:rPr>
        <w:t>全国性报刊及指定互联网网站（包括基金管理人网站、基金托管人网站、中国证监会电子披露网站）</w:t>
      </w:r>
      <w:r w:rsidRPr="004B3135">
        <w:rPr>
          <w:szCs w:val="21"/>
        </w:rPr>
        <w:t>等媒介披露。根据法律法规应由基金托管人公开披露的信息，基金托管人将通过指定报刊或基金托管人的互联网网站公开披露。</w:t>
      </w:r>
    </w:p>
    <w:p w14:paraId="0A373EE1" w14:textId="77777777" w:rsidR="00F47A54" w:rsidRPr="00F96138" w:rsidRDefault="00F47A54" w:rsidP="00F47A54">
      <w:pPr>
        <w:pStyle w:val="af0"/>
        <w:ind w:firstLine="422"/>
        <w:rPr>
          <w:b/>
          <w:sz w:val="21"/>
          <w:szCs w:val="21"/>
        </w:rPr>
      </w:pPr>
      <w:bookmarkStart w:id="231" w:name="_Toc174616326"/>
      <w:r w:rsidRPr="00F96138">
        <w:rPr>
          <w:rFonts w:hint="eastAsia"/>
          <w:b/>
          <w:sz w:val="21"/>
          <w:szCs w:val="21"/>
        </w:rPr>
        <w:t>（三）暂停或延迟信息披露的情形</w:t>
      </w:r>
      <w:bookmarkEnd w:id="231"/>
    </w:p>
    <w:p w14:paraId="0473E155" w14:textId="77777777" w:rsidR="00F47A54" w:rsidRDefault="00F47A54" w:rsidP="00F47A54">
      <w:pPr>
        <w:tabs>
          <w:tab w:val="left" w:pos="1843"/>
        </w:tabs>
        <w:adjustRightInd w:val="0"/>
        <w:snapToGrid w:val="0"/>
        <w:spacing w:line="360" w:lineRule="auto"/>
        <w:ind w:firstLine="400"/>
        <w:rPr>
          <w:rFonts w:ascii="宋体" w:hAnsi="宋体"/>
          <w:szCs w:val="21"/>
        </w:rPr>
      </w:pPr>
      <w:r>
        <w:rPr>
          <w:rFonts w:ascii="宋体" w:hAnsi="宋体" w:hint="eastAsia"/>
          <w:szCs w:val="21"/>
        </w:rPr>
        <w:t>当出现下述情况时，基金管理人和基金托管人可暂停或延迟信息披露：</w:t>
      </w:r>
    </w:p>
    <w:p w14:paraId="6C983811" w14:textId="77777777" w:rsidR="00F47A54" w:rsidRDefault="00F47A54" w:rsidP="0016313F">
      <w:pPr>
        <w:adjustRightInd w:val="0"/>
        <w:snapToGrid w:val="0"/>
        <w:spacing w:line="360" w:lineRule="auto"/>
        <w:ind w:firstLine="400"/>
        <w:rPr>
          <w:rFonts w:ascii="宋体" w:hAnsi="宋体"/>
          <w:szCs w:val="21"/>
        </w:rPr>
      </w:pPr>
      <w:r>
        <w:rPr>
          <w:rFonts w:ascii="宋体" w:hAnsi="宋体" w:hint="eastAsia"/>
          <w:szCs w:val="21"/>
        </w:rPr>
        <w:t>1、不可抗力；</w:t>
      </w:r>
    </w:p>
    <w:p w14:paraId="65A6463A" w14:textId="5E2EE40E" w:rsidR="0016313F" w:rsidRPr="0016313F" w:rsidRDefault="00F47A54" w:rsidP="00F47A54">
      <w:pPr>
        <w:adjustRightInd w:val="0"/>
        <w:snapToGrid w:val="0"/>
        <w:spacing w:line="360" w:lineRule="auto"/>
        <w:ind w:firstLine="400"/>
      </w:pPr>
      <w:r>
        <w:rPr>
          <w:rFonts w:hint="eastAsia"/>
        </w:rPr>
        <w:t>2</w:t>
      </w:r>
      <w:r>
        <w:rPr>
          <w:rFonts w:hint="eastAsia"/>
        </w:rPr>
        <w:t>、法律法规、《基金合同》或监管机构规定的其他情况。</w:t>
      </w:r>
    </w:p>
    <w:p w14:paraId="2A067EC4" w14:textId="77777777" w:rsidR="00F47A54" w:rsidRDefault="00F47A54" w:rsidP="00F47A54">
      <w:r>
        <w:br w:type="page"/>
      </w:r>
    </w:p>
    <w:p w14:paraId="5639E33E" w14:textId="77777777" w:rsidR="00F47A54" w:rsidRPr="003120FB" w:rsidRDefault="00F47A54" w:rsidP="00F47A54">
      <w:pPr>
        <w:pStyle w:val="20"/>
        <w:numPr>
          <w:ilvl w:val="0"/>
          <w:numId w:val="45"/>
        </w:numPr>
        <w:rPr>
          <w:rFonts w:ascii="黑体" w:cs="Arial"/>
        </w:rPr>
      </w:pPr>
      <w:bookmarkStart w:id="232" w:name="_Toc174789806"/>
      <w:bookmarkStart w:id="233" w:name="_Toc174790110"/>
      <w:bookmarkStart w:id="234" w:name="_Toc174789807"/>
      <w:bookmarkStart w:id="235" w:name="_Toc174790111"/>
      <w:bookmarkStart w:id="236" w:name="_Toc174789808"/>
      <w:bookmarkStart w:id="237" w:name="_Toc174790112"/>
      <w:bookmarkStart w:id="238" w:name="_Toc174789809"/>
      <w:bookmarkStart w:id="239" w:name="_Toc174790113"/>
      <w:bookmarkStart w:id="240" w:name="_Toc123626177"/>
      <w:bookmarkStart w:id="241" w:name="_Toc124749235"/>
      <w:bookmarkStart w:id="242" w:name="_Toc124749946"/>
      <w:bookmarkStart w:id="243" w:name="_Toc125361083"/>
      <w:bookmarkStart w:id="244" w:name="_Toc140002346"/>
      <w:bookmarkStart w:id="245" w:name="_Toc174788862"/>
      <w:bookmarkStart w:id="246" w:name="_Toc174790114"/>
      <w:bookmarkStart w:id="247" w:name="_Toc176599599"/>
      <w:bookmarkStart w:id="248" w:name="_Toc176599863"/>
      <w:bookmarkEnd w:id="217"/>
      <w:bookmarkEnd w:id="232"/>
      <w:bookmarkEnd w:id="233"/>
      <w:bookmarkEnd w:id="234"/>
      <w:bookmarkEnd w:id="235"/>
      <w:bookmarkEnd w:id="236"/>
      <w:bookmarkEnd w:id="237"/>
      <w:bookmarkEnd w:id="238"/>
      <w:bookmarkEnd w:id="239"/>
      <w:r w:rsidRPr="004B3135">
        <w:rPr>
          <w:rFonts w:hint="eastAsia"/>
        </w:rPr>
        <w:lastRenderedPageBreak/>
        <w:t>基金费用</w:t>
      </w:r>
      <w:bookmarkEnd w:id="240"/>
      <w:bookmarkEnd w:id="241"/>
      <w:bookmarkEnd w:id="242"/>
      <w:bookmarkEnd w:id="243"/>
      <w:bookmarkEnd w:id="244"/>
      <w:bookmarkEnd w:id="245"/>
      <w:bookmarkEnd w:id="246"/>
      <w:bookmarkEnd w:id="247"/>
      <w:bookmarkEnd w:id="248"/>
    </w:p>
    <w:p w14:paraId="05CFAAA7" w14:textId="77777777" w:rsidR="00F47A54" w:rsidRDefault="00F47A54" w:rsidP="00F47A54">
      <w:pPr>
        <w:adjustRightInd w:val="0"/>
        <w:snapToGrid w:val="0"/>
        <w:spacing w:line="360" w:lineRule="auto"/>
        <w:ind w:firstLineChars="200" w:firstLine="420"/>
        <w:rPr>
          <w:rFonts w:ascii="宋体" w:hAnsi="宋体"/>
        </w:rPr>
      </w:pPr>
      <w:r>
        <w:rPr>
          <w:rFonts w:ascii="宋体" w:hAnsi="宋体" w:hint="eastAsia"/>
        </w:rPr>
        <w:t>根据相关法律法规要求，经双方友好协商，双方就</w:t>
      </w:r>
      <w:r w:rsidRPr="00D97577">
        <w:rPr>
          <w:rFonts w:ascii="宋体" w:hAnsi="宋体" w:hint="eastAsia"/>
        </w:rPr>
        <w:t>南方全球精选配置</w:t>
      </w:r>
      <w:r>
        <w:rPr>
          <w:rFonts w:ascii="宋体" w:hAnsi="宋体" w:hint="eastAsia"/>
        </w:rPr>
        <w:t>证券基金费用收取标准、计算方法及支付方式达成以下约定：</w:t>
      </w:r>
    </w:p>
    <w:p w14:paraId="0AD27614" w14:textId="77777777" w:rsidR="00F47A54" w:rsidRDefault="00F47A54" w:rsidP="00F47A54">
      <w:pPr>
        <w:spacing w:line="360" w:lineRule="auto"/>
        <w:ind w:firstLineChars="200" w:firstLine="422"/>
        <w:rPr>
          <w:rFonts w:ascii="宋体" w:hAnsi="宋体"/>
          <w:b/>
        </w:rPr>
      </w:pPr>
      <w:r>
        <w:rPr>
          <w:rFonts w:ascii="宋体" w:hAnsi="宋体" w:hint="eastAsia"/>
          <w:b/>
        </w:rPr>
        <w:t>（一）基金费用的种类</w:t>
      </w:r>
    </w:p>
    <w:p w14:paraId="47089397" w14:textId="77777777" w:rsidR="00F47A54" w:rsidRDefault="00F47A54" w:rsidP="00F47A54">
      <w:pPr>
        <w:spacing w:line="360" w:lineRule="auto"/>
        <w:ind w:firstLineChars="200" w:firstLine="420"/>
        <w:rPr>
          <w:rFonts w:ascii="宋体" w:hAnsi="宋体"/>
        </w:rPr>
      </w:pPr>
      <w:r>
        <w:rPr>
          <w:rFonts w:ascii="宋体" w:hAnsi="宋体"/>
        </w:rPr>
        <w:t>1</w:t>
      </w:r>
      <w:r>
        <w:rPr>
          <w:rFonts w:ascii="宋体" w:hAnsi="宋体" w:hint="eastAsia"/>
        </w:rPr>
        <w:t>、基金的管理费；</w:t>
      </w:r>
    </w:p>
    <w:p w14:paraId="2F12D5C8" w14:textId="77777777" w:rsidR="00F47A54" w:rsidRDefault="00F47A54" w:rsidP="00F47A54">
      <w:pPr>
        <w:spacing w:line="360" w:lineRule="auto"/>
        <w:ind w:firstLineChars="200" w:firstLine="420"/>
        <w:rPr>
          <w:rFonts w:ascii="宋体" w:hAnsi="宋体"/>
        </w:rPr>
      </w:pPr>
      <w:r>
        <w:rPr>
          <w:rFonts w:ascii="宋体" w:hAnsi="宋体" w:hint="eastAsia"/>
        </w:rPr>
        <w:t>2、基金的托管费；</w:t>
      </w:r>
    </w:p>
    <w:p w14:paraId="00A02FE7" w14:textId="77777777" w:rsidR="00F47A54" w:rsidRDefault="00F47A54" w:rsidP="00F47A54">
      <w:pPr>
        <w:spacing w:line="360" w:lineRule="auto"/>
        <w:ind w:firstLineChars="200" w:firstLine="420"/>
        <w:rPr>
          <w:rFonts w:ascii="宋体" w:hAnsi="宋体"/>
        </w:rPr>
      </w:pPr>
      <w:r>
        <w:rPr>
          <w:rFonts w:ascii="宋体" w:hAnsi="宋体" w:hint="eastAsia"/>
        </w:rPr>
        <w:t>3、《基金合同》生效后与基金相关的信息披露费用；</w:t>
      </w:r>
    </w:p>
    <w:p w14:paraId="1C5A6705" w14:textId="77777777" w:rsidR="00F47A54" w:rsidRDefault="00F47A54" w:rsidP="00F47A54">
      <w:pPr>
        <w:spacing w:line="360" w:lineRule="auto"/>
        <w:ind w:firstLineChars="200" w:firstLine="420"/>
        <w:rPr>
          <w:rFonts w:ascii="宋体" w:hAnsi="宋体"/>
        </w:rPr>
      </w:pPr>
      <w:r>
        <w:rPr>
          <w:rFonts w:ascii="宋体" w:hAnsi="宋体" w:hint="eastAsia"/>
        </w:rPr>
        <w:t>4、《基金合同》生效后与基金相关的会计师费和律师费；</w:t>
      </w:r>
    </w:p>
    <w:p w14:paraId="532EE3D6" w14:textId="77777777" w:rsidR="00F47A54" w:rsidRDefault="00F47A54" w:rsidP="00F47A54">
      <w:pPr>
        <w:spacing w:line="360" w:lineRule="auto"/>
        <w:ind w:firstLineChars="200" w:firstLine="420"/>
        <w:rPr>
          <w:rFonts w:ascii="宋体" w:hAnsi="宋体"/>
        </w:rPr>
      </w:pPr>
      <w:r>
        <w:rPr>
          <w:rFonts w:ascii="宋体" w:hAnsi="宋体" w:hint="eastAsia"/>
        </w:rPr>
        <w:t>5、基金份额持有人大会费用；</w:t>
      </w:r>
    </w:p>
    <w:p w14:paraId="48E776D9" w14:textId="77777777" w:rsidR="00F47A54" w:rsidRDefault="00F47A54" w:rsidP="00F47A54">
      <w:pPr>
        <w:spacing w:line="360" w:lineRule="auto"/>
        <w:ind w:firstLineChars="200" w:firstLine="420"/>
        <w:rPr>
          <w:rFonts w:ascii="宋体" w:hAnsi="宋体"/>
        </w:rPr>
      </w:pPr>
      <w:r>
        <w:rPr>
          <w:rFonts w:ascii="宋体" w:hAnsi="宋体" w:hint="eastAsia"/>
        </w:rPr>
        <w:t>6、基金的证券交易费用；</w:t>
      </w:r>
    </w:p>
    <w:p w14:paraId="72C74CC7" w14:textId="77777777" w:rsidR="00F47A54" w:rsidRDefault="00F47A54" w:rsidP="00F47A54">
      <w:pPr>
        <w:spacing w:line="360" w:lineRule="auto"/>
        <w:ind w:firstLineChars="200" w:firstLine="420"/>
        <w:rPr>
          <w:rFonts w:ascii="宋体" w:hAnsi="宋体"/>
        </w:rPr>
      </w:pPr>
      <w:r>
        <w:rPr>
          <w:rFonts w:ascii="宋体" w:hAnsi="宋体" w:hint="eastAsia"/>
        </w:rPr>
        <w:t>7、基金的银行汇划费用；</w:t>
      </w:r>
    </w:p>
    <w:p w14:paraId="62D96859" w14:textId="77777777" w:rsidR="00F47A54" w:rsidRDefault="00F47A54" w:rsidP="00F47A54">
      <w:pPr>
        <w:spacing w:line="360" w:lineRule="auto"/>
        <w:ind w:firstLineChars="200" w:firstLine="420"/>
        <w:rPr>
          <w:rFonts w:ascii="宋体" w:hAnsi="宋体"/>
        </w:rPr>
      </w:pPr>
      <w:r>
        <w:rPr>
          <w:rFonts w:ascii="宋体" w:hAnsi="宋体" w:hint="eastAsia"/>
        </w:rPr>
        <w:t>8、按照国家有关规定和《基金合同》约定，可以在基金财产中列支的其他费用。</w:t>
      </w:r>
    </w:p>
    <w:p w14:paraId="49851A7D" w14:textId="77777777" w:rsidR="00F47A54" w:rsidRDefault="00F47A54" w:rsidP="00F47A54">
      <w:pPr>
        <w:spacing w:line="360" w:lineRule="auto"/>
        <w:ind w:firstLineChars="200" w:firstLine="420"/>
        <w:rPr>
          <w:rFonts w:ascii="宋体" w:hAnsi="宋体"/>
        </w:rPr>
      </w:pPr>
      <w:r>
        <w:rPr>
          <w:rFonts w:ascii="宋体" w:hAnsi="宋体" w:hint="eastAsia"/>
        </w:rPr>
        <w:t>本基金终止清算时所发生费用，按实际支出额从基金财产总值中扣除。</w:t>
      </w:r>
    </w:p>
    <w:p w14:paraId="1256066E" w14:textId="77777777" w:rsidR="00F47A54" w:rsidRDefault="00F47A54" w:rsidP="00F47A54">
      <w:pPr>
        <w:spacing w:line="360" w:lineRule="auto"/>
        <w:ind w:firstLineChars="200" w:firstLine="422"/>
        <w:rPr>
          <w:rFonts w:ascii="宋体" w:hAnsi="宋体"/>
          <w:b/>
        </w:rPr>
      </w:pPr>
      <w:r>
        <w:rPr>
          <w:rFonts w:ascii="宋体" w:hAnsi="宋体" w:hint="eastAsia"/>
          <w:b/>
        </w:rPr>
        <w:t>（二）基金费用计提方法、计提标准和支付方式</w:t>
      </w:r>
    </w:p>
    <w:p w14:paraId="09415559" w14:textId="77777777" w:rsidR="00F47A54" w:rsidRDefault="00F47A54" w:rsidP="00F47A54">
      <w:pPr>
        <w:spacing w:line="360" w:lineRule="auto"/>
        <w:ind w:firstLineChars="200" w:firstLine="420"/>
        <w:rPr>
          <w:rFonts w:ascii="宋体" w:hAnsi="宋体"/>
        </w:rPr>
      </w:pPr>
      <w:r>
        <w:rPr>
          <w:rFonts w:ascii="宋体" w:hAnsi="宋体"/>
        </w:rPr>
        <w:t>1、基金的管理费</w:t>
      </w:r>
    </w:p>
    <w:p w14:paraId="2A73F154" w14:textId="77777777" w:rsidR="00F47A54" w:rsidRDefault="00F47A54" w:rsidP="00F47A54">
      <w:pPr>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w:t>
      </w:r>
      <w:r>
        <w:rPr>
          <w:rFonts w:ascii="宋体" w:hAnsi="宋体" w:hint="eastAsia"/>
        </w:rPr>
        <w:t>1.85%的</w:t>
      </w:r>
      <w:r>
        <w:rPr>
          <w:rFonts w:ascii="宋体" w:hAnsi="宋体"/>
        </w:rPr>
        <w:t>年费率计提。计算方法如下：</w:t>
      </w:r>
    </w:p>
    <w:p w14:paraId="3CFDED9F" w14:textId="77777777" w:rsidR="00F47A54" w:rsidRDefault="00F47A54" w:rsidP="00F47A54">
      <w:pPr>
        <w:spacing w:line="360" w:lineRule="auto"/>
        <w:ind w:firstLineChars="200" w:firstLine="420"/>
        <w:rPr>
          <w:rFonts w:ascii="宋体" w:hAnsi="宋体"/>
        </w:rPr>
      </w:pPr>
      <w:r>
        <w:rPr>
          <w:rFonts w:ascii="宋体" w:hAnsi="宋体"/>
        </w:rPr>
        <w:t>H＝E×</w:t>
      </w:r>
      <w:r>
        <w:rPr>
          <w:rFonts w:ascii="宋体" w:hAnsi="宋体" w:hint="eastAsia"/>
        </w:rPr>
        <w:t>1.85%÷</w:t>
      </w:r>
      <w:r>
        <w:rPr>
          <w:rFonts w:ascii="宋体" w:hAnsi="宋体"/>
        </w:rPr>
        <w:t>当年天数</w:t>
      </w:r>
    </w:p>
    <w:p w14:paraId="7491B8E3" w14:textId="77777777" w:rsidR="00F47A54" w:rsidRDefault="00F47A54" w:rsidP="00F47A54">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w:t>
      </w:r>
      <w:r>
        <w:rPr>
          <w:rFonts w:ascii="宋体" w:hAnsi="宋体" w:hint="eastAsia"/>
        </w:rPr>
        <w:t>基金</w:t>
      </w:r>
      <w:r>
        <w:rPr>
          <w:rFonts w:ascii="宋体" w:hAnsi="宋体"/>
        </w:rPr>
        <w:t>的管理费</w:t>
      </w:r>
    </w:p>
    <w:p w14:paraId="156ECB49" w14:textId="77777777" w:rsidR="00F47A54" w:rsidRDefault="00F47A54" w:rsidP="00F47A54">
      <w:pPr>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14:paraId="56797BDF" w14:textId="77777777" w:rsidR="00F47A54" w:rsidRDefault="00F47A54" w:rsidP="00F47A54">
      <w:pPr>
        <w:spacing w:line="360" w:lineRule="auto"/>
        <w:ind w:firstLineChars="200" w:firstLine="420"/>
        <w:rPr>
          <w:rFonts w:ascii="宋体" w:hAnsi="宋体"/>
        </w:rPr>
      </w:pPr>
      <w:r>
        <w:rPr>
          <w:rFonts w:ascii="宋体" w:hAnsi="宋体" w:hint="eastAsia"/>
        </w:rPr>
        <w:t>基金的管理费</w:t>
      </w:r>
      <w:r>
        <w:rPr>
          <w:rFonts w:ascii="宋体" w:hAnsi="宋体"/>
        </w:rPr>
        <w:t>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14:paraId="0D91F760" w14:textId="77777777" w:rsidR="00F47A54" w:rsidRDefault="00F47A54" w:rsidP="00F47A54">
      <w:pPr>
        <w:spacing w:line="360" w:lineRule="auto"/>
        <w:ind w:firstLineChars="200" w:firstLine="420"/>
        <w:rPr>
          <w:rFonts w:ascii="宋体" w:hAnsi="宋体"/>
        </w:rPr>
      </w:pPr>
      <w:r>
        <w:rPr>
          <w:rFonts w:ascii="宋体" w:hAnsi="宋体"/>
        </w:rPr>
        <w:t>2、基金的托管费</w:t>
      </w:r>
    </w:p>
    <w:p w14:paraId="33CBDDCA" w14:textId="77777777" w:rsidR="00F47A54" w:rsidRDefault="00F47A54" w:rsidP="00F47A54">
      <w:pPr>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0.3%</w:t>
      </w:r>
      <w:r>
        <w:rPr>
          <w:rFonts w:ascii="宋体" w:hAnsi="宋体"/>
        </w:rPr>
        <w:t>的年费率计提。</w:t>
      </w:r>
      <w:r>
        <w:rPr>
          <w:rFonts w:ascii="宋体" w:hAnsi="宋体" w:hint="eastAsia"/>
        </w:rPr>
        <w:t>托管费的</w:t>
      </w:r>
      <w:r>
        <w:rPr>
          <w:rFonts w:ascii="宋体" w:hAnsi="宋体"/>
        </w:rPr>
        <w:t>计算方法如下：</w:t>
      </w:r>
    </w:p>
    <w:p w14:paraId="2F0865E7" w14:textId="77777777" w:rsidR="00F47A54" w:rsidRDefault="00F47A54" w:rsidP="00F47A54">
      <w:pPr>
        <w:spacing w:line="360" w:lineRule="auto"/>
        <w:ind w:firstLineChars="200" w:firstLine="420"/>
        <w:rPr>
          <w:rFonts w:ascii="宋体" w:hAnsi="宋体"/>
        </w:rPr>
      </w:pPr>
      <w:r>
        <w:rPr>
          <w:rFonts w:ascii="宋体" w:hAnsi="宋体"/>
        </w:rPr>
        <w:t>H＝E×</w:t>
      </w:r>
      <w:r>
        <w:rPr>
          <w:rFonts w:ascii="宋体" w:hAnsi="宋体" w:hint="eastAsia"/>
        </w:rPr>
        <w:t>0.3%÷</w:t>
      </w:r>
      <w:r>
        <w:rPr>
          <w:rFonts w:ascii="宋体" w:hAnsi="宋体"/>
        </w:rPr>
        <w:t>当年天数</w:t>
      </w:r>
    </w:p>
    <w:p w14:paraId="703A0863" w14:textId="77777777" w:rsidR="00F47A54" w:rsidRDefault="00F47A54" w:rsidP="00F47A54">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14:paraId="7D60A404" w14:textId="77777777" w:rsidR="00F47A54" w:rsidRDefault="00F47A54" w:rsidP="00F47A54">
      <w:pPr>
        <w:spacing w:line="360" w:lineRule="auto"/>
        <w:ind w:firstLineChars="200" w:firstLine="420"/>
        <w:rPr>
          <w:rFonts w:ascii="宋体" w:hAnsi="宋体"/>
        </w:rPr>
      </w:pPr>
      <w:r>
        <w:rPr>
          <w:rFonts w:ascii="宋体" w:hAnsi="宋体"/>
        </w:rPr>
        <w:t>E为前一日的基金资产净值</w:t>
      </w:r>
    </w:p>
    <w:p w14:paraId="7F811693" w14:textId="77777777" w:rsidR="00F47A54" w:rsidRDefault="00F47A54" w:rsidP="00F47A54">
      <w:pPr>
        <w:spacing w:line="360" w:lineRule="auto"/>
        <w:ind w:firstLineChars="200" w:firstLine="420"/>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w:t>
      </w:r>
      <w:r>
        <w:rPr>
          <w:rFonts w:ascii="宋体" w:hAnsi="宋体"/>
        </w:rPr>
        <w:lastRenderedPageBreak/>
        <w:t>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14:paraId="164BFF9D" w14:textId="77777777" w:rsidR="00F47A54" w:rsidRDefault="00F47A54" w:rsidP="00F47A54">
      <w:pPr>
        <w:spacing w:line="360" w:lineRule="auto"/>
        <w:ind w:firstLineChars="200" w:firstLine="420"/>
        <w:rPr>
          <w:rFonts w:ascii="宋体" w:hAnsi="宋体"/>
        </w:rPr>
      </w:pPr>
      <w:r>
        <w:rPr>
          <w:rFonts w:ascii="宋体" w:hAnsi="宋体"/>
        </w:rPr>
        <w:t>上述“</w:t>
      </w:r>
      <w:r w:rsidRPr="00111898">
        <w:rPr>
          <w:rFonts w:ascii="宋体" w:hAnsi="宋体" w:hint="eastAsia"/>
        </w:rPr>
        <w:t>（一）</w:t>
      </w:r>
      <w:r>
        <w:rPr>
          <w:rFonts w:ascii="宋体" w:hAnsi="宋体"/>
        </w:rPr>
        <w:t>基金费用</w:t>
      </w:r>
      <w:r>
        <w:rPr>
          <w:rFonts w:ascii="宋体" w:hAnsi="宋体" w:hint="eastAsia"/>
        </w:rPr>
        <w:t>的种类</w:t>
      </w:r>
      <w:r>
        <w:rPr>
          <w:rFonts w:ascii="宋体" w:hAnsi="宋体"/>
        </w:rPr>
        <w:t>”中第</w:t>
      </w:r>
      <w:r>
        <w:rPr>
          <w:rFonts w:ascii="宋体" w:hAnsi="宋体" w:hint="eastAsia"/>
        </w:rPr>
        <w:t>4－8</w:t>
      </w:r>
      <w:r>
        <w:rPr>
          <w:rFonts w:ascii="宋体" w:hAnsi="宋体"/>
        </w:rPr>
        <w:t>项费用</w:t>
      </w:r>
      <w:r>
        <w:rPr>
          <w:rFonts w:ascii="宋体" w:hAnsi="宋体" w:hint="eastAsia"/>
        </w:rPr>
        <w:t>，</w:t>
      </w:r>
      <w:r>
        <w:rPr>
          <w:rFonts w:ascii="宋体" w:hAnsi="宋体"/>
        </w:rPr>
        <w:t>根据有关法规及相应协议规定</w:t>
      </w:r>
      <w:r>
        <w:rPr>
          <w:rFonts w:ascii="宋体" w:hAnsi="宋体" w:hint="eastAsia"/>
        </w:rPr>
        <w:t>，</w:t>
      </w:r>
      <w:r>
        <w:rPr>
          <w:rFonts w:ascii="宋体" w:hAnsi="宋体"/>
        </w:rPr>
        <w:t>按费用实际支出金额列入当期费用</w:t>
      </w:r>
      <w:r>
        <w:rPr>
          <w:rFonts w:ascii="宋体" w:hAnsi="宋体" w:hint="eastAsia"/>
        </w:rPr>
        <w:t>，</w:t>
      </w:r>
      <w:r>
        <w:rPr>
          <w:rFonts w:ascii="宋体" w:hAnsi="宋体"/>
        </w:rPr>
        <w:t>由基金托管人从基金财产中支付。</w:t>
      </w:r>
    </w:p>
    <w:p w14:paraId="7C99E766" w14:textId="77777777" w:rsidR="00F47A54" w:rsidRDefault="00F47A54" w:rsidP="00F47A54">
      <w:pPr>
        <w:spacing w:line="360" w:lineRule="auto"/>
        <w:ind w:firstLineChars="200" w:firstLine="422"/>
        <w:rPr>
          <w:rFonts w:ascii="宋体" w:hAnsi="宋体"/>
          <w:b/>
        </w:rPr>
      </w:pPr>
      <w:r>
        <w:rPr>
          <w:rFonts w:ascii="宋体" w:hAnsi="宋体" w:hint="eastAsia"/>
          <w:b/>
        </w:rPr>
        <w:t>（三）不列入基金费用的项目</w:t>
      </w:r>
    </w:p>
    <w:p w14:paraId="374F2B31" w14:textId="77777777" w:rsidR="00F47A54" w:rsidRDefault="00F47A54" w:rsidP="00F47A54">
      <w:pPr>
        <w:spacing w:line="360" w:lineRule="auto"/>
        <w:ind w:firstLineChars="200" w:firstLine="420"/>
        <w:rPr>
          <w:rFonts w:ascii="宋体" w:hAnsi="宋体"/>
        </w:rPr>
      </w:pPr>
      <w:r>
        <w:rPr>
          <w:rFonts w:ascii="宋体" w:hAnsi="宋体" w:hint="eastAsia"/>
        </w:rPr>
        <w:t>下列费用不列入基金费用：</w:t>
      </w:r>
    </w:p>
    <w:p w14:paraId="7338C972" w14:textId="77777777" w:rsidR="00F47A54" w:rsidRDefault="00F47A54" w:rsidP="00F47A54">
      <w:pPr>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14:paraId="649501AA" w14:textId="77777777" w:rsidR="00F47A54" w:rsidRDefault="00F47A54" w:rsidP="00F47A54">
      <w:pPr>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14:paraId="436DBC49" w14:textId="77777777" w:rsidR="00F47A54" w:rsidRDefault="00F47A54" w:rsidP="00F47A54">
      <w:pPr>
        <w:spacing w:line="360" w:lineRule="auto"/>
        <w:ind w:firstLineChars="200" w:firstLine="420"/>
        <w:rPr>
          <w:rFonts w:ascii="宋体" w:hAnsi="宋体"/>
        </w:rPr>
      </w:pPr>
      <w:r>
        <w:rPr>
          <w:rFonts w:ascii="宋体" w:hAnsi="宋体" w:hint="eastAsia"/>
        </w:rPr>
        <w:t>3、《基金合同》生效前的相关费用，包括但不限于验资费、会计师和律师费、信息披露费用等费用；</w:t>
      </w:r>
    </w:p>
    <w:p w14:paraId="63DD1B14" w14:textId="77777777" w:rsidR="00F47A54" w:rsidRDefault="00F47A54" w:rsidP="00F47A54">
      <w:pPr>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14:paraId="3464B0F2" w14:textId="77777777" w:rsidR="00F47A54" w:rsidRDefault="00F47A54" w:rsidP="00F47A54">
      <w:pPr>
        <w:spacing w:line="360" w:lineRule="auto"/>
        <w:ind w:firstLineChars="200" w:firstLine="422"/>
        <w:rPr>
          <w:rFonts w:ascii="宋体" w:hAnsi="宋体"/>
          <w:b/>
        </w:rPr>
      </w:pPr>
      <w:r>
        <w:rPr>
          <w:rFonts w:ascii="宋体" w:hAnsi="宋体" w:hint="eastAsia"/>
          <w:b/>
        </w:rPr>
        <w:t>（四）</w:t>
      </w:r>
      <w:r>
        <w:rPr>
          <w:rFonts w:ascii="宋体" w:hAnsi="宋体"/>
          <w:b/>
        </w:rPr>
        <w:t>费</w:t>
      </w:r>
      <w:r>
        <w:rPr>
          <w:rFonts w:ascii="宋体" w:hAnsi="宋体" w:hint="eastAsia"/>
          <w:b/>
        </w:rPr>
        <w:t>用</w:t>
      </w:r>
      <w:r>
        <w:rPr>
          <w:rFonts w:ascii="宋体" w:hAnsi="宋体"/>
          <w:b/>
        </w:rPr>
        <w:t>调整</w:t>
      </w:r>
    </w:p>
    <w:p w14:paraId="15E51639" w14:textId="77777777" w:rsidR="00F47A54" w:rsidRDefault="00F47A54" w:rsidP="00F47A54">
      <w:pPr>
        <w:spacing w:line="360" w:lineRule="auto"/>
        <w:ind w:firstLineChars="200" w:firstLine="420"/>
        <w:rPr>
          <w:rFonts w:ascii="宋体" w:hAnsi="宋体"/>
        </w:rPr>
      </w:pPr>
      <w:r>
        <w:rPr>
          <w:rFonts w:ascii="宋体" w:hAnsi="宋体" w:hint="eastAsia"/>
        </w:rPr>
        <w:t>基金管理人和基金托管人协商一致后，可根据基金发展情况调整基金管理费率、基金托管费率等相关费率。</w:t>
      </w:r>
    </w:p>
    <w:p w14:paraId="1092482D" w14:textId="77777777" w:rsidR="00F47A54" w:rsidRDefault="00F47A54" w:rsidP="00F47A54">
      <w:pPr>
        <w:spacing w:line="360" w:lineRule="auto"/>
        <w:ind w:firstLineChars="200" w:firstLine="420"/>
        <w:rPr>
          <w:rFonts w:ascii="宋体" w:hAnsi="宋体"/>
        </w:rPr>
      </w:pPr>
      <w:r>
        <w:rPr>
          <w:rFonts w:ascii="宋体" w:hAnsi="宋体" w:hint="eastAsia"/>
        </w:rPr>
        <w:t>调高基金管理费率和基金托管费率，须召开基金份额持有人大会审议，除非基金合同、相关法律法规或监管机构另有规定；调低基金管理费率和基金托管费率，无须召开基金份额持有人大会。</w:t>
      </w:r>
    </w:p>
    <w:p w14:paraId="56E7940E" w14:textId="77777777" w:rsidR="00F47A54" w:rsidRDefault="00F47A54" w:rsidP="00F47A54">
      <w:pPr>
        <w:spacing w:line="360" w:lineRule="auto"/>
        <w:ind w:firstLineChars="200" w:firstLine="420"/>
        <w:rPr>
          <w:rFonts w:ascii="宋体" w:hAnsi="宋体"/>
        </w:rPr>
      </w:pPr>
      <w:r>
        <w:rPr>
          <w:rFonts w:ascii="宋体" w:hAnsi="宋体" w:hint="eastAsia"/>
        </w:rPr>
        <w:t>基金管理人必须最迟于新的费率实施日前2日在至少一种指定媒体公告。</w:t>
      </w:r>
    </w:p>
    <w:p w14:paraId="0D27AF49" w14:textId="77777777" w:rsidR="00F47A54" w:rsidRPr="00013E6B" w:rsidRDefault="00F47A54" w:rsidP="00F47A54">
      <w:pPr>
        <w:snapToGrid w:val="0"/>
        <w:spacing w:line="360" w:lineRule="auto"/>
        <w:ind w:firstLineChars="200" w:firstLine="422"/>
        <w:rPr>
          <w:rFonts w:ascii="宋体" w:hAnsi="宋体"/>
          <w:b/>
        </w:rPr>
      </w:pPr>
      <w:r w:rsidRPr="00013E6B">
        <w:rPr>
          <w:rFonts w:ascii="宋体" w:hAnsi="宋体" w:hint="eastAsia"/>
          <w:b/>
        </w:rPr>
        <w:t>（五）基金托管人对不符合《基金法》、《运作办法》等有关规定以及《基金合同》的其他费用有权拒绝执行。</w:t>
      </w:r>
    </w:p>
    <w:p w14:paraId="6C14C7B0" w14:textId="737EA7AC" w:rsidR="00024958" w:rsidRPr="00024958" w:rsidRDefault="00F47A54" w:rsidP="00F47A54">
      <w:pPr>
        <w:snapToGrid w:val="0"/>
        <w:spacing w:line="360" w:lineRule="auto"/>
        <w:ind w:firstLineChars="200" w:firstLine="420"/>
        <w:rPr>
          <w:rFonts w:ascii="宋体"/>
        </w:rPr>
      </w:pPr>
      <w:r>
        <w:rPr>
          <w:rFonts w:ascii="宋体" w:hAnsi="宋体" w:hint="eastAsia"/>
        </w:rPr>
        <w:t>基金托管人对基金管理人计提的基金管理费、基金托管费等，根据本托管协议和《基金合同》的有关规定进行复核。</w:t>
      </w:r>
      <w:bookmarkStart w:id="249" w:name="_Toc124749947"/>
      <w:bookmarkStart w:id="250" w:name="_Toc125361084"/>
      <w:bookmarkStart w:id="251" w:name="_Toc140002347"/>
    </w:p>
    <w:p w14:paraId="27D4F51C" w14:textId="77777777" w:rsidR="00F47A54" w:rsidRDefault="00F47A54" w:rsidP="00F47A54">
      <w:pPr>
        <w:snapToGrid w:val="0"/>
        <w:spacing w:line="360" w:lineRule="auto"/>
        <w:ind w:firstLineChars="200" w:firstLine="420"/>
        <w:rPr>
          <w:rFonts w:ascii="宋体"/>
        </w:rPr>
      </w:pPr>
      <w:r>
        <w:rPr>
          <w:rFonts w:ascii="宋体"/>
        </w:rPr>
        <w:br w:type="page"/>
      </w:r>
    </w:p>
    <w:p w14:paraId="2FCC018C" w14:textId="77777777" w:rsidR="00F47A54" w:rsidRPr="003120FB" w:rsidRDefault="00F47A54" w:rsidP="00F47A54">
      <w:pPr>
        <w:pStyle w:val="20"/>
        <w:numPr>
          <w:ilvl w:val="0"/>
          <w:numId w:val="45"/>
        </w:numPr>
      </w:pPr>
      <w:bookmarkStart w:id="252" w:name="_Toc174788863"/>
      <w:bookmarkStart w:id="253" w:name="_Toc174790115"/>
      <w:bookmarkStart w:id="254" w:name="_Toc176599600"/>
      <w:bookmarkStart w:id="255" w:name="_Toc176599864"/>
      <w:r w:rsidRPr="003120FB">
        <w:rPr>
          <w:rFonts w:hint="eastAsia"/>
        </w:rPr>
        <w:lastRenderedPageBreak/>
        <w:t>基金份额持有人名册的保管</w:t>
      </w:r>
      <w:bookmarkEnd w:id="249"/>
      <w:bookmarkEnd w:id="250"/>
      <w:bookmarkEnd w:id="251"/>
      <w:bookmarkEnd w:id="252"/>
      <w:bookmarkEnd w:id="253"/>
      <w:bookmarkEnd w:id="254"/>
      <w:bookmarkEnd w:id="255"/>
    </w:p>
    <w:p w14:paraId="4064318D"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基金管理人和基金托管人须分别妥善保管的基金份额持有人名册，包括</w:t>
      </w:r>
      <w:r>
        <w:rPr>
          <w:rFonts w:ascii="宋体" w:hAnsi="宋体" w:cs="Arial" w:hint="eastAsia"/>
        </w:rPr>
        <w:t>《基金合同》生效日、《基金合同》终止日、基金份额持有人大会权利登记日、每年6月30日、</w:t>
      </w:r>
      <w:smartTag w:uri="urn:schemas-microsoft-com:office:smarttags" w:element="chsdate">
        <w:smartTagPr>
          <w:attr w:name="IsROCDate" w:val="False"/>
          <w:attr w:name="IsLunarDate" w:val="False"/>
          <w:attr w:name="Day" w:val="31"/>
          <w:attr w:name="Month" w:val="12"/>
          <w:attr w:name="Year" w:val="2007"/>
        </w:smartTagPr>
        <w:r>
          <w:rPr>
            <w:rFonts w:ascii="宋体" w:hAnsi="宋体" w:cs="Arial" w:hint="eastAsia"/>
          </w:rPr>
          <w:t>12月31日</w:t>
        </w:r>
      </w:smartTag>
      <w:r>
        <w:rPr>
          <w:rFonts w:ascii="宋体" w:hAnsi="宋体" w:cs="Arial" w:hint="eastAsia"/>
        </w:rPr>
        <w:t>的基金份额持有人名册。</w:t>
      </w:r>
      <w:r>
        <w:rPr>
          <w:rFonts w:ascii="宋体" w:hAnsi="宋体" w:hint="eastAsia"/>
          <w:szCs w:val="21"/>
        </w:rPr>
        <w:t>基金份额持有人名册的内容必须包括基金份额持有人的名称和持有的基金份额。</w:t>
      </w:r>
    </w:p>
    <w:p w14:paraId="5ECDB1F5" w14:textId="77777777" w:rsidR="00F47A54" w:rsidRDefault="00F47A54" w:rsidP="00F47A54">
      <w:pPr>
        <w:snapToGrid w:val="0"/>
        <w:spacing w:line="360" w:lineRule="auto"/>
        <w:ind w:firstLineChars="200" w:firstLine="420"/>
        <w:rPr>
          <w:rFonts w:ascii="宋体" w:hAnsi="宋体" w:cs="Arial"/>
        </w:rPr>
      </w:pPr>
      <w:r>
        <w:rPr>
          <w:rFonts w:ascii="宋体" w:hAnsi="宋体" w:hint="eastAsia"/>
          <w:szCs w:val="21"/>
        </w:rPr>
        <w:t>基金份额持有人名册由基金的</w:t>
      </w:r>
      <w:r>
        <w:rPr>
          <w:rFonts w:ascii="宋体" w:hAnsi="宋体" w:cs="Arial" w:hint="eastAsia"/>
        </w:rPr>
        <w:t>基金注册登记机构根据基金管理人的指令编制和保管</w:t>
      </w:r>
      <w:r>
        <w:rPr>
          <w:rFonts w:ascii="宋体" w:hAnsi="宋体" w:hint="eastAsia"/>
        </w:rPr>
        <w:t>，基金管理人和基金托管人应按照目前相关规则分别保管基金份额持有人名册。保管方式可以采用电子或文档的形式。保管期限为法律法规规定的期限。</w:t>
      </w:r>
    </w:p>
    <w:p w14:paraId="1430E5A3" w14:textId="77777777" w:rsidR="00F47A54" w:rsidRDefault="00F47A54" w:rsidP="00F47A54">
      <w:pPr>
        <w:snapToGrid w:val="0"/>
        <w:spacing w:line="360" w:lineRule="auto"/>
        <w:ind w:firstLineChars="200" w:firstLine="420"/>
        <w:rPr>
          <w:rFonts w:ascii="宋体" w:hAnsi="宋体"/>
          <w:szCs w:val="21"/>
        </w:rPr>
      </w:pPr>
      <w:r>
        <w:rPr>
          <w:rFonts w:ascii="宋体" w:hAnsi="宋体" w:cs="Arial"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32E66BB1" w14:textId="77777777" w:rsidR="00F47A54" w:rsidRDefault="00F47A54" w:rsidP="00F47A54">
      <w:pPr>
        <w:snapToGrid w:val="0"/>
        <w:spacing w:line="360" w:lineRule="auto"/>
        <w:ind w:firstLineChars="200" w:firstLine="420"/>
        <w:rPr>
          <w:rFonts w:ascii="宋体" w:hAnsi="宋体" w:cs="Arial"/>
        </w:rPr>
      </w:pPr>
      <w:r>
        <w:rPr>
          <w:rFonts w:ascii="宋体" w:hAnsi="宋体" w:cs="Arial" w:hint="eastAsia"/>
        </w:rPr>
        <w:t>基金托管人以电子版形式妥善保管基金份额持有人名册，并定期刻成光盘备份，</w:t>
      </w:r>
      <w:r>
        <w:rPr>
          <w:rFonts w:ascii="宋体" w:hAnsi="宋体" w:hint="eastAsia"/>
        </w:rPr>
        <w:t>保管期限为法律法规规定的期限</w:t>
      </w:r>
      <w:r>
        <w:rPr>
          <w:rFonts w:ascii="宋体" w:hAnsi="宋体" w:cs="Arial" w:hint="eastAsia"/>
        </w:rPr>
        <w:t>。基金托管人不得将所保管的基金份额持有人名册用于基金托管业务以外的其他用途，并应遵守保密义务。</w:t>
      </w:r>
    </w:p>
    <w:p w14:paraId="4CBE3819"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szCs w:val="21"/>
        </w:rPr>
      </w:pPr>
      <w:r>
        <w:rPr>
          <w:rFonts w:ascii="宋体" w:eastAsia="宋体" w:hAnsi="宋体" w:cs="Arial"/>
          <w:color w:val="auto"/>
          <w:sz w:val="21"/>
        </w:rPr>
        <w:t>若基金管理人或基金托管人由于自身原因无法妥善保管基金份额持有人名册，应按有关法规规定各自</w:t>
      </w:r>
      <w:r>
        <w:rPr>
          <w:rFonts w:ascii="宋体" w:eastAsia="宋体" w:hAnsi="宋体"/>
          <w:color w:val="auto"/>
          <w:sz w:val="21"/>
          <w:szCs w:val="21"/>
        </w:rPr>
        <w:t>承担相应的责任。</w:t>
      </w:r>
    </w:p>
    <w:p w14:paraId="387AE5E8"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rPr>
      </w:pPr>
      <w:r>
        <w:rPr>
          <w:rFonts w:ascii="宋体" w:eastAsia="宋体" w:hAnsi="宋体" w:hint="default"/>
          <w:color w:val="auto"/>
          <w:sz w:val="21"/>
          <w:szCs w:val="21"/>
        </w:rPr>
        <w:br w:type="page"/>
      </w:r>
    </w:p>
    <w:p w14:paraId="5DD2D26A" w14:textId="77777777" w:rsidR="00F47A54" w:rsidRDefault="00F47A54" w:rsidP="00F47A54">
      <w:pPr>
        <w:pStyle w:val="20"/>
        <w:numPr>
          <w:ilvl w:val="0"/>
          <w:numId w:val="45"/>
        </w:numPr>
      </w:pPr>
      <w:bookmarkStart w:id="256" w:name="_Toc174789812"/>
      <w:bookmarkStart w:id="257" w:name="_Toc124749948"/>
      <w:bookmarkStart w:id="258" w:name="_Toc125361085"/>
      <w:bookmarkStart w:id="259" w:name="_Toc140002348"/>
      <w:bookmarkStart w:id="260" w:name="_Toc174788864"/>
      <w:bookmarkStart w:id="261" w:name="_Toc174790116"/>
      <w:bookmarkStart w:id="262" w:name="_Toc176599601"/>
      <w:bookmarkStart w:id="263" w:name="_Toc176599865"/>
      <w:bookmarkEnd w:id="256"/>
      <w:r w:rsidRPr="003120FB">
        <w:rPr>
          <w:rFonts w:hint="eastAsia"/>
        </w:rPr>
        <w:lastRenderedPageBreak/>
        <w:t>基金有关文件和档案的保存</w:t>
      </w:r>
      <w:bookmarkEnd w:id="257"/>
      <w:bookmarkEnd w:id="258"/>
      <w:bookmarkEnd w:id="259"/>
      <w:bookmarkEnd w:id="260"/>
      <w:bookmarkEnd w:id="261"/>
      <w:bookmarkEnd w:id="262"/>
      <w:bookmarkEnd w:id="263"/>
    </w:p>
    <w:p w14:paraId="7BDF243D"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rPr>
      </w:pPr>
      <w:r>
        <w:rPr>
          <w:rFonts w:ascii="宋体" w:eastAsia="宋体" w:hAnsi="宋体"/>
          <w:color w:val="auto"/>
          <w:sz w:val="21"/>
        </w:rPr>
        <w:t>(一)基金托管人和境外托管人应妥善保存基金管理人基金财产汇入、汇出、兑换、收汇、现金往来及证券交易的记录、凭证等相关资料，并按规定的期限保管，但境外托管人持有的与境外托管账户相关的资料的保管应按照境外托管人的业务惯例保管。</w:t>
      </w:r>
    </w:p>
    <w:p w14:paraId="3A7E4267" w14:textId="77777777" w:rsidR="00F47A54" w:rsidRPr="004B3135"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rPr>
      </w:pPr>
      <w:r>
        <w:rPr>
          <w:rFonts w:ascii="宋体" w:eastAsia="宋体" w:hAnsi="宋体"/>
          <w:color w:val="auto"/>
          <w:sz w:val="21"/>
        </w:rPr>
        <w:t>(二)</w:t>
      </w:r>
      <w:r w:rsidRPr="004B3135">
        <w:rPr>
          <w:rFonts w:ascii="宋体" w:eastAsia="宋体" w:hAnsi="宋体"/>
          <w:color w:val="auto"/>
          <w:sz w:val="21"/>
        </w:rPr>
        <w:t>若基金管理人、基金托管人发生变更，未变更的一方有义务协助变更后的接任人接收相应文件。</w:t>
      </w:r>
      <w:bookmarkStart w:id="264" w:name="_Toc466788862"/>
    </w:p>
    <w:p w14:paraId="18C64834" w14:textId="77777777" w:rsidR="00F47A54" w:rsidRPr="003120FB" w:rsidRDefault="00F47A54" w:rsidP="00F47A54">
      <w:pPr>
        <w:pStyle w:val="a8"/>
        <w:adjustRightInd w:val="0"/>
        <w:snapToGrid w:val="0"/>
        <w:spacing w:before="0" w:beforeAutospacing="0" w:after="0" w:afterAutospacing="0" w:line="360" w:lineRule="auto"/>
        <w:ind w:firstLineChars="200" w:firstLine="480"/>
        <w:jc w:val="both"/>
        <w:rPr>
          <w:rFonts w:hint="default"/>
        </w:rPr>
      </w:pPr>
      <w:r>
        <w:rPr>
          <w:rFonts w:hint="default"/>
        </w:rPr>
        <w:br w:type="page"/>
      </w:r>
    </w:p>
    <w:p w14:paraId="09CCC41E" w14:textId="77777777" w:rsidR="00F47A54" w:rsidRPr="003120FB" w:rsidRDefault="00F47A54" w:rsidP="00F47A54">
      <w:pPr>
        <w:pStyle w:val="20"/>
        <w:numPr>
          <w:ilvl w:val="0"/>
          <w:numId w:val="45"/>
        </w:numPr>
      </w:pPr>
      <w:bookmarkStart w:id="265" w:name="_Toc174788865"/>
      <w:bookmarkStart w:id="266" w:name="_Toc174790117"/>
      <w:bookmarkStart w:id="267" w:name="_Toc176599602"/>
      <w:bookmarkStart w:id="268" w:name="_Toc176599866"/>
      <w:r w:rsidRPr="003120FB">
        <w:rPr>
          <w:rFonts w:hint="eastAsia"/>
        </w:rPr>
        <w:lastRenderedPageBreak/>
        <w:t>基金管理人和基金托管人的更换</w:t>
      </w:r>
      <w:bookmarkStart w:id="269" w:name="_Toc174616331"/>
      <w:bookmarkEnd w:id="265"/>
      <w:bookmarkEnd w:id="266"/>
      <w:bookmarkEnd w:id="267"/>
      <w:bookmarkEnd w:id="268"/>
    </w:p>
    <w:p w14:paraId="0F8C627B" w14:textId="77777777" w:rsidR="00F47A54" w:rsidRPr="003120FB" w:rsidRDefault="00F47A54" w:rsidP="00F47A54">
      <w:pPr>
        <w:snapToGrid w:val="0"/>
        <w:spacing w:line="360" w:lineRule="auto"/>
        <w:ind w:firstLineChars="200" w:firstLine="422"/>
        <w:rPr>
          <w:rFonts w:ascii="宋体" w:hAnsi="宋体"/>
          <w:b/>
        </w:rPr>
      </w:pPr>
      <w:r w:rsidRPr="003120FB">
        <w:rPr>
          <w:rFonts w:ascii="宋体" w:hAnsi="宋体" w:hint="eastAsia"/>
          <w:b/>
        </w:rPr>
        <w:t>（一）</w:t>
      </w:r>
      <w:r w:rsidRPr="003120FB">
        <w:rPr>
          <w:rFonts w:ascii="宋体" w:hAnsi="宋体" w:hint="eastAsia"/>
          <w:b/>
        </w:rPr>
        <w:tab/>
        <w:t>基金管理人和基金托管人职责终止的情形</w:t>
      </w:r>
      <w:bookmarkEnd w:id="269"/>
    </w:p>
    <w:p w14:paraId="17AAC946" w14:textId="77777777" w:rsidR="00F47A54" w:rsidRDefault="00F47A54" w:rsidP="00F47A54">
      <w:pPr>
        <w:snapToGrid w:val="0"/>
        <w:spacing w:line="360" w:lineRule="auto"/>
        <w:ind w:firstLineChars="200" w:firstLine="422"/>
        <w:rPr>
          <w:rFonts w:ascii="宋体" w:hAnsi="宋体"/>
          <w:b/>
          <w:bCs/>
        </w:rPr>
      </w:pPr>
      <w:r>
        <w:rPr>
          <w:rFonts w:ascii="宋体" w:hAnsi="宋体" w:hint="eastAsia"/>
          <w:b/>
          <w:bCs/>
        </w:rPr>
        <w:t>1、</w:t>
      </w:r>
      <w:r>
        <w:rPr>
          <w:rFonts w:ascii="宋体" w:hAnsi="宋体" w:hint="eastAsia"/>
          <w:b/>
          <w:bCs/>
        </w:rPr>
        <w:tab/>
        <w:t>基金管理人职责终止的情形</w:t>
      </w:r>
    </w:p>
    <w:p w14:paraId="0DF84BF0" w14:textId="77777777" w:rsidR="00F47A54" w:rsidRDefault="00F47A54" w:rsidP="00F47A54">
      <w:pPr>
        <w:snapToGrid w:val="0"/>
        <w:spacing w:line="360" w:lineRule="auto"/>
        <w:ind w:firstLineChars="200" w:firstLine="420"/>
        <w:rPr>
          <w:rFonts w:ascii="宋体" w:hAnsi="宋体"/>
        </w:rPr>
      </w:pPr>
      <w:r>
        <w:rPr>
          <w:rFonts w:ascii="宋体" w:hAnsi="宋体" w:hint="eastAsia"/>
        </w:rPr>
        <w:t>有下列情形之一的，基金管理人职责终止：</w:t>
      </w:r>
    </w:p>
    <w:p w14:paraId="0985F0EF" w14:textId="77777777" w:rsidR="00F47A54" w:rsidRDefault="00F47A54" w:rsidP="00F47A54">
      <w:pPr>
        <w:numPr>
          <w:ilvl w:val="1"/>
          <w:numId w:val="39"/>
        </w:numPr>
        <w:snapToGrid w:val="0"/>
        <w:spacing w:line="360" w:lineRule="auto"/>
        <w:rPr>
          <w:rFonts w:ascii="宋体" w:hAnsi="宋体"/>
        </w:rPr>
      </w:pPr>
      <w:r>
        <w:rPr>
          <w:rFonts w:ascii="宋体" w:hAnsi="宋体" w:hint="eastAsia"/>
        </w:rPr>
        <w:t>被依法取消基金管理资格；</w:t>
      </w:r>
    </w:p>
    <w:p w14:paraId="7278C3E2" w14:textId="77777777" w:rsidR="00F47A54" w:rsidRDefault="00F47A54" w:rsidP="00F47A54">
      <w:pPr>
        <w:numPr>
          <w:ilvl w:val="1"/>
          <w:numId w:val="39"/>
        </w:numPr>
        <w:snapToGrid w:val="0"/>
        <w:spacing w:line="360" w:lineRule="auto"/>
        <w:rPr>
          <w:rFonts w:ascii="宋体" w:hAnsi="宋体"/>
        </w:rPr>
      </w:pPr>
      <w:r>
        <w:rPr>
          <w:rFonts w:ascii="宋体" w:hAnsi="宋体" w:hint="eastAsia"/>
        </w:rPr>
        <w:t>被基金份额持有人大会解任</w:t>
      </w:r>
      <w:r>
        <w:rPr>
          <w:rFonts w:ascii="宋体" w:hAnsi="宋体"/>
        </w:rPr>
        <w:t>；</w:t>
      </w:r>
    </w:p>
    <w:p w14:paraId="1DFFA4BF" w14:textId="77777777" w:rsidR="00F47A54" w:rsidRDefault="00F47A54" w:rsidP="00F47A54">
      <w:pPr>
        <w:numPr>
          <w:ilvl w:val="1"/>
          <w:numId w:val="39"/>
        </w:numPr>
        <w:snapToGrid w:val="0"/>
        <w:spacing w:line="360" w:lineRule="auto"/>
        <w:rPr>
          <w:rFonts w:ascii="宋体" w:hAnsi="宋体"/>
        </w:rPr>
      </w:pPr>
      <w:r>
        <w:rPr>
          <w:rFonts w:ascii="宋体" w:hAnsi="宋体" w:hint="eastAsia"/>
        </w:rPr>
        <w:t>依法解散、被依法撤销或被依法宣告破产</w:t>
      </w:r>
      <w:r>
        <w:rPr>
          <w:rFonts w:ascii="宋体" w:hAnsi="宋体"/>
        </w:rPr>
        <w:t>；</w:t>
      </w:r>
    </w:p>
    <w:p w14:paraId="735FFFBC" w14:textId="77777777" w:rsidR="00F47A54" w:rsidRDefault="00F47A54" w:rsidP="00F47A54">
      <w:pPr>
        <w:numPr>
          <w:ilvl w:val="1"/>
          <w:numId w:val="39"/>
        </w:numPr>
        <w:snapToGrid w:val="0"/>
        <w:spacing w:line="360" w:lineRule="auto"/>
        <w:rPr>
          <w:rFonts w:ascii="宋体" w:hAnsi="宋体"/>
        </w:rPr>
      </w:pPr>
      <w:r>
        <w:rPr>
          <w:rFonts w:ascii="宋体" w:hAnsi="宋体" w:hint="eastAsia"/>
        </w:rPr>
        <w:t>法律法规和《基金合同》规定的其他情形。</w:t>
      </w:r>
    </w:p>
    <w:p w14:paraId="44E2D305" w14:textId="77777777" w:rsidR="00F47A54" w:rsidRDefault="00F47A54" w:rsidP="00F47A54">
      <w:pPr>
        <w:snapToGrid w:val="0"/>
        <w:spacing w:line="360" w:lineRule="auto"/>
        <w:ind w:firstLineChars="200" w:firstLine="422"/>
        <w:rPr>
          <w:rFonts w:ascii="宋体" w:hAnsi="宋体"/>
          <w:b/>
          <w:bCs/>
        </w:rPr>
      </w:pPr>
      <w:r>
        <w:rPr>
          <w:rFonts w:ascii="宋体" w:hAnsi="宋体" w:hint="eastAsia"/>
          <w:b/>
          <w:bCs/>
        </w:rPr>
        <w:t>2、</w:t>
      </w:r>
      <w:r>
        <w:rPr>
          <w:rFonts w:ascii="宋体" w:hAnsi="宋体" w:hint="eastAsia"/>
          <w:b/>
          <w:bCs/>
        </w:rPr>
        <w:tab/>
        <w:t>基金托管人职责终止的情形</w:t>
      </w:r>
    </w:p>
    <w:p w14:paraId="4CC64D3E" w14:textId="77777777" w:rsidR="00F47A54" w:rsidRDefault="00F47A54" w:rsidP="00F47A54">
      <w:pPr>
        <w:snapToGrid w:val="0"/>
        <w:spacing w:line="360" w:lineRule="auto"/>
        <w:ind w:firstLineChars="200" w:firstLine="420"/>
        <w:rPr>
          <w:rFonts w:ascii="宋体" w:hAnsi="宋体"/>
        </w:rPr>
      </w:pPr>
      <w:r>
        <w:rPr>
          <w:rFonts w:ascii="宋体" w:hAnsi="宋体" w:hint="eastAsia"/>
        </w:rPr>
        <w:t>有下列情形之一的，基金托管人职责终止：</w:t>
      </w:r>
    </w:p>
    <w:p w14:paraId="6E8E28F9" w14:textId="77777777" w:rsidR="00F47A54" w:rsidRDefault="00F47A54" w:rsidP="00F47A54">
      <w:pPr>
        <w:numPr>
          <w:ilvl w:val="2"/>
          <w:numId w:val="37"/>
        </w:numPr>
        <w:tabs>
          <w:tab w:val="clear" w:pos="1560"/>
          <w:tab w:val="num" w:pos="1080"/>
        </w:tabs>
        <w:snapToGrid w:val="0"/>
        <w:spacing w:line="360" w:lineRule="auto"/>
        <w:ind w:hanging="1020"/>
        <w:rPr>
          <w:rFonts w:ascii="宋体" w:hAnsi="宋体"/>
        </w:rPr>
      </w:pPr>
      <w:r>
        <w:rPr>
          <w:rFonts w:ascii="宋体" w:hAnsi="宋体" w:hint="eastAsia"/>
        </w:rPr>
        <w:t>被依法取消基金托管资格；</w:t>
      </w:r>
    </w:p>
    <w:p w14:paraId="5EC6D669" w14:textId="77777777" w:rsidR="00F47A54" w:rsidRDefault="00F47A54" w:rsidP="00F47A54">
      <w:pPr>
        <w:numPr>
          <w:ilvl w:val="2"/>
          <w:numId w:val="37"/>
        </w:numPr>
        <w:tabs>
          <w:tab w:val="clear" w:pos="1560"/>
          <w:tab w:val="num" w:pos="1080"/>
        </w:tabs>
        <w:snapToGrid w:val="0"/>
        <w:spacing w:line="360" w:lineRule="auto"/>
        <w:ind w:hanging="1020"/>
        <w:rPr>
          <w:rFonts w:ascii="宋体" w:hAnsi="宋体"/>
        </w:rPr>
      </w:pPr>
      <w:r>
        <w:rPr>
          <w:rFonts w:ascii="宋体" w:hAnsi="宋体" w:hint="eastAsia"/>
        </w:rPr>
        <w:t>被基金份额持有人大会解任</w:t>
      </w:r>
      <w:r>
        <w:rPr>
          <w:rFonts w:ascii="宋体" w:hAnsi="宋体"/>
        </w:rPr>
        <w:t>；</w:t>
      </w:r>
    </w:p>
    <w:p w14:paraId="0D1C6106" w14:textId="77777777" w:rsidR="00F47A54" w:rsidRDefault="00F47A54" w:rsidP="00F47A54">
      <w:pPr>
        <w:numPr>
          <w:ilvl w:val="2"/>
          <w:numId w:val="37"/>
        </w:numPr>
        <w:tabs>
          <w:tab w:val="clear" w:pos="1560"/>
          <w:tab w:val="num" w:pos="1080"/>
        </w:tabs>
        <w:snapToGrid w:val="0"/>
        <w:spacing w:line="360" w:lineRule="auto"/>
        <w:ind w:hanging="1020"/>
        <w:rPr>
          <w:rFonts w:ascii="宋体" w:hAnsi="宋体"/>
        </w:rPr>
      </w:pPr>
      <w:r>
        <w:rPr>
          <w:rFonts w:ascii="宋体" w:hAnsi="宋体" w:hint="eastAsia"/>
        </w:rPr>
        <w:t>依法解散、被依法撤销或被依法宣告破产</w:t>
      </w:r>
      <w:r>
        <w:rPr>
          <w:rFonts w:ascii="宋体" w:hAnsi="宋体"/>
        </w:rPr>
        <w:t>；</w:t>
      </w:r>
    </w:p>
    <w:p w14:paraId="14C2E5B8" w14:textId="77777777" w:rsidR="00F47A54" w:rsidRDefault="00F47A54" w:rsidP="00F47A54">
      <w:pPr>
        <w:numPr>
          <w:ilvl w:val="2"/>
          <w:numId w:val="37"/>
        </w:numPr>
        <w:tabs>
          <w:tab w:val="clear" w:pos="1560"/>
          <w:tab w:val="num" w:pos="1080"/>
        </w:tabs>
        <w:snapToGrid w:val="0"/>
        <w:spacing w:line="360" w:lineRule="auto"/>
        <w:ind w:hanging="1020"/>
        <w:rPr>
          <w:rFonts w:ascii="宋体" w:hAnsi="宋体"/>
        </w:rPr>
      </w:pPr>
      <w:r>
        <w:rPr>
          <w:rFonts w:ascii="宋体" w:hAnsi="宋体" w:hint="eastAsia"/>
        </w:rPr>
        <w:t>法律法规和《基金合同》规定的其他情形。</w:t>
      </w:r>
    </w:p>
    <w:p w14:paraId="13F382B6" w14:textId="77777777" w:rsidR="00F47A54" w:rsidRPr="003120FB" w:rsidRDefault="00F47A54" w:rsidP="00F47A54">
      <w:pPr>
        <w:snapToGrid w:val="0"/>
        <w:spacing w:line="360" w:lineRule="auto"/>
        <w:ind w:firstLineChars="200" w:firstLine="422"/>
        <w:rPr>
          <w:rFonts w:ascii="宋体" w:hAnsi="宋体"/>
          <w:b/>
          <w:bCs/>
        </w:rPr>
      </w:pPr>
      <w:bookmarkStart w:id="270" w:name="_Toc174616332"/>
      <w:r w:rsidRPr="003120FB">
        <w:rPr>
          <w:rFonts w:ascii="宋体" w:hAnsi="宋体" w:hint="eastAsia"/>
          <w:b/>
          <w:bCs/>
        </w:rPr>
        <w:t>（二）</w:t>
      </w:r>
      <w:r w:rsidRPr="003120FB">
        <w:rPr>
          <w:rFonts w:ascii="宋体" w:hAnsi="宋体" w:hint="eastAsia"/>
          <w:b/>
          <w:bCs/>
        </w:rPr>
        <w:tab/>
        <w:t>基金管理人和基金托管人的更换程序</w:t>
      </w:r>
      <w:bookmarkEnd w:id="270"/>
    </w:p>
    <w:p w14:paraId="7FEA42CD" w14:textId="77777777" w:rsidR="00F47A54" w:rsidRDefault="00F47A54" w:rsidP="00F47A54">
      <w:pPr>
        <w:snapToGrid w:val="0"/>
        <w:spacing w:line="360" w:lineRule="auto"/>
        <w:ind w:firstLineChars="200" w:firstLine="422"/>
        <w:rPr>
          <w:rFonts w:ascii="宋体" w:hAnsi="宋体"/>
          <w:b/>
          <w:bCs/>
        </w:rPr>
      </w:pPr>
      <w:r>
        <w:rPr>
          <w:rFonts w:ascii="宋体" w:hAnsi="宋体" w:hint="eastAsia"/>
          <w:b/>
          <w:bCs/>
        </w:rPr>
        <w:t>1、基金管理人的更换程序</w:t>
      </w:r>
    </w:p>
    <w:p w14:paraId="5911A5A3" w14:textId="77777777" w:rsidR="00F47A54" w:rsidRDefault="00F47A54" w:rsidP="00F47A54">
      <w:pPr>
        <w:snapToGrid w:val="0"/>
        <w:spacing w:line="360" w:lineRule="auto"/>
        <w:ind w:firstLineChars="200" w:firstLine="420"/>
        <w:rPr>
          <w:rFonts w:ascii="宋体" w:hAnsi="宋体"/>
        </w:rPr>
      </w:pPr>
      <w:r>
        <w:rPr>
          <w:rFonts w:ascii="宋体" w:hAnsi="宋体" w:hint="eastAsia"/>
        </w:rPr>
        <w:t>（1）提名：新任基金管理人由基金托管人或由单独或合计持有10%以上（含10%）基金份额的基金份额持有人提名；</w:t>
      </w:r>
    </w:p>
    <w:p w14:paraId="150C3F1A" w14:textId="77777777" w:rsidR="00F47A54" w:rsidRDefault="00F47A54" w:rsidP="00F47A54">
      <w:pPr>
        <w:snapToGrid w:val="0"/>
        <w:spacing w:line="360" w:lineRule="auto"/>
        <w:ind w:firstLineChars="200" w:firstLine="420"/>
        <w:rPr>
          <w:rFonts w:ascii="宋体" w:hAnsi="宋体"/>
        </w:rPr>
      </w:pPr>
      <w:r>
        <w:rPr>
          <w:rFonts w:ascii="宋体" w:hAnsi="宋体" w:hint="eastAsia"/>
        </w:rPr>
        <w:t>（2）决议：基金份额持有人大会在基金管理人职责终止后6个月内对被提名的基金管理人形成决议，该决议需经参加大会的基金份额持有人所持表决权的2/3以上（含2/3）表决通过；</w:t>
      </w:r>
    </w:p>
    <w:p w14:paraId="11DD769B" w14:textId="77777777" w:rsidR="00F47A54" w:rsidRDefault="00F47A54" w:rsidP="00F47A54">
      <w:pPr>
        <w:snapToGrid w:val="0"/>
        <w:spacing w:line="360" w:lineRule="auto"/>
        <w:ind w:firstLineChars="200" w:firstLine="420"/>
        <w:rPr>
          <w:rFonts w:ascii="宋体" w:hAnsi="宋体"/>
        </w:rPr>
      </w:pPr>
      <w:r>
        <w:rPr>
          <w:rFonts w:ascii="宋体" w:hAnsi="宋体" w:hint="eastAsia"/>
        </w:rPr>
        <w:t>（3）临时基金管理人：新任基金管理人产生之前，由中国证监会指定临时基金管理人；</w:t>
      </w:r>
    </w:p>
    <w:p w14:paraId="781BC796" w14:textId="77777777" w:rsidR="00F47A54" w:rsidRDefault="00F47A54" w:rsidP="00F47A54">
      <w:pPr>
        <w:snapToGrid w:val="0"/>
        <w:spacing w:line="360" w:lineRule="auto"/>
        <w:ind w:firstLineChars="200" w:firstLine="420"/>
        <w:rPr>
          <w:rFonts w:ascii="宋体" w:hAnsi="宋体"/>
        </w:rPr>
      </w:pPr>
      <w:r>
        <w:rPr>
          <w:rFonts w:ascii="宋体" w:hAnsi="宋体" w:hint="eastAsia"/>
        </w:rPr>
        <w:t>（4）核准：基金份额持有人大会选任基金管理人的决议须经中国证监会核准生效后方可执行；</w:t>
      </w:r>
    </w:p>
    <w:p w14:paraId="5CC4B6EF" w14:textId="77777777" w:rsidR="00F47A54" w:rsidRDefault="00F47A54" w:rsidP="00F47A54">
      <w:pPr>
        <w:snapToGrid w:val="0"/>
        <w:spacing w:line="360" w:lineRule="auto"/>
        <w:ind w:firstLineChars="200" w:firstLine="420"/>
        <w:rPr>
          <w:rFonts w:ascii="宋体" w:hAnsi="宋体"/>
        </w:rPr>
      </w:pPr>
      <w:r>
        <w:rPr>
          <w:rFonts w:ascii="宋体" w:hAnsi="宋体" w:hint="eastAsia"/>
        </w:rPr>
        <w:t>（5）公告：基金管理人更换后，由基金托管人在中国证监会核准后2日内在至少一家指定媒体公告；</w:t>
      </w:r>
    </w:p>
    <w:p w14:paraId="01AAC8F8" w14:textId="77777777" w:rsidR="00F47A54" w:rsidRDefault="00F47A54" w:rsidP="00F47A54">
      <w:pPr>
        <w:snapToGrid w:val="0"/>
        <w:spacing w:line="360" w:lineRule="auto"/>
        <w:ind w:firstLineChars="200" w:firstLine="420"/>
        <w:rPr>
          <w:rFonts w:ascii="宋体" w:hAnsi="宋体"/>
        </w:rPr>
      </w:pPr>
      <w:r>
        <w:rPr>
          <w:rFonts w:ascii="宋体" w:hAnsi="宋体" w:hint="eastAsia"/>
        </w:rPr>
        <w:t>（6）交接：基金管理人职责终止的，基金管理人应妥善保管基金管理业务资料</w:t>
      </w:r>
      <w:r>
        <w:rPr>
          <w:rFonts w:ascii="宋体" w:hAnsi="宋体"/>
        </w:rPr>
        <w:t>，</w:t>
      </w:r>
      <w:r>
        <w:rPr>
          <w:rFonts w:ascii="宋体" w:hAnsi="宋体" w:hint="eastAsia"/>
        </w:rPr>
        <w:t>及时向临时基金管理人或新任基金管理人办理基金管理业务的移交手续，临时基金管理人或新任基金管理人应及时接收。新任基金管理人应与基金托管人核对基金资产总值；</w:t>
      </w:r>
    </w:p>
    <w:p w14:paraId="0FEC72EA" w14:textId="77777777" w:rsidR="00F47A54" w:rsidRDefault="00F47A54" w:rsidP="00F47A54">
      <w:pPr>
        <w:snapToGrid w:val="0"/>
        <w:spacing w:line="360" w:lineRule="auto"/>
        <w:ind w:firstLineChars="200" w:firstLine="420"/>
        <w:rPr>
          <w:rFonts w:ascii="宋体" w:hAnsi="宋体"/>
        </w:rPr>
      </w:pPr>
      <w:r>
        <w:rPr>
          <w:rFonts w:ascii="宋体" w:hAnsi="宋体" w:hint="eastAsia"/>
        </w:rPr>
        <w:t>（7）审计：基金管理人职责终止的，应当按照法律法规规定</w:t>
      </w:r>
      <w:r w:rsidR="003328E6">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7D0143E9" w14:textId="77777777" w:rsidR="00F47A54" w:rsidRDefault="00F47A54" w:rsidP="00F47A54">
      <w:pPr>
        <w:snapToGrid w:val="0"/>
        <w:spacing w:line="360" w:lineRule="auto"/>
        <w:ind w:firstLineChars="200" w:firstLine="420"/>
        <w:rPr>
          <w:rFonts w:ascii="宋体" w:hAnsi="宋体"/>
        </w:rPr>
      </w:pPr>
      <w:r>
        <w:rPr>
          <w:rFonts w:ascii="宋体" w:hAnsi="宋体" w:hint="eastAsia"/>
        </w:rPr>
        <w:t>（8）基金名称变更：基金管理人更换后，如果原任或新任基金管理人要求，应按其要</w:t>
      </w:r>
      <w:r>
        <w:rPr>
          <w:rFonts w:ascii="宋体" w:hAnsi="宋体" w:hint="eastAsia"/>
        </w:rPr>
        <w:lastRenderedPageBreak/>
        <w:t>求替换或删除基金名称中与原基金管理人有关的名称字样。</w:t>
      </w:r>
    </w:p>
    <w:p w14:paraId="34974EBC" w14:textId="77777777" w:rsidR="00F47A54" w:rsidRDefault="00F47A54" w:rsidP="00F47A54">
      <w:pPr>
        <w:snapToGrid w:val="0"/>
        <w:spacing w:line="360" w:lineRule="auto"/>
        <w:ind w:firstLineChars="200" w:firstLine="422"/>
        <w:rPr>
          <w:rFonts w:ascii="宋体" w:hAnsi="宋体"/>
          <w:b/>
          <w:bCs/>
        </w:rPr>
      </w:pPr>
      <w:r>
        <w:rPr>
          <w:rFonts w:ascii="宋体" w:hAnsi="宋体" w:hint="eastAsia"/>
          <w:b/>
          <w:bCs/>
        </w:rPr>
        <w:t>2、基金托管人的更换程序</w:t>
      </w:r>
    </w:p>
    <w:p w14:paraId="2BB45D56" w14:textId="77777777" w:rsidR="00F47A54" w:rsidRDefault="00F47A54" w:rsidP="00F47A54">
      <w:pPr>
        <w:snapToGrid w:val="0"/>
        <w:spacing w:line="360" w:lineRule="auto"/>
        <w:ind w:firstLineChars="200" w:firstLine="420"/>
        <w:rPr>
          <w:rFonts w:ascii="宋体" w:hAnsi="宋体"/>
        </w:rPr>
      </w:pPr>
      <w:r>
        <w:rPr>
          <w:rFonts w:ascii="宋体" w:hAnsi="宋体" w:hint="eastAsia"/>
        </w:rPr>
        <w:t>（1）提名：新任基金托管人由基金管理人或由单独或合计持有10%以上（含10%）基金份额的基金份额持有人提名；</w:t>
      </w:r>
    </w:p>
    <w:p w14:paraId="416D7A51" w14:textId="77777777" w:rsidR="00F47A54" w:rsidRDefault="00F47A54" w:rsidP="00F47A54">
      <w:pPr>
        <w:snapToGrid w:val="0"/>
        <w:spacing w:line="360" w:lineRule="auto"/>
        <w:ind w:firstLineChars="200" w:firstLine="420"/>
        <w:rPr>
          <w:rFonts w:ascii="宋体" w:hAnsi="宋体"/>
        </w:rPr>
      </w:pPr>
      <w:r>
        <w:rPr>
          <w:rFonts w:ascii="宋体" w:hAnsi="宋体" w:hint="eastAsia"/>
        </w:rPr>
        <w:t>（2）决议：基金份额持有人大会在基金托管人职责终止后6个月内对被提名的基金托管人形成决议，该决议需经参加大会的基金份额持有人所持表决权的2/3以上（含2/3）表决通过；</w:t>
      </w:r>
    </w:p>
    <w:p w14:paraId="1FFA599B" w14:textId="77777777" w:rsidR="00F47A54" w:rsidRDefault="00F47A54" w:rsidP="00F47A54">
      <w:pPr>
        <w:snapToGrid w:val="0"/>
        <w:spacing w:line="360" w:lineRule="auto"/>
        <w:ind w:firstLineChars="200" w:firstLine="420"/>
        <w:rPr>
          <w:rFonts w:ascii="宋体" w:hAnsi="宋体"/>
        </w:rPr>
      </w:pPr>
      <w:r>
        <w:rPr>
          <w:rFonts w:ascii="宋体" w:hAnsi="宋体" w:hint="eastAsia"/>
        </w:rPr>
        <w:t>（3）临时基金托管人：新任基金托管人产生之前，由中国证监会指定临时基金托管人；</w:t>
      </w:r>
    </w:p>
    <w:p w14:paraId="624C6387" w14:textId="77777777" w:rsidR="00F47A54" w:rsidRDefault="00F47A54" w:rsidP="00F47A54">
      <w:pPr>
        <w:snapToGrid w:val="0"/>
        <w:spacing w:line="360" w:lineRule="auto"/>
        <w:ind w:firstLineChars="200" w:firstLine="420"/>
        <w:rPr>
          <w:rFonts w:ascii="宋体" w:hAnsi="宋体"/>
        </w:rPr>
      </w:pPr>
      <w:r>
        <w:rPr>
          <w:rFonts w:ascii="宋体" w:hAnsi="宋体" w:hint="eastAsia"/>
        </w:rPr>
        <w:t>（4）核准：基金份额持有人大会更换基金托管人的决议须经中国证监会核准生效后方可执行；</w:t>
      </w:r>
    </w:p>
    <w:p w14:paraId="2793122E" w14:textId="77777777" w:rsidR="00F47A54" w:rsidRDefault="00F47A54" w:rsidP="00F47A54">
      <w:pPr>
        <w:snapToGrid w:val="0"/>
        <w:spacing w:line="360" w:lineRule="auto"/>
        <w:ind w:firstLineChars="200" w:firstLine="420"/>
        <w:rPr>
          <w:rFonts w:ascii="宋体" w:hAnsi="宋体"/>
        </w:rPr>
      </w:pPr>
      <w:r>
        <w:rPr>
          <w:rFonts w:ascii="宋体" w:hAnsi="宋体" w:hint="eastAsia"/>
        </w:rPr>
        <w:t>（5）公告：基金托管人更换后，由基金管理人在中国证监会核准后2日内在至少一家指定媒体公告；</w:t>
      </w:r>
    </w:p>
    <w:p w14:paraId="502D23E9" w14:textId="77777777" w:rsidR="00F47A54" w:rsidRDefault="00F47A54" w:rsidP="00F47A54">
      <w:pPr>
        <w:snapToGrid w:val="0"/>
        <w:spacing w:line="360" w:lineRule="auto"/>
        <w:ind w:firstLineChars="200" w:firstLine="420"/>
        <w:rPr>
          <w:rFonts w:ascii="宋体" w:hAnsi="宋体"/>
        </w:rPr>
      </w:pPr>
      <w:r>
        <w:rPr>
          <w:rFonts w:ascii="宋体" w:hAnsi="宋体" w:hint="eastAsia"/>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6EC77A22" w14:textId="77777777" w:rsidR="00F47A54" w:rsidRDefault="00F47A54" w:rsidP="00F47A54">
      <w:pPr>
        <w:snapToGrid w:val="0"/>
        <w:spacing w:line="360" w:lineRule="auto"/>
        <w:ind w:firstLineChars="200" w:firstLine="420"/>
        <w:rPr>
          <w:rFonts w:ascii="宋体" w:hAnsi="宋体"/>
        </w:rPr>
      </w:pPr>
      <w:r>
        <w:rPr>
          <w:rFonts w:ascii="宋体" w:hAnsi="宋体" w:hint="eastAsia"/>
        </w:rPr>
        <w:t>（7）审计：基金托管人职责终止的，应当按照法律法规规定</w:t>
      </w:r>
      <w:r w:rsidR="003328E6">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75A5580B" w14:textId="77777777" w:rsidR="00F47A54" w:rsidRDefault="00F47A54" w:rsidP="00F47A54">
      <w:pPr>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基金管理人与基金托管人的同时更换</w:t>
      </w:r>
    </w:p>
    <w:p w14:paraId="632F9B33" w14:textId="77777777" w:rsidR="00F47A54" w:rsidRDefault="00F47A54" w:rsidP="00F47A54">
      <w:pPr>
        <w:snapToGrid w:val="0"/>
        <w:spacing w:line="360" w:lineRule="auto"/>
        <w:ind w:firstLineChars="200" w:firstLine="420"/>
        <w:rPr>
          <w:rFonts w:ascii="宋体" w:hAnsi="宋体"/>
        </w:rPr>
      </w:pPr>
      <w:r>
        <w:rPr>
          <w:rFonts w:ascii="宋体" w:hAnsi="宋体"/>
        </w:rPr>
        <w:t>1</w:t>
      </w:r>
      <w:r>
        <w:rPr>
          <w:rFonts w:ascii="宋体" w:hAnsi="宋体" w:hint="eastAsia"/>
        </w:rPr>
        <w:t>、</w:t>
      </w:r>
      <w:r>
        <w:rPr>
          <w:rFonts w:ascii="宋体" w:hAnsi="宋体"/>
        </w:rPr>
        <w:t>提名：如果基金管理人和基金托管人同时更换，由单独或合计持有基金总份额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的基金份额持有人提名新的基金管理人和基金托管人</w:t>
      </w:r>
      <w:r>
        <w:rPr>
          <w:rFonts w:ascii="宋体" w:hAnsi="宋体" w:hint="eastAsia"/>
        </w:rPr>
        <w:t>；</w:t>
      </w:r>
    </w:p>
    <w:p w14:paraId="3461E173" w14:textId="77777777" w:rsidR="00F47A54" w:rsidRDefault="00F47A54" w:rsidP="00F47A54">
      <w:pPr>
        <w:snapToGrid w:val="0"/>
        <w:spacing w:line="360" w:lineRule="auto"/>
        <w:ind w:firstLineChars="200" w:firstLine="420"/>
        <w:rPr>
          <w:rFonts w:ascii="宋体" w:hAnsi="宋体"/>
        </w:rPr>
      </w:pPr>
      <w:r>
        <w:rPr>
          <w:rFonts w:ascii="宋体" w:hAnsi="宋体"/>
        </w:rPr>
        <w:t>2</w:t>
      </w:r>
      <w:r>
        <w:rPr>
          <w:rFonts w:ascii="宋体" w:hAnsi="宋体" w:hint="eastAsia"/>
        </w:rPr>
        <w:t>、</w:t>
      </w:r>
      <w:r>
        <w:rPr>
          <w:rFonts w:ascii="宋体" w:hAnsi="宋体"/>
        </w:rPr>
        <w:t>基金管理人和基金托管人的更换分别按上述程序进行</w:t>
      </w:r>
      <w:r>
        <w:rPr>
          <w:rFonts w:ascii="宋体" w:hAnsi="宋体" w:hint="eastAsia"/>
        </w:rPr>
        <w:t>；</w:t>
      </w:r>
    </w:p>
    <w:p w14:paraId="2A12BE2A" w14:textId="77777777" w:rsidR="00F47A54" w:rsidRDefault="00F47A54" w:rsidP="00F47A54">
      <w:pPr>
        <w:pStyle w:val="a9"/>
        <w:adjustRightInd w:val="0"/>
        <w:snapToGrid w:val="0"/>
        <w:spacing w:line="360" w:lineRule="auto"/>
        <w:ind w:firstLineChars="200"/>
        <w:rPr>
          <w:kern w:val="0"/>
          <w:szCs w:val="24"/>
        </w:rPr>
      </w:pPr>
      <w:r>
        <w:rPr>
          <w:rFonts w:ascii="宋体" w:hAnsi="宋体"/>
        </w:rPr>
        <w:t>3</w:t>
      </w:r>
      <w:r>
        <w:rPr>
          <w:rFonts w:ascii="宋体" w:hAnsi="宋体" w:hint="eastAsia"/>
        </w:rPr>
        <w:t>、</w:t>
      </w:r>
      <w:r>
        <w:rPr>
          <w:rFonts w:ascii="宋体" w:hAnsi="宋体"/>
        </w:rPr>
        <w:t>公告：新任基金管理人和</w:t>
      </w:r>
      <w:r>
        <w:rPr>
          <w:rFonts w:ascii="宋体" w:hAnsi="宋体" w:hint="eastAsia"/>
        </w:rPr>
        <w:t>新任</w:t>
      </w:r>
      <w:r>
        <w:rPr>
          <w:rFonts w:ascii="宋体" w:hAnsi="宋体"/>
        </w:rPr>
        <w:t>基金托管人应当</w:t>
      </w:r>
      <w:r>
        <w:rPr>
          <w:rFonts w:ascii="宋体" w:hAnsi="宋体" w:hint="eastAsia"/>
        </w:rPr>
        <w:t>依照有关规定予以公告并报中国证监会备案。</w:t>
      </w:r>
      <w:bookmarkStart w:id="271" w:name="_Toc466788865"/>
      <w:bookmarkEnd w:id="264"/>
    </w:p>
    <w:p w14:paraId="2C160C61" w14:textId="77777777" w:rsidR="00F47A54" w:rsidRPr="003120FB" w:rsidRDefault="00F47A54" w:rsidP="00F47A54">
      <w:pPr>
        <w:snapToGrid w:val="0"/>
        <w:spacing w:line="360" w:lineRule="auto"/>
        <w:ind w:firstLineChars="200" w:firstLine="422"/>
        <w:rPr>
          <w:rFonts w:ascii="宋体" w:hAnsi="宋体"/>
          <w:b/>
          <w:bCs/>
        </w:rPr>
      </w:pPr>
      <w:bookmarkStart w:id="272" w:name="_Toc174616335"/>
      <w:r w:rsidRPr="003120FB">
        <w:rPr>
          <w:rFonts w:ascii="宋体" w:hAnsi="宋体" w:hint="eastAsia"/>
          <w:b/>
          <w:bCs/>
        </w:rPr>
        <w:t>（四）境外托管人的更换</w:t>
      </w:r>
      <w:bookmarkEnd w:id="272"/>
    </w:p>
    <w:p w14:paraId="64E5A4C7" w14:textId="77777777" w:rsidR="00F47A54" w:rsidRPr="004710D9" w:rsidRDefault="00F47A54" w:rsidP="00F47A54">
      <w:pPr>
        <w:snapToGrid w:val="0"/>
        <w:spacing w:line="360" w:lineRule="auto"/>
        <w:ind w:firstLineChars="200" w:firstLine="420"/>
        <w:rPr>
          <w:rFonts w:ascii="宋体" w:hAnsi="宋体"/>
        </w:rPr>
      </w:pPr>
      <w:r w:rsidRPr="004710D9">
        <w:rPr>
          <w:rFonts w:ascii="宋体" w:hAnsi="宋体" w:hint="eastAsia"/>
        </w:rPr>
        <w:t>1. 如果基金托管人更换境外托管人，应在合理的期限内及时书面通知基金管理人。</w:t>
      </w:r>
    </w:p>
    <w:p w14:paraId="58EF4154" w14:textId="77777777" w:rsidR="00F47A54" w:rsidRPr="004710D9" w:rsidRDefault="00F47A54" w:rsidP="00F47A54">
      <w:pPr>
        <w:snapToGrid w:val="0"/>
        <w:spacing w:line="360" w:lineRule="auto"/>
        <w:ind w:firstLineChars="200" w:firstLine="420"/>
        <w:rPr>
          <w:rFonts w:ascii="宋体" w:hAnsi="宋体"/>
        </w:rPr>
      </w:pPr>
      <w:r w:rsidRPr="004710D9">
        <w:rPr>
          <w:rFonts w:ascii="宋体" w:hAnsi="宋体" w:hint="eastAsia"/>
        </w:rPr>
        <w:t>2. 基金托管人和境外托管人根据更换境外托管人通知办理相应的业务交接手续，在办理相应的业务交接手续时，基金托管人和境外托管人应继续遵循诚实信用、勤勉尽责的原则，妥善保管基金财产。</w:t>
      </w:r>
    </w:p>
    <w:p w14:paraId="6DAA27F4" w14:textId="77777777" w:rsidR="00F47A54" w:rsidRPr="004710D9" w:rsidRDefault="00F47A54" w:rsidP="00F47A54">
      <w:pPr>
        <w:snapToGrid w:val="0"/>
        <w:spacing w:line="360" w:lineRule="auto"/>
        <w:ind w:firstLineChars="200" w:firstLine="420"/>
        <w:rPr>
          <w:rFonts w:ascii="宋体" w:hAnsi="宋体"/>
        </w:rPr>
      </w:pPr>
      <w:r w:rsidRPr="004710D9">
        <w:rPr>
          <w:rFonts w:ascii="宋体" w:hAnsi="宋体" w:hint="eastAsia"/>
        </w:rPr>
        <w:t>3. 基金托管人应要求接任的境外托管人配合和原境外托管人办理业务交接手续。</w:t>
      </w:r>
    </w:p>
    <w:p w14:paraId="33CB9FD2" w14:textId="77777777" w:rsidR="00F47A54" w:rsidRPr="004710D9" w:rsidRDefault="00F47A54" w:rsidP="00F47A54">
      <w:pPr>
        <w:snapToGrid w:val="0"/>
        <w:spacing w:line="360" w:lineRule="auto"/>
        <w:ind w:firstLineChars="200" w:firstLine="420"/>
        <w:rPr>
          <w:rFonts w:ascii="宋体" w:hAnsi="宋体"/>
        </w:rPr>
      </w:pPr>
      <w:r w:rsidRPr="004710D9">
        <w:rPr>
          <w:rFonts w:ascii="宋体" w:hAnsi="宋体" w:hint="eastAsia"/>
        </w:rPr>
        <w:t>4. 在新的境外托管人履行职责前，原境外托管人应继续履行本协议项下的托管职责，但基金托管人应支付相应的合理托管费用。</w:t>
      </w:r>
    </w:p>
    <w:p w14:paraId="25BF0F96" w14:textId="77777777" w:rsidR="00F47A54" w:rsidRDefault="00F47A54" w:rsidP="00F47A54">
      <w:pPr>
        <w:pStyle w:val="a9"/>
        <w:snapToGrid w:val="0"/>
        <w:spacing w:line="360" w:lineRule="auto"/>
      </w:pPr>
      <w:r w:rsidRPr="004710D9">
        <w:rPr>
          <w:rFonts w:ascii="宋体" w:hAnsi="宋体" w:hint="eastAsia"/>
          <w:szCs w:val="24"/>
        </w:rPr>
        <w:t>5、</w:t>
      </w:r>
      <w:r w:rsidRPr="004710D9">
        <w:rPr>
          <w:rFonts w:ascii="宋体" w:hAnsi="宋体"/>
          <w:szCs w:val="24"/>
        </w:rPr>
        <w:t>变更境外托管人后</w:t>
      </w:r>
      <w:r>
        <w:rPr>
          <w:rFonts w:ascii="宋体" w:hAnsi="宋体" w:hint="eastAsia"/>
        </w:rPr>
        <w:t>5个工作日</w:t>
      </w:r>
      <w:r w:rsidRPr="004710D9">
        <w:rPr>
          <w:rFonts w:ascii="宋体" w:hAnsi="宋体"/>
          <w:szCs w:val="24"/>
        </w:rPr>
        <w:t>内应向</w:t>
      </w:r>
      <w:r w:rsidRPr="004710D9">
        <w:rPr>
          <w:rFonts w:ascii="宋体" w:hAnsi="宋体" w:hint="eastAsia"/>
          <w:szCs w:val="24"/>
        </w:rPr>
        <w:t>中国</w:t>
      </w:r>
      <w:r w:rsidRPr="004710D9">
        <w:rPr>
          <w:rFonts w:ascii="宋体" w:hAnsi="宋体"/>
          <w:szCs w:val="24"/>
        </w:rPr>
        <w:t>证监会备案</w:t>
      </w:r>
      <w:r w:rsidRPr="004710D9">
        <w:rPr>
          <w:rFonts w:ascii="宋体" w:hAnsi="宋体" w:hint="eastAsia"/>
          <w:szCs w:val="24"/>
        </w:rPr>
        <w:t>并</w:t>
      </w:r>
      <w:r w:rsidRPr="004710D9">
        <w:rPr>
          <w:rFonts w:ascii="宋体" w:hAnsi="宋体"/>
          <w:szCs w:val="24"/>
        </w:rPr>
        <w:t>公告</w:t>
      </w:r>
      <w:r w:rsidRPr="004710D9">
        <w:rPr>
          <w:rFonts w:ascii="宋体" w:hAnsi="宋体" w:hint="eastAsia"/>
          <w:szCs w:val="24"/>
        </w:rPr>
        <w:t>。</w:t>
      </w:r>
      <w:r>
        <w:rPr>
          <w:rStyle w:val="HTML0"/>
          <w:rFonts w:ascii="宋体" w:hAnsi="宋体"/>
          <w:sz w:val="21"/>
        </w:rPr>
        <w:br w:type="page"/>
      </w:r>
      <w:bookmarkEnd w:id="271"/>
    </w:p>
    <w:p w14:paraId="2DC5AE3B" w14:textId="77777777" w:rsidR="00F47A54" w:rsidRDefault="00F47A54" w:rsidP="00F47A54">
      <w:pPr>
        <w:pStyle w:val="20"/>
        <w:numPr>
          <w:ilvl w:val="0"/>
          <w:numId w:val="45"/>
        </w:numPr>
      </w:pPr>
      <w:bookmarkStart w:id="273" w:name="_Toc123626181"/>
      <w:bookmarkStart w:id="274" w:name="_Toc124749237"/>
      <w:bookmarkStart w:id="275" w:name="_Toc124749950"/>
      <w:bookmarkStart w:id="276" w:name="_Toc125361087"/>
      <w:bookmarkStart w:id="277" w:name="_Toc140002350"/>
      <w:bookmarkStart w:id="278" w:name="_Toc174788866"/>
      <w:bookmarkStart w:id="279" w:name="_Toc174790118"/>
      <w:bookmarkStart w:id="280" w:name="_Toc176599603"/>
      <w:bookmarkStart w:id="281" w:name="_Toc176599867"/>
      <w:r>
        <w:rPr>
          <w:rFonts w:hint="eastAsia"/>
        </w:rPr>
        <w:lastRenderedPageBreak/>
        <w:t>禁止行为</w:t>
      </w:r>
      <w:bookmarkEnd w:id="273"/>
      <w:bookmarkEnd w:id="274"/>
      <w:bookmarkEnd w:id="275"/>
      <w:bookmarkEnd w:id="276"/>
      <w:bookmarkEnd w:id="277"/>
      <w:bookmarkEnd w:id="278"/>
      <w:bookmarkEnd w:id="279"/>
      <w:bookmarkEnd w:id="280"/>
      <w:bookmarkEnd w:id="281"/>
    </w:p>
    <w:p w14:paraId="13B9E4E1" w14:textId="77777777" w:rsidR="00F47A54" w:rsidRDefault="00F47A54" w:rsidP="00F47A54">
      <w:pPr>
        <w:snapToGrid w:val="0"/>
        <w:spacing w:line="360" w:lineRule="auto"/>
        <w:ind w:firstLineChars="200" w:firstLine="420"/>
        <w:rPr>
          <w:rFonts w:ascii="宋体" w:hAnsi="宋体"/>
          <w:szCs w:val="21"/>
        </w:rPr>
      </w:pPr>
      <w:bookmarkStart w:id="282" w:name="_Toc170466925"/>
      <w:r>
        <w:rPr>
          <w:rFonts w:ascii="宋体" w:hAnsi="宋体" w:hint="eastAsia"/>
          <w:szCs w:val="21"/>
        </w:rPr>
        <w:t>托管协议当事人禁止从事的行为，包括但不限于：</w:t>
      </w:r>
    </w:p>
    <w:p w14:paraId="5D8E3E3D"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（一）基金管理人、基金托管人将其固有财产或者他人财产混同于基金财产从事证券投资。</w:t>
      </w:r>
    </w:p>
    <w:p w14:paraId="34F69456"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（二）基金管理人、基金托管人不公平地对待其管理或托管的不同基金财产。</w:t>
      </w:r>
    </w:p>
    <w:p w14:paraId="72A5697A"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（三）基金管理人、基金托管人利用基金财产为基金份额持有人以外的第三人牟取利益。</w:t>
      </w:r>
    </w:p>
    <w:p w14:paraId="4ECC5D0A"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（四）基金管理人、基金托管人向基金份额持有人违规承诺收益或者承担损失。</w:t>
      </w:r>
    </w:p>
    <w:p w14:paraId="111A1BE2"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31AC5903"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3BDF8C80"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（七）基金托管人对基金管理人的正常指令拖延或拒绝执行。</w:t>
      </w:r>
    </w:p>
    <w:p w14:paraId="0A1DDE20"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（八）基金管理人、基金托管人在行政上、财务上不独立, 其高级基金管理人员相互兼职。</w:t>
      </w:r>
    </w:p>
    <w:p w14:paraId="36DF1A03"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（九）基金托管人私自动用或处分基金资产，根据基金管理人的合法指令、基金合同或托管协议的规定进行处分的除外。</w:t>
      </w:r>
    </w:p>
    <w:p w14:paraId="27F5BB42"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十）基金财产用于下列投资或者活动：（1）承销证券；（2）向他人贷款或者提供担保；（3）从事承担无限责任的投资；（4）从事内幕交易、操纵证券交易价格及其他不正当的证券交易活动；（5）依照法律法规有关规定，由中国证监会规定禁止的其他活动。</w:t>
      </w:r>
    </w:p>
    <w:p w14:paraId="191DA879" w14:textId="77777777" w:rsidR="00F47A54" w:rsidRDefault="00F47A54" w:rsidP="00F47A54">
      <w:pPr>
        <w:snapToGrid w:val="0"/>
        <w:spacing w:line="360" w:lineRule="auto"/>
        <w:ind w:firstLineChars="200" w:firstLine="420"/>
        <w:rPr>
          <w:rFonts w:ascii="宋体" w:hAnsi="宋体"/>
          <w:szCs w:val="21"/>
        </w:rPr>
      </w:pPr>
      <w:r w:rsidRPr="00AE324E">
        <w:rPr>
          <w:rFonts w:ascii="宋体" w:hAnsi="宋体" w:hint="eastAsia"/>
          <w:szCs w:val="21"/>
        </w:rPr>
        <w:t>（十一）法律法规和基金合同禁止的其他行为，以及依照法律法规有关规定，由中国证监会规定禁止基金管理人、基金托管人从事的其他行为。</w:t>
      </w:r>
    </w:p>
    <w:p w14:paraId="21D4E71A" w14:textId="77777777" w:rsidR="00F47A54" w:rsidRPr="00AE324E" w:rsidRDefault="00F47A54" w:rsidP="00F47A54">
      <w:pPr>
        <w:snapToGrid w:val="0"/>
        <w:spacing w:line="360" w:lineRule="auto"/>
        <w:ind w:firstLineChars="200" w:firstLine="420"/>
        <w:rPr>
          <w:rFonts w:ascii="宋体" w:hAnsi="宋体"/>
          <w:szCs w:val="21"/>
        </w:rPr>
      </w:pPr>
      <w:r>
        <w:rPr>
          <w:rFonts w:ascii="宋体" w:hAnsi="宋体"/>
          <w:szCs w:val="21"/>
        </w:rPr>
        <w:br w:type="page"/>
      </w:r>
      <w:bookmarkStart w:id="283" w:name="_Toc123626182"/>
      <w:bookmarkStart w:id="284" w:name="_Toc124749238"/>
      <w:bookmarkStart w:id="285" w:name="_Toc124749951"/>
      <w:bookmarkStart w:id="286" w:name="_Toc125361088"/>
      <w:bookmarkStart w:id="287" w:name="_Toc140002351"/>
      <w:bookmarkEnd w:id="282"/>
    </w:p>
    <w:p w14:paraId="7FB28C4F" w14:textId="77777777" w:rsidR="00F47A54" w:rsidRPr="00AE324E" w:rsidRDefault="00F47A54" w:rsidP="00F47A54">
      <w:pPr>
        <w:pStyle w:val="20"/>
        <w:numPr>
          <w:ilvl w:val="0"/>
          <w:numId w:val="45"/>
        </w:numPr>
        <w:rPr>
          <w:rFonts w:ascii="宋体"/>
        </w:rPr>
      </w:pPr>
      <w:bookmarkStart w:id="288" w:name="_Toc174788867"/>
      <w:bookmarkStart w:id="289" w:name="_Toc174790119"/>
      <w:bookmarkStart w:id="290" w:name="_Toc176599604"/>
      <w:bookmarkStart w:id="291" w:name="_Toc176599868"/>
      <w:r w:rsidRPr="00AE324E">
        <w:rPr>
          <w:rFonts w:ascii="黑体" w:hAnsi="宋体" w:cs="Arial" w:hint="eastAsia"/>
        </w:rPr>
        <w:lastRenderedPageBreak/>
        <w:t>基金托管协议的变更、终止与基金财产的清算</w:t>
      </w:r>
      <w:bookmarkEnd w:id="283"/>
      <w:bookmarkEnd w:id="284"/>
      <w:bookmarkEnd w:id="285"/>
      <w:bookmarkEnd w:id="286"/>
      <w:bookmarkEnd w:id="287"/>
      <w:bookmarkEnd w:id="288"/>
      <w:bookmarkEnd w:id="289"/>
      <w:bookmarkEnd w:id="290"/>
      <w:bookmarkEnd w:id="291"/>
    </w:p>
    <w:p w14:paraId="7FBDB7EB" w14:textId="77777777" w:rsidR="00F47A54" w:rsidRPr="00F96138" w:rsidRDefault="00F47A54" w:rsidP="00F47A54">
      <w:pPr>
        <w:pStyle w:val="af0"/>
        <w:ind w:firstLineChars="200" w:firstLine="422"/>
        <w:rPr>
          <w:b/>
          <w:sz w:val="21"/>
          <w:szCs w:val="21"/>
        </w:rPr>
      </w:pPr>
      <w:r w:rsidRPr="00F96138">
        <w:rPr>
          <w:rFonts w:hint="eastAsia"/>
          <w:b/>
          <w:sz w:val="21"/>
          <w:szCs w:val="21"/>
        </w:rPr>
        <w:t>（一）托管协议的变更</w:t>
      </w:r>
    </w:p>
    <w:p w14:paraId="2C45B114" w14:textId="77777777" w:rsidR="00F47A54" w:rsidRDefault="00F47A54" w:rsidP="00F47A54">
      <w:pPr>
        <w:pStyle w:val="a9"/>
        <w:snapToGrid w:val="0"/>
        <w:spacing w:line="360" w:lineRule="auto"/>
        <w:rPr>
          <w:rStyle w:val="HTML0"/>
        </w:rPr>
      </w:pPr>
      <w:r>
        <w:rPr>
          <w:rFonts w:hint="eastAsia"/>
        </w:rPr>
        <w:t>本协议双方当事人经协商一致，可以书面形式对本协议进行修改。修改后的新协议，其内容不得与《基金合同》的规定有任何冲突。《托管协议》的修改和变更应报送中国证监会核准。</w:t>
      </w:r>
    </w:p>
    <w:p w14:paraId="08A705BD" w14:textId="77777777" w:rsidR="00F47A54" w:rsidRPr="00F96138" w:rsidRDefault="00F47A54" w:rsidP="00F47A54">
      <w:pPr>
        <w:pStyle w:val="af0"/>
        <w:ind w:firstLineChars="200" w:firstLine="422"/>
        <w:rPr>
          <w:b/>
          <w:sz w:val="21"/>
          <w:szCs w:val="21"/>
        </w:rPr>
      </w:pPr>
      <w:bookmarkStart w:id="292" w:name="_Toc174616344"/>
      <w:r w:rsidRPr="00F96138">
        <w:rPr>
          <w:rFonts w:hint="eastAsia"/>
          <w:b/>
          <w:sz w:val="21"/>
          <w:szCs w:val="21"/>
        </w:rPr>
        <w:t>（二）托管协议的终止</w:t>
      </w:r>
      <w:bookmarkEnd w:id="292"/>
    </w:p>
    <w:p w14:paraId="0A93E35A" w14:textId="77777777" w:rsidR="00F47A54" w:rsidRPr="002D6A31" w:rsidRDefault="00F47A54" w:rsidP="00F47A54">
      <w:pPr>
        <w:adjustRightInd w:val="0"/>
        <w:snapToGrid w:val="0"/>
        <w:spacing w:line="360" w:lineRule="auto"/>
        <w:ind w:left="400"/>
        <w:rPr>
          <w:szCs w:val="20"/>
        </w:rPr>
      </w:pPr>
      <w:r w:rsidRPr="002D6A31">
        <w:rPr>
          <w:rFonts w:hint="eastAsia"/>
          <w:szCs w:val="20"/>
        </w:rPr>
        <w:t>发生以下任一情况，本协议终止：</w:t>
      </w:r>
    </w:p>
    <w:p w14:paraId="6685B64E" w14:textId="77777777" w:rsidR="00F47A54" w:rsidRPr="002D6A31" w:rsidRDefault="00F47A54" w:rsidP="00F47A54">
      <w:pPr>
        <w:adjustRightInd w:val="0"/>
        <w:snapToGrid w:val="0"/>
        <w:spacing w:line="360" w:lineRule="auto"/>
        <w:ind w:left="400"/>
        <w:rPr>
          <w:szCs w:val="20"/>
        </w:rPr>
      </w:pPr>
      <w:r>
        <w:rPr>
          <w:rFonts w:hint="eastAsia"/>
          <w:szCs w:val="20"/>
        </w:rPr>
        <w:t>1</w:t>
      </w:r>
      <w:r>
        <w:rPr>
          <w:rFonts w:hint="eastAsia"/>
          <w:szCs w:val="20"/>
        </w:rPr>
        <w:t>、</w:t>
      </w:r>
      <w:r w:rsidRPr="002D6A31">
        <w:rPr>
          <w:rFonts w:hint="eastAsia"/>
          <w:szCs w:val="20"/>
        </w:rPr>
        <w:t>《基金合同》终止；</w:t>
      </w:r>
    </w:p>
    <w:p w14:paraId="32AFBA89" w14:textId="77777777" w:rsidR="00F47A54" w:rsidRPr="002D6A31" w:rsidRDefault="00F47A54" w:rsidP="00F47A54">
      <w:pPr>
        <w:adjustRightInd w:val="0"/>
        <w:snapToGrid w:val="0"/>
        <w:spacing w:line="360" w:lineRule="auto"/>
        <w:ind w:left="400"/>
        <w:rPr>
          <w:szCs w:val="20"/>
        </w:rPr>
      </w:pPr>
      <w:r>
        <w:rPr>
          <w:rFonts w:hint="eastAsia"/>
          <w:szCs w:val="20"/>
        </w:rPr>
        <w:t>2</w:t>
      </w:r>
      <w:r>
        <w:rPr>
          <w:rFonts w:hint="eastAsia"/>
          <w:szCs w:val="20"/>
        </w:rPr>
        <w:t>、</w:t>
      </w:r>
      <w:r w:rsidRPr="002D6A31">
        <w:rPr>
          <w:rFonts w:hint="eastAsia"/>
          <w:szCs w:val="20"/>
        </w:rPr>
        <w:t>基金管理人或基金托管人职责终止；</w:t>
      </w:r>
    </w:p>
    <w:p w14:paraId="1A93D856" w14:textId="77777777" w:rsidR="00F47A54" w:rsidRPr="002D6A31" w:rsidRDefault="00F47A54" w:rsidP="00F47A54">
      <w:pPr>
        <w:snapToGrid w:val="0"/>
        <w:spacing w:line="360" w:lineRule="auto"/>
        <w:ind w:firstLineChars="200" w:firstLine="420"/>
        <w:rPr>
          <w:rFonts w:ascii="宋体" w:hAnsi="宋体"/>
          <w:szCs w:val="21"/>
        </w:rPr>
      </w:pPr>
      <w:r>
        <w:rPr>
          <w:rFonts w:ascii="宋体" w:hAnsi="宋体" w:hint="eastAsia"/>
          <w:szCs w:val="21"/>
        </w:rPr>
        <w:t>3、</w:t>
      </w:r>
      <w:r w:rsidRPr="002D6A31">
        <w:rPr>
          <w:rFonts w:ascii="宋体" w:hAnsi="宋体" w:hint="eastAsia"/>
          <w:szCs w:val="21"/>
        </w:rPr>
        <w:t>中国证监会</w:t>
      </w:r>
      <w:r w:rsidRPr="002D6A31">
        <w:rPr>
          <w:rFonts w:ascii="宋体" w:hAnsi="宋体"/>
          <w:szCs w:val="21"/>
        </w:rPr>
        <w:t>规定的</w:t>
      </w:r>
      <w:r w:rsidRPr="002D6A31">
        <w:rPr>
          <w:rFonts w:ascii="宋体" w:hAnsi="宋体" w:hint="eastAsia"/>
          <w:szCs w:val="21"/>
        </w:rPr>
        <w:t>其他</w:t>
      </w:r>
      <w:r w:rsidRPr="002D6A31">
        <w:rPr>
          <w:rFonts w:ascii="宋体" w:hAnsi="宋体"/>
          <w:szCs w:val="21"/>
        </w:rPr>
        <w:t>终止</w:t>
      </w:r>
      <w:r w:rsidRPr="002D6A31">
        <w:rPr>
          <w:rFonts w:ascii="宋体" w:hAnsi="宋体" w:hint="eastAsia"/>
          <w:szCs w:val="21"/>
        </w:rPr>
        <w:t>情形。</w:t>
      </w:r>
    </w:p>
    <w:p w14:paraId="34DF286B" w14:textId="77777777" w:rsidR="00F47A54" w:rsidRPr="002D6A31" w:rsidRDefault="00F47A54" w:rsidP="00F47A54">
      <w:pPr>
        <w:snapToGrid w:val="0"/>
        <w:spacing w:line="360" w:lineRule="auto"/>
        <w:ind w:firstLineChars="200" w:firstLine="422"/>
        <w:rPr>
          <w:rFonts w:ascii="宋体" w:hAnsi="宋体"/>
          <w:b/>
          <w:szCs w:val="21"/>
        </w:rPr>
      </w:pPr>
      <w:bookmarkStart w:id="293" w:name="_Toc174616345"/>
      <w:r w:rsidRPr="002D6A31">
        <w:rPr>
          <w:rFonts w:ascii="宋体" w:hAnsi="宋体" w:hint="eastAsia"/>
          <w:b/>
          <w:szCs w:val="21"/>
        </w:rPr>
        <w:t>（三）基金财产的清算</w:t>
      </w:r>
      <w:bookmarkEnd w:id="293"/>
    </w:p>
    <w:p w14:paraId="701E6E27"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w:t>
      </w:r>
      <w:r>
        <w:rPr>
          <w:rFonts w:ascii="宋体" w:hAnsi="宋体"/>
          <w:szCs w:val="21"/>
        </w:rPr>
        <w:t>30</w:t>
      </w:r>
      <w:r>
        <w:rPr>
          <w:rFonts w:ascii="宋体" w:hAnsi="宋体" w:hint="eastAsia"/>
          <w:szCs w:val="21"/>
        </w:rPr>
        <w:t>个工作日内成立清算小组，基金管理人组织基金财产清算小组并在中国证监会的监督下进行基金清算。</w:t>
      </w:r>
    </w:p>
    <w:p w14:paraId="5A74D3D7"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2、</w:t>
      </w:r>
      <w:r w:rsidRPr="002D6A31">
        <w:rPr>
          <w:rFonts w:ascii="宋体" w:hAnsi="宋体" w:hint="eastAsia"/>
          <w:szCs w:val="21"/>
        </w:rPr>
        <w:t>在基金财产清算小组接管基金财产之前，基金管理人和基金托管人应按照《基金合同》和本托管协议的规定继续履行保护基金财产安全的职责。</w:t>
      </w:r>
    </w:p>
    <w:p w14:paraId="4EEFBABE"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3、基金财产清算小组组成：基金财产清算小组成员由基金管理人、基金托管人、</w:t>
      </w:r>
      <w:r w:rsidR="003328E6">
        <w:rPr>
          <w:rFonts w:ascii="宋体" w:hAnsi="宋体" w:hint="eastAsia"/>
          <w:szCs w:val="21"/>
        </w:rPr>
        <w:t>具有从事证券、期货相关业务资格</w:t>
      </w:r>
      <w:r>
        <w:rPr>
          <w:rFonts w:ascii="宋体" w:hAnsi="宋体" w:hint="eastAsia"/>
          <w:szCs w:val="21"/>
        </w:rPr>
        <w:t>的注册会计师、律师以及</w:t>
      </w:r>
      <w:r>
        <w:rPr>
          <w:rFonts w:ascii="宋体" w:hAnsi="宋体" w:hint="eastAsia"/>
          <w:szCs w:val="18"/>
        </w:rPr>
        <w:t>中国证监会指定的人员</w:t>
      </w:r>
      <w:r>
        <w:rPr>
          <w:rFonts w:ascii="宋体" w:hAnsi="宋体" w:hint="eastAsia"/>
          <w:szCs w:val="21"/>
        </w:rPr>
        <w:t>组成。基金财产清算小组可以聘用必要的工作人员。</w:t>
      </w:r>
    </w:p>
    <w:p w14:paraId="5DDBEA7B"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4、基金财产清算小组职责：基金财产清算小组负责基金财产的保管、清理、估价、变现和分配。基金财产清算小组可以依法进行必要的民事活动。</w:t>
      </w:r>
    </w:p>
    <w:p w14:paraId="58BF5A42" w14:textId="77777777" w:rsidR="00F47A54" w:rsidRDefault="00F47A54" w:rsidP="00F47A54">
      <w:pPr>
        <w:tabs>
          <w:tab w:val="left" w:pos="6435"/>
        </w:tabs>
        <w:snapToGrid w:val="0"/>
        <w:spacing w:line="360" w:lineRule="auto"/>
        <w:ind w:firstLineChars="200" w:firstLine="420"/>
        <w:rPr>
          <w:rFonts w:ascii="宋体" w:hAnsi="宋体"/>
          <w:szCs w:val="21"/>
        </w:rPr>
      </w:pPr>
      <w:r>
        <w:rPr>
          <w:rFonts w:ascii="宋体" w:hAnsi="宋体" w:hint="eastAsia"/>
          <w:szCs w:val="21"/>
        </w:rPr>
        <w:t>5、基金财产清算程序：</w:t>
      </w:r>
      <w:r>
        <w:rPr>
          <w:rFonts w:ascii="宋体" w:hAnsi="宋体"/>
          <w:szCs w:val="21"/>
        </w:rPr>
        <w:tab/>
      </w:r>
    </w:p>
    <w:p w14:paraId="3FF66D32"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（1）《基金合同》终止后，由基金财产清算小组统一接管基金；</w:t>
      </w:r>
    </w:p>
    <w:p w14:paraId="6BC7DB1F"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6D2E2ACC"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14:paraId="1F2CBBBD"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（4）基金清算组作出清算报告；</w:t>
      </w:r>
    </w:p>
    <w:p w14:paraId="122AFD3B"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（5）会计师事务所对清算报告进行审计；</w:t>
      </w:r>
    </w:p>
    <w:p w14:paraId="1641836C" w14:textId="77777777" w:rsidR="00F47A54" w:rsidRDefault="00F47A54" w:rsidP="00F47A54">
      <w:pPr>
        <w:snapToGrid w:val="0"/>
        <w:spacing w:line="360" w:lineRule="auto"/>
        <w:ind w:firstLineChars="200" w:firstLine="420"/>
        <w:rPr>
          <w:rFonts w:ascii="宋体" w:hAnsi="宋体"/>
          <w:kern w:val="0"/>
        </w:rPr>
      </w:pPr>
      <w:r>
        <w:rPr>
          <w:rFonts w:ascii="宋体" w:hAnsi="宋体" w:hint="eastAsia"/>
          <w:szCs w:val="21"/>
        </w:rPr>
        <w:t>（6）律师事务所对清算报告出具法律意见书；</w:t>
      </w:r>
    </w:p>
    <w:p w14:paraId="6A5B888B" w14:textId="77777777" w:rsidR="00F47A54" w:rsidRDefault="00F47A54" w:rsidP="00F47A54">
      <w:pPr>
        <w:snapToGrid w:val="0"/>
        <w:spacing w:line="360" w:lineRule="auto"/>
        <w:ind w:firstLineChars="200" w:firstLine="420"/>
        <w:rPr>
          <w:rFonts w:ascii="宋体" w:hAnsi="宋体"/>
          <w:kern w:val="0"/>
        </w:rPr>
      </w:pPr>
      <w:r>
        <w:rPr>
          <w:rFonts w:ascii="宋体" w:hAnsi="宋体" w:hint="eastAsia"/>
          <w:szCs w:val="21"/>
        </w:rPr>
        <w:t>（7）将基金清算结果报告中国证监会；</w:t>
      </w:r>
    </w:p>
    <w:p w14:paraId="5492332E"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（8）公布基金清算公告；</w:t>
      </w:r>
    </w:p>
    <w:p w14:paraId="07C26121" w14:textId="77777777" w:rsidR="00F47A54" w:rsidRDefault="00F47A54" w:rsidP="00F47A54">
      <w:pPr>
        <w:snapToGrid w:val="0"/>
        <w:spacing w:line="360" w:lineRule="auto"/>
        <w:ind w:firstLineChars="200" w:firstLine="420"/>
        <w:rPr>
          <w:rFonts w:ascii="宋体" w:hAnsi="宋体"/>
          <w:szCs w:val="21"/>
        </w:rPr>
      </w:pPr>
      <w:r>
        <w:rPr>
          <w:rFonts w:ascii="宋体" w:hAnsi="宋体" w:hint="eastAsia"/>
          <w:szCs w:val="21"/>
        </w:rPr>
        <w:t>（9）对基金财产进行分配。</w:t>
      </w:r>
    </w:p>
    <w:p w14:paraId="4714D44D"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6、清算费用</w:t>
      </w:r>
    </w:p>
    <w:p w14:paraId="05217959"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清算费用是指基金清算小组在进行基金清算过程中发生的所有合理费用，清算费用由基</w:t>
      </w:r>
      <w:r>
        <w:rPr>
          <w:rFonts w:ascii="宋体" w:hAnsi="宋体" w:cs="Arial" w:hint="eastAsia"/>
          <w:szCs w:val="21"/>
        </w:rPr>
        <w:lastRenderedPageBreak/>
        <w:t>金清算小组优先从基金财产中支付。</w:t>
      </w:r>
    </w:p>
    <w:p w14:paraId="703909F8"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7、基金财产按下列顺序清偿：</w:t>
      </w:r>
    </w:p>
    <w:p w14:paraId="5740699A"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(1)支付清算费用；</w:t>
      </w:r>
    </w:p>
    <w:p w14:paraId="5D20122F"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(2)交纳所欠税款；</w:t>
      </w:r>
    </w:p>
    <w:p w14:paraId="32667BBA"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(3)清偿基金债务；</w:t>
      </w:r>
    </w:p>
    <w:p w14:paraId="20A56291" w14:textId="77777777" w:rsidR="00F47A54" w:rsidRDefault="00F47A54" w:rsidP="00F47A54">
      <w:pPr>
        <w:adjustRightInd w:val="0"/>
        <w:snapToGrid w:val="0"/>
        <w:spacing w:line="360" w:lineRule="auto"/>
        <w:ind w:firstLineChars="200" w:firstLine="420"/>
        <w:rPr>
          <w:rFonts w:ascii="宋体" w:hAnsi="宋体" w:cs="Arial"/>
          <w:szCs w:val="21"/>
        </w:rPr>
      </w:pPr>
      <w:r>
        <w:rPr>
          <w:rFonts w:ascii="宋体" w:hAnsi="宋体" w:cs="Arial" w:hint="eastAsia"/>
          <w:szCs w:val="21"/>
        </w:rPr>
        <w:t>(4)按基金份额持有人持有的基金份额比例进行分配。</w:t>
      </w:r>
    </w:p>
    <w:p w14:paraId="03C31FE8" w14:textId="77777777" w:rsidR="00F47A54" w:rsidRDefault="00F47A54" w:rsidP="00F47A54">
      <w:pPr>
        <w:snapToGrid w:val="0"/>
        <w:spacing w:line="360" w:lineRule="auto"/>
        <w:ind w:firstLine="200"/>
        <w:rPr>
          <w:rFonts w:ascii="宋体" w:hAnsi="宋体" w:cs="Arial"/>
          <w:szCs w:val="21"/>
        </w:rPr>
      </w:pPr>
      <w:r>
        <w:rPr>
          <w:rFonts w:ascii="宋体" w:hAnsi="宋体" w:cs="Arial" w:hint="eastAsia"/>
          <w:szCs w:val="21"/>
        </w:rPr>
        <w:t>基金财产未按前款(1)－(</w:t>
      </w:r>
      <w:r>
        <w:rPr>
          <w:rFonts w:ascii="宋体" w:hAnsi="宋体" w:cs="Arial"/>
          <w:szCs w:val="21"/>
        </w:rPr>
        <w:t>3</w:t>
      </w:r>
      <w:r>
        <w:rPr>
          <w:rFonts w:ascii="宋体" w:hAnsi="宋体" w:cs="Arial" w:hint="eastAsia"/>
          <w:szCs w:val="21"/>
        </w:rPr>
        <w:t>)项规定清偿前，不分配给基金份额持有人。</w:t>
      </w:r>
    </w:p>
    <w:p w14:paraId="6FABC8D7" w14:textId="77777777" w:rsidR="00F47A54" w:rsidRDefault="00F47A54" w:rsidP="00F47A54">
      <w:pPr>
        <w:pStyle w:val="a8"/>
        <w:adjustRightInd w:val="0"/>
        <w:snapToGrid w:val="0"/>
        <w:spacing w:before="0" w:beforeAutospacing="0" w:after="0" w:afterAutospacing="0" w:line="360" w:lineRule="auto"/>
        <w:ind w:firstLineChars="200" w:firstLine="420"/>
        <w:jc w:val="both"/>
        <w:rPr>
          <w:rFonts w:ascii="宋体" w:eastAsia="宋体" w:hAnsi="宋体" w:hint="default"/>
          <w:color w:val="auto"/>
          <w:sz w:val="21"/>
        </w:rPr>
      </w:pPr>
    </w:p>
    <w:p w14:paraId="2C44DDD6" w14:textId="77777777" w:rsidR="00F47A54" w:rsidRDefault="00F47A54" w:rsidP="00F47A54">
      <w:pPr>
        <w:autoSpaceDE w:val="0"/>
        <w:autoSpaceDN w:val="0"/>
        <w:adjustRightInd w:val="0"/>
        <w:snapToGrid w:val="0"/>
        <w:spacing w:line="360" w:lineRule="auto"/>
        <w:ind w:firstLineChars="200" w:firstLine="420"/>
      </w:pPr>
      <w:r>
        <w:rPr>
          <w:rFonts w:ascii="宋体" w:hAnsi="宋体"/>
        </w:rPr>
        <w:br w:type="page"/>
      </w:r>
    </w:p>
    <w:p w14:paraId="68FF2CC9" w14:textId="77777777" w:rsidR="00F47A54" w:rsidRPr="00581244" w:rsidRDefault="00F47A54" w:rsidP="00F47A54">
      <w:pPr>
        <w:pStyle w:val="20"/>
        <w:numPr>
          <w:ilvl w:val="0"/>
          <w:numId w:val="45"/>
        </w:numPr>
        <w:rPr>
          <w:rFonts w:ascii="黑体" w:hAnsi="宋体" w:cs="Arial"/>
        </w:rPr>
      </w:pPr>
      <w:bookmarkStart w:id="294" w:name="_Toc123626183"/>
      <w:bookmarkStart w:id="295" w:name="_Toc124749239"/>
      <w:bookmarkStart w:id="296" w:name="_Toc124749952"/>
      <w:bookmarkStart w:id="297" w:name="_Toc125361089"/>
      <w:bookmarkStart w:id="298" w:name="_Toc140002352"/>
      <w:bookmarkStart w:id="299" w:name="_Toc174788868"/>
      <w:bookmarkStart w:id="300" w:name="_Toc174790120"/>
      <w:bookmarkStart w:id="301" w:name="_Toc176599605"/>
      <w:bookmarkStart w:id="302" w:name="_Toc176599869"/>
      <w:r w:rsidRPr="00581244">
        <w:rPr>
          <w:rFonts w:ascii="黑体" w:hAnsi="宋体" w:cs="Arial" w:hint="eastAsia"/>
        </w:rPr>
        <w:lastRenderedPageBreak/>
        <w:t>违约责任</w:t>
      </w:r>
      <w:bookmarkEnd w:id="294"/>
      <w:bookmarkEnd w:id="295"/>
      <w:bookmarkEnd w:id="296"/>
      <w:bookmarkEnd w:id="297"/>
      <w:bookmarkEnd w:id="298"/>
      <w:bookmarkEnd w:id="299"/>
      <w:bookmarkEnd w:id="300"/>
      <w:bookmarkEnd w:id="301"/>
      <w:bookmarkEnd w:id="302"/>
    </w:p>
    <w:p w14:paraId="20661741" w14:textId="77777777" w:rsidR="00F47A54" w:rsidRDefault="00F47A54" w:rsidP="00F47A54">
      <w:pPr>
        <w:autoSpaceDE w:val="0"/>
        <w:autoSpaceDN w:val="0"/>
        <w:adjustRightInd w:val="0"/>
        <w:snapToGrid w:val="0"/>
        <w:spacing w:line="360" w:lineRule="auto"/>
        <w:ind w:firstLineChars="200" w:firstLine="420"/>
      </w:pPr>
      <w:r>
        <w:rPr>
          <w:rFonts w:ascii="宋体" w:hint="eastAsia"/>
          <w:kern w:val="0"/>
          <w:szCs w:val="32"/>
        </w:rPr>
        <w:t>（一）基金管理人、基金托管人违反法律法规、《基金合同》或本托管协议约定，给基金财产或者基金份额持有人造成损害的，应当分别对各自的行为依法承担赔偿责任；因共同行为给基金财产或者基金份额持有人造成损害的，</w:t>
      </w:r>
      <w:r>
        <w:rPr>
          <w:rFonts w:ascii="宋体" w:hAnsi="宋体" w:hint="eastAsia"/>
        </w:rPr>
        <w:t>应当承担连带赔偿责任，并</w:t>
      </w:r>
      <w:r>
        <w:rPr>
          <w:rFonts w:ascii="宋体" w:hint="eastAsia"/>
          <w:kern w:val="0"/>
          <w:szCs w:val="32"/>
        </w:rPr>
        <w:t>应当根据过错程度分别承担赔偿责任；另一方当事人有权利及义务代表基金向违约方追偿。</w:t>
      </w:r>
    </w:p>
    <w:p w14:paraId="0796D23D" w14:textId="77777777" w:rsidR="00F47A54" w:rsidRDefault="00F47A54" w:rsidP="00F47A54">
      <w:pPr>
        <w:autoSpaceDE w:val="0"/>
        <w:autoSpaceDN w:val="0"/>
        <w:adjustRightInd w:val="0"/>
        <w:snapToGrid w:val="0"/>
        <w:spacing w:line="360" w:lineRule="auto"/>
        <w:ind w:firstLineChars="200" w:firstLine="420"/>
        <w:rPr>
          <w:rFonts w:ascii="宋体" w:hAnsi="宋体"/>
          <w:kern w:val="0"/>
        </w:rPr>
      </w:pPr>
      <w:r>
        <w:rPr>
          <w:rFonts w:ascii="宋体" w:hint="eastAsia"/>
          <w:kern w:val="0"/>
          <w:szCs w:val="32"/>
        </w:rPr>
        <w:t>（二）本协议一方当事人违约，给另一方当事人造成损失的，应就直接损失进行赔偿</w:t>
      </w:r>
      <w:r>
        <w:rPr>
          <w:rFonts w:ascii="宋体" w:hAnsi="宋体" w:hint="eastAsia"/>
          <w:szCs w:val="21"/>
        </w:rPr>
        <w:t>。</w:t>
      </w:r>
    </w:p>
    <w:p w14:paraId="400C156C" w14:textId="77777777" w:rsidR="00F47A54" w:rsidRDefault="00F47A54" w:rsidP="00F47A54">
      <w:pPr>
        <w:autoSpaceDE w:val="0"/>
        <w:autoSpaceDN w:val="0"/>
        <w:adjustRightInd w:val="0"/>
        <w:snapToGrid w:val="0"/>
        <w:spacing w:line="360" w:lineRule="auto"/>
        <w:ind w:firstLineChars="200" w:firstLine="420"/>
      </w:pPr>
      <w:r>
        <w:rPr>
          <w:rFonts w:ascii="宋体" w:hint="eastAsia"/>
          <w:kern w:val="0"/>
          <w:szCs w:val="32"/>
        </w:rPr>
        <w:t>（三）</w:t>
      </w:r>
      <w:r>
        <w:rPr>
          <w:rFonts w:ascii="宋体" w:hAnsi="宋体" w:hint="eastAsia"/>
          <w:kern w:val="0"/>
        </w:rPr>
        <w:t>当事人一方违约，非违约方在职责范围内有义务及时采取必要的措施，防止损失的扩大。没有采取适当措施致使损失进一步扩大的，不得就扩大的损失要求赔偿。非违约方因防止损失扩大而支出的合理费用由违约方承担</w:t>
      </w:r>
      <w:r>
        <w:rPr>
          <w:rFonts w:ascii="宋体" w:hAnsi="宋体" w:hint="eastAsia"/>
          <w:szCs w:val="21"/>
        </w:rPr>
        <w:t>。</w:t>
      </w:r>
    </w:p>
    <w:p w14:paraId="2A9EB0F8" w14:textId="77777777" w:rsidR="00F47A54" w:rsidRDefault="00F47A54" w:rsidP="00F47A54">
      <w:pPr>
        <w:autoSpaceDE w:val="0"/>
        <w:autoSpaceDN w:val="0"/>
        <w:adjustRightInd w:val="0"/>
        <w:snapToGrid w:val="0"/>
        <w:spacing w:line="360" w:lineRule="auto"/>
        <w:ind w:firstLineChars="200" w:firstLine="420"/>
      </w:pPr>
      <w:r>
        <w:rPr>
          <w:rFonts w:ascii="宋体" w:hAnsi="宋体" w:hint="eastAsia"/>
          <w:szCs w:val="21"/>
        </w:rPr>
        <w:t>（四）违约行为虽已发生，但本托管协议能够继续履行的，在最大限度地保护基金份额持有人利益的前提下，基金管理人和基金托管人应当继续履行本协议。若基金管理人或基金托管人因履行本协议而被第三方起诉，另一方应提供合理的必要支持。</w:t>
      </w:r>
    </w:p>
    <w:p w14:paraId="24F7E0AE" w14:textId="77777777" w:rsidR="00F47A54" w:rsidRDefault="00F47A54" w:rsidP="00F47A54">
      <w:pPr>
        <w:autoSpaceDE w:val="0"/>
        <w:autoSpaceDN w:val="0"/>
        <w:adjustRightInd w:val="0"/>
        <w:snapToGrid w:val="0"/>
        <w:spacing w:line="360" w:lineRule="auto"/>
        <w:ind w:firstLine="400"/>
      </w:pPr>
      <w:r>
        <w:rPr>
          <w:rFonts w:hint="eastAsia"/>
        </w:rPr>
        <w:t>（五）基金托管人应根据《试行办法》的要求以谨慎、尽职的原则选择、委任和监督其境外托管人，并就其境外托管人对基金造成的损失负责。本条不受本协议终止的影响。</w:t>
      </w:r>
    </w:p>
    <w:p w14:paraId="54732ABB" w14:textId="77777777" w:rsidR="00F47A54" w:rsidRDefault="00F47A54" w:rsidP="00F47A54">
      <w:pPr>
        <w:autoSpaceDE w:val="0"/>
        <w:autoSpaceDN w:val="0"/>
        <w:adjustRightInd w:val="0"/>
        <w:snapToGrid w:val="0"/>
        <w:spacing w:line="360" w:lineRule="auto"/>
        <w:ind w:firstLineChars="200" w:firstLine="420"/>
        <w:rPr>
          <w:rFonts w:ascii="宋体" w:hAnsi="宋体"/>
          <w:szCs w:val="21"/>
        </w:rPr>
      </w:pPr>
      <w:r>
        <w:rPr>
          <w:rFonts w:ascii="宋体" w:hint="eastAsia"/>
          <w:kern w:val="0"/>
          <w:szCs w:val="32"/>
        </w:rPr>
        <w:t>（六）由于基金托管人的</w:t>
      </w:r>
      <w:r>
        <w:rPr>
          <w:rFonts w:ascii="宋体" w:hAnsi="宋体" w:cs="宋体" w:hint="eastAsia"/>
          <w:kern w:val="0"/>
          <w:szCs w:val="32"/>
        </w:rPr>
        <w:t>境外托管人</w:t>
      </w:r>
      <w:r>
        <w:rPr>
          <w:rFonts w:ascii="宋体" w:hint="eastAsia"/>
          <w:kern w:val="0"/>
          <w:szCs w:val="32"/>
        </w:rPr>
        <w:t>或者其分支机构、附属公司在为本协议提供服务或管理的过程中的过失、疏忽、欺诈、严重的不良行为给基金财产造成实际损失，基金托管人承担连带责任。基金托管人并应就上述损失向责任方索赔或提起诉讼，或在基金管理人索赔或提起的诉讼中提供证据或给予基金管理人其他配合。</w:t>
      </w:r>
    </w:p>
    <w:p w14:paraId="613B38A0" w14:textId="77777777" w:rsidR="00F47A54" w:rsidRDefault="00F47A54" w:rsidP="00F47A54">
      <w:pPr>
        <w:autoSpaceDE w:val="0"/>
        <w:autoSpaceDN w:val="0"/>
        <w:adjustRightInd w:val="0"/>
        <w:snapToGrid w:val="0"/>
        <w:spacing w:line="360" w:lineRule="auto"/>
        <w:ind w:firstLineChars="200" w:firstLine="420"/>
        <w:rPr>
          <w:rFonts w:ascii="宋体" w:hAnsi="宋体"/>
        </w:rPr>
      </w:pPr>
      <w:r>
        <w:rPr>
          <w:rFonts w:ascii="宋体" w:hAnsi="宋体" w:hint="eastAsia"/>
          <w:szCs w:val="21"/>
        </w:rPr>
        <w:t>（七）免责条款</w:t>
      </w:r>
    </w:p>
    <w:p w14:paraId="37F83328" w14:textId="77777777" w:rsidR="00F47A54" w:rsidRDefault="00F47A54" w:rsidP="00F47A54">
      <w:pPr>
        <w:numPr>
          <w:ilvl w:val="0"/>
          <w:numId w:val="38"/>
        </w:numPr>
        <w:tabs>
          <w:tab w:val="clear" w:pos="420"/>
          <w:tab w:val="num" w:pos="720"/>
        </w:tabs>
        <w:autoSpaceDE w:val="0"/>
        <w:autoSpaceDN w:val="0"/>
        <w:adjustRightInd w:val="0"/>
        <w:snapToGrid w:val="0"/>
        <w:spacing w:line="360" w:lineRule="auto"/>
        <w:ind w:left="0" w:firstLine="360"/>
      </w:pPr>
      <w:bookmarkStart w:id="303" w:name="_Toc466788868"/>
      <w:r>
        <w:rPr>
          <w:rFonts w:hint="eastAsia"/>
        </w:rPr>
        <w:t>在本协议的有效期内，一方当事人对因其违约行为导致另一方遭受的间接的、偶然的、衍生的、特殊的以及惩戒性方面的损失都不承担责任，除非违约一方应该合理预知其违约行为将导致该等损失。</w:t>
      </w:r>
    </w:p>
    <w:p w14:paraId="47CF67FD" w14:textId="77777777" w:rsidR="00F47A54" w:rsidRDefault="00F47A54" w:rsidP="00F47A54">
      <w:pPr>
        <w:numPr>
          <w:ilvl w:val="0"/>
          <w:numId w:val="38"/>
        </w:numPr>
        <w:tabs>
          <w:tab w:val="clear" w:pos="420"/>
          <w:tab w:val="num" w:pos="720"/>
        </w:tabs>
        <w:autoSpaceDE w:val="0"/>
        <w:autoSpaceDN w:val="0"/>
        <w:adjustRightInd w:val="0"/>
        <w:snapToGrid w:val="0"/>
        <w:spacing w:line="360" w:lineRule="auto"/>
        <w:ind w:left="0" w:firstLine="360"/>
      </w:pPr>
      <w:r>
        <w:rPr>
          <w:rFonts w:hint="eastAsia"/>
        </w:rPr>
        <w:t>基金托管人和其</w:t>
      </w:r>
      <w:r>
        <w:rPr>
          <w:rFonts w:ascii="宋体" w:hAnsi="宋体" w:cs="宋体" w:hint="eastAsia"/>
        </w:rPr>
        <w:t>境外托管人</w:t>
      </w:r>
      <w:r>
        <w:rPr>
          <w:rFonts w:hint="eastAsia"/>
        </w:rPr>
        <w:t>对市场的证券系统的作为、不作为或破产</w:t>
      </w:r>
      <w:r>
        <w:rPr>
          <w:rFonts w:hint="eastAsia"/>
        </w:rPr>
        <w:t xml:space="preserve">, </w:t>
      </w:r>
      <w:r>
        <w:rPr>
          <w:rFonts w:hint="eastAsia"/>
        </w:rPr>
        <w:t>以及由此产生的损失不负任何责任。本条不受本协议终止的影响。</w:t>
      </w:r>
    </w:p>
    <w:p w14:paraId="7AD5224F" w14:textId="77777777" w:rsidR="00F47A54" w:rsidRDefault="00F47A54" w:rsidP="00F47A54">
      <w:pPr>
        <w:numPr>
          <w:ilvl w:val="0"/>
          <w:numId w:val="38"/>
        </w:numPr>
        <w:tabs>
          <w:tab w:val="clear" w:pos="420"/>
          <w:tab w:val="num" w:pos="720"/>
        </w:tabs>
        <w:autoSpaceDE w:val="0"/>
        <w:autoSpaceDN w:val="0"/>
        <w:adjustRightInd w:val="0"/>
        <w:snapToGrid w:val="0"/>
        <w:spacing w:line="360" w:lineRule="auto"/>
        <w:ind w:left="0" w:firstLine="360"/>
      </w:pPr>
      <w:r>
        <w:rPr>
          <w:rFonts w:hint="eastAsia"/>
        </w:rPr>
        <w:t>基金管理人及基金托管人按照当时有效的法律法规或监管机构的规定作为或不作为而造成的损失等。</w:t>
      </w:r>
    </w:p>
    <w:p w14:paraId="5D9222E3" w14:textId="77777777" w:rsidR="00F47A54" w:rsidRDefault="00F47A54" w:rsidP="00F47A54">
      <w:pPr>
        <w:numPr>
          <w:ilvl w:val="0"/>
          <w:numId w:val="38"/>
        </w:numPr>
        <w:tabs>
          <w:tab w:val="clear" w:pos="420"/>
          <w:tab w:val="num" w:pos="720"/>
        </w:tabs>
        <w:adjustRightInd w:val="0"/>
        <w:snapToGrid w:val="0"/>
        <w:spacing w:line="360" w:lineRule="auto"/>
        <w:ind w:left="0" w:firstLine="360"/>
      </w:pPr>
      <w:r>
        <w:rPr>
          <w:rFonts w:ascii="宋体" w:hAnsi="宋体" w:hint="eastAsia"/>
          <w:kern w:val="0"/>
          <w:szCs w:val="32"/>
        </w:rPr>
        <w:t>如果本协议任何一方因受不可抗力事件的影响，未能履行其在本协议下的全部或部分义务，根据不可抗力的影响，可以部分或者全部免除责任。</w:t>
      </w:r>
    </w:p>
    <w:p w14:paraId="4A5157C6" w14:textId="77777777" w:rsidR="00F47A54" w:rsidRDefault="00F47A54" w:rsidP="00F47A54">
      <w:pPr>
        <w:numPr>
          <w:ilvl w:val="0"/>
          <w:numId w:val="38"/>
        </w:numPr>
        <w:autoSpaceDE w:val="0"/>
        <w:autoSpaceDN w:val="0"/>
        <w:adjustRightInd w:val="0"/>
        <w:snapToGrid w:val="0"/>
        <w:spacing w:line="360" w:lineRule="auto"/>
        <w:ind w:left="0" w:firstLine="360"/>
      </w:pPr>
      <w:r>
        <w:rPr>
          <w:rFonts w:hint="eastAsia"/>
        </w:rPr>
        <w:t>不可抗力事件发生时，双方应立即通过友好协商决定如何执行本协议。不可抗力事件或其影响终止或消除后，协议双方须立即恢复履行各自在本协议项下的各项义务。</w:t>
      </w:r>
    </w:p>
    <w:p w14:paraId="2DA123B1" w14:textId="77777777" w:rsidR="00F47A54" w:rsidRDefault="00F47A54" w:rsidP="00F47A54">
      <w:pPr>
        <w:numPr>
          <w:ilvl w:val="0"/>
          <w:numId w:val="38"/>
        </w:numPr>
        <w:tabs>
          <w:tab w:val="clear" w:pos="420"/>
          <w:tab w:val="num" w:pos="720"/>
        </w:tabs>
        <w:autoSpaceDE w:val="0"/>
        <w:autoSpaceDN w:val="0"/>
        <w:adjustRightInd w:val="0"/>
        <w:snapToGrid w:val="0"/>
        <w:spacing w:line="360" w:lineRule="auto"/>
        <w:ind w:left="0" w:firstLine="360"/>
      </w:pPr>
      <w:r>
        <w:rPr>
          <w:rFonts w:hint="eastAsia"/>
        </w:rPr>
        <w:t>基金托管人及其</w:t>
      </w:r>
      <w:r>
        <w:rPr>
          <w:rFonts w:ascii="宋体" w:hAnsi="宋体" w:cs="宋体" w:hint="eastAsia"/>
        </w:rPr>
        <w:t>境外托管人</w:t>
      </w:r>
      <w:r>
        <w:rPr>
          <w:rFonts w:hint="eastAsia"/>
        </w:rPr>
        <w:t>在按照本协议规定而作为或不作为，且没有任何违反本协议的规定的情况下，对基金管理人或基金财产所产生的影响，不负责任，基金管理人应向基金托管人及其</w:t>
      </w:r>
      <w:r>
        <w:rPr>
          <w:rFonts w:ascii="宋体" w:hAnsi="宋体" w:cs="宋体" w:hint="eastAsia"/>
        </w:rPr>
        <w:t>境外托管人</w:t>
      </w:r>
      <w:r>
        <w:rPr>
          <w:rFonts w:hint="eastAsia"/>
        </w:rPr>
        <w:t>补偿其因按照本协议规定的有关指示作为或由于在没有指示的</w:t>
      </w:r>
      <w:r>
        <w:rPr>
          <w:rFonts w:hint="eastAsia"/>
        </w:rPr>
        <w:lastRenderedPageBreak/>
        <w:t>情况下不作为所引起的损失、花费或税费等。</w:t>
      </w:r>
    </w:p>
    <w:p w14:paraId="19E31232" w14:textId="77777777" w:rsidR="00F47A54" w:rsidRDefault="00F47A54" w:rsidP="00F47A54">
      <w:pPr>
        <w:autoSpaceDE w:val="0"/>
        <w:autoSpaceDN w:val="0"/>
        <w:adjustRightInd w:val="0"/>
        <w:snapToGrid w:val="0"/>
        <w:spacing w:line="360" w:lineRule="auto"/>
      </w:pPr>
      <w:r>
        <w:br w:type="page"/>
      </w:r>
    </w:p>
    <w:p w14:paraId="373DDA49" w14:textId="77777777" w:rsidR="00F47A54" w:rsidRPr="00581244" w:rsidRDefault="00F47A54" w:rsidP="00F47A54">
      <w:pPr>
        <w:pStyle w:val="20"/>
        <w:numPr>
          <w:ilvl w:val="0"/>
          <w:numId w:val="45"/>
        </w:numPr>
        <w:rPr>
          <w:rFonts w:ascii="黑体" w:hAnsi="宋体" w:cs="Arial"/>
        </w:rPr>
      </w:pPr>
      <w:bookmarkStart w:id="304" w:name="_Toc123626184"/>
      <w:bookmarkStart w:id="305" w:name="_Toc124749240"/>
      <w:bookmarkStart w:id="306" w:name="_Toc124749953"/>
      <w:bookmarkStart w:id="307" w:name="_Toc125361090"/>
      <w:bookmarkStart w:id="308" w:name="_Toc140002353"/>
      <w:bookmarkStart w:id="309" w:name="_Toc174788869"/>
      <w:bookmarkStart w:id="310" w:name="_Toc174790121"/>
      <w:bookmarkStart w:id="311" w:name="_Toc176599606"/>
      <w:bookmarkStart w:id="312" w:name="_Toc176599870"/>
      <w:bookmarkStart w:id="313" w:name="_Toc170466930"/>
      <w:r w:rsidRPr="00581244">
        <w:rPr>
          <w:rFonts w:ascii="黑体" w:hAnsi="宋体" w:cs="Arial" w:hint="eastAsia"/>
        </w:rPr>
        <w:lastRenderedPageBreak/>
        <w:t>争议解决方式</w:t>
      </w:r>
      <w:bookmarkEnd w:id="304"/>
      <w:bookmarkEnd w:id="305"/>
      <w:bookmarkEnd w:id="306"/>
      <w:bookmarkEnd w:id="307"/>
      <w:bookmarkEnd w:id="308"/>
      <w:bookmarkEnd w:id="309"/>
      <w:bookmarkEnd w:id="310"/>
      <w:bookmarkEnd w:id="311"/>
      <w:bookmarkEnd w:id="312"/>
    </w:p>
    <w:p w14:paraId="5AEBFF5B" w14:textId="77777777" w:rsidR="00F47A54" w:rsidRDefault="00F47A54" w:rsidP="00F47A54">
      <w:pPr>
        <w:autoSpaceDE w:val="0"/>
        <w:autoSpaceDN w:val="0"/>
        <w:adjustRightInd w:val="0"/>
        <w:snapToGrid w:val="0"/>
        <w:spacing w:line="360" w:lineRule="auto"/>
        <w:ind w:firstLineChars="200" w:firstLine="420"/>
      </w:pPr>
      <w:r>
        <w:rPr>
          <w:rFonts w:ascii="黑体" w:hint="eastAsia"/>
        </w:rPr>
        <w:t xml:space="preserve"> </w:t>
      </w:r>
      <w:bookmarkEnd w:id="303"/>
      <w:bookmarkEnd w:id="313"/>
      <w:r>
        <w:rPr>
          <w:rFonts w:ascii="宋体" w:hAnsi="宋体" w:hint="eastAsia"/>
        </w:rPr>
        <w:t>(一)</w:t>
      </w:r>
      <w:r>
        <w:rPr>
          <w:rFonts w:ascii="宋体" w:hAnsi="宋体" w:hint="eastAsia"/>
          <w:kern w:val="0"/>
          <w:szCs w:val="32"/>
        </w:rPr>
        <w:t>本托管协议适用中华人民共和国法律并依照其解释</w:t>
      </w:r>
      <w:r>
        <w:rPr>
          <w:rFonts w:hint="eastAsia"/>
        </w:rPr>
        <w:t>。</w:t>
      </w:r>
      <w:r>
        <w:rPr>
          <w:rFonts w:ascii="宋体" w:hAnsi="宋体" w:hint="eastAsia"/>
          <w:szCs w:val="21"/>
        </w:rPr>
        <w:t>相关各方当事人同意，因本协议而产生的或与本协议有关的一切争议，除经友好协商可以解决的，</w:t>
      </w:r>
      <w:r>
        <w:t>均应提交中国国际经济贸易仲裁委员会</w:t>
      </w:r>
      <w:r>
        <w:rPr>
          <w:rFonts w:hint="eastAsia"/>
        </w:rPr>
        <w:t>在北京仲裁</w:t>
      </w:r>
      <w:r>
        <w:t>，按照申请仲裁时该会现行有效的仲裁规则进行仲裁。仲裁裁决是终局的，对双方均有约束力。</w:t>
      </w:r>
    </w:p>
    <w:p w14:paraId="2AB021EC" w14:textId="77777777" w:rsidR="00F47A54" w:rsidRDefault="00F47A54" w:rsidP="00F47A54">
      <w:pPr>
        <w:autoSpaceDE w:val="0"/>
        <w:autoSpaceDN w:val="0"/>
        <w:adjustRightInd w:val="0"/>
        <w:snapToGrid w:val="0"/>
        <w:spacing w:line="360" w:lineRule="auto"/>
        <w:ind w:firstLineChars="250" w:firstLine="525"/>
      </w:pPr>
      <w:r>
        <w:rPr>
          <w:rFonts w:ascii="宋体" w:hAnsi="宋体" w:hint="eastAsia"/>
        </w:rPr>
        <w:t>(二)</w:t>
      </w:r>
      <w:r>
        <w:rPr>
          <w:rFonts w:hint="eastAsia"/>
        </w:rPr>
        <w:t>当任何争议发生或任何争议正在进行仲裁时，除争议事项外，双方仍有权行使本协议项下的其它权利并应履行本协议项下的其它义务。</w:t>
      </w:r>
      <w:bookmarkStart w:id="314" w:name="_Toc170466935"/>
    </w:p>
    <w:p w14:paraId="421228BC" w14:textId="77777777" w:rsidR="00F47A54" w:rsidRDefault="00F47A54" w:rsidP="00F47A54">
      <w:pPr>
        <w:autoSpaceDE w:val="0"/>
        <w:autoSpaceDN w:val="0"/>
        <w:adjustRightInd w:val="0"/>
        <w:snapToGrid w:val="0"/>
        <w:spacing w:line="360" w:lineRule="auto"/>
        <w:ind w:firstLineChars="250" w:firstLine="525"/>
      </w:pPr>
      <w:r>
        <w:br w:type="page"/>
      </w:r>
    </w:p>
    <w:p w14:paraId="4DB19182" w14:textId="77777777" w:rsidR="00F47A54" w:rsidRPr="00581244" w:rsidRDefault="00F47A54" w:rsidP="00F47A54">
      <w:pPr>
        <w:pStyle w:val="20"/>
        <w:numPr>
          <w:ilvl w:val="0"/>
          <w:numId w:val="45"/>
        </w:numPr>
        <w:rPr>
          <w:rFonts w:ascii="黑体" w:hAnsi="宋体" w:cs="Arial"/>
        </w:rPr>
      </w:pPr>
      <w:bookmarkStart w:id="315" w:name="_Toc174788870"/>
      <w:bookmarkStart w:id="316" w:name="_Toc174790122"/>
      <w:bookmarkStart w:id="317" w:name="_Toc176599607"/>
      <w:bookmarkStart w:id="318" w:name="_Toc176599871"/>
      <w:r w:rsidRPr="00581244">
        <w:rPr>
          <w:rFonts w:ascii="黑体" w:hAnsi="宋体" w:cs="Arial" w:hint="eastAsia"/>
        </w:rPr>
        <w:lastRenderedPageBreak/>
        <w:t>基金托管协议的效力</w:t>
      </w:r>
      <w:bookmarkEnd w:id="315"/>
      <w:bookmarkEnd w:id="316"/>
      <w:bookmarkEnd w:id="317"/>
      <w:bookmarkEnd w:id="318"/>
    </w:p>
    <w:bookmarkEnd w:id="314"/>
    <w:p w14:paraId="30280091" w14:textId="77777777" w:rsidR="00F47A54" w:rsidRDefault="00F47A54" w:rsidP="00F47A54">
      <w:pPr>
        <w:autoSpaceDE w:val="0"/>
        <w:autoSpaceDN w:val="0"/>
        <w:adjustRightInd w:val="0"/>
        <w:snapToGrid w:val="0"/>
        <w:spacing w:line="360" w:lineRule="auto"/>
        <w:ind w:firstLine="400"/>
        <w:rPr>
          <w:rFonts w:ascii="宋体"/>
          <w:kern w:val="0"/>
          <w:szCs w:val="32"/>
        </w:rPr>
      </w:pPr>
      <w:r>
        <w:rPr>
          <w:rFonts w:hint="eastAsia"/>
        </w:rPr>
        <w:t>（一）</w:t>
      </w:r>
      <w:r>
        <w:rPr>
          <w:rFonts w:ascii="宋体" w:hint="eastAsia"/>
          <w:kern w:val="0"/>
          <w:szCs w:val="32"/>
        </w:rPr>
        <w:t xml:space="preserve"> 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09AA9A70" w14:textId="77777777" w:rsidR="00F47A54" w:rsidRDefault="00F47A54" w:rsidP="00F47A54">
      <w:pPr>
        <w:autoSpaceDE w:val="0"/>
        <w:autoSpaceDN w:val="0"/>
        <w:adjustRightInd w:val="0"/>
        <w:snapToGrid w:val="0"/>
        <w:spacing w:line="360" w:lineRule="auto"/>
        <w:ind w:firstLine="400"/>
        <w:rPr>
          <w:rFonts w:ascii="宋体"/>
          <w:kern w:val="0"/>
          <w:szCs w:val="32"/>
        </w:rPr>
      </w:pPr>
      <w:r>
        <w:rPr>
          <w:rFonts w:ascii="宋体" w:hint="eastAsia"/>
          <w:kern w:val="0"/>
          <w:szCs w:val="32"/>
        </w:rPr>
        <w:t>（二）本托管协议自《基金合同》成立之日起成立，自《基金合同》生效之日起生效。基金托管协议的有效期自其生效之日起至该基金财产清算结果报中国证监会备案并公告之日止。</w:t>
      </w:r>
    </w:p>
    <w:p w14:paraId="70F37368" w14:textId="77777777" w:rsidR="00F47A54" w:rsidRDefault="00F47A54" w:rsidP="00F47A54">
      <w:pPr>
        <w:autoSpaceDE w:val="0"/>
        <w:autoSpaceDN w:val="0"/>
        <w:adjustRightInd w:val="0"/>
        <w:snapToGrid w:val="0"/>
        <w:spacing w:line="360" w:lineRule="auto"/>
        <w:ind w:firstLine="400"/>
      </w:pPr>
      <w:r>
        <w:rPr>
          <w:rFonts w:hint="eastAsia"/>
        </w:rPr>
        <w:t>（三）基金托管协议自生效之日对托管协议当事人具有同等的法律约束力。</w:t>
      </w:r>
    </w:p>
    <w:p w14:paraId="469F49E0" w14:textId="77777777" w:rsidR="00F47A54" w:rsidRDefault="00F47A54" w:rsidP="00F47A54">
      <w:pPr>
        <w:autoSpaceDE w:val="0"/>
        <w:autoSpaceDN w:val="0"/>
        <w:adjustRightInd w:val="0"/>
        <w:snapToGrid w:val="0"/>
        <w:spacing w:line="360" w:lineRule="auto"/>
        <w:ind w:firstLine="400"/>
      </w:pPr>
      <w:r>
        <w:rPr>
          <w:rFonts w:hint="eastAsia"/>
        </w:rPr>
        <w:t>（四）本协议一式八份，基金管理人和基金托管人各持二份，备存二份，上报中国证监会和国家外汇局一份，每份均具有同等法律效力。</w:t>
      </w:r>
    </w:p>
    <w:p w14:paraId="67E20232" w14:textId="77777777" w:rsidR="00F47A54" w:rsidRDefault="00F47A54" w:rsidP="00F47A54">
      <w:pPr>
        <w:autoSpaceDE w:val="0"/>
        <w:autoSpaceDN w:val="0"/>
        <w:adjustRightInd w:val="0"/>
        <w:snapToGrid w:val="0"/>
        <w:spacing w:line="360" w:lineRule="auto"/>
      </w:pPr>
    </w:p>
    <w:p w14:paraId="647B209D" w14:textId="77777777" w:rsidR="00F47A54" w:rsidRDefault="00F47A54" w:rsidP="00F47A54">
      <w:pPr>
        <w:autoSpaceDE w:val="0"/>
        <w:autoSpaceDN w:val="0"/>
        <w:adjustRightInd w:val="0"/>
        <w:snapToGrid w:val="0"/>
        <w:spacing w:line="360" w:lineRule="auto"/>
        <w:ind w:firstLineChars="257" w:firstLine="540"/>
      </w:pPr>
      <w:r>
        <w:br w:type="page"/>
      </w:r>
    </w:p>
    <w:p w14:paraId="629F08D1" w14:textId="77777777" w:rsidR="00F47A54" w:rsidRPr="00581244" w:rsidRDefault="00F47A54" w:rsidP="00F47A54">
      <w:pPr>
        <w:pStyle w:val="20"/>
        <w:numPr>
          <w:ilvl w:val="0"/>
          <w:numId w:val="45"/>
        </w:numPr>
        <w:rPr>
          <w:rFonts w:ascii="黑体" w:hAnsi="宋体" w:cs="Arial"/>
        </w:rPr>
      </w:pPr>
      <w:bookmarkStart w:id="319" w:name="_Toc174788871"/>
      <w:bookmarkStart w:id="320" w:name="_Toc174790123"/>
      <w:bookmarkStart w:id="321" w:name="_Toc176599608"/>
      <w:bookmarkStart w:id="322" w:name="_Toc176599872"/>
      <w:r w:rsidRPr="00581244">
        <w:rPr>
          <w:rFonts w:ascii="黑体" w:hAnsi="宋体" w:cs="Arial" w:hint="eastAsia"/>
        </w:rPr>
        <w:lastRenderedPageBreak/>
        <w:t>基金托管协议的签订</w:t>
      </w:r>
      <w:bookmarkEnd w:id="319"/>
      <w:bookmarkEnd w:id="320"/>
      <w:bookmarkEnd w:id="321"/>
      <w:bookmarkEnd w:id="322"/>
    </w:p>
    <w:p w14:paraId="0A221558" w14:textId="77777777" w:rsidR="00F47A54" w:rsidRDefault="00F47A54" w:rsidP="00F47A54">
      <w:pPr>
        <w:autoSpaceDE w:val="0"/>
        <w:autoSpaceDN w:val="0"/>
        <w:adjustRightInd w:val="0"/>
        <w:snapToGrid w:val="0"/>
        <w:spacing w:line="360" w:lineRule="auto"/>
        <w:ind w:firstLineChars="257" w:firstLine="540"/>
        <w:rPr>
          <w:rFonts w:ascii="宋体" w:hAnsi="宋体"/>
          <w:sz w:val="24"/>
        </w:rPr>
      </w:pPr>
      <w:r>
        <w:rPr>
          <w:rFonts w:ascii="宋体" w:hAnsi="宋体" w:hint="eastAsia"/>
        </w:rPr>
        <w:t>本托管协议经基金管理人和基金托管人认可后，由该双方当事人在基金托管协议上盖章，并由各自的法定代表人或授权代表签字，并注明基金托管协议的签订地点和签订日期。</w:t>
      </w:r>
      <w:r>
        <w:br w:type="page"/>
      </w:r>
      <w:r>
        <w:rPr>
          <w:rFonts w:hint="eastAsia"/>
        </w:rPr>
        <w:lastRenderedPageBreak/>
        <w:t xml:space="preserve">    </w:t>
      </w:r>
      <w:r>
        <w:rPr>
          <w:rFonts w:ascii="宋体" w:hAnsi="宋体" w:hint="eastAsia"/>
          <w:sz w:val="24"/>
        </w:rPr>
        <w:t>本页无正文，为《南方全球精选配置证券投资基金托管协议》签字页。</w:t>
      </w:r>
    </w:p>
    <w:p w14:paraId="58997528" w14:textId="77777777" w:rsidR="00F47A54" w:rsidRDefault="00F47A54" w:rsidP="00F47A54">
      <w:pPr>
        <w:adjustRightInd w:val="0"/>
        <w:snapToGrid w:val="0"/>
        <w:spacing w:line="360" w:lineRule="auto"/>
        <w:ind w:firstLine="400"/>
        <w:rPr>
          <w:rFonts w:ascii="宋体" w:hAnsi="宋体"/>
          <w:b/>
          <w:sz w:val="24"/>
        </w:rPr>
      </w:pPr>
    </w:p>
    <w:p w14:paraId="12307579" w14:textId="77777777" w:rsidR="00F47A54" w:rsidRDefault="00F47A54" w:rsidP="00F47A54">
      <w:pPr>
        <w:adjustRightInd w:val="0"/>
        <w:snapToGrid w:val="0"/>
        <w:spacing w:line="360" w:lineRule="auto"/>
        <w:ind w:firstLine="400"/>
        <w:rPr>
          <w:rFonts w:ascii="宋体" w:hAnsi="宋体"/>
          <w:b/>
          <w:sz w:val="24"/>
        </w:rPr>
      </w:pPr>
    </w:p>
    <w:p w14:paraId="681752AF" w14:textId="77777777" w:rsidR="00F47A54" w:rsidRPr="00837AD4" w:rsidRDefault="00F47A54" w:rsidP="00F47A54">
      <w:pPr>
        <w:adjustRightInd w:val="0"/>
        <w:snapToGrid w:val="0"/>
        <w:spacing w:line="360" w:lineRule="auto"/>
        <w:ind w:firstLine="400"/>
        <w:rPr>
          <w:rFonts w:ascii="宋体" w:hAnsi="宋体"/>
          <w:b/>
          <w:sz w:val="24"/>
        </w:rPr>
      </w:pPr>
    </w:p>
    <w:p w14:paraId="61CBF876"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基金托管人：中国工商银行股份有限公司（章）</w:t>
      </w:r>
    </w:p>
    <w:p w14:paraId="6907AE7E" w14:textId="77777777" w:rsidR="00F47A54" w:rsidRDefault="00F47A54" w:rsidP="00F47A54">
      <w:pPr>
        <w:adjustRightInd w:val="0"/>
        <w:snapToGrid w:val="0"/>
        <w:spacing w:line="360" w:lineRule="auto"/>
        <w:ind w:firstLine="400"/>
        <w:rPr>
          <w:rFonts w:ascii="宋体" w:hAnsi="宋体"/>
          <w:b/>
          <w:sz w:val="24"/>
        </w:rPr>
      </w:pPr>
    </w:p>
    <w:p w14:paraId="66BDF9A1" w14:textId="77777777" w:rsidR="00F47A54" w:rsidRDefault="00F47A54" w:rsidP="00F47A54">
      <w:pPr>
        <w:adjustRightInd w:val="0"/>
        <w:snapToGrid w:val="0"/>
        <w:spacing w:line="360" w:lineRule="auto"/>
        <w:ind w:firstLine="400"/>
        <w:rPr>
          <w:rFonts w:ascii="宋体" w:hAnsi="宋体"/>
          <w:b/>
          <w:sz w:val="24"/>
        </w:rPr>
      </w:pPr>
    </w:p>
    <w:p w14:paraId="211E77DF" w14:textId="77777777" w:rsidR="00F47A54" w:rsidRDefault="00F47A54" w:rsidP="00F47A54">
      <w:pPr>
        <w:adjustRightInd w:val="0"/>
        <w:snapToGrid w:val="0"/>
        <w:spacing w:line="360" w:lineRule="auto"/>
        <w:ind w:firstLine="400"/>
        <w:rPr>
          <w:rFonts w:ascii="宋体" w:hAnsi="宋体"/>
          <w:b/>
          <w:sz w:val="24"/>
        </w:rPr>
      </w:pPr>
    </w:p>
    <w:p w14:paraId="28E96C72"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法定代表人或授权代表：                   （签字）</w:t>
      </w:r>
    </w:p>
    <w:p w14:paraId="1DF2215D" w14:textId="77777777" w:rsidR="00F47A54" w:rsidRDefault="00F47A54" w:rsidP="00F47A54">
      <w:pPr>
        <w:adjustRightInd w:val="0"/>
        <w:snapToGrid w:val="0"/>
        <w:spacing w:line="360" w:lineRule="auto"/>
        <w:ind w:firstLine="400"/>
        <w:rPr>
          <w:rFonts w:ascii="宋体" w:hAnsi="宋体"/>
          <w:b/>
          <w:sz w:val="24"/>
        </w:rPr>
      </w:pPr>
    </w:p>
    <w:p w14:paraId="6CF6BF5B" w14:textId="77777777" w:rsidR="00F47A54" w:rsidRDefault="00F47A54" w:rsidP="00F47A54">
      <w:pPr>
        <w:adjustRightInd w:val="0"/>
        <w:snapToGrid w:val="0"/>
        <w:spacing w:line="360" w:lineRule="auto"/>
        <w:ind w:firstLine="400"/>
        <w:rPr>
          <w:rFonts w:ascii="宋体" w:hAnsi="宋体"/>
          <w:b/>
          <w:sz w:val="24"/>
        </w:rPr>
      </w:pPr>
    </w:p>
    <w:p w14:paraId="5117E657" w14:textId="77777777" w:rsidR="00F47A54" w:rsidRDefault="00F47A54" w:rsidP="00F47A54">
      <w:pPr>
        <w:adjustRightInd w:val="0"/>
        <w:snapToGrid w:val="0"/>
        <w:spacing w:line="360" w:lineRule="auto"/>
        <w:ind w:firstLine="400"/>
        <w:rPr>
          <w:rFonts w:ascii="宋体" w:hAnsi="宋体"/>
          <w:b/>
          <w:sz w:val="24"/>
        </w:rPr>
      </w:pPr>
    </w:p>
    <w:p w14:paraId="1CEC812F" w14:textId="77777777" w:rsidR="00F47A54" w:rsidRDefault="00F47A54" w:rsidP="00F47A54">
      <w:pPr>
        <w:adjustRightInd w:val="0"/>
        <w:snapToGrid w:val="0"/>
        <w:spacing w:line="360" w:lineRule="auto"/>
        <w:ind w:firstLine="400"/>
        <w:rPr>
          <w:rFonts w:ascii="宋体" w:hAnsi="宋体"/>
          <w:b/>
          <w:sz w:val="24"/>
        </w:rPr>
      </w:pPr>
    </w:p>
    <w:p w14:paraId="382498EE" w14:textId="77777777" w:rsidR="00F47A54" w:rsidRDefault="00F47A54" w:rsidP="00F47A54">
      <w:pPr>
        <w:adjustRightInd w:val="0"/>
        <w:snapToGrid w:val="0"/>
        <w:spacing w:line="360" w:lineRule="auto"/>
        <w:ind w:firstLine="400"/>
        <w:rPr>
          <w:rFonts w:ascii="宋体" w:hAnsi="宋体"/>
          <w:b/>
          <w:sz w:val="24"/>
        </w:rPr>
      </w:pPr>
    </w:p>
    <w:p w14:paraId="6F0BA66B" w14:textId="77777777" w:rsidR="00F47A54" w:rsidRDefault="00F47A54" w:rsidP="00F47A54">
      <w:pPr>
        <w:adjustRightInd w:val="0"/>
        <w:snapToGrid w:val="0"/>
        <w:spacing w:line="360" w:lineRule="auto"/>
        <w:ind w:firstLine="400"/>
        <w:rPr>
          <w:rFonts w:ascii="宋体" w:hAnsi="宋体"/>
          <w:b/>
          <w:sz w:val="24"/>
        </w:rPr>
      </w:pPr>
    </w:p>
    <w:p w14:paraId="2CFC4D69"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签订地点：</w:t>
      </w:r>
      <w:r>
        <w:rPr>
          <w:rFonts w:ascii="宋体" w:hAnsi="宋体" w:hint="eastAsia"/>
          <w:b/>
          <w:sz w:val="24"/>
        </w:rPr>
        <w:tab/>
      </w:r>
      <w:r>
        <w:rPr>
          <w:rFonts w:ascii="宋体" w:hAnsi="宋体" w:hint="eastAsia"/>
          <w:b/>
          <w:sz w:val="24"/>
        </w:rPr>
        <w:tab/>
        <w:t>中国北京</w:t>
      </w:r>
    </w:p>
    <w:p w14:paraId="66327668"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签 订 日：</w:t>
      </w:r>
      <w:r w:rsidR="00C14735">
        <w:rPr>
          <w:rFonts w:ascii="宋体" w:hAnsi="宋体" w:hint="eastAsia"/>
          <w:b/>
          <w:sz w:val="24"/>
        </w:rPr>
        <w:t xml:space="preserve"> </w:t>
      </w:r>
      <w:r w:rsidR="00C14735">
        <w:rPr>
          <w:rFonts w:ascii="宋体" w:hAnsi="宋体"/>
          <w:b/>
          <w:sz w:val="24"/>
        </w:rPr>
        <w:t xml:space="preserve">   </w:t>
      </w:r>
      <w:r>
        <w:rPr>
          <w:rFonts w:ascii="宋体" w:hAnsi="宋体" w:hint="eastAsia"/>
          <w:b/>
          <w:sz w:val="24"/>
        </w:rPr>
        <w:t>年  月  日</w:t>
      </w:r>
    </w:p>
    <w:p w14:paraId="38F555A3" w14:textId="77777777" w:rsidR="00F47A54" w:rsidRDefault="00F47A54" w:rsidP="00F47A54">
      <w:pPr>
        <w:adjustRightInd w:val="0"/>
        <w:snapToGrid w:val="0"/>
        <w:spacing w:line="360" w:lineRule="auto"/>
        <w:ind w:firstLine="400"/>
      </w:pPr>
      <w:r>
        <w:rPr>
          <w:rFonts w:ascii="宋体" w:hAnsi="宋体"/>
          <w:b/>
          <w:sz w:val="24"/>
        </w:rPr>
        <w:br w:type="page"/>
      </w:r>
    </w:p>
    <w:p w14:paraId="36E33099" w14:textId="77777777" w:rsidR="00F47A54" w:rsidRDefault="00F47A54" w:rsidP="00F47A54">
      <w:pPr>
        <w:pStyle w:val="15"/>
        <w:autoSpaceDE w:val="0"/>
        <w:autoSpaceDN w:val="0"/>
        <w:adjustRightInd w:val="0"/>
        <w:snapToGrid w:val="0"/>
        <w:ind w:firstLine="400"/>
        <w:textAlignment w:val="bottom"/>
        <w:rPr>
          <w:rFonts w:hint="default"/>
          <w:szCs w:val="24"/>
        </w:rPr>
      </w:pPr>
      <w:r>
        <w:rPr>
          <w:szCs w:val="24"/>
        </w:rPr>
        <w:lastRenderedPageBreak/>
        <w:t>本页无正文，为</w:t>
      </w:r>
      <w:r>
        <w:t>《南方全球精选配置证券投资基金托管协议》</w:t>
      </w:r>
      <w:r>
        <w:rPr>
          <w:szCs w:val="24"/>
        </w:rPr>
        <w:t>签字页。</w:t>
      </w:r>
    </w:p>
    <w:p w14:paraId="44CC2404" w14:textId="77777777" w:rsidR="00F47A54" w:rsidRPr="004D47D1" w:rsidRDefault="00F47A54" w:rsidP="00F47A54">
      <w:pPr>
        <w:autoSpaceDE w:val="0"/>
        <w:autoSpaceDN w:val="0"/>
        <w:adjustRightInd w:val="0"/>
        <w:snapToGrid w:val="0"/>
        <w:spacing w:line="360" w:lineRule="auto"/>
        <w:ind w:firstLine="400"/>
        <w:textAlignment w:val="bottom"/>
        <w:rPr>
          <w:rFonts w:ascii="宋体" w:hAnsi="宋体"/>
          <w:sz w:val="24"/>
        </w:rPr>
      </w:pPr>
    </w:p>
    <w:p w14:paraId="668E7D66" w14:textId="77777777" w:rsidR="00F47A54" w:rsidRDefault="00F47A54" w:rsidP="00F47A54">
      <w:pPr>
        <w:autoSpaceDE w:val="0"/>
        <w:autoSpaceDN w:val="0"/>
        <w:adjustRightInd w:val="0"/>
        <w:snapToGrid w:val="0"/>
        <w:spacing w:line="360" w:lineRule="auto"/>
        <w:ind w:firstLine="400"/>
        <w:textAlignment w:val="bottom"/>
        <w:rPr>
          <w:rFonts w:ascii="宋体" w:hAnsi="宋体"/>
          <w:sz w:val="24"/>
        </w:rPr>
      </w:pPr>
    </w:p>
    <w:p w14:paraId="036DAAFE" w14:textId="77777777" w:rsidR="00F47A54" w:rsidRDefault="00F47A54" w:rsidP="00F47A54">
      <w:pPr>
        <w:autoSpaceDE w:val="0"/>
        <w:autoSpaceDN w:val="0"/>
        <w:adjustRightInd w:val="0"/>
        <w:snapToGrid w:val="0"/>
        <w:spacing w:line="360" w:lineRule="auto"/>
        <w:ind w:firstLine="400"/>
        <w:textAlignment w:val="bottom"/>
        <w:rPr>
          <w:rFonts w:ascii="宋体" w:hAnsi="宋体"/>
          <w:sz w:val="24"/>
        </w:rPr>
      </w:pPr>
    </w:p>
    <w:p w14:paraId="21458C32" w14:textId="77777777" w:rsidR="00F47A54" w:rsidRDefault="00F47A54" w:rsidP="00F47A54">
      <w:pPr>
        <w:adjustRightInd w:val="0"/>
        <w:snapToGrid w:val="0"/>
        <w:spacing w:line="360" w:lineRule="auto"/>
        <w:ind w:firstLine="400"/>
        <w:rPr>
          <w:rFonts w:ascii="宋体" w:hAnsi="宋体"/>
          <w:sz w:val="24"/>
        </w:rPr>
      </w:pPr>
    </w:p>
    <w:p w14:paraId="04201D4E"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基金管理人：</w:t>
      </w:r>
      <w:r w:rsidR="006118A2">
        <w:rPr>
          <w:rFonts w:ascii="宋体" w:hAnsi="宋体" w:hint="eastAsia"/>
          <w:b/>
          <w:sz w:val="24"/>
        </w:rPr>
        <w:t>南方基金管理股份有限公司</w:t>
      </w:r>
      <w:r>
        <w:rPr>
          <w:rFonts w:ascii="宋体" w:hAnsi="宋体" w:hint="eastAsia"/>
          <w:b/>
          <w:sz w:val="24"/>
        </w:rPr>
        <w:t>（章）</w:t>
      </w:r>
    </w:p>
    <w:p w14:paraId="5F10E338" w14:textId="77777777" w:rsidR="00F47A54" w:rsidRDefault="00F47A54" w:rsidP="00F47A54">
      <w:pPr>
        <w:adjustRightInd w:val="0"/>
        <w:snapToGrid w:val="0"/>
        <w:spacing w:line="360" w:lineRule="auto"/>
        <w:ind w:firstLine="400"/>
        <w:rPr>
          <w:rFonts w:ascii="宋体" w:hAnsi="宋体"/>
          <w:b/>
          <w:sz w:val="24"/>
        </w:rPr>
      </w:pPr>
    </w:p>
    <w:p w14:paraId="25E9C9CA" w14:textId="77777777" w:rsidR="00F47A54" w:rsidRDefault="00F47A54" w:rsidP="00F47A54">
      <w:pPr>
        <w:adjustRightInd w:val="0"/>
        <w:snapToGrid w:val="0"/>
        <w:spacing w:line="360" w:lineRule="auto"/>
        <w:ind w:firstLine="400"/>
        <w:rPr>
          <w:rFonts w:ascii="宋体" w:hAnsi="宋体"/>
          <w:b/>
          <w:sz w:val="24"/>
        </w:rPr>
      </w:pPr>
    </w:p>
    <w:p w14:paraId="14EF1A2F" w14:textId="77777777" w:rsidR="00F47A54" w:rsidRDefault="00F47A54" w:rsidP="00F47A54">
      <w:pPr>
        <w:adjustRightInd w:val="0"/>
        <w:snapToGrid w:val="0"/>
        <w:spacing w:line="360" w:lineRule="auto"/>
        <w:ind w:firstLine="400"/>
        <w:rPr>
          <w:rFonts w:ascii="宋体" w:hAnsi="宋体"/>
          <w:b/>
          <w:sz w:val="24"/>
        </w:rPr>
      </w:pPr>
    </w:p>
    <w:p w14:paraId="33CC41B6"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法定代表人或授权代表：                   （签字）</w:t>
      </w:r>
    </w:p>
    <w:p w14:paraId="3E01A548" w14:textId="77777777" w:rsidR="00F47A54" w:rsidRDefault="00F47A54" w:rsidP="00F47A54">
      <w:pPr>
        <w:adjustRightInd w:val="0"/>
        <w:snapToGrid w:val="0"/>
        <w:spacing w:line="360" w:lineRule="auto"/>
        <w:ind w:firstLine="400"/>
        <w:rPr>
          <w:rFonts w:ascii="宋体" w:hAnsi="宋体"/>
          <w:b/>
          <w:sz w:val="24"/>
        </w:rPr>
      </w:pPr>
    </w:p>
    <w:p w14:paraId="602E7D8B" w14:textId="77777777" w:rsidR="00F47A54" w:rsidRDefault="00F47A54" w:rsidP="00F47A54">
      <w:pPr>
        <w:adjustRightInd w:val="0"/>
        <w:snapToGrid w:val="0"/>
        <w:spacing w:line="360" w:lineRule="auto"/>
        <w:ind w:firstLine="400"/>
        <w:rPr>
          <w:rFonts w:ascii="宋体" w:hAnsi="宋体"/>
          <w:b/>
          <w:sz w:val="24"/>
        </w:rPr>
      </w:pPr>
    </w:p>
    <w:p w14:paraId="729314C9" w14:textId="77777777" w:rsidR="00F47A54" w:rsidRDefault="00F47A54" w:rsidP="00F47A54">
      <w:pPr>
        <w:adjustRightInd w:val="0"/>
        <w:snapToGrid w:val="0"/>
        <w:spacing w:line="360" w:lineRule="auto"/>
        <w:ind w:firstLine="400"/>
        <w:rPr>
          <w:rFonts w:ascii="宋体" w:hAnsi="宋体"/>
          <w:b/>
          <w:sz w:val="24"/>
        </w:rPr>
      </w:pPr>
    </w:p>
    <w:p w14:paraId="0F915450" w14:textId="77777777" w:rsidR="00F47A54" w:rsidRDefault="00F47A54" w:rsidP="00F47A54">
      <w:pPr>
        <w:adjustRightInd w:val="0"/>
        <w:snapToGrid w:val="0"/>
        <w:spacing w:line="360" w:lineRule="auto"/>
        <w:ind w:firstLine="400"/>
        <w:rPr>
          <w:rFonts w:ascii="宋体" w:hAnsi="宋体"/>
          <w:b/>
          <w:sz w:val="24"/>
        </w:rPr>
      </w:pPr>
    </w:p>
    <w:p w14:paraId="555C4D1D" w14:textId="77777777" w:rsidR="00F47A54" w:rsidRDefault="00F47A54" w:rsidP="00F47A54">
      <w:pPr>
        <w:adjustRightInd w:val="0"/>
        <w:snapToGrid w:val="0"/>
        <w:spacing w:line="360" w:lineRule="auto"/>
        <w:ind w:firstLine="400"/>
        <w:rPr>
          <w:rFonts w:ascii="宋体" w:hAnsi="宋体"/>
          <w:b/>
          <w:sz w:val="24"/>
        </w:rPr>
      </w:pPr>
      <w:r>
        <w:rPr>
          <w:rFonts w:ascii="宋体" w:hAnsi="宋体" w:hint="eastAsia"/>
          <w:b/>
          <w:sz w:val="24"/>
        </w:rPr>
        <w:t>签订地点：</w:t>
      </w:r>
      <w:r>
        <w:rPr>
          <w:rFonts w:ascii="宋体" w:hAnsi="宋体" w:hint="eastAsia"/>
          <w:b/>
          <w:sz w:val="24"/>
        </w:rPr>
        <w:tab/>
      </w:r>
      <w:r>
        <w:rPr>
          <w:rFonts w:ascii="宋体" w:hAnsi="宋体" w:hint="eastAsia"/>
          <w:b/>
          <w:sz w:val="24"/>
        </w:rPr>
        <w:tab/>
        <w:t>中国北京</w:t>
      </w:r>
    </w:p>
    <w:p w14:paraId="51073963" w14:textId="77777777" w:rsidR="00F47A54" w:rsidRDefault="00F47A54" w:rsidP="00F47A54">
      <w:pPr>
        <w:adjustRightInd w:val="0"/>
        <w:snapToGrid w:val="0"/>
        <w:spacing w:line="360" w:lineRule="auto"/>
        <w:ind w:firstLine="400"/>
        <w:rPr>
          <w:rFonts w:ascii="宋体" w:hAnsi="宋体"/>
        </w:rPr>
      </w:pPr>
      <w:r>
        <w:rPr>
          <w:rFonts w:ascii="宋体" w:hAnsi="宋体" w:hint="eastAsia"/>
          <w:b/>
          <w:sz w:val="24"/>
        </w:rPr>
        <w:t>签 订 日：</w:t>
      </w:r>
      <w:r w:rsidR="00C14735">
        <w:rPr>
          <w:rFonts w:ascii="宋体" w:hAnsi="宋体" w:hint="eastAsia"/>
          <w:b/>
          <w:sz w:val="24"/>
        </w:rPr>
        <w:t xml:space="preserve"> </w:t>
      </w:r>
      <w:r w:rsidR="00C14735">
        <w:rPr>
          <w:rFonts w:ascii="宋体" w:hAnsi="宋体"/>
          <w:b/>
          <w:sz w:val="24"/>
        </w:rPr>
        <w:t xml:space="preserve">   </w:t>
      </w:r>
      <w:r>
        <w:rPr>
          <w:rFonts w:ascii="宋体" w:hAnsi="宋体" w:hint="eastAsia"/>
          <w:b/>
          <w:sz w:val="24"/>
        </w:rPr>
        <w:t>年  月  日</w:t>
      </w:r>
      <w:r>
        <w:rPr>
          <w:rFonts w:ascii="宋体" w:hAnsi="宋体" w:hint="eastAsia"/>
        </w:rPr>
        <w:t xml:space="preserve"> </w:t>
      </w:r>
    </w:p>
    <w:p w14:paraId="1D315B5E" w14:textId="77777777" w:rsidR="00F47A54" w:rsidRDefault="00F47A54" w:rsidP="00F47A54">
      <w:pPr>
        <w:adjustRightInd w:val="0"/>
        <w:snapToGrid w:val="0"/>
        <w:spacing w:line="360" w:lineRule="auto"/>
        <w:ind w:firstLineChars="200" w:firstLine="420"/>
        <w:rPr>
          <w:rFonts w:ascii="宋体" w:hAnsi="宋体"/>
        </w:rPr>
      </w:pPr>
    </w:p>
    <w:p w14:paraId="098AD4CE" w14:textId="77777777" w:rsidR="006D481D" w:rsidRPr="00F47A54" w:rsidRDefault="006D481D"/>
    <w:sectPr w:rsidR="006D481D" w:rsidRPr="00F47A54" w:rsidSect="00217EEE">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BE4C" w16cex:dateUtc="2022-03-24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CA181" w16cid:durableId="25F1BE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5CD7" w14:textId="77777777" w:rsidR="00A5324C" w:rsidRDefault="00A5324C">
      <w:r>
        <w:separator/>
      </w:r>
    </w:p>
  </w:endnote>
  <w:endnote w:type="continuationSeparator" w:id="0">
    <w:p w14:paraId="58152027" w14:textId="77777777" w:rsidR="00A5324C" w:rsidRDefault="00A5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682A" w14:textId="77777777" w:rsidR="00785BEA" w:rsidRDefault="00785BEA" w:rsidP="00217EEE">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3328E6">
      <w:rPr>
        <w:rStyle w:val="afc"/>
        <w:noProof/>
      </w:rPr>
      <w:t>43</w:t>
    </w:r>
    <w:r>
      <w:rPr>
        <w:rStyle w:val="afc"/>
      </w:rPr>
      <w:fldChar w:fldCharType="end"/>
    </w:r>
  </w:p>
  <w:p w14:paraId="74B8E800" w14:textId="77777777" w:rsidR="00785BEA" w:rsidRDefault="00785BE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0A17" w14:textId="77777777" w:rsidR="00785BEA" w:rsidRPr="00217EEE" w:rsidRDefault="00785BEA" w:rsidP="00217EEE">
    <w:pPr>
      <w:pStyle w:val="ad"/>
      <w:framePr w:wrap="around" w:vAnchor="text" w:hAnchor="margin" w:xAlign="center" w:y="1"/>
      <w:rPr>
        <w:rStyle w:val="afc"/>
        <w:rFonts w:ascii="宋体" w:hAnsi="宋体"/>
        <w:sz w:val="21"/>
        <w:szCs w:val="21"/>
      </w:rPr>
    </w:pPr>
    <w:r>
      <w:rPr>
        <w:rStyle w:val="afc"/>
        <w:rFonts w:ascii="宋体" w:hAnsi="宋体" w:hint="eastAsia"/>
        <w:sz w:val="21"/>
        <w:szCs w:val="21"/>
      </w:rPr>
      <w:t>i</w:t>
    </w:r>
  </w:p>
  <w:p w14:paraId="4E60D71E" w14:textId="77777777" w:rsidR="00785BEA" w:rsidRDefault="00785BE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75A7" w14:textId="5EBF812E" w:rsidR="00785BEA" w:rsidRPr="00217EEE" w:rsidRDefault="00785BEA" w:rsidP="00803392">
    <w:pPr>
      <w:pStyle w:val="ad"/>
      <w:framePr w:wrap="around" w:vAnchor="text" w:hAnchor="margin" w:xAlign="center" w:y="1"/>
      <w:rPr>
        <w:rStyle w:val="afc"/>
        <w:rFonts w:ascii="宋体" w:hAnsi="宋体"/>
        <w:sz w:val="21"/>
        <w:szCs w:val="21"/>
      </w:rPr>
    </w:pPr>
    <w:r w:rsidRPr="00217EEE">
      <w:rPr>
        <w:rStyle w:val="afc"/>
        <w:rFonts w:ascii="宋体" w:hAnsi="宋体"/>
        <w:sz w:val="21"/>
        <w:szCs w:val="21"/>
      </w:rPr>
      <w:fldChar w:fldCharType="begin"/>
    </w:r>
    <w:r w:rsidRPr="00217EEE">
      <w:rPr>
        <w:rStyle w:val="afc"/>
        <w:rFonts w:ascii="宋体" w:hAnsi="宋体"/>
        <w:sz w:val="21"/>
        <w:szCs w:val="21"/>
      </w:rPr>
      <w:instrText xml:space="preserve">PAGE  </w:instrText>
    </w:r>
    <w:r w:rsidRPr="00217EEE">
      <w:rPr>
        <w:rStyle w:val="afc"/>
        <w:rFonts w:ascii="宋体" w:hAnsi="宋体"/>
        <w:sz w:val="21"/>
        <w:szCs w:val="21"/>
      </w:rPr>
      <w:fldChar w:fldCharType="separate"/>
    </w:r>
    <w:r w:rsidR="006A59D2">
      <w:rPr>
        <w:rStyle w:val="afc"/>
        <w:rFonts w:ascii="宋体" w:hAnsi="宋体"/>
        <w:noProof/>
        <w:sz w:val="21"/>
        <w:szCs w:val="21"/>
      </w:rPr>
      <w:t>18</w:t>
    </w:r>
    <w:r w:rsidRPr="00217EEE">
      <w:rPr>
        <w:rStyle w:val="afc"/>
        <w:rFonts w:ascii="宋体" w:hAnsi="宋体"/>
        <w:sz w:val="21"/>
        <w:szCs w:val="21"/>
      </w:rPr>
      <w:fldChar w:fldCharType="end"/>
    </w:r>
  </w:p>
  <w:p w14:paraId="077640C4" w14:textId="77777777" w:rsidR="00785BEA" w:rsidRDefault="00785BE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02D4" w14:textId="77777777" w:rsidR="00A5324C" w:rsidRDefault="00A5324C">
      <w:r>
        <w:separator/>
      </w:r>
    </w:p>
  </w:footnote>
  <w:footnote w:type="continuationSeparator" w:id="0">
    <w:p w14:paraId="675C7D2B" w14:textId="77777777" w:rsidR="00A5324C" w:rsidRDefault="00A5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D63C" w14:textId="77777777" w:rsidR="00303645" w:rsidRPr="00303645" w:rsidRDefault="00A5324C" w:rsidP="00303645">
    <w:pPr>
      <w:pStyle w:val="ac"/>
      <w:jc w:val="right"/>
    </w:pPr>
    <w:r>
      <w:rPr>
        <w:sz w:val="20"/>
      </w:rPr>
      <w:object w:dxaOrig="1440" w:dyaOrig="1440" w14:anchorId="4C8BC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5pt;width:166pt;height:18.9pt;z-index:251656704;visibility:visible;mso-wrap-edited:f">
          <v:imagedata r:id="rId1" o:title=""/>
          <w10:wrap type="topAndBottom" anchorx="page"/>
        </v:shape>
        <o:OLEObject Type="Embed" ProgID="Word.Picture.8" ShapeID="_x0000_s2049" DrawAspect="Content" ObjectID="_1774338481" r:id="rId2"/>
      </w:object>
    </w:r>
    <w:r w:rsidR="00303645">
      <w:rPr>
        <w:rFonts w:hint="eastAsia"/>
      </w:rPr>
      <w:t>南方全球精选配置证券投资基金托管协议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15CE" w14:textId="77777777" w:rsidR="00303645" w:rsidRPr="00303645" w:rsidRDefault="00A5324C" w:rsidP="00303645">
    <w:pPr>
      <w:pStyle w:val="ac"/>
      <w:jc w:val="right"/>
    </w:pPr>
    <w:r>
      <w:rPr>
        <w:sz w:val="20"/>
      </w:rPr>
      <w:object w:dxaOrig="1440" w:dyaOrig="1440" w14:anchorId="29E5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55pt;width:166pt;height:18.9pt;z-index:251657728;visibility:visible;mso-wrap-edited:f">
          <v:imagedata r:id="rId1" o:title=""/>
          <w10:wrap type="topAndBottom" anchorx="page"/>
        </v:shape>
        <o:OLEObject Type="Embed" ProgID="Word.Picture.8" ShapeID="_x0000_s2050" DrawAspect="Content" ObjectID="_1774338482" r:id="rId2"/>
      </w:object>
    </w:r>
    <w:r w:rsidR="00303645">
      <w:rPr>
        <w:rFonts w:hint="eastAsia"/>
      </w:rPr>
      <w:t>南方全球精选配置证券投资基金托管协议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A5D0" w14:textId="77777777" w:rsidR="00785BEA" w:rsidRPr="00303645" w:rsidRDefault="00A5324C" w:rsidP="00303645">
    <w:pPr>
      <w:pStyle w:val="ac"/>
      <w:jc w:val="right"/>
    </w:pPr>
    <w:r>
      <w:rPr>
        <w:sz w:val="20"/>
      </w:rPr>
      <w:object w:dxaOrig="1440" w:dyaOrig="1440" w14:anchorId="675B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75pt;width:166pt;height:18.9pt;z-index:251658752;visibility:visible;mso-wrap-edited:f">
          <v:imagedata r:id="rId1" o:title=""/>
          <w10:wrap type="topAndBottom" anchorx="page"/>
        </v:shape>
        <o:OLEObject Type="Embed" ProgID="Word.Picture.8" ShapeID="_x0000_s2051" DrawAspect="Content" ObjectID="_1774338483" r:id="rId2"/>
      </w:object>
    </w:r>
    <w:r w:rsidR="00303645">
      <w:rPr>
        <w:rFonts w:hint="eastAsia"/>
      </w:rPr>
      <w:t>南方全球精选配置证券投资基金托管协议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3D8EF086"/>
    <w:name w:val="AOApp"/>
    <w:lvl w:ilvl="0">
      <w:start w:val="1"/>
      <w:numFmt w:val="decimal"/>
      <w:pStyle w:val="AOGenNum2List"/>
      <w:suff w:val="nothing"/>
      <w:lvlText w:val="Appendix %1"/>
      <w:lvlJc w:val="left"/>
      <w:pPr>
        <w:ind w:left="0" w:firstLine="0"/>
      </w:pPr>
      <w:rPr>
        <w:b/>
        <w:i w:val="0"/>
      </w:rPr>
    </w:lvl>
    <w:lvl w:ilvl="1">
      <w:start w:val="1"/>
      <w:numFmt w:val="decimal"/>
      <w:pStyle w:val="AOGenNum3"/>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096C2ACA"/>
    <w:multiLevelType w:val="singleLevel"/>
    <w:tmpl w:val="78084282"/>
    <w:lvl w:ilvl="0">
      <w:start w:val="2"/>
      <w:numFmt w:val="japaneseCounting"/>
      <w:pStyle w:val="1"/>
      <w:lvlText w:val="（%1）"/>
      <w:lvlJc w:val="left"/>
      <w:pPr>
        <w:tabs>
          <w:tab w:val="num" w:pos="870"/>
        </w:tabs>
        <w:ind w:left="870" w:hanging="870"/>
      </w:pPr>
    </w:lvl>
  </w:abstractNum>
  <w:abstractNum w:abstractNumId="2" w15:restartNumberingAfterBreak="0">
    <w:nsid w:val="0B101077"/>
    <w:multiLevelType w:val="singleLevel"/>
    <w:tmpl w:val="D8D4D12C"/>
    <w:lvl w:ilvl="0">
      <w:start w:val="1"/>
      <w:numFmt w:val="decimal"/>
      <w:lvlText w:val="%1)"/>
      <w:lvlJc w:val="left"/>
      <w:pPr>
        <w:tabs>
          <w:tab w:val="num" w:pos="720"/>
        </w:tabs>
        <w:ind w:left="720" w:hanging="360"/>
      </w:pPr>
    </w:lvl>
  </w:abstractNum>
  <w:abstractNum w:abstractNumId="3" w15:restartNumberingAfterBreak="0">
    <w:nsid w:val="10F37ADE"/>
    <w:multiLevelType w:val="multilevel"/>
    <w:tmpl w:val="E648EFF4"/>
    <w:name w:val="AOList"/>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1F752FA"/>
    <w:multiLevelType w:val="hybridMultilevel"/>
    <w:tmpl w:val="02A60B6E"/>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35307FC"/>
    <w:multiLevelType w:val="hybridMultilevel"/>
    <w:tmpl w:val="88628AB4"/>
    <w:lvl w:ilvl="0" w:tplc="1744F7E2">
      <w:start w:val="2"/>
      <w:numFmt w:val="japaneseCounting"/>
      <w:lvlText w:val="%1、"/>
      <w:lvlJc w:val="left"/>
      <w:pPr>
        <w:tabs>
          <w:tab w:val="num" w:pos="840"/>
        </w:tabs>
        <w:ind w:left="840" w:hanging="420"/>
      </w:pPr>
      <w:rPr>
        <w:rFonts w:hint="default"/>
      </w:rPr>
    </w:lvl>
    <w:lvl w:ilvl="1" w:tplc="BA6E8EE6">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3FF5242"/>
    <w:multiLevelType w:val="hybridMultilevel"/>
    <w:tmpl w:val="DCB6BA26"/>
    <w:lvl w:ilvl="0" w:tplc="81CE3E04">
      <w:start w:val="1"/>
      <w:numFmt w:val="decimal"/>
      <w:lvlText w:val="(%1)"/>
      <w:lvlJc w:val="left"/>
      <w:pPr>
        <w:tabs>
          <w:tab w:val="num" w:pos="1545"/>
        </w:tabs>
        <w:ind w:left="1545" w:hanging="825"/>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B90064"/>
    <w:multiLevelType w:val="hybridMultilevel"/>
    <w:tmpl w:val="0054082A"/>
    <w:lvl w:ilvl="0" w:tplc="64129270">
      <w:start w:val="1"/>
      <w:numFmt w:val="decimal"/>
      <w:lvlText w:val="%1."/>
      <w:lvlJc w:val="left"/>
      <w:pPr>
        <w:tabs>
          <w:tab w:val="num" w:pos="1534"/>
        </w:tabs>
        <w:ind w:left="1534" w:hanging="567"/>
      </w:pPr>
      <w:rPr>
        <w:rFonts w:hint="eastAsia"/>
      </w:rPr>
    </w:lvl>
    <w:lvl w:ilvl="1" w:tplc="9706515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6B55A55"/>
    <w:multiLevelType w:val="hybridMultilevel"/>
    <w:tmpl w:val="06B48C02"/>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8D025E9"/>
    <w:multiLevelType w:val="hybridMultilevel"/>
    <w:tmpl w:val="1AB6FDF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B0661F6"/>
    <w:multiLevelType w:val="singleLevel"/>
    <w:tmpl w:val="11E6EC7E"/>
    <w:name w:val="AOBullet2"/>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224576BE"/>
    <w:multiLevelType w:val="hybridMultilevel"/>
    <w:tmpl w:val="543850C2"/>
    <w:lvl w:ilvl="0" w:tplc="11485756">
      <w:start w:val="1"/>
      <w:numFmt w:val="decimal"/>
      <w:lvlText w:val="（%1）"/>
      <w:lvlJc w:val="left"/>
      <w:pPr>
        <w:tabs>
          <w:tab w:val="num" w:pos="1560"/>
        </w:tabs>
        <w:ind w:left="15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30B0562"/>
    <w:multiLevelType w:val="hybridMultilevel"/>
    <w:tmpl w:val="5EBA8516"/>
    <w:lvl w:ilvl="0" w:tplc="C5A84BC6">
      <w:start w:val="1"/>
      <w:numFmt w:val="lowerLetter"/>
      <w:lvlText w:val="（%1）"/>
      <w:lvlJc w:val="left"/>
      <w:pPr>
        <w:tabs>
          <w:tab w:val="num" w:pos="2461"/>
        </w:tabs>
        <w:ind w:left="2461" w:hanging="720"/>
      </w:pPr>
      <w:rPr>
        <w:rFonts w:hint="eastAsia"/>
      </w:rPr>
    </w:lvl>
    <w:lvl w:ilvl="1" w:tplc="FCC0FE26">
      <w:start w:val="1"/>
      <w:numFmt w:val="decimal"/>
      <w:lvlText w:val="%2."/>
      <w:lvlJc w:val="left"/>
      <w:pPr>
        <w:tabs>
          <w:tab w:val="num" w:pos="2521"/>
        </w:tabs>
        <w:ind w:left="2521" w:hanging="360"/>
      </w:pPr>
      <w:rPr>
        <w:rFonts w:hint="eastAsia"/>
      </w:rPr>
    </w:lvl>
    <w:lvl w:ilvl="2" w:tplc="F7A8AAB2">
      <w:start w:val="1"/>
      <w:numFmt w:val="decimal"/>
      <w:lvlText w:val="（%3）"/>
      <w:lvlJc w:val="left"/>
      <w:pPr>
        <w:tabs>
          <w:tab w:val="num" w:pos="3301"/>
        </w:tabs>
        <w:ind w:left="3301" w:hanging="720"/>
      </w:pPr>
      <w:rPr>
        <w:rFonts w:hint="eastAsia"/>
      </w:rPr>
    </w:lvl>
    <w:lvl w:ilvl="3" w:tplc="1FCE97EE">
      <w:start w:val="1"/>
      <w:numFmt w:val="lowerLetter"/>
      <w:lvlText w:val="%4）"/>
      <w:lvlJc w:val="left"/>
      <w:pPr>
        <w:tabs>
          <w:tab w:val="num" w:pos="3706"/>
        </w:tabs>
        <w:ind w:left="3706" w:hanging="705"/>
      </w:pPr>
      <w:rPr>
        <w:rFonts w:hint="eastAsia"/>
      </w:rPr>
    </w:lvl>
    <w:lvl w:ilvl="4" w:tplc="04090019" w:tentative="1">
      <w:start w:val="1"/>
      <w:numFmt w:val="lowerLetter"/>
      <w:lvlText w:val="%5)"/>
      <w:lvlJc w:val="left"/>
      <w:pPr>
        <w:tabs>
          <w:tab w:val="num" w:pos="3841"/>
        </w:tabs>
        <w:ind w:left="3841" w:hanging="420"/>
      </w:pPr>
    </w:lvl>
    <w:lvl w:ilvl="5" w:tplc="0409001B" w:tentative="1">
      <w:start w:val="1"/>
      <w:numFmt w:val="lowerRoman"/>
      <w:lvlText w:val="%6."/>
      <w:lvlJc w:val="right"/>
      <w:pPr>
        <w:tabs>
          <w:tab w:val="num" w:pos="4261"/>
        </w:tabs>
        <w:ind w:left="4261" w:hanging="420"/>
      </w:pPr>
    </w:lvl>
    <w:lvl w:ilvl="6" w:tplc="0409000F" w:tentative="1">
      <w:start w:val="1"/>
      <w:numFmt w:val="decimal"/>
      <w:lvlText w:val="%7."/>
      <w:lvlJc w:val="left"/>
      <w:pPr>
        <w:tabs>
          <w:tab w:val="num" w:pos="4681"/>
        </w:tabs>
        <w:ind w:left="4681" w:hanging="420"/>
      </w:pPr>
    </w:lvl>
    <w:lvl w:ilvl="7" w:tplc="04090019" w:tentative="1">
      <w:start w:val="1"/>
      <w:numFmt w:val="lowerLetter"/>
      <w:lvlText w:val="%8)"/>
      <w:lvlJc w:val="left"/>
      <w:pPr>
        <w:tabs>
          <w:tab w:val="num" w:pos="5101"/>
        </w:tabs>
        <w:ind w:left="5101" w:hanging="420"/>
      </w:pPr>
    </w:lvl>
    <w:lvl w:ilvl="8" w:tplc="0409001B" w:tentative="1">
      <w:start w:val="1"/>
      <w:numFmt w:val="lowerRoman"/>
      <w:lvlText w:val="%9."/>
      <w:lvlJc w:val="right"/>
      <w:pPr>
        <w:tabs>
          <w:tab w:val="num" w:pos="5521"/>
        </w:tabs>
        <w:ind w:left="5521" w:hanging="420"/>
      </w:pPr>
    </w:lvl>
  </w:abstractNum>
  <w:abstractNum w:abstractNumId="13" w15:restartNumberingAfterBreak="0">
    <w:nsid w:val="27CD2A39"/>
    <w:multiLevelType w:val="hybridMultilevel"/>
    <w:tmpl w:val="DBC00EDC"/>
    <w:lvl w:ilvl="0" w:tplc="64129270">
      <w:start w:val="1"/>
      <w:numFmt w:val="decimal"/>
      <w:lvlText w:val="%1."/>
      <w:lvlJc w:val="left"/>
      <w:pPr>
        <w:tabs>
          <w:tab w:val="num" w:pos="1534"/>
        </w:tabs>
        <w:ind w:left="1534" w:hanging="567"/>
      </w:pPr>
      <w:rPr>
        <w:rFonts w:hint="eastAsia"/>
      </w:rPr>
    </w:lvl>
    <w:lvl w:ilvl="1" w:tplc="D6483C5E">
      <w:start w:val="1"/>
      <w:numFmt w:val="decimal"/>
      <w:lvlText w:val="%2、"/>
      <w:lvlJc w:val="left"/>
      <w:pPr>
        <w:tabs>
          <w:tab w:val="num" w:pos="780"/>
        </w:tabs>
        <w:ind w:left="780" w:hanging="360"/>
      </w:pPr>
      <w:rPr>
        <w:rFonts w:hint="eastAsia"/>
      </w:rPr>
    </w:lvl>
    <w:lvl w:ilvl="2" w:tplc="7F50C086">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1FA6DE9"/>
    <w:multiLevelType w:val="singleLevel"/>
    <w:tmpl w:val="FC38976C"/>
    <w:name w:val="AODoc222"/>
    <w:lvl w:ilvl="0">
      <w:start w:val="1"/>
      <w:numFmt w:val="bullet"/>
      <w:pStyle w:val="AOAnxPartHead"/>
      <w:lvlText w:val=""/>
      <w:lvlJc w:val="left"/>
      <w:pPr>
        <w:tabs>
          <w:tab w:val="num" w:pos="720"/>
        </w:tabs>
        <w:ind w:left="720" w:hanging="720"/>
      </w:pPr>
      <w:rPr>
        <w:rFonts w:ascii="Symbol" w:hAnsi="Symbol" w:hint="default"/>
      </w:rPr>
    </w:lvl>
  </w:abstractNum>
  <w:abstractNum w:abstractNumId="15" w15:restartNumberingAfterBreak="0">
    <w:nsid w:val="343E6410"/>
    <w:multiLevelType w:val="hybridMultilevel"/>
    <w:tmpl w:val="029A3944"/>
    <w:lvl w:ilvl="0" w:tplc="5B24FD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47521E1"/>
    <w:multiLevelType w:val="hybridMultilevel"/>
    <w:tmpl w:val="BE9E5DC2"/>
    <w:lvl w:ilvl="0" w:tplc="3140CC10">
      <w:start w:val="1"/>
      <w:numFmt w:val="japaneseCounting"/>
      <w:lvlText w:val="（%1）"/>
      <w:lvlJc w:val="left"/>
      <w:pPr>
        <w:tabs>
          <w:tab w:val="num" w:pos="855"/>
        </w:tabs>
        <w:ind w:left="855" w:hanging="855"/>
      </w:pPr>
    </w:lvl>
    <w:lvl w:ilvl="1" w:tplc="8772C700">
      <w:start w:val="1"/>
      <w:numFmt w:val="decimal"/>
      <w:lvlText w:val="%2、"/>
      <w:lvlJc w:val="left"/>
      <w:pPr>
        <w:tabs>
          <w:tab w:val="num" w:pos="1140"/>
        </w:tabs>
        <w:ind w:left="0" w:firstLine="420"/>
      </w:pPr>
    </w:lvl>
    <w:lvl w:ilvl="2" w:tplc="CFC69184">
      <w:start w:val="1"/>
      <w:numFmt w:val="decimal"/>
      <w:lvlText w:val="%3)"/>
      <w:lvlJc w:val="left"/>
      <w:pPr>
        <w:tabs>
          <w:tab w:val="num" w:pos="964"/>
        </w:tabs>
        <w:ind w:left="964" w:hanging="397"/>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A5502A3"/>
    <w:multiLevelType w:val="hybridMultilevel"/>
    <w:tmpl w:val="CBECB95C"/>
    <w:lvl w:ilvl="0" w:tplc="3FDE96AA">
      <w:start w:val="1"/>
      <w:numFmt w:val="lowerLetter"/>
      <w:lvlText w:val="%1"/>
      <w:lvlJc w:val="left"/>
      <w:pPr>
        <w:tabs>
          <w:tab w:val="num" w:pos="3537"/>
        </w:tabs>
        <w:ind w:left="3537" w:hanging="7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AC67AF5"/>
    <w:multiLevelType w:val="hybridMultilevel"/>
    <w:tmpl w:val="136EC0E0"/>
    <w:lvl w:ilvl="0" w:tplc="5A2EF268">
      <w:start w:val="1"/>
      <w:numFmt w:val="decimal"/>
      <w:lvlText w:val="%1、"/>
      <w:lvlJc w:val="left"/>
      <w:pPr>
        <w:tabs>
          <w:tab w:val="num" w:pos="760"/>
        </w:tabs>
        <w:ind w:left="760" w:hanging="360"/>
      </w:pPr>
      <w:rPr>
        <w:rFonts w:hint="eastAsia"/>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20" w15:restartNumberingAfterBreak="0">
    <w:nsid w:val="3CC75E17"/>
    <w:multiLevelType w:val="hybridMultilevel"/>
    <w:tmpl w:val="9C1C6164"/>
    <w:lvl w:ilvl="0" w:tplc="46DCEBB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3D0E7D39"/>
    <w:multiLevelType w:val="multilevel"/>
    <w:tmpl w:val="0BB21CC0"/>
    <w:name w:val="AOTOC67"/>
    <w:lvl w:ilvl="0">
      <w:start w:val="1"/>
      <w:numFmt w:val="decimal"/>
      <w:pStyle w:val="AOGenNum3List"/>
      <w:suff w:val="nothing"/>
      <w:lvlText w:val="Schedule %1"/>
      <w:lvlJc w:val="left"/>
      <w:pPr>
        <w:ind w:left="0" w:firstLine="0"/>
      </w:pPr>
      <w:rPr>
        <w:b/>
        <w:i w:val="0"/>
      </w:rPr>
    </w:lvl>
    <w:lvl w:ilvl="1">
      <w:start w:val="1"/>
      <w:numFmt w:val="decimal"/>
      <w:pStyle w:val="AOHead1"/>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3DAC2829"/>
    <w:multiLevelType w:val="singleLevel"/>
    <w:tmpl w:val="F12E0C8C"/>
    <w:lvl w:ilvl="0">
      <w:start w:val="1"/>
      <w:numFmt w:val="decimal"/>
      <w:pStyle w:val="2"/>
      <w:lvlText w:val="(%1)"/>
      <w:lvlJc w:val="left"/>
      <w:pPr>
        <w:tabs>
          <w:tab w:val="num" w:pos="907"/>
        </w:tabs>
        <w:ind w:left="907" w:hanging="482"/>
      </w:pPr>
    </w:lvl>
  </w:abstractNum>
  <w:abstractNum w:abstractNumId="23" w15:restartNumberingAfterBreak="0">
    <w:nsid w:val="3E29759A"/>
    <w:multiLevelType w:val="multilevel"/>
    <w:tmpl w:val="75246DD8"/>
    <w:lvl w:ilvl="0">
      <w:start w:val="1"/>
      <w:numFmt w:val="decimal"/>
      <w:pStyle w:val="AOAltHead6"/>
      <w:lvlText w:val="%1."/>
      <w:lvlJc w:val="left"/>
      <w:pPr>
        <w:tabs>
          <w:tab w:val="num" w:pos="720"/>
        </w:tabs>
        <w:ind w:left="720" w:hanging="720"/>
      </w:pPr>
    </w:lvl>
    <w:lvl w:ilvl="1">
      <w:start w:val="1"/>
      <w:numFmt w:val="decimal"/>
      <w:pStyle w:val="AOListNumber"/>
      <w:lvlText w:val="%1.%2"/>
      <w:lvlJc w:val="left"/>
      <w:pPr>
        <w:tabs>
          <w:tab w:val="num" w:pos="720"/>
        </w:tabs>
        <w:ind w:left="720" w:hanging="720"/>
      </w:pPr>
    </w:lvl>
    <w:lvl w:ilvl="2">
      <w:start w:val="1"/>
      <w:numFmt w:val="lowerLetter"/>
      <w:pStyle w:val="AOBullet2"/>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0826EFB"/>
    <w:multiLevelType w:val="hybridMultilevel"/>
    <w:tmpl w:val="9DECF2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1F230E7"/>
    <w:multiLevelType w:val="singleLevel"/>
    <w:tmpl w:val="19AC5DB2"/>
    <w:name w:val="AOBullet4"/>
    <w:lvl w:ilvl="0">
      <w:start w:val="1"/>
      <w:numFmt w:val="bullet"/>
      <w:lvlText w:val=""/>
      <w:lvlJc w:val="left"/>
      <w:pPr>
        <w:tabs>
          <w:tab w:val="num" w:pos="720"/>
        </w:tabs>
        <w:ind w:left="720" w:hanging="720"/>
      </w:pPr>
      <w:rPr>
        <w:rFonts w:ascii="Wingdings" w:hAnsi="Wingdings" w:hint="default"/>
      </w:rPr>
    </w:lvl>
  </w:abstractNum>
  <w:abstractNum w:abstractNumId="26" w15:restartNumberingAfterBreak="0">
    <w:nsid w:val="44EA10BA"/>
    <w:multiLevelType w:val="hybridMultilevel"/>
    <w:tmpl w:val="E722B6D6"/>
    <w:lvl w:ilvl="0" w:tplc="11485756">
      <w:start w:val="1"/>
      <w:numFmt w:val="decimal"/>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7321FBC"/>
    <w:multiLevelType w:val="hybridMultilevel"/>
    <w:tmpl w:val="65224AD2"/>
    <w:lvl w:ilvl="0" w:tplc="0409001B">
      <w:start w:val="1"/>
      <w:numFmt w:val="lowerRoman"/>
      <w:lvlText w:val="%1."/>
      <w:lvlJc w:val="right"/>
      <w:pPr>
        <w:tabs>
          <w:tab w:val="num" w:pos="1260"/>
        </w:tabs>
        <w:ind w:left="126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Headings"/>
      <w:suff w:val="nothing"/>
      <w:lvlText w:val=""/>
      <w:lvlJc w:val="left"/>
      <w:pPr>
        <w:ind w:left="1980" w:firstLine="0"/>
      </w:pPr>
    </w:lvl>
    <w:lvl w:ilvl="2">
      <w:start w:val="1"/>
      <w:numFmt w:val="none"/>
      <w:pStyle w:val="AOHead2"/>
      <w:suff w:val="nothing"/>
      <w:lvlText w:val=""/>
      <w:lvlJc w:val="left"/>
      <w:pPr>
        <w:ind w:left="2700" w:firstLine="0"/>
      </w:pPr>
    </w:lvl>
    <w:lvl w:ilvl="3">
      <w:start w:val="1"/>
      <w:numFmt w:val="none"/>
      <w:pStyle w:val="AOHead3"/>
      <w:suff w:val="nothing"/>
      <w:lvlText w:val=""/>
      <w:lvlJc w:val="left"/>
      <w:pPr>
        <w:ind w:left="3420" w:firstLine="0"/>
      </w:pPr>
    </w:lvl>
    <w:lvl w:ilvl="4">
      <w:start w:val="1"/>
      <w:numFmt w:val="none"/>
      <w:pStyle w:val="AOHead4"/>
      <w:suff w:val="nothing"/>
      <w:lvlText w:val=""/>
      <w:lvlJc w:val="left"/>
      <w:pPr>
        <w:ind w:left="4140" w:firstLine="0"/>
      </w:pPr>
    </w:lvl>
    <w:lvl w:ilvl="5">
      <w:start w:val="1"/>
      <w:numFmt w:val="none"/>
      <w:pStyle w:val="AOHead5"/>
      <w:suff w:val="nothing"/>
      <w:lvlText w:val=""/>
      <w:lvlJc w:val="left"/>
      <w:pPr>
        <w:ind w:left="4860" w:firstLine="0"/>
      </w:pPr>
    </w:lvl>
    <w:lvl w:ilvl="6">
      <w:start w:val="1"/>
      <w:numFmt w:val="none"/>
      <w:pStyle w:val="AOHead6"/>
      <w:suff w:val="nothing"/>
      <w:lvlText w:val=""/>
      <w:lvlJc w:val="left"/>
      <w:pPr>
        <w:ind w:left="5580" w:firstLine="0"/>
      </w:pPr>
    </w:lvl>
    <w:lvl w:ilvl="7">
      <w:start w:val="1"/>
      <w:numFmt w:val="none"/>
      <w:pStyle w:val="AOAltHead1"/>
      <w:suff w:val="nothing"/>
      <w:lvlText w:val=""/>
      <w:lvlJc w:val="left"/>
      <w:pPr>
        <w:ind w:left="6300" w:firstLine="0"/>
      </w:pPr>
    </w:lvl>
    <w:lvl w:ilvl="8">
      <w:start w:val="1"/>
      <w:numFmt w:val="none"/>
      <w:pStyle w:val="AOAltHead2"/>
      <w:suff w:val="nothing"/>
      <w:lvlText w:val=""/>
      <w:lvlJc w:val="left"/>
      <w:pPr>
        <w:ind w:left="7020" w:firstLine="0"/>
      </w:pPr>
    </w:lvl>
  </w:abstractNum>
  <w:abstractNum w:abstractNumId="29" w15:restartNumberingAfterBreak="0">
    <w:nsid w:val="47B238E7"/>
    <w:multiLevelType w:val="multilevel"/>
    <w:tmpl w:val="B9F6B264"/>
    <w:name w:val="AODoc"/>
    <w:lvl w:ilvl="0">
      <w:start w:val="1"/>
      <w:numFmt w:val="decimal"/>
      <w:pStyle w:val="AOBullet3"/>
      <w:lvlText w:val="%1."/>
      <w:lvlJc w:val="left"/>
      <w:pPr>
        <w:tabs>
          <w:tab w:val="num" w:pos="720"/>
        </w:tabs>
        <w:ind w:left="720" w:hanging="720"/>
      </w:pPr>
    </w:lvl>
    <w:lvl w:ilvl="1">
      <w:start w:val="1"/>
      <w:numFmt w:val="decimal"/>
      <w:pStyle w:val="AOBullet4"/>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62968DB0"/>
    <w:name w:val="AOGen3"/>
    <w:lvl w:ilvl="0">
      <w:start w:val="1"/>
      <w:numFmt w:val="decimal"/>
      <w:pStyle w:val="AOGenNum2"/>
      <w:suff w:val="nothing"/>
      <w:lvlText w:val="Annex %1"/>
      <w:lvlJc w:val="left"/>
      <w:pPr>
        <w:ind w:left="0" w:firstLine="0"/>
      </w:pPr>
      <w:rPr>
        <w:b/>
        <w:i w:val="0"/>
      </w:rPr>
    </w:lvl>
    <w:lvl w:ilvl="1">
      <w:start w:val="1"/>
      <w:numFmt w:val="decimal"/>
      <w:pStyle w:val="AOGenNum2Para"/>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4C116A79"/>
    <w:multiLevelType w:val="hybridMultilevel"/>
    <w:tmpl w:val="04489BF4"/>
    <w:lvl w:ilvl="0" w:tplc="46DCEBB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CFE7B09"/>
    <w:multiLevelType w:val="multilevel"/>
    <w:tmpl w:val="94F29B5C"/>
    <w:name w:val="AOAnx"/>
    <w:lvl w:ilvl="0">
      <w:start w:val="1"/>
      <w:numFmt w:val="decimal"/>
      <w:pStyle w:val="AOGenNum1Par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15:restartNumberingAfterBreak="0">
    <w:nsid w:val="4E4B4E3E"/>
    <w:multiLevelType w:val="multilevel"/>
    <w:tmpl w:val="EFA8A052"/>
    <w:name w:val="AO1"/>
    <w:lvl w:ilvl="0">
      <w:start w:val="1"/>
      <w:numFmt w:val="decimal"/>
      <w:pStyle w:val="a"/>
      <w:lvlText w:val="%1."/>
      <w:lvlJc w:val="left"/>
      <w:pPr>
        <w:tabs>
          <w:tab w:val="num" w:pos="720"/>
        </w:tabs>
        <w:ind w:left="720" w:hanging="720"/>
      </w:pPr>
    </w:lvl>
    <w:lvl w:ilvl="1">
      <w:start w:val="1"/>
      <w:numFmt w:val="decimal"/>
      <w:pStyle w:val="a0"/>
      <w:lvlText w:val="%1.%2"/>
      <w:lvlJc w:val="left"/>
      <w:pPr>
        <w:tabs>
          <w:tab w:val="num" w:pos="720"/>
        </w:tabs>
        <w:ind w:left="720" w:hanging="720"/>
      </w:pPr>
    </w:lvl>
    <w:lvl w:ilvl="2">
      <w:start w:val="1"/>
      <w:numFmt w:val="lowerLetter"/>
      <w:pStyle w:val="a1"/>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52C231F1"/>
    <w:multiLevelType w:val="hybridMultilevel"/>
    <w:tmpl w:val="5434B13C"/>
    <w:lvl w:ilvl="0" w:tplc="9CBEBF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54852B3E"/>
    <w:multiLevelType w:val="hybridMultilevel"/>
    <w:tmpl w:val="67940E44"/>
    <w:lvl w:ilvl="0" w:tplc="0409001B">
      <w:start w:val="1"/>
      <w:numFmt w:val="lowerRoman"/>
      <w:lvlText w:val="%1."/>
      <w:lvlJc w:val="right"/>
      <w:pPr>
        <w:tabs>
          <w:tab w:val="num" w:pos="840"/>
        </w:tabs>
        <w:ind w:left="84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2830D10"/>
    <w:multiLevelType w:val="multilevel"/>
    <w:tmpl w:val="8604AE3C"/>
    <w:name w:val="AOTOC34"/>
    <w:lvl w:ilvl="0">
      <w:start w:val="1"/>
      <w:numFmt w:val="upperLetter"/>
      <w:pStyle w:val="AOGenNum1List"/>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65164B80"/>
    <w:multiLevelType w:val="multilevel"/>
    <w:tmpl w:val="04090025"/>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6F025FAA"/>
    <w:multiLevelType w:val="multilevel"/>
    <w:tmpl w:val="A4B67268"/>
    <w:lvl w:ilvl="0">
      <w:start w:val="1"/>
      <w:numFmt w:val="none"/>
      <w:pStyle w:val="AODocTxtL8"/>
      <w:suff w:val="nothing"/>
      <w:lvlText w:val=""/>
      <w:lvlJc w:val="left"/>
      <w:pPr>
        <w:ind w:left="720" w:firstLine="0"/>
      </w:pPr>
      <w:rPr>
        <w:rFonts w:ascii="Times New Roman" w:hAnsi="Times New Roman"/>
        <w:b/>
        <w:i w:val="0"/>
        <w:caps/>
        <w:smallCaps w:val="0"/>
        <w:sz w:val="22"/>
      </w:rPr>
    </w:lvl>
    <w:lvl w:ilvl="1">
      <w:start w:val="1"/>
      <w:numFmt w:val="none"/>
      <w:pStyle w:val="AOGenNum1"/>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6F8D3D7A"/>
    <w:multiLevelType w:val="singleLevel"/>
    <w:tmpl w:val="7FC4EED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lvl>
    <w:lvl w:ilvl="1" w:tplc="F21A52DA">
      <w:start w:val="1"/>
      <w:numFmt w:val="decimal"/>
      <w:lvlText w:val="%2、"/>
      <w:lvlJc w:val="left"/>
      <w:pPr>
        <w:tabs>
          <w:tab w:val="num" w:pos="780"/>
        </w:tabs>
        <w:ind w:left="0" w:firstLine="420"/>
      </w:pPr>
    </w:lvl>
    <w:lvl w:ilvl="2" w:tplc="2B269BF6">
      <w:start w:val="1"/>
      <w:numFmt w:val="chineseCountingThousand"/>
      <w:lvlText w:val="（%3）"/>
      <w:lvlJc w:val="left"/>
      <w:pPr>
        <w:tabs>
          <w:tab w:val="num" w:pos="720"/>
        </w:tabs>
        <w:ind w:left="0" w:firstLine="0"/>
      </w:pPr>
    </w:lvl>
    <w:lvl w:ilvl="3" w:tplc="19EA9258">
      <w:start w:val="1"/>
      <w:numFmt w:val="decimal"/>
      <w:lvlText w:val="（%4）"/>
      <w:lvlJc w:val="left"/>
      <w:pPr>
        <w:tabs>
          <w:tab w:val="num" w:pos="2100"/>
        </w:tabs>
        <w:ind w:left="2100" w:hanging="8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1544F7"/>
    <w:multiLevelType w:val="multilevel"/>
    <w:tmpl w:val="49465C80"/>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15:restartNumberingAfterBreak="0">
    <w:nsid w:val="79A74FA6"/>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D8E09DF"/>
    <w:multiLevelType w:val="hybridMultilevel"/>
    <w:tmpl w:val="B5946F8C"/>
    <w:lvl w:ilvl="0" w:tplc="0409000B">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22"/>
    <w:lvlOverride w:ilvl="0">
      <w:startOverride w:val="1"/>
    </w:lvlOverride>
  </w:num>
  <w:num w:numId="3">
    <w:abstractNumId w:val="1"/>
    <w:lvlOverride w:ilvl="0">
      <w:startOverride w:val="2"/>
    </w:lvlOverride>
  </w:num>
  <w:num w:numId="4">
    <w:abstractNumId w:val="16"/>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6"/>
  </w:num>
  <w:num w:numId="9">
    <w:abstractNumId w:val="20"/>
  </w:num>
  <w:num w:numId="10">
    <w:abstractNumId w:val="14"/>
  </w:num>
  <w:num w:numId="11">
    <w:abstractNumId w:val="38"/>
  </w:num>
  <w:num w:numId="12">
    <w:abstractNumId w:val="32"/>
  </w:num>
  <w:num w:numId="13">
    <w:abstractNumId w:val="36"/>
  </w:num>
  <w:num w:numId="14">
    <w:abstractNumId w:val="30"/>
  </w:num>
  <w:num w:numId="15">
    <w:abstractNumId w:val="0"/>
  </w:num>
  <w:num w:numId="16">
    <w:abstractNumId w:val="21"/>
  </w:num>
  <w:num w:numId="17">
    <w:abstractNumId w:val="28"/>
  </w:num>
  <w:num w:numId="18">
    <w:abstractNumId w:val="41"/>
  </w:num>
  <w:num w:numId="19">
    <w:abstractNumId w:val="23"/>
  </w:num>
  <w:num w:numId="20">
    <w:abstractNumId w:val="29"/>
  </w:num>
  <w:num w:numId="21">
    <w:abstractNumId w:val="33"/>
  </w:num>
  <w:num w:numId="22">
    <w:abstractNumId w:val="3"/>
  </w:num>
  <w:num w:numId="23">
    <w:abstractNumId w:val="10"/>
  </w:num>
  <w:num w:numId="24">
    <w:abstractNumId w:val="39"/>
  </w:num>
  <w:num w:numId="25">
    <w:abstractNumId w:val="25"/>
  </w:num>
  <w:num w:numId="26">
    <w:abstractNumId w:val="6"/>
  </w:num>
  <w:num w:numId="27">
    <w:abstractNumId w:val="17"/>
  </w:num>
  <w:num w:numId="28">
    <w:abstractNumId w:val="2"/>
  </w:num>
  <w:num w:numId="29">
    <w:abstractNumId w:val="3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11"/>
  </w:num>
  <w:num w:numId="34">
    <w:abstractNumId w:val="31"/>
  </w:num>
  <w:num w:numId="35">
    <w:abstractNumId w:val="12"/>
  </w:num>
  <w:num w:numId="36">
    <w:abstractNumId w:val="18"/>
  </w:num>
  <w:num w:numId="37">
    <w:abstractNumId w:val="13"/>
  </w:num>
  <w:num w:numId="38">
    <w:abstractNumId w:val="9"/>
  </w:num>
  <w:num w:numId="39">
    <w:abstractNumId w:val="7"/>
  </w:num>
  <w:num w:numId="40">
    <w:abstractNumId w:val="19"/>
  </w:num>
  <w:num w:numId="41">
    <w:abstractNumId w:val="5"/>
  </w:num>
  <w:num w:numId="42">
    <w:abstractNumId w:val="43"/>
  </w:num>
  <w:num w:numId="43">
    <w:abstractNumId w:val="27"/>
  </w:num>
  <w:num w:numId="44">
    <w:abstractNumId w:val="4"/>
  </w:num>
  <w:num w:numId="45">
    <w:abstractNumId w:val="2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54"/>
    <w:rsid w:val="000041AD"/>
    <w:rsid w:val="00017CAD"/>
    <w:rsid w:val="00024958"/>
    <w:rsid w:val="00075242"/>
    <w:rsid w:val="000B7C68"/>
    <w:rsid w:val="000C146D"/>
    <w:rsid w:val="000E5AA1"/>
    <w:rsid w:val="000F1DD6"/>
    <w:rsid w:val="001244ED"/>
    <w:rsid w:val="00131591"/>
    <w:rsid w:val="0016313F"/>
    <w:rsid w:val="001975DC"/>
    <w:rsid w:val="001C1A57"/>
    <w:rsid w:val="001C4F41"/>
    <w:rsid w:val="001D75A8"/>
    <w:rsid w:val="001E24E3"/>
    <w:rsid w:val="001E5097"/>
    <w:rsid w:val="00203BC8"/>
    <w:rsid w:val="00217EEE"/>
    <w:rsid w:val="00245912"/>
    <w:rsid w:val="00283300"/>
    <w:rsid w:val="0029515F"/>
    <w:rsid w:val="002E2399"/>
    <w:rsid w:val="002E2D03"/>
    <w:rsid w:val="00303645"/>
    <w:rsid w:val="00324EF5"/>
    <w:rsid w:val="003328E6"/>
    <w:rsid w:val="00356827"/>
    <w:rsid w:val="003971BD"/>
    <w:rsid w:val="00400D36"/>
    <w:rsid w:val="004467F4"/>
    <w:rsid w:val="00480B39"/>
    <w:rsid w:val="00531D4A"/>
    <w:rsid w:val="005603E4"/>
    <w:rsid w:val="005E5411"/>
    <w:rsid w:val="00603AF6"/>
    <w:rsid w:val="006118A2"/>
    <w:rsid w:val="00665DD2"/>
    <w:rsid w:val="006A053C"/>
    <w:rsid w:val="006A59D2"/>
    <w:rsid w:val="006D481D"/>
    <w:rsid w:val="00700FCA"/>
    <w:rsid w:val="00701423"/>
    <w:rsid w:val="0070704E"/>
    <w:rsid w:val="00714EE8"/>
    <w:rsid w:val="0072374B"/>
    <w:rsid w:val="00730884"/>
    <w:rsid w:val="00785BEA"/>
    <w:rsid w:val="00792DA1"/>
    <w:rsid w:val="007B5E72"/>
    <w:rsid w:val="007D6A77"/>
    <w:rsid w:val="007E5801"/>
    <w:rsid w:val="007F0E1A"/>
    <w:rsid w:val="007F7DBE"/>
    <w:rsid w:val="00803392"/>
    <w:rsid w:val="008A140B"/>
    <w:rsid w:val="008D043C"/>
    <w:rsid w:val="009121DE"/>
    <w:rsid w:val="0093187D"/>
    <w:rsid w:val="00947389"/>
    <w:rsid w:val="009833DC"/>
    <w:rsid w:val="009C38A4"/>
    <w:rsid w:val="009F5B0E"/>
    <w:rsid w:val="00A368D0"/>
    <w:rsid w:val="00A50108"/>
    <w:rsid w:val="00A50DAA"/>
    <w:rsid w:val="00A5324C"/>
    <w:rsid w:val="00A657A2"/>
    <w:rsid w:val="00A745EF"/>
    <w:rsid w:val="00B115D4"/>
    <w:rsid w:val="00B13269"/>
    <w:rsid w:val="00B67F16"/>
    <w:rsid w:val="00BB2E50"/>
    <w:rsid w:val="00BB713E"/>
    <w:rsid w:val="00BF23F2"/>
    <w:rsid w:val="00C14735"/>
    <w:rsid w:val="00C57F7A"/>
    <w:rsid w:val="00CB3AE6"/>
    <w:rsid w:val="00CC1C5E"/>
    <w:rsid w:val="00CE0369"/>
    <w:rsid w:val="00CE414B"/>
    <w:rsid w:val="00CF1F76"/>
    <w:rsid w:val="00D077E4"/>
    <w:rsid w:val="00D2735A"/>
    <w:rsid w:val="00D45ED9"/>
    <w:rsid w:val="00D6464F"/>
    <w:rsid w:val="00D95E82"/>
    <w:rsid w:val="00DB0240"/>
    <w:rsid w:val="00DB3875"/>
    <w:rsid w:val="00DD48DF"/>
    <w:rsid w:val="00DD4C69"/>
    <w:rsid w:val="00DE452F"/>
    <w:rsid w:val="00DF519D"/>
    <w:rsid w:val="00E15B81"/>
    <w:rsid w:val="00EC69B5"/>
    <w:rsid w:val="00F12D33"/>
    <w:rsid w:val="00F13E3E"/>
    <w:rsid w:val="00F326D3"/>
    <w:rsid w:val="00F47A54"/>
    <w:rsid w:val="00F606CD"/>
    <w:rsid w:val="00FE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2"/>
    <o:shapelayout v:ext="edit">
      <o:idmap v:ext="edit" data="1"/>
    </o:shapelayout>
  </w:shapeDefaults>
  <w:decimalSymbol w:val="."/>
  <w:listSeparator w:val=","/>
  <w14:docId w14:val="06F8DB54"/>
  <w15:chartTrackingRefBased/>
  <w15:docId w15:val="{A7F5AE6A-AFCA-4856-A88E-6A32E318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47A54"/>
    <w:pPr>
      <w:widowControl w:val="0"/>
      <w:jc w:val="both"/>
    </w:pPr>
    <w:rPr>
      <w:kern w:val="2"/>
      <w:sz w:val="21"/>
      <w:szCs w:val="24"/>
    </w:rPr>
  </w:style>
  <w:style w:type="paragraph" w:styleId="10">
    <w:name w:val="heading 1"/>
    <w:aliases w:val="H1,Heading 0"/>
    <w:basedOn w:val="a2"/>
    <w:next w:val="a2"/>
    <w:qFormat/>
    <w:rsid w:val="00F47A54"/>
    <w:pPr>
      <w:keepNext/>
      <w:keepLines/>
      <w:numPr>
        <w:numId w:val="1"/>
      </w:numPr>
      <w:spacing w:before="340" w:after="330" w:line="576" w:lineRule="auto"/>
      <w:outlineLvl w:val="0"/>
    </w:pPr>
    <w:rPr>
      <w:b/>
      <w:bCs/>
      <w:kern w:val="44"/>
      <w:sz w:val="44"/>
      <w:szCs w:val="44"/>
    </w:rPr>
  </w:style>
  <w:style w:type="paragraph" w:styleId="20">
    <w:name w:val="heading 2"/>
    <w:aliases w:val="H2,Heading 2 Hidden,Heading 2 CCBS"/>
    <w:basedOn w:val="a2"/>
    <w:next w:val="a2"/>
    <w:qFormat/>
    <w:rsid w:val="00F47A54"/>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2"/>
    <w:next w:val="a2"/>
    <w:qFormat/>
    <w:rsid w:val="00F47A54"/>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2"/>
    <w:next w:val="a2"/>
    <w:qFormat/>
    <w:rsid w:val="00F47A54"/>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2"/>
    <w:next w:val="a2"/>
    <w:qFormat/>
    <w:rsid w:val="00F47A54"/>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2"/>
    <w:next w:val="a2"/>
    <w:qFormat/>
    <w:rsid w:val="00F47A54"/>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2"/>
    <w:next w:val="a2"/>
    <w:qFormat/>
    <w:rsid w:val="00F47A54"/>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2"/>
    <w:next w:val="a2"/>
    <w:qFormat/>
    <w:rsid w:val="00F47A54"/>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2"/>
    <w:next w:val="a2"/>
    <w:qFormat/>
    <w:rsid w:val="00F47A54"/>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F47A54"/>
    <w:rPr>
      <w:rFonts w:eastAsia="宋体"/>
      <w:color w:val="0000FF"/>
      <w:kern w:val="2"/>
      <w:sz w:val="24"/>
      <w:szCs w:val="24"/>
      <w:u w:val="single"/>
      <w:lang w:val="en-US" w:eastAsia="zh-CN" w:bidi="ar-SA"/>
    </w:rPr>
  </w:style>
  <w:style w:type="character" w:styleId="a7">
    <w:name w:val="FollowedHyperlink"/>
    <w:rsid w:val="00F47A54"/>
    <w:rPr>
      <w:rFonts w:eastAsia="宋体"/>
      <w:color w:val="800080"/>
      <w:kern w:val="2"/>
      <w:sz w:val="24"/>
      <w:szCs w:val="24"/>
      <w:u w:val="single"/>
      <w:lang w:val="en-US" w:eastAsia="zh-CN" w:bidi="ar-SA"/>
    </w:rPr>
  </w:style>
  <w:style w:type="paragraph" w:styleId="a8">
    <w:name w:val="Normal (Web)"/>
    <w:basedOn w:val="a2"/>
    <w:rsid w:val="00F47A54"/>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2"/>
    <w:next w:val="a2"/>
    <w:autoRedefine/>
    <w:semiHidden/>
    <w:rsid w:val="00F47A54"/>
    <w:pPr>
      <w:spacing w:line="360" w:lineRule="auto"/>
      <w:ind w:firstLineChars="200" w:firstLine="422"/>
      <w:outlineLvl w:val="0"/>
    </w:pPr>
    <w:rPr>
      <w:rFonts w:ascii="宋体" w:hAnsi="宋体"/>
      <w:b/>
      <w:bCs/>
      <w:color w:val="000000"/>
      <w:kern w:val="0"/>
    </w:rPr>
  </w:style>
  <w:style w:type="paragraph" w:styleId="12">
    <w:name w:val="toc 1"/>
    <w:basedOn w:val="a2"/>
    <w:next w:val="a2"/>
    <w:autoRedefine/>
    <w:semiHidden/>
    <w:rsid w:val="00F47A54"/>
    <w:pPr>
      <w:spacing w:before="120" w:after="120"/>
      <w:jc w:val="left"/>
    </w:pPr>
    <w:rPr>
      <w:b/>
      <w:bCs/>
      <w:caps/>
      <w:sz w:val="20"/>
      <w:szCs w:val="20"/>
    </w:rPr>
  </w:style>
  <w:style w:type="paragraph" w:styleId="21">
    <w:name w:val="toc 2"/>
    <w:basedOn w:val="a2"/>
    <w:next w:val="a2"/>
    <w:autoRedefine/>
    <w:semiHidden/>
    <w:rsid w:val="00F47A54"/>
    <w:pPr>
      <w:ind w:left="210"/>
      <w:jc w:val="left"/>
    </w:pPr>
    <w:rPr>
      <w:smallCaps/>
      <w:sz w:val="20"/>
      <w:szCs w:val="20"/>
    </w:rPr>
  </w:style>
  <w:style w:type="paragraph" w:styleId="30">
    <w:name w:val="toc 3"/>
    <w:basedOn w:val="a2"/>
    <w:next w:val="a2"/>
    <w:autoRedefine/>
    <w:semiHidden/>
    <w:rsid w:val="00F47A54"/>
    <w:pPr>
      <w:ind w:left="420"/>
      <w:jc w:val="left"/>
    </w:pPr>
    <w:rPr>
      <w:i/>
      <w:iCs/>
      <w:sz w:val="20"/>
      <w:szCs w:val="20"/>
    </w:rPr>
  </w:style>
  <w:style w:type="paragraph" w:styleId="40">
    <w:name w:val="toc 4"/>
    <w:basedOn w:val="a2"/>
    <w:next w:val="a2"/>
    <w:autoRedefine/>
    <w:semiHidden/>
    <w:rsid w:val="00F47A54"/>
    <w:pPr>
      <w:ind w:left="630"/>
      <w:jc w:val="left"/>
    </w:pPr>
    <w:rPr>
      <w:sz w:val="18"/>
      <w:szCs w:val="18"/>
    </w:rPr>
  </w:style>
  <w:style w:type="paragraph" w:styleId="50">
    <w:name w:val="toc 5"/>
    <w:basedOn w:val="a2"/>
    <w:next w:val="a2"/>
    <w:autoRedefine/>
    <w:semiHidden/>
    <w:rsid w:val="00F47A54"/>
    <w:pPr>
      <w:ind w:left="840"/>
      <w:jc w:val="left"/>
    </w:pPr>
    <w:rPr>
      <w:sz w:val="18"/>
      <w:szCs w:val="18"/>
    </w:rPr>
  </w:style>
  <w:style w:type="paragraph" w:styleId="60">
    <w:name w:val="toc 6"/>
    <w:basedOn w:val="a2"/>
    <w:next w:val="a2"/>
    <w:autoRedefine/>
    <w:semiHidden/>
    <w:rsid w:val="00F47A54"/>
    <w:pPr>
      <w:ind w:left="1050"/>
      <w:jc w:val="left"/>
    </w:pPr>
    <w:rPr>
      <w:sz w:val="18"/>
      <w:szCs w:val="18"/>
    </w:rPr>
  </w:style>
  <w:style w:type="paragraph" w:styleId="70">
    <w:name w:val="toc 7"/>
    <w:basedOn w:val="a2"/>
    <w:next w:val="a2"/>
    <w:autoRedefine/>
    <w:semiHidden/>
    <w:rsid w:val="00F47A54"/>
    <w:pPr>
      <w:ind w:left="1260"/>
      <w:jc w:val="left"/>
    </w:pPr>
    <w:rPr>
      <w:sz w:val="18"/>
      <w:szCs w:val="18"/>
    </w:rPr>
  </w:style>
  <w:style w:type="paragraph" w:styleId="80">
    <w:name w:val="toc 8"/>
    <w:basedOn w:val="a2"/>
    <w:next w:val="a2"/>
    <w:autoRedefine/>
    <w:semiHidden/>
    <w:rsid w:val="00F47A54"/>
    <w:pPr>
      <w:ind w:left="1470"/>
      <w:jc w:val="left"/>
    </w:pPr>
    <w:rPr>
      <w:sz w:val="18"/>
      <w:szCs w:val="18"/>
    </w:rPr>
  </w:style>
  <w:style w:type="paragraph" w:styleId="90">
    <w:name w:val="toc 9"/>
    <w:basedOn w:val="a2"/>
    <w:next w:val="a2"/>
    <w:autoRedefine/>
    <w:semiHidden/>
    <w:rsid w:val="00F47A54"/>
    <w:pPr>
      <w:ind w:left="1680"/>
      <w:jc w:val="left"/>
    </w:pPr>
    <w:rPr>
      <w:sz w:val="18"/>
      <w:szCs w:val="18"/>
    </w:rPr>
  </w:style>
  <w:style w:type="paragraph" w:styleId="a9">
    <w:name w:val="Normal Indent"/>
    <w:aliases w:val="特点,表正文,正文非缩进,段1,正文缩进1,ALT+Z"/>
    <w:basedOn w:val="a2"/>
    <w:rsid w:val="00F47A54"/>
    <w:pPr>
      <w:ind w:firstLine="420"/>
    </w:pPr>
    <w:rPr>
      <w:szCs w:val="20"/>
    </w:rPr>
  </w:style>
  <w:style w:type="paragraph" w:styleId="aa">
    <w:name w:val="footnote text"/>
    <w:basedOn w:val="a2"/>
    <w:semiHidden/>
    <w:rsid w:val="00F47A54"/>
    <w:pPr>
      <w:snapToGrid w:val="0"/>
      <w:jc w:val="left"/>
    </w:pPr>
    <w:rPr>
      <w:sz w:val="18"/>
      <w:szCs w:val="18"/>
    </w:rPr>
  </w:style>
  <w:style w:type="paragraph" w:styleId="ab">
    <w:name w:val="annotation text"/>
    <w:basedOn w:val="a2"/>
    <w:semiHidden/>
    <w:rsid w:val="00F47A54"/>
    <w:pPr>
      <w:jc w:val="left"/>
    </w:pPr>
    <w:rPr>
      <w:sz w:val="24"/>
      <w:szCs w:val="20"/>
    </w:rPr>
  </w:style>
  <w:style w:type="paragraph" w:styleId="ac">
    <w:name w:val="header"/>
    <w:basedOn w:val="a2"/>
    <w:rsid w:val="00F47A54"/>
    <w:pPr>
      <w:pBdr>
        <w:bottom w:val="single" w:sz="6" w:space="1" w:color="auto"/>
      </w:pBdr>
      <w:tabs>
        <w:tab w:val="center" w:pos="4153"/>
        <w:tab w:val="right" w:pos="8306"/>
      </w:tabs>
      <w:snapToGrid w:val="0"/>
      <w:jc w:val="center"/>
    </w:pPr>
    <w:rPr>
      <w:sz w:val="18"/>
      <w:szCs w:val="18"/>
    </w:rPr>
  </w:style>
  <w:style w:type="paragraph" w:styleId="ad">
    <w:name w:val="footer"/>
    <w:basedOn w:val="a2"/>
    <w:rsid w:val="00F47A54"/>
    <w:pPr>
      <w:tabs>
        <w:tab w:val="center" w:pos="4153"/>
        <w:tab w:val="right" w:pos="8306"/>
      </w:tabs>
      <w:snapToGrid w:val="0"/>
      <w:jc w:val="left"/>
    </w:pPr>
    <w:rPr>
      <w:sz w:val="18"/>
      <w:szCs w:val="18"/>
    </w:rPr>
  </w:style>
  <w:style w:type="paragraph" w:styleId="ae">
    <w:name w:val="caption"/>
    <w:basedOn w:val="a2"/>
    <w:next w:val="a2"/>
    <w:qFormat/>
    <w:rsid w:val="00F47A54"/>
    <w:pPr>
      <w:adjustRightInd w:val="0"/>
      <w:spacing w:before="152" w:after="160" w:line="360" w:lineRule="auto"/>
      <w:ind w:firstLineChars="200" w:firstLine="567"/>
    </w:pPr>
    <w:rPr>
      <w:rFonts w:ascii="Arial" w:eastAsia="黑体" w:hAnsi="Arial"/>
      <w:sz w:val="24"/>
      <w:szCs w:val="20"/>
    </w:rPr>
  </w:style>
  <w:style w:type="paragraph" w:styleId="af">
    <w:name w:val="Title"/>
    <w:basedOn w:val="a2"/>
    <w:qFormat/>
    <w:rsid w:val="00F47A54"/>
    <w:pPr>
      <w:spacing w:before="240" w:after="60" w:line="360" w:lineRule="auto"/>
      <w:ind w:firstLine="425"/>
      <w:jc w:val="center"/>
      <w:outlineLvl w:val="0"/>
    </w:pPr>
    <w:rPr>
      <w:rFonts w:ascii="Arial" w:hAnsi="Arial"/>
      <w:b/>
      <w:sz w:val="32"/>
      <w:szCs w:val="20"/>
    </w:rPr>
  </w:style>
  <w:style w:type="paragraph" w:styleId="af0">
    <w:name w:val="Body Text"/>
    <w:basedOn w:val="a2"/>
    <w:rsid w:val="00F47A54"/>
    <w:pPr>
      <w:spacing w:line="360" w:lineRule="auto"/>
    </w:pPr>
    <w:rPr>
      <w:sz w:val="24"/>
    </w:rPr>
  </w:style>
  <w:style w:type="paragraph" w:styleId="af1">
    <w:name w:val="Body Text Indent"/>
    <w:basedOn w:val="a2"/>
    <w:rsid w:val="00F47A54"/>
    <w:pPr>
      <w:autoSpaceDE w:val="0"/>
      <w:autoSpaceDN w:val="0"/>
      <w:adjustRightInd w:val="0"/>
      <w:spacing w:after="120" w:line="440" w:lineRule="atLeast"/>
      <w:ind w:firstLine="539"/>
    </w:pPr>
    <w:rPr>
      <w:rFonts w:ascii="宋体" w:hint="eastAsia"/>
      <w:kern w:val="0"/>
      <w:sz w:val="24"/>
      <w:szCs w:val="20"/>
    </w:rPr>
  </w:style>
  <w:style w:type="paragraph" w:styleId="af2">
    <w:name w:val="Date"/>
    <w:basedOn w:val="a2"/>
    <w:next w:val="a2"/>
    <w:rsid w:val="00F47A54"/>
    <w:pPr>
      <w:ind w:leftChars="2500" w:left="2500"/>
    </w:pPr>
    <w:rPr>
      <w:rFonts w:ascii="宋体" w:eastAsia="仿宋_GB2312" w:hAnsi="宋体" w:hint="eastAsia"/>
      <w:sz w:val="28"/>
    </w:rPr>
  </w:style>
  <w:style w:type="paragraph" w:styleId="22">
    <w:name w:val="Body Text 2"/>
    <w:basedOn w:val="a2"/>
    <w:rsid w:val="00F47A54"/>
    <w:rPr>
      <w:sz w:val="28"/>
      <w:szCs w:val="20"/>
    </w:rPr>
  </w:style>
  <w:style w:type="paragraph" w:styleId="31">
    <w:name w:val="Body Text 3"/>
    <w:basedOn w:val="a2"/>
    <w:rsid w:val="00F47A54"/>
    <w:pPr>
      <w:autoSpaceDE w:val="0"/>
      <w:autoSpaceDN w:val="0"/>
      <w:adjustRightInd w:val="0"/>
      <w:spacing w:after="120" w:line="360" w:lineRule="auto"/>
    </w:pPr>
    <w:rPr>
      <w:kern w:val="0"/>
      <w:sz w:val="24"/>
      <w:szCs w:val="20"/>
      <w:u w:val="single"/>
    </w:rPr>
  </w:style>
  <w:style w:type="paragraph" w:styleId="23">
    <w:name w:val="Body Text Indent 2"/>
    <w:basedOn w:val="a2"/>
    <w:rsid w:val="00F47A54"/>
    <w:pPr>
      <w:spacing w:line="360" w:lineRule="auto"/>
      <w:ind w:firstLineChars="200" w:firstLine="560"/>
    </w:pPr>
    <w:rPr>
      <w:rFonts w:eastAsia="仿宋_GB2312"/>
      <w:sz w:val="28"/>
    </w:rPr>
  </w:style>
  <w:style w:type="paragraph" w:styleId="32">
    <w:name w:val="Body Text Indent 3"/>
    <w:basedOn w:val="a2"/>
    <w:rsid w:val="00F47A54"/>
    <w:pPr>
      <w:spacing w:line="400" w:lineRule="atLeast"/>
      <w:ind w:firstLine="600"/>
    </w:pPr>
    <w:rPr>
      <w:rFonts w:ascii="宋体" w:hint="eastAsia"/>
      <w:sz w:val="28"/>
      <w:szCs w:val="20"/>
    </w:rPr>
  </w:style>
  <w:style w:type="paragraph" w:styleId="af3">
    <w:name w:val="Document Map"/>
    <w:basedOn w:val="a2"/>
    <w:semiHidden/>
    <w:rsid w:val="00F47A54"/>
    <w:pPr>
      <w:shd w:val="clear" w:color="auto" w:fill="000080"/>
    </w:pPr>
  </w:style>
  <w:style w:type="paragraph" w:styleId="af4">
    <w:name w:val="Plain Text"/>
    <w:basedOn w:val="a2"/>
    <w:rsid w:val="00F47A54"/>
    <w:rPr>
      <w:rFonts w:ascii="宋体" w:hAnsi="Courier New" w:hint="eastAsia"/>
      <w:szCs w:val="20"/>
    </w:rPr>
  </w:style>
  <w:style w:type="paragraph" w:customStyle="1" w:styleId="font523908">
    <w:name w:val="font523908"/>
    <w:basedOn w:val="a2"/>
    <w:rsid w:val="00F47A54"/>
    <w:pPr>
      <w:widowControl/>
      <w:spacing w:before="100" w:after="100"/>
      <w:jc w:val="left"/>
    </w:pPr>
    <w:rPr>
      <w:rFonts w:ascii="宋体" w:hAnsi="宋体" w:hint="eastAsia"/>
      <w:kern w:val="0"/>
      <w:sz w:val="18"/>
    </w:rPr>
  </w:style>
  <w:style w:type="paragraph" w:customStyle="1" w:styleId="font623908">
    <w:name w:val="font623908"/>
    <w:basedOn w:val="a2"/>
    <w:rsid w:val="00F47A54"/>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2"/>
    <w:rsid w:val="00F47A54"/>
    <w:pPr>
      <w:widowControl/>
      <w:spacing w:before="100" w:after="100"/>
      <w:jc w:val="center"/>
    </w:pPr>
    <w:rPr>
      <w:rFonts w:ascii="宋体" w:hAnsi="宋体" w:hint="eastAsia"/>
      <w:kern w:val="0"/>
      <w:sz w:val="24"/>
    </w:rPr>
  </w:style>
  <w:style w:type="paragraph" w:customStyle="1" w:styleId="xl2423908">
    <w:name w:val="xl2423908"/>
    <w:basedOn w:val="a2"/>
    <w:rsid w:val="00F47A54"/>
    <w:pPr>
      <w:widowControl/>
      <w:spacing w:before="100" w:after="100"/>
      <w:jc w:val="left"/>
    </w:pPr>
    <w:rPr>
      <w:rFonts w:ascii="宋体" w:hAnsi="宋体" w:hint="eastAsia"/>
      <w:kern w:val="0"/>
      <w:sz w:val="24"/>
    </w:rPr>
  </w:style>
  <w:style w:type="paragraph" w:customStyle="1" w:styleId="xl2723908">
    <w:name w:val="xl2723908"/>
    <w:basedOn w:val="a2"/>
    <w:rsid w:val="00F47A54"/>
    <w:pPr>
      <w:widowControl/>
      <w:spacing w:before="100" w:after="100"/>
      <w:jc w:val="left"/>
    </w:pPr>
    <w:rPr>
      <w:rFonts w:ascii="楷体_GB2312" w:eastAsia="楷体_GB2312" w:hAnsi="宋体" w:hint="eastAsia"/>
      <w:kern w:val="0"/>
      <w:sz w:val="24"/>
    </w:rPr>
  </w:style>
  <w:style w:type="paragraph" w:customStyle="1" w:styleId="xl2823908">
    <w:name w:val="xl2823908"/>
    <w:basedOn w:val="a2"/>
    <w:rsid w:val="00F47A54"/>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2"/>
    <w:next w:val="a2"/>
    <w:rsid w:val="00F47A54"/>
    <w:pPr>
      <w:tabs>
        <w:tab w:val="num" w:pos="644"/>
      </w:tabs>
      <w:spacing w:line="360" w:lineRule="auto"/>
      <w:ind w:left="567" w:hanging="283"/>
    </w:pPr>
    <w:rPr>
      <w:szCs w:val="20"/>
    </w:rPr>
  </w:style>
  <w:style w:type="paragraph" w:customStyle="1" w:styleId="2">
    <w:name w:val="列表2"/>
    <w:basedOn w:val="a2"/>
    <w:next w:val="af"/>
    <w:rsid w:val="00F47A54"/>
    <w:pPr>
      <w:numPr>
        <w:numId w:val="2"/>
      </w:numPr>
      <w:spacing w:line="360" w:lineRule="auto"/>
    </w:pPr>
    <w:rPr>
      <w:szCs w:val="20"/>
    </w:rPr>
  </w:style>
  <w:style w:type="paragraph" w:styleId="af5">
    <w:name w:val="Balloon Text"/>
    <w:basedOn w:val="a2"/>
    <w:rsid w:val="00F47A54"/>
    <w:rPr>
      <w:sz w:val="18"/>
      <w:szCs w:val="18"/>
    </w:rPr>
  </w:style>
  <w:style w:type="paragraph" w:customStyle="1" w:styleId="33">
    <w:name w:val="列表3"/>
    <w:basedOn w:val="a2"/>
    <w:rsid w:val="00F47A54"/>
    <w:pPr>
      <w:spacing w:line="360" w:lineRule="auto"/>
    </w:pPr>
    <w:rPr>
      <w:rFonts w:ascii="宋体" w:hint="eastAsia"/>
      <w:szCs w:val="20"/>
    </w:rPr>
  </w:style>
  <w:style w:type="paragraph" w:customStyle="1" w:styleId="2211">
    <w:name w:val="样式 标题 2 + 首行缩进:  2 字符 段前: 1 行 段后: 1 行"/>
    <w:basedOn w:val="20"/>
    <w:rsid w:val="00F47A54"/>
    <w:pPr>
      <w:tabs>
        <w:tab w:val="num" w:pos="1276"/>
      </w:tabs>
      <w:spacing w:before="100" w:after="100" w:line="240" w:lineRule="auto"/>
      <w:ind w:left="851"/>
    </w:pPr>
    <w:rPr>
      <w:rFonts w:eastAsia="宋体"/>
      <w:bCs w:val="0"/>
      <w:sz w:val="28"/>
      <w:szCs w:val="20"/>
    </w:rPr>
  </w:style>
  <w:style w:type="paragraph" w:styleId="af6">
    <w:name w:val="annotation subject"/>
    <w:basedOn w:val="ab"/>
    <w:next w:val="ab"/>
    <w:rsid w:val="00F47A54"/>
    <w:rPr>
      <w:b/>
      <w:bCs/>
      <w:sz w:val="21"/>
      <w:szCs w:val="24"/>
    </w:rPr>
  </w:style>
  <w:style w:type="paragraph" w:customStyle="1" w:styleId="1">
    <w:name w:val="1"/>
    <w:basedOn w:val="a2"/>
    <w:rsid w:val="00F47A54"/>
    <w:pPr>
      <w:numPr>
        <w:numId w:val="3"/>
      </w:numPr>
      <w:spacing w:before="100" w:beforeAutospacing="1" w:after="100" w:afterAutospacing="1" w:line="360" w:lineRule="auto"/>
      <w:ind w:leftChars="200" w:left="0" w:firstLine="0"/>
    </w:pPr>
  </w:style>
  <w:style w:type="paragraph" w:customStyle="1" w:styleId="15">
    <w:name w:val="样式 宋体 四号 行距: 1.5 倍行距"/>
    <w:basedOn w:val="a2"/>
    <w:rsid w:val="00F47A54"/>
    <w:pPr>
      <w:spacing w:line="360" w:lineRule="auto"/>
    </w:pPr>
    <w:rPr>
      <w:rFonts w:ascii="宋体" w:hAnsi="宋体" w:hint="eastAsia"/>
      <w:sz w:val="24"/>
      <w:szCs w:val="20"/>
    </w:rPr>
  </w:style>
  <w:style w:type="paragraph" w:customStyle="1" w:styleId="af7">
    <w:name w:val="正文正文"/>
    <w:basedOn w:val="a2"/>
    <w:rsid w:val="00F47A54"/>
    <w:pPr>
      <w:spacing w:afterLines="25" w:line="360" w:lineRule="auto"/>
      <w:ind w:firstLineChars="200" w:firstLine="200"/>
    </w:pPr>
    <w:rPr>
      <w:sz w:val="24"/>
    </w:rPr>
  </w:style>
  <w:style w:type="paragraph" w:customStyle="1" w:styleId="unnamed1">
    <w:name w:val="unnamed1"/>
    <w:basedOn w:val="a2"/>
    <w:rsid w:val="00F47A54"/>
    <w:pPr>
      <w:widowControl/>
      <w:spacing w:before="60" w:after="60"/>
      <w:ind w:left="15" w:right="15"/>
      <w:jc w:val="left"/>
    </w:pPr>
    <w:rPr>
      <w:rFonts w:ascii="宋体" w:hAnsi="宋体" w:hint="eastAsia"/>
      <w:color w:val="000000"/>
      <w:kern w:val="0"/>
      <w:sz w:val="18"/>
      <w:szCs w:val="18"/>
    </w:rPr>
  </w:style>
  <w:style w:type="paragraph" w:customStyle="1" w:styleId="af8">
    <w:name w:val="第三级标题"/>
    <w:basedOn w:val="af7"/>
    <w:next w:val="af7"/>
    <w:rsid w:val="00F47A54"/>
    <w:pPr>
      <w:keepNext/>
      <w:outlineLvl w:val="2"/>
    </w:pPr>
    <w:rPr>
      <w:b/>
    </w:rPr>
  </w:style>
  <w:style w:type="character" w:styleId="af9">
    <w:name w:val="footnote reference"/>
    <w:semiHidden/>
    <w:rsid w:val="00F47A54"/>
    <w:rPr>
      <w:rFonts w:eastAsia="宋体"/>
      <w:kern w:val="2"/>
      <w:sz w:val="24"/>
      <w:szCs w:val="24"/>
      <w:vertAlign w:val="superscript"/>
      <w:lang w:val="en-US" w:eastAsia="zh-CN" w:bidi="ar-SA"/>
    </w:rPr>
  </w:style>
  <w:style w:type="character" w:styleId="afa">
    <w:name w:val="annotation reference"/>
    <w:semiHidden/>
    <w:rsid w:val="00F47A54"/>
    <w:rPr>
      <w:rFonts w:eastAsia="宋体"/>
      <w:kern w:val="2"/>
      <w:sz w:val="21"/>
      <w:szCs w:val="21"/>
      <w:lang w:val="en-US" w:eastAsia="zh-CN" w:bidi="ar-SA"/>
    </w:rPr>
  </w:style>
  <w:style w:type="character" w:customStyle="1" w:styleId="tt11">
    <w:name w:val="tt11"/>
    <w:rsid w:val="00F47A54"/>
    <w:rPr>
      <w:rFonts w:eastAsia="宋体"/>
      <w:spacing w:val="400"/>
      <w:kern w:val="2"/>
      <w:sz w:val="22"/>
      <w:szCs w:val="22"/>
      <w:lang w:val="en-US" w:eastAsia="zh-CN" w:bidi="ar-SA"/>
    </w:rPr>
  </w:style>
  <w:style w:type="character" w:customStyle="1" w:styleId="afb">
    <w:name w:val="a"/>
    <w:rsid w:val="00F47A54"/>
    <w:rPr>
      <w:rFonts w:eastAsia="宋体"/>
      <w:kern w:val="2"/>
      <w:sz w:val="24"/>
      <w:szCs w:val="24"/>
      <w:lang w:val="en-US" w:eastAsia="zh-CN" w:bidi="ar-SA"/>
    </w:rPr>
  </w:style>
  <w:style w:type="character" w:customStyle="1" w:styleId="md1">
    <w:name w:val="md1"/>
    <w:rsid w:val="00F47A54"/>
    <w:rPr>
      <w:rFonts w:eastAsia="宋体"/>
      <w:spacing w:val="360"/>
      <w:kern w:val="2"/>
      <w:sz w:val="25"/>
      <w:szCs w:val="25"/>
      <w:lang w:val="en-US" w:eastAsia="zh-CN" w:bidi="ar-SA"/>
    </w:rPr>
  </w:style>
  <w:style w:type="character" w:customStyle="1" w:styleId="style21">
    <w:name w:val="style21"/>
    <w:rsid w:val="00F47A54"/>
    <w:rPr>
      <w:rFonts w:eastAsia="宋体"/>
      <w:strike w:val="0"/>
      <w:dstrike w:val="0"/>
      <w:color w:val="006699"/>
      <w:spacing w:val="31680"/>
      <w:kern w:val="2"/>
      <w:sz w:val="18"/>
      <w:szCs w:val="18"/>
      <w:u w:val="none"/>
      <w:effect w:val="none"/>
      <w:lang w:val="en-US" w:eastAsia="zh-CN" w:bidi="ar-SA"/>
    </w:rPr>
  </w:style>
  <w:style w:type="character" w:customStyle="1" w:styleId="read">
    <w:name w:val="read"/>
    <w:rsid w:val="00F47A54"/>
    <w:rPr>
      <w:rFonts w:eastAsia="宋体"/>
      <w:kern w:val="2"/>
      <w:sz w:val="24"/>
      <w:szCs w:val="24"/>
      <w:lang w:val="en-US" w:eastAsia="zh-CN" w:bidi="ar-SA"/>
    </w:rPr>
  </w:style>
  <w:style w:type="character" w:customStyle="1" w:styleId="big1">
    <w:name w:val="big1"/>
    <w:rsid w:val="00F47A54"/>
    <w:rPr>
      <w:rFonts w:eastAsia="宋体"/>
      <w:spacing w:val="360"/>
      <w:kern w:val="2"/>
      <w:sz w:val="22"/>
      <w:szCs w:val="22"/>
      <w:lang w:val="en-US" w:eastAsia="zh-CN" w:bidi="ar-SA"/>
    </w:rPr>
  </w:style>
  <w:style w:type="character" w:styleId="afc">
    <w:name w:val="page number"/>
    <w:rsid w:val="00F47A54"/>
    <w:rPr>
      <w:rFonts w:eastAsia="宋体"/>
      <w:kern w:val="2"/>
      <w:sz w:val="24"/>
      <w:szCs w:val="24"/>
      <w:lang w:val="en-US" w:eastAsia="zh-CN" w:bidi="ar-SA"/>
    </w:rPr>
  </w:style>
  <w:style w:type="character" w:styleId="afd">
    <w:name w:val="Strong"/>
    <w:qFormat/>
    <w:rsid w:val="00F47A54"/>
    <w:rPr>
      <w:rFonts w:eastAsia="宋体"/>
      <w:b/>
      <w:bCs/>
      <w:kern w:val="2"/>
      <w:sz w:val="24"/>
      <w:szCs w:val="24"/>
      <w:lang w:val="en-US" w:eastAsia="zh-CN" w:bidi="ar-SA"/>
    </w:rPr>
  </w:style>
  <w:style w:type="paragraph" w:customStyle="1" w:styleId="Default">
    <w:name w:val="Default"/>
    <w:rsid w:val="00F47A54"/>
    <w:pPr>
      <w:widowControl w:val="0"/>
      <w:autoSpaceDE w:val="0"/>
      <w:autoSpaceDN w:val="0"/>
      <w:adjustRightInd w:val="0"/>
    </w:pPr>
    <w:rPr>
      <w:rFonts w:ascii="宋体"/>
      <w:color w:val="000000"/>
      <w:sz w:val="24"/>
      <w:szCs w:val="24"/>
    </w:rPr>
  </w:style>
  <w:style w:type="paragraph" w:customStyle="1" w:styleId="CharCharCharChar">
    <w:name w:val="Char Char Char Char"/>
    <w:basedOn w:val="a2"/>
    <w:autoRedefine/>
    <w:rsid w:val="00F47A54"/>
    <w:pPr>
      <w:tabs>
        <w:tab w:val="num" w:pos="360"/>
      </w:tabs>
    </w:pPr>
    <w:rPr>
      <w:sz w:val="24"/>
    </w:rPr>
  </w:style>
  <w:style w:type="paragraph" w:customStyle="1" w:styleId="AODocTxt">
    <w:name w:val="AODocTxt"/>
    <w:basedOn w:val="AOBodyTxt"/>
    <w:rsid w:val="00F47A54"/>
    <w:pPr>
      <w:numPr>
        <w:numId w:val="17"/>
      </w:numPr>
    </w:pPr>
  </w:style>
  <w:style w:type="paragraph" w:customStyle="1" w:styleId="AOBodyTxt">
    <w:name w:val="AOBodyTxt"/>
    <w:basedOn w:val="AONormal"/>
    <w:next w:val="AODocTxt"/>
    <w:rsid w:val="00F47A54"/>
    <w:pPr>
      <w:spacing w:before="240"/>
    </w:pPr>
  </w:style>
  <w:style w:type="paragraph" w:customStyle="1" w:styleId="AONormal">
    <w:name w:val="AONormal"/>
    <w:rsid w:val="00F47A54"/>
    <w:pPr>
      <w:spacing w:line="260" w:lineRule="atLeast"/>
    </w:pPr>
    <w:rPr>
      <w:sz w:val="22"/>
      <w:szCs w:val="22"/>
      <w:lang w:val="en-GB" w:eastAsia="en-US"/>
    </w:rPr>
  </w:style>
  <w:style w:type="paragraph" w:customStyle="1" w:styleId="AOBullet">
    <w:name w:val="AOBullet"/>
    <w:basedOn w:val="AOBodyTxt"/>
    <w:rsid w:val="00F47A54"/>
    <w:pPr>
      <w:ind w:left="720" w:hanging="720"/>
    </w:pPr>
  </w:style>
  <w:style w:type="paragraph" w:customStyle="1" w:styleId="AODefHead">
    <w:name w:val="AODefHead"/>
    <w:basedOn w:val="AOBodyTxt"/>
    <w:next w:val="AODefPara"/>
    <w:rsid w:val="00F47A54"/>
    <w:pPr>
      <w:ind w:left="720"/>
      <w:outlineLvl w:val="5"/>
    </w:pPr>
  </w:style>
  <w:style w:type="paragraph" w:customStyle="1" w:styleId="AODefPara">
    <w:name w:val="AODefPara"/>
    <w:basedOn w:val="AODefHead"/>
    <w:rsid w:val="00F47A54"/>
    <w:pPr>
      <w:numPr>
        <w:ilvl w:val="1"/>
      </w:numPr>
      <w:tabs>
        <w:tab w:val="num" w:pos="992"/>
      </w:tabs>
      <w:ind w:left="992" w:hanging="992"/>
      <w:outlineLvl w:val="6"/>
    </w:pPr>
  </w:style>
  <w:style w:type="paragraph" w:customStyle="1" w:styleId="AO1">
    <w:name w:val="AO(1)"/>
    <w:basedOn w:val="AOBodyTxt"/>
    <w:next w:val="AODocTxt"/>
    <w:rsid w:val="00F47A54"/>
    <w:pPr>
      <w:ind w:left="720" w:hanging="720"/>
    </w:pPr>
  </w:style>
  <w:style w:type="paragraph" w:customStyle="1" w:styleId="AOA">
    <w:name w:val="AO(A)"/>
    <w:basedOn w:val="AOBodyTxt"/>
    <w:next w:val="AODocTxt"/>
    <w:rsid w:val="00F47A54"/>
    <w:pPr>
      <w:ind w:left="720" w:hanging="720"/>
    </w:pPr>
  </w:style>
  <w:style w:type="paragraph" w:customStyle="1" w:styleId="AOAnxHead">
    <w:name w:val="AOAnxHead"/>
    <w:basedOn w:val="AOAttachments"/>
    <w:next w:val="AOAnxTitle"/>
    <w:rsid w:val="00F47A54"/>
    <w:pPr>
      <w:pageBreakBefore/>
      <w:outlineLvl w:val="0"/>
    </w:pPr>
  </w:style>
  <w:style w:type="paragraph" w:customStyle="1" w:styleId="AOAttachments">
    <w:name w:val="AOAttachments"/>
    <w:basedOn w:val="AOBodyTxt"/>
    <w:next w:val="AODocTxt"/>
    <w:rsid w:val="00F47A54"/>
    <w:pPr>
      <w:jc w:val="center"/>
    </w:pPr>
    <w:rPr>
      <w:caps/>
    </w:rPr>
  </w:style>
  <w:style w:type="paragraph" w:customStyle="1" w:styleId="AOAnxTitle">
    <w:name w:val="AOAnxTitle"/>
    <w:basedOn w:val="AOAttachments"/>
    <w:next w:val="AODocTxt"/>
    <w:rsid w:val="00F47A54"/>
    <w:pPr>
      <w:outlineLvl w:val="1"/>
    </w:pPr>
    <w:rPr>
      <w:b/>
    </w:rPr>
  </w:style>
  <w:style w:type="paragraph" w:customStyle="1" w:styleId="AOAnxPartHead">
    <w:name w:val="AOAnxPartHead"/>
    <w:basedOn w:val="AOAnxHead"/>
    <w:next w:val="AOAnxPartTitle"/>
    <w:rsid w:val="00F47A54"/>
    <w:pPr>
      <w:pageBreakBefore w:val="0"/>
      <w:numPr>
        <w:numId w:val="10"/>
      </w:numPr>
      <w:tabs>
        <w:tab w:val="clear" w:pos="720"/>
        <w:tab w:val="num" w:pos="1440"/>
      </w:tabs>
      <w:ind w:left="1440" w:hanging="360"/>
    </w:pPr>
  </w:style>
  <w:style w:type="paragraph" w:customStyle="1" w:styleId="AOAnxPartTitle">
    <w:name w:val="AOAnxPartTitle"/>
    <w:basedOn w:val="AOAnxTitle"/>
    <w:next w:val="AODocTxt"/>
    <w:rsid w:val="00F47A54"/>
  </w:style>
  <w:style w:type="paragraph" w:customStyle="1" w:styleId="AOAppHead">
    <w:name w:val="AOAppHead"/>
    <w:basedOn w:val="AOAttachments"/>
    <w:next w:val="AOAppTitle"/>
    <w:rsid w:val="00F47A54"/>
    <w:pPr>
      <w:pageBreakBefore/>
      <w:outlineLvl w:val="0"/>
    </w:pPr>
  </w:style>
  <w:style w:type="paragraph" w:customStyle="1" w:styleId="AOAppTitle">
    <w:name w:val="AOAppTitle"/>
    <w:basedOn w:val="AOAttachments"/>
    <w:next w:val="AODocTxt"/>
    <w:rsid w:val="00F47A54"/>
    <w:pPr>
      <w:outlineLvl w:val="1"/>
    </w:pPr>
    <w:rPr>
      <w:b/>
    </w:rPr>
  </w:style>
  <w:style w:type="paragraph" w:customStyle="1" w:styleId="AOAppPartHead">
    <w:name w:val="AOAppPartHead"/>
    <w:basedOn w:val="AOAppHead"/>
    <w:next w:val="AOAppPartTitle"/>
    <w:rsid w:val="00F47A54"/>
    <w:pPr>
      <w:pageBreakBefore w:val="0"/>
      <w:numPr>
        <w:ilvl w:val="1"/>
      </w:numPr>
      <w:tabs>
        <w:tab w:val="num" w:pos="840"/>
      </w:tabs>
      <w:ind w:left="840" w:hanging="420"/>
    </w:pPr>
  </w:style>
  <w:style w:type="paragraph" w:customStyle="1" w:styleId="AOAppPartTitle">
    <w:name w:val="AOAppPartTitle"/>
    <w:basedOn w:val="AOAppTitle"/>
    <w:next w:val="AODocTxt"/>
    <w:rsid w:val="00F47A54"/>
  </w:style>
  <w:style w:type="paragraph" w:customStyle="1" w:styleId="AOSchHead">
    <w:name w:val="AOSchHead"/>
    <w:basedOn w:val="AOAttachments"/>
    <w:next w:val="AOSchTitle"/>
    <w:rsid w:val="00F47A54"/>
    <w:pPr>
      <w:pageBreakBefore/>
      <w:outlineLvl w:val="0"/>
    </w:pPr>
  </w:style>
  <w:style w:type="paragraph" w:customStyle="1" w:styleId="AOSchTitle">
    <w:name w:val="AOSchTitle"/>
    <w:basedOn w:val="AOAttachments"/>
    <w:next w:val="AODocTxt"/>
    <w:rsid w:val="00F47A54"/>
    <w:pPr>
      <w:outlineLvl w:val="1"/>
    </w:pPr>
    <w:rPr>
      <w:b/>
    </w:rPr>
  </w:style>
  <w:style w:type="paragraph" w:customStyle="1" w:styleId="AOSchPartHead">
    <w:name w:val="AOSchPartHead"/>
    <w:basedOn w:val="AOSchHead"/>
    <w:next w:val="AOSchPartTitle"/>
    <w:rsid w:val="00F47A54"/>
    <w:pPr>
      <w:pageBreakBefore w:val="0"/>
      <w:numPr>
        <w:ilvl w:val="1"/>
      </w:numPr>
      <w:tabs>
        <w:tab w:val="num" w:pos="780"/>
      </w:tabs>
      <w:ind w:firstLine="420"/>
    </w:pPr>
  </w:style>
  <w:style w:type="paragraph" w:customStyle="1" w:styleId="AOSchPartTitle">
    <w:name w:val="AOSchPartTitle"/>
    <w:basedOn w:val="AOSchTitle"/>
    <w:next w:val="AODocTxt"/>
    <w:rsid w:val="00F47A54"/>
  </w:style>
  <w:style w:type="paragraph" w:customStyle="1" w:styleId="AODocTxtL1">
    <w:name w:val="AODocTxtL1"/>
    <w:basedOn w:val="AODocTxt"/>
    <w:rsid w:val="00F47A54"/>
    <w:pPr>
      <w:numPr>
        <w:numId w:val="0"/>
      </w:numPr>
      <w:tabs>
        <w:tab w:val="num" w:pos="780"/>
      </w:tabs>
      <w:ind w:firstLine="420"/>
    </w:pPr>
  </w:style>
  <w:style w:type="paragraph" w:customStyle="1" w:styleId="AODocTxtL2">
    <w:name w:val="AODocTxtL2"/>
    <w:basedOn w:val="AODocTxt"/>
    <w:rsid w:val="00F47A54"/>
    <w:pPr>
      <w:numPr>
        <w:numId w:val="0"/>
      </w:numPr>
      <w:tabs>
        <w:tab w:val="num" w:pos="2160"/>
      </w:tabs>
      <w:ind w:left="2160" w:hanging="360"/>
    </w:pPr>
  </w:style>
  <w:style w:type="paragraph" w:customStyle="1" w:styleId="AODocTxtL3">
    <w:name w:val="AODocTxtL3"/>
    <w:basedOn w:val="AODocTxt"/>
    <w:rsid w:val="00F47A54"/>
    <w:pPr>
      <w:numPr>
        <w:numId w:val="0"/>
      </w:numPr>
      <w:tabs>
        <w:tab w:val="num" w:pos="2880"/>
      </w:tabs>
      <w:ind w:left="2880" w:hanging="360"/>
    </w:pPr>
  </w:style>
  <w:style w:type="paragraph" w:customStyle="1" w:styleId="AODocTxtL4">
    <w:name w:val="AODocTxtL4"/>
    <w:basedOn w:val="AODocTxt"/>
    <w:rsid w:val="00F47A54"/>
    <w:pPr>
      <w:numPr>
        <w:numId w:val="0"/>
      </w:numPr>
      <w:tabs>
        <w:tab w:val="num" w:pos="3600"/>
      </w:tabs>
      <w:ind w:left="3600" w:hanging="360"/>
    </w:pPr>
  </w:style>
  <w:style w:type="paragraph" w:customStyle="1" w:styleId="AODocTxtL5">
    <w:name w:val="AODocTxtL5"/>
    <w:basedOn w:val="AODocTxt"/>
    <w:rsid w:val="00F47A54"/>
    <w:pPr>
      <w:numPr>
        <w:numId w:val="0"/>
      </w:numPr>
      <w:tabs>
        <w:tab w:val="num" w:pos="4320"/>
      </w:tabs>
      <w:ind w:left="4320" w:hanging="360"/>
    </w:pPr>
  </w:style>
  <w:style w:type="paragraph" w:customStyle="1" w:styleId="AODocTxtL6">
    <w:name w:val="AODocTxtL6"/>
    <w:basedOn w:val="AODocTxt"/>
    <w:rsid w:val="00F47A54"/>
    <w:pPr>
      <w:numPr>
        <w:numId w:val="0"/>
      </w:numPr>
      <w:tabs>
        <w:tab w:val="num" w:pos="5040"/>
      </w:tabs>
      <w:ind w:left="5040" w:hanging="360"/>
    </w:pPr>
  </w:style>
  <w:style w:type="paragraph" w:customStyle="1" w:styleId="AODocTxtL7">
    <w:name w:val="AODocTxtL7"/>
    <w:basedOn w:val="AODocTxt"/>
    <w:rsid w:val="00F47A54"/>
    <w:pPr>
      <w:numPr>
        <w:numId w:val="0"/>
      </w:numPr>
      <w:tabs>
        <w:tab w:val="num" w:pos="5760"/>
      </w:tabs>
      <w:ind w:left="5760" w:hanging="360"/>
    </w:pPr>
  </w:style>
  <w:style w:type="paragraph" w:customStyle="1" w:styleId="AODocTxtL8">
    <w:name w:val="AODocTxtL8"/>
    <w:basedOn w:val="AODocTxt"/>
    <w:rsid w:val="00F47A54"/>
    <w:pPr>
      <w:numPr>
        <w:numId w:val="11"/>
      </w:numPr>
      <w:tabs>
        <w:tab w:val="num" w:pos="6480"/>
      </w:tabs>
      <w:ind w:left="6480" w:hanging="360"/>
    </w:pPr>
  </w:style>
  <w:style w:type="paragraph" w:customStyle="1" w:styleId="AOGenNum1">
    <w:name w:val="AOGenNum1"/>
    <w:basedOn w:val="AOBodyTxt"/>
    <w:next w:val="AOGenNum1Para"/>
    <w:rsid w:val="00F47A54"/>
    <w:pPr>
      <w:keepNext/>
      <w:numPr>
        <w:ilvl w:val="1"/>
        <w:numId w:val="11"/>
      </w:numPr>
      <w:tabs>
        <w:tab w:val="num" w:pos="720"/>
      </w:tabs>
      <w:ind w:hanging="720"/>
    </w:pPr>
    <w:rPr>
      <w:b/>
      <w:caps/>
    </w:rPr>
  </w:style>
  <w:style w:type="paragraph" w:customStyle="1" w:styleId="AOGenNum1Para">
    <w:name w:val="AOGenNum1Para"/>
    <w:basedOn w:val="AOGenNum1"/>
    <w:next w:val="AOGenNum1List"/>
    <w:rsid w:val="00F47A54"/>
    <w:pPr>
      <w:numPr>
        <w:ilvl w:val="0"/>
        <w:numId w:val="12"/>
      </w:numPr>
      <w:tabs>
        <w:tab w:val="clear" w:pos="720"/>
        <w:tab w:val="num" w:pos="1588"/>
      </w:tabs>
      <w:ind w:left="1588" w:hanging="737"/>
    </w:pPr>
    <w:rPr>
      <w:caps w:val="0"/>
    </w:rPr>
  </w:style>
  <w:style w:type="paragraph" w:customStyle="1" w:styleId="AOGenNum1List">
    <w:name w:val="AOGenNum1List"/>
    <w:basedOn w:val="AOGenNum1"/>
    <w:rsid w:val="00F47A54"/>
    <w:pPr>
      <w:keepNext w:val="0"/>
      <w:numPr>
        <w:ilvl w:val="0"/>
        <w:numId w:val="13"/>
      </w:numPr>
      <w:tabs>
        <w:tab w:val="clear" w:pos="720"/>
        <w:tab w:val="num" w:pos="851"/>
      </w:tabs>
      <w:ind w:left="851" w:hanging="431"/>
    </w:pPr>
    <w:rPr>
      <w:b w:val="0"/>
      <w:caps w:val="0"/>
    </w:rPr>
  </w:style>
  <w:style w:type="paragraph" w:customStyle="1" w:styleId="AOGenNum2">
    <w:name w:val="AOGenNum2"/>
    <w:basedOn w:val="AOBodyTxt"/>
    <w:next w:val="AOGenNum2Para"/>
    <w:rsid w:val="00F47A54"/>
    <w:pPr>
      <w:keepNext/>
      <w:numPr>
        <w:numId w:val="14"/>
      </w:numPr>
      <w:tabs>
        <w:tab w:val="num" w:pos="720"/>
      </w:tabs>
      <w:ind w:left="720" w:hanging="720"/>
    </w:pPr>
    <w:rPr>
      <w:b/>
    </w:rPr>
  </w:style>
  <w:style w:type="paragraph" w:customStyle="1" w:styleId="AOGenNum2Para">
    <w:name w:val="AOGenNum2Para"/>
    <w:basedOn w:val="AOGenNum2"/>
    <w:next w:val="AOGenNum2List"/>
    <w:rsid w:val="00F47A54"/>
    <w:pPr>
      <w:keepNext w:val="0"/>
      <w:numPr>
        <w:ilvl w:val="1"/>
      </w:numPr>
      <w:tabs>
        <w:tab w:val="num" w:pos="1588"/>
      </w:tabs>
      <w:ind w:left="1588" w:hanging="737"/>
    </w:pPr>
    <w:rPr>
      <w:b w:val="0"/>
    </w:rPr>
  </w:style>
  <w:style w:type="paragraph" w:customStyle="1" w:styleId="AOGenNum2List">
    <w:name w:val="AOGenNum2List"/>
    <w:basedOn w:val="AOGenNum2"/>
    <w:rsid w:val="00F47A54"/>
    <w:pPr>
      <w:keepNext w:val="0"/>
      <w:numPr>
        <w:numId w:val="15"/>
      </w:numPr>
      <w:tabs>
        <w:tab w:val="num" w:pos="1021"/>
      </w:tabs>
      <w:ind w:left="1021" w:hanging="601"/>
    </w:pPr>
    <w:rPr>
      <w:b w:val="0"/>
    </w:rPr>
  </w:style>
  <w:style w:type="paragraph" w:customStyle="1" w:styleId="AOGenNum3">
    <w:name w:val="AOGenNum3"/>
    <w:basedOn w:val="AOBodyTxt"/>
    <w:next w:val="AOGenNum3List"/>
    <w:rsid w:val="00F47A54"/>
    <w:pPr>
      <w:numPr>
        <w:ilvl w:val="1"/>
        <w:numId w:val="15"/>
      </w:numPr>
      <w:tabs>
        <w:tab w:val="num" w:pos="720"/>
      </w:tabs>
      <w:ind w:left="720" w:hanging="720"/>
    </w:pPr>
  </w:style>
  <w:style w:type="paragraph" w:customStyle="1" w:styleId="AOGenNum3List">
    <w:name w:val="AOGenNum3List"/>
    <w:basedOn w:val="AOGenNum3"/>
    <w:rsid w:val="00F47A54"/>
    <w:pPr>
      <w:numPr>
        <w:ilvl w:val="0"/>
        <w:numId w:val="16"/>
      </w:numPr>
      <w:tabs>
        <w:tab w:val="num" w:pos="840"/>
      </w:tabs>
      <w:ind w:left="840" w:hanging="420"/>
    </w:pPr>
  </w:style>
  <w:style w:type="paragraph" w:customStyle="1" w:styleId="AOHead1">
    <w:name w:val="AOHead1"/>
    <w:basedOn w:val="AOHeadings"/>
    <w:next w:val="AODocTxtL1"/>
    <w:rsid w:val="00F47A54"/>
    <w:pPr>
      <w:keepNext/>
      <w:numPr>
        <w:numId w:val="16"/>
      </w:numPr>
      <w:tabs>
        <w:tab w:val="num" w:pos="720"/>
      </w:tabs>
      <w:ind w:left="720" w:hanging="720"/>
      <w:outlineLvl w:val="0"/>
    </w:pPr>
    <w:rPr>
      <w:b/>
      <w:caps/>
      <w:kern w:val="28"/>
    </w:rPr>
  </w:style>
  <w:style w:type="paragraph" w:customStyle="1" w:styleId="AOHeadings">
    <w:name w:val="AOHeadings"/>
    <w:basedOn w:val="AOBodyTxt"/>
    <w:next w:val="AODocTxt"/>
    <w:rsid w:val="00F47A54"/>
    <w:pPr>
      <w:numPr>
        <w:ilvl w:val="1"/>
        <w:numId w:val="17"/>
      </w:numPr>
      <w:ind w:left="0"/>
    </w:pPr>
  </w:style>
  <w:style w:type="paragraph" w:customStyle="1" w:styleId="AOHead2">
    <w:name w:val="AOHead2"/>
    <w:basedOn w:val="AOHeadings"/>
    <w:next w:val="AODocTxtL1"/>
    <w:rsid w:val="00F47A54"/>
    <w:pPr>
      <w:keepNext/>
      <w:numPr>
        <w:ilvl w:val="2"/>
      </w:numPr>
      <w:tabs>
        <w:tab w:val="num" w:pos="720"/>
      </w:tabs>
      <w:ind w:left="720" w:hanging="720"/>
      <w:outlineLvl w:val="1"/>
    </w:pPr>
    <w:rPr>
      <w:b/>
    </w:rPr>
  </w:style>
  <w:style w:type="paragraph" w:customStyle="1" w:styleId="AOHead3">
    <w:name w:val="AOHead3"/>
    <w:basedOn w:val="AOHeadings"/>
    <w:next w:val="AODocTxtL2"/>
    <w:rsid w:val="00F47A54"/>
    <w:pPr>
      <w:numPr>
        <w:ilvl w:val="3"/>
      </w:numPr>
      <w:tabs>
        <w:tab w:val="num" w:pos="1440"/>
      </w:tabs>
      <w:ind w:left="1440" w:hanging="720"/>
      <w:outlineLvl w:val="2"/>
    </w:pPr>
  </w:style>
  <w:style w:type="paragraph" w:customStyle="1" w:styleId="AOHead4">
    <w:name w:val="AOHead4"/>
    <w:basedOn w:val="AOHeadings"/>
    <w:next w:val="AODocTxtL3"/>
    <w:rsid w:val="00F47A54"/>
    <w:pPr>
      <w:numPr>
        <w:ilvl w:val="4"/>
      </w:numPr>
      <w:tabs>
        <w:tab w:val="num" w:pos="2160"/>
      </w:tabs>
      <w:ind w:left="2160" w:hanging="720"/>
      <w:outlineLvl w:val="3"/>
    </w:pPr>
  </w:style>
  <w:style w:type="paragraph" w:customStyle="1" w:styleId="AOHead5">
    <w:name w:val="AOHead5"/>
    <w:basedOn w:val="AOHeadings"/>
    <w:next w:val="AODocTxtL4"/>
    <w:rsid w:val="00F47A54"/>
    <w:pPr>
      <w:numPr>
        <w:ilvl w:val="5"/>
      </w:numPr>
      <w:tabs>
        <w:tab w:val="num" w:pos="2880"/>
      </w:tabs>
      <w:ind w:left="2880" w:hanging="720"/>
      <w:outlineLvl w:val="4"/>
    </w:pPr>
  </w:style>
  <w:style w:type="paragraph" w:customStyle="1" w:styleId="AOHead6">
    <w:name w:val="AOHead6"/>
    <w:basedOn w:val="AOHeadings"/>
    <w:next w:val="AODocTxtL5"/>
    <w:rsid w:val="00F47A54"/>
    <w:pPr>
      <w:numPr>
        <w:ilvl w:val="6"/>
      </w:numPr>
      <w:tabs>
        <w:tab w:val="num" w:pos="3600"/>
      </w:tabs>
      <w:ind w:left="3600" w:hanging="720"/>
      <w:outlineLvl w:val="5"/>
    </w:pPr>
  </w:style>
  <w:style w:type="paragraph" w:customStyle="1" w:styleId="AOAltHead1">
    <w:name w:val="AOAltHead1"/>
    <w:basedOn w:val="AOHead1"/>
    <w:next w:val="AODocTxtL1"/>
    <w:rsid w:val="00F47A54"/>
    <w:pPr>
      <w:keepNext w:val="0"/>
      <w:numPr>
        <w:ilvl w:val="7"/>
        <w:numId w:val="17"/>
      </w:numPr>
      <w:ind w:left="720" w:hanging="720"/>
    </w:pPr>
    <w:rPr>
      <w:b w:val="0"/>
      <w:caps w:val="0"/>
    </w:rPr>
  </w:style>
  <w:style w:type="paragraph" w:customStyle="1" w:styleId="AOAltHead2">
    <w:name w:val="AOAltHead2"/>
    <w:basedOn w:val="AOHead2"/>
    <w:next w:val="AODocTxtL1"/>
    <w:rsid w:val="00F47A54"/>
    <w:pPr>
      <w:keepNext w:val="0"/>
      <w:numPr>
        <w:ilvl w:val="8"/>
      </w:numPr>
      <w:ind w:left="720" w:hanging="720"/>
    </w:pPr>
    <w:rPr>
      <w:b w:val="0"/>
    </w:rPr>
  </w:style>
  <w:style w:type="paragraph" w:customStyle="1" w:styleId="AOAltHead3">
    <w:name w:val="AOAltHead3"/>
    <w:basedOn w:val="AOHead3"/>
    <w:next w:val="AODocTxtL1"/>
    <w:rsid w:val="00F47A54"/>
    <w:pPr>
      <w:numPr>
        <w:ilvl w:val="0"/>
        <w:numId w:val="18"/>
      </w:numPr>
      <w:tabs>
        <w:tab w:val="clear" w:pos="720"/>
      </w:tabs>
    </w:pPr>
  </w:style>
  <w:style w:type="paragraph" w:customStyle="1" w:styleId="AOAltHead4">
    <w:name w:val="AOAltHead4"/>
    <w:basedOn w:val="AOHead4"/>
    <w:next w:val="AODocTxtL2"/>
    <w:rsid w:val="00F47A54"/>
    <w:pPr>
      <w:numPr>
        <w:ilvl w:val="1"/>
        <w:numId w:val="18"/>
      </w:numPr>
      <w:tabs>
        <w:tab w:val="clear" w:pos="720"/>
      </w:tabs>
      <w:ind w:left="1440"/>
    </w:pPr>
  </w:style>
  <w:style w:type="paragraph" w:customStyle="1" w:styleId="AOAltHead5">
    <w:name w:val="AOAltHead5"/>
    <w:basedOn w:val="AOHead5"/>
    <w:next w:val="AODocTxtL3"/>
    <w:rsid w:val="00F47A54"/>
    <w:pPr>
      <w:numPr>
        <w:ilvl w:val="2"/>
        <w:numId w:val="18"/>
      </w:numPr>
      <w:tabs>
        <w:tab w:val="clear" w:pos="720"/>
      </w:tabs>
      <w:ind w:left="2160"/>
    </w:pPr>
  </w:style>
  <w:style w:type="paragraph" w:customStyle="1" w:styleId="AOAltHead6">
    <w:name w:val="AOAltHead6"/>
    <w:basedOn w:val="AOHead6"/>
    <w:next w:val="AODocTxtL4"/>
    <w:rsid w:val="00F47A54"/>
    <w:pPr>
      <w:numPr>
        <w:ilvl w:val="0"/>
        <w:numId w:val="19"/>
      </w:numPr>
      <w:tabs>
        <w:tab w:val="clear" w:pos="720"/>
      </w:tabs>
      <w:ind w:left="2880"/>
    </w:pPr>
  </w:style>
  <w:style w:type="paragraph" w:customStyle="1" w:styleId="AOListNumber">
    <w:name w:val="AOListNumber"/>
    <w:basedOn w:val="AOBodyTxt"/>
    <w:rsid w:val="00F47A54"/>
    <w:pPr>
      <w:numPr>
        <w:ilvl w:val="1"/>
        <w:numId w:val="19"/>
      </w:numPr>
      <w:tabs>
        <w:tab w:val="clear" w:pos="720"/>
      </w:tabs>
    </w:pPr>
  </w:style>
  <w:style w:type="paragraph" w:customStyle="1" w:styleId="AOBullet2">
    <w:name w:val="AOBullet2"/>
    <w:basedOn w:val="AOBullet"/>
    <w:rsid w:val="00F47A54"/>
    <w:pPr>
      <w:numPr>
        <w:ilvl w:val="2"/>
        <w:numId w:val="19"/>
      </w:numPr>
      <w:tabs>
        <w:tab w:val="clear" w:pos="720"/>
        <w:tab w:val="num" w:pos="1280"/>
      </w:tabs>
      <w:spacing w:before="120"/>
      <w:ind w:left="1280"/>
    </w:pPr>
  </w:style>
  <w:style w:type="paragraph" w:customStyle="1" w:styleId="AOBullet3">
    <w:name w:val="AOBullet3"/>
    <w:basedOn w:val="AOBodyTxt"/>
    <w:rsid w:val="00F47A54"/>
    <w:pPr>
      <w:numPr>
        <w:numId w:val="20"/>
      </w:numPr>
      <w:tabs>
        <w:tab w:val="clear" w:pos="720"/>
      </w:tabs>
      <w:spacing w:before="120"/>
    </w:pPr>
  </w:style>
  <w:style w:type="paragraph" w:customStyle="1" w:styleId="AOBullet4">
    <w:name w:val="AOBullet4"/>
    <w:basedOn w:val="AOBodyTxt"/>
    <w:rsid w:val="00F47A54"/>
    <w:pPr>
      <w:numPr>
        <w:ilvl w:val="1"/>
        <w:numId w:val="20"/>
      </w:numPr>
      <w:spacing w:before="120"/>
    </w:pPr>
  </w:style>
  <w:style w:type="paragraph" w:styleId="a">
    <w:name w:val="List Bullet"/>
    <w:basedOn w:val="a0"/>
    <w:autoRedefine/>
    <w:rsid w:val="00F47A54"/>
    <w:pPr>
      <w:numPr>
        <w:ilvl w:val="0"/>
      </w:numPr>
      <w:ind w:right="720" w:hanging="360"/>
    </w:pPr>
  </w:style>
  <w:style w:type="paragraph" w:styleId="a0">
    <w:name w:val="List"/>
    <w:basedOn w:val="af0"/>
    <w:rsid w:val="00F47A54"/>
    <w:pPr>
      <w:widowControl/>
      <w:numPr>
        <w:ilvl w:val="1"/>
        <w:numId w:val="21"/>
      </w:numPr>
      <w:tabs>
        <w:tab w:val="clear" w:pos="720"/>
      </w:tabs>
      <w:spacing w:after="240" w:line="240" w:lineRule="atLeast"/>
      <w:ind w:hanging="360"/>
      <w:jc w:val="left"/>
    </w:pPr>
    <w:rPr>
      <w:rFonts w:eastAsia="PMingLiU"/>
      <w:kern w:val="0"/>
      <w:szCs w:val="20"/>
      <w:lang w:eastAsia="en-US"/>
    </w:rPr>
  </w:style>
  <w:style w:type="paragraph" w:styleId="a1">
    <w:name w:val="List Number"/>
    <w:basedOn w:val="a0"/>
    <w:rsid w:val="00F47A54"/>
    <w:pPr>
      <w:numPr>
        <w:ilvl w:val="2"/>
      </w:numPr>
      <w:tabs>
        <w:tab w:val="clear" w:pos="1440"/>
        <w:tab w:val="num" w:pos="720"/>
      </w:tabs>
      <w:ind w:left="720" w:right="720" w:hanging="360"/>
    </w:pPr>
  </w:style>
  <w:style w:type="paragraph" w:customStyle="1" w:styleId="afe">
    <w:name w:val="正文所"/>
    <w:basedOn w:val="a2"/>
    <w:rsid w:val="00F47A54"/>
    <w:pPr>
      <w:spacing w:line="360" w:lineRule="auto"/>
      <w:ind w:firstLineChars="200" w:firstLine="420"/>
    </w:pPr>
  </w:style>
  <w:style w:type="paragraph" w:customStyle="1" w:styleId="ParaChar">
    <w:name w:val="默认段落字体 Para Char"/>
    <w:basedOn w:val="a2"/>
    <w:autoRedefine/>
    <w:rsid w:val="00F47A54"/>
    <w:pPr>
      <w:tabs>
        <w:tab w:val="num" w:pos="870"/>
      </w:tabs>
      <w:ind w:left="870" w:hanging="870"/>
    </w:pPr>
    <w:rPr>
      <w:sz w:val="24"/>
    </w:rPr>
  </w:style>
  <w:style w:type="paragraph" w:customStyle="1" w:styleId="AOFPBP">
    <w:name w:val="AOFPBP"/>
    <w:basedOn w:val="AONormal"/>
    <w:next w:val="AOFPTxt"/>
    <w:rsid w:val="00F47A54"/>
  </w:style>
  <w:style w:type="paragraph" w:customStyle="1" w:styleId="AOFPTxt">
    <w:name w:val="AOFPTxt"/>
    <w:basedOn w:val="AOFPBP"/>
    <w:rsid w:val="00F47A54"/>
    <w:rPr>
      <w:b/>
    </w:rPr>
  </w:style>
  <w:style w:type="paragraph" w:customStyle="1" w:styleId="AOFPCopyright">
    <w:name w:val="AOFPCopyright"/>
    <w:basedOn w:val="AOFPTxt"/>
    <w:rsid w:val="00F47A54"/>
    <w:rPr>
      <w:caps/>
    </w:rPr>
  </w:style>
  <w:style w:type="paragraph" w:customStyle="1" w:styleId="AOFPDate">
    <w:name w:val="AOFPDate"/>
    <w:basedOn w:val="AOFPTxt"/>
    <w:rsid w:val="00F47A54"/>
    <w:rPr>
      <w:caps/>
    </w:rPr>
  </w:style>
  <w:style w:type="paragraph" w:customStyle="1" w:styleId="AOFPTitle">
    <w:name w:val="AOFPTitle"/>
    <w:basedOn w:val="AOFPTxt"/>
    <w:rsid w:val="00F47A54"/>
    <w:rPr>
      <w:caps/>
      <w:sz w:val="32"/>
    </w:rPr>
  </w:style>
  <w:style w:type="paragraph" w:customStyle="1" w:styleId="AOFPTxtCaps">
    <w:name w:val="AOFPTxtCaps"/>
    <w:basedOn w:val="AOFPTxt"/>
    <w:rsid w:val="00F47A54"/>
    <w:rPr>
      <w:caps/>
    </w:rPr>
  </w:style>
  <w:style w:type="character" w:customStyle="1" w:styleId="AOHidden">
    <w:name w:val="AOHidden"/>
    <w:rsid w:val="00F47A54"/>
    <w:rPr>
      <w:rFonts w:eastAsia="宋体"/>
      <w:vanish/>
      <w:color w:val="auto"/>
      <w:kern w:val="2"/>
      <w:sz w:val="24"/>
      <w:szCs w:val="24"/>
      <w:lang w:val="en-US" w:eastAsia="zh-CN" w:bidi="ar-SA"/>
    </w:rPr>
  </w:style>
  <w:style w:type="paragraph" w:customStyle="1" w:styleId="AOLocation">
    <w:name w:val="AOLocation"/>
    <w:basedOn w:val="AOFPBP"/>
    <w:rsid w:val="00F47A54"/>
    <w:pPr>
      <w:spacing w:before="160"/>
      <w:jc w:val="center"/>
    </w:pPr>
    <w:rPr>
      <w:b/>
      <w:caps/>
    </w:rPr>
  </w:style>
  <w:style w:type="paragraph" w:customStyle="1" w:styleId="AOSignatory">
    <w:name w:val="AOSignatory"/>
    <w:basedOn w:val="AOBodyTxt"/>
    <w:next w:val="AODocTxt"/>
    <w:rsid w:val="00F47A54"/>
    <w:pPr>
      <w:pageBreakBefore/>
      <w:spacing w:after="240"/>
      <w:jc w:val="center"/>
    </w:pPr>
    <w:rPr>
      <w:b/>
      <w:caps/>
    </w:rPr>
  </w:style>
  <w:style w:type="paragraph" w:customStyle="1" w:styleId="AOTitle">
    <w:name w:val="AOTitle"/>
    <w:basedOn w:val="AOHeadings"/>
    <w:next w:val="AODocTxt"/>
    <w:rsid w:val="00F47A54"/>
    <w:pPr>
      <w:jc w:val="center"/>
    </w:pPr>
    <w:rPr>
      <w:b/>
      <w:caps/>
    </w:rPr>
  </w:style>
  <w:style w:type="paragraph" w:customStyle="1" w:styleId="AOTOCHeading">
    <w:name w:val="AOTOCHeading"/>
    <w:basedOn w:val="AOHeadings"/>
    <w:next w:val="AODocTxt"/>
    <w:rsid w:val="00F47A54"/>
    <w:pPr>
      <w:tabs>
        <w:tab w:val="right" w:pos="9000"/>
      </w:tabs>
      <w:spacing w:after="240"/>
    </w:pPr>
    <w:rPr>
      <w:b/>
    </w:rPr>
  </w:style>
  <w:style w:type="paragraph" w:customStyle="1" w:styleId="AOTOCs">
    <w:name w:val="AOTOCs"/>
    <w:basedOn w:val="AONormal"/>
    <w:next w:val="12"/>
    <w:rsid w:val="00F47A54"/>
    <w:pPr>
      <w:jc w:val="both"/>
    </w:pPr>
  </w:style>
  <w:style w:type="paragraph" w:customStyle="1" w:styleId="AOTOCTitle">
    <w:name w:val="AOTOCTitle"/>
    <w:basedOn w:val="AOHeadings"/>
    <w:next w:val="AOTOCHeading"/>
    <w:rsid w:val="00F47A54"/>
    <w:pPr>
      <w:jc w:val="center"/>
    </w:pPr>
    <w:rPr>
      <w:b/>
      <w:caps/>
    </w:rPr>
  </w:style>
  <w:style w:type="paragraph" w:styleId="aff">
    <w:name w:val="endnote text"/>
    <w:basedOn w:val="AONormal"/>
    <w:semiHidden/>
    <w:rsid w:val="00F47A54"/>
    <w:pPr>
      <w:spacing w:line="240" w:lineRule="auto"/>
      <w:ind w:left="720" w:hanging="720"/>
    </w:pPr>
    <w:rPr>
      <w:sz w:val="16"/>
    </w:rPr>
  </w:style>
  <w:style w:type="paragraph" w:styleId="aff0">
    <w:name w:val="table of authorities"/>
    <w:basedOn w:val="AONormal"/>
    <w:semiHidden/>
    <w:rsid w:val="00F47A54"/>
    <w:pPr>
      <w:tabs>
        <w:tab w:val="right" w:leader="dot" w:pos="9490"/>
      </w:tabs>
      <w:spacing w:before="240" w:line="240" w:lineRule="auto"/>
      <w:ind w:left="720" w:hanging="720"/>
    </w:pPr>
  </w:style>
  <w:style w:type="paragraph" w:styleId="aff1">
    <w:name w:val="toa heading"/>
    <w:basedOn w:val="AONormal"/>
    <w:next w:val="aff0"/>
    <w:semiHidden/>
    <w:rsid w:val="00F47A54"/>
    <w:pPr>
      <w:tabs>
        <w:tab w:val="right" w:pos="9490"/>
      </w:tabs>
      <w:spacing w:before="240" w:after="120" w:line="240" w:lineRule="auto"/>
    </w:pPr>
    <w:rPr>
      <w:b/>
    </w:rPr>
  </w:style>
  <w:style w:type="paragraph" w:customStyle="1" w:styleId="AOHeading1">
    <w:name w:val="AOHeading1"/>
    <w:basedOn w:val="AOHeadings"/>
    <w:next w:val="AODocTxt"/>
    <w:rsid w:val="00F47A54"/>
    <w:pPr>
      <w:keepNext/>
      <w:outlineLvl w:val="0"/>
    </w:pPr>
    <w:rPr>
      <w:b/>
      <w:caps/>
      <w:kern w:val="28"/>
    </w:rPr>
  </w:style>
  <w:style w:type="paragraph" w:customStyle="1" w:styleId="AOHeading2">
    <w:name w:val="AOHeading2"/>
    <w:basedOn w:val="AOHeadings"/>
    <w:next w:val="AODocTxt"/>
    <w:rsid w:val="00F47A54"/>
    <w:pPr>
      <w:keepNext/>
      <w:outlineLvl w:val="1"/>
    </w:pPr>
    <w:rPr>
      <w:b/>
    </w:rPr>
  </w:style>
  <w:style w:type="paragraph" w:customStyle="1" w:styleId="AOHeading3">
    <w:name w:val="AOHeading3"/>
    <w:basedOn w:val="AOHeadings"/>
    <w:next w:val="AODocTxtL1"/>
    <w:rsid w:val="00F47A54"/>
    <w:pPr>
      <w:keepNext/>
      <w:ind w:left="720"/>
      <w:outlineLvl w:val="2"/>
    </w:pPr>
    <w:rPr>
      <w:b/>
    </w:rPr>
  </w:style>
  <w:style w:type="paragraph" w:customStyle="1" w:styleId="AOHeading4">
    <w:name w:val="AOHeading4"/>
    <w:basedOn w:val="AOHeadings"/>
    <w:next w:val="AODocTxt"/>
    <w:rsid w:val="00F47A54"/>
    <w:pPr>
      <w:keepNext/>
      <w:outlineLvl w:val="3"/>
    </w:pPr>
    <w:rPr>
      <w:i/>
    </w:rPr>
  </w:style>
  <w:style w:type="paragraph" w:customStyle="1" w:styleId="AOHeading5">
    <w:name w:val="AOHeading5"/>
    <w:basedOn w:val="AOHeadings"/>
    <w:next w:val="AODocTxtL1"/>
    <w:rsid w:val="00F47A54"/>
    <w:pPr>
      <w:keepNext/>
      <w:ind w:left="720"/>
      <w:outlineLvl w:val="4"/>
    </w:pPr>
    <w:rPr>
      <w:i/>
    </w:rPr>
  </w:style>
  <w:style w:type="paragraph" w:customStyle="1" w:styleId="AOHeading6">
    <w:name w:val="AOHeading6"/>
    <w:basedOn w:val="AOHeadings"/>
    <w:next w:val="AODocTxt"/>
    <w:rsid w:val="00F47A54"/>
    <w:pPr>
      <w:keepNext/>
      <w:outlineLvl w:val="5"/>
    </w:pPr>
    <w:rPr>
      <w:b/>
      <w:i/>
    </w:rPr>
  </w:style>
  <w:style w:type="paragraph" w:customStyle="1" w:styleId="AOHeading7">
    <w:name w:val="AOHeading7"/>
    <w:basedOn w:val="AOHeadings"/>
    <w:next w:val="AODocTxtL1"/>
    <w:rsid w:val="00F47A54"/>
    <w:pPr>
      <w:keepNext/>
      <w:ind w:left="720"/>
      <w:outlineLvl w:val="6"/>
    </w:pPr>
    <w:rPr>
      <w:b/>
      <w:i/>
    </w:rPr>
  </w:style>
  <w:style w:type="paragraph" w:customStyle="1" w:styleId="AONormal10">
    <w:name w:val="AONormal10"/>
    <w:basedOn w:val="AONormal"/>
    <w:rsid w:val="00F47A54"/>
    <w:rPr>
      <w:sz w:val="20"/>
    </w:rPr>
  </w:style>
  <w:style w:type="paragraph" w:customStyle="1" w:styleId="AONormal8C">
    <w:name w:val="AONormal8C"/>
    <w:basedOn w:val="AONormal8L"/>
    <w:rsid w:val="00F47A54"/>
    <w:pPr>
      <w:jc w:val="center"/>
    </w:pPr>
  </w:style>
  <w:style w:type="paragraph" w:customStyle="1" w:styleId="AONormal8L">
    <w:name w:val="AONormal8L"/>
    <w:basedOn w:val="AONormal"/>
    <w:rsid w:val="00F47A54"/>
    <w:pPr>
      <w:spacing w:line="220" w:lineRule="atLeast"/>
    </w:pPr>
    <w:rPr>
      <w:rFonts w:ascii="Arial" w:hAnsi="Arial"/>
      <w:sz w:val="16"/>
    </w:rPr>
  </w:style>
  <w:style w:type="paragraph" w:customStyle="1" w:styleId="AONormal8R">
    <w:name w:val="AONormal8R"/>
    <w:basedOn w:val="AONormal8L"/>
    <w:rsid w:val="00F47A54"/>
    <w:pPr>
      <w:jc w:val="right"/>
    </w:pPr>
  </w:style>
  <w:style w:type="paragraph" w:customStyle="1" w:styleId="AONormalBold">
    <w:name w:val="AONormalBold"/>
    <w:basedOn w:val="AONormal"/>
    <w:rsid w:val="00F47A54"/>
    <w:rPr>
      <w:b/>
    </w:rPr>
  </w:style>
  <w:style w:type="paragraph" w:customStyle="1" w:styleId="AONormal6L">
    <w:name w:val="AONormal6L"/>
    <w:basedOn w:val="AONormal8L"/>
    <w:rsid w:val="00F47A54"/>
    <w:pPr>
      <w:spacing w:line="160" w:lineRule="atLeast"/>
    </w:pPr>
    <w:rPr>
      <w:sz w:val="12"/>
    </w:rPr>
  </w:style>
  <w:style w:type="paragraph" w:customStyle="1" w:styleId="AOTitle18">
    <w:name w:val="AOTitle18"/>
    <w:basedOn w:val="AONormal"/>
    <w:rsid w:val="00F47A54"/>
    <w:rPr>
      <w:b/>
      <w:sz w:val="36"/>
      <w:szCs w:val="36"/>
    </w:rPr>
  </w:style>
  <w:style w:type="paragraph" w:customStyle="1" w:styleId="AONormal8Ci">
    <w:name w:val="AONormal8Ci"/>
    <w:basedOn w:val="AONormal8C"/>
    <w:rsid w:val="00F47A54"/>
    <w:pPr>
      <w:spacing w:after="120" w:line="240" w:lineRule="auto"/>
    </w:pPr>
    <w:rPr>
      <w:i/>
      <w:szCs w:val="16"/>
    </w:rPr>
  </w:style>
  <w:style w:type="paragraph" w:customStyle="1" w:styleId="AOBPTxtL">
    <w:name w:val="AOBPTxtL"/>
    <w:basedOn w:val="AOFPBP"/>
    <w:rsid w:val="00F47A54"/>
  </w:style>
  <w:style w:type="paragraph" w:customStyle="1" w:styleId="AOBPTitle">
    <w:name w:val="AOBPTitle"/>
    <w:basedOn w:val="AOBPTxtL"/>
    <w:rsid w:val="00F47A54"/>
    <w:rPr>
      <w:b/>
      <w:caps/>
    </w:rPr>
  </w:style>
  <w:style w:type="paragraph" w:customStyle="1" w:styleId="AOBPTxtC">
    <w:name w:val="AOBPTxtC"/>
    <w:basedOn w:val="AOBPTxtL"/>
    <w:rsid w:val="00F47A54"/>
    <w:pPr>
      <w:jc w:val="center"/>
    </w:pPr>
  </w:style>
  <w:style w:type="paragraph" w:customStyle="1" w:styleId="AOBPTxtR">
    <w:name w:val="AOBPTxtR"/>
    <w:basedOn w:val="AOBPTxtL"/>
    <w:rsid w:val="00F47A54"/>
    <w:pPr>
      <w:jc w:val="right"/>
    </w:pPr>
  </w:style>
  <w:style w:type="paragraph" w:customStyle="1" w:styleId="AOTOC1">
    <w:name w:val="AOTOC1"/>
    <w:basedOn w:val="AOTOCs"/>
    <w:rsid w:val="00F47A54"/>
    <w:pPr>
      <w:tabs>
        <w:tab w:val="left" w:pos="720"/>
        <w:tab w:val="right" w:leader="dot" w:pos="9027"/>
      </w:tabs>
    </w:pPr>
    <w:rPr>
      <w:b/>
      <w:caps/>
    </w:rPr>
  </w:style>
  <w:style w:type="paragraph" w:customStyle="1" w:styleId="AOTOC2">
    <w:name w:val="AOTOC2"/>
    <w:basedOn w:val="AOTOCs"/>
    <w:rsid w:val="00F47A54"/>
    <w:pPr>
      <w:tabs>
        <w:tab w:val="left" w:pos="720"/>
        <w:tab w:val="right" w:leader="dot" w:pos="9027"/>
      </w:tabs>
    </w:pPr>
  </w:style>
  <w:style w:type="paragraph" w:customStyle="1" w:styleId="AOTOC3">
    <w:name w:val="AOTOC3"/>
    <w:basedOn w:val="AOTOCs"/>
    <w:rsid w:val="00F47A54"/>
    <w:pPr>
      <w:tabs>
        <w:tab w:val="right" w:leader="dot" w:pos="9027"/>
      </w:tabs>
      <w:ind w:left="720"/>
    </w:pPr>
    <w:rPr>
      <w:b/>
    </w:rPr>
  </w:style>
  <w:style w:type="paragraph" w:customStyle="1" w:styleId="AOTOC4">
    <w:name w:val="AOTOC4"/>
    <w:basedOn w:val="AOTOCs"/>
    <w:rsid w:val="00F47A54"/>
    <w:pPr>
      <w:tabs>
        <w:tab w:val="right" w:leader="dot" w:pos="9027"/>
      </w:tabs>
      <w:ind w:left="720"/>
    </w:pPr>
  </w:style>
  <w:style w:type="paragraph" w:customStyle="1" w:styleId="AOTOC5">
    <w:name w:val="AOTOC5"/>
    <w:basedOn w:val="AOTOCs"/>
    <w:rsid w:val="00F47A54"/>
    <w:pPr>
      <w:tabs>
        <w:tab w:val="right" w:leader="dot" w:pos="9027"/>
      </w:tabs>
      <w:ind w:left="720"/>
    </w:pPr>
    <w:rPr>
      <w:i/>
    </w:rPr>
  </w:style>
  <w:style w:type="paragraph" w:styleId="aff2">
    <w:name w:val="envelope address"/>
    <w:basedOn w:val="a2"/>
    <w:rsid w:val="00F47A54"/>
    <w:pPr>
      <w:framePr w:w="7920" w:h="1980" w:hRule="exact" w:hSpace="180" w:wrap="auto" w:hAnchor="page" w:xAlign="center" w:yAlign="bottom"/>
      <w:ind w:left="2880"/>
    </w:pPr>
    <w:rPr>
      <w:rFonts w:cs="Arial"/>
      <w:szCs w:val="22"/>
    </w:rPr>
  </w:style>
  <w:style w:type="paragraph" w:styleId="aff3">
    <w:name w:val="envelope return"/>
    <w:basedOn w:val="a2"/>
    <w:rsid w:val="00F47A54"/>
    <w:rPr>
      <w:rFonts w:cs="Arial"/>
      <w:sz w:val="20"/>
    </w:rPr>
  </w:style>
  <w:style w:type="paragraph" w:customStyle="1" w:styleId="AONormal8LBold">
    <w:name w:val="AONormal8LBold"/>
    <w:basedOn w:val="AONormal8L"/>
    <w:rsid w:val="00F47A54"/>
    <w:rPr>
      <w:b/>
    </w:rPr>
  </w:style>
  <w:style w:type="paragraph" w:customStyle="1" w:styleId="AONormal6R">
    <w:name w:val="AONormal6R"/>
    <w:basedOn w:val="AONormal6L"/>
    <w:rsid w:val="00F47A54"/>
    <w:pPr>
      <w:jc w:val="right"/>
    </w:pPr>
  </w:style>
  <w:style w:type="paragraph" w:customStyle="1" w:styleId="AONormal6C">
    <w:name w:val="AONormal6C"/>
    <w:basedOn w:val="AONormal6L"/>
    <w:rsid w:val="00F47A54"/>
    <w:pPr>
      <w:jc w:val="center"/>
    </w:pPr>
  </w:style>
  <w:style w:type="paragraph" w:customStyle="1" w:styleId="AOBodyJustified">
    <w:name w:val="AOBodyJustified"/>
    <w:basedOn w:val="AOBodyTxt"/>
    <w:rsid w:val="00F47A54"/>
    <w:pPr>
      <w:jc w:val="both"/>
    </w:pPr>
  </w:style>
  <w:style w:type="paragraph" w:customStyle="1" w:styleId="14">
    <w:name w:val="批注框文本1"/>
    <w:basedOn w:val="a2"/>
    <w:semiHidden/>
    <w:rsid w:val="00F47A54"/>
    <w:rPr>
      <w:rFonts w:ascii="Tahoma" w:hAnsi="Tahoma" w:cs="Tahoma"/>
      <w:sz w:val="16"/>
      <w:szCs w:val="16"/>
    </w:rPr>
  </w:style>
  <w:style w:type="character" w:customStyle="1" w:styleId="lan18">
    <w:name w:val="lan18"/>
    <w:rsid w:val="00F47A54"/>
    <w:rPr>
      <w:rFonts w:eastAsia="宋体"/>
      <w:kern w:val="2"/>
      <w:sz w:val="24"/>
      <w:szCs w:val="24"/>
      <w:lang w:val="en-US" w:eastAsia="zh-CN" w:bidi="ar-SA"/>
    </w:rPr>
  </w:style>
  <w:style w:type="paragraph" w:styleId="HTML">
    <w:name w:val="HTML Preformatted"/>
    <w:basedOn w:val="a2"/>
    <w:rsid w:val="00F47A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HTML0">
    <w:name w:val="HTML Typewriter"/>
    <w:rsid w:val="00F47A54"/>
    <w:rPr>
      <w:rFonts w:ascii="Arial Unicode MS" w:eastAsia="Arial Unicode MS" w:hAnsi="Arial Unicode MS" w:cs="Arial Unicode MS"/>
      <w:kern w:val="2"/>
      <w:sz w:val="20"/>
      <w:szCs w:val="20"/>
      <w:lang w:val="en-US" w:eastAsia="zh-CN" w:bidi="ar-SA"/>
    </w:rPr>
  </w:style>
  <w:style w:type="paragraph" w:styleId="aff4">
    <w:name w:val="Revision"/>
    <w:hidden/>
    <w:uiPriority w:val="99"/>
    <w:semiHidden/>
    <w:rsid w:val="00C14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inance.sina.com.cn/roll/20040701/0619843455.shtml"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finance.sina.com.cn/jjzj/20040611/0619807973.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ance.sina.com.cn/fund/jjxy/20031029/0526494992.s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4599</Words>
  <Characters>26215</Characters>
  <Application>Microsoft Office Word</Application>
  <DocSecurity>0</DocSecurity>
  <Lines>218</Lines>
  <Paragraphs>61</Paragraphs>
  <ScaleCrop>false</ScaleCrop>
  <Company>Microsoft</Company>
  <LinksUpToDate>false</LinksUpToDate>
  <CharactersWithSpaces>30753</CharactersWithSpaces>
  <SharedDoc>false</SharedDoc>
  <HLinks>
    <vt:vector size="144" baseType="variant">
      <vt:variant>
        <vt:i4>1245205</vt:i4>
      </vt:variant>
      <vt:variant>
        <vt:i4>135</vt:i4>
      </vt:variant>
      <vt:variant>
        <vt:i4>0</vt:i4>
      </vt:variant>
      <vt:variant>
        <vt:i4>5</vt:i4>
      </vt:variant>
      <vt:variant>
        <vt:lpwstr>http://finance.sina.com.cn/roll/20040701/0619843455.shtml</vt:lpwstr>
      </vt:variant>
      <vt:variant>
        <vt:lpwstr/>
      </vt:variant>
      <vt:variant>
        <vt:i4>1703960</vt:i4>
      </vt:variant>
      <vt:variant>
        <vt:i4>132</vt:i4>
      </vt:variant>
      <vt:variant>
        <vt:i4>0</vt:i4>
      </vt:variant>
      <vt:variant>
        <vt:i4>5</vt:i4>
      </vt:variant>
      <vt:variant>
        <vt:lpwstr>http://finance.sina.com.cn/jjzj/20040611/0619807973.shtml</vt:lpwstr>
      </vt:variant>
      <vt:variant>
        <vt:lpwstr/>
      </vt:variant>
      <vt:variant>
        <vt:i4>7602224</vt:i4>
      </vt:variant>
      <vt:variant>
        <vt:i4>129</vt:i4>
      </vt:variant>
      <vt:variant>
        <vt:i4>0</vt:i4>
      </vt:variant>
      <vt:variant>
        <vt:i4>5</vt:i4>
      </vt:variant>
      <vt:variant>
        <vt:lpwstr>http://finance.sina.com.cn/fund/jjxy/20031029/0526494992.shtml</vt:lpwstr>
      </vt:variant>
      <vt:variant>
        <vt:lpwstr/>
      </vt:variant>
      <vt:variant>
        <vt:i4>1769526</vt:i4>
      </vt:variant>
      <vt:variant>
        <vt:i4>122</vt:i4>
      </vt:variant>
      <vt:variant>
        <vt:i4>0</vt:i4>
      </vt:variant>
      <vt:variant>
        <vt:i4>5</vt:i4>
      </vt:variant>
      <vt:variant>
        <vt:lpwstr/>
      </vt:variant>
      <vt:variant>
        <vt:lpwstr>_Toc176599872</vt:lpwstr>
      </vt:variant>
      <vt:variant>
        <vt:i4>1769526</vt:i4>
      </vt:variant>
      <vt:variant>
        <vt:i4>116</vt:i4>
      </vt:variant>
      <vt:variant>
        <vt:i4>0</vt:i4>
      </vt:variant>
      <vt:variant>
        <vt:i4>5</vt:i4>
      </vt:variant>
      <vt:variant>
        <vt:lpwstr/>
      </vt:variant>
      <vt:variant>
        <vt:lpwstr>_Toc176599871</vt:lpwstr>
      </vt:variant>
      <vt:variant>
        <vt:i4>1769526</vt:i4>
      </vt:variant>
      <vt:variant>
        <vt:i4>110</vt:i4>
      </vt:variant>
      <vt:variant>
        <vt:i4>0</vt:i4>
      </vt:variant>
      <vt:variant>
        <vt:i4>5</vt:i4>
      </vt:variant>
      <vt:variant>
        <vt:lpwstr/>
      </vt:variant>
      <vt:variant>
        <vt:lpwstr>_Toc176599870</vt:lpwstr>
      </vt:variant>
      <vt:variant>
        <vt:i4>1703990</vt:i4>
      </vt:variant>
      <vt:variant>
        <vt:i4>104</vt:i4>
      </vt:variant>
      <vt:variant>
        <vt:i4>0</vt:i4>
      </vt:variant>
      <vt:variant>
        <vt:i4>5</vt:i4>
      </vt:variant>
      <vt:variant>
        <vt:lpwstr/>
      </vt:variant>
      <vt:variant>
        <vt:lpwstr>_Toc176599869</vt:lpwstr>
      </vt:variant>
      <vt:variant>
        <vt:i4>1703990</vt:i4>
      </vt:variant>
      <vt:variant>
        <vt:i4>98</vt:i4>
      </vt:variant>
      <vt:variant>
        <vt:i4>0</vt:i4>
      </vt:variant>
      <vt:variant>
        <vt:i4>5</vt:i4>
      </vt:variant>
      <vt:variant>
        <vt:lpwstr/>
      </vt:variant>
      <vt:variant>
        <vt:lpwstr>_Toc176599868</vt:lpwstr>
      </vt:variant>
      <vt:variant>
        <vt:i4>1703990</vt:i4>
      </vt:variant>
      <vt:variant>
        <vt:i4>92</vt:i4>
      </vt:variant>
      <vt:variant>
        <vt:i4>0</vt:i4>
      </vt:variant>
      <vt:variant>
        <vt:i4>5</vt:i4>
      </vt:variant>
      <vt:variant>
        <vt:lpwstr/>
      </vt:variant>
      <vt:variant>
        <vt:lpwstr>_Toc176599867</vt:lpwstr>
      </vt:variant>
      <vt:variant>
        <vt:i4>1703990</vt:i4>
      </vt:variant>
      <vt:variant>
        <vt:i4>86</vt:i4>
      </vt:variant>
      <vt:variant>
        <vt:i4>0</vt:i4>
      </vt:variant>
      <vt:variant>
        <vt:i4>5</vt:i4>
      </vt:variant>
      <vt:variant>
        <vt:lpwstr/>
      </vt:variant>
      <vt:variant>
        <vt:lpwstr>_Toc176599866</vt:lpwstr>
      </vt:variant>
      <vt:variant>
        <vt:i4>1703990</vt:i4>
      </vt:variant>
      <vt:variant>
        <vt:i4>80</vt:i4>
      </vt:variant>
      <vt:variant>
        <vt:i4>0</vt:i4>
      </vt:variant>
      <vt:variant>
        <vt:i4>5</vt:i4>
      </vt:variant>
      <vt:variant>
        <vt:lpwstr/>
      </vt:variant>
      <vt:variant>
        <vt:lpwstr>_Toc176599865</vt:lpwstr>
      </vt:variant>
      <vt:variant>
        <vt:i4>1703990</vt:i4>
      </vt:variant>
      <vt:variant>
        <vt:i4>74</vt:i4>
      </vt:variant>
      <vt:variant>
        <vt:i4>0</vt:i4>
      </vt:variant>
      <vt:variant>
        <vt:i4>5</vt:i4>
      </vt:variant>
      <vt:variant>
        <vt:lpwstr/>
      </vt:variant>
      <vt:variant>
        <vt:lpwstr>_Toc176599864</vt:lpwstr>
      </vt:variant>
      <vt:variant>
        <vt:i4>1703990</vt:i4>
      </vt:variant>
      <vt:variant>
        <vt:i4>68</vt:i4>
      </vt:variant>
      <vt:variant>
        <vt:i4>0</vt:i4>
      </vt:variant>
      <vt:variant>
        <vt:i4>5</vt:i4>
      </vt:variant>
      <vt:variant>
        <vt:lpwstr/>
      </vt:variant>
      <vt:variant>
        <vt:lpwstr>_Toc176599863</vt:lpwstr>
      </vt:variant>
      <vt:variant>
        <vt:i4>1703990</vt:i4>
      </vt:variant>
      <vt:variant>
        <vt:i4>62</vt:i4>
      </vt:variant>
      <vt:variant>
        <vt:i4>0</vt:i4>
      </vt:variant>
      <vt:variant>
        <vt:i4>5</vt:i4>
      </vt:variant>
      <vt:variant>
        <vt:lpwstr/>
      </vt:variant>
      <vt:variant>
        <vt:lpwstr>_Toc176599862</vt:lpwstr>
      </vt:variant>
      <vt:variant>
        <vt:i4>1703990</vt:i4>
      </vt:variant>
      <vt:variant>
        <vt:i4>56</vt:i4>
      </vt:variant>
      <vt:variant>
        <vt:i4>0</vt:i4>
      </vt:variant>
      <vt:variant>
        <vt:i4>5</vt:i4>
      </vt:variant>
      <vt:variant>
        <vt:lpwstr/>
      </vt:variant>
      <vt:variant>
        <vt:lpwstr>_Toc176599861</vt:lpwstr>
      </vt:variant>
      <vt:variant>
        <vt:i4>1703990</vt:i4>
      </vt:variant>
      <vt:variant>
        <vt:i4>50</vt:i4>
      </vt:variant>
      <vt:variant>
        <vt:i4>0</vt:i4>
      </vt:variant>
      <vt:variant>
        <vt:i4>5</vt:i4>
      </vt:variant>
      <vt:variant>
        <vt:lpwstr/>
      </vt:variant>
      <vt:variant>
        <vt:lpwstr>_Toc176599860</vt:lpwstr>
      </vt:variant>
      <vt:variant>
        <vt:i4>1638454</vt:i4>
      </vt:variant>
      <vt:variant>
        <vt:i4>44</vt:i4>
      </vt:variant>
      <vt:variant>
        <vt:i4>0</vt:i4>
      </vt:variant>
      <vt:variant>
        <vt:i4>5</vt:i4>
      </vt:variant>
      <vt:variant>
        <vt:lpwstr/>
      </vt:variant>
      <vt:variant>
        <vt:lpwstr>_Toc176599859</vt:lpwstr>
      </vt:variant>
      <vt:variant>
        <vt:i4>1638454</vt:i4>
      </vt:variant>
      <vt:variant>
        <vt:i4>38</vt:i4>
      </vt:variant>
      <vt:variant>
        <vt:i4>0</vt:i4>
      </vt:variant>
      <vt:variant>
        <vt:i4>5</vt:i4>
      </vt:variant>
      <vt:variant>
        <vt:lpwstr/>
      </vt:variant>
      <vt:variant>
        <vt:lpwstr>_Toc176599858</vt:lpwstr>
      </vt:variant>
      <vt:variant>
        <vt:i4>1638454</vt:i4>
      </vt:variant>
      <vt:variant>
        <vt:i4>32</vt:i4>
      </vt:variant>
      <vt:variant>
        <vt:i4>0</vt:i4>
      </vt:variant>
      <vt:variant>
        <vt:i4>5</vt:i4>
      </vt:variant>
      <vt:variant>
        <vt:lpwstr/>
      </vt:variant>
      <vt:variant>
        <vt:lpwstr>_Toc176599857</vt:lpwstr>
      </vt:variant>
      <vt:variant>
        <vt:i4>1638454</vt:i4>
      </vt:variant>
      <vt:variant>
        <vt:i4>26</vt:i4>
      </vt:variant>
      <vt:variant>
        <vt:i4>0</vt:i4>
      </vt:variant>
      <vt:variant>
        <vt:i4>5</vt:i4>
      </vt:variant>
      <vt:variant>
        <vt:lpwstr/>
      </vt:variant>
      <vt:variant>
        <vt:lpwstr>_Toc176599856</vt:lpwstr>
      </vt:variant>
      <vt:variant>
        <vt:i4>1638454</vt:i4>
      </vt:variant>
      <vt:variant>
        <vt:i4>20</vt:i4>
      </vt:variant>
      <vt:variant>
        <vt:i4>0</vt:i4>
      </vt:variant>
      <vt:variant>
        <vt:i4>5</vt:i4>
      </vt:variant>
      <vt:variant>
        <vt:lpwstr/>
      </vt:variant>
      <vt:variant>
        <vt:lpwstr>_Toc176599855</vt:lpwstr>
      </vt:variant>
      <vt:variant>
        <vt:i4>1638454</vt:i4>
      </vt:variant>
      <vt:variant>
        <vt:i4>14</vt:i4>
      </vt:variant>
      <vt:variant>
        <vt:i4>0</vt:i4>
      </vt:variant>
      <vt:variant>
        <vt:i4>5</vt:i4>
      </vt:variant>
      <vt:variant>
        <vt:lpwstr/>
      </vt:variant>
      <vt:variant>
        <vt:lpwstr>_Toc176599854</vt:lpwstr>
      </vt:variant>
      <vt:variant>
        <vt:i4>1638454</vt:i4>
      </vt:variant>
      <vt:variant>
        <vt:i4>8</vt:i4>
      </vt:variant>
      <vt:variant>
        <vt:i4>0</vt:i4>
      </vt:variant>
      <vt:variant>
        <vt:i4>5</vt:i4>
      </vt:variant>
      <vt:variant>
        <vt:lpwstr/>
      </vt:variant>
      <vt:variant>
        <vt:lpwstr>_Toc176599853</vt:lpwstr>
      </vt:variant>
      <vt:variant>
        <vt:i4>1638454</vt:i4>
      </vt:variant>
      <vt:variant>
        <vt:i4>2</vt:i4>
      </vt:variant>
      <vt:variant>
        <vt:i4>0</vt:i4>
      </vt:variant>
      <vt:variant>
        <vt:i4>5</vt:i4>
      </vt:variant>
      <vt:variant>
        <vt:lpwstr/>
      </vt:variant>
      <vt:variant>
        <vt:lpwstr>_Toc176599852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张栩铭</cp:lastModifiedBy>
  <cp:revision>14</cp:revision>
  <dcterms:created xsi:type="dcterms:W3CDTF">2022-06-26T16:17:00Z</dcterms:created>
  <dcterms:modified xsi:type="dcterms:W3CDTF">2024-04-11T03:02:00Z</dcterms:modified>
</cp:coreProperties>
</file>