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5C6FD3" w:rsidP="004A631B">
      <w:pPr>
        <w:widowControl/>
        <w:jc w:val="center"/>
        <w:rPr>
          <w:rFonts w:ascii="宋体" w:eastAsia="宋体" w:hAnsi="宋体" w:cs="宋体"/>
          <w:b/>
          <w:kern w:val="0"/>
          <w:sz w:val="30"/>
          <w:szCs w:val="30"/>
        </w:rPr>
      </w:pPr>
      <w:r w:rsidRPr="00CF259A">
        <w:rPr>
          <w:rFonts w:ascii="宋体" w:eastAsia="宋体" w:hAnsi="宋体" w:cs="宋体"/>
          <w:b/>
          <w:kern w:val="0"/>
          <w:sz w:val="30"/>
          <w:szCs w:val="30"/>
        </w:rPr>
        <w:t>易方达安丰六个月持有期债券型证券投资基金基金合同生效</w:t>
      </w:r>
    </w:p>
    <w:p w:rsidR="00C54D35" w:rsidRPr="00CF259A" w:rsidP="004A631B">
      <w:pPr>
        <w:widowControl/>
        <w:jc w:val="center"/>
        <w:rPr>
          <w:rFonts w:ascii="宋体" w:eastAsia="宋体" w:hAnsi="宋体" w:cs="宋体"/>
          <w:b/>
          <w:kern w:val="0"/>
          <w:sz w:val="30"/>
          <w:szCs w:val="30"/>
        </w:rPr>
      </w:pPr>
      <w:r w:rsidRPr="00CF259A">
        <w:rPr>
          <w:rFonts w:ascii="宋体" w:eastAsia="宋体" w:hAnsi="宋体" w:cs="宋体"/>
          <w:b/>
          <w:kern w:val="0"/>
          <w:sz w:val="30"/>
          <w:szCs w:val="30"/>
        </w:rPr>
        <w:t>公告</w:t>
      </w:r>
    </w:p>
    <w:p w:rsidR="00C54D35" w:rsidRPr="0021743E" w:rsidP="0021743E">
      <w:pPr>
        <w:jc w:val="center"/>
        <w:rPr>
          <w:rFonts w:ascii="宋体" w:eastAsia="宋体" w:hAnsi="宋体" w:cs="宋体"/>
          <w:b/>
          <w:kern w:val="0"/>
          <w:sz w:val="24"/>
          <w:szCs w:val="24"/>
        </w:rPr>
      </w:pPr>
      <w:r w:rsidRPr="00CF259A">
        <w:rPr>
          <w:rFonts w:ascii="宋体" w:eastAsia="宋体" w:hAnsi="宋体" w:hint="eastAsia"/>
          <w:b/>
          <w:color w:val="000000"/>
          <w:sz w:val="24"/>
          <w:szCs w:val="24"/>
        </w:rPr>
        <w:t>公告送出日期：</w:t>
      </w:r>
      <w:r w:rsidRPr="00CF259A">
        <w:rPr>
          <w:rFonts w:ascii="宋体" w:eastAsia="宋体" w:hAnsi="宋体" w:cs="宋体"/>
          <w:b/>
          <w:bCs/>
          <w:sz w:val="24"/>
          <w:szCs w:val="24"/>
        </w:rPr>
        <w:t>2024年4月12日</w:t>
      </w:r>
    </w:p>
    <w:p w:rsidR="00C54D35" w:rsidRPr="00CF259A" w:rsidP="00CF259A">
      <w:pPr>
        <w:pStyle w:val="Heading3"/>
        <w:keepNext w:val="0"/>
        <w:keepLines w:val="0"/>
        <w:spacing w:before="0" w:after="0" w:line="360" w:lineRule="auto"/>
        <w:rPr>
          <w:rFonts w:ascii="宋体"/>
          <w:bCs w:val="0"/>
          <w:sz w:val="24"/>
          <w:szCs w:val="24"/>
        </w:rPr>
      </w:pPr>
      <w:bookmarkStart w:id="0" w:name="_Toc275961391"/>
      <w:r>
        <w:rPr>
          <w:rFonts w:ascii="宋体" w:hAnsi="宋体"/>
          <w:bCs w:val="0"/>
          <w:sz w:val="24"/>
          <w:szCs w:val="24"/>
        </w:rPr>
        <w:t>1</w:t>
      </w:r>
      <w:r>
        <w:rPr>
          <w:rFonts w:ascii="宋体"/>
          <w:bCs w:val="0"/>
          <w:sz w:val="24"/>
          <w:szCs w:val="24"/>
        </w:rPr>
        <w:t>.</w:t>
      </w:r>
      <w:r w:rsidRPr="00CF259A">
        <w:rPr>
          <w:rFonts w:ascii="宋体" w:hAnsi="宋体" w:hint="eastAsia"/>
          <w:bCs w:val="0"/>
          <w:sz w:val="24"/>
          <w:szCs w:val="24"/>
        </w:rPr>
        <w:t>公告基本信息</w:t>
      </w:r>
      <w:bookmarkEnd w:id="0"/>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8"/>
        <w:gridCol w:w="5839"/>
      </w:tblGrid>
      <w:tr w:rsidTr="0021743E">
        <w:tblPrEx>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6"/>
          <w:jc w:val="center"/>
        </w:trPr>
        <w:tc>
          <w:tcPr>
            <w:tcW w:w="3808" w:type="dxa"/>
            <w:vAlign w:val="center"/>
          </w:tcPr>
          <w:p w:rsidR="00C54D35" w:rsidRPr="009F569E" w:rsidP="00CF259A">
            <w:pPr>
              <w:rPr>
                <w:rFonts w:eastAsia="宋体"/>
                <w:sz w:val="24"/>
                <w:szCs w:val="24"/>
              </w:rPr>
            </w:pPr>
            <w:r w:rsidRPr="009F569E">
              <w:rPr>
                <w:rFonts w:eastAsia="宋体" w:hint="eastAsia"/>
                <w:sz w:val="24"/>
                <w:szCs w:val="24"/>
              </w:rPr>
              <w:t>基金名称</w:t>
            </w:r>
          </w:p>
        </w:tc>
        <w:tc>
          <w:tcPr>
            <w:tcW w:w="5839" w:type="dxa"/>
            <w:vAlign w:val="center"/>
          </w:tcPr>
          <w:p w:rsidR="00C54D35" w:rsidRPr="009F569E" w:rsidP="00470D71">
            <w:pPr>
              <w:rPr>
                <w:rFonts w:eastAsia="宋体"/>
                <w:sz w:val="24"/>
                <w:szCs w:val="24"/>
              </w:rPr>
            </w:pPr>
            <w:r w:rsidRPr="009F569E">
              <w:rPr>
                <w:rFonts w:eastAsia="宋体"/>
                <w:sz w:val="24"/>
                <w:szCs w:val="24"/>
              </w:rPr>
              <w:t>易方达安丰六个月持有期债券型证券投资基金</w:t>
            </w:r>
          </w:p>
        </w:tc>
      </w:tr>
      <w:tr w:rsidTr="0021743E">
        <w:tblPrEx>
          <w:tblW w:w="9647" w:type="dxa"/>
          <w:jc w:val="center"/>
          <w:tblLayout w:type="fixed"/>
          <w:tblLook w:val="0000"/>
        </w:tblPrEx>
        <w:trPr>
          <w:trHeight w:val="386"/>
          <w:jc w:val="center"/>
        </w:trPr>
        <w:tc>
          <w:tcPr>
            <w:tcW w:w="3808" w:type="dxa"/>
            <w:vAlign w:val="center"/>
          </w:tcPr>
          <w:p w:rsidR="00C54D35" w:rsidRPr="009F569E" w:rsidP="00CF259A">
            <w:pPr>
              <w:rPr>
                <w:rFonts w:eastAsia="宋体"/>
                <w:sz w:val="24"/>
                <w:szCs w:val="24"/>
              </w:rPr>
            </w:pPr>
            <w:r w:rsidRPr="009F569E">
              <w:rPr>
                <w:rFonts w:eastAsia="宋体" w:hint="eastAsia"/>
                <w:sz w:val="24"/>
                <w:szCs w:val="24"/>
              </w:rPr>
              <w:t>基金简称</w:t>
            </w:r>
          </w:p>
        </w:tc>
        <w:tc>
          <w:tcPr>
            <w:tcW w:w="5839" w:type="dxa"/>
            <w:vAlign w:val="center"/>
          </w:tcPr>
          <w:p w:rsidR="00C54D35" w:rsidRPr="009F569E" w:rsidP="00470D71">
            <w:pPr>
              <w:rPr>
                <w:rFonts w:eastAsia="宋体"/>
                <w:sz w:val="24"/>
                <w:szCs w:val="24"/>
              </w:rPr>
            </w:pPr>
            <w:r w:rsidRPr="009F569E">
              <w:rPr>
                <w:rFonts w:eastAsia="宋体"/>
                <w:sz w:val="24"/>
                <w:szCs w:val="24"/>
              </w:rPr>
              <w:t>易方达安丰六个月持有债券</w:t>
            </w:r>
          </w:p>
        </w:tc>
      </w:tr>
      <w:tr w:rsidTr="0021743E">
        <w:tblPrEx>
          <w:tblW w:w="9647" w:type="dxa"/>
          <w:jc w:val="center"/>
          <w:tblLayout w:type="fixed"/>
          <w:tblLook w:val="0000"/>
        </w:tblPrEx>
        <w:trPr>
          <w:trHeight w:val="386"/>
          <w:jc w:val="center"/>
        </w:trPr>
        <w:tc>
          <w:tcPr>
            <w:tcW w:w="3808" w:type="dxa"/>
            <w:vAlign w:val="center"/>
          </w:tcPr>
          <w:p w:rsidR="00C54D35" w:rsidRPr="009F569E" w:rsidP="00CF259A">
            <w:pPr>
              <w:rPr>
                <w:rFonts w:eastAsia="宋体"/>
                <w:sz w:val="24"/>
                <w:szCs w:val="24"/>
              </w:rPr>
            </w:pPr>
            <w:r w:rsidRPr="009F569E">
              <w:rPr>
                <w:rFonts w:eastAsia="宋体" w:hint="eastAsia"/>
                <w:sz w:val="24"/>
                <w:szCs w:val="24"/>
              </w:rPr>
              <w:t>基金主代码</w:t>
            </w:r>
          </w:p>
        </w:tc>
        <w:tc>
          <w:tcPr>
            <w:tcW w:w="5839" w:type="dxa"/>
            <w:vAlign w:val="center"/>
          </w:tcPr>
          <w:p w:rsidR="00C54D35" w:rsidRPr="009F569E" w:rsidP="00CF259A">
            <w:pPr>
              <w:rPr>
                <w:rFonts w:eastAsia="宋体"/>
                <w:sz w:val="24"/>
                <w:szCs w:val="24"/>
              </w:rPr>
            </w:pPr>
            <w:r w:rsidRPr="009F569E">
              <w:rPr>
                <w:rFonts w:eastAsia="宋体"/>
                <w:sz w:val="24"/>
                <w:szCs w:val="24"/>
              </w:rPr>
              <w:t>020891</w:t>
            </w:r>
          </w:p>
        </w:tc>
      </w:tr>
      <w:tr w:rsidTr="0021743E">
        <w:tblPrEx>
          <w:tblW w:w="9647" w:type="dxa"/>
          <w:jc w:val="center"/>
          <w:tblLayout w:type="fixed"/>
          <w:tblLook w:val="0000"/>
        </w:tblPrEx>
        <w:trPr>
          <w:trHeight w:val="386"/>
          <w:jc w:val="center"/>
        </w:trPr>
        <w:tc>
          <w:tcPr>
            <w:tcW w:w="3808" w:type="dxa"/>
            <w:vAlign w:val="center"/>
          </w:tcPr>
          <w:p w:rsidR="00C54D35" w:rsidRPr="009F569E" w:rsidP="00CF259A">
            <w:pPr>
              <w:rPr>
                <w:rFonts w:eastAsia="宋体"/>
                <w:sz w:val="24"/>
                <w:szCs w:val="24"/>
              </w:rPr>
            </w:pPr>
            <w:r w:rsidRPr="009F569E">
              <w:rPr>
                <w:rFonts w:eastAsia="宋体" w:hint="eastAsia"/>
                <w:sz w:val="24"/>
                <w:szCs w:val="24"/>
              </w:rPr>
              <w:t>基金运作方式</w:t>
            </w:r>
          </w:p>
        </w:tc>
        <w:tc>
          <w:tcPr>
            <w:tcW w:w="5839" w:type="dxa"/>
            <w:vAlign w:val="center"/>
          </w:tcPr>
          <w:p w:rsidR="00C54D35" w:rsidRPr="009F569E" w:rsidP="00470D71">
            <w:pPr>
              <w:rPr>
                <w:rFonts w:eastAsia="宋体"/>
                <w:sz w:val="24"/>
                <w:szCs w:val="24"/>
              </w:rPr>
            </w:pPr>
            <w:r w:rsidRPr="009F569E">
              <w:rPr>
                <w:rFonts w:eastAsia="宋体"/>
                <w:sz w:val="24"/>
                <w:szCs w:val="24"/>
              </w:rPr>
              <w:t>契约型开放式</w:t>
            </w:r>
          </w:p>
        </w:tc>
      </w:tr>
      <w:tr w:rsidTr="0021743E">
        <w:tblPrEx>
          <w:tblW w:w="9647" w:type="dxa"/>
          <w:jc w:val="center"/>
          <w:tblLayout w:type="fixed"/>
          <w:tblLook w:val="0000"/>
        </w:tblPrEx>
        <w:trPr>
          <w:trHeight w:val="386"/>
          <w:jc w:val="center"/>
        </w:trPr>
        <w:tc>
          <w:tcPr>
            <w:tcW w:w="3808" w:type="dxa"/>
            <w:vAlign w:val="center"/>
          </w:tcPr>
          <w:p w:rsidR="00C54D35" w:rsidRPr="009F569E" w:rsidP="00CF259A">
            <w:pPr>
              <w:rPr>
                <w:rFonts w:eastAsia="宋体"/>
                <w:sz w:val="24"/>
                <w:szCs w:val="24"/>
              </w:rPr>
            </w:pPr>
            <w:r w:rsidRPr="009F569E">
              <w:rPr>
                <w:rFonts w:eastAsia="宋体" w:hint="eastAsia"/>
                <w:sz w:val="24"/>
                <w:szCs w:val="24"/>
              </w:rPr>
              <w:t>基金合同生效日</w:t>
            </w:r>
          </w:p>
        </w:tc>
        <w:tc>
          <w:tcPr>
            <w:tcW w:w="5839" w:type="dxa"/>
            <w:vAlign w:val="center"/>
          </w:tcPr>
          <w:p w:rsidR="00C54D35" w:rsidRPr="009F569E" w:rsidP="00470D71">
            <w:pPr>
              <w:rPr>
                <w:rFonts w:eastAsia="宋体"/>
                <w:sz w:val="24"/>
                <w:szCs w:val="24"/>
              </w:rPr>
            </w:pPr>
            <w:r w:rsidRPr="009F569E">
              <w:rPr>
                <w:rFonts w:eastAsia="宋体"/>
                <w:sz w:val="24"/>
                <w:szCs w:val="24"/>
              </w:rPr>
              <w:t>2024</w:t>
            </w:r>
            <w:r w:rsidRPr="009F569E">
              <w:rPr>
                <w:rFonts w:eastAsia="宋体"/>
                <w:sz w:val="24"/>
                <w:szCs w:val="24"/>
              </w:rPr>
              <w:t>年</w:t>
            </w:r>
            <w:r w:rsidRPr="009F569E">
              <w:rPr>
                <w:rFonts w:eastAsia="宋体"/>
                <w:sz w:val="24"/>
                <w:szCs w:val="24"/>
              </w:rPr>
              <w:t>4</w:t>
            </w:r>
            <w:r w:rsidRPr="009F569E">
              <w:rPr>
                <w:rFonts w:eastAsia="宋体"/>
                <w:sz w:val="24"/>
                <w:szCs w:val="24"/>
              </w:rPr>
              <w:t>月</w:t>
            </w:r>
            <w:r w:rsidRPr="009F569E">
              <w:rPr>
                <w:rFonts w:eastAsia="宋体"/>
                <w:sz w:val="24"/>
                <w:szCs w:val="24"/>
              </w:rPr>
              <w:t>11</w:t>
            </w:r>
            <w:r w:rsidRPr="009F569E">
              <w:rPr>
                <w:rFonts w:eastAsia="宋体"/>
                <w:sz w:val="24"/>
                <w:szCs w:val="24"/>
              </w:rPr>
              <w:t>日</w:t>
            </w:r>
          </w:p>
        </w:tc>
      </w:tr>
      <w:tr w:rsidTr="0021743E">
        <w:tblPrEx>
          <w:tblW w:w="9647" w:type="dxa"/>
          <w:jc w:val="center"/>
          <w:tblLayout w:type="fixed"/>
          <w:tblLook w:val="0000"/>
        </w:tblPrEx>
        <w:trPr>
          <w:trHeight w:val="386"/>
          <w:jc w:val="center"/>
        </w:trPr>
        <w:tc>
          <w:tcPr>
            <w:tcW w:w="3808" w:type="dxa"/>
            <w:vAlign w:val="center"/>
          </w:tcPr>
          <w:p w:rsidR="00C54D35" w:rsidRPr="009F569E" w:rsidP="00CF259A">
            <w:pPr>
              <w:rPr>
                <w:rFonts w:eastAsia="宋体"/>
                <w:sz w:val="24"/>
                <w:szCs w:val="24"/>
              </w:rPr>
            </w:pPr>
            <w:r w:rsidRPr="009F569E">
              <w:rPr>
                <w:rFonts w:eastAsia="宋体" w:hint="eastAsia"/>
                <w:sz w:val="24"/>
                <w:szCs w:val="24"/>
              </w:rPr>
              <w:t>基金管理人名称</w:t>
            </w:r>
          </w:p>
        </w:tc>
        <w:tc>
          <w:tcPr>
            <w:tcW w:w="5839" w:type="dxa"/>
            <w:vAlign w:val="center"/>
          </w:tcPr>
          <w:p w:rsidR="00C54D35" w:rsidRPr="009F569E" w:rsidP="00470D71">
            <w:pPr>
              <w:rPr>
                <w:rFonts w:eastAsia="宋体"/>
                <w:sz w:val="24"/>
                <w:szCs w:val="24"/>
              </w:rPr>
            </w:pPr>
            <w:r w:rsidRPr="009F569E">
              <w:rPr>
                <w:rFonts w:eastAsia="宋体"/>
                <w:sz w:val="24"/>
                <w:szCs w:val="24"/>
              </w:rPr>
              <w:t>易方达基金管理有限公司</w:t>
            </w:r>
          </w:p>
        </w:tc>
      </w:tr>
      <w:tr w:rsidTr="0021743E">
        <w:tblPrEx>
          <w:tblW w:w="9647" w:type="dxa"/>
          <w:jc w:val="center"/>
          <w:tblLayout w:type="fixed"/>
          <w:tblLook w:val="0000"/>
        </w:tblPrEx>
        <w:trPr>
          <w:trHeight w:val="386"/>
          <w:jc w:val="center"/>
        </w:trPr>
        <w:tc>
          <w:tcPr>
            <w:tcW w:w="3808" w:type="dxa"/>
            <w:vAlign w:val="center"/>
          </w:tcPr>
          <w:p w:rsidR="00C54D35" w:rsidRPr="009F569E" w:rsidP="00CF259A">
            <w:pPr>
              <w:rPr>
                <w:rFonts w:eastAsia="宋体"/>
                <w:sz w:val="24"/>
                <w:szCs w:val="24"/>
              </w:rPr>
            </w:pPr>
            <w:r w:rsidRPr="009F569E">
              <w:rPr>
                <w:rFonts w:eastAsia="宋体" w:hint="eastAsia"/>
                <w:sz w:val="24"/>
                <w:szCs w:val="24"/>
              </w:rPr>
              <w:t>基金托管人名称</w:t>
            </w:r>
          </w:p>
        </w:tc>
        <w:tc>
          <w:tcPr>
            <w:tcW w:w="5839" w:type="dxa"/>
            <w:vAlign w:val="center"/>
          </w:tcPr>
          <w:p w:rsidR="00C54D35" w:rsidRPr="009F569E" w:rsidP="00470D71">
            <w:pPr>
              <w:rPr>
                <w:rFonts w:eastAsia="宋体"/>
                <w:sz w:val="24"/>
                <w:szCs w:val="24"/>
              </w:rPr>
            </w:pPr>
            <w:r w:rsidRPr="009F569E">
              <w:rPr>
                <w:rFonts w:eastAsia="宋体"/>
                <w:sz w:val="24"/>
                <w:szCs w:val="24"/>
              </w:rPr>
              <w:t>宁波银行股份有限公司</w:t>
            </w:r>
          </w:p>
        </w:tc>
      </w:tr>
      <w:tr w:rsidTr="0021743E">
        <w:tblPrEx>
          <w:tblW w:w="9647" w:type="dxa"/>
          <w:jc w:val="center"/>
          <w:tblLayout w:type="fixed"/>
          <w:tblLook w:val="0000"/>
        </w:tblPrEx>
        <w:trPr>
          <w:trHeight w:val="386"/>
          <w:jc w:val="center"/>
        </w:trPr>
        <w:tc>
          <w:tcPr>
            <w:tcW w:w="3808" w:type="dxa"/>
            <w:vAlign w:val="center"/>
          </w:tcPr>
          <w:p w:rsidR="00C54D35" w:rsidRPr="009F569E" w:rsidP="00CF259A">
            <w:pPr>
              <w:rPr>
                <w:rFonts w:eastAsia="宋体"/>
                <w:sz w:val="24"/>
                <w:szCs w:val="24"/>
              </w:rPr>
            </w:pPr>
            <w:r w:rsidRPr="009F569E">
              <w:rPr>
                <w:rFonts w:eastAsia="宋体" w:hint="eastAsia"/>
                <w:sz w:val="24"/>
                <w:szCs w:val="24"/>
              </w:rPr>
              <w:t>公告依据</w:t>
            </w:r>
          </w:p>
        </w:tc>
        <w:tc>
          <w:tcPr>
            <w:tcW w:w="5839" w:type="dxa"/>
            <w:vAlign w:val="center"/>
          </w:tcPr>
          <w:p w:rsidR="00C54D35" w:rsidRPr="009F569E" w:rsidP="00470D71">
            <w:pPr>
              <w:rPr>
                <w:rFonts w:eastAsia="宋体"/>
                <w:sz w:val="24"/>
                <w:szCs w:val="24"/>
              </w:rPr>
            </w:pPr>
            <w:r w:rsidRPr="009F569E">
              <w:rPr>
                <w:rFonts w:eastAsia="宋体"/>
                <w:sz w:val="24"/>
                <w:szCs w:val="24"/>
              </w:rPr>
              <w:t>《中华人民共和国证券投资基金法》及其配套法规、《易方达安丰六个月持有期债券型证券投资基金基金合同》《易方达安丰六个月持有期债券型证券投资基金招募说明书》</w:t>
            </w:r>
          </w:p>
        </w:tc>
      </w:tr>
    </w:tbl>
    <w:p w:rsidR="00C54D35" w:rsidRPr="00B74C5F" w:rsidP="00EC181E">
      <w:pPr>
        <w:rPr>
          <w:rFonts w:eastAsia="宋体"/>
          <w:color w:val="000000"/>
          <w:sz w:val="24"/>
          <w:szCs w:val="24"/>
        </w:rPr>
      </w:pPr>
      <w:r w:rsidRPr="00B74C5F">
        <w:rPr>
          <w:rFonts w:eastAsia="宋体"/>
          <w:color w:val="000000"/>
          <w:sz w:val="24"/>
          <w:szCs w:val="24"/>
        </w:rPr>
        <w:t>注：</w:t>
      </w:r>
      <w:r w:rsidRPr="00B74C5F">
        <w:rPr>
          <w:rFonts w:eastAsia="宋体"/>
          <w:color w:val="000000"/>
          <w:sz w:val="24"/>
          <w:szCs w:val="24"/>
        </w:rPr>
        <w:t>A</w:t>
      </w:r>
      <w:r w:rsidRPr="00B74C5F">
        <w:rPr>
          <w:rFonts w:eastAsia="宋体"/>
          <w:color w:val="000000"/>
          <w:sz w:val="24"/>
          <w:szCs w:val="24"/>
        </w:rPr>
        <w:t>类份额基金代码为</w:t>
      </w:r>
      <w:r w:rsidRPr="00B74C5F">
        <w:rPr>
          <w:rFonts w:eastAsia="宋体"/>
          <w:color w:val="000000"/>
          <w:sz w:val="24"/>
          <w:szCs w:val="24"/>
        </w:rPr>
        <w:t>020891</w:t>
      </w:r>
      <w:r w:rsidRPr="00B74C5F">
        <w:rPr>
          <w:rFonts w:eastAsia="宋体"/>
          <w:color w:val="000000"/>
          <w:sz w:val="24"/>
          <w:szCs w:val="24"/>
        </w:rPr>
        <w:t>，</w:t>
      </w:r>
      <w:r w:rsidRPr="00B74C5F">
        <w:rPr>
          <w:rFonts w:eastAsia="宋体"/>
          <w:color w:val="000000"/>
          <w:sz w:val="24"/>
          <w:szCs w:val="24"/>
        </w:rPr>
        <w:t>C</w:t>
      </w:r>
      <w:r w:rsidRPr="00B74C5F">
        <w:rPr>
          <w:rFonts w:eastAsia="宋体"/>
          <w:color w:val="000000"/>
          <w:sz w:val="24"/>
          <w:szCs w:val="24"/>
        </w:rPr>
        <w:t>类份额基金代码为</w:t>
      </w:r>
      <w:r w:rsidRPr="00B74C5F">
        <w:rPr>
          <w:rFonts w:eastAsia="宋体"/>
          <w:color w:val="000000"/>
          <w:sz w:val="24"/>
          <w:szCs w:val="24"/>
        </w:rPr>
        <w:t>020892</w:t>
      </w:r>
      <w:r w:rsidRPr="00B74C5F">
        <w:rPr>
          <w:rFonts w:eastAsia="宋体"/>
          <w:color w:val="000000"/>
          <w:sz w:val="24"/>
          <w:szCs w:val="24"/>
        </w:rPr>
        <w:t>。</w:t>
      </w:r>
    </w:p>
    <w:p w:rsidR="00C54D35" w:rsidRPr="00CF259A" w:rsidP="00CF259A">
      <w:pPr>
        <w:pStyle w:val="Heading3"/>
        <w:keepNext w:val="0"/>
        <w:keepLines w:val="0"/>
        <w:spacing w:before="0" w:after="0" w:line="360" w:lineRule="auto"/>
        <w:rPr>
          <w:rFonts w:ascii="宋体"/>
          <w:bCs w:val="0"/>
          <w:sz w:val="24"/>
          <w:szCs w:val="24"/>
        </w:rPr>
      </w:pPr>
      <w:bookmarkStart w:id="1" w:name="_Toc275961392"/>
      <w:r w:rsidRPr="00CF259A">
        <w:rPr>
          <w:rFonts w:ascii="宋体"/>
          <w:bCs w:val="0"/>
          <w:sz w:val="24"/>
          <w:szCs w:val="24"/>
        </w:rPr>
        <w:t>2</w:t>
      </w:r>
      <w:r>
        <w:rPr>
          <w:rFonts w:ascii="宋体"/>
          <w:bCs w:val="0"/>
          <w:sz w:val="24"/>
          <w:szCs w:val="24"/>
        </w:rPr>
        <w:t>.</w:t>
      </w:r>
      <w:r w:rsidRPr="00CF259A">
        <w:rPr>
          <w:rFonts w:ascii="宋体" w:hAnsi="宋体" w:hint="eastAsia"/>
          <w:bCs w:val="0"/>
          <w:sz w:val="24"/>
          <w:szCs w:val="24"/>
        </w:rPr>
        <w:t>基金募集情况</w:t>
      </w:r>
      <w:bookmarkEnd w:id="1"/>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1985"/>
        <w:gridCol w:w="1701"/>
        <w:gridCol w:w="1984"/>
        <w:gridCol w:w="2033"/>
      </w:tblGrid>
      <w:tr w:rsidTr="005C6FD3">
        <w:tblPrEx>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6"/>
          <w:jc w:val="center"/>
        </w:trPr>
        <w:tc>
          <w:tcPr>
            <w:tcW w:w="3934" w:type="dxa"/>
            <w:gridSpan w:val="2"/>
          </w:tcPr>
          <w:p w:rsidR="00C54D35" w:rsidRPr="002C1FD3" w:rsidP="00CF259A">
            <w:pPr>
              <w:rPr>
                <w:rFonts w:ascii="宋体" w:eastAsia="宋体" w:hAnsi="宋体"/>
                <w:sz w:val="24"/>
                <w:szCs w:val="24"/>
              </w:rPr>
            </w:pPr>
            <w:r w:rsidRPr="002C1FD3">
              <w:rPr>
                <w:rFonts w:ascii="宋体" w:eastAsia="宋体" w:hAnsi="宋体" w:hint="eastAsia"/>
                <w:sz w:val="24"/>
                <w:szCs w:val="24"/>
              </w:rPr>
              <w:t>基金募集申请获中国证监会核准的文号</w:t>
            </w:r>
          </w:p>
        </w:tc>
        <w:tc>
          <w:tcPr>
            <w:tcW w:w="5718" w:type="dxa"/>
            <w:gridSpan w:val="3"/>
            <w:vAlign w:val="center"/>
          </w:tcPr>
          <w:p w:rsidR="00C54D35" w:rsidRPr="002C1FD3" w:rsidP="00470D71">
            <w:pPr>
              <w:rPr>
                <w:rFonts w:ascii="宋体" w:eastAsia="宋体" w:hAnsi="宋体"/>
                <w:sz w:val="24"/>
                <w:szCs w:val="24"/>
              </w:rPr>
            </w:pPr>
            <w:r w:rsidRPr="002C1FD3">
              <w:rPr>
                <w:rFonts w:ascii="宋体" w:eastAsia="宋体" w:hAnsi="宋体"/>
                <w:sz w:val="24"/>
                <w:szCs w:val="24"/>
              </w:rPr>
              <w:t>中国证券监督管理委员会证监许可〔2024〕281号</w:t>
            </w:r>
          </w:p>
        </w:tc>
      </w:tr>
      <w:tr w:rsidTr="005C6FD3">
        <w:tblPrEx>
          <w:tblW w:w="9652" w:type="dxa"/>
          <w:jc w:val="center"/>
          <w:tblLayout w:type="fixed"/>
          <w:tblLook w:val="0000"/>
        </w:tblPrEx>
        <w:trPr>
          <w:trHeight w:val="450"/>
          <w:jc w:val="center"/>
        </w:trPr>
        <w:tc>
          <w:tcPr>
            <w:tcW w:w="3934" w:type="dxa"/>
            <w:gridSpan w:val="2"/>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基金募集期间</w:t>
            </w:r>
          </w:p>
        </w:tc>
        <w:tc>
          <w:tcPr>
            <w:tcW w:w="5718" w:type="dxa"/>
            <w:gridSpan w:val="3"/>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自</w:t>
            </w:r>
            <w:r w:rsidRPr="002C1FD3">
              <w:rPr>
                <w:rFonts w:ascii="宋体" w:eastAsia="宋体" w:hAnsi="宋体"/>
                <w:sz w:val="24"/>
                <w:szCs w:val="24"/>
              </w:rPr>
              <w:t>2024年3月11日</w:t>
            </w:r>
            <w:r w:rsidRPr="002C1FD3">
              <w:rPr>
                <w:rFonts w:ascii="宋体" w:eastAsia="宋体" w:hAnsi="宋体" w:hint="eastAsia"/>
                <w:sz w:val="24"/>
                <w:szCs w:val="24"/>
              </w:rPr>
              <w:t>至</w:t>
            </w:r>
            <w:r w:rsidRPr="002C1FD3">
              <w:rPr>
                <w:rFonts w:ascii="宋体" w:eastAsia="宋体" w:hAnsi="宋体"/>
                <w:sz w:val="24"/>
                <w:szCs w:val="24"/>
              </w:rPr>
              <w:t>2024年4月9日</w:t>
            </w:r>
          </w:p>
        </w:tc>
      </w:tr>
      <w:tr w:rsidTr="005C6FD3">
        <w:tblPrEx>
          <w:tblW w:w="9652" w:type="dxa"/>
          <w:jc w:val="center"/>
          <w:tblLayout w:type="fixed"/>
          <w:tblLook w:val="0000"/>
        </w:tblPrEx>
        <w:trPr>
          <w:trHeight w:val="386"/>
          <w:jc w:val="center"/>
        </w:trPr>
        <w:tc>
          <w:tcPr>
            <w:tcW w:w="3934" w:type="dxa"/>
            <w:gridSpan w:val="2"/>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验资机构名称</w:t>
            </w:r>
          </w:p>
        </w:tc>
        <w:tc>
          <w:tcPr>
            <w:tcW w:w="5718" w:type="dxa"/>
            <w:gridSpan w:val="3"/>
            <w:vAlign w:val="center"/>
          </w:tcPr>
          <w:p w:rsidR="00C54D35" w:rsidRPr="002C1FD3" w:rsidP="00470D71">
            <w:pPr>
              <w:rPr>
                <w:rFonts w:ascii="宋体" w:eastAsia="宋体" w:hAnsi="宋体"/>
                <w:sz w:val="24"/>
                <w:szCs w:val="24"/>
              </w:rPr>
            </w:pPr>
            <w:r w:rsidRPr="002C1FD3">
              <w:rPr>
                <w:rFonts w:ascii="宋体" w:eastAsia="宋体" w:hAnsi="宋体"/>
                <w:sz w:val="24"/>
                <w:szCs w:val="24"/>
              </w:rPr>
              <w:t>安永华明会计师事务所（特殊普通合伙）</w:t>
            </w:r>
          </w:p>
        </w:tc>
      </w:tr>
      <w:tr w:rsidTr="005C6FD3">
        <w:tblPrEx>
          <w:tblW w:w="9652" w:type="dxa"/>
          <w:jc w:val="center"/>
          <w:tblLayout w:type="fixed"/>
          <w:tblLook w:val="0000"/>
        </w:tblPrEx>
        <w:trPr>
          <w:trHeight w:val="386"/>
          <w:jc w:val="center"/>
        </w:trPr>
        <w:tc>
          <w:tcPr>
            <w:tcW w:w="3934" w:type="dxa"/>
            <w:gridSpan w:val="2"/>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募集资金划入基金托管专户的日期</w:t>
            </w:r>
          </w:p>
        </w:tc>
        <w:tc>
          <w:tcPr>
            <w:tcW w:w="5718" w:type="dxa"/>
            <w:gridSpan w:val="3"/>
            <w:vAlign w:val="center"/>
          </w:tcPr>
          <w:p w:rsidR="00C54D35" w:rsidRPr="002C1FD3" w:rsidP="00470D71">
            <w:pPr>
              <w:rPr>
                <w:rFonts w:ascii="宋体" w:eastAsia="宋体" w:hAnsi="宋体"/>
                <w:sz w:val="24"/>
                <w:szCs w:val="24"/>
              </w:rPr>
            </w:pPr>
            <w:r w:rsidRPr="002C1FD3">
              <w:rPr>
                <w:rFonts w:ascii="宋体" w:eastAsia="宋体" w:hAnsi="宋体"/>
                <w:sz w:val="24"/>
                <w:szCs w:val="24"/>
              </w:rPr>
              <w:t>2024年4月11日</w:t>
            </w:r>
          </w:p>
        </w:tc>
      </w:tr>
      <w:tr w:rsidTr="005C6FD3">
        <w:tblPrEx>
          <w:tblW w:w="9652" w:type="dxa"/>
          <w:jc w:val="center"/>
          <w:tblLayout w:type="fixed"/>
          <w:tblLook w:val="0000"/>
        </w:tblPrEx>
        <w:trPr>
          <w:trHeight w:val="386"/>
          <w:jc w:val="center"/>
        </w:trPr>
        <w:tc>
          <w:tcPr>
            <w:tcW w:w="3934" w:type="dxa"/>
            <w:gridSpan w:val="2"/>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募集有效认购总户数（单位：户）</w:t>
            </w:r>
          </w:p>
        </w:tc>
        <w:tc>
          <w:tcPr>
            <w:tcW w:w="5718" w:type="dxa"/>
            <w:gridSpan w:val="3"/>
            <w:vAlign w:val="center"/>
          </w:tcPr>
          <w:p w:rsidR="00C54D35" w:rsidRPr="002C1FD3" w:rsidP="00470D71">
            <w:pPr>
              <w:rPr>
                <w:rFonts w:ascii="宋体" w:eastAsia="宋体" w:hAnsi="宋体"/>
                <w:sz w:val="24"/>
                <w:szCs w:val="24"/>
              </w:rPr>
            </w:pPr>
            <w:r w:rsidRPr="002C1FD3">
              <w:rPr>
                <w:rFonts w:ascii="宋体" w:eastAsia="宋体" w:hAnsi="宋体"/>
                <w:sz w:val="24"/>
                <w:szCs w:val="24"/>
              </w:rPr>
              <w:t>1,217</w:t>
            </w:r>
          </w:p>
        </w:tc>
      </w:tr>
      <w:tr w:rsidTr="005C6FD3">
        <w:tblPrEx>
          <w:tblW w:w="9652" w:type="dxa"/>
          <w:jc w:val="center"/>
          <w:tblLayout w:type="fixed"/>
          <w:tblLook w:val="0000"/>
        </w:tblPrEx>
        <w:trPr>
          <w:trHeight w:val="386"/>
          <w:jc w:val="center"/>
        </w:trPr>
        <w:tc>
          <w:tcPr>
            <w:tcW w:w="3934" w:type="dxa"/>
            <w:gridSpan w:val="2"/>
            <w:vAlign w:val="center"/>
          </w:tcPr>
          <w:p w:rsidR="00C54D35" w:rsidRPr="002C1FD3" w:rsidP="00CF259A">
            <w:pPr>
              <w:rPr>
                <w:rFonts w:ascii="宋体" w:eastAsia="宋体" w:hAnsi="宋体"/>
                <w:sz w:val="24"/>
                <w:szCs w:val="24"/>
              </w:rPr>
            </w:pPr>
            <w:r>
              <w:rPr>
                <w:rFonts w:ascii="宋体" w:eastAsia="宋体" w:hAnsi="宋体" w:hint="eastAsia"/>
                <w:sz w:val="24"/>
                <w:szCs w:val="24"/>
              </w:rPr>
              <w:t>份额</w:t>
            </w:r>
            <w:bookmarkStart w:id="2" w:name="_GoBack"/>
            <w:bookmarkEnd w:id="2"/>
            <w:r>
              <w:rPr>
                <w:rFonts w:ascii="宋体" w:eastAsia="宋体" w:hAnsi="宋体" w:hint="eastAsia"/>
                <w:sz w:val="24"/>
                <w:szCs w:val="24"/>
              </w:rPr>
              <w:t>类</w:t>
            </w:r>
            <w:r w:rsidRPr="002C1FD3">
              <w:rPr>
                <w:rFonts w:ascii="宋体" w:eastAsia="宋体" w:hAnsi="宋体" w:hint="eastAsia"/>
                <w:sz w:val="24"/>
                <w:szCs w:val="24"/>
              </w:rPr>
              <w:t>别</w:t>
            </w:r>
          </w:p>
        </w:tc>
        <w:tc>
          <w:tcPr>
            <w:tcW w:w="1701"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易方达安丰六个月持有债券A</w:t>
            </w:r>
          </w:p>
        </w:tc>
        <w:tc>
          <w:tcPr>
            <w:tcW w:w="1984"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易方达安丰六个月持有债券C</w:t>
            </w:r>
          </w:p>
        </w:tc>
        <w:tc>
          <w:tcPr>
            <w:tcW w:w="2033" w:type="dxa"/>
            <w:vAlign w:val="center"/>
          </w:tcPr>
          <w:p w:rsidR="00C54D35" w:rsidRPr="002C1FD3" w:rsidP="009F569E">
            <w:pPr>
              <w:rPr>
                <w:rFonts w:ascii="宋体" w:eastAsia="宋体" w:hAnsi="宋体"/>
                <w:sz w:val="24"/>
                <w:szCs w:val="24"/>
              </w:rPr>
            </w:pPr>
            <w:r w:rsidRPr="002C1FD3">
              <w:rPr>
                <w:rFonts w:ascii="宋体" w:eastAsia="宋体" w:hAnsi="宋体" w:hint="eastAsia"/>
                <w:sz w:val="24"/>
                <w:szCs w:val="24"/>
              </w:rPr>
              <w:t>合计</w:t>
            </w:r>
          </w:p>
        </w:tc>
      </w:tr>
      <w:tr w:rsidTr="005C6FD3">
        <w:tblPrEx>
          <w:tblW w:w="9652" w:type="dxa"/>
          <w:jc w:val="center"/>
          <w:tblLayout w:type="fixed"/>
          <w:tblLook w:val="0000"/>
        </w:tblPrEx>
        <w:trPr>
          <w:trHeight w:val="386"/>
          <w:jc w:val="center"/>
        </w:trPr>
        <w:tc>
          <w:tcPr>
            <w:tcW w:w="3934" w:type="dxa"/>
            <w:gridSpan w:val="2"/>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募集期间净认购金额（单位：</w:t>
            </w:r>
            <w:r w:rsidRPr="002C1FD3" w:rsidR="008A4FFB">
              <w:rPr>
                <w:rFonts w:ascii="宋体" w:eastAsia="宋体" w:hAnsi="宋体" w:hint="eastAsia"/>
                <w:sz w:val="24"/>
                <w:szCs w:val="24"/>
              </w:rPr>
              <w:t>人民币</w:t>
            </w:r>
            <w:r w:rsidRPr="002C1FD3">
              <w:rPr>
                <w:rFonts w:ascii="宋体" w:eastAsia="宋体" w:hAnsi="宋体" w:hint="eastAsia"/>
                <w:sz w:val="24"/>
                <w:szCs w:val="24"/>
              </w:rPr>
              <w:t>元）</w:t>
            </w:r>
          </w:p>
        </w:tc>
        <w:tc>
          <w:tcPr>
            <w:tcW w:w="1701"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9,982,892.51</w:t>
            </w:r>
          </w:p>
        </w:tc>
        <w:tc>
          <w:tcPr>
            <w:tcW w:w="1984"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198,277,228.72</w:t>
            </w:r>
          </w:p>
        </w:tc>
        <w:tc>
          <w:tcPr>
            <w:tcW w:w="2033"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208,260,121.23</w:t>
            </w:r>
          </w:p>
        </w:tc>
      </w:tr>
      <w:tr w:rsidTr="005C6FD3">
        <w:tblPrEx>
          <w:tblW w:w="9652" w:type="dxa"/>
          <w:jc w:val="center"/>
          <w:tblLayout w:type="fixed"/>
          <w:tblLook w:val="0000"/>
        </w:tblPrEx>
        <w:trPr>
          <w:trHeight w:val="454"/>
          <w:jc w:val="center"/>
        </w:trPr>
        <w:tc>
          <w:tcPr>
            <w:tcW w:w="3934" w:type="dxa"/>
            <w:gridSpan w:val="2"/>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认购资金在募集期间产生的利息（单位：</w:t>
            </w:r>
            <w:r w:rsidRPr="002C1FD3" w:rsidR="008A4FFB">
              <w:rPr>
                <w:rFonts w:ascii="宋体" w:eastAsia="宋体" w:hAnsi="宋体" w:hint="eastAsia"/>
                <w:sz w:val="24"/>
                <w:szCs w:val="24"/>
              </w:rPr>
              <w:t>人民币</w:t>
            </w:r>
            <w:r w:rsidRPr="002C1FD3">
              <w:rPr>
                <w:rFonts w:ascii="宋体" w:eastAsia="宋体" w:hAnsi="宋体" w:hint="eastAsia"/>
                <w:sz w:val="24"/>
                <w:szCs w:val="24"/>
              </w:rPr>
              <w:t>元）</w:t>
            </w:r>
          </w:p>
        </w:tc>
        <w:tc>
          <w:tcPr>
            <w:tcW w:w="1701"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2,055.29</w:t>
            </w:r>
          </w:p>
        </w:tc>
        <w:tc>
          <w:tcPr>
            <w:tcW w:w="1984"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132,018.84</w:t>
            </w:r>
          </w:p>
        </w:tc>
        <w:tc>
          <w:tcPr>
            <w:tcW w:w="2033"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134,074.13</w:t>
            </w:r>
          </w:p>
        </w:tc>
      </w:tr>
      <w:tr w:rsidTr="005C6FD3">
        <w:tblPrEx>
          <w:tblW w:w="9652" w:type="dxa"/>
          <w:jc w:val="center"/>
          <w:tblLayout w:type="fixed"/>
          <w:tblLook w:val="0000"/>
        </w:tblPrEx>
        <w:trPr>
          <w:jc w:val="center"/>
        </w:trPr>
        <w:tc>
          <w:tcPr>
            <w:tcW w:w="1949" w:type="dxa"/>
            <w:vMerge w:val="restart"/>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募集份额（单位：份）</w:t>
            </w:r>
          </w:p>
        </w:tc>
        <w:tc>
          <w:tcPr>
            <w:tcW w:w="1985" w:type="dxa"/>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有效认购份额</w:t>
            </w:r>
          </w:p>
        </w:tc>
        <w:tc>
          <w:tcPr>
            <w:tcW w:w="1701"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9,982,892.51</w:t>
            </w:r>
          </w:p>
        </w:tc>
        <w:tc>
          <w:tcPr>
            <w:tcW w:w="1984"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198,277,228.72</w:t>
            </w:r>
          </w:p>
        </w:tc>
        <w:tc>
          <w:tcPr>
            <w:tcW w:w="2033"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208,260,121.23</w:t>
            </w:r>
          </w:p>
        </w:tc>
      </w:tr>
      <w:tr w:rsidTr="005C6FD3">
        <w:tblPrEx>
          <w:tblW w:w="9652" w:type="dxa"/>
          <w:jc w:val="center"/>
          <w:tblLayout w:type="fixed"/>
          <w:tblLook w:val="0000"/>
        </w:tblPrEx>
        <w:trPr>
          <w:jc w:val="center"/>
        </w:trPr>
        <w:tc>
          <w:tcPr>
            <w:tcW w:w="1949" w:type="dxa"/>
            <w:vMerge/>
            <w:vAlign w:val="center"/>
          </w:tcPr>
          <w:p w:rsidR="00C54D35" w:rsidRPr="002C1FD3" w:rsidP="00CF259A">
            <w:pPr>
              <w:rPr>
                <w:rFonts w:ascii="宋体" w:eastAsia="宋体" w:hAnsi="宋体"/>
                <w:sz w:val="24"/>
                <w:szCs w:val="24"/>
              </w:rPr>
            </w:pPr>
          </w:p>
        </w:tc>
        <w:tc>
          <w:tcPr>
            <w:tcW w:w="1985" w:type="dxa"/>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利息结转的份额</w:t>
            </w:r>
          </w:p>
        </w:tc>
        <w:tc>
          <w:tcPr>
            <w:tcW w:w="1701"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2,055.29</w:t>
            </w:r>
          </w:p>
        </w:tc>
        <w:tc>
          <w:tcPr>
            <w:tcW w:w="1984"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132,018.84</w:t>
            </w:r>
          </w:p>
        </w:tc>
        <w:tc>
          <w:tcPr>
            <w:tcW w:w="2033"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134,074.13</w:t>
            </w:r>
          </w:p>
        </w:tc>
      </w:tr>
      <w:tr w:rsidTr="005C6FD3">
        <w:tblPrEx>
          <w:tblW w:w="9652" w:type="dxa"/>
          <w:jc w:val="center"/>
          <w:tblLayout w:type="fixed"/>
          <w:tblLook w:val="0000"/>
        </w:tblPrEx>
        <w:trPr>
          <w:jc w:val="center"/>
        </w:trPr>
        <w:tc>
          <w:tcPr>
            <w:tcW w:w="1949" w:type="dxa"/>
            <w:vMerge/>
            <w:vAlign w:val="center"/>
          </w:tcPr>
          <w:p w:rsidR="00C54D35" w:rsidRPr="002C1FD3" w:rsidP="00CF259A">
            <w:pPr>
              <w:rPr>
                <w:rFonts w:ascii="宋体" w:eastAsia="宋体" w:hAnsi="宋体"/>
                <w:sz w:val="24"/>
                <w:szCs w:val="24"/>
              </w:rPr>
            </w:pPr>
          </w:p>
        </w:tc>
        <w:tc>
          <w:tcPr>
            <w:tcW w:w="1985" w:type="dxa"/>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合计</w:t>
            </w:r>
          </w:p>
        </w:tc>
        <w:tc>
          <w:tcPr>
            <w:tcW w:w="1701"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9,984,947.80</w:t>
            </w:r>
          </w:p>
        </w:tc>
        <w:tc>
          <w:tcPr>
            <w:tcW w:w="1984"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198,409,247.56</w:t>
            </w:r>
          </w:p>
        </w:tc>
        <w:tc>
          <w:tcPr>
            <w:tcW w:w="2033"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208,394,195.36</w:t>
            </w:r>
          </w:p>
        </w:tc>
      </w:tr>
      <w:tr w:rsidTr="005C6FD3">
        <w:tblPrEx>
          <w:tblW w:w="9652" w:type="dxa"/>
          <w:jc w:val="center"/>
          <w:tblLayout w:type="fixed"/>
          <w:tblLook w:val="0000"/>
        </w:tblPrEx>
        <w:trPr>
          <w:jc w:val="center"/>
        </w:trPr>
        <w:tc>
          <w:tcPr>
            <w:tcW w:w="1949" w:type="dxa"/>
            <w:vMerge w:val="restart"/>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其中：募集期间基金管理人运用固有资金认购本基金情况</w:t>
            </w:r>
          </w:p>
        </w:tc>
        <w:tc>
          <w:tcPr>
            <w:tcW w:w="1985" w:type="dxa"/>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认购的基金份额（单位：份）</w:t>
            </w:r>
          </w:p>
        </w:tc>
        <w:tc>
          <w:tcPr>
            <w:tcW w:w="1701"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0.00</w:t>
            </w:r>
          </w:p>
        </w:tc>
        <w:tc>
          <w:tcPr>
            <w:tcW w:w="1984"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0.00</w:t>
            </w:r>
          </w:p>
        </w:tc>
        <w:tc>
          <w:tcPr>
            <w:tcW w:w="2033"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0.00</w:t>
            </w:r>
          </w:p>
        </w:tc>
      </w:tr>
      <w:tr w:rsidTr="005C6FD3">
        <w:tblPrEx>
          <w:tblW w:w="9652" w:type="dxa"/>
          <w:jc w:val="center"/>
          <w:tblLayout w:type="fixed"/>
          <w:tblLook w:val="0000"/>
        </w:tblPrEx>
        <w:trPr>
          <w:jc w:val="center"/>
        </w:trPr>
        <w:tc>
          <w:tcPr>
            <w:tcW w:w="1949" w:type="dxa"/>
            <w:vMerge/>
            <w:vAlign w:val="center"/>
          </w:tcPr>
          <w:p w:rsidR="00C54D35" w:rsidRPr="002C1FD3" w:rsidP="00CF259A">
            <w:pPr>
              <w:rPr>
                <w:rFonts w:ascii="宋体" w:eastAsia="宋体" w:hAnsi="宋体"/>
                <w:sz w:val="24"/>
                <w:szCs w:val="24"/>
              </w:rPr>
            </w:pPr>
          </w:p>
        </w:tc>
        <w:tc>
          <w:tcPr>
            <w:tcW w:w="1985" w:type="dxa"/>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占基金总份额比例</w:t>
            </w:r>
          </w:p>
        </w:tc>
        <w:tc>
          <w:tcPr>
            <w:tcW w:w="1701"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0.0000%</w:t>
            </w:r>
          </w:p>
        </w:tc>
        <w:tc>
          <w:tcPr>
            <w:tcW w:w="1984"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0.0000%</w:t>
            </w:r>
          </w:p>
        </w:tc>
        <w:tc>
          <w:tcPr>
            <w:tcW w:w="2033"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0.0000%</w:t>
            </w:r>
          </w:p>
        </w:tc>
      </w:tr>
      <w:tr w:rsidTr="005C6FD3">
        <w:tblPrEx>
          <w:tblW w:w="9652" w:type="dxa"/>
          <w:jc w:val="center"/>
          <w:tblLayout w:type="fixed"/>
          <w:tblLook w:val="0000"/>
        </w:tblPrEx>
        <w:trPr>
          <w:jc w:val="center"/>
        </w:trPr>
        <w:tc>
          <w:tcPr>
            <w:tcW w:w="1949" w:type="dxa"/>
            <w:vMerge/>
            <w:vAlign w:val="center"/>
          </w:tcPr>
          <w:p w:rsidR="00C54D35" w:rsidRPr="002C1FD3" w:rsidP="00CF259A">
            <w:pPr>
              <w:rPr>
                <w:rFonts w:ascii="宋体" w:eastAsia="宋体" w:hAnsi="宋体"/>
                <w:sz w:val="24"/>
                <w:szCs w:val="24"/>
              </w:rPr>
            </w:pPr>
          </w:p>
        </w:tc>
        <w:tc>
          <w:tcPr>
            <w:tcW w:w="1985" w:type="dxa"/>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其他需要说明的事项</w:t>
            </w:r>
          </w:p>
        </w:tc>
        <w:tc>
          <w:tcPr>
            <w:tcW w:w="1701"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w:t>
            </w:r>
          </w:p>
        </w:tc>
        <w:tc>
          <w:tcPr>
            <w:tcW w:w="1984"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w:t>
            </w:r>
          </w:p>
        </w:tc>
        <w:tc>
          <w:tcPr>
            <w:tcW w:w="2033"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w:t>
            </w:r>
          </w:p>
        </w:tc>
      </w:tr>
      <w:tr w:rsidTr="005C6FD3">
        <w:tblPrEx>
          <w:tblW w:w="9652" w:type="dxa"/>
          <w:jc w:val="center"/>
          <w:tblLayout w:type="fixed"/>
          <w:tblLook w:val="0000"/>
        </w:tblPrEx>
        <w:trPr>
          <w:jc w:val="center"/>
        </w:trPr>
        <w:tc>
          <w:tcPr>
            <w:tcW w:w="1949" w:type="dxa"/>
            <w:vMerge w:val="restart"/>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其中：募集期间基金管理人的从业人员认购本基金情况</w:t>
            </w:r>
          </w:p>
        </w:tc>
        <w:tc>
          <w:tcPr>
            <w:tcW w:w="1985" w:type="dxa"/>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认购的基金份额（单位：份）</w:t>
            </w:r>
          </w:p>
        </w:tc>
        <w:tc>
          <w:tcPr>
            <w:tcW w:w="1701"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10,058.92</w:t>
            </w:r>
          </w:p>
        </w:tc>
        <w:tc>
          <w:tcPr>
            <w:tcW w:w="1984"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100.07</w:t>
            </w:r>
          </w:p>
        </w:tc>
        <w:tc>
          <w:tcPr>
            <w:tcW w:w="2033"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10,158.99</w:t>
            </w:r>
          </w:p>
        </w:tc>
      </w:tr>
      <w:tr w:rsidTr="005C6FD3">
        <w:tblPrEx>
          <w:tblW w:w="9652" w:type="dxa"/>
          <w:jc w:val="center"/>
          <w:tblLayout w:type="fixed"/>
          <w:tblLook w:val="0000"/>
        </w:tblPrEx>
        <w:trPr>
          <w:jc w:val="center"/>
        </w:trPr>
        <w:tc>
          <w:tcPr>
            <w:tcW w:w="1949" w:type="dxa"/>
            <w:vMerge/>
            <w:vAlign w:val="center"/>
          </w:tcPr>
          <w:p w:rsidR="00C54D35" w:rsidRPr="002C1FD3" w:rsidP="00CF259A">
            <w:pPr>
              <w:rPr>
                <w:rFonts w:ascii="宋体" w:eastAsia="宋体" w:hAnsi="宋体"/>
                <w:sz w:val="24"/>
                <w:szCs w:val="24"/>
              </w:rPr>
            </w:pPr>
          </w:p>
        </w:tc>
        <w:tc>
          <w:tcPr>
            <w:tcW w:w="1985" w:type="dxa"/>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占基金总份额比例</w:t>
            </w:r>
          </w:p>
        </w:tc>
        <w:tc>
          <w:tcPr>
            <w:tcW w:w="1701"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0.1007%</w:t>
            </w:r>
          </w:p>
        </w:tc>
        <w:tc>
          <w:tcPr>
            <w:tcW w:w="1984"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0.0001%</w:t>
            </w:r>
          </w:p>
        </w:tc>
        <w:tc>
          <w:tcPr>
            <w:tcW w:w="2033" w:type="dxa"/>
            <w:vAlign w:val="center"/>
          </w:tcPr>
          <w:p w:rsidR="00C54D35" w:rsidRPr="002C1FD3" w:rsidP="00CF259A">
            <w:pPr>
              <w:rPr>
                <w:rFonts w:ascii="宋体" w:eastAsia="宋体" w:hAnsi="宋体"/>
                <w:sz w:val="24"/>
                <w:szCs w:val="24"/>
              </w:rPr>
            </w:pPr>
            <w:r w:rsidRPr="002C1FD3">
              <w:rPr>
                <w:rFonts w:ascii="宋体" w:eastAsia="宋体" w:hAnsi="宋体"/>
                <w:sz w:val="24"/>
                <w:szCs w:val="24"/>
              </w:rPr>
              <w:t>0.0049%</w:t>
            </w:r>
          </w:p>
        </w:tc>
      </w:tr>
      <w:tr w:rsidTr="005C6FD3">
        <w:tblPrEx>
          <w:tblW w:w="9652" w:type="dxa"/>
          <w:jc w:val="center"/>
          <w:tblLayout w:type="fixed"/>
          <w:tblLook w:val="0000"/>
        </w:tblPrEx>
        <w:trPr>
          <w:jc w:val="center"/>
        </w:trPr>
        <w:tc>
          <w:tcPr>
            <w:tcW w:w="7619" w:type="dxa"/>
            <w:gridSpan w:val="4"/>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募集期限届满基金是否符合法律法规规定的办理基金备案手续的条件</w:t>
            </w:r>
          </w:p>
        </w:tc>
        <w:tc>
          <w:tcPr>
            <w:tcW w:w="2033" w:type="dxa"/>
          </w:tcPr>
          <w:p w:rsidR="00C54D35" w:rsidRPr="002C1FD3" w:rsidP="005B66AC">
            <w:pPr>
              <w:rPr>
                <w:rFonts w:ascii="宋体" w:eastAsia="宋体" w:hAnsi="宋体"/>
                <w:sz w:val="24"/>
                <w:szCs w:val="24"/>
              </w:rPr>
            </w:pPr>
            <w:r w:rsidRPr="002C1FD3">
              <w:rPr>
                <w:rFonts w:ascii="宋体" w:eastAsia="宋体" w:hAnsi="宋体"/>
                <w:sz w:val="24"/>
                <w:szCs w:val="24"/>
              </w:rPr>
              <w:t>是</w:t>
            </w:r>
          </w:p>
        </w:tc>
      </w:tr>
      <w:tr w:rsidTr="005C6FD3">
        <w:tblPrEx>
          <w:tblW w:w="9652" w:type="dxa"/>
          <w:jc w:val="center"/>
          <w:tblLayout w:type="fixed"/>
          <w:tblLook w:val="0000"/>
        </w:tblPrEx>
        <w:trPr>
          <w:jc w:val="center"/>
        </w:trPr>
        <w:tc>
          <w:tcPr>
            <w:tcW w:w="7619" w:type="dxa"/>
            <w:gridSpan w:val="4"/>
            <w:vAlign w:val="center"/>
          </w:tcPr>
          <w:p w:rsidR="00C54D35" w:rsidRPr="002C1FD3" w:rsidP="00CF259A">
            <w:pPr>
              <w:rPr>
                <w:rFonts w:ascii="宋体" w:eastAsia="宋体" w:hAnsi="宋体"/>
                <w:sz w:val="24"/>
                <w:szCs w:val="24"/>
              </w:rPr>
            </w:pPr>
            <w:r w:rsidRPr="002C1FD3">
              <w:rPr>
                <w:rFonts w:ascii="宋体" w:eastAsia="宋体" w:hAnsi="宋体" w:hint="eastAsia"/>
                <w:sz w:val="24"/>
                <w:szCs w:val="24"/>
              </w:rPr>
              <w:t>向中国证监会办理基金备案手续获得书面确认的日期</w:t>
            </w:r>
          </w:p>
        </w:tc>
        <w:tc>
          <w:tcPr>
            <w:tcW w:w="2033" w:type="dxa"/>
          </w:tcPr>
          <w:p w:rsidR="00C54D35" w:rsidRPr="002C1FD3" w:rsidP="005B66AC">
            <w:pPr>
              <w:rPr>
                <w:rFonts w:ascii="宋体" w:eastAsia="宋体" w:hAnsi="宋体"/>
                <w:sz w:val="24"/>
                <w:szCs w:val="24"/>
              </w:rPr>
            </w:pPr>
            <w:r w:rsidRPr="002C1FD3">
              <w:rPr>
                <w:rFonts w:ascii="宋体" w:eastAsia="宋体" w:hAnsi="宋体"/>
                <w:sz w:val="24"/>
                <w:szCs w:val="24"/>
              </w:rPr>
              <w:t>2024年4月11日</w:t>
            </w:r>
          </w:p>
        </w:tc>
      </w:tr>
    </w:tbl>
    <w:p w:rsidR="00A83524" w:rsidP="005C6FD3">
      <w:pPr>
        <w:spacing w:line="360" w:lineRule="auto"/>
        <w:ind w:firstLine="480" w:firstLineChars="200"/>
        <w:rPr>
          <w:rFonts w:ascii="宋体" w:eastAsia="宋体" w:hAnsi="宋体"/>
          <w:color w:val="000000"/>
          <w:sz w:val="24"/>
          <w:szCs w:val="24"/>
        </w:rPr>
      </w:pPr>
      <w:r>
        <w:rPr>
          <w:rFonts w:ascii="宋体" w:eastAsia="宋体" w:hAnsi="宋体"/>
          <w:color w:val="000000"/>
          <w:sz w:val="24"/>
          <w:szCs w:val="24"/>
        </w:rPr>
        <w:t>注：（1）本公司高级管理人员、基金投资和研究部门负责人持有本基金份额总量的数量区间为0；本基金的基金经理持有本基金份额总量的数量区间为0。</w:t>
      </w:r>
    </w:p>
    <w:p w:rsidR="00C54D35" w:rsidRPr="0021743E" w:rsidP="005C6FD3">
      <w:pPr>
        <w:spacing w:line="360" w:lineRule="auto"/>
        <w:ind w:firstLine="480" w:firstLineChars="200"/>
        <w:rPr>
          <w:rFonts w:ascii="宋体" w:eastAsia="宋体" w:hAnsi="宋体"/>
          <w:color w:val="000000"/>
          <w:sz w:val="24"/>
          <w:szCs w:val="24"/>
        </w:rPr>
      </w:pPr>
      <w:r w:rsidRPr="00B74C5F">
        <w:rPr>
          <w:rFonts w:ascii="宋体" w:eastAsia="宋体" w:hAnsi="宋体"/>
          <w:color w:val="000000"/>
          <w:sz w:val="24"/>
          <w:szCs w:val="24"/>
        </w:rPr>
        <w:t>（2）本基金合同生效前的信息披露费、会计师费和律师费不从基金财产中列支。</w:t>
      </w:r>
    </w:p>
    <w:p w:rsidR="00C54D35" w:rsidRPr="00B74C5F" w:rsidP="00B74C5F">
      <w:pPr>
        <w:pStyle w:val="Heading3"/>
        <w:keepNext w:val="0"/>
        <w:keepLines w:val="0"/>
        <w:spacing w:before="0" w:after="0" w:line="360" w:lineRule="auto"/>
        <w:rPr>
          <w:rFonts w:ascii="宋体"/>
          <w:bCs w:val="0"/>
          <w:sz w:val="24"/>
          <w:szCs w:val="24"/>
        </w:rPr>
      </w:pPr>
      <w:r>
        <w:rPr>
          <w:rFonts w:ascii="宋体" w:hAnsi="宋体"/>
          <w:bCs w:val="0"/>
          <w:sz w:val="24"/>
          <w:szCs w:val="24"/>
        </w:rPr>
        <w:t>3</w:t>
      </w:r>
      <w:r>
        <w:rPr>
          <w:rFonts w:ascii="宋体"/>
          <w:bCs w:val="0"/>
          <w:sz w:val="24"/>
          <w:szCs w:val="24"/>
        </w:rPr>
        <w:t>.</w:t>
      </w:r>
      <w:r w:rsidRPr="00B74C5F">
        <w:rPr>
          <w:rFonts w:ascii="宋体" w:hAnsi="宋体" w:hint="eastAsia"/>
          <w:bCs w:val="0"/>
          <w:sz w:val="24"/>
          <w:szCs w:val="24"/>
        </w:rPr>
        <w:t>其他需要提示的事项</w:t>
      </w:r>
    </w:p>
    <w:p w:rsidR="00A83524">
      <w:pPr>
        <w:spacing w:line="360" w:lineRule="auto"/>
        <w:ind w:firstLine="480" w:firstLineChars="200"/>
        <w:rPr>
          <w:rFonts w:ascii="宋体" w:eastAsia="宋体" w:hAnsi="宋体"/>
          <w:color w:val="000000"/>
          <w:sz w:val="24"/>
          <w:szCs w:val="24"/>
        </w:rPr>
      </w:pPr>
      <w:r>
        <w:rPr>
          <w:rFonts w:ascii="宋体" w:eastAsia="宋体" w:hAnsi="宋体"/>
          <w:color w:val="000000"/>
          <w:sz w:val="24"/>
          <w:szCs w:val="24"/>
        </w:rPr>
        <w:t>自基金合同生效之日起，本基金管理人正式开始管理本基金。</w:t>
      </w:r>
    </w:p>
    <w:p w:rsidR="00A83524">
      <w:pPr>
        <w:spacing w:line="360" w:lineRule="auto"/>
        <w:ind w:firstLine="480" w:firstLineChars="200"/>
        <w:rPr>
          <w:rFonts w:ascii="宋体" w:eastAsia="宋体" w:hAnsi="宋体"/>
          <w:color w:val="000000"/>
          <w:sz w:val="24"/>
          <w:szCs w:val="24"/>
        </w:rPr>
      </w:pPr>
      <w:r>
        <w:rPr>
          <w:rFonts w:ascii="宋体" w:eastAsia="宋体" w:hAnsi="宋体"/>
          <w:color w:val="000000"/>
          <w:sz w:val="24"/>
          <w:szCs w:val="24"/>
        </w:rPr>
        <w:t>基金管理人可根据实际情况依法决定本基金开始办理申购的具体日期。本基金对投资者认/申购的每份基金份额设定六个月（一个月按30天计算，下同）最短持有期限，在最短持有期限内，基金管理人对投资者的相应基金份额不办理赎回确认。即对于每份基金份额，当持有时间小于六个月，无法确认赎回；当持有时间大于等于六个月，可以确认赎回。最短持有期的最后一日为最短持有期到期日。对于每份基金份额，基金管理人仅在最短持有期到期日之后（不含该日）为基金份额持有人办理相应基金份额的赎回确认。</w:t>
      </w:r>
    </w:p>
    <w:p w:rsidR="00A83524">
      <w:pPr>
        <w:spacing w:line="360" w:lineRule="auto"/>
        <w:ind w:firstLine="480" w:firstLineChars="200"/>
        <w:rPr>
          <w:rFonts w:ascii="宋体" w:eastAsia="宋体" w:hAnsi="宋体"/>
          <w:color w:val="000000"/>
          <w:sz w:val="24"/>
          <w:szCs w:val="24"/>
        </w:rPr>
      </w:pPr>
      <w:r>
        <w:rPr>
          <w:rFonts w:ascii="宋体" w:eastAsia="宋体" w:hAnsi="宋体"/>
          <w:color w:val="000000"/>
          <w:sz w:val="24"/>
          <w:szCs w:val="24"/>
        </w:rPr>
        <w:t>在确定申购开始与赎回开始时间后，基金管理人应在申购、赎回开放前依照《公开募集证券投资基金信息披露管理办法》的有关规定在规定媒介上进行公告。</w:t>
      </w:r>
    </w:p>
    <w:p w:rsidR="00A83524">
      <w:pPr>
        <w:spacing w:line="360" w:lineRule="auto"/>
        <w:ind w:firstLine="480" w:firstLineChars="200"/>
        <w:rPr>
          <w:rFonts w:ascii="宋体" w:eastAsia="宋体" w:hAnsi="宋体"/>
          <w:color w:val="000000"/>
          <w:sz w:val="24"/>
          <w:szCs w:val="24"/>
        </w:rPr>
      </w:pPr>
    </w:p>
    <w:p w:rsidR="00A83524" w:rsidP="0021743E">
      <w:pPr>
        <w:spacing w:line="360" w:lineRule="auto"/>
        <w:ind w:firstLine="480" w:firstLineChars="200"/>
        <w:jc w:val="right"/>
        <w:rPr>
          <w:rFonts w:ascii="宋体" w:eastAsia="宋体" w:hAnsi="宋体"/>
          <w:color w:val="000000"/>
          <w:sz w:val="24"/>
          <w:szCs w:val="24"/>
        </w:rPr>
      </w:pPr>
      <w:r>
        <w:rPr>
          <w:rFonts w:ascii="宋体" w:eastAsia="宋体" w:hAnsi="宋体"/>
          <w:color w:val="000000"/>
          <w:sz w:val="24"/>
          <w:szCs w:val="24"/>
        </w:rPr>
        <w:t>易方达基金管理有限公司</w:t>
      </w:r>
    </w:p>
    <w:p w:rsidR="00C54D35" w:rsidRPr="00B74C5F" w:rsidP="0021743E">
      <w:pPr>
        <w:spacing w:line="360" w:lineRule="auto"/>
        <w:ind w:right="240" w:firstLine="480" w:firstLineChars="200"/>
        <w:jc w:val="right"/>
        <w:rPr>
          <w:rFonts w:ascii="宋体" w:eastAsia="宋体" w:hAnsi="宋体"/>
          <w:color w:val="000000"/>
          <w:sz w:val="24"/>
          <w:szCs w:val="24"/>
        </w:rPr>
      </w:pPr>
      <w:r w:rsidRPr="00B74C5F">
        <w:rPr>
          <w:rFonts w:ascii="宋体" w:eastAsia="宋体" w:hAnsi="宋体"/>
          <w:color w:val="000000"/>
          <w:sz w:val="24"/>
          <w:szCs w:val="24"/>
        </w:rPr>
        <w:t>2024年4月12日</w:t>
      </w:r>
    </w:p>
    <w:sectPr w:rsidSect="004C05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330C4"/>
    <w:rsid w:val="00035D00"/>
    <w:rsid w:val="00041353"/>
    <w:rsid w:val="00102950"/>
    <w:rsid w:val="0010447C"/>
    <w:rsid w:val="00131CAD"/>
    <w:rsid w:val="001A0386"/>
    <w:rsid w:val="001D0858"/>
    <w:rsid w:val="001E1459"/>
    <w:rsid w:val="0021743E"/>
    <w:rsid w:val="002A2812"/>
    <w:rsid w:val="002B287A"/>
    <w:rsid w:val="002B4F0F"/>
    <w:rsid w:val="002C1686"/>
    <w:rsid w:val="002C1FD3"/>
    <w:rsid w:val="003000C2"/>
    <w:rsid w:val="0030037A"/>
    <w:rsid w:val="00364C2A"/>
    <w:rsid w:val="00390E48"/>
    <w:rsid w:val="003C0D0A"/>
    <w:rsid w:val="003C3029"/>
    <w:rsid w:val="00470D71"/>
    <w:rsid w:val="0049139B"/>
    <w:rsid w:val="004966BA"/>
    <w:rsid w:val="004A631B"/>
    <w:rsid w:val="004C055C"/>
    <w:rsid w:val="005434E3"/>
    <w:rsid w:val="005B66AC"/>
    <w:rsid w:val="005C0B8D"/>
    <w:rsid w:val="005C1B44"/>
    <w:rsid w:val="005C6FD3"/>
    <w:rsid w:val="005D5CAA"/>
    <w:rsid w:val="005D6260"/>
    <w:rsid w:val="005E0049"/>
    <w:rsid w:val="005F60DE"/>
    <w:rsid w:val="00613952"/>
    <w:rsid w:val="00615513"/>
    <w:rsid w:val="00622436"/>
    <w:rsid w:val="00674714"/>
    <w:rsid w:val="006C0D9C"/>
    <w:rsid w:val="006C3386"/>
    <w:rsid w:val="00717E45"/>
    <w:rsid w:val="00721770"/>
    <w:rsid w:val="00737166"/>
    <w:rsid w:val="0075321E"/>
    <w:rsid w:val="007C24C0"/>
    <w:rsid w:val="007F4376"/>
    <w:rsid w:val="008066EF"/>
    <w:rsid w:val="00865588"/>
    <w:rsid w:val="00887978"/>
    <w:rsid w:val="008A4FFB"/>
    <w:rsid w:val="008C6FD7"/>
    <w:rsid w:val="008D1678"/>
    <w:rsid w:val="008D4098"/>
    <w:rsid w:val="00904108"/>
    <w:rsid w:val="009371A9"/>
    <w:rsid w:val="00944CBC"/>
    <w:rsid w:val="00965048"/>
    <w:rsid w:val="009F4198"/>
    <w:rsid w:val="009F569E"/>
    <w:rsid w:val="00A04914"/>
    <w:rsid w:val="00A37576"/>
    <w:rsid w:val="00A7218A"/>
    <w:rsid w:val="00A74AFB"/>
    <w:rsid w:val="00A83524"/>
    <w:rsid w:val="00B2478D"/>
    <w:rsid w:val="00B53A7A"/>
    <w:rsid w:val="00B74C5F"/>
    <w:rsid w:val="00B90602"/>
    <w:rsid w:val="00BD0512"/>
    <w:rsid w:val="00C2642E"/>
    <w:rsid w:val="00C30E6A"/>
    <w:rsid w:val="00C40FE0"/>
    <w:rsid w:val="00C54D35"/>
    <w:rsid w:val="00C935DF"/>
    <w:rsid w:val="00CB0572"/>
    <w:rsid w:val="00CB3E1F"/>
    <w:rsid w:val="00CF259A"/>
    <w:rsid w:val="00D43190"/>
    <w:rsid w:val="00DA2CD1"/>
    <w:rsid w:val="00DC112B"/>
    <w:rsid w:val="00E2069A"/>
    <w:rsid w:val="00E2122C"/>
    <w:rsid w:val="00E57275"/>
    <w:rsid w:val="00E76F8F"/>
    <w:rsid w:val="00EB06D4"/>
    <w:rsid w:val="00EC181E"/>
    <w:rsid w:val="00EE18FB"/>
    <w:rsid w:val="00EF40F5"/>
    <w:rsid w:val="00F10215"/>
    <w:rsid w:val="00FE31B7"/>
    <w:rsid w:val="00FF2E7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39004465-2422-4FE1-9430-C48C0572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DF"/>
    <w:pPr>
      <w:widowControl w:val="0"/>
      <w:jc w:val="both"/>
    </w:pPr>
    <w:rPr>
      <w:rFonts w:ascii="Times New Roman" w:eastAsia="方正仿宋简体" w:hAnsi="Times New Roman"/>
      <w:kern w:val="2"/>
      <w:sz w:val="32"/>
    </w:rPr>
  </w:style>
  <w:style w:type="paragraph" w:styleId="Heading2">
    <w:name w:val="heading 2"/>
    <w:basedOn w:val="Normal"/>
    <w:next w:val="Normal"/>
    <w:link w:val="2Char"/>
    <w:uiPriority w:val="99"/>
    <w:qFormat/>
    <w:rsid w:val="00C935DF"/>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uiPriority w:val="99"/>
    <w:qFormat/>
    <w:rsid w:val="00CF259A"/>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标题 2 Char"/>
    <w:link w:val="Heading2"/>
    <w:uiPriority w:val="99"/>
    <w:locked/>
    <w:rsid w:val="00C935DF"/>
    <w:rPr>
      <w:rFonts w:ascii="Arial" w:eastAsia="黑体" w:hAnsi="Arial" w:cs="Times New Roman"/>
      <w:b/>
      <w:bCs/>
      <w:sz w:val="32"/>
      <w:szCs w:val="32"/>
    </w:rPr>
  </w:style>
  <w:style w:type="character" w:customStyle="1" w:styleId="3Char">
    <w:name w:val="标题 3 Char"/>
    <w:link w:val="Heading3"/>
    <w:uiPriority w:val="99"/>
    <w:locked/>
    <w:rsid w:val="00CF259A"/>
    <w:rPr>
      <w:rFonts w:ascii="Times New Roman" w:eastAsia="宋体" w:hAnsi="Times New Roman" w:cs="Times New Roman"/>
      <w:b/>
      <w:bCs/>
      <w:sz w:val="32"/>
      <w:szCs w:val="32"/>
    </w:rPr>
  </w:style>
  <w:style w:type="character" w:styleId="FootnoteReference">
    <w:name w:val="footnote reference"/>
    <w:uiPriority w:val="99"/>
    <w:rsid w:val="00C935DF"/>
    <w:rPr>
      <w:rFonts w:cs="Times New Roman"/>
      <w:vertAlign w:val="superscript"/>
    </w:rPr>
  </w:style>
  <w:style w:type="paragraph" w:styleId="FootnoteText">
    <w:name w:val="footnote text"/>
    <w:basedOn w:val="Normal"/>
    <w:link w:val="Char"/>
    <w:uiPriority w:val="99"/>
    <w:rsid w:val="00C935DF"/>
    <w:pPr>
      <w:snapToGrid w:val="0"/>
      <w:jc w:val="left"/>
    </w:pPr>
    <w:rPr>
      <w:rFonts w:eastAsia="宋体"/>
      <w:sz w:val="18"/>
    </w:rPr>
  </w:style>
  <w:style w:type="character" w:customStyle="1" w:styleId="Char">
    <w:name w:val="脚注文本 Char"/>
    <w:link w:val="FootnoteText"/>
    <w:uiPriority w:val="99"/>
    <w:locked/>
    <w:rsid w:val="00C935DF"/>
    <w:rPr>
      <w:rFonts w:ascii="Times New Roman" w:eastAsia="宋体" w:hAnsi="Times New Roman" w:cs="Times New Roman"/>
      <w:sz w:val="20"/>
      <w:szCs w:val="20"/>
    </w:rPr>
  </w:style>
  <w:style w:type="paragraph" w:styleId="Header">
    <w:name w:val="header"/>
    <w:basedOn w:val="Normal"/>
    <w:link w:val="Char0"/>
    <w:uiPriority w:val="99"/>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Header"/>
    <w:uiPriority w:val="99"/>
    <w:locked/>
    <w:rsid w:val="005E0049"/>
    <w:rPr>
      <w:rFonts w:ascii="Times New Roman" w:eastAsia="方正仿宋简体" w:hAnsi="Times New Roman" w:cs="Times New Roman"/>
      <w:sz w:val="18"/>
      <w:szCs w:val="18"/>
    </w:rPr>
  </w:style>
  <w:style w:type="paragraph" w:styleId="Footer">
    <w:name w:val="footer"/>
    <w:basedOn w:val="Normal"/>
    <w:link w:val="Char1"/>
    <w:uiPriority w:val="99"/>
    <w:rsid w:val="005E0049"/>
    <w:pPr>
      <w:tabs>
        <w:tab w:val="center" w:pos="4153"/>
        <w:tab w:val="right" w:pos="8306"/>
      </w:tabs>
      <w:snapToGrid w:val="0"/>
      <w:jc w:val="left"/>
    </w:pPr>
    <w:rPr>
      <w:sz w:val="18"/>
      <w:szCs w:val="18"/>
    </w:rPr>
  </w:style>
  <w:style w:type="character" w:customStyle="1" w:styleId="Char1">
    <w:name w:val="页脚 Char"/>
    <w:link w:val="Footer"/>
    <w:uiPriority w:val="99"/>
    <w:locked/>
    <w:rsid w:val="005E0049"/>
    <w:rPr>
      <w:rFonts w:ascii="Times New Roman" w:eastAsia="方正仿宋简体" w:hAnsi="Times New Roman" w:cs="Times New Roman"/>
      <w:sz w:val="18"/>
      <w:szCs w:val="18"/>
    </w:rPr>
  </w:style>
  <w:style w:type="paragraph" w:styleId="DocumentMap">
    <w:name w:val="Document Map"/>
    <w:basedOn w:val="Normal"/>
    <w:link w:val="Char2"/>
    <w:uiPriority w:val="99"/>
    <w:semiHidden/>
    <w:rsid w:val="0030037A"/>
    <w:rPr>
      <w:rFonts w:ascii="宋体" w:eastAsia="宋体"/>
      <w:sz w:val="18"/>
      <w:szCs w:val="18"/>
    </w:rPr>
  </w:style>
  <w:style w:type="character" w:customStyle="1" w:styleId="Char2">
    <w:name w:val="文档结构图 Char"/>
    <w:link w:val="DocumentMap"/>
    <w:uiPriority w:val="99"/>
    <w:semiHidden/>
    <w:locked/>
    <w:rsid w:val="0030037A"/>
    <w:rPr>
      <w:rFonts w:ascii="宋体" w:eastAsia="宋体" w:hAnsi="Times New Roman" w:cs="Times New Roman"/>
      <w:sz w:val="18"/>
      <w:szCs w:val="18"/>
    </w:rPr>
  </w:style>
  <w:style w:type="table" w:styleId="TableGrid">
    <w:name w:val="Table Grid"/>
    <w:basedOn w:val="TableNormal"/>
    <w:uiPriority w:val="9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