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汇添富丰润中短债债券型证券投资基金C类份额更新基金产品资料概要(2024年04月15日更新)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汇添富丰润中短债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006772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汇添富丰润中短债C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016038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兴业银行股份有限公司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2018年12月24日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自2022年7月20日起增设汇添富丰润中短债债券型证券投资基金C类份额。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本基金在严格管理风险的前提上，主要投资中短期债券，力求超越业绩比较基准的投资回报。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债、央行票据、金融债券、企业债券、公司债券、中期票据、短期融资券、超短期融资券、次级债券、政府支持债券、政府支持机构债券、地方政府债券、中小企业私募债券、可分离交易可转债的纯债部分及其他经中国证监会允许投资的债券或票据、资产支持证券、债券回购、同业存单、银行存款(包含协议存款、定期存款及其他银行存款)、货币市场工具、国债期货，以及法律法规或中国证监会允许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指的中短期债券是指剩余期限不超过3年(含)的债券资产，主要包括国债、央行票据、金融债券、企业债券、公司债券、中期票据、短期融资券、超短期融资券、次级债券、政府支持债券、政府支持机构债券、地方政府债券、中小企业私募债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期限结构配置策略、个券选择策略、中小企业私募债投资策略、资产支持证券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中债总财富(1-3年)指数收益率*80%+一年期定期存款利率(税后)*20%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476797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9485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基金相关的会计师费/律师费/诉讼费/仲裁费、基金份额持有人大会费用、基金的证券/期货交易费用、基金的银行汇划费用、基金的账户开户费用、账户维护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信用风险、流动性风险、特定风险、税负增加风险、本基金法律文件风险收益特征表述与销售机构基金风险评价可能不一致的风险、操作或技术风险、合规性风险及其它风险。其中特定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根据本基金投资范围的规定，本基金无法完全规避发债主体特别是公司债、企业债的发债主体的信用质量变化造成的信用风险。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资产支持证券，主要存在以下风险：1）特定原始权益人破产风险、现金流预测风险等与基础资产相关的风险；2）资产支持证券信用增级措施相关风险、资产支持证券的利率风险、资产支持证券的流动性风险、评级风险等与资产支持证券相关的风险；3）管理人违约违规风险、托管人违约违规风险、专项计划账户管理风险、资产服务机构违规风险等与专项计划管理相关的风险；4）政策风险、税收风险、发生不可抗力事件的风险、技术风险和操作风险等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3、投资国债期货的风险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4、投资中小企业私募债的风险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本基金可投资中小企业私募债券，中小企业私募债券属于高风险的债券投资品种，其流动性风险和信用风险均高于一般债券品种，会影响组合的风险特征。</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本次更新了投资组合资产配置图表，业绩表现（如有）取自最近一次披露的年度报告。</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