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汇添富丰润中短债债券型证券投资基金A类份额更新基金产品资料概要(2024年04月15日更新)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2024年04月12日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2024年04月15日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汇添富丰润中短债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006772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汇添富丰润中短债A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006772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兴业银行股份有限公司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2018年12月24日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本基金在严格管理风险的前提上，主要投资中短期债券，力求超越业绩比较基准的投资回报。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央行票据、金融债券、企业债券、公司债券、中期票据、短期融资券、超短期融资券、次级债券、政府支持债券、政府支持机构债券、地方政府债券、中小企业私募债券、可分离交易可转债的纯债部分及其他经中国证监会允许投资的债券或票据、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中短期债券的比例不低于非现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的中短期债券是指剩余期限不超过3年(含)的债券资产，主要包括国债、央行票据、金融债券、企业债券、公司债券、中期票据、短期融资券、超短期融资券、次级债券、政府支持债券、政府支持机构债券、地方政府债券、中小企业私募债券、可分离交易可转债的纯债部分等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期限结构配置策略、个券选择策略、中小企业私募债投资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中债总财富(1-3年)指数收益率*80%+一年期定期存款利率(税后)*20%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854336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73722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通过本公司直销机构申购本基金A类基金份额的养老金客户申购费用为每笔500元。未通过本公司直销机构申购本基金A类基金份额的养老金客户申购费率参照非养老金客户适用的A类基金份额申购费率执行。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基金相关的会计师费/律师费/诉讼费/仲裁费、基金份额持有人大会费用、基金的证券/期货交易费用、基金的银行汇划费用、基金的账户开户费用、账户维护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信用风险、流动性风险、特定风险、税负增加风险、本基金法律文件风险收益特征表述与销售机构基金风险评价可能不一致的风险、操作或技术风险、合规性风险及其它风险。其中特定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根据本基金投资范围的规定，本基金无法完全规避发债主体特别是公司债、企业债的发债主体的信用质量变化造成的信用风险。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资产支持证券，主要存在以下风险：1）特定原始权益人破产风险、现金流预测风险等与基础资产相关的风险；2）资产支持证券信用增级措施相关风险、资产支持证券的利率风险、资产支持证券的流动性风险、评级风险等与资产支持证券相关的风险；3）管理人违约违规风险、托管人违约违规风险、专项计划账户管理风险、资产服务机构违规风险等与专项计划管理相关的风险；4）政策风险、税收风险、发生不可抗力事件的风险、技术风险和操作风险等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3、投资国债期货的风险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4、投资中小企业私募债的风险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本基金可投资中小企业私募债券，中小企业私募债券属于高风险的债券投资品种，其流动性风险和信用风险均高于一般债券品种，会影响组合的风险特征。</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本次更新了投资组合资产配置图表，业绩表现（如有）取自最近一次披露的年度报告。</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