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360" w:lineRule="auto"/>
        <w:jc w:val="center"/>
        <w:rPr>
          <w:rFonts w:eastAsia="黑体"/>
          <w:sz w:val="44"/>
        </w:rPr>
      </w:pPr>
      <w:bookmarkStart w:id="0" w:name="_Toc360794094"/>
      <w:bookmarkStart w:id="1" w:name="_Toc360195350"/>
      <w:bookmarkStart w:id="2" w:name="_Toc360787431"/>
      <w:bookmarkStart w:id="3" w:name="_Toc360793492"/>
      <w:bookmarkStart w:id="4" w:name="_Toc360786949"/>
      <w:bookmarkStart w:id="5" w:name="_Toc360195006"/>
      <w:bookmarkStart w:id="6" w:name="_Toc360192746"/>
      <w:bookmarkStart w:id="7" w:name="_Toc360194761"/>
      <w:bookmarkStart w:id="8" w:name="_Toc360191555"/>
      <w:bookmarkStart w:id="9" w:name="_Toc360794402"/>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eastAsia="黑体"/>
          <w:sz w:val="44"/>
        </w:rPr>
      </w:pPr>
    </w:p>
    <w:p>
      <w:pPr>
        <w:spacing w:line="360" w:lineRule="auto"/>
        <w:jc w:val="center"/>
        <w:rPr>
          <w:rFonts w:ascii="宋体" w:hAnsi="宋体"/>
          <w:b/>
          <w:sz w:val="44"/>
        </w:rPr>
      </w:pPr>
      <w:bookmarkStart w:id="10" w:name="_Toc375295971"/>
      <w:r>
        <w:rPr>
          <w:rFonts w:hint="eastAsia" w:ascii="宋体" w:hAnsi="宋体"/>
          <w:b/>
          <w:sz w:val="44"/>
        </w:rPr>
        <w:t>博时中证全指通信设备指数型发起式证券投资基金</w:t>
      </w:r>
    </w:p>
    <w:p>
      <w:pPr>
        <w:spacing w:line="360" w:lineRule="auto"/>
        <w:jc w:val="center"/>
        <w:rPr>
          <w:rFonts w:ascii="宋体" w:hAnsi="宋体"/>
          <w:b/>
          <w:sz w:val="44"/>
        </w:rPr>
      </w:pPr>
      <w:r>
        <w:rPr>
          <w:rFonts w:hint="eastAsia" w:ascii="宋体" w:hAnsi="宋体"/>
          <w:b/>
          <w:sz w:val="44"/>
        </w:rPr>
        <w:t>招募说明书</w:t>
      </w:r>
      <w:bookmarkEnd w:id="0"/>
      <w:bookmarkEnd w:id="1"/>
      <w:bookmarkEnd w:id="2"/>
      <w:bookmarkEnd w:id="3"/>
      <w:bookmarkEnd w:id="4"/>
      <w:bookmarkEnd w:id="5"/>
      <w:bookmarkEnd w:id="6"/>
      <w:bookmarkEnd w:id="7"/>
      <w:bookmarkEnd w:id="8"/>
      <w:bookmarkEnd w:id="9"/>
      <w:bookmarkEnd w:id="10"/>
    </w:p>
    <w:p>
      <w:pPr>
        <w:spacing w:line="360" w:lineRule="auto"/>
        <w:jc w:val="center"/>
        <w:rPr>
          <w:rFonts w:ascii="宋体" w:hAnsi="宋体"/>
          <w:b/>
          <w:sz w:val="44"/>
        </w:rPr>
      </w:pPr>
    </w:p>
    <w:p>
      <w:pPr>
        <w:spacing w:line="360" w:lineRule="auto"/>
        <w:rPr>
          <w:rFonts w:ascii="宋体" w:hAnsi="宋体"/>
          <w:b/>
          <w:sz w:val="44"/>
        </w:rPr>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snapToGrid w:val="0"/>
        <w:spacing w:line="360" w:lineRule="auto"/>
      </w:pPr>
    </w:p>
    <w:p>
      <w:pPr>
        <w:tabs>
          <w:tab w:val="left" w:pos="540"/>
        </w:tabs>
        <w:adjustRightInd w:val="0"/>
        <w:snapToGrid w:val="0"/>
        <w:spacing w:line="360" w:lineRule="auto"/>
        <w:ind w:firstLine="600" w:firstLineChars="200"/>
        <w:jc w:val="center"/>
        <w:rPr>
          <w:rFonts w:ascii="仿宋_GB2312" w:hAnsi="宋体" w:eastAsia="仿宋_GB2312" w:cs="Arial"/>
          <w:sz w:val="30"/>
          <w:szCs w:val="30"/>
        </w:rPr>
      </w:pPr>
    </w:p>
    <w:p>
      <w:pPr>
        <w:tabs>
          <w:tab w:val="left" w:pos="540"/>
        </w:tabs>
        <w:adjustRightInd w:val="0"/>
        <w:snapToGrid w:val="0"/>
        <w:spacing w:line="360" w:lineRule="auto"/>
        <w:jc w:val="center"/>
        <w:rPr>
          <w:rFonts w:ascii="宋体" w:hAnsi="宋体" w:cs="Arial"/>
          <w:b/>
          <w:sz w:val="30"/>
          <w:szCs w:val="30"/>
        </w:rPr>
      </w:pPr>
      <w:r>
        <w:rPr>
          <w:rFonts w:hint="eastAsia" w:ascii="宋体" w:hAnsi="宋体" w:cs="Arial"/>
          <w:b/>
          <w:sz w:val="30"/>
          <w:szCs w:val="30"/>
        </w:rPr>
        <w:t>基金管理人：博时基金管理有限公司</w:t>
      </w:r>
    </w:p>
    <w:p>
      <w:pPr>
        <w:tabs>
          <w:tab w:val="left" w:pos="540"/>
        </w:tabs>
        <w:adjustRightInd w:val="0"/>
        <w:snapToGrid w:val="0"/>
        <w:spacing w:line="360" w:lineRule="auto"/>
        <w:jc w:val="center"/>
        <w:rPr>
          <w:rFonts w:ascii="宋体" w:hAnsi="宋体" w:cs="Arial"/>
          <w:b/>
          <w:sz w:val="30"/>
          <w:szCs w:val="30"/>
        </w:rPr>
      </w:pPr>
      <w:r>
        <w:rPr>
          <w:rFonts w:hint="eastAsia" w:ascii="宋体" w:hAnsi="宋体" w:cs="Arial"/>
          <w:b/>
          <w:sz w:val="30"/>
          <w:szCs w:val="30"/>
        </w:rPr>
        <w:t>基金托管人：上海银行股份有限公司</w:t>
      </w:r>
    </w:p>
    <w:p>
      <w:pPr>
        <w:pStyle w:val="35"/>
        <w:snapToGrid w:val="0"/>
        <w:spacing w:line="360" w:lineRule="auto"/>
        <w:ind w:firstLine="0"/>
        <w:rPr>
          <w:rFonts w:hint="default" w:ascii="Times New Roman"/>
          <w:sz w:val="21"/>
        </w:rPr>
      </w:pPr>
    </w:p>
    <w:p>
      <w:pPr>
        <w:snapToGrid w:val="0"/>
        <w:spacing w:line="360" w:lineRule="auto"/>
        <w:jc w:val="center"/>
        <w:rPr>
          <w:sz w:val="30"/>
        </w:rPr>
      </w:pPr>
      <w:r>
        <w:rPr>
          <w:sz w:val="30"/>
        </w:rPr>
        <w:br w:type="page"/>
      </w:r>
    </w:p>
    <w:p>
      <w:pPr>
        <w:pStyle w:val="4"/>
        <w:numPr>
          <w:ilvl w:val="0"/>
          <w:numId w:val="0"/>
        </w:numPr>
        <w:snapToGrid w:val="0"/>
        <w:spacing w:before="0" w:after="0" w:line="360" w:lineRule="auto"/>
        <w:jc w:val="center"/>
      </w:pPr>
      <w:bookmarkStart w:id="11" w:name="_Toc92740283"/>
      <w:r>
        <w:rPr>
          <w:rFonts w:hint="eastAsia"/>
        </w:rPr>
        <w:t>重要提示</w:t>
      </w:r>
      <w:bookmarkEnd w:id="11"/>
    </w:p>
    <w:p>
      <w:pPr>
        <w:numPr>
          <w:ilvl w:val="12"/>
          <w:numId w:val="0"/>
        </w:numPr>
        <w:snapToGrid w:val="0"/>
        <w:spacing w:line="360" w:lineRule="auto"/>
        <w:ind w:firstLine="411" w:firstLineChars="196"/>
        <w:rPr>
          <w:rFonts w:ascii="宋体"/>
        </w:rPr>
      </w:pPr>
      <w:r>
        <w:rPr>
          <w:rFonts w:hint="eastAsia" w:ascii="宋体" w:hAnsi="宋体" w:cs="宋体"/>
        </w:rPr>
        <w:t>本基金经</w:t>
      </w:r>
      <w:r>
        <w:rPr>
          <w:rFonts w:hint="eastAsia"/>
          <w:szCs w:val="23"/>
        </w:rPr>
        <w:t>中国证券监督管理委员会（以下简称“中国证监会”）</w:t>
      </w:r>
      <w:r>
        <w:rPr>
          <w:rFonts w:hint="eastAsia" w:ascii="宋体" w:hAnsi="宋体" w:cs="宋体"/>
        </w:rPr>
        <w:t>202</w:t>
      </w:r>
      <w:r>
        <w:rPr>
          <w:rFonts w:hint="eastAsia" w:ascii="宋体" w:hAnsi="宋体" w:cs="宋体"/>
          <w:lang w:val="en-US" w:eastAsia="zh-CN"/>
        </w:rPr>
        <w:t>4</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val="en-US" w:eastAsia="zh-CN"/>
        </w:rPr>
        <w:t>12</w:t>
      </w:r>
      <w:r>
        <w:rPr>
          <w:rFonts w:hint="eastAsia" w:ascii="宋体" w:hAnsi="宋体" w:cs="宋体"/>
        </w:rPr>
        <w:t>日</w:t>
      </w:r>
      <w:r>
        <w:rPr>
          <w:rFonts w:ascii="宋体" w:hAnsi="宋体" w:cs="Arial"/>
          <w:kern w:val="0"/>
          <w:szCs w:val="21"/>
        </w:rPr>
        <w:t>证监许可[</w:t>
      </w:r>
      <w:r>
        <w:rPr>
          <w:rFonts w:hint="eastAsia" w:ascii="宋体" w:hAnsi="宋体" w:cs="Arial"/>
          <w:kern w:val="0"/>
          <w:szCs w:val="21"/>
        </w:rPr>
        <w:t>202</w:t>
      </w:r>
      <w:r>
        <w:rPr>
          <w:rFonts w:hint="eastAsia" w:ascii="宋体" w:hAnsi="宋体" w:cs="Arial"/>
          <w:kern w:val="0"/>
          <w:szCs w:val="21"/>
          <w:lang w:val="en-US" w:eastAsia="zh-CN"/>
        </w:rPr>
        <w:t>4</w:t>
      </w:r>
      <w:r>
        <w:rPr>
          <w:rFonts w:ascii="宋体" w:hAnsi="宋体" w:cs="Arial"/>
          <w:kern w:val="0"/>
          <w:szCs w:val="21"/>
        </w:rPr>
        <w:t>]</w:t>
      </w:r>
      <w:r>
        <w:rPr>
          <w:rFonts w:hint="eastAsia" w:ascii="宋体" w:hAnsi="宋体" w:cs="Arial"/>
          <w:kern w:val="0"/>
          <w:szCs w:val="21"/>
          <w:lang w:val="en-US" w:eastAsia="zh-CN"/>
        </w:rPr>
        <w:t>87</w:t>
      </w:r>
      <w:r>
        <w:rPr>
          <w:rFonts w:ascii="宋体" w:hAnsi="宋体" w:cs="Arial"/>
          <w:kern w:val="0"/>
          <w:szCs w:val="21"/>
        </w:rPr>
        <w:t>号</w:t>
      </w:r>
      <w:r>
        <w:rPr>
          <w:rFonts w:hint="eastAsia" w:ascii="宋体" w:hAnsi="宋体" w:cs="宋体"/>
        </w:rPr>
        <w:t>文注册募集。基金管理人保证招募说明书的内容真实、准确、完整。本招募说明书经中国证监会注册，但中国证监会对本基金募集的注册，并不表明其对本基金的投资价值、市场前景和收益做出实质性判断或保证，也不表明投资于本基金没有风险。</w:t>
      </w:r>
    </w:p>
    <w:p>
      <w:pPr>
        <w:numPr>
          <w:ilvl w:val="12"/>
          <w:numId w:val="0"/>
        </w:numPr>
        <w:snapToGrid w:val="0"/>
        <w:spacing w:line="360" w:lineRule="auto"/>
        <w:ind w:firstLine="411" w:firstLineChars="196"/>
        <w:rPr>
          <w:rFonts w:ascii="宋体" w:hAnsi="宋体" w:cs="宋体"/>
        </w:rPr>
      </w:pPr>
      <w:r>
        <w:rPr>
          <w:rFonts w:hint="eastAsia" w:ascii="宋体" w:hAnsi="宋体" w:cs="宋体"/>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w:t>
      </w:r>
    </w:p>
    <w:p>
      <w:pPr>
        <w:numPr>
          <w:ilvl w:val="12"/>
          <w:numId w:val="0"/>
        </w:numPr>
        <w:snapToGrid w:val="0"/>
        <w:spacing w:line="360" w:lineRule="auto"/>
        <w:ind w:firstLine="411" w:firstLineChars="196"/>
        <w:rPr>
          <w:rFonts w:ascii="宋体" w:hAnsi="宋体" w:cs="宋体"/>
        </w:rPr>
      </w:pPr>
      <w:r>
        <w:rPr>
          <w:rFonts w:ascii="宋体" w:hAnsi="宋体" w:cs="宋体"/>
        </w:rPr>
        <w:t>本基金的标的指数为</w:t>
      </w:r>
      <w:r>
        <w:rPr>
          <w:rFonts w:hint="eastAsia" w:ascii="宋体" w:hAnsi="宋体" w:cs="宋体"/>
        </w:rPr>
        <w:t>中证全指通信设备指数，编制方案如下：</w:t>
      </w:r>
    </w:p>
    <w:p>
      <w:pPr>
        <w:spacing w:line="360" w:lineRule="auto"/>
        <w:ind w:firstLine="420" w:firstLineChars="200"/>
        <w:rPr>
          <w:rFonts w:ascii="宋体" w:hAnsi="宋体" w:cs="Arial"/>
        </w:rPr>
      </w:pPr>
      <w:r>
        <w:rPr>
          <w:rFonts w:hint="eastAsia" w:ascii="宋体" w:hAnsi="宋体" w:cs="Arial"/>
        </w:rPr>
        <w:t>（1）样本空间</w:t>
      </w:r>
    </w:p>
    <w:p>
      <w:pPr>
        <w:spacing w:line="360" w:lineRule="auto"/>
        <w:ind w:firstLine="420" w:firstLineChars="200"/>
      </w:pPr>
      <w:r>
        <w:rPr>
          <w:rFonts w:hint="eastAsia"/>
        </w:rPr>
        <w:t>同中证全指指数的样本空间</w:t>
      </w:r>
    </w:p>
    <w:p>
      <w:pPr>
        <w:spacing w:line="360" w:lineRule="auto"/>
        <w:ind w:firstLine="420" w:firstLineChars="200"/>
        <w:rPr>
          <w:rFonts w:ascii="宋体" w:hAnsi="宋体" w:cs="Arial"/>
        </w:rPr>
      </w:pPr>
      <w:r>
        <w:rPr>
          <w:rFonts w:hint="eastAsia" w:ascii="宋体" w:hAnsi="宋体" w:cs="Arial"/>
        </w:rPr>
        <w:t>（</w:t>
      </w:r>
      <w:r>
        <w:rPr>
          <w:rFonts w:ascii="宋体" w:hAnsi="宋体" w:cs="Arial"/>
        </w:rPr>
        <w:t>2</w:t>
      </w:r>
      <w:r>
        <w:rPr>
          <w:rFonts w:hint="eastAsia" w:ascii="宋体" w:hAnsi="宋体" w:cs="Arial"/>
        </w:rPr>
        <w:t>）可投资性筛选</w:t>
      </w:r>
    </w:p>
    <w:p>
      <w:pPr>
        <w:spacing w:line="360" w:lineRule="auto"/>
        <w:ind w:firstLine="420" w:firstLineChars="200"/>
        <w:rPr>
          <w:rFonts w:ascii="宋体" w:hAnsi="宋体" w:cs="Arial"/>
        </w:rPr>
      </w:pPr>
      <w:r>
        <w:rPr>
          <w:rFonts w:hint="eastAsia" w:ascii="宋体" w:hAnsi="宋体" w:cs="Arial"/>
        </w:rPr>
        <w:t>过去一年日均成交金额排名位于样本空间前 90%。</w:t>
      </w:r>
    </w:p>
    <w:p>
      <w:pPr>
        <w:spacing w:line="360" w:lineRule="auto"/>
        <w:ind w:firstLine="420" w:firstLineChars="200"/>
        <w:rPr>
          <w:rFonts w:ascii="宋体" w:hAnsi="宋体" w:cs="Arial"/>
        </w:rPr>
      </w:pPr>
      <w:r>
        <w:rPr>
          <w:rFonts w:hint="eastAsia" w:ascii="宋体" w:hAnsi="宋体" w:cs="Arial"/>
        </w:rPr>
        <w:t>（3）选样方法</w:t>
      </w:r>
    </w:p>
    <w:p>
      <w:pPr>
        <w:spacing w:line="360" w:lineRule="auto"/>
        <w:ind w:firstLine="420" w:firstLineChars="200"/>
        <w:rPr>
          <w:rFonts w:ascii="宋体" w:hAnsi="宋体" w:cs="Arial"/>
        </w:rPr>
      </w:pPr>
      <w:r>
        <w:rPr>
          <w:rFonts w:hint="eastAsia" w:ascii="宋体" w:hAnsi="宋体" w:cs="Arial"/>
        </w:rPr>
        <w:t>1）对于样本空间内符合可投资性筛选条件的证券，选取业务涉及通信设备领域的上市公司证券作为待选样本；</w:t>
      </w:r>
    </w:p>
    <w:p>
      <w:pPr>
        <w:spacing w:line="360" w:lineRule="auto"/>
        <w:ind w:firstLine="420" w:firstLineChars="200"/>
        <w:rPr>
          <w:rFonts w:ascii="宋体" w:hAnsi="宋体" w:cs="Arial"/>
        </w:rPr>
      </w:pPr>
      <w:r>
        <w:rPr>
          <w:rFonts w:hint="eastAsia" w:ascii="宋体" w:hAnsi="宋体" w:cs="Arial"/>
        </w:rPr>
        <w:t>2）在上述待选样本中，按照过去一年日均总市值由高到低排名，选取排名前50的证券作为指数样本。</w:t>
      </w:r>
    </w:p>
    <w:p>
      <w:pPr>
        <w:spacing w:line="360" w:lineRule="auto"/>
        <w:ind w:firstLine="420" w:firstLineChars="200"/>
        <w:rPr>
          <w:rFonts w:ascii="宋体" w:hAnsi="宋体" w:cs="Arial"/>
        </w:rPr>
      </w:pPr>
      <w:r>
        <w:rPr>
          <w:rFonts w:hint="eastAsia" w:ascii="宋体" w:hAnsi="宋体" w:cs="Arial"/>
        </w:rPr>
        <w:t>（4）指数计算</w:t>
      </w:r>
    </w:p>
    <w:p>
      <w:pPr>
        <w:spacing w:line="360" w:lineRule="auto"/>
        <w:ind w:firstLine="420" w:firstLineChars="200"/>
        <w:rPr>
          <w:rFonts w:ascii="宋体" w:hAnsi="宋体" w:cs="Arial"/>
        </w:rPr>
      </w:pPr>
      <w:r>
        <w:rPr>
          <w:rFonts w:hint="eastAsia" w:ascii="宋体" w:hAnsi="宋体" w:cs="Arial"/>
        </w:rPr>
        <w:t>指数计算公式为：报告期指数=报告期样本的调整市值/除数×1000</w:t>
      </w:r>
    </w:p>
    <w:p>
      <w:pPr>
        <w:spacing w:line="360" w:lineRule="auto"/>
        <w:ind w:firstLine="420" w:firstLineChars="200"/>
        <w:rPr>
          <w:rFonts w:ascii="宋体" w:hAnsi="宋体" w:cs="Arial"/>
        </w:rPr>
      </w:pPr>
      <w:r>
        <w:rPr>
          <w:rFonts w:hint="eastAsia" w:ascii="宋体" w:hAnsi="宋体" w:cs="Arial"/>
        </w:rPr>
        <w:t>其中，调整市值＝ ∑(证券价格×调整股本数×权重因子)。调整股本数的计算方法、除数修正方法参见计算与维护细则。权重因子介于0和1之间，以使单个样本权重不超过15%。</w:t>
      </w:r>
    </w:p>
    <w:p>
      <w:pPr>
        <w:spacing w:line="360" w:lineRule="auto"/>
        <w:ind w:firstLine="420" w:firstLineChars="200"/>
      </w:pPr>
      <w:r>
        <w:rPr>
          <w:rFonts w:hint="eastAsia" w:ascii="宋体" w:hAnsi="宋体" w:cs="Arial"/>
        </w:rPr>
        <w:t>有关标的指数具体编制方案及成份股信息详见中证指数有限公司网站，网址：</w:t>
      </w:r>
      <w:r>
        <w:rPr>
          <w:rStyle w:val="49"/>
          <w:rFonts w:ascii="宋体" w:hAnsi="宋体" w:cs="Arial"/>
        </w:rPr>
        <w:t>http://www.csindex.com.cn/</w:t>
      </w:r>
      <w:r>
        <w:rPr>
          <w:rFonts w:hint="eastAsia" w:ascii="宋体" w:hAnsi="宋体" w:cs="Arial"/>
        </w:rPr>
        <w:t>。</w:t>
      </w:r>
    </w:p>
    <w:p>
      <w:pPr>
        <w:numPr>
          <w:ilvl w:val="12"/>
          <w:numId w:val="0"/>
        </w:numPr>
        <w:snapToGrid w:val="0"/>
        <w:spacing w:line="360" w:lineRule="auto"/>
        <w:ind w:firstLine="411" w:firstLineChars="196"/>
        <w:rPr>
          <w:rFonts w:ascii="Arial" w:hAnsi="Arial" w:cs="Arial"/>
          <w:szCs w:val="21"/>
        </w:rPr>
      </w:pPr>
      <w:r>
        <w:rPr>
          <w:rFonts w:hint="eastAsia" w:ascii="Arial" w:hAnsi="Arial" w:cs="Arial"/>
          <w:szCs w:val="21"/>
        </w:rPr>
        <w:t>本基金主要投资于具有良好流动性的金融工具，包括国内依法发行上市的股票、债券、货币市场工具及法律法规或中国证监会允许基金投资的其他金融工具（但须符合中国证监会的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w:t>
      </w:r>
    </w:p>
    <w:p>
      <w:pPr>
        <w:numPr>
          <w:ilvl w:val="12"/>
          <w:numId w:val="0"/>
        </w:numPr>
        <w:snapToGrid w:val="0"/>
        <w:spacing w:line="360" w:lineRule="auto"/>
        <w:ind w:firstLine="411" w:firstLineChars="196"/>
        <w:rPr>
          <w:rFonts w:ascii="Arial" w:hAnsi="Arial" w:cs="Arial"/>
          <w:szCs w:val="21"/>
        </w:rPr>
      </w:pPr>
      <w:r>
        <w:rPr>
          <w:rFonts w:hint="eastAsia" w:ascii="Arial" w:hAnsi="Arial" w:cs="Arial"/>
          <w:szCs w:val="21"/>
        </w:rPr>
        <w:t>本基金主要投资于标的指数成份股和备选成份股（含存托凭证）。</w:t>
      </w:r>
    </w:p>
    <w:p>
      <w:pPr>
        <w:numPr>
          <w:ilvl w:val="12"/>
          <w:numId w:val="0"/>
        </w:numPr>
        <w:snapToGrid w:val="0"/>
        <w:spacing w:line="360" w:lineRule="auto"/>
        <w:ind w:firstLine="411" w:firstLineChars="196"/>
        <w:rPr>
          <w:rFonts w:ascii="Arial" w:hAnsi="Arial" w:cs="Arial"/>
          <w:szCs w:val="21"/>
        </w:rPr>
      </w:pPr>
      <w:r>
        <w:rPr>
          <w:rFonts w:hint="eastAsia" w:ascii="Arial" w:hAnsi="Arial" w:cs="Arial"/>
          <w:szCs w:val="21"/>
        </w:rPr>
        <w:t>为更好地实现基金的投资目标，本基金可能会少量投资于依法发行上市的非成份股（包括创业板及其他经中国证监会核准或注册上市的股票、存托凭证）、债券（包括国债、金融债、地方政府债、政府支持机构债券、企业债、公司债、公开发行的次级债、可转换债券（含分离交易可转债的纯债部分）、可交换债券、央行票据、短期融资券、超短期融资券、中期票据等）、资产支持证券、衍生工具（包括股指期货、国债期货、股票期权）、债券回购、货币市场工具（包括银行存款、同业存单等）以及法律法规或中国证监会允许基金投资的其他金融工具（但须符合中国证监会的相关规定）。</w:t>
      </w:r>
    </w:p>
    <w:p>
      <w:pPr>
        <w:numPr>
          <w:ilvl w:val="12"/>
          <w:numId w:val="0"/>
        </w:numPr>
        <w:snapToGrid w:val="0"/>
        <w:spacing w:line="360" w:lineRule="auto"/>
        <w:ind w:firstLine="411" w:firstLineChars="196"/>
        <w:rPr>
          <w:rFonts w:ascii="Arial" w:hAnsi="Arial" w:cs="Arial"/>
          <w:szCs w:val="21"/>
        </w:rPr>
      </w:pPr>
      <w:r>
        <w:rPr>
          <w:rFonts w:hint="eastAsia" w:ascii="Arial" w:hAnsi="Arial" w:cs="Arial"/>
          <w:szCs w:val="21"/>
        </w:rPr>
        <w:t>本基金可根据法律法规的规定参与融资及转融通证券出借业务。未来在法律法规允许的前提下，本基金可根据相关法律法规规定参与融券业务。</w:t>
      </w:r>
    </w:p>
    <w:p>
      <w:pPr>
        <w:numPr>
          <w:ilvl w:val="12"/>
          <w:numId w:val="0"/>
        </w:numPr>
        <w:snapToGrid w:val="0"/>
        <w:spacing w:line="360" w:lineRule="auto"/>
        <w:ind w:firstLine="411" w:firstLineChars="196"/>
        <w:rPr>
          <w:rFonts w:ascii="Arial" w:hAnsi="Arial" w:cs="Arial"/>
          <w:szCs w:val="21"/>
        </w:rPr>
      </w:pPr>
      <w:r>
        <w:rPr>
          <w:rFonts w:hint="eastAsia" w:ascii="Arial" w:hAnsi="Arial" w:cs="Arial"/>
          <w:szCs w:val="21"/>
        </w:rPr>
        <w:t>本基金根据相关法律法规或中国证监会要求履行相关手续后，还可以投资于法律法规或中国证监会未来允许基金投资的其他金融工具。</w:t>
      </w:r>
    </w:p>
    <w:p>
      <w:pPr>
        <w:numPr>
          <w:ilvl w:val="12"/>
          <w:numId w:val="0"/>
        </w:numPr>
        <w:snapToGrid w:val="0"/>
        <w:spacing w:line="360" w:lineRule="auto"/>
        <w:ind w:firstLine="411" w:firstLineChars="196"/>
        <w:rPr>
          <w:rFonts w:ascii="Arial" w:hAnsi="Arial" w:cs="Arial"/>
          <w:szCs w:val="21"/>
        </w:rPr>
      </w:pPr>
      <w:r>
        <w:rPr>
          <w:rFonts w:hint="eastAsia" w:ascii="Arial" w:hAnsi="Arial" w:cs="Arial"/>
          <w:szCs w:val="21"/>
        </w:rPr>
        <w:t>本基金的股票资产投资比例不低于基金资产的90%，其中投资于标的指数成份股和备选成份股的资产不低于非现金基金资产的80%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adjustRightInd w:val="0"/>
        <w:snapToGrid w:val="0"/>
        <w:spacing w:line="360" w:lineRule="auto"/>
        <w:ind w:firstLine="369" w:firstLineChars="176"/>
        <w:rPr>
          <w:rFonts w:ascii="宋体" w:cs="宋体"/>
          <w:kern w:val="0"/>
          <w:szCs w:val="21"/>
        </w:rPr>
      </w:pPr>
      <w:r>
        <w:rPr>
          <w:rFonts w:hint="eastAsia" w:ascii="Arial" w:hAnsi="Arial" w:cs="Arial"/>
          <w:szCs w:val="21"/>
        </w:rPr>
        <w:t>若法律法规的相关规定发生变更或监管机构允许，本基金管理人在履行适当程序后，可对上述资产配置比例进行调整。</w:t>
      </w:r>
    </w:p>
    <w:p>
      <w:pPr>
        <w:adjustRightInd w:val="0"/>
        <w:snapToGrid w:val="0"/>
        <w:spacing w:line="360" w:lineRule="auto"/>
        <w:ind w:firstLine="369" w:firstLineChars="176"/>
        <w:rPr>
          <w:rFonts w:ascii="宋体" w:cs="宋体"/>
          <w:kern w:val="0"/>
          <w:szCs w:val="21"/>
        </w:rPr>
      </w:pPr>
      <w:r>
        <w:rPr>
          <w:rFonts w:hint="eastAsia" w:ascii="宋体" w:cs="宋体"/>
          <w:kern w:val="0"/>
          <w:szCs w:val="21"/>
        </w:rPr>
        <w:t>本基金属于股票型基金，其预期收益及预期风险水平高于混合型基金、债券型基金与货币市场基金。本基金为被动式投资的股票型指数基金，跟踪中证全指通信设备指数，其风险收益特征与标的指数所表征的市场组合的风险收益特征相似。</w:t>
      </w:r>
    </w:p>
    <w:p>
      <w:pPr>
        <w:adjustRightInd w:val="0"/>
        <w:snapToGrid w:val="0"/>
        <w:spacing w:line="360" w:lineRule="auto"/>
        <w:ind w:firstLine="369" w:firstLineChars="176"/>
        <w:rPr>
          <w:rFonts w:ascii="宋体" w:hAnsi="宋体" w:cs="宋体"/>
        </w:rPr>
      </w:pPr>
      <w:r>
        <w:rPr>
          <w:rFonts w:hint="eastAsia" w:ascii="宋体" w:hAnsi="宋体" w:cs="宋体"/>
        </w:rPr>
        <w:t>本基金为指数基金，投资者投资于本基金面临跟踪误差控制未达约定目标、指数编制机构停止服务、成份股停牌或退市等潜在风险，具体风险详见本招募说明书“风险揭示”部分。</w:t>
      </w:r>
    </w:p>
    <w:p>
      <w:pPr>
        <w:numPr>
          <w:ilvl w:val="12"/>
          <w:numId w:val="0"/>
        </w:numPr>
        <w:snapToGrid w:val="0"/>
        <w:spacing w:line="360" w:lineRule="auto"/>
        <w:ind w:firstLine="411" w:firstLineChars="196"/>
        <w:rPr>
          <w:rFonts w:ascii="宋体" w:hAnsi="宋体" w:cs="宋体"/>
        </w:rPr>
      </w:pPr>
      <w:r>
        <w:rPr>
          <w:rFonts w:hint="eastAsia" w:ascii="宋体" w:hAnsi="宋体" w:cs="宋体"/>
        </w:rPr>
        <w:t xml:space="preserve">本基金可投资资产支持证券（ABS）。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 </w:t>
      </w:r>
    </w:p>
    <w:p>
      <w:pPr>
        <w:numPr>
          <w:ilvl w:val="12"/>
          <w:numId w:val="0"/>
        </w:numPr>
        <w:snapToGrid w:val="0"/>
        <w:spacing w:line="360" w:lineRule="auto"/>
        <w:ind w:firstLine="411" w:firstLineChars="196"/>
        <w:rPr>
          <w:rFonts w:ascii="宋体" w:hAnsi="宋体" w:cs="宋体"/>
        </w:rPr>
      </w:pPr>
      <w:r>
        <w:rPr>
          <w:rFonts w:hint="eastAsia" w:ascii="宋体" w:hAnsi="宋体" w:cs="宋体"/>
        </w:rPr>
        <w:t>本基金可投资股指期货、国债期货。股指期货、国债期货采用保证金交易制度，由于保证金交易具有杠杆性，当出现不利行情时，股价、指数微小的变动就可能会使投资者权益遭受较大损失。股指期货、国债期货采用每日无负债结算制度，如果没有在规定的时间内补足保证金，按规定将被强制平仓，可能给投资带来重大损失。</w:t>
      </w:r>
    </w:p>
    <w:p>
      <w:pPr>
        <w:numPr>
          <w:ilvl w:val="12"/>
          <w:numId w:val="0"/>
        </w:numPr>
        <w:snapToGrid w:val="0"/>
        <w:spacing w:line="360" w:lineRule="auto"/>
        <w:ind w:firstLine="411" w:firstLineChars="196"/>
        <w:rPr>
          <w:rFonts w:ascii="宋体" w:hAnsi="宋体" w:cs="宋体"/>
        </w:rPr>
      </w:pPr>
      <w:r>
        <w:rPr>
          <w:rFonts w:hint="eastAsia" w:ascii="宋体" w:hAnsi="宋体" w:cs="宋体"/>
        </w:rPr>
        <w:t>本基金可参与股票期权交易，以套期保值为主要目的，若参与股票期权交易，可能面临流动性风险、价格风险、操作风险等。</w:t>
      </w:r>
    </w:p>
    <w:p>
      <w:pPr>
        <w:numPr>
          <w:ilvl w:val="12"/>
          <w:numId w:val="0"/>
        </w:numPr>
        <w:snapToGrid w:val="0"/>
        <w:spacing w:line="360" w:lineRule="auto"/>
        <w:ind w:firstLine="411" w:firstLineChars="196"/>
        <w:rPr>
          <w:rFonts w:ascii="宋体" w:hAnsi="宋体" w:cs="宋体"/>
        </w:rPr>
      </w:pPr>
      <w:r>
        <w:rPr>
          <w:rFonts w:hint="eastAsia" w:ascii="宋体" w:hAnsi="宋体" w:cs="宋体"/>
        </w:rPr>
        <w:t>本基金可根据法律法规的规定参与融资及转融通证券出借业务。本基金将在充分考虑风险和收益特征的基础上，审慎参与融资及转融通证券出借业务。投资者需承担相应的风险。</w:t>
      </w:r>
    </w:p>
    <w:p>
      <w:pPr>
        <w:numPr>
          <w:ilvl w:val="12"/>
          <w:numId w:val="0"/>
        </w:numPr>
        <w:snapToGrid w:val="0"/>
        <w:spacing w:line="360" w:lineRule="auto"/>
        <w:ind w:firstLine="411" w:firstLineChars="196"/>
        <w:rPr>
          <w:rFonts w:ascii="宋体" w:hAnsi="宋体" w:cs="宋体"/>
        </w:rPr>
      </w:pPr>
      <w:r>
        <w:rPr>
          <w:rFonts w:hint="eastAsia" w:ascii="宋体" w:hAnsi="宋体" w:cs="宋体"/>
        </w:rPr>
        <w:t>本基金的投资范围包括存托凭证，除与其他仅投资于境内市场股票的基金所面临的共同风险外，本基金还将面临存托凭证价格大幅波动甚至出现较大亏损的风险，以及与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numPr>
          <w:ilvl w:val="12"/>
          <w:numId w:val="0"/>
        </w:numPr>
        <w:snapToGrid w:val="0"/>
        <w:spacing w:line="360" w:lineRule="auto"/>
        <w:ind w:firstLine="411" w:firstLineChars="196"/>
        <w:rPr>
          <w:rFonts w:ascii="宋体" w:hAnsi="宋体" w:cs="宋体"/>
        </w:rPr>
      </w:pPr>
      <w:r>
        <w:rPr>
          <w:rFonts w:hint="eastAsia" w:ascii="宋体" w:hAnsi="宋体" w:cs="宋体"/>
        </w:rPr>
        <w:t>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本基金在基金合同生效三年后继续存续的，基金存续期内，连续</w:t>
      </w:r>
      <w:r>
        <w:rPr>
          <w:rFonts w:ascii="宋体" w:hAnsi="宋体" w:cs="宋体"/>
        </w:rPr>
        <w:t>5</w:t>
      </w:r>
      <w:r>
        <w:rPr>
          <w:rFonts w:hint="eastAsia" w:ascii="宋体" w:hAnsi="宋体" w:cs="宋体"/>
        </w:rPr>
        <w:t>0个工作日出现基金份额持有人数量不满200人或者基金资产净值低于5000万元情形的，本基金将根据基金合同的约定进行基金财产清算并终止，且无需召开基金份额持有人大会，同时基金管理人应履行相关的监管报告和信息披露程序。因此本基金有面临自动清算的风险。</w:t>
      </w:r>
    </w:p>
    <w:p>
      <w:pPr>
        <w:numPr>
          <w:ilvl w:val="12"/>
          <w:numId w:val="0"/>
        </w:numPr>
        <w:snapToGrid w:val="0"/>
        <w:spacing w:line="360" w:lineRule="auto"/>
        <w:ind w:firstLine="411" w:firstLineChars="196"/>
        <w:rPr>
          <w:rFonts w:ascii="宋体" w:hAnsi="宋体" w:cs="宋体"/>
        </w:rPr>
      </w:pPr>
      <w:r>
        <w:rPr>
          <w:rFonts w:hint="eastAsia" w:ascii="宋体" w:hAnsi="宋体" w:cs="宋体"/>
        </w:rPr>
        <w:t>当本基金持有特定资产且存在或潜在大额赎回申请时，基金管理人履行相应程序后，可以启用侧袋机制，具体详见基金合同和本招募说明书的有关章节。侧袋机制实施期间，基金管理人将对基金简称进行特殊标识，投资者不得办理侧袋账户份额的申购赎回等业务。请基金份额持有人仔细阅读相关内容并关注本基金启用侧袋机制时的特定风险。</w:t>
      </w:r>
    </w:p>
    <w:p>
      <w:pPr>
        <w:numPr>
          <w:ilvl w:val="12"/>
          <w:numId w:val="0"/>
        </w:numPr>
        <w:snapToGrid w:val="0"/>
        <w:spacing w:line="360" w:lineRule="auto"/>
        <w:ind w:firstLine="411" w:firstLineChars="196"/>
        <w:rPr>
          <w:rFonts w:ascii="宋体" w:hAnsi="宋体" w:cs="宋体"/>
        </w:rPr>
      </w:pPr>
      <w:r>
        <w:rPr>
          <w:rFonts w:hint="eastAsia" w:ascii="宋体" w:hAnsi="宋体" w:cs="宋体"/>
        </w:rPr>
        <w:t>本基金以1.00元初始面值募集基金份额，在市场波动等因素的影响下，基金投资有可能出现亏损或基金份额净值低于初始面值。</w:t>
      </w:r>
    </w:p>
    <w:p>
      <w:pPr>
        <w:numPr>
          <w:ilvl w:val="12"/>
          <w:numId w:val="0"/>
        </w:numPr>
        <w:snapToGrid w:val="0"/>
        <w:spacing w:line="360" w:lineRule="auto"/>
        <w:ind w:firstLine="411" w:firstLineChars="196"/>
        <w:rPr>
          <w:rFonts w:ascii="宋体" w:hAnsi="宋体" w:cs="宋体"/>
        </w:rPr>
      </w:pPr>
      <w:r>
        <w:rPr>
          <w:rFonts w:hint="eastAsia" w:ascii="宋体" w:hAnsi="宋体" w:cs="宋体"/>
        </w:rPr>
        <w:t>投资有风险，投资人认购（或申购）基金时应认真阅读基金合同、本招募说明书、基金产品资料概要等信息披露文件，自主判断基金的投资价值，自主做出投资决策，自行承担投资风险。基金的过往业绩并不预示其未来表现。基金管理人管理的其他基金的业绩并不构成新基金业绩表现的保证。</w:t>
      </w:r>
    </w:p>
    <w:p>
      <w:pPr>
        <w:numPr>
          <w:ilvl w:val="12"/>
          <w:numId w:val="0"/>
        </w:numPr>
        <w:snapToGrid w:val="0"/>
        <w:spacing w:line="360" w:lineRule="auto"/>
        <w:ind w:firstLine="411" w:firstLineChars="196"/>
        <w:rPr>
          <w:rFonts w:ascii="宋体" w:hAnsi="宋体" w:cs="宋体"/>
        </w:rPr>
      </w:pPr>
      <w:r>
        <w:rPr>
          <w:rFonts w:hint="eastAsia" w:ascii="宋体" w:hAnsi="宋体" w:cs="宋体"/>
        </w:rPr>
        <w:t>基金管理人依照恪尽职守、诚实信用、谨慎勤勉的原则管理和运用基金财产，但不保证基金一定盈利，也不保证最低收益。基金管理人提醒投资者基金投资的“买者自负”原则，在作出投资决策后，基金运营状况与基金净值变化引致的投资风险，由投资者自行承担。</w:t>
      </w:r>
    </w:p>
    <w:p>
      <w:pPr>
        <w:pStyle w:val="163"/>
        <w:rPr>
          <w:rFonts w:ascii="宋体" w:hAnsi="宋体"/>
        </w:rPr>
        <w:sectPr>
          <w:pgSz w:w="11906" w:h="16838"/>
          <w:pgMar w:top="1440" w:right="1800" w:bottom="1440" w:left="1800" w:header="851" w:footer="992" w:gutter="0"/>
          <w:pgNumType w:start="0"/>
          <w:cols w:space="425" w:num="1"/>
          <w:titlePg/>
          <w:docGrid w:type="lines" w:linePitch="312" w:charSpace="0"/>
        </w:sectPr>
      </w:pPr>
    </w:p>
    <w:p>
      <w:pPr>
        <w:snapToGrid w:val="0"/>
        <w:spacing w:line="360" w:lineRule="auto"/>
        <w:jc w:val="center"/>
        <w:rPr>
          <w:sz w:val="32"/>
        </w:rPr>
      </w:pPr>
      <w:r>
        <w:rPr>
          <w:sz w:val="32"/>
          <w:lang w:val="zh-CN"/>
        </w:rPr>
        <w:t>目</w:t>
      </w:r>
      <w:r>
        <w:rPr>
          <w:rFonts w:hint="eastAsia"/>
          <w:sz w:val="32"/>
          <w:lang w:val="zh-CN"/>
        </w:rPr>
        <w:t xml:space="preserve"> </w:t>
      </w:r>
      <w:r>
        <w:rPr>
          <w:sz w:val="32"/>
          <w:lang w:val="zh-CN"/>
        </w:rPr>
        <w:t>录</w:t>
      </w:r>
    </w:p>
    <w:p>
      <w:pPr>
        <w:pStyle w:val="36"/>
        <w:spacing w:line="360" w:lineRule="auto"/>
        <w:rPr>
          <w:rFonts w:asciiTheme="minorHAnsi" w:hAnsiTheme="minorHAnsi" w:eastAsiaTheme="minorEastAsia" w:cstheme="minorBidi"/>
          <w:szCs w:val="22"/>
        </w:rPr>
      </w:pPr>
      <w:r>
        <w:rPr>
          <w:rFonts w:asciiTheme="minorEastAsia" w:hAnsiTheme="minorEastAsia" w:eastAsiaTheme="minorEastAsia"/>
        </w:rPr>
        <w:fldChar w:fldCharType="begin"/>
      </w:r>
      <w:r>
        <w:rPr>
          <w:rFonts w:asciiTheme="minorEastAsia" w:hAnsiTheme="minorEastAsia" w:eastAsiaTheme="minorEastAsia"/>
        </w:rPr>
        <w:instrText xml:space="preserve"> TOC \o "1-3" \h \z \u </w:instrText>
      </w:r>
      <w:r>
        <w:rPr>
          <w:rFonts w:asciiTheme="minorEastAsia" w:hAnsiTheme="minorEastAsia" w:eastAsiaTheme="minorEastAsia"/>
        </w:rPr>
        <w:fldChar w:fldCharType="separate"/>
      </w:r>
      <w:r>
        <w:fldChar w:fldCharType="begin"/>
      </w:r>
      <w:r>
        <w:instrText xml:space="preserve"> HYPERLINK \l "_Toc92740284" </w:instrText>
      </w:r>
      <w:r>
        <w:fldChar w:fldCharType="separate"/>
      </w:r>
      <w:r>
        <w:rPr>
          <w:rStyle w:val="49"/>
        </w:rPr>
        <w:t>第一部分</w:t>
      </w:r>
      <w:r>
        <w:rPr>
          <w:rFonts w:asciiTheme="minorHAnsi" w:hAnsiTheme="minorHAnsi" w:eastAsiaTheme="minorEastAsia" w:cstheme="minorBidi"/>
          <w:szCs w:val="22"/>
        </w:rPr>
        <w:tab/>
      </w:r>
      <w:r>
        <w:rPr>
          <w:rStyle w:val="49"/>
        </w:rPr>
        <w:t>绪言</w:t>
      </w:r>
      <w:r>
        <w:tab/>
      </w:r>
      <w:r>
        <w:t>1</w:t>
      </w:r>
      <w:r>
        <w:rPr>
          <w:rFonts w:hint="eastAsia"/>
        </w:rPr>
        <w:t>-</w:t>
      </w:r>
      <w:r>
        <w:fldChar w:fldCharType="begin"/>
      </w:r>
      <w:r>
        <w:instrText xml:space="preserve"> PAGEREF _Toc92740284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"_Toc92740285" </w:instrText>
      </w:r>
      <w:r>
        <w:fldChar w:fldCharType="separate"/>
      </w:r>
      <w:r>
        <w:rPr>
          <w:rStyle w:val="49"/>
        </w:rPr>
        <w:t>第二部分</w:t>
      </w:r>
      <w:r>
        <w:rPr>
          <w:rFonts w:asciiTheme="minorHAnsi" w:hAnsiTheme="minorHAnsi" w:eastAsiaTheme="minorEastAsia" w:cstheme="minorBidi"/>
          <w:szCs w:val="22"/>
        </w:rPr>
        <w:tab/>
      </w:r>
      <w:r>
        <w:rPr>
          <w:rStyle w:val="49"/>
        </w:rPr>
        <w:t>释义</w:t>
      </w:r>
      <w:r>
        <w:tab/>
      </w:r>
      <w:r>
        <w:t>2</w:t>
      </w:r>
      <w:r>
        <w:rPr>
          <w:rFonts w:hint="eastAsia"/>
        </w:rPr>
        <w:t>-</w:t>
      </w:r>
      <w:r>
        <w:fldChar w:fldCharType="begin"/>
      </w:r>
      <w:r>
        <w:instrText xml:space="preserve"> PAGEREF _Toc92740285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"_Toc92740286" </w:instrText>
      </w:r>
      <w:r>
        <w:fldChar w:fldCharType="separate"/>
      </w:r>
      <w:r>
        <w:rPr>
          <w:rStyle w:val="49"/>
        </w:rPr>
        <w:t>第三部分</w:t>
      </w:r>
      <w:r>
        <w:rPr>
          <w:rFonts w:asciiTheme="minorHAnsi" w:hAnsiTheme="minorHAnsi" w:eastAsiaTheme="minorEastAsia" w:cstheme="minorBidi"/>
          <w:szCs w:val="22"/>
        </w:rPr>
        <w:tab/>
      </w:r>
      <w:r>
        <w:rPr>
          <w:rStyle w:val="49"/>
        </w:rPr>
        <w:t>基金管理人</w:t>
      </w:r>
      <w:r>
        <w:tab/>
      </w:r>
      <w:r>
        <w:t>3</w:t>
      </w:r>
      <w:r>
        <w:rPr>
          <w:rFonts w:hint="eastAsia"/>
        </w:rPr>
        <w:t>-</w:t>
      </w:r>
      <w:r>
        <w:fldChar w:fldCharType="begin"/>
      </w:r>
      <w:r>
        <w:instrText xml:space="preserve"> PAGEREF _Toc92740286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"_Toc92740287" </w:instrText>
      </w:r>
      <w:r>
        <w:fldChar w:fldCharType="separate"/>
      </w:r>
      <w:r>
        <w:rPr>
          <w:rStyle w:val="49"/>
        </w:rPr>
        <w:t>第四部分</w:t>
      </w:r>
      <w:r>
        <w:rPr>
          <w:rFonts w:asciiTheme="minorHAnsi" w:hAnsiTheme="minorHAnsi" w:eastAsiaTheme="minorEastAsia" w:cstheme="minorBidi"/>
          <w:szCs w:val="22"/>
        </w:rPr>
        <w:tab/>
      </w:r>
      <w:r>
        <w:rPr>
          <w:rStyle w:val="49"/>
        </w:rPr>
        <w:t>基金托管人</w:t>
      </w:r>
      <w:r>
        <w:tab/>
      </w:r>
      <w:r>
        <w:t>4</w:t>
      </w:r>
      <w:r>
        <w:rPr>
          <w:rFonts w:hint="eastAsia"/>
        </w:rPr>
        <w:t>-</w:t>
      </w:r>
      <w:r>
        <w:fldChar w:fldCharType="begin"/>
      </w:r>
      <w:r>
        <w:instrText xml:space="preserve"> PAGEREF _Toc92740287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"_Toc92740288" </w:instrText>
      </w:r>
      <w:r>
        <w:fldChar w:fldCharType="separate"/>
      </w:r>
      <w:r>
        <w:rPr>
          <w:rStyle w:val="49"/>
        </w:rPr>
        <w:t>第五部分</w:t>
      </w:r>
      <w:r>
        <w:rPr>
          <w:rFonts w:asciiTheme="minorHAnsi" w:hAnsiTheme="minorHAnsi" w:eastAsiaTheme="minorEastAsia" w:cstheme="minorBidi"/>
          <w:szCs w:val="22"/>
        </w:rPr>
        <w:tab/>
      </w:r>
      <w:r>
        <w:rPr>
          <w:rStyle w:val="49"/>
        </w:rPr>
        <w:t>相关服务机构</w:t>
      </w:r>
      <w:r>
        <w:tab/>
      </w:r>
      <w:r>
        <w:t>5</w:t>
      </w:r>
      <w:r>
        <w:rPr>
          <w:rFonts w:hint="eastAsia"/>
        </w:rPr>
        <w:t>-</w:t>
      </w:r>
      <w:r>
        <w:fldChar w:fldCharType="begin"/>
      </w:r>
      <w:r>
        <w:instrText xml:space="preserve"> PAGEREF _Toc92740288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"_Toc92740289" </w:instrText>
      </w:r>
      <w:r>
        <w:fldChar w:fldCharType="separate"/>
      </w:r>
      <w:r>
        <w:rPr>
          <w:rStyle w:val="49"/>
        </w:rPr>
        <w:t>第六部分</w:t>
      </w:r>
      <w:r>
        <w:rPr>
          <w:rFonts w:asciiTheme="minorHAnsi" w:hAnsiTheme="minorHAnsi" w:eastAsiaTheme="minorEastAsia" w:cstheme="minorBidi"/>
          <w:szCs w:val="22"/>
        </w:rPr>
        <w:tab/>
      </w:r>
      <w:r>
        <w:rPr>
          <w:rStyle w:val="49"/>
        </w:rPr>
        <w:t>基金的发售</w:t>
      </w:r>
      <w:r>
        <w:tab/>
      </w:r>
      <w:r>
        <w:t>6</w:t>
      </w:r>
      <w:r>
        <w:rPr>
          <w:rFonts w:hint="eastAsia"/>
        </w:rPr>
        <w:t>-</w:t>
      </w:r>
      <w:r>
        <w:fldChar w:fldCharType="begin"/>
      </w:r>
      <w:r>
        <w:instrText xml:space="preserve"> PAGEREF _Toc92740289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"_Toc92740290" </w:instrText>
      </w:r>
      <w:r>
        <w:fldChar w:fldCharType="separate"/>
      </w:r>
      <w:r>
        <w:rPr>
          <w:rStyle w:val="49"/>
        </w:rPr>
        <w:t>第七部分</w:t>
      </w:r>
      <w:r>
        <w:rPr>
          <w:rFonts w:asciiTheme="minorHAnsi" w:hAnsiTheme="minorHAnsi" w:eastAsiaTheme="minorEastAsia" w:cstheme="minorBidi"/>
          <w:szCs w:val="22"/>
        </w:rPr>
        <w:tab/>
      </w:r>
      <w:r>
        <w:rPr>
          <w:rStyle w:val="49"/>
        </w:rPr>
        <w:t>基金合同的生效</w:t>
      </w:r>
      <w:r>
        <w:tab/>
      </w:r>
      <w:r>
        <w:t>7</w:t>
      </w:r>
      <w:r>
        <w:rPr>
          <w:rFonts w:hint="eastAsia"/>
        </w:rPr>
        <w:t>-</w:t>
      </w:r>
      <w:r>
        <w:fldChar w:fldCharType="begin"/>
      </w:r>
      <w:r>
        <w:instrText xml:space="preserve"> PAGEREF _Toc92740290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"_Toc92740291" </w:instrText>
      </w:r>
      <w:r>
        <w:fldChar w:fldCharType="separate"/>
      </w:r>
      <w:r>
        <w:rPr>
          <w:rStyle w:val="49"/>
        </w:rPr>
        <w:t>第八部分</w:t>
      </w:r>
      <w:r>
        <w:rPr>
          <w:rFonts w:asciiTheme="minorHAnsi" w:hAnsiTheme="minorHAnsi" w:eastAsiaTheme="minorEastAsia" w:cstheme="minorBidi"/>
          <w:szCs w:val="22"/>
        </w:rPr>
        <w:tab/>
      </w:r>
      <w:r>
        <w:rPr>
          <w:rStyle w:val="49"/>
        </w:rPr>
        <w:t>基金份额的申购赎回</w:t>
      </w:r>
      <w:r>
        <w:tab/>
      </w:r>
      <w:r>
        <w:t>8</w:t>
      </w:r>
      <w:r>
        <w:rPr>
          <w:rFonts w:hint="eastAsia"/>
        </w:rPr>
        <w:t>-</w:t>
      </w:r>
      <w:r>
        <w:fldChar w:fldCharType="begin"/>
      </w:r>
      <w:r>
        <w:instrText xml:space="preserve"> PAGEREF _Toc92740291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"_Toc92740292" </w:instrText>
      </w:r>
      <w:r>
        <w:fldChar w:fldCharType="separate"/>
      </w:r>
      <w:r>
        <w:rPr>
          <w:rStyle w:val="49"/>
        </w:rPr>
        <w:t>第九部分</w:t>
      </w:r>
      <w:r>
        <w:rPr>
          <w:rFonts w:asciiTheme="minorHAnsi" w:hAnsiTheme="minorHAnsi" w:eastAsiaTheme="minorEastAsia" w:cstheme="minorBidi"/>
          <w:szCs w:val="22"/>
        </w:rPr>
        <w:tab/>
      </w:r>
      <w:r>
        <w:rPr>
          <w:rStyle w:val="49"/>
        </w:rPr>
        <w:t>基金的投资</w:t>
      </w:r>
      <w:r>
        <w:tab/>
      </w:r>
      <w:r>
        <w:t>9</w:t>
      </w:r>
      <w:r>
        <w:rPr>
          <w:rFonts w:hint="eastAsia"/>
        </w:rPr>
        <w:t>-</w:t>
      </w:r>
      <w:r>
        <w:fldChar w:fldCharType="begin"/>
      </w:r>
      <w:r>
        <w:instrText xml:space="preserve"> PAGEREF _Toc92740292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"_Toc92740293" </w:instrText>
      </w:r>
      <w:r>
        <w:fldChar w:fldCharType="separate"/>
      </w:r>
      <w:r>
        <w:rPr>
          <w:rStyle w:val="49"/>
        </w:rPr>
        <w:t>第十部分</w:t>
      </w:r>
      <w:r>
        <w:rPr>
          <w:rFonts w:asciiTheme="minorHAnsi" w:hAnsiTheme="minorHAnsi" w:eastAsiaTheme="minorEastAsia" w:cstheme="minorBidi"/>
          <w:szCs w:val="22"/>
        </w:rPr>
        <w:tab/>
      </w:r>
      <w:r>
        <w:rPr>
          <w:rStyle w:val="49"/>
        </w:rPr>
        <w:t>基金的财产</w:t>
      </w:r>
      <w:r>
        <w:tab/>
      </w:r>
      <w:r>
        <w:t>10</w:t>
      </w:r>
      <w:r>
        <w:rPr>
          <w:rFonts w:hint="eastAsia"/>
        </w:rPr>
        <w:t>-</w:t>
      </w:r>
      <w:r>
        <w:fldChar w:fldCharType="begin"/>
      </w:r>
      <w:r>
        <w:instrText xml:space="preserve"> PAGEREF _Toc92740293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"_Toc92740294" </w:instrText>
      </w:r>
      <w:r>
        <w:fldChar w:fldCharType="separate"/>
      </w:r>
      <w:r>
        <w:rPr>
          <w:rStyle w:val="49"/>
        </w:rPr>
        <w:t>第十一部分</w:t>
      </w:r>
      <w:r>
        <w:rPr>
          <w:rFonts w:asciiTheme="minorHAnsi" w:hAnsiTheme="minorHAnsi" w:eastAsiaTheme="minorEastAsia" w:cstheme="minorBidi"/>
          <w:szCs w:val="22"/>
        </w:rPr>
        <w:tab/>
      </w:r>
      <w:r>
        <w:rPr>
          <w:rStyle w:val="49"/>
        </w:rPr>
        <w:t>基金资产估值</w:t>
      </w:r>
      <w:r>
        <w:tab/>
      </w:r>
      <w:r>
        <w:t>11</w:t>
      </w:r>
      <w:r>
        <w:rPr>
          <w:rFonts w:hint="eastAsia"/>
        </w:rPr>
        <w:t>-</w:t>
      </w:r>
      <w:r>
        <w:fldChar w:fldCharType="begin"/>
      </w:r>
      <w:r>
        <w:instrText xml:space="preserve"> PAGEREF _Toc92740294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"_Toc92740295" </w:instrText>
      </w:r>
      <w:r>
        <w:fldChar w:fldCharType="separate"/>
      </w:r>
      <w:r>
        <w:rPr>
          <w:rStyle w:val="49"/>
        </w:rPr>
        <w:t>第十二部分</w:t>
      </w:r>
      <w:r>
        <w:rPr>
          <w:rFonts w:asciiTheme="minorHAnsi" w:hAnsiTheme="minorHAnsi" w:eastAsiaTheme="minorEastAsia" w:cstheme="minorBidi"/>
          <w:szCs w:val="22"/>
        </w:rPr>
        <w:tab/>
      </w:r>
      <w:r>
        <w:rPr>
          <w:rStyle w:val="49"/>
        </w:rPr>
        <w:t>基金的收益与分配</w:t>
      </w:r>
      <w:r>
        <w:tab/>
      </w:r>
      <w:r>
        <w:t>12</w:t>
      </w:r>
      <w:r>
        <w:rPr>
          <w:rFonts w:hint="eastAsia"/>
        </w:rPr>
        <w:t>-</w:t>
      </w:r>
      <w:r>
        <w:fldChar w:fldCharType="begin"/>
      </w:r>
      <w:r>
        <w:instrText xml:space="preserve"> PAGEREF _Toc92740295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"_Toc92740296" </w:instrText>
      </w:r>
      <w:r>
        <w:fldChar w:fldCharType="separate"/>
      </w:r>
      <w:r>
        <w:rPr>
          <w:rStyle w:val="49"/>
        </w:rPr>
        <w:t>第十三部分</w:t>
      </w:r>
      <w:r>
        <w:rPr>
          <w:rFonts w:asciiTheme="minorHAnsi" w:hAnsiTheme="minorHAnsi" w:eastAsiaTheme="minorEastAsia" w:cstheme="minorBidi"/>
          <w:szCs w:val="22"/>
        </w:rPr>
        <w:tab/>
      </w:r>
      <w:r>
        <w:rPr>
          <w:rStyle w:val="49"/>
        </w:rPr>
        <w:t>基金的费用与税收</w:t>
      </w:r>
      <w:r>
        <w:tab/>
      </w:r>
      <w:r>
        <w:t>13</w:t>
      </w:r>
      <w:r>
        <w:rPr>
          <w:rFonts w:hint="eastAsia"/>
        </w:rPr>
        <w:t>-</w:t>
      </w:r>
      <w:r>
        <w:fldChar w:fldCharType="begin"/>
      </w:r>
      <w:r>
        <w:instrText xml:space="preserve"> PAGEREF _Toc92740296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"_Toc92740297" </w:instrText>
      </w:r>
      <w:r>
        <w:fldChar w:fldCharType="separate"/>
      </w:r>
      <w:r>
        <w:rPr>
          <w:rStyle w:val="49"/>
        </w:rPr>
        <w:t>第十四部分</w:t>
      </w:r>
      <w:r>
        <w:rPr>
          <w:rFonts w:asciiTheme="minorHAnsi" w:hAnsiTheme="minorHAnsi" w:eastAsiaTheme="minorEastAsia" w:cstheme="minorBidi"/>
          <w:szCs w:val="22"/>
        </w:rPr>
        <w:tab/>
      </w:r>
      <w:r>
        <w:rPr>
          <w:rStyle w:val="49"/>
        </w:rPr>
        <w:t>基金的会计与审计</w:t>
      </w:r>
      <w:r>
        <w:tab/>
      </w:r>
      <w:r>
        <w:t>14</w:t>
      </w:r>
      <w:r>
        <w:rPr>
          <w:rFonts w:hint="eastAsia"/>
        </w:rPr>
        <w:t>-</w:t>
      </w:r>
      <w:r>
        <w:fldChar w:fldCharType="begin"/>
      </w:r>
      <w:r>
        <w:instrText xml:space="preserve"> PAGEREF _Toc92740297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"_Toc92740298" </w:instrText>
      </w:r>
      <w:r>
        <w:fldChar w:fldCharType="separate"/>
      </w:r>
      <w:r>
        <w:rPr>
          <w:rStyle w:val="49"/>
        </w:rPr>
        <w:t>第十五部分</w:t>
      </w:r>
      <w:r>
        <w:rPr>
          <w:rFonts w:asciiTheme="minorHAnsi" w:hAnsiTheme="minorHAnsi" w:eastAsiaTheme="minorEastAsia" w:cstheme="minorBidi"/>
          <w:szCs w:val="22"/>
        </w:rPr>
        <w:tab/>
      </w:r>
      <w:r>
        <w:rPr>
          <w:rStyle w:val="49"/>
        </w:rPr>
        <w:t>基金的信息披露</w:t>
      </w:r>
      <w:r>
        <w:tab/>
      </w:r>
      <w:r>
        <w:t>15</w:t>
      </w:r>
      <w:r>
        <w:rPr>
          <w:rFonts w:hint="eastAsia"/>
        </w:rPr>
        <w:t>-</w:t>
      </w:r>
      <w:r>
        <w:fldChar w:fldCharType="begin"/>
      </w:r>
      <w:r>
        <w:instrText xml:space="preserve"> PAGEREF _Toc92740298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"_Toc92740299" </w:instrText>
      </w:r>
      <w:r>
        <w:fldChar w:fldCharType="separate"/>
      </w:r>
      <w:r>
        <w:rPr>
          <w:rStyle w:val="49"/>
        </w:rPr>
        <w:t>第十六部分</w:t>
      </w:r>
      <w:r>
        <w:rPr>
          <w:rFonts w:asciiTheme="minorHAnsi" w:hAnsiTheme="minorHAnsi" w:eastAsiaTheme="minorEastAsia" w:cstheme="minorBidi"/>
          <w:szCs w:val="22"/>
        </w:rPr>
        <w:tab/>
      </w:r>
      <w:r>
        <w:rPr>
          <w:rStyle w:val="49"/>
        </w:rPr>
        <w:t>侧袋机制</w:t>
      </w:r>
      <w:r>
        <w:tab/>
      </w:r>
      <w:r>
        <w:t>16</w:t>
      </w:r>
      <w:r>
        <w:rPr>
          <w:rFonts w:hint="eastAsia"/>
        </w:rPr>
        <w:t>-</w:t>
      </w:r>
      <w:r>
        <w:fldChar w:fldCharType="begin"/>
      </w:r>
      <w:r>
        <w:instrText xml:space="preserve"> PAGEREF _Toc92740299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"_Toc92740300" </w:instrText>
      </w:r>
      <w:r>
        <w:fldChar w:fldCharType="separate"/>
      </w:r>
      <w:r>
        <w:rPr>
          <w:rStyle w:val="49"/>
        </w:rPr>
        <w:t>第十七部分</w:t>
      </w:r>
      <w:r>
        <w:rPr>
          <w:rFonts w:asciiTheme="minorHAnsi" w:hAnsiTheme="minorHAnsi" w:eastAsiaTheme="minorEastAsia" w:cstheme="minorBidi"/>
          <w:szCs w:val="22"/>
        </w:rPr>
        <w:tab/>
      </w:r>
      <w:r>
        <w:rPr>
          <w:rStyle w:val="49"/>
        </w:rPr>
        <w:t>风险揭示</w:t>
      </w:r>
      <w:r>
        <w:tab/>
      </w:r>
      <w:r>
        <w:t>17</w:t>
      </w:r>
      <w:r>
        <w:rPr>
          <w:rFonts w:hint="eastAsia"/>
        </w:rPr>
        <w:t>-</w:t>
      </w:r>
      <w:r>
        <w:fldChar w:fldCharType="begin"/>
      </w:r>
      <w:r>
        <w:instrText xml:space="preserve"> PAGEREF _Toc92740300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"_Toc92740301" </w:instrText>
      </w:r>
      <w:r>
        <w:fldChar w:fldCharType="separate"/>
      </w:r>
      <w:r>
        <w:rPr>
          <w:rStyle w:val="49"/>
          <w:rFonts w:ascii="黑体"/>
        </w:rPr>
        <w:t>第十八部分</w:t>
      </w:r>
      <w:r>
        <w:rPr>
          <w:rFonts w:asciiTheme="minorHAnsi" w:hAnsiTheme="minorHAnsi" w:eastAsiaTheme="minorEastAsia" w:cstheme="minorBidi"/>
          <w:szCs w:val="22"/>
        </w:rPr>
        <w:tab/>
      </w:r>
      <w:r>
        <w:rPr>
          <w:rStyle w:val="49"/>
        </w:rPr>
        <w:t>基金合同的变更、终止和基金财产的清算</w:t>
      </w:r>
      <w:r>
        <w:tab/>
      </w:r>
      <w:r>
        <w:t>18</w:t>
      </w:r>
      <w:r>
        <w:rPr>
          <w:rFonts w:hint="eastAsia"/>
        </w:rPr>
        <w:t>-</w:t>
      </w:r>
      <w:r>
        <w:fldChar w:fldCharType="begin"/>
      </w:r>
      <w:r>
        <w:instrText xml:space="preserve"> PAGEREF _Toc92740301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"_Toc92740302" </w:instrText>
      </w:r>
      <w:r>
        <w:fldChar w:fldCharType="separate"/>
      </w:r>
      <w:r>
        <w:rPr>
          <w:rStyle w:val="49"/>
        </w:rPr>
        <w:t>第十九部分</w:t>
      </w:r>
      <w:r>
        <w:rPr>
          <w:rFonts w:asciiTheme="minorHAnsi" w:hAnsiTheme="minorHAnsi" w:eastAsiaTheme="minorEastAsia" w:cstheme="minorBidi"/>
          <w:szCs w:val="22"/>
        </w:rPr>
        <w:tab/>
      </w:r>
      <w:r>
        <w:rPr>
          <w:rStyle w:val="49"/>
        </w:rPr>
        <w:t>基金合同的内容摘要</w:t>
      </w:r>
      <w:r>
        <w:tab/>
      </w:r>
      <w:r>
        <w:t>19</w:t>
      </w:r>
      <w:r>
        <w:rPr>
          <w:rFonts w:hint="eastAsia"/>
        </w:rPr>
        <w:t>-</w:t>
      </w:r>
      <w:r>
        <w:fldChar w:fldCharType="begin"/>
      </w:r>
      <w:r>
        <w:instrText xml:space="preserve"> PAGEREF _Toc92740302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"_Toc92740303" </w:instrText>
      </w:r>
      <w:r>
        <w:fldChar w:fldCharType="separate"/>
      </w:r>
      <w:r>
        <w:rPr>
          <w:rStyle w:val="49"/>
        </w:rPr>
        <w:t>第二十部分</w:t>
      </w:r>
      <w:r>
        <w:rPr>
          <w:rFonts w:asciiTheme="minorHAnsi" w:hAnsiTheme="minorHAnsi" w:eastAsiaTheme="minorEastAsia" w:cstheme="minorBidi"/>
          <w:szCs w:val="22"/>
        </w:rPr>
        <w:tab/>
      </w:r>
      <w:r>
        <w:rPr>
          <w:rStyle w:val="49"/>
        </w:rPr>
        <w:t>基金托管协议的内容摘要</w:t>
      </w:r>
      <w:r>
        <w:tab/>
      </w:r>
      <w:r>
        <w:t>20</w:t>
      </w:r>
      <w:r>
        <w:rPr>
          <w:rFonts w:hint="eastAsia"/>
        </w:rPr>
        <w:t>-</w:t>
      </w:r>
      <w:r>
        <w:fldChar w:fldCharType="begin"/>
      </w:r>
      <w:r>
        <w:instrText xml:space="preserve"> PAGEREF _Toc92740303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"_Toc92740304" </w:instrText>
      </w:r>
      <w:r>
        <w:fldChar w:fldCharType="separate"/>
      </w:r>
      <w:r>
        <w:rPr>
          <w:rStyle w:val="49"/>
          <w:rFonts w:asciiTheme="minorEastAsia" w:hAnsiTheme="minorEastAsia"/>
        </w:rPr>
        <w:t>第二十一部分</w:t>
      </w:r>
      <w:r>
        <w:rPr>
          <w:rFonts w:asciiTheme="minorHAnsi" w:hAnsiTheme="minorHAnsi" w:eastAsiaTheme="minorEastAsia" w:cstheme="minorBidi"/>
          <w:szCs w:val="22"/>
        </w:rPr>
        <w:tab/>
      </w:r>
      <w:r>
        <w:rPr>
          <w:rStyle w:val="49"/>
          <w:rFonts w:asciiTheme="minorEastAsia" w:hAnsiTheme="minorEastAsia"/>
        </w:rPr>
        <w:t>基金份额持有人服务</w:t>
      </w:r>
      <w:r>
        <w:tab/>
      </w:r>
      <w:r>
        <w:t>21</w:t>
      </w:r>
      <w:r>
        <w:rPr>
          <w:rFonts w:hint="eastAsia"/>
        </w:rPr>
        <w:t>-</w:t>
      </w:r>
      <w:r>
        <w:fldChar w:fldCharType="begin"/>
      </w:r>
      <w:r>
        <w:instrText xml:space="preserve"> PAGEREF _Toc92740304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"_Toc92740305" </w:instrText>
      </w:r>
      <w:r>
        <w:fldChar w:fldCharType="separate"/>
      </w:r>
      <w:r>
        <w:rPr>
          <w:rStyle w:val="49"/>
        </w:rPr>
        <w:t>第二十二部分</w:t>
      </w:r>
      <w:r>
        <w:rPr>
          <w:rFonts w:asciiTheme="minorHAnsi" w:hAnsiTheme="minorHAnsi" w:eastAsiaTheme="minorEastAsia" w:cstheme="minorBidi"/>
          <w:szCs w:val="22"/>
        </w:rPr>
        <w:tab/>
      </w:r>
      <w:r>
        <w:rPr>
          <w:rStyle w:val="49"/>
        </w:rPr>
        <w:t>其他应披露事项</w:t>
      </w:r>
      <w:r>
        <w:tab/>
      </w:r>
      <w:r>
        <w:t>22</w:t>
      </w:r>
      <w:r>
        <w:rPr>
          <w:rFonts w:hint="eastAsia"/>
        </w:rPr>
        <w:t>-</w:t>
      </w:r>
      <w:r>
        <w:fldChar w:fldCharType="begin"/>
      </w:r>
      <w:r>
        <w:instrText xml:space="preserve"> PAGEREF _Toc92740305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"_Toc92740306" </w:instrText>
      </w:r>
      <w:r>
        <w:fldChar w:fldCharType="separate"/>
      </w:r>
      <w:r>
        <w:rPr>
          <w:rStyle w:val="49"/>
        </w:rPr>
        <w:t>第二十三部分</w:t>
      </w:r>
      <w:r>
        <w:rPr>
          <w:rFonts w:asciiTheme="minorHAnsi" w:hAnsiTheme="minorHAnsi" w:eastAsiaTheme="minorEastAsia" w:cstheme="minorBidi"/>
          <w:szCs w:val="22"/>
        </w:rPr>
        <w:tab/>
      </w:r>
      <w:r>
        <w:rPr>
          <w:rStyle w:val="49"/>
        </w:rPr>
        <w:t>招募说明书存放及其查阅方式</w:t>
      </w:r>
      <w:r>
        <w:tab/>
      </w:r>
      <w:r>
        <w:t>23</w:t>
      </w:r>
      <w:r>
        <w:rPr>
          <w:rFonts w:hint="eastAsia"/>
        </w:rPr>
        <w:t>-</w:t>
      </w:r>
      <w:r>
        <w:fldChar w:fldCharType="begin"/>
      </w:r>
      <w:r>
        <w:instrText xml:space="preserve"> PAGEREF _Toc92740306 \h </w:instrText>
      </w:r>
      <w:r>
        <w:fldChar w:fldCharType="separate"/>
      </w:r>
      <w:r>
        <w:t>1</w:t>
      </w:r>
      <w:r>
        <w:fldChar w:fldCharType="end"/>
      </w:r>
      <w:r>
        <w:fldChar w:fldCharType="end"/>
      </w:r>
    </w:p>
    <w:p>
      <w:pPr>
        <w:pStyle w:val="36"/>
        <w:spacing w:line="360" w:lineRule="auto"/>
        <w:rPr>
          <w:rFonts w:asciiTheme="minorHAnsi" w:hAnsiTheme="minorHAnsi" w:eastAsiaTheme="minorEastAsia" w:cstheme="minorBidi"/>
          <w:szCs w:val="22"/>
        </w:rPr>
      </w:pPr>
      <w:r>
        <w:fldChar w:fldCharType="begin"/>
      </w:r>
      <w:r>
        <w:instrText xml:space="preserve"> HYPERLINK \l "_Toc92740307" </w:instrText>
      </w:r>
      <w:r>
        <w:fldChar w:fldCharType="separate"/>
      </w:r>
      <w:r>
        <w:rPr>
          <w:rStyle w:val="49"/>
        </w:rPr>
        <w:t>第二十四部分</w:t>
      </w:r>
      <w:r>
        <w:rPr>
          <w:rFonts w:asciiTheme="minorHAnsi" w:hAnsiTheme="minorHAnsi" w:eastAsiaTheme="minorEastAsia" w:cstheme="minorBidi"/>
          <w:szCs w:val="22"/>
        </w:rPr>
        <w:tab/>
      </w:r>
      <w:r>
        <w:rPr>
          <w:rStyle w:val="49"/>
        </w:rPr>
        <w:t>备查文件</w:t>
      </w:r>
      <w:r>
        <w:tab/>
      </w:r>
      <w:r>
        <w:t>24</w:t>
      </w:r>
      <w:r>
        <w:rPr>
          <w:rFonts w:hint="eastAsia"/>
        </w:rPr>
        <w:t>-</w:t>
      </w:r>
      <w:r>
        <w:fldChar w:fldCharType="begin"/>
      </w:r>
      <w:r>
        <w:instrText xml:space="preserve"> PAGEREF _Toc92740307 \h </w:instrText>
      </w:r>
      <w:r>
        <w:fldChar w:fldCharType="separate"/>
      </w:r>
      <w:r>
        <w:t>1</w:t>
      </w:r>
      <w:r>
        <w:fldChar w:fldCharType="end"/>
      </w:r>
      <w:r>
        <w:fldChar w:fldCharType="end"/>
      </w:r>
    </w:p>
    <w:p>
      <w:pPr>
        <w:spacing w:line="360" w:lineRule="auto"/>
      </w:pPr>
      <w:r>
        <w:rPr>
          <w:rFonts w:asciiTheme="minorEastAsia" w:hAnsiTheme="minorEastAsia" w:eastAsiaTheme="minorEastAsia"/>
        </w:rPr>
        <w:fldChar w:fldCharType="end"/>
      </w:r>
    </w:p>
    <w:p>
      <w:pPr>
        <w:pStyle w:val="163"/>
        <w:rPr>
          <w:rFonts w:ascii="宋体" w:hAnsi="宋体"/>
        </w:rPr>
        <w:sectPr>
          <w:pgSz w:w="11906" w:h="16838"/>
          <w:pgMar w:top="1440" w:right="1800" w:bottom="1440" w:left="1800" w:header="851" w:footer="992" w:gutter="0"/>
          <w:pgNumType w:start="0"/>
          <w:cols w:space="425" w:num="1"/>
          <w:titlePg/>
          <w:docGrid w:type="lines" w:linePitch="312" w:charSpace="0"/>
        </w:sectPr>
      </w:pPr>
    </w:p>
    <w:p>
      <w:pPr>
        <w:pStyle w:val="4"/>
        <w:numPr>
          <w:ilvl w:val="0"/>
          <w:numId w:val="25"/>
        </w:numPr>
        <w:snapToGrid w:val="0"/>
        <w:spacing w:before="0" w:after="0" w:line="360" w:lineRule="auto"/>
        <w:jc w:val="center"/>
      </w:pPr>
      <w:bookmarkStart w:id="12" w:name="_Toc362455178"/>
      <w:bookmarkStart w:id="13" w:name="_Toc360794511"/>
      <w:bookmarkStart w:id="14" w:name="_Toc411872023"/>
      <w:bookmarkStart w:id="15" w:name="_Toc360794095"/>
      <w:bookmarkStart w:id="16" w:name="_Toc215629791"/>
      <w:bookmarkStart w:id="17" w:name="_Toc92740284"/>
      <w:bookmarkStart w:id="18" w:name="_Toc350789211"/>
      <w:bookmarkStart w:id="19" w:name="_Toc360793493"/>
      <w:bookmarkStart w:id="20" w:name="_Toc360794403"/>
      <w:bookmarkStart w:id="21" w:name="_Toc375295972"/>
      <w:bookmarkStart w:id="22" w:name="_Toc360793845"/>
      <w:bookmarkStart w:id="23" w:name="_Toc4917378"/>
      <w:bookmarkStart w:id="24" w:name="_Toc79132642"/>
      <w:bookmarkStart w:id="25" w:name="_Toc80103054"/>
      <w:bookmarkStart w:id="26" w:name="_Toc454720091"/>
      <w:bookmarkStart w:id="27" w:name="_Toc73936074"/>
      <w:bookmarkStart w:id="28" w:name="_Toc10604981"/>
      <w:r>
        <w:rPr>
          <w:rFonts w:hint="eastAsia"/>
        </w:rPr>
        <w:t>绪言</w:t>
      </w:r>
      <w:bookmarkEnd w:id="12"/>
      <w:bookmarkEnd w:id="13"/>
      <w:bookmarkEnd w:id="14"/>
      <w:bookmarkEnd w:id="15"/>
      <w:bookmarkEnd w:id="16"/>
      <w:bookmarkEnd w:id="17"/>
      <w:bookmarkEnd w:id="18"/>
      <w:bookmarkEnd w:id="19"/>
      <w:bookmarkEnd w:id="20"/>
      <w:bookmarkEnd w:id="21"/>
      <w:bookmarkEnd w:id="22"/>
    </w:p>
    <w:bookmarkEnd w:id="23"/>
    <w:bookmarkEnd w:id="24"/>
    <w:bookmarkEnd w:id="25"/>
    <w:bookmarkEnd w:id="26"/>
    <w:bookmarkEnd w:id="27"/>
    <w:bookmarkEnd w:id="28"/>
    <w:p>
      <w:pPr>
        <w:pStyle w:val="163"/>
      </w:pPr>
      <w:r>
        <w:rPr>
          <w:rFonts w:hint="eastAsia"/>
        </w:rPr>
        <w:t>《博时中证全指通信设备指数型发起式证券投资基金招募说明书》（以下简称“招募说明书”或“本招募说明书”）依据</w:t>
      </w:r>
      <w:r>
        <w:rPr>
          <w:rFonts w:hint="eastAsia" w:cs="宋体" w:asciiTheme="minorEastAsia" w:hAnsiTheme="minorEastAsia"/>
          <w:kern w:val="0"/>
        </w:rPr>
        <w:t>《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公开募集证券投资基金运作指引第3号——指数基金指引》（以下简称“《指数基金指引》”）</w:t>
      </w:r>
      <w:r>
        <w:rPr>
          <w:rFonts w:hint="eastAsia"/>
        </w:rPr>
        <w:t>以及《博时中证全指通信设备指数型发起式证券投资基金基金合同》（以下简称“《基金合同》”）编写。</w:t>
      </w:r>
    </w:p>
    <w:p>
      <w:pPr>
        <w:pStyle w:val="163"/>
        <w:rPr>
          <w:szCs w:val="23"/>
        </w:rPr>
      </w:pPr>
      <w:r>
        <w:rPr>
          <w:rFonts w:hint="eastAsia"/>
          <w:szCs w:val="23"/>
        </w:rPr>
        <w:t>本招募说明书阐述了</w:t>
      </w:r>
      <w:r>
        <w:rPr>
          <w:rFonts w:hint="eastAsia"/>
        </w:rPr>
        <w:t>博时中证全指通信设备指数型发起式证券投资基金（以下简称“基金”或“本基金”）</w:t>
      </w:r>
      <w:r>
        <w:rPr>
          <w:rFonts w:hint="eastAsia"/>
          <w:szCs w:val="23"/>
        </w:rPr>
        <w:t>的投资目标、策略、风险、费率等与投资人投资决策有关的必要事项，投资人在作出投资决策前应仔细阅读本招募说明书。</w:t>
      </w:r>
    </w:p>
    <w:p>
      <w:pPr>
        <w:pStyle w:val="163"/>
        <w:rPr>
          <w:szCs w:val="23"/>
        </w:rPr>
      </w:pPr>
      <w:r>
        <w:rPr>
          <w:rFonts w:hint="eastAsia"/>
          <w:szCs w:val="23"/>
        </w:rPr>
        <w:t>基金管理人承诺本招募说明书不存在任何虚假记载、误导性陈述或者重大遗漏，并对其真实性、准确性、完整性承担法律责任。</w:t>
      </w:r>
    </w:p>
    <w:p>
      <w:pPr>
        <w:pStyle w:val="163"/>
        <w:rPr>
          <w:szCs w:val="23"/>
        </w:rPr>
      </w:pPr>
      <w:r>
        <w:rPr>
          <w:rFonts w:hint="eastAsia"/>
          <w:szCs w:val="23"/>
        </w:rPr>
        <w:t>本基金是根据本招募说明书所载明的资料申请募集的。本基金管理人没有委托或授权任何其他人提供未在本招募说明书中载明的信息，或对本招募说明书作任何解释或者说明。</w:t>
      </w:r>
    </w:p>
    <w:p>
      <w:pPr>
        <w:snapToGrid w:val="0"/>
        <w:spacing w:line="360" w:lineRule="auto"/>
        <w:ind w:firstLine="420" w:firstLineChars="200"/>
        <w:rPr>
          <w:szCs w:val="23"/>
        </w:rPr>
      </w:pPr>
      <w:r>
        <w:rPr>
          <w:rFonts w:hint="eastAsia"/>
          <w:szCs w:val="23"/>
        </w:rPr>
        <w:t>本招募说明书根据本基金的基金合同编写，并经中国证监会注册。基金合同是约定基金合同当事人之间权利、义务的法律文件。基金投资人自依基金合同取得基金份额，即成为基金份额持有人和本基金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pPr>
        <w:snapToGrid w:val="0"/>
        <w:spacing w:line="360" w:lineRule="auto"/>
        <w:ind w:firstLine="420" w:firstLineChars="200"/>
        <w:rPr>
          <w:color w:val="000000"/>
          <w:szCs w:val="23"/>
        </w:rPr>
        <w:sectPr>
          <w:footerReference r:id="rId3" w:type="firs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29" w:name="_Toc375295973"/>
      <w:bookmarkStart w:id="30" w:name="_Toc92740285"/>
      <w:bookmarkStart w:id="31" w:name="_Toc411872024"/>
      <w:bookmarkStart w:id="32" w:name="_Toc327902623"/>
      <w:bookmarkStart w:id="33" w:name="_Toc369510008"/>
      <w:bookmarkStart w:id="34" w:name="_Toc335899833"/>
      <w:bookmarkStart w:id="35" w:name="_Toc332013110"/>
      <w:bookmarkStart w:id="36" w:name="_Toc336606227"/>
      <w:r>
        <w:rPr>
          <w:rFonts w:hint="eastAsia"/>
        </w:rPr>
        <w:t>释义</w:t>
      </w:r>
      <w:bookmarkEnd w:id="29"/>
      <w:bookmarkEnd w:id="30"/>
      <w:bookmarkEnd w:id="31"/>
      <w:bookmarkEnd w:id="32"/>
      <w:bookmarkEnd w:id="33"/>
      <w:bookmarkEnd w:id="34"/>
      <w:bookmarkEnd w:id="35"/>
      <w:bookmarkEnd w:id="36"/>
    </w:p>
    <w:p>
      <w:pPr>
        <w:pStyle w:val="163"/>
        <w:ind w:left="420" w:firstLine="0" w:firstLineChars="0"/>
        <w:rPr>
          <w:bCs/>
        </w:rPr>
      </w:pPr>
      <w:r>
        <w:t xml:space="preserve">在本招募说明书中，除非文意另有所指，下列词语或简称具有如下含义： </w:t>
      </w:r>
    </w:p>
    <w:p>
      <w:pPr>
        <w:autoSpaceDE w:val="0"/>
        <w:autoSpaceDN w:val="0"/>
        <w:adjustRightInd w:val="0"/>
        <w:spacing w:line="360" w:lineRule="auto"/>
        <w:ind w:firstLine="420" w:firstLineChars="200"/>
        <w:rPr>
          <w:rFonts w:eastAsiaTheme="minorEastAsia"/>
          <w:kern w:val="0"/>
          <w:szCs w:val="21"/>
        </w:rPr>
      </w:pPr>
      <w:r>
        <w:rPr>
          <w:rFonts w:eastAsiaTheme="minorEastAsia"/>
          <w:kern w:val="0"/>
          <w:szCs w:val="21"/>
        </w:rPr>
        <w:t>1、基金或本基金：指博时</w:t>
      </w:r>
      <w:r>
        <w:rPr>
          <w:rFonts w:hint="eastAsia" w:eastAsiaTheme="minorEastAsia"/>
          <w:kern w:val="0"/>
          <w:szCs w:val="21"/>
        </w:rPr>
        <w:t>中证全指通信设备指数</w:t>
      </w:r>
      <w:r>
        <w:rPr>
          <w:rFonts w:eastAsiaTheme="minorEastAsia"/>
          <w:kern w:val="0"/>
          <w:szCs w:val="21"/>
        </w:rPr>
        <w:t>型发起式证券投资基金</w:t>
      </w:r>
    </w:p>
    <w:p>
      <w:pPr>
        <w:autoSpaceDE w:val="0"/>
        <w:autoSpaceDN w:val="0"/>
        <w:adjustRightInd w:val="0"/>
        <w:spacing w:line="360" w:lineRule="auto"/>
        <w:ind w:firstLine="420" w:firstLineChars="200"/>
        <w:rPr>
          <w:rFonts w:eastAsiaTheme="minorEastAsia"/>
          <w:kern w:val="0"/>
          <w:szCs w:val="21"/>
        </w:rPr>
      </w:pPr>
      <w:r>
        <w:rPr>
          <w:rFonts w:eastAsiaTheme="minorEastAsia"/>
          <w:kern w:val="0"/>
          <w:szCs w:val="21"/>
        </w:rPr>
        <w:t>2、基金管理人：指博时基金管理有限公司</w:t>
      </w:r>
    </w:p>
    <w:p>
      <w:pPr>
        <w:autoSpaceDE w:val="0"/>
        <w:autoSpaceDN w:val="0"/>
        <w:adjustRightInd w:val="0"/>
        <w:spacing w:line="360" w:lineRule="auto"/>
        <w:ind w:firstLine="420" w:firstLineChars="200"/>
        <w:rPr>
          <w:rFonts w:eastAsiaTheme="minorEastAsia"/>
          <w:kern w:val="0"/>
          <w:szCs w:val="21"/>
        </w:rPr>
      </w:pPr>
      <w:r>
        <w:rPr>
          <w:rFonts w:eastAsiaTheme="minorEastAsia"/>
          <w:kern w:val="0"/>
          <w:szCs w:val="21"/>
        </w:rPr>
        <w:t>3、基金托管人：指</w:t>
      </w:r>
      <w:r>
        <w:rPr>
          <w:rFonts w:hint="eastAsia" w:eastAsiaTheme="minorEastAsia"/>
          <w:kern w:val="0"/>
          <w:szCs w:val="21"/>
        </w:rPr>
        <w:t>上海银行</w:t>
      </w:r>
      <w:r>
        <w:rPr>
          <w:rFonts w:eastAsiaTheme="minorEastAsia"/>
          <w:kern w:val="0"/>
          <w:szCs w:val="21"/>
        </w:rPr>
        <w:t>股份有限公司</w:t>
      </w:r>
    </w:p>
    <w:p>
      <w:pPr>
        <w:autoSpaceDE w:val="0"/>
        <w:autoSpaceDN w:val="0"/>
        <w:adjustRightInd w:val="0"/>
        <w:spacing w:line="360" w:lineRule="auto"/>
        <w:ind w:firstLine="420" w:firstLineChars="200"/>
        <w:rPr>
          <w:rFonts w:eastAsiaTheme="minorEastAsia"/>
          <w:kern w:val="0"/>
          <w:szCs w:val="21"/>
        </w:rPr>
      </w:pPr>
      <w:r>
        <w:rPr>
          <w:rFonts w:eastAsiaTheme="minorEastAsia"/>
          <w:kern w:val="0"/>
          <w:szCs w:val="21"/>
        </w:rPr>
        <w:t>4、基金合同或《基金合同》：指《博时</w:t>
      </w:r>
      <w:r>
        <w:rPr>
          <w:rFonts w:hint="eastAsia" w:eastAsiaTheme="minorEastAsia"/>
          <w:kern w:val="0"/>
          <w:szCs w:val="21"/>
        </w:rPr>
        <w:t>中证全指通信设备指数</w:t>
      </w:r>
      <w:r>
        <w:rPr>
          <w:rFonts w:eastAsiaTheme="minorEastAsia"/>
          <w:kern w:val="0"/>
          <w:szCs w:val="21"/>
        </w:rPr>
        <w:t>型发起式证券投资基金基金合同》及对基金合同的任何有效修订和补充</w:t>
      </w:r>
    </w:p>
    <w:p>
      <w:pPr>
        <w:autoSpaceDE w:val="0"/>
        <w:autoSpaceDN w:val="0"/>
        <w:adjustRightInd w:val="0"/>
        <w:spacing w:line="360" w:lineRule="auto"/>
        <w:ind w:firstLine="420" w:firstLineChars="200"/>
        <w:rPr>
          <w:rFonts w:eastAsiaTheme="minorEastAsia"/>
          <w:kern w:val="0"/>
          <w:szCs w:val="21"/>
        </w:rPr>
      </w:pPr>
      <w:r>
        <w:rPr>
          <w:rFonts w:eastAsiaTheme="minorEastAsia"/>
          <w:kern w:val="0"/>
          <w:szCs w:val="21"/>
        </w:rPr>
        <w:t>5、托管协议：指基金管理人与基金托管人就本基金签订之《博时</w:t>
      </w:r>
      <w:r>
        <w:rPr>
          <w:rFonts w:hint="eastAsia" w:eastAsiaTheme="minorEastAsia"/>
          <w:kern w:val="0"/>
          <w:szCs w:val="21"/>
        </w:rPr>
        <w:t>中证全指通信设备指数</w:t>
      </w:r>
      <w:r>
        <w:rPr>
          <w:rFonts w:eastAsiaTheme="minorEastAsia"/>
          <w:kern w:val="0"/>
          <w:szCs w:val="21"/>
        </w:rPr>
        <w:t>型发起式证券投资基金托管协议》及对该托管协议的任何有效修订和补充</w:t>
      </w:r>
    </w:p>
    <w:p>
      <w:pPr>
        <w:autoSpaceDE w:val="0"/>
        <w:autoSpaceDN w:val="0"/>
        <w:adjustRightInd w:val="0"/>
        <w:spacing w:line="360" w:lineRule="auto"/>
        <w:ind w:firstLine="420" w:firstLineChars="200"/>
        <w:rPr>
          <w:rFonts w:eastAsiaTheme="minorEastAsia"/>
          <w:kern w:val="0"/>
          <w:szCs w:val="21"/>
        </w:rPr>
      </w:pPr>
      <w:r>
        <w:rPr>
          <w:rFonts w:eastAsiaTheme="minorEastAsia"/>
          <w:kern w:val="0"/>
          <w:szCs w:val="21"/>
        </w:rPr>
        <w:t>6、招募说明书或本招募说明书：指《博时</w:t>
      </w:r>
      <w:r>
        <w:rPr>
          <w:rFonts w:hint="eastAsia" w:eastAsiaTheme="minorEastAsia"/>
          <w:kern w:val="0"/>
          <w:szCs w:val="21"/>
        </w:rPr>
        <w:t>中证全指通信设备指数</w:t>
      </w:r>
      <w:r>
        <w:rPr>
          <w:rFonts w:eastAsiaTheme="minorEastAsia"/>
          <w:kern w:val="0"/>
          <w:szCs w:val="21"/>
        </w:rPr>
        <w:t>型发起式证券投资基金招募说明书》及其更新</w:t>
      </w:r>
    </w:p>
    <w:p>
      <w:pPr>
        <w:autoSpaceDE w:val="0"/>
        <w:autoSpaceDN w:val="0"/>
        <w:adjustRightInd w:val="0"/>
        <w:spacing w:line="360" w:lineRule="auto"/>
        <w:ind w:firstLine="420" w:firstLineChars="200"/>
        <w:rPr>
          <w:rFonts w:eastAsiaTheme="minorEastAsia"/>
          <w:kern w:val="0"/>
          <w:szCs w:val="21"/>
        </w:rPr>
      </w:pPr>
      <w:r>
        <w:rPr>
          <w:rFonts w:eastAsiaTheme="minorEastAsia"/>
          <w:kern w:val="0"/>
          <w:szCs w:val="21"/>
        </w:rPr>
        <w:t>7、基金份额发售公告：指《博时</w:t>
      </w:r>
      <w:r>
        <w:rPr>
          <w:rFonts w:hint="eastAsia" w:eastAsiaTheme="minorEastAsia"/>
          <w:kern w:val="0"/>
          <w:szCs w:val="21"/>
        </w:rPr>
        <w:t>中证全指通信设备指数</w:t>
      </w:r>
      <w:r>
        <w:rPr>
          <w:rFonts w:eastAsiaTheme="minorEastAsia"/>
          <w:kern w:val="0"/>
          <w:szCs w:val="21"/>
        </w:rPr>
        <w:t>型发起式证券投资基金基金份额发售公告》</w:t>
      </w:r>
    </w:p>
    <w:p>
      <w:pPr>
        <w:autoSpaceDE w:val="0"/>
        <w:autoSpaceDN w:val="0"/>
        <w:adjustRightInd w:val="0"/>
        <w:spacing w:line="360" w:lineRule="auto"/>
        <w:ind w:firstLine="420" w:firstLineChars="200"/>
        <w:rPr>
          <w:rFonts w:eastAsiaTheme="minorEastAsia"/>
          <w:kern w:val="0"/>
          <w:szCs w:val="21"/>
        </w:rPr>
      </w:pPr>
      <w:r>
        <w:rPr>
          <w:rFonts w:eastAsiaTheme="minorEastAsia"/>
          <w:kern w:val="0"/>
          <w:szCs w:val="21"/>
        </w:rPr>
        <w:t>8、基金产品资料概要：指《博时</w:t>
      </w:r>
      <w:r>
        <w:rPr>
          <w:rFonts w:hint="eastAsia" w:eastAsiaTheme="minorEastAsia"/>
          <w:kern w:val="0"/>
          <w:szCs w:val="21"/>
        </w:rPr>
        <w:t>中证全指通信设备指数</w:t>
      </w:r>
      <w:r>
        <w:rPr>
          <w:rFonts w:eastAsiaTheme="minorEastAsia"/>
          <w:kern w:val="0"/>
          <w:szCs w:val="21"/>
        </w:rPr>
        <w:t>型发起式证券投资基金基金产品资料概要》及其更新</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9、法律法规：指中国现行有效并公布实施的法律、行政法规、规范性文件、司法解释、行政规章以及其他对基金合同当事人有约束力的决定、决议、通知等</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10、《基金法》：指2003年10月28日经第十届全国人民代表大会常务委员会第五次会议通过，经2012年12月28日第十一届全国人民代表大会常务委员会第30 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11、《销售办法》：指中国证监会2020年8月28日颁布、同年10月1日实施的《公开募集证券投资基金销售机构监督管理办法》及颁布机关对其不时做出的修订</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12、《信息披露办法》：指中国证监会2019年7月26日颁布、同年9月1日实施，并经2020年3月20日中国证监会《关于修改部分证券期货规章的决定》修改的《公开募集证券投资基金信息披露管理办法》及颁布机关对其不时做出的修订</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13、《运作办法》：指中国证监会2014年7月7日颁布、同年8月8日实施的《公开募集证券投资基金运作管理办法》及颁布机关对其不时做出的修订</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14、《流动性风险管理规定》：指中国证监会2017年8月31日颁布、同年10月1日实施的《公开募集开放式证券投资基金流动性风险管理规定》及颁布机关对其不时做出的修订</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15、中国证监会：指中国证券监督管理委员会</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16、银行业监督管理机构：指中国人民银行和/或国家金融监督管理总局</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17、基金合同当事人：指受基金合同约束，根据基金合同享有权利并承担义务的法律主体，包括基金管理人、基金托管人和基金份额持有人</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18、个人投资者：指依据有关法律法规规定可投资于证券投资基金的自然人</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19、机构投资者：指依法可以投资证券投资基金的、在中华人民共和国境内合法登记并存续或经有关政府部门批准设立并存续的企业法人、事业法人、社会团体或其他组织</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合格境外投资者：指符合《合格境外机构投资者和人民币合格境外机构投资者境内证券期货投资管理办法》（及颁布机关对其不时做出的修订）及相关法律法规规定，经中国证监会批准，使用来自境外的资金进行境内证券期货投资的境外机构投资者，包括合格境外机构投资者和人民币合格境外机构投资者</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21、投资人、投资者：指个人投资者、机构投资者、合格境外投资者、发起资金提供方以及法律法规或中国证监会允许购买证券投资基金的其他投资人的合称</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22、基金份额持有人：指依基金合同和招募说明书合法取得基金份额的投资人</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23、基金销售业务：指基金管理人或销售机构宣传推介基金，发售基金份额，办理基金份额的申购、赎回、转换、转托管及定期定额投资等业务</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24、销售机构：指博时基金管理有限公司以及符合《销售办法》和中国证监会规定的其他条件，取得基金销售业务资格并与基金管理人签订了基金销售服务协议，办理基金销售业务的机构</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26、登记机构：指办理登记业务的机构。本基金的登记机构为博时基金管理有限公司</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27、基金账户：指登记机构为投资人开立的、记录其持有的、基金管理人所管理的基金份额余额及其变动情况的账户</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28、基金交易账户：指销售机构为投资人开立的、记录投资人通过该销售机构办理认购、申购、赎回、转换、转托管及定期定额投资等业务而引起的基金份额变动及结余情况的账户</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29、基金合同生效日：指基金募集达到法律法规规定及基金合同规定的条件，基金管理人向中国证监会办理基金备案手续完毕，并获得中国证监会书面确认的日期</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30、基金合同终止日：指基金合同规定的基金合同终止事由出现后，基金财产清算完毕，清算结果报中国证监会备案并予以公告的日期</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31、基金募集期：指自基金份额发售之日起至发售结束之日止的期间，最长不得超过3个月</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32、存续期：指基金合同生效至终止之间的不定期期限</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33、工作日：指上海证券交易所、深圳证券交易所及相关期货交易所的正常交易日</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34、T日：指销售机构在规定时间受理投资人申购、赎回或其他业务申请的开放日</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35、T+n日：指自T日起第n个工作日（不包含T日），n为自然数</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36、开放日：指为投资人办理基金份额申购、赎回或其他业务的工作日</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37、开放时间：指开放日基金接受申购、赎回或其他交易的时间段</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38、《业务规则》：指《博时基金管理有限公司开放式基金业务规则》，是规范基金管理人所管理的开放式证券投资基金登记方面的业务规则，由基金管理人、销售机构和投资人共同遵守</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39、认购：指在基金募集期内，投资人根据基金合同和招募说明书的规定，申请购买基金份额的行为</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40、申购：指基金合同生效后，投资人根据基金合同和招募说明书的规定，申请购买基金份额的行为</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41、赎回：指基金合同生效后，基金份额持有人按基金合同和招募说明书规定的条件，要求将基金份额兑换为现金的行为</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42、基金转换：指基金份额持有人按照基金合同和基金管理人届时有效公告规定的条件，申请将其持有基金管理人管理的、某一基金的基金份额转换为基金管理人管理的其他基金基金份额的行为</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43、转托管：指基金份额持有人在本基金的不同销售机构之间实施的变更所持基金份额销售机构的操作</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44、定期定额投资计划：指投资人通过有关销售机构提出申请，约定每期申购日、扣款金额及扣款方式，由销售机构于每期约定扣款日在投资人指定银行账户内自动完成扣款及受理基金申购申请的一种投资方式</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46、元：指人民币元</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47、基金收益：指基金投资所得红利、股息、债券利息、买卖证券价差、证券持有期间的公允价值变动、银行存款利息、已实现的其他合法收入及因运用基金财产带来的成本和费用的节约</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48、基金资产总值：指基金拥有的各类有价证券、银行存款本息、基金应收款项及其他资产的价值总和</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49、基金资产净值：指基金资产总值减去基金负债后的价值</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50、基金份额净值：指计算日基金资产净值除以计算日基金份额总数</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51、基金资产估值：指计算评估基金资产和负债的价值，以确定基金资产净值和基金份额净值的过程</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52、基金份额分类：指本基金分设两类基金份额：A类基金份额和C类基金份额。两类基金份额分设不同的基金代码，分别计算基金份额净值，计算公式为计算日各类别基金资产净值除以计算日发售在外的该类别基金份额总数</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53、A类基金份额：指在投资者认购、申购时收取认购、申购费用，在赎回时根据持有期限收取赎回费用，但不从本类别基金资产中计提销售服务费的基金份额类别</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54、C类基金份额：指在投资者认购、申购时不收取认购、申购费用，在赎回时根据持有期限收取赎回费用，且从本类别基金资产中计提销售服务费的基金份额类别</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55、销售服务费：指从基金财产中计提的，用于本基金市场推广、销售以及基金份额持有人服务的费用</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56、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57、摆动定价机制：指当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58、转融通证券出借业务：指基金以一定的费率通过证券交易所综合业务平台向中国证券金融股份有限公司（以下简称证券金融公司）出借证券，证券金融公司到期归还所借证券及相应权益补偿并支付费用的业务</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59、规定媒介：指符合中国证监会规定条件的用以进行信息披露的全国性报刊及《信息披露办法》规定的互联网网站（包括基金管理人网站、基金托管人网站、中国证监会基金电子披露网站）等媒介</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60、中国法律：指中华人民共和国法律，就基金合同而言，不包括香港特别行政区、澳门特别行政区和台湾地区法律</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61、不可抗力：指基金合同当事人不能预见、不能避免且不能克服的客观事件</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62、《指数基金指引》：指中国证监会2021年1月22日颁布、同年2月1日实施的《公开募集证券投资基金运作指引第3号——指数基金指引》及颁布机关对其不时做出的修订</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63、发起资金：指基金管理人的股东资金、基金管理人固有资金、基金管理人高级管理人员或基金经理（指基金管理人员工中依法具有基金经理资格者，包括但可能不限于本基金的基金经理，下同）等人员参与认购的资金</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64、发起资金提供方：指以发起资金认购本基金且承诺以发起资金认购的基金份额持有期限不少于3年的基金管理人股东、基金管理人、基金管理人的高级管理人员及基金经理等人员</w:t>
      </w:r>
    </w:p>
    <w:p>
      <w:pPr>
        <w:autoSpaceDE w:val="0"/>
        <w:autoSpaceDN w:val="0"/>
        <w:adjustRightInd w:val="0"/>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65、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pPr>
        <w:autoSpaceDE w:val="0"/>
        <w:autoSpaceDN w:val="0"/>
        <w:adjustRightInd w:val="0"/>
        <w:spacing w:line="360" w:lineRule="auto"/>
        <w:ind w:firstLine="420" w:firstLineChars="200"/>
        <w:rPr>
          <w:rFonts w:cs="宋体" w:asciiTheme="minorEastAsia" w:hAnsiTheme="minorEastAsia" w:eastAsiaTheme="minorEastAsia"/>
          <w:kern w:val="0"/>
          <w:szCs w:val="21"/>
        </w:rPr>
        <w:sectPr>
          <w:footerReference r:id="rId5" w:type="first"/>
          <w:footerReference r:id="rId4" w:type="default"/>
          <w:pgSz w:w="11906" w:h="16838"/>
          <w:pgMar w:top="1440" w:right="1800" w:bottom="1440" w:left="1800" w:header="851" w:footer="992" w:gutter="0"/>
          <w:pgNumType w:start="1"/>
          <w:cols w:space="425" w:num="1"/>
          <w:titlePg/>
          <w:docGrid w:type="lines" w:linePitch="312" w:charSpace="0"/>
        </w:sectPr>
      </w:pPr>
      <w:r>
        <w:rPr>
          <w:rFonts w:hint="eastAsia" w:cs="宋体" w:asciiTheme="minorEastAsia" w:hAnsiTheme="minorEastAsia" w:eastAsiaTheme="minorEastAsia"/>
          <w:kern w:val="0"/>
          <w:szCs w:val="21"/>
        </w:rPr>
        <w:t>66、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pPr>
        <w:pStyle w:val="4"/>
        <w:numPr>
          <w:ilvl w:val="0"/>
          <w:numId w:val="25"/>
        </w:numPr>
        <w:snapToGrid w:val="0"/>
        <w:spacing w:before="0" w:after="0" w:line="360" w:lineRule="auto"/>
        <w:jc w:val="center"/>
      </w:pPr>
      <w:bookmarkStart w:id="37" w:name="_Toc332013111"/>
      <w:bookmarkStart w:id="38" w:name="_Toc327902624"/>
      <w:bookmarkStart w:id="39" w:name="_Toc92740286"/>
      <w:bookmarkStart w:id="40" w:name="_Toc375295974"/>
      <w:bookmarkStart w:id="41" w:name="_Toc336606228"/>
      <w:bookmarkStart w:id="42" w:name="_Toc369510009"/>
      <w:bookmarkStart w:id="43" w:name="_Toc335899834"/>
      <w:bookmarkStart w:id="44" w:name="_Toc411872025"/>
      <w:r>
        <w:rPr>
          <w:rFonts w:hint="eastAsia"/>
        </w:rPr>
        <w:t>基金管理人</w:t>
      </w:r>
      <w:bookmarkEnd w:id="37"/>
      <w:bookmarkEnd w:id="38"/>
      <w:bookmarkEnd w:id="39"/>
      <w:bookmarkEnd w:id="40"/>
      <w:bookmarkEnd w:id="41"/>
      <w:bookmarkEnd w:id="42"/>
      <w:bookmarkEnd w:id="43"/>
      <w:bookmarkEnd w:id="44"/>
    </w:p>
    <w:p>
      <w:pPr>
        <w:widowControl/>
        <w:adjustRightInd w:val="0"/>
        <w:snapToGrid w:val="0"/>
        <w:spacing w:line="360" w:lineRule="auto"/>
        <w:ind w:firstLine="422" w:firstLineChars="200"/>
        <w:rPr>
          <w:b/>
          <w:bCs/>
          <w:kern w:val="0"/>
          <w:szCs w:val="21"/>
        </w:rPr>
      </w:pPr>
      <w:bookmarkStart w:id="45" w:name="_Toc238013747"/>
      <w:bookmarkEnd w:id="45"/>
      <w:bookmarkStart w:id="46" w:name="_Toc408483999"/>
      <w:bookmarkStart w:id="47" w:name="_Toc524923215"/>
      <w:bookmarkStart w:id="48" w:name="_Toc214873593"/>
      <w:r>
        <w:rPr>
          <w:rFonts w:hint="eastAsia"/>
          <w:b/>
          <w:bCs/>
          <w:kern w:val="0"/>
          <w:szCs w:val="21"/>
        </w:rPr>
        <w:t>一、基金管理人概况</w:t>
      </w:r>
    </w:p>
    <w:p>
      <w:pPr>
        <w:widowControl/>
        <w:adjustRightInd w:val="0"/>
        <w:snapToGrid w:val="0"/>
        <w:spacing w:line="360" w:lineRule="auto"/>
        <w:ind w:firstLine="420" w:firstLineChars="200"/>
        <w:rPr>
          <w:rFonts w:hint="eastAsia"/>
          <w:kern w:val="0"/>
          <w:szCs w:val="21"/>
        </w:rPr>
      </w:pPr>
      <w:r>
        <w:rPr>
          <w:rFonts w:hint="eastAsia"/>
          <w:kern w:val="0"/>
          <w:szCs w:val="21"/>
        </w:rPr>
        <w:t>名称：</w:t>
      </w:r>
      <w:r>
        <w:rPr>
          <w:rFonts w:hint="eastAsia"/>
          <w:kern w:val="0"/>
          <w:szCs w:val="21"/>
        </w:rPr>
        <w:tab/>
      </w:r>
      <w:r>
        <w:rPr>
          <w:rFonts w:hint="eastAsia"/>
          <w:kern w:val="0"/>
          <w:szCs w:val="21"/>
        </w:rPr>
        <w:t>博时基金管理有限公司</w:t>
      </w:r>
    </w:p>
    <w:p>
      <w:pPr>
        <w:widowControl/>
        <w:adjustRightInd w:val="0"/>
        <w:snapToGrid w:val="0"/>
        <w:spacing w:line="360" w:lineRule="auto"/>
        <w:ind w:firstLine="420" w:firstLineChars="200"/>
        <w:rPr>
          <w:rFonts w:hint="eastAsia"/>
          <w:kern w:val="0"/>
          <w:szCs w:val="21"/>
        </w:rPr>
      </w:pPr>
      <w:r>
        <w:rPr>
          <w:rFonts w:hint="eastAsia"/>
          <w:kern w:val="0"/>
          <w:szCs w:val="21"/>
        </w:rPr>
        <w:t>住所：</w:t>
      </w:r>
      <w:r>
        <w:rPr>
          <w:rFonts w:hint="eastAsia"/>
          <w:kern w:val="0"/>
          <w:szCs w:val="21"/>
        </w:rPr>
        <w:tab/>
      </w:r>
      <w:r>
        <w:rPr>
          <w:rFonts w:hint="eastAsia"/>
          <w:kern w:val="0"/>
          <w:szCs w:val="21"/>
        </w:rPr>
        <w:t>深圳市福田区莲花街道福新社区益田路5999号基金大厦21层</w:t>
      </w:r>
    </w:p>
    <w:p>
      <w:pPr>
        <w:widowControl/>
        <w:adjustRightInd w:val="0"/>
        <w:snapToGrid w:val="0"/>
        <w:spacing w:line="360" w:lineRule="auto"/>
        <w:ind w:firstLine="420" w:firstLineChars="200"/>
        <w:rPr>
          <w:rFonts w:hint="eastAsia"/>
          <w:kern w:val="0"/>
          <w:szCs w:val="21"/>
        </w:rPr>
      </w:pPr>
      <w:r>
        <w:rPr>
          <w:rFonts w:hint="eastAsia"/>
          <w:kern w:val="0"/>
          <w:szCs w:val="21"/>
        </w:rPr>
        <w:t>办公地址：</w:t>
      </w:r>
      <w:r>
        <w:rPr>
          <w:rFonts w:hint="eastAsia"/>
          <w:kern w:val="0"/>
          <w:szCs w:val="21"/>
        </w:rPr>
        <w:tab/>
      </w:r>
      <w:r>
        <w:rPr>
          <w:rFonts w:hint="eastAsia"/>
          <w:kern w:val="0"/>
          <w:szCs w:val="21"/>
        </w:rPr>
        <w:t>广东省深圳市福田区益田路5999号基金大厦21层</w:t>
      </w:r>
    </w:p>
    <w:p>
      <w:pPr>
        <w:widowControl/>
        <w:adjustRightInd w:val="0"/>
        <w:snapToGrid w:val="0"/>
        <w:spacing w:line="360" w:lineRule="auto"/>
        <w:ind w:firstLine="420" w:firstLineChars="200"/>
        <w:rPr>
          <w:rFonts w:hint="eastAsia"/>
          <w:kern w:val="0"/>
          <w:szCs w:val="21"/>
        </w:rPr>
      </w:pPr>
      <w:r>
        <w:rPr>
          <w:rFonts w:hint="eastAsia"/>
          <w:kern w:val="0"/>
          <w:szCs w:val="21"/>
        </w:rPr>
        <w:t>法定代表人：江向阳</w:t>
      </w:r>
    </w:p>
    <w:p>
      <w:pPr>
        <w:widowControl/>
        <w:adjustRightInd w:val="0"/>
        <w:snapToGrid w:val="0"/>
        <w:spacing w:line="360" w:lineRule="auto"/>
        <w:ind w:firstLine="420" w:firstLineChars="200"/>
        <w:rPr>
          <w:rFonts w:hint="eastAsia"/>
          <w:kern w:val="0"/>
          <w:szCs w:val="21"/>
        </w:rPr>
      </w:pPr>
      <w:r>
        <w:rPr>
          <w:rFonts w:hint="eastAsia"/>
          <w:kern w:val="0"/>
          <w:szCs w:val="21"/>
        </w:rPr>
        <w:t>成立时间：</w:t>
      </w:r>
      <w:r>
        <w:rPr>
          <w:rFonts w:hint="eastAsia"/>
          <w:kern w:val="0"/>
          <w:szCs w:val="21"/>
        </w:rPr>
        <w:tab/>
      </w:r>
      <w:r>
        <w:rPr>
          <w:rFonts w:hint="eastAsia"/>
          <w:kern w:val="0"/>
          <w:szCs w:val="21"/>
        </w:rPr>
        <w:t>1998年7月13日</w:t>
      </w:r>
    </w:p>
    <w:p>
      <w:pPr>
        <w:widowControl/>
        <w:adjustRightInd w:val="0"/>
        <w:snapToGrid w:val="0"/>
        <w:spacing w:line="360" w:lineRule="auto"/>
        <w:ind w:firstLine="420" w:firstLineChars="200"/>
        <w:rPr>
          <w:rFonts w:hint="eastAsia"/>
          <w:kern w:val="0"/>
          <w:szCs w:val="21"/>
        </w:rPr>
      </w:pPr>
      <w:r>
        <w:rPr>
          <w:rFonts w:hint="eastAsia"/>
          <w:kern w:val="0"/>
          <w:szCs w:val="21"/>
        </w:rPr>
        <w:t>注册资本：</w:t>
      </w:r>
      <w:r>
        <w:rPr>
          <w:rFonts w:hint="eastAsia"/>
          <w:kern w:val="0"/>
          <w:szCs w:val="21"/>
        </w:rPr>
        <w:tab/>
      </w:r>
      <w:r>
        <w:rPr>
          <w:rFonts w:hint="eastAsia"/>
          <w:kern w:val="0"/>
          <w:szCs w:val="21"/>
        </w:rPr>
        <w:t>2.5亿元人民币</w:t>
      </w:r>
    </w:p>
    <w:p>
      <w:pPr>
        <w:widowControl/>
        <w:adjustRightInd w:val="0"/>
        <w:snapToGrid w:val="0"/>
        <w:spacing w:line="360" w:lineRule="auto"/>
        <w:ind w:firstLine="420" w:firstLineChars="200"/>
        <w:rPr>
          <w:rFonts w:hint="eastAsia"/>
          <w:kern w:val="0"/>
          <w:szCs w:val="21"/>
        </w:rPr>
      </w:pPr>
      <w:r>
        <w:rPr>
          <w:rFonts w:hint="eastAsia"/>
          <w:kern w:val="0"/>
          <w:szCs w:val="21"/>
        </w:rPr>
        <w:t>存续期间：</w:t>
      </w:r>
      <w:r>
        <w:rPr>
          <w:rFonts w:hint="eastAsia"/>
          <w:kern w:val="0"/>
          <w:szCs w:val="21"/>
        </w:rPr>
        <w:tab/>
      </w:r>
      <w:r>
        <w:rPr>
          <w:rFonts w:hint="eastAsia"/>
          <w:kern w:val="0"/>
          <w:szCs w:val="21"/>
        </w:rPr>
        <w:t>持续经营</w:t>
      </w:r>
    </w:p>
    <w:p>
      <w:pPr>
        <w:widowControl/>
        <w:adjustRightInd w:val="0"/>
        <w:snapToGrid w:val="0"/>
        <w:spacing w:line="360" w:lineRule="auto"/>
        <w:ind w:firstLine="420" w:firstLineChars="200"/>
        <w:rPr>
          <w:rFonts w:hint="eastAsia"/>
          <w:kern w:val="0"/>
          <w:szCs w:val="21"/>
        </w:rPr>
      </w:pPr>
      <w:r>
        <w:rPr>
          <w:rFonts w:hint="eastAsia"/>
          <w:kern w:val="0"/>
          <w:szCs w:val="21"/>
        </w:rPr>
        <w:t>联系人：</w:t>
      </w:r>
      <w:r>
        <w:rPr>
          <w:rFonts w:hint="eastAsia"/>
          <w:kern w:val="0"/>
          <w:szCs w:val="21"/>
        </w:rPr>
        <w:tab/>
      </w:r>
      <w:r>
        <w:rPr>
          <w:rFonts w:hint="eastAsia"/>
          <w:kern w:val="0"/>
          <w:szCs w:val="21"/>
        </w:rPr>
        <w:t>王济帆</w:t>
      </w:r>
    </w:p>
    <w:p>
      <w:pPr>
        <w:widowControl/>
        <w:adjustRightInd w:val="0"/>
        <w:snapToGrid w:val="0"/>
        <w:spacing w:line="360" w:lineRule="auto"/>
        <w:ind w:firstLine="420" w:firstLineChars="200"/>
        <w:rPr>
          <w:rFonts w:hint="eastAsia"/>
          <w:kern w:val="0"/>
          <w:szCs w:val="21"/>
        </w:rPr>
      </w:pPr>
      <w:r>
        <w:rPr>
          <w:rFonts w:hint="eastAsia"/>
          <w:kern w:val="0"/>
          <w:szCs w:val="21"/>
        </w:rPr>
        <w:t>联系电话：（0755）83169999</w:t>
      </w:r>
    </w:p>
    <w:p>
      <w:pPr>
        <w:widowControl/>
        <w:adjustRightInd w:val="0"/>
        <w:snapToGrid w:val="0"/>
        <w:spacing w:line="360" w:lineRule="auto"/>
        <w:ind w:firstLine="420" w:firstLineChars="200"/>
        <w:rPr>
          <w:rFonts w:hint="eastAsia"/>
          <w:kern w:val="0"/>
          <w:szCs w:val="21"/>
        </w:rPr>
      </w:pPr>
      <w:r>
        <w:rPr>
          <w:rFonts w:hint="eastAsia"/>
          <w:kern w:val="0"/>
          <w:szCs w:val="21"/>
        </w:rPr>
        <w:t>博时基金管理有限公司（以下简称“公司”）经中国证监会证监基字[1998]26号文批准设立。目前公司股东为招商证券股份有限公司，持有股份49%；中国长城资产管理公司，持有股份25%；天津港（集团）有限公司，持有股份6％；上海汇华实业有限公司，持有股份12％；上海盛业股权投资基金有限公司，持有股份6％；浙江省国贸集团资产经营有限公司，持有股份2%。注册资本为2.5亿元人民币。</w:t>
      </w:r>
    </w:p>
    <w:p>
      <w:pPr>
        <w:widowControl/>
        <w:adjustRightInd w:val="0"/>
        <w:snapToGrid w:val="0"/>
        <w:spacing w:line="360" w:lineRule="auto"/>
        <w:ind w:firstLine="420" w:firstLineChars="200"/>
        <w:rPr>
          <w:rFonts w:hint="eastAsia"/>
          <w:kern w:val="0"/>
          <w:szCs w:val="21"/>
        </w:rPr>
      </w:pPr>
      <w:r>
        <w:rPr>
          <w:rFonts w:hint="eastAsia"/>
          <w:kern w:val="0"/>
          <w:szCs w:val="21"/>
        </w:rPr>
        <w:t>公司设立了投资决策委员会。投资决策委员会负责指导基金资产的运作、确定基本的投资策略和投资组合的原则。</w:t>
      </w:r>
    </w:p>
    <w:p>
      <w:pPr>
        <w:widowControl/>
        <w:adjustRightInd w:val="0"/>
        <w:snapToGrid w:val="0"/>
        <w:spacing w:line="360" w:lineRule="auto"/>
        <w:ind w:firstLine="420" w:firstLineChars="200"/>
        <w:rPr>
          <w:rFonts w:hint="eastAsia"/>
          <w:kern w:val="0"/>
          <w:szCs w:val="21"/>
        </w:rPr>
      </w:pPr>
      <w:r>
        <w:rPr>
          <w:rFonts w:hint="eastAsia"/>
          <w:kern w:val="0"/>
          <w:szCs w:val="21"/>
        </w:rPr>
        <w:t>公司已经建立健全投资管理制度、风险控制制度、内部监察制度、财务管理制度、人事管理制度、信息披露制度和员工行为准则等公司管理制度体系。</w:t>
      </w:r>
    </w:p>
    <w:p>
      <w:pPr>
        <w:widowControl/>
        <w:adjustRightInd w:val="0"/>
        <w:snapToGrid w:val="0"/>
        <w:spacing w:line="360" w:lineRule="auto"/>
        <w:ind w:firstLine="422" w:firstLineChars="200"/>
        <w:rPr>
          <w:b/>
          <w:bCs/>
          <w:kern w:val="0"/>
          <w:szCs w:val="21"/>
        </w:rPr>
      </w:pPr>
      <w:r>
        <w:rPr>
          <w:rFonts w:hint="eastAsia"/>
          <w:b/>
          <w:bCs/>
          <w:kern w:val="0"/>
          <w:szCs w:val="21"/>
        </w:rPr>
        <w:t>二、主要成员情况</w:t>
      </w:r>
    </w:p>
    <w:p>
      <w:pPr>
        <w:widowControl/>
        <w:adjustRightInd w:val="0"/>
        <w:snapToGrid w:val="0"/>
        <w:spacing w:line="360" w:lineRule="auto"/>
        <w:ind w:firstLine="420" w:firstLineChars="200"/>
        <w:rPr>
          <w:rFonts w:hint="eastAsia"/>
          <w:kern w:val="0"/>
          <w:szCs w:val="21"/>
        </w:rPr>
      </w:pPr>
      <w:r>
        <w:rPr>
          <w:rFonts w:hint="eastAsia"/>
          <w:kern w:val="0"/>
          <w:szCs w:val="21"/>
        </w:rPr>
        <w:t>1、基金管理人董事会成员</w:t>
      </w:r>
    </w:p>
    <w:p>
      <w:pPr>
        <w:widowControl/>
        <w:adjustRightInd w:val="0"/>
        <w:snapToGrid w:val="0"/>
        <w:spacing w:line="360" w:lineRule="auto"/>
        <w:ind w:firstLine="420" w:firstLineChars="200"/>
        <w:rPr>
          <w:rFonts w:hint="eastAsia"/>
          <w:kern w:val="0"/>
          <w:szCs w:val="21"/>
        </w:rPr>
      </w:pPr>
      <w:r>
        <w:rPr>
          <w:rFonts w:hint="eastAsia"/>
          <w:kern w:val="0"/>
          <w:szCs w:val="21"/>
        </w:rPr>
        <w:t>江向阳先生，博士。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1997年8月至2014年12月就职于中国证监会，历任办公厅、党办副主任兼新闻办（网信办）主任；中国证监会办公厅副巡视员；中国证监会深圳专员办处长、副专员；中国证监会期货监管部副处长、处长。2015年1月至7月，任招商局金融集团副总经理、博时基金管理有限公司党委副书记。2015年7月至2020年10月任博时基金管理有限公司总经理。自2020年1月9日至2020年4月15日代为履行博时基金董事长职务。自2020年4月1日起任博时基金管理有限公司党委书记。自2020年4月15日起，任博时基金管理有限公司董事长。自2023年11月10日起，代为履行博时基金管理有限公司总经理职务。</w:t>
      </w:r>
    </w:p>
    <w:p>
      <w:pPr>
        <w:widowControl/>
        <w:adjustRightInd w:val="0"/>
        <w:snapToGrid w:val="0"/>
        <w:spacing w:line="360" w:lineRule="auto"/>
        <w:ind w:firstLine="420" w:firstLineChars="200"/>
        <w:rPr>
          <w:rFonts w:hint="eastAsia"/>
          <w:kern w:val="0"/>
          <w:szCs w:val="21"/>
        </w:rPr>
      </w:pPr>
      <w:r>
        <w:rPr>
          <w:rFonts w:hint="eastAsia"/>
          <w:kern w:val="0"/>
          <w:szCs w:val="21"/>
        </w:rPr>
        <w:t>余志良先生，会计师。本科毕业于厦门大学会计学系，获管理学学士学位，研究生毕业于香港中文大学，获金融工商管理硕士（FMBA）。现任招商局集团有限公司财务部（产权部）副部长。历任招商局蛇口工业区控股股份有限公司董事会秘书、总经理助理、财务管理部总经理，招商局置地有限公司总经理，招商局地产控股股份有限公司厦门公司财务总监、瑞嘉投资实业有限公司财务总监。</w:t>
      </w:r>
    </w:p>
    <w:p>
      <w:pPr>
        <w:widowControl/>
        <w:adjustRightInd w:val="0"/>
        <w:snapToGrid w:val="0"/>
        <w:spacing w:line="360" w:lineRule="auto"/>
        <w:ind w:firstLine="420" w:firstLineChars="200"/>
        <w:rPr>
          <w:rFonts w:hint="eastAsia"/>
          <w:kern w:val="0"/>
          <w:szCs w:val="21"/>
        </w:rPr>
      </w:pPr>
      <w:r>
        <w:rPr>
          <w:rFonts w:hint="eastAsia"/>
          <w:kern w:val="0"/>
          <w:szCs w:val="21"/>
        </w:rPr>
        <w:t>马伯寅先生，博士。分别于1997年7月、2001年7月、2010年1月在北京大学法学院获得法学学士学位、法学硕士学位和法学博士学位。自1997年7月至2004年9月，就职于北京大学团委，分别任干部、宣传部部长、副书记；2004年9月至2014年4月，就职于中国保险监督管理委员会，分别任党委组织部组织处副处级干部、党委组织部组织处副处长、党委组织部组织处处长；2010年3月至2011年8月任中国保险监督管理委员会驻中华保险风险处置工作组成员、广深工作组组长，中华财产保险股份公司党委委员、副总经理。2014年4月至2015年10月任中国保险监督管理委员会青岛监管局党委委员、副局长；2015年10月至2018年9月任中国保险监督管理委员会办公厅副巡视员；2016年8月至2018年9月任深圳市政府副秘书长（挂职）；2018年9月至2019年2月任招商局金融集团有限公司党委委员、副总经理；2018年9月至2022年9月任招商局金融事业群/平台党委委员、执行委员会执行委员（常务）；2022年9月至今招商局金融控股有限公司党委委员、副总经理、首席合规官。</w:t>
      </w:r>
    </w:p>
    <w:p>
      <w:pPr>
        <w:widowControl/>
        <w:adjustRightInd w:val="0"/>
        <w:snapToGrid w:val="0"/>
        <w:spacing w:line="360" w:lineRule="auto"/>
        <w:ind w:firstLine="420" w:firstLineChars="200"/>
        <w:rPr>
          <w:rFonts w:hint="eastAsia"/>
          <w:kern w:val="0"/>
          <w:szCs w:val="21"/>
        </w:rPr>
      </w:pPr>
      <w:r>
        <w:rPr>
          <w:rFonts w:hint="eastAsia"/>
          <w:kern w:val="0"/>
          <w:szCs w:val="21"/>
        </w:rPr>
        <w:t>赵文武先生，中共党员，硕士。1991年10月至2009年4月，于合肥百货大楼股份有限公司任职，历任董事会秘书、董事、总经理助理、副总经理；2009年4月至2010年6月，任合肥百货大楼集团股份有限公司董事、副董事长、党委副书记、总经理；2010年6月至2015年2月，任合肥市国有资产控股有限公司董事、总经理、党委副书记，同时兼任安徽国风集团有限公司、安徽国风塑业股份有限公司党委书记、董事长；2015年2月至2018年2月，任合肥市产业投资控股（集团）有限公司董事、党委副书记、总经理;2019年2月至2021年1月，任长城国融投资管理有限公司董事、党委委员、副总经理；2021年1月至今，任中国长城资产管理股份有限公司资产经营六部副总经理。</w:t>
      </w:r>
    </w:p>
    <w:p>
      <w:pPr>
        <w:widowControl/>
        <w:adjustRightInd w:val="0"/>
        <w:snapToGrid w:val="0"/>
        <w:spacing w:line="360" w:lineRule="auto"/>
        <w:ind w:firstLine="420" w:firstLineChars="200"/>
        <w:rPr>
          <w:rFonts w:hint="eastAsia"/>
          <w:kern w:val="0"/>
          <w:szCs w:val="21"/>
        </w:rPr>
      </w:pPr>
      <w:r>
        <w:rPr>
          <w:rFonts w:hint="eastAsia"/>
          <w:kern w:val="0"/>
          <w:szCs w:val="21"/>
        </w:rPr>
        <w:t>方瓯华先生，复旦大学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上海盛业股权投资基金公司执行董事（法人代表）、上海永泰房地产开发公司总经理等职，负责公司整体运营。2018年，出任博时基金管理公司第七届董事会董事，2021年卸任。自2022年8月起，任博时基金管理有限公司董事。</w:t>
      </w:r>
    </w:p>
    <w:p>
      <w:pPr>
        <w:widowControl/>
        <w:adjustRightInd w:val="0"/>
        <w:snapToGrid w:val="0"/>
        <w:spacing w:line="360" w:lineRule="auto"/>
        <w:ind w:firstLine="420" w:firstLineChars="200"/>
        <w:rPr>
          <w:rFonts w:hint="eastAsia"/>
          <w:kern w:val="0"/>
          <w:szCs w:val="21"/>
        </w:rPr>
      </w:pPr>
      <w:r>
        <w:rPr>
          <w:rFonts w:hint="eastAsia"/>
          <w:kern w:val="0"/>
          <w:szCs w:val="21"/>
        </w:rPr>
        <w:t>姜立军先生，1955年生，会计师，工商管理硕士（MBA）。1974年12月参加工作，历任中国远洋运输总公司财务处科员、中国-坦桑尼亚联合海运服务公司财务部经理、日本中铃海运服务公司财务部经理、中远（英国）公司财务部经理、香港益丰船务公司财务部经理、香港-佛罗伦租箱公司（香港上市公司）副总经理、中远太平洋有限公司（香港上市公司）副总经理、中远日本公司财务部长和营业副本部长、中远集装箱运输有限公司副总会计师等职。2002年8月至2008年7月，任中远航运股份有限公司（A股上市公司）首席执行官、董事。2008年8月至2011年12月，任中远投资（新加坡）有限公司（新加坡上市公司）总裁、董事会副主席、中远控股（新加坡）有限公司总裁；并任新加坡中资企业协会会长。2011年11月至2015年12月，任中国远洋控股股份有限公司执行（A+H上市公司）执行董事、总经理。2012年2月至2015年12月，兼任中国上市公司协会副监事长、天津上市公司协会副会长；2014年9月至2015年12月，兼任中国上市公司协会监事会专业委员会副主任委员。自2017年11月3日起，任博时基金管理有限公司独立董事。</w:t>
      </w:r>
    </w:p>
    <w:p>
      <w:pPr>
        <w:widowControl/>
        <w:adjustRightInd w:val="0"/>
        <w:snapToGrid w:val="0"/>
        <w:spacing w:line="360" w:lineRule="auto"/>
        <w:ind w:firstLine="420" w:firstLineChars="200"/>
        <w:rPr>
          <w:rFonts w:hint="eastAsia"/>
          <w:kern w:val="0"/>
          <w:szCs w:val="21"/>
        </w:rPr>
      </w:pPr>
      <w:r>
        <w:rPr>
          <w:rFonts w:hint="eastAsia"/>
          <w:kern w:val="0"/>
          <w:szCs w:val="21"/>
        </w:rPr>
        <w:t>赵如冰先生，1956年生，教授级高级工程师，国际金融专业经济学硕士研究生。赵如冰先生历任葛洲坝水力发电厂工程师、高级工程师、葛洲坝二江电厂电气分厂主任、书记；1989年7月至1991年10月任葛洲坝至上海正负50万伏超高压直流输电换流站书记兼站长，主持参加了我国第一条直流输电工程的安装调试和运行。1991年10月至1995年12月任厂办公室主任兼外事办公室主任。1995年12月至1999年12月，赵如冰先生任华能南方开发公司党组书记、总经理，兼任中国华能集团董事、深圳南山热电股份有限公司（上市公司代码0037）副董事长、长城证券有限责任公司副董事长、深圳华能电讯有限公司董事长。2000年1月至2004年7月，华能南方公司被国家电力公司重组后，任华能房地产开发公司副总经理，长城证券有限责任公司副董事长。2004年7月至2009年3月，赵如冰先生任华能房地产开发公司党组书记、总经理。2009年12月至2016年8月,赵如冰先生任景顺长城基金管理公司董事长、景顺长城资产管理（深圳）公司董事长兼长城证券公司党委副书记。2016年8月至2020年3月,赵如冰先生任阳光资产管理股份有限公司副董事长；2016年8月至今,任西南证券、百隆东方独立董事，2020年3月至今深圳市深粮控股股份有限公司独立董事。自2017年11月3日起，任博时基金管理有限公司独立董事。</w:t>
      </w:r>
    </w:p>
    <w:p>
      <w:pPr>
        <w:widowControl/>
        <w:adjustRightInd w:val="0"/>
        <w:snapToGrid w:val="0"/>
        <w:spacing w:line="360" w:lineRule="auto"/>
        <w:ind w:firstLine="420" w:firstLineChars="200"/>
        <w:rPr>
          <w:rFonts w:hint="eastAsia"/>
          <w:kern w:val="0"/>
          <w:szCs w:val="21"/>
        </w:rPr>
      </w:pPr>
      <w:r>
        <w:rPr>
          <w:rFonts w:hint="eastAsia"/>
          <w:kern w:val="0"/>
          <w:szCs w:val="21"/>
        </w:rPr>
        <w:t>宋子洲先生，1960年生，中国保险资产管理业协会金融科技委员会主任委员。历任中国人寿保险公司稽核部制度处处长、资金运用部财会监督处处长、资金运用中心副总经理，中国人寿资产管理有限公司风险管理及合规部总监、首席风险官、副总裁。从事保险资金投资管理工作20余年，在保险资产管理公司的投资、运营、风险管理等方面积累了丰富的经验。自2020年12月8日起，任博时基金管理有限公司独立董事。</w:t>
      </w:r>
    </w:p>
    <w:p>
      <w:pPr>
        <w:widowControl/>
        <w:adjustRightInd w:val="0"/>
        <w:snapToGrid w:val="0"/>
        <w:spacing w:line="360" w:lineRule="auto"/>
        <w:ind w:firstLine="420" w:firstLineChars="200"/>
        <w:rPr>
          <w:rFonts w:hint="eastAsia"/>
          <w:kern w:val="0"/>
          <w:szCs w:val="21"/>
        </w:rPr>
      </w:pPr>
      <w:r>
        <w:rPr>
          <w:rFonts w:hint="eastAsia"/>
          <w:kern w:val="0"/>
          <w:szCs w:val="21"/>
        </w:rPr>
        <w:t>2、基金管理人监事会成员</w:t>
      </w:r>
    </w:p>
    <w:p>
      <w:pPr>
        <w:widowControl/>
        <w:adjustRightInd w:val="0"/>
        <w:snapToGrid w:val="0"/>
        <w:spacing w:line="360" w:lineRule="auto"/>
        <w:ind w:firstLine="420" w:firstLineChars="200"/>
        <w:rPr>
          <w:rFonts w:hint="eastAsia"/>
          <w:kern w:val="0"/>
          <w:szCs w:val="21"/>
        </w:rPr>
      </w:pPr>
      <w:r>
        <w:rPr>
          <w:rFonts w:hint="eastAsia"/>
          <w:kern w:val="0"/>
          <w:szCs w:val="21"/>
        </w:rPr>
        <w:t>张日忠先生，硕士，会计师、英国特许会计师。先后在中央财经大学获得学士学位、在TheUniversityofWestminster获得硕士学位。自1991年7月起加入招商局集团，先后任招商局集团财务部文员，副主任、主任、总经理助理，招商局控股（英国）有限公司财务总监，招商局集团财务部副总经理，招商局国际有限公司（招商局港口）财务总监、纪委书记、副总经理、党委副书记，招商局投资发展有限公司总经理、党委书记，招商局资本管理有限责任公司总经理、CEO、党委书记。2021年8月至2024年3月，任招商局投资发展有限公司总经理、2024年3月至今任招商局检测技术控股有限公司党委书记。</w:t>
      </w:r>
    </w:p>
    <w:p>
      <w:pPr>
        <w:widowControl/>
        <w:adjustRightInd w:val="0"/>
        <w:snapToGrid w:val="0"/>
        <w:spacing w:line="360" w:lineRule="auto"/>
        <w:ind w:firstLine="420" w:firstLineChars="200"/>
        <w:rPr>
          <w:rFonts w:hint="eastAsia"/>
          <w:kern w:val="0"/>
          <w:szCs w:val="21"/>
        </w:rPr>
      </w:pPr>
      <w:r>
        <w:rPr>
          <w:rFonts w:hint="eastAsia"/>
          <w:kern w:val="0"/>
          <w:szCs w:val="21"/>
        </w:rPr>
        <w:t>蒋伟先生，硕士。2011年3月至2017年5月就职于中国长城资产管理公司，分别任办公室外事处一级业务员、业务副主管、业务主管。2017年5月至2020年7月就职于长城罗斯基金管理有限公司任行政总监/执行董事。2020年7月至今任中国长城资产管理有限公司资产经营三部副高级经理（处室负责人）。</w:t>
      </w:r>
    </w:p>
    <w:p>
      <w:pPr>
        <w:widowControl/>
        <w:adjustRightInd w:val="0"/>
        <w:snapToGrid w:val="0"/>
        <w:spacing w:line="360" w:lineRule="auto"/>
        <w:ind w:firstLine="420" w:firstLineChars="200"/>
        <w:rPr>
          <w:rFonts w:hint="eastAsia"/>
          <w:kern w:val="0"/>
          <w:szCs w:val="21"/>
        </w:rPr>
      </w:pPr>
      <w:r>
        <w:rPr>
          <w:rFonts w:hint="eastAsia"/>
          <w:kern w:val="0"/>
          <w:szCs w:val="21"/>
        </w:rPr>
        <w:t>赵兴利先生，硕士。1987年至1995年就职于天津港务局计财处。1995年至2012年5月先后任天津港贸易公司财务科科长、天津港（集团）公司委派货运公司会计主管、华夏人寿保险股份有限公司财务部总经理、天津港财务有限公司常务副总经理。2012年5月至2020年6月就职于天津港（集团）有限公司金融事业部副部长，天津港（集团）有限公司计财部副部长。2020年6月至今任天津港（集团）有限公司专职董监事。自2013年3月起，任博时基金管理有限公司监事。</w:t>
      </w:r>
    </w:p>
    <w:p>
      <w:pPr>
        <w:widowControl/>
        <w:adjustRightInd w:val="0"/>
        <w:snapToGrid w:val="0"/>
        <w:spacing w:line="360" w:lineRule="auto"/>
        <w:ind w:firstLine="420" w:firstLineChars="200"/>
        <w:rPr>
          <w:rFonts w:hint="eastAsia"/>
          <w:kern w:val="0"/>
          <w:szCs w:val="21"/>
        </w:rPr>
      </w:pPr>
      <w:r>
        <w:rPr>
          <w:rFonts w:hint="eastAsia"/>
          <w:kern w:val="0"/>
          <w:szCs w:val="21"/>
        </w:rPr>
        <w:t>严斌先生，硕士。1997年7月起先后在华侨城集团公司、博时基金管理有限公司工作。现任博时基金管理有限公司财务部总经理。自2015年5月起，任博时基金管理有限公司监事。</w:t>
      </w:r>
    </w:p>
    <w:p>
      <w:pPr>
        <w:widowControl/>
        <w:adjustRightInd w:val="0"/>
        <w:snapToGrid w:val="0"/>
        <w:spacing w:line="360" w:lineRule="auto"/>
        <w:ind w:firstLine="420" w:firstLineChars="200"/>
        <w:rPr>
          <w:rFonts w:hint="eastAsia"/>
          <w:kern w:val="0"/>
          <w:szCs w:val="21"/>
        </w:rPr>
      </w:pPr>
      <w:r>
        <w:rPr>
          <w:rFonts w:hint="eastAsia"/>
          <w:kern w:val="0"/>
          <w:szCs w:val="21"/>
        </w:rPr>
        <w:t>黄健斌先生，工商管理硕士。1995年起先后在广发证券有限公司、广发基金管理有限责任公司投资管理部、中银国际基金管理有限公司基金管理部工作。2005年加入博时基金管理公司，历任固定收益部基金经理、博时平衡配置混合型基金基金经理、固定收益部副总经理、社保组合投资经理、固定收益部总经理、固定收益总部董事总经理、年金投资部总经理、公司总经理助理。现任公司首席资产配置官兼社保组合投资经理。自2016年3月18日起，担任博时基金管理有限公司监事。</w:t>
      </w:r>
    </w:p>
    <w:p>
      <w:pPr>
        <w:widowControl/>
        <w:adjustRightInd w:val="0"/>
        <w:snapToGrid w:val="0"/>
        <w:spacing w:line="360" w:lineRule="auto"/>
        <w:ind w:firstLine="420" w:firstLineChars="200"/>
        <w:rPr>
          <w:rFonts w:hint="eastAsia"/>
          <w:kern w:val="0"/>
          <w:szCs w:val="21"/>
        </w:rPr>
      </w:pPr>
      <w:r>
        <w:rPr>
          <w:rFonts w:hint="eastAsia"/>
          <w:kern w:val="0"/>
          <w:szCs w:val="21"/>
        </w:rPr>
        <w:t>车宏原先生，工学硕士。1985年至1989年在四川大学计算机系学习，获得学士学位。1989年至1992年在清华大学计算机系学习，获得硕士学位。1992年至1995年深圳市天元金融电子有限公司任技术部负责人，1995年至2000年在中国农业银行总行南方软件开发中心担任副总工程师，2001年至2003年在太极华清信息系统有限公司担任副总经理，2003年至2014年在景顺长城基金管理有限公司担任信息技术总监，2014年至2015年任中财国信（深圳）有限公司总经理，2015年至今担任博时基金管理有限公司信息技术部总经理。</w:t>
      </w:r>
    </w:p>
    <w:p>
      <w:pPr>
        <w:widowControl/>
        <w:adjustRightInd w:val="0"/>
        <w:snapToGrid w:val="0"/>
        <w:spacing w:line="360" w:lineRule="auto"/>
        <w:ind w:firstLine="420" w:firstLineChars="200"/>
        <w:rPr>
          <w:rFonts w:hint="eastAsia"/>
          <w:kern w:val="0"/>
          <w:szCs w:val="21"/>
        </w:rPr>
      </w:pPr>
      <w:r>
        <w:rPr>
          <w:rFonts w:hint="eastAsia"/>
          <w:kern w:val="0"/>
          <w:szCs w:val="21"/>
        </w:rPr>
        <w:t>3、高级管理人员</w:t>
      </w:r>
    </w:p>
    <w:p>
      <w:pPr>
        <w:widowControl/>
        <w:adjustRightInd w:val="0"/>
        <w:snapToGrid w:val="0"/>
        <w:spacing w:line="360" w:lineRule="auto"/>
        <w:ind w:firstLine="420" w:firstLineChars="200"/>
        <w:rPr>
          <w:rFonts w:hint="eastAsia"/>
          <w:kern w:val="0"/>
          <w:szCs w:val="21"/>
        </w:rPr>
      </w:pPr>
      <w:r>
        <w:rPr>
          <w:rFonts w:hint="eastAsia"/>
          <w:kern w:val="0"/>
          <w:szCs w:val="21"/>
        </w:rPr>
        <w:t>江向阳先生，简历同上。</w:t>
      </w:r>
    </w:p>
    <w:p>
      <w:pPr>
        <w:widowControl/>
        <w:adjustRightInd w:val="0"/>
        <w:snapToGrid w:val="0"/>
        <w:spacing w:line="360" w:lineRule="auto"/>
        <w:ind w:firstLine="420" w:firstLineChars="200"/>
        <w:rPr>
          <w:rFonts w:hint="eastAsia"/>
          <w:kern w:val="0"/>
          <w:szCs w:val="21"/>
        </w:rPr>
      </w:pPr>
      <w:r>
        <w:rPr>
          <w:rFonts w:hint="eastAsia"/>
          <w:kern w:val="0"/>
          <w:szCs w:val="21"/>
        </w:rPr>
        <w:t>吴慧峰先生，硕士，副总经理、财务负责人、董事会秘书。1996年至2023年先后在中国南山开发集团股份有限公司、上海诚南房地产开发有限公司、招商局金融集团有限公司、招商证券股份有限公司从事财务、公司管理等工作。2023年加入博时基金管理有限公司，现任公司副总经理、财务负责人、董事会秘书。</w:t>
      </w:r>
    </w:p>
    <w:p>
      <w:pPr>
        <w:widowControl/>
        <w:adjustRightInd w:val="0"/>
        <w:snapToGrid w:val="0"/>
        <w:spacing w:line="360" w:lineRule="auto"/>
        <w:ind w:firstLine="420" w:firstLineChars="200"/>
        <w:rPr>
          <w:rFonts w:hint="eastAsia"/>
          <w:kern w:val="0"/>
          <w:szCs w:val="21"/>
        </w:rPr>
      </w:pPr>
      <w:r>
        <w:rPr>
          <w:rFonts w:hint="eastAsia"/>
          <w:kern w:val="0"/>
          <w:szCs w:val="21"/>
        </w:rPr>
        <w:t>王德英先生，硕士，副总经理。1995年起先后在北京清华计算机公司任开发部经理、清华紫光股份公司CAD与信息事业部任总工程师。2000年加入博时基金管理有限公司，历任行政管理部副经理，电脑部副经理、信息技术部总经理。现任公司副总经理、首席信息官，主管IT、指数与量化投资、养老金、基金零售等工作，兼任博时财富基金销售有限公司董事长、博时资本管理有限公司董事。</w:t>
      </w:r>
    </w:p>
    <w:p>
      <w:pPr>
        <w:widowControl/>
        <w:adjustRightInd w:val="0"/>
        <w:snapToGrid w:val="0"/>
        <w:spacing w:line="360" w:lineRule="auto"/>
        <w:ind w:firstLine="420" w:firstLineChars="200"/>
        <w:rPr>
          <w:rFonts w:hint="eastAsia"/>
          <w:kern w:val="0"/>
          <w:szCs w:val="21"/>
        </w:rPr>
      </w:pPr>
      <w:r>
        <w:rPr>
          <w:rFonts w:hint="eastAsia"/>
          <w:kern w:val="0"/>
          <w:szCs w:val="21"/>
        </w:rPr>
        <w:t>徐卫先生，硕士，副总经理。1993年起先后在深圳市证券管理办公室、中国证监会、摩根士丹利华鑫基金工作。2015年6月加入博时基金管理有限公司，现任公司副总经理，兼博时资本管理有限公司董事、博时财富基金销售有限公司董事。</w:t>
      </w:r>
    </w:p>
    <w:p>
      <w:pPr>
        <w:widowControl/>
        <w:adjustRightInd w:val="0"/>
        <w:snapToGrid w:val="0"/>
        <w:spacing w:line="360" w:lineRule="auto"/>
        <w:ind w:firstLine="420" w:firstLineChars="200"/>
        <w:rPr>
          <w:rFonts w:hint="eastAsia"/>
          <w:kern w:val="0"/>
          <w:szCs w:val="21"/>
        </w:rPr>
      </w:pPr>
      <w:r>
        <w:rPr>
          <w:rFonts w:hint="eastAsia"/>
          <w:kern w:val="0"/>
          <w:szCs w:val="21"/>
        </w:rPr>
        <w:t>孙麒清女士，商法学硕士，督察长。曾供职于广东深港律师事务所。2002年加入博时基金管理有限公司，历任监察法律部法律顾问、监察法律部总经理。现任公司督察长，兼任博时资本管理有限公司副董事长、博时财富基金销售有限公司董事。</w:t>
      </w:r>
    </w:p>
    <w:p>
      <w:pPr>
        <w:widowControl/>
        <w:adjustRightInd w:val="0"/>
        <w:snapToGrid w:val="0"/>
        <w:spacing w:line="360" w:lineRule="auto"/>
        <w:ind w:firstLine="420" w:firstLineChars="200"/>
        <w:rPr>
          <w:rFonts w:hint="eastAsia"/>
          <w:bCs/>
          <w:kern w:val="0"/>
          <w:szCs w:val="21"/>
        </w:rPr>
      </w:pPr>
      <w:r>
        <w:rPr>
          <w:rFonts w:hint="eastAsia"/>
          <w:kern w:val="0"/>
          <w:szCs w:val="21"/>
        </w:rPr>
        <w:t>4、本基金基金经理</w:t>
      </w:r>
    </w:p>
    <w:p>
      <w:pPr>
        <w:widowControl/>
        <w:adjustRightInd w:val="0"/>
        <w:snapToGrid w:val="0"/>
        <w:spacing w:line="360" w:lineRule="auto"/>
        <w:ind w:firstLine="420" w:firstLineChars="200"/>
        <w:rPr>
          <w:rFonts w:hint="eastAsia"/>
          <w:bCs/>
          <w:kern w:val="0"/>
          <w:szCs w:val="21"/>
        </w:rPr>
      </w:pPr>
      <w:r>
        <w:rPr>
          <w:rFonts w:hint="eastAsia"/>
          <w:bCs/>
          <w:kern w:val="0"/>
          <w:szCs w:val="21"/>
        </w:rPr>
        <w:t>李庆阳先生，硕士。2010年从华南理工大学硕士研究生毕业后加入博时基金管理有限公司，历任高级程序员、高级系统运维经理。2016年调任博时资本，任投资经理。2018年再次加入博时基金管理有限公司。现任博时上证超级大盘交易型开放式指数证券投资基金联接基金(2024年2月2日—至今)、上证超级大盘交易型开放式指数证券投资基金(2024年2月2日—至今)、博时创业板指数证券投资基金(2024年2月2日—至今)、博时中证港股通互联网交易型开放式指数证券投资基金(2024年2月8日—至今)、博时中证传媒指数型发起式证券投资基金(2024年3月5日—至今)的基金经理。</w:t>
      </w:r>
    </w:p>
    <w:p>
      <w:pPr>
        <w:widowControl/>
        <w:adjustRightInd w:val="0"/>
        <w:snapToGrid w:val="0"/>
        <w:spacing w:line="360" w:lineRule="auto"/>
        <w:ind w:firstLine="420" w:firstLineChars="200"/>
        <w:rPr>
          <w:rFonts w:hint="eastAsia"/>
          <w:bCs/>
          <w:kern w:val="0"/>
          <w:szCs w:val="21"/>
        </w:rPr>
      </w:pPr>
      <w:r>
        <w:rPr>
          <w:rFonts w:hint="eastAsia"/>
          <w:bCs/>
          <w:kern w:val="0"/>
          <w:szCs w:val="21"/>
        </w:rPr>
        <w:t>5、投资决策委员会成员</w:t>
      </w:r>
    </w:p>
    <w:p>
      <w:pPr>
        <w:widowControl/>
        <w:adjustRightInd w:val="0"/>
        <w:snapToGrid w:val="0"/>
        <w:spacing w:line="360" w:lineRule="auto"/>
        <w:ind w:firstLine="420" w:firstLineChars="200"/>
        <w:rPr>
          <w:rFonts w:hint="eastAsia"/>
          <w:bCs/>
          <w:kern w:val="0"/>
          <w:szCs w:val="21"/>
        </w:rPr>
      </w:pPr>
      <w:r>
        <w:rPr>
          <w:rFonts w:hint="eastAsia"/>
          <w:bCs/>
          <w:kern w:val="0"/>
          <w:szCs w:val="21"/>
        </w:rPr>
        <w:t>公司董事长江向阳先生。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公司首席资产配置官黄健斌先生。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公司投资决策委员会专职委员于善辉先生。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公司首席基金经理过钧先生。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公司首席投资官兼权益投研一体化总监、权益投资四部总经理、境外投资部总经理曾鹏先生。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权益投资三部总经理兼权益投资三部投资总监蔡滨先生。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董事总经理兼年金投资部总经理、年金投资部投资总监杨帆先生。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行业研究部总经理魏立先生。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宏观策略部总经理兼行业研究部研究总监金晟哲先生。</w:t>
      </w:r>
    </w:p>
    <w:p>
      <w:pPr>
        <w:widowControl/>
        <w:adjustRightInd w:val="0"/>
        <w:snapToGrid w:val="0"/>
        <w:spacing w:line="360" w:lineRule="auto"/>
        <w:ind w:firstLine="420" w:firstLineChars="200"/>
        <w:rPr>
          <w:rFonts w:hint="eastAsia"/>
          <w:bCs/>
          <w:kern w:val="0"/>
          <w:szCs w:val="21"/>
        </w:rPr>
      </w:pPr>
      <w:r>
        <w:rPr>
          <w:rFonts w:hint="eastAsia"/>
          <w:bCs/>
          <w:kern w:val="0"/>
          <w:szCs w:val="21"/>
        </w:rPr>
        <w:t>指数与量化投资部投资总监赵云阳先生。</w:t>
      </w:r>
    </w:p>
    <w:p>
      <w:pPr>
        <w:widowControl/>
        <w:adjustRightInd w:val="0"/>
        <w:snapToGrid w:val="0"/>
        <w:spacing w:line="360" w:lineRule="auto"/>
        <w:ind w:firstLine="420" w:firstLineChars="200"/>
        <w:rPr>
          <w:b/>
          <w:kern w:val="0"/>
          <w:szCs w:val="21"/>
        </w:rPr>
      </w:pPr>
      <w:r>
        <w:rPr>
          <w:rFonts w:hint="eastAsia"/>
          <w:bCs/>
          <w:kern w:val="0"/>
          <w:szCs w:val="21"/>
        </w:rPr>
        <w:t>6、上述人员之间均不存在近亲属关系。</w:t>
      </w:r>
    </w:p>
    <w:p>
      <w:pPr>
        <w:widowControl/>
        <w:adjustRightInd w:val="0"/>
        <w:snapToGrid w:val="0"/>
        <w:spacing w:line="360" w:lineRule="auto"/>
        <w:ind w:firstLine="422" w:firstLineChars="200"/>
        <w:rPr>
          <w:b/>
          <w:kern w:val="0"/>
          <w:szCs w:val="21"/>
        </w:rPr>
      </w:pPr>
      <w:r>
        <w:rPr>
          <w:b/>
          <w:kern w:val="0"/>
          <w:szCs w:val="21"/>
        </w:rPr>
        <w:t>三、基金管理人的职责</w:t>
      </w:r>
    </w:p>
    <w:p>
      <w:pPr>
        <w:widowControl/>
        <w:adjustRightInd w:val="0"/>
        <w:snapToGrid w:val="0"/>
        <w:spacing w:line="360" w:lineRule="auto"/>
        <w:ind w:firstLine="420" w:firstLineChars="200"/>
        <w:rPr>
          <w:kern w:val="0"/>
          <w:szCs w:val="21"/>
        </w:rPr>
      </w:pPr>
      <w:r>
        <w:rPr>
          <w:kern w:val="0"/>
          <w:szCs w:val="21"/>
        </w:rPr>
        <w:t>1、依法募集资金，办理或者委托经中国证监会认定的其他机构代为办理基金份额的发售、申购、赎回和登记事宜；</w:t>
      </w:r>
    </w:p>
    <w:p>
      <w:pPr>
        <w:widowControl/>
        <w:adjustRightInd w:val="0"/>
        <w:snapToGrid w:val="0"/>
        <w:spacing w:line="360" w:lineRule="auto"/>
        <w:ind w:firstLine="420" w:firstLineChars="200"/>
        <w:rPr>
          <w:kern w:val="0"/>
          <w:szCs w:val="21"/>
        </w:rPr>
      </w:pPr>
      <w:r>
        <w:rPr>
          <w:kern w:val="0"/>
          <w:szCs w:val="21"/>
        </w:rPr>
        <w:t>2、办理基金备案手续；</w:t>
      </w:r>
    </w:p>
    <w:p>
      <w:pPr>
        <w:widowControl/>
        <w:adjustRightInd w:val="0"/>
        <w:snapToGrid w:val="0"/>
        <w:spacing w:line="360" w:lineRule="auto"/>
        <w:ind w:firstLine="420" w:firstLineChars="200"/>
        <w:rPr>
          <w:kern w:val="0"/>
          <w:szCs w:val="21"/>
        </w:rPr>
      </w:pPr>
      <w:r>
        <w:rPr>
          <w:kern w:val="0"/>
          <w:szCs w:val="21"/>
        </w:rPr>
        <w:t>3、自《基金合同》生效之日起，以诚实信用、谨慎勤勉的原则管理和运用基金财产；</w:t>
      </w:r>
    </w:p>
    <w:p>
      <w:pPr>
        <w:widowControl/>
        <w:adjustRightInd w:val="0"/>
        <w:snapToGrid w:val="0"/>
        <w:spacing w:line="360" w:lineRule="auto"/>
        <w:ind w:firstLine="420" w:firstLineChars="200"/>
        <w:rPr>
          <w:kern w:val="0"/>
          <w:szCs w:val="21"/>
        </w:rPr>
      </w:pPr>
      <w:r>
        <w:rPr>
          <w:kern w:val="0"/>
          <w:szCs w:val="21"/>
        </w:rPr>
        <w:t>4、配备足够的具有专业资格的人员进行基金投资分析、决策，以专业化的经营方式管理和运作基金财产；</w:t>
      </w:r>
    </w:p>
    <w:p>
      <w:pPr>
        <w:widowControl/>
        <w:adjustRightInd w:val="0"/>
        <w:snapToGrid w:val="0"/>
        <w:spacing w:line="360" w:lineRule="auto"/>
        <w:ind w:firstLine="420" w:firstLineChars="200"/>
        <w:rPr>
          <w:kern w:val="0"/>
          <w:szCs w:val="21"/>
        </w:rPr>
      </w:pPr>
      <w:r>
        <w:rPr>
          <w:kern w:val="0"/>
          <w:szCs w:val="21"/>
        </w:rPr>
        <w:t>5、建立健全内部风险控制、监察与稽核、财务管理及人事管理等制度，保证所管理的基金财产和基金管理人的财产相互独立，对所管理的不同基金分别管理，分别记账，进行证券投资；</w:t>
      </w:r>
    </w:p>
    <w:p>
      <w:pPr>
        <w:widowControl/>
        <w:adjustRightInd w:val="0"/>
        <w:snapToGrid w:val="0"/>
        <w:spacing w:line="360" w:lineRule="auto"/>
        <w:ind w:firstLine="420" w:firstLineChars="200"/>
        <w:rPr>
          <w:kern w:val="0"/>
          <w:szCs w:val="21"/>
        </w:rPr>
      </w:pPr>
      <w:r>
        <w:rPr>
          <w:kern w:val="0"/>
          <w:szCs w:val="21"/>
        </w:rPr>
        <w:t>6、除依据《基金法》、《基金合同》及其他有关规定外，不得利用基金财产为自己及任何第三人谋取利益，不得委托第三人运作基金财产；</w:t>
      </w:r>
    </w:p>
    <w:p>
      <w:pPr>
        <w:widowControl/>
        <w:adjustRightInd w:val="0"/>
        <w:snapToGrid w:val="0"/>
        <w:spacing w:line="360" w:lineRule="auto"/>
        <w:ind w:firstLine="420" w:firstLineChars="200"/>
        <w:rPr>
          <w:kern w:val="0"/>
          <w:szCs w:val="21"/>
        </w:rPr>
      </w:pPr>
      <w:r>
        <w:rPr>
          <w:kern w:val="0"/>
          <w:szCs w:val="21"/>
        </w:rPr>
        <w:t>7、依法接受基金托管人的监督；</w:t>
      </w:r>
    </w:p>
    <w:p>
      <w:pPr>
        <w:widowControl/>
        <w:adjustRightInd w:val="0"/>
        <w:snapToGrid w:val="0"/>
        <w:spacing w:line="360" w:lineRule="auto"/>
        <w:ind w:firstLine="420" w:firstLineChars="200"/>
        <w:rPr>
          <w:kern w:val="0"/>
          <w:szCs w:val="21"/>
        </w:rPr>
      </w:pPr>
      <w:r>
        <w:rPr>
          <w:kern w:val="0"/>
          <w:szCs w:val="21"/>
        </w:rPr>
        <w:t>8、采取适当合理的措施使计算基金份额认购、申购、赎回和注销价格的方法符合《基金合同》等法律文件的规定，按有关规定计算并公告基金净值信息，确定基金份额申购、赎回的价格；</w:t>
      </w:r>
    </w:p>
    <w:p>
      <w:pPr>
        <w:widowControl/>
        <w:adjustRightInd w:val="0"/>
        <w:snapToGrid w:val="0"/>
        <w:spacing w:line="360" w:lineRule="auto"/>
        <w:ind w:firstLine="420" w:firstLineChars="200"/>
        <w:rPr>
          <w:kern w:val="0"/>
          <w:szCs w:val="21"/>
        </w:rPr>
      </w:pPr>
      <w:r>
        <w:rPr>
          <w:kern w:val="0"/>
          <w:szCs w:val="21"/>
        </w:rPr>
        <w:t>9、进行基金会计核算并编制基金财务会计报告；</w:t>
      </w:r>
    </w:p>
    <w:p>
      <w:pPr>
        <w:widowControl/>
        <w:adjustRightInd w:val="0"/>
        <w:snapToGrid w:val="0"/>
        <w:spacing w:line="360" w:lineRule="auto"/>
        <w:ind w:firstLine="420" w:firstLineChars="200"/>
        <w:rPr>
          <w:kern w:val="0"/>
          <w:szCs w:val="21"/>
        </w:rPr>
      </w:pPr>
      <w:r>
        <w:rPr>
          <w:kern w:val="0"/>
          <w:szCs w:val="21"/>
        </w:rPr>
        <w:t>10、编制季度报告、中期报告和年度报告；</w:t>
      </w:r>
    </w:p>
    <w:p>
      <w:pPr>
        <w:widowControl/>
        <w:adjustRightInd w:val="0"/>
        <w:snapToGrid w:val="0"/>
        <w:spacing w:line="360" w:lineRule="auto"/>
        <w:ind w:firstLine="420" w:firstLineChars="200"/>
        <w:rPr>
          <w:kern w:val="0"/>
          <w:szCs w:val="21"/>
        </w:rPr>
      </w:pPr>
      <w:r>
        <w:rPr>
          <w:kern w:val="0"/>
          <w:szCs w:val="21"/>
        </w:rPr>
        <w:t>11、严格按照《基金法》、《基金合同》及其他有关规定，履行信息披露及报告义务；</w:t>
      </w:r>
    </w:p>
    <w:p>
      <w:pPr>
        <w:widowControl/>
        <w:adjustRightInd w:val="0"/>
        <w:snapToGrid w:val="0"/>
        <w:spacing w:line="360" w:lineRule="auto"/>
        <w:ind w:firstLine="420" w:firstLineChars="200"/>
        <w:rPr>
          <w:kern w:val="0"/>
          <w:szCs w:val="21"/>
        </w:rPr>
      </w:pPr>
      <w:r>
        <w:rPr>
          <w:kern w:val="0"/>
          <w:szCs w:val="21"/>
        </w:rPr>
        <w:t>12、保守基金商业秘密，不泄露基金投资计划、投资意向等。除《基金法》、《基金合同》及其他有关规定另有规定外，在基金信息公开披露前应予保密，不向他人泄露，但因监管机构、司法机关要求，或因审计、法律等外部专业顾问提供服务需要提供的情况除外；</w:t>
      </w:r>
    </w:p>
    <w:p>
      <w:pPr>
        <w:widowControl/>
        <w:adjustRightInd w:val="0"/>
        <w:snapToGrid w:val="0"/>
        <w:spacing w:line="360" w:lineRule="auto"/>
        <w:ind w:firstLine="420" w:firstLineChars="200"/>
        <w:rPr>
          <w:kern w:val="0"/>
          <w:szCs w:val="21"/>
        </w:rPr>
      </w:pPr>
      <w:r>
        <w:rPr>
          <w:kern w:val="0"/>
          <w:szCs w:val="21"/>
        </w:rPr>
        <w:t>13、按《基金合同》的约定确定基金收益分配方案，及时向基金份额持有人分配基金收益；</w:t>
      </w:r>
    </w:p>
    <w:p>
      <w:pPr>
        <w:widowControl/>
        <w:adjustRightInd w:val="0"/>
        <w:snapToGrid w:val="0"/>
        <w:spacing w:line="360" w:lineRule="auto"/>
        <w:ind w:firstLine="420" w:firstLineChars="200"/>
        <w:rPr>
          <w:kern w:val="0"/>
          <w:szCs w:val="21"/>
        </w:rPr>
      </w:pPr>
      <w:r>
        <w:rPr>
          <w:kern w:val="0"/>
          <w:szCs w:val="21"/>
        </w:rPr>
        <w:t>14、按规定受理申购与赎回申请，及时、足额支付赎回款项；</w:t>
      </w:r>
    </w:p>
    <w:p>
      <w:pPr>
        <w:widowControl/>
        <w:adjustRightInd w:val="0"/>
        <w:snapToGrid w:val="0"/>
        <w:spacing w:line="360" w:lineRule="auto"/>
        <w:ind w:firstLine="420" w:firstLineChars="200"/>
        <w:rPr>
          <w:kern w:val="0"/>
          <w:szCs w:val="21"/>
        </w:rPr>
      </w:pPr>
      <w:r>
        <w:rPr>
          <w:kern w:val="0"/>
          <w:szCs w:val="21"/>
        </w:rPr>
        <w:t>15、依据《基金法》、《基金合同》及其他有关规定召集基金份额持有人大会或配合基金托管人、基金份额持有人依法召集基金份额持有人大会；</w:t>
      </w:r>
    </w:p>
    <w:p>
      <w:pPr>
        <w:widowControl/>
        <w:adjustRightInd w:val="0"/>
        <w:snapToGrid w:val="0"/>
        <w:spacing w:line="360" w:lineRule="auto"/>
        <w:ind w:firstLine="420" w:firstLineChars="200"/>
        <w:rPr>
          <w:kern w:val="0"/>
          <w:szCs w:val="21"/>
        </w:rPr>
      </w:pPr>
      <w:r>
        <w:rPr>
          <w:kern w:val="0"/>
          <w:szCs w:val="21"/>
        </w:rPr>
        <w:t>16、按规定保存基金财产管理业务活动的会计账册、报表、记录和其他相关资料，保存期限不低于法律法规规定的最低期限；</w:t>
      </w:r>
    </w:p>
    <w:p>
      <w:pPr>
        <w:widowControl/>
        <w:adjustRightInd w:val="0"/>
        <w:snapToGrid w:val="0"/>
        <w:spacing w:line="360" w:lineRule="auto"/>
        <w:ind w:firstLine="420" w:firstLineChars="200"/>
        <w:rPr>
          <w:kern w:val="0"/>
          <w:szCs w:val="21"/>
        </w:rPr>
      </w:pPr>
      <w:r>
        <w:rPr>
          <w:kern w:val="0"/>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widowControl/>
        <w:adjustRightInd w:val="0"/>
        <w:snapToGrid w:val="0"/>
        <w:spacing w:line="360" w:lineRule="auto"/>
        <w:ind w:firstLine="420" w:firstLineChars="200"/>
        <w:rPr>
          <w:kern w:val="0"/>
          <w:szCs w:val="21"/>
        </w:rPr>
      </w:pPr>
      <w:r>
        <w:rPr>
          <w:kern w:val="0"/>
          <w:szCs w:val="21"/>
        </w:rPr>
        <w:t>18、组织并参加基金财产清算小组，参与基金财产的保管、清理、估价、变现和分配；</w:t>
      </w:r>
    </w:p>
    <w:p>
      <w:pPr>
        <w:widowControl/>
        <w:adjustRightInd w:val="0"/>
        <w:snapToGrid w:val="0"/>
        <w:spacing w:line="360" w:lineRule="auto"/>
        <w:ind w:firstLine="420" w:firstLineChars="200"/>
        <w:rPr>
          <w:kern w:val="0"/>
          <w:szCs w:val="21"/>
        </w:rPr>
      </w:pPr>
      <w:r>
        <w:rPr>
          <w:kern w:val="0"/>
          <w:szCs w:val="21"/>
        </w:rPr>
        <w:t>19、面临解散、依法被撤销或者被依法宣告破产时，及时报告中国证监会并通知基金托管人；</w:t>
      </w:r>
    </w:p>
    <w:p>
      <w:pPr>
        <w:widowControl/>
        <w:adjustRightInd w:val="0"/>
        <w:snapToGrid w:val="0"/>
        <w:spacing w:line="360" w:lineRule="auto"/>
        <w:ind w:firstLine="420" w:firstLineChars="200"/>
        <w:rPr>
          <w:kern w:val="0"/>
          <w:szCs w:val="21"/>
        </w:rPr>
      </w:pPr>
      <w:r>
        <w:rPr>
          <w:kern w:val="0"/>
          <w:szCs w:val="21"/>
        </w:rPr>
        <w:t>20、因违反《基金合同》导致基金财产的损失或损害基金份额持有人合法权益时，应当承担赔偿责任，其赔偿责任不因其退任而免除；</w:t>
      </w:r>
    </w:p>
    <w:p>
      <w:pPr>
        <w:widowControl/>
        <w:adjustRightInd w:val="0"/>
        <w:snapToGrid w:val="0"/>
        <w:spacing w:line="360" w:lineRule="auto"/>
        <w:ind w:firstLine="420" w:firstLineChars="200"/>
        <w:rPr>
          <w:kern w:val="0"/>
          <w:szCs w:val="21"/>
        </w:rPr>
      </w:pPr>
      <w:r>
        <w:rPr>
          <w:kern w:val="0"/>
          <w:szCs w:val="21"/>
        </w:rPr>
        <w:t>21、监督基金托管人按法律法规和《基金合同》规定履行自己的义务，基金托管人违反《基金合同》造成基金财产损失时，基金管理人应为基金份额持有人利益向基金托管人追偿；</w:t>
      </w:r>
    </w:p>
    <w:p>
      <w:pPr>
        <w:widowControl/>
        <w:adjustRightInd w:val="0"/>
        <w:snapToGrid w:val="0"/>
        <w:spacing w:line="360" w:lineRule="auto"/>
        <w:ind w:firstLine="420" w:firstLineChars="200"/>
        <w:rPr>
          <w:kern w:val="0"/>
          <w:szCs w:val="21"/>
        </w:rPr>
      </w:pPr>
      <w:r>
        <w:rPr>
          <w:kern w:val="0"/>
          <w:szCs w:val="21"/>
        </w:rPr>
        <w:t>22、当基金管理人将其义务委托第三方处理时，应当对第三方处理有关基金事务的行为承担责任；</w:t>
      </w:r>
    </w:p>
    <w:p>
      <w:pPr>
        <w:widowControl/>
        <w:adjustRightInd w:val="0"/>
        <w:snapToGrid w:val="0"/>
        <w:spacing w:line="360" w:lineRule="auto"/>
        <w:ind w:firstLine="420" w:firstLineChars="200"/>
        <w:rPr>
          <w:kern w:val="0"/>
          <w:szCs w:val="21"/>
        </w:rPr>
      </w:pPr>
      <w:r>
        <w:rPr>
          <w:kern w:val="0"/>
          <w:szCs w:val="21"/>
        </w:rPr>
        <w:t>23、以基金管理人名义，代表基金份额持有人利益行使诉讼权利或实施其他法律行为；</w:t>
      </w:r>
    </w:p>
    <w:p>
      <w:pPr>
        <w:widowControl/>
        <w:adjustRightInd w:val="0"/>
        <w:snapToGrid w:val="0"/>
        <w:spacing w:line="360" w:lineRule="auto"/>
        <w:ind w:firstLine="420" w:firstLineChars="200"/>
        <w:rPr>
          <w:kern w:val="0"/>
          <w:szCs w:val="21"/>
        </w:rPr>
      </w:pPr>
      <w:r>
        <w:rPr>
          <w:kern w:val="0"/>
          <w:szCs w:val="21"/>
        </w:rPr>
        <w:t>24、基金在募集期间未能达到基金的备案条件，《基金合同》不能生效，基金管理人承担全部募集费用，将已募集资金并加计银行同期活期存款利息在基金募集期结束后30日内退还基金认购人；</w:t>
      </w:r>
    </w:p>
    <w:p>
      <w:pPr>
        <w:widowControl/>
        <w:adjustRightInd w:val="0"/>
        <w:snapToGrid w:val="0"/>
        <w:spacing w:line="360" w:lineRule="auto"/>
        <w:ind w:firstLine="420" w:firstLineChars="200"/>
        <w:rPr>
          <w:kern w:val="0"/>
          <w:szCs w:val="21"/>
        </w:rPr>
      </w:pPr>
      <w:r>
        <w:rPr>
          <w:kern w:val="0"/>
          <w:szCs w:val="21"/>
        </w:rPr>
        <w:t>25、执行生效的基金份额持有人大会的决议；</w:t>
      </w:r>
    </w:p>
    <w:p>
      <w:pPr>
        <w:widowControl/>
        <w:adjustRightInd w:val="0"/>
        <w:snapToGrid w:val="0"/>
        <w:spacing w:line="360" w:lineRule="auto"/>
        <w:ind w:firstLine="420" w:firstLineChars="200"/>
        <w:rPr>
          <w:kern w:val="0"/>
          <w:szCs w:val="21"/>
        </w:rPr>
      </w:pPr>
      <w:r>
        <w:rPr>
          <w:kern w:val="0"/>
          <w:szCs w:val="21"/>
        </w:rPr>
        <w:t>26、建立并保存基金份额持有人名册；</w:t>
      </w:r>
    </w:p>
    <w:p>
      <w:pPr>
        <w:widowControl/>
        <w:adjustRightInd w:val="0"/>
        <w:snapToGrid w:val="0"/>
        <w:spacing w:line="360" w:lineRule="auto"/>
        <w:ind w:firstLine="420" w:firstLineChars="200"/>
        <w:rPr>
          <w:kern w:val="0"/>
          <w:szCs w:val="21"/>
        </w:rPr>
      </w:pPr>
      <w:r>
        <w:rPr>
          <w:kern w:val="0"/>
          <w:szCs w:val="21"/>
        </w:rPr>
        <w:t>27、法律法规及中国证监会规定的和《基金合同》约定的其他义务。</w:t>
      </w:r>
    </w:p>
    <w:p>
      <w:pPr>
        <w:widowControl/>
        <w:adjustRightInd w:val="0"/>
        <w:snapToGrid w:val="0"/>
        <w:spacing w:line="360" w:lineRule="auto"/>
        <w:ind w:firstLine="422" w:firstLineChars="200"/>
        <w:rPr>
          <w:b/>
          <w:kern w:val="0"/>
          <w:szCs w:val="21"/>
        </w:rPr>
      </w:pPr>
      <w:r>
        <w:rPr>
          <w:b/>
          <w:kern w:val="0"/>
          <w:szCs w:val="21"/>
        </w:rPr>
        <w:t>四、基金管理人的承诺</w:t>
      </w:r>
    </w:p>
    <w:p>
      <w:pPr>
        <w:widowControl/>
        <w:adjustRightInd w:val="0"/>
        <w:snapToGrid w:val="0"/>
        <w:spacing w:line="360" w:lineRule="auto"/>
        <w:ind w:firstLine="420" w:firstLineChars="200"/>
        <w:rPr>
          <w:kern w:val="0"/>
          <w:szCs w:val="21"/>
        </w:rPr>
      </w:pPr>
      <w:r>
        <w:rPr>
          <w:kern w:val="0"/>
          <w:szCs w:val="21"/>
        </w:rPr>
        <w:t xml:space="preserve">1、基金管理人承诺不从事违反《中华人民共和国证券法》的行为，并承诺建立健全内部控制制度，采取有效措施，防止违反《中华人民共和国证券法》行为的发生； </w:t>
      </w:r>
    </w:p>
    <w:p>
      <w:pPr>
        <w:widowControl/>
        <w:adjustRightInd w:val="0"/>
        <w:snapToGrid w:val="0"/>
        <w:spacing w:line="360" w:lineRule="auto"/>
        <w:ind w:firstLine="420" w:firstLineChars="200"/>
        <w:rPr>
          <w:kern w:val="0"/>
          <w:szCs w:val="21"/>
        </w:rPr>
      </w:pPr>
      <w:r>
        <w:rPr>
          <w:kern w:val="0"/>
          <w:szCs w:val="21"/>
        </w:rPr>
        <w:t>2、基金管理人承诺不从事违反《基金法》的行为，并承诺建立健全内部风险控制制度，采取有效措施，防止下列行为的发生：</w:t>
      </w:r>
    </w:p>
    <w:p>
      <w:pPr>
        <w:widowControl/>
        <w:adjustRightInd w:val="0"/>
        <w:snapToGrid w:val="0"/>
        <w:spacing w:line="360" w:lineRule="auto"/>
        <w:ind w:firstLine="420" w:firstLineChars="200"/>
        <w:rPr>
          <w:kern w:val="0"/>
          <w:szCs w:val="21"/>
        </w:rPr>
      </w:pPr>
      <w:r>
        <w:rPr>
          <w:kern w:val="0"/>
          <w:szCs w:val="21"/>
        </w:rPr>
        <w:t>（1）将基金管理人固有财产或者他人财产混同于基金财产从事证券投资；</w:t>
      </w:r>
    </w:p>
    <w:p>
      <w:pPr>
        <w:widowControl/>
        <w:adjustRightInd w:val="0"/>
        <w:snapToGrid w:val="0"/>
        <w:spacing w:line="360" w:lineRule="auto"/>
        <w:ind w:firstLine="420" w:firstLineChars="200"/>
        <w:rPr>
          <w:kern w:val="0"/>
          <w:szCs w:val="21"/>
        </w:rPr>
      </w:pPr>
      <w:r>
        <w:rPr>
          <w:kern w:val="0"/>
          <w:szCs w:val="21"/>
        </w:rPr>
        <w:t>（2）不公平地对待管理的不同基金财产；</w:t>
      </w:r>
    </w:p>
    <w:p>
      <w:pPr>
        <w:widowControl/>
        <w:adjustRightInd w:val="0"/>
        <w:snapToGrid w:val="0"/>
        <w:spacing w:line="360" w:lineRule="auto"/>
        <w:ind w:firstLine="420" w:firstLineChars="200"/>
        <w:rPr>
          <w:kern w:val="0"/>
          <w:szCs w:val="21"/>
        </w:rPr>
      </w:pPr>
      <w:r>
        <w:rPr>
          <w:kern w:val="0"/>
          <w:szCs w:val="21"/>
        </w:rPr>
        <w:t>（3）利用基金财产或者职务之便为基金份额持有人以外的第三人牟取利益；</w:t>
      </w:r>
    </w:p>
    <w:p>
      <w:pPr>
        <w:widowControl/>
        <w:adjustRightInd w:val="0"/>
        <w:snapToGrid w:val="0"/>
        <w:spacing w:line="360" w:lineRule="auto"/>
        <w:ind w:firstLine="420" w:firstLineChars="200"/>
        <w:rPr>
          <w:kern w:val="0"/>
          <w:szCs w:val="21"/>
        </w:rPr>
      </w:pPr>
      <w:r>
        <w:rPr>
          <w:kern w:val="0"/>
          <w:szCs w:val="21"/>
        </w:rPr>
        <w:t>（4）向基金份额持有人违规承诺收益或者承担损失；</w:t>
      </w:r>
    </w:p>
    <w:p>
      <w:pPr>
        <w:widowControl/>
        <w:adjustRightInd w:val="0"/>
        <w:snapToGrid w:val="0"/>
        <w:spacing w:line="360" w:lineRule="auto"/>
        <w:ind w:firstLine="420" w:firstLineChars="200"/>
        <w:rPr>
          <w:kern w:val="0"/>
          <w:szCs w:val="21"/>
        </w:rPr>
      </w:pPr>
      <w:r>
        <w:rPr>
          <w:kern w:val="0"/>
          <w:szCs w:val="21"/>
        </w:rPr>
        <w:t>（5）侵占、挪用基金财产；</w:t>
      </w:r>
    </w:p>
    <w:p>
      <w:pPr>
        <w:widowControl/>
        <w:adjustRightInd w:val="0"/>
        <w:snapToGrid w:val="0"/>
        <w:spacing w:line="360" w:lineRule="auto"/>
        <w:ind w:firstLine="420" w:firstLineChars="200"/>
        <w:rPr>
          <w:kern w:val="0"/>
          <w:szCs w:val="21"/>
        </w:rPr>
      </w:pPr>
      <w:r>
        <w:rPr>
          <w:kern w:val="0"/>
          <w:szCs w:val="21"/>
        </w:rPr>
        <w:t>（6）泄露因职务便利获取的未公开信息、利用该信息从事或者明示、暗示他人从事相关的交易活动；</w:t>
      </w:r>
    </w:p>
    <w:p>
      <w:pPr>
        <w:widowControl/>
        <w:adjustRightInd w:val="0"/>
        <w:snapToGrid w:val="0"/>
        <w:spacing w:line="360" w:lineRule="auto"/>
        <w:ind w:firstLine="420" w:firstLineChars="200"/>
        <w:rPr>
          <w:kern w:val="0"/>
          <w:szCs w:val="21"/>
        </w:rPr>
      </w:pPr>
      <w:r>
        <w:rPr>
          <w:kern w:val="0"/>
          <w:szCs w:val="21"/>
        </w:rPr>
        <w:t>（7）玩忽职守，不按照规定履行职责；</w:t>
      </w:r>
    </w:p>
    <w:p>
      <w:pPr>
        <w:widowControl/>
        <w:adjustRightInd w:val="0"/>
        <w:snapToGrid w:val="0"/>
        <w:spacing w:line="360" w:lineRule="auto"/>
        <w:ind w:firstLine="420" w:firstLineChars="200"/>
        <w:rPr>
          <w:kern w:val="0"/>
          <w:szCs w:val="21"/>
        </w:rPr>
      </w:pPr>
      <w:r>
        <w:rPr>
          <w:kern w:val="0"/>
          <w:szCs w:val="21"/>
        </w:rPr>
        <w:t>（8）法律、行政法规和中国证监会规定禁止的其他行为</w:t>
      </w:r>
      <w:r>
        <w:rPr>
          <w:rFonts w:hint="eastAsia"/>
          <w:kern w:val="0"/>
          <w:szCs w:val="21"/>
        </w:rPr>
        <w:t>；</w:t>
      </w:r>
      <w:r>
        <w:rPr>
          <w:kern w:val="0"/>
          <w:szCs w:val="21"/>
        </w:rPr>
        <w:t xml:space="preserve"> </w:t>
      </w:r>
    </w:p>
    <w:p>
      <w:pPr>
        <w:widowControl/>
        <w:adjustRightInd w:val="0"/>
        <w:snapToGrid w:val="0"/>
        <w:spacing w:line="360" w:lineRule="auto"/>
        <w:ind w:firstLine="420" w:firstLineChars="200"/>
        <w:rPr>
          <w:kern w:val="0"/>
          <w:szCs w:val="21"/>
        </w:rPr>
      </w:pPr>
      <w:r>
        <w:rPr>
          <w:kern w:val="0"/>
          <w:szCs w:val="21"/>
        </w:rPr>
        <w:t xml:space="preserve">3、基金管理人承诺严格遵守基金合同，并承诺建立健全内部控制制度，采取有效措施，防止违反基金合同行为的发生； </w:t>
      </w:r>
    </w:p>
    <w:p>
      <w:pPr>
        <w:widowControl/>
        <w:adjustRightInd w:val="0"/>
        <w:snapToGrid w:val="0"/>
        <w:spacing w:line="360" w:lineRule="auto"/>
        <w:ind w:firstLine="420" w:firstLineChars="200"/>
        <w:rPr>
          <w:kern w:val="0"/>
          <w:szCs w:val="21"/>
        </w:rPr>
      </w:pPr>
      <w:r>
        <w:rPr>
          <w:kern w:val="0"/>
          <w:szCs w:val="21"/>
        </w:rPr>
        <w:t>4、基金管理人承诺加强人员管理，强化职业操守，督促和约束员工遵守国家有关法律法规及行业规范，诚实信用、勤勉尽责；</w:t>
      </w:r>
    </w:p>
    <w:p>
      <w:pPr>
        <w:widowControl/>
        <w:adjustRightInd w:val="0"/>
        <w:snapToGrid w:val="0"/>
        <w:spacing w:line="360" w:lineRule="auto"/>
        <w:ind w:firstLine="420" w:firstLineChars="200"/>
        <w:rPr>
          <w:kern w:val="0"/>
          <w:szCs w:val="21"/>
        </w:rPr>
      </w:pPr>
      <w:r>
        <w:rPr>
          <w:kern w:val="0"/>
          <w:szCs w:val="21"/>
        </w:rPr>
        <w:t>5、基金管理人承诺不从事其他法规规定禁止从事的行为。</w:t>
      </w:r>
    </w:p>
    <w:p>
      <w:pPr>
        <w:widowControl/>
        <w:adjustRightInd w:val="0"/>
        <w:snapToGrid w:val="0"/>
        <w:spacing w:line="360" w:lineRule="auto"/>
        <w:ind w:firstLine="422" w:firstLineChars="200"/>
        <w:rPr>
          <w:b/>
          <w:kern w:val="0"/>
          <w:szCs w:val="21"/>
        </w:rPr>
      </w:pPr>
      <w:r>
        <w:rPr>
          <w:b/>
          <w:kern w:val="0"/>
          <w:szCs w:val="21"/>
        </w:rPr>
        <w:t>五、基金经理承诺</w:t>
      </w:r>
    </w:p>
    <w:p>
      <w:pPr>
        <w:widowControl/>
        <w:adjustRightInd w:val="0"/>
        <w:snapToGrid w:val="0"/>
        <w:spacing w:line="360" w:lineRule="auto"/>
        <w:ind w:firstLine="420" w:firstLineChars="200"/>
        <w:rPr>
          <w:kern w:val="0"/>
          <w:szCs w:val="21"/>
        </w:rPr>
      </w:pPr>
      <w:r>
        <w:rPr>
          <w:kern w:val="0"/>
          <w:szCs w:val="21"/>
        </w:rPr>
        <w:t>1、依照有关法律法规和基金合同的规定，本着谨慎的原则为基金份额持有人谋取最大利益；</w:t>
      </w:r>
    </w:p>
    <w:p>
      <w:pPr>
        <w:widowControl/>
        <w:adjustRightInd w:val="0"/>
        <w:snapToGrid w:val="0"/>
        <w:spacing w:line="360" w:lineRule="auto"/>
        <w:ind w:firstLine="420" w:firstLineChars="200"/>
        <w:rPr>
          <w:kern w:val="0"/>
          <w:szCs w:val="21"/>
        </w:rPr>
      </w:pPr>
      <w:r>
        <w:rPr>
          <w:kern w:val="0"/>
          <w:szCs w:val="21"/>
        </w:rPr>
        <w:t>2、不利用职务之便为自己、受雇人或任何第三者牟取利益；</w:t>
      </w:r>
    </w:p>
    <w:p>
      <w:pPr>
        <w:widowControl/>
        <w:adjustRightInd w:val="0"/>
        <w:snapToGrid w:val="0"/>
        <w:spacing w:line="360" w:lineRule="auto"/>
        <w:ind w:firstLine="420" w:firstLineChars="200"/>
        <w:rPr>
          <w:kern w:val="0"/>
          <w:szCs w:val="21"/>
        </w:rPr>
      </w:pPr>
      <w:r>
        <w:rPr>
          <w:kern w:val="0"/>
          <w:szCs w:val="21"/>
        </w:rPr>
        <w:t>3、不泄露在任职期间知悉的有关证券、基金的商业秘密，尚未依法公开的基金投资内容、基金投资计划等信息，或利用该信息从事或者明示、暗示他人从事相关的交易活动；</w:t>
      </w:r>
    </w:p>
    <w:p>
      <w:pPr>
        <w:widowControl/>
        <w:adjustRightInd w:val="0"/>
        <w:snapToGrid w:val="0"/>
        <w:spacing w:line="360" w:lineRule="auto"/>
        <w:ind w:firstLine="420" w:firstLineChars="200"/>
        <w:rPr>
          <w:kern w:val="0"/>
          <w:szCs w:val="21"/>
        </w:rPr>
      </w:pPr>
      <w:r>
        <w:rPr>
          <w:kern w:val="0"/>
          <w:szCs w:val="21"/>
        </w:rPr>
        <w:t>4、不以任何形式为其他组织或个人进行证券交易。</w:t>
      </w:r>
    </w:p>
    <w:p>
      <w:pPr>
        <w:widowControl/>
        <w:adjustRightInd w:val="0"/>
        <w:snapToGrid w:val="0"/>
        <w:spacing w:line="360" w:lineRule="auto"/>
        <w:ind w:firstLine="422" w:firstLineChars="200"/>
        <w:rPr>
          <w:b/>
          <w:kern w:val="0"/>
          <w:szCs w:val="21"/>
        </w:rPr>
      </w:pPr>
      <w:r>
        <w:rPr>
          <w:b/>
          <w:kern w:val="0"/>
          <w:szCs w:val="21"/>
        </w:rPr>
        <w:t>六、基金管理人的内部控制制度</w:t>
      </w:r>
    </w:p>
    <w:p>
      <w:pPr>
        <w:widowControl/>
        <w:adjustRightInd w:val="0"/>
        <w:snapToGrid w:val="0"/>
        <w:spacing w:line="360" w:lineRule="auto"/>
        <w:ind w:firstLine="420" w:firstLineChars="200"/>
        <w:rPr>
          <w:kern w:val="0"/>
          <w:szCs w:val="21"/>
        </w:rPr>
      </w:pPr>
      <w:r>
        <w:rPr>
          <w:kern w:val="0"/>
          <w:szCs w:val="21"/>
        </w:rPr>
        <w:t>1、风险管理的原则</w:t>
      </w:r>
    </w:p>
    <w:p>
      <w:pPr>
        <w:widowControl/>
        <w:adjustRightInd w:val="0"/>
        <w:snapToGrid w:val="0"/>
        <w:spacing w:line="360" w:lineRule="auto"/>
        <w:ind w:firstLine="420" w:firstLineChars="200"/>
        <w:rPr>
          <w:kern w:val="0"/>
          <w:szCs w:val="21"/>
        </w:rPr>
      </w:pPr>
      <w:r>
        <w:rPr>
          <w:kern w:val="0"/>
          <w:szCs w:val="21"/>
        </w:rPr>
        <w:t>（1）全面性原则</w:t>
      </w:r>
    </w:p>
    <w:p>
      <w:pPr>
        <w:widowControl/>
        <w:adjustRightInd w:val="0"/>
        <w:snapToGrid w:val="0"/>
        <w:spacing w:line="360" w:lineRule="auto"/>
        <w:ind w:firstLine="420" w:firstLineChars="200"/>
        <w:rPr>
          <w:kern w:val="0"/>
          <w:szCs w:val="21"/>
        </w:rPr>
      </w:pPr>
      <w:r>
        <w:rPr>
          <w:kern w:val="0"/>
          <w:szCs w:val="21"/>
        </w:rPr>
        <w:t>公司风险管理必须覆盖公司的所有部门和岗位，渗透各项业务过程和业务环节。</w:t>
      </w:r>
    </w:p>
    <w:p>
      <w:pPr>
        <w:widowControl/>
        <w:adjustRightInd w:val="0"/>
        <w:snapToGrid w:val="0"/>
        <w:spacing w:line="360" w:lineRule="auto"/>
        <w:ind w:firstLine="420" w:firstLineChars="200"/>
        <w:rPr>
          <w:kern w:val="0"/>
          <w:szCs w:val="21"/>
        </w:rPr>
      </w:pPr>
      <w:r>
        <w:rPr>
          <w:kern w:val="0"/>
          <w:szCs w:val="21"/>
        </w:rPr>
        <w:t>（2）独立性原则</w:t>
      </w:r>
    </w:p>
    <w:p>
      <w:pPr>
        <w:widowControl/>
        <w:adjustRightInd w:val="0"/>
        <w:snapToGrid w:val="0"/>
        <w:spacing w:line="360" w:lineRule="auto"/>
        <w:ind w:firstLine="420" w:firstLineChars="200"/>
        <w:rPr>
          <w:kern w:val="0"/>
          <w:szCs w:val="21"/>
        </w:rPr>
      </w:pPr>
      <w:r>
        <w:rPr>
          <w:kern w:val="0"/>
          <w:szCs w:val="21"/>
        </w:rPr>
        <w:t>公司设立独立的监察法律部，监察法律部保持高度的独立性和权威性，负责对公司各部门风险控制工作进行稽核和检查。</w:t>
      </w:r>
    </w:p>
    <w:p>
      <w:pPr>
        <w:widowControl/>
        <w:adjustRightInd w:val="0"/>
        <w:snapToGrid w:val="0"/>
        <w:spacing w:line="360" w:lineRule="auto"/>
        <w:ind w:firstLine="420" w:firstLineChars="200"/>
        <w:rPr>
          <w:kern w:val="0"/>
          <w:szCs w:val="21"/>
        </w:rPr>
      </w:pPr>
      <w:r>
        <w:rPr>
          <w:kern w:val="0"/>
          <w:szCs w:val="21"/>
        </w:rPr>
        <w:t>（3）相互制约原则</w:t>
      </w:r>
    </w:p>
    <w:p>
      <w:pPr>
        <w:widowControl/>
        <w:adjustRightInd w:val="0"/>
        <w:snapToGrid w:val="0"/>
        <w:spacing w:line="360" w:lineRule="auto"/>
        <w:ind w:firstLine="420" w:firstLineChars="200"/>
        <w:rPr>
          <w:kern w:val="0"/>
          <w:szCs w:val="21"/>
        </w:rPr>
      </w:pPr>
      <w:r>
        <w:rPr>
          <w:kern w:val="0"/>
          <w:szCs w:val="21"/>
        </w:rPr>
        <w:t>公司及各部门在内部组织结构的设计上要形成一种相互制约的机制，建立不同岗位之间的制衡体系。</w:t>
      </w:r>
    </w:p>
    <w:p>
      <w:pPr>
        <w:widowControl/>
        <w:adjustRightInd w:val="0"/>
        <w:snapToGrid w:val="0"/>
        <w:spacing w:line="360" w:lineRule="auto"/>
        <w:ind w:firstLine="420" w:firstLineChars="200"/>
        <w:rPr>
          <w:kern w:val="0"/>
          <w:szCs w:val="21"/>
        </w:rPr>
      </w:pPr>
      <w:r>
        <w:rPr>
          <w:kern w:val="0"/>
          <w:szCs w:val="21"/>
        </w:rPr>
        <w:t>（4）定性和定量相结合原则</w:t>
      </w:r>
    </w:p>
    <w:p>
      <w:pPr>
        <w:widowControl/>
        <w:adjustRightInd w:val="0"/>
        <w:snapToGrid w:val="0"/>
        <w:spacing w:line="360" w:lineRule="auto"/>
        <w:ind w:firstLine="420" w:firstLineChars="200"/>
        <w:rPr>
          <w:kern w:val="0"/>
          <w:szCs w:val="21"/>
        </w:rPr>
      </w:pPr>
      <w:r>
        <w:rPr>
          <w:kern w:val="0"/>
          <w:szCs w:val="21"/>
        </w:rPr>
        <w:t>建立完备的风险管理指标体系，使风险管理更具客观性和操作性。</w:t>
      </w:r>
    </w:p>
    <w:p>
      <w:pPr>
        <w:widowControl/>
        <w:adjustRightInd w:val="0"/>
        <w:snapToGrid w:val="0"/>
        <w:spacing w:line="360" w:lineRule="auto"/>
        <w:ind w:firstLine="420" w:firstLineChars="200"/>
        <w:rPr>
          <w:kern w:val="0"/>
          <w:szCs w:val="21"/>
        </w:rPr>
      </w:pPr>
      <w:r>
        <w:rPr>
          <w:kern w:val="0"/>
          <w:szCs w:val="21"/>
        </w:rPr>
        <w:t>2、风险管理和内部风险控制体系结构</w:t>
      </w:r>
    </w:p>
    <w:p>
      <w:pPr>
        <w:widowControl/>
        <w:adjustRightInd w:val="0"/>
        <w:snapToGrid w:val="0"/>
        <w:spacing w:line="360" w:lineRule="auto"/>
        <w:ind w:firstLine="420" w:firstLineChars="200"/>
        <w:rPr>
          <w:kern w:val="0"/>
          <w:szCs w:val="21"/>
        </w:rPr>
      </w:pPr>
      <w:r>
        <w:rPr>
          <w:kern w:val="0"/>
          <w:szCs w:val="21"/>
        </w:rPr>
        <w:t>公司的风险管理体系结构是一个分工明确、相互牵制的组织结构，由最高管理层对风险管理负最终责任，各个业务部门负责本部门的风险评估和监控，监察法律部负责监察公司的风险管理措施的执行。具体而言，包括如下组成部分：</w:t>
      </w:r>
    </w:p>
    <w:p>
      <w:pPr>
        <w:widowControl/>
        <w:adjustRightInd w:val="0"/>
        <w:snapToGrid w:val="0"/>
        <w:spacing w:line="360" w:lineRule="auto"/>
        <w:ind w:firstLine="420" w:firstLineChars="200"/>
        <w:rPr>
          <w:kern w:val="0"/>
          <w:szCs w:val="21"/>
        </w:rPr>
      </w:pPr>
      <w:r>
        <w:rPr>
          <w:kern w:val="0"/>
          <w:szCs w:val="21"/>
        </w:rPr>
        <w:t>（1）董事会</w:t>
      </w:r>
    </w:p>
    <w:p>
      <w:pPr>
        <w:widowControl/>
        <w:adjustRightInd w:val="0"/>
        <w:snapToGrid w:val="0"/>
        <w:spacing w:line="360" w:lineRule="auto"/>
        <w:ind w:firstLine="420" w:firstLineChars="200"/>
        <w:rPr>
          <w:kern w:val="0"/>
          <w:szCs w:val="21"/>
        </w:rPr>
      </w:pPr>
      <w:r>
        <w:rPr>
          <w:kern w:val="0"/>
          <w:szCs w:val="21"/>
        </w:rPr>
        <w:t>负责制定公司的风险管理政策，对风险管理负完全的和最终的责任。</w:t>
      </w:r>
    </w:p>
    <w:p>
      <w:pPr>
        <w:widowControl/>
        <w:adjustRightInd w:val="0"/>
        <w:snapToGrid w:val="0"/>
        <w:spacing w:line="360" w:lineRule="auto"/>
        <w:ind w:firstLine="420" w:firstLineChars="200"/>
        <w:rPr>
          <w:kern w:val="0"/>
          <w:szCs w:val="21"/>
        </w:rPr>
      </w:pPr>
      <w:r>
        <w:rPr>
          <w:kern w:val="0"/>
          <w:szCs w:val="21"/>
        </w:rPr>
        <w:t>（2）风险管理委员会</w:t>
      </w:r>
    </w:p>
    <w:p>
      <w:pPr>
        <w:widowControl/>
        <w:adjustRightInd w:val="0"/>
        <w:snapToGrid w:val="0"/>
        <w:spacing w:line="360" w:lineRule="auto"/>
        <w:ind w:firstLine="420" w:firstLineChars="200"/>
        <w:rPr>
          <w:kern w:val="0"/>
          <w:szCs w:val="21"/>
        </w:rPr>
      </w:pPr>
      <w:r>
        <w:rPr>
          <w:kern w:val="0"/>
          <w:szCs w:val="21"/>
        </w:rPr>
        <w:t>作为董事会下的专业委员会之一，风险管理委员会负责批准公司风险管理系统文件，即负责确保每一个部门都有合适的系统来识别、评定和监控该部门的风险，负责批准每一个部门的风险级别。负责解决重大的突发的风险。</w:t>
      </w:r>
    </w:p>
    <w:p>
      <w:pPr>
        <w:widowControl/>
        <w:adjustRightInd w:val="0"/>
        <w:snapToGrid w:val="0"/>
        <w:spacing w:line="360" w:lineRule="auto"/>
        <w:ind w:firstLine="420" w:firstLineChars="200"/>
        <w:rPr>
          <w:kern w:val="0"/>
          <w:szCs w:val="21"/>
        </w:rPr>
      </w:pPr>
      <w:r>
        <w:rPr>
          <w:kern w:val="0"/>
          <w:szCs w:val="21"/>
        </w:rPr>
        <w:t>（3）督察长</w:t>
      </w:r>
    </w:p>
    <w:p>
      <w:pPr>
        <w:widowControl/>
        <w:adjustRightInd w:val="0"/>
        <w:snapToGrid w:val="0"/>
        <w:spacing w:line="360" w:lineRule="auto"/>
        <w:ind w:firstLine="420" w:firstLineChars="200"/>
        <w:rPr>
          <w:kern w:val="0"/>
          <w:szCs w:val="21"/>
        </w:rPr>
      </w:pPr>
      <w:r>
        <w:rPr>
          <w:kern w:val="0"/>
          <w:szCs w:val="21"/>
        </w:rPr>
        <w:t>独立行使督察权利；直接对董事会负责；按季向风险管理委员会提交独立的风险管理报告和风险管理建议。</w:t>
      </w:r>
    </w:p>
    <w:p>
      <w:pPr>
        <w:widowControl/>
        <w:adjustRightInd w:val="0"/>
        <w:snapToGrid w:val="0"/>
        <w:spacing w:line="360" w:lineRule="auto"/>
        <w:ind w:firstLine="420" w:firstLineChars="200"/>
        <w:rPr>
          <w:kern w:val="0"/>
          <w:szCs w:val="21"/>
        </w:rPr>
      </w:pPr>
      <w:r>
        <w:rPr>
          <w:kern w:val="0"/>
          <w:szCs w:val="21"/>
        </w:rPr>
        <w:t>（4）监察法律部</w:t>
      </w:r>
    </w:p>
    <w:p>
      <w:pPr>
        <w:widowControl/>
        <w:adjustRightInd w:val="0"/>
        <w:snapToGrid w:val="0"/>
        <w:spacing w:line="360" w:lineRule="auto"/>
        <w:ind w:firstLine="420" w:firstLineChars="200"/>
        <w:rPr>
          <w:kern w:val="0"/>
          <w:szCs w:val="21"/>
        </w:rPr>
      </w:pPr>
      <w:r>
        <w:rPr>
          <w:kern w:val="0"/>
          <w:szCs w:val="21"/>
        </w:rPr>
        <w:t>监察法律部负责对公司风险管理政策和措施的执行情况进行监察，并为每一个部门的风险管理系统的发展提供协助，使公司在一种风险管理和控制的环境中实现业务目标。</w:t>
      </w:r>
    </w:p>
    <w:p>
      <w:pPr>
        <w:widowControl/>
        <w:adjustRightInd w:val="0"/>
        <w:snapToGrid w:val="0"/>
        <w:spacing w:line="360" w:lineRule="auto"/>
        <w:ind w:firstLine="420" w:firstLineChars="200"/>
        <w:rPr>
          <w:kern w:val="0"/>
          <w:szCs w:val="21"/>
        </w:rPr>
      </w:pPr>
      <w:r>
        <w:rPr>
          <w:kern w:val="0"/>
          <w:szCs w:val="21"/>
        </w:rPr>
        <w:t>（5）风险管理部</w:t>
      </w:r>
    </w:p>
    <w:p>
      <w:pPr>
        <w:widowControl/>
        <w:adjustRightInd w:val="0"/>
        <w:snapToGrid w:val="0"/>
        <w:spacing w:line="360" w:lineRule="auto"/>
        <w:ind w:firstLine="420" w:firstLineChars="200"/>
        <w:rPr>
          <w:kern w:val="0"/>
          <w:szCs w:val="21"/>
        </w:rPr>
      </w:pPr>
      <w:r>
        <w:rPr>
          <w:kern w:val="0"/>
          <w:szCs w:val="21"/>
        </w:rPr>
        <w:t>风险管理部负责建立和完善公司投资风险管理制度与流程，组织实施公司投资风险管理与绩效分析工作，确保公司各类投资风险得到良好监督与控制。</w:t>
      </w:r>
    </w:p>
    <w:p>
      <w:pPr>
        <w:widowControl/>
        <w:adjustRightInd w:val="0"/>
        <w:snapToGrid w:val="0"/>
        <w:spacing w:line="360" w:lineRule="auto"/>
        <w:ind w:firstLine="420" w:firstLineChars="200"/>
        <w:rPr>
          <w:kern w:val="0"/>
          <w:szCs w:val="21"/>
        </w:rPr>
      </w:pPr>
      <w:r>
        <w:rPr>
          <w:kern w:val="0"/>
          <w:szCs w:val="21"/>
        </w:rPr>
        <w:t>（6）业务部门</w:t>
      </w:r>
    </w:p>
    <w:p>
      <w:pPr>
        <w:widowControl/>
        <w:adjustRightInd w:val="0"/>
        <w:snapToGrid w:val="0"/>
        <w:spacing w:line="360" w:lineRule="auto"/>
        <w:ind w:firstLine="420" w:firstLineChars="200"/>
        <w:rPr>
          <w:kern w:val="0"/>
          <w:szCs w:val="21"/>
        </w:rPr>
      </w:pPr>
      <w:r>
        <w:rPr>
          <w:kern w:val="0"/>
          <w:szCs w:val="21"/>
        </w:rPr>
        <w:t>风险管理是每一个业务部门最首要的责任。部门经理对本部门的风险负全部责任，负责履行公司的风险管理程序，负责本部门的风险管理系统的开发、执行和维护，用于识别、监控和降低风险。</w:t>
      </w:r>
    </w:p>
    <w:p>
      <w:pPr>
        <w:widowControl/>
        <w:adjustRightInd w:val="0"/>
        <w:snapToGrid w:val="0"/>
        <w:spacing w:line="360" w:lineRule="auto"/>
        <w:ind w:firstLine="420" w:firstLineChars="200"/>
        <w:rPr>
          <w:kern w:val="0"/>
          <w:szCs w:val="21"/>
        </w:rPr>
      </w:pPr>
      <w:r>
        <w:rPr>
          <w:kern w:val="0"/>
          <w:szCs w:val="21"/>
        </w:rPr>
        <w:t>3、风险管理和内部风险控制的措施</w:t>
      </w:r>
    </w:p>
    <w:p>
      <w:pPr>
        <w:widowControl/>
        <w:adjustRightInd w:val="0"/>
        <w:snapToGrid w:val="0"/>
        <w:spacing w:line="360" w:lineRule="auto"/>
        <w:ind w:firstLine="420" w:firstLineChars="200"/>
        <w:rPr>
          <w:kern w:val="0"/>
          <w:szCs w:val="21"/>
        </w:rPr>
      </w:pPr>
      <w:r>
        <w:rPr>
          <w:kern w:val="0"/>
          <w:szCs w:val="21"/>
        </w:rPr>
        <w:t>（1）建立内控结构，完善内控制度</w:t>
      </w:r>
    </w:p>
    <w:p>
      <w:pPr>
        <w:widowControl/>
        <w:adjustRightInd w:val="0"/>
        <w:snapToGrid w:val="0"/>
        <w:spacing w:line="360" w:lineRule="auto"/>
        <w:ind w:firstLine="420" w:firstLineChars="200"/>
        <w:rPr>
          <w:kern w:val="0"/>
          <w:szCs w:val="21"/>
        </w:rPr>
      </w:pPr>
      <w:r>
        <w:rPr>
          <w:kern w:val="0"/>
          <w:szCs w:val="21"/>
        </w:rPr>
        <w:t>公司建立、健全了内控结构，高管人员关于内控有明确的分工，确保各项业务活动有恰当的组织和授权，确保监察活动是独立的，并得到高管人员的支持，同时置备操作手册，并定期更新。</w:t>
      </w:r>
    </w:p>
    <w:p>
      <w:pPr>
        <w:widowControl/>
        <w:adjustRightInd w:val="0"/>
        <w:snapToGrid w:val="0"/>
        <w:spacing w:line="360" w:lineRule="auto"/>
        <w:ind w:firstLine="420" w:firstLineChars="200"/>
        <w:rPr>
          <w:kern w:val="0"/>
          <w:szCs w:val="21"/>
        </w:rPr>
      </w:pPr>
      <w:r>
        <w:rPr>
          <w:kern w:val="0"/>
          <w:szCs w:val="21"/>
        </w:rPr>
        <w:t>（2）建立相互分离、相互制衡的内控机制</w:t>
      </w:r>
    </w:p>
    <w:p>
      <w:pPr>
        <w:widowControl/>
        <w:adjustRightInd w:val="0"/>
        <w:snapToGrid w:val="0"/>
        <w:spacing w:line="360" w:lineRule="auto"/>
        <w:ind w:firstLine="420" w:firstLineChars="200"/>
        <w:rPr>
          <w:kern w:val="0"/>
          <w:szCs w:val="21"/>
        </w:rPr>
      </w:pPr>
      <w:r>
        <w:rPr>
          <w:kern w:val="0"/>
          <w:szCs w:val="21"/>
        </w:rPr>
        <w:t>建立、健全了各项制度，做到基金经理分开，投资决策分开，基金交易集中，形成不同部门，不同岗位之间的制衡机制，从制度上减少和防范风险。</w:t>
      </w:r>
    </w:p>
    <w:p>
      <w:pPr>
        <w:widowControl/>
        <w:adjustRightInd w:val="0"/>
        <w:snapToGrid w:val="0"/>
        <w:spacing w:line="360" w:lineRule="auto"/>
        <w:ind w:firstLine="420" w:firstLineChars="200"/>
        <w:rPr>
          <w:kern w:val="0"/>
          <w:szCs w:val="21"/>
        </w:rPr>
      </w:pPr>
      <w:r>
        <w:rPr>
          <w:kern w:val="0"/>
          <w:szCs w:val="21"/>
        </w:rPr>
        <w:t>（3）建立、健全岗位责任制</w:t>
      </w:r>
    </w:p>
    <w:p>
      <w:pPr>
        <w:widowControl/>
        <w:adjustRightInd w:val="0"/>
        <w:snapToGrid w:val="0"/>
        <w:spacing w:line="360" w:lineRule="auto"/>
        <w:ind w:firstLine="420" w:firstLineChars="200"/>
        <w:rPr>
          <w:kern w:val="0"/>
          <w:szCs w:val="21"/>
        </w:rPr>
      </w:pPr>
      <w:r>
        <w:rPr>
          <w:kern w:val="0"/>
          <w:szCs w:val="21"/>
        </w:rPr>
        <w:t>建立、健全了岗位责任制，使每个员工都明确自己的任务、职责，并及时将各自工作领域中的风险隐患上报，以防范和减少风险。</w:t>
      </w:r>
    </w:p>
    <w:p>
      <w:pPr>
        <w:widowControl/>
        <w:adjustRightInd w:val="0"/>
        <w:snapToGrid w:val="0"/>
        <w:spacing w:line="360" w:lineRule="auto"/>
        <w:ind w:firstLine="420" w:firstLineChars="200"/>
        <w:rPr>
          <w:kern w:val="0"/>
          <w:szCs w:val="21"/>
        </w:rPr>
      </w:pPr>
      <w:r>
        <w:rPr>
          <w:kern w:val="0"/>
          <w:szCs w:val="21"/>
        </w:rPr>
        <w:t>（4）建立风险分类、识别、评估、报告、提示程序</w:t>
      </w:r>
    </w:p>
    <w:p>
      <w:pPr>
        <w:widowControl/>
        <w:adjustRightInd w:val="0"/>
        <w:snapToGrid w:val="0"/>
        <w:spacing w:line="360" w:lineRule="auto"/>
        <w:ind w:firstLine="420" w:firstLineChars="200"/>
        <w:rPr>
          <w:kern w:val="0"/>
          <w:szCs w:val="21"/>
        </w:rPr>
      </w:pPr>
      <w:r>
        <w:rPr>
          <w:kern w:val="0"/>
          <w:szCs w:val="21"/>
        </w:rPr>
        <w:t>建立了评估风险的委员会，使用适合的程序，确认和评估与公司运作有关的风险；公司建立了自下而上的风险报告程序，对风险隐患进行层层汇报，使各个层次的人员及时掌握风险状况，从而以最快速度作出决策。</w:t>
      </w:r>
    </w:p>
    <w:p>
      <w:pPr>
        <w:widowControl/>
        <w:adjustRightInd w:val="0"/>
        <w:snapToGrid w:val="0"/>
        <w:spacing w:line="360" w:lineRule="auto"/>
        <w:ind w:firstLine="420" w:firstLineChars="200"/>
        <w:rPr>
          <w:kern w:val="0"/>
          <w:szCs w:val="21"/>
        </w:rPr>
      </w:pPr>
      <w:r>
        <w:rPr>
          <w:kern w:val="0"/>
          <w:szCs w:val="21"/>
        </w:rPr>
        <w:t>（5）建立有效的内部监控系统</w:t>
      </w:r>
    </w:p>
    <w:p>
      <w:pPr>
        <w:widowControl/>
        <w:adjustRightInd w:val="0"/>
        <w:snapToGrid w:val="0"/>
        <w:spacing w:line="360" w:lineRule="auto"/>
        <w:ind w:firstLine="420" w:firstLineChars="200"/>
        <w:rPr>
          <w:kern w:val="0"/>
          <w:szCs w:val="21"/>
        </w:rPr>
      </w:pPr>
      <w:r>
        <w:rPr>
          <w:kern w:val="0"/>
          <w:szCs w:val="21"/>
        </w:rPr>
        <w:t>建立了足够、有效的内部监控系统，如电脑预警系统、投资监控系统，对可能出现的各种风险进行全面和实时的监控。</w:t>
      </w:r>
    </w:p>
    <w:p>
      <w:pPr>
        <w:widowControl/>
        <w:adjustRightInd w:val="0"/>
        <w:snapToGrid w:val="0"/>
        <w:spacing w:line="360" w:lineRule="auto"/>
        <w:ind w:firstLine="420" w:firstLineChars="200"/>
        <w:rPr>
          <w:kern w:val="0"/>
          <w:szCs w:val="21"/>
        </w:rPr>
      </w:pPr>
      <w:r>
        <w:rPr>
          <w:kern w:val="0"/>
          <w:szCs w:val="21"/>
        </w:rPr>
        <w:t>（6）使用数量化的风险管理手段</w:t>
      </w:r>
    </w:p>
    <w:p>
      <w:pPr>
        <w:widowControl/>
        <w:adjustRightInd w:val="0"/>
        <w:snapToGrid w:val="0"/>
        <w:spacing w:line="360" w:lineRule="auto"/>
        <w:ind w:firstLine="420" w:firstLineChars="200"/>
        <w:rPr>
          <w:kern w:val="0"/>
          <w:szCs w:val="21"/>
        </w:rPr>
      </w:pPr>
      <w:r>
        <w:rPr>
          <w:kern w:val="0"/>
          <w:szCs w:val="21"/>
        </w:rPr>
        <w:t>采取数量化、技术化的风险控制手段，建立数量化的风险管理模型，用以提示指数趋势、行业及个股的风险，以便公司及时采取有效的措施，对风险进行分散、控制和规避，尽可能地减少损失。</w:t>
      </w:r>
    </w:p>
    <w:p>
      <w:pPr>
        <w:widowControl/>
        <w:adjustRightInd w:val="0"/>
        <w:snapToGrid w:val="0"/>
        <w:spacing w:line="360" w:lineRule="auto"/>
        <w:ind w:firstLine="420" w:firstLineChars="200"/>
        <w:rPr>
          <w:kern w:val="0"/>
          <w:szCs w:val="21"/>
        </w:rPr>
      </w:pPr>
      <w:r>
        <w:rPr>
          <w:kern w:val="0"/>
          <w:szCs w:val="21"/>
        </w:rPr>
        <w:t>（7）提供足够的培训</w:t>
      </w:r>
    </w:p>
    <w:p>
      <w:pPr>
        <w:widowControl/>
        <w:adjustRightInd w:val="0"/>
        <w:snapToGrid w:val="0"/>
        <w:spacing w:line="360" w:lineRule="auto"/>
        <w:ind w:firstLine="420" w:firstLineChars="200"/>
        <w:sectPr>
          <w:footerReference r:id="rId6" w:type="first"/>
          <w:pgSz w:w="11906" w:h="16838"/>
          <w:pgMar w:top="1440" w:right="1800" w:bottom="1440" w:left="1800" w:header="851" w:footer="992" w:gutter="0"/>
          <w:pgNumType w:start="1"/>
          <w:cols w:space="425" w:num="1"/>
          <w:titlePg/>
          <w:docGrid w:type="lines" w:linePitch="312" w:charSpace="0"/>
        </w:sectPr>
      </w:pPr>
      <w:r>
        <w:rPr>
          <w:kern w:val="0"/>
          <w:szCs w:val="21"/>
        </w:rPr>
        <w:t>制定了完整的培训计划，为所有员工提供足够和适当的培训，使员工明确其职责所在，控制风险</w:t>
      </w:r>
      <w:r>
        <w:rPr>
          <w:rFonts w:hint="eastAsia" w:ascii="宋体" w:hAnsi="宋体"/>
          <w:kern w:val="0"/>
          <w:szCs w:val="21"/>
        </w:rPr>
        <w:t>。</w:t>
      </w:r>
    </w:p>
    <w:p>
      <w:pPr>
        <w:pStyle w:val="4"/>
        <w:numPr>
          <w:ilvl w:val="0"/>
          <w:numId w:val="25"/>
        </w:numPr>
        <w:snapToGrid w:val="0"/>
        <w:spacing w:before="0" w:after="0" w:line="360" w:lineRule="auto"/>
        <w:jc w:val="center"/>
      </w:pPr>
      <w:bookmarkStart w:id="49" w:name="_Toc92740287"/>
      <w:r>
        <w:t>基金托管人</w:t>
      </w:r>
      <w:bookmarkEnd w:id="46"/>
      <w:bookmarkEnd w:id="47"/>
      <w:bookmarkEnd w:id="48"/>
      <w:bookmarkEnd w:id="49"/>
    </w:p>
    <w:p>
      <w:pPr>
        <w:widowControl/>
        <w:spacing w:line="360" w:lineRule="auto"/>
        <w:ind w:firstLine="422" w:firstLineChars="200"/>
        <w:jc w:val="left"/>
        <w:rPr>
          <w:rFonts w:ascii="宋体" w:hAnsi="宋体" w:cs="Arial"/>
          <w:b/>
          <w:szCs w:val="21"/>
        </w:rPr>
      </w:pPr>
      <w:r>
        <w:rPr>
          <w:rFonts w:hint="eastAsia" w:ascii="宋体" w:hAnsi="宋体" w:cs="Arial"/>
          <w:b/>
          <w:szCs w:val="21"/>
        </w:rPr>
        <w:t>一、基金托管人概况</w:t>
      </w:r>
    </w:p>
    <w:p>
      <w:pPr>
        <w:widowControl/>
        <w:spacing w:line="360" w:lineRule="auto"/>
        <w:ind w:firstLine="420" w:firstLineChars="200"/>
        <w:rPr>
          <w:rFonts w:ascii="宋体" w:hAnsi="宋体" w:cs="Arial"/>
          <w:szCs w:val="21"/>
        </w:rPr>
      </w:pPr>
      <w:r>
        <w:rPr>
          <w:rFonts w:hint="eastAsia" w:ascii="宋体" w:hAnsi="宋体" w:cs="Arial"/>
          <w:szCs w:val="21"/>
        </w:rPr>
        <w:t xml:space="preserve">名称：上海银行股份有限公司（以下简称“上海银行”） </w:t>
      </w:r>
    </w:p>
    <w:p>
      <w:pPr>
        <w:widowControl/>
        <w:spacing w:line="360" w:lineRule="auto"/>
        <w:ind w:firstLine="420" w:firstLineChars="200"/>
        <w:rPr>
          <w:rFonts w:ascii="宋体" w:hAnsi="宋体" w:cs="Arial"/>
          <w:szCs w:val="21"/>
        </w:rPr>
      </w:pPr>
      <w:r>
        <w:rPr>
          <w:rFonts w:hint="eastAsia" w:ascii="宋体" w:hAnsi="宋体" w:cs="Arial"/>
          <w:szCs w:val="21"/>
        </w:rPr>
        <w:t xml:space="preserve">住所：中国（上海）自由贸易试验区银城中路168号 </w:t>
      </w:r>
    </w:p>
    <w:p>
      <w:pPr>
        <w:widowControl/>
        <w:spacing w:line="360" w:lineRule="auto"/>
        <w:ind w:firstLine="420" w:firstLineChars="200"/>
        <w:rPr>
          <w:rFonts w:ascii="宋体" w:hAnsi="宋体" w:cs="Arial"/>
          <w:szCs w:val="21"/>
        </w:rPr>
      </w:pPr>
      <w:r>
        <w:rPr>
          <w:rFonts w:hint="eastAsia" w:ascii="宋体" w:hAnsi="宋体" w:cs="Arial"/>
          <w:szCs w:val="21"/>
        </w:rPr>
        <w:t xml:space="preserve">办公地址：中国（上海）自由贸易试验区银城中路168号 </w:t>
      </w:r>
    </w:p>
    <w:p>
      <w:pPr>
        <w:widowControl/>
        <w:spacing w:line="360" w:lineRule="auto"/>
        <w:ind w:firstLine="420" w:firstLineChars="200"/>
        <w:rPr>
          <w:rFonts w:ascii="宋体" w:hAnsi="宋体" w:cs="Arial"/>
          <w:szCs w:val="21"/>
        </w:rPr>
      </w:pPr>
      <w:r>
        <w:rPr>
          <w:rFonts w:hint="eastAsia" w:ascii="宋体" w:hAnsi="宋体" w:cs="Arial"/>
          <w:szCs w:val="21"/>
        </w:rPr>
        <w:t xml:space="preserve">法定代表人：金煜 </w:t>
      </w:r>
    </w:p>
    <w:p>
      <w:pPr>
        <w:widowControl/>
        <w:spacing w:line="360" w:lineRule="auto"/>
        <w:ind w:firstLine="420" w:firstLineChars="200"/>
        <w:rPr>
          <w:rFonts w:ascii="宋体" w:hAnsi="宋体" w:cs="Arial"/>
          <w:szCs w:val="21"/>
        </w:rPr>
      </w:pPr>
      <w:r>
        <w:rPr>
          <w:rFonts w:hint="eastAsia" w:ascii="宋体" w:hAnsi="宋体" w:cs="Arial"/>
          <w:szCs w:val="21"/>
        </w:rPr>
        <w:t xml:space="preserve">成立时间：1995年12月29日 </w:t>
      </w:r>
    </w:p>
    <w:p>
      <w:pPr>
        <w:widowControl/>
        <w:spacing w:line="360" w:lineRule="auto"/>
        <w:ind w:firstLine="420" w:firstLineChars="200"/>
        <w:rPr>
          <w:rFonts w:ascii="宋体" w:hAnsi="宋体" w:cs="Arial"/>
          <w:szCs w:val="21"/>
        </w:rPr>
      </w:pPr>
      <w:r>
        <w:rPr>
          <w:rFonts w:hint="eastAsia" w:ascii="宋体" w:hAnsi="宋体" w:cs="Arial"/>
          <w:szCs w:val="21"/>
        </w:rPr>
        <w:t xml:space="preserve">组织形式：股份有限公司 </w:t>
      </w:r>
    </w:p>
    <w:p>
      <w:pPr>
        <w:widowControl/>
        <w:spacing w:line="360" w:lineRule="auto"/>
        <w:ind w:firstLine="420" w:firstLineChars="200"/>
        <w:rPr>
          <w:rFonts w:ascii="宋体" w:hAnsi="宋体" w:cs="Arial"/>
          <w:szCs w:val="21"/>
        </w:rPr>
      </w:pPr>
      <w:r>
        <w:rPr>
          <w:rFonts w:hint="eastAsia" w:ascii="宋体" w:hAnsi="宋体" w:cs="Arial"/>
          <w:szCs w:val="21"/>
        </w:rPr>
        <w:t xml:space="preserve">注册资本：人民币142.065287亿元 </w:t>
      </w:r>
    </w:p>
    <w:p>
      <w:pPr>
        <w:widowControl/>
        <w:spacing w:line="360" w:lineRule="auto"/>
        <w:ind w:firstLine="420" w:firstLineChars="200"/>
        <w:rPr>
          <w:rFonts w:ascii="宋体" w:hAnsi="宋体" w:cs="Arial"/>
          <w:szCs w:val="21"/>
        </w:rPr>
      </w:pPr>
      <w:r>
        <w:rPr>
          <w:rFonts w:hint="eastAsia" w:ascii="宋体" w:hAnsi="宋体" w:cs="Arial"/>
          <w:szCs w:val="21"/>
        </w:rPr>
        <w:t xml:space="preserve">存续期间：持续经营 </w:t>
      </w:r>
    </w:p>
    <w:p>
      <w:pPr>
        <w:widowControl/>
        <w:spacing w:line="360" w:lineRule="auto"/>
        <w:ind w:firstLine="420" w:firstLineChars="200"/>
        <w:rPr>
          <w:rFonts w:ascii="宋体" w:hAnsi="宋体" w:cs="Arial"/>
          <w:szCs w:val="21"/>
        </w:rPr>
      </w:pPr>
      <w:r>
        <w:rPr>
          <w:rFonts w:hint="eastAsia" w:ascii="宋体" w:hAnsi="宋体" w:cs="Arial"/>
          <w:szCs w:val="21"/>
        </w:rPr>
        <w:t xml:space="preserve">基金托管业务批准文号：中国证监会 证监许可[2009]814号 </w:t>
      </w:r>
    </w:p>
    <w:p>
      <w:pPr>
        <w:widowControl/>
        <w:spacing w:line="360" w:lineRule="auto"/>
        <w:ind w:firstLine="420" w:firstLineChars="200"/>
        <w:rPr>
          <w:rFonts w:ascii="宋体" w:hAnsi="宋体" w:cs="Arial"/>
          <w:szCs w:val="21"/>
        </w:rPr>
      </w:pPr>
      <w:r>
        <w:rPr>
          <w:rFonts w:hint="eastAsia" w:ascii="宋体" w:hAnsi="宋体" w:cs="Arial"/>
          <w:szCs w:val="21"/>
        </w:rPr>
        <w:t xml:space="preserve">托管部门联系人：周直毅 </w:t>
      </w:r>
    </w:p>
    <w:p>
      <w:pPr>
        <w:widowControl/>
        <w:spacing w:line="360" w:lineRule="auto"/>
        <w:ind w:firstLine="420" w:firstLineChars="200"/>
        <w:rPr>
          <w:rFonts w:ascii="宋体" w:hAnsi="宋体" w:cs="Arial"/>
          <w:szCs w:val="21"/>
        </w:rPr>
      </w:pPr>
      <w:r>
        <w:rPr>
          <w:rFonts w:hint="eastAsia" w:ascii="宋体" w:hAnsi="宋体" w:cs="Arial"/>
          <w:szCs w:val="21"/>
        </w:rPr>
        <w:t xml:space="preserve">电话：021－68475608 </w:t>
      </w:r>
    </w:p>
    <w:p>
      <w:pPr>
        <w:widowControl/>
        <w:spacing w:line="360" w:lineRule="auto"/>
        <w:ind w:firstLine="420" w:firstLineChars="200"/>
        <w:rPr>
          <w:rFonts w:ascii="宋体" w:hAnsi="宋体" w:cs="Arial"/>
          <w:szCs w:val="21"/>
        </w:rPr>
      </w:pPr>
      <w:r>
        <w:rPr>
          <w:rFonts w:hint="eastAsia" w:ascii="宋体" w:hAnsi="宋体" w:cs="Arial"/>
          <w:szCs w:val="21"/>
        </w:rPr>
        <w:t xml:space="preserve">传真：021－68476936 </w:t>
      </w:r>
    </w:p>
    <w:p>
      <w:pPr>
        <w:widowControl/>
        <w:spacing w:line="360" w:lineRule="auto"/>
        <w:ind w:firstLine="420" w:firstLineChars="200"/>
        <w:rPr>
          <w:rFonts w:ascii="宋体" w:hAnsi="宋体" w:cs="Arial"/>
          <w:szCs w:val="21"/>
        </w:rPr>
      </w:pPr>
      <w:r>
        <w:rPr>
          <w:rFonts w:hint="eastAsia" w:ascii="宋体" w:hAnsi="宋体" w:cs="Arial"/>
          <w:szCs w:val="21"/>
        </w:rPr>
        <w:t xml:space="preserve">上海银行成立于1995年12月29日，总部位于上海，是上海证券交易所主板上市公司，股票代码601229。 </w:t>
      </w:r>
    </w:p>
    <w:p>
      <w:pPr>
        <w:widowControl/>
        <w:spacing w:line="360" w:lineRule="auto"/>
        <w:ind w:firstLine="420" w:firstLineChars="200"/>
        <w:rPr>
          <w:rFonts w:ascii="宋体" w:hAnsi="宋体" w:cs="Arial"/>
          <w:szCs w:val="21"/>
        </w:rPr>
      </w:pPr>
      <w:r>
        <w:rPr>
          <w:rFonts w:hint="eastAsia" w:ascii="宋体" w:hAnsi="宋体" w:cs="Arial"/>
          <w:szCs w:val="21"/>
        </w:rPr>
        <w:t xml:space="preserve">上海银行以“精品银行”为战略愿景，秉持“精诚至上，信义立行”的核心价值观，围绕高质量可持续发展目标，将数字化作为创新驱动、提升能级的核心力量，加快转型发展，努力实现新的质变。 </w:t>
      </w:r>
    </w:p>
    <w:p>
      <w:pPr>
        <w:widowControl/>
        <w:spacing w:line="360" w:lineRule="auto"/>
        <w:ind w:firstLine="420" w:firstLineChars="200"/>
        <w:rPr>
          <w:rFonts w:ascii="宋体" w:hAnsi="宋体" w:cs="Arial"/>
          <w:szCs w:val="21"/>
        </w:rPr>
      </w:pPr>
      <w:r>
        <w:rPr>
          <w:rFonts w:hint="eastAsia" w:ascii="宋体" w:hAnsi="宋体" w:cs="Arial"/>
          <w:szCs w:val="21"/>
        </w:rPr>
        <w:t xml:space="preserve">自成立以来，上海银行坚守金融企业初心使命，积极融入地方经济建设，助力长三角一体化、京津冀协同、粤港澳大湾区、成渝双城经济圈等战略实施，服务上海“五个中心”、“五个新城”、自贸区等创新发展，区域服务能级不断提升；着力支持实体经济转型升级，在普惠、科创、绿色、民生等领域加大投入，打造“上行惠相伴”、“绿树城银”等特色服务品牌，构建开放合作的创新服务平台，推出“上行e链”、“智慧e疗”等专业服务体系，业务规模持续增长；不断服务人民美好生活追求，深入建设“适老、为老、惠老”的养老金融服务模式、培育大财富管理专业能力、助力满足场景化消费需求等，为客户提供不止于金融的综合服务。 </w:t>
      </w:r>
    </w:p>
    <w:p>
      <w:pPr>
        <w:widowControl/>
        <w:spacing w:line="360" w:lineRule="auto"/>
        <w:ind w:firstLine="420" w:firstLineChars="200"/>
        <w:rPr>
          <w:rFonts w:ascii="宋体" w:hAnsi="宋体" w:cs="Arial"/>
          <w:szCs w:val="21"/>
        </w:rPr>
      </w:pPr>
      <w:r>
        <w:rPr>
          <w:rFonts w:hint="eastAsia" w:ascii="宋体" w:hAnsi="宋体" w:cs="Arial"/>
          <w:szCs w:val="21"/>
        </w:rPr>
        <w:t xml:space="preserve">目前，上海银行已在上海、宁波、南京、杭州、天津、成都、深圳、北京、苏州设立一级分行，在无锡、绍兴、南通、常州、盐城、温州、前海、深汕特别合作区、泰州等设立二级分行，分支机构布局覆盖长三角、京津冀、粤港澳、成渝等国家战略实施区域。陆续设立了上银香港及其子公司上银国际、上银基金及其子公司上银瑞金、上银理财，发起设立四家村镇银行，与携程共同设立尚诚消费金融，跨境和综合经营布局完善。 </w:t>
      </w:r>
    </w:p>
    <w:p>
      <w:pPr>
        <w:widowControl/>
        <w:spacing w:line="360" w:lineRule="auto"/>
        <w:ind w:firstLine="420" w:firstLineChars="200"/>
        <w:rPr>
          <w:rFonts w:ascii="宋体" w:hAnsi="宋体" w:cs="Arial"/>
          <w:szCs w:val="21"/>
        </w:rPr>
      </w:pPr>
      <w:r>
        <w:rPr>
          <w:rFonts w:hint="eastAsia" w:ascii="宋体" w:hAnsi="宋体" w:cs="Arial"/>
          <w:szCs w:val="21"/>
        </w:rPr>
        <w:t xml:space="preserve">上海银行自成立以来市场影响力不断提升，截至2022年12月末，上海银行总资产28,785.25亿元，较上年末增长8.49%；2022年全年实现营业收入531.12亿元，实现归属于母公司股东的净利润222.80亿元。在英国《银行家》杂志2022年公布的全球银行1000强榜单中，上海银行按一级资本位列第68位。 </w:t>
      </w:r>
    </w:p>
    <w:p>
      <w:pPr>
        <w:widowControl/>
        <w:spacing w:line="360" w:lineRule="auto"/>
        <w:ind w:firstLine="422" w:firstLineChars="200"/>
        <w:rPr>
          <w:rFonts w:ascii="宋体" w:hAnsi="宋体" w:cs="Arial"/>
          <w:b/>
          <w:szCs w:val="21"/>
        </w:rPr>
      </w:pPr>
      <w:r>
        <w:rPr>
          <w:rFonts w:hint="eastAsia" w:ascii="宋体" w:hAnsi="宋体" w:cs="Arial"/>
          <w:b/>
          <w:szCs w:val="21"/>
        </w:rPr>
        <w:t>二、主要人员情况</w:t>
      </w:r>
    </w:p>
    <w:p>
      <w:pPr>
        <w:widowControl/>
        <w:spacing w:line="360" w:lineRule="auto"/>
        <w:ind w:firstLine="420" w:firstLineChars="200"/>
        <w:rPr>
          <w:rFonts w:ascii="宋体" w:hAnsi="宋体" w:cs="Arial"/>
          <w:b/>
          <w:szCs w:val="21"/>
        </w:rPr>
      </w:pPr>
      <w:r>
        <w:rPr>
          <w:rFonts w:hint="eastAsia" w:ascii="宋体" w:hAnsi="宋体" w:cs="Arial"/>
          <w:szCs w:val="21"/>
        </w:rPr>
        <w:t xml:space="preserve">上海银行总行下设资产托管部，是从事资产托管业务的职能部门，内设托管产品部、托管运作部（内设系统管理团队）、行管运作部、稽核监督部，100%员工拥有大学本科及以上学历，业务岗位人员均具有基金从业资格。 </w:t>
      </w:r>
    </w:p>
    <w:p>
      <w:pPr>
        <w:widowControl/>
        <w:spacing w:line="360" w:lineRule="auto"/>
        <w:ind w:firstLine="422" w:firstLineChars="200"/>
        <w:rPr>
          <w:rFonts w:ascii="宋体" w:hAnsi="宋体" w:cs="Arial"/>
          <w:b/>
          <w:szCs w:val="21"/>
        </w:rPr>
      </w:pPr>
      <w:r>
        <w:rPr>
          <w:rFonts w:hint="eastAsia" w:ascii="宋体" w:hAnsi="宋体" w:cs="Arial"/>
          <w:b/>
          <w:szCs w:val="21"/>
        </w:rPr>
        <w:t>三、基金托管业务经营情况</w:t>
      </w:r>
    </w:p>
    <w:p>
      <w:pPr>
        <w:widowControl/>
        <w:spacing w:line="360" w:lineRule="auto"/>
        <w:ind w:firstLine="420" w:firstLineChars="200"/>
        <w:rPr>
          <w:rFonts w:ascii="宋体" w:hAnsi="宋体" w:cs="Arial"/>
          <w:szCs w:val="21"/>
        </w:rPr>
      </w:pPr>
      <w:r>
        <w:rPr>
          <w:rFonts w:hint="eastAsia" w:ascii="宋体" w:hAnsi="宋体" w:cs="Arial"/>
          <w:szCs w:val="21"/>
        </w:rPr>
        <w:t xml:space="preserve">上海银行于2009年8月18日获得中国证监会、中国银监会核准开办证券投资基金托管业务，批准文号：中国证监会证监许可[2009]814号。 </w:t>
      </w:r>
    </w:p>
    <w:p>
      <w:pPr>
        <w:widowControl/>
        <w:spacing w:line="360" w:lineRule="auto"/>
        <w:ind w:firstLine="420" w:firstLineChars="200"/>
        <w:rPr>
          <w:rFonts w:ascii="宋体" w:hAnsi="宋体" w:cs="Arial"/>
          <w:szCs w:val="21"/>
        </w:rPr>
      </w:pPr>
      <w:r>
        <w:rPr>
          <w:rFonts w:hint="eastAsia" w:ascii="宋体" w:hAnsi="宋体" w:cs="Arial"/>
          <w:szCs w:val="21"/>
        </w:rPr>
        <w:t xml:space="preserve">近年来，上海银行顺应市场发展趋势和监管导向，持续深化业务转型，把握市场热点，积极拓展公募基金、银行理财、保险、资产证券化四大重点细分市场，大力提升同业托管竞争力，保险托管规模突破1200亿元，公募基金托管规模突破2100亿元。同时，上海银行持续探索并积极推进托管产品创新，为包括基金公司、证券公司、信托公司、商业银行、保险公司、期货公司和私募投资机构等各类机构提供资产托管服务，形成了托管产品及服务多元化发展的格局，资产托管规模超过2.4万亿元，其中同业机构托管规模超过1.6万亿元。 </w:t>
      </w:r>
    </w:p>
    <w:p>
      <w:pPr>
        <w:widowControl/>
        <w:spacing w:line="360" w:lineRule="auto"/>
        <w:ind w:firstLine="420" w:firstLineChars="200"/>
        <w:rPr>
          <w:rFonts w:ascii="宋体" w:hAnsi="宋体" w:cs="Arial"/>
          <w:b/>
          <w:szCs w:val="21"/>
        </w:rPr>
      </w:pPr>
      <w:r>
        <w:rPr>
          <w:rFonts w:hint="eastAsia" w:ascii="宋体" w:hAnsi="宋体" w:cs="Arial"/>
          <w:szCs w:val="21"/>
        </w:rPr>
        <w:t>截至2023年6月末，上海银行托管的公募证券投资基金已达142只，产品类型涵盖了股票型、混合型、债券型、货币型、指数型、ETF和ETF联接、QDII以及FOF基金等，基金资产净值规模合计约2573.66亿元。</w:t>
      </w:r>
    </w:p>
    <w:p>
      <w:pPr>
        <w:widowControl/>
        <w:spacing w:line="360" w:lineRule="auto"/>
        <w:ind w:firstLine="422" w:firstLineChars="200"/>
        <w:rPr>
          <w:rFonts w:ascii="宋体" w:hAnsi="宋体" w:cs="Arial"/>
          <w:b/>
          <w:szCs w:val="21"/>
        </w:rPr>
      </w:pPr>
      <w:r>
        <w:rPr>
          <w:rFonts w:hint="eastAsia" w:ascii="宋体" w:hAnsi="宋体" w:cs="Arial"/>
          <w:b/>
          <w:szCs w:val="21"/>
        </w:rPr>
        <w:t>四、 基金托管人的内部控制制度</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1、内部控制目标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严格遵守国家有关法律法规、行业监管规章和上海银行有关规定，守法经营、规范运作、严格监察，确保业务的稳健运行，保证基金资产的安全完整，确保有关信息的真实、准确、完整、及时，保护基金份额持有人的合法权益。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2、内部控制组织结构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上海银行基金托管业务内部风险控制组织结构是由总行风险管理部门和资产托管部共同组成。托管业务风险控制纳入全行的风险管理体系；资产托管部配备专职人员负责托管业务内控稽核工作，各业务部室在各自职责范围内实施具体的风险控制措施。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3、内部控制的原则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（1）全面性原则：监督制约必须渗透到托管业务的全过程和各个操作环节，覆盖到资产托管部所有的部室、岗位和人员。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（2）独立性原则：资产托管部内设独立的稽核监督团队，保持高度的独立性和权威性，负责对托管业务风险控制工作进行指导和监督。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（3）相互制约原则：各业务部室在内部组织结构上形成相互制约，建立不同岗位之间的制衡体系。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（4）审慎性原则：内控与风险管理必须以防范风险、审慎经营为前提，保证托管资产的安全与完整；托管业务经营管理必须按照“内控优先”的原则，在新设机构或新增业务时，做到先期完成相关制度建设。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5）有效性原则：内部控制体系应与所处的环境相适应，以合理的成本实现内控目标，内部制度的制订应当具有前瞻性，并应当根据国家政策、法律及经营管理的需要，适时进行相应修改和完善；内部控制应当具有高度的权威性，任何人不得拥有不受内部控制约束的权力，内部控制存在的问题应当能够得到及时反馈和纠正。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4、内部控制制度及措施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（1）建立明确的岗位职责、科学的业务流程、详细的操作手册、严格的人员行为规范等一系列规章制度。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（2）建立托管业务前后台分离，不同岗位相互牵制的管理结构。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（3）专门的稽核监督人员组织各业务部室进行风险识别、评估，制定并实施风险控制措施。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（4）托管业务操作间实施门禁管理和音像监控。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（5）定期开展业务与职业道德培训，使员工树立风险防范与控制理念，并签订承诺书。 </w:t>
      </w:r>
    </w:p>
    <w:p>
      <w:pPr>
        <w:widowControl/>
        <w:spacing w:line="360" w:lineRule="auto"/>
        <w:ind w:firstLine="420" w:firstLineChars="200"/>
        <w:rPr>
          <w:rFonts w:ascii="宋体" w:hAnsi="宋体" w:cs="Arial"/>
          <w:bCs/>
          <w:szCs w:val="21"/>
        </w:rPr>
      </w:pPr>
      <w:r>
        <w:rPr>
          <w:rFonts w:hint="eastAsia" w:ascii="宋体" w:hAnsi="宋体" w:cs="Arial"/>
          <w:bCs/>
          <w:szCs w:val="21"/>
        </w:rPr>
        <w:t xml:space="preserve">（6）制定完备的应急预案，并组织员工定期演练；建立异地灾备，保证业务连续不中断。  </w:t>
      </w:r>
    </w:p>
    <w:p>
      <w:pPr>
        <w:widowControl/>
        <w:spacing w:line="360" w:lineRule="auto"/>
        <w:ind w:firstLine="422" w:firstLineChars="200"/>
        <w:rPr>
          <w:rFonts w:ascii="宋体" w:hAnsi="宋体" w:cs="Arial"/>
          <w:b/>
          <w:szCs w:val="21"/>
        </w:rPr>
      </w:pPr>
      <w:r>
        <w:rPr>
          <w:rFonts w:hint="eastAsia" w:ascii="宋体" w:hAnsi="宋体" w:cs="Arial"/>
          <w:b/>
          <w:szCs w:val="21"/>
        </w:rPr>
        <w:t>五、基金托管人对基金管理人运作基金进行监督的方法和程序</w:t>
      </w:r>
    </w:p>
    <w:p>
      <w:pPr>
        <w:widowControl/>
        <w:spacing w:line="360" w:lineRule="auto"/>
        <w:ind w:firstLine="420" w:firstLineChars="200"/>
        <w:rPr>
          <w:rFonts w:ascii="宋体" w:hAnsi="宋体" w:cs="Arial"/>
          <w:szCs w:val="21"/>
        </w:rPr>
      </w:pPr>
      <w:r>
        <w:rPr>
          <w:rFonts w:hint="eastAsia" w:ascii="宋体" w:hAnsi="宋体" w:cs="Arial"/>
          <w:szCs w:val="21"/>
        </w:rPr>
        <w:t xml:space="preserve">基金托管人负有对基金管理人的投资运作行使监督权的职责。根据《基金法》、《运作办法》、基金合同及其他有关规定，托管人对基金的投资对象和范围、投资组合比例、投资限制、费用的计提和支付方式、基金会计核算、基金资产估值和基金净值的计算、收益分配、申购赎回以及其他有关基金投资和运作的事项，对基金管理人进行业务监督、核查。 </w:t>
      </w:r>
    </w:p>
    <w:p>
      <w:pPr>
        <w:widowControl/>
        <w:spacing w:line="360" w:lineRule="auto"/>
        <w:ind w:firstLine="420" w:firstLineChars="200"/>
        <w:rPr>
          <w:rFonts w:ascii="宋体" w:hAnsi="宋体" w:cs="Arial"/>
          <w:szCs w:val="21"/>
        </w:rPr>
      </w:pPr>
      <w:r>
        <w:rPr>
          <w:rFonts w:hint="eastAsia" w:ascii="宋体" w:hAnsi="宋体" w:cs="Arial"/>
          <w:szCs w:val="21"/>
        </w:rPr>
        <w:t xml:space="preserve">基金托管人发现基金管理人有违反法律法规和基金合同的行为，应及时以书面形式通知基金管理人限期纠正，基金管理人收到通知后应及时核对并以书面形式对基金托管人发出回函。在限期内，基金托管人有权随时对通知事项进行复查，督促基金管理人改正。基金管理人对基金托管人通知的违规事项未能在限期内纠正的，基金托管人应报告中国证监会。 </w:t>
      </w:r>
    </w:p>
    <w:p>
      <w:pPr>
        <w:widowControl/>
        <w:spacing w:line="360" w:lineRule="auto"/>
        <w:ind w:firstLine="420" w:firstLineChars="200"/>
        <w:rPr>
          <w:rFonts w:ascii="宋体" w:hAnsi="宋体" w:cs="Arial"/>
          <w:szCs w:val="21"/>
        </w:rPr>
      </w:pPr>
      <w:r>
        <w:rPr>
          <w:rFonts w:hint="eastAsia" w:ascii="宋体" w:hAnsi="宋体" w:cs="Arial"/>
          <w:szCs w:val="21"/>
        </w:rPr>
        <w:t xml:space="preserve">基金托管人发现基金管理人有重大违规行为，立即报告中国证监会，同时，通知基金管理人限期纠正，并将纠正结果报告中国证监会。 </w:t>
      </w:r>
    </w:p>
    <w:p>
      <w:pPr>
        <w:widowControl/>
        <w:spacing w:line="360" w:lineRule="auto"/>
        <w:ind w:firstLine="420" w:firstLineChars="200"/>
        <w:rPr>
          <w:rFonts w:ascii="宋体" w:hAnsi="宋体" w:cs="Arial"/>
          <w:szCs w:val="21"/>
        </w:rPr>
      </w:pPr>
      <w:r>
        <w:rPr>
          <w:rFonts w:hint="eastAsia" w:ascii="宋体" w:hAnsi="宋体" w:cs="Arial"/>
          <w:szCs w:val="21"/>
        </w:rPr>
        <w:t xml:space="preserve">基金托管人发现基金管理人的指令违反法律、行政法规和其他有关规定，或者违反基金合同约定的，应当拒绝执行，立即通知基金管理人，并及时向中国证监会报告。 </w:t>
      </w:r>
    </w:p>
    <w:p>
      <w:pPr>
        <w:widowControl/>
        <w:spacing w:line="360" w:lineRule="auto"/>
        <w:jc w:val="left"/>
        <w:rPr>
          <w:color w:val="000000"/>
        </w:rPr>
        <w:sectPr>
          <w:footerReference r:id="rId8" w:type="first"/>
          <w:footerReference r:id="rId7" w:type="default"/>
          <w:pgSz w:w="11906" w:h="16838"/>
          <w:pgMar w:top="1440" w:right="1800" w:bottom="1440" w:left="1800" w:header="851" w:footer="992" w:gutter="0"/>
          <w:pgNumType w:start="1"/>
          <w:cols w:space="425" w:num="1"/>
          <w:titlePg/>
          <w:docGrid w:type="lines" w:linePitch="312" w:charSpace="0"/>
        </w:sectPr>
      </w:pPr>
      <w:r>
        <w:rPr>
          <w:rFonts w:hint="eastAsia" w:ascii="宋体" w:hAnsi="宋体" w:cs="Arial"/>
          <w:szCs w:val="21"/>
        </w:rPr>
        <w:t>基金托管人发现基金管理人依据交易程序已经生效的投资指令违反法律、行政法规和其他有关规定，或者违反基金合同约定的，应当立即通知基金管理人，并及时向中国证监会报告。</w:t>
      </w:r>
    </w:p>
    <w:p>
      <w:pPr>
        <w:pStyle w:val="4"/>
        <w:numPr>
          <w:ilvl w:val="0"/>
          <w:numId w:val="25"/>
        </w:numPr>
        <w:snapToGrid w:val="0"/>
        <w:spacing w:before="0" w:after="0" w:line="360" w:lineRule="auto"/>
        <w:jc w:val="center"/>
      </w:pPr>
      <w:bookmarkStart w:id="50" w:name="_Toc411872027"/>
      <w:bookmarkStart w:id="51" w:name="_Toc336606230"/>
      <w:bookmarkStart w:id="52" w:name="_Toc327902626"/>
      <w:bookmarkStart w:id="53" w:name="_Toc335899836"/>
      <w:bookmarkStart w:id="54" w:name="_Toc92740288"/>
      <w:bookmarkStart w:id="55" w:name="_Toc375295976"/>
      <w:bookmarkStart w:id="56" w:name="_Toc369510011"/>
      <w:bookmarkStart w:id="57" w:name="_Toc332013113"/>
      <w:r>
        <w:rPr>
          <w:rFonts w:hint="eastAsia"/>
        </w:rPr>
        <w:t>相关服务机构</w:t>
      </w:r>
      <w:bookmarkEnd w:id="50"/>
      <w:bookmarkEnd w:id="51"/>
      <w:bookmarkEnd w:id="52"/>
      <w:bookmarkEnd w:id="53"/>
      <w:bookmarkEnd w:id="54"/>
      <w:bookmarkEnd w:id="55"/>
      <w:bookmarkEnd w:id="56"/>
      <w:bookmarkEnd w:id="57"/>
    </w:p>
    <w:p>
      <w:pPr>
        <w:pStyle w:val="163"/>
        <w:ind w:firstLine="422"/>
        <w:rPr>
          <w:b/>
        </w:rPr>
      </w:pPr>
      <w:r>
        <w:rPr>
          <w:rFonts w:hint="eastAsia"/>
          <w:b/>
        </w:rPr>
        <w:t>一、基金份额销售机构</w:t>
      </w:r>
    </w:p>
    <w:p>
      <w:pPr>
        <w:adjustRightInd w:val="0"/>
        <w:snapToGrid w:val="0"/>
        <w:spacing w:line="360" w:lineRule="auto"/>
        <w:ind w:firstLine="420" w:firstLineChars="200"/>
        <w:rPr>
          <w:rFonts w:eastAsiaTheme="minorEastAsia"/>
        </w:rPr>
      </w:pPr>
      <w:r>
        <w:rPr>
          <w:rFonts w:eastAsiaTheme="minorEastAsia"/>
        </w:rPr>
        <w:t>1、直销机构</w:t>
      </w:r>
    </w:p>
    <w:p>
      <w:pPr>
        <w:adjustRightInd w:val="0"/>
        <w:snapToGrid w:val="0"/>
        <w:spacing w:line="360" w:lineRule="auto"/>
        <w:ind w:firstLine="420" w:firstLineChars="200"/>
        <w:rPr>
          <w:rFonts w:eastAsiaTheme="minorEastAsia"/>
        </w:rPr>
      </w:pPr>
      <w:r>
        <w:rPr>
          <w:rFonts w:eastAsiaTheme="minorEastAsia"/>
        </w:rPr>
        <w:t>博时基金管理有限公司</w:t>
      </w:r>
      <w:bookmarkStart w:id="58" w:name="_Hlk83213314"/>
      <w:r>
        <w:rPr>
          <w:rFonts w:eastAsiaTheme="minorEastAsia"/>
        </w:rPr>
        <w:t>北京直销中心</w:t>
      </w:r>
      <w:bookmarkEnd w:id="58"/>
    </w:p>
    <w:p>
      <w:pPr>
        <w:adjustRightInd w:val="0"/>
        <w:snapToGrid w:val="0"/>
        <w:spacing w:line="360" w:lineRule="auto"/>
        <w:ind w:firstLine="420" w:firstLineChars="200"/>
        <w:rPr>
          <w:rFonts w:eastAsiaTheme="minorEastAsia"/>
        </w:rPr>
      </w:pPr>
      <w:r>
        <w:rPr>
          <w:rFonts w:eastAsiaTheme="minorEastAsia"/>
        </w:rPr>
        <w:t>名称：博时基金管理有限公司北京直销中心</w:t>
      </w:r>
    </w:p>
    <w:p>
      <w:pPr>
        <w:adjustRightInd w:val="0"/>
        <w:snapToGrid w:val="0"/>
        <w:spacing w:line="360" w:lineRule="auto"/>
        <w:ind w:firstLine="420" w:firstLineChars="200"/>
        <w:rPr>
          <w:rFonts w:eastAsiaTheme="minorEastAsia"/>
        </w:rPr>
      </w:pPr>
      <w:r>
        <w:rPr>
          <w:rFonts w:eastAsiaTheme="minorEastAsia"/>
        </w:rPr>
        <w:t>地址：北京市建国门内大街18号恒基中心1座23层</w:t>
      </w:r>
    </w:p>
    <w:p>
      <w:pPr>
        <w:adjustRightInd w:val="0"/>
        <w:snapToGrid w:val="0"/>
        <w:spacing w:line="360" w:lineRule="auto"/>
        <w:ind w:firstLine="420" w:firstLineChars="200"/>
        <w:rPr>
          <w:rFonts w:eastAsiaTheme="minorEastAsia"/>
        </w:rPr>
      </w:pPr>
      <w:r>
        <w:rPr>
          <w:rFonts w:eastAsiaTheme="minorEastAsia"/>
        </w:rPr>
        <w:t>电话：010-65187055</w:t>
      </w:r>
    </w:p>
    <w:p>
      <w:pPr>
        <w:adjustRightInd w:val="0"/>
        <w:snapToGrid w:val="0"/>
        <w:spacing w:line="360" w:lineRule="auto"/>
        <w:ind w:firstLine="420" w:firstLineChars="200"/>
        <w:rPr>
          <w:rFonts w:eastAsiaTheme="minorEastAsia"/>
        </w:rPr>
      </w:pPr>
      <w:r>
        <w:rPr>
          <w:rFonts w:eastAsiaTheme="minorEastAsia"/>
        </w:rPr>
        <w:t>传真：010-65187032</w:t>
      </w:r>
    </w:p>
    <w:p>
      <w:pPr>
        <w:adjustRightInd w:val="0"/>
        <w:snapToGrid w:val="0"/>
        <w:spacing w:line="360" w:lineRule="auto"/>
        <w:ind w:firstLine="420" w:firstLineChars="200"/>
        <w:rPr>
          <w:rFonts w:eastAsiaTheme="minorEastAsia"/>
        </w:rPr>
      </w:pPr>
      <w:r>
        <w:rPr>
          <w:rFonts w:eastAsiaTheme="minorEastAsia"/>
        </w:rPr>
        <w:t>联系人：韩明亮</w:t>
      </w:r>
    </w:p>
    <w:p>
      <w:pPr>
        <w:adjustRightInd w:val="0"/>
        <w:snapToGrid w:val="0"/>
        <w:spacing w:line="360" w:lineRule="auto"/>
        <w:ind w:firstLine="420" w:firstLineChars="200"/>
        <w:rPr>
          <w:rFonts w:eastAsiaTheme="minorEastAsia"/>
        </w:rPr>
      </w:pPr>
      <w:r>
        <w:rPr>
          <w:rFonts w:eastAsiaTheme="minorEastAsia"/>
        </w:rPr>
        <w:t>博时一线通：95105568（免长途话费）</w:t>
      </w:r>
    </w:p>
    <w:p>
      <w:pPr>
        <w:adjustRightInd w:val="0"/>
        <w:snapToGrid w:val="0"/>
        <w:spacing w:line="360" w:lineRule="auto"/>
        <w:ind w:firstLine="420" w:firstLineChars="200"/>
        <w:rPr>
          <w:rFonts w:eastAsiaTheme="minorEastAsia"/>
        </w:rPr>
      </w:pPr>
      <w:r>
        <w:rPr>
          <w:rFonts w:eastAsiaTheme="minorEastAsia"/>
        </w:rPr>
        <w:t>2、基金管理人可根据有关法律法规的要求，选择其他符合要求的机构销售本基金，并在基金管理人网站公示。</w:t>
      </w:r>
    </w:p>
    <w:p>
      <w:pPr>
        <w:snapToGrid w:val="0"/>
        <w:spacing w:line="360" w:lineRule="auto"/>
        <w:ind w:firstLine="420" w:firstLineChars="200"/>
      </w:pPr>
      <w:r>
        <w:rPr>
          <w:rFonts w:eastAsiaTheme="minorEastAsia"/>
        </w:rPr>
        <w:t>基金销售机构的具体名单见基金份额发售公告及基金管理人网站，基金管理人可依据实际情况增减、变更基金销售机构，并在基金管理人网站公示。</w:t>
      </w:r>
    </w:p>
    <w:p>
      <w:pPr>
        <w:pStyle w:val="163"/>
        <w:ind w:firstLine="422"/>
        <w:rPr>
          <w:b/>
        </w:rPr>
      </w:pPr>
      <w:r>
        <w:rPr>
          <w:b/>
        </w:rPr>
        <w:t>二、登记机构</w:t>
      </w:r>
    </w:p>
    <w:p>
      <w:pPr>
        <w:snapToGrid w:val="0"/>
        <w:spacing w:line="360" w:lineRule="auto"/>
        <w:ind w:firstLine="420" w:firstLineChars="200"/>
      </w:pPr>
      <w:r>
        <w:t>名称：博时基金管理有限公司</w:t>
      </w:r>
    </w:p>
    <w:p>
      <w:pPr>
        <w:snapToGrid w:val="0"/>
        <w:spacing w:line="360" w:lineRule="auto"/>
        <w:ind w:firstLine="420" w:firstLineChars="200"/>
      </w:pPr>
      <w:r>
        <w:t>住所：深圳市福田区莲花街道福新社区益田路5999号基金大厦21层</w:t>
      </w:r>
    </w:p>
    <w:p>
      <w:pPr>
        <w:snapToGrid w:val="0"/>
        <w:spacing w:line="360" w:lineRule="auto"/>
        <w:ind w:firstLine="420" w:firstLineChars="200"/>
      </w:pPr>
      <w:r>
        <w:t>办公地址：北京市东城区建国门内大街8号中粮广场C座6层609</w:t>
      </w:r>
    </w:p>
    <w:p>
      <w:pPr>
        <w:snapToGrid w:val="0"/>
        <w:spacing w:line="360" w:lineRule="auto"/>
        <w:ind w:firstLine="420" w:firstLineChars="200"/>
      </w:pPr>
      <w:r>
        <w:t>法定代表人：江向阳</w:t>
      </w:r>
    </w:p>
    <w:p>
      <w:pPr>
        <w:adjustRightInd w:val="0"/>
        <w:snapToGrid w:val="0"/>
        <w:spacing w:line="360" w:lineRule="auto"/>
        <w:ind w:firstLine="420" w:firstLineChars="200"/>
      </w:pPr>
      <w:r>
        <w:t>电话：010-65171166</w:t>
      </w:r>
    </w:p>
    <w:p>
      <w:pPr>
        <w:adjustRightInd w:val="0"/>
        <w:snapToGrid w:val="0"/>
        <w:spacing w:line="360" w:lineRule="auto"/>
        <w:ind w:firstLine="420" w:firstLineChars="200"/>
      </w:pPr>
      <w:r>
        <w:t>传真：010-65187068</w:t>
      </w:r>
    </w:p>
    <w:p>
      <w:pPr>
        <w:adjustRightInd w:val="0"/>
        <w:snapToGrid w:val="0"/>
        <w:spacing w:line="360" w:lineRule="auto"/>
        <w:ind w:firstLine="420" w:firstLineChars="200"/>
      </w:pPr>
      <w:r>
        <w:t>联系人：</w:t>
      </w:r>
      <w:r>
        <w:rPr>
          <w:rFonts w:hint="eastAsia"/>
        </w:rPr>
        <w:t>佀方方</w:t>
      </w:r>
    </w:p>
    <w:p>
      <w:pPr>
        <w:pStyle w:val="163"/>
        <w:ind w:firstLine="422"/>
        <w:rPr>
          <w:b/>
        </w:rPr>
      </w:pPr>
      <w:r>
        <w:rPr>
          <w:b/>
        </w:rPr>
        <w:t>三、出具法律意见书的律师事务所</w:t>
      </w:r>
    </w:p>
    <w:p>
      <w:pPr>
        <w:snapToGrid w:val="0"/>
        <w:spacing w:line="360" w:lineRule="auto"/>
        <w:ind w:firstLine="420" w:firstLineChars="200"/>
        <w:rPr>
          <w:rFonts w:eastAsiaTheme="minorEastAsia"/>
          <w:color w:val="000000"/>
          <w:kern w:val="0"/>
          <w:szCs w:val="21"/>
        </w:rPr>
      </w:pPr>
      <w:r>
        <w:rPr>
          <w:rFonts w:hint="eastAsia" w:eastAsiaTheme="minorEastAsia"/>
          <w:color w:val="000000"/>
          <w:kern w:val="0"/>
          <w:szCs w:val="21"/>
        </w:rPr>
        <w:t>名称：上海源泰律师事务所</w:t>
      </w:r>
    </w:p>
    <w:p>
      <w:pPr>
        <w:snapToGrid w:val="0"/>
        <w:spacing w:line="360" w:lineRule="auto"/>
        <w:ind w:firstLine="420" w:firstLineChars="200"/>
        <w:rPr>
          <w:rFonts w:eastAsiaTheme="minorEastAsia"/>
          <w:color w:val="000000"/>
          <w:kern w:val="0"/>
          <w:szCs w:val="21"/>
        </w:rPr>
      </w:pPr>
      <w:r>
        <w:rPr>
          <w:rFonts w:hint="eastAsia" w:eastAsiaTheme="minorEastAsia"/>
          <w:color w:val="000000"/>
          <w:kern w:val="0"/>
          <w:szCs w:val="21"/>
        </w:rPr>
        <w:t>注册地址：上海市</w:t>
      </w:r>
      <w:bookmarkStart w:id="214" w:name="_GoBack"/>
      <w:bookmarkEnd w:id="214"/>
      <w:r>
        <w:rPr>
          <w:rFonts w:hint="eastAsia" w:eastAsiaTheme="minorEastAsia"/>
          <w:color w:val="000000"/>
          <w:kern w:val="0"/>
          <w:szCs w:val="21"/>
        </w:rPr>
        <w:t>浦东新区浦东南路256号华夏银行大厦14楼</w:t>
      </w:r>
    </w:p>
    <w:p>
      <w:pPr>
        <w:snapToGrid w:val="0"/>
        <w:spacing w:line="360" w:lineRule="auto"/>
        <w:ind w:firstLine="420" w:firstLineChars="200"/>
        <w:rPr>
          <w:rFonts w:eastAsiaTheme="minorEastAsia"/>
          <w:color w:val="000000"/>
          <w:kern w:val="0"/>
          <w:szCs w:val="21"/>
        </w:rPr>
      </w:pPr>
      <w:r>
        <w:rPr>
          <w:rFonts w:hint="eastAsia" w:eastAsiaTheme="minorEastAsia"/>
          <w:color w:val="000000"/>
          <w:kern w:val="0"/>
          <w:szCs w:val="21"/>
        </w:rPr>
        <w:t>办公地址：上海市浦东新区浦东南路256号华夏银行大厦14楼</w:t>
      </w:r>
    </w:p>
    <w:p>
      <w:pPr>
        <w:snapToGrid w:val="0"/>
        <w:spacing w:line="360" w:lineRule="auto"/>
        <w:ind w:firstLine="420" w:firstLineChars="200"/>
        <w:rPr>
          <w:rFonts w:eastAsiaTheme="minorEastAsia"/>
          <w:color w:val="000000"/>
          <w:kern w:val="0"/>
          <w:szCs w:val="21"/>
        </w:rPr>
      </w:pPr>
      <w:r>
        <w:rPr>
          <w:rFonts w:hint="eastAsia" w:eastAsiaTheme="minorEastAsia"/>
          <w:color w:val="000000"/>
          <w:kern w:val="0"/>
          <w:szCs w:val="21"/>
        </w:rPr>
        <w:t>负责人：廖海</w:t>
      </w:r>
    </w:p>
    <w:p>
      <w:pPr>
        <w:snapToGrid w:val="0"/>
        <w:spacing w:line="360" w:lineRule="auto"/>
        <w:ind w:firstLine="420" w:firstLineChars="200"/>
        <w:rPr>
          <w:rFonts w:eastAsiaTheme="minorEastAsia"/>
          <w:color w:val="000000"/>
          <w:kern w:val="0"/>
          <w:szCs w:val="21"/>
        </w:rPr>
      </w:pPr>
      <w:r>
        <w:rPr>
          <w:rFonts w:hint="eastAsia" w:eastAsiaTheme="minorEastAsia"/>
          <w:color w:val="000000"/>
          <w:kern w:val="0"/>
          <w:szCs w:val="21"/>
        </w:rPr>
        <w:t>电话： 021- 51150298</w:t>
      </w:r>
    </w:p>
    <w:p>
      <w:pPr>
        <w:snapToGrid w:val="0"/>
        <w:spacing w:line="360" w:lineRule="auto"/>
        <w:ind w:firstLine="420" w:firstLineChars="200"/>
        <w:rPr>
          <w:rFonts w:eastAsiaTheme="minorEastAsia"/>
          <w:color w:val="000000"/>
          <w:kern w:val="0"/>
          <w:szCs w:val="21"/>
        </w:rPr>
      </w:pPr>
      <w:r>
        <w:rPr>
          <w:rFonts w:hint="eastAsia" w:eastAsiaTheme="minorEastAsia"/>
          <w:color w:val="000000"/>
          <w:kern w:val="0"/>
          <w:szCs w:val="21"/>
        </w:rPr>
        <w:t>传真： 021- 51150398</w:t>
      </w:r>
    </w:p>
    <w:p>
      <w:pPr>
        <w:snapToGrid w:val="0"/>
        <w:spacing w:line="360" w:lineRule="auto"/>
        <w:ind w:firstLine="420" w:firstLineChars="200"/>
        <w:rPr>
          <w:rFonts w:eastAsiaTheme="minorEastAsia"/>
          <w:color w:val="000000"/>
          <w:kern w:val="0"/>
          <w:szCs w:val="21"/>
        </w:rPr>
      </w:pPr>
      <w:r>
        <w:rPr>
          <w:rFonts w:hint="eastAsia" w:eastAsiaTheme="minorEastAsia"/>
          <w:color w:val="000000"/>
          <w:kern w:val="0"/>
          <w:szCs w:val="21"/>
        </w:rPr>
        <w:t>联系人：廖海</w:t>
      </w:r>
    </w:p>
    <w:p>
      <w:pPr>
        <w:snapToGrid w:val="0"/>
        <w:spacing w:line="360" w:lineRule="auto"/>
        <w:ind w:firstLine="420" w:firstLineChars="200"/>
        <w:rPr>
          <w:rFonts w:eastAsiaTheme="minorEastAsia"/>
          <w:color w:val="000000"/>
          <w:kern w:val="0"/>
          <w:szCs w:val="21"/>
        </w:rPr>
      </w:pPr>
      <w:r>
        <w:rPr>
          <w:rFonts w:hint="eastAsia" w:eastAsiaTheme="minorEastAsia"/>
          <w:color w:val="000000"/>
          <w:kern w:val="0"/>
          <w:szCs w:val="21"/>
        </w:rPr>
        <w:t>经办律师：廖海、刘佳</w:t>
      </w:r>
    </w:p>
    <w:p>
      <w:pPr>
        <w:pStyle w:val="163"/>
        <w:numPr>
          <w:ilvl w:val="0"/>
          <w:numId w:val="26"/>
        </w:numPr>
        <w:ind w:firstLine="422"/>
        <w:rPr>
          <w:rFonts w:hint="eastAsia"/>
          <w:b/>
        </w:rPr>
      </w:pPr>
      <w:r>
        <w:rPr>
          <w:rFonts w:hint="eastAsia"/>
          <w:b/>
        </w:rPr>
        <w:t>会计师事务所和经办注册会计师</w:t>
      </w:r>
    </w:p>
    <w:p>
      <w:pPr>
        <w:pStyle w:val="163"/>
        <w:numPr>
          <w:ilvl w:val="-1"/>
          <w:numId w:val="0"/>
        </w:numPr>
        <w:ind w:firstLine="420" w:firstLineChars="0"/>
        <w:rPr>
          <w:b/>
        </w:rPr>
      </w:pPr>
      <w:r>
        <w:rPr>
          <w:rFonts w:hint="eastAsia"/>
          <w:kern w:val="0"/>
          <w:szCs w:val="21"/>
        </w:rPr>
        <w:t>本基金的法定验资机构和年度财务报表及其他规定事项的审计机构为安永华明会计师事务所（特殊普通合伙）</w:t>
      </w:r>
    </w:p>
    <w:p>
      <w:pPr>
        <w:numPr>
          <w:ilvl w:val="12"/>
          <w:numId w:val="0"/>
        </w:numPr>
        <w:snapToGrid w:val="0"/>
        <w:spacing w:line="360" w:lineRule="auto"/>
        <w:ind w:firstLine="420" w:firstLineChars="200"/>
        <w:rPr>
          <w:kern w:val="0"/>
          <w:szCs w:val="21"/>
        </w:rPr>
      </w:pPr>
      <w:r>
        <w:rPr>
          <w:kern w:val="0"/>
          <w:szCs w:val="21"/>
        </w:rPr>
        <w:t>名称：安永华明会计师事务所（特殊普通合伙）</w:t>
      </w:r>
    </w:p>
    <w:p>
      <w:pPr>
        <w:numPr>
          <w:ilvl w:val="12"/>
          <w:numId w:val="0"/>
        </w:numPr>
        <w:snapToGrid w:val="0"/>
        <w:spacing w:line="360" w:lineRule="auto"/>
        <w:ind w:firstLine="420" w:firstLineChars="200"/>
        <w:rPr>
          <w:kern w:val="0"/>
          <w:szCs w:val="21"/>
        </w:rPr>
      </w:pPr>
      <w:r>
        <w:rPr>
          <w:kern w:val="0"/>
          <w:szCs w:val="21"/>
        </w:rPr>
        <w:t>住所：北京市东城区东长安街1号东方广场安永大楼17层01-12室</w:t>
      </w:r>
    </w:p>
    <w:p>
      <w:pPr>
        <w:numPr>
          <w:ilvl w:val="12"/>
          <w:numId w:val="0"/>
        </w:numPr>
        <w:snapToGrid w:val="0"/>
        <w:spacing w:line="360" w:lineRule="auto"/>
        <w:ind w:firstLine="420" w:firstLineChars="200"/>
        <w:rPr>
          <w:kern w:val="0"/>
          <w:szCs w:val="21"/>
        </w:rPr>
      </w:pPr>
      <w:r>
        <w:rPr>
          <w:kern w:val="0"/>
          <w:szCs w:val="21"/>
        </w:rPr>
        <w:t>办公地址：北京市东城区东长安街1号东方广场安永大楼17层01-12室</w:t>
      </w:r>
    </w:p>
    <w:p>
      <w:pPr>
        <w:numPr>
          <w:ilvl w:val="12"/>
          <w:numId w:val="0"/>
        </w:numPr>
        <w:snapToGrid w:val="0"/>
        <w:spacing w:line="360" w:lineRule="auto"/>
        <w:ind w:firstLine="420" w:firstLineChars="200"/>
        <w:rPr>
          <w:kern w:val="0"/>
          <w:szCs w:val="21"/>
        </w:rPr>
      </w:pPr>
      <w:r>
        <w:rPr>
          <w:kern w:val="0"/>
          <w:szCs w:val="21"/>
        </w:rPr>
        <w:t>执行事务合伙人：毛鞍宁</w:t>
      </w:r>
    </w:p>
    <w:p>
      <w:pPr>
        <w:numPr>
          <w:ilvl w:val="12"/>
          <w:numId w:val="0"/>
        </w:numPr>
        <w:snapToGrid w:val="0"/>
        <w:spacing w:line="360" w:lineRule="auto"/>
        <w:ind w:firstLine="420" w:firstLineChars="200"/>
        <w:rPr>
          <w:kern w:val="0"/>
          <w:szCs w:val="21"/>
        </w:rPr>
      </w:pPr>
      <w:r>
        <w:rPr>
          <w:kern w:val="0"/>
          <w:szCs w:val="21"/>
        </w:rPr>
        <w:t>联系电话：（010）58153000</w:t>
      </w:r>
    </w:p>
    <w:p>
      <w:pPr>
        <w:numPr>
          <w:ilvl w:val="12"/>
          <w:numId w:val="0"/>
        </w:numPr>
        <w:snapToGrid w:val="0"/>
        <w:spacing w:line="360" w:lineRule="auto"/>
        <w:ind w:firstLine="420" w:firstLineChars="200"/>
        <w:rPr>
          <w:kern w:val="0"/>
          <w:szCs w:val="21"/>
        </w:rPr>
      </w:pPr>
      <w:r>
        <w:rPr>
          <w:kern w:val="0"/>
          <w:szCs w:val="21"/>
        </w:rPr>
        <w:t>传真电话：（010）85188298</w:t>
      </w:r>
    </w:p>
    <w:p>
      <w:pPr>
        <w:numPr>
          <w:ilvl w:val="12"/>
          <w:numId w:val="0"/>
        </w:numPr>
        <w:snapToGrid w:val="0"/>
        <w:spacing w:line="360" w:lineRule="auto"/>
        <w:ind w:firstLine="420" w:firstLineChars="200"/>
        <w:rPr>
          <w:kern w:val="0"/>
          <w:szCs w:val="21"/>
        </w:rPr>
      </w:pPr>
      <w:r>
        <w:rPr>
          <w:kern w:val="0"/>
          <w:szCs w:val="21"/>
        </w:rPr>
        <w:t>经办注册会计师：</w:t>
      </w:r>
      <w:r>
        <w:rPr>
          <w:rFonts w:hint="eastAsia"/>
          <w:kern w:val="0"/>
          <w:szCs w:val="21"/>
        </w:rPr>
        <w:t>蒋燕华、</w:t>
      </w:r>
      <w:r>
        <w:rPr>
          <w:kern w:val="0"/>
          <w:szCs w:val="21"/>
        </w:rPr>
        <w:t>朱燕</w:t>
      </w:r>
    </w:p>
    <w:p>
      <w:pPr>
        <w:numPr>
          <w:ilvl w:val="12"/>
          <w:numId w:val="0"/>
        </w:numPr>
        <w:snapToGrid w:val="0"/>
        <w:spacing w:line="360" w:lineRule="auto"/>
        <w:ind w:firstLine="420" w:firstLineChars="200"/>
        <w:rPr>
          <w:kern w:val="0"/>
          <w:szCs w:val="21"/>
        </w:rPr>
      </w:pPr>
      <w:r>
        <w:rPr>
          <w:kern w:val="0"/>
          <w:szCs w:val="21"/>
        </w:rPr>
        <w:t>联系人：朱燕</w:t>
      </w:r>
    </w:p>
    <w:p>
      <w:pPr>
        <w:pStyle w:val="163"/>
        <w:rPr>
          <w:color w:val="000000"/>
        </w:rPr>
        <w:sectPr>
          <w:footerReference r:id="rId10" w:type="first"/>
          <w:footerReference r:id="rId9" w:type="defaul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59" w:name="_Toc335899838"/>
      <w:bookmarkStart w:id="60" w:name="_Toc375295978"/>
      <w:bookmarkStart w:id="61" w:name="_Toc332013115"/>
      <w:bookmarkStart w:id="62" w:name="_Toc336606232"/>
      <w:bookmarkStart w:id="63" w:name="_Toc327902629"/>
      <w:bookmarkStart w:id="64" w:name="_Toc411872029"/>
      <w:bookmarkStart w:id="65" w:name="_Toc92740289"/>
      <w:bookmarkStart w:id="66" w:name="_Toc369510013"/>
      <w:r>
        <w:rPr>
          <w:rFonts w:hint="eastAsia"/>
        </w:rPr>
        <w:t>基金的发售</w:t>
      </w:r>
      <w:bookmarkEnd w:id="59"/>
      <w:bookmarkEnd w:id="60"/>
      <w:bookmarkEnd w:id="61"/>
      <w:bookmarkEnd w:id="62"/>
      <w:bookmarkEnd w:id="63"/>
      <w:bookmarkEnd w:id="64"/>
      <w:bookmarkEnd w:id="65"/>
      <w:bookmarkEnd w:id="66"/>
    </w:p>
    <w:p>
      <w:pPr>
        <w:autoSpaceDE w:val="0"/>
        <w:autoSpaceDN w:val="0"/>
        <w:adjustRightInd w:val="0"/>
        <w:snapToGrid w:val="0"/>
        <w:spacing w:line="360" w:lineRule="auto"/>
        <w:ind w:firstLine="420" w:firstLineChars="200"/>
        <w:rPr>
          <w:szCs w:val="21"/>
        </w:rPr>
      </w:pPr>
      <w:r>
        <w:rPr>
          <w:rFonts w:hint="eastAsia" w:ascii="宋体" w:hAnsi="宋体" w:eastAsia="宋体" w:cs="宋体"/>
          <w:szCs w:val="21"/>
        </w:rPr>
        <w:t>基金管理人按照《基金法》、《运作办法》、《销售办法》、基金合同及其他有关规定募集本基金，并于202</w:t>
      </w:r>
      <w:r>
        <w:rPr>
          <w:rFonts w:hint="eastAsia" w:ascii="宋体" w:hAnsi="宋体" w:eastAsia="宋体" w:cs="宋体"/>
          <w:szCs w:val="21"/>
          <w:lang w:val="en-US" w:eastAsia="zh-CN"/>
        </w:rPr>
        <w:t>4</w:t>
      </w:r>
      <w:r>
        <w:rPr>
          <w:rFonts w:hint="eastAsia" w:ascii="宋体" w:hAnsi="宋体" w:eastAsia="宋体" w:cs="宋体"/>
          <w:szCs w:val="21"/>
        </w:rPr>
        <w:t>年</w:t>
      </w:r>
      <w:r>
        <w:rPr>
          <w:rFonts w:hint="eastAsia" w:ascii="宋体" w:hAnsi="宋体" w:eastAsia="宋体" w:cs="宋体"/>
          <w:szCs w:val="21"/>
          <w:lang w:val="en-US" w:eastAsia="zh-CN"/>
        </w:rPr>
        <w:t>1</w:t>
      </w:r>
      <w:r>
        <w:rPr>
          <w:rFonts w:hint="eastAsia" w:ascii="宋体" w:hAnsi="宋体" w:eastAsia="宋体" w:cs="宋体"/>
          <w:szCs w:val="21"/>
        </w:rPr>
        <w:t>月</w:t>
      </w:r>
      <w:r>
        <w:rPr>
          <w:rFonts w:hint="eastAsia" w:ascii="宋体" w:hAnsi="宋体" w:eastAsia="宋体" w:cs="宋体"/>
          <w:szCs w:val="21"/>
          <w:lang w:val="en-US" w:eastAsia="zh-CN"/>
        </w:rPr>
        <w:t>12</w:t>
      </w:r>
      <w:r>
        <w:rPr>
          <w:rFonts w:hint="eastAsia" w:ascii="宋体" w:hAnsi="宋体" w:eastAsia="宋体" w:cs="宋体"/>
          <w:szCs w:val="21"/>
        </w:rPr>
        <w:t>日经</w:t>
      </w:r>
      <w:r>
        <w:rPr>
          <w:rFonts w:hint="eastAsia" w:ascii="宋体" w:hAnsi="宋体" w:eastAsia="宋体" w:cs="宋体"/>
          <w:kern w:val="0"/>
          <w:szCs w:val="21"/>
        </w:rPr>
        <w:t>中国证监会</w:t>
      </w:r>
      <w:r>
        <w:rPr>
          <w:rFonts w:hint="eastAsia" w:ascii="宋体" w:hAnsi="宋体" w:eastAsia="宋体" w:cs="宋体"/>
          <w:kern w:val="0"/>
          <w:szCs w:val="21"/>
          <w:lang w:val="en-US" w:eastAsia="zh-CN"/>
        </w:rPr>
        <w:t>证监许可[2024]87号文</w:t>
      </w:r>
      <w:r>
        <w:rPr>
          <w:rFonts w:hint="eastAsia" w:ascii="宋体" w:hAnsi="宋体" w:eastAsia="宋体" w:cs="宋体"/>
          <w:szCs w:val="21"/>
        </w:rPr>
        <w:t>准</w:t>
      </w:r>
      <w:r>
        <w:rPr>
          <w:szCs w:val="21"/>
        </w:rPr>
        <w:t>予募集注册。</w:t>
      </w:r>
    </w:p>
    <w:p>
      <w:pPr>
        <w:adjustRightInd w:val="0"/>
        <w:snapToGrid w:val="0"/>
        <w:spacing w:line="360" w:lineRule="auto"/>
        <w:ind w:firstLine="424" w:firstLineChars="201"/>
        <w:rPr>
          <w:b/>
          <w:kern w:val="0"/>
        </w:rPr>
      </w:pPr>
      <w:r>
        <w:rPr>
          <w:b/>
          <w:kern w:val="0"/>
        </w:rPr>
        <w:t xml:space="preserve">一、基金的名称 </w:t>
      </w:r>
    </w:p>
    <w:p>
      <w:pPr>
        <w:adjustRightInd w:val="0"/>
        <w:snapToGrid w:val="0"/>
        <w:spacing w:line="360" w:lineRule="auto"/>
        <w:ind w:firstLine="422" w:firstLineChars="201"/>
        <w:rPr>
          <w:kern w:val="0"/>
        </w:rPr>
      </w:pPr>
      <w:r>
        <w:rPr>
          <w:kern w:val="0"/>
        </w:rPr>
        <w:t>博时</w:t>
      </w:r>
      <w:r>
        <w:rPr>
          <w:rFonts w:hint="eastAsia"/>
          <w:kern w:val="0"/>
        </w:rPr>
        <w:t>中证全指通信设备指数</w:t>
      </w:r>
      <w:r>
        <w:rPr>
          <w:kern w:val="0"/>
        </w:rPr>
        <w:t>型发起式证券投资基金</w:t>
      </w:r>
    </w:p>
    <w:p>
      <w:pPr>
        <w:adjustRightInd w:val="0"/>
        <w:snapToGrid w:val="0"/>
        <w:spacing w:line="360" w:lineRule="auto"/>
        <w:ind w:firstLine="424" w:firstLineChars="201"/>
        <w:rPr>
          <w:b/>
          <w:kern w:val="0"/>
        </w:rPr>
      </w:pPr>
      <w:r>
        <w:rPr>
          <w:b/>
          <w:kern w:val="0"/>
        </w:rPr>
        <w:t xml:space="preserve">二、基金的类别 </w:t>
      </w:r>
    </w:p>
    <w:p>
      <w:pPr>
        <w:adjustRightInd w:val="0"/>
        <w:snapToGrid w:val="0"/>
        <w:spacing w:line="360" w:lineRule="auto"/>
        <w:ind w:firstLine="422" w:firstLineChars="201"/>
        <w:rPr>
          <w:kern w:val="0"/>
        </w:rPr>
      </w:pPr>
      <w:r>
        <w:rPr>
          <w:rFonts w:eastAsiaTheme="minorEastAsia"/>
          <w:szCs w:val="21"/>
        </w:rPr>
        <w:t>股票型证券投资基金</w:t>
      </w:r>
      <w:r>
        <w:rPr>
          <w:kern w:val="0"/>
        </w:rPr>
        <w:t xml:space="preserve"> </w:t>
      </w:r>
    </w:p>
    <w:p>
      <w:pPr>
        <w:adjustRightInd w:val="0"/>
        <w:snapToGrid w:val="0"/>
        <w:spacing w:line="360" w:lineRule="auto"/>
        <w:ind w:firstLine="424" w:firstLineChars="201"/>
        <w:rPr>
          <w:b/>
          <w:kern w:val="0"/>
        </w:rPr>
      </w:pPr>
      <w:r>
        <w:rPr>
          <w:b/>
          <w:kern w:val="0"/>
        </w:rPr>
        <w:t xml:space="preserve">三、基金的运作方式 </w:t>
      </w:r>
    </w:p>
    <w:p>
      <w:pPr>
        <w:adjustRightInd w:val="0"/>
        <w:snapToGrid w:val="0"/>
        <w:spacing w:line="360" w:lineRule="auto"/>
        <w:ind w:firstLine="422" w:firstLineChars="201"/>
        <w:rPr>
          <w:kern w:val="0"/>
        </w:rPr>
      </w:pPr>
      <w:r>
        <w:rPr>
          <w:rFonts w:eastAsiaTheme="minorEastAsia"/>
        </w:rPr>
        <w:t>契约型</w:t>
      </w:r>
      <w:r>
        <w:t>开放式</w:t>
      </w:r>
      <w:r>
        <w:rPr>
          <w:kern w:val="0"/>
        </w:rPr>
        <w:t xml:space="preserve"> </w:t>
      </w:r>
    </w:p>
    <w:p>
      <w:pPr>
        <w:adjustRightInd w:val="0"/>
        <w:snapToGrid w:val="0"/>
        <w:spacing w:line="360" w:lineRule="auto"/>
        <w:ind w:firstLine="424" w:firstLineChars="201"/>
        <w:rPr>
          <w:b/>
          <w:kern w:val="0"/>
        </w:rPr>
      </w:pPr>
      <w:r>
        <w:rPr>
          <w:b/>
          <w:kern w:val="0"/>
        </w:rPr>
        <w:t xml:space="preserve">四、基金的标的指数 </w:t>
      </w:r>
    </w:p>
    <w:p>
      <w:pPr>
        <w:adjustRightInd w:val="0"/>
        <w:snapToGrid w:val="0"/>
        <w:spacing w:line="360" w:lineRule="auto"/>
        <w:ind w:firstLine="422" w:firstLineChars="201"/>
        <w:rPr>
          <w:kern w:val="0"/>
        </w:rPr>
      </w:pPr>
      <w:r>
        <w:rPr>
          <w:kern w:val="0"/>
        </w:rPr>
        <w:t>本基金的标的指数为</w:t>
      </w:r>
      <w:r>
        <w:rPr>
          <w:rFonts w:hint="eastAsia"/>
          <w:kern w:val="0"/>
        </w:rPr>
        <w:t>中证全指通信设备指数。</w:t>
      </w:r>
    </w:p>
    <w:p>
      <w:pPr>
        <w:adjustRightInd w:val="0"/>
        <w:snapToGrid w:val="0"/>
        <w:spacing w:line="360" w:lineRule="auto"/>
        <w:ind w:firstLine="424" w:firstLineChars="201"/>
        <w:rPr>
          <w:b/>
          <w:kern w:val="0"/>
        </w:rPr>
      </w:pPr>
      <w:r>
        <w:rPr>
          <w:b/>
          <w:kern w:val="0"/>
        </w:rPr>
        <w:t xml:space="preserve">五、基金存续期限 </w:t>
      </w:r>
    </w:p>
    <w:p>
      <w:pPr>
        <w:adjustRightInd w:val="0"/>
        <w:snapToGrid w:val="0"/>
        <w:spacing w:line="360" w:lineRule="auto"/>
        <w:ind w:firstLine="422" w:firstLineChars="201"/>
        <w:rPr>
          <w:kern w:val="0"/>
        </w:rPr>
      </w:pPr>
      <w:r>
        <w:rPr>
          <w:kern w:val="0"/>
        </w:rPr>
        <w:t xml:space="preserve">不定期 </w:t>
      </w:r>
    </w:p>
    <w:p>
      <w:pPr>
        <w:adjustRightInd w:val="0"/>
        <w:snapToGrid w:val="0"/>
        <w:spacing w:line="360" w:lineRule="auto"/>
        <w:ind w:firstLine="424" w:firstLineChars="201"/>
        <w:rPr>
          <w:b/>
          <w:kern w:val="0"/>
          <w:szCs w:val="21"/>
        </w:rPr>
      </w:pPr>
      <w:r>
        <w:rPr>
          <w:b/>
          <w:kern w:val="0"/>
        </w:rPr>
        <w:t>六、</w:t>
      </w:r>
      <w:r>
        <w:rPr>
          <w:b/>
          <w:kern w:val="0"/>
          <w:szCs w:val="21"/>
        </w:rPr>
        <w:t>基金份额类别设置</w:t>
      </w:r>
    </w:p>
    <w:p>
      <w:pPr>
        <w:spacing w:line="360" w:lineRule="auto"/>
        <w:ind w:firstLine="420" w:firstLineChars="200"/>
        <w:rPr>
          <w:kern w:val="0"/>
          <w:szCs w:val="21"/>
        </w:rPr>
      </w:pPr>
      <w:r>
        <w:rPr>
          <w:kern w:val="0"/>
          <w:szCs w:val="21"/>
        </w:rPr>
        <w:t>本基金根据认购/申购费用、销售服务费收取方式的不同，将基金份额分为不同的类别。在投资者认购、申购时收取认购、申购费用，在赎回时根据持有期限收取赎回费用，但不从本类别基金资产中计提销售服务费的基金份额，称为A类基金份额；在投资者认购、申购时不收取认购、申购费用，在赎回时根据持有期限收取赎回费用，且从本类别基金资产中计提销售服务费的基金份额，称为C类基金份额。</w:t>
      </w:r>
    </w:p>
    <w:p>
      <w:pPr>
        <w:spacing w:line="360" w:lineRule="auto"/>
        <w:ind w:firstLine="420" w:firstLineChars="200"/>
        <w:rPr>
          <w:kern w:val="0"/>
          <w:szCs w:val="21"/>
        </w:rPr>
      </w:pPr>
      <w:r>
        <w:rPr>
          <w:kern w:val="0"/>
          <w:szCs w:val="21"/>
        </w:rPr>
        <w:t>本基金A类基金份额和C类基金份额分别设置代码。本基金A类基金份额和C类基金份额将分别计算基金份额净值，计算公式为计算日各类别基金资产净值除以计算日发售在外的该类别基金份额总数。</w:t>
      </w:r>
    </w:p>
    <w:p>
      <w:pPr>
        <w:spacing w:line="360" w:lineRule="auto"/>
        <w:ind w:firstLine="420" w:firstLineChars="200"/>
        <w:rPr>
          <w:kern w:val="0"/>
          <w:szCs w:val="21"/>
        </w:rPr>
      </w:pPr>
      <w:r>
        <w:rPr>
          <w:kern w:val="0"/>
          <w:szCs w:val="21"/>
        </w:rPr>
        <w:t>投资者可自行选择认购、申购的基金份额类别。</w:t>
      </w:r>
    </w:p>
    <w:p>
      <w:pPr>
        <w:spacing w:line="360" w:lineRule="auto"/>
        <w:ind w:firstLine="420" w:firstLineChars="200"/>
        <w:rPr>
          <w:kern w:val="0"/>
          <w:szCs w:val="21"/>
        </w:rPr>
      </w:pPr>
      <w:r>
        <w:rPr>
          <w:kern w:val="0"/>
          <w:szCs w:val="21"/>
        </w:rPr>
        <w:t>在不违反法律法规、基金合同的约定以及对基金份额持有人利益无实质性不利影响的情况下，经与基金托管人协商一致，基金管理人可调整基金份额类别设置、对基金份额分类办法及规则进行调整并在调整实施之日前依照《信息披露办法》的有关规定在规定媒介上公告，不需要召开基金份额持有人大会。</w:t>
      </w:r>
    </w:p>
    <w:p>
      <w:pPr>
        <w:adjustRightInd w:val="0"/>
        <w:snapToGrid w:val="0"/>
        <w:spacing w:line="360" w:lineRule="auto"/>
        <w:ind w:firstLine="424" w:firstLineChars="201"/>
        <w:rPr>
          <w:b/>
          <w:kern w:val="0"/>
        </w:rPr>
      </w:pPr>
      <w:r>
        <w:rPr>
          <w:b/>
          <w:kern w:val="0"/>
        </w:rPr>
        <w:t xml:space="preserve">七、基金份额的发售时间、发售方式、发售对象 </w:t>
      </w:r>
    </w:p>
    <w:p>
      <w:pPr>
        <w:adjustRightInd w:val="0"/>
        <w:snapToGrid w:val="0"/>
        <w:spacing w:line="360" w:lineRule="auto"/>
        <w:ind w:firstLine="422" w:firstLineChars="201"/>
        <w:rPr>
          <w:rFonts w:eastAsiaTheme="minorEastAsia"/>
          <w:kern w:val="0"/>
        </w:rPr>
      </w:pPr>
      <w:r>
        <w:rPr>
          <w:rFonts w:eastAsiaTheme="minorEastAsia"/>
          <w:kern w:val="0"/>
        </w:rPr>
        <w:t>1、发售时间</w:t>
      </w:r>
    </w:p>
    <w:p>
      <w:pPr>
        <w:adjustRightInd w:val="0"/>
        <w:snapToGrid w:val="0"/>
        <w:spacing w:line="360" w:lineRule="auto"/>
        <w:ind w:firstLine="422" w:firstLineChars="201"/>
        <w:rPr>
          <w:rFonts w:eastAsiaTheme="minorEastAsia"/>
          <w:kern w:val="0"/>
        </w:rPr>
      </w:pPr>
      <w:r>
        <w:rPr>
          <w:rFonts w:eastAsiaTheme="minorEastAsia"/>
          <w:kern w:val="0"/>
        </w:rPr>
        <w:t>自基金份额发售之日起最长不得超过3个月，具体发售时间见基金份额发售公告。</w:t>
      </w:r>
    </w:p>
    <w:p>
      <w:pPr>
        <w:adjustRightInd w:val="0"/>
        <w:snapToGrid w:val="0"/>
        <w:spacing w:line="360" w:lineRule="auto"/>
        <w:ind w:firstLine="422" w:firstLineChars="201"/>
        <w:rPr>
          <w:rFonts w:eastAsiaTheme="minorEastAsia"/>
          <w:kern w:val="0"/>
        </w:rPr>
      </w:pPr>
      <w:r>
        <w:rPr>
          <w:rFonts w:eastAsiaTheme="minorEastAsia"/>
          <w:kern w:val="0"/>
        </w:rPr>
        <w:t>2、发售方式</w:t>
      </w:r>
    </w:p>
    <w:p>
      <w:pPr>
        <w:adjustRightInd w:val="0"/>
        <w:snapToGrid w:val="0"/>
        <w:spacing w:line="360" w:lineRule="auto"/>
        <w:ind w:firstLine="422" w:firstLineChars="201"/>
        <w:rPr>
          <w:rFonts w:eastAsiaTheme="minorEastAsia"/>
          <w:kern w:val="0"/>
        </w:rPr>
      </w:pPr>
      <w:r>
        <w:rPr>
          <w:rFonts w:eastAsiaTheme="minorEastAsia"/>
          <w:kern w:val="0"/>
        </w:rPr>
        <w:t>通过各销售机构的基金销售网点公开发售，各销售机构的具体名单见基金份额发售公告以及基金管理人网站。</w:t>
      </w:r>
    </w:p>
    <w:p>
      <w:pPr>
        <w:adjustRightInd w:val="0"/>
        <w:snapToGrid w:val="0"/>
        <w:spacing w:line="360" w:lineRule="auto"/>
        <w:ind w:firstLine="422" w:firstLineChars="201"/>
        <w:rPr>
          <w:rFonts w:eastAsiaTheme="minorEastAsia"/>
          <w:kern w:val="0"/>
        </w:rPr>
      </w:pPr>
      <w:r>
        <w:rPr>
          <w:rFonts w:eastAsiaTheme="minorEastAsia"/>
          <w:kern w:val="0"/>
        </w:rPr>
        <w:t>3、发售对象</w:t>
      </w:r>
    </w:p>
    <w:p>
      <w:pPr>
        <w:adjustRightInd w:val="0"/>
        <w:snapToGrid w:val="0"/>
        <w:spacing w:line="360" w:lineRule="auto"/>
        <w:ind w:firstLine="422" w:firstLineChars="201"/>
        <w:rPr>
          <w:kern w:val="0"/>
          <w:szCs w:val="21"/>
        </w:rPr>
      </w:pPr>
      <w:r>
        <w:rPr>
          <w:rFonts w:hint="eastAsia"/>
          <w:kern w:val="0"/>
          <w:szCs w:val="21"/>
        </w:rPr>
        <w:t>符合法律法规规定的可投资于证券投资基金的个人投资者、机构投资者、合格境外投资者、发起资金提供方以及法律法规或中国证监会允许购买证券投资基金的其他投资人。</w:t>
      </w:r>
    </w:p>
    <w:p>
      <w:pPr>
        <w:adjustRightInd w:val="0"/>
        <w:snapToGrid w:val="0"/>
        <w:spacing w:line="360" w:lineRule="auto"/>
        <w:ind w:firstLine="424" w:firstLineChars="201"/>
        <w:rPr>
          <w:b/>
          <w:kern w:val="0"/>
        </w:rPr>
      </w:pPr>
      <w:r>
        <w:rPr>
          <w:b/>
          <w:kern w:val="0"/>
        </w:rPr>
        <w:t xml:space="preserve">八、基金的发售面值、认购价格和认购费用 </w:t>
      </w:r>
    </w:p>
    <w:p>
      <w:pPr>
        <w:adjustRightInd w:val="0"/>
        <w:snapToGrid w:val="0"/>
        <w:spacing w:line="360" w:lineRule="auto"/>
        <w:ind w:firstLine="422" w:firstLineChars="201"/>
        <w:rPr>
          <w:kern w:val="0"/>
        </w:rPr>
      </w:pPr>
      <w:r>
        <w:rPr>
          <w:kern w:val="0"/>
        </w:rPr>
        <w:t xml:space="preserve">1．发售面值：人民币1.00元 </w:t>
      </w:r>
    </w:p>
    <w:p>
      <w:pPr>
        <w:adjustRightInd w:val="0"/>
        <w:snapToGrid w:val="0"/>
        <w:spacing w:line="360" w:lineRule="auto"/>
        <w:ind w:firstLine="422" w:firstLineChars="201"/>
        <w:rPr>
          <w:kern w:val="0"/>
        </w:rPr>
      </w:pPr>
      <w:r>
        <w:rPr>
          <w:kern w:val="0"/>
        </w:rPr>
        <w:t>2．认购费用：</w:t>
      </w:r>
    </w:p>
    <w:p>
      <w:pPr>
        <w:adjustRightInd w:val="0"/>
        <w:snapToGrid w:val="0"/>
        <w:spacing w:line="360" w:lineRule="auto"/>
        <w:ind w:firstLine="422" w:firstLineChars="201"/>
        <w:rPr>
          <w:kern w:val="0"/>
        </w:rPr>
      </w:pPr>
      <w:r>
        <w:rPr>
          <w:kern w:val="0"/>
        </w:rPr>
        <w:t>本基金A类基金份额在认购时收取基金认购费用。C类基金份额不收取认购费用。</w:t>
      </w:r>
    </w:p>
    <w:p>
      <w:pPr>
        <w:adjustRightInd w:val="0"/>
        <w:snapToGrid w:val="0"/>
        <w:spacing w:line="360" w:lineRule="auto"/>
        <w:ind w:firstLine="422" w:firstLineChars="201"/>
        <w:rPr>
          <w:kern w:val="0"/>
        </w:rPr>
      </w:pPr>
      <w:r>
        <w:rPr>
          <w:kern w:val="0"/>
        </w:rPr>
        <w:t>本基金的认购费率如下表所示：</w:t>
      </w:r>
    </w:p>
    <w:p>
      <w:pPr>
        <w:snapToGrid w:val="0"/>
        <w:spacing w:line="360" w:lineRule="auto"/>
        <w:jc w:val="center"/>
      </w:pPr>
      <w:r>
        <w:t>表1：本基金认购费率结构</w:t>
      </w:r>
    </w:p>
    <w:tbl>
      <w:tblPr>
        <w:tblStyle w:val="43"/>
        <w:tblW w:w="7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3"/>
        <w:gridCol w:w="197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23" w:type="dxa"/>
            <w:vAlign w:val="center"/>
          </w:tcPr>
          <w:p>
            <w:pPr>
              <w:jc w:val="center"/>
              <w:rPr>
                <w:color w:val="000000"/>
                <w:szCs w:val="21"/>
              </w:rPr>
            </w:pPr>
            <w:r>
              <w:rPr>
                <w:color w:val="000000"/>
                <w:szCs w:val="21"/>
              </w:rPr>
              <w:t>认购金额（M）</w:t>
            </w:r>
          </w:p>
        </w:tc>
        <w:tc>
          <w:tcPr>
            <w:tcW w:w="1975" w:type="dxa"/>
            <w:vAlign w:val="center"/>
          </w:tcPr>
          <w:p>
            <w:pPr>
              <w:jc w:val="center"/>
              <w:rPr>
                <w:color w:val="000000"/>
                <w:szCs w:val="21"/>
              </w:rPr>
            </w:pPr>
            <w:r>
              <w:rPr>
                <w:color w:val="000000"/>
                <w:szCs w:val="21"/>
              </w:rPr>
              <w:t>A类份额认购费率</w:t>
            </w:r>
          </w:p>
        </w:tc>
        <w:tc>
          <w:tcPr>
            <w:tcW w:w="1985" w:type="dxa"/>
          </w:tcPr>
          <w:p>
            <w:pPr>
              <w:jc w:val="center"/>
              <w:rPr>
                <w:color w:val="000000"/>
                <w:szCs w:val="21"/>
              </w:rPr>
            </w:pPr>
            <w:r>
              <w:rPr>
                <w:color w:val="000000"/>
                <w:szCs w:val="21"/>
              </w:rPr>
              <w:t>C类份额认购费率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23" w:type="dxa"/>
            <w:vAlign w:val="center"/>
          </w:tcPr>
          <w:p>
            <w:pPr>
              <w:jc w:val="center"/>
              <w:rPr>
                <w:color w:val="000000"/>
                <w:szCs w:val="21"/>
              </w:rPr>
            </w:pPr>
            <w:r>
              <w:rPr>
                <w:color w:val="000000"/>
                <w:szCs w:val="21"/>
              </w:rPr>
              <w:t>M ＜ 100万元</w:t>
            </w:r>
          </w:p>
        </w:tc>
        <w:tc>
          <w:tcPr>
            <w:tcW w:w="1975" w:type="dxa"/>
            <w:vAlign w:val="center"/>
          </w:tcPr>
          <w:p>
            <w:pPr>
              <w:jc w:val="center"/>
              <w:rPr>
                <w:color w:val="000000"/>
                <w:szCs w:val="21"/>
              </w:rPr>
            </w:pPr>
            <w:r>
              <w:rPr>
                <w:color w:val="000000"/>
                <w:szCs w:val="21"/>
              </w:rPr>
              <w:t>0.80%</w:t>
            </w:r>
          </w:p>
        </w:tc>
        <w:tc>
          <w:tcPr>
            <w:tcW w:w="1985" w:type="dxa"/>
            <w:vMerge w:val="restart"/>
            <w:vAlign w:val="center"/>
          </w:tcPr>
          <w:p>
            <w:pPr>
              <w:jc w:val="center"/>
              <w:rPr>
                <w:color w:val="000000"/>
                <w:szCs w:val="21"/>
              </w:rPr>
            </w:pPr>
            <w:r>
              <w:rPr>
                <w:color w:val="000000"/>
                <w:szCs w:val="21"/>
              </w:rPr>
              <w:t>0</w:t>
            </w:r>
            <w:r>
              <w:rPr>
                <w:rFonts w:hint="eastAsia"/>
                <w:color w:val="000000"/>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23" w:type="dxa"/>
            <w:vAlign w:val="center"/>
          </w:tcPr>
          <w:p>
            <w:pPr>
              <w:jc w:val="center"/>
              <w:rPr>
                <w:color w:val="000000"/>
                <w:szCs w:val="21"/>
              </w:rPr>
            </w:pPr>
            <w:r>
              <w:rPr>
                <w:color w:val="000000"/>
                <w:szCs w:val="21"/>
              </w:rPr>
              <w:t>100万元 ≤ M ＜300万元</w:t>
            </w:r>
          </w:p>
        </w:tc>
        <w:tc>
          <w:tcPr>
            <w:tcW w:w="1975" w:type="dxa"/>
            <w:vAlign w:val="center"/>
          </w:tcPr>
          <w:p>
            <w:pPr>
              <w:jc w:val="center"/>
              <w:rPr>
                <w:color w:val="000000"/>
                <w:szCs w:val="21"/>
              </w:rPr>
            </w:pPr>
            <w:r>
              <w:rPr>
                <w:color w:val="000000"/>
                <w:szCs w:val="21"/>
              </w:rPr>
              <w:t>0.40%</w:t>
            </w:r>
          </w:p>
        </w:tc>
        <w:tc>
          <w:tcPr>
            <w:tcW w:w="1985" w:type="dxa"/>
            <w:vMerge w:val="continue"/>
          </w:tcPr>
          <w:p>
            <w:pPr>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23" w:type="dxa"/>
            <w:vAlign w:val="center"/>
          </w:tcPr>
          <w:p>
            <w:pPr>
              <w:jc w:val="center"/>
              <w:rPr>
                <w:color w:val="000000"/>
                <w:szCs w:val="21"/>
              </w:rPr>
            </w:pPr>
            <w:r>
              <w:rPr>
                <w:color w:val="000000"/>
                <w:szCs w:val="21"/>
              </w:rPr>
              <w:t>M ≥ 300万元</w:t>
            </w:r>
          </w:p>
        </w:tc>
        <w:tc>
          <w:tcPr>
            <w:tcW w:w="1975" w:type="dxa"/>
            <w:vAlign w:val="center"/>
          </w:tcPr>
          <w:p>
            <w:pPr>
              <w:jc w:val="center"/>
              <w:rPr>
                <w:color w:val="000000"/>
                <w:szCs w:val="21"/>
              </w:rPr>
            </w:pPr>
            <w:r>
              <w:rPr>
                <w:color w:val="000000"/>
                <w:szCs w:val="21"/>
              </w:rPr>
              <w:t>每笔300元</w:t>
            </w:r>
          </w:p>
        </w:tc>
        <w:tc>
          <w:tcPr>
            <w:tcW w:w="1985" w:type="dxa"/>
            <w:vMerge w:val="continue"/>
          </w:tcPr>
          <w:p>
            <w:pPr>
              <w:jc w:val="center"/>
              <w:rPr>
                <w:color w:val="000000"/>
                <w:szCs w:val="21"/>
              </w:rPr>
            </w:pPr>
          </w:p>
        </w:tc>
      </w:tr>
    </w:tbl>
    <w:p>
      <w:pPr>
        <w:adjustRightInd w:val="0"/>
        <w:snapToGrid w:val="0"/>
        <w:spacing w:before="156" w:beforeLines="50" w:line="360" w:lineRule="auto"/>
        <w:ind w:firstLine="420" w:firstLineChars="200"/>
        <w:rPr>
          <w:kern w:val="0"/>
        </w:rPr>
      </w:pPr>
      <w:r>
        <w:rPr>
          <w:kern w:val="0"/>
        </w:rPr>
        <w:t>基金管理人可以针对特定投资人（如养老金客户等）开展费率优惠活动，具体见基金管理人相关公告。</w:t>
      </w:r>
    </w:p>
    <w:p>
      <w:pPr>
        <w:adjustRightInd w:val="0"/>
        <w:snapToGrid w:val="0"/>
        <w:spacing w:before="156" w:beforeLines="50" w:line="360" w:lineRule="auto"/>
        <w:ind w:firstLine="420" w:firstLineChars="200"/>
        <w:rPr>
          <w:kern w:val="0"/>
        </w:rPr>
      </w:pPr>
      <w:r>
        <w:rPr>
          <w:kern w:val="0"/>
        </w:rPr>
        <w:t>3、认购份额的计算</w:t>
      </w:r>
    </w:p>
    <w:p>
      <w:pPr>
        <w:adjustRightInd w:val="0"/>
        <w:snapToGrid w:val="0"/>
        <w:spacing w:line="360" w:lineRule="auto"/>
        <w:ind w:firstLine="420" w:firstLineChars="200"/>
        <w:rPr>
          <w:kern w:val="0"/>
        </w:rPr>
      </w:pPr>
      <w:r>
        <w:rPr>
          <w:kern w:val="0"/>
        </w:rPr>
        <w:t>（1）本基金A类基金份额的认购份额的计算公式为：</w:t>
      </w:r>
    </w:p>
    <w:p>
      <w:pPr>
        <w:adjustRightInd w:val="0"/>
        <w:snapToGrid w:val="0"/>
        <w:spacing w:line="360" w:lineRule="auto"/>
        <w:ind w:firstLine="420" w:firstLineChars="200"/>
        <w:rPr>
          <w:kern w:val="0"/>
        </w:rPr>
      </w:pPr>
      <w:r>
        <w:rPr>
          <w:kern w:val="0"/>
        </w:rPr>
        <w:t>1）认购费用适用比例费率的情形下：</w:t>
      </w:r>
    </w:p>
    <w:p>
      <w:pPr>
        <w:adjustRightInd w:val="0"/>
        <w:snapToGrid w:val="0"/>
        <w:spacing w:line="360" w:lineRule="auto"/>
        <w:ind w:firstLine="420" w:firstLineChars="200"/>
        <w:rPr>
          <w:kern w:val="0"/>
        </w:rPr>
      </w:pPr>
      <w:r>
        <w:rPr>
          <w:kern w:val="0"/>
        </w:rPr>
        <w:t>净认购金额＝认购金额/（1＋认购费率）</w:t>
      </w:r>
    </w:p>
    <w:p>
      <w:pPr>
        <w:adjustRightInd w:val="0"/>
        <w:snapToGrid w:val="0"/>
        <w:spacing w:line="360" w:lineRule="auto"/>
        <w:ind w:firstLine="420" w:firstLineChars="200"/>
        <w:rPr>
          <w:kern w:val="0"/>
        </w:rPr>
      </w:pPr>
      <w:r>
        <w:rPr>
          <w:kern w:val="0"/>
        </w:rPr>
        <w:t>认购费用＝认购金额－净认购金额</w:t>
      </w:r>
    </w:p>
    <w:p>
      <w:pPr>
        <w:adjustRightInd w:val="0"/>
        <w:snapToGrid w:val="0"/>
        <w:spacing w:line="360" w:lineRule="auto"/>
        <w:ind w:firstLine="420" w:firstLineChars="200"/>
        <w:rPr>
          <w:kern w:val="0"/>
        </w:rPr>
      </w:pPr>
      <w:r>
        <w:rPr>
          <w:kern w:val="0"/>
        </w:rPr>
        <w:t>认购份额＝（净认购金额＋认购期间利息）/A类基金份额发售面值</w:t>
      </w:r>
    </w:p>
    <w:p>
      <w:pPr>
        <w:adjustRightInd w:val="0"/>
        <w:snapToGrid w:val="0"/>
        <w:spacing w:line="360" w:lineRule="auto"/>
        <w:ind w:firstLine="420" w:firstLineChars="200"/>
        <w:rPr>
          <w:kern w:val="0"/>
        </w:rPr>
      </w:pPr>
      <w:r>
        <w:rPr>
          <w:kern w:val="0"/>
        </w:rPr>
        <w:t>2）认购费用适用固定金额的情形下：</w:t>
      </w:r>
    </w:p>
    <w:p>
      <w:pPr>
        <w:adjustRightInd w:val="0"/>
        <w:snapToGrid w:val="0"/>
        <w:spacing w:line="360" w:lineRule="auto"/>
        <w:ind w:firstLine="420" w:firstLineChars="200"/>
        <w:rPr>
          <w:kern w:val="0"/>
        </w:rPr>
      </w:pPr>
      <w:r>
        <w:rPr>
          <w:kern w:val="0"/>
        </w:rPr>
        <w:t>认购费用＝固定金额</w:t>
      </w:r>
    </w:p>
    <w:p>
      <w:pPr>
        <w:adjustRightInd w:val="0"/>
        <w:snapToGrid w:val="0"/>
        <w:spacing w:line="360" w:lineRule="auto"/>
        <w:ind w:firstLine="420" w:firstLineChars="200"/>
        <w:rPr>
          <w:kern w:val="0"/>
        </w:rPr>
      </w:pPr>
      <w:r>
        <w:rPr>
          <w:kern w:val="0"/>
        </w:rPr>
        <w:t>净认购金额＝认购金额-认购费用</w:t>
      </w:r>
    </w:p>
    <w:p>
      <w:pPr>
        <w:adjustRightInd w:val="0"/>
        <w:snapToGrid w:val="0"/>
        <w:spacing w:line="360" w:lineRule="auto"/>
        <w:ind w:firstLine="420" w:firstLineChars="200"/>
        <w:rPr>
          <w:kern w:val="0"/>
        </w:rPr>
      </w:pPr>
      <w:r>
        <w:rPr>
          <w:kern w:val="0"/>
        </w:rPr>
        <w:t>认购份额＝（净认购金额＋认购期间利息）/A类基金份额发售面值</w:t>
      </w:r>
    </w:p>
    <w:p>
      <w:pPr>
        <w:adjustRightInd w:val="0"/>
        <w:snapToGrid w:val="0"/>
        <w:spacing w:line="360" w:lineRule="auto"/>
        <w:ind w:firstLine="420" w:firstLineChars="200"/>
        <w:rPr>
          <w:kern w:val="0"/>
        </w:rPr>
      </w:pPr>
      <w:r>
        <w:rPr>
          <w:kern w:val="0"/>
        </w:rPr>
        <w:t>（2）本基金C类基金份额的认购份额的计算公式为：</w:t>
      </w:r>
    </w:p>
    <w:p>
      <w:pPr>
        <w:adjustRightInd w:val="0"/>
        <w:snapToGrid w:val="0"/>
        <w:spacing w:line="360" w:lineRule="auto"/>
        <w:ind w:firstLine="420" w:firstLineChars="200"/>
        <w:rPr>
          <w:kern w:val="0"/>
        </w:rPr>
      </w:pPr>
      <w:r>
        <w:rPr>
          <w:kern w:val="0"/>
        </w:rPr>
        <w:t>认购份额=（认购金额＋认购期间利息）/C类基金份额发售面值</w:t>
      </w:r>
    </w:p>
    <w:p>
      <w:pPr>
        <w:adjustRightInd w:val="0"/>
        <w:snapToGrid w:val="0"/>
        <w:spacing w:line="360" w:lineRule="auto"/>
        <w:ind w:firstLine="420" w:firstLineChars="200"/>
        <w:rPr>
          <w:kern w:val="0"/>
        </w:rPr>
      </w:pPr>
      <w:r>
        <w:rPr>
          <w:kern w:val="0"/>
        </w:rPr>
        <w:t>4、计算举例</w:t>
      </w:r>
    </w:p>
    <w:p>
      <w:pPr>
        <w:adjustRightInd w:val="0"/>
        <w:snapToGrid w:val="0"/>
        <w:spacing w:line="360" w:lineRule="auto"/>
        <w:ind w:firstLine="420" w:firstLineChars="200"/>
        <w:rPr>
          <w:kern w:val="0"/>
        </w:rPr>
      </w:pPr>
      <w:r>
        <w:rPr>
          <w:kern w:val="0"/>
        </w:rPr>
        <w:t>例1：某投资人投资1,000万元认购本基金A类基金份额，假设其认购资金的利息为550元，其对应的认购费用为300元，则其可得到的认购份额为：</w:t>
      </w:r>
    </w:p>
    <w:p>
      <w:pPr>
        <w:adjustRightInd w:val="0"/>
        <w:snapToGrid w:val="0"/>
        <w:spacing w:line="360" w:lineRule="auto"/>
        <w:ind w:firstLine="420" w:firstLineChars="200"/>
        <w:rPr>
          <w:kern w:val="0"/>
        </w:rPr>
      </w:pPr>
      <w:r>
        <w:rPr>
          <w:kern w:val="0"/>
        </w:rPr>
        <w:t>认购费用＝300.00元</w:t>
      </w:r>
    </w:p>
    <w:p>
      <w:pPr>
        <w:adjustRightInd w:val="0"/>
        <w:snapToGrid w:val="0"/>
        <w:spacing w:line="360" w:lineRule="auto"/>
        <w:ind w:firstLine="420" w:firstLineChars="200"/>
        <w:rPr>
          <w:kern w:val="0"/>
        </w:rPr>
      </w:pPr>
      <w:r>
        <w:rPr>
          <w:kern w:val="0"/>
        </w:rPr>
        <w:t>净认购金额＝10,000,000.00－300.00＝9,999,700.00元</w:t>
      </w:r>
    </w:p>
    <w:p>
      <w:pPr>
        <w:adjustRightInd w:val="0"/>
        <w:snapToGrid w:val="0"/>
        <w:spacing w:line="360" w:lineRule="auto"/>
        <w:ind w:firstLine="420" w:firstLineChars="200"/>
        <w:rPr>
          <w:kern w:val="0"/>
        </w:rPr>
      </w:pPr>
      <w:r>
        <w:rPr>
          <w:kern w:val="0"/>
        </w:rPr>
        <w:t>认购份额＝（9,999,700.00 + 550.00）/1.00＝10,000,250.00份</w:t>
      </w:r>
    </w:p>
    <w:p>
      <w:pPr>
        <w:adjustRightInd w:val="0"/>
        <w:snapToGrid w:val="0"/>
        <w:spacing w:line="360" w:lineRule="auto"/>
        <w:ind w:firstLine="420" w:firstLineChars="200"/>
        <w:rPr>
          <w:kern w:val="0"/>
        </w:rPr>
      </w:pPr>
      <w:r>
        <w:rPr>
          <w:kern w:val="0"/>
        </w:rPr>
        <w:t>即：该投资人投资1,000万元认购本基金A类基金份额，假设其认购资金的利息为550元，则其可得到10,000,250.00份A类基金份额。</w:t>
      </w:r>
    </w:p>
    <w:p>
      <w:pPr>
        <w:adjustRightInd w:val="0"/>
        <w:snapToGrid w:val="0"/>
        <w:spacing w:line="360" w:lineRule="auto"/>
        <w:ind w:firstLine="420" w:firstLineChars="200"/>
        <w:rPr>
          <w:kern w:val="0"/>
        </w:rPr>
      </w:pPr>
      <w:r>
        <w:rPr>
          <w:kern w:val="0"/>
        </w:rPr>
        <w:t>例2：某投资人投资1,000万元认购本基金C类基金份额，假设其认购资金的利息为550元，其对应的认购费用为0元，则其可得到的认购份额为：</w:t>
      </w:r>
    </w:p>
    <w:p>
      <w:pPr>
        <w:adjustRightInd w:val="0"/>
        <w:snapToGrid w:val="0"/>
        <w:spacing w:line="360" w:lineRule="auto"/>
        <w:ind w:firstLine="420" w:firstLineChars="200"/>
        <w:rPr>
          <w:kern w:val="0"/>
        </w:rPr>
      </w:pPr>
      <w:r>
        <w:rPr>
          <w:kern w:val="0"/>
        </w:rPr>
        <w:t>认购份额＝（10,000,000.00+550.00）/1.00＝10,000,550.00份</w:t>
      </w:r>
    </w:p>
    <w:p>
      <w:pPr>
        <w:adjustRightInd w:val="0"/>
        <w:snapToGrid w:val="0"/>
        <w:spacing w:line="360" w:lineRule="auto"/>
        <w:ind w:firstLine="420" w:firstLineChars="200"/>
        <w:rPr>
          <w:kern w:val="0"/>
        </w:rPr>
      </w:pPr>
      <w:r>
        <w:rPr>
          <w:kern w:val="0"/>
        </w:rPr>
        <w:t>即：该投资人投资1,000万元认购本基金C类基金份额，假设其认购资金的利息为550元，则其可得到10,000,550.00份C类基金份额。</w:t>
      </w:r>
    </w:p>
    <w:p>
      <w:pPr>
        <w:adjustRightInd w:val="0"/>
        <w:snapToGrid w:val="0"/>
        <w:spacing w:line="360" w:lineRule="auto"/>
        <w:ind w:firstLine="420" w:firstLineChars="200"/>
        <w:rPr>
          <w:szCs w:val="21"/>
        </w:rPr>
      </w:pPr>
      <w:r>
        <w:rPr>
          <w:szCs w:val="21"/>
        </w:rPr>
        <w:t>5、募集期利息的处理方式</w:t>
      </w:r>
    </w:p>
    <w:p>
      <w:pPr>
        <w:adjustRightInd w:val="0"/>
        <w:snapToGrid w:val="0"/>
        <w:spacing w:line="360" w:lineRule="auto"/>
        <w:ind w:firstLine="420" w:firstLineChars="200"/>
        <w:rPr>
          <w:szCs w:val="21"/>
        </w:rPr>
      </w:pPr>
      <w:r>
        <w:rPr>
          <w:szCs w:val="21"/>
        </w:rPr>
        <w:t>有效认购款项在募集期间产生的利息将折算为基金份额归基金份额持有人所有，其中利息转份额的具体数额以登记机构的记录为准。</w:t>
      </w:r>
    </w:p>
    <w:p>
      <w:pPr>
        <w:adjustRightInd w:val="0"/>
        <w:snapToGrid w:val="0"/>
        <w:spacing w:line="360" w:lineRule="auto"/>
        <w:ind w:firstLine="420" w:firstLineChars="200"/>
        <w:rPr>
          <w:szCs w:val="21"/>
        </w:rPr>
      </w:pPr>
      <w:r>
        <w:rPr>
          <w:szCs w:val="21"/>
        </w:rPr>
        <w:t>6、认购份额余额的处理方式</w:t>
      </w:r>
    </w:p>
    <w:p>
      <w:pPr>
        <w:adjustRightInd w:val="0"/>
        <w:snapToGrid w:val="0"/>
        <w:spacing w:line="360" w:lineRule="auto"/>
        <w:ind w:firstLine="420" w:firstLineChars="200"/>
        <w:rPr>
          <w:szCs w:val="21"/>
        </w:rPr>
      </w:pPr>
      <w:r>
        <w:rPr>
          <w:szCs w:val="21"/>
        </w:rPr>
        <w:t>认购份额的计算保留到小数点后两位，小数点两位以后的部分四舍五入，由此误差产生的收益或损失由基金财产承担。</w:t>
      </w:r>
    </w:p>
    <w:p>
      <w:pPr>
        <w:adjustRightInd w:val="0"/>
        <w:snapToGrid w:val="0"/>
        <w:spacing w:line="360" w:lineRule="auto"/>
        <w:ind w:firstLine="422" w:firstLineChars="200"/>
        <w:rPr>
          <w:b/>
          <w:szCs w:val="21"/>
        </w:rPr>
      </w:pPr>
      <w:r>
        <w:rPr>
          <w:b/>
          <w:szCs w:val="21"/>
        </w:rPr>
        <w:t>九、首次募集规模上限</w:t>
      </w:r>
    </w:p>
    <w:p>
      <w:pPr>
        <w:adjustRightInd w:val="0"/>
        <w:snapToGrid w:val="0"/>
        <w:spacing w:line="360" w:lineRule="auto"/>
        <w:ind w:firstLine="420" w:firstLineChars="200"/>
        <w:rPr>
          <w:szCs w:val="21"/>
        </w:rPr>
      </w:pPr>
      <w:r>
        <w:rPr>
          <w:szCs w:val="21"/>
        </w:rPr>
        <w:t>本基金可设置首次募集规模上限，具体募集上限及规模控制的方案详见基金份额发售公告或基金管理人届时发布的相关公告。若本基金设置首次募集规模上限，基金合同生效后不受首次募集规模的限制。</w:t>
      </w:r>
    </w:p>
    <w:p>
      <w:pPr>
        <w:adjustRightInd w:val="0"/>
        <w:snapToGrid w:val="0"/>
        <w:spacing w:line="360" w:lineRule="auto"/>
        <w:ind w:firstLine="424" w:firstLineChars="201"/>
        <w:rPr>
          <w:b/>
          <w:kern w:val="0"/>
        </w:rPr>
      </w:pPr>
      <w:r>
        <w:rPr>
          <w:b/>
          <w:kern w:val="0"/>
        </w:rPr>
        <w:t xml:space="preserve">十、投资人对基金份额的认购 </w:t>
      </w:r>
    </w:p>
    <w:p>
      <w:pPr>
        <w:adjustRightInd w:val="0"/>
        <w:snapToGrid w:val="0"/>
        <w:spacing w:line="360" w:lineRule="auto"/>
        <w:ind w:firstLine="422" w:firstLineChars="201"/>
        <w:rPr>
          <w:kern w:val="0"/>
        </w:rPr>
      </w:pPr>
      <w:r>
        <w:rPr>
          <w:kern w:val="0"/>
        </w:rPr>
        <w:t xml:space="preserve">1．本基金的认购时间安排、认购者认购应提交的文件和办理的手续请详细查阅本基金的基金份额发售公告。 </w:t>
      </w:r>
    </w:p>
    <w:p>
      <w:pPr>
        <w:adjustRightInd w:val="0"/>
        <w:snapToGrid w:val="0"/>
        <w:spacing w:line="360" w:lineRule="auto"/>
        <w:ind w:firstLine="422" w:firstLineChars="201"/>
        <w:rPr>
          <w:kern w:val="0"/>
        </w:rPr>
      </w:pPr>
      <w:r>
        <w:rPr>
          <w:kern w:val="0"/>
        </w:rPr>
        <w:t xml:space="preserve">2．认购方式 </w:t>
      </w:r>
    </w:p>
    <w:p>
      <w:pPr>
        <w:adjustRightInd w:val="0"/>
        <w:snapToGrid w:val="0"/>
        <w:spacing w:line="360" w:lineRule="auto"/>
        <w:ind w:firstLine="422" w:firstLineChars="201"/>
        <w:rPr>
          <w:kern w:val="0"/>
        </w:rPr>
      </w:pPr>
      <w:r>
        <w:rPr>
          <w:kern w:val="0"/>
        </w:rPr>
        <w:t xml:space="preserve">本基金认购采取金额认购的方式。 </w:t>
      </w:r>
    </w:p>
    <w:p>
      <w:pPr>
        <w:adjustRightInd w:val="0"/>
        <w:snapToGrid w:val="0"/>
        <w:spacing w:line="360" w:lineRule="auto"/>
        <w:ind w:firstLine="422" w:firstLineChars="201"/>
        <w:rPr>
          <w:kern w:val="0"/>
        </w:rPr>
      </w:pPr>
      <w:r>
        <w:rPr>
          <w:kern w:val="0"/>
        </w:rPr>
        <w:t xml:space="preserve">（1）投资者认购时，需按销售机构规定的方式全额缴款。 </w:t>
      </w:r>
    </w:p>
    <w:p>
      <w:pPr>
        <w:adjustRightInd w:val="0"/>
        <w:snapToGrid w:val="0"/>
        <w:spacing w:line="360" w:lineRule="auto"/>
        <w:ind w:firstLine="422" w:firstLineChars="201"/>
        <w:rPr>
          <w:kern w:val="0"/>
        </w:rPr>
      </w:pPr>
      <w:r>
        <w:rPr>
          <w:kern w:val="0"/>
        </w:rPr>
        <w:t xml:space="preserve">（2）投资者在募集期内可以多次认购基金份额，A类基金份额的认购费按每笔该类基金份额认购申请单独计算，但已受理的认购申请不允许撤销。 </w:t>
      </w:r>
    </w:p>
    <w:p>
      <w:pPr>
        <w:adjustRightInd w:val="0"/>
        <w:snapToGrid w:val="0"/>
        <w:spacing w:line="360" w:lineRule="auto"/>
        <w:ind w:firstLine="422" w:firstLineChars="201"/>
        <w:rPr>
          <w:kern w:val="0"/>
        </w:rPr>
      </w:pPr>
      <w:r>
        <w:rPr>
          <w:kern w:val="0"/>
        </w:rPr>
        <w:t xml:space="preserve">3．认购确认 </w:t>
      </w:r>
    </w:p>
    <w:p>
      <w:pPr>
        <w:adjustRightInd w:val="0"/>
        <w:snapToGrid w:val="0"/>
        <w:spacing w:line="360" w:lineRule="auto"/>
        <w:ind w:firstLine="422" w:firstLineChars="201"/>
        <w:rPr>
          <w:kern w:val="0"/>
        </w:rPr>
      </w:pPr>
      <w:r>
        <w:rPr>
          <w:kern w:val="0"/>
        </w:rPr>
        <w:t>基金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投资者任何损失由投资者自行承担。</w:t>
      </w:r>
    </w:p>
    <w:p>
      <w:pPr>
        <w:adjustRightInd w:val="0"/>
        <w:snapToGrid w:val="0"/>
        <w:spacing w:line="360" w:lineRule="auto"/>
        <w:ind w:firstLine="422" w:firstLineChars="201"/>
        <w:rPr>
          <w:kern w:val="0"/>
        </w:rPr>
      </w:pPr>
      <w:r>
        <w:rPr>
          <w:kern w:val="0"/>
        </w:rPr>
        <w:t xml:space="preserve">4．认购限制 </w:t>
      </w:r>
    </w:p>
    <w:p>
      <w:pPr>
        <w:tabs>
          <w:tab w:val="left" w:pos="1134"/>
        </w:tabs>
        <w:adjustRightInd w:val="0"/>
        <w:snapToGrid w:val="0"/>
        <w:spacing w:line="360" w:lineRule="auto"/>
        <w:ind w:firstLine="420" w:firstLineChars="200"/>
        <w:rPr>
          <w:color w:val="000000"/>
          <w:szCs w:val="21"/>
        </w:rPr>
      </w:pPr>
      <w:r>
        <w:rPr>
          <w:color w:val="000000"/>
          <w:szCs w:val="21"/>
        </w:rPr>
        <w:t>投资人A类基金份额或C类基金份额首次最低认购金额不低于1.00元（含认购费），追加认购单笔最低金额为1.00元（含认购费），详情请见当地销售机构公告。募集期间的单个投资人的累计认购金额不受限制。</w:t>
      </w:r>
    </w:p>
    <w:p>
      <w:pPr>
        <w:tabs>
          <w:tab w:val="left" w:pos="1134"/>
        </w:tabs>
        <w:adjustRightInd w:val="0"/>
        <w:snapToGrid w:val="0"/>
        <w:spacing w:line="360" w:lineRule="auto"/>
        <w:ind w:firstLine="420" w:firstLineChars="200"/>
        <w:rPr>
          <w:color w:val="000000"/>
          <w:szCs w:val="21"/>
        </w:rPr>
      </w:pPr>
      <w:r>
        <w:rPr>
          <w:color w:val="000000"/>
          <w:szCs w:val="21"/>
        </w:rPr>
        <w:t>如发生末日比例确认，认购申请确认不受最低认购数量的限制。</w:t>
      </w:r>
    </w:p>
    <w:p>
      <w:pPr>
        <w:tabs>
          <w:tab w:val="left" w:pos="1134"/>
        </w:tabs>
        <w:adjustRightInd w:val="0"/>
        <w:snapToGrid w:val="0"/>
        <w:spacing w:line="360" w:lineRule="auto"/>
        <w:ind w:firstLine="420" w:firstLineChars="200"/>
        <w:rPr>
          <w:color w:val="000000"/>
          <w:szCs w:val="21"/>
        </w:rPr>
      </w:pPr>
      <w:r>
        <w:rPr>
          <w:color w:val="000000"/>
          <w:szCs w:val="21"/>
        </w:rPr>
        <w:t>单一投资者（基金管理人、基金管理人高级管理人员或基金经理等人员作为发起资金提供方的除外）持有本基金份额集中度不得达到或者超过50%，对于可能导致单一投资者持有基金份额的比例达到或者超过50%，或者变相规避50%集中度的情形，基金管理人有权拒绝该等全部或者部分认购申请。法律法规、监管机构另有规定或基金合同另有约定的除外。</w:t>
      </w:r>
    </w:p>
    <w:p>
      <w:pPr>
        <w:adjustRightInd w:val="0"/>
        <w:snapToGrid w:val="0"/>
        <w:spacing w:line="360" w:lineRule="auto"/>
        <w:ind w:firstLine="424" w:firstLineChars="201"/>
        <w:rPr>
          <w:b/>
          <w:bCs/>
          <w:color w:val="000000"/>
          <w:kern w:val="0"/>
          <w:szCs w:val="21"/>
        </w:rPr>
      </w:pPr>
      <w:r>
        <w:rPr>
          <w:b/>
          <w:bCs/>
          <w:color w:val="000000"/>
          <w:kern w:val="0"/>
          <w:szCs w:val="21"/>
        </w:rPr>
        <w:t>十一、基金募集期间募集的资金存入专门账户，在基金募集行为结束前，任何人不得动用。</w:t>
      </w:r>
    </w:p>
    <w:p>
      <w:pPr>
        <w:adjustRightInd w:val="0"/>
        <w:snapToGrid w:val="0"/>
        <w:spacing w:line="360" w:lineRule="auto"/>
        <w:ind w:firstLine="424" w:firstLineChars="201"/>
        <w:rPr>
          <w:b/>
          <w:color w:val="000000"/>
          <w:kern w:val="0"/>
          <w:szCs w:val="21"/>
        </w:rPr>
      </w:pPr>
      <w:r>
        <w:rPr>
          <w:b/>
          <w:color w:val="000000"/>
          <w:kern w:val="0"/>
          <w:szCs w:val="21"/>
        </w:rPr>
        <w:t>十二、发起资金的认购</w:t>
      </w:r>
    </w:p>
    <w:p>
      <w:pPr>
        <w:adjustRightInd w:val="0"/>
        <w:snapToGrid w:val="0"/>
        <w:spacing w:line="360" w:lineRule="auto"/>
        <w:ind w:firstLine="422" w:firstLineChars="201"/>
        <w:rPr>
          <w:color w:val="000000"/>
          <w:kern w:val="0"/>
          <w:szCs w:val="21"/>
        </w:rPr>
      </w:pPr>
      <w:r>
        <w:rPr>
          <w:color w:val="000000"/>
          <w:kern w:val="0"/>
          <w:szCs w:val="21"/>
        </w:rPr>
        <w:t>发起资金提供方认购金额不低于1,000万元人民币（不含认购费用），认购的基金份额持有期限自基金合同生效日起不少于三年，法律法规和监管机构另有规定的除外。</w:t>
      </w:r>
    </w:p>
    <w:p>
      <w:pPr>
        <w:adjustRightInd w:val="0"/>
        <w:snapToGrid w:val="0"/>
        <w:spacing w:line="360" w:lineRule="auto"/>
        <w:ind w:firstLine="422" w:firstLineChars="201"/>
        <w:rPr>
          <w:color w:val="000000"/>
          <w:kern w:val="0"/>
          <w:szCs w:val="21"/>
        </w:rPr>
      </w:pPr>
      <w:r>
        <w:rPr>
          <w:color w:val="000000"/>
          <w:kern w:val="0"/>
          <w:szCs w:val="21"/>
        </w:rPr>
        <w:t>本基金发起资金的认购情况见基金管理人届时发布的公告。</w:t>
      </w:r>
    </w:p>
    <w:p>
      <w:pPr>
        <w:adjustRightInd w:val="0"/>
        <w:snapToGrid w:val="0"/>
        <w:spacing w:line="360" w:lineRule="auto"/>
        <w:ind w:firstLine="424" w:firstLineChars="201"/>
        <w:rPr>
          <w:b/>
          <w:color w:val="000000"/>
          <w:kern w:val="0"/>
          <w:szCs w:val="21"/>
        </w:rPr>
      </w:pPr>
      <w:r>
        <w:rPr>
          <w:b/>
          <w:color w:val="000000"/>
          <w:kern w:val="0"/>
          <w:szCs w:val="21"/>
        </w:rPr>
        <w:t>十三、未来条件许可情况下的基金模式转换</w:t>
      </w:r>
    </w:p>
    <w:p>
      <w:pPr>
        <w:adjustRightInd w:val="0"/>
        <w:snapToGrid w:val="0"/>
        <w:spacing w:line="360" w:lineRule="auto"/>
        <w:ind w:firstLine="422" w:firstLineChars="201"/>
        <w:rPr>
          <w:rFonts w:ascii="宋体" w:hAnsi="Arial" w:cs="宋体"/>
          <w:color w:val="000000"/>
          <w:kern w:val="0"/>
          <w:szCs w:val="21"/>
        </w:rPr>
        <w:sectPr>
          <w:footerReference r:id="rId12" w:type="first"/>
          <w:footerReference r:id="rId11" w:type="default"/>
          <w:pgSz w:w="11906" w:h="16838"/>
          <w:pgMar w:top="1440" w:right="1800" w:bottom="1440" w:left="1800" w:header="851" w:footer="992" w:gutter="0"/>
          <w:pgNumType w:start="1"/>
          <w:cols w:space="425" w:num="1"/>
          <w:titlePg/>
          <w:docGrid w:type="lines" w:linePitch="312" w:charSpace="0"/>
        </w:sectPr>
      </w:pPr>
      <w:r>
        <w:rPr>
          <w:color w:val="000000"/>
          <w:kern w:val="0"/>
          <w:szCs w:val="21"/>
        </w:rPr>
        <w:t>若将来本基金管理人推出投资同一标的指数的交易型开放式指数证券投资基金（ETF），则基金管理人有权在履行适当程序后使本基金转换为该基金的联接基金，并相应修改基金合同，届时无需召开基金份额持有人大会但须</w:t>
      </w:r>
      <w:r>
        <w:rPr>
          <w:rFonts w:hint="eastAsia"/>
          <w:color w:val="000000"/>
          <w:kern w:val="0"/>
          <w:szCs w:val="21"/>
        </w:rPr>
        <w:t>履行适当程序</w:t>
      </w:r>
      <w:r>
        <w:rPr>
          <w:color w:val="000000"/>
          <w:kern w:val="0"/>
          <w:szCs w:val="21"/>
        </w:rPr>
        <w:t>并提前公告</w:t>
      </w:r>
      <w:r>
        <w:rPr>
          <w:rFonts w:hint="eastAsia" w:ascii="宋体" w:hAnsi="Arial" w:cs="宋体"/>
          <w:color w:val="000000"/>
          <w:kern w:val="0"/>
          <w:szCs w:val="21"/>
        </w:rPr>
        <w:t>。</w:t>
      </w:r>
    </w:p>
    <w:p>
      <w:pPr>
        <w:pStyle w:val="4"/>
        <w:numPr>
          <w:ilvl w:val="0"/>
          <w:numId w:val="25"/>
        </w:numPr>
        <w:snapToGrid w:val="0"/>
        <w:spacing w:before="0" w:after="0" w:line="360" w:lineRule="auto"/>
        <w:jc w:val="center"/>
      </w:pPr>
      <w:bookmarkStart w:id="67" w:name="_Toc92740290"/>
      <w:r>
        <w:t>基金</w:t>
      </w:r>
      <w:r>
        <w:rPr>
          <w:rFonts w:hint="eastAsia"/>
        </w:rPr>
        <w:t>合同的生效</w:t>
      </w:r>
      <w:bookmarkEnd w:id="67"/>
    </w:p>
    <w:p>
      <w:pPr>
        <w:autoSpaceDE w:val="0"/>
        <w:autoSpaceDN w:val="0"/>
        <w:adjustRightInd w:val="0"/>
        <w:snapToGrid w:val="0"/>
        <w:spacing w:line="360" w:lineRule="auto"/>
        <w:ind w:firstLine="422" w:firstLineChars="200"/>
        <w:rPr>
          <w:rFonts w:ascii="Arial" w:hAnsi="宋体" w:cs="Arial"/>
          <w:b/>
          <w:szCs w:val="21"/>
        </w:rPr>
      </w:pPr>
      <w:r>
        <w:rPr>
          <w:rFonts w:ascii="Arial" w:hAnsi="宋体" w:cs="Arial"/>
          <w:b/>
          <w:szCs w:val="21"/>
        </w:rPr>
        <w:t>一、基金备案的条件</w:t>
      </w:r>
    </w:p>
    <w:p>
      <w:pPr>
        <w:autoSpaceDE w:val="0"/>
        <w:autoSpaceDN w:val="0"/>
        <w:adjustRightInd w:val="0"/>
        <w:snapToGrid w:val="0"/>
        <w:spacing w:line="360" w:lineRule="auto"/>
        <w:ind w:firstLine="420" w:firstLineChars="200"/>
        <w:rPr>
          <w:szCs w:val="21"/>
        </w:rPr>
      </w:pPr>
      <w:r>
        <w:rPr>
          <w:kern w:val="0"/>
          <w:szCs w:val="21"/>
        </w:rPr>
        <w:t>本基金自基金份额发售之日起3个月内，在发起资金提供方认购本基金的金额不少于1,000万元人民币（不含认购费用）且承诺持有期限自基金合同生效日起不少于3年的条件下，基金募集期届满或者基金管理人依据法律法规及招募说明书可以决定停止基金发售，并在10日内聘请法定验资机构验资，验资报告需对发起资金提供方及其持有份额进行专门说明。基金管理人自收到验资报告之日起10日内，向中国证监会办理基金备案手续。</w:t>
      </w:r>
    </w:p>
    <w:p>
      <w:pPr>
        <w:autoSpaceDE w:val="0"/>
        <w:autoSpaceDN w:val="0"/>
        <w:adjustRightInd w:val="0"/>
        <w:snapToGrid w:val="0"/>
        <w:spacing w:line="360" w:lineRule="auto"/>
        <w:ind w:firstLine="420" w:firstLineChars="200"/>
        <w:rPr>
          <w:szCs w:val="21"/>
        </w:rPr>
      </w:pPr>
      <w:r>
        <w:rPr>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pPr>
        <w:autoSpaceDE w:val="0"/>
        <w:autoSpaceDN w:val="0"/>
        <w:adjustRightInd w:val="0"/>
        <w:snapToGrid w:val="0"/>
        <w:spacing w:line="360" w:lineRule="auto"/>
        <w:ind w:firstLine="422" w:firstLineChars="200"/>
        <w:rPr>
          <w:b/>
          <w:szCs w:val="21"/>
        </w:rPr>
      </w:pPr>
      <w:r>
        <w:rPr>
          <w:b/>
          <w:szCs w:val="21"/>
        </w:rPr>
        <w:t>二、基金合同不能生效时募集资金的处理方式</w:t>
      </w:r>
    </w:p>
    <w:p>
      <w:pPr>
        <w:autoSpaceDE w:val="0"/>
        <w:autoSpaceDN w:val="0"/>
        <w:adjustRightInd w:val="0"/>
        <w:snapToGrid w:val="0"/>
        <w:spacing w:line="360" w:lineRule="auto"/>
        <w:ind w:firstLine="420" w:firstLineChars="200"/>
        <w:rPr>
          <w:szCs w:val="21"/>
        </w:rPr>
      </w:pPr>
      <w:r>
        <w:rPr>
          <w:szCs w:val="21"/>
        </w:rPr>
        <w:t>如果募集期限届满，未满足基金备案条件，基金管理人应当承担下列责任：</w:t>
      </w:r>
    </w:p>
    <w:p>
      <w:pPr>
        <w:autoSpaceDE w:val="0"/>
        <w:autoSpaceDN w:val="0"/>
        <w:adjustRightInd w:val="0"/>
        <w:snapToGrid w:val="0"/>
        <w:spacing w:line="360" w:lineRule="auto"/>
        <w:ind w:firstLine="420" w:firstLineChars="200"/>
        <w:rPr>
          <w:szCs w:val="21"/>
        </w:rPr>
      </w:pPr>
      <w:r>
        <w:rPr>
          <w:szCs w:val="21"/>
        </w:rPr>
        <w:t>1、以其固有财产承担因募集行为而产生的债务和费用；</w:t>
      </w:r>
    </w:p>
    <w:p>
      <w:pPr>
        <w:autoSpaceDE w:val="0"/>
        <w:autoSpaceDN w:val="0"/>
        <w:adjustRightInd w:val="0"/>
        <w:snapToGrid w:val="0"/>
        <w:spacing w:line="360" w:lineRule="auto"/>
        <w:ind w:firstLine="420" w:firstLineChars="200"/>
        <w:rPr>
          <w:szCs w:val="21"/>
        </w:rPr>
      </w:pPr>
      <w:r>
        <w:rPr>
          <w:szCs w:val="21"/>
        </w:rPr>
        <w:t>2、在基金募集期限届满后30日内返还投资者已交纳的款项，并加计银行同期活期存款利息；</w:t>
      </w:r>
    </w:p>
    <w:p>
      <w:pPr>
        <w:autoSpaceDE w:val="0"/>
        <w:autoSpaceDN w:val="0"/>
        <w:adjustRightInd w:val="0"/>
        <w:snapToGrid w:val="0"/>
        <w:spacing w:line="360" w:lineRule="auto"/>
        <w:ind w:firstLine="420" w:firstLineChars="200"/>
        <w:rPr>
          <w:szCs w:val="21"/>
        </w:rPr>
      </w:pPr>
      <w:r>
        <w:rPr>
          <w:szCs w:val="21"/>
        </w:rPr>
        <w:t>3、如基金募集失败，基金管理人、基金托管人及销售机构不得请求报酬。基金管理人、基金托管人和销售机构为基金募集支付之一切费用应由各方各自承担。</w:t>
      </w:r>
    </w:p>
    <w:p>
      <w:pPr>
        <w:autoSpaceDE w:val="0"/>
        <w:autoSpaceDN w:val="0"/>
        <w:adjustRightInd w:val="0"/>
        <w:snapToGrid w:val="0"/>
        <w:spacing w:line="360" w:lineRule="auto"/>
        <w:ind w:firstLine="422" w:firstLineChars="200"/>
        <w:rPr>
          <w:b/>
          <w:szCs w:val="21"/>
        </w:rPr>
      </w:pPr>
      <w:r>
        <w:rPr>
          <w:b/>
          <w:szCs w:val="21"/>
        </w:rPr>
        <w:t>三、基金存续期内的基金份额持有人数量和资产规模</w:t>
      </w:r>
    </w:p>
    <w:p>
      <w:pPr>
        <w:autoSpaceDE w:val="0"/>
        <w:autoSpaceDN w:val="0"/>
        <w:adjustRightInd w:val="0"/>
        <w:spacing w:line="360" w:lineRule="auto"/>
        <w:ind w:firstLine="420" w:firstLineChars="200"/>
        <w:rPr>
          <w:bCs/>
          <w:szCs w:val="21"/>
        </w:rPr>
      </w:pPr>
      <w:r>
        <w:rPr>
          <w:bCs/>
          <w:szCs w:val="21"/>
        </w:rPr>
        <w:t>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若届时的法律法规或中国证监会规定发生变化，上述终止规定被取消、更改或补充时，则本基金可以参照届时有效的法律法规或中国证监会规定执行。</w:t>
      </w:r>
    </w:p>
    <w:p>
      <w:pPr>
        <w:autoSpaceDE w:val="0"/>
        <w:autoSpaceDN w:val="0"/>
        <w:adjustRightInd w:val="0"/>
        <w:spacing w:line="360" w:lineRule="auto"/>
        <w:ind w:firstLine="420" w:firstLineChars="200"/>
        <w:rPr>
          <w:bCs/>
          <w:szCs w:val="21"/>
        </w:rPr>
      </w:pPr>
      <w:r>
        <w:rPr>
          <w:bCs/>
          <w:szCs w:val="21"/>
        </w:rPr>
        <w:t>本基金在基金合同生效三年后继续存续的，基金存续期内，连续20个工作日出现基金份额持有人数量不满200人或者基金资产净值低于5000万元情形的，基金管理人应当在定期报告中予以披露；连续50个工作日出现前述情形的，本基金将根据基金合同的约定进行基金财产清算并终止，且无需召开基金份额持有人大会，同时基金管理人应履行相关的监管报告和信息披露程序。</w:t>
      </w:r>
    </w:p>
    <w:p>
      <w:pPr>
        <w:autoSpaceDE w:val="0"/>
        <w:autoSpaceDN w:val="0"/>
        <w:adjustRightInd w:val="0"/>
        <w:spacing w:line="360" w:lineRule="auto"/>
        <w:ind w:firstLine="420" w:firstLineChars="200"/>
        <w:rPr>
          <w:bCs/>
          <w:szCs w:val="21"/>
        </w:rPr>
        <w:sectPr>
          <w:footerReference r:id="rId13" w:type="first"/>
          <w:pgSz w:w="11906" w:h="16838"/>
          <w:pgMar w:top="1440" w:right="1800" w:bottom="1440" w:left="1800" w:header="851" w:footer="992" w:gutter="0"/>
          <w:pgNumType w:start="1"/>
          <w:cols w:space="425" w:num="1"/>
          <w:titlePg/>
          <w:docGrid w:type="lines" w:linePitch="312" w:charSpace="0"/>
        </w:sectPr>
      </w:pPr>
      <w:r>
        <w:rPr>
          <w:bCs/>
          <w:szCs w:val="21"/>
        </w:rPr>
        <w:t>法律法规或中国证监会另有规定时，从其规定。</w:t>
      </w:r>
    </w:p>
    <w:p>
      <w:pPr>
        <w:pStyle w:val="4"/>
        <w:numPr>
          <w:ilvl w:val="0"/>
          <w:numId w:val="25"/>
        </w:numPr>
        <w:snapToGrid w:val="0"/>
        <w:spacing w:before="0" w:after="0" w:line="360" w:lineRule="auto"/>
        <w:jc w:val="center"/>
      </w:pPr>
      <w:bookmarkStart w:id="68" w:name="_Toc335899841"/>
      <w:bookmarkStart w:id="69" w:name="_Toc332013118"/>
      <w:bookmarkStart w:id="70" w:name="_Toc327902631"/>
      <w:bookmarkStart w:id="71" w:name="_Toc411872030"/>
      <w:bookmarkStart w:id="72" w:name="_Toc375295981"/>
      <w:bookmarkStart w:id="73" w:name="_Toc336606235"/>
      <w:bookmarkStart w:id="74" w:name="_Toc92740291"/>
      <w:bookmarkStart w:id="75" w:name="_Toc369510016"/>
      <w:r>
        <w:rPr>
          <w:rFonts w:hint="eastAsia"/>
        </w:rPr>
        <w:t>基金份额的申购赎回</w:t>
      </w:r>
      <w:bookmarkEnd w:id="68"/>
      <w:bookmarkEnd w:id="69"/>
      <w:bookmarkEnd w:id="70"/>
      <w:bookmarkEnd w:id="71"/>
      <w:bookmarkEnd w:id="72"/>
      <w:bookmarkEnd w:id="73"/>
      <w:bookmarkEnd w:id="74"/>
      <w:bookmarkEnd w:id="75"/>
    </w:p>
    <w:p>
      <w:pPr>
        <w:pStyle w:val="163"/>
        <w:ind w:firstLine="422"/>
        <w:jc w:val="left"/>
        <w:rPr>
          <w:b/>
        </w:rPr>
      </w:pPr>
      <w:r>
        <w:rPr>
          <w:b/>
        </w:rPr>
        <w:t>一、申购和赎回场所</w:t>
      </w:r>
    </w:p>
    <w:p>
      <w:pPr>
        <w:adjustRightInd w:val="0"/>
        <w:snapToGrid w:val="0"/>
        <w:spacing w:line="360" w:lineRule="auto"/>
        <w:ind w:firstLine="420" w:firstLineChars="200"/>
        <w:rPr>
          <w:rFonts w:asciiTheme="minorEastAsia" w:hAnsiTheme="minorEastAsia" w:eastAsiaTheme="minorEastAsia"/>
          <w:szCs w:val="21"/>
        </w:rPr>
      </w:pPr>
      <w:r>
        <w:rPr>
          <w:rFonts w:hint="eastAsia" w:cs="宋体" w:asciiTheme="minorEastAsia" w:hAnsiTheme="minorEastAsia"/>
          <w:kern w:val="0"/>
          <w:szCs w:val="21"/>
        </w:rPr>
        <w:t>本基金的申购与赎回将通过销售机构进行。具体的销售机构将由基金管理人在招募说明书或基金管理人网站公示。基金管理人可根据情况变更或增减销售机构。基金投资者应当在销售机构办理基金销售业务的营业场所或按销售机构提供的其他方式办理基金份额的申购与赎回。</w:t>
      </w:r>
    </w:p>
    <w:p>
      <w:pPr>
        <w:pStyle w:val="163"/>
        <w:ind w:firstLine="422"/>
        <w:rPr>
          <w:b/>
        </w:rPr>
      </w:pPr>
      <w:r>
        <w:rPr>
          <w:b/>
        </w:rPr>
        <w:t>二、申购和赎回的开放日及时间</w:t>
      </w:r>
    </w:p>
    <w:p>
      <w:pPr>
        <w:pStyle w:val="163"/>
        <w:rPr>
          <w:rFonts w:asciiTheme="minorEastAsia" w:hAnsiTheme="minorEastAsia" w:eastAsiaTheme="minorEastAsia"/>
        </w:rPr>
      </w:pPr>
      <w:r>
        <w:rPr>
          <w:rFonts w:hint="eastAsia" w:asciiTheme="minorEastAsia" w:hAnsiTheme="minorEastAsia" w:eastAsiaTheme="minorEastAsia"/>
        </w:rPr>
        <w:t>1、开放日及开放时间</w:t>
      </w:r>
    </w:p>
    <w:p>
      <w:pPr>
        <w:autoSpaceDE w:val="0"/>
        <w:autoSpaceDN w:val="0"/>
        <w:adjustRightInd w:val="0"/>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投资人在开放日办理基金份额的申购和赎回，具体办理时间为上海证券交易所、深圳证券交易所及相关期货交易所的正常交易日的交易时间，但基金管理人根据法律法规、中国证监会的要求或基金合同的规定公告暂停申购、赎回时除外。</w:t>
      </w:r>
    </w:p>
    <w:p>
      <w:pPr>
        <w:autoSpaceDE w:val="0"/>
        <w:autoSpaceDN w:val="0"/>
        <w:adjustRightInd w:val="0"/>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2、申购、赎回开始日及业务办理时间</w:t>
      </w:r>
    </w:p>
    <w:p>
      <w:pPr>
        <w:autoSpaceDE w:val="0"/>
        <w:autoSpaceDN w:val="0"/>
        <w:adjustRightInd w:val="0"/>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基金管理人可根据实际情况依法决定本基金开始办理申购的具体日期，具体业务办理时间在申购开始公告中规定。</w:t>
      </w:r>
    </w:p>
    <w:p>
      <w:pPr>
        <w:autoSpaceDE w:val="0"/>
        <w:autoSpaceDN w:val="0"/>
        <w:adjustRightInd w:val="0"/>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基金管理人自基金合同生效之日起不超过3个月开始办理赎回，具体业务办理时间在赎回开始公告中规定。</w:t>
      </w:r>
    </w:p>
    <w:p>
      <w:pPr>
        <w:autoSpaceDE w:val="0"/>
        <w:autoSpaceDN w:val="0"/>
        <w:adjustRightInd w:val="0"/>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在确定申购开始与赎回开始时间后，基金管理人应在申购、赎回开放日前依照《信息披露办法》的有关规定在规定媒介上公告申购与赎回的开始时间。</w:t>
      </w:r>
    </w:p>
    <w:p>
      <w:pPr>
        <w:autoSpaceDE w:val="0"/>
        <w:autoSpaceDN w:val="0"/>
        <w:adjustRightInd w:val="0"/>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该类别基金份额申购、赎回的价格。</w:t>
      </w:r>
    </w:p>
    <w:p>
      <w:pPr>
        <w:pStyle w:val="163"/>
        <w:ind w:firstLine="422"/>
        <w:rPr>
          <w:b/>
        </w:rPr>
      </w:pPr>
      <w:r>
        <w:rPr>
          <w:b/>
        </w:rPr>
        <w:t>三、申购与赎回的原则</w:t>
      </w:r>
    </w:p>
    <w:p>
      <w:pPr>
        <w:pStyle w:val="163"/>
        <w:rPr>
          <w:rFonts w:asciiTheme="minorEastAsia" w:hAnsiTheme="minorEastAsia" w:eastAsiaTheme="minorEastAsia"/>
          <w:szCs w:val="24"/>
        </w:rPr>
      </w:pPr>
      <w:r>
        <w:rPr>
          <w:rFonts w:hint="eastAsia" w:asciiTheme="minorEastAsia" w:hAnsiTheme="minorEastAsia" w:eastAsiaTheme="minorEastAsia"/>
          <w:szCs w:val="24"/>
        </w:rPr>
        <w:t>1、“未知价”原则，即申购、赎回价格以申请当日收市后计算的该类别基金份额净值为基准进行计算；</w:t>
      </w:r>
    </w:p>
    <w:p>
      <w:pPr>
        <w:pStyle w:val="163"/>
        <w:rPr>
          <w:rFonts w:asciiTheme="minorEastAsia" w:hAnsiTheme="minorEastAsia" w:eastAsiaTheme="minorEastAsia"/>
          <w:szCs w:val="24"/>
        </w:rPr>
      </w:pPr>
      <w:r>
        <w:rPr>
          <w:rFonts w:hint="eastAsia" w:asciiTheme="minorEastAsia" w:hAnsiTheme="minorEastAsia" w:eastAsiaTheme="minorEastAsia"/>
          <w:szCs w:val="24"/>
        </w:rPr>
        <w:t>2、“金额申购、份额赎回”原则，即申购以金额申请，赎回以份额申请；</w:t>
      </w:r>
    </w:p>
    <w:p>
      <w:pPr>
        <w:pStyle w:val="163"/>
        <w:rPr>
          <w:rFonts w:asciiTheme="minorEastAsia" w:hAnsiTheme="minorEastAsia" w:eastAsiaTheme="minorEastAsia"/>
          <w:szCs w:val="24"/>
        </w:rPr>
      </w:pPr>
      <w:r>
        <w:rPr>
          <w:rFonts w:hint="eastAsia" w:asciiTheme="minorEastAsia" w:hAnsiTheme="minorEastAsia" w:eastAsiaTheme="minorEastAsia"/>
          <w:szCs w:val="24"/>
        </w:rPr>
        <w:t>3、当日的申购与赎回申请可以在基金管理人规定的时间以内撤销；</w:t>
      </w:r>
    </w:p>
    <w:p>
      <w:pPr>
        <w:pStyle w:val="163"/>
        <w:rPr>
          <w:rFonts w:asciiTheme="minorEastAsia" w:hAnsiTheme="minorEastAsia" w:eastAsiaTheme="minorEastAsia"/>
          <w:szCs w:val="24"/>
        </w:rPr>
      </w:pPr>
      <w:r>
        <w:rPr>
          <w:rFonts w:hint="eastAsia" w:asciiTheme="minorEastAsia" w:hAnsiTheme="minorEastAsia" w:eastAsiaTheme="minorEastAsia"/>
          <w:szCs w:val="24"/>
        </w:rPr>
        <w:t>4、赎回遵循“先进先出”原则，即按照投资人认购、申购的先后次序进行顺序赎回；</w:t>
      </w:r>
    </w:p>
    <w:p>
      <w:pPr>
        <w:pStyle w:val="163"/>
        <w:rPr>
          <w:rFonts w:asciiTheme="minorEastAsia" w:hAnsiTheme="minorEastAsia" w:eastAsiaTheme="minorEastAsia"/>
          <w:szCs w:val="24"/>
        </w:rPr>
      </w:pPr>
      <w:r>
        <w:rPr>
          <w:rFonts w:hint="eastAsia" w:asciiTheme="minorEastAsia" w:hAnsiTheme="minorEastAsia" w:eastAsiaTheme="minorEastAsia"/>
          <w:szCs w:val="24"/>
        </w:rPr>
        <w:t>5、办理申购、赎回业务时，应当遵循基金份额持有人利益优先原则，确保投资者的合法权益不受损害并得到公平对待。</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基金管理人可在不违反法律法规的情况下，对上述原则进行调整。基金管理人必须在新规则开始实施前依照《信息披露办法》的有关规定在规定媒介上公告。</w:t>
      </w:r>
    </w:p>
    <w:p>
      <w:pPr>
        <w:pStyle w:val="163"/>
        <w:ind w:firstLine="422"/>
        <w:rPr>
          <w:b/>
        </w:rPr>
      </w:pPr>
      <w:r>
        <w:rPr>
          <w:b/>
        </w:rPr>
        <w:t>四、申购与赎回的程序</w:t>
      </w:r>
    </w:p>
    <w:p>
      <w:pPr>
        <w:pStyle w:val="163"/>
        <w:rPr>
          <w:rFonts w:ascii="宋体" w:hAnsi="宋体"/>
          <w:bCs/>
        </w:rPr>
      </w:pPr>
      <w:r>
        <w:rPr>
          <w:rFonts w:hint="eastAsia" w:ascii="宋体" w:hAnsi="宋体"/>
          <w:bCs/>
        </w:rPr>
        <w:t>1、申购和赎回的申请方式</w:t>
      </w:r>
    </w:p>
    <w:p>
      <w:pPr>
        <w:pStyle w:val="163"/>
        <w:rPr>
          <w:rFonts w:ascii="宋体" w:hAnsi="宋体"/>
          <w:bCs/>
        </w:rPr>
      </w:pPr>
      <w:r>
        <w:rPr>
          <w:rFonts w:hint="eastAsia" w:ascii="宋体" w:hAnsi="宋体"/>
          <w:bCs/>
        </w:rPr>
        <w:t>投资人必须根据销售机构规定的程序，在开放日的具体业务办理时间内提出申购或赎回的申请。</w:t>
      </w:r>
    </w:p>
    <w:p>
      <w:pPr>
        <w:pStyle w:val="163"/>
        <w:rPr>
          <w:rFonts w:ascii="宋体" w:hAnsi="宋体"/>
          <w:bCs/>
        </w:rPr>
      </w:pPr>
      <w:r>
        <w:rPr>
          <w:rFonts w:hint="eastAsia" w:ascii="宋体" w:hAnsi="宋体"/>
          <w:bCs/>
        </w:rPr>
        <w:t>2、申购和赎回的款项支付</w:t>
      </w:r>
    </w:p>
    <w:p>
      <w:pPr>
        <w:pStyle w:val="163"/>
        <w:rPr>
          <w:rFonts w:ascii="宋体" w:hAnsi="宋体"/>
          <w:bCs/>
        </w:rPr>
      </w:pPr>
      <w:r>
        <w:rPr>
          <w:rFonts w:hint="eastAsia" w:ascii="宋体" w:hAnsi="宋体"/>
          <w:bCs/>
        </w:rPr>
        <w:t>投资人申购基金份额时，必须全额交付申购款项，投资人全额交付申购款项，申购成立；基金份额登记机构确认基金份额时，申购生效。</w:t>
      </w:r>
    </w:p>
    <w:p>
      <w:pPr>
        <w:pStyle w:val="163"/>
        <w:rPr>
          <w:rFonts w:ascii="宋体" w:hAnsi="宋体"/>
          <w:bCs/>
        </w:rPr>
      </w:pPr>
      <w:r>
        <w:rPr>
          <w:rFonts w:hint="eastAsia" w:ascii="宋体" w:hAnsi="宋体"/>
          <w:bCs/>
        </w:rPr>
        <w:t>基金份额持有人递交赎回申请，赎回成立；基金份额登记机构确认赎回时，赎回生效。</w:t>
      </w:r>
    </w:p>
    <w:p>
      <w:pPr>
        <w:pStyle w:val="163"/>
        <w:rPr>
          <w:rFonts w:ascii="宋体" w:hAnsi="宋体"/>
          <w:bCs/>
        </w:rPr>
      </w:pPr>
      <w:r>
        <w:rPr>
          <w:rFonts w:hint="eastAsia" w:ascii="宋体" w:hAnsi="宋体"/>
          <w:bCs/>
        </w:rPr>
        <w:t>投资者的赎回申请生效后，基金管理人将在T＋7日（包括该日）内支付赎回款项。在发生巨额赎回或基金合同载明的其他暂停赎回或延缓支付赎回款项的情形时，款项的支付办法参照基金合同有关条款处理。</w:t>
      </w:r>
    </w:p>
    <w:p>
      <w:pPr>
        <w:pStyle w:val="163"/>
        <w:rPr>
          <w:rFonts w:ascii="宋体" w:hAnsi="宋体"/>
          <w:bCs/>
        </w:rPr>
      </w:pPr>
      <w:r>
        <w:rPr>
          <w:rFonts w:hint="eastAsia" w:ascii="宋体" w:hAnsi="宋体"/>
          <w:bCs/>
        </w:rPr>
        <w:t>遇交易所或交易市场数据传输延迟、通讯系统故障、银行数据交换系统故障或其他非基金管理人及基金托管人所能控制的因素影响业务处理流程，则赎回款项划付时间相应顺延。</w:t>
      </w:r>
    </w:p>
    <w:p>
      <w:pPr>
        <w:pStyle w:val="163"/>
        <w:rPr>
          <w:rFonts w:ascii="宋体" w:hAnsi="宋体"/>
          <w:bCs/>
        </w:rPr>
      </w:pPr>
      <w:r>
        <w:rPr>
          <w:rFonts w:hint="eastAsia" w:ascii="宋体" w:hAnsi="宋体"/>
          <w:bCs/>
        </w:rPr>
        <w:t>3、申购和赎回申请的确认</w:t>
      </w:r>
    </w:p>
    <w:p>
      <w:pPr>
        <w:pStyle w:val="163"/>
        <w:rPr>
          <w:rFonts w:ascii="宋体" w:hAnsi="宋体"/>
          <w:bCs/>
        </w:rPr>
      </w:pPr>
      <w:r>
        <w:rPr>
          <w:rFonts w:hint="eastAsia" w:ascii="宋体" w:hAnsi="宋体"/>
          <w:bCs/>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立或无效，则申购款项本金退还给投资人。</w:t>
      </w:r>
    </w:p>
    <w:p>
      <w:pPr>
        <w:pStyle w:val="163"/>
        <w:rPr>
          <w:rFonts w:ascii="宋体" w:hAnsi="宋体"/>
          <w:bCs/>
        </w:rPr>
      </w:pPr>
      <w:r>
        <w:rPr>
          <w:rFonts w:hint="eastAsia" w:ascii="宋体" w:hAnsi="宋体"/>
          <w:bCs/>
        </w:rPr>
        <w:t>基金销售机构受理申请并不代表该申请一定成功，而仅代表销售机构确实接收到该申请。申购和赎回申请的确认以基金登记机构的确认结果为准。对于申购、赎回申请的确认情况，投资者应及时查询。</w:t>
      </w:r>
    </w:p>
    <w:p>
      <w:pPr>
        <w:pStyle w:val="163"/>
      </w:pPr>
      <w:r>
        <w:rPr>
          <w:rFonts w:hint="eastAsia" w:ascii="宋体" w:hAnsi="宋体"/>
          <w:bCs/>
        </w:rPr>
        <w:t>4、基金管理人可以在不违反法律法规和基金合同的范围内，对上述业务办理时间进行调整，并在调整实施前依照《信息披露办法》的有关规定在规定媒介上公告。</w:t>
      </w:r>
    </w:p>
    <w:p>
      <w:pPr>
        <w:pStyle w:val="163"/>
        <w:ind w:firstLine="422"/>
        <w:rPr>
          <w:b/>
        </w:rPr>
      </w:pPr>
      <w:r>
        <w:rPr>
          <w:b/>
        </w:rPr>
        <w:t>五、申购和赎回的数量限制</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本基金A类基金份额或C类基金份额首次申购和单笔追加申购的最低金额均为1.00元（含申购费），各销售机构在符合上述规定的前提下，可根据情况调高首次申购和单笔追加申购的最低金额，具体以销售机构公布的为准，投资人需遵循销售机构的相关规定。</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2、每个交易账户最低持有A类基金份额或C类基金份额余额为1.00份，若某笔赎回导致单个交易账户的A类基金份额或C类基金份额余额少于1.00份时，该类别基金份额余额部分必须一同赎回。</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投资者通过销售机构赎回基金份额时，本基金单笔赎回申请不得低于1.00份，若投资者单个交易账户持有的基金份额余额不足1.00份，将不受此限制，但投资者在提交赎回申请时须全部赎回。各销售机构在符合上述规定的前提下，可根据自己的情况调整单笔赎回申请限制，具体以销售机构公布的为准，投资者需遵循销售机构的相关规定。</w:t>
      </w:r>
    </w:p>
    <w:p>
      <w:pPr>
        <w:pStyle w:val="163"/>
      </w:pPr>
      <w:r>
        <w:rPr>
          <w:rFonts w:hint="eastAsia"/>
        </w:rPr>
        <w:t>4、本基金不对单个投资人累计持有的基金份额上限进行限制，但需要符合法律法规、监管机构的规定及基金合同的约定。基金管理人可以规定单个投资者累计持有的基金份额数量限制，具体规定见更新的招募说明书或相关公告。</w:t>
      </w:r>
    </w:p>
    <w:p>
      <w:pPr>
        <w:adjustRightInd w:val="0"/>
        <w:snapToGrid w:val="0"/>
        <w:spacing w:line="360" w:lineRule="auto"/>
        <w:ind w:firstLine="420" w:firstLineChars="200"/>
        <w:rPr>
          <w:rFonts w:asciiTheme="minorEastAsia" w:hAnsiTheme="minorEastAsia" w:eastAsiaTheme="minorEastAsia"/>
        </w:rPr>
      </w:pPr>
      <w:r>
        <w:rPr>
          <w:rFonts w:asciiTheme="minorEastAsia" w:hAnsiTheme="minorEastAsia" w:eastAsiaTheme="minorEastAsia"/>
        </w:rPr>
        <w:t>5</w:t>
      </w:r>
      <w:r>
        <w:rPr>
          <w:rFonts w:hint="eastAsia" w:asciiTheme="minorEastAsia" w:hAnsiTheme="minorEastAsia" w:eastAsiaTheme="minor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更新的招募说明书或相关公告。</w:t>
      </w:r>
    </w:p>
    <w:p>
      <w:pPr>
        <w:adjustRightInd w:val="0"/>
        <w:snapToGrid w:val="0"/>
        <w:spacing w:line="360" w:lineRule="auto"/>
        <w:ind w:firstLine="420" w:firstLineChars="200"/>
      </w:pPr>
      <w:r>
        <w:rPr>
          <w:rFonts w:asciiTheme="minorEastAsia" w:hAnsiTheme="minorEastAsia" w:eastAsiaTheme="minorEastAsia"/>
        </w:rPr>
        <w:t>6</w:t>
      </w:r>
      <w:r>
        <w:rPr>
          <w:rFonts w:hint="eastAsia" w:asciiTheme="minorEastAsia" w:hAnsiTheme="minorEastAsia" w:eastAsiaTheme="minorEastAsia"/>
        </w:rPr>
        <w:t>、基金管理人可在不违反法律法规的情况下，调整上述规定申购金额和赎回份额等数量限制。基金管理人必须在调整实施前依照《信息披露办法》的有关规定在规定媒介上公告。</w:t>
      </w:r>
    </w:p>
    <w:p>
      <w:pPr>
        <w:pStyle w:val="163"/>
        <w:ind w:firstLine="422"/>
        <w:rPr>
          <w:rFonts w:asciiTheme="minorEastAsia" w:hAnsiTheme="minorEastAsia" w:eastAsiaTheme="minorEastAsia"/>
          <w:b/>
        </w:rPr>
      </w:pPr>
      <w:r>
        <w:rPr>
          <w:rFonts w:asciiTheme="minorEastAsia" w:hAnsiTheme="minorEastAsia" w:eastAsiaTheme="minorEastAsia"/>
          <w:b/>
        </w:rPr>
        <w:t>六、</w:t>
      </w:r>
      <w:r>
        <w:rPr>
          <w:rFonts w:hint="eastAsia" w:asciiTheme="minorEastAsia" w:hAnsiTheme="minorEastAsia" w:eastAsiaTheme="minorEastAsia"/>
          <w:b/>
        </w:rPr>
        <w:t>申购费用和赎回费用</w:t>
      </w:r>
    </w:p>
    <w:p>
      <w:pPr>
        <w:pStyle w:val="163"/>
        <w:ind w:firstLine="452"/>
        <w:rPr>
          <w:rFonts w:asciiTheme="minorEastAsia" w:hAnsiTheme="minorEastAsia" w:eastAsiaTheme="minorEastAsia"/>
        </w:rPr>
      </w:pPr>
      <w:r>
        <w:rPr>
          <w:rFonts w:hint="eastAsia" w:asciiTheme="minorEastAsia" w:hAnsiTheme="minorEastAsia" w:eastAsiaTheme="minorEastAsia"/>
          <w:spacing w:val="8"/>
        </w:rPr>
        <w:t>1、</w:t>
      </w:r>
      <w:r>
        <w:rPr>
          <w:rFonts w:hint="eastAsia" w:asciiTheme="minorEastAsia" w:hAnsiTheme="minorEastAsia" w:eastAsiaTheme="minorEastAsia"/>
        </w:rPr>
        <w:t>本基金</w:t>
      </w:r>
      <w:r>
        <w:rPr>
          <w:rFonts w:asciiTheme="minorEastAsia" w:hAnsiTheme="minorEastAsia" w:eastAsiaTheme="minorEastAsia"/>
        </w:rPr>
        <w:t>A</w:t>
      </w:r>
      <w:r>
        <w:rPr>
          <w:rFonts w:hint="eastAsia" w:asciiTheme="minorEastAsia" w:hAnsiTheme="minorEastAsia" w:eastAsiaTheme="minorEastAsia"/>
        </w:rPr>
        <w:t>类基金份额在申购时收取基金申购费用；</w:t>
      </w:r>
      <w:r>
        <w:rPr>
          <w:rFonts w:asciiTheme="minorEastAsia" w:hAnsiTheme="minorEastAsia" w:eastAsiaTheme="minorEastAsia"/>
        </w:rPr>
        <w:t>C</w:t>
      </w:r>
      <w:r>
        <w:rPr>
          <w:rFonts w:hint="eastAsia" w:asciiTheme="minorEastAsia" w:hAnsiTheme="minorEastAsia" w:eastAsiaTheme="minorEastAsia"/>
        </w:rPr>
        <w:t>类基金份额不收取申购费用。本基金申购费用用于本基金的市场推广、销售、登记等募集期间发生的各项费用，不列入基金财产。</w:t>
      </w:r>
      <w:r>
        <w:rPr>
          <w:rFonts w:asciiTheme="minorEastAsia" w:hAnsiTheme="minorEastAsia" w:eastAsiaTheme="minorEastAsia"/>
        </w:rPr>
        <w:t>本基金</w:t>
      </w:r>
      <w:r>
        <w:rPr>
          <w:rFonts w:hint="eastAsia" w:asciiTheme="minorEastAsia" w:hAnsiTheme="minorEastAsia" w:eastAsiaTheme="minorEastAsia"/>
        </w:rPr>
        <w:t>各类基金份额的申购费率</w:t>
      </w:r>
      <w:r>
        <w:rPr>
          <w:rFonts w:asciiTheme="minorEastAsia" w:hAnsiTheme="minorEastAsia" w:eastAsiaTheme="minorEastAsia"/>
        </w:rPr>
        <w:t>如下表所</w:t>
      </w:r>
      <w:r>
        <w:rPr>
          <w:rFonts w:hint="eastAsia" w:asciiTheme="minorEastAsia" w:hAnsiTheme="minorEastAsia" w:eastAsiaTheme="minorEastAsia"/>
        </w:rPr>
        <w:t>示：</w:t>
      </w:r>
    </w:p>
    <w:tbl>
      <w:tblPr>
        <w:tblStyle w:val="43"/>
        <w:tblW w:w="6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1"/>
        <w:gridCol w:w="20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1" w:type="dxa"/>
            <w:vAlign w:val="center"/>
          </w:tcPr>
          <w:p>
            <w:pPr>
              <w:jc w:val="center"/>
              <w:rPr>
                <w:rFonts w:ascii="宋体" w:hAnsi="宋体" w:cs="Arial"/>
                <w:color w:val="000000"/>
                <w:szCs w:val="21"/>
              </w:rPr>
            </w:pPr>
            <w:r>
              <w:rPr>
                <w:rFonts w:ascii="宋体" w:hAnsi="宋体" w:cs="Arial"/>
                <w:color w:val="000000"/>
                <w:szCs w:val="21"/>
              </w:rPr>
              <w:t>申购金额（M）</w:t>
            </w:r>
          </w:p>
        </w:tc>
        <w:tc>
          <w:tcPr>
            <w:tcW w:w="2085" w:type="dxa"/>
            <w:vAlign w:val="center"/>
          </w:tcPr>
          <w:p>
            <w:pPr>
              <w:jc w:val="center"/>
              <w:rPr>
                <w:rFonts w:ascii="宋体" w:hAnsi="宋体" w:cs="Arial"/>
                <w:color w:val="000000"/>
                <w:szCs w:val="21"/>
              </w:rPr>
            </w:pPr>
            <w:r>
              <w:rPr>
                <w:rFonts w:hint="eastAsia" w:ascii="宋体" w:hAnsi="宋体" w:cs="Arial"/>
                <w:color w:val="000000"/>
                <w:szCs w:val="21"/>
              </w:rPr>
              <w:t>A类份额申购</w:t>
            </w:r>
            <w:r>
              <w:rPr>
                <w:rFonts w:ascii="宋体" w:hAnsi="宋体" w:cs="Arial"/>
                <w:color w:val="000000"/>
                <w:szCs w:val="21"/>
              </w:rPr>
              <w:t>费率</w:t>
            </w:r>
          </w:p>
        </w:tc>
        <w:tc>
          <w:tcPr>
            <w:tcW w:w="2126" w:type="dxa"/>
          </w:tcPr>
          <w:p>
            <w:pPr>
              <w:jc w:val="center"/>
              <w:rPr>
                <w:rFonts w:ascii="宋体" w:hAnsi="宋体" w:cs="Arial"/>
                <w:color w:val="000000"/>
                <w:szCs w:val="21"/>
              </w:rPr>
            </w:pPr>
            <w:r>
              <w:rPr>
                <w:rFonts w:hint="eastAsia" w:ascii="宋体" w:hAnsi="宋体" w:cs="Arial"/>
                <w:color w:val="000000"/>
                <w:szCs w:val="21"/>
              </w:rPr>
              <w:t>C类份额申购费率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1" w:type="dxa"/>
            <w:vAlign w:val="center"/>
          </w:tcPr>
          <w:p>
            <w:pPr>
              <w:jc w:val="center"/>
              <w:rPr>
                <w:rFonts w:ascii="宋体" w:hAnsi="宋体" w:cs="Arial"/>
                <w:color w:val="000000"/>
                <w:szCs w:val="21"/>
              </w:rPr>
            </w:pPr>
            <w:r>
              <w:rPr>
                <w:rFonts w:ascii="宋体" w:hAnsi="宋体" w:cs="Arial"/>
                <w:color w:val="000000"/>
                <w:szCs w:val="21"/>
              </w:rPr>
              <w:t>M</w:t>
            </w:r>
            <w:r>
              <w:rPr>
                <w:rFonts w:hint="eastAsia" w:ascii="宋体" w:hAnsi="宋体" w:cs="Arial"/>
                <w:color w:val="000000"/>
                <w:szCs w:val="21"/>
              </w:rPr>
              <w:t>＜10</w:t>
            </w:r>
            <w:r>
              <w:rPr>
                <w:rFonts w:ascii="宋体" w:hAnsi="宋体" w:cs="Arial"/>
                <w:color w:val="000000"/>
                <w:szCs w:val="21"/>
              </w:rPr>
              <w:t>0万元</w:t>
            </w:r>
          </w:p>
        </w:tc>
        <w:tc>
          <w:tcPr>
            <w:tcW w:w="2085" w:type="dxa"/>
            <w:vAlign w:val="center"/>
          </w:tcPr>
          <w:p>
            <w:pPr>
              <w:jc w:val="center"/>
              <w:rPr>
                <w:rFonts w:ascii="宋体" w:hAnsi="宋体" w:cs="Arial"/>
                <w:color w:val="000000"/>
                <w:szCs w:val="21"/>
              </w:rPr>
            </w:pPr>
            <w:r>
              <w:rPr>
                <w:rFonts w:hint="eastAsia" w:ascii="宋体" w:hAnsi="宋体" w:cs="Arial"/>
                <w:color w:val="000000"/>
                <w:szCs w:val="21"/>
              </w:rPr>
              <w:t>1</w:t>
            </w:r>
            <w:r>
              <w:rPr>
                <w:rFonts w:ascii="宋体" w:hAnsi="宋体" w:cs="Arial"/>
                <w:color w:val="000000"/>
                <w:szCs w:val="21"/>
              </w:rPr>
              <w:t>.</w:t>
            </w:r>
            <w:r>
              <w:rPr>
                <w:rFonts w:hint="eastAsia" w:ascii="宋体" w:hAnsi="宋体" w:cs="Arial"/>
                <w:color w:val="000000"/>
                <w:szCs w:val="21"/>
              </w:rPr>
              <w:t>00</w:t>
            </w:r>
            <w:r>
              <w:rPr>
                <w:rFonts w:ascii="宋体" w:hAnsi="宋体" w:cs="Arial"/>
                <w:color w:val="000000"/>
                <w:szCs w:val="21"/>
              </w:rPr>
              <w:t>%</w:t>
            </w:r>
          </w:p>
        </w:tc>
        <w:tc>
          <w:tcPr>
            <w:tcW w:w="2126" w:type="dxa"/>
            <w:vMerge w:val="restart"/>
            <w:vAlign w:val="center"/>
          </w:tcPr>
          <w:p>
            <w:pPr>
              <w:jc w:val="center"/>
              <w:rPr>
                <w:rFonts w:ascii="宋体" w:hAnsi="宋体" w:cs="Arial"/>
                <w:color w:val="000000"/>
                <w:szCs w:val="21"/>
              </w:rPr>
            </w:pPr>
            <w:r>
              <w:rPr>
                <w:rFonts w:hint="eastAsia" w:ascii="宋体" w:hAnsi="宋体" w:cs="Arial"/>
                <w:color w:val="000000"/>
                <w:szCs w:val="21"/>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1" w:type="dxa"/>
            <w:vAlign w:val="center"/>
          </w:tcPr>
          <w:p>
            <w:pPr>
              <w:jc w:val="center"/>
              <w:rPr>
                <w:rFonts w:ascii="宋体" w:hAnsi="宋体" w:cs="Arial"/>
                <w:color w:val="000000"/>
                <w:szCs w:val="21"/>
              </w:rPr>
            </w:pPr>
            <w:r>
              <w:rPr>
                <w:rFonts w:hint="eastAsia" w:ascii="宋体" w:hAnsi="宋体" w:cs="Arial"/>
                <w:color w:val="000000"/>
                <w:szCs w:val="21"/>
              </w:rPr>
              <w:t>10</w:t>
            </w:r>
            <w:r>
              <w:rPr>
                <w:rFonts w:ascii="宋体" w:hAnsi="宋体" w:cs="Arial"/>
                <w:color w:val="000000"/>
                <w:szCs w:val="21"/>
              </w:rPr>
              <w:t>0万元</w:t>
            </w:r>
            <w:r>
              <w:rPr>
                <w:rFonts w:hint="eastAsia" w:ascii="宋体" w:hAnsi="宋体" w:cs="Arial"/>
                <w:color w:val="000000"/>
                <w:szCs w:val="21"/>
              </w:rPr>
              <w:t>≤</w:t>
            </w:r>
            <w:r>
              <w:rPr>
                <w:rFonts w:ascii="宋体" w:hAnsi="宋体" w:cs="Arial"/>
                <w:color w:val="000000"/>
                <w:szCs w:val="21"/>
              </w:rPr>
              <w:t>M</w:t>
            </w:r>
            <w:r>
              <w:rPr>
                <w:rFonts w:hint="eastAsia" w:ascii="宋体" w:hAnsi="宋体" w:cs="Arial"/>
                <w:color w:val="000000"/>
                <w:szCs w:val="21"/>
              </w:rPr>
              <w:t>＜3</w:t>
            </w:r>
            <w:r>
              <w:rPr>
                <w:rFonts w:ascii="宋体" w:hAnsi="宋体" w:cs="Arial"/>
                <w:color w:val="000000"/>
                <w:szCs w:val="21"/>
              </w:rPr>
              <w:t>00万元</w:t>
            </w:r>
          </w:p>
        </w:tc>
        <w:tc>
          <w:tcPr>
            <w:tcW w:w="2085" w:type="dxa"/>
          </w:tcPr>
          <w:p>
            <w:pPr>
              <w:jc w:val="center"/>
              <w:rPr>
                <w:rFonts w:ascii="宋体" w:hAnsi="宋体" w:cs="Arial"/>
                <w:color w:val="000000"/>
                <w:szCs w:val="21"/>
              </w:rPr>
            </w:pPr>
            <w:r>
              <w:rPr>
                <w:rFonts w:ascii="宋体" w:hAnsi="宋体" w:cs="Arial"/>
                <w:color w:val="000000"/>
                <w:szCs w:val="21"/>
              </w:rPr>
              <w:t>0.</w:t>
            </w:r>
            <w:r>
              <w:rPr>
                <w:rFonts w:hint="eastAsia" w:ascii="宋体" w:hAnsi="宋体" w:cs="Arial"/>
                <w:color w:val="000000"/>
                <w:szCs w:val="21"/>
              </w:rPr>
              <w:t>50</w:t>
            </w:r>
            <w:r>
              <w:rPr>
                <w:rFonts w:ascii="宋体" w:hAnsi="宋体" w:cs="Arial"/>
                <w:color w:val="000000"/>
                <w:szCs w:val="21"/>
              </w:rPr>
              <w:t>%</w:t>
            </w:r>
          </w:p>
        </w:tc>
        <w:tc>
          <w:tcPr>
            <w:tcW w:w="2126" w:type="dxa"/>
            <w:vMerge w:val="continue"/>
          </w:tcPr>
          <w:p>
            <w:pPr>
              <w:jc w:val="center"/>
              <w:rPr>
                <w:rFonts w:ascii="宋体" w:hAnsi="宋体" w:cs="Arial"/>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51" w:type="dxa"/>
            <w:vAlign w:val="center"/>
          </w:tcPr>
          <w:p>
            <w:pPr>
              <w:jc w:val="center"/>
              <w:rPr>
                <w:rFonts w:ascii="宋体" w:hAnsi="宋体" w:cs="Arial"/>
                <w:color w:val="000000"/>
                <w:szCs w:val="21"/>
              </w:rPr>
            </w:pPr>
            <w:r>
              <w:rPr>
                <w:rFonts w:ascii="宋体" w:hAnsi="宋体" w:cs="Arial"/>
                <w:color w:val="000000"/>
                <w:szCs w:val="21"/>
              </w:rPr>
              <w:t>M</w:t>
            </w:r>
            <w:r>
              <w:rPr>
                <w:rFonts w:hint="eastAsia" w:ascii="宋体" w:hAnsi="宋体" w:cs="Arial"/>
                <w:color w:val="000000"/>
                <w:szCs w:val="21"/>
              </w:rPr>
              <w:t>≥3</w:t>
            </w:r>
            <w:r>
              <w:rPr>
                <w:rFonts w:ascii="宋体" w:hAnsi="宋体" w:cs="Arial"/>
                <w:color w:val="000000"/>
                <w:szCs w:val="21"/>
              </w:rPr>
              <w:t>00万元</w:t>
            </w:r>
          </w:p>
        </w:tc>
        <w:tc>
          <w:tcPr>
            <w:tcW w:w="2085" w:type="dxa"/>
            <w:vAlign w:val="center"/>
          </w:tcPr>
          <w:p>
            <w:pPr>
              <w:jc w:val="center"/>
              <w:rPr>
                <w:rFonts w:ascii="宋体" w:hAnsi="宋体" w:cs="Arial"/>
                <w:color w:val="000000"/>
                <w:szCs w:val="21"/>
              </w:rPr>
            </w:pPr>
            <w:r>
              <w:rPr>
                <w:rFonts w:ascii="宋体" w:hAnsi="宋体" w:cs="Arial"/>
                <w:color w:val="000000"/>
                <w:szCs w:val="21"/>
              </w:rPr>
              <w:t>每</w:t>
            </w:r>
            <w:r>
              <w:rPr>
                <w:rFonts w:hint="eastAsia" w:ascii="宋体" w:hAnsi="宋体" w:cs="Arial"/>
                <w:color w:val="000000"/>
                <w:szCs w:val="21"/>
              </w:rPr>
              <w:t>笔300</w:t>
            </w:r>
            <w:r>
              <w:rPr>
                <w:rFonts w:ascii="宋体" w:hAnsi="宋体" w:cs="Arial"/>
                <w:color w:val="000000"/>
                <w:szCs w:val="21"/>
              </w:rPr>
              <w:t>元</w:t>
            </w:r>
          </w:p>
        </w:tc>
        <w:tc>
          <w:tcPr>
            <w:tcW w:w="2126" w:type="dxa"/>
            <w:vMerge w:val="continue"/>
          </w:tcPr>
          <w:p>
            <w:pPr>
              <w:jc w:val="center"/>
              <w:rPr>
                <w:rFonts w:ascii="宋体" w:hAnsi="宋体" w:cs="Arial"/>
                <w:color w:val="000000"/>
                <w:szCs w:val="21"/>
              </w:rPr>
            </w:pPr>
          </w:p>
        </w:tc>
      </w:tr>
    </w:tbl>
    <w:p>
      <w:pPr>
        <w:pStyle w:val="163"/>
        <w:spacing w:before="156" w:beforeLines="50"/>
      </w:pPr>
      <w:r>
        <w:rPr>
          <w:rFonts w:hint="eastAsia"/>
        </w:rPr>
        <w:t>2、赎回费用</w:t>
      </w:r>
    </w:p>
    <w:p>
      <w:pPr>
        <w:pStyle w:val="163"/>
      </w:pPr>
      <w:r>
        <w:rPr>
          <w:rFonts w:hint="eastAsia"/>
        </w:rPr>
        <w:t>本基金的</w:t>
      </w:r>
      <w:r>
        <w:t>A</w:t>
      </w:r>
      <w:r>
        <w:rPr>
          <w:rFonts w:hint="eastAsia"/>
        </w:rPr>
        <w:t>类基金份额和</w:t>
      </w:r>
      <w:r>
        <w:t>C</w:t>
      </w:r>
      <w:r>
        <w:rPr>
          <w:rFonts w:hint="eastAsia"/>
        </w:rPr>
        <w:t>类基金份额赎回费率随申请份额持有时间增加而递减。具体如下表所示：</w:t>
      </w:r>
    </w:p>
    <w:tbl>
      <w:tblPr>
        <w:tblStyle w:val="43"/>
        <w:tblW w:w="6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689"/>
        <w:gridCol w:w="2094"/>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689" w:type="dxa"/>
            <w:tcMar>
              <w:top w:w="0" w:type="dxa"/>
              <w:left w:w="108" w:type="dxa"/>
              <w:bottom w:w="0" w:type="dxa"/>
              <w:right w:w="108" w:type="dxa"/>
            </w:tcMar>
          </w:tcPr>
          <w:p>
            <w:pPr>
              <w:jc w:val="center"/>
              <w:rPr>
                <w:rFonts w:ascii="宋体" w:hAnsi="宋体" w:cs="Calibri"/>
                <w:szCs w:val="21"/>
              </w:rPr>
            </w:pPr>
            <w:r>
              <w:rPr>
                <w:rFonts w:hint="eastAsia" w:ascii="宋体" w:hAnsi="宋体"/>
              </w:rPr>
              <w:t>持有基金份额期限（Y）</w:t>
            </w:r>
          </w:p>
        </w:tc>
        <w:tc>
          <w:tcPr>
            <w:tcW w:w="2094" w:type="dxa"/>
            <w:tcMar>
              <w:top w:w="0" w:type="dxa"/>
              <w:left w:w="108" w:type="dxa"/>
              <w:bottom w:w="0" w:type="dxa"/>
              <w:right w:w="108" w:type="dxa"/>
            </w:tcMar>
          </w:tcPr>
          <w:p>
            <w:pPr>
              <w:jc w:val="center"/>
              <w:rPr>
                <w:rFonts w:ascii="宋体" w:hAnsi="宋体" w:cs="Calibri"/>
                <w:szCs w:val="21"/>
              </w:rPr>
            </w:pPr>
            <w:r>
              <w:rPr>
                <w:rFonts w:ascii="宋体" w:hAnsi="宋体"/>
              </w:rPr>
              <w:t>A类</w:t>
            </w:r>
            <w:r>
              <w:rPr>
                <w:rFonts w:hint="eastAsia" w:ascii="宋体" w:hAnsi="宋体"/>
              </w:rPr>
              <w:t>份额赎回费率</w:t>
            </w:r>
          </w:p>
        </w:tc>
        <w:tc>
          <w:tcPr>
            <w:tcW w:w="2016" w:type="dxa"/>
            <w:tcMar>
              <w:top w:w="0" w:type="dxa"/>
              <w:left w:w="108" w:type="dxa"/>
              <w:bottom w:w="0" w:type="dxa"/>
              <w:right w:w="108" w:type="dxa"/>
            </w:tcMar>
          </w:tcPr>
          <w:p>
            <w:pPr>
              <w:jc w:val="center"/>
              <w:rPr>
                <w:rFonts w:ascii="宋体" w:hAnsi="宋体" w:cs="Calibri"/>
                <w:szCs w:val="21"/>
              </w:rPr>
            </w:pPr>
            <w:r>
              <w:rPr>
                <w:rFonts w:ascii="宋体" w:hAnsi="宋体"/>
              </w:rPr>
              <w:t>C类</w:t>
            </w:r>
            <w:r>
              <w:rPr>
                <w:rFonts w:hint="eastAsia" w:ascii="宋体" w:hAnsi="宋体"/>
              </w:rPr>
              <w:t>份额赎回费率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2689" w:type="dxa"/>
            <w:tcMar>
              <w:top w:w="0" w:type="dxa"/>
              <w:left w:w="108" w:type="dxa"/>
              <w:bottom w:w="0" w:type="dxa"/>
              <w:right w:w="108" w:type="dxa"/>
            </w:tcMar>
          </w:tcPr>
          <w:p>
            <w:pPr>
              <w:jc w:val="center"/>
              <w:rPr>
                <w:rFonts w:ascii="宋体" w:hAnsi="宋体" w:cs="Calibri"/>
                <w:szCs w:val="21"/>
              </w:rPr>
            </w:pPr>
            <w:r>
              <w:rPr>
                <w:rFonts w:hint="eastAsia" w:ascii="宋体" w:hAnsi="宋体"/>
              </w:rPr>
              <w:t>Y＜</w:t>
            </w:r>
            <w:r>
              <w:rPr>
                <w:rFonts w:ascii="宋体" w:hAnsi="宋体"/>
              </w:rPr>
              <w:t>7</w:t>
            </w:r>
            <w:r>
              <w:rPr>
                <w:rFonts w:hint="eastAsia" w:ascii="宋体" w:hAnsi="宋体"/>
              </w:rPr>
              <w:t>日</w:t>
            </w:r>
          </w:p>
        </w:tc>
        <w:tc>
          <w:tcPr>
            <w:tcW w:w="2094" w:type="dxa"/>
            <w:tcMar>
              <w:top w:w="0" w:type="dxa"/>
              <w:left w:w="108" w:type="dxa"/>
              <w:bottom w:w="0" w:type="dxa"/>
              <w:right w:w="108" w:type="dxa"/>
            </w:tcMar>
          </w:tcPr>
          <w:p>
            <w:pPr>
              <w:jc w:val="center"/>
              <w:rPr>
                <w:rFonts w:ascii="宋体" w:hAnsi="宋体" w:cs="Calibri"/>
                <w:szCs w:val="21"/>
              </w:rPr>
            </w:pPr>
            <w:r>
              <w:rPr>
                <w:rFonts w:ascii="宋体" w:hAnsi="宋体"/>
              </w:rPr>
              <w:t>1.50%</w:t>
            </w:r>
          </w:p>
        </w:tc>
        <w:tc>
          <w:tcPr>
            <w:tcW w:w="2016" w:type="dxa"/>
            <w:tcMar>
              <w:top w:w="0" w:type="dxa"/>
              <w:left w:w="108" w:type="dxa"/>
              <w:bottom w:w="0" w:type="dxa"/>
              <w:right w:w="108" w:type="dxa"/>
            </w:tcMar>
            <w:vAlign w:val="center"/>
          </w:tcPr>
          <w:p>
            <w:pPr>
              <w:jc w:val="center"/>
              <w:rPr>
                <w:rFonts w:ascii="宋体" w:hAnsi="宋体" w:cs="Calibri"/>
                <w:szCs w:val="21"/>
              </w:rPr>
            </w:pPr>
            <w:r>
              <w:rPr>
                <w:rFonts w:ascii="宋体" w:hAnsi="宋体"/>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4" w:hRule="atLeast"/>
          <w:jc w:val="center"/>
        </w:trPr>
        <w:tc>
          <w:tcPr>
            <w:tcW w:w="2689" w:type="dxa"/>
            <w:tcMar>
              <w:top w:w="0" w:type="dxa"/>
              <w:left w:w="108" w:type="dxa"/>
              <w:bottom w:w="0" w:type="dxa"/>
              <w:right w:w="108" w:type="dxa"/>
            </w:tcMar>
          </w:tcPr>
          <w:p>
            <w:pPr>
              <w:jc w:val="center"/>
              <w:rPr>
                <w:rFonts w:ascii="宋体" w:hAnsi="宋体" w:cs="Calibri"/>
                <w:szCs w:val="21"/>
              </w:rPr>
            </w:pPr>
            <w:r>
              <w:rPr>
                <w:rFonts w:hint="eastAsia" w:ascii="宋体" w:hAnsi="宋体"/>
              </w:rPr>
              <w:t>Y≥</w:t>
            </w:r>
            <w:r>
              <w:rPr>
                <w:rFonts w:ascii="宋体" w:hAnsi="宋体"/>
              </w:rPr>
              <w:t>7</w:t>
            </w:r>
            <w:r>
              <w:rPr>
                <w:rFonts w:hint="eastAsia" w:ascii="宋体" w:hAnsi="宋体"/>
              </w:rPr>
              <w:t>日</w:t>
            </w:r>
          </w:p>
        </w:tc>
        <w:tc>
          <w:tcPr>
            <w:tcW w:w="2094" w:type="dxa"/>
            <w:tcMar>
              <w:top w:w="0" w:type="dxa"/>
              <w:left w:w="108" w:type="dxa"/>
              <w:bottom w:w="0" w:type="dxa"/>
              <w:right w:w="108" w:type="dxa"/>
            </w:tcMar>
          </w:tcPr>
          <w:p>
            <w:pPr>
              <w:jc w:val="center"/>
              <w:rPr>
                <w:rFonts w:ascii="宋体" w:hAnsi="宋体" w:cs="Calibri"/>
                <w:szCs w:val="21"/>
              </w:rPr>
            </w:pPr>
            <w:r>
              <w:rPr>
                <w:rFonts w:ascii="宋体" w:hAnsi="宋体"/>
              </w:rPr>
              <w:t>0</w:t>
            </w:r>
            <w:r>
              <w:rPr>
                <w:rFonts w:hint="eastAsia" w:ascii="宋体" w:hAnsi="宋体"/>
              </w:rPr>
              <w:t>.00%</w:t>
            </w:r>
          </w:p>
        </w:tc>
        <w:tc>
          <w:tcPr>
            <w:tcW w:w="2016" w:type="dxa"/>
            <w:tcMar>
              <w:top w:w="0" w:type="dxa"/>
              <w:left w:w="108" w:type="dxa"/>
              <w:bottom w:w="0" w:type="dxa"/>
              <w:right w:w="108" w:type="dxa"/>
            </w:tcMar>
            <w:vAlign w:val="center"/>
          </w:tcPr>
          <w:p>
            <w:pPr>
              <w:jc w:val="center"/>
              <w:rPr>
                <w:rFonts w:ascii="宋体" w:hAnsi="宋体"/>
              </w:rPr>
            </w:pPr>
            <w:r>
              <w:rPr>
                <w:rFonts w:ascii="宋体" w:hAnsi="宋体"/>
              </w:rPr>
              <w:t>0</w:t>
            </w:r>
            <w:r>
              <w:rPr>
                <w:rFonts w:hint="eastAsia" w:ascii="宋体" w:hAnsi="宋体"/>
              </w:rPr>
              <w:t>.00%</w:t>
            </w:r>
          </w:p>
        </w:tc>
      </w:tr>
    </w:tbl>
    <w:p>
      <w:pPr>
        <w:adjustRightInd w:val="0"/>
        <w:snapToGrid w:val="0"/>
        <w:spacing w:before="156" w:beforeLines="50" w:line="360" w:lineRule="auto"/>
        <w:ind w:firstLine="420"/>
        <w:rPr>
          <w:szCs w:val="21"/>
        </w:rPr>
      </w:pPr>
      <w:r>
        <w:rPr>
          <w:rFonts w:hint="eastAsia" w:ascii="宋体" w:hAnsi="宋体" w:cs="Arial"/>
          <w:szCs w:val="21"/>
        </w:rPr>
        <w:t>本基金赎回费用由赎回基金份额的基金份额持有人承担</w:t>
      </w:r>
      <w:r>
        <w:rPr>
          <w:rFonts w:ascii="Arial" w:hAnsi="Arial" w:cs="Arial"/>
          <w:color w:val="333333"/>
          <w:szCs w:val="21"/>
          <w:shd w:val="clear" w:color="auto" w:fill="FFFFFF"/>
        </w:rPr>
        <w:t>，在基金份额持有人赎回基金份额时收取</w:t>
      </w:r>
      <w:r>
        <w:rPr>
          <w:rFonts w:hint="eastAsia" w:ascii="宋体" w:hAnsi="宋体" w:cs="Arial"/>
          <w:szCs w:val="21"/>
        </w:rPr>
        <w:t>。</w:t>
      </w:r>
      <w:r>
        <w:rPr>
          <w:rFonts w:hint="eastAsia"/>
          <w:szCs w:val="21"/>
        </w:rPr>
        <w:t>本基金对持续持有期在7日以内的投资人收取的赎回费，全额计入基金资产。</w:t>
      </w:r>
    </w:p>
    <w:p>
      <w:pPr>
        <w:pStyle w:val="163"/>
      </w:pPr>
      <w:r>
        <w:rPr>
          <w:rFonts w:hint="eastAsia"/>
        </w:rPr>
        <w:t>3、基金管理人可以针对特定投资人（如养老金客户等）开展费率优惠活动，具体见基金管理人相关公告。</w:t>
      </w:r>
    </w:p>
    <w:p>
      <w:pPr>
        <w:pStyle w:val="163"/>
      </w:pPr>
      <w:r>
        <w:t>4</w:t>
      </w:r>
      <w:r>
        <w:rPr>
          <w:rFonts w:hint="eastAsia"/>
        </w:rPr>
        <w:t>、基金管理人可以在《基金合同》约定的范围内调整费率或收费方式，并最迟应于新的费率或收费方式实施日前依照《信息披露办法》的有关规定在规定媒介上公告。</w:t>
      </w:r>
    </w:p>
    <w:p>
      <w:pPr>
        <w:pStyle w:val="163"/>
      </w:pPr>
      <w:r>
        <w:t>5</w:t>
      </w:r>
      <w:r>
        <w:rPr>
          <w:rFonts w:hint="eastAsia"/>
        </w:rPr>
        <w:t>、基金管理人可以在不违背法律法规规定及基金合同约定并对现有份额持有人利益无实质性不利影响的情况下，根据市场情况制定基金促销计划，定期</w:t>
      </w:r>
      <w:r>
        <w:t>或</w:t>
      </w:r>
      <w:r>
        <w:rPr>
          <w:rFonts w:hint="eastAsia"/>
        </w:rPr>
        <w:t>不定期地开展基金促销活动。在基金促销活动期间，基金管理人可以按中国证监会要求履行必要手续后，对基金投资者适当调低基金申购费率、赎回费率和销售服务费率。</w:t>
      </w:r>
    </w:p>
    <w:p>
      <w:pPr>
        <w:pStyle w:val="163"/>
      </w:pPr>
      <w:r>
        <w:t>6</w:t>
      </w:r>
      <w:r>
        <w:rPr>
          <w:rFonts w:hint="eastAsia"/>
        </w:rPr>
        <w:t>、当本基金发生大额申购或赎回情形时，基金管理人可以采用摆动定价机制以确保基金估值的公平性。具体处理原则与操作规范遵循相关法律法规以及监管部门、自律规则的规定。</w:t>
      </w:r>
    </w:p>
    <w:p>
      <w:pPr>
        <w:pStyle w:val="163"/>
        <w:ind w:firstLine="422"/>
        <w:rPr>
          <w:b/>
        </w:rPr>
      </w:pPr>
      <w:r>
        <w:rPr>
          <w:rFonts w:hint="eastAsia"/>
          <w:b/>
        </w:rPr>
        <w:t>七、申购份额与赎回金额的计算</w:t>
      </w:r>
    </w:p>
    <w:p>
      <w:pPr>
        <w:pStyle w:val="163"/>
      </w:pPr>
      <w:r>
        <w:t>1、本基金申购份额的计算方式</w:t>
      </w:r>
    </w:p>
    <w:p>
      <w:pPr>
        <w:pStyle w:val="163"/>
      </w:pPr>
      <w:r>
        <w:rPr>
          <w:rFonts w:hint="eastAsia"/>
        </w:rPr>
        <w:t>（1）A类基金份额</w:t>
      </w:r>
    </w:p>
    <w:p>
      <w:pPr>
        <w:pStyle w:val="163"/>
      </w:pPr>
      <w:r>
        <w:rPr>
          <w:rFonts w:hint="eastAsia"/>
        </w:rPr>
        <w:t>申购费用适用比例费率时：</w:t>
      </w:r>
    </w:p>
    <w:p>
      <w:pPr>
        <w:pStyle w:val="163"/>
      </w:pPr>
      <w:r>
        <w:rPr>
          <w:rFonts w:hint="eastAsia"/>
        </w:rPr>
        <w:t>净申购金额</w:t>
      </w:r>
      <w:r>
        <w:t>＝</w:t>
      </w:r>
      <w:r>
        <w:rPr>
          <w:rFonts w:hint="eastAsia"/>
        </w:rPr>
        <w:t>申购金额</w:t>
      </w:r>
      <w:r>
        <w:t>/</w:t>
      </w:r>
      <w:r>
        <w:rPr>
          <w:rFonts w:hint="eastAsia"/>
        </w:rPr>
        <w:t>（</w:t>
      </w:r>
      <w:r>
        <w:t>1＋</w:t>
      </w:r>
      <w:r>
        <w:rPr>
          <w:rFonts w:hint="eastAsia"/>
        </w:rPr>
        <w:t>申购费率）</w:t>
      </w:r>
    </w:p>
    <w:p>
      <w:pPr>
        <w:pStyle w:val="163"/>
      </w:pPr>
      <w:r>
        <w:rPr>
          <w:rFonts w:hint="eastAsia"/>
        </w:rPr>
        <w:t>申购费用</w:t>
      </w:r>
      <w:r>
        <w:t>＝</w:t>
      </w:r>
      <w:r>
        <w:rPr>
          <w:rFonts w:hint="eastAsia"/>
        </w:rPr>
        <w:t>申购金额</w:t>
      </w:r>
      <w:r>
        <w:t>－</w:t>
      </w:r>
      <w:r>
        <w:rPr>
          <w:rFonts w:hint="eastAsia"/>
        </w:rPr>
        <w:t>净申购金额</w:t>
      </w:r>
    </w:p>
    <w:p>
      <w:pPr>
        <w:pStyle w:val="163"/>
      </w:pPr>
      <w:r>
        <w:rPr>
          <w:rFonts w:hint="eastAsia"/>
        </w:rPr>
        <w:t>申购份额</w:t>
      </w:r>
      <w:r>
        <w:t>＝</w:t>
      </w:r>
      <w:r>
        <w:rPr>
          <w:rFonts w:hint="eastAsia"/>
        </w:rPr>
        <w:t>净申购金额</w:t>
      </w:r>
      <w:r>
        <w:t>/</w:t>
      </w:r>
      <w:r>
        <w:rPr>
          <w:rFonts w:hint="eastAsia"/>
        </w:rPr>
        <w:t>申购当日A类基金份额净值</w:t>
      </w:r>
    </w:p>
    <w:p>
      <w:pPr>
        <w:pStyle w:val="163"/>
      </w:pPr>
      <w:r>
        <w:rPr>
          <w:rFonts w:hint="eastAsia"/>
        </w:rPr>
        <w:t>申购费用适用固定金额时：</w:t>
      </w:r>
    </w:p>
    <w:p>
      <w:pPr>
        <w:pStyle w:val="163"/>
      </w:pPr>
      <w:r>
        <w:rPr>
          <w:rFonts w:hint="eastAsia"/>
        </w:rPr>
        <w:t>申购费用</w:t>
      </w:r>
      <w:r>
        <w:t>＝</w:t>
      </w:r>
      <w:r>
        <w:rPr>
          <w:rFonts w:hint="eastAsia"/>
        </w:rPr>
        <w:t>固定金额</w:t>
      </w:r>
    </w:p>
    <w:p>
      <w:pPr>
        <w:pStyle w:val="163"/>
      </w:pPr>
      <w:r>
        <w:rPr>
          <w:rFonts w:hint="eastAsia"/>
        </w:rPr>
        <w:t>净申购金额</w:t>
      </w:r>
      <w:r>
        <w:t>＝</w:t>
      </w:r>
      <w:r>
        <w:rPr>
          <w:rFonts w:hint="eastAsia"/>
        </w:rPr>
        <w:t>申购金额</w:t>
      </w:r>
      <w:r>
        <w:t>－</w:t>
      </w:r>
      <w:r>
        <w:rPr>
          <w:rFonts w:hint="eastAsia"/>
        </w:rPr>
        <w:t>申购费用</w:t>
      </w:r>
    </w:p>
    <w:p>
      <w:pPr>
        <w:pStyle w:val="163"/>
      </w:pPr>
      <w:r>
        <w:rPr>
          <w:rFonts w:hint="eastAsia"/>
        </w:rPr>
        <w:t>申购份额</w:t>
      </w:r>
      <w:r>
        <w:t>＝</w:t>
      </w:r>
      <w:r>
        <w:rPr>
          <w:rFonts w:hint="eastAsia"/>
        </w:rPr>
        <w:t>净申购金额</w:t>
      </w:r>
      <w:r>
        <w:t>/</w:t>
      </w:r>
      <w:r>
        <w:rPr>
          <w:rFonts w:hint="eastAsia"/>
        </w:rPr>
        <w:t>申购当日A类基金份额净值</w:t>
      </w:r>
    </w:p>
    <w:p>
      <w:pPr>
        <w:pStyle w:val="163"/>
      </w:pPr>
      <w:r>
        <w:rPr>
          <w:rFonts w:hint="eastAsia"/>
        </w:rPr>
        <w:t>上述</w:t>
      </w:r>
      <w:r>
        <w:t>计算结果均按照四舍五入方法，保留</w:t>
      </w:r>
      <w:r>
        <w:rPr>
          <w:rFonts w:hint="eastAsia"/>
        </w:rPr>
        <w:t>到</w:t>
      </w:r>
      <w:r>
        <w:t>小数点后两位，由此</w:t>
      </w:r>
      <w:r>
        <w:rPr>
          <w:rFonts w:hint="eastAsia"/>
        </w:rPr>
        <w:t>产生的收益或损失由基金财产承担</w:t>
      </w:r>
      <w:r>
        <w:t>。</w:t>
      </w:r>
    </w:p>
    <w:p>
      <w:pPr>
        <w:pStyle w:val="163"/>
      </w:pPr>
      <w:r>
        <w:rPr>
          <w:rFonts w:hint="eastAsia"/>
        </w:rPr>
        <w:t xml:space="preserve">（2）C类基金份额 </w:t>
      </w:r>
    </w:p>
    <w:p>
      <w:pPr>
        <w:pStyle w:val="163"/>
      </w:pPr>
      <w:r>
        <w:rPr>
          <w:rFonts w:hint="eastAsia"/>
        </w:rPr>
        <w:t xml:space="preserve">申购份额=申购金额/申购当日C类基金份额净值 </w:t>
      </w:r>
    </w:p>
    <w:p>
      <w:pPr>
        <w:pStyle w:val="163"/>
      </w:pPr>
      <w:r>
        <w:rPr>
          <w:rFonts w:hint="eastAsia"/>
        </w:rPr>
        <w:t>上述计算结果均按照四舍五入方法，保留到小数点后两位，由此产生的收益或损失由基金财产承担。</w:t>
      </w:r>
    </w:p>
    <w:p>
      <w:pPr>
        <w:pStyle w:val="163"/>
      </w:pPr>
      <w:r>
        <w:t>例</w:t>
      </w:r>
      <w:r>
        <w:rPr>
          <w:rFonts w:hint="eastAsia"/>
        </w:rPr>
        <w:t>1</w:t>
      </w:r>
      <w:r>
        <w:t>：</w:t>
      </w:r>
      <w:r>
        <w:rPr>
          <w:rFonts w:hint="eastAsia"/>
        </w:rPr>
        <w:t>假定T日A类基金份额净值为</w:t>
      </w:r>
      <w:r>
        <w:t>1.0160</w:t>
      </w:r>
      <w:r>
        <w:rPr>
          <w:rFonts w:hint="eastAsia"/>
        </w:rPr>
        <w:t>元</w:t>
      </w:r>
      <w:r>
        <w:t>，某投资</w:t>
      </w:r>
      <w:r>
        <w:rPr>
          <w:rFonts w:hint="eastAsia"/>
        </w:rPr>
        <w:t>人</w:t>
      </w:r>
      <w:r>
        <w:t>本次</w:t>
      </w:r>
      <w:r>
        <w:rPr>
          <w:rFonts w:hint="eastAsia"/>
        </w:rPr>
        <w:t>通过</w:t>
      </w:r>
      <w:r>
        <w:t>申购本基金</w:t>
      </w:r>
      <w:r>
        <w:rPr>
          <w:rFonts w:hint="eastAsia"/>
        </w:rPr>
        <w:t>A类</w:t>
      </w:r>
      <w:r>
        <w:t>基金份额</w:t>
      </w:r>
      <w:r>
        <w:rPr>
          <w:rFonts w:hint="eastAsia"/>
        </w:rPr>
        <w:t>10</w:t>
      </w:r>
      <w:r>
        <w:t>万元，对应的本次申购费率为1.00%，该投资</w:t>
      </w:r>
      <w:r>
        <w:rPr>
          <w:rFonts w:hint="eastAsia"/>
        </w:rPr>
        <w:t>人</w:t>
      </w:r>
      <w:r>
        <w:t>可得到的</w:t>
      </w:r>
      <w:r>
        <w:rPr>
          <w:rFonts w:hint="eastAsia"/>
        </w:rPr>
        <w:t>A类</w:t>
      </w:r>
      <w:r>
        <w:t>基金份额为：</w:t>
      </w:r>
    </w:p>
    <w:p>
      <w:pPr>
        <w:pStyle w:val="163"/>
      </w:pPr>
      <w:r>
        <w:t>净申购金额＝100,000/ (1＋1.00%)＝99,009.90 元</w:t>
      </w:r>
    </w:p>
    <w:p>
      <w:pPr>
        <w:pStyle w:val="163"/>
      </w:pPr>
      <w:r>
        <w:t xml:space="preserve">申购费用＝100,000－99,009.90 </w:t>
      </w:r>
      <w:r>
        <w:rPr>
          <w:rFonts w:hint="eastAsia"/>
        </w:rPr>
        <w:t>=</w:t>
      </w:r>
      <w:r>
        <w:t>990.10元</w:t>
      </w:r>
    </w:p>
    <w:p>
      <w:pPr>
        <w:pStyle w:val="163"/>
      </w:pPr>
      <w:r>
        <w:t>申购份额＝99,009.90 /1.016</w:t>
      </w:r>
      <w:r>
        <w:rPr>
          <w:rFonts w:hint="eastAsia"/>
        </w:rPr>
        <w:t>0</w:t>
      </w:r>
      <w:r>
        <w:t>＝97,450.69份</w:t>
      </w:r>
    </w:p>
    <w:p>
      <w:pPr>
        <w:pStyle w:val="163"/>
      </w:pPr>
      <w:r>
        <w:t>即：投资者投资</w:t>
      </w:r>
      <w:r>
        <w:rPr>
          <w:rFonts w:hint="eastAsia"/>
        </w:rPr>
        <w:t>10</w:t>
      </w:r>
      <w:r>
        <w:t>万元申购本基金</w:t>
      </w:r>
      <w:r>
        <w:rPr>
          <w:rFonts w:hint="eastAsia"/>
        </w:rPr>
        <w:t>A类</w:t>
      </w:r>
      <w:r>
        <w:t>基金份额，假定申购当日</w:t>
      </w:r>
      <w:r>
        <w:rPr>
          <w:rFonts w:hint="eastAsia"/>
        </w:rPr>
        <w:t>A类</w:t>
      </w:r>
      <w:r>
        <w:t>基金份额净值为</w:t>
      </w:r>
      <w:r>
        <w:rPr>
          <w:rFonts w:hint="eastAsia"/>
        </w:rPr>
        <w:t>1.0160</w:t>
      </w:r>
      <w:r>
        <w:t>元，可得到97,450.69份</w:t>
      </w:r>
      <w:r>
        <w:rPr>
          <w:rFonts w:hint="eastAsia"/>
        </w:rPr>
        <w:t>A类</w:t>
      </w:r>
      <w:r>
        <w:t>基金份额。</w:t>
      </w:r>
    </w:p>
    <w:p>
      <w:pPr>
        <w:pStyle w:val="163"/>
      </w:pPr>
      <w:r>
        <w:rPr>
          <w:rFonts w:hint="eastAsia"/>
        </w:rPr>
        <w:t>例2：假设某投资者投资10万元申购本基金C类基金份额，申购当日本基金C类基金份额净值为1.0600元，则可得到的申购份额为：</w:t>
      </w:r>
    </w:p>
    <w:p>
      <w:pPr>
        <w:pStyle w:val="163"/>
      </w:pPr>
      <w:r>
        <w:rPr>
          <w:rFonts w:hint="eastAsia"/>
        </w:rPr>
        <w:t>申购份额＝100,000/1.0600＝94,339.62份</w:t>
      </w:r>
    </w:p>
    <w:p>
      <w:pPr>
        <w:pStyle w:val="163"/>
      </w:pPr>
      <w:r>
        <w:rPr>
          <w:rFonts w:hint="eastAsia"/>
        </w:rPr>
        <w:t>即：投资者投资10万元申购本基金C类基金份额，假设申购当日本基金C类基金份额净值为1.0600元，则其可得到94,339.62份C类基金份额。</w:t>
      </w:r>
    </w:p>
    <w:p>
      <w:pPr>
        <w:pStyle w:val="163"/>
      </w:pPr>
      <w:r>
        <w:t>2、赎回金额的计算方式：</w:t>
      </w:r>
    </w:p>
    <w:p>
      <w:pPr>
        <w:pStyle w:val="163"/>
      </w:pPr>
      <w:r>
        <w:rPr>
          <w:rFonts w:hint="eastAsia"/>
        </w:rPr>
        <w:t>赎回总金额=赎回份额×T日该类基金份额净值</w:t>
      </w:r>
    </w:p>
    <w:p>
      <w:pPr>
        <w:pStyle w:val="163"/>
      </w:pPr>
      <w:r>
        <w:rPr>
          <w:rFonts w:hint="eastAsia"/>
        </w:rPr>
        <w:t>赎回费用=赎回总金额×赎回费率</w:t>
      </w:r>
    </w:p>
    <w:p>
      <w:pPr>
        <w:pStyle w:val="163"/>
      </w:pPr>
      <w:r>
        <w:rPr>
          <w:rFonts w:hint="eastAsia"/>
        </w:rPr>
        <w:t>净赎回金额=赎回总金额—赎回费用</w:t>
      </w:r>
    </w:p>
    <w:p>
      <w:pPr>
        <w:pStyle w:val="163"/>
      </w:pPr>
      <w:r>
        <w:rPr>
          <w:rFonts w:hint="eastAsia"/>
        </w:rPr>
        <w:t>上述计算结果均按四舍五入方法，保留到小数点后2位，由此产生的收益或损失由基金财产承担。</w:t>
      </w:r>
    </w:p>
    <w:p>
      <w:pPr>
        <w:pStyle w:val="163"/>
      </w:pPr>
      <w:r>
        <w:rPr>
          <w:rFonts w:hint="eastAsia"/>
        </w:rPr>
        <w:t>例3：某投资者赎回本基金A类基金份额1万份，持有时间为1年，对应的赎回费率为0%，假设赎回当日A类基金份额净值是1.2500元，则其可得到的赎回金额为：</w:t>
      </w:r>
    </w:p>
    <w:p>
      <w:pPr>
        <w:pStyle w:val="163"/>
      </w:pPr>
      <w:r>
        <w:rPr>
          <w:rFonts w:hint="eastAsia"/>
        </w:rPr>
        <w:t>赎回总金额=10,000×1.2500=12,500.00元</w:t>
      </w:r>
    </w:p>
    <w:p>
      <w:pPr>
        <w:pStyle w:val="163"/>
      </w:pPr>
      <w:r>
        <w:rPr>
          <w:rFonts w:hint="eastAsia"/>
        </w:rPr>
        <w:t>赎回费用=12,500.00×0%=0.00元</w:t>
      </w:r>
    </w:p>
    <w:p>
      <w:pPr>
        <w:pStyle w:val="163"/>
      </w:pPr>
      <w:r>
        <w:rPr>
          <w:rFonts w:hint="eastAsia"/>
        </w:rPr>
        <w:t>净赎回金额=12,500.00-0.00=12,500.00元</w:t>
      </w:r>
    </w:p>
    <w:p>
      <w:pPr>
        <w:pStyle w:val="163"/>
      </w:pPr>
      <w:r>
        <w:rPr>
          <w:rFonts w:hint="eastAsia"/>
        </w:rPr>
        <w:t>即：投资者赎回本基金A类基金份额1万份，持有时间为1年，假设赎回当日A类基金份额净值是1.250</w:t>
      </w:r>
      <w:r>
        <w:t>0</w:t>
      </w:r>
      <w:r>
        <w:rPr>
          <w:rFonts w:hint="eastAsia"/>
        </w:rPr>
        <w:t>元，则其可得到的赎回金额为12,500.00元。</w:t>
      </w:r>
    </w:p>
    <w:p>
      <w:pPr>
        <w:pStyle w:val="163"/>
      </w:pPr>
      <w:r>
        <w:rPr>
          <w:rFonts w:hint="eastAsia"/>
        </w:rPr>
        <w:t>3、</w:t>
      </w:r>
      <w:r>
        <w:rPr>
          <w:rFonts w:hint="eastAsia" w:asciiTheme="minorEastAsia" w:hAnsiTheme="minorEastAsia" w:eastAsiaTheme="minorEastAsia"/>
        </w:rPr>
        <w:t>本基金</w:t>
      </w:r>
      <w:r>
        <w:rPr>
          <w:rFonts w:asciiTheme="minorEastAsia" w:hAnsiTheme="minorEastAsia" w:eastAsiaTheme="minorEastAsia"/>
        </w:rPr>
        <w:t>A</w:t>
      </w:r>
      <w:r>
        <w:rPr>
          <w:rFonts w:hint="eastAsia" w:asciiTheme="minorEastAsia" w:hAnsiTheme="minorEastAsia" w:eastAsiaTheme="minorEastAsia"/>
        </w:rPr>
        <w:t>类基金份额和</w:t>
      </w:r>
      <w:r>
        <w:rPr>
          <w:rFonts w:asciiTheme="minorEastAsia" w:hAnsiTheme="minorEastAsia" w:eastAsiaTheme="minorEastAsia"/>
        </w:rPr>
        <w:t>C</w:t>
      </w:r>
      <w:r>
        <w:rPr>
          <w:rFonts w:hint="eastAsia" w:asciiTheme="minorEastAsia" w:hAnsiTheme="minorEastAsia" w:eastAsiaTheme="minorEastAsia"/>
        </w:rPr>
        <w:t>类基金份额分别设置代码，分别计算和公告各类基金份额净值和各类基金份额累计净值。</w:t>
      </w:r>
      <w:r>
        <w:rPr>
          <w:rFonts w:hint="eastAsia"/>
        </w:rPr>
        <w:t>本基金</w:t>
      </w:r>
      <w:r>
        <w:rPr>
          <w:rFonts w:hint="eastAsia" w:asciiTheme="minorEastAsia" w:hAnsiTheme="minorEastAsia" w:eastAsiaTheme="minorEastAsia"/>
        </w:rPr>
        <w:t>各类</w:t>
      </w:r>
      <w:r>
        <w:rPr>
          <w:rFonts w:hint="eastAsia"/>
        </w:rPr>
        <w:t>基金份额净值的计算，均保留到小数点后4位，小数点后第5位四舍五入，由此产生的收益或损失由基金财产承担。T日的</w:t>
      </w:r>
      <w:r>
        <w:rPr>
          <w:rFonts w:hint="eastAsia" w:asciiTheme="minorEastAsia" w:hAnsiTheme="minorEastAsia" w:eastAsiaTheme="minorEastAsia"/>
        </w:rPr>
        <w:t>各类</w:t>
      </w:r>
      <w:r>
        <w:rPr>
          <w:rFonts w:hint="eastAsia"/>
        </w:rPr>
        <w:t>基金份额净值在当天收市后计算，并按基金合同的约定进行公告。遇特殊情况，经履行适当程序，可以适当延迟计算或公告。</w:t>
      </w:r>
    </w:p>
    <w:p>
      <w:pPr>
        <w:pStyle w:val="163"/>
        <w:ind w:firstLine="422"/>
        <w:rPr>
          <w:b/>
        </w:rPr>
      </w:pPr>
      <w:r>
        <w:rPr>
          <w:rFonts w:hint="eastAsia"/>
          <w:b/>
        </w:rPr>
        <w:t>八、申购和赎回的登记</w:t>
      </w:r>
    </w:p>
    <w:p>
      <w:pPr>
        <w:pStyle w:val="163"/>
      </w:pPr>
      <w:r>
        <w:rPr>
          <w:rFonts w:hint="eastAsia"/>
        </w:rPr>
        <w:t>投资人申购基金成功后，基金登记机构在T+1日为投资人登记权益并办理登记手续，投资人自T+2日（含该日）后有权赎回该部分基金份额。</w:t>
      </w:r>
    </w:p>
    <w:p>
      <w:pPr>
        <w:pStyle w:val="163"/>
      </w:pPr>
      <w:r>
        <w:rPr>
          <w:rFonts w:hint="eastAsia"/>
        </w:rPr>
        <w:t>投资人赎回基金成功后，基金登记机构在T+1日为投资人办理扣除权益的登记手续。</w:t>
      </w:r>
    </w:p>
    <w:p>
      <w:pPr>
        <w:pStyle w:val="163"/>
      </w:pPr>
      <w:r>
        <w:rPr>
          <w:rFonts w:hint="eastAsia"/>
        </w:rPr>
        <w:t>基金管理人可以在不违反法律法规的范围内，对上述登记办理时间进行调整，但不得实质影响投资人的合法权益，并最迟于实施前依照《信息披露办法》的有关规定在规定媒介公告。</w:t>
      </w:r>
    </w:p>
    <w:p>
      <w:pPr>
        <w:pStyle w:val="163"/>
        <w:ind w:firstLine="422"/>
        <w:rPr>
          <w:b/>
        </w:rPr>
      </w:pPr>
      <w:r>
        <w:rPr>
          <w:rFonts w:hint="eastAsia"/>
          <w:b/>
        </w:rPr>
        <w:t>九、</w:t>
      </w:r>
      <w:r>
        <w:rPr>
          <w:b/>
        </w:rPr>
        <w:t>拒绝或暂停申购的情形</w:t>
      </w:r>
    </w:p>
    <w:p>
      <w:pPr>
        <w:pStyle w:val="163"/>
        <w:rPr>
          <w:rFonts w:asciiTheme="minorEastAsia" w:hAnsiTheme="minorEastAsia" w:eastAsiaTheme="minorEastAsia"/>
        </w:rPr>
      </w:pPr>
      <w:r>
        <w:rPr>
          <w:rFonts w:hint="eastAsia" w:asciiTheme="minorEastAsia" w:hAnsiTheme="minorEastAsia" w:eastAsiaTheme="minorEastAsia"/>
        </w:rPr>
        <w:t>发生下列情况时，基金管理人可拒绝或暂停接受投资人的申购申请：</w:t>
      </w:r>
    </w:p>
    <w:p>
      <w:pPr>
        <w:pStyle w:val="163"/>
        <w:rPr>
          <w:rFonts w:asciiTheme="minorEastAsia" w:hAnsiTheme="minorEastAsia" w:eastAsiaTheme="minorEastAsia"/>
        </w:rPr>
      </w:pPr>
      <w:r>
        <w:rPr>
          <w:rFonts w:hint="eastAsia" w:asciiTheme="minorEastAsia" w:hAnsiTheme="minorEastAsia" w:eastAsiaTheme="minorEastAsia"/>
        </w:rPr>
        <w:t>1、因不可抗力导致基金无法正常运作。</w:t>
      </w:r>
    </w:p>
    <w:p>
      <w:pPr>
        <w:pStyle w:val="163"/>
        <w:rPr>
          <w:rFonts w:asciiTheme="minorEastAsia" w:hAnsiTheme="minorEastAsia" w:eastAsiaTheme="minorEastAsia"/>
        </w:rPr>
      </w:pPr>
      <w:r>
        <w:rPr>
          <w:rFonts w:hint="eastAsia" w:asciiTheme="minorEastAsia" w:hAnsiTheme="minorEastAsia" w:eastAsiaTheme="minorEastAsia"/>
        </w:rPr>
        <w:t>2、发生基金合同规定的暂停基金资产估值情况时。</w:t>
      </w:r>
    </w:p>
    <w:p>
      <w:pPr>
        <w:pStyle w:val="163"/>
        <w:rPr>
          <w:rFonts w:asciiTheme="minorEastAsia" w:hAnsiTheme="minorEastAsia" w:eastAsiaTheme="minorEastAsia"/>
        </w:rPr>
      </w:pPr>
      <w:r>
        <w:rPr>
          <w:rFonts w:hint="eastAsia" w:asciiTheme="minorEastAsia" w:hAnsiTheme="minorEastAsia" w:eastAsiaTheme="minorEastAsia"/>
        </w:rPr>
        <w:t>3、证券、期货交易所交易时间非正常停市，导致基金管理人无法计算当日基金资产净值。</w:t>
      </w:r>
    </w:p>
    <w:p>
      <w:pPr>
        <w:pStyle w:val="163"/>
        <w:rPr>
          <w:rFonts w:asciiTheme="minorEastAsia" w:hAnsiTheme="minorEastAsia" w:eastAsiaTheme="minorEastAsia"/>
        </w:rPr>
      </w:pPr>
      <w:r>
        <w:rPr>
          <w:rFonts w:hint="eastAsia" w:asciiTheme="minorEastAsia" w:hAnsiTheme="minorEastAsia" w:eastAsiaTheme="minorEastAsia"/>
        </w:rPr>
        <w:t>4、基金管理人接受某笔或某些申购申请可能会影响或损害现有基金份额持有人利益或对存量基金份额持有人利益构成潜在重大不利影响时。</w:t>
      </w:r>
    </w:p>
    <w:p>
      <w:pPr>
        <w:pStyle w:val="163"/>
        <w:rPr>
          <w:rFonts w:asciiTheme="minorEastAsia" w:hAnsiTheme="minorEastAsia" w:eastAsiaTheme="minorEastAsia"/>
        </w:rPr>
      </w:pPr>
      <w:r>
        <w:rPr>
          <w:rFonts w:hint="eastAsia" w:asciiTheme="minorEastAsia" w:hAnsiTheme="minorEastAsia" w:eastAsiaTheme="minorEastAsia"/>
        </w:rPr>
        <w:t>5、基金资产规模过大，使基金管理人无法找到合适的投资品种，或其他可能对基金业绩产生负面影响，或发生其他损害现有基金份额持有人利益的情形。</w:t>
      </w:r>
    </w:p>
    <w:p>
      <w:pPr>
        <w:pStyle w:val="163"/>
        <w:rPr>
          <w:rFonts w:asciiTheme="minorEastAsia" w:hAnsiTheme="minorEastAsia" w:eastAsiaTheme="minorEastAsia"/>
        </w:rPr>
      </w:pPr>
      <w:r>
        <w:rPr>
          <w:rFonts w:hint="eastAsia" w:asciiTheme="minorEastAsia" w:hAnsiTheme="minorEastAsia" w:eastAsiaTheme="minorEastAsia"/>
        </w:rPr>
        <w:t>6、基金管理人、基金托管人、销售机构或登记机构的技术故障等异常情况导致基金销售系统、基金注册登记系统或基金会计系统无法正常运行。</w:t>
      </w:r>
    </w:p>
    <w:p>
      <w:pPr>
        <w:pStyle w:val="163"/>
        <w:rPr>
          <w:rFonts w:asciiTheme="minorEastAsia" w:hAnsiTheme="minorEastAsia" w:eastAsiaTheme="minorEastAsia"/>
        </w:rPr>
      </w:pPr>
      <w:r>
        <w:rPr>
          <w:rFonts w:hint="eastAsia" w:asciiTheme="minorEastAsia" w:hAnsiTheme="minorEastAsia" w:eastAsiaTheme="minorEastAsia"/>
        </w:rPr>
        <w:t>7、当特定资产占前一估值日基金资产净值50%以上的，经与基金托管人协商确认后，基金管理人应当暂停接受基金申购申请。</w:t>
      </w:r>
    </w:p>
    <w:p>
      <w:pPr>
        <w:pStyle w:val="163"/>
        <w:rPr>
          <w:rFonts w:asciiTheme="minorEastAsia" w:hAnsiTheme="minorEastAsia" w:eastAsiaTheme="minorEastAsia"/>
        </w:rPr>
      </w:pPr>
      <w:r>
        <w:rPr>
          <w:rFonts w:hint="eastAsia" w:asciiTheme="minorEastAsia" w:hAnsiTheme="minorEastAsia" w:eastAsiaTheme="minorEastAsia"/>
        </w:rPr>
        <w:t>8、基金管理人接受某笔或者某些申购申请有可能导致单一投资者（基金管理人、基金管理人高级管理人员或基金经理等人员作为发起资金提供方除外）持有基金份额的比例达到或者超过50%，或者变相规避50%集中度的情形时。</w:t>
      </w:r>
    </w:p>
    <w:p>
      <w:pPr>
        <w:pStyle w:val="163"/>
        <w:rPr>
          <w:rFonts w:asciiTheme="minorEastAsia" w:hAnsiTheme="minorEastAsia" w:eastAsiaTheme="minorEastAsia"/>
        </w:rPr>
      </w:pPr>
      <w:r>
        <w:rPr>
          <w:rFonts w:hint="eastAsia" w:asciiTheme="minorEastAsia" w:hAnsiTheme="minorEastAsia" w:eastAsiaTheme="minorEastAsia"/>
        </w:rPr>
        <w:t>9、法律法规规定或中国证监会认定的其他情形。</w:t>
      </w:r>
    </w:p>
    <w:p>
      <w:pPr>
        <w:pStyle w:val="163"/>
        <w:rPr>
          <w:rFonts w:asciiTheme="minorEastAsia" w:hAnsiTheme="minorEastAsia" w:eastAsiaTheme="minorEastAsia"/>
        </w:rPr>
      </w:pPr>
      <w:r>
        <w:rPr>
          <w:rFonts w:hint="eastAsia" w:asciiTheme="minorEastAsia" w:hAnsiTheme="minorEastAsia" w:eastAsiaTheme="minorEastAsia"/>
        </w:rPr>
        <w:t>发生上述第1、2、3、5、6、7、9项暂停申购情形之一且基金管理人决定暂停接受投资人的申购申请时，基金管理人应当根据有关规定在规定媒介上刊登暂停申购公告。如果投资人的申购申请被全部或部分拒绝，被拒绝的申购款项本金将退还给投资人。在暂停申购的情况消除时，基金管理人应及时恢复申购业务的办理。</w:t>
      </w:r>
    </w:p>
    <w:p>
      <w:pPr>
        <w:pStyle w:val="163"/>
        <w:ind w:firstLine="422"/>
        <w:rPr>
          <w:b/>
        </w:rPr>
      </w:pPr>
      <w:bookmarkStart w:id="76" w:name="_Hlt70481650"/>
      <w:bookmarkEnd w:id="76"/>
      <w:r>
        <w:rPr>
          <w:rFonts w:hint="eastAsia"/>
          <w:b/>
        </w:rPr>
        <w:t>十、</w:t>
      </w:r>
      <w:r>
        <w:rPr>
          <w:b/>
        </w:rPr>
        <w:t>暂停赎回或延缓支付赎回款项的情形</w:t>
      </w:r>
    </w:p>
    <w:p>
      <w:pPr>
        <w:pStyle w:val="163"/>
      </w:pPr>
      <w:r>
        <w:rPr>
          <w:rFonts w:hint="eastAsia"/>
        </w:rPr>
        <w:t>发生下列情形时，基金管理人可暂停接受投资人的赎回申请或延缓支付赎回款项：</w:t>
      </w:r>
    </w:p>
    <w:p>
      <w:pPr>
        <w:pStyle w:val="163"/>
      </w:pPr>
      <w:r>
        <w:rPr>
          <w:rFonts w:hint="eastAsia"/>
        </w:rPr>
        <w:t>1、因不可抗力导致基金管理人不能支付赎回款项。</w:t>
      </w:r>
    </w:p>
    <w:p>
      <w:pPr>
        <w:pStyle w:val="163"/>
      </w:pPr>
      <w:r>
        <w:rPr>
          <w:rFonts w:hint="eastAsia"/>
        </w:rPr>
        <w:t>2、发生基金合同规定的暂停基金资产估值情况时。</w:t>
      </w:r>
    </w:p>
    <w:p>
      <w:pPr>
        <w:pStyle w:val="163"/>
      </w:pPr>
      <w:r>
        <w:rPr>
          <w:rFonts w:hint="eastAsia"/>
        </w:rPr>
        <w:t>3、证券、期货交易所交易时间非正常停市，导致基金管理人无法计算当日基金资产净值。</w:t>
      </w:r>
    </w:p>
    <w:p>
      <w:pPr>
        <w:pStyle w:val="163"/>
      </w:pPr>
      <w:r>
        <w:rPr>
          <w:rFonts w:hint="eastAsia"/>
        </w:rPr>
        <w:t>4、连续两个或两个以上开放日发生巨额赎回。</w:t>
      </w:r>
    </w:p>
    <w:p>
      <w:pPr>
        <w:pStyle w:val="163"/>
      </w:pPr>
      <w:r>
        <w:rPr>
          <w:rFonts w:hint="eastAsia"/>
        </w:rPr>
        <w:t>5、发生继续接受赎回申请将损害现有基金份额持有人利益的情形时。</w:t>
      </w:r>
    </w:p>
    <w:p>
      <w:pPr>
        <w:pStyle w:val="163"/>
      </w:pPr>
      <w:r>
        <w:rPr>
          <w:rFonts w:hint="eastAsia"/>
        </w:rPr>
        <w:t>6、当特定资产占前一估值日基金资产净值50%以上的，经与基金托管人协商确认后，基金管理人应当延缓支付赎回款项或暂停接受基金赎回申请。</w:t>
      </w:r>
    </w:p>
    <w:p>
      <w:pPr>
        <w:pStyle w:val="163"/>
      </w:pPr>
      <w:r>
        <w:rPr>
          <w:rFonts w:hint="eastAsia"/>
        </w:rPr>
        <w:t>7、法律法规规定或中国证监会认定的其他情形。</w:t>
      </w:r>
    </w:p>
    <w:p>
      <w:pPr>
        <w:pStyle w:val="163"/>
      </w:pPr>
      <w:r>
        <w:rPr>
          <w:rFonts w:hint="eastAsia"/>
        </w:rPr>
        <w:t>发生上述情形之一（第4项除外）且基金管理人决定暂停赎回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pPr>
        <w:pStyle w:val="163"/>
        <w:ind w:firstLine="422"/>
        <w:rPr>
          <w:b/>
        </w:rPr>
      </w:pPr>
      <w:r>
        <w:rPr>
          <w:rFonts w:hint="eastAsia"/>
          <w:b/>
        </w:rPr>
        <w:t>十一、</w:t>
      </w:r>
      <w:r>
        <w:rPr>
          <w:b/>
        </w:rPr>
        <w:t>巨额赎回的情形及处理方式</w:t>
      </w:r>
    </w:p>
    <w:p>
      <w:pPr>
        <w:pStyle w:val="163"/>
        <w:rPr>
          <w:rFonts w:ascii="宋体" w:hAnsi="宋体"/>
          <w:bCs/>
        </w:rPr>
      </w:pPr>
      <w:r>
        <w:rPr>
          <w:rFonts w:hint="eastAsia" w:ascii="宋体" w:hAnsi="宋体"/>
          <w:bCs/>
        </w:rPr>
        <w:t>1、巨额赎回的认定</w:t>
      </w:r>
    </w:p>
    <w:p>
      <w:pPr>
        <w:pStyle w:val="163"/>
        <w:rPr>
          <w:rFonts w:ascii="宋体" w:hAnsi="宋体"/>
          <w:bCs/>
        </w:rPr>
      </w:pPr>
      <w:r>
        <w:rPr>
          <w:rFonts w:hint="eastAsia" w:ascii="宋体" w:hAnsi="宋体"/>
          <w:bCs/>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pPr>
        <w:pStyle w:val="163"/>
        <w:rPr>
          <w:rFonts w:ascii="宋体" w:hAnsi="宋体"/>
          <w:bCs/>
        </w:rPr>
      </w:pPr>
      <w:r>
        <w:rPr>
          <w:rFonts w:hint="eastAsia" w:ascii="宋体" w:hAnsi="宋体"/>
          <w:bCs/>
        </w:rPr>
        <w:t>2、巨额赎回的处理方式</w:t>
      </w:r>
    </w:p>
    <w:p>
      <w:pPr>
        <w:pStyle w:val="163"/>
        <w:rPr>
          <w:rFonts w:ascii="宋体" w:hAnsi="宋体"/>
          <w:bCs/>
        </w:rPr>
      </w:pPr>
      <w:r>
        <w:rPr>
          <w:rFonts w:hint="eastAsia" w:ascii="宋体" w:hAnsi="宋体"/>
          <w:bCs/>
        </w:rPr>
        <w:t>当基金出现巨额赎回时，基金管理人可以根据基金当时的资产组合状况决定全额赎回</w:t>
      </w:r>
      <w:r>
        <w:rPr>
          <w:rFonts w:ascii="宋体" w:hAnsi="宋体"/>
          <w:bCs/>
        </w:rPr>
        <w:t>、</w:t>
      </w:r>
      <w:r>
        <w:rPr>
          <w:rFonts w:hint="eastAsia" w:ascii="宋体" w:hAnsi="宋体"/>
          <w:bCs/>
        </w:rPr>
        <w:t>部分延期赎回或暂停赎回。</w:t>
      </w:r>
    </w:p>
    <w:p>
      <w:pPr>
        <w:pStyle w:val="163"/>
        <w:rPr>
          <w:rFonts w:ascii="宋体" w:hAnsi="宋体"/>
          <w:bCs/>
        </w:rPr>
      </w:pPr>
      <w:r>
        <w:rPr>
          <w:rFonts w:hint="eastAsia" w:ascii="宋体" w:hAnsi="宋体"/>
          <w:bCs/>
        </w:rPr>
        <w:t>（1）全额赎回：当基金管理人认为有能力支付投资人的全部赎回申请时，按正常赎回程序执行。</w:t>
      </w:r>
    </w:p>
    <w:p>
      <w:pPr>
        <w:pStyle w:val="163"/>
        <w:rPr>
          <w:rFonts w:ascii="宋体" w:hAnsi="宋体"/>
          <w:bCs/>
        </w:rPr>
      </w:pPr>
      <w:r>
        <w:rPr>
          <w:rFonts w:hint="eastAsia" w:ascii="宋体" w:hAnsi="宋体"/>
          <w:bCs/>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pPr>
        <w:pStyle w:val="163"/>
        <w:rPr>
          <w:rFonts w:ascii="宋体" w:hAnsi="宋体"/>
          <w:bCs/>
        </w:rPr>
      </w:pPr>
      <w:r>
        <w:rPr>
          <w:rFonts w:hint="eastAsia" w:ascii="宋体" w:hAnsi="宋体"/>
          <w:bCs/>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并以下一开放日的该类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w:t>
      </w:r>
    </w:p>
    <w:p>
      <w:pPr>
        <w:pStyle w:val="163"/>
        <w:rPr>
          <w:rFonts w:ascii="宋体" w:hAnsi="宋体"/>
          <w:bCs/>
        </w:rPr>
      </w:pPr>
      <w:r>
        <w:rPr>
          <w:rFonts w:hint="eastAsia" w:ascii="宋体" w:hAnsi="宋体"/>
          <w:bCs/>
        </w:rPr>
        <w:t>（4）暂停赎回：连续2个开放日以上（含2个开放日）发生巨额赎回，如基金管理人认为有必要，可暂停接受基金的赎回申请；已经接受的赎回申请可以延缓支付赎回款项，但不得超过20个工作日，并应当在规定媒介上进行公告。</w:t>
      </w:r>
    </w:p>
    <w:p>
      <w:pPr>
        <w:pStyle w:val="163"/>
        <w:rPr>
          <w:rFonts w:ascii="宋体" w:hAnsi="宋体"/>
          <w:bCs/>
        </w:rPr>
      </w:pPr>
      <w:r>
        <w:rPr>
          <w:rFonts w:hint="eastAsia" w:ascii="宋体" w:hAnsi="宋体"/>
          <w:bCs/>
        </w:rPr>
        <w:t>3、巨额赎回的公告</w:t>
      </w:r>
    </w:p>
    <w:p>
      <w:pPr>
        <w:pStyle w:val="163"/>
      </w:pPr>
      <w:r>
        <w:rPr>
          <w:rFonts w:hint="eastAsia" w:ascii="宋体" w:hAnsi="宋体"/>
          <w:bCs/>
        </w:rPr>
        <w:t>当发生上述巨额赎回并延期办理时，基金管理人应当通过邮寄、传真或者招募说明书规定的其他方式在3个交易日内通知基金份额持有人，说明有关处理方法，并在2日内在规定媒介上刊登公告。</w:t>
      </w:r>
    </w:p>
    <w:p>
      <w:pPr>
        <w:pStyle w:val="163"/>
        <w:ind w:firstLine="422"/>
        <w:rPr>
          <w:b/>
        </w:rPr>
      </w:pPr>
      <w:r>
        <w:rPr>
          <w:b/>
        </w:rPr>
        <w:t>十</w:t>
      </w:r>
      <w:r>
        <w:rPr>
          <w:rFonts w:hint="eastAsia"/>
          <w:b/>
        </w:rPr>
        <w:t>二、</w:t>
      </w:r>
      <w:r>
        <w:rPr>
          <w:b/>
        </w:rPr>
        <w:t>暂停申购或赎回的公告和重新开放申购或赎回的公告</w:t>
      </w:r>
    </w:p>
    <w:p>
      <w:pPr>
        <w:pStyle w:val="163"/>
        <w:rPr>
          <w:rFonts w:ascii="宋体" w:hAnsi="宋体"/>
          <w:bCs/>
        </w:rPr>
      </w:pPr>
      <w:r>
        <w:rPr>
          <w:rFonts w:ascii="宋体" w:hAnsi="宋体"/>
          <w:bCs/>
        </w:rPr>
        <w:t>1</w:t>
      </w:r>
      <w:r>
        <w:rPr>
          <w:rFonts w:hint="eastAsia" w:ascii="宋体" w:hAnsi="宋体"/>
          <w:bCs/>
        </w:rPr>
        <w:t>、发生上述暂停申购或赎回情况的，基金管理人应在规定期限内在规定媒介上刊登暂停公告。</w:t>
      </w:r>
    </w:p>
    <w:p>
      <w:pPr>
        <w:pStyle w:val="163"/>
        <w:rPr>
          <w:rFonts w:ascii="宋体" w:hAnsi="宋体"/>
          <w:bCs/>
        </w:rPr>
      </w:pPr>
      <w:r>
        <w:rPr>
          <w:rFonts w:hint="eastAsia" w:ascii="宋体" w:hAnsi="宋体"/>
          <w:bCs/>
        </w:rPr>
        <w:t>2、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pPr>
        <w:pStyle w:val="163"/>
      </w:pPr>
      <w:r>
        <w:rPr>
          <w:rFonts w:hint="eastAsia" w:ascii="宋体" w:hAnsi="宋体"/>
          <w:bCs/>
        </w:rPr>
        <w:t>3、上述暂停申购或赎回情况消除的，基金管理人应于重新开放日公布最近1个开放日各类基金份额净值。</w:t>
      </w:r>
    </w:p>
    <w:p>
      <w:pPr>
        <w:pStyle w:val="163"/>
        <w:ind w:firstLine="422"/>
        <w:rPr>
          <w:b/>
        </w:rPr>
      </w:pPr>
      <w:r>
        <w:rPr>
          <w:b/>
        </w:rPr>
        <w:t>十</w:t>
      </w:r>
      <w:r>
        <w:rPr>
          <w:rFonts w:hint="eastAsia"/>
          <w:b/>
        </w:rPr>
        <w:t>三、</w:t>
      </w:r>
      <w:r>
        <w:rPr>
          <w:b/>
        </w:rPr>
        <w:t>基金转换</w:t>
      </w:r>
    </w:p>
    <w:p>
      <w:pPr>
        <w:pStyle w:val="163"/>
      </w:pPr>
      <w:r>
        <w:rPr>
          <w:rFonts w:hint="eastAsia" w:ascii="宋体" w:hAnsi="宋体"/>
          <w:bCs/>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pPr>
        <w:pStyle w:val="163"/>
        <w:ind w:firstLine="422"/>
        <w:rPr>
          <w:b/>
          <w:szCs w:val="24"/>
        </w:rPr>
      </w:pPr>
      <w:r>
        <w:rPr>
          <w:rFonts w:hint="eastAsia"/>
          <w:b/>
          <w:szCs w:val="24"/>
        </w:rPr>
        <w:t>十四、基金份额的转让</w:t>
      </w:r>
    </w:p>
    <w:p>
      <w:pPr>
        <w:pStyle w:val="163"/>
        <w:rPr>
          <w:szCs w:val="24"/>
        </w:rPr>
      </w:pPr>
      <w:r>
        <w:rPr>
          <w:rFonts w:hint="eastAsia"/>
          <w:szCs w:val="24"/>
        </w:rPr>
        <w:t>对基金份额持有人无实质不利影响，在法律法规允许且条件具备的情况下，基金管理人履行相关程序后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pPr>
        <w:pStyle w:val="163"/>
        <w:ind w:firstLine="422"/>
        <w:rPr>
          <w:b/>
          <w:szCs w:val="24"/>
        </w:rPr>
      </w:pPr>
      <w:r>
        <w:rPr>
          <w:rFonts w:hint="eastAsia"/>
          <w:b/>
          <w:szCs w:val="24"/>
        </w:rPr>
        <w:t>十五、基金的非交易过户</w:t>
      </w:r>
    </w:p>
    <w:p>
      <w:pPr>
        <w:pStyle w:val="163"/>
        <w:rPr>
          <w:szCs w:val="24"/>
        </w:rPr>
      </w:pPr>
      <w:r>
        <w:rPr>
          <w:rFonts w:hint="eastAsia"/>
          <w:szCs w:val="24"/>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pPr>
        <w:pStyle w:val="163"/>
        <w:rPr>
          <w:szCs w:val="24"/>
        </w:rPr>
      </w:pPr>
      <w:r>
        <w:rPr>
          <w:rFonts w:hint="eastAsia"/>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pPr>
        <w:pStyle w:val="163"/>
        <w:ind w:firstLine="422"/>
        <w:rPr>
          <w:b/>
          <w:szCs w:val="24"/>
        </w:rPr>
      </w:pPr>
      <w:r>
        <w:rPr>
          <w:rFonts w:hint="eastAsia"/>
          <w:b/>
          <w:szCs w:val="24"/>
        </w:rPr>
        <w:t>十六、基金的转托管</w:t>
      </w:r>
    </w:p>
    <w:p>
      <w:pPr>
        <w:pStyle w:val="163"/>
        <w:rPr>
          <w:szCs w:val="24"/>
        </w:rPr>
      </w:pPr>
      <w:r>
        <w:rPr>
          <w:rFonts w:hint="eastAsia"/>
          <w:szCs w:val="24"/>
        </w:rPr>
        <w:t>基金份额持有人可办理已持有基金份额在不同销售机构之间的转托管，基金销售机构可以按照规定的标准收取转托管费。</w:t>
      </w:r>
    </w:p>
    <w:p>
      <w:pPr>
        <w:pStyle w:val="163"/>
        <w:ind w:firstLine="422"/>
        <w:rPr>
          <w:b/>
          <w:szCs w:val="24"/>
        </w:rPr>
      </w:pPr>
      <w:r>
        <w:rPr>
          <w:rFonts w:hint="eastAsia"/>
          <w:b/>
          <w:szCs w:val="24"/>
        </w:rPr>
        <w:t>十七、定期定额投资计划</w:t>
      </w:r>
    </w:p>
    <w:p>
      <w:pPr>
        <w:pStyle w:val="163"/>
        <w:rPr>
          <w:szCs w:val="24"/>
        </w:rPr>
      </w:pPr>
      <w:r>
        <w:rPr>
          <w:rFonts w:hint="eastAsia"/>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pPr>
        <w:pStyle w:val="163"/>
        <w:ind w:firstLine="422"/>
        <w:rPr>
          <w:b/>
          <w:szCs w:val="24"/>
        </w:rPr>
      </w:pPr>
      <w:r>
        <w:rPr>
          <w:rFonts w:hint="eastAsia"/>
          <w:b/>
          <w:szCs w:val="24"/>
        </w:rPr>
        <w:t>十八、基金份额的冻结、解冻与质押</w:t>
      </w:r>
    </w:p>
    <w:p>
      <w:pPr>
        <w:pStyle w:val="163"/>
        <w:rPr>
          <w:szCs w:val="24"/>
        </w:rPr>
      </w:pPr>
      <w:r>
        <w:rPr>
          <w:rFonts w:hint="eastAsia"/>
          <w:szCs w:val="24"/>
        </w:rPr>
        <w:t>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w:t>
      </w:r>
    </w:p>
    <w:p>
      <w:pPr>
        <w:adjustRightInd w:val="0"/>
        <w:snapToGrid w:val="0"/>
        <w:spacing w:line="360" w:lineRule="auto"/>
        <w:ind w:firstLine="420" w:firstLineChars="200"/>
        <w:rPr>
          <w:rFonts w:asciiTheme="minorEastAsia" w:hAnsiTheme="minorEastAsia" w:eastAsiaTheme="minorEastAsia"/>
        </w:rPr>
      </w:pPr>
      <w:r>
        <w:rPr>
          <w:rFonts w:hint="eastAsia"/>
        </w:rPr>
        <w:t>对基金份额持有人无实质不利影响的前提下，如相关法律法规允许，基金管理人履行相关程序后可办理基金份额的质押业务或其他基金业务，基金管理人将制定和实施相应的业务规则。</w:t>
      </w:r>
    </w:p>
    <w:p>
      <w:pPr>
        <w:pStyle w:val="163"/>
        <w:ind w:firstLine="422"/>
        <w:rPr>
          <w:b/>
          <w:szCs w:val="24"/>
        </w:rPr>
      </w:pPr>
      <w:r>
        <w:rPr>
          <w:rFonts w:hint="eastAsia"/>
          <w:b/>
          <w:szCs w:val="24"/>
        </w:rPr>
        <w:t>十九、实施侧袋机制期间本基金的申购与赎回</w:t>
      </w:r>
    </w:p>
    <w:p>
      <w:pPr>
        <w:pStyle w:val="163"/>
        <w:rPr>
          <w:rFonts w:asciiTheme="minorEastAsia" w:hAnsiTheme="minorEastAsia" w:eastAsiaTheme="minorEastAsia"/>
        </w:rPr>
      </w:pPr>
      <w:r>
        <w:rPr>
          <w:rFonts w:hint="eastAsia"/>
          <w:szCs w:val="24"/>
        </w:rPr>
        <w:t>本基金实施侧袋机制的，本基金的申购和赎回安排详见招募说明书“侧袋机制”部分的规定或相关公告。</w:t>
      </w:r>
    </w:p>
    <w:p>
      <w:pPr>
        <w:snapToGrid w:val="0"/>
        <w:spacing w:line="360" w:lineRule="auto"/>
        <w:ind w:firstLine="420" w:firstLineChars="200"/>
        <w:sectPr>
          <w:footerReference r:id="rId15" w:type="first"/>
          <w:footerReference r:id="rId14" w:type="defaul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77" w:name="_Toc335899842"/>
      <w:bookmarkStart w:id="78" w:name="_Toc336606236"/>
      <w:bookmarkStart w:id="79" w:name="_Toc375295982"/>
      <w:bookmarkStart w:id="80" w:name="_Toc92740292"/>
      <w:bookmarkStart w:id="81" w:name="_Toc411872031"/>
      <w:bookmarkStart w:id="82" w:name="_Toc332013119"/>
      <w:bookmarkStart w:id="83" w:name="_Toc369510017"/>
      <w:r>
        <w:rPr>
          <w:rFonts w:hint="eastAsia"/>
        </w:rPr>
        <w:t>基金的投资</w:t>
      </w:r>
      <w:bookmarkEnd w:id="77"/>
      <w:bookmarkEnd w:id="78"/>
      <w:bookmarkEnd w:id="79"/>
      <w:bookmarkEnd w:id="80"/>
      <w:bookmarkEnd w:id="81"/>
      <w:bookmarkEnd w:id="82"/>
      <w:bookmarkEnd w:id="83"/>
    </w:p>
    <w:p>
      <w:pPr>
        <w:pStyle w:val="163"/>
        <w:ind w:firstLine="422"/>
        <w:rPr>
          <w:b/>
        </w:rPr>
      </w:pPr>
      <w:r>
        <w:rPr>
          <w:b/>
        </w:rPr>
        <w:t>一、投资目标</w:t>
      </w:r>
    </w:p>
    <w:p>
      <w:pPr>
        <w:adjustRightInd w:val="0"/>
        <w:snapToGrid w:val="0"/>
        <w:spacing w:line="360" w:lineRule="auto"/>
        <w:ind w:firstLine="420" w:firstLineChars="200"/>
        <w:rPr>
          <w:rFonts w:asciiTheme="minorEastAsia" w:hAnsiTheme="minorEastAsia" w:eastAsiaTheme="minorEastAsia"/>
          <w:szCs w:val="21"/>
        </w:rPr>
      </w:pPr>
      <w:r>
        <w:rPr>
          <w:rFonts w:hint="eastAsia" w:ascii="宋体" w:cs="宋体" w:eastAsiaTheme="minorEastAsia"/>
          <w:kern w:val="0"/>
          <w:szCs w:val="21"/>
        </w:rPr>
        <w:t>紧密跟踪标的指数，追求跟踪偏离度和跟踪误差的最小化。在正常情况下，本基金力争控制投资组合的净值增长率与业绩比较基准之间的预期日均跟踪偏离度的绝对值小于0.35%，预期年化跟踪误差不超过4%。</w:t>
      </w:r>
    </w:p>
    <w:p>
      <w:pPr>
        <w:pStyle w:val="163"/>
        <w:ind w:firstLine="422"/>
        <w:rPr>
          <w:b/>
        </w:rPr>
      </w:pPr>
      <w:r>
        <w:rPr>
          <w:rFonts w:hint="eastAsia"/>
          <w:b/>
        </w:rPr>
        <w:t xml:space="preserve"> </w:t>
      </w:r>
      <w:r>
        <w:rPr>
          <w:b/>
        </w:rPr>
        <w:t>二、投资范围</w:t>
      </w:r>
    </w:p>
    <w:p>
      <w:pPr>
        <w:adjustRightInd w:val="0"/>
        <w:snapToGrid w:val="0"/>
        <w:spacing w:line="360" w:lineRule="auto"/>
        <w:ind w:firstLine="420" w:firstLineChars="200"/>
      </w:pPr>
      <w:r>
        <w:rPr>
          <w:rFonts w:hint="eastAsia"/>
        </w:rPr>
        <w:t>本基金主要投资于标的指数成份股和备选成份股（含存托凭证）。</w:t>
      </w:r>
    </w:p>
    <w:p>
      <w:pPr>
        <w:adjustRightInd w:val="0"/>
        <w:snapToGrid w:val="0"/>
        <w:spacing w:line="360" w:lineRule="auto"/>
        <w:ind w:firstLine="420" w:firstLineChars="200"/>
      </w:pPr>
      <w:r>
        <w:rPr>
          <w:rFonts w:hint="eastAsia"/>
        </w:rPr>
        <w:t>为更好地实现基金的投资目标，本基金可能会少量投资于依法发行上市的非成份股（包括创业板及其他经中国证监会核准或注册上市的股票、存托凭证）、债券（包括国债、金融债、地方政府债、政府支持机构债券、企业债、公司债、公开发行的次级债、可转换债券（含分离交易可转债的纯债部分）、可交换债券、央行票据、短期融资券、超短期融资券、中期票据等）、资产支持证券、衍生工具（包括股指期货、国债期货、股票期权）、债券回购、货币市场工具（包括银行存款、同业存单等）以及法律法规或中国证监会允许基金投资的其他金融工具（但须符合中国证监会的相关规定）。</w:t>
      </w:r>
    </w:p>
    <w:p>
      <w:pPr>
        <w:adjustRightInd w:val="0"/>
        <w:snapToGrid w:val="0"/>
        <w:spacing w:line="360" w:lineRule="auto"/>
        <w:ind w:firstLine="420" w:firstLineChars="200"/>
      </w:pPr>
      <w:r>
        <w:rPr>
          <w:rFonts w:hint="eastAsia"/>
        </w:rPr>
        <w:t>本基金可根据法律法规的规定参与融资及转融通证券出借业务。未来在法律法规允许的前提下，本基金可根据相关法律法规规定参与融券业务。</w:t>
      </w:r>
    </w:p>
    <w:p>
      <w:pPr>
        <w:adjustRightInd w:val="0"/>
        <w:snapToGrid w:val="0"/>
        <w:spacing w:line="360" w:lineRule="auto"/>
        <w:ind w:firstLine="420" w:firstLineChars="200"/>
      </w:pPr>
      <w:r>
        <w:rPr>
          <w:rFonts w:hint="eastAsia"/>
        </w:rPr>
        <w:t>本基金根据相关法律法规或中国证监会要求履行相关手续后，还可以投资于法律法规或中国证监会未来允许基金投资的其他金融工具。</w:t>
      </w:r>
    </w:p>
    <w:p>
      <w:pPr>
        <w:adjustRightInd w:val="0"/>
        <w:snapToGrid w:val="0"/>
        <w:spacing w:line="360" w:lineRule="auto"/>
        <w:ind w:firstLine="420" w:firstLineChars="200"/>
      </w:pPr>
      <w:r>
        <w:rPr>
          <w:rFonts w:hint="eastAsia"/>
        </w:rPr>
        <w:t>本基金的股票资产投资比例不低于基金资产的90%，其中投资于标的指数成份股和备选成份股的资产不低于非现金基金资产的80%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adjustRightInd w:val="0"/>
        <w:snapToGrid w:val="0"/>
        <w:spacing w:line="360" w:lineRule="auto"/>
        <w:ind w:firstLine="420" w:firstLineChars="200"/>
      </w:pPr>
      <w:r>
        <w:rPr>
          <w:rFonts w:hint="eastAsia"/>
        </w:rPr>
        <w:t>若法律法规的相关规定发生变更或监管机构允许，本基金管理人在履行适当程序后，可对上述资产配置比例进行调整。</w:t>
      </w:r>
    </w:p>
    <w:p>
      <w:pPr>
        <w:pStyle w:val="163"/>
        <w:ind w:firstLine="422"/>
        <w:rPr>
          <w:b/>
        </w:rPr>
      </w:pPr>
      <w:r>
        <w:rPr>
          <w:b/>
        </w:rPr>
        <w:t>三、投资策略</w:t>
      </w:r>
    </w:p>
    <w:p>
      <w:pPr>
        <w:adjustRightInd w:val="0"/>
        <w:snapToGrid w:val="0"/>
        <w:spacing w:line="360" w:lineRule="auto"/>
        <w:ind w:firstLine="420" w:firstLineChars="200"/>
        <w:rPr>
          <w:rFonts w:ascii="宋体" w:hAnsi="宋体"/>
        </w:rPr>
      </w:pPr>
      <w:r>
        <w:rPr>
          <w:rFonts w:hint="eastAsia" w:ascii="宋体" w:hAnsi="宋体"/>
        </w:rPr>
        <w:t>1、组合复制策略</w:t>
      </w:r>
    </w:p>
    <w:p>
      <w:pPr>
        <w:adjustRightInd w:val="0"/>
        <w:snapToGrid w:val="0"/>
        <w:spacing w:line="360" w:lineRule="auto"/>
        <w:ind w:firstLine="420" w:firstLineChars="200"/>
        <w:rPr>
          <w:rFonts w:ascii="宋体" w:hAnsi="宋体"/>
        </w:rPr>
      </w:pPr>
      <w:r>
        <w:rPr>
          <w:rFonts w:hint="eastAsia" w:ascii="宋体" w:hAnsi="宋体"/>
        </w:rPr>
        <w:t>本基金主要采用完全复制法进行投资，即按照成份股在标的指数中的基准权重来构建指数化投资组合，并根据标的指数成份股及其权重的变化进行相应调整。但因特殊情况（比如流动性不足等）导致本基金无法有效复制和跟踪标的指数时，基金管理人可使用其他合理方法进行适当的替代。特殊情况包括但不限于以下情形：（1）法律法规的限制；（2）标的指数成份股流动性严重不足；（3）标的指数的成份股长期停牌；（4）其它合理原因导致本基金管理人对标的指数的跟踪构成严重制约等。</w:t>
      </w:r>
    </w:p>
    <w:p>
      <w:pPr>
        <w:adjustRightInd w:val="0"/>
        <w:snapToGrid w:val="0"/>
        <w:spacing w:line="360" w:lineRule="auto"/>
        <w:ind w:firstLine="420" w:firstLineChars="200"/>
        <w:rPr>
          <w:rFonts w:ascii="宋体" w:hAnsi="宋体"/>
        </w:rPr>
      </w:pPr>
      <w:r>
        <w:rPr>
          <w:rFonts w:hint="eastAsia" w:ascii="宋体" w:hAnsi="宋体"/>
        </w:rPr>
        <w:t>在正常情况下，本基金力争控制投资组合的净值增长率与业绩比较基准之间的预期日均跟踪偏离度的绝对值小于0.35%，预期年化跟踪误差不超过4%。如因标的指数编制规则调整等其他原因，导致基金日均跟踪偏离度和跟踪误差变大，基金管理人应采取合理措施，避免日均跟踪偏离度和跟踪误差的进一步扩大。</w:t>
      </w:r>
    </w:p>
    <w:p>
      <w:pPr>
        <w:adjustRightInd w:val="0"/>
        <w:snapToGrid w:val="0"/>
        <w:spacing w:line="360" w:lineRule="auto"/>
        <w:ind w:firstLine="420" w:firstLineChars="200"/>
        <w:rPr>
          <w:rFonts w:ascii="宋体" w:hAnsi="宋体"/>
        </w:rPr>
      </w:pPr>
      <w:r>
        <w:rPr>
          <w:rFonts w:hint="eastAsia" w:ascii="宋体" w:hAnsi="宋体"/>
        </w:rPr>
        <w:t>当指数编制方法变更、成份股发生变更、成份股权重由于自由流通量调整而发生变化、成份股派发现金股息、配股及增发、股票长期停牌、市场流动性不足等情况发生时，基金管理人将对投资组合进行优化，尽量降低跟踪误差。</w:t>
      </w:r>
    </w:p>
    <w:p>
      <w:pPr>
        <w:adjustRightInd w:val="0"/>
        <w:snapToGrid w:val="0"/>
        <w:spacing w:line="360" w:lineRule="auto"/>
        <w:ind w:firstLine="420" w:firstLineChars="200"/>
        <w:rPr>
          <w:rFonts w:ascii="宋体" w:hAnsi="宋体"/>
        </w:rPr>
      </w:pPr>
      <w:r>
        <w:rPr>
          <w:rFonts w:hint="eastAsia" w:ascii="宋体" w:hAnsi="宋体"/>
        </w:rPr>
        <w:t>为了实现更好的跟踪标的指数的目的，基金管理人还将综合考虑标的指数成份股的数量、流动性、投资限制、交易费用及成本，以及税务及其他监管限制，决定是否采用抽样复制的策略。对于复制方法的变更，本基金管理人需在方法变更前按规定在规定媒介公告，并阐明变更复制方法的原因。</w:t>
      </w:r>
    </w:p>
    <w:p>
      <w:pPr>
        <w:adjustRightInd w:val="0"/>
        <w:snapToGrid w:val="0"/>
        <w:spacing w:line="360" w:lineRule="auto"/>
        <w:ind w:firstLine="420" w:firstLineChars="200"/>
        <w:rPr>
          <w:rFonts w:ascii="宋体" w:hAnsi="宋体"/>
        </w:rPr>
      </w:pPr>
      <w:r>
        <w:rPr>
          <w:rFonts w:hint="eastAsia" w:ascii="宋体" w:hAnsi="宋体"/>
        </w:rPr>
        <w:t>2、债券（除可转换债券和可交换债券）投资策略</w:t>
      </w:r>
    </w:p>
    <w:p>
      <w:pPr>
        <w:adjustRightInd w:val="0"/>
        <w:snapToGrid w:val="0"/>
        <w:spacing w:line="360" w:lineRule="auto"/>
        <w:ind w:firstLine="420" w:firstLineChars="200"/>
        <w:rPr>
          <w:rFonts w:ascii="宋体" w:hAnsi="宋体"/>
        </w:rPr>
      </w:pPr>
      <w:r>
        <w:rPr>
          <w:rFonts w:hint="eastAsia" w:ascii="宋体" w:hAnsi="宋体"/>
        </w:rPr>
        <w:t>本基金债券投资组合将着重考虑基金的流动性管理及策略性投资的需要进行配置。债券投资的目的是保证基金资产流动性，有效利用基金资产，提高基金资产的投资收益。</w:t>
      </w:r>
    </w:p>
    <w:p>
      <w:pPr>
        <w:adjustRightInd w:val="0"/>
        <w:snapToGrid w:val="0"/>
        <w:spacing w:line="360" w:lineRule="auto"/>
        <w:ind w:firstLine="420" w:firstLineChars="200"/>
        <w:rPr>
          <w:rFonts w:ascii="宋体" w:hAnsi="宋体"/>
        </w:rPr>
      </w:pPr>
      <w:r>
        <w:rPr>
          <w:rFonts w:hint="eastAsia" w:ascii="宋体" w:hAnsi="宋体"/>
        </w:rPr>
        <w:t>3、资产支持证券的投资策略</w:t>
      </w:r>
    </w:p>
    <w:p>
      <w:pPr>
        <w:adjustRightInd w:val="0"/>
        <w:snapToGrid w:val="0"/>
        <w:spacing w:line="360" w:lineRule="auto"/>
        <w:ind w:firstLine="420" w:firstLineChars="200"/>
        <w:rPr>
          <w:rFonts w:ascii="宋体" w:hAnsi="宋体"/>
        </w:rPr>
      </w:pPr>
      <w:r>
        <w:rPr>
          <w:rFonts w:hint="eastAsia" w:ascii="宋体" w:hAnsi="宋体"/>
        </w:rPr>
        <w:t>本基金投资资产支持证券将综合运用战略资产配置和战术资产配置进行资产支持证券投资组合管理，并根据信用风险、利率风险和流动性风险变化积极调整投资策略，严格遵守法律法规和基金合同，在力争本金安全和基金资产流动性基础上获得长期稳定收益。</w:t>
      </w:r>
    </w:p>
    <w:p>
      <w:pPr>
        <w:adjustRightInd w:val="0"/>
        <w:snapToGrid w:val="0"/>
        <w:spacing w:line="360" w:lineRule="auto"/>
        <w:ind w:firstLine="420" w:firstLineChars="200"/>
        <w:rPr>
          <w:rFonts w:ascii="宋体" w:hAnsi="宋体"/>
        </w:rPr>
      </w:pPr>
      <w:r>
        <w:rPr>
          <w:rFonts w:hint="eastAsia" w:ascii="宋体" w:hAnsi="宋体"/>
        </w:rPr>
        <w:t>4、可转换债券和可交换债券投资策略</w:t>
      </w:r>
    </w:p>
    <w:p>
      <w:pPr>
        <w:adjustRightInd w:val="0"/>
        <w:snapToGrid w:val="0"/>
        <w:spacing w:line="360" w:lineRule="auto"/>
        <w:ind w:firstLine="420" w:firstLineChars="200"/>
        <w:rPr>
          <w:rFonts w:ascii="宋体" w:hAnsi="宋体"/>
        </w:rPr>
      </w:pPr>
      <w:r>
        <w:rPr>
          <w:rFonts w:hint="eastAsia" w:ascii="宋体" w:hAnsi="宋体"/>
        </w:rPr>
        <w:t>在分析宏观经济运行特征并对各类市场大势做出判断的前提下，本基金着重对可转换债券所对应的基础股票进行分析和研究，从行业选择和个券选择两方面进行全方位的评估，对盈利能力或成长性较好的行业和上市公司的可转换债券进行重点关注，并结合基金管理人可转债评级系统对可转换债券投资价值进行有效的评估，选择投资价值较高的个券进行投资。</w:t>
      </w:r>
    </w:p>
    <w:p>
      <w:pPr>
        <w:adjustRightInd w:val="0"/>
        <w:snapToGrid w:val="0"/>
        <w:spacing w:line="360" w:lineRule="auto"/>
        <w:ind w:firstLine="420" w:firstLineChars="200"/>
        <w:rPr>
          <w:rFonts w:ascii="宋体" w:hAnsi="宋体"/>
        </w:rPr>
      </w:pPr>
      <w:r>
        <w:rPr>
          <w:rFonts w:hint="eastAsia" w:ascii="宋体" w:hAnsi="宋体"/>
        </w:rPr>
        <w:t>可交换债券在换股期间用于交换的股票是发行人持有的其他上市公司(以下简称“目标公司”)的股票。可交换债券同样兼具股票和债券的特性。其中，债券特性与可转换债券相同，指持有至到期获取的票面利息和票面价值。股票特性则指目标公司的成长能力、盈利能力及目标公司股票价格的成长性等。本基金将通过对可交换债券的纯债价值和目标公司的股票价值进行研究分析，综合开展投资决策。</w:t>
      </w:r>
    </w:p>
    <w:p>
      <w:pPr>
        <w:adjustRightInd w:val="0"/>
        <w:snapToGrid w:val="0"/>
        <w:spacing w:line="360" w:lineRule="auto"/>
        <w:ind w:firstLine="420" w:firstLineChars="200"/>
        <w:rPr>
          <w:rFonts w:ascii="宋体" w:hAnsi="宋体"/>
        </w:rPr>
      </w:pPr>
      <w:r>
        <w:rPr>
          <w:rFonts w:hint="eastAsia" w:ascii="宋体" w:hAnsi="宋体"/>
        </w:rPr>
        <w:t>5、衍生品投资/交易策略</w:t>
      </w:r>
    </w:p>
    <w:p>
      <w:pPr>
        <w:adjustRightInd w:val="0"/>
        <w:snapToGrid w:val="0"/>
        <w:spacing w:line="360" w:lineRule="auto"/>
        <w:ind w:firstLine="420" w:firstLineChars="200"/>
        <w:rPr>
          <w:rFonts w:ascii="宋体" w:hAnsi="宋体"/>
        </w:rPr>
      </w:pPr>
      <w:r>
        <w:rPr>
          <w:rFonts w:hint="eastAsia" w:ascii="宋体" w:hAnsi="宋体"/>
        </w:rPr>
        <w:t>（1）股指期货、国债期货交易策略</w:t>
      </w:r>
    </w:p>
    <w:p>
      <w:pPr>
        <w:adjustRightInd w:val="0"/>
        <w:snapToGrid w:val="0"/>
        <w:spacing w:line="360" w:lineRule="auto"/>
        <w:ind w:firstLine="420" w:firstLineChars="200"/>
        <w:rPr>
          <w:rFonts w:ascii="宋体" w:hAnsi="宋体"/>
        </w:rPr>
      </w:pPr>
      <w:r>
        <w:rPr>
          <w:rFonts w:hint="eastAsia" w:ascii="宋体" w:hAnsi="宋体"/>
        </w:rPr>
        <w:t>本基金参与股指期货交易将根据风险管理的原则，以套期保值为目的，力争利用股指期货的杠杆作用，降低股票仓位频繁调整的交易成本和跟踪误差，达到有效跟踪标的指数的目的。</w:t>
      </w:r>
    </w:p>
    <w:p>
      <w:pPr>
        <w:adjustRightInd w:val="0"/>
        <w:snapToGrid w:val="0"/>
        <w:spacing w:line="360" w:lineRule="auto"/>
        <w:ind w:firstLine="420" w:firstLineChars="200"/>
        <w:rPr>
          <w:rFonts w:ascii="宋体" w:hAnsi="宋体"/>
        </w:rPr>
      </w:pPr>
      <w:r>
        <w:rPr>
          <w:rFonts w:hint="eastAsia" w:ascii="宋体" w:hAnsi="宋体"/>
        </w:rPr>
        <w:t>本基金将根据风险管理的原则，以套期保值为目的，在风险可控的前提下，本着谨慎原则，参与国债期货的交易，改善组合的风险收益特性。</w:t>
      </w:r>
    </w:p>
    <w:p>
      <w:pPr>
        <w:adjustRightInd w:val="0"/>
        <w:snapToGrid w:val="0"/>
        <w:spacing w:line="360" w:lineRule="auto"/>
        <w:ind w:firstLine="420" w:firstLineChars="200"/>
        <w:rPr>
          <w:rFonts w:ascii="宋体" w:hAnsi="宋体"/>
        </w:rPr>
      </w:pPr>
      <w:r>
        <w:rPr>
          <w:rFonts w:hint="eastAsia" w:ascii="宋体" w:hAnsi="宋体"/>
        </w:rPr>
        <w:t>（2）股票期权投资策略</w:t>
      </w:r>
    </w:p>
    <w:p>
      <w:pPr>
        <w:adjustRightInd w:val="0"/>
        <w:snapToGrid w:val="0"/>
        <w:spacing w:line="360" w:lineRule="auto"/>
        <w:ind w:firstLine="420" w:firstLineChars="200"/>
        <w:rPr>
          <w:rFonts w:ascii="宋体" w:hAnsi="宋体"/>
        </w:rPr>
      </w:pPr>
      <w:r>
        <w:rPr>
          <w:rFonts w:hint="eastAsia" w:ascii="宋体" w:hAnsi="宋体"/>
        </w:rPr>
        <w:t>本基金将按照风险管理的原则，以套期保值为主要目的参与股票期权交易。本基金将结合投资目标、比例限制、风险收益特征以及法律法规的相关限定和要求，确定参与股票期权交易的投资时机和投资比例。</w:t>
      </w:r>
    </w:p>
    <w:p>
      <w:pPr>
        <w:adjustRightInd w:val="0"/>
        <w:snapToGrid w:val="0"/>
        <w:spacing w:line="360" w:lineRule="auto"/>
        <w:ind w:firstLine="420" w:firstLineChars="200"/>
        <w:rPr>
          <w:rFonts w:ascii="宋体" w:hAnsi="宋体"/>
        </w:rPr>
      </w:pPr>
      <w:r>
        <w:rPr>
          <w:rFonts w:hint="eastAsia" w:ascii="宋体" w:hAnsi="宋体"/>
        </w:rPr>
        <w:t>6、融资及转融通证券出借业务投资策略</w:t>
      </w:r>
    </w:p>
    <w:p>
      <w:pPr>
        <w:adjustRightInd w:val="0"/>
        <w:snapToGrid w:val="0"/>
        <w:spacing w:line="360" w:lineRule="auto"/>
        <w:ind w:firstLine="420" w:firstLineChars="200"/>
        <w:rPr>
          <w:rFonts w:ascii="宋体" w:hAnsi="宋体"/>
        </w:rPr>
      </w:pPr>
      <w:r>
        <w:rPr>
          <w:rFonts w:hint="eastAsia" w:ascii="宋体" w:hAnsi="宋体"/>
        </w:rPr>
        <w:t>本基金将在充分考虑风险和收益特征的基础上，审慎参与融资及转融通证券出借业务。本基金将基于对市场行情和组合风险收益的分析，确定投资时机、标的证券以及投资比例。本基金将根据市场情况、投资者类型和结构、本基金的历史申赎情况、出借证券流动性情况等因素，合理确定出借证券的范围和品类。若相关融资及转融通证券出借业务法律法规发生变化，本基金将从其最新规定，以符合上述法律法规和监管要求的变化。未来在法律法规允许的前提下，本基金将依据法律法规的相关规定参与融券业务。</w:t>
      </w:r>
    </w:p>
    <w:p>
      <w:pPr>
        <w:adjustRightInd w:val="0"/>
        <w:snapToGrid w:val="0"/>
        <w:spacing w:line="360" w:lineRule="auto"/>
        <w:ind w:firstLine="420" w:firstLineChars="200"/>
        <w:rPr>
          <w:rFonts w:ascii="宋体" w:hAnsi="宋体"/>
        </w:rPr>
      </w:pPr>
      <w:r>
        <w:rPr>
          <w:rFonts w:hint="eastAsia" w:ascii="宋体" w:hAnsi="宋体"/>
        </w:rPr>
        <w:t>7、存托凭证投资策略</w:t>
      </w:r>
    </w:p>
    <w:p>
      <w:pPr>
        <w:adjustRightInd w:val="0"/>
        <w:snapToGrid w:val="0"/>
        <w:spacing w:line="360" w:lineRule="auto"/>
        <w:ind w:firstLine="420" w:firstLineChars="200"/>
        <w:rPr>
          <w:rFonts w:ascii="宋体" w:hAnsi="宋体"/>
        </w:rPr>
      </w:pPr>
      <w:r>
        <w:rPr>
          <w:rFonts w:hint="eastAsia" w:ascii="宋体" w:hAnsi="宋体"/>
        </w:rPr>
        <w:t>本基金将根据本基金的投资目标，基于对基础证券投资价值的深入研究判断，进行存托凭证的投资。</w:t>
      </w:r>
    </w:p>
    <w:p>
      <w:pPr>
        <w:adjustRightInd w:val="0"/>
        <w:snapToGrid w:val="0"/>
        <w:spacing w:line="360" w:lineRule="auto"/>
        <w:ind w:firstLine="420" w:firstLineChars="200"/>
        <w:rPr>
          <w:rFonts w:ascii="宋体" w:hAnsi="宋体"/>
        </w:rPr>
      </w:pPr>
      <w:r>
        <w:rPr>
          <w:rFonts w:hint="eastAsia" w:ascii="宋体" w:hAnsi="宋体"/>
        </w:rPr>
        <w:t>未来，随着投资工具的发展和丰富，本基金可在不改变投资目标的前提下，相应调整和更新相关投资策略，并在更新的招募说明书中公告。</w:t>
      </w:r>
    </w:p>
    <w:p>
      <w:pPr>
        <w:pStyle w:val="163"/>
        <w:ind w:firstLine="422"/>
        <w:rPr>
          <w:b/>
        </w:rPr>
      </w:pPr>
      <w:r>
        <w:rPr>
          <w:rFonts w:hint="eastAsia"/>
          <w:b/>
        </w:rPr>
        <w:t>四</w:t>
      </w:r>
      <w:r>
        <w:rPr>
          <w:b/>
        </w:rPr>
        <w:t>、投资限制</w:t>
      </w:r>
    </w:p>
    <w:p>
      <w:pPr>
        <w:pStyle w:val="163"/>
        <w:rPr>
          <w:rFonts w:asciiTheme="minorEastAsia" w:hAnsiTheme="minorEastAsia" w:eastAsiaTheme="minorEastAsia"/>
        </w:rPr>
      </w:pPr>
      <w:r>
        <w:rPr>
          <w:rFonts w:hint="eastAsia" w:asciiTheme="minorEastAsia" w:hAnsiTheme="minorEastAsia" w:eastAsiaTheme="minorEastAsia"/>
        </w:rPr>
        <w:t>1、组合限制</w:t>
      </w:r>
    </w:p>
    <w:p>
      <w:pPr>
        <w:pStyle w:val="163"/>
        <w:rPr>
          <w:rFonts w:asciiTheme="minorEastAsia" w:hAnsiTheme="minorEastAsia" w:eastAsiaTheme="minorEastAsia"/>
        </w:rPr>
      </w:pPr>
      <w:r>
        <w:rPr>
          <w:rFonts w:hint="eastAsia" w:asciiTheme="minorEastAsia" w:hAnsiTheme="minorEastAsia" w:eastAsiaTheme="minorEastAsia"/>
        </w:rPr>
        <w:t>基金的投资组合应遵循以下限制：</w:t>
      </w:r>
    </w:p>
    <w:p>
      <w:pPr>
        <w:pStyle w:val="163"/>
        <w:rPr>
          <w:rFonts w:asciiTheme="minorEastAsia" w:hAnsiTheme="minorEastAsia" w:eastAsiaTheme="minorEastAsia"/>
        </w:rPr>
      </w:pPr>
      <w:r>
        <w:rPr>
          <w:rFonts w:hint="eastAsia" w:asciiTheme="minorEastAsia" w:hAnsiTheme="minorEastAsia" w:eastAsiaTheme="minorEastAsia"/>
        </w:rPr>
        <w:t>（1）本基金的股票资产投资比例不低于基金资产的90%，其中投资于标的指数成份股和备选成份股的资产不低于非现金基金资产的80%；</w:t>
      </w:r>
    </w:p>
    <w:p>
      <w:pPr>
        <w:pStyle w:val="163"/>
        <w:rPr>
          <w:rFonts w:asciiTheme="minorEastAsia" w:hAnsiTheme="minorEastAsia" w:eastAsiaTheme="minorEastAsia"/>
        </w:rPr>
      </w:pPr>
      <w:r>
        <w:rPr>
          <w:rFonts w:hint="eastAsia" w:asciiTheme="minorEastAsia" w:hAnsiTheme="minorEastAsia" w:eastAsiaTheme="minorEastAsia"/>
        </w:rPr>
        <w:t>（2）每个交易日日终在扣除股指期货、股票期权和国债期货合约需缴纳的交易保证金后，保持不低于基金资产净值5%的现金或者到期日在一年以内的政府债券，其中现金不包括结算备付金、存出保证金和应收申购款等；</w:t>
      </w:r>
    </w:p>
    <w:p>
      <w:pPr>
        <w:pStyle w:val="163"/>
        <w:rPr>
          <w:rFonts w:asciiTheme="minorEastAsia" w:hAnsiTheme="minorEastAsia" w:eastAsiaTheme="minorEastAsia"/>
        </w:rPr>
      </w:pPr>
      <w:r>
        <w:rPr>
          <w:rFonts w:hint="eastAsia" w:asciiTheme="minorEastAsia" w:hAnsiTheme="minorEastAsia" w:eastAsiaTheme="minorEastAsia"/>
        </w:rPr>
        <w:t>（3）本基金持有一家公司发行的证券，其市值不超过基金资产净值的10%，但完全按照标的指数的构成比例进行投资的部分不受此限制；</w:t>
      </w:r>
    </w:p>
    <w:p>
      <w:pPr>
        <w:pStyle w:val="163"/>
        <w:rPr>
          <w:rFonts w:asciiTheme="minorEastAsia" w:hAnsiTheme="minorEastAsia" w:eastAsiaTheme="minorEastAsia"/>
        </w:rPr>
      </w:pPr>
      <w:r>
        <w:rPr>
          <w:rFonts w:hint="eastAsia" w:asciiTheme="minorEastAsia" w:hAnsiTheme="minorEastAsia" w:eastAsiaTheme="minorEastAsia"/>
        </w:rPr>
        <w:t>（4）本基金管理人管理的全部基金持有一家公司发行的证券，不超过该证券的10%，但完全按照标的指数的构成比例进行投资的部分不受此限制；</w:t>
      </w:r>
    </w:p>
    <w:p>
      <w:pPr>
        <w:pStyle w:val="163"/>
        <w:rPr>
          <w:rFonts w:asciiTheme="minorEastAsia" w:hAnsiTheme="minorEastAsia" w:eastAsiaTheme="minorEastAsia"/>
        </w:rPr>
      </w:pPr>
      <w:r>
        <w:rPr>
          <w:rFonts w:hint="eastAsia" w:asciiTheme="minorEastAsia" w:hAnsiTheme="minorEastAsia" w:eastAsiaTheme="minorEastAsia"/>
        </w:rPr>
        <w:t>（5）本基金资产总值不得超过基金资产净值的140%；</w:t>
      </w:r>
    </w:p>
    <w:p>
      <w:pPr>
        <w:pStyle w:val="163"/>
        <w:rPr>
          <w:rFonts w:asciiTheme="minorEastAsia" w:hAnsiTheme="minorEastAsia" w:eastAsiaTheme="minorEastAsia"/>
        </w:rPr>
      </w:pPr>
      <w:r>
        <w:rPr>
          <w:rFonts w:hint="eastAsia" w:asciiTheme="minorEastAsia" w:hAnsiTheme="minorEastAsia" w:eastAsiaTheme="minorEastAsia"/>
        </w:rPr>
        <w:t>（6）本基金投资于同一原始权益人的各类资产支持证券的比例，不得超过基金资产净值的10%；</w:t>
      </w:r>
    </w:p>
    <w:p>
      <w:pPr>
        <w:pStyle w:val="163"/>
        <w:rPr>
          <w:rFonts w:asciiTheme="minorEastAsia" w:hAnsiTheme="minorEastAsia" w:eastAsiaTheme="minorEastAsia"/>
        </w:rPr>
      </w:pPr>
      <w:r>
        <w:rPr>
          <w:rFonts w:hint="eastAsia" w:asciiTheme="minorEastAsia" w:hAnsiTheme="minorEastAsia" w:eastAsiaTheme="minorEastAsia"/>
        </w:rPr>
        <w:t>（7）本基金持有的全部资产支持证券，其市值不得超过基金资产净值的20%；</w:t>
      </w:r>
    </w:p>
    <w:p>
      <w:pPr>
        <w:pStyle w:val="163"/>
        <w:rPr>
          <w:rFonts w:asciiTheme="minorEastAsia" w:hAnsiTheme="minorEastAsia" w:eastAsiaTheme="minorEastAsia"/>
        </w:rPr>
      </w:pPr>
      <w:r>
        <w:rPr>
          <w:rFonts w:hint="eastAsia" w:asciiTheme="minorEastAsia" w:hAnsiTheme="minorEastAsia" w:eastAsiaTheme="minorEastAsia"/>
        </w:rPr>
        <w:t>（8）本基金持有的同一(指同一信用级别)资产支持证券的比例，不得超过该资产支持证券规模的10%；</w:t>
      </w:r>
    </w:p>
    <w:p>
      <w:pPr>
        <w:pStyle w:val="163"/>
        <w:rPr>
          <w:rFonts w:asciiTheme="minorEastAsia" w:hAnsiTheme="minorEastAsia" w:eastAsiaTheme="minorEastAsia"/>
        </w:rPr>
      </w:pPr>
      <w:r>
        <w:rPr>
          <w:rFonts w:hint="eastAsia" w:asciiTheme="minorEastAsia" w:hAnsiTheme="minorEastAsia" w:eastAsiaTheme="minorEastAsia"/>
        </w:rPr>
        <w:t>（9）本基金管理人管理的全部基金投资于同一原始权益人的各类资产支持证券，不得超过其各类资产支持证券合计规模的10%；</w:t>
      </w:r>
    </w:p>
    <w:p>
      <w:pPr>
        <w:pStyle w:val="163"/>
        <w:rPr>
          <w:rFonts w:asciiTheme="minorEastAsia" w:hAnsiTheme="minorEastAsia" w:eastAsiaTheme="minorEastAsia"/>
        </w:rPr>
      </w:pPr>
      <w:r>
        <w:rPr>
          <w:rFonts w:hint="eastAsia" w:asciiTheme="minorEastAsia" w:hAnsiTheme="minorEastAsia" w:eastAsiaTheme="minorEastAsia"/>
        </w:rPr>
        <w:t>（10）本基金应投资于信用级别评级为BBB以上(含BBB)的资产支持证券。基金持有资产支持证券期间，如果其信用等级下降、不再符合投资标准，应在评级报告发布之日起3个月内予以全部卖出；</w:t>
      </w:r>
    </w:p>
    <w:p>
      <w:pPr>
        <w:pStyle w:val="163"/>
        <w:rPr>
          <w:rFonts w:asciiTheme="minorEastAsia" w:hAnsiTheme="minorEastAsia" w:eastAsiaTheme="minorEastAsia"/>
        </w:rPr>
      </w:pPr>
      <w:r>
        <w:rPr>
          <w:rFonts w:hint="eastAsia" w:asciiTheme="minorEastAsia" w:hAnsiTheme="minorEastAsia" w:eastAsiaTheme="minorEastAsia"/>
        </w:rPr>
        <w:t>（11）基金财产参与股票发行申购，本基金所申报的金额不超过本基金的总资产，本基金所申报的股票数量不超过拟发行股票公司本次发行股票的总量；</w:t>
      </w:r>
    </w:p>
    <w:p>
      <w:pPr>
        <w:pStyle w:val="163"/>
        <w:rPr>
          <w:rFonts w:asciiTheme="minorEastAsia" w:hAnsiTheme="minorEastAsia" w:eastAsiaTheme="minorEastAsia"/>
        </w:rPr>
      </w:pPr>
      <w:r>
        <w:rPr>
          <w:rFonts w:hint="eastAsia" w:asciiTheme="minorEastAsia" w:hAnsiTheme="minorEastAsia" w:eastAsiaTheme="minorEastAsia"/>
        </w:rPr>
        <w:t>（12）本基金参与融资的，在任何交易日日终，本基金融资买入股票与其他有价证券市值之和，不得超过基金资产净值的95%；</w:t>
      </w:r>
    </w:p>
    <w:p>
      <w:pPr>
        <w:pStyle w:val="163"/>
        <w:rPr>
          <w:rFonts w:asciiTheme="minorEastAsia" w:hAnsiTheme="minorEastAsia" w:eastAsiaTheme="minorEastAsia"/>
        </w:rPr>
      </w:pPr>
      <w:r>
        <w:rPr>
          <w:rFonts w:hint="eastAsia" w:asciiTheme="minorEastAsia" w:hAnsiTheme="minorEastAsia" w:eastAsiaTheme="minorEastAsia"/>
        </w:rPr>
        <w:t>（13）本基金投资于股指期货和国债期货，还应遵循如下投资组合限制：</w:t>
      </w:r>
    </w:p>
    <w:p>
      <w:pPr>
        <w:pStyle w:val="163"/>
        <w:rPr>
          <w:rFonts w:asciiTheme="minorEastAsia" w:hAnsiTheme="minorEastAsia" w:eastAsiaTheme="minorEastAsia"/>
        </w:rPr>
      </w:pPr>
      <w:r>
        <w:rPr>
          <w:rFonts w:hint="eastAsia" w:asciiTheme="minorEastAsia" w:hAnsiTheme="minorEastAsia" w:eastAsiaTheme="minorEastAsia"/>
        </w:rPr>
        <w:t>1）在任何交易日日终，本基金持有的买入股指期货合约价值不超过基金资产净值的10%；在任何交易日日终，持有的买入国债期货合约价值，不得超过基金资产净值15%；</w:t>
      </w:r>
    </w:p>
    <w:p>
      <w:pPr>
        <w:pStyle w:val="163"/>
        <w:rPr>
          <w:rFonts w:asciiTheme="minorEastAsia" w:hAnsiTheme="minorEastAsia" w:eastAsiaTheme="minorEastAsia"/>
        </w:rPr>
      </w:pPr>
      <w:r>
        <w:rPr>
          <w:rFonts w:hint="eastAsia" w:asciiTheme="minorEastAsia" w:hAnsiTheme="minorEastAsia" w:eastAsiaTheme="minorEastAsia"/>
        </w:rPr>
        <w:t>2）在任何交易日日终，持有的卖出股指期货合约价值不超过基金持有的股票总市值的20%；在任何交易日日终，持有的卖出国债期货合约价值不得超过基金持有的债券总市值的30%；</w:t>
      </w:r>
    </w:p>
    <w:p>
      <w:pPr>
        <w:pStyle w:val="163"/>
        <w:rPr>
          <w:rFonts w:asciiTheme="minorEastAsia" w:hAnsiTheme="minorEastAsia" w:eastAsiaTheme="minorEastAsia"/>
        </w:rPr>
      </w:pPr>
      <w:r>
        <w:rPr>
          <w:rFonts w:hint="eastAsia" w:asciiTheme="minorEastAsia" w:hAnsiTheme="minorEastAsia" w:eastAsiaTheme="minorEastAsia"/>
        </w:rPr>
        <w:t>3）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pPr>
        <w:pStyle w:val="163"/>
        <w:rPr>
          <w:rFonts w:asciiTheme="minorEastAsia" w:hAnsiTheme="minorEastAsia" w:eastAsiaTheme="minorEastAsia"/>
        </w:rPr>
      </w:pPr>
      <w:r>
        <w:rPr>
          <w:rFonts w:hint="eastAsia" w:asciiTheme="minorEastAsia" w:hAnsiTheme="minorEastAsia" w:eastAsiaTheme="minorEastAsia"/>
        </w:rPr>
        <w:t>4）本基金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pPr>
        <w:pStyle w:val="163"/>
        <w:rPr>
          <w:rFonts w:asciiTheme="minorEastAsia" w:hAnsiTheme="minorEastAsia" w:eastAsiaTheme="minorEastAsia"/>
        </w:rPr>
      </w:pPr>
      <w:r>
        <w:rPr>
          <w:rFonts w:hint="eastAsia" w:asciiTheme="minorEastAsia" w:hAnsiTheme="minorEastAsia" w:eastAsiaTheme="minorEastAsia"/>
        </w:rPr>
        <w:t>5）本基金在任何交易日内交易（不包括平仓）的股指期货合约的成交金额不得超过上一交易日基金资产净值的20%；在任何交易日内交易（不包括平仓）的国债期货合约的成交金额不得超过上一交易日基金资产净值的30%；</w:t>
      </w:r>
    </w:p>
    <w:p>
      <w:pPr>
        <w:pStyle w:val="163"/>
        <w:rPr>
          <w:rFonts w:asciiTheme="minorEastAsia" w:hAnsiTheme="minorEastAsia" w:eastAsiaTheme="minorEastAsia"/>
        </w:rPr>
      </w:pPr>
      <w:r>
        <w:rPr>
          <w:rFonts w:hint="eastAsia" w:asciiTheme="minorEastAsia" w:hAnsiTheme="minorEastAsia" w:eastAsiaTheme="minorEastAsia"/>
        </w:rPr>
        <w:t>（14）本基金投资于股票期权，还应遵循如下投资组合限制：</w:t>
      </w:r>
    </w:p>
    <w:p>
      <w:pPr>
        <w:pStyle w:val="163"/>
        <w:rPr>
          <w:rFonts w:asciiTheme="minorEastAsia" w:hAnsiTheme="minorEastAsia" w:eastAsiaTheme="minorEastAsia"/>
        </w:rPr>
      </w:pPr>
      <w:r>
        <w:rPr>
          <w:rFonts w:hint="eastAsia" w:asciiTheme="minorEastAsia" w:hAnsiTheme="minorEastAsia" w:eastAsiaTheme="minorEastAsia"/>
        </w:rPr>
        <w:t>1）因未平仓的期权合约支付和收取的权利金总额不得超过基金资产净值的10%；</w:t>
      </w:r>
    </w:p>
    <w:p>
      <w:pPr>
        <w:pStyle w:val="163"/>
        <w:rPr>
          <w:rFonts w:asciiTheme="minorEastAsia" w:hAnsiTheme="minorEastAsia" w:eastAsiaTheme="minorEastAsia"/>
        </w:rPr>
      </w:pPr>
      <w:r>
        <w:rPr>
          <w:rFonts w:hint="eastAsia" w:asciiTheme="minorEastAsia" w:hAnsiTheme="minorEastAsia" w:eastAsiaTheme="minorEastAsia"/>
        </w:rPr>
        <w:t>2）开仓卖出认购期权的，应持有足额标的证券；开仓卖出认沽期权的，应持有合约行权所需的全额现金或交易所规则认可的可冲抵期权保证金的现金等价物；</w:t>
      </w:r>
    </w:p>
    <w:p>
      <w:pPr>
        <w:pStyle w:val="163"/>
        <w:rPr>
          <w:rFonts w:asciiTheme="minorEastAsia" w:hAnsiTheme="minorEastAsia" w:eastAsiaTheme="minorEastAsia"/>
        </w:rPr>
      </w:pPr>
      <w:r>
        <w:rPr>
          <w:rFonts w:hint="eastAsia" w:asciiTheme="minorEastAsia" w:hAnsiTheme="minorEastAsia" w:eastAsiaTheme="minorEastAsia"/>
        </w:rPr>
        <w:t>3）未平仓的期权合约面值不得超过基金资产净值的20%。其中，合约面值按照行权价乘以合约乘数计算；</w:t>
      </w:r>
    </w:p>
    <w:p>
      <w:pPr>
        <w:pStyle w:val="163"/>
        <w:rPr>
          <w:rFonts w:asciiTheme="minorEastAsia" w:hAnsiTheme="minorEastAsia" w:eastAsiaTheme="minorEastAsia"/>
        </w:rPr>
      </w:pPr>
      <w:r>
        <w:rPr>
          <w:rFonts w:hint="eastAsia" w:asciiTheme="minorEastAsia" w:hAnsiTheme="minorEastAsia" w:eastAsiaTheme="minorEastAsia"/>
        </w:rPr>
        <w:t>（15）本基金参与转融通证券出借业务，需遵守下列投资限制：</w:t>
      </w:r>
    </w:p>
    <w:p>
      <w:pPr>
        <w:pStyle w:val="163"/>
        <w:rPr>
          <w:rFonts w:asciiTheme="minorEastAsia" w:hAnsiTheme="minorEastAsia" w:eastAsiaTheme="minorEastAsia"/>
        </w:rPr>
      </w:pPr>
      <w:r>
        <w:rPr>
          <w:rFonts w:hint="eastAsia" w:asciiTheme="minorEastAsia" w:hAnsiTheme="minorEastAsia" w:eastAsiaTheme="minorEastAsia"/>
        </w:rPr>
        <w:t>1）出借证券资产不得超过基金资产净值的30%，出借期限在10 个交易日以上的出借证券应纳入《流动性风险管理规定》所述流动性受限证券的范围；</w:t>
      </w:r>
    </w:p>
    <w:p>
      <w:pPr>
        <w:pStyle w:val="163"/>
        <w:rPr>
          <w:rFonts w:asciiTheme="minorEastAsia" w:hAnsiTheme="minorEastAsia" w:eastAsiaTheme="minorEastAsia"/>
        </w:rPr>
      </w:pPr>
      <w:r>
        <w:rPr>
          <w:rFonts w:hint="eastAsia" w:asciiTheme="minorEastAsia" w:hAnsiTheme="minorEastAsia" w:eastAsiaTheme="minorEastAsia"/>
        </w:rPr>
        <w:t>2）参与出借业务的单只证券不得超过本基金持有该证券总量的50%；</w:t>
      </w:r>
    </w:p>
    <w:p>
      <w:pPr>
        <w:pStyle w:val="163"/>
        <w:rPr>
          <w:rFonts w:asciiTheme="minorEastAsia" w:hAnsiTheme="minorEastAsia" w:eastAsiaTheme="minorEastAsia"/>
        </w:rPr>
      </w:pPr>
      <w:r>
        <w:rPr>
          <w:rFonts w:hint="eastAsia" w:asciiTheme="minorEastAsia" w:hAnsiTheme="minorEastAsia" w:eastAsiaTheme="minorEastAsia"/>
        </w:rPr>
        <w:t>3）最近6个月内日均基金资产净值不得低于2亿元；</w:t>
      </w:r>
    </w:p>
    <w:p>
      <w:pPr>
        <w:pStyle w:val="163"/>
        <w:rPr>
          <w:rFonts w:asciiTheme="minorEastAsia" w:hAnsiTheme="minorEastAsia" w:eastAsiaTheme="minorEastAsia"/>
        </w:rPr>
      </w:pPr>
      <w:r>
        <w:rPr>
          <w:rFonts w:hint="eastAsia" w:asciiTheme="minorEastAsia" w:hAnsiTheme="minorEastAsia" w:eastAsiaTheme="minorEastAsia"/>
        </w:rPr>
        <w:t>4）证券出借的平均剩余期限不得超过30天，平均剩余期限按照市值加权平均计算；</w:t>
      </w:r>
    </w:p>
    <w:p>
      <w:pPr>
        <w:pStyle w:val="163"/>
        <w:rPr>
          <w:rFonts w:asciiTheme="minorEastAsia" w:hAnsiTheme="minorEastAsia" w:eastAsiaTheme="minorEastAsia"/>
        </w:rPr>
      </w:pPr>
      <w:r>
        <w:rPr>
          <w:rFonts w:hint="eastAsia" w:asciiTheme="minorEastAsia" w:hAnsiTheme="minorEastAsia" w:eastAsiaTheme="minorEastAsia"/>
        </w:rPr>
        <w:t>因证券市场波动、上市公司合并、基金规模变动等基金管理人之外的因素致使基金投资不符合上述规定的，基金管理人不得新增出借业务；</w:t>
      </w:r>
    </w:p>
    <w:p>
      <w:pPr>
        <w:pStyle w:val="163"/>
        <w:rPr>
          <w:rFonts w:asciiTheme="minorEastAsia" w:hAnsiTheme="minorEastAsia" w:eastAsiaTheme="minorEastAsia"/>
        </w:rPr>
      </w:pPr>
      <w:r>
        <w:rPr>
          <w:rFonts w:hint="eastAsia" w:asciiTheme="minorEastAsia" w:hAnsiTheme="minorEastAsia" w:eastAsiaTheme="minorEastAsia"/>
        </w:rPr>
        <w:t>（16）本基金主动投资于流动性受限资产的市值合计不得超过本基金资产净值的15%；</w:t>
      </w:r>
    </w:p>
    <w:p>
      <w:pPr>
        <w:pStyle w:val="163"/>
        <w:rPr>
          <w:rFonts w:asciiTheme="minorEastAsia" w:hAnsiTheme="minorEastAsia" w:eastAsiaTheme="minorEastAsia"/>
        </w:rPr>
      </w:pPr>
      <w:r>
        <w:rPr>
          <w:rFonts w:hint="eastAsia" w:asciiTheme="minorEastAsia" w:hAnsiTheme="minorEastAsia" w:eastAsiaTheme="minorEastAsia"/>
        </w:rPr>
        <w:t>因证券市场波动、上市公司股票停牌、基金规模变动等基金管理人之外的因素致使基金不符合该比例限制的，基金管理人不得主动新增流动性受限资产的投资；</w:t>
      </w:r>
    </w:p>
    <w:p>
      <w:pPr>
        <w:pStyle w:val="163"/>
        <w:rPr>
          <w:rFonts w:asciiTheme="minorEastAsia" w:hAnsiTheme="minorEastAsia" w:eastAsiaTheme="minorEastAsia"/>
        </w:rPr>
      </w:pPr>
      <w:r>
        <w:rPr>
          <w:rFonts w:hint="eastAsia" w:asciiTheme="minorEastAsia" w:hAnsiTheme="minorEastAsia" w:eastAsiaTheme="minorEastAsia"/>
        </w:rPr>
        <w:t>（17）本基金与私募类证券资管产品及中国证监会认定的其他主体为交易对手开展逆回购交易的，可接受质押品的资质要求应当与基金合同约定的投资范围保持一致；</w:t>
      </w:r>
    </w:p>
    <w:p>
      <w:pPr>
        <w:pStyle w:val="163"/>
        <w:rPr>
          <w:rFonts w:asciiTheme="minorEastAsia" w:hAnsiTheme="minorEastAsia" w:eastAsiaTheme="minorEastAsia"/>
        </w:rPr>
      </w:pPr>
      <w:r>
        <w:rPr>
          <w:rFonts w:hint="eastAsia" w:asciiTheme="minorEastAsia" w:hAnsiTheme="minorEastAsia" w:eastAsiaTheme="minorEastAsia"/>
        </w:rPr>
        <w:t>（18）本基金投资存托凭证的比例限制依照境内上市交易的股票执行，与境内上市交易的股票合并计算；</w:t>
      </w:r>
    </w:p>
    <w:p>
      <w:pPr>
        <w:pStyle w:val="163"/>
        <w:rPr>
          <w:rFonts w:asciiTheme="minorEastAsia" w:hAnsiTheme="minorEastAsia" w:eastAsiaTheme="minorEastAsia"/>
        </w:rPr>
      </w:pPr>
      <w:r>
        <w:rPr>
          <w:rFonts w:hint="eastAsia" w:asciiTheme="minorEastAsia" w:hAnsiTheme="minorEastAsia" w:eastAsiaTheme="minorEastAsia"/>
        </w:rPr>
        <w:t>（19）相关法律法规以及监管部门规定的和基金合同约定的其它投资比例限制。</w:t>
      </w:r>
    </w:p>
    <w:p>
      <w:pPr>
        <w:pStyle w:val="163"/>
        <w:rPr>
          <w:rFonts w:asciiTheme="minorEastAsia" w:hAnsiTheme="minorEastAsia" w:eastAsiaTheme="minorEastAsia"/>
        </w:rPr>
      </w:pPr>
      <w:r>
        <w:rPr>
          <w:rFonts w:hint="eastAsia" w:asciiTheme="minorEastAsia" w:hAnsiTheme="minorEastAsia" w:eastAsiaTheme="minorEastAsia"/>
        </w:rPr>
        <w:t>除上述第（2）、（10）、（15）、（16）、（17）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pPr>
        <w:pStyle w:val="163"/>
        <w:rPr>
          <w:rFonts w:asciiTheme="minorEastAsia" w:hAnsiTheme="minorEastAsia" w:eastAsiaTheme="minorEastAsia"/>
        </w:rPr>
      </w:pPr>
      <w:r>
        <w:rPr>
          <w:rFonts w:hint="eastAsia" w:asciiTheme="minorEastAsia" w:hAnsiTheme="minorEastAsia" w:eastAsiaTheme="minor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pStyle w:val="163"/>
        <w:rPr>
          <w:rFonts w:asciiTheme="minorEastAsia" w:hAnsiTheme="minorEastAsia" w:eastAsiaTheme="minorEastAsia"/>
        </w:rPr>
      </w:pPr>
      <w:r>
        <w:rPr>
          <w:rFonts w:hint="eastAsia" w:asciiTheme="minorEastAsia" w:hAnsiTheme="minorEastAsia" w:eastAsiaTheme="minorEastAsia"/>
        </w:rPr>
        <w:t>法律法规或监管部门取消或变更上述限制，如适用于本基金，基金管理人在履行适当程序后，则本基金投资不再受相关限制，或以变更后的规定为准。</w:t>
      </w:r>
    </w:p>
    <w:p>
      <w:pPr>
        <w:pStyle w:val="163"/>
        <w:rPr>
          <w:rFonts w:asciiTheme="minorEastAsia" w:hAnsiTheme="minorEastAsia" w:eastAsiaTheme="minorEastAsia"/>
        </w:rPr>
      </w:pPr>
      <w:r>
        <w:rPr>
          <w:rFonts w:hint="eastAsia" w:asciiTheme="minorEastAsia" w:hAnsiTheme="minorEastAsia" w:eastAsiaTheme="minorEastAsia"/>
        </w:rPr>
        <w:t>2、禁止行为</w:t>
      </w:r>
    </w:p>
    <w:p>
      <w:pPr>
        <w:pStyle w:val="163"/>
        <w:rPr>
          <w:rFonts w:asciiTheme="minorEastAsia" w:hAnsiTheme="minorEastAsia" w:eastAsiaTheme="minorEastAsia"/>
        </w:rPr>
      </w:pPr>
      <w:r>
        <w:rPr>
          <w:rFonts w:hint="eastAsia" w:asciiTheme="minorEastAsia" w:hAnsiTheme="minorEastAsia" w:eastAsiaTheme="minorEastAsia"/>
        </w:rPr>
        <w:t>为维护基金份额持有人的合法权益，基金财产不得用于下列投资或者活动：</w:t>
      </w:r>
    </w:p>
    <w:p>
      <w:pPr>
        <w:pStyle w:val="163"/>
        <w:rPr>
          <w:rFonts w:asciiTheme="minorEastAsia" w:hAnsiTheme="minorEastAsia" w:eastAsiaTheme="minorEastAsia"/>
        </w:rPr>
      </w:pPr>
      <w:r>
        <w:rPr>
          <w:rFonts w:hint="eastAsia" w:asciiTheme="minorEastAsia" w:hAnsiTheme="minorEastAsia" w:eastAsiaTheme="minorEastAsia"/>
        </w:rPr>
        <w:t>（1）承销证券；</w:t>
      </w:r>
    </w:p>
    <w:p>
      <w:pPr>
        <w:pStyle w:val="163"/>
        <w:rPr>
          <w:rFonts w:asciiTheme="minorEastAsia" w:hAnsiTheme="minorEastAsia" w:eastAsiaTheme="minorEastAsia"/>
        </w:rPr>
      </w:pPr>
      <w:r>
        <w:rPr>
          <w:rFonts w:hint="eastAsia" w:asciiTheme="minorEastAsia" w:hAnsiTheme="minorEastAsia" w:eastAsiaTheme="minorEastAsia"/>
        </w:rPr>
        <w:t>（2）违反规定向他人贷款或者提供担保；</w:t>
      </w:r>
    </w:p>
    <w:p>
      <w:pPr>
        <w:pStyle w:val="163"/>
        <w:rPr>
          <w:rFonts w:asciiTheme="minorEastAsia" w:hAnsiTheme="minorEastAsia" w:eastAsiaTheme="minorEastAsia"/>
        </w:rPr>
      </w:pPr>
      <w:r>
        <w:rPr>
          <w:rFonts w:hint="eastAsia" w:asciiTheme="minorEastAsia" w:hAnsiTheme="minorEastAsia" w:eastAsiaTheme="minorEastAsia"/>
        </w:rPr>
        <w:t>（3）从事承担无限责任的投资；</w:t>
      </w:r>
    </w:p>
    <w:p>
      <w:pPr>
        <w:pStyle w:val="163"/>
        <w:rPr>
          <w:rFonts w:asciiTheme="minorEastAsia" w:hAnsiTheme="minorEastAsia" w:eastAsiaTheme="minorEastAsia"/>
        </w:rPr>
      </w:pPr>
      <w:r>
        <w:rPr>
          <w:rFonts w:hint="eastAsia" w:asciiTheme="minorEastAsia" w:hAnsiTheme="minorEastAsia" w:eastAsiaTheme="minorEastAsia"/>
        </w:rPr>
        <w:t>（4）买卖其他基金份额，但是中国证监会另有规定的除外；</w:t>
      </w:r>
    </w:p>
    <w:p>
      <w:pPr>
        <w:pStyle w:val="163"/>
        <w:rPr>
          <w:rFonts w:asciiTheme="minorEastAsia" w:hAnsiTheme="minorEastAsia" w:eastAsiaTheme="minorEastAsia"/>
        </w:rPr>
      </w:pPr>
      <w:r>
        <w:rPr>
          <w:rFonts w:hint="eastAsia" w:asciiTheme="minorEastAsia" w:hAnsiTheme="minorEastAsia" w:eastAsiaTheme="minorEastAsia"/>
        </w:rPr>
        <w:t>（5）向其基金管理人、基金托管人出资；</w:t>
      </w:r>
    </w:p>
    <w:p>
      <w:pPr>
        <w:pStyle w:val="163"/>
        <w:rPr>
          <w:rFonts w:asciiTheme="minorEastAsia" w:hAnsiTheme="minorEastAsia" w:eastAsiaTheme="minorEastAsia"/>
        </w:rPr>
      </w:pPr>
      <w:r>
        <w:rPr>
          <w:rFonts w:hint="eastAsia" w:asciiTheme="minorEastAsia" w:hAnsiTheme="minorEastAsia" w:eastAsiaTheme="minorEastAsia"/>
        </w:rPr>
        <w:t>（6）从事内幕交易、操纵证券交易价格及其他不正当的证券交易活动；</w:t>
      </w:r>
    </w:p>
    <w:p>
      <w:pPr>
        <w:pStyle w:val="163"/>
        <w:rPr>
          <w:rFonts w:asciiTheme="minorEastAsia" w:hAnsiTheme="minorEastAsia" w:eastAsiaTheme="minorEastAsia"/>
        </w:rPr>
      </w:pPr>
      <w:r>
        <w:rPr>
          <w:rFonts w:hint="eastAsia" w:asciiTheme="minorEastAsia" w:hAnsiTheme="minorEastAsia" w:eastAsiaTheme="minorEastAsia"/>
        </w:rPr>
        <w:t>（7）法律、行政法规和中国证监会规定禁止的其他活动。</w:t>
      </w:r>
    </w:p>
    <w:p>
      <w:pPr>
        <w:pStyle w:val="163"/>
        <w:rPr>
          <w:rFonts w:asciiTheme="minorEastAsia" w:hAnsiTheme="minorEastAsia" w:eastAsiaTheme="minorEastAsia"/>
        </w:rPr>
      </w:pPr>
      <w:r>
        <w:rPr>
          <w:rFonts w:hint="eastAsia" w:asciiTheme="minorEastAsia" w:hAnsiTheme="minorEastAsia" w:eastAsiaTheme="minorEastAsia"/>
        </w:rPr>
        <w:t>基金管理人运用基金财产买卖基金管理人、基金托管人及其控股股东、实际控制人或者与其有其他重大利害关系的公司发行的证券或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履行信息披露义务。重大关联交易应提交基金管理人董事会审议，并经过三分之二以上的独立董事通过。基金管理人董事会应至少每半年对关联交易事项进行审查。</w:t>
      </w:r>
    </w:p>
    <w:p>
      <w:pPr>
        <w:pStyle w:val="163"/>
      </w:pPr>
      <w:r>
        <w:rPr>
          <w:rFonts w:hint="eastAsia" w:asciiTheme="minorEastAsia" w:hAnsiTheme="minorEastAsia" w:eastAsiaTheme="minorEastAsia"/>
        </w:rPr>
        <w:t>法律、行政法规或监管部门变更或取消上述规定，在履行适当程序后，本基金可按变更后的规定执行或不受上述规定的限制。</w:t>
      </w:r>
    </w:p>
    <w:p>
      <w:pPr>
        <w:pStyle w:val="163"/>
        <w:ind w:firstLine="422"/>
        <w:rPr>
          <w:b/>
        </w:rPr>
      </w:pPr>
      <w:r>
        <w:rPr>
          <w:rFonts w:hint="eastAsia"/>
          <w:b/>
        </w:rPr>
        <w:t>五</w:t>
      </w:r>
      <w:r>
        <w:rPr>
          <w:b/>
        </w:rPr>
        <w:t>、</w:t>
      </w:r>
      <w:r>
        <w:rPr>
          <w:rFonts w:hint="eastAsia"/>
          <w:b/>
        </w:rPr>
        <w:t>标的指数和</w:t>
      </w:r>
      <w:r>
        <w:rPr>
          <w:b/>
        </w:rPr>
        <w:t>业绩比较基准</w:t>
      </w:r>
    </w:p>
    <w:p>
      <w:pPr>
        <w:adjustRightInd w:val="0"/>
        <w:snapToGrid w:val="0"/>
        <w:spacing w:line="360" w:lineRule="auto"/>
        <w:ind w:firstLine="369" w:firstLineChars="176"/>
        <w:rPr>
          <w:rFonts w:ascii="宋体" w:cs="宋体"/>
          <w:kern w:val="0"/>
          <w:szCs w:val="21"/>
        </w:rPr>
      </w:pPr>
      <w:r>
        <w:rPr>
          <w:rFonts w:hint="eastAsia" w:ascii="宋体" w:cs="宋体"/>
          <w:kern w:val="0"/>
          <w:szCs w:val="21"/>
        </w:rPr>
        <w:t>本基金的标的指数为：中证全指通信设备指数。</w:t>
      </w:r>
    </w:p>
    <w:p>
      <w:pPr>
        <w:adjustRightInd w:val="0"/>
        <w:snapToGrid w:val="0"/>
        <w:spacing w:line="360" w:lineRule="auto"/>
        <w:ind w:firstLine="369" w:firstLineChars="176"/>
        <w:rPr>
          <w:rFonts w:ascii="宋体" w:cs="宋体"/>
          <w:kern w:val="0"/>
          <w:szCs w:val="21"/>
        </w:rPr>
      </w:pPr>
      <w:r>
        <w:rPr>
          <w:rFonts w:hint="eastAsia" w:ascii="宋体" w:cs="宋体"/>
          <w:kern w:val="0"/>
          <w:szCs w:val="21"/>
        </w:rPr>
        <w:t>本基金业绩比较基准为：中证全指通信设备指数收益率×95%+银行活期存款利率(税后)×5%。</w:t>
      </w:r>
    </w:p>
    <w:p>
      <w:pPr>
        <w:adjustRightInd w:val="0"/>
        <w:snapToGrid w:val="0"/>
        <w:spacing w:line="360" w:lineRule="auto"/>
        <w:ind w:firstLine="369" w:firstLineChars="176"/>
        <w:rPr>
          <w:rFonts w:ascii="宋体" w:cs="宋体"/>
          <w:kern w:val="0"/>
          <w:szCs w:val="21"/>
        </w:rPr>
      </w:pPr>
      <w:r>
        <w:rPr>
          <w:rFonts w:hint="eastAsia" w:ascii="宋体" w:cs="宋体"/>
          <w:kern w:val="0"/>
          <w:szCs w:val="21"/>
        </w:rPr>
        <w:t>未来若出现标的指数不符合要求（因成份股价格波动等指数编制方法变动之外的因素致使标的指数不符合要求以及法律法规、监管机构另有规定的情形除外）、指数编制机构退出等情形，基金管理人应当自该情形发生之日起十个工作日内向中国证监会报告并提出解决方案，如更换基金标的指数、转换运作方式、与其他基金合并或者终止基金合同等，并在6个月内召集基金份额持有人大会进行表决。</w:t>
      </w:r>
    </w:p>
    <w:p>
      <w:pPr>
        <w:adjustRightInd w:val="0"/>
        <w:snapToGrid w:val="0"/>
        <w:spacing w:line="360" w:lineRule="auto"/>
        <w:ind w:firstLine="369" w:firstLineChars="176"/>
        <w:rPr>
          <w:rFonts w:ascii="宋体" w:cs="宋体"/>
          <w:kern w:val="0"/>
          <w:szCs w:val="21"/>
        </w:rPr>
      </w:pPr>
      <w:r>
        <w:rPr>
          <w:rFonts w:hint="eastAsia" w:ascii="宋体" w:cs="宋体"/>
          <w:kern w:val="0"/>
          <w:szCs w:val="21"/>
        </w:rPr>
        <w:t>自指数编制机构停止标的指数的编制及发布至解决方案确定期间，基金管理人应按照指数编制机构提供的最近一个交易日的指数信息遵循基金份额持有人利益优先原则维持基金投资运作。</w:t>
      </w:r>
    </w:p>
    <w:p>
      <w:pPr>
        <w:pStyle w:val="163"/>
        <w:ind w:firstLine="422"/>
        <w:rPr>
          <w:b/>
        </w:rPr>
      </w:pPr>
      <w:r>
        <w:rPr>
          <w:rFonts w:hint="eastAsia"/>
          <w:b/>
        </w:rPr>
        <w:t>六</w:t>
      </w:r>
      <w:r>
        <w:rPr>
          <w:b/>
        </w:rPr>
        <w:t>、风险收益特征</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本基金属于股票型基金，其预期收益及预期风险水平高于混合型基金、债券型基金与货币市场基金。</w:t>
      </w:r>
    </w:p>
    <w:p>
      <w:pPr>
        <w:pStyle w:val="163"/>
        <w:rPr>
          <w:b/>
        </w:rPr>
      </w:pPr>
      <w:r>
        <w:rPr>
          <w:rFonts w:hint="eastAsia" w:asciiTheme="minorEastAsia" w:hAnsiTheme="minorEastAsia" w:eastAsiaTheme="minorEastAsia"/>
        </w:rPr>
        <w:t>本基金为被动式投资的股票型指数基金，跟踪中证全指通信设备指数，其风险收益特征与标的指数所表征的市场组合的风险收益特征相似。</w:t>
      </w:r>
    </w:p>
    <w:p>
      <w:pPr>
        <w:pStyle w:val="163"/>
        <w:ind w:firstLine="422"/>
        <w:rPr>
          <w:b/>
        </w:rPr>
      </w:pPr>
      <w:r>
        <w:rPr>
          <w:rFonts w:hint="eastAsia"/>
          <w:b/>
        </w:rPr>
        <w:t>七、基金管理人代表基金行使股东或债权人权利的处理原则及方法</w:t>
      </w:r>
    </w:p>
    <w:p>
      <w:pPr>
        <w:pStyle w:val="163"/>
      </w:pPr>
      <w:r>
        <w:rPr>
          <w:rFonts w:hint="eastAsia"/>
        </w:rPr>
        <w:t xml:space="preserve">1、基金管理人按照国家有关规定代表基金独立行使股东或债权人权利，保护基金份额持有人的利益； </w:t>
      </w:r>
    </w:p>
    <w:p>
      <w:pPr>
        <w:pStyle w:val="163"/>
      </w:pPr>
      <w:r>
        <w:rPr>
          <w:rFonts w:hint="eastAsia"/>
        </w:rPr>
        <w:t xml:space="preserve">2、不谋求对上市公司的控股； </w:t>
      </w:r>
    </w:p>
    <w:p>
      <w:pPr>
        <w:pStyle w:val="163"/>
      </w:pPr>
      <w:r>
        <w:rPr>
          <w:rFonts w:hint="eastAsia"/>
        </w:rPr>
        <w:t xml:space="preserve">3、有利于基金财产的安全与增值； </w:t>
      </w:r>
    </w:p>
    <w:p>
      <w:pPr>
        <w:pStyle w:val="163"/>
      </w:pPr>
      <w:r>
        <w:rPr>
          <w:rFonts w:hint="eastAsia"/>
        </w:rPr>
        <w:t>4、不通过关联交易为自身、雇员、授权代理人或任何存在利害关系的第三人牟取任何不当利益。</w:t>
      </w:r>
    </w:p>
    <w:p>
      <w:pPr>
        <w:pStyle w:val="163"/>
        <w:ind w:firstLine="422"/>
        <w:rPr>
          <w:rFonts w:asciiTheme="minorEastAsia" w:hAnsiTheme="minorEastAsia" w:eastAsiaTheme="minorEastAsia"/>
          <w:b/>
        </w:rPr>
      </w:pPr>
      <w:r>
        <w:rPr>
          <w:rFonts w:hint="eastAsia" w:asciiTheme="minorEastAsia" w:hAnsiTheme="minorEastAsia" w:eastAsiaTheme="minorEastAsia"/>
          <w:b/>
        </w:rPr>
        <w:t>八、侧袋机制的实施和投资运作安排</w:t>
      </w:r>
    </w:p>
    <w:p>
      <w:pPr>
        <w:pStyle w:val="163"/>
        <w:rPr>
          <w:rFonts w:asciiTheme="minorEastAsia" w:hAnsiTheme="minorEastAsia" w:eastAsiaTheme="minorEastAsia"/>
        </w:rPr>
      </w:pPr>
      <w:bookmarkStart w:id="84" w:name="_Toc332013120"/>
      <w:bookmarkStart w:id="85" w:name="_Toc336606237"/>
      <w:bookmarkStart w:id="86" w:name="_Toc327902632"/>
      <w:bookmarkStart w:id="87" w:name="_Toc335899843"/>
      <w:r>
        <w:rPr>
          <w:rFonts w:hint="eastAsia" w:asciiTheme="minorEastAsia" w:hAnsiTheme="minorEastAsia" w:eastAsiaTheme="minor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pStyle w:val="163"/>
        <w:rPr>
          <w:rFonts w:asciiTheme="minorEastAsia" w:hAnsiTheme="minorEastAsia" w:eastAsiaTheme="minorEastAsia"/>
        </w:rPr>
      </w:pPr>
      <w:r>
        <w:rPr>
          <w:rFonts w:hint="eastAsia" w:asciiTheme="minorEastAsia" w:hAnsiTheme="minorEastAsia" w:eastAsiaTheme="minorEastAsia"/>
        </w:rPr>
        <w:t>侧袋机制实施期间，本部分约定的投资组合比例、投资策略、组合限制、业绩比较基准、风险收益特征等约定仅适用于主袋账户。</w:t>
      </w:r>
    </w:p>
    <w:p>
      <w:pPr>
        <w:pStyle w:val="163"/>
        <w:rPr>
          <w:rFonts w:asciiTheme="minorEastAsia" w:hAnsiTheme="minorEastAsia" w:eastAsiaTheme="minorEastAsia"/>
        </w:rPr>
      </w:pPr>
      <w:r>
        <w:rPr>
          <w:rFonts w:hint="eastAsia" w:asciiTheme="minorEastAsia" w:hAnsiTheme="minorEastAsia" w:eastAsiaTheme="minorEastAsia"/>
        </w:rPr>
        <w:t>侧袋账户的实施条件、实施程序、运作安排、投资安排、特定资产的处置变现和支付等对投资者权益有重大影响的事项详见本招募说明书的规定。</w:t>
      </w:r>
    </w:p>
    <w:p>
      <w:pPr>
        <w:snapToGrid w:val="0"/>
        <w:spacing w:line="360" w:lineRule="auto"/>
        <w:ind w:firstLine="420" w:firstLineChars="200"/>
        <w:rPr>
          <w:rFonts w:ascii="宋体" w:hAnsi="宋体"/>
          <w:bCs/>
          <w:szCs w:val="21"/>
        </w:rPr>
        <w:sectPr>
          <w:footerReference r:id="rId17" w:type="first"/>
          <w:footerReference r:id="rId16" w:type="defaul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88" w:name="_Toc411872032"/>
      <w:bookmarkStart w:id="89" w:name="_Toc375295983"/>
      <w:bookmarkStart w:id="90" w:name="_Toc369510018"/>
      <w:bookmarkStart w:id="91" w:name="_Toc92740293"/>
      <w:r>
        <w:rPr>
          <w:rFonts w:hint="eastAsia"/>
        </w:rPr>
        <w:t>基金的财产</w:t>
      </w:r>
      <w:bookmarkEnd w:id="84"/>
      <w:bookmarkEnd w:id="85"/>
      <w:bookmarkEnd w:id="86"/>
      <w:bookmarkEnd w:id="87"/>
      <w:bookmarkEnd w:id="88"/>
      <w:bookmarkEnd w:id="89"/>
      <w:bookmarkEnd w:id="90"/>
      <w:bookmarkEnd w:id="91"/>
    </w:p>
    <w:p>
      <w:pPr>
        <w:spacing w:line="360" w:lineRule="auto"/>
        <w:ind w:firstLine="422" w:firstLineChars="200"/>
        <w:rPr>
          <w:rFonts w:ascii="宋体" w:hAnsi="宋体"/>
          <w:b/>
          <w:bCs/>
          <w:szCs w:val="21"/>
        </w:rPr>
      </w:pPr>
      <w:r>
        <w:rPr>
          <w:rFonts w:hint="eastAsia" w:ascii="宋体" w:hAnsi="宋体"/>
          <w:b/>
          <w:bCs/>
          <w:szCs w:val="21"/>
        </w:rPr>
        <w:t>一、基金资产总值</w:t>
      </w:r>
    </w:p>
    <w:p>
      <w:pPr>
        <w:spacing w:line="360" w:lineRule="auto"/>
        <w:ind w:firstLine="420" w:firstLineChars="200"/>
        <w:rPr>
          <w:rFonts w:ascii="宋体" w:hAnsi="宋体"/>
          <w:bCs/>
          <w:szCs w:val="21"/>
        </w:rPr>
      </w:pPr>
      <w:r>
        <w:rPr>
          <w:rFonts w:hint="eastAsia" w:ascii="宋体" w:hAnsi="宋体"/>
          <w:bCs/>
          <w:szCs w:val="21"/>
        </w:rPr>
        <w:t>基金资产总值是指基金拥有的各类有价证券、银行存款本息、基金应收款项及其他资产的价值总和。</w:t>
      </w:r>
    </w:p>
    <w:p>
      <w:pPr>
        <w:spacing w:line="360" w:lineRule="auto"/>
        <w:ind w:firstLine="422" w:firstLineChars="200"/>
        <w:rPr>
          <w:rFonts w:ascii="宋体" w:hAnsi="宋体"/>
          <w:b/>
          <w:bCs/>
          <w:szCs w:val="21"/>
        </w:rPr>
      </w:pPr>
      <w:r>
        <w:rPr>
          <w:rFonts w:hint="eastAsia" w:ascii="宋体" w:hAnsi="宋体"/>
          <w:b/>
          <w:bCs/>
          <w:szCs w:val="21"/>
        </w:rPr>
        <w:t>二、基金资产净值</w:t>
      </w:r>
    </w:p>
    <w:p>
      <w:pPr>
        <w:spacing w:line="360" w:lineRule="auto"/>
        <w:ind w:firstLine="420" w:firstLineChars="200"/>
        <w:rPr>
          <w:rFonts w:ascii="宋体" w:hAnsi="宋体"/>
          <w:bCs/>
          <w:szCs w:val="21"/>
        </w:rPr>
      </w:pPr>
      <w:r>
        <w:rPr>
          <w:rFonts w:hint="eastAsia" w:ascii="宋体" w:hAnsi="宋体"/>
          <w:bCs/>
          <w:szCs w:val="21"/>
        </w:rPr>
        <w:t>基金资产净值是指基金资产总值减去基金负债后的价值。</w:t>
      </w:r>
    </w:p>
    <w:p>
      <w:pPr>
        <w:spacing w:line="360" w:lineRule="auto"/>
        <w:ind w:firstLine="422" w:firstLineChars="200"/>
        <w:rPr>
          <w:rFonts w:ascii="宋体" w:hAnsi="宋体"/>
          <w:b/>
          <w:bCs/>
          <w:szCs w:val="21"/>
        </w:rPr>
      </w:pPr>
      <w:r>
        <w:rPr>
          <w:rFonts w:hint="eastAsia" w:ascii="宋体" w:hAnsi="宋体"/>
          <w:b/>
          <w:bCs/>
          <w:szCs w:val="21"/>
        </w:rPr>
        <w:t>三、基金财产的账户</w:t>
      </w:r>
    </w:p>
    <w:p>
      <w:pPr>
        <w:spacing w:line="360" w:lineRule="auto"/>
        <w:ind w:firstLine="420" w:firstLineChars="200"/>
        <w:rPr>
          <w:rFonts w:ascii="宋体" w:hAnsi="宋体"/>
          <w:bCs/>
          <w:szCs w:val="21"/>
        </w:rPr>
      </w:pPr>
      <w:r>
        <w:rPr>
          <w:rFonts w:hint="eastAsia" w:ascii="宋体" w:hAnsi="宋体"/>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pPr>
        <w:spacing w:line="360" w:lineRule="auto"/>
        <w:ind w:firstLine="422" w:firstLineChars="200"/>
        <w:rPr>
          <w:rFonts w:ascii="宋体" w:hAnsi="宋体"/>
          <w:b/>
          <w:bCs/>
          <w:szCs w:val="21"/>
        </w:rPr>
      </w:pPr>
      <w:r>
        <w:rPr>
          <w:rFonts w:hint="eastAsia" w:ascii="宋体" w:hAnsi="宋体"/>
          <w:b/>
          <w:bCs/>
          <w:szCs w:val="21"/>
        </w:rPr>
        <w:t>四、基金财产的保管和处分</w:t>
      </w:r>
    </w:p>
    <w:p>
      <w:pPr>
        <w:spacing w:line="360" w:lineRule="auto"/>
        <w:ind w:firstLine="420" w:firstLineChars="200"/>
        <w:rPr>
          <w:rFonts w:asciiTheme="minorEastAsia" w:hAnsiTheme="minorEastAsia" w:eastAsiaTheme="minorEastAsia"/>
        </w:rPr>
      </w:pPr>
      <w:bookmarkStart w:id="92" w:name="_Hlt88841837"/>
      <w:bookmarkEnd w:id="92"/>
      <w:bookmarkStart w:id="93" w:name="_Hlt88900062"/>
      <w:bookmarkEnd w:id="93"/>
      <w:r>
        <w:rPr>
          <w:rFonts w:hint="eastAsia" w:asciiTheme="minorEastAsia" w:hAnsiTheme="minorEastAsia" w:eastAsiaTheme="minor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pPr>
        <w:widowControl/>
        <w:snapToGrid w:val="0"/>
        <w:spacing w:line="360" w:lineRule="auto"/>
        <w:ind w:firstLine="420" w:firstLineChars="200"/>
        <w:jc w:val="left"/>
        <w:rPr>
          <w:rFonts w:ascii="宋体"/>
          <w:color w:val="000000"/>
          <w:szCs w:val="21"/>
        </w:rPr>
        <w:sectPr>
          <w:footerReference r:id="rId18" w:type="firs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94" w:name="_Toc327902633"/>
      <w:bookmarkStart w:id="95" w:name="_Toc335899844"/>
      <w:bookmarkStart w:id="96" w:name="_Toc369510019"/>
      <w:bookmarkStart w:id="97" w:name="_Toc411872033"/>
      <w:bookmarkStart w:id="98" w:name="_Toc375295984"/>
      <w:bookmarkStart w:id="99" w:name="_Toc92740294"/>
      <w:bookmarkStart w:id="100" w:name="_Toc332013121"/>
      <w:bookmarkStart w:id="101" w:name="_Toc336606238"/>
      <w:r>
        <w:rPr>
          <w:rFonts w:hint="eastAsia"/>
        </w:rPr>
        <w:t>基金资产估值</w:t>
      </w:r>
      <w:bookmarkEnd w:id="94"/>
      <w:bookmarkEnd w:id="95"/>
      <w:bookmarkEnd w:id="96"/>
      <w:bookmarkEnd w:id="97"/>
      <w:bookmarkEnd w:id="98"/>
      <w:bookmarkEnd w:id="99"/>
      <w:bookmarkEnd w:id="100"/>
      <w:bookmarkEnd w:id="101"/>
    </w:p>
    <w:p>
      <w:pPr>
        <w:adjustRightInd w:val="0"/>
        <w:snapToGrid w:val="0"/>
        <w:spacing w:line="360" w:lineRule="auto"/>
        <w:ind w:firstLine="422" w:firstLineChars="200"/>
        <w:rPr>
          <w:rFonts w:ascii="宋体" w:hAnsi="宋体"/>
          <w:b/>
          <w:bCs/>
          <w:szCs w:val="21"/>
        </w:rPr>
      </w:pPr>
      <w:r>
        <w:rPr>
          <w:rFonts w:ascii="宋体" w:hAnsi="宋体"/>
          <w:b/>
          <w:bCs/>
          <w:szCs w:val="21"/>
        </w:rPr>
        <w:t>一、估值日</w:t>
      </w:r>
    </w:p>
    <w:p>
      <w:pPr>
        <w:adjustRightInd w:val="0"/>
        <w:snapToGrid w:val="0"/>
        <w:spacing w:line="360" w:lineRule="auto"/>
        <w:ind w:firstLine="420" w:firstLineChars="200"/>
        <w:rPr>
          <w:rFonts w:ascii="宋体" w:hAnsi="宋体"/>
          <w:bCs/>
          <w:szCs w:val="21"/>
        </w:rPr>
      </w:pPr>
      <w:r>
        <w:rPr>
          <w:rFonts w:hint="eastAsia" w:ascii="宋体" w:hAnsi="宋体"/>
          <w:bCs/>
          <w:szCs w:val="21"/>
        </w:rPr>
        <w:t>本基金的估值日为本基金相关的证券交易场所的交易日以及国家法律法规规定需要对外披露基金净值的非交易日。</w:t>
      </w:r>
    </w:p>
    <w:p>
      <w:pPr>
        <w:adjustRightInd w:val="0"/>
        <w:snapToGrid w:val="0"/>
        <w:spacing w:line="360" w:lineRule="auto"/>
        <w:ind w:firstLine="422" w:firstLineChars="200"/>
        <w:rPr>
          <w:rFonts w:ascii="宋体" w:hAnsi="宋体"/>
          <w:b/>
          <w:bCs/>
          <w:szCs w:val="21"/>
        </w:rPr>
      </w:pPr>
      <w:r>
        <w:rPr>
          <w:rFonts w:ascii="宋体" w:hAnsi="宋体"/>
          <w:b/>
          <w:bCs/>
          <w:szCs w:val="21"/>
        </w:rPr>
        <w:t>二、估值对象</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基金所拥有的股票（含存托凭证）、股指期货合约、国债期货合约、股票期权合约、债券和银行存款本息、应收款项、资产支持证券、其它投资等资产及负债。</w:t>
      </w:r>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三、估值原则</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基金管理人在确定相关金融资产和金融负债的公允价值时，应符合《企业会计准则》、监管部门有关规定。</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pPr>
        <w:adjustRightInd w:val="0"/>
        <w:snapToGrid w:val="0"/>
        <w:spacing w:line="360" w:lineRule="auto"/>
        <w:ind w:firstLine="422" w:firstLineChars="201"/>
        <w:rPr>
          <w:rFonts w:ascii="Arial" w:hAnsi="Arial"/>
          <w:kern w:val="0"/>
        </w:rPr>
      </w:pPr>
      <w:r>
        <w:rPr>
          <w:rFonts w:hint="eastAsia" w:asciiTheme="minorEastAsia" w:hAnsiTheme="minorEastAsia" w:eastAsiaTheme="minorEastAsia"/>
        </w:rPr>
        <w:t>（三）如经济环境发生重大变化或证券发行人发生影响证券价格的重大事件，使潜在估值调整对前一估值日的基金资产净值的影响在0.25%以上的，应对估值进行调整并确定公允价值。</w:t>
      </w:r>
    </w:p>
    <w:p>
      <w:pPr>
        <w:adjustRightInd w:val="0"/>
        <w:snapToGrid w:val="0"/>
        <w:spacing w:line="360" w:lineRule="auto"/>
        <w:ind w:firstLine="424" w:firstLineChars="201"/>
        <w:rPr>
          <w:rFonts w:ascii="Arial" w:hAnsi="Arial"/>
          <w:b/>
          <w:kern w:val="0"/>
        </w:rPr>
      </w:pPr>
      <w:r>
        <w:rPr>
          <w:rFonts w:hint="eastAsia" w:ascii="Arial" w:hAnsi="Arial"/>
          <w:b/>
          <w:kern w:val="0"/>
        </w:rPr>
        <w:t>四</w:t>
      </w:r>
      <w:r>
        <w:rPr>
          <w:rFonts w:ascii="Arial" w:hAnsi="Arial"/>
          <w:b/>
          <w:kern w:val="0"/>
        </w:rPr>
        <w:t>、估值方法</w:t>
      </w:r>
    </w:p>
    <w:p>
      <w:pPr>
        <w:adjustRightInd w:val="0"/>
        <w:snapToGrid w:val="0"/>
        <w:spacing w:line="360" w:lineRule="auto"/>
        <w:ind w:firstLine="422" w:firstLineChars="201"/>
        <w:rPr>
          <w:rFonts w:ascii="宋体" w:hAnsi="宋体"/>
          <w:bCs/>
          <w:szCs w:val="21"/>
        </w:rPr>
      </w:pPr>
      <w:r>
        <w:rPr>
          <w:rFonts w:hint="eastAsia" w:ascii="宋体" w:hAnsi="宋体"/>
          <w:bCs/>
          <w:szCs w:val="21"/>
        </w:rPr>
        <w:t>1、交易所上市或挂牌转让的有价证券（包括股票等，基金合同另有约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djustRightInd w:val="0"/>
        <w:snapToGrid w:val="0"/>
        <w:spacing w:line="360" w:lineRule="auto"/>
        <w:ind w:firstLine="422" w:firstLineChars="201"/>
        <w:rPr>
          <w:rFonts w:ascii="宋体" w:hAnsi="宋体"/>
          <w:bCs/>
          <w:szCs w:val="21"/>
        </w:rPr>
      </w:pPr>
      <w:r>
        <w:rPr>
          <w:rFonts w:hint="eastAsia" w:ascii="宋体" w:hAnsi="宋体"/>
          <w:bCs/>
          <w:szCs w:val="21"/>
        </w:rPr>
        <w:t>2、对于已上市或已挂牌转让的不含权固定收益品种，选取估值日第三方估值基准服务机构提供的相应品种当日的估值全价进行估值。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3、对于已上市或已挂牌转让的含权固定收益品种，选取估值日第三方估值基准服务机构提供的相应品种当日的唯一估值全价或推荐估值全价进行估值；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4、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pPr>
        <w:adjustRightInd w:val="0"/>
        <w:snapToGrid w:val="0"/>
        <w:spacing w:line="360" w:lineRule="auto"/>
        <w:ind w:firstLine="422" w:firstLineChars="201"/>
        <w:rPr>
          <w:rFonts w:ascii="宋体" w:hAnsi="宋体"/>
          <w:bCs/>
          <w:szCs w:val="21"/>
        </w:rPr>
      </w:pPr>
      <w:r>
        <w:rPr>
          <w:rFonts w:hint="eastAsia" w:ascii="宋体" w:hAnsi="宋体"/>
          <w:bCs/>
          <w:szCs w:val="21"/>
        </w:rPr>
        <w:t>5、对于未上市或未挂牌转让且不存在活跃市场的固定收益品种，应采用在当前情况下适用并且有足够可利用数据和其他信息支持的估值技术确定其公允价值。</w:t>
      </w:r>
    </w:p>
    <w:p>
      <w:pPr>
        <w:adjustRightInd w:val="0"/>
        <w:snapToGrid w:val="0"/>
        <w:spacing w:line="360" w:lineRule="auto"/>
        <w:ind w:firstLine="422" w:firstLineChars="201"/>
        <w:rPr>
          <w:rFonts w:ascii="宋体" w:hAnsi="宋体"/>
          <w:bCs/>
          <w:szCs w:val="21"/>
        </w:rPr>
      </w:pPr>
      <w:r>
        <w:rPr>
          <w:rFonts w:hint="eastAsia" w:ascii="宋体" w:hAnsi="宋体"/>
          <w:bCs/>
          <w:szCs w:val="21"/>
        </w:rPr>
        <w:t>6、处于未上市期间的股票应区分如下情况处理：</w:t>
      </w:r>
    </w:p>
    <w:p>
      <w:pPr>
        <w:adjustRightInd w:val="0"/>
        <w:snapToGrid w:val="0"/>
        <w:spacing w:line="360" w:lineRule="auto"/>
        <w:ind w:firstLine="422" w:firstLineChars="201"/>
        <w:rPr>
          <w:rFonts w:ascii="宋体" w:hAnsi="宋体"/>
          <w:bCs/>
          <w:szCs w:val="21"/>
        </w:rPr>
      </w:pPr>
      <w:r>
        <w:rPr>
          <w:rFonts w:hint="eastAsia" w:ascii="宋体" w:hAnsi="宋体"/>
          <w:bCs/>
          <w:szCs w:val="21"/>
        </w:rPr>
        <w:t>（1）送股、转增股、配股和公开增发的新股，按估值日在证券交易所挂牌的同一股票的估值方法估值；该日无交易的，以最近一日的市价（收盘价）估值；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（2）首次公开发行未上市的股票，采用估值技术确定公允价值；</w:t>
      </w:r>
    </w:p>
    <w:p>
      <w:pPr>
        <w:adjustRightInd w:val="0"/>
        <w:snapToGrid w:val="0"/>
        <w:spacing w:line="360" w:lineRule="auto"/>
        <w:ind w:firstLine="422" w:firstLineChars="201"/>
        <w:rPr>
          <w:rFonts w:ascii="宋体" w:hAnsi="宋体"/>
          <w:bCs/>
          <w:szCs w:val="21"/>
        </w:rPr>
      </w:pPr>
      <w:r>
        <w:rPr>
          <w:rFonts w:hint="eastAsia" w:ascii="宋体" w:hAnsi="宋体"/>
          <w:bCs/>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djustRightInd w:val="0"/>
        <w:snapToGrid w:val="0"/>
        <w:spacing w:line="360" w:lineRule="auto"/>
        <w:ind w:firstLine="422" w:firstLineChars="201"/>
        <w:rPr>
          <w:rFonts w:ascii="宋体" w:hAnsi="宋体"/>
          <w:bCs/>
          <w:szCs w:val="21"/>
        </w:rPr>
      </w:pPr>
      <w:r>
        <w:rPr>
          <w:rFonts w:hint="eastAsia" w:ascii="宋体" w:hAnsi="宋体"/>
          <w:bCs/>
          <w:szCs w:val="21"/>
        </w:rPr>
        <w:t>7、本基金投资存托凭证的估值核算，依照境内上市交易的股票执行。</w:t>
      </w:r>
    </w:p>
    <w:p>
      <w:pPr>
        <w:adjustRightInd w:val="0"/>
        <w:snapToGrid w:val="0"/>
        <w:spacing w:line="360" w:lineRule="auto"/>
        <w:ind w:firstLine="422" w:firstLineChars="201"/>
        <w:rPr>
          <w:rFonts w:ascii="宋体" w:hAnsi="宋体"/>
          <w:bCs/>
          <w:szCs w:val="21"/>
        </w:rPr>
      </w:pPr>
      <w:r>
        <w:rPr>
          <w:rFonts w:hint="eastAsia" w:ascii="宋体" w:hAnsi="宋体"/>
          <w:bCs/>
          <w:szCs w:val="21"/>
        </w:rPr>
        <w:t>8、同一证券同时在两个或两个以上市场交易的，按证券所处的市场分别估值。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9、本基金投资股指期货合约、国债期货合约，一般以估值当日结算价进行估值，估值当日无结算价的，且最近交易日后经济环境未发生重大变化的，采用最近交易日结算价估值。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10、本基金投资股票期权，根据相关法律法规以及监管部门的规定估值。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11、本基金参与融资或转融通证券出借业务的，应参照行业协会的相关规定进行估值，确保估值的公允性。</w:t>
      </w:r>
    </w:p>
    <w:p>
      <w:pPr>
        <w:adjustRightInd w:val="0"/>
        <w:snapToGrid w:val="0"/>
        <w:spacing w:line="360" w:lineRule="auto"/>
        <w:ind w:firstLine="422" w:firstLineChars="201"/>
        <w:rPr>
          <w:rFonts w:ascii="宋体" w:hAnsi="宋体"/>
          <w:bCs/>
          <w:szCs w:val="21"/>
        </w:rPr>
      </w:pPr>
      <w:r>
        <w:rPr>
          <w:rFonts w:hint="eastAsia" w:ascii="宋体" w:hAnsi="宋体"/>
          <w:bCs/>
          <w:szCs w:val="21"/>
        </w:rPr>
        <w:t>12、如有确凿证据表明按上述方法进行估值不能客观反映其公允价值的，基金管理人可根据具体情况与基金托管人商定后，按最能反映公允价值的价格估值。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13、当发生大额申购或赎回情形时，基金管理人可以采用摆动定价机制，以确保基金估值的公平性。具体处理原则与操作规范遵循相关法律法规以及监管部门、自律规则的规定。</w:t>
      </w:r>
    </w:p>
    <w:p>
      <w:pPr>
        <w:adjustRightInd w:val="0"/>
        <w:snapToGrid w:val="0"/>
        <w:spacing w:line="360" w:lineRule="auto"/>
        <w:ind w:firstLine="422" w:firstLineChars="201"/>
        <w:rPr>
          <w:rFonts w:ascii="宋体" w:hAnsi="宋体"/>
          <w:bCs/>
          <w:szCs w:val="21"/>
        </w:rPr>
      </w:pPr>
      <w:r>
        <w:rPr>
          <w:rFonts w:hint="eastAsia" w:ascii="宋体" w:hAnsi="宋体"/>
          <w:bCs/>
          <w:szCs w:val="21"/>
        </w:rPr>
        <w:t>14、相关法律法规以及监管部门有强制规定的，从其规定。如有新增事项，按国家最新规定估值。</w:t>
      </w:r>
    </w:p>
    <w:p>
      <w:pPr>
        <w:adjustRightInd w:val="0"/>
        <w:snapToGrid w:val="0"/>
        <w:spacing w:line="360" w:lineRule="auto"/>
        <w:ind w:firstLine="422" w:firstLineChars="201"/>
        <w:rPr>
          <w:rFonts w:ascii="宋体" w:hAnsi="宋体"/>
          <w:bCs/>
          <w:szCs w:val="21"/>
        </w:rPr>
      </w:pPr>
      <w:r>
        <w:rPr>
          <w:rFonts w:hint="eastAsia"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pPr>
        <w:adjustRightInd w:val="0"/>
        <w:snapToGrid w:val="0"/>
        <w:spacing w:line="360" w:lineRule="auto"/>
        <w:ind w:firstLine="422" w:firstLineChars="201"/>
        <w:rPr>
          <w:rFonts w:ascii="宋体" w:hAnsi="宋体"/>
          <w:bCs/>
          <w:szCs w:val="21"/>
        </w:rPr>
      </w:pPr>
      <w:r>
        <w:rPr>
          <w:rFonts w:hint="eastAsia"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tabs>
          <w:tab w:val="left" w:pos="3780"/>
        </w:tabs>
        <w:autoSpaceDE w:val="0"/>
        <w:autoSpaceDN w:val="0"/>
        <w:adjustRightInd w:val="0"/>
        <w:snapToGrid w:val="0"/>
        <w:spacing w:line="360" w:lineRule="auto"/>
        <w:ind w:firstLine="424" w:firstLineChars="201"/>
        <w:textAlignment w:val="bottom"/>
        <w:rPr>
          <w:rFonts w:ascii="Arial" w:hAnsi="Arial"/>
          <w:b/>
        </w:rPr>
      </w:pPr>
      <w:r>
        <w:rPr>
          <w:rFonts w:hint="eastAsia" w:ascii="Arial" w:hAnsi="Arial"/>
          <w:b/>
        </w:rPr>
        <w:t>五</w:t>
      </w:r>
      <w:r>
        <w:rPr>
          <w:rFonts w:hint="eastAsia" w:ascii="Arial" w:hAnsi="Arial" w:cs="Arial"/>
          <w:b/>
          <w:bCs/>
          <w:szCs w:val="21"/>
        </w:rPr>
        <w:t>、</w:t>
      </w:r>
      <w:r>
        <w:rPr>
          <w:rFonts w:hint="eastAsia" w:ascii="Arial" w:hAnsi="Arial"/>
          <w:b/>
        </w:rPr>
        <w:t>估值程序</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各类基金份额净值是按照每个工作日闭市后，各类基金份额的基金资产净值除以当日该类基金份额的余额数量计算，均精确到0.0001元，小数点后第5位四舍五入，由此产生的误差计入基金财产。基金管理人可以设立大额赎回情形下的净值精度应急调整机制。国家另有规定的，从其规定。</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基金管理人于每个工作日计算基金资产净值及各类基金份额净值，并按规定公告。</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pPr>
        <w:adjustRightInd w:val="0"/>
        <w:snapToGrid w:val="0"/>
        <w:spacing w:line="360" w:lineRule="auto"/>
        <w:ind w:firstLine="424" w:firstLineChars="201"/>
        <w:rPr>
          <w:rFonts w:asciiTheme="minorEastAsia" w:hAnsiTheme="minorEastAsia" w:eastAsiaTheme="minorEastAsia"/>
          <w:b/>
        </w:rPr>
      </w:pPr>
      <w:r>
        <w:rPr>
          <w:rFonts w:hint="eastAsia" w:asciiTheme="minorEastAsia" w:hAnsiTheme="minorEastAsia" w:eastAsiaTheme="minorEastAsia"/>
          <w:b/>
        </w:rPr>
        <w:t>六、估值错误的处理</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基金管理人和基金托管人将采取必要、适当、合理的措施确保基金资产估值的准确性、及时性。当任一类基金份额净值小数点后4位以内(含第4位)发生估值错误时，视为该类基金份额净值错误。</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基金合同的当事人应按照以下约定处理：</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1、估值错误类型</w:t>
      </w:r>
      <w:r>
        <w:rPr>
          <w:rFonts w:hint="eastAsia" w:asciiTheme="minorEastAsia" w:hAnsiTheme="minorEastAsia" w:eastAsiaTheme="minorEastAsia"/>
        </w:rPr>
        <w:tab/>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上述估值错误的主要类型包括但不限于：资料申报差错、数据传输差错、数据计算差错、系统故障差错、下达指令差错等。</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2、估值错误处理原则</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（2）估值错误的责任方对有关当事人的直接损失负责，不对间接损失负责，并且仅对估值错误的有关直接当事人负责，不对第三方负责。</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（4）估值错误调整采用尽量恢复至假设未发生估值错误的正确情形的方式。</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3、估值错误处理程序</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估值错误被发现后，有关的当事人应当及时进行处理，处理的程序如下：</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（1）查明估值错误发生的原因，列明所有的当事人，并根据估值错误发生的原因确定估值错误的责任方；</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（2）根据估值错误处理原则或当事人协商的方法对因估值错误造成的损失进行评估；</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（3）根据估值错误处理原则或当事人协商的方法由估值错误的责任方进行更正和赔偿损失；</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（4）根据估值错误处理的方法，需要修改基金登记机构交易数据的，由基金登记机构进行更正，并就估值错误的更正向有关当事人进行确认。</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4、基金份额净值估值错误处理的方法如下：</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（1）基金份额净值计算出现错误时，基金管理人应当立即予以纠正，通报基金托管人，并采取合理的措施防止损失进一步扩大。</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（2）错误偏差达到该类基金份额净值的0.25%时，基金管理人应当通报基金托管人并报中国证监会备案；错误偏差达到该类基金份额净值的0.5%时，基金管理人应当公告，并报中国证监会备案。</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（3）基金管理人和基金托管人由于各自技术系统设置而产生的净值计算尾差，以基金管理人计算结果为准。</w:t>
      </w:r>
    </w:p>
    <w:p>
      <w:pPr>
        <w:adjustRightInd w:val="0"/>
        <w:snapToGrid w:val="0"/>
        <w:spacing w:line="360" w:lineRule="auto"/>
        <w:ind w:firstLine="422" w:firstLineChars="201"/>
        <w:rPr>
          <w:rFonts w:asciiTheme="minorEastAsia" w:hAnsiTheme="minorEastAsia"/>
          <w:b/>
          <w:kern w:val="0"/>
        </w:rPr>
      </w:pPr>
      <w:r>
        <w:rPr>
          <w:rFonts w:hint="eastAsia" w:asciiTheme="minorEastAsia" w:hAnsiTheme="minorEastAsia" w:eastAsiaTheme="minorEastAsia"/>
        </w:rPr>
        <w:t>（4）前述内容如法律法规或监管机关另有规定的，从其规定处理。如果行业另有通行做法，基金管理人、基金托管人应本着平等和保护基金份额持有人利益的原则进行协商。</w:t>
      </w:r>
    </w:p>
    <w:p>
      <w:pPr>
        <w:adjustRightInd w:val="0"/>
        <w:snapToGrid w:val="0"/>
        <w:spacing w:line="360" w:lineRule="auto"/>
        <w:ind w:firstLine="424" w:firstLineChars="201"/>
        <w:rPr>
          <w:rFonts w:asciiTheme="minorEastAsia" w:hAnsiTheme="minorEastAsia"/>
          <w:b/>
          <w:kern w:val="0"/>
        </w:rPr>
      </w:pPr>
      <w:r>
        <w:rPr>
          <w:rFonts w:hint="eastAsia" w:asciiTheme="minorEastAsia" w:hAnsiTheme="minorEastAsia"/>
          <w:b/>
          <w:kern w:val="0"/>
        </w:rPr>
        <w:t>七、暂停估值的情形</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1、基金投资所涉及的证券、期货交易市场遇法定节假日或因其他原因暂停营业时；</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2、因不可抗力致使基金管理人、基金托管人无法准确评估基金资产价值时；</w:t>
      </w:r>
    </w:p>
    <w:p>
      <w:pPr>
        <w:adjustRightInd w:val="0"/>
        <w:snapToGrid w:val="0"/>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rPr>
        <w:t>3、当特定资产占前一估值日基金资产净值50%以上的，经与基金托管人协商确认后，基金管理人应当暂停估值；</w:t>
      </w:r>
    </w:p>
    <w:p>
      <w:pPr>
        <w:adjustRightInd w:val="0"/>
        <w:snapToGrid w:val="0"/>
        <w:spacing w:line="360" w:lineRule="auto"/>
        <w:ind w:firstLine="422" w:firstLineChars="201"/>
        <w:rPr>
          <w:rFonts w:asciiTheme="minorEastAsia" w:hAnsiTheme="minorEastAsia" w:eastAsiaTheme="minorEastAsia"/>
          <w:b/>
          <w:kern w:val="0"/>
        </w:rPr>
      </w:pPr>
      <w:r>
        <w:rPr>
          <w:rFonts w:hint="eastAsia" w:asciiTheme="minorEastAsia" w:hAnsiTheme="minorEastAsia" w:eastAsiaTheme="minorEastAsia"/>
        </w:rPr>
        <w:t>4、法律法规规定、中国证监会和基金合同认定的其它情形。</w:t>
      </w:r>
    </w:p>
    <w:p>
      <w:pPr>
        <w:adjustRightInd w:val="0"/>
        <w:snapToGrid w:val="0"/>
        <w:spacing w:line="360" w:lineRule="auto"/>
        <w:ind w:firstLine="424" w:firstLineChars="201"/>
        <w:rPr>
          <w:rFonts w:asciiTheme="minorEastAsia" w:hAnsiTheme="minorEastAsia" w:eastAsiaTheme="minorEastAsia"/>
          <w:b/>
          <w:kern w:val="0"/>
        </w:rPr>
      </w:pPr>
      <w:r>
        <w:rPr>
          <w:rFonts w:hint="eastAsia" w:asciiTheme="minorEastAsia" w:hAnsiTheme="minorEastAsia" w:eastAsiaTheme="minorEastAsia"/>
          <w:b/>
          <w:kern w:val="0"/>
        </w:rPr>
        <w:t>八、基金净值的确认</w:t>
      </w:r>
    </w:p>
    <w:p>
      <w:pPr>
        <w:tabs>
          <w:tab w:val="left" w:pos="3780"/>
        </w:tabs>
        <w:autoSpaceDE w:val="0"/>
        <w:autoSpaceDN w:val="0"/>
        <w:adjustRightInd w:val="0"/>
        <w:snapToGrid w:val="0"/>
        <w:spacing w:line="360" w:lineRule="auto"/>
        <w:ind w:firstLine="422" w:firstLineChars="201"/>
        <w:textAlignment w:val="bottom"/>
        <w:rPr>
          <w:rFonts w:ascii="Arial" w:hAnsi="Arial" w:cs="Arial"/>
          <w:b/>
          <w:bCs/>
          <w:szCs w:val="21"/>
        </w:rPr>
      </w:pPr>
      <w:r>
        <w:rPr>
          <w:rFonts w:hint="eastAsia" w:asciiTheme="minorEastAsia" w:hAnsiTheme="minorEastAsia" w:eastAsiaTheme="minorEastAsia"/>
          <w:kern w:val="0"/>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w:t>
      </w:r>
    </w:p>
    <w:p>
      <w:pPr>
        <w:tabs>
          <w:tab w:val="left" w:pos="3780"/>
        </w:tabs>
        <w:autoSpaceDE w:val="0"/>
        <w:autoSpaceDN w:val="0"/>
        <w:adjustRightInd w:val="0"/>
        <w:snapToGrid w:val="0"/>
        <w:spacing w:line="360" w:lineRule="auto"/>
        <w:ind w:firstLine="424" w:firstLineChars="201"/>
        <w:textAlignment w:val="bottom"/>
        <w:rPr>
          <w:rFonts w:ascii="Arial" w:hAnsi="Arial"/>
          <w:b/>
        </w:rPr>
      </w:pPr>
      <w:r>
        <w:rPr>
          <w:rFonts w:hint="eastAsia" w:ascii="Arial" w:hAnsi="Arial" w:cs="Arial"/>
          <w:b/>
          <w:bCs/>
          <w:szCs w:val="21"/>
        </w:rPr>
        <w:t>九、</w:t>
      </w:r>
      <w:r>
        <w:rPr>
          <w:rFonts w:ascii="Arial" w:hAnsi="Arial" w:cs="Arial"/>
          <w:b/>
          <w:bCs/>
          <w:szCs w:val="21"/>
        </w:rPr>
        <w:t>特殊情形</w:t>
      </w:r>
      <w:r>
        <w:rPr>
          <w:rFonts w:hint="eastAsia" w:ascii="Arial" w:hAnsi="Arial"/>
          <w:b/>
        </w:rPr>
        <w:t>的处理</w:t>
      </w:r>
    </w:p>
    <w:p>
      <w:pPr>
        <w:tabs>
          <w:tab w:val="left" w:pos="3780"/>
        </w:tabs>
        <w:autoSpaceDE w:val="0"/>
        <w:autoSpaceDN w:val="0"/>
        <w:adjustRightInd w:val="0"/>
        <w:snapToGrid w:val="0"/>
        <w:spacing w:line="360" w:lineRule="auto"/>
        <w:ind w:firstLine="422" w:firstLineChars="201"/>
        <w:textAlignment w:val="bottom"/>
        <w:rPr>
          <w:rFonts w:asciiTheme="minorEastAsia" w:hAnsiTheme="minorEastAsia" w:eastAsiaTheme="minorEastAsia"/>
          <w:kern w:val="0"/>
        </w:rPr>
      </w:pPr>
      <w:r>
        <w:rPr>
          <w:rFonts w:hint="eastAsia" w:asciiTheme="minorEastAsia" w:hAnsiTheme="minorEastAsia" w:eastAsiaTheme="minorEastAsia"/>
          <w:kern w:val="0"/>
        </w:rPr>
        <w:t>1、基金管理人或基金托管人按估值方法的第12项进行估值时，所造成的误差不作为基金资产估值错误处理。</w:t>
      </w:r>
    </w:p>
    <w:p>
      <w:pPr>
        <w:tabs>
          <w:tab w:val="left" w:pos="3780"/>
        </w:tabs>
        <w:autoSpaceDE w:val="0"/>
        <w:autoSpaceDN w:val="0"/>
        <w:adjustRightInd w:val="0"/>
        <w:snapToGrid w:val="0"/>
        <w:spacing w:line="360" w:lineRule="auto"/>
        <w:ind w:firstLine="422" w:firstLineChars="201"/>
        <w:textAlignment w:val="bottom"/>
        <w:rPr>
          <w:rFonts w:ascii="Arial" w:hAnsi="Arial" w:cs="Arial"/>
          <w:b/>
          <w:kern w:val="0"/>
          <w:szCs w:val="21"/>
        </w:rPr>
      </w:pPr>
      <w:r>
        <w:rPr>
          <w:rFonts w:hint="eastAsia" w:asciiTheme="minorEastAsia" w:hAnsiTheme="minorEastAsia" w:eastAsiaTheme="minorEastAsia"/>
          <w:kern w:val="0"/>
        </w:rPr>
        <w:t>2、由于有关会计制度变化或不可抗力原因，或由于证券、期货交易所或登记结算公司、指数编制机构及存款银行等第三方机构发送的数据错误、遗漏、市场规则变更等非基金管理人与基金托管人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pPr>
        <w:tabs>
          <w:tab w:val="left" w:pos="3780"/>
        </w:tabs>
        <w:autoSpaceDE w:val="0"/>
        <w:autoSpaceDN w:val="0"/>
        <w:adjustRightInd w:val="0"/>
        <w:snapToGrid w:val="0"/>
        <w:spacing w:line="360" w:lineRule="auto"/>
        <w:ind w:firstLine="424" w:firstLineChars="201"/>
        <w:textAlignment w:val="bottom"/>
        <w:rPr>
          <w:rFonts w:ascii="Arial" w:hAnsi="Arial" w:cs="Arial"/>
          <w:b/>
          <w:kern w:val="0"/>
          <w:szCs w:val="21"/>
        </w:rPr>
      </w:pPr>
      <w:r>
        <w:rPr>
          <w:rFonts w:hint="eastAsia" w:ascii="Arial" w:hAnsi="Arial" w:cs="Arial"/>
          <w:b/>
          <w:kern w:val="0"/>
          <w:szCs w:val="21"/>
        </w:rPr>
        <w:t>十、实施侧袋机制期间的基金资产估值</w:t>
      </w:r>
    </w:p>
    <w:p>
      <w:pPr>
        <w:adjustRightInd w:val="0"/>
        <w:snapToGrid w:val="0"/>
        <w:spacing w:line="360" w:lineRule="auto"/>
        <w:ind w:firstLine="422" w:firstLineChars="201"/>
        <w:sectPr>
          <w:footerReference r:id="rId20" w:type="first"/>
          <w:footerReference r:id="rId19" w:type="default"/>
          <w:pgSz w:w="11906" w:h="16838"/>
          <w:pgMar w:top="1440" w:right="1800" w:bottom="1440" w:left="1800" w:header="851" w:footer="992" w:gutter="0"/>
          <w:pgNumType w:start="1"/>
          <w:cols w:space="425" w:num="1"/>
          <w:titlePg/>
          <w:docGrid w:type="lines" w:linePitch="312" w:charSpace="0"/>
        </w:sectPr>
      </w:pPr>
      <w:r>
        <w:rPr>
          <w:rFonts w:hint="eastAsia" w:ascii="Arial" w:hAnsi="Arial" w:cs="Arial"/>
          <w:kern w:val="0"/>
          <w:szCs w:val="21"/>
        </w:rPr>
        <w:t>本基金实施侧袋机制的，应根据本部分的约定对主袋账户资产进行估值并披露主袋账户的基金净值信息，暂停披露侧袋账户基金净值信息。</w:t>
      </w:r>
    </w:p>
    <w:p>
      <w:pPr>
        <w:pStyle w:val="4"/>
        <w:numPr>
          <w:ilvl w:val="0"/>
          <w:numId w:val="25"/>
        </w:numPr>
        <w:snapToGrid w:val="0"/>
        <w:spacing w:before="0" w:after="0" w:line="360" w:lineRule="auto"/>
        <w:jc w:val="center"/>
      </w:pPr>
      <w:bookmarkStart w:id="102" w:name="_Toc327902634"/>
      <w:bookmarkStart w:id="103" w:name="_Toc336606239"/>
      <w:bookmarkStart w:id="104" w:name="_Toc92740295"/>
      <w:bookmarkStart w:id="105" w:name="_Toc411872034"/>
      <w:bookmarkStart w:id="106" w:name="_Toc375295985"/>
      <w:bookmarkStart w:id="107" w:name="_Toc332013122"/>
      <w:bookmarkStart w:id="108" w:name="_Toc369510020"/>
      <w:bookmarkStart w:id="109" w:name="_Toc335899845"/>
      <w:r>
        <w:rPr>
          <w:rFonts w:hint="eastAsia"/>
        </w:rPr>
        <w:t>基金的收益与分配</w:t>
      </w:r>
      <w:bookmarkEnd w:id="102"/>
      <w:bookmarkEnd w:id="103"/>
      <w:bookmarkEnd w:id="104"/>
      <w:bookmarkEnd w:id="105"/>
      <w:bookmarkEnd w:id="106"/>
      <w:bookmarkEnd w:id="107"/>
      <w:bookmarkEnd w:id="108"/>
      <w:bookmarkEnd w:id="109"/>
    </w:p>
    <w:p>
      <w:pPr>
        <w:snapToGrid w:val="0"/>
        <w:spacing w:line="360" w:lineRule="auto"/>
        <w:ind w:firstLine="474" w:firstLineChars="225"/>
        <w:rPr>
          <w:b/>
          <w:szCs w:val="21"/>
        </w:rPr>
      </w:pPr>
      <w:r>
        <w:rPr>
          <w:rFonts w:hint="eastAsia"/>
          <w:b/>
          <w:szCs w:val="21"/>
        </w:rPr>
        <w:t>一、基金利润的构成</w:t>
      </w:r>
    </w:p>
    <w:p>
      <w:pPr>
        <w:snapToGrid w:val="0"/>
        <w:spacing w:line="360" w:lineRule="auto"/>
        <w:ind w:firstLine="472" w:firstLineChars="225"/>
        <w:rPr>
          <w:bCs/>
          <w:szCs w:val="21"/>
        </w:rPr>
      </w:pPr>
      <w:r>
        <w:rPr>
          <w:rFonts w:hint="eastAsia"/>
          <w:bCs/>
          <w:szCs w:val="21"/>
        </w:rPr>
        <w:t>基金利润指基金利息收入、投资收益、公允价值变动收益和其他收入扣除相关费用后的余额，基金已实现收益指基金利润减去公允价值变动收益后的余额。</w:t>
      </w:r>
    </w:p>
    <w:p>
      <w:pPr>
        <w:snapToGrid w:val="0"/>
        <w:spacing w:line="360" w:lineRule="auto"/>
        <w:ind w:firstLine="474" w:firstLineChars="225"/>
        <w:rPr>
          <w:b/>
          <w:szCs w:val="21"/>
        </w:rPr>
      </w:pPr>
      <w:r>
        <w:rPr>
          <w:rFonts w:hint="eastAsia"/>
          <w:b/>
          <w:szCs w:val="21"/>
        </w:rPr>
        <w:t>二、基金可供分配利润</w:t>
      </w:r>
    </w:p>
    <w:p>
      <w:pPr>
        <w:snapToGrid w:val="0"/>
        <w:spacing w:line="360" w:lineRule="auto"/>
        <w:ind w:firstLine="472" w:firstLineChars="225"/>
        <w:rPr>
          <w:bCs/>
          <w:szCs w:val="21"/>
        </w:rPr>
      </w:pPr>
      <w:r>
        <w:rPr>
          <w:rFonts w:hint="eastAsia"/>
          <w:bCs/>
          <w:szCs w:val="21"/>
        </w:rPr>
        <w:t>基金可供分配利润指截至收益分配基准日基金未分配利润与未分配利润中已实现收益的孰低数。</w:t>
      </w:r>
    </w:p>
    <w:p>
      <w:pPr>
        <w:snapToGrid w:val="0"/>
        <w:spacing w:line="360" w:lineRule="auto"/>
        <w:ind w:firstLine="474" w:firstLineChars="225"/>
        <w:rPr>
          <w:b/>
          <w:szCs w:val="21"/>
        </w:rPr>
      </w:pPr>
      <w:r>
        <w:rPr>
          <w:rFonts w:hint="eastAsia"/>
          <w:b/>
          <w:szCs w:val="21"/>
        </w:rPr>
        <w:t>三、基金收益分配原则</w:t>
      </w:r>
    </w:p>
    <w:p>
      <w:pPr>
        <w:snapToGrid w:val="0"/>
        <w:spacing w:line="360" w:lineRule="auto"/>
        <w:ind w:firstLine="472" w:firstLineChars="225"/>
        <w:rPr>
          <w:bCs/>
          <w:szCs w:val="21"/>
        </w:rPr>
      </w:pPr>
      <w:r>
        <w:rPr>
          <w:rFonts w:hint="eastAsia"/>
          <w:bCs/>
          <w:szCs w:val="21"/>
        </w:rPr>
        <w:t>1、由于本基金A类基金份额不收取销售服务费，而C类基金份额收取销售服务费，各基金份额类别对应的可供分配利润将有所不同，本基金同一类别的每一基金份额享有同等分配权；</w:t>
      </w:r>
    </w:p>
    <w:p>
      <w:pPr>
        <w:snapToGrid w:val="0"/>
        <w:spacing w:line="360" w:lineRule="auto"/>
        <w:ind w:firstLine="472" w:firstLineChars="225"/>
        <w:rPr>
          <w:bCs/>
          <w:szCs w:val="21"/>
        </w:rPr>
      </w:pPr>
      <w:r>
        <w:rPr>
          <w:rFonts w:hint="eastAsia"/>
          <w:bCs/>
          <w:szCs w:val="21"/>
        </w:rPr>
        <w:t>2、本基金收益分配方式分两种：现金分红与红利再投资，投资者可选择现金红利或将现金红利自动转为相应类别的基金份额进行再投资，且基金份额持有人可对A类、C类基金份额分别选择不同的分红方式；若投资者不选择，本基金默认的收益分配方式是现金分红；</w:t>
      </w:r>
    </w:p>
    <w:p>
      <w:pPr>
        <w:snapToGrid w:val="0"/>
        <w:spacing w:line="360" w:lineRule="auto"/>
        <w:ind w:firstLine="472" w:firstLineChars="225"/>
        <w:rPr>
          <w:bCs/>
          <w:szCs w:val="21"/>
        </w:rPr>
      </w:pPr>
      <w:r>
        <w:rPr>
          <w:rFonts w:hint="eastAsia"/>
          <w:bCs/>
          <w:szCs w:val="21"/>
        </w:rPr>
        <w:t>3、基金收益分配后各类基金份额净值不能低于面值，即基金收益分配基准日的各类基金份额净值减去每单位该类基金份额收益分配金额后不能低于面值；</w:t>
      </w:r>
    </w:p>
    <w:p>
      <w:pPr>
        <w:snapToGrid w:val="0"/>
        <w:spacing w:line="360" w:lineRule="auto"/>
        <w:ind w:firstLine="472" w:firstLineChars="225"/>
        <w:rPr>
          <w:bCs/>
          <w:szCs w:val="21"/>
        </w:rPr>
      </w:pPr>
      <w:r>
        <w:rPr>
          <w:rFonts w:hint="eastAsia"/>
          <w:bCs/>
          <w:szCs w:val="21"/>
        </w:rPr>
        <w:t>4、法律法规或监管机关另有规定的，从其规定。</w:t>
      </w:r>
    </w:p>
    <w:p>
      <w:pPr>
        <w:snapToGrid w:val="0"/>
        <w:spacing w:line="360" w:lineRule="auto"/>
        <w:ind w:firstLine="472" w:firstLineChars="225"/>
        <w:rPr>
          <w:b/>
          <w:szCs w:val="21"/>
        </w:rPr>
      </w:pPr>
      <w:r>
        <w:rPr>
          <w:rFonts w:hint="eastAsia"/>
          <w:bCs/>
          <w:szCs w:val="21"/>
        </w:rPr>
        <w:t>在不违反法律法规及基金合同约定，并对基金份额持有人利益无实质不利影响的前提下，基金管理人经与基金托管人协商一致后，可对基金收益分配原则和支付方式进行调整，不需召开基金份额持有人大会。</w:t>
      </w:r>
    </w:p>
    <w:p>
      <w:pPr>
        <w:snapToGrid w:val="0"/>
        <w:spacing w:line="360" w:lineRule="auto"/>
        <w:ind w:firstLine="474" w:firstLineChars="225"/>
        <w:rPr>
          <w:b/>
          <w:szCs w:val="21"/>
        </w:rPr>
      </w:pPr>
      <w:r>
        <w:rPr>
          <w:rFonts w:hint="eastAsia"/>
          <w:b/>
          <w:szCs w:val="21"/>
        </w:rPr>
        <w:t>四、收益分配方案</w:t>
      </w:r>
    </w:p>
    <w:p>
      <w:pPr>
        <w:snapToGrid w:val="0"/>
        <w:spacing w:line="360" w:lineRule="auto"/>
        <w:ind w:firstLine="472" w:firstLineChars="225"/>
        <w:rPr>
          <w:bCs/>
          <w:szCs w:val="21"/>
        </w:rPr>
      </w:pPr>
      <w:r>
        <w:rPr>
          <w:rFonts w:hint="eastAsia"/>
          <w:bCs/>
          <w:szCs w:val="21"/>
        </w:rPr>
        <w:t>基金收益分配方案中应载明截至收益分配基准日的可供分配利润、基金收益分配对象、分配时间、分配数额及比例、分配方式等内容。</w:t>
      </w:r>
    </w:p>
    <w:p>
      <w:pPr>
        <w:snapToGrid w:val="0"/>
        <w:spacing w:line="360" w:lineRule="auto"/>
        <w:ind w:firstLine="474" w:firstLineChars="225"/>
        <w:rPr>
          <w:b/>
          <w:szCs w:val="21"/>
        </w:rPr>
      </w:pPr>
      <w:r>
        <w:rPr>
          <w:rFonts w:hint="eastAsia"/>
          <w:b/>
          <w:szCs w:val="21"/>
        </w:rPr>
        <w:t>五、收益分配方案的确定、公告与实施</w:t>
      </w:r>
    </w:p>
    <w:p>
      <w:pPr>
        <w:snapToGrid w:val="0"/>
        <w:spacing w:line="360" w:lineRule="auto"/>
        <w:ind w:firstLine="472" w:firstLineChars="225"/>
        <w:rPr>
          <w:bCs/>
          <w:szCs w:val="21"/>
        </w:rPr>
      </w:pPr>
      <w:r>
        <w:rPr>
          <w:rFonts w:hint="eastAsia"/>
          <w:bCs/>
          <w:szCs w:val="21"/>
        </w:rPr>
        <w:t>本基金收益分配方案由基金管理人拟定，并由基金托管人复核，按规定在规定媒介公告。</w:t>
      </w:r>
    </w:p>
    <w:p>
      <w:pPr>
        <w:snapToGrid w:val="0"/>
        <w:spacing w:line="360" w:lineRule="auto"/>
        <w:ind w:firstLine="474" w:firstLineChars="225"/>
        <w:rPr>
          <w:b/>
          <w:szCs w:val="21"/>
        </w:rPr>
      </w:pPr>
      <w:r>
        <w:rPr>
          <w:rFonts w:hint="eastAsia"/>
          <w:b/>
          <w:szCs w:val="21"/>
        </w:rPr>
        <w:t>六、基金收益分配中发生的费用</w:t>
      </w:r>
    </w:p>
    <w:p>
      <w:pPr>
        <w:snapToGrid w:val="0"/>
        <w:spacing w:line="360" w:lineRule="auto"/>
        <w:ind w:firstLine="472" w:firstLineChars="225"/>
        <w:rPr>
          <w:bCs/>
          <w:szCs w:val="21"/>
        </w:rPr>
      </w:pPr>
      <w:r>
        <w:rPr>
          <w:rFonts w:hint="eastAsia"/>
          <w:bCs/>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pPr>
        <w:snapToGrid w:val="0"/>
        <w:spacing w:line="360" w:lineRule="auto"/>
        <w:ind w:firstLine="474" w:firstLineChars="225"/>
        <w:rPr>
          <w:b/>
          <w:bCs/>
          <w:szCs w:val="21"/>
        </w:rPr>
      </w:pPr>
      <w:r>
        <w:rPr>
          <w:rFonts w:hint="eastAsia"/>
          <w:b/>
          <w:bCs/>
          <w:szCs w:val="21"/>
        </w:rPr>
        <w:t>七、实施侧袋机制期间的收益分配</w:t>
      </w:r>
    </w:p>
    <w:p>
      <w:pPr>
        <w:snapToGrid w:val="0"/>
        <w:spacing w:line="360" w:lineRule="auto"/>
        <w:ind w:firstLine="472" w:firstLineChars="225"/>
        <w:rPr>
          <w:bCs/>
          <w:szCs w:val="21"/>
        </w:rPr>
      </w:pPr>
      <w:r>
        <w:rPr>
          <w:rFonts w:hint="eastAsia"/>
          <w:bCs/>
          <w:szCs w:val="21"/>
        </w:rPr>
        <w:t>本基金实施侧袋机制的，侧袋账户不进行收益分配，</w:t>
      </w:r>
      <w:r>
        <w:rPr>
          <w:rFonts w:hint="eastAsia"/>
        </w:rPr>
        <w:t>详见本招募说明书“侧袋机制”部分的规定</w:t>
      </w:r>
      <w:r>
        <w:rPr>
          <w:rFonts w:hint="eastAsia"/>
          <w:bCs/>
          <w:szCs w:val="21"/>
        </w:rPr>
        <w:t>。</w:t>
      </w:r>
    </w:p>
    <w:p>
      <w:pPr>
        <w:snapToGrid w:val="0"/>
        <w:spacing w:line="360" w:lineRule="auto"/>
        <w:ind w:firstLine="472" w:firstLineChars="225"/>
        <w:rPr>
          <w:rFonts w:ascii="宋体"/>
          <w:bCs/>
          <w:szCs w:val="21"/>
        </w:rPr>
        <w:sectPr>
          <w:footerReference r:id="rId21" w:type="firs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110" w:name="_Toc411872035"/>
      <w:bookmarkStart w:id="111" w:name="_Toc332013123"/>
      <w:bookmarkStart w:id="112" w:name="_Toc336606240"/>
      <w:bookmarkStart w:id="113" w:name="_Toc92740296"/>
      <w:bookmarkStart w:id="114" w:name="_Toc369510021"/>
      <w:bookmarkStart w:id="115" w:name="_Toc335899846"/>
      <w:bookmarkStart w:id="116" w:name="_Toc327902635"/>
      <w:bookmarkStart w:id="117" w:name="_Toc375295986"/>
      <w:r>
        <w:rPr>
          <w:rFonts w:hint="eastAsia"/>
        </w:rPr>
        <w:t>基金的费用与税收</w:t>
      </w:r>
      <w:bookmarkEnd w:id="110"/>
      <w:bookmarkEnd w:id="111"/>
      <w:bookmarkEnd w:id="112"/>
      <w:bookmarkEnd w:id="113"/>
      <w:bookmarkEnd w:id="114"/>
      <w:bookmarkEnd w:id="115"/>
      <w:bookmarkEnd w:id="116"/>
      <w:bookmarkEnd w:id="117"/>
    </w:p>
    <w:p>
      <w:pPr>
        <w:autoSpaceDE w:val="0"/>
        <w:autoSpaceDN w:val="0"/>
        <w:adjustRightInd w:val="0"/>
        <w:spacing w:line="360" w:lineRule="auto"/>
        <w:ind w:firstLine="422" w:firstLineChars="200"/>
        <w:jc w:val="left"/>
        <w:rPr>
          <w:rFonts w:cs="宋体" w:asciiTheme="minorEastAsia" w:hAnsiTheme="minorEastAsia"/>
          <w:b/>
          <w:bCs/>
          <w:kern w:val="0"/>
          <w:szCs w:val="21"/>
        </w:rPr>
      </w:pPr>
      <w:r>
        <w:rPr>
          <w:rFonts w:hint="eastAsia" w:cs="宋体" w:asciiTheme="minorEastAsia" w:hAnsiTheme="minorEastAsia"/>
          <w:b/>
          <w:bCs/>
          <w:kern w:val="0"/>
          <w:szCs w:val="21"/>
        </w:rPr>
        <w:t>一、基金费用的种类</w:t>
      </w:r>
    </w:p>
    <w:p>
      <w:pPr>
        <w:spacing w:line="360" w:lineRule="auto"/>
        <w:ind w:firstLine="420" w:firstLineChars="200"/>
        <w:rPr>
          <w:bCs/>
          <w:szCs w:val="21"/>
        </w:rPr>
      </w:pPr>
      <w:r>
        <w:rPr>
          <w:rFonts w:hint="eastAsia"/>
          <w:bCs/>
          <w:szCs w:val="21"/>
        </w:rPr>
        <w:t>1、基金管理人的管理费；</w:t>
      </w:r>
    </w:p>
    <w:p>
      <w:pPr>
        <w:spacing w:line="360" w:lineRule="auto"/>
        <w:ind w:firstLine="420" w:firstLineChars="200"/>
        <w:rPr>
          <w:bCs/>
          <w:szCs w:val="21"/>
        </w:rPr>
      </w:pPr>
      <w:r>
        <w:rPr>
          <w:rFonts w:hint="eastAsia"/>
          <w:bCs/>
          <w:szCs w:val="21"/>
        </w:rPr>
        <w:t>2、基金托管人的托管费；</w:t>
      </w:r>
    </w:p>
    <w:p>
      <w:pPr>
        <w:spacing w:line="360" w:lineRule="auto"/>
        <w:ind w:firstLine="420" w:firstLineChars="200"/>
        <w:rPr>
          <w:bCs/>
          <w:szCs w:val="21"/>
        </w:rPr>
      </w:pPr>
      <w:r>
        <w:rPr>
          <w:rFonts w:hint="eastAsia"/>
          <w:bCs/>
          <w:szCs w:val="21"/>
        </w:rPr>
        <w:t>3、C类基金份额的销售服务费；</w:t>
      </w:r>
    </w:p>
    <w:p>
      <w:pPr>
        <w:spacing w:line="360" w:lineRule="auto"/>
        <w:ind w:firstLine="420" w:firstLineChars="200"/>
        <w:rPr>
          <w:bCs/>
          <w:szCs w:val="21"/>
        </w:rPr>
      </w:pPr>
      <w:r>
        <w:rPr>
          <w:rFonts w:hint="eastAsia"/>
          <w:bCs/>
          <w:szCs w:val="21"/>
        </w:rPr>
        <w:t>4、基金合同生效后与基金相关的信息披露费用，法律法规、中国证监会另有规定的除外；</w:t>
      </w:r>
    </w:p>
    <w:p>
      <w:pPr>
        <w:spacing w:line="360" w:lineRule="auto"/>
        <w:ind w:firstLine="420" w:firstLineChars="200"/>
        <w:rPr>
          <w:bCs/>
          <w:szCs w:val="21"/>
        </w:rPr>
      </w:pPr>
      <w:r>
        <w:rPr>
          <w:rFonts w:hint="eastAsia"/>
          <w:bCs/>
          <w:szCs w:val="21"/>
        </w:rPr>
        <w:t>5、基金合同生效后与基金相关的会计师费、公证费、律师费、诉讼费和仲裁费；</w:t>
      </w:r>
    </w:p>
    <w:p>
      <w:pPr>
        <w:spacing w:line="360" w:lineRule="auto"/>
        <w:ind w:firstLine="420" w:firstLineChars="200"/>
        <w:rPr>
          <w:bCs/>
          <w:szCs w:val="21"/>
        </w:rPr>
      </w:pPr>
      <w:r>
        <w:rPr>
          <w:rFonts w:hint="eastAsia"/>
          <w:bCs/>
          <w:szCs w:val="21"/>
        </w:rPr>
        <w:t>6、基金份额持有人大会费用；</w:t>
      </w:r>
    </w:p>
    <w:p>
      <w:pPr>
        <w:spacing w:line="360" w:lineRule="auto"/>
        <w:ind w:firstLine="420" w:firstLineChars="200"/>
        <w:rPr>
          <w:bCs/>
          <w:szCs w:val="21"/>
        </w:rPr>
      </w:pPr>
      <w:r>
        <w:rPr>
          <w:rFonts w:hint="eastAsia"/>
          <w:bCs/>
          <w:szCs w:val="21"/>
        </w:rPr>
        <w:t>7、基金的证券、期货、期权交易费用；</w:t>
      </w:r>
    </w:p>
    <w:p>
      <w:pPr>
        <w:spacing w:line="360" w:lineRule="auto"/>
        <w:ind w:firstLine="420" w:firstLineChars="200"/>
        <w:rPr>
          <w:bCs/>
          <w:szCs w:val="21"/>
        </w:rPr>
      </w:pPr>
      <w:r>
        <w:rPr>
          <w:rFonts w:hint="eastAsia"/>
          <w:bCs/>
          <w:szCs w:val="21"/>
        </w:rPr>
        <w:t>8、基金的银行汇划费用；</w:t>
      </w:r>
    </w:p>
    <w:p>
      <w:pPr>
        <w:spacing w:line="360" w:lineRule="auto"/>
        <w:ind w:firstLine="420" w:firstLineChars="200"/>
        <w:rPr>
          <w:bCs/>
          <w:szCs w:val="21"/>
        </w:rPr>
      </w:pPr>
      <w:r>
        <w:rPr>
          <w:rFonts w:hint="eastAsia"/>
          <w:bCs/>
          <w:szCs w:val="21"/>
        </w:rPr>
        <w:t>9、账户开户费用、账户维护费用；</w:t>
      </w:r>
    </w:p>
    <w:p>
      <w:pPr>
        <w:spacing w:line="360" w:lineRule="auto"/>
        <w:ind w:firstLine="420" w:firstLineChars="200"/>
        <w:rPr>
          <w:bCs/>
          <w:szCs w:val="21"/>
        </w:rPr>
      </w:pPr>
      <w:r>
        <w:rPr>
          <w:rFonts w:hint="eastAsia"/>
          <w:bCs/>
          <w:szCs w:val="21"/>
        </w:rPr>
        <w:t>10、基金财产投资运营过程中的增值税；</w:t>
      </w:r>
    </w:p>
    <w:p>
      <w:pPr>
        <w:spacing w:line="360" w:lineRule="auto"/>
        <w:ind w:firstLine="420" w:firstLineChars="200"/>
        <w:rPr>
          <w:bCs/>
          <w:szCs w:val="21"/>
        </w:rPr>
      </w:pPr>
      <w:r>
        <w:rPr>
          <w:rFonts w:hint="eastAsia"/>
          <w:bCs/>
          <w:szCs w:val="21"/>
        </w:rPr>
        <w:t>11、按照国家有关规定和基金合同约定，可以在基金财产中列支的其他费用。</w:t>
      </w:r>
    </w:p>
    <w:p>
      <w:pPr>
        <w:autoSpaceDE w:val="0"/>
        <w:autoSpaceDN w:val="0"/>
        <w:adjustRightInd w:val="0"/>
        <w:spacing w:line="360" w:lineRule="auto"/>
        <w:ind w:firstLine="422" w:firstLineChars="200"/>
        <w:jc w:val="left"/>
        <w:rPr>
          <w:rFonts w:cs="宋体" w:asciiTheme="minorEastAsia" w:hAnsiTheme="minorEastAsia"/>
          <w:b/>
          <w:bCs/>
          <w:kern w:val="0"/>
          <w:szCs w:val="21"/>
        </w:rPr>
      </w:pPr>
      <w:r>
        <w:rPr>
          <w:rFonts w:hint="eastAsia" w:cs="宋体" w:asciiTheme="minorEastAsia" w:hAnsiTheme="minorEastAsia"/>
          <w:b/>
          <w:bCs/>
          <w:kern w:val="0"/>
          <w:szCs w:val="21"/>
        </w:rPr>
        <w:t>二、基金费用计提方法、计提标准和支付方式</w:t>
      </w:r>
    </w:p>
    <w:p>
      <w:pPr>
        <w:spacing w:line="360" w:lineRule="auto"/>
        <w:ind w:firstLine="420" w:firstLineChars="200"/>
        <w:rPr>
          <w:bCs/>
          <w:szCs w:val="21"/>
        </w:rPr>
      </w:pPr>
      <w:r>
        <w:rPr>
          <w:rFonts w:hint="eastAsia"/>
          <w:bCs/>
          <w:szCs w:val="21"/>
        </w:rPr>
        <w:t xml:space="preserve">1、基金管理人的管理费 </w:t>
      </w:r>
    </w:p>
    <w:p>
      <w:pPr>
        <w:spacing w:line="360" w:lineRule="auto"/>
        <w:ind w:firstLine="420" w:firstLineChars="200"/>
        <w:rPr>
          <w:bCs/>
          <w:szCs w:val="21"/>
        </w:rPr>
      </w:pPr>
      <w:r>
        <w:rPr>
          <w:rFonts w:hint="eastAsia"/>
          <w:bCs/>
          <w:szCs w:val="21"/>
        </w:rPr>
        <w:t>本基金的管理费按前一日基金资产净值的0.40%年费率计提。管理费的计算方法如下：</w:t>
      </w:r>
    </w:p>
    <w:p>
      <w:pPr>
        <w:spacing w:line="360" w:lineRule="auto"/>
        <w:ind w:firstLine="420" w:firstLineChars="200"/>
        <w:rPr>
          <w:bCs/>
          <w:szCs w:val="21"/>
        </w:rPr>
      </w:pPr>
      <w:r>
        <w:rPr>
          <w:rFonts w:hint="eastAsia"/>
          <w:bCs/>
          <w:szCs w:val="21"/>
        </w:rPr>
        <w:t>H＝E×0.40%÷当年天数</w:t>
      </w:r>
    </w:p>
    <w:p>
      <w:pPr>
        <w:spacing w:line="360" w:lineRule="auto"/>
        <w:ind w:firstLine="420" w:firstLineChars="200"/>
        <w:rPr>
          <w:bCs/>
          <w:szCs w:val="21"/>
        </w:rPr>
      </w:pPr>
      <w:r>
        <w:rPr>
          <w:rFonts w:hint="eastAsia"/>
          <w:bCs/>
          <w:szCs w:val="21"/>
        </w:rPr>
        <w:t>H为每日应计提的基金管理费</w:t>
      </w:r>
    </w:p>
    <w:p>
      <w:pPr>
        <w:spacing w:line="360" w:lineRule="auto"/>
        <w:ind w:firstLine="420" w:firstLineChars="200"/>
        <w:rPr>
          <w:bCs/>
          <w:szCs w:val="21"/>
        </w:rPr>
      </w:pPr>
      <w:r>
        <w:rPr>
          <w:rFonts w:hint="eastAsia"/>
          <w:bCs/>
          <w:szCs w:val="21"/>
        </w:rPr>
        <w:t>E为前一日的基金资产净值</w:t>
      </w:r>
    </w:p>
    <w:p>
      <w:pPr>
        <w:spacing w:line="360" w:lineRule="auto"/>
        <w:ind w:firstLine="420" w:firstLineChars="200"/>
        <w:rPr>
          <w:bCs/>
          <w:szCs w:val="21"/>
        </w:rPr>
      </w:pPr>
      <w:r>
        <w:rPr>
          <w:rFonts w:hint="eastAsia"/>
          <w:bCs/>
          <w:szCs w:val="21"/>
        </w:rPr>
        <w:t>基金管理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日或不可抗力等致使无法按时支付的，支付日期顺延。</w:t>
      </w:r>
    </w:p>
    <w:p>
      <w:pPr>
        <w:spacing w:line="360" w:lineRule="auto"/>
        <w:ind w:firstLine="420" w:firstLineChars="200"/>
        <w:rPr>
          <w:bCs/>
          <w:szCs w:val="21"/>
        </w:rPr>
      </w:pPr>
      <w:r>
        <w:rPr>
          <w:rFonts w:hint="eastAsia"/>
          <w:bCs/>
          <w:szCs w:val="21"/>
        </w:rPr>
        <w:t>2、基金托管人的托管费</w:t>
      </w:r>
    </w:p>
    <w:p>
      <w:pPr>
        <w:spacing w:line="360" w:lineRule="auto"/>
        <w:ind w:firstLine="420" w:firstLineChars="200"/>
        <w:rPr>
          <w:bCs/>
          <w:szCs w:val="21"/>
        </w:rPr>
      </w:pPr>
      <w:r>
        <w:rPr>
          <w:rFonts w:hint="eastAsia"/>
          <w:bCs/>
          <w:szCs w:val="21"/>
        </w:rPr>
        <w:t>本基金的托管费按前一日基金资产净值的0.05%年费率计提。托管费的计算方法如下：</w:t>
      </w:r>
    </w:p>
    <w:p>
      <w:pPr>
        <w:spacing w:line="360" w:lineRule="auto"/>
        <w:ind w:firstLine="420" w:firstLineChars="200"/>
        <w:rPr>
          <w:bCs/>
          <w:szCs w:val="21"/>
        </w:rPr>
      </w:pPr>
      <w:r>
        <w:rPr>
          <w:rFonts w:hint="eastAsia"/>
          <w:bCs/>
          <w:szCs w:val="21"/>
        </w:rPr>
        <w:t>H＝E×0.05%÷当年天数</w:t>
      </w:r>
    </w:p>
    <w:p>
      <w:pPr>
        <w:spacing w:line="360" w:lineRule="auto"/>
        <w:ind w:firstLine="420" w:firstLineChars="200"/>
        <w:rPr>
          <w:bCs/>
          <w:szCs w:val="21"/>
        </w:rPr>
      </w:pPr>
      <w:r>
        <w:rPr>
          <w:rFonts w:hint="eastAsia"/>
          <w:bCs/>
          <w:szCs w:val="21"/>
        </w:rPr>
        <w:t>H为每日应计提的基金托管费</w:t>
      </w:r>
    </w:p>
    <w:p>
      <w:pPr>
        <w:spacing w:line="360" w:lineRule="auto"/>
        <w:ind w:firstLine="420" w:firstLineChars="200"/>
        <w:rPr>
          <w:bCs/>
          <w:szCs w:val="21"/>
        </w:rPr>
      </w:pPr>
      <w:r>
        <w:rPr>
          <w:rFonts w:hint="eastAsia"/>
          <w:bCs/>
          <w:szCs w:val="21"/>
        </w:rPr>
        <w:t>E为前一日的基金资产净值</w:t>
      </w:r>
    </w:p>
    <w:p>
      <w:pPr>
        <w:spacing w:line="360" w:lineRule="auto"/>
        <w:ind w:firstLine="420" w:firstLineChars="200"/>
        <w:rPr>
          <w:bCs/>
          <w:szCs w:val="21"/>
        </w:rPr>
      </w:pPr>
      <w:r>
        <w:rPr>
          <w:rFonts w:hint="eastAsia"/>
          <w:bCs/>
          <w:szCs w:val="21"/>
        </w:rPr>
        <w:t>基金托管费每日计提，逐日累计至每月月末，按月支付。由基金托管人根据与基金管理人核对一致的财务数据，按照基金托管人与基金管理人协商一致的方式在月初3个工作日内、按照指定的账户路径进行资金支付。若遇法定节假日、公休日或不可抗力等致使无法按时支付的，支付日期顺延。</w:t>
      </w:r>
    </w:p>
    <w:p>
      <w:pPr>
        <w:spacing w:line="360" w:lineRule="auto"/>
        <w:ind w:firstLine="420" w:firstLineChars="200"/>
        <w:rPr>
          <w:bCs/>
          <w:szCs w:val="21"/>
        </w:rPr>
      </w:pPr>
      <w:r>
        <w:rPr>
          <w:rFonts w:hint="eastAsia"/>
          <w:bCs/>
          <w:szCs w:val="21"/>
        </w:rPr>
        <w:t>3、C类份额的销售服务费</w:t>
      </w:r>
    </w:p>
    <w:p>
      <w:pPr>
        <w:spacing w:line="360" w:lineRule="auto"/>
        <w:ind w:firstLine="420" w:firstLineChars="200"/>
        <w:rPr>
          <w:bCs/>
          <w:szCs w:val="21"/>
        </w:rPr>
      </w:pPr>
      <w:r>
        <w:rPr>
          <w:rFonts w:hint="eastAsia"/>
          <w:bCs/>
          <w:szCs w:val="21"/>
        </w:rPr>
        <w:t>本基金A类基金份额不收取销售服务费，C类基金份额的销售服务费年费率为0.20%。</w:t>
      </w:r>
    </w:p>
    <w:p>
      <w:pPr>
        <w:spacing w:line="360" w:lineRule="auto"/>
        <w:ind w:firstLine="420" w:firstLineChars="200"/>
        <w:rPr>
          <w:bCs/>
          <w:szCs w:val="21"/>
        </w:rPr>
      </w:pPr>
      <w:r>
        <w:rPr>
          <w:rFonts w:hint="eastAsia"/>
          <w:bCs/>
          <w:szCs w:val="21"/>
        </w:rPr>
        <w:t xml:space="preserve">本基金销售服务费按前一日C类基金资产净值的0.20%年费率计提。计算方法如下： </w:t>
      </w:r>
    </w:p>
    <w:p>
      <w:pPr>
        <w:spacing w:line="360" w:lineRule="auto"/>
        <w:ind w:firstLine="420" w:firstLineChars="200"/>
        <w:rPr>
          <w:bCs/>
          <w:szCs w:val="21"/>
        </w:rPr>
      </w:pPr>
      <w:r>
        <w:rPr>
          <w:rFonts w:hint="eastAsia"/>
          <w:bCs/>
          <w:szCs w:val="21"/>
        </w:rPr>
        <w:t xml:space="preserve">H＝E×0.20%÷当年天数 </w:t>
      </w:r>
    </w:p>
    <w:p>
      <w:pPr>
        <w:spacing w:line="360" w:lineRule="auto"/>
        <w:ind w:firstLine="420" w:firstLineChars="200"/>
        <w:rPr>
          <w:bCs/>
          <w:szCs w:val="21"/>
        </w:rPr>
      </w:pPr>
      <w:r>
        <w:rPr>
          <w:rFonts w:hint="eastAsia"/>
          <w:bCs/>
          <w:szCs w:val="21"/>
        </w:rPr>
        <w:t>H为C类基金份额每日应计提的销售服务费</w:t>
      </w:r>
    </w:p>
    <w:p>
      <w:pPr>
        <w:spacing w:line="360" w:lineRule="auto"/>
        <w:ind w:firstLine="420" w:firstLineChars="200"/>
        <w:rPr>
          <w:bCs/>
          <w:szCs w:val="21"/>
        </w:rPr>
      </w:pPr>
      <w:r>
        <w:rPr>
          <w:rFonts w:hint="eastAsia"/>
          <w:bCs/>
          <w:szCs w:val="21"/>
        </w:rPr>
        <w:t>E为C类基金份额前一日基金资产净值</w:t>
      </w:r>
    </w:p>
    <w:p>
      <w:pPr>
        <w:spacing w:line="360" w:lineRule="auto"/>
        <w:ind w:firstLine="420" w:firstLineChars="200"/>
        <w:rPr>
          <w:bCs/>
          <w:szCs w:val="21"/>
        </w:rPr>
      </w:pPr>
      <w:r>
        <w:rPr>
          <w:rFonts w:hint="eastAsia"/>
          <w:bCs/>
          <w:szCs w:val="21"/>
        </w:rPr>
        <w:t>基金销售服务费每日计提，逐日累计至每月月末，按月支付。由基金托管人根据与基金管理人核对一致的财务数据，按照基金托管人与基金管理人协商一致的方式在月初3个工作日内、按照指定的账户路径进行资金支付，由登记机构代付给销售机构。若遇法定节假日、公休日或不可抗力等致使无法按时支付的，支付日期顺延。</w:t>
      </w:r>
    </w:p>
    <w:p>
      <w:pPr>
        <w:spacing w:line="360" w:lineRule="auto"/>
        <w:ind w:firstLine="420" w:firstLineChars="200"/>
        <w:rPr>
          <w:rFonts w:cs="宋体" w:asciiTheme="minorEastAsia" w:hAnsiTheme="minorEastAsia"/>
          <w:kern w:val="0"/>
          <w:szCs w:val="21"/>
        </w:rPr>
      </w:pPr>
      <w:r>
        <w:rPr>
          <w:rFonts w:hint="eastAsia"/>
          <w:bCs/>
          <w:szCs w:val="21"/>
        </w:rPr>
        <w:t>上述“一、基金费用的种类”中第4－11项费用，根据有关法规及相应协议规定，按费用实际支出金额列入当期费用，由基金托管人从基金财产中支付。</w:t>
      </w:r>
    </w:p>
    <w:p>
      <w:pPr>
        <w:autoSpaceDE w:val="0"/>
        <w:autoSpaceDN w:val="0"/>
        <w:adjustRightInd w:val="0"/>
        <w:spacing w:line="360" w:lineRule="auto"/>
        <w:ind w:firstLine="422" w:firstLineChars="200"/>
        <w:jc w:val="left"/>
        <w:rPr>
          <w:rFonts w:cs="宋体" w:asciiTheme="minorEastAsia" w:hAnsiTheme="minorEastAsia"/>
          <w:b/>
          <w:bCs/>
          <w:kern w:val="0"/>
          <w:szCs w:val="21"/>
        </w:rPr>
      </w:pPr>
      <w:r>
        <w:rPr>
          <w:rFonts w:hint="eastAsia" w:cs="宋体" w:asciiTheme="minorEastAsia" w:hAnsiTheme="minorEastAsia"/>
          <w:b/>
          <w:bCs/>
          <w:kern w:val="0"/>
          <w:szCs w:val="21"/>
        </w:rPr>
        <w:t>三、不列入基金费用的项目</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下列费用不列入基金费用：</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1、基金管理人和基金托管人因未履行或未完全履行义务导致的费用支出或基金财产的损失；</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2、基金管理人和基金托管人处理与基金运作无关的事项发生的费用；</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3、指数许可使用费</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本基金按照基金管理人与标的指数许可方所签订的指数使用许可协议中所规定的指数许可使用费计提方法支付指数许可使用费，该指数许可使用费由基金管理人承担，不得从基金财产中列支。</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如果指数许可使用费的计算方法、费率、支付方式和费用承担方等发生调整，本基金将采用调整后的方法或费率计算指数许可使用费；</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4、《基金合同》生效前的相关费用；</w:t>
      </w:r>
    </w:p>
    <w:p>
      <w:pPr>
        <w:spacing w:line="360" w:lineRule="auto"/>
        <w:ind w:firstLine="420" w:firstLineChars="200"/>
        <w:rPr>
          <w:rFonts w:cs="宋体" w:asciiTheme="minorEastAsia" w:hAnsiTheme="minorEastAsia"/>
          <w:kern w:val="0"/>
          <w:szCs w:val="21"/>
        </w:rPr>
      </w:pPr>
      <w:r>
        <w:rPr>
          <w:rFonts w:hint="eastAsia" w:cs="宋体" w:asciiTheme="minorEastAsia" w:hAnsiTheme="minorEastAsia"/>
          <w:kern w:val="0"/>
          <w:szCs w:val="21"/>
        </w:rPr>
        <w:t>5、其他根据相关法律法规及中国证监会的有关规定不得列入基金费用的项目。</w:t>
      </w:r>
    </w:p>
    <w:p>
      <w:pPr>
        <w:autoSpaceDE w:val="0"/>
        <w:autoSpaceDN w:val="0"/>
        <w:adjustRightInd w:val="0"/>
        <w:spacing w:line="360" w:lineRule="auto"/>
        <w:ind w:firstLine="422" w:firstLineChars="200"/>
        <w:jc w:val="left"/>
        <w:rPr>
          <w:rFonts w:cs="宋体" w:asciiTheme="minorEastAsia" w:hAnsiTheme="minorEastAsia"/>
          <w:b/>
          <w:bCs/>
          <w:kern w:val="0"/>
          <w:szCs w:val="21"/>
        </w:rPr>
      </w:pPr>
      <w:r>
        <w:rPr>
          <w:rFonts w:hint="eastAsia" w:cs="宋体" w:asciiTheme="minorEastAsia" w:hAnsiTheme="minorEastAsia"/>
          <w:b/>
          <w:bCs/>
          <w:kern w:val="0"/>
          <w:szCs w:val="21"/>
        </w:rPr>
        <w:t>四、实施侧袋机制期间的基金费用</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本基金实施侧袋机制的，与侧袋账户有关的费用可以从侧袋账户中列支，但应待侧袋账户资产变现后方可列支，有关费用可酌情收取或减免，但不得收取管理费，详见本招募说明书</w:t>
      </w:r>
      <w:r>
        <w:rPr>
          <w:rFonts w:hint="eastAsia"/>
        </w:rPr>
        <w:t>“侧袋机制”部分</w:t>
      </w:r>
      <w:r>
        <w:rPr>
          <w:rFonts w:hint="eastAsia" w:cs="宋体" w:asciiTheme="minorEastAsia" w:hAnsiTheme="minorEastAsia"/>
          <w:kern w:val="0"/>
          <w:szCs w:val="21"/>
        </w:rPr>
        <w:t>的规定。</w:t>
      </w:r>
    </w:p>
    <w:p>
      <w:pPr>
        <w:autoSpaceDE w:val="0"/>
        <w:autoSpaceDN w:val="0"/>
        <w:adjustRightInd w:val="0"/>
        <w:spacing w:line="360" w:lineRule="auto"/>
        <w:ind w:firstLine="422" w:firstLineChars="200"/>
        <w:jc w:val="left"/>
        <w:rPr>
          <w:rFonts w:cs="宋体" w:asciiTheme="minorEastAsia" w:hAnsiTheme="minorEastAsia"/>
          <w:b/>
          <w:bCs/>
          <w:kern w:val="0"/>
          <w:szCs w:val="21"/>
        </w:rPr>
      </w:pPr>
      <w:r>
        <w:rPr>
          <w:rFonts w:hint="eastAsia" w:cs="宋体" w:asciiTheme="minorEastAsia" w:hAnsiTheme="minorEastAsia"/>
          <w:b/>
          <w:bCs/>
          <w:kern w:val="0"/>
          <w:szCs w:val="21"/>
        </w:rPr>
        <w:t>五、基金税收</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基金运作过程中涉及的各纳税主体，其纳税义务按国家税收法律、法规执行。基金财产投资的相关税收，由基金份额持有人承担，基金管理人或者其他扣缴义务人按照国家有关税收征收的规定代扣代缴。</w:t>
      </w:r>
    </w:p>
    <w:p>
      <w:pPr>
        <w:autoSpaceDE w:val="0"/>
        <w:autoSpaceDN w:val="0"/>
        <w:adjustRightInd w:val="0"/>
        <w:spacing w:line="360" w:lineRule="auto"/>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本基金支付给基金管理人、基金托管人的各项费用均为含税价格，具体税率适用中国税务主管机关的规定。</w:t>
      </w:r>
    </w:p>
    <w:p>
      <w:pPr>
        <w:adjustRightInd w:val="0"/>
        <w:snapToGrid w:val="0"/>
        <w:spacing w:line="360" w:lineRule="auto"/>
        <w:ind w:firstLine="420" w:firstLineChars="200"/>
        <w:rPr>
          <w:rFonts w:asciiTheme="minorEastAsia" w:hAnsiTheme="minorEastAsia" w:eastAsiaTheme="minorEastAsia"/>
        </w:rPr>
        <w:sectPr>
          <w:footerReference r:id="rId23" w:type="first"/>
          <w:footerReference r:id="rId22" w:type="defaul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118" w:name="_Toc327902636"/>
      <w:bookmarkStart w:id="119" w:name="_Toc336606241"/>
      <w:bookmarkStart w:id="120" w:name="_Toc335899847"/>
      <w:bookmarkStart w:id="121" w:name="_Toc92740297"/>
      <w:bookmarkStart w:id="122" w:name="_Toc375295987"/>
      <w:bookmarkStart w:id="123" w:name="_Toc332013124"/>
      <w:bookmarkStart w:id="124" w:name="_Toc411872036"/>
      <w:bookmarkStart w:id="125" w:name="_Toc369510022"/>
      <w:r>
        <w:rPr>
          <w:rFonts w:hint="eastAsia"/>
        </w:rPr>
        <w:t>基金的会计与审计</w:t>
      </w:r>
      <w:bookmarkEnd w:id="118"/>
      <w:bookmarkEnd w:id="119"/>
      <w:bookmarkEnd w:id="120"/>
      <w:bookmarkEnd w:id="121"/>
      <w:bookmarkEnd w:id="122"/>
      <w:bookmarkEnd w:id="123"/>
      <w:bookmarkEnd w:id="124"/>
      <w:bookmarkEnd w:id="125"/>
    </w:p>
    <w:p>
      <w:pPr>
        <w:snapToGrid w:val="0"/>
        <w:spacing w:line="360" w:lineRule="auto"/>
        <w:ind w:firstLine="422" w:firstLineChars="200"/>
        <w:rPr>
          <w:rFonts w:ascii="宋体" w:hAnsi="宋体"/>
          <w:b/>
          <w:bCs/>
          <w:szCs w:val="21"/>
        </w:rPr>
      </w:pPr>
      <w:r>
        <w:rPr>
          <w:rFonts w:hint="eastAsia" w:ascii="宋体" w:hAnsi="宋体"/>
          <w:b/>
          <w:bCs/>
          <w:szCs w:val="21"/>
        </w:rPr>
        <w:t>一、基金会计政策</w:t>
      </w:r>
    </w:p>
    <w:p>
      <w:pPr>
        <w:snapToGrid w:val="0"/>
        <w:spacing w:line="360" w:lineRule="auto"/>
        <w:ind w:firstLine="420" w:firstLineChars="200"/>
        <w:rPr>
          <w:rFonts w:ascii="宋体" w:hAnsi="宋体"/>
          <w:bCs/>
          <w:szCs w:val="21"/>
        </w:rPr>
      </w:pPr>
      <w:r>
        <w:rPr>
          <w:rFonts w:hint="eastAsia" w:ascii="宋体" w:hAnsi="宋体"/>
          <w:bCs/>
          <w:szCs w:val="21"/>
        </w:rPr>
        <w:t>1、基金管理人为本基金的基金会计责任方；</w:t>
      </w:r>
    </w:p>
    <w:p>
      <w:pPr>
        <w:snapToGrid w:val="0"/>
        <w:spacing w:line="360" w:lineRule="auto"/>
        <w:ind w:firstLine="420" w:firstLineChars="200"/>
        <w:rPr>
          <w:rFonts w:ascii="宋体" w:hAnsi="宋体"/>
          <w:bCs/>
          <w:szCs w:val="21"/>
        </w:rPr>
      </w:pPr>
      <w:r>
        <w:rPr>
          <w:rFonts w:hint="eastAsia" w:ascii="宋体" w:hAnsi="宋体"/>
          <w:bCs/>
          <w:szCs w:val="21"/>
        </w:rPr>
        <w:t>2、基金的会计年度为公历年度的1月1日至12月31日；基金首次募集的会计年度按如下原则：如果《基金合同》生效少于2个月，可以并入下一个会计年度披露；</w:t>
      </w:r>
    </w:p>
    <w:p>
      <w:pPr>
        <w:snapToGrid w:val="0"/>
        <w:spacing w:line="360" w:lineRule="auto"/>
        <w:ind w:firstLine="420" w:firstLineChars="200"/>
        <w:rPr>
          <w:rFonts w:ascii="宋体" w:hAnsi="宋体"/>
          <w:bCs/>
          <w:szCs w:val="21"/>
        </w:rPr>
      </w:pPr>
      <w:r>
        <w:rPr>
          <w:rFonts w:hint="eastAsia" w:ascii="宋体" w:hAnsi="宋体"/>
          <w:bCs/>
          <w:szCs w:val="21"/>
        </w:rPr>
        <w:t>3、基金核算以人民币为记账本位币，以人民币元为记账单位；</w:t>
      </w:r>
    </w:p>
    <w:p>
      <w:pPr>
        <w:snapToGrid w:val="0"/>
        <w:spacing w:line="360" w:lineRule="auto"/>
        <w:ind w:firstLine="420" w:firstLineChars="200"/>
        <w:rPr>
          <w:rFonts w:ascii="宋体" w:hAnsi="宋体"/>
          <w:bCs/>
          <w:szCs w:val="21"/>
        </w:rPr>
      </w:pPr>
      <w:r>
        <w:rPr>
          <w:rFonts w:hint="eastAsia" w:ascii="宋体" w:hAnsi="宋体"/>
          <w:bCs/>
          <w:szCs w:val="21"/>
        </w:rPr>
        <w:t>4、会计制度执行国家有关会计制度；</w:t>
      </w:r>
    </w:p>
    <w:p>
      <w:pPr>
        <w:snapToGrid w:val="0"/>
        <w:spacing w:line="360" w:lineRule="auto"/>
        <w:ind w:firstLine="420" w:firstLineChars="200"/>
        <w:rPr>
          <w:rFonts w:ascii="宋体" w:hAnsi="宋体"/>
          <w:bCs/>
          <w:szCs w:val="21"/>
        </w:rPr>
      </w:pPr>
      <w:r>
        <w:rPr>
          <w:rFonts w:hint="eastAsia" w:ascii="宋体" w:hAnsi="宋体"/>
          <w:bCs/>
          <w:szCs w:val="21"/>
        </w:rPr>
        <w:t>5、本基金独立建账、独立核算；</w:t>
      </w:r>
    </w:p>
    <w:p>
      <w:pPr>
        <w:snapToGrid w:val="0"/>
        <w:spacing w:line="360" w:lineRule="auto"/>
        <w:ind w:firstLine="420" w:firstLineChars="200"/>
        <w:rPr>
          <w:rFonts w:ascii="宋体" w:hAnsi="宋体"/>
          <w:bCs/>
          <w:szCs w:val="21"/>
        </w:rPr>
      </w:pPr>
      <w:r>
        <w:rPr>
          <w:rFonts w:hint="eastAsia" w:ascii="宋体" w:hAnsi="宋体"/>
          <w:bCs/>
          <w:szCs w:val="21"/>
        </w:rPr>
        <w:t>6、基金管理人及基金托管人各自保留完整的会计账目、凭证并进行日常的会计核算，按照有关规定编制基金会计报表；</w:t>
      </w:r>
    </w:p>
    <w:p>
      <w:pPr>
        <w:snapToGrid w:val="0"/>
        <w:spacing w:line="360" w:lineRule="auto"/>
        <w:ind w:firstLine="420" w:firstLineChars="200"/>
        <w:rPr>
          <w:rFonts w:ascii="宋体" w:hAnsi="宋体"/>
          <w:b/>
          <w:bCs/>
          <w:szCs w:val="21"/>
        </w:rPr>
      </w:pPr>
      <w:r>
        <w:rPr>
          <w:rFonts w:hint="eastAsia" w:ascii="宋体" w:hAnsi="宋体"/>
          <w:bCs/>
          <w:szCs w:val="21"/>
        </w:rPr>
        <w:t>7、基金托管人每月与基金管理人就基金的会计核算、报表编制等进行核对并以书面方式确认。</w:t>
      </w:r>
    </w:p>
    <w:p>
      <w:pPr>
        <w:snapToGrid w:val="0"/>
        <w:spacing w:line="360" w:lineRule="auto"/>
        <w:ind w:firstLine="422" w:firstLineChars="200"/>
        <w:rPr>
          <w:rFonts w:ascii="宋体" w:hAnsi="宋体"/>
          <w:b/>
          <w:bCs/>
          <w:szCs w:val="21"/>
        </w:rPr>
      </w:pPr>
      <w:r>
        <w:rPr>
          <w:rFonts w:hint="eastAsia" w:ascii="宋体" w:hAnsi="宋体"/>
          <w:b/>
          <w:bCs/>
          <w:szCs w:val="21"/>
        </w:rPr>
        <w:t>二、基金的年度审计</w:t>
      </w:r>
    </w:p>
    <w:p>
      <w:pPr>
        <w:adjustRightInd w:val="0"/>
        <w:snapToGrid w:val="0"/>
        <w:spacing w:line="360" w:lineRule="auto"/>
        <w:ind w:firstLine="420" w:firstLineChars="200"/>
        <w:rPr>
          <w:rFonts w:ascii="宋体" w:hAnsi="宋体"/>
          <w:bCs/>
          <w:szCs w:val="21"/>
        </w:rPr>
      </w:pPr>
      <w:r>
        <w:rPr>
          <w:rFonts w:hint="eastAsia" w:ascii="宋体" w:hAnsi="宋体"/>
          <w:bCs/>
          <w:szCs w:val="21"/>
        </w:rPr>
        <w:t>1、基金管理人聘请与基金管理人、基金托管人相互独立且符合《中华人民共和国证券法》规定的会计师事务所及其注册会计师对本基金的年度财务报表进行审计。</w:t>
      </w:r>
    </w:p>
    <w:p>
      <w:pPr>
        <w:adjustRightInd w:val="0"/>
        <w:snapToGrid w:val="0"/>
        <w:spacing w:line="360" w:lineRule="auto"/>
        <w:ind w:firstLine="420" w:firstLineChars="200"/>
        <w:rPr>
          <w:rFonts w:ascii="宋体" w:hAnsi="宋体"/>
          <w:bCs/>
          <w:szCs w:val="21"/>
        </w:rPr>
      </w:pPr>
      <w:r>
        <w:rPr>
          <w:rFonts w:hint="eastAsia" w:ascii="宋体" w:hAnsi="宋体"/>
          <w:bCs/>
          <w:szCs w:val="21"/>
        </w:rPr>
        <w:t>2、会计师事务所更换经办注册会计师，应事先征得基金管理人同意。</w:t>
      </w:r>
    </w:p>
    <w:p>
      <w:pPr>
        <w:adjustRightInd w:val="0"/>
        <w:snapToGrid w:val="0"/>
        <w:spacing w:line="360" w:lineRule="auto"/>
        <w:ind w:firstLine="420" w:firstLineChars="200"/>
        <w:rPr>
          <w:color w:val="000000"/>
        </w:rPr>
        <w:sectPr>
          <w:footerReference r:id="rId24" w:type="first"/>
          <w:pgSz w:w="11906" w:h="16838"/>
          <w:pgMar w:top="1440" w:right="1800" w:bottom="1440" w:left="1800" w:header="851" w:footer="992" w:gutter="0"/>
          <w:pgNumType w:start="1"/>
          <w:cols w:space="425" w:num="1"/>
          <w:titlePg/>
          <w:docGrid w:type="lines" w:linePitch="312" w:charSpace="0"/>
        </w:sectPr>
      </w:pPr>
      <w:r>
        <w:rPr>
          <w:rFonts w:hint="eastAsia" w:ascii="宋体" w:hAnsi="宋体"/>
          <w:bCs/>
          <w:szCs w:val="21"/>
        </w:rPr>
        <w:t>3、基金管理人认为有充足理由更换会计师事务所，须通报基金托管人。更换会计师事务所需按规定在规定媒介公告。</w:t>
      </w:r>
    </w:p>
    <w:p>
      <w:pPr>
        <w:pStyle w:val="4"/>
        <w:numPr>
          <w:ilvl w:val="0"/>
          <w:numId w:val="25"/>
        </w:numPr>
        <w:snapToGrid w:val="0"/>
        <w:spacing w:before="0" w:after="0" w:line="360" w:lineRule="auto"/>
        <w:jc w:val="center"/>
      </w:pPr>
      <w:bookmarkStart w:id="126" w:name="_Toc369510023"/>
      <w:bookmarkStart w:id="127" w:name="_Toc335899848"/>
      <w:bookmarkStart w:id="128" w:name="_Toc375295988"/>
      <w:bookmarkStart w:id="129" w:name="_Toc327902637"/>
      <w:bookmarkStart w:id="130" w:name="_Toc411872037"/>
      <w:bookmarkStart w:id="131" w:name="_Toc92740298"/>
      <w:bookmarkStart w:id="132" w:name="_Toc332013125"/>
      <w:bookmarkStart w:id="133" w:name="_Toc336606242"/>
      <w:r>
        <w:rPr>
          <w:rFonts w:hint="eastAsia"/>
        </w:rPr>
        <w:t>基金的信息披露</w:t>
      </w:r>
      <w:bookmarkEnd w:id="126"/>
      <w:bookmarkEnd w:id="127"/>
      <w:bookmarkEnd w:id="128"/>
      <w:bookmarkEnd w:id="129"/>
      <w:bookmarkEnd w:id="130"/>
      <w:bookmarkEnd w:id="131"/>
      <w:bookmarkEnd w:id="132"/>
      <w:bookmarkEnd w:id="133"/>
    </w:p>
    <w:p>
      <w:pPr>
        <w:adjustRightInd w:val="0"/>
        <w:snapToGrid w:val="0"/>
        <w:spacing w:line="360" w:lineRule="auto"/>
        <w:ind w:firstLine="422" w:firstLineChars="200"/>
        <w:rPr>
          <w:rFonts w:ascii="宋体" w:hAnsi="宋体"/>
          <w:b/>
          <w:bCs/>
          <w:szCs w:val="21"/>
        </w:rPr>
      </w:pPr>
      <w:r>
        <w:rPr>
          <w:rFonts w:hint="eastAsia" w:ascii="宋体" w:hAnsi="宋体"/>
          <w:b/>
          <w:bCs/>
          <w:szCs w:val="21"/>
        </w:rPr>
        <w:t>一、本基金的信息披露应符合《基金法》、《运作办法》、《信息披露办法》、《流动性风险管理规定》、《基金合同》及其他有关规定。相关法律法规关于信息披露的规定发生变化时，本基金从其最新规定。</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二、信息披露义务人</w:t>
      </w:r>
    </w:p>
    <w:p>
      <w:pPr>
        <w:autoSpaceDE w:val="0"/>
        <w:autoSpaceDN w:val="0"/>
        <w:adjustRightInd w:val="0"/>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本基金信息披露义务人包括基金管理人、基金托管人、召集基金份额持有人大会的基金份额持有人等法律法规和中国证监会规定的自然人、法人和非法人组织。</w:t>
      </w:r>
    </w:p>
    <w:p>
      <w:pPr>
        <w:autoSpaceDE w:val="0"/>
        <w:autoSpaceDN w:val="0"/>
        <w:adjustRightInd w:val="0"/>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本基金信息披露义务人以保护基金份额持有人利益为根本出发点，按照法律法规和中国证监会的规定披露基金信息，并保证所披露信息的真实性、准确性、完整性、及时性、简明性和易得性。</w:t>
      </w:r>
    </w:p>
    <w:p>
      <w:pPr>
        <w:adjustRightInd w:val="0"/>
        <w:snapToGrid w:val="0"/>
        <w:spacing w:line="360" w:lineRule="auto"/>
        <w:ind w:firstLine="480" w:firstLineChars="200"/>
        <w:rPr>
          <w:rFonts w:ascii="宋体" w:hAnsi="宋体"/>
          <w:bCs/>
          <w:szCs w:val="21"/>
        </w:rPr>
      </w:pPr>
      <w:r>
        <w:rPr>
          <w:rFonts w:hint="eastAsia" w:cs="宋体" w:asciiTheme="minorEastAsia" w:hAnsiTheme="minorEastAsia"/>
          <w:kern w:val="0"/>
          <w:sz w:val="24"/>
        </w:rPr>
        <w:t>本基金信息披露义务人应当在中国证监会规定时间内，将应予披露的基金信息通过符合中国证监会规定条件的全国性报刊（以下简称“规定报刊”）和《信息披露办法》规定的互联网网站（以下简称“规定网站”，包括基金管理人网站、基金托管人网站、中国证监会基金电子披露网站）等媒介披露，并保证基金投资者能够按照《基金合同》约定的时间和方式查阅或者复制公开披露的信息资料。</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三、本基金信息披露义务人承诺公开披露的基金信息，不得有下列行为：</w:t>
      </w:r>
    </w:p>
    <w:p>
      <w:pPr>
        <w:autoSpaceDE w:val="0"/>
        <w:autoSpaceDN w:val="0"/>
        <w:adjustRightInd w:val="0"/>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1、虚假记载、误导性陈述或者重大遗漏；</w:t>
      </w:r>
    </w:p>
    <w:p>
      <w:pPr>
        <w:autoSpaceDE w:val="0"/>
        <w:autoSpaceDN w:val="0"/>
        <w:adjustRightInd w:val="0"/>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2、对证券投资业绩进行预测；</w:t>
      </w:r>
    </w:p>
    <w:p>
      <w:pPr>
        <w:autoSpaceDE w:val="0"/>
        <w:autoSpaceDN w:val="0"/>
        <w:adjustRightInd w:val="0"/>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3、违规承诺收益或者承担损失；</w:t>
      </w:r>
    </w:p>
    <w:p>
      <w:pPr>
        <w:autoSpaceDE w:val="0"/>
        <w:autoSpaceDN w:val="0"/>
        <w:adjustRightInd w:val="0"/>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4、诋毁其他基金管理人、基金托管人或者基金销售机构；</w:t>
      </w:r>
    </w:p>
    <w:p>
      <w:pPr>
        <w:autoSpaceDE w:val="0"/>
        <w:autoSpaceDN w:val="0"/>
        <w:adjustRightInd w:val="0"/>
        <w:spacing w:line="360" w:lineRule="auto"/>
        <w:ind w:firstLine="480" w:firstLineChars="200"/>
        <w:jc w:val="left"/>
        <w:rPr>
          <w:rFonts w:cs="宋体" w:asciiTheme="minorEastAsia" w:hAnsiTheme="minorEastAsia"/>
          <w:kern w:val="0"/>
          <w:sz w:val="24"/>
        </w:rPr>
      </w:pPr>
      <w:r>
        <w:rPr>
          <w:rFonts w:hint="eastAsia" w:cs="宋体" w:asciiTheme="minorEastAsia" w:hAnsiTheme="minorEastAsia"/>
          <w:kern w:val="0"/>
          <w:sz w:val="24"/>
        </w:rPr>
        <w:t>5、登载任何自然人、法人和非法人组织的祝贺性、恭维性或推荐性文字；</w:t>
      </w:r>
    </w:p>
    <w:p>
      <w:pPr>
        <w:adjustRightInd w:val="0"/>
        <w:snapToGrid w:val="0"/>
        <w:spacing w:line="360" w:lineRule="auto"/>
        <w:ind w:firstLine="480" w:firstLineChars="200"/>
        <w:rPr>
          <w:rFonts w:ascii="宋体" w:hAnsi="宋体"/>
          <w:bCs/>
          <w:szCs w:val="21"/>
        </w:rPr>
      </w:pPr>
      <w:r>
        <w:rPr>
          <w:rFonts w:hint="eastAsia" w:cs="宋体" w:asciiTheme="minorEastAsia" w:hAnsiTheme="minorEastAsia"/>
          <w:kern w:val="0"/>
          <w:sz w:val="24"/>
        </w:rPr>
        <w:t>6、中国证监会禁止的其他行为。</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四、本基金公开披露的信息应采用中文文本。如同时采用外文文本的，基金信息披露义务人应保证不同文本的内容一致。不同文本之间发生歧义的，以中文文本为准。</w:t>
      </w:r>
    </w:p>
    <w:p>
      <w:pPr>
        <w:adjustRightInd w:val="0"/>
        <w:snapToGrid w:val="0"/>
        <w:spacing w:line="360" w:lineRule="auto"/>
        <w:ind w:firstLine="420" w:firstLineChars="200"/>
        <w:rPr>
          <w:rFonts w:ascii="宋体" w:hAnsi="宋体"/>
          <w:bCs/>
          <w:szCs w:val="21"/>
        </w:rPr>
      </w:pPr>
      <w:r>
        <w:rPr>
          <w:rFonts w:hint="eastAsia" w:ascii="宋体" w:hAnsi="宋体"/>
          <w:bCs/>
          <w:szCs w:val="21"/>
        </w:rPr>
        <w:t>本基金公开披露的信息采用阿拉伯数字；除特别说明外，货币单位为人民币元。</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五、公开披露的基金信息</w:t>
      </w:r>
    </w:p>
    <w:p>
      <w:pPr>
        <w:adjustRightInd w:val="0"/>
        <w:snapToGrid w:val="0"/>
        <w:spacing w:line="360" w:lineRule="auto"/>
        <w:ind w:firstLine="420" w:firstLineChars="200"/>
        <w:rPr>
          <w:rFonts w:ascii="宋体" w:hAnsi="宋体"/>
          <w:bCs/>
          <w:szCs w:val="21"/>
        </w:rPr>
      </w:pPr>
      <w:r>
        <w:rPr>
          <w:rFonts w:hint="eastAsia" w:ascii="宋体" w:hAnsi="宋体"/>
          <w:bCs/>
          <w:szCs w:val="21"/>
        </w:rPr>
        <w:t>公开披露的基金信息包括：</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（一）基金招募说明书、基金产品资料概要、《基金合同》、基金托管协议</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1、《基金合同》是界定《基金合同》当事人的各项权利、义务关系，明确基金份额持有人大会召开的规则及具体程序，说明基金产品的特性等涉及基金投资者重大利益的事项的法律文件。</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2、基金招募说明书应当最大限度地披露影响基金投资者决策的全部事项，说明基金认购、申购和赎回安排、基金投资、基金产品特性、风险揭示、信息披露及基金份额持有人服务等内容。</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产品资料概要是基金招募说明书的摘要文件，用于向投资者提供简明的基金概要信息。基金管理人应当依照法律法规和中国证监会的规定编制、披露与更新基金产品资料概要。基金合同生效后，基金招募说明书、基金产品资料概要的信息发生重大变更的，基金管理人应当在三个工作日内，更新基金招募说明书和基金产品资料概要，并登载在规定网站上，其中基金产品资料概要还应当登载在基金销售机构网站或营业网点。除此之外，基金招募说明书、基金产品资料概要其他信息发生变更的，基金管理人至少每年更新一次。</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基金终止运作的，除基金合同另有约定外，基金管理人可以不再更新基金招募说明书和基金产品资料概要。</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3、基金托管协议是界定基金托管人和基金管理人在基金财产保管及基金运作监督等活动中的权利、义务关系的法律文件。</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基金募集申请经中国证监会注册后，基金管理人在基金份额发售的3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（二）基金份额发售公告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基金管理人应当就基金份额发售的具体事宜编制基金份额发售公告，并在披露招募说明书的当日登载于规定媒介上。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（三）《基金合同》生效公告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基金管理人应当在收到中国证监会确认文件的次日在规定报刊和规定网站上登载《基金合同》生效公告。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（四）基金净值信息</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《基金合同》生效后，在开始办理基金份额申购或者赎回前，基金管理人应当至少每周在规定网站公告一次各类基金份额净值和各类基金份额累计净值。</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在开始办理基金份额申购或者赎回后，基金管理人应当在不晚于每个开放日的次日，通过规定网站、基金销售机构网站或者营业网点披露开放日的各类基金份额净值和各类基金份额累计净值。</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基金管理人应当在不晚于半年度和年度最后一日的次日， 在规定网站公告半年度和年度最后一日各类基金份额净值和各类基金份额累计净值。</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（五）基金份额申购、赎回价格</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基金管理人应当在《基金合同》、招募说明书等信息披露文件上载明基金份额申购、赎回价格的计算方式及有关申购、赎回费率，并保证投资者能够在基金销售机构网站或者营业网点查阅或者复制前述信息资料。</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（六）基金定期报告，包括基金年度报告、基金中期报告和基金季度报告（含资产组合季度报告）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在每年结束之日起三个月内，编制完成基金年度报告，将年度报告登载于规定网站上，并将年度报告提示性公告登载在规定报刊上。基金年度报告中的财务会计报告应当经过符合《中华人民共和国证券法》规定的会计师事务所审计。</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基金管理人应当在上半年结束之日起两个月内，编制完成基金中期报告，将中期报告登载在规定网站上，并将中期报告提示性公告登载在规定报刊上。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基金管理人应当在季度结束之日起15个工作日内，编制完成基金季度报告，将季度报告登载在规定网站上，并将季度报告提示性公告登载在规定报刊上。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《基金合同》生效不足2个月的，基金管理人可以不编制当期季度报告、中期报告或者年度报告。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基金管理人应当在基金年度报告和中期报告中披露基金组合资产情况及其流动性风险分析等。</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（七）临时报告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本基金发生重大事件，有关信息披露义务人应当按规定编制临时报告书，并登载在规定报刊和规定网站上。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前款所称重大事件，是指可能对基金份额持有人权益或者基金份额的价格产生重大影响的下列事件：</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1、基金份额持有人大会的召开及决定的事项；</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2、《基金合同》终止、基金清算；</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3、转换基金运作方式、基金合并；</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4、更换基金管理人、基金托管人；</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5、基金管理人委托基金服务机构代为办理基金的份额登记、核算、估值等事项，基金托管人委托基金服务机构代为办理基金的核算、估值、复核等事项；</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6、基金管理人、基金托管人的法定名称、住所发生变更；</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7、基金管理人变更持有百分之五以上股权的股东、变更基金管理人的实际控制人；</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8、基金募集期延长或提前结束募集；</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9、基金管理人高级管理人员、基金经理和基金托管人专门基金托管部门负责人发生变动；</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10、基金管理人的董事在最近12个月内变更超过百分之五十；</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11、基金管理人、基金托管人专门基金托管部门的主要业务人员在最近12个月内变动超过百分之三十；</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xml:space="preserve">12、涉及基金管理业务、基金财产、基金托管业务的诉讼或仲裁； </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13、基金管理人或其高级管理人员、基金经理因基金管理业务相关行为受到重大行政处罚、刑事处罚，基金托管人或其专门基金托管部门负责人因基金托管业务相关行为受到重大行政处罚、刑事处罚；</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14、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15、基金收益分配事项；</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16、管理费、托管费、销售服务费、申购费、赎回费等费用计提标准、计提方式和费率发生变更；</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17、任一类基金份额净值计价错误达该类基金份额净值百分之零点五；</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18、基金改聘会计师事务所；</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19、更换基金登记机构；</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20、本基金开始办理申购、赎回；</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21、本基金发生巨额赎回并延期办理；</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22、本基金连续发生巨额赎回并暂停接受赎回申请或延缓支付赎回款项；</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23、本基金暂停接受申购、赎回申请或重新接受申购、赎回申请；</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24、发生涉及基金申购、赎回事项调整或潜在影响投资者赎回等重大事项时；</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25、基金管理人采用摆动定价机制进行估值；</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26、调整基金份额类别的设置；</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27、基金推出新业务或服务；</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28、《基金合同》生效三年后继续存续的，连续30个工作日、40个工作日及45个工作日出现基金份额持有人数量不满二百人或者基金资产净值低于五千万元情形的；</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29、基金信息披露义务人认为可能对基金份额持有人权益或者基金份额的价格产生重大影响的其他事项或中国证监会规定的和基金合同约定的其他事项。</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（八）澄清公告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（九）清算报告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基金终止运作的，基金管理人应当依法组织基金财产清算小组对基金财产进行清算并作出清算报告。基金财产清算小组应当将清算报告登载在规定网站上，并将清算报告提示性公告登载在规定报刊上。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（十）基金份额持有人大会决议</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基金份额持有人大会决定的事项，应当依法报中国证监会备案，并予以公告。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（十一）参与股指期货、国债期货交易、投资股票期权的信息披露</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在基金季度报告、基金中期报告、基金年度报告等定期报告和招募说明书（更新）等文件中披露股指期货、国债期货、股票期权交易情况，包括投资/交易政策、持仓情况、损益情况、风险指标等，并充分揭示股指期货、国债期货、股票期权交易对基金总体风险的影响以及是否符合既定的投资/交易政策和投资/交易目标等。</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（十二）投资资产支持证券的信息披露</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（十三）投资非公开发行股票的信息披露</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基金管理人应在基金投资非公开发行股票后两个交易日内，在中国证监会规定媒介披露所投资非公开发行股票的名称、数量、总成本、账面价值，以及总成本和账面价值占基金资产净值的比例、锁定期等信息。</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（十四）参与融资和转融通证券出借业务的信息披露</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基金参与融资和转融通证券出借业务的，基金管理人应当在季度报告、中期报告、年度报告等定期报告和招募说明书（更新）等文件中披露参与融资和转融通证券出借业务情况，包括投资策略、业务开展情况、损益情况、风险及其管理情况等。</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本基金参与转融通证券出借业务的，基金管理人应当在基金定期报告等文件中就报告期内发生的重大关联交易事项做详细说明。</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未来在法律法规允许的前提下，本基金可依据法律法规的相关规定参与融券业务，并相应履行信披义务。</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（十五）实施侧袋机制期间的信息披露</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本基金实施侧袋机制的，相关信息披露义务人应当根据法律法规、基金合同和招募说明书的规定进行信息披露，详见招募说明书的规定。</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（十六）发起资金认购份额报告</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应当按照相关法律法规的规定，在基金合同生效公告、基金年度报告、中期报告、季度报告中分别披露基金管理人固有资金、基金管理人股东、基金管理人高级管理人员或基金经理等持有基金的份额、期限及期间的变动情况。</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（十七）中国证监会规定的其他信息</w:t>
      </w:r>
    </w:p>
    <w:p>
      <w:pPr>
        <w:autoSpaceDE w:val="0"/>
        <w:autoSpaceDN w:val="0"/>
        <w:adjustRightInd w:val="0"/>
        <w:spacing w:line="360" w:lineRule="auto"/>
        <w:ind w:firstLine="422" w:firstLineChars="200"/>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六、信息披露事务管理</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基金管理人、基金托管人应当建立健全信息披露管理制度，指定专门部门及高级管理人员负责管理信息披露事务。</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基金信息披露义务人公开披露基金信息，应当符合中国证监会相关基金信息披露内容与格式准则等法规的规定。</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p>
      <w:pPr>
        <w:pStyle w:val="2"/>
        <w:ind w:firstLine="420" w:firstLineChars="200"/>
        <w:rPr>
          <w:rFonts w:cs="宋体" w:asciiTheme="minorEastAsia" w:hAnsiTheme="minorEastAsia" w:eastAsiaTheme="minorEastAsia"/>
          <w:kern w:val="0"/>
          <w:sz w:val="21"/>
          <w:szCs w:val="21"/>
        </w:rPr>
      </w:pPr>
      <w:r>
        <w:rPr>
          <w:rFonts w:hint="eastAsia" w:cs="宋体" w:asciiTheme="minorEastAsia" w:hAnsiTheme="minorEastAsia" w:eastAsiaTheme="minorEastAsia"/>
          <w:kern w:val="0"/>
          <w:sz w:val="21"/>
          <w:szCs w:val="21"/>
        </w:rPr>
        <w:t>基金管理人、基金托管人应当在规定媒介中选择披露信息的媒介。</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基金管理人、基金托管人应当向中国证监会基金电子披露网站报送拟披露的基金信息，并保证相关报送信息的真实、准确、完整、及时。</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为基金信息披露义务人公开披露的基金信息出具审计报告、法律意见书的专业机构，应当制作工作底稿，并将相关档案至少保存到《基金合同》终止后10年。</w:t>
      </w:r>
    </w:p>
    <w:p>
      <w:pPr>
        <w:autoSpaceDE w:val="0"/>
        <w:autoSpaceDN w:val="0"/>
        <w:adjustRightInd w:val="0"/>
        <w:spacing w:line="360" w:lineRule="auto"/>
        <w:ind w:firstLine="422" w:firstLineChars="200"/>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七、信息披露文件的存放与查阅</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依法必须披露的信息发布后，基金管理人、基金托管人应当按照相关法律法规规定将信息置备于公司住所，以供社会公众查阅、复制。</w:t>
      </w:r>
    </w:p>
    <w:p>
      <w:pPr>
        <w:autoSpaceDE w:val="0"/>
        <w:autoSpaceDN w:val="0"/>
        <w:adjustRightInd w:val="0"/>
        <w:spacing w:line="360" w:lineRule="auto"/>
        <w:ind w:firstLine="422" w:firstLineChars="200"/>
        <w:jc w:val="left"/>
        <w:rPr>
          <w:rFonts w:cs="宋体" w:asciiTheme="minorEastAsia" w:hAnsiTheme="minorEastAsia" w:eastAsiaTheme="minorEastAsia"/>
          <w:b/>
          <w:kern w:val="0"/>
          <w:szCs w:val="21"/>
        </w:rPr>
      </w:pPr>
      <w:r>
        <w:rPr>
          <w:rFonts w:hint="eastAsia" w:cs="宋体" w:asciiTheme="minorEastAsia" w:hAnsiTheme="minorEastAsia" w:eastAsiaTheme="minorEastAsia"/>
          <w:b/>
          <w:kern w:val="0"/>
          <w:szCs w:val="21"/>
        </w:rPr>
        <w:t>八、暂停或延迟信息披露的情形</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1、不可抗力；</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2、发生基金合同约定的暂停估值的情形；</w:t>
      </w:r>
    </w:p>
    <w:p>
      <w:pPr>
        <w:autoSpaceDE w:val="0"/>
        <w:autoSpaceDN w:val="0"/>
        <w:adjustRightInd w:val="0"/>
        <w:spacing w:line="360" w:lineRule="auto"/>
        <w:ind w:firstLine="420" w:firstLineChars="200"/>
        <w:jc w:val="left"/>
        <w:rPr>
          <w:rFonts w:cs="宋体" w:asciiTheme="minorEastAsia" w:hAnsiTheme="minorEastAsia" w:eastAsiaTheme="minorEastAsia"/>
          <w:kern w:val="0"/>
          <w:szCs w:val="21"/>
        </w:rPr>
        <w:sectPr>
          <w:footerReference r:id="rId25" w:type="first"/>
          <w:pgSz w:w="11906" w:h="16838"/>
          <w:pgMar w:top="1440" w:right="1800" w:bottom="1440" w:left="1800" w:header="851" w:footer="992" w:gutter="0"/>
          <w:pgNumType w:start="1"/>
          <w:cols w:space="425" w:num="1"/>
          <w:titlePg/>
          <w:docGrid w:type="lines" w:linePitch="312" w:charSpace="0"/>
        </w:sectPr>
      </w:pPr>
      <w:r>
        <w:rPr>
          <w:rFonts w:cs="宋体" w:asciiTheme="minorEastAsia" w:hAnsiTheme="minorEastAsia" w:eastAsiaTheme="minorEastAsia"/>
          <w:kern w:val="0"/>
          <w:szCs w:val="21"/>
        </w:rPr>
        <w:t>3</w:t>
      </w:r>
      <w:r>
        <w:rPr>
          <w:rFonts w:hint="eastAsia" w:cs="宋体" w:asciiTheme="minorEastAsia" w:hAnsiTheme="minorEastAsia" w:eastAsiaTheme="minorEastAsia"/>
          <w:kern w:val="0"/>
          <w:szCs w:val="21"/>
        </w:rPr>
        <w:t>、法律法规规定、中国证监会或基金合同认定的其他情形。</w:t>
      </w:r>
    </w:p>
    <w:p>
      <w:pPr>
        <w:pStyle w:val="4"/>
        <w:numPr>
          <w:ilvl w:val="0"/>
          <w:numId w:val="25"/>
        </w:numPr>
        <w:snapToGrid w:val="0"/>
        <w:spacing w:before="0" w:after="0" w:line="360" w:lineRule="auto"/>
        <w:jc w:val="center"/>
      </w:pPr>
      <w:bookmarkStart w:id="134" w:name="_Toc92740299"/>
      <w:r>
        <w:rPr>
          <w:rFonts w:hint="eastAsia"/>
        </w:rPr>
        <w:t>侧袋机制</w:t>
      </w:r>
      <w:bookmarkEnd w:id="134"/>
    </w:p>
    <w:p>
      <w:pPr>
        <w:autoSpaceDE w:val="0"/>
        <w:autoSpaceDN w:val="0"/>
        <w:adjustRightInd w:val="0"/>
        <w:spacing w:line="360" w:lineRule="auto"/>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一、侧袋机制的实施条件、实施程序和特定资产范围</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p>
      <w:pPr>
        <w:autoSpaceDE w:val="0"/>
        <w:autoSpaceDN w:val="0"/>
        <w:adjustRightInd w:val="0"/>
        <w:spacing w:line="360" w:lineRule="auto"/>
        <w:jc w:val="left"/>
        <w:rPr>
          <w:rFonts w:asciiTheme="minorEastAsia" w:hAnsiTheme="minorEastAsia" w:eastAsiaTheme="minorEastAsia"/>
          <w:bCs/>
          <w:szCs w:val="21"/>
        </w:rPr>
      </w:pPr>
    </w:p>
    <w:p>
      <w:pPr>
        <w:autoSpaceDE w:val="0"/>
        <w:autoSpaceDN w:val="0"/>
        <w:adjustRightInd w:val="0"/>
        <w:spacing w:line="360" w:lineRule="auto"/>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二、侧袋机制实施期间的基金运作安排</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（一）基金份额的申购与赎回</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1、侧袋机制实施期间，基金管理人不办理侧袋账户份额的申购、赎回和转换。基金份额持有人申请申购、赎回或转换侧袋账户份额的，该申购、赎回或转换申请将被拒绝。</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2、当特定资产占前一估值日基金资产净值50%以上的，经与基金托管人协商确认后，基金管理人应当暂停基金估值，并暂停接受基金申购赎回申请或延缓支付赎回款项。</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3、基金管理人依法保障主袋账户份额持有人享有基金合同约定的赎回权利，并根据主袋账户运作情况合理确定申购事项，具体事项届时由基金管理人在相关公告中规定。</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对于启用侧袋机制当日收到的赎回申请，基金管理人仅办理主袋账户的赎回申请并支付赎回款项。在启用侧袋机制当日收到的申购申请，视为投资者对侧袋机制启用后的主袋账户提交的申购申请。</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（二）基金份额的登记</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侧袋机制实施期间，基金管理人对侧袋账户份额实行独立管理，主袋账户沿用原基金代码，侧袋账户使用独立的基金代码。侧袋账户份额的名称以“基金简称+侧袋标识S+侧袋账户建立日期”格式设定，同时主袋账户份额的名称增加大写字母M标识作为后缀。基金所有侧袋账户注销后，将取消主袋账户份额名称中的M标识。</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启用侧袋机制当日，基金管理人和基金服务机构将以基金份额持有人的原有账户份额为基础，确认相应侧袋账户持有人名册和份额。</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侧袋账户资产完全清算后，基金管理人将注销侧袋账户。</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（三）基金的投资及业绩</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侧袋机制实施期间，本基金的各项投资运作指标和基金业绩指标应当以主袋账户资产为基准。基金管理人不得在侧袋账户中进行除特定资产处置变现以外的其他投资操作。</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基金管理人、基金服务机构在展示基金业绩时，将就前述情况进行充分的解释说明，避免引起投资者误解。</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基金管理人原则上应当在侧袋机制启用后20个交易日内完成对主袋账户投资组合的调整，但因资产流动性受限等中国证监会规定的情形除外。</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（四）基金的估值</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侧袋机制启用当日，基金管理人以完成日终估值后的基金净资产为基数对主袋账户和侧袋账户的资产进行分割，与特定资产可明确对应的资产类科目余额、除应交税费外的负债类科目余额一并纳入侧袋账户。基金管理人应将特定资产作为一个整体，不能仅分割其公允价值无法确定的部分。</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侧袋机制实施期间，基金管理人将对侧袋账户单独设置账套，实行独立核算。如果本基金同时存在多个侧袋账户，不同侧袋账户将分开进行核算。侧袋账户的会计核算应符合《企业会计准则》的相关要求。</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（五）基金的费用</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侧袋机制实施期间，侧袋账户资产不收取管理费。如法律法规或监管机构对于侧袋账户基金托管费、销售服务费的收取另有规定的，以法律法规或监管机构最新要求为准。因启用侧袋机制产生的咨询、审计费用等由基金管理人承担。</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基金管理人可以将与侧袋账户有关的费用从侧袋账户资产中列支，但应待特定资产变现后方可列支。</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（六）基金的收益分配</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侧袋机制实施期间，在主袋账户份额满足基金合同收益分配条件的情形下，基金管理人可对主袋账户份额进行收益分配。侧袋账户份额不再适用基金合同的收益与分配条款。</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（七）基金的信息披露</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1、基金净值信息</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侧袋机制实施期间，基金管理人应当暂停披露侧袋账户的基金净值信息。</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2、定期报告</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侧袋机制实施期间，基金定期报告中的基金会计报表仅需针对主袋账户进行编制。侧袋账户相关信息在定期报告中单独进行披露，包括但不限于：</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（1）侧袋账户的基金代码、基金名称、侧袋账户成立日期等基本信息；</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（2）侧袋账户的初始资产、初始负债；</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（3）特定资产的名称、代码、发行人等基本信息；</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（4）报告期内的特定资产处置进展情况、与处置特定资产相关的费用情况及其他与特定资产状况相关的信息；</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（5）可根据特定资产处置进展情况披露特定资产的可变现净值或净值参考区间，该净值或净值区间并不代表特定资产最终的变现价格，不作为基金管理人对特定资产最终变现价格的承诺；</w:t>
      </w:r>
    </w:p>
    <w:p>
      <w:pPr>
        <w:autoSpaceDE w:val="0"/>
        <w:autoSpaceDN w:val="0"/>
        <w:adjustRightInd w:val="0"/>
        <w:spacing w:line="360" w:lineRule="auto"/>
        <w:jc w:val="left"/>
        <w:rPr>
          <w:rFonts w:asciiTheme="minorEastAsia" w:hAnsiTheme="minorEastAsia" w:eastAsiaTheme="minorEastAsia"/>
          <w:bCs/>
          <w:szCs w:val="21"/>
        </w:rPr>
      </w:pPr>
      <w:r>
        <w:rPr>
          <w:rFonts w:hint="eastAsia" w:asciiTheme="minorEastAsia" w:hAnsiTheme="minorEastAsia" w:eastAsiaTheme="minorEastAsia"/>
          <w:bCs/>
          <w:szCs w:val="21"/>
        </w:rPr>
        <w:t>（6）可能对投资者利益存在重大影响的其他情况及相关风险提示。</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3、临时报告</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基金管理人在启用侧袋机制、处置特定资产、终止侧袋机制以及发生其他可能对投资者利益产生重大影响的事项后应及时发布临时公告。</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启用侧袋机制的临时公告内容应当包括启用原因及程序、特定资产流动性和估值情况、对投资者申购赎回的影响、风险提示等重要信息。</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处置特定资产的临时公告内容应当包括特定资产处置价格和时间、向侧袋账户份额持有人支付的款项、相关费用发生情况等重要信息。侧袋机制实施期间，若侧袋账户资产无法一次性完成处置变现，基金管理人在每次处置变现后均将按规定及时发布临时公告。</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（八）特定资产处置清算</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基金管理人将按照基金份额持有人利益最大化原则，采取将特定资产予以处置变现等方式，及时向侧袋账户份额持有人支付对应款项。无论侧袋账户资产是否全部完成变现，基金管理人都将及时向侧袋账户份额持有人支付已变现部分对应的款项。</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（九）侧袋的审计</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基金管理人应当在启用侧袋机制和终止侧袋机制后，及时聘请符合《中华人民共和国证券法》规定的会计师事务所进行审计并披露专项审计意见，具体如下：</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基金管理人应当在启用侧袋机制时，就特定资产认定的相关事宜取得符合《中华人民共和国证券法》规定的会计师事务所的专业意见。</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基金管理人应当在启用侧袋机制后五个工作日内，聘请于侧袋机制启用日发表意见的会计师事务所针对侧袋机制启用日本基金持有的特定资产情况出具专项审计意见，内容应包含侧袋账户的初始资产、份额、净资产等信息。</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会计师事务所对基金年度报告进行审计时，应对报告期间基金侧袋机制运行相关的会计核算和年报披露，执行适当程序并发表审计意见。</w:t>
      </w:r>
    </w:p>
    <w:p>
      <w:pPr>
        <w:autoSpaceDE w:val="0"/>
        <w:autoSpaceDN w:val="0"/>
        <w:adjustRightInd w:val="0"/>
        <w:spacing w:line="360" w:lineRule="auto"/>
        <w:ind w:firstLine="420" w:firstLineChars="200"/>
        <w:jc w:val="left"/>
        <w:rPr>
          <w:rFonts w:asciiTheme="minorEastAsia" w:hAnsiTheme="minorEastAsia" w:eastAsiaTheme="minorEastAsia"/>
          <w:bCs/>
          <w:szCs w:val="21"/>
        </w:rPr>
      </w:pPr>
      <w:r>
        <w:rPr>
          <w:rFonts w:hint="eastAsia" w:asciiTheme="minorEastAsia" w:hAnsiTheme="minorEastAsia" w:eastAsiaTheme="minorEastAsia"/>
          <w:bCs/>
          <w:szCs w:val="21"/>
        </w:rPr>
        <w:t>当侧袋账户资产全部完成变现后，基金管理人应参照基金清算报告的相关要求，聘请符合《中华人民共和国证券法》规定的会计师事务所对侧袋账户进行审计并披露专项审计意见。</w:t>
      </w:r>
    </w:p>
    <w:p>
      <w:pPr>
        <w:autoSpaceDE w:val="0"/>
        <w:autoSpaceDN w:val="0"/>
        <w:adjustRightInd w:val="0"/>
        <w:spacing w:line="360" w:lineRule="auto"/>
        <w:jc w:val="left"/>
        <w:rPr>
          <w:rFonts w:asciiTheme="minorEastAsia" w:hAnsiTheme="minorEastAsia" w:eastAsiaTheme="minorEastAsia"/>
          <w:bCs/>
          <w:szCs w:val="21"/>
        </w:rPr>
      </w:pPr>
    </w:p>
    <w:p>
      <w:pPr>
        <w:autoSpaceDE w:val="0"/>
        <w:autoSpaceDN w:val="0"/>
        <w:adjustRightInd w:val="0"/>
        <w:spacing w:line="360" w:lineRule="auto"/>
        <w:ind w:firstLine="422" w:firstLineChars="200"/>
        <w:jc w:val="left"/>
        <w:rPr>
          <w:rFonts w:asciiTheme="minorEastAsia" w:hAnsiTheme="minorEastAsia" w:eastAsiaTheme="minorEastAsia"/>
          <w:b/>
          <w:bCs/>
          <w:szCs w:val="21"/>
        </w:rPr>
      </w:pPr>
      <w:r>
        <w:rPr>
          <w:rFonts w:hint="eastAsia" w:asciiTheme="minorEastAsia" w:hAnsiTheme="minorEastAsia" w:eastAsiaTheme="minorEastAsia"/>
          <w:b/>
          <w:bCs/>
          <w:szCs w:val="21"/>
        </w:rPr>
        <w:t>三、本部分关于侧袋机制的相关规定，凡是直接引用法律法规的部分，如将来法律法规修改导致相关内容被取消或变更的，或将来法律法规针对侧袋机制的内容有进一步规定的，基金管理人经与基金托管人协商一致并履行适当程序后，在对基金份额持有人利益无实质性不利影响的前提下，可直接对本部分内容进行修改、调整或补充，无需召开基金份额持有人大会审议。</w:t>
      </w:r>
    </w:p>
    <w:p>
      <w:pPr>
        <w:widowControl/>
        <w:snapToGrid w:val="0"/>
        <w:spacing w:line="360" w:lineRule="auto"/>
        <w:sectPr>
          <w:footerReference r:id="rId26" w:type="firs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135" w:name="_Toc92740300"/>
      <w:bookmarkStart w:id="136" w:name="_Toc336606243"/>
      <w:bookmarkStart w:id="137" w:name="_Toc375295989"/>
      <w:bookmarkStart w:id="138" w:name="_Toc332013126"/>
      <w:bookmarkStart w:id="139" w:name="_Toc335899849"/>
      <w:bookmarkStart w:id="140" w:name="_Toc411872038"/>
      <w:bookmarkStart w:id="141" w:name="_Toc369510024"/>
      <w:bookmarkStart w:id="142" w:name="_Toc327902638"/>
      <w:r>
        <w:rPr>
          <w:rFonts w:hint="eastAsia"/>
        </w:rPr>
        <w:t>风险揭示</w:t>
      </w:r>
      <w:bookmarkEnd w:id="135"/>
      <w:bookmarkEnd w:id="136"/>
      <w:bookmarkEnd w:id="137"/>
      <w:bookmarkEnd w:id="138"/>
      <w:bookmarkEnd w:id="139"/>
      <w:bookmarkEnd w:id="140"/>
      <w:bookmarkEnd w:id="141"/>
      <w:bookmarkEnd w:id="142"/>
    </w:p>
    <w:p>
      <w:pPr>
        <w:adjustRightInd w:val="0"/>
        <w:snapToGrid w:val="0"/>
        <w:spacing w:line="360" w:lineRule="auto"/>
        <w:ind w:firstLine="454" w:firstLineChars="200"/>
        <w:rPr>
          <w:rFonts w:ascii="Arial" w:hAnsi="Arial"/>
          <w:b/>
          <w:spacing w:val="8"/>
          <w:szCs w:val="21"/>
        </w:rPr>
      </w:pPr>
      <w:r>
        <w:rPr>
          <w:rFonts w:ascii="Arial" w:hAnsi="Arial"/>
          <w:b/>
          <w:spacing w:val="8"/>
          <w:szCs w:val="21"/>
        </w:rPr>
        <w:t>一、投资于本基金的主要风险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1、市场风险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证券市场价格受到经济因素、政治因素、投资心理和交易制度等各种因素的影响，导致基金收益水平变化而产生风险，主要包括：</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（1）政策风险。因国家宏观政策（如货币政策、财政政策、行业政策、地区发展政策等）发生变化，导致市场价格波动而产生风险。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（2）经济周期风险。随经济运行的周期性变化，证券市场的收益水平也呈周期性变化。</w:t>
      </w:r>
      <w:r>
        <w:rPr>
          <w:rFonts w:hint="eastAsia" w:ascii="宋体" w:hAnsi="宋体"/>
          <w:spacing w:val="8"/>
          <w:szCs w:val="21"/>
        </w:rPr>
        <w:t>本基金主要投资于股票</w:t>
      </w:r>
      <w:r>
        <w:rPr>
          <w:rFonts w:ascii="宋体" w:hAnsi="宋体"/>
          <w:spacing w:val="8"/>
          <w:szCs w:val="21"/>
        </w:rPr>
        <w:t>，收益水平也会随之变化，从而产生风险。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3）利率风险。利率直接影响着债券的价格和收益率，影响着企业的融资成本和利润。基金投资于债券，其收益水平会受到利率变化的影响。在利率上升时，基金持有的债券价格下降，如基金组合久期较长，则将造成基金资产的损失。</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w:t>
      </w:r>
      <w:r>
        <w:rPr>
          <w:rFonts w:hint="eastAsia" w:ascii="宋体" w:hAnsi="宋体"/>
          <w:spacing w:val="8"/>
          <w:szCs w:val="21"/>
        </w:rPr>
        <w:t>4</w:t>
      </w:r>
      <w:r>
        <w:rPr>
          <w:rFonts w:ascii="宋体" w:hAnsi="宋体"/>
          <w:spacing w:val="8"/>
          <w:szCs w:val="21"/>
        </w:rPr>
        <w:t>）购买力风险。基金的利润将主要通过现金形式来分配，而现金可能因为通货膨胀的影响而导致购买力下降，从而使基金的实际收益下降。</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w:t>
      </w:r>
      <w:r>
        <w:rPr>
          <w:rFonts w:hint="eastAsia" w:ascii="宋体" w:hAnsi="宋体"/>
          <w:spacing w:val="8"/>
          <w:szCs w:val="21"/>
        </w:rPr>
        <w:t>5</w:t>
      </w:r>
      <w:r>
        <w:rPr>
          <w:rFonts w:ascii="宋体" w:hAnsi="宋体"/>
          <w:spacing w:val="8"/>
          <w:szCs w:val="21"/>
        </w:rPr>
        <w:t>）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w:t>
      </w:r>
      <w:r>
        <w:rPr>
          <w:rFonts w:hint="eastAsia" w:ascii="宋体" w:hAnsi="宋体"/>
          <w:spacing w:val="8"/>
          <w:szCs w:val="21"/>
        </w:rPr>
        <w:t>6</w:t>
      </w:r>
      <w:r>
        <w:rPr>
          <w:rFonts w:ascii="宋体" w:hAnsi="宋体"/>
          <w:spacing w:val="8"/>
          <w:szCs w:val="21"/>
        </w:rPr>
        <w:t>）信用风险。基金所投资债券的发行人如出现违约、无法支付到期本息，或由于债券发行人信用等级降低导致债券价格下降，将造成基金资产损失。</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w:t>
      </w:r>
      <w:r>
        <w:rPr>
          <w:rFonts w:hint="eastAsia" w:ascii="宋体" w:hAnsi="宋体"/>
          <w:spacing w:val="8"/>
          <w:szCs w:val="21"/>
        </w:rPr>
        <w:t>7</w:t>
      </w:r>
      <w:r>
        <w:rPr>
          <w:rFonts w:ascii="宋体" w:hAnsi="宋体"/>
          <w:spacing w:val="8"/>
          <w:szCs w:val="21"/>
        </w:rPr>
        <w:t>）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（8）上市公司经营风险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上市公司的经营状况受多种因素影响，如管理能力、财务状况、市场前景、行业竞争、人员素质等都会导致公司盈利发生变化。如果本基金所投资的上市公司盈利下降，其股票价格可能会下跌，或能够用于分配的利润减少，导致本基金投资收益减少。</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2、管理风险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基金运作过程中由于基金投资策略、人为因素、管理系统设置不当造成操作失误或</w:t>
      </w:r>
      <w:r>
        <w:rPr>
          <w:rFonts w:hint="eastAsia" w:ascii="宋体" w:hAnsi="宋体"/>
          <w:spacing w:val="8"/>
          <w:szCs w:val="21"/>
        </w:rPr>
        <w:t>基金管理人</w:t>
      </w:r>
      <w:r>
        <w:rPr>
          <w:rFonts w:ascii="宋体" w:hAnsi="宋体"/>
          <w:spacing w:val="8"/>
          <w:szCs w:val="21"/>
        </w:rPr>
        <w:t>内部失控而可能产生的损失。管理风险包括：</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（1）决策风险：指基金投资的投资策略制定、投资决策执行和投资绩效监督检查过程中，由于决策失误而给基金资产造成的可能的损失；</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（2）操作风险：指基金投资决策执行中，由于投资指令不明晰、交易操作失误等人为因素而可能导致的损失；</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（3）技术风险：是指</w:t>
      </w:r>
      <w:r>
        <w:rPr>
          <w:rFonts w:hint="eastAsia" w:ascii="宋体" w:hAnsi="宋体"/>
          <w:spacing w:val="8"/>
          <w:szCs w:val="21"/>
        </w:rPr>
        <w:t>基金管理人</w:t>
      </w:r>
      <w:r>
        <w:rPr>
          <w:rFonts w:ascii="宋体" w:hAnsi="宋体"/>
          <w:spacing w:val="8"/>
          <w:szCs w:val="21"/>
        </w:rPr>
        <w:t>管理信息系统设置不当等因素而可能造成的损失。</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3</w:t>
      </w:r>
      <w:r>
        <w:rPr>
          <w:rFonts w:ascii="宋体" w:hAnsi="宋体"/>
          <w:spacing w:val="8"/>
          <w:szCs w:val="21"/>
        </w:rPr>
        <w:t>、流动性风险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流动性风险是指因证券市场交易量不足，导致证券不能迅速、低成本地变现的风险。流动性风险还包括基金出现巨额赎回，致使没有足够的现金应付赎回支付所引致的风险。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（1）基金申购、赎回安排</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本基金在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（2）拟投资市场、行业及资产的流动性风险评估</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本基金的投资市场主要为证券交易所、全国银行间债券市场等流动性较好的规范型交易场所，主要投资对象为具有良好流动性的金融工具（包括国内依法发行上市的股票、债券和货币市场工具等），同时本基金基于分散投资的原则在行业和个券方面未有高集中度的特征，综合评估在正常市场环境下本基金的流动性风险适中。</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（3）巨额赎回情形下的流动性风险管理措施</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基金出现巨额赎回情形下，基金管理人可以根据基金当时的资产组合状况或巨额赎回份额占比情况决定全额赎回</w:t>
      </w:r>
      <w:r>
        <w:rPr>
          <w:rFonts w:ascii="宋体" w:hAnsi="宋体"/>
          <w:spacing w:val="8"/>
          <w:szCs w:val="21"/>
        </w:rPr>
        <w:t>、</w:t>
      </w:r>
      <w:r>
        <w:rPr>
          <w:rFonts w:hint="eastAsia" w:ascii="宋体" w:hAnsi="宋体"/>
          <w:spacing w:val="8"/>
          <w:szCs w:val="21"/>
        </w:rPr>
        <w:t>部分延期赎回或暂停赎回。同时，如本基金单个基金份额持有人在单个开放日申请赎回基金份额超过基金总份额一定比例以上的，基金管理人有权对其采取延期办理赎回申请的措施。</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（4）实施备用的流动性风险管理工具的情形、程序及对投资者的潜在影响</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暂停基金估值、摆动定价机制、实施侧袋机制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当本基金启用侧袋机制时，实施侧袋机制期间，侧袋账户份额将停止披露基金净值信息，并不得办理申购、赎回和转换。因特定资产的变现时间具有不确定性，最终变现价格也具有不确定性并且有可能大幅低于启用侧袋机制时的特定资产的估值，基金份额持有人可能因此面临损失。</w:t>
      </w:r>
    </w:p>
    <w:p>
      <w:pPr>
        <w:pStyle w:val="16"/>
        <w:autoSpaceDE w:val="0"/>
        <w:autoSpaceDN w:val="0"/>
        <w:adjustRightInd w:val="0"/>
        <w:snapToGrid w:val="0"/>
        <w:spacing w:line="360" w:lineRule="auto"/>
        <w:ind w:firstLine="452" w:firstLineChars="200"/>
        <w:rPr>
          <w:rFonts w:ascii="宋体" w:hAnsi="宋体"/>
          <w:spacing w:val="8"/>
          <w:szCs w:val="21"/>
        </w:rPr>
      </w:pPr>
      <w:r>
        <w:rPr>
          <w:rFonts w:hint="eastAsia" w:ascii="宋体" w:hAnsi="宋体"/>
          <w:spacing w:val="8"/>
          <w:szCs w:val="21"/>
        </w:rPr>
        <w:t>4</w:t>
      </w:r>
      <w:r>
        <w:rPr>
          <w:rFonts w:ascii="宋体" w:hAnsi="宋体"/>
          <w:spacing w:val="8"/>
          <w:szCs w:val="21"/>
        </w:rPr>
        <w:t>、合规性风险</w:t>
      </w:r>
    </w:p>
    <w:p>
      <w:pPr>
        <w:pStyle w:val="16"/>
        <w:autoSpaceDE w:val="0"/>
        <w:autoSpaceDN w:val="0"/>
        <w:adjustRightInd w:val="0"/>
        <w:snapToGrid w:val="0"/>
        <w:spacing w:line="360" w:lineRule="auto"/>
        <w:ind w:firstLine="452" w:firstLineChars="200"/>
        <w:rPr>
          <w:rFonts w:ascii="宋体" w:hAnsi="宋体"/>
          <w:spacing w:val="8"/>
          <w:szCs w:val="21"/>
        </w:rPr>
      </w:pPr>
      <w:r>
        <w:rPr>
          <w:rFonts w:ascii="宋体" w:hAnsi="宋体"/>
          <w:spacing w:val="8"/>
          <w:szCs w:val="21"/>
        </w:rPr>
        <w:t>指基金管理或运作过程中，违反国家法律、法规的规定，或者基金投资违反法规及基金合同有关规定的风险。</w:t>
      </w:r>
    </w:p>
    <w:p>
      <w:pPr>
        <w:pStyle w:val="163"/>
        <w:ind w:firstLine="422"/>
        <w:rPr>
          <w:rFonts w:ascii="宋体" w:hAnsi="宋体"/>
          <w:b/>
        </w:rPr>
      </w:pPr>
      <w:r>
        <w:rPr>
          <w:rFonts w:hint="eastAsia" w:ascii="宋体" w:hAnsi="宋体"/>
          <w:b/>
        </w:rPr>
        <w:t>二、本基金特有的风险</w:t>
      </w:r>
    </w:p>
    <w:p>
      <w:pPr>
        <w:pStyle w:val="163"/>
        <w:rPr>
          <w:rFonts w:ascii="宋体" w:hAnsi="宋体"/>
        </w:rPr>
      </w:pPr>
      <w:r>
        <w:rPr>
          <w:rFonts w:hint="eastAsia" w:ascii="宋体" w:hAnsi="宋体"/>
        </w:rPr>
        <w:t>1、被动投资的风险</w:t>
      </w:r>
    </w:p>
    <w:p>
      <w:pPr>
        <w:pStyle w:val="163"/>
        <w:rPr>
          <w:rFonts w:ascii="宋体" w:hAnsi="宋体"/>
        </w:rPr>
      </w:pPr>
      <w:r>
        <w:rPr>
          <w:rFonts w:hint="eastAsia" w:ascii="宋体" w:hAnsi="宋体"/>
        </w:rPr>
        <w:t>（1）标的指数的风险</w:t>
      </w:r>
    </w:p>
    <w:p>
      <w:pPr>
        <w:pStyle w:val="163"/>
        <w:rPr>
          <w:rFonts w:ascii="宋体" w:hAnsi="宋体"/>
        </w:rPr>
      </w:pPr>
      <w:r>
        <w:rPr>
          <w:rFonts w:hint="eastAsia" w:ascii="宋体" w:hAnsi="宋体"/>
        </w:rPr>
        <w:t>即标的指数因为编制方法的缺陷有可能导致标的指数的表现与总体市场表现存在差异，因标的指数编制方法的不成熟也可能导致指数调整较大，增加基金投资成本，并有可能因此而增加跟踪误差，影响投资收益。</w:t>
      </w:r>
    </w:p>
    <w:p>
      <w:pPr>
        <w:pStyle w:val="163"/>
        <w:rPr>
          <w:rFonts w:ascii="宋体" w:hAnsi="宋体"/>
        </w:rPr>
      </w:pPr>
      <w:r>
        <w:rPr>
          <w:rFonts w:hint="eastAsia" w:ascii="宋体" w:hAnsi="宋体"/>
        </w:rPr>
        <w:t>（</w:t>
      </w:r>
      <w:r>
        <w:rPr>
          <w:rFonts w:ascii="宋体" w:hAnsi="宋体"/>
        </w:rPr>
        <w:t>2</w:t>
      </w:r>
      <w:r>
        <w:rPr>
          <w:rFonts w:hint="eastAsia" w:ascii="宋体" w:hAnsi="宋体"/>
        </w:rPr>
        <w:t>）标的指数下跌的风险</w:t>
      </w:r>
    </w:p>
    <w:p>
      <w:pPr>
        <w:pStyle w:val="163"/>
        <w:rPr>
          <w:rFonts w:ascii="宋体" w:hAnsi="宋体"/>
        </w:rPr>
      </w:pPr>
      <w:r>
        <w:rPr>
          <w:rFonts w:hint="eastAsia" w:ascii="宋体" w:hAnsi="宋体"/>
        </w:rPr>
        <w:t>本基金绝大部分基金资产将用于跟踪标的指数，业绩表现将会随着标的指数的波动而波动；同时本基金在多数情况下将维持较高的股票仓位，在股票市场下跌的过程中，可能面临基金净值与标的指数同步下跌的风险。</w:t>
      </w:r>
    </w:p>
    <w:p>
      <w:pPr>
        <w:pStyle w:val="163"/>
        <w:rPr>
          <w:rFonts w:ascii="宋体" w:hAnsi="宋体"/>
        </w:rPr>
      </w:pPr>
      <w:r>
        <w:rPr>
          <w:rFonts w:hint="eastAsia" w:ascii="宋体" w:hAnsi="宋体"/>
        </w:rPr>
        <w:t>（3）跟踪偏离的风险</w:t>
      </w:r>
    </w:p>
    <w:p>
      <w:pPr>
        <w:pStyle w:val="163"/>
        <w:rPr>
          <w:rFonts w:ascii="宋体" w:hAnsi="宋体"/>
        </w:rPr>
      </w:pPr>
      <w:r>
        <w:rPr>
          <w:rFonts w:hint="eastAsia" w:ascii="宋体" w:hAnsi="宋体"/>
        </w:rPr>
        <w:t>本基金投资组合收益率可能由于标的指数调整成份股或变更编制方法、成份股派发现金红利、流动性风险（成份股停牌、摘牌或流动性差等原因使本基金无法及时调整投资组合或承担较大的冲击成本）、本基金的运营费用（证券投资中的交易成本、基金管理费、托管费等）、债券投资等原因导致基金的收益率与业绩比较基准收益率发生较大偏离。</w:t>
      </w:r>
    </w:p>
    <w:p>
      <w:pPr>
        <w:pStyle w:val="163"/>
        <w:rPr>
          <w:rFonts w:ascii="宋体" w:hAnsi="宋体"/>
        </w:rPr>
      </w:pPr>
      <w:r>
        <w:rPr>
          <w:rFonts w:hint="eastAsia" w:ascii="宋体" w:hAnsi="宋体"/>
        </w:rPr>
        <w:t>（</w:t>
      </w:r>
      <w:r>
        <w:rPr>
          <w:rFonts w:ascii="宋体" w:hAnsi="宋体"/>
        </w:rPr>
        <w:t>4</w:t>
      </w:r>
      <w:r>
        <w:rPr>
          <w:rFonts w:hint="eastAsia" w:ascii="宋体" w:hAnsi="宋体"/>
        </w:rPr>
        <w:t>）标的指数变更的风险</w:t>
      </w:r>
    </w:p>
    <w:p>
      <w:pPr>
        <w:pStyle w:val="163"/>
        <w:rPr>
          <w:rFonts w:ascii="宋体" w:hAnsi="宋体"/>
        </w:rPr>
      </w:pPr>
      <w:r>
        <w:rPr>
          <w:rFonts w:hint="eastAsia" w:ascii="宋体" w:hAnsi="宋体"/>
        </w:rPr>
        <w:t>根据基金合同的规定，因标的指数的编制与发布等原因，导致原标的指数不宜继续作为本基金的投资标的指数及业绩比较基准，本基金可能变更标的指数，基金的投资组合将随之调整，基金的收益风险特征可能发生变化，投资者还须承担投资组合调整所带来的风险与成本。</w:t>
      </w:r>
    </w:p>
    <w:p>
      <w:pPr>
        <w:pStyle w:val="163"/>
        <w:rPr>
          <w:rFonts w:ascii="宋体" w:hAnsi="宋体"/>
        </w:rPr>
      </w:pPr>
      <w:r>
        <w:rPr>
          <w:rFonts w:hint="eastAsia" w:ascii="宋体" w:hAnsi="宋体"/>
        </w:rPr>
        <w:t>（5）指数编制机构停止服务的风险</w:t>
      </w:r>
    </w:p>
    <w:p>
      <w:pPr>
        <w:pStyle w:val="163"/>
        <w:rPr>
          <w:rFonts w:ascii="宋体" w:hAnsi="宋体"/>
        </w:rPr>
      </w:pPr>
      <w:r>
        <w:rPr>
          <w:rFonts w:hint="eastAsia" w:ascii="宋体" w:hAnsi="宋体"/>
        </w:rPr>
        <w:t>本基金的标的指数由指数编制机构发布并管理和维护，未来指数编制机构可能由于各种原因停止对指数的管理和维护，本基金将根据基金合同的约定自该情形发生之日起十个工作日内向中国证监会报告并提出解决方案，如更换基金标的指数、转换运作方式</w:t>
      </w:r>
      <w:r>
        <w:rPr>
          <w:rFonts w:ascii="宋体" w:hAnsi="宋体"/>
        </w:rPr>
        <w:t>、</w:t>
      </w:r>
      <w:r>
        <w:rPr>
          <w:rFonts w:hint="eastAsia" w:ascii="宋体" w:hAnsi="宋体"/>
        </w:rPr>
        <w:t>与其他基金合并或者终止基金合同等，并在6个月内召集基金份额持有人大会进行表决。因此，投资人将面临更换基金标的指数、转换运作方式、与其他基金合并或者终止基金合同等风险。</w:t>
      </w:r>
    </w:p>
    <w:p>
      <w:pPr>
        <w:pStyle w:val="163"/>
        <w:rPr>
          <w:rFonts w:ascii="宋体" w:hAnsi="宋体"/>
        </w:rPr>
      </w:pPr>
      <w:r>
        <w:rPr>
          <w:rFonts w:hint="eastAsia" w:ascii="宋体" w:hAnsi="宋体"/>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pPr>
        <w:pStyle w:val="163"/>
        <w:rPr>
          <w:rFonts w:ascii="宋体" w:hAnsi="宋体"/>
        </w:rPr>
      </w:pPr>
      <w:r>
        <w:rPr>
          <w:rFonts w:hint="eastAsia" w:ascii="宋体" w:hAnsi="宋体"/>
        </w:rPr>
        <w:t>（6）成份股停牌的风险</w:t>
      </w:r>
    </w:p>
    <w:p>
      <w:pPr>
        <w:pStyle w:val="163"/>
        <w:rPr>
          <w:rFonts w:ascii="宋体" w:hAnsi="宋体"/>
        </w:rPr>
      </w:pPr>
      <w:r>
        <w:rPr>
          <w:rFonts w:hint="eastAsia" w:ascii="宋体" w:hAnsi="宋体"/>
        </w:rPr>
        <w:t>标的指数成份股可能因各种原因临时或长期停牌，发生成份股停牌时可能面临如下风险：</w:t>
      </w:r>
    </w:p>
    <w:p>
      <w:pPr>
        <w:pStyle w:val="163"/>
        <w:rPr>
          <w:rFonts w:ascii="宋体" w:hAnsi="宋体"/>
        </w:rPr>
      </w:pPr>
      <w:r>
        <w:rPr>
          <w:rFonts w:ascii="宋体" w:hAnsi="宋体"/>
        </w:rPr>
        <w:t>1</w:t>
      </w:r>
      <w:r>
        <w:rPr>
          <w:rFonts w:hint="eastAsia" w:ascii="宋体" w:hAnsi="宋体"/>
        </w:rPr>
        <w:t>）基金可能因无法及时调整投资组合而导致跟踪偏离度和跟踪误差扩大。</w:t>
      </w:r>
    </w:p>
    <w:p>
      <w:pPr>
        <w:pStyle w:val="163"/>
        <w:rPr>
          <w:rFonts w:ascii="宋体" w:hAnsi="宋体"/>
        </w:rPr>
      </w:pPr>
      <w:r>
        <w:rPr>
          <w:rFonts w:ascii="宋体" w:hAnsi="宋体"/>
        </w:rPr>
        <w:t>2</w:t>
      </w:r>
      <w:r>
        <w:rPr>
          <w:rFonts w:hint="eastAsia" w:ascii="宋体" w:hAnsi="宋体"/>
        </w:rPr>
        <w:t>）在极端情况下，标的指数成份股可能大面积停牌，基金可能无法及时卖出成份股以获取足额的符合要求的赎回款项，由此基金管理人可能采取延缓支付赎回款项或者暂停赎回的措施，投资者将面临无法按时获得赎回款项或者无法赎回全部或部分基金份额的风险。</w:t>
      </w:r>
    </w:p>
    <w:p>
      <w:pPr>
        <w:pStyle w:val="163"/>
        <w:rPr>
          <w:rFonts w:ascii="宋体" w:hAnsi="宋体"/>
        </w:rPr>
      </w:pPr>
      <w:r>
        <w:rPr>
          <w:rFonts w:hint="eastAsia" w:ascii="宋体" w:hAnsi="宋体"/>
        </w:rPr>
        <w:t>（7）成份股退市的风险</w:t>
      </w:r>
    </w:p>
    <w:p>
      <w:pPr>
        <w:pStyle w:val="163"/>
        <w:rPr>
          <w:rFonts w:ascii="宋体" w:hAnsi="宋体"/>
        </w:rPr>
      </w:pPr>
      <w:r>
        <w:rPr>
          <w:rFonts w:hint="eastAsia" w:ascii="宋体" w:hAnsi="宋体"/>
        </w:rPr>
        <w:t>标的指数成份股发生明显负面事件面临退市风险，且指数编制机构暂未作出调整的，基金管理人将按照基金 份额持有人利益优先的原则，综合考虑成份股的退市风险、其在指数中的权重以及对跟踪误差的影响，据此制定成份股替代策略，并对投资组合进行相应调整。</w:t>
      </w:r>
    </w:p>
    <w:p>
      <w:pPr>
        <w:pStyle w:val="163"/>
        <w:rPr>
          <w:rFonts w:ascii="宋体" w:hAnsi="宋体"/>
        </w:rPr>
      </w:pPr>
      <w:r>
        <w:rPr>
          <w:rFonts w:hint="eastAsia" w:ascii="宋体" w:hAnsi="宋体"/>
        </w:rPr>
        <w:t>（8）跟踪误差控制未达约定目标的风险</w:t>
      </w:r>
    </w:p>
    <w:p>
      <w:pPr>
        <w:pStyle w:val="163"/>
        <w:rPr>
          <w:rFonts w:ascii="宋体" w:hAnsi="宋体"/>
        </w:rPr>
      </w:pPr>
      <w:r>
        <w:rPr>
          <w:rFonts w:hint="eastAsia" w:ascii="宋体" w:hAnsi="宋体"/>
        </w:rPr>
        <w:t>本基金力争控制投资组合的净值增长率与业绩比较基准之间的预期日均跟踪偏离度的绝对值小于0.35%，预期年化跟踪误差不超过4%，但因标的指数编制规则调整或其他因素可能导致跟踪误差超过上述范围，本基金净值表现与指数价格走势可能发生较大偏离。</w:t>
      </w:r>
    </w:p>
    <w:p>
      <w:pPr>
        <w:pStyle w:val="163"/>
        <w:rPr>
          <w:rFonts w:ascii="宋体" w:hAnsi="宋体"/>
        </w:rPr>
      </w:pPr>
      <w:r>
        <w:rPr>
          <w:rFonts w:hint="eastAsia" w:ascii="宋体" w:hAnsi="宋体"/>
        </w:rPr>
        <w:t>2、股指期货投资风险</w:t>
      </w:r>
    </w:p>
    <w:p>
      <w:pPr>
        <w:pStyle w:val="163"/>
        <w:rPr>
          <w:rFonts w:ascii="宋体" w:hAnsi="宋体"/>
        </w:rPr>
      </w:pPr>
      <w:r>
        <w:rPr>
          <w:rFonts w:hint="eastAsia" w:ascii="宋体" w:hAnsi="宋体"/>
        </w:rPr>
        <w:t>本基金的投资范围包括股指期货，股指期货的主要风险包括，杠杆风险、基差风险、合约展期风险、模型风险和强制平仓风险等。</w:t>
      </w:r>
    </w:p>
    <w:p>
      <w:pPr>
        <w:pStyle w:val="163"/>
        <w:rPr>
          <w:rFonts w:ascii="宋体" w:hAnsi="宋体"/>
        </w:rPr>
      </w:pPr>
      <w:r>
        <w:rPr>
          <w:rFonts w:hint="eastAsia" w:ascii="宋体" w:hAnsi="宋体"/>
        </w:rPr>
        <w:t>（1）杠杆风险</w:t>
      </w:r>
    </w:p>
    <w:p>
      <w:pPr>
        <w:pStyle w:val="163"/>
        <w:rPr>
          <w:rFonts w:ascii="宋体" w:hAnsi="宋体"/>
        </w:rPr>
      </w:pPr>
      <w:r>
        <w:rPr>
          <w:rFonts w:hint="eastAsia" w:ascii="宋体" w:hAnsi="宋体"/>
        </w:rPr>
        <w:t>股指期货投资具有高杠杆特性，因此会放大基础资产所产生的盈利或损失，加大本基金收益的波动性。</w:t>
      </w:r>
    </w:p>
    <w:p>
      <w:pPr>
        <w:pStyle w:val="163"/>
        <w:rPr>
          <w:rFonts w:ascii="宋体" w:hAnsi="宋体"/>
        </w:rPr>
      </w:pPr>
      <w:r>
        <w:rPr>
          <w:rFonts w:hint="eastAsia" w:ascii="宋体" w:hAnsi="宋体"/>
        </w:rPr>
        <w:t>（2）基差风险</w:t>
      </w:r>
    </w:p>
    <w:p>
      <w:pPr>
        <w:pStyle w:val="163"/>
        <w:rPr>
          <w:rFonts w:ascii="宋体" w:hAnsi="宋体"/>
        </w:rPr>
      </w:pPr>
      <w:r>
        <w:rPr>
          <w:rFonts w:hint="eastAsia" w:ascii="宋体" w:hAnsi="宋体"/>
        </w:rPr>
        <w:t>基差是指股票指数现货价格与股指期货价格之间的差额。若本基金运作中出现基差波动不确定性加大、基差向不利方向变动等情况，则可能对本基金投资产生影响。</w:t>
      </w:r>
    </w:p>
    <w:p>
      <w:pPr>
        <w:pStyle w:val="163"/>
        <w:rPr>
          <w:rFonts w:ascii="宋体" w:hAnsi="宋体"/>
        </w:rPr>
      </w:pPr>
      <w:r>
        <w:rPr>
          <w:rFonts w:hint="eastAsia" w:ascii="宋体" w:hAnsi="宋体"/>
        </w:rPr>
        <w:t>（3）合约展期风险</w:t>
      </w:r>
    </w:p>
    <w:p>
      <w:pPr>
        <w:pStyle w:val="163"/>
        <w:rPr>
          <w:rFonts w:ascii="宋体" w:hAnsi="宋体"/>
        </w:rPr>
      </w:pPr>
      <w:r>
        <w:rPr>
          <w:rFonts w:hint="eastAsia" w:ascii="宋体" w:hAnsi="宋体"/>
        </w:rPr>
        <w:t>本基金所投资的期货合约主要包括股指期货当月和近月合约。当基金所持有的合约临近交割期限，即需要向较远月份的合约进行展期，展期过程中可能发生价差损失以及交易成本损失，将对投资收益产生影响。</w:t>
      </w:r>
    </w:p>
    <w:p>
      <w:pPr>
        <w:pStyle w:val="163"/>
        <w:rPr>
          <w:rFonts w:ascii="宋体" w:hAnsi="宋体"/>
        </w:rPr>
      </w:pPr>
      <w:r>
        <w:rPr>
          <w:rFonts w:hint="eastAsia" w:ascii="宋体" w:hAnsi="宋体"/>
        </w:rPr>
        <w:t>（4）模型风险</w:t>
      </w:r>
    </w:p>
    <w:p>
      <w:pPr>
        <w:pStyle w:val="163"/>
        <w:rPr>
          <w:rFonts w:ascii="宋体" w:hAnsi="宋体"/>
        </w:rPr>
      </w:pPr>
      <w:r>
        <w:rPr>
          <w:rFonts w:hint="eastAsia" w:ascii="宋体" w:hAnsi="宋体"/>
        </w:rPr>
        <w:t>股指期货合约属于虚拟投资品种，投资过程中需要通过模型进行风险定价，当投资人员使用了错误模型或者选择了不当的参数，会导致对风险或交易价格的估计错误而造成损失，损害本基金的投资收益。</w:t>
      </w:r>
    </w:p>
    <w:p>
      <w:pPr>
        <w:pStyle w:val="163"/>
        <w:rPr>
          <w:rFonts w:ascii="宋体" w:hAnsi="宋体"/>
        </w:rPr>
      </w:pPr>
      <w:r>
        <w:rPr>
          <w:rFonts w:hint="eastAsia" w:ascii="宋体" w:hAnsi="宋体"/>
        </w:rPr>
        <w:t>（5）强制平仓的风险</w:t>
      </w:r>
    </w:p>
    <w:p>
      <w:pPr>
        <w:pStyle w:val="163"/>
        <w:rPr>
          <w:rFonts w:ascii="宋体" w:hAnsi="宋体"/>
        </w:rPr>
      </w:pPr>
      <w:r>
        <w:rPr>
          <w:rFonts w:hint="eastAsia" w:ascii="宋体" w:hAnsi="宋体"/>
        </w:rPr>
        <w:t>股指期货采用每日无负债结算制度，如果没有在规定的时间内补足保证金，按规定将被强制平仓，可能给投资带来重大损失。</w:t>
      </w:r>
    </w:p>
    <w:p>
      <w:pPr>
        <w:pStyle w:val="163"/>
        <w:rPr>
          <w:rFonts w:ascii="宋体" w:hAnsi="宋体"/>
        </w:rPr>
      </w:pPr>
      <w:r>
        <w:rPr>
          <w:rFonts w:hint="eastAsia" w:ascii="宋体" w:hAnsi="宋体"/>
        </w:rPr>
        <w:t>3、国债期货投资风险</w:t>
      </w:r>
    </w:p>
    <w:p>
      <w:pPr>
        <w:pStyle w:val="163"/>
        <w:rPr>
          <w:rFonts w:ascii="宋体" w:hAnsi="宋体"/>
        </w:rPr>
      </w:pPr>
      <w:r>
        <w:rPr>
          <w:rFonts w:hint="eastAsia" w:ascii="宋体" w:hAnsi="宋体"/>
        </w:rPr>
        <w:t>本基金的一部分资产将可能投资于国债期货，国债期货市场的风险类型较为复杂，涉及面广，具有放大性与可预防性等特征。其风险主要有由利率波动原因造成的市场价格风险、由宏观因素和政策因素变化而引起的系统风险、由市场和资金流动性原因引起的流动性风险、由交易制度不完善而引发的制度性风险以及由技术系统故障及操作失误造成的技术系统风险等。</w:t>
      </w:r>
    </w:p>
    <w:p>
      <w:pPr>
        <w:pStyle w:val="163"/>
        <w:rPr>
          <w:rFonts w:ascii="宋体" w:hAnsi="宋体"/>
        </w:rPr>
      </w:pPr>
      <w:r>
        <w:rPr>
          <w:rFonts w:hint="eastAsia" w:ascii="宋体" w:hAnsi="宋体"/>
        </w:rPr>
        <w:t>4、股票期权投资风险</w:t>
      </w:r>
    </w:p>
    <w:p>
      <w:pPr>
        <w:pStyle w:val="163"/>
        <w:rPr>
          <w:rFonts w:ascii="宋体" w:hAnsi="宋体"/>
        </w:rPr>
      </w:pPr>
      <w:r>
        <w:rPr>
          <w:rFonts w:hint="eastAsia" w:ascii="宋体" w:hAnsi="宋体"/>
        </w:rPr>
        <w:t>（1）流动性风险：由于股票期权合约众多，交易较为分散，股票期权市场的流动性一般较期货市场要低，尤其是深度实值和虚值的股票期权，成交量稀少，持有这些股票期权的投资者容易遇到无法成交、平仓出局的局面。</w:t>
      </w:r>
    </w:p>
    <w:p>
      <w:pPr>
        <w:pStyle w:val="163"/>
        <w:rPr>
          <w:rFonts w:ascii="宋体" w:hAnsi="宋体"/>
        </w:rPr>
      </w:pPr>
      <w:r>
        <w:rPr>
          <w:rFonts w:hint="eastAsia" w:ascii="宋体" w:hAnsi="宋体"/>
        </w:rPr>
        <w:t>（2）价格风险：股票期权买方的价格风险即为他所付出的权利金，风险具有确定性。股票期权卖方的价格风险不定，不过其所收取的权利金可以提供相应保护，当发生亏损时，可以抵消部分损失。</w:t>
      </w:r>
    </w:p>
    <w:p>
      <w:pPr>
        <w:pStyle w:val="163"/>
        <w:rPr>
          <w:rFonts w:ascii="宋体" w:hAnsi="宋体"/>
        </w:rPr>
      </w:pPr>
      <w:r>
        <w:rPr>
          <w:rFonts w:hint="eastAsia" w:ascii="宋体" w:hAnsi="宋体"/>
        </w:rPr>
        <w:t>（3）操作风险：操作风险是指由于管理不善或者制度执行出现问题等原因所导致的风险。股票期权作为一种衍生品，虽然可以用来管理风险，但若使用不当，也会产生巨额损失。</w:t>
      </w:r>
    </w:p>
    <w:p>
      <w:pPr>
        <w:pStyle w:val="163"/>
        <w:rPr>
          <w:rFonts w:ascii="宋体" w:hAnsi="宋体"/>
        </w:rPr>
      </w:pPr>
      <w:r>
        <w:rPr>
          <w:rFonts w:ascii="宋体" w:hAnsi="宋体"/>
        </w:rPr>
        <w:t>5</w:t>
      </w:r>
      <w:r>
        <w:rPr>
          <w:rFonts w:hint="eastAsia" w:ascii="宋体" w:hAnsi="宋体"/>
        </w:rPr>
        <w:t>、资产支持证券（ABS）的投资风险</w:t>
      </w:r>
    </w:p>
    <w:p>
      <w:pPr>
        <w:pStyle w:val="163"/>
        <w:rPr>
          <w:rFonts w:ascii="宋体" w:hAnsi="宋体"/>
        </w:rPr>
      </w:pPr>
      <w:r>
        <w:rPr>
          <w:rFonts w:hint="eastAsia" w:ascii="宋体" w:hAnsi="宋体"/>
        </w:rPr>
        <w:t>资产支持证券（ABS）是一种债券性质的金融工具，其向投资者支付的本息来自于基础资产池产生的现金流或剩余权益。与股票和一般债券不同，资产支持证券不是对某一经营实体的利益要求权，而是对基础资产池所产生的现金流和剩余权益的要求权，是一种以资产信用为支持的证券，所面临的风险主要包括交易结构风险、各种原因导致的基础资产池现金流与对应证券现金流不匹配产生的信用风险、市场交易不活跃导致的流动性风险等。</w:t>
      </w:r>
    </w:p>
    <w:p>
      <w:pPr>
        <w:pStyle w:val="163"/>
        <w:rPr>
          <w:rFonts w:ascii="宋体" w:hAnsi="宋体"/>
        </w:rPr>
      </w:pPr>
      <w:r>
        <w:rPr>
          <w:rFonts w:ascii="宋体" w:hAnsi="宋体"/>
        </w:rPr>
        <w:t>6</w:t>
      </w:r>
      <w:r>
        <w:rPr>
          <w:rFonts w:hint="eastAsia" w:ascii="宋体" w:hAnsi="宋体"/>
        </w:rPr>
        <w:t>、新股申购风险</w:t>
      </w:r>
    </w:p>
    <w:p>
      <w:pPr>
        <w:pStyle w:val="163"/>
        <w:rPr>
          <w:rFonts w:ascii="宋体" w:hAnsi="宋体"/>
        </w:rPr>
      </w:pPr>
      <w:r>
        <w:rPr>
          <w:rFonts w:hint="eastAsia" w:ascii="宋体" w:hAnsi="宋体"/>
        </w:rPr>
        <w:t>本基金可参与新股申购，新股发行政策、新股发行机制等影响新股发行的因素变动将会影响本基金的风险收益水平；新股配售比例、中签率的不确定性，或其他发售方式的不确定性以及上市后市场表现的不确定性使得本基金的投资收益不确定性有增加的风险。</w:t>
      </w:r>
    </w:p>
    <w:p>
      <w:pPr>
        <w:pStyle w:val="163"/>
        <w:rPr>
          <w:rFonts w:ascii="宋体" w:hAnsi="宋体"/>
        </w:rPr>
      </w:pPr>
      <w:r>
        <w:rPr>
          <w:rFonts w:hint="eastAsia" w:ascii="宋体" w:hAnsi="宋体"/>
        </w:rPr>
        <w:t>7、融资及转融通证券出借业务的主要风险</w:t>
      </w:r>
    </w:p>
    <w:p>
      <w:pPr>
        <w:pStyle w:val="163"/>
        <w:rPr>
          <w:rFonts w:ascii="宋体" w:hAnsi="宋体"/>
        </w:rPr>
      </w:pPr>
      <w:r>
        <w:rPr>
          <w:rFonts w:hint="eastAsia" w:ascii="宋体" w:hAnsi="宋体"/>
        </w:rPr>
        <w:t>（1）流动性风险</w:t>
      </w:r>
    </w:p>
    <w:p>
      <w:pPr>
        <w:pStyle w:val="163"/>
        <w:rPr>
          <w:rFonts w:ascii="宋体" w:hAnsi="宋体"/>
        </w:rPr>
      </w:pPr>
      <w:r>
        <w:rPr>
          <w:rFonts w:hint="eastAsia" w:ascii="宋体" w:hAnsi="宋体"/>
        </w:rPr>
        <w:t>出借人在出借证券后，除与借入人协商一致可提前了结的情形外，其他情形无法在合约到期前提前收回出借证券。当委托人拟赎回安排与投资人策略安排之间存在期限偏离，或当市场变化导致投资人员策略显著调整与前期合约期限安排不匹配时，可能存在由于出借证券无法及时收回并变现而导致的流动性风险。</w:t>
      </w:r>
    </w:p>
    <w:p>
      <w:pPr>
        <w:pStyle w:val="163"/>
        <w:rPr>
          <w:rFonts w:ascii="宋体" w:hAnsi="宋体"/>
        </w:rPr>
      </w:pPr>
      <w:r>
        <w:rPr>
          <w:rFonts w:hint="eastAsia" w:ascii="宋体" w:hAnsi="宋体"/>
        </w:rPr>
        <w:t>（2）交易对手违约风险</w:t>
      </w:r>
    </w:p>
    <w:p>
      <w:pPr>
        <w:pStyle w:val="163"/>
        <w:rPr>
          <w:rFonts w:ascii="宋体" w:hAnsi="宋体"/>
        </w:rPr>
      </w:pPr>
      <w:r>
        <w:rPr>
          <w:rFonts w:hint="eastAsia" w:ascii="宋体" w:hAnsi="宋体"/>
        </w:rPr>
        <w:t>存在由于交易对手违约而导致证券到期不能按时或足额归还、相应权益补偿和借券费用不能支付等交易对手违约风险。</w:t>
      </w:r>
    </w:p>
    <w:p>
      <w:pPr>
        <w:pStyle w:val="163"/>
        <w:rPr>
          <w:rFonts w:ascii="宋体" w:hAnsi="宋体"/>
        </w:rPr>
      </w:pPr>
      <w:r>
        <w:rPr>
          <w:rFonts w:hint="eastAsia" w:ascii="宋体" w:hAnsi="宋体"/>
        </w:rPr>
        <w:t>（3）市场风险</w:t>
      </w:r>
    </w:p>
    <w:p>
      <w:pPr>
        <w:pStyle w:val="163"/>
        <w:rPr>
          <w:rFonts w:ascii="宋体" w:hAnsi="宋体"/>
        </w:rPr>
      </w:pPr>
      <w:r>
        <w:rPr>
          <w:rFonts w:hint="eastAsia" w:ascii="宋体" w:hAnsi="宋体"/>
        </w:rPr>
        <w:t>转融通出借收益按照证券当日收市后市值、融出日（或展期日）费率和实际出借天数计算，因此可能面临证券市值波动、费率变动而导致的市场风险。</w:t>
      </w:r>
    </w:p>
    <w:p>
      <w:pPr>
        <w:pStyle w:val="163"/>
        <w:rPr>
          <w:rFonts w:ascii="宋体" w:hAnsi="宋体"/>
        </w:rPr>
      </w:pPr>
      <w:r>
        <w:rPr>
          <w:rFonts w:hint="eastAsia" w:ascii="宋体" w:hAnsi="宋体"/>
        </w:rPr>
        <w:t>（4）提前或延迟了结风险</w:t>
      </w:r>
    </w:p>
    <w:p>
      <w:pPr>
        <w:pStyle w:val="163"/>
        <w:rPr>
          <w:rFonts w:ascii="宋体" w:hAnsi="宋体"/>
        </w:rPr>
      </w:pPr>
      <w:r>
        <w:rPr>
          <w:rFonts w:hint="eastAsia" w:ascii="宋体" w:hAnsi="宋体"/>
        </w:rPr>
        <w:t>证券出借期间，如发生标的证券范围调整、标的证券暂停交易、标的证券对应的上市公司被以终止上市为目的进行收购、终止上市等情况，可能面临合约提前了结或延迟了结的风险。</w:t>
      </w:r>
    </w:p>
    <w:p>
      <w:pPr>
        <w:pStyle w:val="163"/>
        <w:rPr>
          <w:rFonts w:ascii="宋体" w:hAnsi="宋体"/>
        </w:rPr>
      </w:pPr>
      <w:r>
        <w:rPr>
          <w:rFonts w:hint="eastAsia" w:ascii="宋体" w:hAnsi="宋体"/>
        </w:rPr>
        <w:t>（5）跟踪误差风险</w:t>
      </w:r>
    </w:p>
    <w:p>
      <w:pPr>
        <w:pStyle w:val="163"/>
        <w:rPr>
          <w:rFonts w:ascii="宋体" w:hAnsi="宋体"/>
        </w:rPr>
      </w:pPr>
      <w:r>
        <w:rPr>
          <w:rFonts w:hint="eastAsia" w:ascii="宋体" w:hAnsi="宋体"/>
        </w:rPr>
        <w:t>对于指数型组合，当组合发生大额赎回或市场大幅波动时，存在由于转融通出借证券无法提前了结并变现，单一股票占比被动上升而导致组合跟踪误差扩大的风险。</w:t>
      </w:r>
    </w:p>
    <w:p>
      <w:pPr>
        <w:pStyle w:val="163"/>
        <w:rPr>
          <w:rFonts w:ascii="宋体" w:hAnsi="宋体"/>
        </w:rPr>
      </w:pPr>
      <w:r>
        <w:rPr>
          <w:rFonts w:hint="eastAsia" w:ascii="宋体" w:hAnsi="宋体"/>
        </w:rPr>
        <w:t>（6）杠杆效应放大风险</w:t>
      </w:r>
    </w:p>
    <w:p>
      <w:pPr>
        <w:pStyle w:val="163"/>
        <w:rPr>
          <w:rFonts w:ascii="宋体" w:hAnsi="宋体"/>
        </w:rPr>
      </w:pPr>
      <w:r>
        <w:rPr>
          <w:rFonts w:hint="eastAsia" w:ascii="宋体" w:hAnsi="宋体"/>
        </w:rPr>
        <w:t>投资者通过融资及转融通证券出借业务可以扩大交易额度，利用较少资本来获取较大利润</w:t>
      </w:r>
      <w:r>
        <w:rPr>
          <w:rFonts w:ascii="宋体" w:hAnsi="宋体"/>
        </w:rPr>
        <w:t>，</w:t>
      </w:r>
      <w:r>
        <w:rPr>
          <w:rFonts w:hint="eastAsia" w:ascii="宋体" w:hAnsi="宋体"/>
        </w:rPr>
        <w:t>这必然也放大了风险。投资者将股票作为担保品进行融资时，既需要承担原有的股票价格变化带来的风险，又得承担新投资股票带来的风险</w:t>
      </w:r>
      <w:r>
        <w:rPr>
          <w:rFonts w:ascii="宋体" w:hAnsi="宋体"/>
        </w:rPr>
        <w:t>，</w:t>
      </w:r>
      <w:r>
        <w:rPr>
          <w:rFonts w:hint="eastAsia" w:ascii="宋体" w:hAnsi="宋体"/>
        </w:rPr>
        <w:t>还得支付相应的利息或费用，如判断失误或操作不当</w:t>
      </w:r>
      <w:r>
        <w:rPr>
          <w:rFonts w:ascii="宋体" w:hAnsi="宋体"/>
        </w:rPr>
        <w:t>，</w:t>
      </w:r>
      <w:r>
        <w:rPr>
          <w:rFonts w:hint="eastAsia" w:ascii="宋体" w:hAnsi="宋体"/>
        </w:rPr>
        <w:t>会加大亏损。</w:t>
      </w:r>
    </w:p>
    <w:p>
      <w:pPr>
        <w:pStyle w:val="163"/>
        <w:rPr>
          <w:rFonts w:ascii="宋体" w:hAnsi="宋体"/>
        </w:rPr>
      </w:pPr>
      <w:r>
        <w:rPr>
          <w:rFonts w:hint="eastAsia" w:ascii="宋体" w:hAnsi="宋体"/>
        </w:rPr>
        <w:t>（7）担保能力及限制交易风险</w:t>
      </w:r>
    </w:p>
    <w:p>
      <w:pPr>
        <w:pStyle w:val="163"/>
        <w:rPr>
          <w:rFonts w:ascii="宋体" w:hAnsi="宋体"/>
        </w:rPr>
      </w:pPr>
      <w:r>
        <w:rPr>
          <w:rFonts w:hint="eastAsia" w:ascii="宋体" w:hAnsi="宋体"/>
        </w:rPr>
        <w:t>单只或全部证券被暂停融资及转融通证券出借业务、投资者账户被暂停或取消融资及转融通证券出借业务资格等，这些影响可能给投资者造成经济损失。此外，投资者也可能面临由于自身维持担保比例低于融资及转融通证券出借业务合同约定的担保要求，且未能及时补充担保物，导致信用账户交易受到限制</w:t>
      </w:r>
      <w:r>
        <w:rPr>
          <w:rFonts w:ascii="宋体" w:hAnsi="宋体"/>
        </w:rPr>
        <w:t>，</w:t>
      </w:r>
      <w:r>
        <w:rPr>
          <w:rFonts w:hint="eastAsia" w:ascii="宋体" w:hAnsi="宋体"/>
        </w:rPr>
        <w:t>从而造成经济损失。</w:t>
      </w:r>
    </w:p>
    <w:p>
      <w:pPr>
        <w:pStyle w:val="163"/>
        <w:rPr>
          <w:rFonts w:ascii="宋体" w:hAnsi="宋体"/>
        </w:rPr>
      </w:pPr>
      <w:r>
        <w:rPr>
          <w:rFonts w:hint="eastAsia" w:ascii="宋体" w:hAnsi="宋体"/>
        </w:rPr>
        <w:t>（8）强制平仓风险</w:t>
      </w:r>
    </w:p>
    <w:p>
      <w:pPr>
        <w:pStyle w:val="163"/>
        <w:rPr>
          <w:rFonts w:ascii="宋体" w:hAnsi="宋体"/>
        </w:rPr>
      </w:pPr>
      <w:r>
        <w:rPr>
          <w:rFonts w:hint="eastAsia" w:ascii="宋体" w:hAnsi="宋体"/>
        </w:rPr>
        <w:t>投资者在从事融资交易及转融通证券出借业务期间，如果不能按照约定的期限清偿债务，或上市证券价格波动，导致日终清算后维持担保比例低于警戒线，且不能按照约定追加担保物时，将面临担保物被证券公司强制平仓的风险，由此可能给投资者造成经济损失。</w:t>
      </w:r>
    </w:p>
    <w:p>
      <w:pPr>
        <w:pStyle w:val="163"/>
        <w:rPr>
          <w:rFonts w:ascii="宋体" w:hAnsi="宋体"/>
        </w:rPr>
      </w:pPr>
      <w:r>
        <w:rPr>
          <w:rFonts w:hint="eastAsia" w:ascii="宋体" w:hAnsi="宋体"/>
        </w:rPr>
        <w:t>（9）操作风险</w:t>
      </w:r>
    </w:p>
    <w:p>
      <w:pPr>
        <w:pStyle w:val="163"/>
        <w:rPr>
          <w:rFonts w:ascii="宋体" w:hAnsi="宋体"/>
        </w:rPr>
      </w:pPr>
      <w:r>
        <w:rPr>
          <w:rFonts w:hint="eastAsia" w:ascii="宋体" w:hAnsi="宋体"/>
        </w:rPr>
        <w:t>融资交易和转融通业务具体实施过程中，在投资决策、交易等环节，可能面临由于操作人员操作失误、系统不完善等原因引发的操作风险。</w:t>
      </w:r>
    </w:p>
    <w:p>
      <w:pPr>
        <w:pStyle w:val="163"/>
        <w:rPr>
          <w:rFonts w:ascii="宋体" w:hAnsi="宋体"/>
        </w:rPr>
      </w:pPr>
      <w:r>
        <w:rPr>
          <w:rFonts w:hint="eastAsia" w:ascii="宋体" w:hAnsi="宋体"/>
        </w:rPr>
        <w:t>（10）法律合规风险</w:t>
      </w:r>
    </w:p>
    <w:p>
      <w:pPr>
        <w:pStyle w:val="163"/>
        <w:rPr>
          <w:rFonts w:ascii="宋体" w:hAnsi="宋体"/>
        </w:rPr>
      </w:pPr>
      <w:r>
        <w:rPr>
          <w:rFonts w:hint="eastAsia" w:ascii="宋体" w:hAnsi="宋体"/>
        </w:rPr>
        <w:t>在融资交易和转融通证券出借过程中，存在由于标的证券价格波动导致组合合规指标超标且无法进行调整的风险，以及在业务开展过程中发生操纵价格、利益输送等法律合规风险。</w:t>
      </w:r>
    </w:p>
    <w:p>
      <w:pPr>
        <w:pStyle w:val="163"/>
        <w:rPr>
          <w:rFonts w:ascii="宋体" w:hAnsi="宋体"/>
        </w:rPr>
      </w:pPr>
      <w:r>
        <w:rPr>
          <w:rFonts w:hint="eastAsia" w:ascii="宋体" w:hAnsi="宋体"/>
        </w:rPr>
        <w:t>8、投资于存托凭证的风险</w:t>
      </w:r>
    </w:p>
    <w:p>
      <w:pPr>
        <w:pStyle w:val="163"/>
        <w:rPr>
          <w:rFonts w:ascii="宋体" w:hAnsi="宋体"/>
        </w:rPr>
      </w:pPr>
      <w:r>
        <w:rPr>
          <w:rFonts w:hint="eastAsia" w:ascii="宋体" w:hAnsi="宋体"/>
        </w:rPr>
        <w:t>本基金的投资范围包括存托凭证，除与其他仅投资于</w:t>
      </w:r>
      <w:r>
        <w:rPr>
          <w:rFonts w:ascii="宋体" w:hAnsi="宋体"/>
        </w:rPr>
        <w:t>境内</w:t>
      </w:r>
      <w:r>
        <w:rPr>
          <w:rFonts w:hint="eastAsia" w:ascii="宋体" w:hAnsi="宋体"/>
        </w:rPr>
        <w:t>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pPr>
        <w:pStyle w:val="163"/>
        <w:rPr>
          <w:rFonts w:ascii="宋体" w:hAnsi="宋体"/>
        </w:rPr>
      </w:pPr>
      <w:r>
        <w:rPr>
          <w:rFonts w:hint="eastAsia" w:ascii="宋体" w:hAnsi="宋体"/>
        </w:rPr>
        <w:t>9、自动清算的风险</w:t>
      </w:r>
    </w:p>
    <w:p>
      <w:pPr>
        <w:pStyle w:val="163"/>
        <w:rPr>
          <w:rFonts w:ascii="宋体" w:hAnsi="宋体" w:cs="宋体"/>
        </w:rPr>
      </w:pPr>
      <w:r>
        <w:rPr>
          <w:rFonts w:hint="eastAsia" w:ascii="宋体" w:hAnsi="宋体" w:cs="宋体"/>
        </w:rPr>
        <w:t>本基金的基金合同生效之日起三年后的对应日，若基金资产净值低于两亿元的，本基金将根据基金合同的约定进行基金财产清算并终止，无需召开基金份额持有人大会审议，且不得通过召开基金份额持有人大会的方式延续基金合同。</w:t>
      </w:r>
    </w:p>
    <w:p>
      <w:pPr>
        <w:pStyle w:val="163"/>
        <w:rPr>
          <w:rFonts w:ascii="宋体" w:hAnsi="宋体" w:cs="宋体"/>
        </w:rPr>
      </w:pPr>
      <w:r>
        <w:rPr>
          <w:rFonts w:hint="eastAsia" w:ascii="宋体" w:hAnsi="宋体" w:cs="宋体"/>
        </w:rPr>
        <w:t>本基金在基金合同生效三年后继续存续的，基金存续期内，连续</w:t>
      </w:r>
      <w:r>
        <w:rPr>
          <w:rFonts w:ascii="宋体" w:hAnsi="宋体" w:cs="宋体"/>
        </w:rPr>
        <w:t>5</w:t>
      </w:r>
      <w:r>
        <w:rPr>
          <w:rFonts w:hint="eastAsia" w:ascii="宋体" w:hAnsi="宋体" w:cs="宋体"/>
        </w:rPr>
        <w:t>0个工作日出现基金份额持有人数量不满200人或者基金资产净值低于5000万元情形的，本基金将根据基金合同的约定进行基金财产清算并终止，且无需召开基金份额持有人大会，同时基金管理人应履行相关的监管报告和信息披露程序。</w:t>
      </w:r>
    </w:p>
    <w:p>
      <w:pPr>
        <w:pStyle w:val="163"/>
        <w:rPr>
          <w:rFonts w:ascii="宋体" w:hAnsi="宋体" w:cs="宋体"/>
        </w:rPr>
      </w:pPr>
      <w:r>
        <w:rPr>
          <w:rFonts w:hint="eastAsia" w:ascii="宋体" w:hAnsi="宋体" w:cs="宋体"/>
        </w:rPr>
        <w:t>因此本基金有面临自动清算的风险。</w:t>
      </w:r>
    </w:p>
    <w:p>
      <w:pPr>
        <w:pStyle w:val="163"/>
        <w:ind w:firstLine="422"/>
        <w:rPr>
          <w:rFonts w:ascii="宋体" w:hAnsi="宋体"/>
          <w:b/>
        </w:rPr>
      </w:pPr>
      <w:r>
        <w:rPr>
          <w:rFonts w:hint="eastAsia" w:ascii="宋体" w:hAnsi="宋体"/>
          <w:b/>
        </w:rPr>
        <w:t>三、本基金法律文件风险收益特征表述与销售机构基金风险评价可能不一致的风险</w:t>
      </w:r>
    </w:p>
    <w:p>
      <w:pPr>
        <w:pStyle w:val="163"/>
        <w:rPr>
          <w:rFonts w:ascii="宋体" w:hAnsi="宋体"/>
        </w:rPr>
      </w:pPr>
      <w:r>
        <w:rPr>
          <w:rFonts w:hint="eastAsia" w:ascii="宋体" w:hAnsi="宋体"/>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等级之间的匹配检验。</w:t>
      </w:r>
    </w:p>
    <w:p>
      <w:pPr>
        <w:pStyle w:val="163"/>
        <w:ind w:firstLine="422"/>
        <w:rPr>
          <w:rFonts w:ascii="宋体" w:hAnsi="宋体"/>
          <w:b/>
        </w:rPr>
      </w:pPr>
      <w:r>
        <w:rPr>
          <w:rFonts w:ascii="宋体" w:hAnsi="宋体"/>
          <w:b/>
        </w:rPr>
        <w:t>四</w:t>
      </w:r>
      <w:r>
        <w:rPr>
          <w:rFonts w:hint="eastAsia" w:ascii="宋体" w:hAnsi="宋体"/>
          <w:b/>
        </w:rPr>
        <w:t>、其他风险</w:t>
      </w:r>
    </w:p>
    <w:p>
      <w:pPr>
        <w:pStyle w:val="163"/>
        <w:rPr>
          <w:rFonts w:ascii="宋体" w:hAnsi="宋体"/>
        </w:rPr>
      </w:pPr>
      <w:r>
        <w:rPr>
          <w:rFonts w:ascii="宋体" w:hAnsi="宋体"/>
        </w:rPr>
        <w:t>1</w:t>
      </w:r>
      <w:r>
        <w:rPr>
          <w:rFonts w:hint="eastAsia" w:ascii="宋体" w:hAnsi="宋体"/>
        </w:rPr>
        <w:t>、因技术因素而产生的风险，如电脑系统不可靠产生的风险；</w:t>
      </w:r>
    </w:p>
    <w:p>
      <w:pPr>
        <w:pStyle w:val="163"/>
        <w:rPr>
          <w:rFonts w:ascii="宋体" w:hAnsi="宋体"/>
        </w:rPr>
      </w:pPr>
      <w:r>
        <w:rPr>
          <w:rFonts w:ascii="宋体" w:hAnsi="宋体"/>
        </w:rPr>
        <w:t>2</w:t>
      </w:r>
      <w:r>
        <w:rPr>
          <w:rFonts w:hint="eastAsia" w:ascii="宋体" w:hAnsi="宋体"/>
        </w:rPr>
        <w:t>、因业务快速发展而在制度建设、人员配备、内控制度建立等不完善而产生的风险；</w:t>
      </w:r>
    </w:p>
    <w:p>
      <w:pPr>
        <w:pStyle w:val="163"/>
        <w:rPr>
          <w:rFonts w:ascii="宋体" w:hAnsi="宋体"/>
        </w:rPr>
      </w:pPr>
      <w:r>
        <w:rPr>
          <w:rFonts w:ascii="宋体" w:hAnsi="宋体"/>
        </w:rPr>
        <w:t>3</w:t>
      </w:r>
      <w:r>
        <w:rPr>
          <w:rFonts w:hint="eastAsia" w:ascii="宋体" w:hAnsi="宋体"/>
        </w:rPr>
        <w:t>、因人为因素而产生的风险、如内幕交易、欺诈行为等产生的风险；</w:t>
      </w:r>
    </w:p>
    <w:p>
      <w:pPr>
        <w:pStyle w:val="163"/>
        <w:rPr>
          <w:rFonts w:ascii="宋体" w:hAnsi="宋体"/>
        </w:rPr>
      </w:pPr>
      <w:r>
        <w:rPr>
          <w:rFonts w:ascii="宋体" w:hAnsi="宋体"/>
        </w:rPr>
        <w:t>4</w:t>
      </w:r>
      <w:r>
        <w:rPr>
          <w:rFonts w:hint="eastAsia" w:ascii="宋体" w:hAnsi="宋体"/>
        </w:rPr>
        <w:t>、对主要业务人员如基金经理的依赖而可能产生的风险；</w:t>
      </w:r>
    </w:p>
    <w:p>
      <w:pPr>
        <w:pStyle w:val="163"/>
        <w:rPr>
          <w:rFonts w:ascii="宋体" w:hAnsi="宋体"/>
        </w:rPr>
      </w:pPr>
      <w:r>
        <w:rPr>
          <w:rFonts w:ascii="宋体" w:hAnsi="宋体"/>
        </w:rPr>
        <w:t>5</w:t>
      </w:r>
      <w:r>
        <w:rPr>
          <w:rFonts w:hint="eastAsia" w:ascii="宋体" w:hAnsi="宋体"/>
        </w:rPr>
        <w:t>、因业务竞争压力可能产生的风险；</w:t>
      </w:r>
    </w:p>
    <w:p>
      <w:pPr>
        <w:pStyle w:val="163"/>
        <w:rPr>
          <w:rFonts w:ascii="宋体" w:hAnsi="宋体"/>
        </w:rPr>
      </w:pPr>
      <w:r>
        <w:rPr>
          <w:rFonts w:ascii="宋体" w:hAnsi="宋体"/>
        </w:rPr>
        <w:t>6</w:t>
      </w:r>
      <w:r>
        <w:rPr>
          <w:rFonts w:hint="eastAsia" w:ascii="宋体" w:hAnsi="宋体"/>
        </w:rPr>
        <w:t>、不可抗力可能导致基金资产的损失，影响基金收益水平，从而带来风险；</w:t>
      </w:r>
    </w:p>
    <w:p>
      <w:pPr>
        <w:pStyle w:val="163"/>
        <w:rPr>
          <w:rFonts w:ascii="宋体" w:hAnsi="宋体"/>
        </w:rPr>
      </w:pPr>
      <w:r>
        <w:rPr>
          <w:rFonts w:ascii="宋体" w:hAnsi="宋体"/>
        </w:rPr>
        <w:t>7</w:t>
      </w:r>
      <w:r>
        <w:rPr>
          <w:rFonts w:hint="eastAsia" w:ascii="宋体" w:hAnsi="宋体"/>
        </w:rPr>
        <w:t>、其他意外导致的风险。</w:t>
      </w:r>
    </w:p>
    <w:p>
      <w:pPr>
        <w:pStyle w:val="163"/>
        <w:ind w:firstLine="422"/>
        <w:rPr>
          <w:rFonts w:ascii="宋体" w:hAnsi="宋体"/>
          <w:b/>
        </w:rPr>
      </w:pPr>
      <w:r>
        <w:rPr>
          <w:rFonts w:hint="eastAsia" w:ascii="宋体" w:hAnsi="宋体"/>
          <w:b/>
        </w:rPr>
        <w:t>五</w:t>
      </w:r>
      <w:r>
        <w:rPr>
          <w:rFonts w:ascii="宋体" w:hAnsi="宋体"/>
          <w:b/>
        </w:rPr>
        <w:t>、声明</w:t>
      </w:r>
    </w:p>
    <w:p>
      <w:pPr>
        <w:pStyle w:val="163"/>
        <w:rPr>
          <w:rFonts w:ascii="宋体" w:hAnsi="宋体"/>
        </w:rPr>
      </w:pPr>
      <w:r>
        <w:rPr>
          <w:rFonts w:ascii="宋体" w:hAnsi="宋体"/>
        </w:rPr>
        <w:t>1、投资者投资于本基金，须自行承担投资风险；</w:t>
      </w:r>
    </w:p>
    <w:p>
      <w:pPr>
        <w:snapToGrid w:val="0"/>
        <w:spacing w:line="360" w:lineRule="auto"/>
        <w:ind w:firstLine="420" w:firstLineChars="200"/>
        <w:rPr>
          <w:rFonts w:hAnsi="宋体"/>
          <w:szCs w:val="21"/>
        </w:rPr>
        <w:sectPr>
          <w:footerReference r:id="rId27" w:type="first"/>
          <w:pgSz w:w="11906" w:h="16838"/>
          <w:pgMar w:top="1440" w:right="1800" w:bottom="1440" w:left="1800" w:header="851" w:footer="992" w:gutter="0"/>
          <w:pgNumType w:start="1"/>
          <w:cols w:space="425" w:num="1"/>
          <w:titlePg/>
          <w:docGrid w:type="lines" w:linePitch="312" w:charSpace="0"/>
        </w:sectPr>
      </w:pPr>
      <w:r>
        <w:rPr>
          <w:rFonts w:ascii="宋体" w:hAnsi="宋体"/>
        </w:rPr>
        <w:t>2、除基金管理人直接办理本基金的销售外，本基金还通过基金</w:t>
      </w:r>
      <w:r>
        <w:rPr>
          <w:rFonts w:hint="eastAsia" w:ascii="宋体" w:hAnsi="宋体"/>
        </w:rPr>
        <w:t>销售</w:t>
      </w:r>
      <w:r>
        <w:rPr>
          <w:rFonts w:ascii="宋体" w:hAnsi="宋体"/>
        </w:rPr>
        <w:t>机构代理销售，基金管理人与基金代销机构都不能保证其收益或本金安全</w:t>
      </w:r>
      <w:r>
        <w:rPr>
          <w:rFonts w:hint="eastAsia" w:ascii="宋体" w:hAnsi="宋体"/>
        </w:rPr>
        <w:t>。</w:t>
      </w:r>
    </w:p>
    <w:p>
      <w:pPr>
        <w:pStyle w:val="4"/>
        <w:numPr>
          <w:ilvl w:val="0"/>
          <w:numId w:val="25"/>
        </w:numPr>
        <w:snapToGrid w:val="0"/>
        <w:spacing w:before="0" w:after="0" w:line="360" w:lineRule="auto"/>
        <w:jc w:val="center"/>
        <w:rPr>
          <w:rFonts w:ascii="黑体"/>
          <w:color w:val="000000"/>
        </w:rPr>
      </w:pPr>
      <w:bookmarkStart w:id="143" w:name="_Toc335899850"/>
      <w:bookmarkStart w:id="144" w:name="_Toc332013127"/>
      <w:bookmarkStart w:id="145" w:name="_Toc92740301"/>
      <w:bookmarkStart w:id="146" w:name="_Toc369510025"/>
      <w:bookmarkStart w:id="147" w:name="_Toc336606244"/>
      <w:bookmarkStart w:id="148" w:name="_Toc327902639"/>
      <w:bookmarkStart w:id="149" w:name="_Toc411872039"/>
      <w:bookmarkStart w:id="150" w:name="_Toc375295990"/>
      <w:r>
        <w:rPr>
          <w:rFonts w:hint="eastAsia"/>
        </w:rPr>
        <w:t>基金合同的变更、终止和基金财产的清算</w:t>
      </w:r>
      <w:bookmarkEnd w:id="143"/>
      <w:bookmarkEnd w:id="144"/>
      <w:bookmarkEnd w:id="145"/>
      <w:bookmarkEnd w:id="146"/>
      <w:bookmarkEnd w:id="147"/>
      <w:bookmarkEnd w:id="148"/>
      <w:bookmarkEnd w:id="149"/>
      <w:bookmarkEnd w:id="150"/>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一、《基金合同》的变更</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并履行适当程序后变更并公告。</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2、关于《基金合同》变更的基金份额持有人大会决议自生效后方可执行，自决议生效后按规定在规定媒介公告。</w:t>
      </w:r>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二、《基金合同》的终止事由</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有下列情形之一的，经履行相关程序后，《基金合同》应当终止：</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1、基金份额持有人大会决定终止的；</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2、基金管理人、基金托管人职责终止，在6个月内没有新基金管理人、新基金托管人承接的；</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3、《基金合同》约定的其他情形；</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4、相关法律法规和中国证监会规定的其他情况。</w:t>
      </w:r>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三、基金财产的清算</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1、基金财产清算小组：自出现《基金合同》终止事由之日起30个工作日内成立基金财产清算小组，基金管理人组织基金财产清算小组并在中国证监会的监督下进行基金清算。</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2、在基金财产清算小组接管基金财产之前，基金管理人和基金托管人应按照《基金合同》和托管协议的规定继续履行保护基金财产安全的职责。</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4、基金财产清算小组职责：基金财产清算小组负责基金财产的保管、清理、估价、变现和分配。基金财产清算小组可以依法进行必要的民事活动。</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5、在基金财产清算过程中，基金管理人和基金托管人应各自履行职责，继续忠实、勤勉、尽责地履行基金合同和托管协议规定的义务，维护基金份额持有人的合法权益。</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6、基金财产清算程序：</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（1）《基金合同》终止情形出现时，由基金财产清算小组统一接管基金财产；</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（2）对基金财产和债权债务进行清理和确认；</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（3）对基金财产进行估值和变现；</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（4）制作清算报告；</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（5）聘请会计师事务所对清算报告进行外部审计，聘请律师事务所对清算报告出具法律意见书；</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（6）将清算报告报中国证监会备案并公告；</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（7）对基金剩余财产进行分配。</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7、基金财产清算的期限为6个月，但因本基金所持证券的流动性受到限制而不能及时变现的，清算期限可相应顺延。</w:t>
      </w:r>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四、清算费用</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清算费用是指基金财产清算小组在进行基金清算过程中发生的所有合理费用，清算费用由基金财产清算小组优先从基金剩余财产中支付。</w:t>
      </w:r>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五、基金财产清算剩余资产的分配</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依据基金财产清算的分配方案，将基金财产清算后的全部剩余资产扣除基金财产清算费用、交纳所欠税款并清偿基金债务后，按基金份额持有人持有的各类基金份额比例进行分配。</w:t>
      </w:r>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六、基金财产清算的公告</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七、基金财产清算账册及文件的保存</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基金财产清算账册及有关文件由基金托管人保存，保存期限不低于法律法规规定的最低期限。</w:t>
      </w:r>
    </w:p>
    <w:p>
      <w:pPr>
        <w:adjustRightInd w:val="0"/>
        <w:snapToGri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八、基金合并</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本基金与其他基金的合并应当按照法律法规规定的程序进行。</w:t>
      </w:r>
    </w:p>
    <w:p>
      <w:pPr>
        <w:widowControl/>
        <w:snapToGrid w:val="0"/>
        <w:spacing w:line="360" w:lineRule="auto"/>
        <w:jc w:val="left"/>
        <w:rPr>
          <w:color w:val="000000"/>
        </w:rPr>
        <w:sectPr>
          <w:footerReference r:id="rId28" w:type="firs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pPr>
      <w:bookmarkStart w:id="151" w:name="_Toc336606245"/>
      <w:bookmarkStart w:id="152" w:name="_Toc332013128"/>
      <w:bookmarkStart w:id="153" w:name="_Toc375295991"/>
      <w:bookmarkStart w:id="154" w:name="_Toc335899851"/>
      <w:bookmarkStart w:id="155" w:name="_Toc369510026"/>
      <w:bookmarkStart w:id="156" w:name="_Toc92740302"/>
      <w:bookmarkStart w:id="157" w:name="_Toc327902640"/>
      <w:bookmarkStart w:id="158" w:name="_Toc411872040"/>
      <w:r>
        <w:rPr>
          <w:rFonts w:hint="eastAsia"/>
        </w:rPr>
        <w:t>基金合同的内容摘要</w:t>
      </w:r>
      <w:bookmarkEnd w:id="151"/>
      <w:bookmarkEnd w:id="152"/>
      <w:bookmarkEnd w:id="153"/>
      <w:bookmarkEnd w:id="154"/>
      <w:bookmarkEnd w:id="155"/>
      <w:bookmarkEnd w:id="156"/>
      <w:bookmarkEnd w:id="157"/>
      <w:bookmarkEnd w:id="158"/>
    </w:p>
    <w:p>
      <w:pPr>
        <w:adjustRightInd w:val="0"/>
        <w:snapToGrid w:val="0"/>
        <w:spacing w:line="360" w:lineRule="auto"/>
        <w:ind w:firstLine="426" w:firstLineChars="202"/>
        <w:rPr>
          <w:rFonts w:asciiTheme="minorEastAsia" w:hAnsiTheme="minorEastAsia" w:eastAsiaTheme="minorEastAsia"/>
          <w:szCs w:val="21"/>
        </w:rPr>
      </w:pPr>
      <w:r>
        <w:rPr>
          <w:rFonts w:hint="eastAsia" w:asciiTheme="minorEastAsia" w:hAnsiTheme="minorEastAsia" w:eastAsiaTheme="minorEastAsia"/>
          <w:b/>
          <w:bCs/>
          <w:szCs w:val="21"/>
        </w:rPr>
        <w:t>一、基金份额持有人、基金管理人和基金托管人的权利、义务</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（一）基金管理人的权利与义务</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1、根据《基金法》、《运作办法》及其他有关规定，基金管理人的权利包括但不限于：</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（1）依法募集资金；</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（2）自《基金合同》生效之日起，根据法律法规和《基金合同》独立运用并管理基金财产；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（3）依照《基金合同》收取基金管理费以及法律法规规定或中国证监会批准的其他费用；</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（4）销售基金份额；</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（5）按照规定召集基金份额持有人大会；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（6）依据《基金合同》及有关法律规定监督基金托管人，如认为基金托管人违反了《基金合同》及国家有关法律规定，应呈报中国证监会和其他监管部门，并采取必要措施保护基金投资者的利益；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（7）在基金托管人更换时，提名新的基金托管人；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（8）选择、更换基金销售机构，对基金销售机构的相关行为进行监督和处理； </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（9）担任或委托其他符合条件的机构担任基金登记机构办理基金登记业务并获得《基金合同》规定的费用； </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（10）依据《基金合同》及有关法律规定决定基金收益的分配方案；</w:t>
      </w:r>
      <w:r>
        <w:rPr>
          <w:rFonts w:hint="eastAsia" w:asciiTheme="minorEastAsia" w:hAnsiTheme="minorEastAsia" w:eastAsiaTheme="minorEastAsia"/>
        </w:rPr>
        <w:tab/>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 xml:space="preserve">（11）在《基金合同》约定的范围内，拒绝或暂停受理申购、赎回与转换申请； </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（12）依照法律法规为基金的利益对被投资公司行使股东权利，为基金的利益行使因基金财产投资于证券所产生的权利；</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（13）在法律法规允许的前提下，为基金的利益依法为基金进行融资及转融通证券出借业务；</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（14）以基金管理人的名义，代表基金份额持有人的利益行使诉讼权利或者实施其他法律行为；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（15）选择、更换律师事务所、会计师事务所、证券、期货经纪商或其他为基金提供服务的外部机构；</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（16）在符合有关法律、法规的前提下，制订和调整有关基金认购、申购、赎回、转换、定期定额投资和非交易过户等业务规则；</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（17）法律法规及中国证监会规定的和《基金合同》约定的其他权利。</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2、根据《基金法》、《运作办法》及其他有关规定，基金管理人的义务包括但不限于：</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（1）依法募集资金，办理或者委托经中国证监会认定的其他机构代为办理基金份额的发售、申购、赎回和登记事宜；</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（2）办理基金备案手续；</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（3）自《基金合同》生效之日起，以诚实信用、谨慎勤勉的原则管理和运用基金财产；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（4）配备足够的具有专业资格的人员进行基金投资分析、决策，以专业化的经营方式管理和运作基金财产；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（5）建立健全内部风险控制、监察与稽核、财务管理及人事管理等制度，保证所管理的基金财产和基金管理人的财产相互独立，对所管理的不同基金分别管理，分别记账，进行证券投资；</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（6）除依据《基金法》、《基金合同》及其他有关规定外，不得利用基金财产为自己及任何第三人谋取利益，不得委托第三人运作基金财产；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（7）依法接受基金托管人的监督；</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（8）采取适当合理的措施使计算基金份额认购、申购、赎回和注销价格的方法符合《基金合同》等法律文件的规定，按有关规定计算并公告基金净值信息，确定基金份额申购、赎回的价格；</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（9）进行基金会计核算并编制基金财务会计报告；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（10）编制季度报告、中期报告和年度报告；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（11）严格按照《基金法》、《基金合同》及其他有关规定，履行信息披露及报告义务；</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保守基金商业秘密，不泄露基金投资计划、投资意向等。除《基金法》、《基金合同》及其他有关规定另有规定外，在基金信息公开披露前应予保密，不向他人泄露，但因监管机构、司法机关要求，或因审计、法律等外部专业顾问提供服务需要提供的情况除外；</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（13）按《基金合同》的约定确定基金收益分配方案，及时向基金份额持有人分配基金收益；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（14）按规定受理申购与赎回申请，及时、足额支付赎回款项；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（15）依据《基金法》、《基金合同》及其他有关规定召集基金份额持有人大会或配合基金托管人、基金份额持有人依法召集基金份额持有人大会；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（16）按规定保存基金财产管理业务活动的会计账册、报表、记录和其他相关资料，保存期限不低于法律法规规定的最低期限；</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（18）组织并参加基金财产清算小组，参与基金财产的保管、清理、估价、变现和分配；</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（19）面临解散、依法被撤销或者被依法宣告破产时，及时报告中国证监会并通知基金托管人；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（20）因违反《基金合同》导致基金财产的损失或损害基金份额持有人合法权益时，应当承担赔偿责任，其赔偿责任不因其退任而免除；</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（21）监督基金托管人按法律法规和《基金合同》规定履行自己的义务，基金托管人违反《基金合同》造成基金财产损失时，基金管理人应为基金份额持有人利益向基金托管人追偿；</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（22）当基金管理人将其义务委托第三方处理时，应当对第三方处理有关基金事务的行为承担责任；</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（23）以基金管理人名义，代表基金份额持有人利益行使诉讼权利或实施其他法律行为；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（24）基金在募集期间未能达到基金的备案条件，《基金合同》不能生效，基金管理人承担全部募集费用，将已募集资金并加计银行同期活期存款利息在基金募集期结束后30日内退还基金认购人；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（25）执行生效的基金份额持有人大会的决议；</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（26）建立并保存基金份额持有人名册；</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（27）法律法规及中国证监会规定的和《基金合同》约定的其他义务。</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（二）基金托管人的权利与义务</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1、根据《基金法》、《运作办法》及其他有关规定，基金托管人的权利包括但不限于：</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（1）自《基金合同》生效之日起，依法律法规和《基金合同》的规定安全保管基金财产；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（2）依《基金合同》约定获得基金托管费以及法律法规规定或监管部门批准的其他费用；</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（4）根据相关市场规则，为基金开设资金账户、证券账户等投资所需账户，为基金办理证券、期货交易资金清算；</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（5）提议召开或召集基金份额持有人大会；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（6）在基金管理人更换时，提名新的基金管理人；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（7）法律法规及中国证监会规定的和《基金合同》约定的其他权利。</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2、根据《基金法》、《运作办法》及其他有关规定，基金托管人的义务包括但不限于：</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（1）以诚实信用、勤勉尽责的原则持有并安全保管基金财产；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（2）设立专门的基金托管部门，具有符合要求的营业场所，配备足够的、合格的熟悉基金托管业务的专职人员，负责基金财产托管事宜；</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（4）除依据《基金法》、《基金合同》及其他有关规定外，不得利用基金财产为自己及任何第三人谋取利益，不得委托第三人托管基金财产；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（5）保管由基金管理人代表基金签订的与基金有关的重大合同及有关凭证；</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（6）按规定开设基金财产的资金账户和证券账户等投资所需账户，按照《基金合同》的约定，根据基金管理人的投资指令，及时办理清算、交割事宜；</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保守基金商业秘密，除《基金法》、《基金合同》及其他有关规定另有规定外，在基金信息公开披露前予以保密，不得向他人泄露，但因监管机构、司法机关要求，或因审计、法律等外部专业顾问提供服务需要提供的情况除外；</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（8）复核、审查基金管理人计算的基金资产净值、各类基金份额净值；</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（9）办理与基金托管业务活动有关的信息披露事项；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（11）保存基金托管业务活动的记录、账册、报表和其他相关资料不低于法律法规规定的最低期限；</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（12）从基金管理人处接收并保存基金份额持有人名册；</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（13）按规定制作相关账册并与基金管理人核对；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（14）依据基金管理人的指令或有关规定向基金份额持有人支付基金收益和赎回款项；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（15）依据《基金法》、《基金合同》及其他有关规定，召集基金份额持有人大会或配合基金管理人、基金份额持有人依法召集基金份额持有人大会；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（16）按照法律法规和《基金合同》的规定监督基金管理人的投资运作；</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（17）参加基金财产清算小组，参与基金财产的保管、清理、估价、变现和分配；</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（18）面临解散、依法被撤销或者被依法宣告破产时，及时报告中国证监会和银行业监督管理机构，并通知基金管理人；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（19）因违反《基金合同》导致基金财产损失时，应承担赔偿责任，其赔偿责任不因其退任而免除；</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（20）按规定监督基金管理人按法律法规和《基金合同》规定履行自己的义务，基金管理人因违反《基金合同》造成基金财产损失时，应为基金份额持有人利益向基金管理人追偿；</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（21）执行生效的基金份额持有人大会的决议；</w:t>
      </w:r>
    </w:p>
    <w:p>
      <w:pPr>
        <w:autoSpaceDE w:val="0"/>
        <w:autoSpaceDN w:val="0"/>
        <w:adjustRightInd w:val="0"/>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（22）法律法规及中国证监会规定的和《基金合同》约定的其他义务。</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（三）基金份额持有人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投资者持有本基金基金份额的行为即视为对《基金合同》的承认和接受，基金投资者自依据《基金合同》取得基金份额，即成为本基金基金份额持有人和《基金合同》的当事人，直至其不再持有本基金的基金份额。基金份额持有人作为《基金合同》当事人并不以在《基金合同》上书面签章或签字为必要条件。</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除法律法规另有规定或本基金合同另有约定外，同一类别每份基金份额具有同等的合法权益。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1、根据《基金法》、《运作办法》及其他有关规定，基金份额持有人的权利包括但不限于：</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（1）分享基金财产收益；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（2）参与分配清算后的剩余基金财产；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（3）依法转让或者申请赎回其持有的基金份额；</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（4）按照规定要求召开基金份额持有人大会或者召集基金份额持有人大会；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（5）出席或者委派代表出席基金份额持有人大会，对基金份额持有人大会审议事项行使表决权；</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（6）查阅或者复制公开披露的基金信息资料；</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（7）监督基金管理人的投资运作；</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（8）对基金管理人、基金托管人、基金服务机构损害其合法权益的行为依法提起诉讼或仲裁；</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（9）法律法规及中国证监会规定的和《基金合同》约定的其他权利。</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2、根据《基金法》、《运作办法》及其他有关规定，基金份额持有人的义务包括但不限于：</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（1）认真阅读并遵守《基金合同》、招募说明书等信息披露文件；</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（2）了解所投资基金产品，了解自身风险承受能力，自主判断基金的投资价值，自主做出投资决策，自行承担投资风险；</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（3）关注基金信息披露，及时行使权利和履行义务；</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（4）交纳基金认购、申购款项及法律法规和《基金合同》所规定的费用；</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（5）在其持有的基金份额范围内，承担基金亏损或者《基金合同》终止的有限责任；</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（6）不从事任何有损基金及其他《基金合同》当事人合法权益的活动；</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（7）执行生效的基金份额持有人大会的决议；</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（8）返还在基金交易过程中因任何原因获得的不当得利；</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（9）基金发起资金提供方</w:t>
      </w:r>
      <w:r>
        <w:rPr>
          <w:rFonts w:asciiTheme="minorEastAsia" w:hAnsiTheme="minorEastAsia" w:eastAsiaTheme="minorEastAsia"/>
        </w:rPr>
        <w:t>使用发起资金</w:t>
      </w:r>
      <w:r>
        <w:rPr>
          <w:rFonts w:hint="eastAsia" w:asciiTheme="minorEastAsia" w:hAnsiTheme="minorEastAsia" w:eastAsiaTheme="minorEastAsia"/>
        </w:rPr>
        <w:t>认购的基金份额持有期限不少于3年，法律法规或监管机构另有规定的除外；</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10</w:t>
      </w:r>
      <w:r>
        <w:rPr>
          <w:rFonts w:hint="eastAsia" w:asciiTheme="minorEastAsia" w:hAnsiTheme="minorEastAsia" w:eastAsiaTheme="minorEastAsia"/>
        </w:rPr>
        <w:t>）法律法规及中国证监会规定的和《基金合同》约定的其他义务。</w:t>
      </w:r>
    </w:p>
    <w:p>
      <w:pPr>
        <w:autoSpaceDE w:val="0"/>
        <w:autoSpaceDN w:val="0"/>
        <w:adjustRightIn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二、基金份额持有人大会召集、议事及表决的程序和规则</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由基金份额持有人组成，基金份额持有人的合法授权代表有权代表基金份额持有人出席会议并表决。除法律法规另有规定或本基金合同另有约定外，基金份额持有人持有的每一基金份额拥有平等的投票权。</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本基金份额持有人大会不设日常机构。</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（一）召开事由</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1、除法律法规和中国证监会另有规定或《基金合同》另有约定外，当出现或需要决定下列事由之一的，应当召开基金份额持有人大会：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（1）终止《基金合同》；</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（2）更换基金管理人；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（3）更换基金托管人；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（4）转换基金运作方式；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（5）调整基金管理人、基金托管人的报酬标准或提高销售服务费率；</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（6）变更基金类别；</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（7）本基金与其他基金的合并；</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（8）变更基金投资目标、范围或策略；</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（9）变更基金份额持有人大会程序；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（10）基金管理人或基金托管人要求召开基金份额持有人大会；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（11）单独或合计持有本基金总份额10%以上（含10%）基金份额的基金份额持有人（以基金管理人收到提议当日的基金份额计算，下同）就同一事项书面要求召开基金份额持有人大会；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（12）对基金合同当事人权利和义务产生重大影响的其他事项；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（13）法律法规、《基金合同》或中国证监会规定的其他应当召开基金份额持有人大会的事项。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2、在法律法规规定和《基金合同》约定的范围内且对基金份额持有人利益无实质性不利影响的前提下，以下情况可由基金管理人和基金托管人协商后修改，不需召开基金份额持有人大会：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（1）法律法规要求增加的基金费用的收取；</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（2）调整本基金的申购费率、调低赎回费率、调低销售服务费率或变更收费方式，调整基金份额类别设置、对基金份额分类办法及规则进行调整；</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（3）因相应的法律法规发生变动而应当对《基金合同》进行修改；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（4）对《基金合同》的修改对基金份额持有人利益无实质性不利影响或修改不涉及《基金合同》当事人权利义务关系发生重大变化；</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（5）基金管理人、登记机构、基金销售机构调整有关申购、赎回、转换、基金交易、非交易过户、转托管等业务规则；</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（6）履行相关程序后，基金推出新业务或服务；</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（7）按照法律法规和《基金合同》规定不需召开基金份额持有人大会的其他情形。</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（二）会议召集人及召集方式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1、除法律法规规定或《基金合同》另有约定外，基金份额持有人大会由基金管理人召集。</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2、基金管理人未按规定召集或不能召集时，由基金托管人召集。</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6、基金份额持有人会议的召集人负责选择确定开会时间、地点、方式和权益登记日。</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（三）召开基金份额持有人大会的通知时间、通知内容、通知方式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1、召开基金份额持有人大会，召集人应于会议召开前30日，在规定媒介公告。基金份额持有人大会通知应至少载明以下内容：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（1）会议召开的时间、地点和会议形式；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（2）会议拟审议的事项、议事程序和表决方式；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（3）有权出席基金份额持有人大会的基金份额持有人的权益登记日；</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（4）授权委托证明的内容要求（包括但不限于代理人身份，代理权限和代理有效期限等）、送达时间和地点；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（5）会务常设联系人姓名及联系电话；</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（6）出席会议者必须准备的文件和必须履行的手续；</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（7）召集人需要通知的其他事项。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（四）基金份额持有人出席会议的方式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基金份额持有人大会可通过现场开会方式、通讯开会方式或法律法规、监管机构允许的其他方式召开，会议的召开方式由会议召集人确定。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通讯开会。通讯开会系指基金份额持有人将其对表决事项的投票以书面形式或大会公告载明的其他方式在表决截止日以前送达至召集人指定的地址。通讯开会应以书面方式或大会公告载明的其他方式进行表决。</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在同时符合以下条件时，通讯开会的方式视为有效：</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（1）会议召集人按《基金合同》约定公布会议通知后，在2个工作日内连续公布相关提示性公告；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本人直接出具表决意见或授权他人代表出具表决意见的，基金份额持有人所持有的基金份额不小于在权益登记日基金总份额的二分之一（含二分之一）；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3、在不违反法律法规和监管机关</w:t>
      </w:r>
      <w:r>
        <w:rPr>
          <w:rFonts w:asciiTheme="minorEastAsia" w:hAnsiTheme="minorEastAsia" w:eastAsiaTheme="minorEastAsia"/>
        </w:rPr>
        <w:t>规定</w:t>
      </w:r>
      <w:r>
        <w:rPr>
          <w:rFonts w:hint="eastAsia" w:asciiTheme="minorEastAsia" w:hAnsiTheme="minorEastAsia" w:eastAsiaTheme="minorEastAsia"/>
        </w:rPr>
        <w:t>的情况下，本基金的基金份额持有人亦可采用其他非书面方式授权其代理人出席基金份额持有人大会，授权方式可以采用书面、网络、电话、短信或其他方式，具体方式由会议召集人确定并在会议通知中列明。</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在会议召开方式上，本基金亦可采用其他非现场方式或者以现场方式与非现场方式相结合的方式召开基金份额持有人大会，会议程序比照现场开会和通讯方式开会的程序进行。基金份额持有人可以采用书面、网络、电话、短信或其他方式进行表决，具体方式由会议召集人确定并在会议通知中列明。</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（五）议事内容与程序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1、议事内容及提案权</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基金份额持有人大会的召集人发出召集会议的通知后，对原有提案的修改应当在基金份额持有人大会召开前及时公告。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基金份额持有人大会不得对未事先公告的议事内容进行表决。</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2、议事程序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（1）现场开会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会议召集人应当制作出席会议人员的签名册。签名册载明参加会议人员姓名（或单位名称）、身份证明文件号码、持有或代表有表决权的基金份额、委托人姓名（或单位名称）和联系方式等事项。</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（2）通讯开会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在通讯开会的情况下，首先由召集人提前30日公布提案，在所通知的表决截止日期后2个工作日内在公证机关监督下由召集人统计全部有效表决，在公证机关监督下形成决议。</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（六）表决</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基金份额持有人所持每份基金份额有一票表决权。</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基金份额持有人大会决议分为一般决议和特别决议：</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特别决议，特别决议应当经参加大会的基金份额持有人或其代理人所持表决权的三分之二以上（含三分之二）通过方可做出。除法律法规、监管机构另有规定或基金合同另有约定外，转换基金运作方式、更换基金管理人或者基金托管人、终止《基金合同》、本基金与其他基金合并以特别决议通过方为有效。</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基金份额持有人大会采取记名方式进行投票表决。</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基金份额持有人大会的各项提案或同一项提案内并列的各项议题应当分开审议、逐项表决。</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（七）计票</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1、现场开会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（2）监票人应当在基金份额持有人表决后立即进行清点并由大会主持人当场公布计票结果。</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（4）计票过程应由公证机关予以公证，基金管理人或基金托管人拒不出席大会的，不影响计票的效力。</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2、通讯开会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（八）生效与公告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基金份额持有人大会的决议，召集人应当自通过之日起5日内报中国证监会备案。</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基金份额持有人大会的决议自表决通过之日起生效。</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基金份额持有人大会决议自生效之日起按规定在规定媒介上公告。如果采用通讯方式进行表决，在公告基金份额持有人大会决议时，必须将公证书全文、公证机构、公证员姓名等一同公告。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基金管理人、基金托管人和基金份额持有人应当执行生效的基金份额持有人大会的决议。生效的基金份额持有人大会决议对全体基金份额持有人、基金管理人、基金托管人均有约束力。</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（九）实施侧袋机制期间基金份额持有人大会的特殊约定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1、基金份额持有人行使提议权、召集权、提名权所需单独或合计代表相关基金份额10%以上（含10%）；</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2、现场开会的到会者在权益登记日代表的基金份额不少于本基金在权益登记日相关基金份额的二分之一（含二分之一）；</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3、通讯开会的直接出具</w:t>
      </w:r>
      <w:r>
        <w:rPr>
          <w:rFonts w:asciiTheme="minorEastAsia" w:hAnsiTheme="minorEastAsia" w:eastAsiaTheme="minorEastAsia"/>
        </w:rPr>
        <w:t>表决</w:t>
      </w:r>
      <w:r>
        <w:rPr>
          <w:rFonts w:hint="eastAsia" w:asciiTheme="minorEastAsia" w:hAnsiTheme="minorEastAsia" w:eastAsiaTheme="minorEastAsia"/>
        </w:rPr>
        <w:t>意见或授权他人代表出具</w:t>
      </w:r>
      <w:r>
        <w:rPr>
          <w:rFonts w:asciiTheme="minorEastAsia" w:hAnsiTheme="minorEastAsia" w:eastAsiaTheme="minorEastAsia"/>
        </w:rPr>
        <w:t>表决</w:t>
      </w:r>
      <w:r>
        <w:rPr>
          <w:rFonts w:hint="eastAsia" w:asciiTheme="minorEastAsia" w:hAnsiTheme="minorEastAsia" w:eastAsiaTheme="minorEastAsia"/>
        </w:rPr>
        <w:t>意见的基金份额持有人所持有的基金份额不小于在权益登记日相关基金份额的二分之一（含二分之一）；</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w:t>
      </w:r>
      <w:r>
        <w:rPr>
          <w:rFonts w:asciiTheme="minorEastAsia" w:hAnsiTheme="minorEastAsia" w:eastAsiaTheme="minorEastAsia"/>
        </w:rPr>
        <w:t>当</w:t>
      </w:r>
      <w:r>
        <w:rPr>
          <w:rFonts w:hint="eastAsia" w:asciiTheme="minorEastAsia" w:hAnsiTheme="minorEastAsia" w:eastAsiaTheme="minorEastAsia"/>
        </w:rPr>
        <w:t>参与基金份额持有人大会投票的基金份额持有人所持有的基金份额小于在权益登记日相关基金份额的二分之一</w:t>
      </w:r>
      <w:r>
        <w:rPr>
          <w:rFonts w:asciiTheme="minorEastAsia" w:hAnsiTheme="minorEastAsia" w:eastAsiaTheme="minorEastAsia"/>
        </w:rPr>
        <w:t>，</w:t>
      </w:r>
      <w:r>
        <w:rPr>
          <w:rFonts w:hint="eastAsia" w:asciiTheme="minorEastAsia" w:hAnsiTheme="minorEastAsia" w:eastAsiaTheme="minorEastAsia"/>
        </w:rPr>
        <w:t>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5、现场开会由出席大会的基金份额持有人和代理人所持表决权的50%以上（含50%）选举产生一名基金份额持有人作为该次基金份额持有人大会的主持人；</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6、一般决议须经参加大会的基金份额持有人或其代理人所持表决权的二分之一以上（含二分之一）通过；</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7、特别决议应当经参加大会的基金份额持有人或其代理人所持表决权的三分之二以上（含三分之二）通过。</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侧袋机制实施期间，关于基金份额持有人大会的相关规定以本节特殊约定内容为准，本节没有规定的适用上文相关约定。</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pPr>
        <w:autoSpaceDE w:val="0"/>
        <w:autoSpaceDN w:val="0"/>
        <w:adjustRightIn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三、基金合同的变更、终止与基金财产的清算</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（一）《基金合同》的变更</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并履行适当程序后变更并公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2、关于《基金合同》变更的基金份额持有人大会决议自生效后方可执行，自决议生效后按规定在规定媒介公告。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（二）《基金合同》的终止事由</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有下列情形之一的，经履行相关程序后，《基金合同》应当终止：</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1、基金份额持有人大会决定终止的；</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2、基金管理人、基金托管人职责终止，在6个月内没有新基金管理人、新基金托管人承接的；</w:t>
      </w:r>
    </w:p>
    <w:p>
      <w:pPr>
        <w:autoSpaceDE w:val="0"/>
        <w:autoSpaceDN w:val="0"/>
        <w:adjustRightInd w:val="0"/>
        <w:spacing w:line="360" w:lineRule="auto"/>
        <w:ind w:firstLine="420" w:firstLineChars="200"/>
        <w:rPr>
          <w:rFonts w:asciiTheme="minorEastAsia" w:hAnsiTheme="minorEastAsia" w:eastAsiaTheme="minorEastAsia"/>
        </w:rPr>
      </w:pPr>
      <w:r>
        <w:rPr>
          <w:rFonts w:asciiTheme="minorEastAsia" w:hAnsiTheme="minorEastAsia" w:eastAsiaTheme="minorEastAsia"/>
        </w:rPr>
        <w:t>3</w:t>
      </w:r>
      <w:r>
        <w:rPr>
          <w:rFonts w:hint="eastAsia" w:asciiTheme="minorEastAsia" w:hAnsiTheme="minorEastAsia" w:eastAsiaTheme="minorEastAsia"/>
        </w:rPr>
        <w:t>、《基金合同》约定的其他情形；</w:t>
      </w:r>
    </w:p>
    <w:p>
      <w:pPr>
        <w:autoSpaceDE w:val="0"/>
        <w:autoSpaceDN w:val="0"/>
        <w:adjustRightInd w:val="0"/>
        <w:spacing w:line="360" w:lineRule="auto"/>
        <w:ind w:firstLine="420" w:firstLineChars="200"/>
        <w:rPr>
          <w:rFonts w:asciiTheme="minorEastAsia" w:hAnsiTheme="minorEastAsia" w:eastAsiaTheme="minorEastAsia"/>
        </w:rPr>
      </w:pPr>
      <w:r>
        <w:rPr>
          <w:rFonts w:asciiTheme="minorEastAsia" w:hAnsiTheme="minorEastAsia" w:eastAsiaTheme="minorEastAsia"/>
        </w:rPr>
        <w:t>4</w:t>
      </w:r>
      <w:r>
        <w:rPr>
          <w:rFonts w:hint="eastAsia" w:asciiTheme="minorEastAsia" w:hAnsiTheme="minorEastAsia" w:eastAsiaTheme="minorEastAsia"/>
        </w:rPr>
        <w:t>、相关法律法规和中国证监会规定的其他情况。</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（三）基金财产的清算</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1、基金财产清算小组：自出现《基金合同》终止事由之日起30个工作日内成立基金财产清算小组，基金管理人组织基金财产清算小组并在中国证监会的监督下进行基金清算。</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2、在基金财产清算小组接管基金财产之前，基金管理人和基金托管人应按照《基金合同》和托管协议的规定继续履行保护基金财产安全的职责。</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4、基金财产清算小组职责：基金财产清算小组负责基金财产的保管、清理、估价、变现和分配。基金财产清算小组可以依法进行必要的民事活动。</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5、在基金财产清算过程中，基金管理人和基金托管人应各自履行职责，继续忠实、勤勉、尽责地履行基金合同和托管协议规定的义务，维护基金份额持有人的合法权益。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6、基金财产清算程序：</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（1）《基金合同》终止情形出现时，由基金财产清算小组统一接管基金财产；</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（2）对基金财产和债权债务进行清理和确认；</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（3）对基金财产进行估值和变现；</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（4）制作清算报告；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（5）聘请会计师事务所对清算报告进行外部审计，聘请律师事务所对清算报告出具法律意见书；</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（6）将清算报告报中国证监会备案并公告；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（7）对基金剩余财产进行分配。</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7、基金财产清算的期限为6个月，但因本基金所持证券的流动性受到限制而不能及时变现的，清算期限可相应顺延。</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（四）清算费用</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清算费用是指基金财产清算小组在进行基金清算过程中发生的所有合理费用，清算费用由基金财产清算小组优先从基金剩余财产中支付。</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（五）基金财产清算剩余资产的分配</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依据基金财产清算的分配方案，将基金财产清算后的全部剩余资产扣除基金财产清算费用、交纳所欠税款并清偿基金债务后，按基金份额持有人持有的各类基金份额比例进行分配。</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（六）基金财产清算的公告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（七）基金财产清算账册及文件的保存</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基金财产清算账册及有关文件由基金托管人保存，保存期限不低于法律法规规定的最低期限。</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（八）基金合并</w:t>
      </w:r>
    </w:p>
    <w:p>
      <w:pPr>
        <w:autoSpaceDE w:val="0"/>
        <w:autoSpaceDN w:val="0"/>
        <w:adjustRightIn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本基金与其他基金的合并应当按照法律法规规定的程序进行。</w:t>
      </w:r>
    </w:p>
    <w:p>
      <w:pPr>
        <w:autoSpaceDE w:val="0"/>
        <w:autoSpaceDN w:val="0"/>
        <w:adjustRightIn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四、争议的处理</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各方当事人同意，因《基金合同》而产生的或与《基金合同》有关的一切争议，如经友好协商未能解决的，应将争议提交深圳国际仲裁院（深圳仲裁委员会），按照深圳国际仲裁院（深圳仲裁委员会）届时有效的仲裁规则进行仲裁，仲裁的地点为深圳市，仲裁裁决是终局的，对各方当事人均有约束力。除非仲裁裁决另有规定，仲裁费、律师费由败诉方承担。</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争议处理期间，基金合同当事人应恪守各自的职责，继续忠实、勤勉、尽责地履行基金合同和托管协议规定的义务，维护基金份额持有人的合法权益。</w:t>
      </w:r>
    </w:p>
    <w:p>
      <w:pPr>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《基金合同》受中国法律（为本基金合同之目的，在此不包括香港、澳门特别行政区和台湾地区法律）管辖，并按其解释。</w:t>
      </w:r>
    </w:p>
    <w:p>
      <w:pPr>
        <w:autoSpaceDE w:val="0"/>
        <w:autoSpaceDN w:val="0"/>
        <w:adjustRightInd w:val="0"/>
        <w:spacing w:line="360" w:lineRule="auto"/>
        <w:ind w:firstLine="422" w:firstLineChars="200"/>
        <w:rPr>
          <w:rFonts w:asciiTheme="minorEastAsia" w:hAnsiTheme="minorEastAsia" w:eastAsiaTheme="minorEastAsia"/>
          <w:b/>
        </w:rPr>
      </w:pPr>
      <w:r>
        <w:rPr>
          <w:rFonts w:hint="eastAsia" w:asciiTheme="minorEastAsia" w:hAnsiTheme="minorEastAsia" w:eastAsiaTheme="minorEastAsia"/>
          <w:b/>
        </w:rPr>
        <w:t>五、基金合同存放地和投资者取得合同的方式</w:t>
      </w:r>
    </w:p>
    <w:p>
      <w:pPr>
        <w:adjustRightInd w:val="0"/>
        <w:snapToGrid w:val="0"/>
        <w:spacing w:before="156" w:beforeLines="50" w:line="360" w:lineRule="auto"/>
        <w:ind w:firstLine="420" w:firstLineChars="200"/>
        <w:rPr>
          <w:rFonts w:ascii="宋体"/>
          <w:color w:val="000000"/>
          <w:szCs w:val="21"/>
        </w:rPr>
        <w:sectPr>
          <w:footerReference r:id="rId29" w:type="first"/>
          <w:pgSz w:w="11906" w:h="16838"/>
          <w:pgMar w:top="1440" w:right="1800" w:bottom="1440" w:left="1800" w:header="851" w:footer="992" w:gutter="0"/>
          <w:pgNumType w:start="1"/>
          <w:cols w:space="425" w:num="1"/>
          <w:titlePg/>
          <w:docGrid w:type="lines" w:linePitch="312" w:charSpace="0"/>
        </w:sectPr>
      </w:pPr>
      <w:r>
        <w:rPr>
          <w:rFonts w:hint="eastAsia" w:asciiTheme="minorEastAsia" w:hAnsiTheme="minorEastAsia" w:eastAsiaTheme="minorEastAsia"/>
        </w:rPr>
        <w:t>《基金合同》可印制成册，供投资者在基金管理人、基金托管人、销售机构的办公场所和营业场所查阅。</w:t>
      </w:r>
    </w:p>
    <w:p>
      <w:pPr>
        <w:pStyle w:val="4"/>
        <w:numPr>
          <w:ilvl w:val="0"/>
          <w:numId w:val="25"/>
        </w:numPr>
        <w:snapToGrid w:val="0"/>
        <w:spacing w:before="0" w:after="0" w:line="360" w:lineRule="auto"/>
        <w:jc w:val="center"/>
      </w:pPr>
      <w:bookmarkStart w:id="159" w:name="_Toc332013129"/>
      <w:bookmarkStart w:id="160" w:name="_Toc92740303"/>
      <w:bookmarkStart w:id="161" w:name="_Toc375295992"/>
      <w:bookmarkStart w:id="162" w:name="_Toc369510027"/>
      <w:bookmarkStart w:id="163" w:name="_Toc411872041"/>
      <w:bookmarkStart w:id="164" w:name="_Toc327902641"/>
      <w:bookmarkStart w:id="165" w:name="_Toc336606246"/>
      <w:bookmarkStart w:id="166" w:name="_Toc335899852"/>
      <w:r>
        <w:rPr>
          <w:rFonts w:hint="eastAsia"/>
        </w:rPr>
        <w:t>基金托管协议的内容摘要</w:t>
      </w:r>
      <w:bookmarkEnd w:id="159"/>
      <w:bookmarkEnd w:id="160"/>
      <w:bookmarkEnd w:id="161"/>
      <w:bookmarkEnd w:id="162"/>
      <w:bookmarkEnd w:id="163"/>
      <w:bookmarkEnd w:id="164"/>
      <w:bookmarkEnd w:id="165"/>
      <w:bookmarkEnd w:id="166"/>
    </w:p>
    <w:p>
      <w:pPr>
        <w:snapToGrid w:val="0"/>
        <w:spacing w:line="360" w:lineRule="auto"/>
        <w:ind w:firstLine="422" w:firstLineChars="200"/>
        <w:rPr>
          <w:rFonts w:asciiTheme="minorEastAsia" w:hAnsiTheme="minorEastAsia" w:eastAsiaTheme="minorEastAsia"/>
          <w:b/>
          <w:color w:val="000000"/>
          <w:szCs w:val="21"/>
        </w:rPr>
      </w:pPr>
      <w:r>
        <w:rPr>
          <w:rFonts w:hint="eastAsia" w:asciiTheme="minorEastAsia" w:hAnsiTheme="minorEastAsia" w:eastAsiaTheme="minorEastAsia"/>
          <w:b/>
          <w:color w:val="000000"/>
          <w:szCs w:val="21"/>
        </w:rPr>
        <w:t>一、基金托管协议当事人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（一）基金管理人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名称：博时基金管理有限公司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住所：深圳市福田区莲花街道福新社区益田路5999号基金大厦21层</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办公地址：广东省深圳市福田区益田路5999号基金大厦21层</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邮政编码：518040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法定代表人：江向阳</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成立时间：1998年7月13日</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批准设立机关：中国证券监督管理委员会</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批准设立文号：中国证监会证监基字【1998】26号</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组织形式：有限责任公司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注册资本：2.5亿元人民币</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存续期间：持续经营</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（二）基金托管人</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名称：上海银行股份有限公司（简称：上海银行）</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注册地址：中国（上海）自由贸易试验区银城中路168号</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办公地址：中国（上海）自由贸易试验区银城中路168号</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邮政编码：200120</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法定代表人：金煜</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成立日期：1995年12月29日</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批准设立机关和批准设立文号：中国人民银行</w:t>
      </w:r>
      <w:r>
        <w:rPr>
          <w:rFonts w:hint="eastAsia" w:ascii="宋体" w:hAnsi="宋体" w:cs="Arial"/>
          <w:szCs w:val="21"/>
        </w:rPr>
        <w:tab/>
      </w:r>
      <w:r>
        <w:rPr>
          <w:rFonts w:hint="eastAsia" w:ascii="宋体" w:hAnsi="宋体" w:cs="Arial"/>
          <w:szCs w:val="21"/>
        </w:rPr>
        <w:t>银复〔1995〕469号《关于上海城市合作银行开业的批复》，中国人民银行</w:t>
      </w:r>
      <w:r>
        <w:rPr>
          <w:rFonts w:hint="eastAsia" w:ascii="宋体" w:hAnsi="宋体" w:cs="Arial"/>
          <w:szCs w:val="21"/>
        </w:rPr>
        <w:tab/>
      </w:r>
      <w:r>
        <w:rPr>
          <w:rFonts w:hint="eastAsia" w:ascii="宋体" w:hAnsi="宋体" w:cs="Arial"/>
          <w:szCs w:val="21"/>
        </w:rPr>
        <w:t>银复〔1998〕215号《关于上海城市合作银行更改行名的批复》</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基金托管业务批准文号：中国证监会证监许可〔2009〕814号</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组织形式：股份有限公司</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注册资本：人民币142.065287亿元</w:t>
      </w:r>
    </w:p>
    <w:p>
      <w:pPr>
        <w:adjustRightInd w:val="0"/>
        <w:snapToGrid w:val="0"/>
        <w:spacing w:line="360" w:lineRule="auto"/>
        <w:ind w:firstLine="420" w:firstLineChars="200"/>
        <w:rPr>
          <w:rFonts w:ascii="宋体" w:hAnsi="宋体" w:cs="Arial"/>
          <w:szCs w:val="21"/>
        </w:rPr>
      </w:pPr>
      <w:r>
        <w:rPr>
          <w:rFonts w:hint="eastAsia" w:ascii="宋体" w:hAnsi="宋体" w:cs="Arial"/>
          <w:szCs w:val="21"/>
        </w:rPr>
        <w:t>存续期间：持续经营</w:t>
      </w:r>
    </w:p>
    <w:p>
      <w:pPr>
        <w:snapToGrid w:val="0"/>
        <w:spacing w:line="360" w:lineRule="auto"/>
        <w:ind w:firstLine="420" w:firstLineChars="200"/>
        <w:rPr>
          <w:rFonts w:cs="Arial" w:asciiTheme="minorEastAsia" w:hAnsiTheme="minorEastAsia" w:eastAsiaTheme="minorEastAsia"/>
          <w:b/>
          <w:szCs w:val="21"/>
        </w:rPr>
      </w:pPr>
      <w:r>
        <w:rPr>
          <w:rFonts w:hint="eastAsia" w:ascii="宋体" w:hAnsi="宋体" w:cs="Arial"/>
          <w:szCs w:val="21"/>
        </w:rPr>
        <w:t>经营范围：人民币存贷款等</w:t>
      </w:r>
    </w:p>
    <w:p>
      <w:pPr>
        <w:snapToGrid w:val="0"/>
        <w:spacing w:line="360" w:lineRule="auto"/>
        <w:ind w:firstLine="422" w:firstLineChars="200"/>
        <w:rPr>
          <w:rFonts w:cs="Arial" w:asciiTheme="minorEastAsia" w:hAnsiTheme="minorEastAsia" w:eastAsiaTheme="minorEastAsia"/>
          <w:b/>
          <w:szCs w:val="21"/>
        </w:rPr>
      </w:pPr>
      <w:r>
        <w:rPr>
          <w:rFonts w:hint="eastAsia" w:cs="Arial" w:asciiTheme="minorEastAsia" w:hAnsiTheme="minorEastAsia" w:eastAsiaTheme="minorEastAsia"/>
          <w:b/>
          <w:szCs w:val="21"/>
        </w:rPr>
        <w:t>二、基金托管人对基金管理人的业务监督、核查</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本基金主要投资于标的指数成份股和备选成份股（含存托凭证）。</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为更好地实现基金的投资目标，本基金可能会少量投资于依法发行上市的非成份股（包括创业板及其他经中国证监会核准或注册上市的股票、存托凭证）、债券（包括国债、金融债、地方政府债、政府支持机构债券、企业债、公司债、公开发行的次级债、可转换债券（含分离交易可转债的纯债部分）、可交换债券、央行票据、短期融资券、超短期融资券、中期票据等）、资产支持证券、衍生工具（包括股指期货、国债期货、股票期权）、债券回购、货币市场工具（包括银行存款、同业存单等）以及法律法规或中国证监会允许基金投资的其他金融工具（但须符合中国证监会的相关规定）。</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本基金可根据法律法规的规定参与融资及转融通证券出借业务。未来在法律法规允许的前提下，本基金可根据相关法律法规规定参与融券业务。</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本基金根据相关法律法规或中国证监会要求履行相关手续后，还可以投资于法律法规或中国证监会未来允许基金投资的其他金融工具。</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本基金的股票资产投资比例不低于基金资产的90%，其中投资于标的指数成份股和备选成份股的资产不低于非现金基金资产的80%；每个交易日日终在扣除股指期货、股票期权和国债期货合约需缴纳的交易保证金后，保持不低于基金资产净值5%的现金或者到期日在一年以内的政府债券，其中现金不包括结算备付金、存出保证金和应收申购款等；股指期货、股票期权、国债期货及其他金融工具的投资比例依照法律法规或监管机构的规定执行。</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若法律法规的相关规定发生变更或监管机构允许，本基金管理人在履行适当程序后，可对上述资产配置比例进行调整。</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（二）基金托管人根据有关法律法规的规定及《基金合同》的约定，对基金投资比例进行监督。基金托管人按下述比例和调整期限进行监督：</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（1）本基金的股票资产投资比例不低于基金资产的90%，其中投资于标的指数成份股和备选成份股的资产不低于非现金基金资产的80%；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每个交易日日终在扣除股指期货、股票期权和国债期货合约需缴纳的交易保证金后，保持不低于基金资产净值5%的现金或者到期日在一年以内的政府债券，其中现金不包括结算备付金、存出保证金和应收申购款等；</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（3）本基金持有一家公司发行的证券，其市值不超过基金资产净值的10%，但完全按照标的指数的构成比例进行投资的部分不受此限制；</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（4）基金管理人管理的全部基金持有一家公司发行的证券，不超过该证券的10%，但完全按照标的指数的构成比例进行投资的部分不受此限制；</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（5）本基金资产总值不得超过基金资产净值的140%；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（6）本基金投资于同一原始权益人的各类资产支持证券的比例，不得超过基金资产净值的10%；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（7）本基金持有的全部资产支持证券，其市值不得超过基金资产净值的20%；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（8）本基金持有的同一(指同一信用级别)资产支持证券的比例，不得超过该资产支持证券规模的10%；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（9）基金管理人管理的全部基金投资于同一原始权益人的各类资产支持证券，不得超过其各类资产支持证券合计规模的10%；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（10）本基金应投资于信用级别评级为BBB以上(含BBB)的资产支持证券。基金持有资产支持证券期间，如果其信用等级下降、不再符合投资标准，应在评级报告发布之日起3个月内予以全部卖出；</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（11）基金财产参与股票发行申购，本基金所申报的金额不超过本基金的总资产，本基金所申报的股票数量不超过拟发行股票公司本次发行股票的总量；</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（12）本基金参与融资的，在任何交易日日终，本基金融资买入股票与其他有价证券市值之和，不得超过基金资产净值的95%；</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（13）本基金投资于股指期货和国债期货，还应遵循如下投资组合限制：</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1）在任何交易日日终，本基金持有的买入股指期货合约价值不超过基金资产净值的10%；在任何交易日日终，持有的买入国债期货合约价值，不得超过基金资产净值15%；</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2）在任何交易日日终，持有的卖出股指期货合约价值不超过基金持有的股票总市值的20%；在任何交易日日终，持有的卖出国债期货合约价值不得超过基金持有的债券总市值的30%；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本基金所持有的股票市值和买入、卖出股指期货合约价值，合计（轧差计算）应当符合基金合同关于股票投资比例的有关约定；本基金所持有的债券（不含到期日在一年以内的政府债券）市值和买入、卖出国债期货合约价值，合计（轧差计算）应当符合基金合同关于债券投资比例的有关约定；</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本基金在任何交易日日终，持有的买入股指期货和国债期货合约价值与有价证券市值之和，不得超过基金资产净值的100%。其中，有价证券指股票、债券（不含到期日在一年以内的政府债券）、资产支持证券、买入返售金融资产（不含质押式回购）等；</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5）本基金在任何交易日内交易（不包括平仓）的股指期货合约的成交金额不得超过上一交易日基金资产净值的20%；在任何交易日内交易（不包括平仓）的国债期货合约的成交金额不得超过上一交易日基金资产净值的30%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（14）本基金投资于股票期权，还应遵循如下投资组合限制：</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1）因未平仓的期权合约支付和收取的权利金总额不得超过基金资产净值的10%；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2）开仓卖出认购期权的，应持有足额标的证券；开仓卖出认沽期权的，应持有合约行权所需的全额现金或交易所规则认可的可冲抵期权保证金的现金等价物；</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3）未平仓的期权合约面值不得超过基金资产净值的20%。其中，合约面值按照行权价乘以合约乘数计算；</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（15）本基金参与转融通证券出借业务，需遵守下列投资限制：</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1）出借证券资产不得超过基金资产净值的30%，出借期限在10 个交易日以上的出借证券应纳入《流动性风险管理规定》所述流动性受限证券的范围；</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2）参与出借业务的单只证券不得超过本基金持有该证券总量的50%；</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3）最近6个月内日均基金资产净值不得低于2亿元；</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4）证券出借的平均剩余期限不得超过30天，平均剩余期限按照市值加权平均计算；</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因证券市场波动、上市公司合并、基金规模变动等基金管理人之外的因素致使基金投资不符合上述规定的，基金管理人不得新增出借业务；</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（16）本基金主动投资于流动性受限资产的市值合计不得超过本基金资产净值的15%；</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因证券市场波动、上市公司股票停牌、基金规模变动等基金管理人之外的因素致使基金不符合该比例限制的，基金管理人不得主动新增流动性受限资产的投资；</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（17）本基金与私募类证券资管产品及中国证监会认定的其他主体为交易对手开展逆回购交易的，可接受质押品的资质要求应当与基金合同约定的投资范围保持一致；</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（18）本基金投资存托凭证的比例限制依照境内上市交易的股票执行，与境内上市交易的股票合并计算；</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（19）相关法律法规以及监管部门规定的和基金合同约定的其它投资比例限制。</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除上述第（2）、（10）、（15）、（16）、（17）项外，因证券、期货市场波动、证券发行人合并、基金规模变动、标的指数成份股调整、标的指数成份股流动性限制等基金管理人之外的因素致使基金投资比例不符合上述规定投资比例的，基金管理人应当在10个交易日内进行调整，但中国证监会规定的特殊情形除外。法律法规另有规定的，从其规定。</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基金托管人对第（4）、（9）中“基金管理人管理的全部基金”的监督仅限于基金管理人在基金托管人处托管的全部基金。</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法律法规或监管部门取消或变更上述限制，如适用于本基金，基金管理人在履行适当程序后，则本基金投资不再受相关限制，或以变更后的规定为准。</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（三）基金托管人根据有关法律法规的规定及《基金合同》的约定，对基金投资禁止行为通过事后监督方式进行监督。</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基金财产不得用于下列投资或者活动：</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（1）承销证券；</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（2）违反规定向他人贷款或者提供担保；</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（3）从事承担无限责任的投资；</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（4）买卖其他基金份额，但是中国证监会另有规定的除外；</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（5）向其基金管理人、基金托管人出资；</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（6）从事内幕交易、操纵证券交易价格及其他不正当的证券交易活动；</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（7）法律、行政法规和中国证监会规定禁止的其他活动。</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根据法律法规有关基金从事关联交易的规定，基金管理人和基金托管人应事先相互提供与本机构有控股关系的股东或与本机构有重大利害关系的公司名单及其更新，并确保所提供的关联交易名单的真实性、完整性、全面性。基金管理人及基金托管人有责任保管真实、完整、全面的关联交易名单，并负责及时更新该名单。</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若基金托管人发现基金管理人与关联交易名单中列示的关联方进行的关联交易违反法律法规规定时，基金托管人应及时提醒并协助基金管理人采取必要措施阻止该关联交易的发生，若基金托管人采取必要措施后仍无法阻止关联交易发生时，基金托管人有权向中国证监会报告。对于交易所场内已成交的违规关联交易，基金托管人应按相关法律法规和交易所规则的规定进行结算，同时向中国证监会报告。</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法律、行政法规或监管部门取消或变更上述规定，如适用于本基金，基金管理人在履行适当程序后，则本基金投资不再受相关限制或以变更后的规定为准。</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非券款兑付（非DVP）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负责对交易对手的资信控制，按银行间债券市场的交易规则进行交易，并负责处理因交易对手不履行合同而造成的纠纷及损失，基金托管人不承担由此造成的相应法律责任及损失。若未履约的交易对手在基金托管人与基金管理人确定的时间前仍未承担违约责任及其他相关法律责任的，基金管理人可以但无义务对相应损失先行予以承担，然后再向相关交易对手追偿，基金托管人应提供必要的协助与配合。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相应损失和责任。</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五）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如果基金管理人未经基金托管人的审核擅自将不实的业绩表现数据印制在宣传推介材料上，则基金托管人对此不承担相应责任，并将在发现后立即报告中国证监会。</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及时核对并以书面形式给基金托管人发出回函，就基金托管人的合理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七）基金管理人有义务配合和协助基金托管人依照法律法规、《基金合同》和本托管协议对基金业务执行核查。对基金托管人发出的书面提示，基金管理人应在规定时间内答复并改正，或就基金托管人的合理疑义进行解释或举证；对基金托管人按照法律法规、《基金合同》和本托管协议的要求需向中国证监会报送基金监督报告的事项，基金管理人应积极配合提供相关数据资料和制度等。</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八）若基金托管人发现基金管理人依据交易程序已经生效的指令违反法律、行政法规和其他有关规定，或者违反《基金合同》约定的，应当立即以书面或以双方认可的其他方式通知基金管理人，由此造成的损失由基金管理人承担。</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九）基金托管人发现基金管理人有重大违规行为，应及时报告中国证监会，同时通知基金管理人限期纠正，并将纠正结果报告中国证监会。基金管理人无正当理由，拒绝、阻挠基金托管人根据本托管协议规定行使监督权，或采取拖延、欺诈等手段妨碍基金托管人进行有效监督，情节严重或经基金托管人提出警告仍不改正的，基金托管人应报告中国证监会。</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十）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基金托管人依照相关法律法规的规定和基金合同的约定，对侧袋机制启用、特定资产处置和信息披露等方面进行复核和监督。侧袋机制实施期间的具体规则依照相关法律法规的规定和基金合同的约定执行。</w:t>
      </w:r>
    </w:p>
    <w:p>
      <w:pPr>
        <w:adjustRightInd w:val="0"/>
        <w:snapToGrid w:val="0"/>
        <w:spacing w:line="360" w:lineRule="auto"/>
        <w:ind w:firstLine="480"/>
        <w:rPr>
          <w:rFonts w:cs="Arial" w:asciiTheme="minorEastAsia" w:hAnsiTheme="minorEastAsia" w:eastAsiaTheme="minorEastAsia"/>
          <w:b/>
          <w:szCs w:val="21"/>
        </w:rPr>
      </w:pPr>
      <w:r>
        <w:rPr>
          <w:rFonts w:hint="eastAsia" w:cs="Arial" w:asciiTheme="minorEastAsia" w:hAnsiTheme="minorEastAsia" w:eastAsiaTheme="minorEastAsia"/>
          <w:b/>
          <w:szCs w:val="21"/>
        </w:rPr>
        <w:t>三、基金管理人对基金托管人的业务核查</w:t>
      </w:r>
    </w:p>
    <w:p>
      <w:pPr>
        <w:adjustRightInd w:val="0"/>
        <w:snapToGrid w:val="0"/>
        <w:spacing w:line="360" w:lineRule="auto"/>
        <w:ind w:firstLine="420" w:firstLineChars="200"/>
        <w:rPr>
          <w:rFonts w:cs="Arial" w:asciiTheme="minorEastAsia" w:hAnsiTheme="minorEastAsia" w:eastAsiaTheme="minorEastAsia"/>
          <w:kern w:val="0"/>
          <w:szCs w:val="21"/>
        </w:rPr>
      </w:pPr>
      <w:bookmarkStart w:id="167" w:name="_Toc278986892"/>
      <w:bookmarkStart w:id="168" w:name="_Toc288639817"/>
      <w:bookmarkStart w:id="169" w:name="_Toc287014244"/>
      <w:bookmarkStart w:id="170" w:name="_Toc278986607"/>
      <w:bookmarkStart w:id="171" w:name="_Toc286319595"/>
      <w:bookmarkStart w:id="172" w:name="_Toc278986832"/>
      <w:r>
        <w:rPr>
          <w:rFonts w:hint="eastAsia" w:cs="Arial" w:asciiTheme="minorEastAsia" w:hAnsiTheme="minorEastAsia" w:eastAsiaTheme="minorEastAsia"/>
          <w:kern w:val="0"/>
          <w:szCs w:val="21"/>
        </w:rPr>
        <w:t>（一）基金管理人对基金托管人履行托管职责情况进行核查，核查事项包括基金托管人安全保管基金财产、开设基金财产的资金账户和证券账户等投资所需账户、复核基金管理人计算的基金资产净值和各类基金份额净值、根据基金管理人指令办理清算交收、相关信息披露和监督基金投资运作等行为。</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三）基金管理人发现基金托管人有重大违规行为，应及时报告中国证监会，同时通知基金托管人限期纠正，并将纠正结果报告中国证监会。基金托管人无正当理由，拒绝、阻挠基金管理人根据本协议规定行使监督权，或采取拖延、欺诈等手段妨碍基金管理人进行有效监督，情节严重或经基金管理人提出警告仍不改正的，基金管理人应报告中国证监会。</w:t>
      </w:r>
    </w:p>
    <w:p>
      <w:pPr>
        <w:spacing w:line="360" w:lineRule="auto"/>
        <w:ind w:firstLine="422" w:firstLineChars="200"/>
        <w:rPr>
          <w:rFonts w:ascii="宋体" w:hAnsi="宋体" w:cs="Arial"/>
          <w:szCs w:val="21"/>
        </w:rPr>
      </w:pPr>
      <w:r>
        <w:rPr>
          <w:rFonts w:ascii="Arial" w:hAnsi="Arial" w:cs="Arial"/>
          <w:b/>
          <w:szCs w:val="21"/>
        </w:rPr>
        <w:t>四、基金财产的保管</w:t>
      </w:r>
      <w:bookmarkEnd w:id="167"/>
      <w:bookmarkEnd w:id="168"/>
      <w:bookmarkEnd w:id="169"/>
      <w:bookmarkEnd w:id="170"/>
      <w:bookmarkEnd w:id="171"/>
      <w:bookmarkEnd w:id="172"/>
    </w:p>
    <w:p>
      <w:pPr>
        <w:autoSpaceDE w:val="0"/>
        <w:autoSpaceDN w:val="0"/>
        <w:adjustRightInd w:val="0"/>
        <w:snapToGrid w:val="0"/>
        <w:spacing w:line="360" w:lineRule="auto"/>
        <w:ind w:firstLine="420" w:firstLineChars="200"/>
        <w:rPr>
          <w:rFonts w:hAnsi="宋体"/>
        </w:rPr>
      </w:pPr>
      <w:r>
        <w:rPr>
          <w:rFonts w:hint="eastAsia" w:hAnsi="宋体"/>
        </w:rPr>
        <w:t>（一）基金财产保管的原则</w:t>
      </w:r>
    </w:p>
    <w:p>
      <w:pPr>
        <w:autoSpaceDE w:val="0"/>
        <w:autoSpaceDN w:val="0"/>
        <w:adjustRightInd w:val="0"/>
        <w:snapToGrid w:val="0"/>
        <w:spacing w:line="360" w:lineRule="auto"/>
        <w:ind w:firstLine="420" w:firstLineChars="200"/>
        <w:rPr>
          <w:rFonts w:hAnsi="宋体"/>
        </w:rPr>
      </w:pPr>
      <w:r>
        <w:rPr>
          <w:rFonts w:hint="eastAsia" w:hAnsi="宋体"/>
        </w:rPr>
        <w:t>1.基金财产应独立于基金管理人、基金托管人的固有财产。</w:t>
      </w:r>
    </w:p>
    <w:p>
      <w:pPr>
        <w:autoSpaceDE w:val="0"/>
        <w:autoSpaceDN w:val="0"/>
        <w:adjustRightInd w:val="0"/>
        <w:snapToGrid w:val="0"/>
        <w:spacing w:line="360" w:lineRule="auto"/>
        <w:ind w:firstLine="420" w:firstLineChars="200"/>
        <w:rPr>
          <w:rFonts w:hAnsi="宋体"/>
        </w:rPr>
      </w:pPr>
      <w:r>
        <w:rPr>
          <w:rFonts w:hint="eastAsia" w:hAnsi="宋体"/>
        </w:rPr>
        <w:t>2.基金托管人应安全保管基金财产，不对处于基金托管人实际控制之外的账户或财产承担责任。</w:t>
      </w:r>
    </w:p>
    <w:p>
      <w:pPr>
        <w:autoSpaceDE w:val="0"/>
        <w:autoSpaceDN w:val="0"/>
        <w:adjustRightInd w:val="0"/>
        <w:snapToGrid w:val="0"/>
        <w:spacing w:line="360" w:lineRule="auto"/>
        <w:ind w:firstLine="420" w:firstLineChars="200"/>
        <w:rPr>
          <w:rFonts w:hAnsi="宋体"/>
        </w:rPr>
      </w:pPr>
      <w:r>
        <w:rPr>
          <w:rFonts w:hint="eastAsia" w:hAnsi="宋体"/>
        </w:rPr>
        <w:t>3.基金托管人按照规定开设基金财产的资金账户、证券账户等投资所需账户。</w:t>
      </w:r>
    </w:p>
    <w:p>
      <w:pPr>
        <w:autoSpaceDE w:val="0"/>
        <w:autoSpaceDN w:val="0"/>
        <w:adjustRightInd w:val="0"/>
        <w:snapToGrid w:val="0"/>
        <w:spacing w:line="360" w:lineRule="auto"/>
        <w:ind w:firstLine="420" w:firstLineChars="200"/>
        <w:rPr>
          <w:rFonts w:hAnsi="宋体"/>
        </w:rPr>
      </w:pPr>
      <w:r>
        <w:rPr>
          <w:rFonts w:hint="eastAsia" w:hAnsi="宋体"/>
        </w:rPr>
        <w:t>4.基金托管人对所托管的不同基金财产分别设置账户，确保基金财产的完整与独立。</w:t>
      </w:r>
    </w:p>
    <w:p>
      <w:pPr>
        <w:autoSpaceDE w:val="0"/>
        <w:autoSpaceDN w:val="0"/>
        <w:adjustRightInd w:val="0"/>
        <w:snapToGrid w:val="0"/>
        <w:spacing w:line="360" w:lineRule="auto"/>
        <w:ind w:firstLine="420" w:firstLineChars="200"/>
        <w:rPr>
          <w:rFonts w:hAnsi="宋体"/>
        </w:rPr>
      </w:pPr>
      <w:r>
        <w:rPr>
          <w:rFonts w:hint="eastAsia" w:hAnsi="宋体"/>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pPr>
        <w:autoSpaceDE w:val="0"/>
        <w:autoSpaceDN w:val="0"/>
        <w:adjustRightInd w:val="0"/>
        <w:snapToGrid w:val="0"/>
        <w:spacing w:line="360" w:lineRule="auto"/>
        <w:ind w:firstLine="420" w:firstLineChars="200"/>
        <w:rPr>
          <w:rFonts w:hAnsi="宋体"/>
        </w:rPr>
      </w:pPr>
      <w:r>
        <w:rPr>
          <w:rFonts w:hint="eastAsia" w:hAnsi="宋体"/>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相应责任。</w:t>
      </w:r>
    </w:p>
    <w:p>
      <w:pPr>
        <w:autoSpaceDE w:val="0"/>
        <w:autoSpaceDN w:val="0"/>
        <w:adjustRightInd w:val="0"/>
        <w:snapToGrid w:val="0"/>
        <w:spacing w:line="360" w:lineRule="auto"/>
        <w:ind w:firstLine="420" w:firstLineChars="200"/>
        <w:rPr>
          <w:rFonts w:hAnsi="宋体"/>
        </w:rPr>
      </w:pPr>
      <w:r>
        <w:rPr>
          <w:rFonts w:hint="eastAsia" w:hAnsi="宋体"/>
        </w:rPr>
        <w:t>7.除依据法律法规和《基金合同》的规定外，基金托管人不得委托第三人托管基金财产。</w:t>
      </w:r>
    </w:p>
    <w:p>
      <w:pPr>
        <w:autoSpaceDE w:val="0"/>
        <w:autoSpaceDN w:val="0"/>
        <w:adjustRightInd w:val="0"/>
        <w:snapToGrid w:val="0"/>
        <w:spacing w:line="360" w:lineRule="auto"/>
        <w:ind w:firstLine="420" w:firstLineChars="200"/>
        <w:rPr>
          <w:rFonts w:hAnsi="宋体"/>
        </w:rPr>
      </w:pPr>
      <w:r>
        <w:rPr>
          <w:rFonts w:hint="eastAsia" w:hAnsi="宋体"/>
        </w:rPr>
        <w:t>（二）基金募集期间及募集资金的验资</w:t>
      </w:r>
    </w:p>
    <w:p>
      <w:pPr>
        <w:autoSpaceDE w:val="0"/>
        <w:autoSpaceDN w:val="0"/>
        <w:adjustRightInd w:val="0"/>
        <w:snapToGrid w:val="0"/>
        <w:spacing w:line="360" w:lineRule="auto"/>
        <w:ind w:firstLine="420" w:firstLineChars="200"/>
        <w:rPr>
          <w:rFonts w:hAnsi="宋体"/>
        </w:rPr>
      </w:pPr>
      <w:r>
        <w:rPr>
          <w:rFonts w:hint="eastAsia" w:hAnsi="宋体"/>
        </w:rPr>
        <w:t>1.基金募集期间募集的资金应存于基金管理人在具有托管资格的商业银行的营业机构开立的“基金募集专户”。该账户由基金管理人开立并管理。</w:t>
      </w:r>
    </w:p>
    <w:p>
      <w:pPr>
        <w:autoSpaceDE w:val="0"/>
        <w:autoSpaceDN w:val="0"/>
        <w:adjustRightInd w:val="0"/>
        <w:snapToGrid w:val="0"/>
        <w:spacing w:line="360" w:lineRule="auto"/>
        <w:ind w:firstLine="420" w:firstLineChars="200"/>
        <w:rPr>
          <w:rFonts w:hAnsi="宋体"/>
        </w:rPr>
      </w:pPr>
      <w:r>
        <w:rPr>
          <w:rFonts w:hint="eastAsia" w:hAnsi="宋体"/>
        </w:rPr>
        <w:t>2.基金募集期满或基金停止募集时，发起资金提供方认购金额、发起资金提供方承诺其认购的基金份额持有期限符合《基金法》、《运作办法》等有关规定后，基金管理人应将属于基金财产的全部资金划入基金托管人开立的基金托管账户，同时在规定时间内，聘请符合《中华人民共和国证券法》规定的会计师事务所进行验资，出具验资报告，验资报告需对发起资金提供方及其持有份额进行专门说明。出具的验资报告由参加验资的2名或2名以上中国注册会计师签字方为有效。</w:t>
      </w:r>
    </w:p>
    <w:p>
      <w:pPr>
        <w:autoSpaceDE w:val="0"/>
        <w:autoSpaceDN w:val="0"/>
        <w:adjustRightInd w:val="0"/>
        <w:snapToGrid w:val="0"/>
        <w:spacing w:line="360" w:lineRule="auto"/>
        <w:ind w:firstLine="420" w:firstLineChars="200"/>
        <w:rPr>
          <w:rFonts w:hAnsi="宋体"/>
        </w:rPr>
      </w:pPr>
      <w:r>
        <w:rPr>
          <w:rFonts w:hint="eastAsia" w:hAnsi="宋体"/>
        </w:rPr>
        <w:t>3.若基金募集期限届满，未能达到《基金合同》生效的条件，由基金管理人按规定办理退款等事宜，基金托管人应予以必要的协助与配合。</w:t>
      </w:r>
    </w:p>
    <w:p>
      <w:pPr>
        <w:autoSpaceDE w:val="0"/>
        <w:autoSpaceDN w:val="0"/>
        <w:adjustRightInd w:val="0"/>
        <w:snapToGrid w:val="0"/>
        <w:spacing w:line="360" w:lineRule="auto"/>
        <w:ind w:firstLine="420" w:firstLineChars="200"/>
        <w:rPr>
          <w:rFonts w:hAnsi="宋体"/>
        </w:rPr>
      </w:pPr>
      <w:r>
        <w:rPr>
          <w:rFonts w:hint="eastAsia" w:hAnsi="宋体"/>
        </w:rPr>
        <w:t>（三）基金托管账户的开立和管理</w:t>
      </w:r>
    </w:p>
    <w:p>
      <w:pPr>
        <w:autoSpaceDE w:val="0"/>
        <w:autoSpaceDN w:val="0"/>
        <w:adjustRightInd w:val="0"/>
        <w:snapToGrid w:val="0"/>
        <w:spacing w:line="360" w:lineRule="auto"/>
        <w:ind w:firstLine="420" w:firstLineChars="200"/>
        <w:rPr>
          <w:rFonts w:hAnsi="宋体"/>
        </w:rPr>
      </w:pPr>
      <w:r>
        <w:rPr>
          <w:rFonts w:hint="eastAsia" w:hAnsi="宋体"/>
        </w:rPr>
        <w:t>1.基金托管人应以本基金的名义在其营业机构开立基金的托管账户，并根据基金管理人合法合规的指令办理资金收付。</w:t>
      </w:r>
    </w:p>
    <w:p>
      <w:pPr>
        <w:autoSpaceDE w:val="0"/>
        <w:autoSpaceDN w:val="0"/>
        <w:adjustRightInd w:val="0"/>
        <w:snapToGrid w:val="0"/>
        <w:spacing w:line="360" w:lineRule="auto"/>
        <w:ind w:firstLine="420" w:firstLineChars="200"/>
        <w:rPr>
          <w:rFonts w:hAnsi="宋体"/>
        </w:rPr>
      </w:pPr>
      <w:r>
        <w:rPr>
          <w:rFonts w:hint="eastAsia" w:hAnsi="宋体"/>
        </w:rPr>
        <w:t>2.基金托管账户的开立和使用，限于满足开展本基金业务的需要。基金托管人和基金管理人不得假借本基金的名义开立任何其他银行账户；亦不得使用基金的任何账户进行本基金业务以外的活动。</w:t>
      </w:r>
    </w:p>
    <w:p>
      <w:pPr>
        <w:autoSpaceDE w:val="0"/>
        <w:autoSpaceDN w:val="0"/>
        <w:adjustRightInd w:val="0"/>
        <w:snapToGrid w:val="0"/>
        <w:spacing w:line="360" w:lineRule="auto"/>
        <w:ind w:firstLine="420" w:firstLineChars="200"/>
        <w:rPr>
          <w:rFonts w:hAnsi="宋体"/>
        </w:rPr>
      </w:pPr>
      <w:r>
        <w:rPr>
          <w:rFonts w:hint="eastAsia" w:hAnsi="宋体"/>
        </w:rPr>
        <w:t>3.基金托管账户的开立和管理应符合银行业监督管理机构的有关规定。</w:t>
      </w:r>
    </w:p>
    <w:p>
      <w:pPr>
        <w:autoSpaceDE w:val="0"/>
        <w:autoSpaceDN w:val="0"/>
        <w:adjustRightInd w:val="0"/>
        <w:snapToGrid w:val="0"/>
        <w:spacing w:line="360" w:lineRule="auto"/>
        <w:ind w:firstLine="420" w:firstLineChars="200"/>
        <w:rPr>
          <w:rFonts w:hAnsi="宋体"/>
        </w:rPr>
      </w:pPr>
      <w:r>
        <w:rPr>
          <w:rFonts w:hint="eastAsia" w:hAnsi="宋体"/>
        </w:rPr>
        <w:t>4.在符合法律法规规定的条件下，基金托管人可以通过基金托管账户办理基金资产的支付。</w:t>
      </w:r>
    </w:p>
    <w:p>
      <w:pPr>
        <w:autoSpaceDE w:val="0"/>
        <w:autoSpaceDN w:val="0"/>
        <w:adjustRightInd w:val="0"/>
        <w:snapToGrid w:val="0"/>
        <w:spacing w:line="360" w:lineRule="auto"/>
        <w:ind w:firstLine="420" w:firstLineChars="200"/>
        <w:rPr>
          <w:rFonts w:hAnsi="宋体"/>
        </w:rPr>
      </w:pPr>
      <w:r>
        <w:rPr>
          <w:rFonts w:hint="eastAsia" w:hAnsi="宋体"/>
        </w:rPr>
        <w:t>（四）基金证券账户和结算备付金账户的开立和管理</w:t>
      </w:r>
    </w:p>
    <w:p>
      <w:pPr>
        <w:autoSpaceDE w:val="0"/>
        <w:autoSpaceDN w:val="0"/>
        <w:adjustRightInd w:val="0"/>
        <w:snapToGrid w:val="0"/>
        <w:spacing w:line="360" w:lineRule="auto"/>
        <w:ind w:firstLine="420" w:firstLineChars="200"/>
        <w:rPr>
          <w:rFonts w:hAnsi="宋体"/>
        </w:rPr>
      </w:pPr>
      <w:r>
        <w:rPr>
          <w:rFonts w:hint="eastAsia" w:hAnsi="宋体"/>
        </w:rPr>
        <w:t>1.基金托管人在中国证券登记结算有限责任公司为基金开立证券账户。</w:t>
      </w:r>
    </w:p>
    <w:p>
      <w:pPr>
        <w:autoSpaceDE w:val="0"/>
        <w:autoSpaceDN w:val="0"/>
        <w:adjustRightInd w:val="0"/>
        <w:snapToGrid w:val="0"/>
        <w:spacing w:line="360" w:lineRule="auto"/>
        <w:ind w:firstLine="420" w:firstLineChars="200"/>
        <w:rPr>
          <w:rFonts w:hAnsi="宋体"/>
        </w:rPr>
      </w:pPr>
      <w:r>
        <w:rPr>
          <w:rFonts w:hint="eastAsia" w:hAnsi="宋体"/>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pPr>
        <w:autoSpaceDE w:val="0"/>
        <w:autoSpaceDN w:val="0"/>
        <w:adjustRightInd w:val="0"/>
        <w:snapToGrid w:val="0"/>
        <w:spacing w:line="360" w:lineRule="auto"/>
        <w:ind w:firstLine="420" w:firstLineChars="200"/>
        <w:rPr>
          <w:rFonts w:hAnsi="宋体"/>
        </w:rPr>
      </w:pPr>
      <w:r>
        <w:rPr>
          <w:rFonts w:hint="eastAsia" w:hAnsi="宋体"/>
        </w:rPr>
        <w:t>3.基金证券账户的开立由基金托管人负责，账户资产的管理和运用由基金管理人负责。</w:t>
      </w:r>
    </w:p>
    <w:p>
      <w:pPr>
        <w:autoSpaceDE w:val="0"/>
        <w:autoSpaceDN w:val="0"/>
        <w:adjustRightInd w:val="0"/>
        <w:snapToGrid w:val="0"/>
        <w:spacing w:line="360" w:lineRule="auto"/>
        <w:ind w:firstLine="420" w:firstLineChars="200"/>
        <w:rPr>
          <w:rFonts w:hAnsi="宋体"/>
        </w:rPr>
      </w:pPr>
      <w:r>
        <w:rPr>
          <w:rFonts w:hint="eastAsia" w:hAnsi="宋体"/>
        </w:rPr>
        <w:t>证券账户开户费由本基金财产承担，若因基金银行存款余额不足导致证券账户开户费无法扣收，由基金管理人先行垫付。</w:t>
      </w:r>
    </w:p>
    <w:p>
      <w:pPr>
        <w:autoSpaceDE w:val="0"/>
        <w:autoSpaceDN w:val="0"/>
        <w:adjustRightInd w:val="0"/>
        <w:snapToGrid w:val="0"/>
        <w:spacing w:line="360" w:lineRule="auto"/>
        <w:ind w:firstLine="420" w:firstLineChars="200"/>
        <w:rPr>
          <w:rFonts w:hAnsi="宋体"/>
        </w:rPr>
      </w:pPr>
      <w:r>
        <w:rPr>
          <w:rFonts w:hint="eastAsia" w:hAnsi="宋体"/>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pPr>
        <w:autoSpaceDE w:val="0"/>
        <w:autoSpaceDN w:val="0"/>
        <w:adjustRightInd w:val="0"/>
        <w:snapToGrid w:val="0"/>
        <w:spacing w:line="360" w:lineRule="auto"/>
        <w:ind w:firstLine="420" w:firstLineChars="200"/>
        <w:rPr>
          <w:rFonts w:hAnsi="宋体"/>
        </w:rPr>
      </w:pPr>
      <w:r>
        <w:rPr>
          <w:rFonts w:hint="eastAsia" w:hAnsi="宋体"/>
        </w:rPr>
        <w:t>5.若中国证监会或其他监管机构在本托管协议订立日之后允许基金从事其他投资品种的投资业务，涉及相关账户的开立、使用的，若无相关规定，则基金托管人比照上述关于账户开立、使用的规定执行。</w:t>
      </w:r>
    </w:p>
    <w:p>
      <w:pPr>
        <w:autoSpaceDE w:val="0"/>
        <w:autoSpaceDN w:val="0"/>
        <w:adjustRightInd w:val="0"/>
        <w:snapToGrid w:val="0"/>
        <w:spacing w:line="360" w:lineRule="auto"/>
        <w:ind w:firstLine="420" w:firstLineChars="200"/>
        <w:rPr>
          <w:rFonts w:hAnsi="宋体"/>
        </w:rPr>
      </w:pPr>
      <w:r>
        <w:rPr>
          <w:rFonts w:hint="eastAsia" w:hAnsi="宋体"/>
        </w:rPr>
        <w:t>（五）债券托管账户的开设和管理</w:t>
      </w:r>
    </w:p>
    <w:p>
      <w:pPr>
        <w:autoSpaceDE w:val="0"/>
        <w:autoSpaceDN w:val="0"/>
        <w:adjustRightInd w:val="0"/>
        <w:snapToGrid w:val="0"/>
        <w:spacing w:line="360" w:lineRule="auto"/>
        <w:ind w:firstLine="420" w:firstLineChars="200"/>
        <w:rPr>
          <w:rFonts w:hAnsi="宋体"/>
        </w:rPr>
      </w:pPr>
      <w:r>
        <w:rPr>
          <w:rFonts w:hint="eastAsia" w:hAnsi="宋体"/>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代表基金签订全国银行间债券市场债券回购主协议。</w:t>
      </w:r>
    </w:p>
    <w:p>
      <w:pPr>
        <w:autoSpaceDE w:val="0"/>
        <w:autoSpaceDN w:val="0"/>
        <w:adjustRightInd w:val="0"/>
        <w:snapToGrid w:val="0"/>
        <w:spacing w:line="360" w:lineRule="auto"/>
        <w:ind w:firstLine="420" w:firstLineChars="200"/>
        <w:rPr>
          <w:rFonts w:hAnsi="宋体"/>
        </w:rPr>
      </w:pPr>
      <w:r>
        <w:rPr>
          <w:rFonts w:hint="eastAsia" w:hAnsi="宋体"/>
        </w:rPr>
        <w:t>（六）期货账户的开立和管理</w:t>
      </w:r>
    </w:p>
    <w:p>
      <w:pPr>
        <w:autoSpaceDE w:val="0"/>
        <w:autoSpaceDN w:val="0"/>
        <w:adjustRightInd w:val="0"/>
        <w:snapToGrid w:val="0"/>
        <w:spacing w:line="360" w:lineRule="auto"/>
        <w:ind w:firstLine="420" w:firstLineChars="200"/>
        <w:rPr>
          <w:rFonts w:hAnsi="宋体"/>
        </w:rPr>
      </w:pPr>
      <w:r>
        <w:rPr>
          <w:rFonts w:hint="eastAsia" w:hAnsi="宋体"/>
        </w:rPr>
        <w:t>基金托管人、基金管理人应当代表本基金，按照相关规定开立期货结算账户、期货资金账户，在中国金融期货交易所获取交易编码。期货结算账户名称、期货资金账户名称及交易编码对应名称应按照有关规定设立。</w:t>
      </w:r>
    </w:p>
    <w:p>
      <w:pPr>
        <w:autoSpaceDE w:val="0"/>
        <w:autoSpaceDN w:val="0"/>
        <w:adjustRightInd w:val="0"/>
        <w:snapToGrid w:val="0"/>
        <w:spacing w:line="360" w:lineRule="auto"/>
        <w:ind w:firstLine="420" w:firstLineChars="200"/>
        <w:rPr>
          <w:rFonts w:hAnsi="宋体"/>
        </w:rPr>
      </w:pPr>
      <w:r>
        <w:rPr>
          <w:rFonts w:hint="eastAsia" w:hAnsi="宋体"/>
        </w:rPr>
        <w:t>（七）其他账户的开立和管理</w:t>
      </w:r>
    </w:p>
    <w:p>
      <w:pPr>
        <w:autoSpaceDE w:val="0"/>
        <w:autoSpaceDN w:val="0"/>
        <w:adjustRightInd w:val="0"/>
        <w:snapToGrid w:val="0"/>
        <w:spacing w:line="360" w:lineRule="auto"/>
        <w:ind w:firstLine="420" w:firstLineChars="200"/>
        <w:rPr>
          <w:rFonts w:hAnsi="宋体"/>
        </w:rPr>
      </w:pPr>
      <w:r>
        <w:rPr>
          <w:rFonts w:hint="eastAsia" w:hAnsi="宋体"/>
        </w:rPr>
        <w:t>1.在本托管协议订立日之后，本基金被允许从事符合法律法规规定和《基金合同》约定的其他投资品种的投资业务时，如果涉及相关账户的开设和使用，按有关规则进行开立和使用。</w:t>
      </w:r>
    </w:p>
    <w:p>
      <w:pPr>
        <w:autoSpaceDE w:val="0"/>
        <w:autoSpaceDN w:val="0"/>
        <w:adjustRightInd w:val="0"/>
        <w:snapToGrid w:val="0"/>
        <w:spacing w:line="360" w:lineRule="auto"/>
        <w:ind w:firstLine="420" w:firstLineChars="200"/>
        <w:rPr>
          <w:rFonts w:hAnsi="宋体"/>
        </w:rPr>
      </w:pPr>
      <w:r>
        <w:rPr>
          <w:rFonts w:hint="eastAsia" w:hAnsi="宋体"/>
        </w:rPr>
        <w:t>2.法律法规等有关规定对相关账户的开立和管理另有规定的，从其规定办理。</w:t>
      </w:r>
    </w:p>
    <w:p>
      <w:pPr>
        <w:autoSpaceDE w:val="0"/>
        <w:autoSpaceDN w:val="0"/>
        <w:adjustRightInd w:val="0"/>
        <w:snapToGrid w:val="0"/>
        <w:spacing w:line="360" w:lineRule="auto"/>
        <w:ind w:firstLine="420" w:firstLineChars="200"/>
        <w:rPr>
          <w:rFonts w:hAnsi="宋体"/>
        </w:rPr>
      </w:pPr>
      <w:r>
        <w:rPr>
          <w:rFonts w:hint="eastAsia" w:hAnsi="宋体"/>
        </w:rPr>
        <w:t>（八）基金财产投资的有关有价凭证等的保管</w:t>
      </w:r>
    </w:p>
    <w:p>
      <w:pPr>
        <w:autoSpaceDE w:val="0"/>
        <w:autoSpaceDN w:val="0"/>
        <w:adjustRightInd w:val="0"/>
        <w:snapToGrid w:val="0"/>
        <w:spacing w:line="360" w:lineRule="auto"/>
        <w:ind w:firstLine="420" w:firstLineChars="200"/>
        <w:rPr>
          <w:rFonts w:hAnsi="宋体"/>
        </w:rPr>
      </w:pPr>
      <w:r>
        <w:rPr>
          <w:rFonts w:hint="eastAsia" w:hAnsi="宋体"/>
        </w:rPr>
        <w:t>基金财产投资的有关实物证券、银行存款开户证实书等有价凭证由基金托管人存放于基金托管人的保管库，也可存入中央国债登记结算有限责任公司、中国证券登记结算有限责任公司、银行间市场清算所股份有限公司或票据营业中心的代保管库，保管凭证由基金托管人持有。实物证券、银行定期存款证实书等有价凭证的购买和转让，按基金管理人和基金托管人双方约定办理。基金托管人对由基金托管人以外机构实际有效控制的资产不承担保管责任。</w:t>
      </w:r>
    </w:p>
    <w:p>
      <w:pPr>
        <w:autoSpaceDE w:val="0"/>
        <w:autoSpaceDN w:val="0"/>
        <w:adjustRightInd w:val="0"/>
        <w:snapToGrid w:val="0"/>
        <w:spacing w:line="360" w:lineRule="auto"/>
        <w:ind w:firstLine="420" w:firstLineChars="200"/>
        <w:rPr>
          <w:rFonts w:hAnsi="宋体"/>
        </w:rPr>
      </w:pPr>
      <w:r>
        <w:rPr>
          <w:rFonts w:hint="eastAsia" w:hAnsi="宋体"/>
        </w:rPr>
        <w:t>（九）与基金财产有关的重大合同的保管</w:t>
      </w:r>
    </w:p>
    <w:p>
      <w:pPr>
        <w:autoSpaceDE w:val="0"/>
        <w:autoSpaceDN w:val="0"/>
        <w:adjustRightInd w:val="0"/>
        <w:snapToGrid w:val="0"/>
        <w:spacing w:line="360" w:lineRule="auto"/>
        <w:ind w:firstLine="420" w:firstLineChars="200"/>
        <w:rPr>
          <w:rFonts w:hAnsi="宋体"/>
        </w:rPr>
      </w:pPr>
      <w:r>
        <w:rPr>
          <w:rFonts w:hint="eastAsia" w:hAnsi="宋体"/>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通过邮件（即电子邮件，下同）或传真给基金托管人，并在三十个工作日内将正本送达基金托管人处。重大合同的保管期限不低于法律法规规定的最低期限。</w:t>
      </w:r>
    </w:p>
    <w:p>
      <w:pPr>
        <w:autoSpaceDE w:val="0"/>
        <w:autoSpaceDN w:val="0"/>
        <w:adjustRightInd w:val="0"/>
        <w:snapToGrid w:val="0"/>
        <w:spacing w:line="360" w:lineRule="auto"/>
        <w:ind w:firstLine="420" w:firstLineChars="200"/>
        <w:rPr>
          <w:rFonts w:hAnsi="宋体"/>
        </w:rPr>
      </w:pPr>
      <w:r>
        <w:rPr>
          <w:rFonts w:hint="eastAsia" w:hAnsi="宋体"/>
        </w:rPr>
        <w:t>对于无法取得二份以上的正本的，基金管理人应向基金托管人提供合同复印件，并在复印件上加盖公章，未经双方协商或未在合同约定范围内，合同原件不得转移。</w:t>
      </w:r>
    </w:p>
    <w:p>
      <w:pPr>
        <w:adjustRightInd w:val="0"/>
        <w:snapToGrid w:val="0"/>
        <w:spacing w:line="360" w:lineRule="auto"/>
        <w:ind w:firstLine="480"/>
        <w:rPr>
          <w:rFonts w:cs="Arial" w:asciiTheme="minorEastAsia" w:hAnsiTheme="minorEastAsia" w:eastAsiaTheme="minorEastAsia"/>
          <w:b/>
          <w:szCs w:val="21"/>
        </w:rPr>
      </w:pPr>
      <w:r>
        <w:rPr>
          <w:rFonts w:hint="eastAsia" w:cs="Arial" w:asciiTheme="minorEastAsia" w:hAnsiTheme="minorEastAsia" w:eastAsiaTheme="minorEastAsia"/>
          <w:b/>
          <w:szCs w:val="21"/>
        </w:rPr>
        <w:t>五、基金资产净值计算和会计核算</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（一）基金资产净值的计算、复核与完成的时间及程序</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基金资产净值是指基金资产总值减去负债后的金额。各类基金份额净值的计算，均保留到小数点后4位，小数点后第5位四舍五入，由此产生的收益或损失由基金财产承担。T日的各类基金份额净值在当天收市后计算，并按基金合同的约定进行公告。遇特殊情况，经履行适当程序，可以适当延迟计算或公告。</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基金管理人每个工作日计算基金资产净值及各类基金份额净值，并按规定公告。</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规定对外公布。</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（二）基金资产估值方法和特殊情形的处理</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1.估值对象</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基金所拥有的股票（含存托凭证）、股指期货合约、国债期货合约、股票期权合约、债券和银行存款本息、应收款项、资产支持证券、其它投资等资产及负债。</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2.估值方法</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交易所上市或挂牌转让的有价证券（包括股票等，基金合同另有约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（2）对于已上市或已挂牌转让的不含权固定收益品种，选取估值日第三方估值基准服务机构提供的相应品种当日的估值全价进行估值。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（3）对于已上市或已挂牌转让的含权固定收益品种，选取估值日第三方估值基准服务机构提供的相应品种当日的唯一估值全价或推荐估值全价进行估值；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对于含投资者回售权的固定收益品种，行使回售权的，在回售登记日至实际收款日期间选取第三方估值基准服务机构提供的相应品种的唯一估值全价或推荐估值全价。回售登记期截止日（含当日）后未行使回售权的，按照长待偿期所对应的价格进行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（5）对于未上市或未挂牌转让且不存在活跃市场的固定收益品种，应采用在当前情况下适用并且有足够可利用数据和其他信息支持的估值技术确定其公允价值。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（6）处于未上市期间的股票应区分如下情况处理：</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1）送股、转增股、配股和公开增发的新股，按估值日在证券交易所挂牌的同一股票的估值方法估值；该日无交易的，以最近一日的市价（收盘价）估值；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2）首次公开发行未上市的股票，采用估值技术确定公允价值；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（7）本基金投资存托凭证的估值核算，依照境内上市交易的股票执行。</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（8）同一证券同时在两个或两个以上市场交易的，按证券所处的市场分别估值。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（9）本基金投资股指期货合约、国债期货合约，一般以估值当日结算价进行估值，估值当日无结算价的，且最近交易日后经济环境未发生重大变化的，采用最近交易日结算价估值。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（10）本基金投资股票期权，根据相关法律法规以及监管部门的规定估值。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（11）本基金参与融资或转融通证券出借业务的，应参照行业协会的相关规定进行估值，确保估值的公允性。</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（12）如有确凿证据表明按上述方法进行估值不能客观反映其公允价值的，基金管理人可根据具体情况与基金托管人商定后，按最能反映公允价值的价格估值。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（13）当发生大额申购或赎回情形时，基金管理人可以采用摆动定价机制，以确保基金估值的公平性。具体处理原则与操作规范遵循相关法律法规以及监管部门、自律规则的规定。</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（14）相关法律法规以及监管部门有强制规定的，从其规定。如有新增事项，按国家最新规定估值。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如基金管理人或基金托管人发现基金估值违反基金合同订明的估值方法、程序及相关法律法规的规定或者未能充分维护基金份额持有人利益时，应立即通知对方，共同查明原因，双方协商解决。</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3.特殊情形的处理</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基金管理人或基金托管人按估值方法的第（12）项进行估值时，所造成的误差不作为基金资产估值错误处理。</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由于有关会计制度变化或不可抗力原因，或由于证券或期货交易所或登记结算公司、指数编制机构及存款银行等第三方机构发送的数据错误、遗漏、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4、实施侧袋机制期间的基金资产估值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本基金实施侧袋机制的，应根据本部分的约定对主袋账户资产进行估值并披露主袋账户的基金净值信息，暂停披露侧袋账户份额净值。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（三）基金份额净值错误的处理方式</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1、基金份额净值计算出现错误时，基金管理人应当立即予以纠正，通报基金托管人，并采取合理的措施防止损失进一步扩大。</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2、错误偏差达到该类基金份额净值的0.25%时，基金管理人应当通报基金托管人并报中国证监会备案；错误偏差达到该类基金份额净值的0.5%时，基金管理人应当公告，并报中国证监会备案。</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3、当基金份额净值计算差错给基金和基金份额持有人造成损失需要进行赔偿时，基金管理人和基金托管人应根据实际情况界定双方承担的责任，经确认后按以下条款进行赔偿：</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（4）由于基金管理人提供的信息错误（包括但不限于基金申购或赎回金额等），进而导致基金份额净值计算错误而引起的基金份额持有人和基金财产的损失，由基金管理人负责赔付。</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4、前述内容如法律法规或监管机关另有规定的，从其规定处理。如果行业另有通行做法，基金管理人、基金托管人应本着平等和保护基金份额持有人利益的原则进行协商。</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（四）暂停估值与公告基金份额净值的情形</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1、基金投资所涉及的证券、期货交易市场遇法定节假日或因其他原因暂停营业时；</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2、因不可抗力致使基金管理人、基金托管人无法准确评估基金资产价值时；</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3、当特定资产占前一估值日基金资产净值50%以上的，经与基金托管人协商确认后，基金管理人应当暂停估值；</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4、法律法规规定、中国证监会和基金合同认定的其它情形。</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（五）基金会计制度</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按国家有关部门规定的会计制度执行。</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（六）基金账册的建立</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和基金托管人在基金合同生效后，应按照双方约定的同一记账方法和会计处理原则，分别独立地设置、记录和保管本基金的全套账册，对相关各方各自的账册定期进行核对，互相监督，以保证基金资产的安全。若基金管理人和基金托管人对会计处理方法存在分歧，应以基金管理人的处理方法为准。</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（七）基金财务报表与报告的编制和复核</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1.财务报表的编制</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基金财务报表由基金管理人编制，基金托管人复核。</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2.报表复核</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基金托管人在收到基金管理人编制的基金财务报表后，进行独立的复核。核对不符时，应及时通知基金管理人共同查出原因，进行调整，直至双方数据完全一致。</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3.财务报表的编制与复核时间安排</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（1）报表的编制</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应当在每年结束之日起三个月内，编制完成基金年度报告，将年度报告登载在规定网站上，并将年度报告提示性公告登载在规定报刊上。基金年度报告中的财务会计报告应当经符合《中华人民共和国证券法》的会计师事务所审计。</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基金管理人应当在上半年结束之日起两个月内，编制完成基金中期报告，将中期报告登载在规定网站上，并将中期报告提示性公告登载在规定报刊上。</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基金管理人应当在季度结束之日起15个工作日内，编制完成基金季度报告，将季度报告登载在规定网站上，并将季度报告提示性公告登载在规定报刊上。</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《基金合同》生效不足2个月的，基金管理人可以不编制当期季度报告、中期报告或者年度报告。</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（2）报表的复核</w:t>
      </w:r>
    </w:p>
    <w:p>
      <w:pPr>
        <w:autoSpaceDE w:val="0"/>
        <w:autoSpaceDN w:val="0"/>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pPr>
        <w:autoSpaceDE w:val="0"/>
        <w:autoSpaceDN w:val="0"/>
        <w:adjustRightInd w:val="0"/>
        <w:snapToGrid w:val="0"/>
        <w:spacing w:line="360" w:lineRule="auto"/>
        <w:ind w:firstLine="422" w:firstLineChars="201"/>
        <w:jc w:val="left"/>
        <w:rPr>
          <w:rFonts w:asciiTheme="minorEastAsia" w:hAnsiTheme="minorEastAsia" w:eastAsiaTheme="minorEastAsia"/>
          <w:b/>
          <w:kern w:val="0"/>
          <w:szCs w:val="21"/>
        </w:rPr>
      </w:pPr>
      <w:r>
        <w:rPr>
          <w:rFonts w:hint="eastAsia" w:cs="Arial" w:asciiTheme="minorEastAsia" w:hAnsiTheme="minorEastAsia" w:eastAsiaTheme="minorEastAsia"/>
          <w:kern w:val="0"/>
          <w:szCs w:val="21"/>
        </w:rPr>
        <w:t>基金管理人应留足充分的时间，便于基金托管人复核相关报表及报告。</w:t>
      </w:r>
    </w:p>
    <w:p>
      <w:pPr>
        <w:autoSpaceDE w:val="0"/>
        <w:autoSpaceDN w:val="0"/>
        <w:adjustRightInd w:val="0"/>
        <w:snapToGrid w:val="0"/>
        <w:spacing w:line="360" w:lineRule="auto"/>
        <w:ind w:firstLine="424" w:firstLineChars="201"/>
        <w:jc w:val="left"/>
        <w:rPr>
          <w:rFonts w:asciiTheme="minorEastAsia" w:hAnsiTheme="minorEastAsia" w:eastAsiaTheme="minorEastAsia"/>
          <w:b/>
          <w:kern w:val="0"/>
          <w:szCs w:val="21"/>
        </w:rPr>
      </w:pPr>
      <w:r>
        <w:rPr>
          <w:rFonts w:hint="eastAsia" w:asciiTheme="minorEastAsia" w:hAnsiTheme="minorEastAsia" w:eastAsiaTheme="minorEastAsia"/>
          <w:b/>
          <w:kern w:val="0"/>
          <w:szCs w:val="21"/>
        </w:rPr>
        <w:t>六、基金份额持有人名册的保管</w:t>
      </w:r>
    </w:p>
    <w:p>
      <w:pPr>
        <w:adjustRightInd w:val="0"/>
        <w:snapToGrid w:val="0"/>
        <w:spacing w:line="360" w:lineRule="auto"/>
        <w:ind w:firstLine="420" w:firstLineChars="200"/>
        <w:rPr>
          <w:rFonts w:hAnsi="宋体"/>
        </w:rPr>
      </w:pPr>
      <w:r>
        <w:rPr>
          <w:rFonts w:hint="eastAsia" w:hAnsi="宋体"/>
        </w:rPr>
        <w:t>基金份额持有人名册至少应包括基金份额持有人的名称和持有的基金份额。基金份额持有人名册由基金登记机构根据基金管理人的指令编制和保管，保管期限自基金账户销户之日起不少于20年。基金管理人和基金托管人均应保管基金份额持有人名册，保存期不少于法律法规规定的最低期限。如不能妥善保管，则按相关法规承担责任。</w:t>
      </w:r>
    </w:p>
    <w:p>
      <w:pPr>
        <w:adjustRightInd w:val="0"/>
        <w:snapToGrid w:val="0"/>
        <w:spacing w:line="360" w:lineRule="auto"/>
        <w:ind w:firstLine="420" w:firstLineChars="200"/>
        <w:rPr>
          <w:rFonts w:hAnsi="宋体"/>
        </w:rPr>
      </w:pPr>
      <w:r>
        <w:rPr>
          <w:rFonts w:hint="eastAsia" w:hAnsi="宋体"/>
        </w:rPr>
        <w:t>在基金托管人要求或编制中期报告和年度报告前，基金管理人应将有关资料送交基金托管人，不得无故拒绝或延误提供，并保证其的真实性、准确性和完整性。基金托管人不得将所保管的基金份额持有人名册用于基金托管业务以外的其他用途，并应遵守保密义务，除非法律、法规、规章另有规定，有权机关另有要求。</w:t>
      </w:r>
    </w:p>
    <w:p>
      <w:pPr>
        <w:adjustRightInd w:val="0"/>
        <w:snapToGrid w:val="0"/>
        <w:spacing w:line="360" w:lineRule="auto"/>
        <w:ind w:firstLine="422" w:firstLineChars="200"/>
        <w:rPr>
          <w:rFonts w:hAnsi="宋体"/>
          <w:b/>
        </w:rPr>
      </w:pPr>
      <w:r>
        <w:rPr>
          <w:rFonts w:hint="eastAsia" w:hAnsi="宋体"/>
          <w:b/>
        </w:rPr>
        <w:t>七、争议解决方式</w:t>
      </w:r>
    </w:p>
    <w:p>
      <w:pPr>
        <w:adjustRightInd w:val="0"/>
        <w:snapToGrid w:val="0"/>
        <w:spacing w:line="360" w:lineRule="auto"/>
        <w:ind w:firstLine="420" w:firstLineChars="200"/>
        <w:rPr>
          <w:rFonts w:hAnsi="宋体"/>
        </w:rPr>
      </w:pPr>
      <w:r>
        <w:rPr>
          <w:rFonts w:hint="eastAsia" w:hAnsi="宋体"/>
        </w:rPr>
        <w:t>因本协议产生或与之相关的争议，双方当事人应通过协商、调解解决，协商、调解不能解决的，可采用以下方式：</w:t>
      </w:r>
    </w:p>
    <w:p>
      <w:pPr>
        <w:adjustRightInd w:val="0"/>
        <w:snapToGrid w:val="0"/>
        <w:spacing w:line="360" w:lineRule="auto"/>
        <w:ind w:firstLine="420" w:firstLineChars="200"/>
        <w:rPr>
          <w:rFonts w:hAnsi="宋体"/>
        </w:rPr>
      </w:pPr>
      <w:r>
        <w:rPr>
          <w:rFonts w:hint="eastAsia" w:hAnsi="宋体"/>
        </w:rPr>
        <w:t>应将争议提交深圳国际仲裁院（深圳仲裁委员会），根据该会当时有效的仲裁规则进行仲裁，仲裁地点在深圳市，仲裁裁决是终局性的并对双方当事人具有约束力。除非仲裁裁决另有规定，胜诉方因仲裁发生的仲裁费、律师费由败诉方承担。在仲裁期间，本托管协议不涉及争议部分的条款仍须履行。</w:t>
      </w:r>
    </w:p>
    <w:p>
      <w:pPr>
        <w:adjustRightInd w:val="0"/>
        <w:snapToGrid w:val="0"/>
        <w:spacing w:line="360" w:lineRule="auto"/>
        <w:ind w:firstLine="420" w:firstLineChars="200"/>
        <w:rPr>
          <w:rFonts w:hAnsi="宋体"/>
        </w:rPr>
      </w:pPr>
      <w:r>
        <w:rPr>
          <w:rFonts w:hint="eastAsia" w:hAnsi="宋体"/>
        </w:rPr>
        <w:t>争议处理期间，双方当事人应恪守基金管理人和基金托管人职责，各自继续忠实、勤勉、尽责地履行《基金合同》和本托管协议规定的义务，维护基金份额持有人的合法权益。</w:t>
      </w:r>
    </w:p>
    <w:p>
      <w:pPr>
        <w:adjustRightInd w:val="0"/>
        <w:snapToGrid w:val="0"/>
        <w:spacing w:line="360" w:lineRule="auto"/>
        <w:ind w:firstLine="420" w:firstLineChars="200"/>
        <w:rPr>
          <w:rFonts w:hAnsi="宋体"/>
        </w:rPr>
      </w:pPr>
      <w:r>
        <w:rPr>
          <w:rFonts w:hint="eastAsia" w:hAnsi="宋体"/>
        </w:rPr>
        <w:t>本协议受中华人民共和国法律法规（为本协议之目的，在此不包括香港、澳门特别行政区及台湾地区法律法规）管辖，并按其解释。</w:t>
      </w:r>
    </w:p>
    <w:p>
      <w:pPr>
        <w:adjustRightInd w:val="0"/>
        <w:snapToGrid w:val="0"/>
        <w:spacing w:line="360" w:lineRule="auto"/>
        <w:ind w:firstLine="422" w:firstLineChars="200"/>
        <w:rPr>
          <w:rFonts w:hAnsi="宋体"/>
          <w:b/>
        </w:rPr>
      </w:pPr>
      <w:r>
        <w:rPr>
          <w:rFonts w:hint="eastAsia" w:hAnsi="宋体"/>
          <w:b/>
        </w:rPr>
        <w:t>八、托管协议的变更、终止与基金财产的清算</w:t>
      </w:r>
    </w:p>
    <w:p>
      <w:pPr>
        <w:adjustRightInd w:val="0"/>
        <w:snapToGrid w:val="0"/>
        <w:spacing w:line="360" w:lineRule="auto"/>
        <w:ind w:firstLine="420" w:firstLineChars="200"/>
        <w:rPr>
          <w:rFonts w:cs="Arial" w:asciiTheme="minorEastAsia" w:hAnsiTheme="minorEastAsia" w:eastAsiaTheme="minorEastAsia"/>
          <w:kern w:val="0"/>
          <w:szCs w:val="21"/>
        </w:rPr>
      </w:pPr>
      <w:bookmarkStart w:id="173" w:name="_Toc510842757"/>
      <w:r>
        <w:rPr>
          <w:rFonts w:hint="eastAsia" w:cs="Arial" w:asciiTheme="minorEastAsia" w:hAnsiTheme="minorEastAsia" w:eastAsiaTheme="minorEastAsia"/>
          <w:kern w:val="0"/>
          <w:szCs w:val="21"/>
        </w:rPr>
        <w:t>（一）托管协议的变更程序</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本协议双方当事人经协商一致并履行适当程序后，可以对协议进行修改。修改后的新协议，其内容不得与《基金合同》的规定有任何冲突。</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（二）基金托管协议终止出现的情形</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1、《基金合同》终止；</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2、基金托管人解散、依法被撤销、破产或由其他基金托管人接管基金资产；</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3、基金管理人解散、依法被撤销、破产或由其他基金管理人接管基金管理权；</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4、发生法律法规规定或《基金合同》约定的终止事项。</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（三）基金财产的清算</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1、基金财产清算小组：自出现《基金合同》终止事由之日起30个工作日内成立基金财产清算小组，基金管理人组织基金财产清算小组并在中国证监会的监督下进行基金清算。</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2、在基金财产清算小组接管基金财产之前，基金管理人和基金托管人应按照《基金合同》和托管协议的规定继续履行保护基金财产安全的职责。</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4、基金财产清算小组职责：基金财产清算小组负责基金财产的保管、清理、估价、变现和分配。基金财产清算小组可以依法进行必要的民事活动。</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5、在基金财产清算过程中，基金管理人和基金托管人应各自履行职责，继续忠实、勤勉、尽责地履行基金合同和托管协议规定的义务，维护基金份额持有人的合法权益。</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6、基金财产清算程序：</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（1）《基金合同》终止情形出现时，由基金财产清算小组统一接管基金财产；</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（2）对基金财产和债权债务进行清理和确认；</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（3）对基金财产进行估值和变现；</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（4）制作清算报告；</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（5）聘请会计师事务所对清算报告进行外部审计，聘请律师事务所对清算报告出具法律意见书；</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（6）将清算报告报中国证监会备案并公告；</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（7）对基金剩余财产进行分配。</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7、基金财产清算的期限为6个月，但因本基金所持证券的流动性受到限制而不能及时变现的，清算期限可相应顺延。</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8、清算费用</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清算费用是指基金财产清算小组在进行基金清算过程中发生的所有合理费用，清算费用由基金财产清算小组优先从基金剩余财产中支付。</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9、基金财产清算剩余资产的分配：</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依据基金财产清算的分配方案，将基金财产清算后的全部剩余资产扣除基金财产清算费用、交纳所欠税款并清偿基金债务后，按基金份额持有人持有的各类基金份额比例进行分配。</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10、基金财产按下列顺序清偿：</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（1）支付清算费用；</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（2）交纳所欠税款；</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（3）清偿基金债务；</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（4）按基金份额持有人持有的基金份额比例进行分配。</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基金财产未按前款（1）－（3）项规定清偿前，不得分配给基金份额持有人。</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11、基金财产清算的公告</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12、基金财产清算账册及文件的保存</w:t>
      </w:r>
    </w:p>
    <w:p>
      <w:pPr>
        <w:adjustRightInd w:val="0"/>
        <w:snapToGrid w:val="0"/>
        <w:spacing w:line="360" w:lineRule="auto"/>
        <w:ind w:firstLine="420" w:firstLineChars="200"/>
        <w:rPr>
          <w:rFonts w:cs="Arial" w:asciiTheme="minorEastAsia" w:hAnsiTheme="minorEastAsia" w:eastAsiaTheme="minorEastAsia"/>
          <w:kern w:val="0"/>
          <w:szCs w:val="21"/>
        </w:rPr>
      </w:pPr>
      <w:r>
        <w:rPr>
          <w:rFonts w:hint="eastAsia" w:cs="Arial" w:asciiTheme="minorEastAsia" w:hAnsiTheme="minorEastAsia" w:eastAsiaTheme="minorEastAsia"/>
          <w:kern w:val="0"/>
          <w:szCs w:val="21"/>
        </w:rPr>
        <w:t>基金财产清算账册及有关文件由基金托管人保存不少于法律法规规定的最低期限。</w:t>
      </w:r>
    </w:p>
    <w:bookmarkEnd w:id="173"/>
    <w:p>
      <w:pPr>
        <w:autoSpaceDE w:val="0"/>
        <w:autoSpaceDN w:val="0"/>
        <w:adjustRightInd w:val="0"/>
        <w:snapToGrid w:val="0"/>
        <w:spacing w:line="360" w:lineRule="auto"/>
        <w:ind w:firstLine="422" w:firstLineChars="201"/>
        <w:jc w:val="left"/>
        <w:rPr>
          <w:rFonts w:ascii="宋体" w:hAnsi="宋体"/>
          <w:bCs/>
          <w:szCs w:val="21"/>
        </w:rPr>
        <w:sectPr>
          <w:footerReference r:id="rId30" w:type="first"/>
          <w:pgSz w:w="11906" w:h="16838"/>
          <w:pgMar w:top="1440" w:right="1800" w:bottom="1440" w:left="1800" w:header="851" w:footer="992" w:gutter="0"/>
          <w:pgNumType w:start="1"/>
          <w:cols w:space="425" w:num="1"/>
          <w:titlePg/>
          <w:docGrid w:type="lines" w:linePitch="312" w:charSpace="0"/>
        </w:sectPr>
      </w:pPr>
    </w:p>
    <w:p>
      <w:pPr>
        <w:pStyle w:val="4"/>
        <w:numPr>
          <w:ilvl w:val="0"/>
          <w:numId w:val="25"/>
        </w:numPr>
        <w:snapToGrid w:val="0"/>
        <w:spacing w:before="0" w:after="0" w:line="360" w:lineRule="auto"/>
        <w:jc w:val="center"/>
        <w:rPr>
          <w:rFonts w:asciiTheme="minorEastAsia" w:hAnsiTheme="minorEastAsia" w:eastAsiaTheme="minorEastAsia"/>
        </w:rPr>
      </w:pPr>
      <w:bookmarkStart w:id="174" w:name="_Toc369510028"/>
      <w:bookmarkStart w:id="175" w:name="_Toc375295993"/>
      <w:bookmarkStart w:id="176" w:name="_Toc327902642"/>
      <w:bookmarkStart w:id="177" w:name="_Toc336606247"/>
      <w:bookmarkStart w:id="178" w:name="_Toc411872042"/>
      <w:bookmarkStart w:id="179" w:name="_Toc92740304"/>
      <w:bookmarkStart w:id="180" w:name="_Toc335899853"/>
      <w:bookmarkStart w:id="181" w:name="_Toc332013130"/>
      <w:r>
        <w:rPr>
          <w:rFonts w:hint="eastAsia" w:asciiTheme="minorEastAsia" w:hAnsiTheme="minorEastAsia" w:eastAsiaTheme="minorEastAsia"/>
        </w:rPr>
        <w:t>基金份额持有人服务</w:t>
      </w:r>
      <w:bookmarkEnd w:id="174"/>
      <w:bookmarkEnd w:id="175"/>
      <w:bookmarkEnd w:id="176"/>
      <w:bookmarkEnd w:id="177"/>
      <w:bookmarkEnd w:id="178"/>
      <w:bookmarkEnd w:id="179"/>
      <w:bookmarkEnd w:id="180"/>
      <w:bookmarkEnd w:id="181"/>
    </w:p>
    <w:p>
      <w:pPr>
        <w:autoSpaceDE w:val="0"/>
        <w:autoSpaceDN w:val="0"/>
        <w:adjustRightInd w:val="0"/>
        <w:snapToGrid w:val="0"/>
        <w:spacing w:line="360" w:lineRule="auto"/>
        <w:ind w:firstLine="420" w:firstLineChars="200"/>
        <w:rPr>
          <w:rFonts w:asciiTheme="minorEastAsia" w:hAnsiTheme="minorEastAsia" w:eastAsiaTheme="minorEastAsia"/>
          <w:spacing w:val="8"/>
          <w:szCs w:val="21"/>
        </w:rPr>
      </w:pPr>
      <w:r>
        <w:rPr>
          <w:rFonts w:hint="eastAsia" w:asciiTheme="minorEastAsia" w:hAnsiTheme="minorEastAsia" w:eastAsiaTheme="minorEastAsia"/>
          <w:szCs w:val="21"/>
        </w:rPr>
        <w:t>对本基金份额持有人的服务主要由基金管理人、基金销售机构提供。</w:t>
      </w:r>
      <w:r>
        <w:rPr>
          <w:rFonts w:asciiTheme="minorEastAsia" w:hAnsiTheme="minorEastAsia" w:eastAsiaTheme="minorEastAsia"/>
          <w:spacing w:val="8"/>
          <w:szCs w:val="21"/>
        </w:rPr>
        <w:t>基金管理人承诺为基金份额持有人提供一系列的服务</w:t>
      </w:r>
      <w:r>
        <w:rPr>
          <w:rFonts w:hint="eastAsia" w:asciiTheme="minorEastAsia" w:hAnsiTheme="minorEastAsia" w:eastAsiaTheme="minorEastAsia"/>
          <w:spacing w:val="8"/>
          <w:szCs w:val="21"/>
        </w:rPr>
        <w:t>，</w:t>
      </w:r>
      <w:r>
        <w:rPr>
          <w:rFonts w:asciiTheme="minorEastAsia" w:hAnsiTheme="minorEastAsia" w:eastAsiaTheme="minorEastAsia"/>
          <w:spacing w:val="8"/>
          <w:szCs w:val="21"/>
        </w:rPr>
        <w:t>根据基金份额持有人的需要和市场的变化，有权增加或变更服务项目</w:t>
      </w:r>
      <w:r>
        <w:rPr>
          <w:rFonts w:hint="eastAsia" w:asciiTheme="minorEastAsia" w:hAnsiTheme="minorEastAsia" w:eastAsiaTheme="minorEastAsia"/>
          <w:spacing w:val="8"/>
          <w:szCs w:val="21"/>
        </w:rPr>
        <w:t>，</w:t>
      </w:r>
      <w:r>
        <w:rPr>
          <w:rFonts w:asciiTheme="minorEastAsia" w:hAnsiTheme="minorEastAsia" w:eastAsiaTheme="minorEastAsia"/>
          <w:spacing w:val="8"/>
          <w:szCs w:val="21"/>
        </w:rPr>
        <w:t>主要服务内容如下：</w:t>
      </w:r>
    </w:p>
    <w:p>
      <w:pPr>
        <w:adjustRightInd w:val="0"/>
        <w:snapToGrid w:val="0"/>
        <w:spacing w:line="360" w:lineRule="auto"/>
        <w:ind w:firstLine="422" w:firstLineChars="200"/>
        <w:rPr>
          <w:rFonts w:cs="Arial" w:asciiTheme="minorEastAsia" w:hAnsiTheme="minorEastAsia" w:eastAsiaTheme="minorEastAsia"/>
          <w:b/>
          <w:bCs/>
          <w:szCs w:val="21"/>
        </w:rPr>
      </w:pPr>
      <w:r>
        <w:rPr>
          <w:rFonts w:cs="Arial" w:asciiTheme="minorEastAsia" w:hAnsiTheme="minorEastAsia" w:eastAsiaTheme="minorEastAsia"/>
          <w:b/>
          <w:bCs/>
          <w:szCs w:val="21"/>
        </w:rPr>
        <w:t>一、持有人交易资料的寄送服务</w:t>
      </w:r>
    </w:p>
    <w:p>
      <w:pPr>
        <w:autoSpaceDE w:val="0"/>
        <w:autoSpaceDN w:val="0"/>
        <w:adjustRightInd w:val="0"/>
        <w:snapToGrid w:val="0"/>
        <w:spacing w:line="360" w:lineRule="auto"/>
        <w:ind w:firstLine="452" w:firstLineChars="200"/>
        <w:rPr>
          <w:rFonts w:asciiTheme="minorEastAsia" w:hAnsiTheme="minorEastAsia" w:eastAsiaTheme="minorEastAsia"/>
        </w:rPr>
      </w:pPr>
      <w:r>
        <w:rPr>
          <w:rFonts w:asciiTheme="minorEastAsia" w:hAnsiTheme="minorEastAsia" w:eastAsiaTheme="minorEastAsia"/>
          <w:spacing w:val="8"/>
          <w:szCs w:val="21"/>
        </w:rPr>
        <w:t>1、</w:t>
      </w:r>
      <w:r>
        <w:rPr>
          <w:rFonts w:hint="eastAsia" w:asciiTheme="minorEastAsia" w:hAnsiTheme="minorEastAsia" w:eastAsiaTheme="minorEastAsia"/>
        </w:rPr>
        <w:t>交易确认单</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基金合同生效后，</w:t>
      </w:r>
      <w:r>
        <w:rPr>
          <w:rFonts w:asciiTheme="minorEastAsia" w:hAnsiTheme="minorEastAsia" w:eastAsiaTheme="minorEastAsia"/>
          <w:spacing w:val="8"/>
          <w:szCs w:val="21"/>
        </w:rPr>
        <w:t>每次交易结束后，投资者可在T+2个工作日后通过销售机构的</w:t>
      </w:r>
      <w:r>
        <w:rPr>
          <w:rFonts w:hint="eastAsia" w:asciiTheme="minorEastAsia" w:hAnsiTheme="minorEastAsia" w:eastAsiaTheme="minorEastAsia"/>
          <w:szCs w:val="21"/>
        </w:rPr>
        <w:t>网点柜台或以销售机构规定的其他方式</w:t>
      </w:r>
      <w:r>
        <w:rPr>
          <w:rFonts w:asciiTheme="minorEastAsia" w:hAnsiTheme="minorEastAsia" w:eastAsiaTheme="minorEastAsia"/>
          <w:spacing w:val="8"/>
          <w:szCs w:val="21"/>
        </w:rPr>
        <w:t>查询和打印交易确认单，或在T+1个工作日后通</w:t>
      </w:r>
      <w:r>
        <w:rPr>
          <w:rFonts w:hint="eastAsia" w:asciiTheme="minorEastAsia" w:hAnsiTheme="minorEastAsia" w:eastAsiaTheme="minorEastAsia"/>
          <w:spacing w:val="8"/>
          <w:szCs w:val="21"/>
        </w:rPr>
        <w:t>过</w:t>
      </w:r>
      <w:r>
        <w:rPr>
          <w:rFonts w:asciiTheme="minorEastAsia" w:hAnsiTheme="minorEastAsia" w:eastAsiaTheme="minorEastAsia"/>
          <w:spacing w:val="8"/>
          <w:szCs w:val="21"/>
        </w:rPr>
        <w:t>博时一线通电话、博时网</w:t>
      </w:r>
      <w:r>
        <w:rPr>
          <w:rFonts w:hint="eastAsia" w:asciiTheme="minorEastAsia" w:hAnsiTheme="minorEastAsia" w:eastAsiaTheme="minorEastAsia"/>
          <w:spacing w:val="8"/>
          <w:szCs w:val="21"/>
        </w:rPr>
        <w:t>站</w:t>
      </w:r>
      <w:r>
        <w:rPr>
          <w:rFonts w:asciiTheme="minorEastAsia" w:hAnsiTheme="minorEastAsia" w:eastAsiaTheme="minorEastAsia"/>
          <w:spacing w:val="8"/>
          <w:szCs w:val="21"/>
        </w:rPr>
        <w:t>查询交易确认情况。基金管理人不向投资者寄送交易确认单。</w:t>
      </w:r>
    </w:p>
    <w:p>
      <w:pPr>
        <w:autoSpaceDE w:val="0"/>
        <w:autoSpaceDN w:val="0"/>
        <w:adjustRightInd w:val="0"/>
        <w:snapToGrid w:val="0"/>
        <w:spacing w:line="360" w:lineRule="auto"/>
        <w:ind w:firstLine="452" w:firstLineChars="200"/>
        <w:rPr>
          <w:rFonts w:asciiTheme="minorEastAsia" w:hAnsiTheme="minorEastAsia" w:eastAsiaTheme="minorEastAsia"/>
        </w:rPr>
      </w:pPr>
      <w:r>
        <w:rPr>
          <w:rFonts w:asciiTheme="minorEastAsia" w:hAnsiTheme="minorEastAsia" w:eastAsiaTheme="minorEastAsia"/>
          <w:spacing w:val="8"/>
          <w:szCs w:val="21"/>
        </w:rPr>
        <w:t>2、</w:t>
      </w:r>
      <w:r>
        <w:rPr>
          <w:rFonts w:asciiTheme="minorEastAsia" w:hAnsiTheme="minorEastAsia" w:eastAsiaTheme="minorEastAsia"/>
        </w:rPr>
        <w:t>电子</w:t>
      </w:r>
      <w:r>
        <w:rPr>
          <w:rFonts w:hint="eastAsia" w:asciiTheme="minorEastAsia" w:hAnsiTheme="minorEastAsia" w:eastAsiaTheme="minorEastAsia"/>
        </w:rPr>
        <w:t>对账单</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每月结束后，基金管理人向所有订阅电子邮件对账单的投资者发送电子邮件对账单。</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投资者可以登录基金管理人网站（http://www.bosera.com）自助订阅；或发送</w:t>
      </w:r>
      <w:r>
        <w:rPr>
          <w:rFonts w:hint="eastAsia" w:asciiTheme="minorEastAsia" w:hAnsiTheme="minorEastAsia" w:eastAsiaTheme="minorEastAsia"/>
          <w:spacing w:val="8"/>
          <w:szCs w:val="21"/>
        </w:rPr>
        <w:t>“</w:t>
      </w:r>
      <w:r>
        <w:rPr>
          <w:rFonts w:asciiTheme="minorEastAsia" w:hAnsiTheme="minorEastAsia" w:eastAsiaTheme="minorEastAsia"/>
          <w:spacing w:val="8"/>
          <w:szCs w:val="21"/>
        </w:rPr>
        <w:t>订阅电子对账单</w:t>
      </w:r>
      <w:r>
        <w:rPr>
          <w:rFonts w:hint="eastAsia" w:asciiTheme="minorEastAsia" w:hAnsiTheme="minorEastAsia" w:eastAsiaTheme="minorEastAsia"/>
          <w:spacing w:val="8"/>
          <w:szCs w:val="21"/>
        </w:rPr>
        <w:t>”</w:t>
      </w:r>
      <w:r>
        <w:rPr>
          <w:rFonts w:asciiTheme="minorEastAsia" w:hAnsiTheme="minorEastAsia" w:eastAsiaTheme="minorEastAsia"/>
          <w:spacing w:val="8"/>
          <w:szCs w:val="21"/>
        </w:rPr>
        <w:t>邮件到客服邮箱</w:t>
      </w:r>
      <w:r>
        <w:fldChar w:fldCharType="begin"/>
      </w:r>
      <w:r>
        <w:instrText xml:space="preserve"> HYPERLINK "mailto:service@bosera.com" </w:instrText>
      </w:r>
      <w:r>
        <w:fldChar w:fldCharType="separate"/>
      </w:r>
      <w:r>
        <w:rPr>
          <w:rFonts w:asciiTheme="minorEastAsia" w:hAnsiTheme="minorEastAsia" w:eastAsiaTheme="minorEastAsia"/>
          <w:spacing w:val="8"/>
          <w:szCs w:val="21"/>
        </w:rPr>
        <w:t>service@bosera</w:t>
      </w:r>
      <w:r>
        <w:rPr>
          <w:rFonts w:hint="eastAsia" w:asciiTheme="minorEastAsia" w:hAnsiTheme="minorEastAsia" w:eastAsiaTheme="minorEastAsia"/>
          <w:spacing w:val="8"/>
          <w:szCs w:val="21"/>
        </w:rPr>
        <w:t>.</w:t>
      </w:r>
      <w:r>
        <w:rPr>
          <w:rFonts w:asciiTheme="minorEastAsia" w:hAnsiTheme="minorEastAsia" w:eastAsiaTheme="minorEastAsia"/>
          <w:spacing w:val="8"/>
          <w:szCs w:val="21"/>
        </w:rPr>
        <w:t>com</w:t>
      </w:r>
      <w:r>
        <w:rPr>
          <w:rFonts w:asciiTheme="minorEastAsia" w:hAnsiTheme="minorEastAsia" w:eastAsiaTheme="minorEastAsia"/>
          <w:spacing w:val="8"/>
          <w:szCs w:val="21"/>
        </w:rPr>
        <w:fldChar w:fldCharType="end"/>
      </w:r>
      <w:r>
        <w:rPr>
          <w:rFonts w:asciiTheme="minorEastAsia" w:hAnsiTheme="minorEastAsia" w:eastAsiaTheme="minorEastAsia"/>
          <w:spacing w:val="8"/>
          <w:szCs w:val="21"/>
        </w:rPr>
        <w:t>；也可直接拨打博时一线通95105568（免长途话费）订阅。</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由于投资者提供的电子邮箱不详、错误、未及时变更或通讯故障、延误等原因有可能造成对账单无法按时或准确送达。因上述原因无法正常收取对账单的投资者，敬请及时通过本</w:t>
      </w:r>
      <w:r>
        <w:rPr>
          <w:rFonts w:asciiTheme="minorEastAsia" w:hAnsiTheme="minorEastAsia" w:eastAsiaTheme="minorEastAsia"/>
          <w:spacing w:val="8"/>
          <w:szCs w:val="21"/>
        </w:rPr>
        <w:t>基金管理人</w:t>
      </w:r>
      <w:r>
        <w:rPr>
          <w:rFonts w:hint="eastAsia" w:asciiTheme="minorEastAsia" w:hAnsiTheme="minorEastAsia" w:eastAsiaTheme="minorEastAsia"/>
          <w:spacing w:val="8"/>
          <w:szCs w:val="21"/>
        </w:rPr>
        <w:t>网站，或拨打</w:t>
      </w:r>
      <w:r>
        <w:rPr>
          <w:rFonts w:asciiTheme="minorEastAsia" w:hAnsiTheme="minorEastAsia" w:eastAsiaTheme="minorEastAsia"/>
          <w:spacing w:val="8"/>
          <w:szCs w:val="21"/>
        </w:rPr>
        <w:t>博时一线通</w:t>
      </w:r>
      <w:r>
        <w:rPr>
          <w:rFonts w:hint="eastAsia" w:asciiTheme="minorEastAsia" w:hAnsiTheme="minorEastAsia" w:eastAsiaTheme="minorEastAsia"/>
          <w:spacing w:val="8"/>
          <w:szCs w:val="21"/>
        </w:rPr>
        <w:t>客服电话查询、核对、变更您的预留联系方式。</w:t>
      </w:r>
    </w:p>
    <w:p>
      <w:pPr>
        <w:adjustRightInd w:val="0"/>
        <w:snapToGrid w:val="0"/>
        <w:spacing w:line="360" w:lineRule="auto"/>
        <w:ind w:firstLine="420" w:firstLineChars="200"/>
        <w:rPr>
          <w:rFonts w:cs="Arial" w:asciiTheme="minorEastAsia" w:hAnsiTheme="minorEastAsia" w:eastAsiaTheme="minorEastAsia"/>
          <w:b/>
          <w:bCs/>
          <w:szCs w:val="21"/>
        </w:rPr>
      </w:pPr>
      <w:r>
        <w:rPr>
          <w:rFonts w:hint="eastAsia" w:cs="Arial" w:asciiTheme="minorEastAsia" w:hAnsiTheme="minorEastAsia" w:eastAsiaTheme="minorEastAsia"/>
        </w:rPr>
        <w:t>二</w:t>
      </w:r>
      <w:r>
        <w:rPr>
          <w:rFonts w:cs="Arial" w:asciiTheme="minorEastAsia" w:hAnsiTheme="minorEastAsia" w:eastAsiaTheme="minorEastAsia"/>
          <w:b/>
          <w:bCs/>
          <w:szCs w:val="21"/>
        </w:rPr>
        <w:t>、网上</w:t>
      </w:r>
      <w:r>
        <w:rPr>
          <w:rFonts w:hint="eastAsia" w:cs="Arial" w:asciiTheme="minorEastAsia" w:hAnsiTheme="minorEastAsia" w:eastAsiaTheme="minorEastAsia"/>
          <w:b/>
          <w:bCs/>
          <w:szCs w:val="21"/>
        </w:rPr>
        <w:t>理财</w:t>
      </w:r>
      <w:r>
        <w:rPr>
          <w:rFonts w:cs="Arial" w:asciiTheme="minorEastAsia" w:hAnsiTheme="minorEastAsia" w:eastAsiaTheme="minorEastAsia"/>
          <w:b/>
          <w:bCs/>
          <w:szCs w:val="21"/>
        </w:rPr>
        <w:t>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通过基金管理人网站，投资者可获得如下服务：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1、</w:t>
      </w:r>
      <w:r>
        <w:rPr>
          <w:rFonts w:hint="eastAsia" w:asciiTheme="minorEastAsia" w:hAnsiTheme="minorEastAsia" w:eastAsiaTheme="minorEastAsia"/>
          <w:spacing w:val="8"/>
          <w:szCs w:val="21"/>
        </w:rPr>
        <w:t>自助开户交易</w:t>
      </w:r>
    </w:p>
    <w:p>
      <w:pPr>
        <w:autoSpaceDE w:val="0"/>
        <w:autoSpaceDN w:val="0"/>
        <w:adjustRightInd w:val="0"/>
        <w:snapToGrid w:val="0"/>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投资者可</w:t>
      </w:r>
      <w:r>
        <w:rPr>
          <w:rFonts w:hint="eastAsia" w:asciiTheme="minorEastAsia" w:hAnsiTheme="minorEastAsia" w:eastAsiaTheme="minorEastAsia"/>
          <w:spacing w:val="8"/>
          <w:szCs w:val="21"/>
        </w:rPr>
        <w:t>登录</w:t>
      </w:r>
      <w:r>
        <w:rPr>
          <w:rFonts w:hint="eastAsia" w:asciiTheme="minorEastAsia" w:hAnsiTheme="minorEastAsia" w:eastAsiaTheme="minorEastAsia"/>
        </w:rPr>
        <w:t>基金管理人网站网上交易系统，</w:t>
      </w:r>
      <w:r>
        <w:rPr>
          <w:rFonts w:hint="eastAsia" w:asciiTheme="minorEastAsia" w:hAnsiTheme="minorEastAsia" w:eastAsiaTheme="minorEastAsia"/>
          <w:spacing w:val="8"/>
          <w:szCs w:val="21"/>
        </w:rPr>
        <w:t>与基金管理人达成电子交易的相关协议，接受基金管理人有关服务条款并办理相关手续后，即可自助开户并进行网上交易，如</w:t>
      </w:r>
      <w:r>
        <w:rPr>
          <w:rFonts w:hint="eastAsia" w:asciiTheme="minorEastAsia" w:hAnsiTheme="minorEastAsia" w:eastAsiaTheme="minorEastAsia"/>
        </w:rPr>
        <w:t>基金认/申购、定投、转换、赎回、赎回转申购及</w:t>
      </w:r>
      <w:r>
        <w:rPr>
          <w:rFonts w:hint="eastAsia" w:asciiTheme="minorEastAsia" w:hAnsiTheme="minorEastAsia" w:eastAsiaTheme="minorEastAsia"/>
          <w:spacing w:val="8"/>
          <w:szCs w:val="21"/>
        </w:rPr>
        <w:t>分红方式变更</w:t>
      </w:r>
      <w:r>
        <w:rPr>
          <w:rFonts w:hint="eastAsia" w:asciiTheme="minorEastAsia" w:hAnsiTheme="minorEastAsia" w:eastAsiaTheme="minorEastAsia"/>
        </w:rPr>
        <w:t>等。</w:t>
      </w:r>
      <w:r>
        <w:rPr>
          <w:rFonts w:hint="eastAsia" w:asciiTheme="minorEastAsia" w:hAnsiTheme="minorEastAsia" w:eastAsiaTheme="minorEastAsia"/>
          <w:spacing w:val="8"/>
          <w:szCs w:val="21"/>
        </w:rPr>
        <w:t>具体业务办理情况及业务规则请登录基金管理人网站查询。</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2</w:t>
      </w:r>
      <w:r>
        <w:rPr>
          <w:rFonts w:asciiTheme="minorEastAsia" w:hAnsiTheme="minorEastAsia" w:eastAsiaTheme="minorEastAsia"/>
          <w:spacing w:val="8"/>
          <w:szCs w:val="21"/>
        </w:rPr>
        <w:t>、</w:t>
      </w:r>
      <w:r>
        <w:rPr>
          <w:rFonts w:hint="eastAsia" w:asciiTheme="minorEastAsia" w:hAnsiTheme="minorEastAsia" w:eastAsiaTheme="minorEastAsia"/>
          <w:spacing w:val="8"/>
          <w:szCs w:val="21"/>
        </w:rPr>
        <w:t>查询服务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投资者可以通过</w:t>
      </w:r>
      <w:r>
        <w:rPr>
          <w:rFonts w:asciiTheme="minorEastAsia" w:hAnsiTheme="minorEastAsia" w:eastAsiaTheme="minorEastAsia"/>
          <w:spacing w:val="8"/>
          <w:szCs w:val="21"/>
        </w:rPr>
        <w:t>基金管理人</w:t>
      </w:r>
      <w:r>
        <w:rPr>
          <w:rFonts w:hint="eastAsia" w:asciiTheme="minorEastAsia" w:hAnsiTheme="minorEastAsia" w:eastAsiaTheme="minorEastAsia"/>
          <w:spacing w:val="8"/>
          <w:szCs w:val="21"/>
        </w:rPr>
        <w:t>网站查询所持有基金的基金份额、交易记录等信息，同时可以修改基金账户信息等基本资料。</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3</w:t>
      </w:r>
      <w:r>
        <w:rPr>
          <w:rFonts w:asciiTheme="minorEastAsia" w:hAnsiTheme="minorEastAsia" w:eastAsiaTheme="minorEastAsia"/>
          <w:spacing w:val="8"/>
          <w:szCs w:val="21"/>
        </w:rPr>
        <w:t>、</w:t>
      </w:r>
      <w:r>
        <w:rPr>
          <w:rFonts w:hint="eastAsia" w:asciiTheme="minorEastAsia" w:hAnsiTheme="minorEastAsia" w:eastAsiaTheme="minorEastAsia"/>
          <w:spacing w:val="8"/>
          <w:szCs w:val="21"/>
        </w:rPr>
        <w:t>信息资讯服务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投资者可</w:t>
      </w:r>
      <w:r>
        <w:rPr>
          <w:rFonts w:hint="eastAsia" w:asciiTheme="minorEastAsia" w:hAnsiTheme="minorEastAsia" w:eastAsiaTheme="minorEastAsia"/>
          <w:spacing w:val="8"/>
          <w:szCs w:val="21"/>
        </w:rPr>
        <w:t>以利用</w:t>
      </w:r>
      <w:r>
        <w:rPr>
          <w:rFonts w:asciiTheme="minorEastAsia" w:hAnsiTheme="minorEastAsia" w:eastAsiaTheme="minorEastAsia"/>
          <w:spacing w:val="8"/>
          <w:szCs w:val="21"/>
        </w:rPr>
        <w:t>基金管理人网站获取基金和基金管理人各类信息，包括基金法律文件、基金管理人最新动态、热点问题等。</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4</w:t>
      </w:r>
      <w:r>
        <w:rPr>
          <w:rFonts w:asciiTheme="minorEastAsia" w:hAnsiTheme="minorEastAsia" w:eastAsiaTheme="minorEastAsia"/>
          <w:spacing w:val="8"/>
          <w:szCs w:val="21"/>
        </w:rPr>
        <w:t>、</w:t>
      </w:r>
      <w:r>
        <w:rPr>
          <w:rFonts w:hint="eastAsia" w:asciiTheme="minorEastAsia" w:hAnsiTheme="minorEastAsia" w:eastAsiaTheme="minorEastAsia"/>
          <w:spacing w:val="8"/>
          <w:szCs w:val="21"/>
        </w:rPr>
        <w:t>在线客服</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投资者</w:t>
      </w:r>
      <w:r>
        <w:rPr>
          <w:rFonts w:hint="eastAsia" w:asciiTheme="minorEastAsia" w:hAnsiTheme="minorEastAsia" w:eastAsiaTheme="minorEastAsia"/>
          <w:spacing w:val="8"/>
          <w:szCs w:val="21"/>
        </w:rPr>
        <w:t>可以通过</w:t>
      </w:r>
      <w:r>
        <w:rPr>
          <w:rFonts w:asciiTheme="minorEastAsia" w:hAnsiTheme="minorEastAsia" w:eastAsiaTheme="minorEastAsia"/>
          <w:spacing w:val="8"/>
          <w:szCs w:val="21"/>
        </w:rPr>
        <w:t>基金管理人</w:t>
      </w:r>
      <w:r>
        <w:rPr>
          <w:rFonts w:hint="eastAsia" w:asciiTheme="minorEastAsia" w:hAnsiTheme="minorEastAsia" w:eastAsiaTheme="minorEastAsia"/>
          <w:spacing w:val="8"/>
          <w:szCs w:val="21"/>
        </w:rPr>
        <w:t>网站首页</w:t>
      </w:r>
      <w:r>
        <w:rPr>
          <w:rFonts w:asciiTheme="minorEastAsia" w:hAnsiTheme="minorEastAsia" w:eastAsiaTheme="minorEastAsia"/>
          <w:spacing w:val="8"/>
          <w:szCs w:val="21"/>
        </w:rPr>
        <w:t>“</w:t>
      </w:r>
      <w:r>
        <w:rPr>
          <w:rFonts w:hint="eastAsia" w:asciiTheme="minorEastAsia" w:hAnsiTheme="minorEastAsia" w:eastAsiaTheme="minorEastAsia"/>
          <w:spacing w:val="8"/>
          <w:szCs w:val="21"/>
        </w:rPr>
        <w:t>在线客服</w:t>
      </w:r>
      <w:r>
        <w:rPr>
          <w:rFonts w:asciiTheme="minorEastAsia" w:hAnsiTheme="minorEastAsia" w:eastAsiaTheme="minorEastAsia"/>
          <w:spacing w:val="8"/>
          <w:szCs w:val="21"/>
        </w:rPr>
        <w:t>”</w:t>
      </w:r>
      <w:r>
        <w:rPr>
          <w:rFonts w:hint="eastAsia" w:asciiTheme="minorEastAsia" w:hAnsiTheme="minorEastAsia" w:eastAsiaTheme="minorEastAsia"/>
          <w:spacing w:val="8"/>
          <w:szCs w:val="21"/>
        </w:rPr>
        <w:t>功能进行在线咨询。也可以</w:t>
      </w:r>
      <w:r>
        <w:rPr>
          <w:rFonts w:asciiTheme="minorEastAsia" w:hAnsiTheme="minorEastAsia" w:eastAsiaTheme="minorEastAsia"/>
          <w:spacing w:val="8"/>
          <w:szCs w:val="21"/>
        </w:rPr>
        <w:t>在</w:t>
      </w:r>
      <w:r>
        <w:rPr>
          <w:rFonts w:hint="eastAsia" w:asciiTheme="minorEastAsia" w:hAnsiTheme="minorEastAsia" w:eastAsiaTheme="minorEastAsia"/>
          <w:spacing w:val="8"/>
          <w:szCs w:val="21"/>
        </w:rPr>
        <w:t>“</w:t>
      </w:r>
      <w:r>
        <w:rPr>
          <w:rFonts w:asciiTheme="minorEastAsia" w:hAnsiTheme="minorEastAsia" w:eastAsiaTheme="minorEastAsia"/>
          <w:spacing w:val="8"/>
          <w:szCs w:val="21"/>
        </w:rPr>
        <w:t>您问我答</w:t>
      </w:r>
      <w:r>
        <w:rPr>
          <w:rFonts w:hint="eastAsia" w:asciiTheme="minorEastAsia" w:hAnsiTheme="minorEastAsia" w:eastAsiaTheme="minorEastAsia"/>
          <w:spacing w:val="8"/>
          <w:szCs w:val="21"/>
        </w:rPr>
        <w:t>”</w:t>
      </w:r>
      <w:r>
        <w:rPr>
          <w:rFonts w:asciiTheme="minorEastAsia" w:hAnsiTheme="minorEastAsia" w:eastAsiaTheme="minorEastAsia"/>
          <w:spacing w:val="8"/>
          <w:szCs w:val="21"/>
        </w:rPr>
        <w:t>栏目中，直接提出有关本基金的问题和建议</w:t>
      </w:r>
      <w:r>
        <w:rPr>
          <w:rFonts w:hint="eastAsia" w:asciiTheme="minorEastAsia" w:hAnsiTheme="minorEastAsia" w:eastAsiaTheme="minorEastAsia"/>
          <w:spacing w:val="8"/>
          <w:szCs w:val="21"/>
        </w:rPr>
        <w:t>。</w:t>
      </w:r>
    </w:p>
    <w:p>
      <w:pPr>
        <w:adjustRightInd w:val="0"/>
        <w:snapToGrid w:val="0"/>
        <w:spacing w:line="360" w:lineRule="auto"/>
        <w:ind w:firstLine="422" w:firstLineChars="200"/>
        <w:rPr>
          <w:rFonts w:cs="Arial" w:asciiTheme="minorEastAsia" w:hAnsiTheme="minorEastAsia" w:eastAsiaTheme="minorEastAsia"/>
          <w:b/>
          <w:bCs/>
          <w:szCs w:val="21"/>
        </w:rPr>
      </w:pPr>
      <w:r>
        <w:rPr>
          <w:rFonts w:hint="eastAsia" w:cs="Arial" w:asciiTheme="minorEastAsia" w:hAnsiTheme="minorEastAsia" w:eastAsiaTheme="minorEastAsia"/>
          <w:b/>
          <w:bCs/>
          <w:szCs w:val="21"/>
        </w:rPr>
        <w:t>三</w:t>
      </w:r>
      <w:r>
        <w:rPr>
          <w:rFonts w:cs="Arial" w:asciiTheme="minorEastAsia" w:hAnsiTheme="minorEastAsia" w:eastAsiaTheme="minorEastAsia"/>
          <w:b/>
          <w:bCs/>
          <w:szCs w:val="21"/>
        </w:rPr>
        <w:t>、</w:t>
      </w:r>
      <w:r>
        <w:rPr>
          <w:rFonts w:hint="eastAsia" w:cs="Arial" w:asciiTheme="minorEastAsia" w:hAnsiTheme="minorEastAsia" w:eastAsiaTheme="minorEastAsia"/>
          <w:b/>
          <w:bCs/>
          <w:szCs w:val="21"/>
        </w:rPr>
        <w:t>短信</w:t>
      </w:r>
      <w:r>
        <w:rPr>
          <w:rFonts w:cs="Arial" w:asciiTheme="minorEastAsia" w:hAnsiTheme="minorEastAsia" w:eastAsiaTheme="minorEastAsia"/>
          <w:b/>
          <w:bCs/>
          <w:szCs w:val="21"/>
        </w:rPr>
        <w:t>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基金管理人向订制短信服务的基金份额持有人提供相应短信服务。</w:t>
      </w:r>
    </w:p>
    <w:p>
      <w:pPr>
        <w:adjustRightInd w:val="0"/>
        <w:snapToGrid w:val="0"/>
        <w:spacing w:line="360" w:lineRule="auto"/>
        <w:ind w:firstLine="422" w:firstLineChars="200"/>
        <w:rPr>
          <w:rFonts w:cs="Arial" w:asciiTheme="minorEastAsia" w:hAnsiTheme="minorEastAsia" w:eastAsiaTheme="minorEastAsia"/>
          <w:b/>
          <w:bCs/>
          <w:szCs w:val="21"/>
        </w:rPr>
      </w:pPr>
      <w:r>
        <w:rPr>
          <w:rFonts w:hint="eastAsia" w:cs="Arial" w:asciiTheme="minorEastAsia" w:hAnsiTheme="minorEastAsia" w:eastAsiaTheme="minorEastAsia"/>
          <w:b/>
          <w:bCs/>
          <w:szCs w:val="21"/>
        </w:rPr>
        <w:t>四</w:t>
      </w:r>
      <w:r>
        <w:rPr>
          <w:rFonts w:cs="Arial" w:asciiTheme="minorEastAsia" w:hAnsiTheme="minorEastAsia" w:eastAsiaTheme="minorEastAsia"/>
          <w:b/>
          <w:bCs/>
          <w:szCs w:val="21"/>
        </w:rPr>
        <w:t>、</w:t>
      </w:r>
      <w:r>
        <w:rPr>
          <w:rFonts w:hint="eastAsia" w:cs="Arial" w:asciiTheme="minorEastAsia" w:hAnsiTheme="minorEastAsia" w:eastAsiaTheme="minorEastAsia"/>
          <w:b/>
          <w:bCs/>
          <w:szCs w:val="21"/>
        </w:rPr>
        <w:t>电子邮件</w:t>
      </w:r>
      <w:r>
        <w:rPr>
          <w:rFonts w:cs="Arial" w:asciiTheme="minorEastAsia" w:hAnsiTheme="minorEastAsia" w:eastAsiaTheme="minorEastAsia"/>
          <w:b/>
          <w:bCs/>
          <w:szCs w:val="21"/>
        </w:rPr>
        <w:t>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基金管理人为投资者提供电子邮件方式的业务咨询、投诉受理、</w:t>
      </w:r>
      <w:r>
        <w:rPr>
          <w:rFonts w:asciiTheme="minorEastAsia" w:hAnsiTheme="minorEastAsia" w:eastAsiaTheme="minorEastAsia"/>
          <w:spacing w:val="8"/>
          <w:szCs w:val="21"/>
        </w:rPr>
        <w:t>基金份额净值</w:t>
      </w:r>
      <w:r>
        <w:rPr>
          <w:rFonts w:hint="eastAsia" w:asciiTheme="minorEastAsia" w:hAnsiTheme="minorEastAsia" w:eastAsiaTheme="minorEastAsia"/>
          <w:spacing w:val="8"/>
          <w:szCs w:val="21"/>
        </w:rPr>
        <w:t>等服务。</w:t>
      </w:r>
    </w:p>
    <w:p>
      <w:pPr>
        <w:adjustRightInd w:val="0"/>
        <w:snapToGrid w:val="0"/>
        <w:spacing w:line="360" w:lineRule="auto"/>
        <w:ind w:firstLine="422" w:firstLineChars="200"/>
        <w:rPr>
          <w:rFonts w:cs="Arial" w:asciiTheme="minorEastAsia" w:hAnsiTheme="minorEastAsia" w:eastAsiaTheme="minorEastAsia"/>
          <w:b/>
          <w:bCs/>
          <w:szCs w:val="21"/>
        </w:rPr>
      </w:pPr>
      <w:r>
        <w:rPr>
          <w:rFonts w:hint="eastAsia" w:cs="Arial" w:asciiTheme="minorEastAsia" w:hAnsiTheme="minorEastAsia" w:eastAsiaTheme="minorEastAsia"/>
          <w:b/>
          <w:bCs/>
          <w:szCs w:val="21"/>
        </w:rPr>
        <w:t>五</w:t>
      </w:r>
      <w:r>
        <w:rPr>
          <w:rFonts w:cs="Arial" w:asciiTheme="minorEastAsia" w:hAnsiTheme="minorEastAsia" w:eastAsiaTheme="minorEastAsia"/>
          <w:b/>
          <w:bCs/>
          <w:szCs w:val="21"/>
        </w:rPr>
        <w:t>、</w:t>
      </w:r>
      <w:r>
        <w:rPr>
          <w:rFonts w:hint="eastAsia" w:cs="Arial" w:asciiTheme="minorEastAsia" w:hAnsiTheme="minorEastAsia" w:eastAsiaTheme="minorEastAsia"/>
          <w:b/>
          <w:bCs/>
          <w:szCs w:val="21"/>
        </w:rPr>
        <w:t>手机理财</w:t>
      </w:r>
      <w:r>
        <w:rPr>
          <w:rFonts w:cs="Arial" w:asciiTheme="minorEastAsia" w:hAnsiTheme="minorEastAsia" w:eastAsiaTheme="minorEastAsia"/>
          <w:b/>
          <w:bCs/>
          <w:szCs w:val="21"/>
        </w:rPr>
        <w:t>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投资者通过手机博时移动版直销网上交易系统（</w:t>
      </w:r>
      <w:r>
        <w:rPr>
          <w:rFonts w:asciiTheme="minorEastAsia" w:hAnsiTheme="minorEastAsia" w:eastAsiaTheme="minorEastAsia"/>
          <w:spacing w:val="8"/>
          <w:szCs w:val="21"/>
        </w:rPr>
        <w:t>http://</w:t>
      </w:r>
      <w:r>
        <w:rPr>
          <w:rFonts w:hint="eastAsia" w:asciiTheme="minorEastAsia" w:hAnsiTheme="minorEastAsia" w:eastAsiaTheme="minorEastAsia"/>
          <w:spacing w:val="8"/>
          <w:szCs w:val="21"/>
        </w:rPr>
        <w:t>m</w:t>
      </w:r>
      <w:r>
        <w:rPr>
          <w:rFonts w:asciiTheme="minorEastAsia" w:hAnsiTheme="minorEastAsia" w:eastAsiaTheme="minorEastAsia"/>
          <w:spacing w:val="8"/>
          <w:szCs w:val="21"/>
        </w:rPr>
        <w:t>.bosera.com</w:t>
      </w:r>
      <w:r>
        <w:rPr>
          <w:rFonts w:hint="eastAsia" w:asciiTheme="minorEastAsia" w:hAnsiTheme="minorEastAsia" w:eastAsiaTheme="minorEastAsia"/>
          <w:spacing w:val="8"/>
          <w:szCs w:val="21"/>
        </w:rPr>
        <w:t>）和博时App版直销网上交易系统，可以使用基金理财所需的基金交易、理财查询、账户管理、信息资讯等功能和服务。</w:t>
      </w:r>
    </w:p>
    <w:p>
      <w:pPr>
        <w:adjustRightInd w:val="0"/>
        <w:snapToGrid w:val="0"/>
        <w:spacing w:line="360" w:lineRule="auto"/>
        <w:ind w:firstLine="422" w:firstLineChars="200"/>
        <w:rPr>
          <w:rFonts w:cs="Arial" w:asciiTheme="minorEastAsia" w:hAnsiTheme="minorEastAsia" w:eastAsiaTheme="minorEastAsia"/>
          <w:b/>
          <w:bCs/>
          <w:szCs w:val="21"/>
        </w:rPr>
      </w:pPr>
      <w:r>
        <w:rPr>
          <w:rFonts w:hint="eastAsia" w:cs="Arial" w:asciiTheme="minorEastAsia" w:hAnsiTheme="minorEastAsia" w:eastAsiaTheme="minorEastAsia"/>
          <w:b/>
          <w:bCs/>
          <w:szCs w:val="21"/>
        </w:rPr>
        <w:t>六</w:t>
      </w:r>
      <w:r>
        <w:rPr>
          <w:rFonts w:cs="Arial" w:asciiTheme="minorEastAsia" w:hAnsiTheme="minorEastAsia" w:eastAsiaTheme="minorEastAsia"/>
          <w:b/>
          <w:bCs/>
          <w:szCs w:val="21"/>
        </w:rPr>
        <w:t>、</w:t>
      </w:r>
      <w:r>
        <w:rPr>
          <w:rFonts w:hint="eastAsia" w:cs="Arial" w:asciiTheme="minorEastAsia" w:hAnsiTheme="minorEastAsia" w:eastAsiaTheme="minorEastAsia"/>
          <w:b/>
          <w:bCs/>
          <w:szCs w:val="21"/>
        </w:rPr>
        <w:t>信息订阅</w:t>
      </w:r>
      <w:r>
        <w:rPr>
          <w:rFonts w:cs="Arial" w:asciiTheme="minorEastAsia" w:hAnsiTheme="minorEastAsia" w:eastAsiaTheme="minorEastAsia"/>
          <w:b/>
          <w:bCs/>
          <w:szCs w:val="21"/>
        </w:rPr>
        <w:t>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投资者可以通过</w:t>
      </w:r>
      <w:r>
        <w:rPr>
          <w:rFonts w:asciiTheme="minorEastAsia" w:hAnsiTheme="minorEastAsia" w:eastAsiaTheme="minorEastAsia"/>
          <w:spacing w:val="8"/>
          <w:szCs w:val="21"/>
        </w:rPr>
        <w:t>基金管理人</w:t>
      </w:r>
      <w:r>
        <w:rPr>
          <w:rFonts w:hint="eastAsia" w:asciiTheme="minorEastAsia" w:hAnsiTheme="minorEastAsia" w:eastAsiaTheme="minorEastAsia"/>
          <w:spacing w:val="8"/>
          <w:szCs w:val="21"/>
        </w:rPr>
        <w:t>网站、客服中心提交信息订制的申请，</w:t>
      </w:r>
      <w:r>
        <w:rPr>
          <w:rFonts w:asciiTheme="minorEastAsia" w:hAnsiTheme="minorEastAsia" w:eastAsiaTheme="minorEastAsia"/>
          <w:spacing w:val="8"/>
          <w:szCs w:val="21"/>
        </w:rPr>
        <w:t>基金管理人</w:t>
      </w:r>
      <w:r>
        <w:rPr>
          <w:rFonts w:hint="eastAsia" w:asciiTheme="minorEastAsia" w:hAnsiTheme="minorEastAsia" w:eastAsiaTheme="minorEastAsia"/>
          <w:spacing w:val="8"/>
          <w:szCs w:val="21"/>
        </w:rPr>
        <w:t>将以电子邮件、手机短信的形式定期为投资者发送所订制的信息。</w:t>
      </w:r>
    </w:p>
    <w:p>
      <w:pPr>
        <w:adjustRightInd w:val="0"/>
        <w:snapToGrid w:val="0"/>
        <w:spacing w:line="360" w:lineRule="auto"/>
        <w:ind w:firstLine="422" w:firstLineChars="200"/>
        <w:rPr>
          <w:rFonts w:cs="Arial" w:asciiTheme="minorEastAsia" w:hAnsiTheme="minorEastAsia" w:eastAsiaTheme="minorEastAsia"/>
          <w:b/>
          <w:bCs/>
          <w:szCs w:val="21"/>
        </w:rPr>
      </w:pPr>
      <w:r>
        <w:rPr>
          <w:rFonts w:hint="eastAsia" w:cs="Arial" w:asciiTheme="minorEastAsia" w:hAnsiTheme="minorEastAsia" w:eastAsiaTheme="minorEastAsia"/>
          <w:b/>
          <w:bCs/>
          <w:szCs w:val="21"/>
        </w:rPr>
        <w:t>七</w:t>
      </w:r>
      <w:r>
        <w:rPr>
          <w:rFonts w:cs="Arial" w:asciiTheme="minorEastAsia" w:hAnsiTheme="minorEastAsia" w:eastAsiaTheme="minorEastAsia"/>
          <w:b/>
          <w:bCs/>
          <w:szCs w:val="21"/>
        </w:rPr>
        <w:t>、</w:t>
      </w:r>
      <w:r>
        <w:rPr>
          <w:rFonts w:hint="eastAsia" w:cs="Arial" w:asciiTheme="minorEastAsia" w:hAnsiTheme="minorEastAsia" w:eastAsiaTheme="minorEastAsia"/>
          <w:b/>
          <w:bCs/>
          <w:szCs w:val="21"/>
        </w:rPr>
        <w:t>电话理财</w:t>
      </w:r>
      <w:r>
        <w:rPr>
          <w:rFonts w:cs="Arial" w:asciiTheme="minorEastAsia" w:hAnsiTheme="minorEastAsia" w:eastAsiaTheme="minorEastAsia"/>
          <w:b/>
          <w:bCs/>
          <w:szCs w:val="21"/>
        </w:rPr>
        <w:t>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投资者拨打</w:t>
      </w:r>
      <w:r>
        <w:rPr>
          <w:rFonts w:asciiTheme="minorEastAsia" w:hAnsiTheme="minorEastAsia" w:eastAsiaTheme="minorEastAsia"/>
          <w:spacing w:val="8"/>
          <w:szCs w:val="21"/>
        </w:rPr>
        <w:t>博时一线通：95105568（免长途</w:t>
      </w:r>
      <w:r>
        <w:rPr>
          <w:rFonts w:hint="eastAsia" w:asciiTheme="minorEastAsia" w:hAnsiTheme="minorEastAsia" w:eastAsiaTheme="minorEastAsia"/>
          <w:spacing w:val="8"/>
          <w:szCs w:val="21"/>
        </w:rPr>
        <w:t>话</w:t>
      </w:r>
      <w:r>
        <w:rPr>
          <w:rFonts w:asciiTheme="minorEastAsia" w:hAnsiTheme="minorEastAsia" w:eastAsiaTheme="minorEastAsia"/>
          <w:spacing w:val="8"/>
          <w:szCs w:val="21"/>
        </w:rPr>
        <w:t>费）</w:t>
      </w:r>
      <w:r>
        <w:rPr>
          <w:rFonts w:hint="eastAsia" w:asciiTheme="minorEastAsia" w:hAnsiTheme="minorEastAsia" w:eastAsiaTheme="minorEastAsia"/>
          <w:spacing w:val="8"/>
          <w:szCs w:val="21"/>
        </w:rPr>
        <w:t>可享有</w:t>
      </w:r>
      <w:r>
        <w:rPr>
          <w:rFonts w:asciiTheme="minorEastAsia" w:hAnsiTheme="minorEastAsia" w:eastAsiaTheme="minorEastAsia"/>
          <w:spacing w:val="8"/>
          <w:szCs w:val="21"/>
        </w:rPr>
        <w:t>投资理财交易的一站式</w:t>
      </w:r>
      <w:r>
        <w:rPr>
          <w:rFonts w:hint="eastAsia" w:asciiTheme="minorEastAsia" w:hAnsiTheme="minorEastAsia" w:eastAsiaTheme="minorEastAsia"/>
          <w:spacing w:val="8"/>
          <w:szCs w:val="21"/>
        </w:rPr>
        <w:t>综合服务：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1、自助</w:t>
      </w:r>
      <w:r>
        <w:rPr>
          <w:rFonts w:hint="eastAsia" w:asciiTheme="minorEastAsia" w:hAnsiTheme="minorEastAsia" w:eastAsiaTheme="minorEastAsia"/>
          <w:spacing w:val="8"/>
          <w:szCs w:val="21"/>
        </w:rPr>
        <w:t>语音服务：</w:t>
      </w:r>
      <w:r>
        <w:rPr>
          <w:rFonts w:asciiTheme="minorEastAsia" w:hAnsiTheme="minorEastAsia" w:eastAsiaTheme="minorEastAsia"/>
          <w:spacing w:val="8"/>
          <w:szCs w:val="21"/>
        </w:rPr>
        <w:t>基金管理人自助语音</w:t>
      </w:r>
      <w:r>
        <w:rPr>
          <w:rFonts w:hint="eastAsia" w:asciiTheme="minorEastAsia" w:hAnsiTheme="minorEastAsia" w:eastAsiaTheme="minorEastAsia"/>
          <w:spacing w:val="8"/>
          <w:szCs w:val="21"/>
        </w:rPr>
        <w:t>系统提供</w:t>
      </w:r>
      <w:r>
        <w:rPr>
          <w:rFonts w:asciiTheme="minorEastAsia" w:hAnsiTheme="minorEastAsia" w:eastAsiaTheme="minorEastAsia"/>
          <w:spacing w:val="8"/>
          <w:szCs w:val="21"/>
        </w:rPr>
        <w:t>7</w:t>
      </w:r>
      <w:r>
        <w:rPr>
          <w:rFonts w:hint="eastAsia" w:asciiTheme="minorEastAsia" w:hAnsiTheme="minorEastAsia" w:eastAsiaTheme="minorEastAsia"/>
          <w:spacing w:val="8"/>
          <w:szCs w:val="21"/>
        </w:rPr>
        <w:t>×</w:t>
      </w:r>
      <w:r>
        <w:rPr>
          <w:rFonts w:asciiTheme="minorEastAsia" w:hAnsiTheme="minorEastAsia" w:eastAsiaTheme="minorEastAsia"/>
          <w:spacing w:val="8"/>
          <w:szCs w:val="21"/>
        </w:rPr>
        <w:t>24</w:t>
      </w:r>
      <w:r>
        <w:rPr>
          <w:rFonts w:hint="eastAsia" w:asciiTheme="minorEastAsia" w:hAnsiTheme="minorEastAsia" w:eastAsiaTheme="minorEastAsia"/>
          <w:spacing w:val="8"/>
          <w:szCs w:val="21"/>
        </w:rPr>
        <w:t>小时的全天候服务，投资者可以自助查询账户余额、交易情况、基金净值等信息，也可以进行直销交易、密码修改、传真索取等操作。</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2、电话交易服务：基金管理人直销投资者可通过博时一线通电话交易平台在线办理基金的赎回、变更分红方式、撤单等直销交易业务。</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3</w:t>
      </w:r>
      <w:r>
        <w:rPr>
          <w:rFonts w:asciiTheme="minorEastAsia" w:hAnsiTheme="minorEastAsia" w:eastAsiaTheme="minorEastAsia"/>
          <w:spacing w:val="8"/>
          <w:szCs w:val="21"/>
        </w:rPr>
        <w:t>、</w:t>
      </w:r>
      <w:r>
        <w:rPr>
          <w:rFonts w:hint="eastAsia" w:asciiTheme="minorEastAsia" w:hAnsiTheme="minorEastAsia" w:eastAsiaTheme="minorEastAsia"/>
          <w:spacing w:val="8"/>
          <w:szCs w:val="21"/>
        </w:rPr>
        <w:t>人工电话服务：</w:t>
      </w:r>
      <w:r>
        <w:rPr>
          <w:rFonts w:asciiTheme="minorEastAsia" w:hAnsiTheme="minorEastAsia" w:eastAsiaTheme="minorEastAsia"/>
          <w:spacing w:val="8"/>
          <w:szCs w:val="21"/>
        </w:rPr>
        <w:t>投资者</w:t>
      </w:r>
      <w:r>
        <w:rPr>
          <w:rFonts w:hint="eastAsia" w:asciiTheme="minorEastAsia" w:hAnsiTheme="minorEastAsia" w:eastAsiaTheme="minorEastAsia"/>
          <w:spacing w:val="8"/>
          <w:szCs w:val="21"/>
        </w:rPr>
        <w:t>可以获得</w:t>
      </w:r>
      <w:r>
        <w:rPr>
          <w:rFonts w:asciiTheme="minorEastAsia" w:hAnsiTheme="minorEastAsia" w:eastAsiaTheme="minorEastAsia"/>
          <w:spacing w:val="8"/>
          <w:szCs w:val="21"/>
        </w:rPr>
        <w:t>业务咨询、信息查询、资料修改、投诉受理</w:t>
      </w:r>
      <w:r>
        <w:rPr>
          <w:rFonts w:hint="eastAsia" w:asciiTheme="minorEastAsia" w:hAnsiTheme="minorEastAsia" w:eastAsiaTheme="minorEastAsia"/>
          <w:spacing w:val="8"/>
          <w:szCs w:val="21"/>
        </w:rPr>
        <w:t>、信息订制、账户诊断</w:t>
      </w:r>
      <w:r>
        <w:rPr>
          <w:rFonts w:asciiTheme="minorEastAsia" w:hAnsiTheme="minorEastAsia" w:eastAsiaTheme="minorEastAsia"/>
          <w:spacing w:val="8"/>
          <w:szCs w:val="21"/>
        </w:rPr>
        <w:t>等服务</w:t>
      </w:r>
      <w:r>
        <w:rPr>
          <w:rFonts w:hint="eastAsia" w:asciiTheme="minorEastAsia" w:hAnsiTheme="minorEastAsia" w:eastAsiaTheme="minorEastAsia"/>
          <w:spacing w:val="8"/>
          <w:szCs w:val="21"/>
        </w:rPr>
        <w:t>。</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4、电话留言服务：非人工服务时间或线路繁忙时，投资者可进行电话留言。</w:t>
      </w:r>
    </w:p>
    <w:p>
      <w:pPr>
        <w:adjustRightInd w:val="0"/>
        <w:snapToGrid w:val="0"/>
        <w:spacing w:line="360" w:lineRule="auto"/>
        <w:ind w:firstLine="422" w:firstLineChars="200"/>
        <w:rPr>
          <w:rFonts w:cs="Arial" w:asciiTheme="minorEastAsia" w:hAnsiTheme="minorEastAsia" w:eastAsiaTheme="minorEastAsia"/>
          <w:b/>
          <w:bCs/>
          <w:szCs w:val="21"/>
        </w:rPr>
      </w:pPr>
      <w:r>
        <w:rPr>
          <w:rFonts w:hint="eastAsia" w:cs="Arial" w:asciiTheme="minorEastAsia" w:hAnsiTheme="minorEastAsia" w:eastAsiaTheme="minorEastAsia"/>
          <w:b/>
          <w:bCs/>
          <w:szCs w:val="21"/>
        </w:rPr>
        <w:t>八</w:t>
      </w:r>
      <w:r>
        <w:rPr>
          <w:rFonts w:cs="Arial" w:asciiTheme="minorEastAsia" w:hAnsiTheme="minorEastAsia" w:eastAsiaTheme="minorEastAsia"/>
          <w:b/>
          <w:bCs/>
          <w:szCs w:val="21"/>
        </w:rPr>
        <w:t>、</w:t>
      </w:r>
      <w:r>
        <w:rPr>
          <w:rFonts w:hint="eastAsia" w:cs="Arial" w:asciiTheme="minorEastAsia" w:hAnsiTheme="minorEastAsia" w:eastAsiaTheme="minorEastAsia"/>
          <w:b/>
          <w:bCs/>
          <w:szCs w:val="21"/>
        </w:rPr>
        <w:t>基金管理人联系方式</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hint="eastAsia" w:asciiTheme="minorEastAsia" w:hAnsiTheme="minorEastAsia" w:eastAsiaTheme="minorEastAsia"/>
          <w:spacing w:val="8"/>
          <w:szCs w:val="21"/>
        </w:rPr>
        <w:t>公司</w:t>
      </w:r>
      <w:r>
        <w:rPr>
          <w:rFonts w:asciiTheme="minorEastAsia" w:hAnsiTheme="minorEastAsia" w:eastAsiaTheme="minorEastAsia"/>
          <w:spacing w:val="8"/>
          <w:szCs w:val="21"/>
        </w:rPr>
        <w:t xml:space="preserve">网址： www.bosera.com </w:t>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电子信箱：</w:t>
      </w:r>
      <w:r>
        <w:fldChar w:fldCharType="begin"/>
      </w:r>
      <w:r>
        <w:instrText xml:space="preserve"> HYPERLINK "mailto:service@bosera.com" </w:instrText>
      </w:r>
      <w:r>
        <w:fldChar w:fldCharType="separate"/>
      </w:r>
      <w:r>
        <w:rPr>
          <w:rFonts w:asciiTheme="minorEastAsia" w:hAnsiTheme="minorEastAsia" w:eastAsiaTheme="minorEastAsia"/>
          <w:spacing w:val="8"/>
          <w:szCs w:val="21"/>
        </w:rPr>
        <w:t>service@bosera.com</w:t>
      </w:r>
      <w:r>
        <w:rPr>
          <w:rFonts w:asciiTheme="minorEastAsia" w:hAnsiTheme="minorEastAsia" w:eastAsiaTheme="minorEastAsia"/>
          <w:spacing w:val="8"/>
          <w:szCs w:val="21"/>
        </w:rPr>
        <w:fldChar w:fldCharType="end"/>
      </w:r>
    </w:p>
    <w:p>
      <w:pPr>
        <w:autoSpaceDE w:val="0"/>
        <w:autoSpaceDN w:val="0"/>
        <w:adjustRightInd w:val="0"/>
        <w:snapToGrid w:val="0"/>
        <w:spacing w:line="360" w:lineRule="auto"/>
        <w:ind w:firstLine="452" w:firstLineChars="200"/>
        <w:rPr>
          <w:rFonts w:asciiTheme="minorEastAsia" w:hAnsiTheme="minorEastAsia" w:eastAsiaTheme="minorEastAsia"/>
          <w:spacing w:val="8"/>
          <w:szCs w:val="21"/>
        </w:rPr>
      </w:pPr>
      <w:r>
        <w:rPr>
          <w:rFonts w:asciiTheme="minorEastAsia" w:hAnsiTheme="minorEastAsia" w:eastAsiaTheme="minorEastAsia"/>
          <w:spacing w:val="8"/>
          <w:szCs w:val="21"/>
        </w:rPr>
        <w:t>博时一线通</w:t>
      </w:r>
      <w:r>
        <w:rPr>
          <w:rFonts w:hint="eastAsia" w:asciiTheme="minorEastAsia" w:hAnsiTheme="minorEastAsia" w:eastAsiaTheme="minorEastAsia"/>
          <w:spacing w:val="8"/>
          <w:szCs w:val="21"/>
        </w:rPr>
        <w:t>客服电话：</w:t>
      </w:r>
      <w:r>
        <w:rPr>
          <w:rFonts w:asciiTheme="minorEastAsia" w:hAnsiTheme="minorEastAsia" w:eastAsiaTheme="minorEastAsia"/>
          <w:spacing w:val="8"/>
          <w:szCs w:val="21"/>
        </w:rPr>
        <w:t>95105568（免长途话费）</w:t>
      </w:r>
    </w:p>
    <w:p>
      <w:pPr>
        <w:autoSpaceDE w:val="0"/>
        <w:autoSpaceDN w:val="0"/>
        <w:adjustRightInd w:val="0"/>
        <w:snapToGrid w:val="0"/>
        <w:spacing w:line="360" w:lineRule="auto"/>
        <w:ind w:firstLine="424" w:firstLineChars="201"/>
        <w:jc w:val="left"/>
        <w:rPr>
          <w:rFonts w:cs="Arial" w:asciiTheme="minorEastAsia" w:hAnsiTheme="minorEastAsia" w:eastAsiaTheme="minorEastAsia"/>
          <w:b/>
          <w:bCs/>
          <w:szCs w:val="21"/>
        </w:rPr>
        <w:sectPr>
          <w:footerReference r:id="rId31" w:type="first"/>
          <w:pgSz w:w="11906" w:h="16838"/>
          <w:pgMar w:top="1440" w:right="1800" w:bottom="1440" w:left="1800" w:header="851" w:footer="992" w:gutter="0"/>
          <w:pgNumType w:start="1"/>
          <w:cols w:space="425" w:num="1"/>
          <w:titlePg/>
          <w:docGrid w:type="lines" w:linePitch="312" w:charSpace="0"/>
        </w:sectPr>
      </w:pPr>
      <w:r>
        <w:rPr>
          <w:rFonts w:hint="eastAsia" w:cs="Arial" w:asciiTheme="minorEastAsia" w:hAnsiTheme="minorEastAsia" w:eastAsiaTheme="minorEastAsia"/>
          <w:b/>
          <w:bCs/>
          <w:szCs w:val="21"/>
        </w:rPr>
        <w:t>九、如本招募说明书存在任何您/贵机构无法理解的内容，请通过上述方式联系基金管理人。请确保投资前，您/贵机构已经全面理解了本招募说明书。</w:t>
      </w:r>
    </w:p>
    <w:p>
      <w:pPr>
        <w:pStyle w:val="4"/>
        <w:numPr>
          <w:ilvl w:val="0"/>
          <w:numId w:val="25"/>
        </w:numPr>
        <w:snapToGrid w:val="0"/>
        <w:spacing w:before="0" w:after="0" w:line="360" w:lineRule="auto"/>
        <w:jc w:val="center"/>
      </w:pPr>
      <w:bookmarkStart w:id="182" w:name="_Toc335899854"/>
      <w:bookmarkStart w:id="183" w:name="_Toc92740305"/>
      <w:bookmarkStart w:id="184" w:name="_Toc332013131"/>
      <w:bookmarkStart w:id="185" w:name="_Toc411872043"/>
      <w:bookmarkStart w:id="186" w:name="_Toc336606248"/>
      <w:bookmarkStart w:id="187" w:name="_Toc369510029"/>
      <w:bookmarkStart w:id="188" w:name="_Toc327902643"/>
      <w:bookmarkStart w:id="189" w:name="_Toc375295994"/>
      <w:r>
        <w:rPr>
          <w:rFonts w:hint="eastAsia"/>
        </w:rPr>
        <w:t>其他应披露事项</w:t>
      </w:r>
      <w:bookmarkEnd w:id="182"/>
      <w:bookmarkEnd w:id="183"/>
      <w:bookmarkEnd w:id="184"/>
      <w:bookmarkEnd w:id="185"/>
      <w:bookmarkEnd w:id="186"/>
      <w:bookmarkEnd w:id="187"/>
      <w:bookmarkEnd w:id="188"/>
      <w:bookmarkEnd w:id="189"/>
    </w:p>
    <w:p>
      <w:pPr>
        <w:pStyle w:val="163"/>
        <w:sectPr>
          <w:pgSz w:w="11906" w:h="16838"/>
          <w:pgMar w:top="1440" w:right="1800" w:bottom="1440" w:left="1800" w:header="851" w:footer="992" w:gutter="0"/>
          <w:pgNumType w:start="1"/>
          <w:cols w:space="425" w:num="1"/>
          <w:titlePg/>
          <w:docGrid w:type="lines" w:linePitch="312" w:charSpace="0"/>
        </w:sectPr>
      </w:pPr>
      <w:r>
        <w:rPr>
          <w:rFonts w:hint="eastAsia"/>
        </w:rPr>
        <w:t>本基金暂无其他应披露事项。《基金合同》如有未尽事宜，由《基金合同》当事人各方按有关法律法规协商解决。</w:t>
      </w:r>
    </w:p>
    <w:p>
      <w:pPr>
        <w:pStyle w:val="4"/>
        <w:numPr>
          <w:ilvl w:val="0"/>
          <w:numId w:val="25"/>
        </w:numPr>
        <w:snapToGrid w:val="0"/>
        <w:spacing w:before="0" w:after="0" w:line="360" w:lineRule="auto"/>
        <w:jc w:val="center"/>
      </w:pPr>
      <w:bookmarkStart w:id="190" w:name="_Toc369510004"/>
      <w:bookmarkEnd w:id="190"/>
      <w:bookmarkStart w:id="191" w:name="_Toc369510003"/>
      <w:bookmarkEnd w:id="191"/>
      <w:bookmarkStart w:id="192" w:name="_Toc369510030"/>
      <w:bookmarkEnd w:id="192"/>
      <w:bookmarkStart w:id="193" w:name="_Toc369510065"/>
      <w:bookmarkEnd w:id="193"/>
      <w:bookmarkStart w:id="194" w:name="_Toc369509969"/>
      <w:bookmarkEnd w:id="194"/>
      <w:bookmarkStart w:id="195" w:name="_Toc369510064"/>
      <w:bookmarkEnd w:id="195"/>
      <w:bookmarkStart w:id="196" w:name="_Toc327902644"/>
      <w:bookmarkStart w:id="197" w:name="_Toc375295995"/>
      <w:bookmarkStart w:id="198" w:name="_Toc332013132"/>
      <w:bookmarkStart w:id="199" w:name="_Toc336606249"/>
      <w:bookmarkStart w:id="200" w:name="_Toc92740306"/>
      <w:bookmarkStart w:id="201" w:name="_Toc335899855"/>
      <w:bookmarkStart w:id="202" w:name="_Toc411872044"/>
      <w:bookmarkStart w:id="203" w:name="_Toc369510066"/>
      <w:r>
        <w:rPr>
          <w:rFonts w:hint="eastAsia"/>
        </w:rPr>
        <w:t>招募说明书存放及其查阅方式</w:t>
      </w:r>
      <w:bookmarkEnd w:id="196"/>
      <w:bookmarkEnd w:id="197"/>
      <w:bookmarkEnd w:id="198"/>
      <w:bookmarkEnd w:id="199"/>
      <w:bookmarkEnd w:id="200"/>
      <w:bookmarkEnd w:id="201"/>
      <w:bookmarkEnd w:id="202"/>
      <w:bookmarkEnd w:id="203"/>
    </w:p>
    <w:p>
      <w:pPr>
        <w:pStyle w:val="163"/>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pPr>
        <w:pStyle w:val="16"/>
        <w:snapToGrid w:val="0"/>
        <w:spacing w:line="360" w:lineRule="auto"/>
        <w:ind w:firstLine="422"/>
        <w:rPr>
          <w:b/>
          <w:bCs/>
          <w:color w:val="000000"/>
          <w:szCs w:val="24"/>
        </w:rPr>
        <w:sectPr>
          <w:footerReference r:id="rId32" w:type="first"/>
          <w:pgSz w:w="11906" w:h="16838"/>
          <w:pgMar w:top="1440" w:right="1800" w:bottom="1440" w:left="1800" w:header="851" w:footer="992" w:gutter="0"/>
          <w:pgNumType w:start="1"/>
          <w:cols w:space="425" w:num="1"/>
          <w:titlePg/>
          <w:docGrid w:type="lines" w:linePitch="312" w:charSpace="0"/>
        </w:sectPr>
      </w:pPr>
      <w:r>
        <w:rPr>
          <w:rFonts w:hint="eastAsia"/>
        </w:rPr>
        <w:t>基金管理人和基金托管人保证文本的内容与所公告的内容完全一致。</w:t>
      </w:r>
    </w:p>
    <w:p>
      <w:pPr>
        <w:pStyle w:val="4"/>
        <w:numPr>
          <w:ilvl w:val="0"/>
          <w:numId w:val="25"/>
        </w:numPr>
        <w:snapToGrid w:val="0"/>
        <w:spacing w:before="0" w:after="0" w:line="360" w:lineRule="auto"/>
        <w:jc w:val="center"/>
      </w:pPr>
      <w:bookmarkStart w:id="204" w:name="_Toc320887661"/>
      <w:bookmarkStart w:id="205" w:name="_Toc317088167"/>
      <w:bookmarkStart w:id="206" w:name="_Toc335232710"/>
      <w:bookmarkStart w:id="207" w:name="_Toc386115319"/>
      <w:bookmarkStart w:id="208" w:name="_Toc317088556"/>
      <w:bookmarkStart w:id="209" w:name="_Toc465240490"/>
      <w:bookmarkStart w:id="210" w:name="_Toc500791414"/>
      <w:bookmarkStart w:id="211" w:name="_Toc214873623"/>
      <w:bookmarkStart w:id="212" w:name="_Toc92740307"/>
      <w:bookmarkStart w:id="213" w:name="_Toc530223199"/>
      <w:r>
        <w:t>备查文件</w:t>
      </w:r>
      <w:bookmarkEnd w:id="204"/>
      <w:bookmarkEnd w:id="205"/>
      <w:bookmarkEnd w:id="206"/>
      <w:bookmarkEnd w:id="207"/>
      <w:bookmarkEnd w:id="208"/>
      <w:bookmarkEnd w:id="209"/>
      <w:bookmarkEnd w:id="210"/>
      <w:bookmarkEnd w:id="211"/>
      <w:bookmarkEnd w:id="212"/>
      <w:bookmarkEnd w:id="213"/>
    </w:p>
    <w:p>
      <w:pPr>
        <w:autoSpaceDE w:val="0"/>
        <w:autoSpaceDN w:val="0"/>
        <w:adjustRightInd w:val="0"/>
        <w:snapToGrid w:val="0"/>
        <w:spacing w:before="156" w:beforeLines="50" w:line="360" w:lineRule="auto"/>
        <w:ind w:firstLine="420" w:firstLineChars="200"/>
        <w:rPr>
          <w:color w:val="000000"/>
          <w:kern w:val="0"/>
          <w:szCs w:val="21"/>
        </w:rPr>
      </w:pPr>
      <w:r>
        <w:rPr>
          <w:color w:val="000000"/>
          <w:kern w:val="0"/>
          <w:szCs w:val="21"/>
        </w:rPr>
        <w:t>以下备查文件存放在基金管理人的办公场所，在办公时间可供免费查阅。</w:t>
      </w:r>
    </w:p>
    <w:p>
      <w:pPr>
        <w:autoSpaceDE w:val="0"/>
        <w:autoSpaceDN w:val="0"/>
        <w:adjustRightInd w:val="0"/>
        <w:snapToGrid w:val="0"/>
        <w:spacing w:line="360" w:lineRule="auto"/>
        <w:ind w:firstLine="420" w:firstLineChars="200"/>
        <w:rPr>
          <w:color w:val="000000"/>
          <w:kern w:val="0"/>
          <w:szCs w:val="21"/>
        </w:rPr>
      </w:pPr>
      <w:r>
        <w:rPr>
          <w:color w:val="000000"/>
          <w:kern w:val="0"/>
          <w:szCs w:val="21"/>
        </w:rPr>
        <w:t>（一）中国证监会准予博时</w:t>
      </w:r>
      <w:r>
        <w:rPr>
          <w:rFonts w:hint="eastAsia"/>
          <w:color w:val="000000"/>
          <w:kern w:val="0"/>
          <w:szCs w:val="21"/>
        </w:rPr>
        <w:t>中证全指通信设备指数</w:t>
      </w:r>
      <w:r>
        <w:rPr>
          <w:color w:val="000000"/>
          <w:kern w:val="0"/>
          <w:szCs w:val="21"/>
        </w:rPr>
        <w:t>型发起式证券投资基金注册的文件</w:t>
      </w:r>
    </w:p>
    <w:p>
      <w:pPr>
        <w:autoSpaceDE w:val="0"/>
        <w:autoSpaceDN w:val="0"/>
        <w:adjustRightInd w:val="0"/>
        <w:snapToGrid w:val="0"/>
        <w:spacing w:line="360" w:lineRule="auto"/>
        <w:ind w:firstLine="420" w:firstLineChars="200"/>
        <w:rPr>
          <w:color w:val="000000"/>
          <w:kern w:val="0"/>
          <w:szCs w:val="21"/>
        </w:rPr>
      </w:pPr>
      <w:r>
        <w:rPr>
          <w:color w:val="000000"/>
          <w:kern w:val="0"/>
          <w:szCs w:val="21"/>
        </w:rPr>
        <w:t>（二）《博时</w:t>
      </w:r>
      <w:r>
        <w:rPr>
          <w:rFonts w:hint="eastAsia"/>
          <w:color w:val="000000"/>
          <w:kern w:val="0"/>
          <w:szCs w:val="21"/>
        </w:rPr>
        <w:t>中证全指通信设备指数</w:t>
      </w:r>
      <w:r>
        <w:rPr>
          <w:color w:val="000000"/>
          <w:kern w:val="0"/>
          <w:szCs w:val="21"/>
        </w:rPr>
        <w:t>型发起式证券投资基金基金合同》</w:t>
      </w:r>
    </w:p>
    <w:p>
      <w:pPr>
        <w:autoSpaceDE w:val="0"/>
        <w:autoSpaceDN w:val="0"/>
        <w:adjustRightInd w:val="0"/>
        <w:snapToGrid w:val="0"/>
        <w:spacing w:line="360" w:lineRule="auto"/>
        <w:ind w:firstLine="420" w:firstLineChars="200"/>
        <w:rPr>
          <w:color w:val="000000"/>
          <w:kern w:val="0"/>
          <w:szCs w:val="21"/>
        </w:rPr>
      </w:pPr>
      <w:r>
        <w:rPr>
          <w:color w:val="000000"/>
          <w:kern w:val="0"/>
          <w:szCs w:val="21"/>
        </w:rPr>
        <w:t>（三）《博时</w:t>
      </w:r>
      <w:r>
        <w:rPr>
          <w:rFonts w:hint="eastAsia"/>
          <w:color w:val="000000"/>
          <w:kern w:val="0"/>
          <w:szCs w:val="21"/>
        </w:rPr>
        <w:t>中证全指通信设备指数</w:t>
      </w:r>
      <w:r>
        <w:rPr>
          <w:color w:val="000000"/>
          <w:kern w:val="0"/>
          <w:szCs w:val="21"/>
        </w:rPr>
        <w:t>型发起式证券投资基金托管协议》</w:t>
      </w:r>
    </w:p>
    <w:p>
      <w:pPr>
        <w:autoSpaceDE w:val="0"/>
        <w:autoSpaceDN w:val="0"/>
        <w:adjustRightInd w:val="0"/>
        <w:snapToGrid w:val="0"/>
        <w:spacing w:line="360" w:lineRule="auto"/>
        <w:ind w:firstLine="420" w:firstLineChars="200"/>
        <w:rPr>
          <w:color w:val="000000"/>
          <w:kern w:val="0"/>
          <w:szCs w:val="21"/>
        </w:rPr>
      </w:pPr>
      <w:r>
        <w:rPr>
          <w:color w:val="000000"/>
          <w:kern w:val="0"/>
          <w:szCs w:val="21"/>
        </w:rPr>
        <w:t>（四）基金管理人业务资格批件、营业执照</w:t>
      </w:r>
    </w:p>
    <w:p>
      <w:pPr>
        <w:autoSpaceDE w:val="0"/>
        <w:autoSpaceDN w:val="0"/>
        <w:adjustRightInd w:val="0"/>
        <w:snapToGrid w:val="0"/>
        <w:spacing w:line="360" w:lineRule="auto"/>
        <w:ind w:firstLine="420" w:firstLineChars="200"/>
        <w:rPr>
          <w:color w:val="000000"/>
          <w:kern w:val="0"/>
          <w:szCs w:val="21"/>
        </w:rPr>
      </w:pPr>
      <w:r>
        <w:rPr>
          <w:color w:val="000000"/>
          <w:kern w:val="0"/>
          <w:szCs w:val="21"/>
        </w:rPr>
        <w:t>（五）基金托管人业务资格批件、营业执照</w:t>
      </w:r>
    </w:p>
    <w:p>
      <w:pPr>
        <w:autoSpaceDE w:val="0"/>
        <w:autoSpaceDN w:val="0"/>
        <w:adjustRightInd w:val="0"/>
        <w:snapToGrid w:val="0"/>
        <w:spacing w:line="360" w:lineRule="auto"/>
        <w:ind w:firstLine="420" w:firstLineChars="200"/>
        <w:rPr>
          <w:color w:val="000000"/>
          <w:kern w:val="0"/>
          <w:szCs w:val="21"/>
        </w:rPr>
      </w:pPr>
      <w:r>
        <w:rPr>
          <w:color w:val="000000"/>
          <w:kern w:val="0"/>
          <w:szCs w:val="21"/>
        </w:rPr>
        <w:t>（六）法律意见书</w:t>
      </w:r>
    </w:p>
    <w:p>
      <w:pPr>
        <w:autoSpaceDE w:val="0"/>
        <w:autoSpaceDN w:val="0"/>
        <w:adjustRightInd w:val="0"/>
        <w:snapToGrid w:val="0"/>
        <w:spacing w:line="360" w:lineRule="auto"/>
        <w:ind w:firstLine="420" w:firstLineChars="200"/>
        <w:rPr>
          <w:color w:val="000000"/>
          <w:kern w:val="0"/>
          <w:szCs w:val="21"/>
        </w:rPr>
      </w:pPr>
      <w:r>
        <w:rPr>
          <w:color w:val="000000"/>
          <w:kern w:val="0"/>
          <w:szCs w:val="21"/>
        </w:rPr>
        <w:t>（七）中国证监会要求的其他文件</w:t>
      </w:r>
    </w:p>
    <w:p>
      <w:pPr>
        <w:autoSpaceDE w:val="0"/>
        <w:autoSpaceDN w:val="0"/>
        <w:adjustRightInd w:val="0"/>
        <w:snapToGrid w:val="0"/>
        <w:spacing w:line="360" w:lineRule="auto"/>
        <w:ind w:firstLine="420" w:firstLineChars="200"/>
        <w:rPr>
          <w:rFonts w:hint="eastAsia" w:ascii="宋体" w:hAnsi="宋体" w:eastAsia="宋体" w:cs="宋体"/>
          <w:color w:val="000000"/>
          <w:kern w:val="0"/>
          <w:szCs w:val="21"/>
        </w:rPr>
      </w:pPr>
      <w:r>
        <w:rPr>
          <w:color w:val="000000"/>
          <w:kern w:val="0"/>
          <w:szCs w:val="21"/>
        </w:rPr>
        <w:t>查阅方式：投资者可在营业时间免费查阅，也可按工本费购买</w:t>
      </w:r>
      <w:r>
        <w:rPr>
          <w:rFonts w:hint="eastAsia" w:ascii="宋体" w:hAnsi="宋体" w:eastAsia="宋体" w:cs="宋体"/>
          <w:color w:val="000000"/>
          <w:kern w:val="0"/>
          <w:szCs w:val="21"/>
        </w:rPr>
        <w:t>复印件。</w:t>
      </w:r>
    </w:p>
    <w:p>
      <w:pPr>
        <w:autoSpaceDE w:val="0"/>
        <w:autoSpaceDN w:val="0"/>
        <w:adjustRightInd w:val="0"/>
        <w:snapToGrid w:val="0"/>
        <w:spacing w:line="360" w:lineRule="auto"/>
        <w:ind w:firstLine="420" w:firstLineChars="200"/>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pStyle w:val="2"/>
        <w:rPr>
          <w:rFonts w:hint="eastAsia" w:ascii="宋体" w:hAnsi="宋体" w:eastAsia="宋体" w:cs="宋体"/>
          <w:color w:val="000000"/>
          <w:kern w:val="0"/>
          <w:szCs w:val="21"/>
        </w:rPr>
      </w:pPr>
    </w:p>
    <w:p>
      <w:pPr>
        <w:autoSpaceDE w:val="0"/>
        <w:autoSpaceDN w:val="0"/>
        <w:adjustRightInd w:val="0"/>
        <w:snapToGrid w:val="0"/>
        <w:spacing w:line="360" w:lineRule="auto"/>
        <w:ind w:firstLine="420" w:firstLineChars="200"/>
        <w:rPr>
          <w:rFonts w:hint="eastAsia" w:ascii="宋体" w:hAnsi="宋体" w:eastAsia="宋体" w:cs="宋体"/>
          <w:color w:val="000000"/>
          <w:kern w:val="0"/>
          <w:szCs w:val="21"/>
        </w:rPr>
      </w:pPr>
    </w:p>
    <w:p>
      <w:pPr>
        <w:autoSpaceDE w:val="0"/>
        <w:autoSpaceDN w:val="0"/>
        <w:adjustRightInd w:val="0"/>
        <w:snapToGrid w:val="0"/>
        <w:spacing w:line="360" w:lineRule="auto"/>
        <w:ind w:firstLine="420" w:firstLineChars="200"/>
        <w:jc w:val="right"/>
        <w:rPr>
          <w:rFonts w:hint="eastAsia" w:ascii="宋体" w:hAnsi="宋体" w:eastAsia="宋体" w:cs="宋体"/>
          <w:color w:val="000000"/>
          <w:kern w:val="0"/>
          <w:szCs w:val="21"/>
        </w:rPr>
      </w:pPr>
      <w:r>
        <w:rPr>
          <w:rFonts w:hint="eastAsia" w:ascii="宋体" w:hAnsi="宋体" w:eastAsia="宋体" w:cs="宋体"/>
          <w:szCs w:val="20"/>
        </w:rPr>
        <w:t xml:space="preserve">                                           </w:t>
      </w:r>
      <w:r>
        <w:rPr>
          <w:rFonts w:hint="eastAsia" w:ascii="宋体" w:hAnsi="宋体" w:eastAsia="宋体" w:cs="宋体"/>
          <w:szCs w:val="20"/>
        </w:rPr>
        <w:tab/>
      </w:r>
      <w:r>
        <w:rPr>
          <w:rFonts w:hint="eastAsia" w:ascii="宋体" w:hAnsi="宋体" w:eastAsia="宋体" w:cs="宋体"/>
          <w:szCs w:val="20"/>
        </w:rPr>
        <w:t xml:space="preserve">     </w:t>
      </w:r>
      <w:r>
        <w:rPr>
          <w:rFonts w:hint="eastAsia" w:ascii="宋体" w:hAnsi="宋体" w:eastAsia="宋体" w:cs="宋体"/>
          <w:color w:val="000000"/>
          <w:kern w:val="0"/>
          <w:szCs w:val="21"/>
        </w:rPr>
        <w:t xml:space="preserve">      博时基金管理有限公司</w:t>
      </w:r>
    </w:p>
    <w:p>
      <w:pPr>
        <w:autoSpaceDE w:val="0"/>
        <w:autoSpaceDN w:val="0"/>
        <w:adjustRightInd w:val="0"/>
        <w:snapToGrid w:val="0"/>
        <w:spacing w:line="360" w:lineRule="auto"/>
        <w:ind w:firstLine="420" w:firstLineChars="200"/>
        <w:jc w:val="right"/>
        <w:rPr>
          <w:rFonts w:hint="eastAsia" w:ascii="宋体" w:hAnsi="宋体" w:eastAsia="宋体" w:cs="宋体"/>
          <w:color w:val="000000"/>
          <w:kern w:val="0"/>
          <w:szCs w:val="21"/>
        </w:rPr>
      </w:pPr>
      <w:r>
        <w:rPr>
          <w:rFonts w:hint="eastAsia" w:ascii="宋体" w:hAnsi="宋体" w:eastAsia="宋体" w:cs="宋体"/>
          <w:color w:val="000000"/>
          <w:kern w:val="0"/>
          <w:szCs w:val="21"/>
        </w:rPr>
        <w:t>202</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年</w:t>
      </w:r>
      <w:r>
        <w:rPr>
          <w:rFonts w:hint="eastAsia" w:ascii="宋体" w:hAnsi="宋体" w:eastAsia="宋体" w:cs="宋体"/>
          <w:color w:val="000000"/>
          <w:kern w:val="0"/>
          <w:szCs w:val="21"/>
          <w:lang w:val="en-US" w:eastAsia="zh-CN"/>
        </w:rPr>
        <w:t>4</w:t>
      </w:r>
      <w:r>
        <w:rPr>
          <w:rFonts w:hint="eastAsia" w:ascii="宋体" w:hAnsi="宋体" w:eastAsia="宋体" w:cs="宋体"/>
          <w:color w:val="000000"/>
          <w:kern w:val="0"/>
          <w:szCs w:val="21"/>
        </w:rPr>
        <w:t>月</w:t>
      </w:r>
      <w:r>
        <w:rPr>
          <w:rFonts w:hint="eastAsia" w:ascii="宋体" w:hAnsi="宋体" w:eastAsia="宋体" w:cs="宋体"/>
          <w:color w:val="000000"/>
          <w:kern w:val="0"/>
          <w:szCs w:val="21"/>
          <w:lang w:val="en-US" w:eastAsia="zh-CN"/>
        </w:rPr>
        <w:t>1</w:t>
      </w:r>
      <w:r>
        <w:rPr>
          <w:rFonts w:hint="eastAsia" w:ascii="宋体" w:hAnsi="宋体" w:cs="宋体"/>
          <w:color w:val="000000"/>
          <w:kern w:val="0"/>
          <w:szCs w:val="21"/>
          <w:lang w:val="en-US" w:eastAsia="zh-CN"/>
        </w:rPr>
        <w:t>2</w:t>
      </w:r>
      <w:r>
        <w:rPr>
          <w:rFonts w:hint="eastAsia" w:ascii="宋体" w:hAnsi="宋体" w:eastAsia="宋体" w:cs="宋体"/>
          <w:color w:val="000000"/>
          <w:kern w:val="0"/>
          <w:szCs w:val="21"/>
        </w:rPr>
        <w:t>日</w:t>
      </w:r>
    </w:p>
    <w:p>
      <w:pPr>
        <w:rPr>
          <w:rFonts w:hint="eastAsia" w:ascii="宋体" w:hAnsi="宋体" w:eastAsia="宋体" w:cs="宋体"/>
        </w:rPr>
      </w:pPr>
    </w:p>
    <w:sectPr>
      <w:footerReference r:id="rId3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Unicode MS">
    <w:altName w:val="Malgun Gothic Semilight"/>
    <w:panose1 w:val="020B0604020202020204"/>
    <w:charset w:val="86"/>
    <w:family w:val="swiss"/>
    <w:pitch w:val="default"/>
    <w:sig w:usb0="00000000" w:usb1="00000000" w:usb2="0000003F" w:usb3="00000000" w:csb0="603F01FF" w:csb1="FFFF0000"/>
  </w:font>
  <w:font w:name="Malgun Gothic Semilight">
    <w:panose1 w:val="020B0502040204020203"/>
    <w:charset w:val="86"/>
    <w:family w:val="auto"/>
    <w:pitch w:val="default"/>
    <w:sig w:usb0="900002AF" w:usb1="01D77CFB" w:usb2="00000012" w:usb3="00000000" w:csb0="203E01BD" w:csb1="D7FF0000"/>
  </w:font>
  <w:font w:name="方正黑体简体">
    <w:altName w:val="微软雅黑"/>
    <w:panose1 w:val="00000000000000000000"/>
    <w:charset w:val="86"/>
    <w:family w:val="script"/>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 w:name="五">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0"/>
          <w:jc w:val="center"/>
        </w:pPr>
        <w:r>
          <w:rPr>
            <w:rFonts w:hint="eastAsia"/>
          </w:rPr>
          <w:t>1-</w:t>
        </w: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6400061"/>
    </w:sdtPr>
    <w:sdtContent>
      <w:p>
        <w:pPr>
          <w:pStyle w:val="30"/>
          <w:jc w:val="center"/>
        </w:pPr>
        <w:r>
          <w:rPr>
            <w:rFonts w:hint="eastAsia"/>
          </w:rPr>
          <w:t>6-</w:t>
        </w: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3423081"/>
    </w:sdtPr>
    <w:sdtContent>
      <w:p>
        <w:pPr>
          <w:pStyle w:val="30"/>
          <w:jc w:val="center"/>
        </w:pPr>
        <w:r>
          <w:rPr>
            <w:rFonts w:hint="eastAsia"/>
          </w:rPr>
          <w:t>7-</w:t>
        </w:r>
        <w:r>
          <w:fldChar w:fldCharType="begin"/>
        </w:r>
        <w:r>
          <w:instrText xml:space="preserve">PAGE   \* MERGEFORMAT</w:instrText>
        </w:r>
        <w:r>
          <w:fldChar w:fldCharType="separate"/>
        </w:r>
        <w:r>
          <w:rPr>
            <w:lang w:val="zh-CN"/>
          </w:rPr>
          <w:t>1</w:t>
        </w:r>
        <w: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8-</w:t>
    </w:r>
    <w:r>
      <w:fldChar w:fldCharType="begin"/>
    </w:r>
    <w:r>
      <w:instrText xml:space="preserve"> PAGE   \* MERGEFORMAT </w:instrText>
    </w:r>
    <w:r>
      <w:fldChar w:fldCharType="separate"/>
    </w:r>
    <w:r>
      <w:rPr>
        <w:lang w:val="zh-CN"/>
      </w:rPr>
      <w:t>9</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04473985"/>
    </w:sdtPr>
    <w:sdtContent>
      <w:p>
        <w:pPr>
          <w:pStyle w:val="30"/>
          <w:jc w:val="center"/>
        </w:pPr>
        <w:r>
          <w:rPr>
            <w:rFonts w:hint="eastAsia"/>
          </w:rPr>
          <w:t>8-</w:t>
        </w: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9-</w:t>
    </w:r>
    <w:r>
      <w:fldChar w:fldCharType="begin"/>
    </w:r>
    <w:r>
      <w:instrText xml:space="preserve"> PAGE   \* MERGEFORMAT </w:instrText>
    </w:r>
    <w:r>
      <w:fldChar w:fldCharType="separate"/>
    </w:r>
    <w:r>
      <w:rPr>
        <w:lang w:val="zh-CN"/>
      </w:rPr>
      <w:t>7</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38699081"/>
    </w:sdtPr>
    <w:sdtContent>
      <w:p>
        <w:pPr>
          <w:pStyle w:val="30"/>
          <w:jc w:val="center"/>
        </w:pPr>
        <w:r>
          <w:rPr>
            <w:rFonts w:hint="eastAsia"/>
          </w:rPr>
          <w:t>9-</w:t>
        </w: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7558424"/>
    </w:sdtPr>
    <w:sdtContent>
      <w:p>
        <w:pPr>
          <w:pStyle w:val="30"/>
          <w:jc w:val="center"/>
        </w:pPr>
        <w:r>
          <w:rPr>
            <w:rFonts w:hint="eastAsia"/>
          </w:rPr>
          <w:t>10-</w:t>
        </w:r>
        <w:r>
          <w:fldChar w:fldCharType="begin"/>
        </w:r>
        <w:r>
          <w:instrText xml:space="preserve">PAGE   \* MERGEFORMAT</w:instrText>
        </w:r>
        <w:r>
          <w:fldChar w:fldCharType="separate"/>
        </w:r>
        <w:r>
          <w:rPr>
            <w:lang w:val="zh-CN"/>
          </w:rPr>
          <w:t>1</w:t>
        </w:r>
        <w:r>
          <w:fldChar w:fldCharType="end"/>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11-</w:t>
    </w:r>
    <w:r>
      <w:fldChar w:fldCharType="begin"/>
    </w:r>
    <w:r>
      <w:instrText xml:space="preserve"> PAGE   \* MERGEFORMAT </w:instrText>
    </w:r>
    <w:r>
      <w:fldChar w:fldCharType="separate"/>
    </w:r>
    <w:r>
      <w:rPr>
        <w:lang w:val="zh-CN"/>
      </w:rPr>
      <w:t>6</w:t>
    </w:r>
    <w: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5673886"/>
    </w:sdtPr>
    <w:sdtContent>
      <w:p>
        <w:pPr>
          <w:pStyle w:val="30"/>
          <w:jc w:val="center"/>
        </w:pPr>
        <w:r>
          <w:rPr>
            <w:rFonts w:hint="eastAsia"/>
          </w:rPr>
          <w:t>11-</w:t>
        </w: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9092907"/>
    </w:sdtPr>
    <w:sdtContent>
      <w:p>
        <w:pPr>
          <w:pStyle w:val="30"/>
          <w:jc w:val="center"/>
        </w:pPr>
        <w:r>
          <w:rPr>
            <w:rFonts w:hint="eastAsia"/>
          </w:rPr>
          <w:t>12-</w:t>
        </w:r>
        <w:r>
          <w:fldChar w:fldCharType="begin"/>
        </w:r>
        <w:r>
          <w:instrText xml:space="preserve">PAGE   \* MERGEFORMAT</w:instrText>
        </w:r>
        <w:r>
          <w:fldChar w:fldCharType="separate"/>
        </w:r>
        <w:r>
          <w:rPr>
            <w:lang w:val="zh-CN"/>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3-</w:t>
    </w:r>
    <w:r>
      <w:fldChar w:fldCharType="begin"/>
    </w:r>
    <w:r>
      <w:instrText xml:space="preserve"> PAGE   \* MERGEFORMAT </w:instrText>
    </w:r>
    <w:r>
      <w:fldChar w:fldCharType="separate"/>
    </w:r>
    <w:r>
      <w:rPr>
        <w:lang w:val="zh-CN"/>
      </w:rPr>
      <w:t>10</w:t>
    </w:r>
    <w: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t>21</w:t>
    </w:r>
    <w:r>
      <w:rPr>
        <w:rFonts w:hint="eastAsia"/>
      </w:rPr>
      <w:t>-</w:t>
    </w:r>
    <w:r>
      <w:fldChar w:fldCharType="begin"/>
    </w:r>
    <w:r>
      <w:instrText xml:space="preserve"> PAGE   \* MERGEFORMAT </w:instrText>
    </w:r>
    <w:r>
      <w:fldChar w:fldCharType="separate"/>
    </w:r>
    <w:r>
      <w:rPr>
        <w:lang w:val="zh-CN"/>
      </w:rPr>
      <w:t>2</w:t>
    </w:r>
    <w: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3155010"/>
    </w:sdtPr>
    <w:sdtContent>
      <w:p>
        <w:pPr>
          <w:pStyle w:val="30"/>
          <w:jc w:val="center"/>
        </w:pPr>
        <w:r>
          <w:rPr>
            <w:rFonts w:hint="eastAsia"/>
          </w:rPr>
          <w:t>13-</w:t>
        </w:r>
        <w:r>
          <w:fldChar w:fldCharType="begin"/>
        </w:r>
        <w:r>
          <w:instrText xml:space="preserve">PAGE   \* MERGEFORMAT</w:instrText>
        </w:r>
        <w:r>
          <w:fldChar w:fldCharType="separate"/>
        </w:r>
        <w:r>
          <w:rPr>
            <w:lang w:val="zh-CN"/>
          </w:rPr>
          <w:t>1</w:t>
        </w:r>
        <w:r>
          <w:fldChar w:fldCharType="end"/>
        </w:r>
      </w:p>
    </w:sdtContent>
  </w:sdt>
  <w:p>
    <w:pPr>
      <w:pStyle w:val="3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2659618"/>
    </w:sdtPr>
    <w:sdtContent>
      <w:p>
        <w:pPr>
          <w:pStyle w:val="30"/>
          <w:jc w:val="center"/>
        </w:pPr>
        <w:r>
          <w:rPr>
            <w:rFonts w:hint="eastAsia"/>
          </w:rPr>
          <w:t>14-</w:t>
        </w:r>
        <w:r>
          <w:fldChar w:fldCharType="begin"/>
        </w:r>
        <w:r>
          <w:instrText xml:space="preserve">PAGE   \* MERGEFORMAT</w:instrText>
        </w:r>
        <w:r>
          <w:fldChar w:fldCharType="separate"/>
        </w:r>
        <w:r>
          <w:rPr>
            <w:lang w:val="zh-CN"/>
          </w:rPr>
          <w:t>1</w:t>
        </w:r>
        <w:r>
          <w:fldChar w:fldCharType="end"/>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432123"/>
    </w:sdtPr>
    <w:sdtContent>
      <w:p>
        <w:pPr>
          <w:pStyle w:val="30"/>
          <w:jc w:val="center"/>
        </w:pPr>
        <w:r>
          <w:t>15</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6027654"/>
    </w:sdtPr>
    <w:sdtContent>
      <w:p>
        <w:pPr>
          <w:pStyle w:val="30"/>
          <w:jc w:val="center"/>
        </w:pPr>
        <w:r>
          <w:t>16</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88779792"/>
    </w:sdtPr>
    <w:sdtContent>
      <w:p>
        <w:pPr>
          <w:pStyle w:val="30"/>
          <w:jc w:val="center"/>
        </w:pPr>
        <w:r>
          <w:t>17</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4551195"/>
    </w:sdtPr>
    <w:sdtContent>
      <w:p>
        <w:pPr>
          <w:pStyle w:val="30"/>
          <w:jc w:val="center"/>
        </w:pPr>
        <w:r>
          <w:rPr>
            <w:rFonts w:hint="eastAsia"/>
          </w:rPr>
          <w:t>1</w:t>
        </w:r>
        <w:r>
          <w:t>8</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55303543"/>
    </w:sdtPr>
    <w:sdtContent>
      <w:p>
        <w:pPr>
          <w:pStyle w:val="30"/>
          <w:jc w:val="center"/>
        </w:pPr>
        <w:r>
          <w:rPr>
            <w:rFonts w:hint="eastAsia"/>
          </w:rPr>
          <w:t>1</w:t>
        </w:r>
        <w:r>
          <w:t>9</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35023029"/>
    </w:sdtPr>
    <w:sdtContent>
      <w:p>
        <w:pPr>
          <w:pStyle w:val="30"/>
          <w:jc w:val="center"/>
        </w:pPr>
        <w:r>
          <w:t>20</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35267993"/>
    </w:sdtPr>
    <w:sdtContent>
      <w:p>
        <w:pPr>
          <w:pStyle w:val="30"/>
          <w:jc w:val="center"/>
        </w:pPr>
        <w:r>
          <w:rPr>
            <w:rFonts w:hint="eastAsia"/>
          </w:rPr>
          <w:t>2</w:t>
        </w:r>
        <w:r>
          <w:t>2</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0697030"/>
    </w:sdtPr>
    <w:sdtContent>
      <w:p>
        <w:pPr>
          <w:pStyle w:val="30"/>
          <w:jc w:val="center"/>
        </w:pPr>
        <w:r>
          <w:t>2</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65364728"/>
    </w:sdtPr>
    <w:sdtContent>
      <w:p>
        <w:pPr>
          <w:pStyle w:val="30"/>
          <w:jc w:val="center"/>
        </w:pPr>
        <w:r>
          <w:rPr>
            <w:rFonts w:hint="eastAsia"/>
          </w:rPr>
          <w:t>2</w:t>
        </w:r>
        <w:r>
          <w:t>3</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rPr>
                              <w:rFonts w:hint="eastAsia"/>
                            </w:rPr>
                            <w:t>24-</w:t>
                          </w: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0"/>
                    </w:pPr>
                    <w:r>
                      <w:rPr>
                        <w:rFonts w:hint="eastAsia"/>
                      </w:rPr>
                      <w:t>24-</w:t>
                    </w:r>
                    <w:r>
                      <w:fldChar w:fldCharType="begin"/>
                    </w:r>
                    <w:r>
                      <w:instrText xml:space="preserve"> PAGE  \* MERGEFORMAT </w:instrText>
                    </w:r>
                    <w:r>
                      <w:fldChar w:fldCharType="separate"/>
                    </w:r>
                    <w:r>
                      <w:t>2</w:t>
                    </w:r>
                    <w:r>
                      <w:fldChar w:fldCharType="end"/>
                    </w:r>
                  </w:p>
                </w:txbxContent>
              </v:textbox>
            </v:shape>
          </w:pict>
        </mc:Fallback>
      </mc:AlternateContent>
    </w:r>
    <w:sdt>
      <w:sdtPr>
        <w:id w:val="-1230454120"/>
      </w:sdtPr>
      <w:sdtContent>
        <w:sdt>
          <w:sdtPr>
            <w:id w:val="1293714188"/>
          </w:sdtPr>
          <w:sdtContent>
            <w:r>
              <w:rPr>
                <w:lang w:val="zh-CN"/>
              </w:rPr>
              <w:t xml:space="preserve"> </w:t>
            </w:r>
          </w:sdtContent>
        </w:sdt>
      </w:sdtContent>
    </w:sdt>
  </w:p>
  <w:p>
    <w:pPr>
      <w:pStyle w:val="3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5981924"/>
    </w:sdtPr>
    <w:sdtContent>
      <w:p>
        <w:pPr>
          <w:pStyle w:val="30"/>
          <w:jc w:val="center"/>
        </w:pPr>
        <w:r>
          <w:t>3</w:t>
        </w:r>
        <w:r>
          <w:rPr>
            <w:rFonts w:hint="eastAsia"/>
          </w:rPr>
          <w:t>-</w:t>
        </w:r>
        <w:r>
          <w:fldChar w:fldCharType="begin"/>
        </w:r>
        <w:r>
          <w:instrText xml:space="preserve">PAGE   \* MERGEFORMAT</w:instrText>
        </w:r>
        <w:r>
          <w:fldChar w:fldCharType="separate"/>
        </w:r>
        <w:r>
          <w:rPr>
            <w:lang w:val="zh-CN"/>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4-</w:t>
    </w:r>
    <w:r>
      <w:fldChar w:fldCharType="begin"/>
    </w:r>
    <w:r>
      <w:instrText xml:space="preserve"> PAGE   \* MERGEFORMAT </w:instrText>
    </w:r>
    <w:r>
      <w:fldChar w:fldCharType="separate"/>
    </w:r>
    <w:r>
      <w:rPr>
        <w:lang w:val="zh-CN"/>
      </w:rPr>
      <w:t>6</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3589018"/>
    </w:sdtPr>
    <w:sdtContent>
      <w:p>
        <w:pPr>
          <w:pStyle w:val="30"/>
          <w:jc w:val="center"/>
        </w:pPr>
        <w:r>
          <w:rPr>
            <w:rFonts w:hint="eastAsia"/>
          </w:rPr>
          <w:t>4-</w:t>
        </w:r>
        <w:r>
          <w:fldChar w:fldCharType="begin"/>
        </w:r>
        <w:r>
          <w:instrText xml:space="preserve">PAGE   \* MERGEFORMAT</w:instrText>
        </w:r>
        <w:r>
          <w:fldChar w:fldCharType="separate"/>
        </w:r>
        <w:r>
          <w:rPr>
            <w:lang w:val="zh-CN"/>
          </w:rPr>
          <w:t>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5-</w:t>
    </w:r>
    <w:r>
      <w:fldChar w:fldCharType="begin"/>
    </w:r>
    <w:r>
      <w:instrText xml:space="preserve"> PAGE   \* MERGEFORMAT </w:instrText>
    </w:r>
    <w:r>
      <w:fldChar w:fldCharType="separate"/>
    </w:r>
    <w:r>
      <w:rPr>
        <w:lang w:val="zh-CN"/>
      </w:rPr>
      <w:t>2</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8771806"/>
    </w:sdtPr>
    <w:sdtContent>
      <w:p>
        <w:pPr>
          <w:pStyle w:val="30"/>
          <w:jc w:val="center"/>
        </w:pPr>
        <w:r>
          <w:rPr>
            <w:rFonts w:hint="eastAsia"/>
          </w:rPr>
          <w:t>5-</w:t>
        </w:r>
        <w:r>
          <w:fldChar w:fldCharType="begin"/>
        </w:r>
        <w:r>
          <w:instrText xml:space="preserve">PAGE   \* MERGEFORMAT</w:instrText>
        </w:r>
        <w:r>
          <w:fldChar w:fldCharType="separate"/>
        </w:r>
        <w:r>
          <w:rPr>
            <w:lang w:val="zh-CN"/>
          </w:rPr>
          <w:t>1</w:t>
        </w:r>
        <w: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rFonts w:hint="eastAsia"/>
      </w:rPr>
      <w:t>6-</w:t>
    </w:r>
    <w:r>
      <w:fldChar w:fldCharType="begin"/>
    </w:r>
    <w:r>
      <w:instrText xml:space="preserve"> PAGE   \* MERGEFORMAT </w:instrText>
    </w:r>
    <w:r>
      <w:fldChar w:fldCharType="separate"/>
    </w:r>
    <w:r>
      <w:rPr>
        <w:lang w:val="zh-CN"/>
      </w:rP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bullet"/>
      <w:pStyle w:val="140"/>
      <w:lvlText w:val=""/>
      <w:lvlJc w:val="left"/>
      <w:pPr>
        <w:tabs>
          <w:tab w:val="left" w:pos="360"/>
        </w:tabs>
        <w:ind w:left="360" w:hanging="360"/>
      </w:pPr>
      <w:rPr>
        <w:rFonts w:hint="default" w:ascii="Symbol" w:hAnsi="Symbol"/>
        <w:color w:val="auto"/>
      </w:rPr>
    </w:lvl>
  </w:abstractNum>
  <w:abstractNum w:abstractNumId="1">
    <w:nsid w:val="044209E7"/>
    <w:multiLevelType w:val="multilevel"/>
    <w:tmpl w:val="044209E7"/>
    <w:lvl w:ilvl="0" w:tentative="0">
      <w:start w:val="1"/>
      <w:numFmt w:val="decimal"/>
      <w:pStyle w:val="93"/>
      <w:suff w:val="nothing"/>
      <w:lvlText w:val="Appendix %1"/>
      <w:lvlJc w:val="left"/>
      <w:pPr>
        <w:ind w:left="0" w:firstLine="0"/>
      </w:pPr>
      <w:rPr>
        <w:b/>
        <w:i w:val="0"/>
      </w:rPr>
    </w:lvl>
    <w:lvl w:ilvl="1" w:tentative="0">
      <w:start w:val="1"/>
      <w:numFmt w:val="decimal"/>
      <w:pStyle w:val="95"/>
      <w:suff w:val="nothing"/>
      <w:lvlText w:val="Part %2"/>
      <w:lvlJc w:val="left"/>
      <w:pPr>
        <w:ind w:left="0" w:firstLine="0"/>
      </w:pPr>
      <w:rPr>
        <w:b/>
        <w:i w:val="0"/>
      </w:rPr>
    </w:lvl>
    <w:lvl w:ilvl="2" w:tentative="0">
      <w:start w:val="1"/>
      <w:numFmt w:val="none"/>
      <w:lvlRestart w:val="0"/>
      <w:suff w:val="nothing"/>
      <w:lvlText w:val=""/>
      <w:lvlJc w:val="left"/>
      <w:pPr>
        <w:ind w:left="0" w:firstLine="0"/>
      </w:pPr>
    </w:lvl>
    <w:lvl w:ilvl="3" w:tentative="0">
      <w:start w:val="1"/>
      <w:numFmt w:val="none"/>
      <w:lvlRestart w:val="0"/>
      <w:suff w:val="nothing"/>
      <w:lvlText w:val=""/>
      <w:lvlJc w:val="left"/>
      <w:pPr>
        <w:ind w:left="0" w:firstLine="0"/>
      </w:pPr>
    </w:lvl>
    <w:lvl w:ilvl="4" w:tentative="0">
      <w:start w:val="1"/>
      <w:numFmt w:val="none"/>
      <w:lvlRestart w:val="0"/>
      <w:suff w:val="nothing"/>
      <w:lvlText w:val=""/>
      <w:lvlJc w:val="left"/>
      <w:pPr>
        <w:ind w:left="0" w:firstLine="0"/>
      </w:pPr>
    </w:lvl>
    <w:lvl w:ilvl="5" w:tentative="0">
      <w:start w:val="1"/>
      <w:numFmt w:val="none"/>
      <w:lvlRestart w:val="0"/>
      <w:suff w:val="nothing"/>
      <w:lvlText w:val=""/>
      <w:lvlJc w:val="left"/>
      <w:pPr>
        <w:ind w:left="0" w:firstLine="0"/>
      </w:pPr>
    </w:lvl>
    <w:lvl w:ilvl="6" w:tentative="0">
      <w:start w:val="1"/>
      <w:numFmt w:val="none"/>
      <w:lvlRestart w:val="0"/>
      <w:suff w:val="nothing"/>
      <w:lvlText w:val=""/>
      <w:lvlJc w:val="left"/>
      <w:pPr>
        <w:ind w:left="0" w:firstLine="0"/>
      </w:pPr>
    </w:lvl>
    <w:lvl w:ilvl="7" w:tentative="0">
      <w:start w:val="1"/>
      <w:numFmt w:val="none"/>
      <w:lvlRestart w:val="0"/>
      <w:suff w:val="nothing"/>
      <w:lvlText w:val=""/>
      <w:lvlJc w:val="left"/>
      <w:pPr>
        <w:ind w:left="0" w:firstLine="0"/>
      </w:pPr>
    </w:lvl>
    <w:lvl w:ilvl="8" w:tentative="0">
      <w:start w:val="1"/>
      <w:numFmt w:val="none"/>
      <w:lvlRestart w:val="0"/>
      <w:suff w:val="nothing"/>
      <w:lvlText w:val=""/>
      <w:lvlJc w:val="left"/>
      <w:pPr>
        <w:ind w:left="0" w:firstLine="0"/>
      </w:pPr>
    </w:lvl>
  </w:abstractNum>
  <w:abstractNum w:abstractNumId="2">
    <w:nsid w:val="05211A1D"/>
    <w:multiLevelType w:val="singleLevel"/>
    <w:tmpl w:val="05211A1D"/>
    <w:lvl w:ilvl="0" w:tentative="0">
      <w:start w:val="4"/>
      <w:numFmt w:val="chineseCounting"/>
      <w:suff w:val="nothing"/>
      <w:lvlText w:val="%1、"/>
      <w:lvlJc w:val="left"/>
      <w:rPr>
        <w:rFonts w:hint="eastAsia"/>
      </w:rPr>
    </w:lvl>
  </w:abstractNum>
  <w:abstractNum w:abstractNumId="3">
    <w:nsid w:val="096C2ACA"/>
    <w:multiLevelType w:val="singleLevel"/>
    <w:tmpl w:val="096C2ACA"/>
    <w:lvl w:ilvl="0" w:tentative="0">
      <w:start w:val="2"/>
      <w:numFmt w:val="japaneseCounting"/>
      <w:pStyle w:val="60"/>
      <w:lvlText w:val="（%1）"/>
      <w:lvlJc w:val="left"/>
      <w:pPr>
        <w:tabs>
          <w:tab w:val="left" w:pos="870"/>
        </w:tabs>
        <w:ind w:left="870" w:hanging="870"/>
      </w:pPr>
    </w:lvl>
  </w:abstractNum>
  <w:abstractNum w:abstractNumId="4">
    <w:nsid w:val="0B101077"/>
    <w:multiLevelType w:val="singleLevel"/>
    <w:tmpl w:val="0B101077"/>
    <w:lvl w:ilvl="0" w:tentative="0">
      <w:start w:val="1"/>
      <w:numFmt w:val="decimal"/>
      <w:pStyle w:val="13"/>
      <w:lvlText w:val="%1)"/>
      <w:lvlJc w:val="left"/>
      <w:pPr>
        <w:tabs>
          <w:tab w:val="left" w:pos="720"/>
        </w:tabs>
        <w:ind w:left="720" w:hanging="360"/>
      </w:pPr>
    </w:lvl>
  </w:abstractNum>
  <w:abstractNum w:abstractNumId="5">
    <w:nsid w:val="10F37ADE"/>
    <w:multiLevelType w:val="multilevel"/>
    <w:tmpl w:val="10F37ADE"/>
    <w:lvl w:ilvl="0" w:tentative="0">
      <w:start w:val="1"/>
      <w:numFmt w:val="decimal"/>
      <w:pStyle w:val="124"/>
      <w:lvlText w:val="%1."/>
      <w:lvlJc w:val="left"/>
      <w:pPr>
        <w:tabs>
          <w:tab w:val="left" w:pos="720"/>
        </w:tabs>
        <w:ind w:left="720" w:hanging="720"/>
      </w:pPr>
    </w:lvl>
    <w:lvl w:ilvl="1" w:tentative="0">
      <w:start w:val="1"/>
      <w:numFmt w:val="lowerLetter"/>
      <w:lvlText w:val="(%2)"/>
      <w:lvlJc w:val="left"/>
      <w:pPr>
        <w:tabs>
          <w:tab w:val="left" w:pos="720"/>
        </w:tabs>
        <w:ind w:left="720" w:hanging="720"/>
      </w:pPr>
    </w:lvl>
    <w:lvl w:ilvl="2" w:tentative="0">
      <w:start w:val="1"/>
      <w:numFmt w:val="lowerRoman"/>
      <w:lvlText w:val="(%3)"/>
      <w:lvlJc w:val="left"/>
      <w:pPr>
        <w:tabs>
          <w:tab w:val="left" w:pos="1440"/>
        </w:tabs>
        <w:ind w:left="1440" w:hanging="720"/>
      </w:pPr>
    </w:lvl>
    <w:lvl w:ilvl="3" w:tentative="0">
      <w:start w:val="1"/>
      <w:numFmt w:val="upperLetter"/>
      <w:lvlText w:val="(%4)"/>
      <w:lvlJc w:val="left"/>
      <w:pPr>
        <w:tabs>
          <w:tab w:val="left" w:pos="2160"/>
        </w:tabs>
        <w:ind w:left="2160" w:hanging="720"/>
      </w:pPr>
    </w:lvl>
    <w:lvl w:ilvl="4" w:tentative="0">
      <w:start w:val="1"/>
      <w:numFmt w:val="upperRoman"/>
      <w:lvlText w:val="%5."/>
      <w:lvlJc w:val="left"/>
      <w:pPr>
        <w:tabs>
          <w:tab w:val="left" w:pos="2880"/>
        </w:tabs>
        <w:ind w:left="2880" w:hanging="720"/>
      </w:pPr>
    </w:lvl>
    <w:lvl w:ilvl="5" w:tentative="0">
      <w:start w:val="1"/>
      <w:numFmt w:val="lowerLetter"/>
      <w:lvlText w:val="(%6)"/>
      <w:lvlJc w:val="left"/>
      <w:pPr>
        <w:tabs>
          <w:tab w:val="left" w:pos="1440"/>
        </w:tabs>
        <w:ind w:left="1440" w:hanging="720"/>
      </w:pPr>
    </w:lvl>
    <w:lvl w:ilvl="6" w:tentative="0">
      <w:start w:val="1"/>
      <w:numFmt w:val="lowerRoman"/>
      <w:lvlText w:val="(%7)"/>
      <w:lvlJc w:val="left"/>
      <w:pPr>
        <w:tabs>
          <w:tab w:val="left" w:pos="2160"/>
        </w:tabs>
        <w:ind w:left="2160" w:hanging="720"/>
      </w:pPr>
    </w:lvl>
    <w:lvl w:ilvl="7" w:tentative="0">
      <w:start w:val="1"/>
      <w:numFmt w:val="upperLetter"/>
      <w:lvlText w:val="(%8)"/>
      <w:lvlJc w:val="left"/>
      <w:pPr>
        <w:tabs>
          <w:tab w:val="left" w:pos="2880"/>
        </w:tabs>
        <w:ind w:left="2880" w:hanging="720"/>
      </w:pPr>
    </w:lvl>
    <w:lvl w:ilvl="8" w:tentative="0">
      <w:start w:val="1"/>
      <w:numFmt w:val="upperRoman"/>
      <w:lvlText w:val="%9."/>
      <w:lvlJc w:val="left"/>
      <w:pPr>
        <w:tabs>
          <w:tab w:val="left" w:pos="3600"/>
        </w:tabs>
        <w:ind w:left="3600" w:hanging="720"/>
      </w:pPr>
    </w:lvl>
  </w:abstractNum>
  <w:abstractNum w:abstractNumId="6">
    <w:nsid w:val="13B718D4"/>
    <w:multiLevelType w:val="multilevel"/>
    <w:tmpl w:val="13B718D4"/>
    <w:lvl w:ilvl="0" w:tentative="0">
      <w:start w:val="1"/>
      <w:numFmt w:val="decimal"/>
      <w:pStyle w:val="137"/>
      <w:lvlText w:val="（%1）"/>
      <w:lvlJc w:val="center"/>
      <w:pPr>
        <w:tabs>
          <w:tab w:val="left" w:pos="648"/>
        </w:tabs>
        <w:ind w:left="0" w:firstLine="288"/>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1B0661F6"/>
    <w:multiLevelType w:val="singleLevel"/>
    <w:tmpl w:val="1B0661F6"/>
    <w:lvl w:ilvl="0" w:tentative="0">
      <w:start w:val="1"/>
      <w:numFmt w:val="bullet"/>
      <w:pStyle w:val="125"/>
      <w:lvlText w:val=""/>
      <w:lvlJc w:val="left"/>
      <w:pPr>
        <w:tabs>
          <w:tab w:val="left" w:pos="720"/>
        </w:tabs>
        <w:ind w:left="720" w:hanging="720"/>
      </w:pPr>
      <w:rPr>
        <w:rFonts w:hint="default" w:ascii="Symbol" w:hAnsi="Symbol"/>
      </w:rPr>
    </w:lvl>
  </w:abstractNum>
  <w:abstractNum w:abstractNumId="8">
    <w:nsid w:val="31FA6DE9"/>
    <w:multiLevelType w:val="singleLevel"/>
    <w:tmpl w:val="31FA6DE9"/>
    <w:lvl w:ilvl="0" w:tentative="0">
      <w:start w:val="1"/>
      <w:numFmt w:val="bullet"/>
      <w:pStyle w:val="83"/>
      <w:lvlText w:val=""/>
      <w:lvlJc w:val="left"/>
      <w:pPr>
        <w:tabs>
          <w:tab w:val="left" w:pos="720"/>
        </w:tabs>
        <w:ind w:left="720" w:hanging="720"/>
      </w:pPr>
      <w:rPr>
        <w:rFonts w:hint="default" w:ascii="Symbol" w:hAnsi="Symbol"/>
      </w:rPr>
    </w:lvl>
  </w:abstractNum>
  <w:abstractNum w:abstractNumId="9">
    <w:nsid w:val="36063A36"/>
    <w:multiLevelType w:val="singleLevel"/>
    <w:tmpl w:val="36063A36"/>
    <w:lvl w:ilvl="0" w:tentative="0">
      <w:start w:val="1"/>
      <w:numFmt w:val="bullet"/>
      <w:pStyle w:val="18"/>
      <w:lvlText w:val=""/>
      <w:lvlJc w:val="left"/>
      <w:pPr>
        <w:tabs>
          <w:tab w:val="left" w:pos="720"/>
        </w:tabs>
        <w:ind w:left="720" w:hanging="360"/>
      </w:pPr>
      <w:rPr>
        <w:rFonts w:hint="default" w:ascii="Wingdings" w:hAnsi="Wingdings"/>
      </w:rPr>
    </w:lvl>
  </w:abstractNum>
  <w:abstractNum w:abstractNumId="10">
    <w:nsid w:val="38014636"/>
    <w:multiLevelType w:val="multilevel"/>
    <w:tmpl w:val="38014636"/>
    <w:lvl w:ilvl="0" w:tentative="0">
      <w:start w:val="1"/>
      <w:numFmt w:val="chineseCountingThousand"/>
      <w:lvlText w:val="第%1部分"/>
      <w:lvlJc w:val="left"/>
      <w:pPr>
        <w:tabs>
          <w:tab w:val="left" w:pos="420"/>
        </w:tabs>
        <w:ind w:left="420" w:hanging="4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3D0E7D39"/>
    <w:multiLevelType w:val="multilevel"/>
    <w:tmpl w:val="3D0E7D39"/>
    <w:lvl w:ilvl="0" w:tentative="0">
      <w:start w:val="1"/>
      <w:numFmt w:val="decimal"/>
      <w:pStyle w:val="97"/>
      <w:suff w:val="nothing"/>
      <w:lvlText w:val="Schedule %1"/>
      <w:lvlJc w:val="left"/>
      <w:pPr>
        <w:ind w:left="0" w:firstLine="0"/>
      </w:pPr>
      <w:rPr>
        <w:b/>
        <w:i w:val="0"/>
      </w:rPr>
    </w:lvl>
    <w:lvl w:ilvl="1" w:tentative="0">
      <w:start w:val="1"/>
      <w:numFmt w:val="decimal"/>
      <w:pStyle w:val="99"/>
      <w:suff w:val="nothing"/>
      <w:lvlText w:val="Part %2"/>
      <w:lvlJc w:val="left"/>
      <w:pPr>
        <w:ind w:left="0" w:firstLine="0"/>
      </w:pPr>
      <w:rPr>
        <w:b/>
        <w:i w:val="0"/>
      </w:rPr>
    </w:lvl>
    <w:lvl w:ilvl="2" w:tentative="0">
      <w:start w:val="1"/>
      <w:numFmt w:val="none"/>
      <w:lvlRestart w:val="0"/>
      <w:suff w:val="nothing"/>
      <w:lvlText w:val=""/>
      <w:lvlJc w:val="left"/>
      <w:pPr>
        <w:ind w:left="0" w:firstLine="0"/>
      </w:pPr>
    </w:lvl>
    <w:lvl w:ilvl="3" w:tentative="0">
      <w:start w:val="1"/>
      <w:numFmt w:val="none"/>
      <w:lvlRestart w:val="0"/>
      <w:suff w:val="nothing"/>
      <w:lvlText w:val=""/>
      <w:lvlJc w:val="left"/>
      <w:pPr>
        <w:ind w:left="0" w:firstLine="0"/>
      </w:pPr>
    </w:lvl>
    <w:lvl w:ilvl="4" w:tentative="0">
      <w:start w:val="1"/>
      <w:numFmt w:val="none"/>
      <w:lvlRestart w:val="0"/>
      <w:suff w:val="nothing"/>
      <w:lvlText w:val=""/>
      <w:lvlJc w:val="left"/>
      <w:pPr>
        <w:ind w:left="0" w:firstLine="0"/>
      </w:pPr>
    </w:lvl>
    <w:lvl w:ilvl="5" w:tentative="0">
      <w:start w:val="1"/>
      <w:numFmt w:val="none"/>
      <w:lvlRestart w:val="0"/>
      <w:suff w:val="nothing"/>
      <w:lvlText w:val=""/>
      <w:lvlJc w:val="left"/>
      <w:pPr>
        <w:ind w:left="0" w:firstLine="0"/>
      </w:pPr>
    </w:lvl>
    <w:lvl w:ilvl="6" w:tentative="0">
      <w:start w:val="1"/>
      <w:numFmt w:val="none"/>
      <w:lvlRestart w:val="0"/>
      <w:suff w:val="nothing"/>
      <w:lvlText w:val=""/>
      <w:lvlJc w:val="left"/>
      <w:pPr>
        <w:ind w:left="0" w:firstLine="0"/>
      </w:pPr>
    </w:lvl>
    <w:lvl w:ilvl="7" w:tentative="0">
      <w:start w:val="1"/>
      <w:numFmt w:val="none"/>
      <w:lvlRestart w:val="0"/>
      <w:suff w:val="nothing"/>
      <w:lvlText w:val=""/>
      <w:lvlJc w:val="left"/>
      <w:pPr>
        <w:ind w:left="0" w:firstLine="0"/>
      </w:pPr>
    </w:lvl>
    <w:lvl w:ilvl="8" w:tentative="0">
      <w:start w:val="1"/>
      <w:numFmt w:val="none"/>
      <w:lvlRestart w:val="0"/>
      <w:suff w:val="nothing"/>
      <w:lvlText w:val=""/>
      <w:lvlJc w:val="left"/>
      <w:pPr>
        <w:ind w:left="0" w:firstLine="0"/>
      </w:pPr>
    </w:lvl>
  </w:abstractNum>
  <w:abstractNum w:abstractNumId="12">
    <w:nsid w:val="3DAC2829"/>
    <w:multiLevelType w:val="singleLevel"/>
    <w:tmpl w:val="3DAC2829"/>
    <w:lvl w:ilvl="0" w:tentative="0">
      <w:start w:val="1"/>
      <w:numFmt w:val="decimal"/>
      <w:pStyle w:val="75"/>
      <w:lvlText w:val="(%1)"/>
      <w:lvlJc w:val="left"/>
      <w:pPr>
        <w:tabs>
          <w:tab w:val="left" w:pos="907"/>
        </w:tabs>
        <w:ind w:left="907" w:hanging="482"/>
      </w:pPr>
    </w:lvl>
  </w:abstractNum>
  <w:abstractNum w:abstractNumId="13">
    <w:nsid w:val="3E29759A"/>
    <w:multiLevelType w:val="multilevel"/>
    <w:tmpl w:val="3E29759A"/>
    <w:lvl w:ilvl="0" w:tentative="0">
      <w:start w:val="1"/>
      <w:numFmt w:val="decimal"/>
      <w:pStyle w:val="112"/>
      <w:lvlText w:val="%1."/>
      <w:lvlJc w:val="left"/>
      <w:pPr>
        <w:tabs>
          <w:tab w:val="left" w:pos="720"/>
        </w:tabs>
        <w:ind w:left="720" w:hanging="720"/>
      </w:pPr>
    </w:lvl>
    <w:lvl w:ilvl="1" w:tentative="0">
      <w:start w:val="1"/>
      <w:numFmt w:val="decimal"/>
      <w:pStyle w:val="113"/>
      <w:lvlText w:val="%1.%2"/>
      <w:lvlJc w:val="left"/>
      <w:pPr>
        <w:tabs>
          <w:tab w:val="left" w:pos="720"/>
        </w:tabs>
        <w:ind w:left="720" w:hanging="720"/>
      </w:pPr>
    </w:lvl>
    <w:lvl w:ilvl="2" w:tentative="0">
      <w:start w:val="1"/>
      <w:numFmt w:val="lowerLetter"/>
      <w:pStyle w:val="114"/>
      <w:lvlText w:val="(%3)"/>
      <w:lvlJc w:val="left"/>
      <w:pPr>
        <w:tabs>
          <w:tab w:val="left" w:pos="720"/>
        </w:tabs>
        <w:ind w:left="720" w:hanging="720"/>
      </w:pPr>
    </w:lvl>
    <w:lvl w:ilvl="3" w:tentative="0">
      <w:start w:val="1"/>
      <w:numFmt w:val="lowerLetter"/>
      <w:lvlText w:val="(%4)"/>
      <w:lvlJc w:val="left"/>
      <w:pPr>
        <w:tabs>
          <w:tab w:val="left" w:pos="1440"/>
        </w:tabs>
        <w:ind w:left="1440" w:hanging="720"/>
      </w:pPr>
    </w:lvl>
    <w:lvl w:ilvl="4" w:tentative="0">
      <w:start w:val="1"/>
      <w:numFmt w:val="lowerRoman"/>
      <w:lvlText w:val="(%5)"/>
      <w:lvlJc w:val="left"/>
      <w:pPr>
        <w:tabs>
          <w:tab w:val="left" w:pos="1440"/>
        </w:tabs>
        <w:ind w:left="1440" w:hanging="720"/>
      </w:pPr>
    </w:lvl>
    <w:lvl w:ilvl="5" w:tentative="0">
      <w:start w:val="1"/>
      <w:numFmt w:val="lowerRoman"/>
      <w:lvlText w:val="(%6)"/>
      <w:lvlJc w:val="left"/>
      <w:pPr>
        <w:tabs>
          <w:tab w:val="left" w:pos="2160"/>
        </w:tabs>
        <w:ind w:left="2160" w:hanging="720"/>
      </w:pPr>
    </w:lvl>
    <w:lvl w:ilvl="6" w:tentative="0">
      <w:start w:val="1"/>
      <w:numFmt w:val="upperLetter"/>
      <w:lvlText w:val="(%7)"/>
      <w:lvlJc w:val="left"/>
      <w:pPr>
        <w:tabs>
          <w:tab w:val="left" w:pos="2160"/>
        </w:tabs>
        <w:ind w:left="2160" w:hanging="720"/>
      </w:pPr>
    </w:lvl>
    <w:lvl w:ilvl="7" w:tentative="0">
      <w:start w:val="1"/>
      <w:numFmt w:val="upperLetter"/>
      <w:lvlText w:val="(%8)"/>
      <w:lvlJc w:val="left"/>
      <w:pPr>
        <w:tabs>
          <w:tab w:val="left" w:pos="2880"/>
        </w:tabs>
        <w:ind w:left="2880" w:hanging="720"/>
      </w:pPr>
    </w:lvl>
    <w:lvl w:ilvl="8" w:tentative="0">
      <w:start w:val="1"/>
      <w:numFmt w:val="upperRoman"/>
      <w:lvlText w:val="%9."/>
      <w:lvlJc w:val="left"/>
      <w:pPr>
        <w:tabs>
          <w:tab w:val="left" w:pos="3600"/>
        </w:tabs>
        <w:ind w:left="3600" w:hanging="720"/>
      </w:pPr>
    </w:lvl>
  </w:abstractNum>
  <w:abstractNum w:abstractNumId="14">
    <w:nsid w:val="41F230E7"/>
    <w:multiLevelType w:val="singleLevel"/>
    <w:tmpl w:val="41F230E7"/>
    <w:lvl w:ilvl="0" w:tentative="0">
      <w:start w:val="1"/>
      <w:numFmt w:val="bullet"/>
      <w:pStyle w:val="127"/>
      <w:lvlText w:val=""/>
      <w:lvlJc w:val="left"/>
      <w:pPr>
        <w:tabs>
          <w:tab w:val="left" w:pos="720"/>
        </w:tabs>
        <w:ind w:left="720" w:hanging="720"/>
      </w:pPr>
      <w:rPr>
        <w:rFonts w:hint="default" w:ascii="Wingdings" w:hAnsi="Wingdings"/>
      </w:rPr>
    </w:lvl>
  </w:abstractNum>
  <w:abstractNum w:abstractNumId="15">
    <w:nsid w:val="475B3203"/>
    <w:multiLevelType w:val="multilevel"/>
    <w:tmpl w:val="475B3203"/>
    <w:lvl w:ilvl="0" w:tentative="0">
      <w:start w:val="1"/>
      <w:numFmt w:val="none"/>
      <w:pStyle w:val="81"/>
      <w:suff w:val="nothing"/>
      <w:lvlText w:val=""/>
      <w:lvlJc w:val="left"/>
      <w:pPr>
        <w:ind w:left="1260" w:firstLine="0"/>
      </w:pPr>
    </w:lvl>
    <w:lvl w:ilvl="1" w:tentative="0">
      <w:start w:val="1"/>
      <w:numFmt w:val="none"/>
      <w:pStyle w:val="101"/>
      <w:suff w:val="nothing"/>
      <w:lvlText w:val=""/>
      <w:lvlJc w:val="left"/>
      <w:pPr>
        <w:ind w:left="1980" w:firstLine="0"/>
      </w:pPr>
    </w:lvl>
    <w:lvl w:ilvl="2" w:tentative="0">
      <w:start w:val="1"/>
      <w:numFmt w:val="none"/>
      <w:pStyle w:val="102"/>
      <w:suff w:val="nothing"/>
      <w:lvlText w:val=""/>
      <w:lvlJc w:val="left"/>
      <w:pPr>
        <w:ind w:left="2700" w:firstLine="0"/>
      </w:pPr>
    </w:lvl>
    <w:lvl w:ilvl="3" w:tentative="0">
      <w:start w:val="1"/>
      <w:numFmt w:val="none"/>
      <w:pStyle w:val="103"/>
      <w:suff w:val="nothing"/>
      <w:lvlText w:val=""/>
      <w:lvlJc w:val="left"/>
      <w:pPr>
        <w:ind w:left="3420" w:firstLine="0"/>
      </w:pPr>
    </w:lvl>
    <w:lvl w:ilvl="4" w:tentative="0">
      <w:start w:val="1"/>
      <w:numFmt w:val="none"/>
      <w:pStyle w:val="104"/>
      <w:suff w:val="nothing"/>
      <w:lvlText w:val=""/>
      <w:lvlJc w:val="left"/>
      <w:pPr>
        <w:ind w:left="4140" w:firstLine="0"/>
      </w:pPr>
    </w:lvl>
    <w:lvl w:ilvl="5" w:tentative="0">
      <w:start w:val="1"/>
      <w:numFmt w:val="none"/>
      <w:pStyle w:val="105"/>
      <w:suff w:val="nothing"/>
      <w:lvlText w:val=""/>
      <w:lvlJc w:val="left"/>
      <w:pPr>
        <w:ind w:left="4860" w:firstLine="0"/>
      </w:pPr>
    </w:lvl>
    <w:lvl w:ilvl="6" w:tentative="0">
      <w:start w:val="1"/>
      <w:numFmt w:val="none"/>
      <w:pStyle w:val="106"/>
      <w:suff w:val="nothing"/>
      <w:lvlText w:val=""/>
      <w:lvlJc w:val="left"/>
      <w:pPr>
        <w:ind w:left="5580" w:firstLine="0"/>
      </w:pPr>
    </w:lvl>
    <w:lvl w:ilvl="7" w:tentative="0">
      <w:start w:val="1"/>
      <w:numFmt w:val="none"/>
      <w:pStyle w:val="107"/>
      <w:suff w:val="nothing"/>
      <w:lvlText w:val=""/>
      <w:lvlJc w:val="left"/>
      <w:pPr>
        <w:ind w:left="6300" w:firstLine="0"/>
      </w:pPr>
    </w:lvl>
    <w:lvl w:ilvl="8" w:tentative="0">
      <w:start w:val="1"/>
      <w:numFmt w:val="none"/>
      <w:pStyle w:val="108"/>
      <w:suff w:val="nothing"/>
      <w:lvlText w:val=""/>
      <w:lvlJc w:val="left"/>
      <w:pPr>
        <w:ind w:left="7020" w:firstLine="0"/>
      </w:pPr>
    </w:lvl>
  </w:abstractNum>
  <w:abstractNum w:abstractNumId="16">
    <w:nsid w:val="47B238E7"/>
    <w:multiLevelType w:val="multilevel"/>
    <w:tmpl w:val="47B238E7"/>
    <w:lvl w:ilvl="0" w:tentative="0">
      <w:start w:val="1"/>
      <w:numFmt w:val="decimal"/>
      <w:pStyle w:val="115"/>
      <w:lvlText w:val="%1."/>
      <w:lvlJc w:val="left"/>
      <w:pPr>
        <w:tabs>
          <w:tab w:val="left" w:pos="720"/>
        </w:tabs>
        <w:ind w:left="720" w:hanging="720"/>
      </w:pPr>
    </w:lvl>
    <w:lvl w:ilvl="1" w:tentative="0">
      <w:start w:val="1"/>
      <w:numFmt w:val="decimal"/>
      <w:pStyle w:val="116"/>
      <w:lvlText w:val="%1.%2"/>
      <w:lvlJc w:val="left"/>
      <w:pPr>
        <w:tabs>
          <w:tab w:val="left" w:pos="720"/>
        </w:tabs>
        <w:ind w:left="720" w:hanging="720"/>
      </w:pPr>
    </w:lvl>
    <w:lvl w:ilvl="2" w:tentative="0">
      <w:start w:val="1"/>
      <w:numFmt w:val="lowerLetter"/>
      <w:lvlText w:val="(%3)"/>
      <w:lvlJc w:val="left"/>
      <w:pPr>
        <w:tabs>
          <w:tab w:val="left" w:pos="720"/>
        </w:tabs>
        <w:ind w:left="720" w:hanging="720"/>
      </w:pPr>
    </w:lvl>
    <w:lvl w:ilvl="3" w:tentative="0">
      <w:start w:val="1"/>
      <w:numFmt w:val="lowerLetter"/>
      <w:lvlText w:val="(%4)"/>
      <w:lvlJc w:val="left"/>
      <w:pPr>
        <w:tabs>
          <w:tab w:val="left" w:pos="1440"/>
        </w:tabs>
        <w:ind w:left="1440" w:hanging="720"/>
      </w:pPr>
    </w:lvl>
    <w:lvl w:ilvl="4" w:tentative="0">
      <w:start w:val="1"/>
      <w:numFmt w:val="lowerRoman"/>
      <w:lvlText w:val="(%5)"/>
      <w:lvlJc w:val="left"/>
      <w:pPr>
        <w:tabs>
          <w:tab w:val="left" w:pos="1440"/>
        </w:tabs>
        <w:ind w:left="1440" w:hanging="720"/>
      </w:pPr>
    </w:lvl>
    <w:lvl w:ilvl="5" w:tentative="0">
      <w:start w:val="1"/>
      <w:numFmt w:val="lowerRoman"/>
      <w:lvlText w:val="(%6)"/>
      <w:lvlJc w:val="left"/>
      <w:pPr>
        <w:tabs>
          <w:tab w:val="left" w:pos="2160"/>
        </w:tabs>
        <w:ind w:left="2160" w:hanging="720"/>
      </w:pPr>
    </w:lvl>
    <w:lvl w:ilvl="6" w:tentative="0">
      <w:start w:val="1"/>
      <w:numFmt w:val="upperLetter"/>
      <w:lvlText w:val="(%7)"/>
      <w:lvlJc w:val="left"/>
      <w:pPr>
        <w:tabs>
          <w:tab w:val="left" w:pos="2160"/>
        </w:tabs>
        <w:ind w:left="2160" w:hanging="720"/>
      </w:pPr>
    </w:lvl>
    <w:lvl w:ilvl="7" w:tentative="0">
      <w:start w:val="1"/>
      <w:numFmt w:val="upperLetter"/>
      <w:lvlText w:val="(%8)"/>
      <w:lvlJc w:val="left"/>
      <w:pPr>
        <w:tabs>
          <w:tab w:val="left" w:pos="2880"/>
        </w:tabs>
        <w:ind w:left="2880" w:hanging="720"/>
      </w:pPr>
    </w:lvl>
    <w:lvl w:ilvl="8" w:tentative="0">
      <w:start w:val="1"/>
      <w:numFmt w:val="upperRoman"/>
      <w:lvlText w:val="%9."/>
      <w:lvlJc w:val="left"/>
      <w:pPr>
        <w:tabs>
          <w:tab w:val="left" w:pos="3600"/>
        </w:tabs>
        <w:ind w:left="3600" w:hanging="720"/>
      </w:pPr>
    </w:lvl>
  </w:abstractNum>
  <w:abstractNum w:abstractNumId="17">
    <w:nsid w:val="49C66851"/>
    <w:multiLevelType w:val="multilevel"/>
    <w:tmpl w:val="49C66851"/>
    <w:lvl w:ilvl="0" w:tentative="0">
      <w:start w:val="1"/>
      <w:numFmt w:val="decimal"/>
      <w:pStyle w:val="88"/>
      <w:suff w:val="nothing"/>
      <w:lvlText w:val="Annex %1"/>
      <w:lvlJc w:val="left"/>
      <w:pPr>
        <w:ind w:left="0" w:firstLine="0"/>
      </w:pPr>
      <w:rPr>
        <w:b/>
        <w:i w:val="0"/>
      </w:rPr>
    </w:lvl>
    <w:lvl w:ilvl="1" w:tentative="0">
      <w:start w:val="1"/>
      <w:numFmt w:val="decimal"/>
      <w:pStyle w:val="91"/>
      <w:suff w:val="nothing"/>
      <w:lvlText w:val="Part %2"/>
      <w:lvlJc w:val="left"/>
      <w:pPr>
        <w:ind w:left="0" w:firstLine="0"/>
      </w:pPr>
      <w:rPr>
        <w:b/>
        <w:i w:val="0"/>
      </w:rPr>
    </w:lvl>
    <w:lvl w:ilvl="2" w:tentative="0">
      <w:start w:val="1"/>
      <w:numFmt w:val="none"/>
      <w:lvlRestart w:val="0"/>
      <w:suff w:val="nothing"/>
      <w:lvlText w:val=""/>
      <w:lvlJc w:val="left"/>
      <w:pPr>
        <w:ind w:left="0" w:firstLine="0"/>
      </w:pPr>
    </w:lvl>
    <w:lvl w:ilvl="3" w:tentative="0">
      <w:start w:val="1"/>
      <w:numFmt w:val="none"/>
      <w:lvlRestart w:val="0"/>
      <w:suff w:val="nothing"/>
      <w:lvlText w:val=""/>
      <w:lvlJc w:val="left"/>
      <w:pPr>
        <w:ind w:left="0" w:firstLine="0"/>
      </w:pPr>
    </w:lvl>
    <w:lvl w:ilvl="4" w:tentative="0">
      <w:start w:val="1"/>
      <w:numFmt w:val="none"/>
      <w:lvlRestart w:val="0"/>
      <w:suff w:val="nothing"/>
      <w:lvlText w:val=""/>
      <w:lvlJc w:val="left"/>
      <w:pPr>
        <w:ind w:left="0" w:firstLine="0"/>
      </w:pPr>
    </w:lvl>
    <w:lvl w:ilvl="5" w:tentative="0">
      <w:start w:val="1"/>
      <w:numFmt w:val="none"/>
      <w:lvlRestart w:val="0"/>
      <w:suff w:val="nothing"/>
      <w:lvlText w:val=""/>
      <w:lvlJc w:val="left"/>
      <w:pPr>
        <w:ind w:left="0" w:firstLine="0"/>
      </w:pPr>
    </w:lvl>
    <w:lvl w:ilvl="6" w:tentative="0">
      <w:start w:val="1"/>
      <w:numFmt w:val="none"/>
      <w:lvlRestart w:val="0"/>
      <w:suff w:val="nothing"/>
      <w:lvlText w:val=""/>
      <w:lvlJc w:val="left"/>
      <w:pPr>
        <w:ind w:left="0" w:firstLine="0"/>
      </w:pPr>
    </w:lvl>
    <w:lvl w:ilvl="7" w:tentative="0">
      <w:start w:val="1"/>
      <w:numFmt w:val="none"/>
      <w:lvlRestart w:val="0"/>
      <w:suff w:val="nothing"/>
      <w:lvlText w:val=""/>
      <w:lvlJc w:val="left"/>
      <w:pPr>
        <w:ind w:left="0" w:firstLine="0"/>
      </w:pPr>
    </w:lvl>
    <w:lvl w:ilvl="8" w:tentative="0">
      <w:start w:val="1"/>
      <w:numFmt w:val="none"/>
      <w:lvlRestart w:val="0"/>
      <w:suff w:val="nothing"/>
      <w:lvlText w:val=""/>
      <w:lvlJc w:val="left"/>
      <w:pPr>
        <w:ind w:left="0" w:firstLine="0"/>
      </w:pPr>
    </w:lvl>
  </w:abstractNum>
  <w:abstractNum w:abstractNumId="18">
    <w:nsid w:val="4CFE7B09"/>
    <w:multiLevelType w:val="multilevel"/>
    <w:tmpl w:val="4CFE7B09"/>
    <w:lvl w:ilvl="0" w:tentative="0">
      <w:start w:val="1"/>
      <w:numFmt w:val="decimal"/>
      <w:pStyle w:val="86"/>
      <w:lvlText w:val="(%1)"/>
      <w:lvlJc w:val="left"/>
      <w:pPr>
        <w:tabs>
          <w:tab w:val="left" w:pos="720"/>
        </w:tabs>
        <w:ind w:left="720" w:hanging="720"/>
      </w:pPr>
    </w:lvl>
    <w:lvl w:ilvl="1" w:tentative="0">
      <w:start w:val="1"/>
      <w:numFmt w:val="none"/>
      <w:lvlRestart w:val="0"/>
      <w:suff w:val="nothing"/>
      <w:lvlText w:val=""/>
      <w:lvlJc w:val="left"/>
      <w:pPr>
        <w:ind w:left="0" w:firstLine="0"/>
      </w:pPr>
    </w:lvl>
    <w:lvl w:ilvl="2" w:tentative="0">
      <w:start w:val="1"/>
      <w:numFmt w:val="none"/>
      <w:lvlRestart w:val="0"/>
      <w:suff w:val="nothing"/>
      <w:lvlText w:val=""/>
      <w:lvlJc w:val="left"/>
      <w:pPr>
        <w:ind w:left="0" w:firstLine="0"/>
      </w:pPr>
    </w:lvl>
    <w:lvl w:ilvl="3" w:tentative="0">
      <w:start w:val="1"/>
      <w:numFmt w:val="none"/>
      <w:lvlRestart w:val="0"/>
      <w:suff w:val="nothing"/>
      <w:lvlText w:val=""/>
      <w:lvlJc w:val="left"/>
      <w:pPr>
        <w:ind w:left="0" w:firstLine="0"/>
      </w:pPr>
    </w:lvl>
    <w:lvl w:ilvl="4" w:tentative="0">
      <w:start w:val="1"/>
      <w:numFmt w:val="none"/>
      <w:lvlRestart w:val="0"/>
      <w:suff w:val="nothing"/>
      <w:lvlText w:val=""/>
      <w:lvlJc w:val="left"/>
      <w:pPr>
        <w:ind w:left="0" w:firstLine="0"/>
      </w:pPr>
    </w:lvl>
    <w:lvl w:ilvl="5" w:tentative="0">
      <w:start w:val="1"/>
      <w:numFmt w:val="none"/>
      <w:lvlRestart w:val="0"/>
      <w:suff w:val="nothing"/>
      <w:lvlText w:val=""/>
      <w:lvlJc w:val="left"/>
      <w:pPr>
        <w:ind w:left="0" w:firstLine="0"/>
      </w:pPr>
    </w:lvl>
    <w:lvl w:ilvl="6" w:tentative="0">
      <w:start w:val="1"/>
      <w:numFmt w:val="none"/>
      <w:lvlRestart w:val="0"/>
      <w:suff w:val="nothing"/>
      <w:lvlText w:val=""/>
      <w:lvlJc w:val="left"/>
      <w:pPr>
        <w:ind w:left="0" w:firstLine="0"/>
      </w:pPr>
    </w:lvl>
    <w:lvl w:ilvl="7" w:tentative="0">
      <w:start w:val="1"/>
      <w:numFmt w:val="none"/>
      <w:lvlRestart w:val="0"/>
      <w:suff w:val="nothing"/>
      <w:lvlText w:val=""/>
      <w:lvlJc w:val="left"/>
      <w:pPr>
        <w:ind w:left="0" w:firstLine="0"/>
      </w:pPr>
    </w:lvl>
    <w:lvl w:ilvl="8" w:tentative="0">
      <w:start w:val="1"/>
      <w:numFmt w:val="none"/>
      <w:lvlRestart w:val="0"/>
      <w:suff w:val="nothing"/>
      <w:lvlText w:val=""/>
      <w:lvlJc w:val="left"/>
      <w:pPr>
        <w:ind w:left="0" w:firstLine="0"/>
      </w:pPr>
    </w:lvl>
  </w:abstractNum>
  <w:abstractNum w:abstractNumId="19">
    <w:nsid w:val="4E4B4E3E"/>
    <w:multiLevelType w:val="multilevel"/>
    <w:tmpl w:val="4E4B4E3E"/>
    <w:lvl w:ilvl="0" w:tentative="0">
      <w:start w:val="1"/>
      <w:numFmt w:val="decimal"/>
      <w:pStyle w:val="117"/>
      <w:lvlText w:val="%1."/>
      <w:lvlJc w:val="left"/>
      <w:pPr>
        <w:tabs>
          <w:tab w:val="left" w:pos="720"/>
        </w:tabs>
        <w:ind w:left="720" w:hanging="720"/>
      </w:pPr>
    </w:lvl>
    <w:lvl w:ilvl="1" w:tentative="0">
      <w:start w:val="1"/>
      <w:numFmt w:val="decimal"/>
      <w:pStyle w:val="119"/>
      <w:lvlText w:val="%1.%2"/>
      <w:lvlJc w:val="left"/>
      <w:pPr>
        <w:tabs>
          <w:tab w:val="left" w:pos="720"/>
        </w:tabs>
        <w:ind w:left="720" w:hanging="720"/>
      </w:pPr>
    </w:lvl>
    <w:lvl w:ilvl="2" w:tentative="0">
      <w:start w:val="1"/>
      <w:numFmt w:val="lowerLetter"/>
      <w:pStyle w:val="120"/>
      <w:lvlText w:val="(%3)"/>
      <w:lvlJc w:val="left"/>
      <w:pPr>
        <w:tabs>
          <w:tab w:val="left" w:pos="1440"/>
        </w:tabs>
        <w:ind w:left="1440" w:hanging="720"/>
      </w:pPr>
    </w:lvl>
    <w:lvl w:ilvl="3" w:tentative="0">
      <w:start w:val="1"/>
      <w:numFmt w:val="lowerRoman"/>
      <w:pStyle w:val="121"/>
      <w:lvlText w:val="(%4)"/>
      <w:lvlJc w:val="left"/>
      <w:pPr>
        <w:tabs>
          <w:tab w:val="left" w:pos="2160"/>
        </w:tabs>
        <w:ind w:left="2160" w:hanging="720"/>
      </w:pPr>
    </w:lvl>
    <w:lvl w:ilvl="4" w:tentative="0">
      <w:start w:val="1"/>
      <w:numFmt w:val="upperLetter"/>
      <w:pStyle w:val="122"/>
      <w:lvlText w:val="(%5)"/>
      <w:lvlJc w:val="left"/>
      <w:pPr>
        <w:tabs>
          <w:tab w:val="left" w:pos="2880"/>
        </w:tabs>
        <w:ind w:left="2880" w:hanging="720"/>
      </w:pPr>
    </w:lvl>
    <w:lvl w:ilvl="5" w:tentative="0">
      <w:start w:val="1"/>
      <w:numFmt w:val="upperRoman"/>
      <w:pStyle w:val="123"/>
      <w:lvlText w:val="%6."/>
      <w:lvlJc w:val="left"/>
      <w:pPr>
        <w:tabs>
          <w:tab w:val="left" w:pos="3600"/>
        </w:tabs>
        <w:ind w:left="3600" w:hanging="720"/>
      </w:pPr>
    </w:lvl>
    <w:lvl w:ilvl="6" w:tentative="0">
      <w:start w:val="1"/>
      <w:numFmt w:val="none"/>
      <w:lvlRestart w:val="0"/>
      <w:suff w:val="nothing"/>
      <w:lvlText w:val=""/>
      <w:lvlJc w:val="left"/>
      <w:pPr>
        <w:ind w:left="0" w:firstLine="0"/>
      </w:pPr>
    </w:lvl>
    <w:lvl w:ilvl="7" w:tentative="0">
      <w:start w:val="1"/>
      <w:numFmt w:val="none"/>
      <w:lvlRestart w:val="0"/>
      <w:suff w:val="nothing"/>
      <w:lvlText w:val=""/>
      <w:lvlJc w:val="left"/>
      <w:pPr>
        <w:ind w:left="0" w:firstLine="0"/>
      </w:pPr>
    </w:lvl>
    <w:lvl w:ilvl="8" w:tentative="0">
      <w:start w:val="1"/>
      <w:numFmt w:val="none"/>
      <w:lvlRestart w:val="0"/>
      <w:suff w:val="nothing"/>
      <w:lvlText w:val=""/>
      <w:lvlJc w:val="left"/>
      <w:pPr>
        <w:ind w:left="0" w:firstLine="0"/>
      </w:pPr>
    </w:lvl>
  </w:abstractNum>
  <w:abstractNum w:abstractNumId="20">
    <w:nsid w:val="547D73EE"/>
    <w:multiLevelType w:val="multilevel"/>
    <w:tmpl w:val="547D73EE"/>
    <w:lvl w:ilvl="0" w:tentative="0">
      <w:start w:val="1"/>
      <w:numFmt w:val="decimal"/>
      <w:pStyle w:val="156"/>
      <w:suff w:val="space"/>
      <w:lvlText w:val="§%1"/>
      <w:lvlJc w:val="left"/>
      <w:pPr>
        <w:ind w:left="425" w:hanging="425"/>
      </w:pPr>
      <w:rPr>
        <w:rFonts w:hint="eastAsia"/>
      </w:rPr>
    </w:lvl>
    <w:lvl w:ilvl="1" w:tentative="0">
      <w:start w:val="1"/>
      <w:numFmt w:val="decimal"/>
      <w:pStyle w:val="157"/>
      <w:suff w:val="space"/>
      <w:lvlText w:val="%1.%2"/>
      <w:lvlJc w:val="left"/>
      <w:pPr>
        <w:ind w:left="454" w:hanging="454"/>
      </w:pPr>
      <w:rPr>
        <w:rFonts w:hint="eastAsia"/>
      </w:rPr>
    </w:lvl>
    <w:lvl w:ilvl="2" w:tentative="0">
      <w:start w:val="1"/>
      <w:numFmt w:val="decimal"/>
      <w:pStyle w:val="158"/>
      <w:lvlText w:val="%3."/>
      <w:lvlJc w:val="left"/>
      <w:pPr>
        <w:ind w:left="624" w:hanging="62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pStyle w:val="159"/>
      <w:suff w:val="space"/>
      <w:lvlText w:val="%1.%2.%3.%4"/>
      <w:lvlJc w:val="left"/>
      <w:pPr>
        <w:ind w:left="794" w:hanging="794"/>
      </w:pPr>
      <w:rPr>
        <w:rFonts w:hint="eastAsia"/>
      </w:rPr>
    </w:lvl>
    <w:lvl w:ilvl="4" w:tentative="0">
      <w:start w:val="1"/>
      <w:numFmt w:val="decimal"/>
      <w:pStyle w:val="160"/>
      <w:suff w:val="space"/>
      <w:lvlText w:val="%1.%2.%3.%4.%5"/>
      <w:lvlJc w:val="left"/>
      <w:pPr>
        <w:ind w:left="1021" w:hanging="1021"/>
      </w:pPr>
      <w:rPr>
        <w:rFonts w:hint="eastAsia"/>
      </w:rPr>
    </w:lvl>
    <w:lvl w:ilvl="5" w:tentative="0">
      <w:start w:val="1"/>
      <w:numFmt w:val="decimal"/>
      <w:pStyle w:val="161"/>
      <w:suff w:val="space"/>
      <w:lvlText w:val="%1.%2.%3.%4.%5.%6"/>
      <w:lvlJc w:val="left"/>
      <w:pPr>
        <w:ind w:left="1021" w:hanging="1021"/>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1">
    <w:nsid w:val="62830D10"/>
    <w:multiLevelType w:val="multilevel"/>
    <w:tmpl w:val="62830D10"/>
    <w:lvl w:ilvl="0" w:tentative="0">
      <w:start w:val="1"/>
      <w:numFmt w:val="upperLetter"/>
      <w:pStyle w:val="87"/>
      <w:lvlText w:val="(%1)"/>
      <w:lvlJc w:val="left"/>
      <w:pPr>
        <w:tabs>
          <w:tab w:val="left" w:pos="720"/>
        </w:tabs>
        <w:ind w:left="720" w:hanging="720"/>
      </w:pPr>
    </w:lvl>
    <w:lvl w:ilvl="1" w:tentative="0">
      <w:start w:val="1"/>
      <w:numFmt w:val="none"/>
      <w:lvlRestart w:val="0"/>
      <w:suff w:val="nothing"/>
      <w:lvlText w:val=""/>
      <w:lvlJc w:val="left"/>
      <w:pPr>
        <w:ind w:left="0" w:firstLine="0"/>
      </w:pPr>
    </w:lvl>
    <w:lvl w:ilvl="2" w:tentative="0">
      <w:start w:val="1"/>
      <w:numFmt w:val="none"/>
      <w:lvlRestart w:val="0"/>
      <w:suff w:val="nothing"/>
      <w:lvlText w:val=""/>
      <w:lvlJc w:val="left"/>
      <w:pPr>
        <w:ind w:left="0" w:firstLine="0"/>
      </w:pPr>
    </w:lvl>
    <w:lvl w:ilvl="3" w:tentative="0">
      <w:start w:val="1"/>
      <w:numFmt w:val="none"/>
      <w:lvlRestart w:val="0"/>
      <w:suff w:val="nothing"/>
      <w:lvlText w:val=""/>
      <w:lvlJc w:val="left"/>
      <w:pPr>
        <w:ind w:left="0" w:firstLine="0"/>
      </w:pPr>
    </w:lvl>
    <w:lvl w:ilvl="4" w:tentative="0">
      <w:start w:val="1"/>
      <w:numFmt w:val="none"/>
      <w:lvlRestart w:val="0"/>
      <w:suff w:val="nothing"/>
      <w:lvlText w:val=""/>
      <w:lvlJc w:val="left"/>
      <w:pPr>
        <w:ind w:left="0" w:firstLine="0"/>
      </w:pPr>
    </w:lvl>
    <w:lvl w:ilvl="5" w:tentative="0">
      <w:start w:val="1"/>
      <w:numFmt w:val="none"/>
      <w:lvlRestart w:val="0"/>
      <w:suff w:val="nothing"/>
      <w:lvlText w:val=""/>
      <w:lvlJc w:val="left"/>
      <w:pPr>
        <w:ind w:left="0" w:firstLine="0"/>
      </w:pPr>
    </w:lvl>
    <w:lvl w:ilvl="6" w:tentative="0">
      <w:start w:val="1"/>
      <w:numFmt w:val="none"/>
      <w:lvlRestart w:val="0"/>
      <w:suff w:val="nothing"/>
      <w:lvlText w:val=""/>
      <w:lvlJc w:val="left"/>
      <w:pPr>
        <w:ind w:left="0" w:firstLine="0"/>
      </w:pPr>
    </w:lvl>
    <w:lvl w:ilvl="7" w:tentative="0">
      <w:start w:val="1"/>
      <w:numFmt w:val="none"/>
      <w:lvlRestart w:val="0"/>
      <w:suff w:val="nothing"/>
      <w:lvlText w:val=""/>
      <w:lvlJc w:val="left"/>
      <w:pPr>
        <w:ind w:left="0" w:firstLine="0"/>
      </w:pPr>
    </w:lvl>
    <w:lvl w:ilvl="8" w:tentative="0">
      <w:start w:val="1"/>
      <w:numFmt w:val="none"/>
      <w:lvlRestart w:val="0"/>
      <w:suff w:val="nothing"/>
      <w:lvlText w:val=""/>
      <w:lvlJc w:val="left"/>
      <w:pPr>
        <w:ind w:left="0" w:firstLine="0"/>
      </w:pPr>
    </w:lvl>
  </w:abstractNum>
  <w:abstractNum w:abstractNumId="22">
    <w:nsid w:val="65164B80"/>
    <w:multiLevelType w:val="multilevel"/>
    <w:tmpl w:val="65164B80"/>
    <w:lvl w:ilvl="0" w:tentative="0">
      <w:start w:val="1"/>
      <w:numFmt w:val="decimal"/>
      <w:pStyle w:val="3"/>
      <w:lvlText w:val="%1"/>
      <w:lvlJc w:val="left"/>
      <w:pPr>
        <w:tabs>
          <w:tab w:val="left" w:pos="3835"/>
        </w:tabs>
        <w:ind w:left="3835" w:hanging="432"/>
      </w:pPr>
    </w:lvl>
    <w:lvl w:ilvl="1" w:tentative="0">
      <w:start w:val="1"/>
      <w:numFmt w:val="chineseCountingThousand"/>
      <w:pStyle w:val="4"/>
      <w:lvlText w:val="%2、"/>
      <w:lvlJc w:val="left"/>
      <w:pPr>
        <w:tabs>
          <w:tab w:val="left" w:pos="1002"/>
        </w:tabs>
        <w:ind w:left="1002" w:hanging="576"/>
      </w:pPr>
      <w:rPr>
        <w:b/>
        <w:sz w:val="32"/>
        <w:szCs w:val="32"/>
      </w:rPr>
    </w:lvl>
    <w:lvl w:ilvl="2" w:tentative="0">
      <w:start w:val="1"/>
      <w:numFmt w:val="decimal"/>
      <w:pStyle w:val="5"/>
      <w:lvlText w:val="%1.%2.%3"/>
      <w:lvlJc w:val="left"/>
      <w:pPr>
        <w:tabs>
          <w:tab w:val="left" w:pos="720"/>
        </w:tabs>
        <w:ind w:left="720" w:hanging="720"/>
      </w:pPr>
    </w:lvl>
    <w:lvl w:ilvl="3" w:tentative="0">
      <w:start w:val="1"/>
      <w:numFmt w:val="decimal"/>
      <w:pStyle w:val="6"/>
      <w:lvlText w:val="%1.%2.%3.%4"/>
      <w:lvlJc w:val="left"/>
      <w:pPr>
        <w:tabs>
          <w:tab w:val="left" w:pos="864"/>
        </w:tabs>
        <w:ind w:left="864" w:hanging="864"/>
      </w:pPr>
    </w:lvl>
    <w:lvl w:ilvl="4" w:tentative="0">
      <w:start w:val="1"/>
      <w:numFmt w:val="decimal"/>
      <w:pStyle w:val="7"/>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23">
    <w:nsid w:val="6F025FAA"/>
    <w:multiLevelType w:val="multilevel"/>
    <w:tmpl w:val="6F025FAA"/>
    <w:lvl w:ilvl="0" w:tentative="0">
      <w:start w:val="1"/>
      <w:numFmt w:val="none"/>
      <w:pStyle w:val="84"/>
      <w:suff w:val="nothing"/>
      <w:lvlText w:val=""/>
      <w:lvlJc w:val="left"/>
      <w:pPr>
        <w:ind w:left="720" w:firstLine="0"/>
      </w:pPr>
      <w:rPr>
        <w:rFonts w:ascii="Times New Roman" w:hAnsi="Times New Roman"/>
        <w:b/>
        <w:i w:val="0"/>
        <w:caps/>
        <w:smallCaps w:val="0"/>
        <w:sz w:val="22"/>
      </w:rPr>
    </w:lvl>
    <w:lvl w:ilvl="1" w:tentative="0">
      <w:start w:val="1"/>
      <w:numFmt w:val="none"/>
      <w:pStyle w:val="85"/>
      <w:suff w:val="nothing"/>
      <w:lvlText w:val=""/>
      <w:lvlJc w:val="left"/>
      <w:pPr>
        <w:ind w:left="720" w:firstLine="0"/>
      </w:pPr>
      <w:rPr>
        <w:rFonts w:ascii="Times New Roman" w:hAnsi="Times New Roman"/>
        <w:b/>
        <w:i w:val="0"/>
        <w:caps w:val="0"/>
        <w:smallCaps w:val="0"/>
        <w:sz w:val="22"/>
      </w:rPr>
    </w:lvl>
    <w:lvl w:ilvl="2" w:tentative="0">
      <w:start w:val="1"/>
      <w:numFmt w:val="lowerLetter"/>
      <w:lvlText w:val="(%3)"/>
      <w:lvlJc w:val="left"/>
      <w:pPr>
        <w:tabs>
          <w:tab w:val="left" w:pos="1440"/>
        </w:tabs>
        <w:ind w:left="1440" w:hanging="720"/>
      </w:pPr>
      <w:rPr>
        <w:rFonts w:ascii="Times New Roman" w:hAnsi="Times New Roman"/>
        <w:b w:val="0"/>
        <w:i w:val="0"/>
        <w:sz w:val="22"/>
      </w:rPr>
    </w:lvl>
    <w:lvl w:ilvl="3" w:tentative="0">
      <w:start w:val="1"/>
      <w:numFmt w:val="lowerRoman"/>
      <w:lvlText w:val="(%4)"/>
      <w:lvlJc w:val="left"/>
      <w:pPr>
        <w:tabs>
          <w:tab w:val="left" w:pos="1440"/>
        </w:tabs>
        <w:ind w:left="1440" w:hanging="720"/>
      </w:pPr>
      <w:rPr>
        <w:rFonts w:ascii="Times New Roman" w:hAnsi="Times New Roman"/>
        <w:b w:val="0"/>
        <w:i w:val="0"/>
        <w:sz w:val="22"/>
      </w:rPr>
    </w:lvl>
    <w:lvl w:ilvl="4" w:tentative="0">
      <w:start w:val="1"/>
      <w:numFmt w:val="lowerLetter"/>
      <w:lvlText w:val="(%5)"/>
      <w:lvlJc w:val="left"/>
      <w:pPr>
        <w:tabs>
          <w:tab w:val="left" w:pos="2160"/>
        </w:tabs>
        <w:ind w:left="2160" w:hanging="720"/>
      </w:pPr>
      <w:rPr>
        <w:rFonts w:ascii="Times New Roman" w:hAnsi="Times New Roman"/>
        <w:b w:val="0"/>
        <w:i w:val="0"/>
        <w:sz w:val="22"/>
      </w:rPr>
    </w:lvl>
    <w:lvl w:ilvl="5" w:tentative="0">
      <w:start w:val="1"/>
      <w:numFmt w:val="lowerRoman"/>
      <w:lvlText w:val="(%6)"/>
      <w:lvlJc w:val="left"/>
      <w:pPr>
        <w:tabs>
          <w:tab w:val="left" w:pos="2160"/>
        </w:tabs>
        <w:ind w:left="2160" w:hanging="720"/>
      </w:pPr>
      <w:rPr>
        <w:rFonts w:ascii="Times New Roman" w:hAnsi="Times New Roman"/>
        <w:b w:val="0"/>
        <w:i w:val="0"/>
        <w:sz w:val="22"/>
      </w:rPr>
    </w:lvl>
    <w:lvl w:ilvl="6" w:tentative="0">
      <w:start w:val="1"/>
      <w:numFmt w:val="upperLetter"/>
      <w:lvlText w:val="(%7)"/>
      <w:lvlJc w:val="left"/>
      <w:pPr>
        <w:tabs>
          <w:tab w:val="left" w:pos="2160"/>
        </w:tabs>
        <w:ind w:left="2160" w:hanging="720"/>
      </w:pPr>
    </w:lvl>
    <w:lvl w:ilvl="7" w:tentative="0">
      <w:start w:val="1"/>
      <w:numFmt w:val="decimal"/>
      <w:lvlText w:val="(%8)"/>
      <w:lvlJc w:val="left"/>
      <w:pPr>
        <w:tabs>
          <w:tab w:val="left" w:pos="1440"/>
        </w:tabs>
        <w:ind w:left="1440" w:hanging="720"/>
      </w:pPr>
      <w:rPr>
        <w:rFonts w:ascii="Times New Roman" w:hAnsi="Times New Roman"/>
        <w:b w:val="0"/>
        <w:i w:val="0"/>
        <w:sz w:val="22"/>
      </w:rPr>
    </w:lvl>
    <w:lvl w:ilvl="8" w:tentative="0">
      <w:start w:val="1"/>
      <w:numFmt w:val="decimal"/>
      <w:lvlText w:val="(%9)"/>
      <w:lvlJc w:val="left"/>
      <w:pPr>
        <w:tabs>
          <w:tab w:val="left" w:pos="2160"/>
        </w:tabs>
        <w:ind w:left="2160" w:hanging="720"/>
      </w:pPr>
      <w:rPr>
        <w:rFonts w:ascii="Times New Roman" w:hAnsi="Times New Roman"/>
        <w:b w:val="0"/>
        <w:i w:val="0"/>
        <w:sz w:val="22"/>
      </w:rPr>
    </w:lvl>
  </w:abstractNum>
  <w:abstractNum w:abstractNumId="24">
    <w:nsid w:val="6F8D3D7A"/>
    <w:multiLevelType w:val="singleLevel"/>
    <w:tmpl w:val="6F8D3D7A"/>
    <w:lvl w:ilvl="0" w:tentative="0">
      <w:start w:val="1"/>
      <w:numFmt w:val="bullet"/>
      <w:pStyle w:val="126"/>
      <w:lvlText w:val=""/>
      <w:lvlJc w:val="left"/>
      <w:pPr>
        <w:tabs>
          <w:tab w:val="left" w:pos="720"/>
        </w:tabs>
        <w:ind w:left="720" w:hanging="720"/>
      </w:pPr>
      <w:rPr>
        <w:rFonts w:hint="default" w:ascii="Symbol" w:hAnsi="Symbol"/>
      </w:rPr>
    </w:lvl>
  </w:abstractNum>
  <w:abstractNum w:abstractNumId="25">
    <w:nsid w:val="761544F7"/>
    <w:multiLevelType w:val="multilevel"/>
    <w:tmpl w:val="761544F7"/>
    <w:lvl w:ilvl="0" w:tentative="0">
      <w:start w:val="1"/>
      <w:numFmt w:val="decimal"/>
      <w:pStyle w:val="109"/>
      <w:lvlText w:val="%1."/>
      <w:lvlJc w:val="left"/>
      <w:pPr>
        <w:tabs>
          <w:tab w:val="left" w:pos="720"/>
        </w:tabs>
        <w:ind w:left="720" w:hanging="720"/>
      </w:pPr>
    </w:lvl>
    <w:lvl w:ilvl="1" w:tentative="0">
      <w:start w:val="1"/>
      <w:numFmt w:val="decimal"/>
      <w:pStyle w:val="110"/>
      <w:lvlText w:val="%1.%2"/>
      <w:lvlJc w:val="left"/>
      <w:pPr>
        <w:tabs>
          <w:tab w:val="left" w:pos="720"/>
        </w:tabs>
        <w:ind w:left="720" w:hanging="720"/>
      </w:pPr>
    </w:lvl>
    <w:lvl w:ilvl="2" w:tentative="0">
      <w:start w:val="1"/>
      <w:numFmt w:val="lowerLetter"/>
      <w:pStyle w:val="111"/>
      <w:lvlText w:val="(%3)"/>
      <w:lvlJc w:val="left"/>
      <w:pPr>
        <w:tabs>
          <w:tab w:val="left" w:pos="720"/>
        </w:tabs>
        <w:ind w:left="720" w:hanging="720"/>
      </w:pPr>
    </w:lvl>
    <w:lvl w:ilvl="3" w:tentative="0">
      <w:start w:val="1"/>
      <w:numFmt w:val="lowerLetter"/>
      <w:lvlText w:val="(%4)"/>
      <w:lvlJc w:val="left"/>
      <w:pPr>
        <w:tabs>
          <w:tab w:val="left" w:pos="1440"/>
        </w:tabs>
        <w:ind w:left="1440" w:hanging="720"/>
      </w:pPr>
    </w:lvl>
    <w:lvl w:ilvl="4" w:tentative="0">
      <w:start w:val="1"/>
      <w:numFmt w:val="lowerRoman"/>
      <w:lvlText w:val="(%5)"/>
      <w:lvlJc w:val="left"/>
      <w:pPr>
        <w:tabs>
          <w:tab w:val="left" w:pos="1440"/>
        </w:tabs>
        <w:ind w:left="1440" w:hanging="720"/>
      </w:pPr>
    </w:lvl>
    <w:lvl w:ilvl="5" w:tentative="0">
      <w:start w:val="1"/>
      <w:numFmt w:val="lowerRoman"/>
      <w:lvlText w:val="(%6)"/>
      <w:lvlJc w:val="left"/>
      <w:pPr>
        <w:tabs>
          <w:tab w:val="left" w:pos="2160"/>
        </w:tabs>
        <w:ind w:left="2160" w:hanging="720"/>
      </w:pPr>
    </w:lvl>
    <w:lvl w:ilvl="6" w:tentative="0">
      <w:start w:val="1"/>
      <w:numFmt w:val="upperLetter"/>
      <w:lvlText w:val="(%7)"/>
      <w:lvlJc w:val="left"/>
      <w:pPr>
        <w:tabs>
          <w:tab w:val="left" w:pos="2160"/>
        </w:tabs>
        <w:ind w:left="2160" w:hanging="720"/>
      </w:pPr>
    </w:lvl>
    <w:lvl w:ilvl="7" w:tentative="0">
      <w:start w:val="1"/>
      <w:numFmt w:val="upperLetter"/>
      <w:lvlText w:val="(%8)"/>
      <w:lvlJc w:val="left"/>
      <w:pPr>
        <w:tabs>
          <w:tab w:val="left" w:pos="2880"/>
        </w:tabs>
        <w:ind w:left="2880" w:hanging="720"/>
      </w:pPr>
    </w:lvl>
    <w:lvl w:ilvl="8" w:tentative="0">
      <w:start w:val="1"/>
      <w:numFmt w:val="upperRoman"/>
      <w:lvlText w:val="%9."/>
      <w:lvlJc w:val="left"/>
      <w:pPr>
        <w:tabs>
          <w:tab w:val="left" w:pos="3600"/>
        </w:tabs>
        <w:ind w:left="3600" w:hanging="720"/>
      </w:pPr>
    </w:lvl>
  </w:abstractNum>
  <w:num w:numId="1">
    <w:abstractNumId w:val="22"/>
  </w:num>
  <w:num w:numId="2">
    <w:abstractNumId w:val="4"/>
  </w:num>
  <w:num w:numId="3">
    <w:abstractNumId w:val="9"/>
  </w:num>
  <w:num w:numId="4">
    <w:abstractNumId w:val="3"/>
    <w:lvlOverride w:ilvl="0">
      <w:startOverride w:val="2"/>
    </w:lvlOverride>
  </w:num>
  <w:num w:numId="5">
    <w:abstractNumId w:val="12"/>
    <w:lvlOverride w:ilvl="0">
      <w:startOverride w:val="1"/>
    </w:lvlOverride>
  </w:num>
  <w:num w:numId="6">
    <w:abstractNumId w:val="15"/>
  </w:num>
  <w:num w:numId="7">
    <w:abstractNumId w:val="8"/>
  </w:num>
  <w:num w:numId="8">
    <w:abstractNumId w:val="23"/>
  </w:num>
  <w:num w:numId="9">
    <w:abstractNumId w:val="18"/>
  </w:num>
  <w:num w:numId="10">
    <w:abstractNumId w:val="21"/>
  </w:num>
  <w:num w:numId="11">
    <w:abstractNumId w:val="17"/>
  </w:num>
  <w:num w:numId="12">
    <w:abstractNumId w:val="1"/>
  </w:num>
  <w:num w:numId="13">
    <w:abstractNumId w:val="11"/>
  </w:num>
  <w:num w:numId="14">
    <w:abstractNumId w:val="25"/>
  </w:num>
  <w:num w:numId="15">
    <w:abstractNumId w:val="13"/>
  </w:num>
  <w:num w:numId="16">
    <w:abstractNumId w:val="16"/>
  </w:num>
  <w:num w:numId="17">
    <w:abstractNumId w:val="19"/>
  </w:num>
  <w:num w:numId="18">
    <w:abstractNumId w:val="5"/>
  </w:num>
  <w:num w:numId="19">
    <w:abstractNumId w:val="7"/>
  </w:num>
  <w:num w:numId="20">
    <w:abstractNumId w:val="24"/>
  </w:num>
  <w:num w:numId="21">
    <w:abstractNumId w:val="14"/>
  </w:num>
  <w:num w:numId="22">
    <w:abstractNumId w:val="6"/>
  </w:num>
  <w:num w:numId="23">
    <w:abstractNumId w:val="0"/>
  </w:num>
  <w:num w:numId="24">
    <w:abstractNumId w:val="20"/>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displayBackgroundShape w:val="1"/>
  <w:bordersDoNotSurroundHeader w:val="1"/>
  <w:bordersDoNotSurroundFooter w:val="1"/>
  <w:hideSpellingErrors/>
  <w:doNotTrackFormatting/>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IzNGMzZjdmYTI3YjU0Y2FjMTg0OWYzNTQ2YzdhOTUifQ=="/>
  </w:docVars>
  <w:rsids>
    <w:rsidRoot w:val="007F20AF"/>
    <w:rsid w:val="000016D0"/>
    <w:rsid w:val="00001D4D"/>
    <w:rsid w:val="00002277"/>
    <w:rsid w:val="00002366"/>
    <w:rsid w:val="00003032"/>
    <w:rsid w:val="00004BCB"/>
    <w:rsid w:val="00004BEE"/>
    <w:rsid w:val="00005370"/>
    <w:rsid w:val="00005576"/>
    <w:rsid w:val="00007B98"/>
    <w:rsid w:val="00013905"/>
    <w:rsid w:val="000140A2"/>
    <w:rsid w:val="00014ACD"/>
    <w:rsid w:val="0001512B"/>
    <w:rsid w:val="00015EB1"/>
    <w:rsid w:val="0001771F"/>
    <w:rsid w:val="00021F9B"/>
    <w:rsid w:val="00024450"/>
    <w:rsid w:val="00025C37"/>
    <w:rsid w:val="00030288"/>
    <w:rsid w:val="00030B51"/>
    <w:rsid w:val="00030FE2"/>
    <w:rsid w:val="00031872"/>
    <w:rsid w:val="000318BE"/>
    <w:rsid w:val="000346FE"/>
    <w:rsid w:val="00034DEE"/>
    <w:rsid w:val="00035158"/>
    <w:rsid w:val="0003534E"/>
    <w:rsid w:val="00035684"/>
    <w:rsid w:val="00035DDC"/>
    <w:rsid w:val="000370EA"/>
    <w:rsid w:val="00040470"/>
    <w:rsid w:val="0004048E"/>
    <w:rsid w:val="00040D06"/>
    <w:rsid w:val="00041051"/>
    <w:rsid w:val="000415E2"/>
    <w:rsid w:val="00042AE1"/>
    <w:rsid w:val="00043A5D"/>
    <w:rsid w:val="00047107"/>
    <w:rsid w:val="000474FB"/>
    <w:rsid w:val="00047D65"/>
    <w:rsid w:val="00050171"/>
    <w:rsid w:val="00051075"/>
    <w:rsid w:val="00051C43"/>
    <w:rsid w:val="00052BE0"/>
    <w:rsid w:val="00053D9C"/>
    <w:rsid w:val="00054F0A"/>
    <w:rsid w:val="0005677A"/>
    <w:rsid w:val="00056FF4"/>
    <w:rsid w:val="00060AD3"/>
    <w:rsid w:val="00061638"/>
    <w:rsid w:val="000624BF"/>
    <w:rsid w:val="000649F4"/>
    <w:rsid w:val="00064EE8"/>
    <w:rsid w:val="000668EF"/>
    <w:rsid w:val="000669E8"/>
    <w:rsid w:val="00066F49"/>
    <w:rsid w:val="00067552"/>
    <w:rsid w:val="00067A69"/>
    <w:rsid w:val="000711F1"/>
    <w:rsid w:val="0007164F"/>
    <w:rsid w:val="00072C9B"/>
    <w:rsid w:val="0007319F"/>
    <w:rsid w:val="000732BD"/>
    <w:rsid w:val="000752D0"/>
    <w:rsid w:val="00075CE3"/>
    <w:rsid w:val="000776E7"/>
    <w:rsid w:val="00081022"/>
    <w:rsid w:val="00081237"/>
    <w:rsid w:val="00081CAB"/>
    <w:rsid w:val="000830F7"/>
    <w:rsid w:val="0008332F"/>
    <w:rsid w:val="000837B3"/>
    <w:rsid w:val="00083836"/>
    <w:rsid w:val="00085296"/>
    <w:rsid w:val="0008787D"/>
    <w:rsid w:val="000901CE"/>
    <w:rsid w:val="0009065E"/>
    <w:rsid w:val="0009482D"/>
    <w:rsid w:val="00094A5B"/>
    <w:rsid w:val="000950F8"/>
    <w:rsid w:val="00095D26"/>
    <w:rsid w:val="000A0B24"/>
    <w:rsid w:val="000A1953"/>
    <w:rsid w:val="000A427B"/>
    <w:rsid w:val="000A44D5"/>
    <w:rsid w:val="000A4665"/>
    <w:rsid w:val="000A491E"/>
    <w:rsid w:val="000A64B9"/>
    <w:rsid w:val="000B14A4"/>
    <w:rsid w:val="000B2FF8"/>
    <w:rsid w:val="000B4154"/>
    <w:rsid w:val="000B7235"/>
    <w:rsid w:val="000B72D0"/>
    <w:rsid w:val="000C1E4A"/>
    <w:rsid w:val="000C2A3E"/>
    <w:rsid w:val="000C4F23"/>
    <w:rsid w:val="000C5584"/>
    <w:rsid w:val="000C5E97"/>
    <w:rsid w:val="000D0A62"/>
    <w:rsid w:val="000D2540"/>
    <w:rsid w:val="000D2664"/>
    <w:rsid w:val="000D2EEA"/>
    <w:rsid w:val="000D3174"/>
    <w:rsid w:val="000D3B12"/>
    <w:rsid w:val="000D4803"/>
    <w:rsid w:val="000D607C"/>
    <w:rsid w:val="000D628B"/>
    <w:rsid w:val="000E1308"/>
    <w:rsid w:val="000E23F0"/>
    <w:rsid w:val="000E2960"/>
    <w:rsid w:val="000E3050"/>
    <w:rsid w:val="000E3631"/>
    <w:rsid w:val="000E51FE"/>
    <w:rsid w:val="000E71DB"/>
    <w:rsid w:val="000E77AF"/>
    <w:rsid w:val="000E78DF"/>
    <w:rsid w:val="000F1C9C"/>
    <w:rsid w:val="000F1E06"/>
    <w:rsid w:val="000F43E8"/>
    <w:rsid w:val="000F6082"/>
    <w:rsid w:val="000F71A6"/>
    <w:rsid w:val="000F7A57"/>
    <w:rsid w:val="00100906"/>
    <w:rsid w:val="00100FBF"/>
    <w:rsid w:val="001017D1"/>
    <w:rsid w:val="00101FE1"/>
    <w:rsid w:val="00102316"/>
    <w:rsid w:val="001030C1"/>
    <w:rsid w:val="001045E8"/>
    <w:rsid w:val="0010501C"/>
    <w:rsid w:val="0010642D"/>
    <w:rsid w:val="0011150A"/>
    <w:rsid w:val="00113531"/>
    <w:rsid w:val="00114A9B"/>
    <w:rsid w:val="00114BED"/>
    <w:rsid w:val="0011575E"/>
    <w:rsid w:val="0011641B"/>
    <w:rsid w:val="00116F0D"/>
    <w:rsid w:val="00117A38"/>
    <w:rsid w:val="00120BB6"/>
    <w:rsid w:val="00120FA0"/>
    <w:rsid w:val="00121DE3"/>
    <w:rsid w:val="00122BF8"/>
    <w:rsid w:val="00123208"/>
    <w:rsid w:val="00124747"/>
    <w:rsid w:val="00125558"/>
    <w:rsid w:val="00125E7B"/>
    <w:rsid w:val="0012717C"/>
    <w:rsid w:val="00127DDC"/>
    <w:rsid w:val="001311F4"/>
    <w:rsid w:val="00131C42"/>
    <w:rsid w:val="00131C69"/>
    <w:rsid w:val="0013211D"/>
    <w:rsid w:val="0013243F"/>
    <w:rsid w:val="001331C1"/>
    <w:rsid w:val="001340EE"/>
    <w:rsid w:val="0013466D"/>
    <w:rsid w:val="00134B42"/>
    <w:rsid w:val="00135472"/>
    <w:rsid w:val="001354B7"/>
    <w:rsid w:val="001358BC"/>
    <w:rsid w:val="0013614A"/>
    <w:rsid w:val="00136B53"/>
    <w:rsid w:val="0013720B"/>
    <w:rsid w:val="001373DE"/>
    <w:rsid w:val="0014041A"/>
    <w:rsid w:val="0014046E"/>
    <w:rsid w:val="00143846"/>
    <w:rsid w:val="00143D85"/>
    <w:rsid w:val="001442DE"/>
    <w:rsid w:val="00144EF7"/>
    <w:rsid w:val="00145130"/>
    <w:rsid w:val="00145141"/>
    <w:rsid w:val="0014657E"/>
    <w:rsid w:val="00146E03"/>
    <w:rsid w:val="00151B71"/>
    <w:rsid w:val="001523BE"/>
    <w:rsid w:val="00152510"/>
    <w:rsid w:val="00153374"/>
    <w:rsid w:val="001540E6"/>
    <w:rsid w:val="00154B51"/>
    <w:rsid w:val="0015637C"/>
    <w:rsid w:val="00160E8D"/>
    <w:rsid w:val="0016163A"/>
    <w:rsid w:val="00161735"/>
    <w:rsid w:val="00162948"/>
    <w:rsid w:val="0016364B"/>
    <w:rsid w:val="00164CBC"/>
    <w:rsid w:val="0016583C"/>
    <w:rsid w:val="0016786E"/>
    <w:rsid w:val="001715EC"/>
    <w:rsid w:val="00171AFE"/>
    <w:rsid w:val="00171B7B"/>
    <w:rsid w:val="00173882"/>
    <w:rsid w:val="00173A1A"/>
    <w:rsid w:val="001742FD"/>
    <w:rsid w:val="00174510"/>
    <w:rsid w:val="001767E6"/>
    <w:rsid w:val="0017689F"/>
    <w:rsid w:val="0017750C"/>
    <w:rsid w:val="001776B3"/>
    <w:rsid w:val="00181398"/>
    <w:rsid w:val="00181803"/>
    <w:rsid w:val="00183617"/>
    <w:rsid w:val="00184E44"/>
    <w:rsid w:val="001867F7"/>
    <w:rsid w:val="00191393"/>
    <w:rsid w:val="001917D8"/>
    <w:rsid w:val="0019259E"/>
    <w:rsid w:val="001926D2"/>
    <w:rsid w:val="00193C3D"/>
    <w:rsid w:val="00194376"/>
    <w:rsid w:val="00195022"/>
    <w:rsid w:val="00197246"/>
    <w:rsid w:val="0019767B"/>
    <w:rsid w:val="001978F0"/>
    <w:rsid w:val="001A11F6"/>
    <w:rsid w:val="001A3B75"/>
    <w:rsid w:val="001A54D3"/>
    <w:rsid w:val="001A56C1"/>
    <w:rsid w:val="001A5CDF"/>
    <w:rsid w:val="001A6310"/>
    <w:rsid w:val="001A6F2E"/>
    <w:rsid w:val="001B25CD"/>
    <w:rsid w:val="001B27D0"/>
    <w:rsid w:val="001B32B3"/>
    <w:rsid w:val="001B3374"/>
    <w:rsid w:val="001B3674"/>
    <w:rsid w:val="001B385E"/>
    <w:rsid w:val="001B411D"/>
    <w:rsid w:val="001B4AAB"/>
    <w:rsid w:val="001B7CFA"/>
    <w:rsid w:val="001C13D1"/>
    <w:rsid w:val="001C2AD0"/>
    <w:rsid w:val="001C2C8A"/>
    <w:rsid w:val="001C3756"/>
    <w:rsid w:val="001C4D92"/>
    <w:rsid w:val="001C54D5"/>
    <w:rsid w:val="001C7902"/>
    <w:rsid w:val="001C79D3"/>
    <w:rsid w:val="001C7D7E"/>
    <w:rsid w:val="001D0080"/>
    <w:rsid w:val="001D1068"/>
    <w:rsid w:val="001D14A7"/>
    <w:rsid w:val="001D30EF"/>
    <w:rsid w:val="001D324F"/>
    <w:rsid w:val="001D6E6A"/>
    <w:rsid w:val="001D7443"/>
    <w:rsid w:val="001E020A"/>
    <w:rsid w:val="001E0849"/>
    <w:rsid w:val="001E2436"/>
    <w:rsid w:val="001E2DF1"/>
    <w:rsid w:val="001E323E"/>
    <w:rsid w:val="001E32EC"/>
    <w:rsid w:val="001E4FCA"/>
    <w:rsid w:val="001E517D"/>
    <w:rsid w:val="001E560A"/>
    <w:rsid w:val="001E6171"/>
    <w:rsid w:val="001F017D"/>
    <w:rsid w:val="001F04E7"/>
    <w:rsid w:val="001F0BFF"/>
    <w:rsid w:val="001F1057"/>
    <w:rsid w:val="001F2027"/>
    <w:rsid w:val="001F22C5"/>
    <w:rsid w:val="001F2647"/>
    <w:rsid w:val="001F3E63"/>
    <w:rsid w:val="001F430A"/>
    <w:rsid w:val="001F434A"/>
    <w:rsid w:val="001F441B"/>
    <w:rsid w:val="001F5250"/>
    <w:rsid w:val="001F585A"/>
    <w:rsid w:val="001F66A9"/>
    <w:rsid w:val="001F693E"/>
    <w:rsid w:val="001F6B54"/>
    <w:rsid w:val="001F6D57"/>
    <w:rsid w:val="001F7FEE"/>
    <w:rsid w:val="00200475"/>
    <w:rsid w:val="002016A8"/>
    <w:rsid w:val="0020287D"/>
    <w:rsid w:val="00202A6E"/>
    <w:rsid w:val="00202C0F"/>
    <w:rsid w:val="002034E0"/>
    <w:rsid w:val="0020352B"/>
    <w:rsid w:val="00203D2A"/>
    <w:rsid w:val="00204E1C"/>
    <w:rsid w:val="002056D4"/>
    <w:rsid w:val="00205886"/>
    <w:rsid w:val="00205E85"/>
    <w:rsid w:val="002060CF"/>
    <w:rsid w:val="00206BA6"/>
    <w:rsid w:val="00206EB2"/>
    <w:rsid w:val="00207DA1"/>
    <w:rsid w:val="0021144C"/>
    <w:rsid w:val="002125F1"/>
    <w:rsid w:val="0021395E"/>
    <w:rsid w:val="0021401C"/>
    <w:rsid w:val="002147AD"/>
    <w:rsid w:val="00215ADC"/>
    <w:rsid w:val="00216429"/>
    <w:rsid w:val="002222C2"/>
    <w:rsid w:val="00222588"/>
    <w:rsid w:val="00224413"/>
    <w:rsid w:val="00225A2C"/>
    <w:rsid w:val="00226055"/>
    <w:rsid w:val="002306CC"/>
    <w:rsid w:val="00232633"/>
    <w:rsid w:val="002327EF"/>
    <w:rsid w:val="002330FE"/>
    <w:rsid w:val="00233B17"/>
    <w:rsid w:val="00233E14"/>
    <w:rsid w:val="002340C7"/>
    <w:rsid w:val="00234DD9"/>
    <w:rsid w:val="00235671"/>
    <w:rsid w:val="00236705"/>
    <w:rsid w:val="002369FF"/>
    <w:rsid w:val="00237FA8"/>
    <w:rsid w:val="00241E29"/>
    <w:rsid w:val="002436D6"/>
    <w:rsid w:val="0024375A"/>
    <w:rsid w:val="00245BE7"/>
    <w:rsid w:val="00246009"/>
    <w:rsid w:val="00246894"/>
    <w:rsid w:val="00246FBF"/>
    <w:rsid w:val="00252A54"/>
    <w:rsid w:val="00252D4E"/>
    <w:rsid w:val="00252DE0"/>
    <w:rsid w:val="002545B3"/>
    <w:rsid w:val="0025483F"/>
    <w:rsid w:val="00254F53"/>
    <w:rsid w:val="00256197"/>
    <w:rsid w:val="002563E3"/>
    <w:rsid w:val="00262076"/>
    <w:rsid w:val="00262129"/>
    <w:rsid w:val="0026395C"/>
    <w:rsid w:val="00263F9F"/>
    <w:rsid w:val="002642C0"/>
    <w:rsid w:val="00264B03"/>
    <w:rsid w:val="00265437"/>
    <w:rsid w:val="0026602B"/>
    <w:rsid w:val="002661E9"/>
    <w:rsid w:val="00266BB7"/>
    <w:rsid w:val="0026719E"/>
    <w:rsid w:val="002671C7"/>
    <w:rsid w:val="00270113"/>
    <w:rsid w:val="0027035C"/>
    <w:rsid w:val="002729BC"/>
    <w:rsid w:val="00273A7E"/>
    <w:rsid w:val="0027572F"/>
    <w:rsid w:val="002758BD"/>
    <w:rsid w:val="00275C61"/>
    <w:rsid w:val="002769FE"/>
    <w:rsid w:val="0027737D"/>
    <w:rsid w:val="0028080D"/>
    <w:rsid w:val="00280E9C"/>
    <w:rsid w:val="0028106B"/>
    <w:rsid w:val="002814E0"/>
    <w:rsid w:val="002816E3"/>
    <w:rsid w:val="00281BE6"/>
    <w:rsid w:val="0028207A"/>
    <w:rsid w:val="00287168"/>
    <w:rsid w:val="00287F03"/>
    <w:rsid w:val="002906D0"/>
    <w:rsid w:val="00291170"/>
    <w:rsid w:val="00291817"/>
    <w:rsid w:val="0029227C"/>
    <w:rsid w:val="0029414D"/>
    <w:rsid w:val="0029487B"/>
    <w:rsid w:val="00295C29"/>
    <w:rsid w:val="00296372"/>
    <w:rsid w:val="002A01D4"/>
    <w:rsid w:val="002A04C2"/>
    <w:rsid w:val="002A161A"/>
    <w:rsid w:val="002A270D"/>
    <w:rsid w:val="002A3053"/>
    <w:rsid w:val="002A5B86"/>
    <w:rsid w:val="002A609C"/>
    <w:rsid w:val="002A63F8"/>
    <w:rsid w:val="002A69B4"/>
    <w:rsid w:val="002A6DE5"/>
    <w:rsid w:val="002A74C7"/>
    <w:rsid w:val="002A7C41"/>
    <w:rsid w:val="002B2048"/>
    <w:rsid w:val="002B2074"/>
    <w:rsid w:val="002B2633"/>
    <w:rsid w:val="002B556C"/>
    <w:rsid w:val="002B5C12"/>
    <w:rsid w:val="002B6601"/>
    <w:rsid w:val="002C2727"/>
    <w:rsid w:val="002C3654"/>
    <w:rsid w:val="002C3AFC"/>
    <w:rsid w:val="002C422B"/>
    <w:rsid w:val="002C4755"/>
    <w:rsid w:val="002C5151"/>
    <w:rsid w:val="002C592B"/>
    <w:rsid w:val="002C5CF3"/>
    <w:rsid w:val="002C6F53"/>
    <w:rsid w:val="002D036A"/>
    <w:rsid w:val="002D31B6"/>
    <w:rsid w:val="002D485E"/>
    <w:rsid w:val="002D587D"/>
    <w:rsid w:val="002D5AB8"/>
    <w:rsid w:val="002D5DFC"/>
    <w:rsid w:val="002D782D"/>
    <w:rsid w:val="002E12A1"/>
    <w:rsid w:val="002E13B4"/>
    <w:rsid w:val="002E1C9A"/>
    <w:rsid w:val="002E1FB5"/>
    <w:rsid w:val="002E237C"/>
    <w:rsid w:val="002E26AA"/>
    <w:rsid w:val="002E3F07"/>
    <w:rsid w:val="002E45CB"/>
    <w:rsid w:val="002E5167"/>
    <w:rsid w:val="002E5EDF"/>
    <w:rsid w:val="002E65B7"/>
    <w:rsid w:val="002E73FD"/>
    <w:rsid w:val="002F04F5"/>
    <w:rsid w:val="002F0ECD"/>
    <w:rsid w:val="002F1890"/>
    <w:rsid w:val="002F2524"/>
    <w:rsid w:val="002F33DE"/>
    <w:rsid w:val="002F36B6"/>
    <w:rsid w:val="002F392F"/>
    <w:rsid w:val="002F3D57"/>
    <w:rsid w:val="002F3D75"/>
    <w:rsid w:val="002F5627"/>
    <w:rsid w:val="002F5655"/>
    <w:rsid w:val="002F5BE2"/>
    <w:rsid w:val="002F5EBF"/>
    <w:rsid w:val="002F6030"/>
    <w:rsid w:val="002F6372"/>
    <w:rsid w:val="002F64DA"/>
    <w:rsid w:val="002F7083"/>
    <w:rsid w:val="002F7E45"/>
    <w:rsid w:val="00300CD2"/>
    <w:rsid w:val="003024FF"/>
    <w:rsid w:val="00303FAC"/>
    <w:rsid w:val="00304563"/>
    <w:rsid w:val="00306819"/>
    <w:rsid w:val="003068FA"/>
    <w:rsid w:val="00306BE2"/>
    <w:rsid w:val="00306DAD"/>
    <w:rsid w:val="00307D79"/>
    <w:rsid w:val="00311078"/>
    <w:rsid w:val="003128D9"/>
    <w:rsid w:val="003135A6"/>
    <w:rsid w:val="003140BB"/>
    <w:rsid w:val="00316E5D"/>
    <w:rsid w:val="00316E7A"/>
    <w:rsid w:val="003170F6"/>
    <w:rsid w:val="003175E9"/>
    <w:rsid w:val="0032225D"/>
    <w:rsid w:val="00322693"/>
    <w:rsid w:val="003232B0"/>
    <w:rsid w:val="0032374D"/>
    <w:rsid w:val="00324602"/>
    <w:rsid w:val="00324A0F"/>
    <w:rsid w:val="00325DF0"/>
    <w:rsid w:val="00326927"/>
    <w:rsid w:val="00327061"/>
    <w:rsid w:val="00327561"/>
    <w:rsid w:val="003304DD"/>
    <w:rsid w:val="003306B3"/>
    <w:rsid w:val="00330750"/>
    <w:rsid w:val="003323EE"/>
    <w:rsid w:val="0033258B"/>
    <w:rsid w:val="00332B51"/>
    <w:rsid w:val="003334B5"/>
    <w:rsid w:val="00335A4D"/>
    <w:rsid w:val="00336A40"/>
    <w:rsid w:val="003372B4"/>
    <w:rsid w:val="00337396"/>
    <w:rsid w:val="003376ED"/>
    <w:rsid w:val="00337C60"/>
    <w:rsid w:val="003439C0"/>
    <w:rsid w:val="0034407A"/>
    <w:rsid w:val="00344210"/>
    <w:rsid w:val="00344559"/>
    <w:rsid w:val="00350E6D"/>
    <w:rsid w:val="00352A28"/>
    <w:rsid w:val="00352DDC"/>
    <w:rsid w:val="003535D0"/>
    <w:rsid w:val="0035513C"/>
    <w:rsid w:val="0035698B"/>
    <w:rsid w:val="00360F44"/>
    <w:rsid w:val="00361E0F"/>
    <w:rsid w:val="003620E1"/>
    <w:rsid w:val="00362AE6"/>
    <w:rsid w:val="0036449D"/>
    <w:rsid w:val="003653F0"/>
    <w:rsid w:val="003678DD"/>
    <w:rsid w:val="00367977"/>
    <w:rsid w:val="003708FD"/>
    <w:rsid w:val="00370DB4"/>
    <w:rsid w:val="00373753"/>
    <w:rsid w:val="003740C6"/>
    <w:rsid w:val="00375286"/>
    <w:rsid w:val="00375ABB"/>
    <w:rsid w:val="00376574"/>
    <w:rsid w:val="00377248"/>
    <w:rsid w:val="003803CA"/>
    <w:rsid w:val="00383518"/>
    <w:rsid w:val="00383912"/>
    <w:rsid w:val="00383FCF"/>
    <w:rsid w:val="00384736"/>
    <w:rsid w:val="00384ED8"/>
    <w:rsid w:val="00385229"/>
    <w:rsid w:val="00387D4F"/>
    <w:rsid w:val="003916B8"/>
    <w:rsid w:val="00392A38"/>
    <w:rsid w:val="0039304B"/>
    <w:rsid w:val="00395FFC"/>
    <w:rsid w:val="003A1AC4"/>
    <w:rsid w:val="003A1B27"/>
    <w:rsid w:val="003A1C49"/>
    <w:rsid w:val="003A3720"/>
    <w:rsid w:val="003A40EB"/>
    <w:rsid w:val="003A5371"/>
    <w:rsid w:val="003A7C32"/>
    <w:rsid w:val="003A7D6A"/>
    <w:rsid w:val="003B0C66"/>
    <w:rsid w:val="003B0EEF"/>
    <w:rsid w:val="003B145E"/>
    <w:rsid w:val="003B17E5"/>
    <w:rsid w:val="003B4E98"/>
    <w:rsid w:val="003B55A0"/>
    <w:rsid w:val="003B5F0D"/>
    <w:rsid w:val="003B7A9F"/>
    <w:rsid w:val="003C10E9"/>
    <w:rsid w:val="003C1D2F"/>
    <w:rsid w:val="003C35F4"/>
    <w:rsid w:val="003C3FDE"/>
    <w:rsid w:val="003C4105"/>
    <w:rsid w:val="003C48CA"/>
    <w:rsid w:val="003C512F"/>
    <w:rsid w:val="003C523F"/>
    <w:rsid w:val="003C64D0"/>
    <w:rsid w:val="003C6BAF"/>
    <w:rsid w:val="003D1B11"/>
    <w:rsid w:val="003D2118"/>
    <w:rsid w:val="003D283D"/>
    <w:rsid w:val="003D30EB"/>
    <w:rsid w:val="003D3709"/>
    <w:rsid w:val="003D728E"/>
    <w:rsid w:val="003D768B"/>
    <w:rsid w:val="003D7838"/>
    <w:rsid w:val="003E1F54"/>
    <w:rsid w:val="003E3B1A"/>
    <w:rsid w:val="003E5D7E"/>
    <w:rsid w:val="003E603A"/>
    <w:rsid w:val="003E70B9"/>
    <w:rsid w:val="003E72EA"/>
    <w:rsid w:val="003F0F6F"/>
    <w:rsid w:val="003F1440"/>
    <w:rsid w:val="003F1B09"/>
    <w:rsid w:val="003F40BC"/>
    <w:rsid w:val="003F4D39"/>
    <w:rsid w:val="003F5365"/>
    <w:rsid w:val="003F5366"/>
    <w:rsid w:val="003F62E8"/>
    <w:rsid w:val="003F71C2"/>
    <w:rsid w:val="003F7E78"/>
    <w:rsid w:val="00400116"/>
    <w:rsid w:val="00400FBA"/>
    <w:rsid w:val="00401518"/>
    <w:rsid w:val="00401CF1"/>
    <w:rsid w:val="0040676C"/>
    <w:rsid w:val="00411784"/>
    <w:rsid w:val="004124B5"/>
    <w:rsid w:val="004126FF"/>
    <w:rsid w:val="0041352F"/>
    <w:rsid w:val="00414BD0"/>
    <w:rsid w:val="0041544E"/>
    <w:rsid w:val="00415A46"/>
    <w:rsid w:val="00415DCB"/>
    <w:rsid w:val="004178DD"/>
    <w:rsid w:val="00417B98"/>
    <w:rsid w:val="0042032E"/>
    <w:rsid w:val="00421D4E"/>
    <w:rsid w:val="004230A0"/>
    <w:rsid w:val="0042479B"/>
    <w:rsid w:val="00424ABB"/>
    <w:rsid w:val="00425E96"/>
    <w:rsid w:val="00427600"/>
    <w:rsid w:val="004302E2"/>
    <w:rsid w:val="00431194"/>
    <w:rsid w:val="00431699"/>
    <w:rsid w:val="004321D2"/>
    <w:rsid w:val="00434063"/>
    <w:rsid w:val="004343DC"/>
    <w:rsid w:val="00434669"/>
    <w:rsid w:val="00434D9C"/>
    <w:rsid w:val="0043606A"/>
    <w:rsid w:val="004364DA"/>
    <w:rsid w:val="004426CF"/>
    <w:rsid w:val="00442864"/>
    <w:rsid w:val="00442CF8"/>
    <w:rsid w:val="004438B2"/>
    <w:rsid w:val="00443B28"/>
    <w:rsid w:val="00443B7A"/>
    <w:rsid w:val="00444D5E"/>
    <w:rsid w:val="00446DB5"/>
    <w:rsid w:val="00451FEB"/>
    <w:rsid w:val="00452AB0"/>
    <w:rsid w:val="0045526F"/>
    <w:rsid w:val="0045791E"/>
    <w:rsid w:val="004626C6"/>
    <w:rsid w:val="00464A10"/>
    <w:rsid w:val="00464F3F"/>
    <w:rsid w:val="004656BF"/>
    <w:rsid w:val="00465A38"/>
    <w:rsid w:val="00465DC6"/>
    <w:rsid w:val="00467EA0"/>
    <w:rsid w:val="004707A5"/>
    <w:rsid w:val="00470AC0"/>
    <w:rsid w:val="0047251E"/>
    <w:rsid w:val="004732C2"/>
    <w:rsid w:val="00473A57"/>
    <w:rsid w:val="0048048D"/>
    <w:rsid w:val="0048384B"/>
    <w:rsid w:val="00484FC6"/>
    <w:rsid w:val="0048712B"/>
    <w:rsid w:val="00487155"/>
    <w:rsid w:val="00490573"/>
    <w:rsid w:val="00491C42"/>
    <w:rsid w:val="004933A4"/>
    <w:rsid w:val="00497646"/>
    <w:rsid w:val="00497D32"/>
    <w:rsid w:val="004A07A3"/>
    <w:rsid w:val="004A0D80"/>
    <w:rsid w:val="004A2527"/>
    <w:rsid w:val="004A28D2"/>
    <w:rsid w:val="004A3D7E"/>
    <w:rsid w:val="004A4EB6"/>
    <w:rsid w:val="004A5F0A"/>
    <w:rsid w:val="004A6054"/>
    <w:rsid w:val="004A6656"/>
    <w:rsid w:val="004A6EB2"/>
    <w:rsid w:val="004B0CFB"/>
    <w:rsid w:val="004B15B0"/>
    <w:rsid w:val="004B16C7"/>
    <w:rsid w:val="004B1F82"/>
    <w:rsid w:val="004B20CE"/>
    <w:rsid w:val="004B2793"/>
    <w:rsid w:val="004B3E0D"/>
    <w:rsid w:val="004B3F48"/>
    <w:rsid w:val="004B4A69"/>
    <w:rsid w:val="004B686C"/>
    <w:rsid w:val="004B68BD"/>
    <w:rsid w:val="004B6B3E"/>
    <w:rsid w:val="004C00C9"/>
    <w:rsid w:val="004C0399"/>
    <w:rsid w:val="004C0CAB"/>
    <w:rsid w:val="004C442F"/>
    <w:rsid w:val="004C4653"/>
    <w:rsid w:val="004C4C43"/>
    <w:rsid w:val="004C4F64"/>
    <w:rsid w:val="004C59AE"/>
    <w:rsid w:val="004C62E4"/>
    <w:rsid w:val="004C79E6"/>
    <w:rsid w:val="004C7F50"/>
    <w:rsid w:val="004D04DD"/>
    <w:rsid w:val="004D071F"/>
    <w:rsid w:val="004D1744"/>
    <w:rsid w:val="004D1C03"/>
    <w:rsid w:val="004D269B"/>
    <w:rsid w:val="004D2E3B"/>
    <w:rsid w:val="004D2F79"/>
    <w:rsid w:val="004D38F4"/>
    <w:rsid w:val="004D3A26"/>
    <w:rsid w:val="004D41FE"/>
    <w:rsid w:val="004D4CA4"/>
    <w:rsid w:val="004D5691"/>
    <w:rsid w:val="004E0CCA"/>
    <w:rsid w:val="004E29A6"/>
    <w:rsid w:val="004E2CA4"/>
    <w:rsid w:val="004E30B1"/>
    <w:rsid w:val="004E31CE"/>
    <w:rsid w:val="004E344D"/>
    <w:rsid w:val="004E40E1"/>
    <w:rsid w:val="004E41CA"/>
    <w:rsid w:val="004E4643"/>
    <w:rsid w:val="004E5A96"/>
    <w:rsid w:val="004E5CF3"/>
    <w:rsid w:val="004E5DEC"/>
    <w:rsid w:val="004E76A8"/>
    <w:rsid w:val="004F09E3"/>
    <w:rsid w:val="004F2778"/>
    <w:rsid w:val="004F30FD"/>
    <w:rsid w:val="004F39A9"/>
    <w:rsid w:val="004F6A1B"/>
    <w:rsid w:val="004F7D23"/>
    <w:rsid w:val="0050045D"/>
    <w:rsid w:val="005039CD"/>
    <w:rsid w:val="00505E31"/>
    <w:rsid w:val="0050665C"/>
    <w:rsid w:val="00506DF2"/>
    <w:rsid w:val="0051039A"/>
    <w:rsid w:val="00510850"/>
    <w:rsid w:val="00510E78"/>
    <w:rsid w:val="00512F47"/>
    <w:rsid w:val="00512F92"/>
    <w:rsid w:val="00514B2F"/>
    <w:rsid w:val="00515197"/>
    <w:rsid w:val="00517D28"/>
    <w:rsid w:val="005208FA"/>
    <w:rsid w:val="005216AA"/>
    <w:rsid w:val="005238FC"/>
    <w:rsid w:val="00523BA8"/>
    <w:rsid w:val="0052552B"/>
    <w:rsid w:val="00526D11"/>
    <w:rsid w:val="00530470"/>
    <w:rsid w:val="005306AA"/>
    <w:rsid w:val="005309E6"/>
    <w:rsid w:val="00532776"/>
    <w:rsid w:val="005330E8"/>
    <w:rsid w:val="0053321E"/>
    <w:rsid w:val="0053359E"/>
    <w:rsid w:val="005371A8"/>
    <w:rsid w:val="0053791B"/>
    <w:rsid w:val="00543A0A"/>
    <w:rsid w:val="00544088"/>
    <w:rsid w:val="00544384"/>
    <w:rsid w:val="0054533E"/>
    <w:rsid w:val="00545FB9"/>
    <w:rsid w:val="0054667B"/>
    <w:rsid w:val="00550BB8"/>
    <w:rsid w:val="0055216C"/>
    <w:rsid w:val="00552621"/>
    <w:rsid w:val="005526B4"/>
    <w:rsid w:val="00552C5D"/>
    <w:rsid w:val="005532A5"/>
    <w:rsid w:val="00554F5C"/>
    <w:rsid w:val="00554FB5"/>
    <w:rsid w:val="00557DDE"/>
    <w:rsid w:val="0056018B"/>
    <w:rsid w:val="00561D22"/>
    <w:rsid w:val="00561D26"/>
    <w:rsid w:val="00562228"/>
    <w:rsid w:val="00562800"/>
    <w:rsid w:val="00563600"/>
    <w:rsid w:val="00565125"/>
    <w:rsid w:val="00566C1F"/>
    <w:rsid w:val="005671C8"/>
    <w:rsid w:val="00571551"/>
    <w:rsid w:val="0057417B"/>
    <w:rsid w:val="00574412"/>
    <w:rsid w:val="0057695E"/>
    <w:rsid w:val="00576C15"/>
    <w:rsid w:val="00577BDB"/>
    <w:rsid w:val="005809FC"/>
    <w:rsid w:val="00582399"/>
    <w:rsid w:val="00583A7E"/>
    <w:rsid w:val="00584A08"/>
    <w:rsid w:val="00593E51"/>
    <w:rsid w:val="00594889"/>
    <w:rsid w:val="005969FA"/>
    <w:rsid w:val="005A17B2"/>
    <w:rsid w:val="005A18A9"/>
    <w:rsid w:val="005A25ED"/>
    <w:rsid w:val="005A29DA"/>
    <w:rsid w:val="005A2EEB"/>
    <w:rsid w:val="005A3CD4"/>
    <w:rsid w:val="005A61CD"/>
    <w:rsid w:val="005A66C7"/>
    <w:rsid w:val="005A6733"/>
    <w:rsid w:val="005A681A"/>
    <w:rsid w:val="005A6CBD"/>
    <w:rsid w:val="005A7B3C"/>
    <w:rsid w:val="005B0B15"/>
    <w:rsid w:val="005B18BA"/>
    <w:rsid w:val="005B1BB5"/>
    <w:rsid w:val="005B2767"/>
    <w:rsid w:val="005B2ADE"/>
    <w:rsid w:val="005B330C"/>
    <w:rsid w:val="005B336E"/>
    <w:rsid w:val="005B3730"/>
    <w:rsid w:val="005B3F32"/>
    <w:rsid w:val="005B4058"/>
    <w:rsid w:val="005B6050"/>
    <w:rsid w:val="005B6DCF"/>
    <w:rsid w:val="005B726C"/>
    <w:rsid w:val="005B785F"/>
    <w:rsid w:val="005B7A4A"/>
    <w:rsid w:val="005B7A53"/>
    <w:rsid w:val="005B7DAD"/>
    <w:rsid w:val="005C06D6"/>
    <w:rsid w:val="005C0F54"/>
    <w:rsid w:val="005C33C8"/>
    <w:rsid w:val="005C347C"/>
    <w:rsid w:val="005C487F"/>
    <w:rsid w:val="005C4998"/>
    <w:rsid w:val="005C7346"/>
    <w:rsid w:val="005D359C"/>
    <w:rsid w:val="005D3E9E"/>
    <w:rsid w:val="005D5594"/>
    <w:rsid w:val="005D5788"/>
    <w:rsid w:val="005D7224"/>
    <w:rsid w:val="005D74D7"/>
    <w:rsid w:val="005E0026"/>
    <w:rsid w:val="005E07CB"/>
    <w:rsid w:val="005E0953"/>
    <w:rsid w:val="005E1DE4"/>
    <w:rsid w:val="005E2017"/>
    <w:rsid w:val="005E2EFF"/>
    <w:rsid w:val="005E38CC"/>
    <w:rsid w:val="005E57A4"/>
    <w:rsid w:val="005E6E69"/>
    <w:rsid w:val="005E74AB"/>
    <w:rsid w:val="005E773D"/>
    <w:rsid w:val="005F0955"/>
    <w:rsid w:val="005F307E"/>
    <w:rsid w:val="005F42B3"/>
    <w:rsid w:val="005F44E3"/>
    <w:rsid w:val="005F4FF6"/>
    <w:rsid w:val="005F5228"/>
    <w:rsid w:val="005F5B83"/>
    <w:rsid w:val="005F7CC6"/>
    <w:rsid w:val="006009F7"/>
    <w:rsid w:val="00600AA2"/>
    <w:rsid w:val="00601B9D"/>
    <w:rsid w:val="006035CB"/>
    <w:rsid w:val="00607536"/>
    <w:rsid w:val="0061018C"/>
    <w:rsid w:val="006105C3"/>
    <w:rsid w:val="006108E1"/>
    <w:rsid w:val="0061137C"/>
    <w:rsid w:val="00613B6A"/>
    <w:rsid w:val="00613E59"/>
    <w:rsid w:val="006140BF"/>
    <w:rsid w:val="00614573"/>
    <w:rsid w:val="00614DE8"/>
    <w:rsid w:val="0061504C"/>
    <w:rsid w:val="006203C0"/>
    <w:rsid w:val="00620AC9"/>
    <w:rsid w:val="00620E6D"/>
    <w:rsid w:val="006216D7"/>
    <w:rsid w:val="00623635"/>
    <w:rsid w:val="00623A36"/>
    <w:rsid w:val="00625074"/>
    <w:rsid w:val="00625527"/>
    <w:rsid w:val="00625D31"/>
    <w:rsid w:val="00626136"/>
    <w:rsid w:val="006269B5"/>
    <w:rsid w:val="00626C74"/>
    <w:rsid w:val="00630ADC"/>
    <w:rsid w:val="00631617"/>
    <w:rsid w:val="00631F34"/>
    <w:rsid w:val="006324E8"/>
    <w:rsid w:val="00632D5F"/>
    <w:rsid w:val="00636062"/>
    <w:rsid w:val="00636CB5"/>
    <w:rsid w:val="00640440"/>
    <w:rsid w:val="00640D02"/>
    <w:rsid w:val="00642877"/>
    <w:rsid w:val="00646012"/>
    <w:rsid w:val="00646FFE"/>
    <w:rsid w:val="00650EFD"/>
    <w:rsid w:val="00651622"/>
    <w:rsid w:val="00652B92"/>
    <w:rsid w:val="00652C15"/>
    <w:rsid w:val="00653E1D"/>
    <w:rsid w:val="00654D3C"/>
    <w:rsid w:val="006562BF"/>
    <w:rsid w:val="00657454"/>
    <w:rsid w:val="006574E0"/>
    <w:rsid w:val="00660225"/>
    <w:rsid w:val="00660662"/>
    <w:rsid w:val="006608CE"/>
    <w:rsid w:val="0066098D"/>
    <w:rsid w:val="0066117B"/>
    <w:rsid w:val="0066153D"/>
    <w:rsid w:val="0066186A"/>
    <w:rsid w:val="00663021"/>
    <w:rsid w:val="0066495F"/>
    <w:rsid w:val="00665AD2"/>
    <w:rsid w:val="00666C81"/>
    <w:rsid w:val="00667811"/>
    <w:rsid w:val="006679B7"/>
    <w:rsid w:val="00667F28"/>
    <w:rsid w:val="00670924"/>
    <w:rsid w:val="006727D1"/>
    <w:rsid w:val="00672FD4"/>
    <w:rsid w:val="0067301E"/>
    <w:rsid w:val="00673667"/>
    <w:rsid w:val="0067380E"/>
    <w:rsid w:val="00674404"/>
    <w:rsid w:val="00674538"/>
    <w:rsid w:val="00680350"/>
    <w:rsid w:val="00680F74"/>
    <w:rsid w:val="00681875"/>
    <w:rsid w:val="006823E2"/>
    <w:rsid w:val="00683808"/>
    <w:rsid w:val="0068446E"/>
    <w:rsid w:val="00684A0F"/>
    <w:rsid w:val="00685455"/>
    <w:rsid w:val="0069000D"/>
    <w:rsid w:val="00690EE4"/>
    <w:rsid w:val="00691AE5"/>
    <w:rsid w:val="0069226C"/>
    <w:rsid w:val="006932B7"/>
    <w:rsid w:val="006938AD"/>
    <w:rsid w:val="00693C9C"/>
    <w:rsid w:val="0069470F"/>
    <w:rsid w:val="00695F09"/>
    <w:rsid w:val="006A01B8"/>
    <w:rsid w:val="006A07A3"/>
    <w:rsid w:val="006A0A1D"/>
    <w:rsid w:val="006A1593"/>
    <w:rsid w:val="006A218E"/>
    <w:rsid w:val="006A29CA"/>
    <w:rsid w:val="006A2AEA"/>
    <w:rsid w:val="006A3F78"/>
    <w:rsid w:val="006A44D4"/>
    <w:rsid w:val="006A48F1"/>
    <w:rsid w:val="006A4D35"/>
    <w:rsid w:val="006A5882"/>
    <w:rsid w:val="006A69CF"/>
    <w:rsid w:val="006B0411"/>
    <w:rsid w:val="006B0A2D"/>
    <w:rsid w:val="006B0A9D"/>
    <w:rsid w:val="006B1361"/>
    <w:rsid w:val="006B2E56"/>
    <w:rsid w:val="006B4076"/>
    <w:rsid w:val="006B4F71"/>
    <w:rsid w:val="006B5B87"/>
    <w:rsid w:val="006B6220"/>
    <w:rsid w:val="006B788D"/>
    <w:rsid w:val="006B7C98"/>
    <w:rsid w:val="006C004C"/>
    <w:rsid w:val="006C0338"/>
    <w:rsid w:val="006C15D7"/>
    <w:rsid w:val="006C1A7D"/>
    <w:rsid w:val="006C1D12"/>
    <w:rsid w:val="006C25D6"/>
    <w:rsid w:val="006C2E94"/>
    <w:rsid w:val="006C35DB"/>
    <w:rsid w:val="006C4970"/>
    <w:rsid w:val="006C4D8A"/>
    <w:rsid w:val="006C568E"/>
    <w:rsid w:val="006C5AE6"/>
    <w:rsid w:val="006D0EC5"/>
    <w:rsid w:val="006D13B7"/>
    <w:rsid w:val="006D2439"/>
    <w:rsid w:val="006D332D"/>
    <w:rsid w:val="006D356A"/>
    <w:rsid w:val="006D3B94"/>
    <w:rsid w:val="006D457A"/>
    <w:rsid w:val="006D46B1"/>
    <w:rsid w:val="006D5473"/>
    <w:rsid w:val="006D554B"/>
    <w:rsid w:val="006D5BFA"/>
    <w:rsid w:val="006D715C"/>
    <w:rsid w:val="006D7EBF"/>
    <w:rsid w:val="006E0925"/>
    <w:rsid w:val="006E17A5"/>
    <w:rsid w:val="006E1FA3"/>
    <w:rsid w:val="006E24A7"/>
    <w:rsid w:val="006E28C5"/>
    <w:rsid w:val="006E4CDA"/>
    <w:rsid w:val="006E4F98"/>
    <w:rsid w:val="006E58ED"/>
    <w:rsid w:val="006E6799"/>
    <w:rsid w:val="006E6F5E"/>
    <w:rsid w:val="006E7A46"/>
    <w:rsid w:val="006F0887"/>
    <w:rsid w:val="006F244E"/>
    <w:rsid w:val="006F31A7"/>
    <w:rsid w:val="006F381D"/>
    <w:rsid w:val="006F4846"/>
    <w:rsid w:val="006F61A4"/>
    <w:rsid w:val="006F66F6"/>
    <w:rsid w:val="006F6B1B"/>
    <w:rsid w:val="006F6F30"/>
    <w:rsid w:val="006F7486"/>
    <w:rsid w:val="00700529"/>
    <w:rsid w:val="007015BC"/>
    <w:rsid w:val="00703BD0"/>
    <w:rsid w:val="0070400B"/>
    <w:rsid w:val="007045B7"/>
    <w:rsid w:val="00711D9A"/>
    <w:rsid w:val="00711DF7"/>
    <w:rsid w:val="007125B9"/>
    <w:rsid w:val="0071331F"/>
    <w:rsid w:val="007145DB"/>
    <w:rsid w:val="00715266"/>
    <w:rsid w:val="0071540E"/>
    <w:rsid w:val="0071552B"/>
    <w:rsid w:val="0071584C"/>
    <w:rsid w:val="00717207"/>
    <w:rsid w:val="00717286"/>
    <w:rsid w:val="00717647"/>
    <w:rsid w:val="00717BC4"/>
    <w:rsid w:val="00720D16"/>
    <w:rsid w:val="00721B9F"/>
    <w:rsid w:val="00722BAB"/>
    <w:rsid w:val="00723CB9"/>
    <w:rsid w:val="007248CE"/>
    <w:rsid w:val="007311F7"/>
    <w:rsid w:val="0073231E"/>
    <w:rsid w:val="00733160"/>
    <w:rsid w:val="00734F8C"/>
    <w:rsid w:val="007353EE"/>
    <w:rsid w:val="007365A2"/>
    <w:rsid w:val="00737DCD"/>
    <w:rsid w:val="007415EA"/>
    <w:rsid w:val="0074180C"/>
    <w:rsid w:val="00741A2F"/>
    <w:rsid w:val="00742EE3"/>
    <w:rsid w:val="007441D7"/>
    <w:rsid w:val="007457D1"/>
    <w:rsid w:val="007466EA"/>
    <w:rsid w:val="0075011B"/>
    <w:rsid w:val="007504CA"/>
    <w:rsid w:val="00752012"/>
    <w:rsid w:val="00752157"/>
    <w:rsid w:val="00752C6B"/>
    <w:rsid w:val="00753B4D"/>
    <w:rsid w:val="00753DB3"/>
    <w:rsid w:val="00754DA8"/>
    <w:rsid w:val="007552D3"/>
    <w:rsid w:val="00755C20"/>
    <w:rsid w:val="00756293"/>
    <w:rsid w:val="00757D83"/>
    <w:rsid w:val="00760EAE"/>
    <w:rsid w:val="00761F47"/>
    <w:rsid w:val="00762EF4"/>
    <w:rsid w:val="007639ED"/>
    <w:rsid w:val="00763E57"/>
    <w:rsid w:val="007644C7"/>
    <w:rsid w:val="00765B31"/>
    <w:rsid w:val="00766785"/>
    <w:rsid w:val="00766EFD"/>
    <w:rsid w:val="00767A9E"/>
    <w:rsid w:val="007702BF"/>
    <w:rsid w:val="00770C68"/>
    <w:rsid w:val="007726FA"/>
    <w:rsid w:val="00774137"/>
    <w:rsid w:val="00774D9D"/>
    <w:rsid w:val="007752C0"/>
    <w:rsid w:val="0077555F"/>
    <w:rsid w:val="00776366"/>
    <w:rsid w:val="00776772"/>
    <w:rsid w:val="0077695F"/>
    <w:rsid w:val="007770B7"/>
    <w:rsid w:val="00780B42"/>
    <w:rsid w:val="00781038"/>
    <w:rsid w:val="00781460"/>
    <w:rsid w:val="00781A36"/>
    <w:rsid w:val="00781C89"/>
    <w:rsid w:val="00782899"/>
    <w:rsid w:val="00783BD5"/>
    <w:rsid w:val="00785B08"/>
    <w:rsid w:val="0078616D"/>
    <w:rsid w:val="00787033"/>
    <w:rsid w:val="007879AA"/>
    <w:rsid w:val="00790783"/>
    <w:rsid w:val="00790B65"/>
    <w:rsid w:val="00790F5C"/>
    <w:rsid w:val="00790F8A"/>
    <w:rsid w:val="00792745"/>
    <w:rsid w:val="007959D0"/>
    <w:rsid w:val="0079688D"/>
    <w:rsid w:val="007A1CDE"/>
    <w:rsid w:val="007A27D6"/>
    <w:rsid w:val="007A2AFA"/>
    <w:rsid w:val="007A438F"/>
    <w:rsid w:val="007A4EDB"/>
    <w:rsid w:val="007B2ACB"/>
    <w:rsid w:val="007B3C13"/>
    <w:rsid w:val="007B3E2B"/>
    <w:rsid w:val="007B6C2F"/>
    <w:rsid w:val="007B7E96"/>
    <w:rsid w:val="007B7F18"/>
    <w:rsid w:val="007C301F"/>
    <w:rsid w:val="007C4165"/>
    <w:rsid w:val="007C5DBB"/>
    <w:rsid w:val="007C6EB5"/>
    <w:rsid w:val="007C737A"/>
    <w:rsid w:val="007D0C39"/>
    <w:rsid w:val="007D0C93"/>
    <w:rsid w:val="007D1361"/>
    <w:rsid w:val="007D1BC6"/>
    <w:rsid w:val="007D2BE4"/>
    <w:rsid w:val="007D3034"/>
    <w:rsid w:val="007D4725"/>
    <w:rsid w:val="007D5186"/>
    <w:rsid w:val="007D66C0"/>
    <w:rsid w:val="007D6EBC"/>
    <w:rsid w:val="007D7261"/>
    <w:rsid w:val="007E16F4"/>
    <w:rsid w:val="007E2023"/>
    <w:rsid w:val="007E3048"/>
    <w:rsid w:val="007E38E6"/>
    <w:rsid w:val="007E3903"/>
    <w:rsid w:val="007E45FB"/>
    <w:rsid w:val="007E489F"/>
    <w:rsid w:val="007E498D"/>
    <w:rsid w:val="007E71D7"/>
    <w:rsid w:val="007F1019"/>
    <w:rsid w:val="007F19B5"/>
    <w:rsid w:val="007F20AF"/>
    <w:rsid w:val="007F2183"/>
    <w:rsid w:val="007F4AB1"/>
    <w:rsid w:val="007F60B2"/>
    <w:rsid w:val="007F7936"/>
    <w:rsid w:val="00800283"/>
    <w:rsid w:val="0080204C"/>
    <w:rsid w:val="008022CE"/>
    <w:rsid w:val="008026FA"/>
    <w:rsid w:val="00802DE1"/>
    <w:rsid w:val="008036F6"/>
    <w:rsid w:val="008047DC"/>
    <w:rsid w:val="00804FA9"/>
    <w:rsid w:val="00805787"/>
    <w:rsid w:val="00805E6E"/>
    <w:rsid w:val="0080771E"/>
    <w:rsid w:val="00810030"/>
    <w:rsid w:val="0081049C"/>
    <w:rsid w:val="008107E2"/>
    <w:rsid w:val="00812DE7"/>
    <w:rsid w:val="008134BC"/>
    <w:rsid w:val="008141BB"/>
    <w:rsid w:val="00814D1A"/>
    <w:rsid w:val="00815C4F"/>
    <w:rsid w:val="008200CC"/>
    <w:rsid w:val="00824225"/>
    <w:rsid w:val="00826272"/>
    <w:rsid w:val="00827BC8"/>
    <w:rsid w:val="0083030C"/>
    <w:rsid w:val="00831C9C"/>
    <w:rsid w:val="00833581"/>
    <w:rsid w:val="00834A31"/>
    <w:rsid w:val="00834C1F"/>
    <w:rsid w:val="00835548"/>
    <w:rsid w:val="00835E55"/>
    <w:rsid w:val="00836CDA"/>
    <w:rsid w:val="00841D4C"/>
    <w:rsid w:val="00841DB6"/>
    <w:rsid w:val="00841F1D"/>
    <w:rsid w:val="0084207B"/>
    <w:rsid w:val="00842603"/>
    <w:rsid w:val="0084291F"/>
    <w:rsid w:val="00843383"/>
    <w:rsid w:val="008437CD"/>
    <w:rsid w:val="00845B60"/>
    <w:rsid w:val="008462CB"/>
    <w:rsid w:val="00846383"/>
    <w:rsid w:val="00850364"/>
    <w:rsid w:val="008505D8"/>
    <w:rsid w:val="00851B9A"/>
    <w:rsid w:val="00852311"/>
    <w:rsid w:val="008523DC"/>
    <w:rsid w:val="008526C8"/>
    <w:rsid w:val="00852C5E"/>
    <w:rsid w:val="008533E0"/>
    <w:rsid w:val="00853D62"/>
    <w:rsid w:val="00854D5A"/>
    <w:rsid w:val="00855498"/>
    <w:rsid w:val="008564DB"/>
    <w:rsid w:val="00856D51"/>
    <w:rsid w:val="0085793A"/>
    <w:rsid w:val="0086022B"/>
    <w:rsid w:val="00860904"/>
    <w:rsid w:val="008619D6"/>
    <w:rsid w:val="00861C97"/>
    <w:rsid w:val="008622FF"/>
    <w:rsid w:val="00866071"/>
    <w:rsid w:val="00874012"/>
    <w:rsid w:val="00874C1F"/>
    <w:rsid w:val="008753A2"/>
    <w:rsid w:val="00876435"/>
    <w:rsid w:val="0087689B"/>
    <w:rsid w:val="00880AAD"/>
    <w:rsid w:val="00880B7C"/>
    <w:rsid w:val="0088121F"/>
    <w:rsid w:val="00882BCD"/>
    <w:rsid w:val="0088328B"/>
    <w:rsid w:val="00884576"/>
    <w:rsid w:val="008856C7"/>
    <w:rsid w:val="00885A1D"/>
    <w:rsid w:val="008864FD"/>
    <w:rsid w:val="00886885"/>
    <w:rsid w:val="00886F75"/>
    <w:rsid w:val="00887A94"/>
    <w:rsid w:val="00891166"/>
    <w:rsid w:val="0089324D"/>
    <w:rsid w:val="00893313"/>
    <w:rsid w:val="0089644B"/>
    <w:rsid w:val="0089698A"/>
    <w:rsid w:val="008A0A09"/>
    <w:rsid w:val="008A1B66"/>
    <w:rsid w:val="008A25AD"/>
    <w:rsid w:val="008A3F4E"/>
    <w:rsid w:val="008A47CB"/>
    <w:rsid w:val="008A6A06"/>
    <w:rsid w:val="008B22AA"/>
    <w:rsid w:val="008B5910"/>
    <w:rsid w:val="008B5F6D"/>
    <w:rsid w:val="008B616D"/>
    <w:rsid w:val="008B6CAA"/>
    <w:rsid w:val="008B6D0A"/>
    <w:rsid w:val="008B723B"/>
    <w:rsid w:val="008B76DB"/>
    <w:rsid w:val="008B77EA"/>
    <w:rsid w:val="008C20D6"/>
    <w:rsid w:val="008C2119"/>
    <w:rsid w:val="008C3AB6"/>
    <w:rsid w:val="008C5BC5"/>
    <w:rsid w:val="008C6723"/>
    <w:rsid w:val="008C6A98"/>
    <w:rsid w:val="008C7133"/>
    <w:rsid w:val="008D114E"/>
    <w:rsid w:val="008D1D79"/>
    <w:rsid w:val="008D2CBF"/>
    <w:rsid w:val="008D4871"/>
    <w:rsid w:val="008D4D5A"/>
    <w:rsid w:val="008D6825"/>
    <w:rsid w:val="008E055D"/>
    <w:rsid w:val="008E136A"/>
    <w:rsid w:val="008E24FE"/>
    <w:rsid w:val="008E2682"/>
    <w:rsid w:val="008E26EC"/>
    <w:rsid w:val="008E2CCF"/>
    <w:rsid w:val="008E2F71"/>
    <w:rsid w:val="008E3261"/>
    <w:rsid w:val="008E3444"/>
    <w:rsid w:val="008E37B3"/>
    <w:rsid w:val="008E42FD"/>
    <w:rsid w:val="008E488D"/>
    <w:rsid w:val="008E4A89"/>
    <w:rsid w:val="008E575C"/>
    <w:rsid w:val="008E6E9F"/>
    <w:rsid w:val="008F2307"/>
    <w:rsid w:val="008F231F"/>
    <w:rsid w:val="008F5418"/>
    <w:rsid w:val="008F6BED"/>
    <w:rsid w:val="008F6E65"/>
    <w:rsid w:val="008F76CD"/>
    <w:rsid w:val="0090153C"/>
    <w:rsid w:val="00901555"/>
    <w:rsid w:val="0090423D"/>
    <w:rsid w:val="00904BBF"/>
    <w:rsid w:val="009055E2"/>
    <w:rsid w:val="0090733E"/>
    <w:rsid w:val="00907B42"/>
    <w:rsid w:val="00910CF0"/>
    <w:rsid w:val="00912961"/>
    <w:rsid w:val="00913BF0"/>
    <w:rsid w:val="00913C7D"/>
    <w:rsid w:val="00916042"/>
    <w:rsid w:val="00916525"/>
    <w:rsid w:val="00917C53"/>
    <w:rsid w:val="00917E19"/>
    <w:rsid w:val="009233DC"/>
    <w:rsid w:val="009249A3"/>
    <w:rsid w:val="00924C06"/>
    <w:rsid w:val="00924E9E"/>
    <w:rsid w:val="0092580F"/>
    <w:rsid w:val="009268EB"/>
    <w:rsid w:val="009312A3"/>
    <w:rsid w:val="00931417"/>
    <w:rsid w:val="00931A25"/>
    <w:rsid w:val="0093268B"/>
    <w:rsid w:val="009333B0"/>
    <w:rsid w:val="00933E3E"/>
    <w:rsid w:val="0093474D"/>
    <w:rsid w:val="00935BBD"/>
    <w:rsid w:val="00937A2D"/>
    <w:rsid w:val="00937D99"/>
    <w:rsid w:val="0094056C"/>
    <w:rsid w:val="00941DCD"/>
    <w:rsid w:val="00941EFD"/>
    <w:rsid w:val="00942199"/>
    <w:rsid w:val="00942902"/>
    <w:rsid w:val="00942F39"/>
    <w:rsid w:val="00943282"/>
    <w:rsid w:val="0094476A"/>
    <w:rsid w:val="009454C0"/>
    <w:rsid w:val="00945CAD"/>
    <w:rsid w:val="0094796E"/>
    <w:rsid w:val="009504F9"/>
    <w:rsid w:val="00950BFF"/>
    <w:rsid w:val="00950CC3"/>
    <w:rsid w:val="009520D0"/>
    <w:rsid w:val="0095323B"/>
    <w:rsid w:val="00953F34"/>
    <w:rsid w:val="00953FF2"/>
    <w:rsid w:val="00954083"/>
    <w:rsid w:val="009554DC"/>
    <w:rsid w:val="0095580B"/>
    <w:rsid w:val="00955AE7"/>
    <w:rsid w:val="00956275"/>
    <w:rsid w:val="009565D6"/>
    <w:rsid w:val="00956833"/>
    <w:rsid w:val="00956F64"/>
    <w:rsid w:val="00957298"/>
    <w:rsid w:val="009605B2"/>
    <w:rsid w:val="00963724"/>
    <w:rsid w:val="00964BDB"/>
    <w:rsid w:val="00964D70"/>
    <w:rsid w:val="00966086"/>
    <w:rsid w:val="00966880"/>
    <w:rsid w:val="00966992"/>
    <w:rsid w:val="00966D92"/>
    <w:rsid w:val="00971AA0"/>
    <w:rsid w:val="00972516"/>
    <w:rsid w:val="009739F0"/>
    <w:rsid w:val="00974BB6"/>
    <w:rsid w:val="00975711"/>
    <w:rsid w:val="0097600E"/>
    <w:rsid w:val="00976281"/>
    <w:rsid w:val="00980003"/>
    <w:rsid w:val="00980E31"/>
    <w:rsid w:val="00982287"/>
    <w:rsid w:val="009836AF"/>
    <w:rsid w:val="009841C5"/>
    <w:rsid w:val="00984E8B"/>
    <w:rsid w:val="00990CC4"/>
    <w:rsid w:val="00990E5E"/>
    <w:rsid w:val="00993013"/>
    <w:rsid w:val="009936AA"/>
    <w:rsid w:val="00993830"/>
    <w:rsid w:val="00993949"/>
    <w:rsid w:val="00995C06"/>
    <w:rsid w:val="009965E8"/>
    <w:rsid w:val="009A0839"/>
    <w:rsid w:val="009A0A03"/>
    <w:rsid w:val="009A280D"/>
    <w:rsid w:val="009A3FA8"/>
    <w:rsid w:val="009A6A57"/>
    <w:rsid w:val="009A7F23"/>
    <w:rsid w:val="009B4035"/>
    <w:rsid w:val="009B4045"/>
    <w:rsid w:val="009B4D0B"/>
    <w:rsid w:val="009B5412"/>
    <w:rsid w:val="009B67A6"/>
    <w:rsid w:val="009C0DB8"/>
    <w:rsid w:val="009C139E"/>
    <w:rsid w:val="009C19D1"/>
    <w:rsid w:val="009C1C2A"/>
    <w:rsid w:val="009C5125"/>
    <w:rsid w:val="009C735A"/>
    <w:rsid w:val="009D1816"/>
    <w:rsid w:val="009D48D7"/>
    <w:rsid w:val="009D4D0C"/>
    <w:rsid w:val="009D71A1"/>
    <w:rsid w:val="009E06D5"/>
    <w:rsid w:val="009E25E1"/>
    <w:rsid w:val="009E35B8"/>
    <w:rsid w:val="009E4DB5"/>
    <w:rsid w:val="009E590F"/>
    <w:rsid w:val="009E6FB4"/>
    <w:rsid w:val="009F019B"/>
    <w:rsid w:val="009F1BA3"/>
    <w:rsid w:val="009F20D3"/>
    <w:rsid w:val="009F2282"/>
    <w:rsid w:val="009F2A8C"/>
    <w:rsid w:val="009F450B"/>
    <w:rsid w:val="009F4E6C"/>
    <w:rsid w:val="009F5406"/>
    <w:rsid w:val="009F60FC"/>
    <w:rsid w:val="009F6CD2"/>
    <w:rsid w:val="00A01490"/>
    <w:rsid w:val="00A021B0"/>
    <w:rsid w:val="00A029E4"/>
    <w:rsid w:val="00A04CBC"/>
    <w:rsid w:val="00A0581E"/>
    <w:rsid w:val="00A060F5"/>
    <w:rsid w:val="00A06434"/>
    <w:rsid w:val="00A06900"/>
    <w:rsid w:val="00A06F36"/>
    <w:rsid w:val="00A073B3"/>
    <w:rsid w:val="00A07EDA"/>
    <w:rsid w:val="00A107BB"/>
    <w:rsid w:val="00A11DCC"/>
    <w:rsid w:val="00A12E93"/>
    <w:rsid w:val="00A132A7"/>
    <w:rsid w:val="00A136D6"/>
    <w:rsid w:val="00A143A3"/>
    <w:rsid w:val="00A1496C"/>
    <w:rsid w:val="00A1564D"/>
    <w:rsid w:val="00A177E8"/>
    <w:rsid w:val="00A179B1"/>
    <w:rsid w:val="00A17C1D"/>
    <w:rsid w:val="00A17F69"/>
    <w:rsid w:val="00A221FF"/>
    <w:rsid w:val="00A22674"/>
    <w:rsid w:val="00A2333F"/>
    <w:rsid w:val="00A258BF"/>
    <w:rsid w:val="00A300D1"/>
    <w:rsid w:val="00A31D77"/>
    <w:rsid w:val="00A340A3"/>
    <w:rsid w:val="00A3443A"/>
    <w:rsid w:val="00A357A2"/>
    <w:rsid w:val="00A35B87"/>
    <w:rsid w:val="00A364B5"/>
    <w:rsid w:val="00A37456"/>
    <w:rsid w:val="00A3749E"/>
    <w:rsid w:val="00A374AA"/>
    <w:rsid w:val="00A374F2"/>
    <w:rsid w:val="00A3767B"/>
    <w:rsid w:val="00A37C26"/>
    <w:rsid w:val="00A40044"/>
    <w:rsid w:val="00A40514"/>
    <w:rsid w:val="00A408ED"/>
    <w:rsid w:val="00A40A84"/>
    <w:rsid w:val="00A40D2D"/>
    <w:rsid w:val="00A40ED0"/>
    <w:rsid w:val="00A433C1"/>
    <w:rsid w:val="00A44F2D"/>
    <w:rsid w:val="00A45802"/>
    <w:rsid w:val="00A51E50"/>
    <w:rsid w:val="00A5285B"/>
    <w:rsid w:val="00A53481"/>
    <w:rsid w:val="00A53C93"/>
    <w:rsid w:val="00A53D18"/>
    <w:rsid w:val="00A5414C"/>
    <w:rsid w:val="00A56493"/>
    <w:rsid w:val="00A579E3"/>
    <w:rsid w:val="00A60523"/>
    <w:rsid w:val="00A63D96"/>
    <w:rsid w:val="00A64F6E"/>
    <w:rsid w:val="00A659BC"/>
    <w:rsid w:val="00A65F55"/>
    <w:rsid w:val="00A66287"/>
    <w:rsid w:val="00A665E8"/>
    <w:rsid w:val="00A70991"/>
    <w:rsid w:val="00A713E7"/>
    <w:rsid w:val="00A71AB4"/>
    <w:rsid w:val="00A75027"/>
    <w:rsid w:val="00A761EF"/>
    <w:rsid w:val="00A76F98"/>
    <w:rsid w:val="00A77835"/>
    <w:rsid w:val="00A77A5C"/>
    <w:rsid w:val="00A80480"/>
    <w:rsid w:val="00A81E75"/>
    <w:rsid w:val="00A8296E"/>
    <w:rsid w:val="00A82C94"/>
    <w:rsid w:val="00A83D35"/>
    <w:rsid w:val="00A85248"/>
    <w:rsid w:val="00A857AF"/>
    <w:rsid w:val="00A866A9"/>
    <w:rsid w:val="00A86AD4"/>
    <w:rsid w:val="00A86FFF"/>
    <w:rsid w:val="00A87188"/>
    <w:rsid w:val="00A87C1D"/>
    <w:rsid w:val="00A91908"/>
    <w:rsid w:val="00A9254D"/>
    <w:rsid w:val="00A92CD1"/>
    <w:rsid w:val="00A92F02"/>
    <w:rsid w:val="00A948FA"/>
    <w:rsid w:val="00A95C75"/>
    <w:rsid w:val="00A96A35"/>
    <w:rsid w:val="00A9790F"/>
    <w:rsid w:val="00AA14EE"/>
    <w:rsid w:val="00AA16B9"/>
    <w:rsid w:val="00AA1F5A"/>
    <w:rsid w:val="00AA3A2B"/>
    <w:rsid w:val="00AA411D"/>
    <w:rsid w:val="00AA4C18"/>
    <w:rsid w:val="00AB0F9C"/>
    <w:rsid w:val="00AB1745"/>
    <w:rsid w:val="00AB17FB"/>
    <w:rsid w:val="00AB660C"/>
    <w:rsid w:val="00AC15B1"/>
    <w:rsid w:val="00AC1EE3"/>
    <w:rsid w:val="00AC3325"/>
    <w:rsid w:val="00AC4113"/>
    <w:rsid w:val="00AC68E8"/>
    <w:rsid w:val="00AC7E68"/>
    <w:rsid w:val="00AD1CF1"/>
    <w:rsid w:val="00AD1FA2"/>
    <w:rsid w:val="00AD1FEA"/>
    <w:rsid w:val="00AD3A72"/>
    <w:rsid w:val="00AD4109"/>
    <w:rsid w:val="00AD512B"/>
    <w:rsid w:val="00AD5231"/>
    <w:rsid w:val="00AD57B2"/>
    <w:rsid w:val="00AD6787"/>
    <w:rsid w:val="00AD7D07"/>
    <w:rsid w:val="00AE02FF"/>
    <w:rsid w:val="00AE2BC1"/>
    <w:rsid w:val="00AE303B"/>
    <w:rsid w:val="00AE3260"/>
    <w:rsid w:val="00AE349A"/>
    <w:rsid w:val="00AE4006"/>
    <w:rsid w:val="00AE56F4"/>
    <w:rsid w:val="00AE5F7B"/>
    <w:rsid w:val="00AE6716"/>
    <w:rsid w:val="00AE7D92"/>
    <w:rsid w:val="00AF3CA0"/>
    <w:rsid w:val="00AF564D"/>
    <w:rsid w:val="00AF5668"/>
    <w:rsid w:val="00AF5940"/>
    <w:rsid w:val="00AF5993"/>
    <w:rsid w:val="00AF7C5C"/>
    <w:rsid w:val="00B00179"/>
    <w:rsid w:val="00B0038D"/>
    <w:rsid w:val="00B01BA2"/>
    <w:rsid w:val="00B01ED9"/>
    <w:rsid w:val="00B031AA"/>
    <w:rsid w:val="00B03A91"/>
    <w:rsid w:val="00B03B2B"/>
    <w:rsid w:val="00B03B31"/>
    <w:rsid w:val="00B03D29"/>
    <w:rsid w:val="00B03D7D"/>
    <w:rsid w:val="00B0414C"/>
    <w:rsid w:val="00B0667B"/>
    <w:rsid w:val="00B067CC"/>
    <w:rsid w:val="00B10EBB"/>
    <w:rsid w:val="00B116D1"/>
    <w:rsid w:val="00B20A9A"/>
    <w:rsid w:val="00B224E9"/>
    <w:rsid w:val="00B23FF0"/>
    <w:rsid w:val="00B2565E"/>
    <w:rsid w:val="00B2637F"/>
    <w:rsid w:val="00B26895"/>
    <w:rsid w:val="00B27887"/>
    <w:rsid w:val="00B307B7"/>
    <w:rsid w:val="00B30D8F"/>
    <w:rsid w:val="00B35329"/>
    <w:rsid w:val="00B359FE"/>
    <w:rsid w:val="00B370DD"/>
    <w:rsid w:val="00B40509"/>
    <w:rsid w:val="00B4149E"/>
    <w:rsid w:val="00B41EDD"/>
    <w:rsid w:val="00B44406"/>
    <w:rsid w:val="00B44E7D"/>
    <w:rsid w:val="00B45DCE"/>
    <w:rsid w:val="00B465F3"/>
    <w:rsid w:val="00B4681F"/>
    <w:rsid w:val="00B50EB5"/>
    <w:rsid w:val="00B51493"/>
    <w:rsid w:val="00B524D9"/>
    <w:rsid w:val="00B53393"/>
    <w:rsid w:val="00B54F71"/>
    <w:rsid w:val="00B5509F"/>
    <w:rsid w:val="00B558EE"/>
    <w:rsid w:val="00B56A46"/>
    <w:rsid w:val="00B57B6A"/>
    <w:rsid w:val="00B60E9D"/>
    <w:rsid w:val="00B61A48"/>
    <w:rsid w:val="00B639BA"/>
    <w:rsid w:val="00B6431A"/>
    <w:rsid w:val="00B65070"/>
    <w:rsid w:val="00B65C00"/>
    <w:rsid w:val="00B65F8A"/>
    <w:rsid w:val="00B66785"/>
    <w:rsid w:val="00B66BEE"/>
    <w:rsid w:val="00B66FC9"/>
    <w:rsid w:val="00B67285"/>
    <w:rsid w:val="00B67E8A"/>
    <w:rsid w:val="00B702F7"/>
    <w:rsid w:val="00B709E3"/>
    <w:rsid w:val="00B72B26"/>
    <w:rsid w:val="00B72D73"/>
    <w:rsid w:val="00B74243"/>
    <w:rsid w:val="00B77822"/>
    <w:rsid w:val="00B8038C"/>
    <w:rsid w:val="00B8135C"/>
    <w:rsid w:val="00B81533"/>
    <w:rsid w:val="00B81597"/>
    <w:rsid w:val="00B8242F"/>
    <w:rsid w:val="00B83968"/>
    <w:rsid w:val="00B84DAF"/>
    <w:rsid w:val="00B85796"/>
    <w:rsid w:val="00B86ABC"/>
    <w:rsid w:val="00B86F2F"/>
    <w:rsid w:val="00B90722"/>
    <w:rsid w:val="00B90DC6"/>
    <w:rsid w:val="00B90E6E"/>
    <w:rsid w:val="00B94C43"/>
    <w:rsid w:val="00B95C0B"/>
    <w:rsid w:val="00B9725E"/>
    <w:rsid w:val="00BA094B"/>
    <w:rsid w:val="00BA3933"/>
    <w:rsid w:val="00BA43AB"/>
    <w:rsid w:val="00BA44B2"/>
    <w:rsid w:val="00BA5E69"/>
    <w:rsid w:val="00BA6FBC"/>
    <w:rsid w:val="00BB01E8"/>
    <w:rsid w:val="00BB05EC"/>
    <w:rsid w:val="00BB0A45"/>
    <w:rsid w:val="00BB29B7"/>
    <w:rsid w:val="00BB2C15"/>
    <w:rsid w:val="00BB30F6"/>
    <w:rsid w:val="00BB3A52"/>
    <w:rsid w:val="00BB3DC9"/>
    <w:rsid w:val="00BB42AF"/>
    <w:rsid w:val="00BB4576"/>
    <w:rsid w:val="00BB471D"/>
    <w:rsid w:val="00BB5274"/>
    <w:rsid w:val="00BB5289"/>
    <w:rsid w:val="00BB5607"/>
    <w:rsid w:val="00BB6726"/>
    <w:rsid w:val="00BC123F"/>
    <w:rsid w:val="00BC13B9"/>
    <w:rsid w:val="00BC14F3"/>
    <w:rsid w:val="00BC47D6"/>
    <w:rsid w:val="00BC67C9"/>
    <w:rsid w:val="00BC6A63"/>
    <w:rsid w:val="00BD040B"/>
    <w:rsid w:val="00BD231B"/>
    <w:rsid w:val="00BD4118"/>
    <w:rsid w:val="00BD435E"/>
    <w:rsid w:val="00BD4D44"/>
    <w:rsid w:val="00BD508F"/>
    <w:rsid w:val="00BD5565"/>
    <w:rsid w:val="00BD57C4"/>
    <w:rsid w:val="00BD59D0"/>
    <w:rsid w:val="00BD5B79"/>
    <w:rsid w:val="00BD73E1"/>
    <w:rsid w:val="00BE02EA"/>
    <w:rsid w:val="00BE037E"/>
    <w:rsid w:val="00BE0F61"/>
    <w:rsid w:val="00BE1FD3"/>
    <w:rsid w:val="00BE20FF"/>
    <w:rsid w:val="00BE2234"/>
    <w:rsid w:val="00BE2B91"/>
    <w:rsid w:val="00BE3312"/>
    <w:rsid w:val="00BE4561"/>
    <w:rsid w:val="00BE512A"/>
    <w:rsid w:val="00BE55A4"/>
    <w:rsid w:val="00BE5948"/>
    <w:rsid w:val="00BE5C93"/>
    <w:rsid w:val="00BE62D8"/>
    <w:rsid w:val="00BE7EA6"/>
    <w:rsid w:val="00BF0DCA"/>
    <w:rsid w:val="00BF256F"/>
    <w:rsid w:val="00BF3015"/>
    <w:rsid w:val="00BF4E9A"/>
    <w:rsid w:val="00BF60D3"/>
    <w:rsid w:val="00C000E8"/>
    <w:rsid w:val="00C00118"/>
    <w:rsid w:val="00C004BD"/>
    <w:rsid w:val="00C0153F"/>
    <w:rsid w:val="00C01BE8"/>
    <w:rsid w:val="00C02C77"/>
    <w:rsid w:val="00C03092"/>
    <w:rsid w:val="00C03205"/>
    <w:rsid w:val="00C051B3"/>
    <w:rsid w:val="00C059DD"/>
    <w:rsid w:val="00C05AB7"/>
    <w:rsid w:val="00C06AD8"/>
    <w:rsid w:val="00C11D9D"/>
    <w:rsid w:val="00C1218F"/>
    <w:rsid w:val="00C125E3"/>
    <w:rsid w:val="00C12D24"/>
    <w:rsid w:val="00C15F44"/>
    <w:rsid w:val="00C163EE"/>
    <w:rsid w:val="00C1664D"/>
    <w:rsid w:val="00C16EFB"/>
    <w:rsid w:val="00C16F48"/>
    <w:rsid w:val="00C204F4"/>
    <w:rsid w:val="00C21883"/>
    <w:rsid w:val="00C223E9"/>
    <w:rsid w:val="00C23415"/>
    <w:rsid w:val="00C23D16"/>
    <w:rsid w:val="00C23FAC"/>
    <w:rsid w:val="00C24517"/>
    <w:rsid w:val="00C24A03"/>
    <w:rsid w:val="00C24C43"/>
    <w:rsid w:val="00C262D5"/>
    <w:rsid w:val="00C26E96"/>
    <w:rsid w:val="00C27525"/>
    <w:rsid w:val="00C27BD9"/>
    <w:rsid w:val="00C3028C"/>
    <w:rsid w:val="00C30663"/>
    <w:rsid w:val="00C33217"/>
    <w:rsid w:val="00C3536A"/>
    <w:rsid w:val="00C37968"/>
    <w:rsid w:val="00C40996"/>
    <w:rsid w:val="00C40A1C"/>
    <w:rsid w:val="00C40B69"/>
    <w:rsid w:val="00C427B8"/>
    <w:rsid w:val="00C42829"/>
    <w:rsid w:val="00C45E26"/>
    <w:rsid w:val="00C47BCA"/>
    <w:rsid w:val="00C50393"/>
    <w:rsid w:val="00C5051B"/>
    <w:rsid w:val="00C50ACF"/>
    <w:rsid w:val="00C50F77"/>
    <w:rsid w:val="00C5167D"/>
    <w:rsid w:val="00C51CFE"/>
    <w:rsid w:val="00C534FD"/>
    <w:rsid w:val="00C557EC"/>
    <w:rsid w:val="00C55834"/>
    <w:rsid w:val="00C56CC8"/>
    <w:rsid w:val="00C57303"/>
    <w:rsid w:val="00C602B2"/>
    <w:rsid w:val="00C613CC"/>
    <w:rsid w:val="00C61D1E"/>
    <w:rsid w:val="00C623B4"/>
    <w:rsid w:val="00C6380E"/>
    <w:rsid w:val="00C638FB"/>
    <w:rsid w:val="00C63CB8"/>
    <w:rsid w:val="00C65246"/>
    <w:rsid w:val="00C656C0"/>
    <w:rsid w:val="00C65C99"/>
    <w:rsid w:val="00C674BC"/>
    <w:rsid w:val="00C67F1C"/>
    <w:rsid w:val="00C70FC0"/>
    <w:rsid w:val="00C7108B"/>
    <w:rsid w:val="00C71C2E"/>
    <w:rsid w:val="00C72A9F"/>
    <w:rsid w:val="00C72AB0"/>
    <w:rsid w:val="00C74179"/>
    <w:rsid w:val="00C74EE2"/>
    <w:rsid w:val="00C75192"/>
    <w:rsid w:val="00C75956"/>
    <w:rsid w:val="00C771CF"/>
    <w:rsid w:val="00C775EE"/>
    <w:rsid w:val="00C77AA8"/>
    <w:rsid w:val="00C81B5A"/>
    <w:rsid w:val="00C8251C"/>
    <w:rsid w:val="00C82B70"/>
    <w:rsid w:val="00C83D15"/>
    <w:rsid w:val="00C851A6"/>
    <w:rsid w:val="00C85781"/>
    <w:rsid w:val="00C8580D"/>
    <w:rsid w:val="00C8580E"/>
    <w:rsid w:val="00C874EE"/>
    <w:rsid w:val="00C90356"/>
    <w:rsid w:val="00C917A7"/>
    <w:rsid w:val="00C939FD"/>
    <w:rsid w:val="00C946D5"/>
    <w:rsid w:val="00C95228"/>
    <w:rsid w:val="00C95518"/>
    <w:rsid w:val="00C979D9"/>
    <w:rsid w:val="00CA026A"/>
    <w:rsid w:val="00CA26E6"/>
    <w:rsid w:val="00CA31CE"/>
    <w:rsid w:val="00CA39D1"/>
    <w:rsid w:val="00CA596E"/>
    <w:rsid w:val="00CA5AFC"/>
    <w:rsid w:val="00CA6399"/>
    <w:rsid w:val="00CB005A"/>
    <w:rsid w:val="00CB19B3"/>
    <w:rsid w:val="00CB2228"/>
    <w:rsid w:val="00CB2C0F"/>
    <w:rsid w:val="00CB338B"/>
    <w:rsid w:val="00CB385E"/>
    <w:rsid w:val="00CB409F"/>
    <w:rsid w:val="00CB4171"/>
    <w:rsid w:val="00CB4A3A"/>
    <w:rsid w:val="00CB688F"/>
    <w:rsid w:val="00CB7381"/>
    <w:rsid w:val="00CC111F"/>
    <w:rsid w:val="00CC141B"/>
    <w:rsid w:val="00CC19DB"/>
    <w:rsid w:val="00CC21F0"/>
    <w:rsid w:val="00CC3518"/>
    <w:rsid w:val="00CC454D"/>
    <w:rsid w:val="00CC5C00"/>
    <w:rsid w:val="00CD092A"/>
    <w:rsid w:val="00CD3434"/>
    <w:rsid w:val="00CD5CDC"/>
    <w:rsid w:val="00CD5DF1"/>
    <w:rsid w:val="00CD635B"/>
    <w:rsid w:val="00CD69EB"/>
    <w:rsid w:val="00CD7581"/>
    <w:rsid w:val="00CE2D00"/>
    <w:rsid w:val="00CE2DAD"/>
    <w:rsid w:val="00CE3A46"/>
    <w:rsid w:val="00CE3AD8"/>
    <w:rsid w:val="00CE4CF2"/>
    <w:rsid w:val="00CE4FB0"/>
    <w:rsid w:val="00CE7F32"/>
    <w:rsid w:val="00CF0DEC"/>
    <w:rsid w:val="00CF0E76"/>
    <w:rsid w:val="00CF17D4"/>
    <w:rsid w:val="00CF1BCA"/>
    <w:rsid w:val="00CF230D"/>
    <w:rsid w:val="00CF6743"/>
    <w:rsid w:val="00D00CE7"/>
    <w:rsid w:val="00D01795"/>
    <w:rsid w:val="00D018D6"/>
    <w:rsid w:val="00D02001"/>
    <w:rsid w:val="00D02ACD"/>
    <w:rsid w:val="00D03CCA"/>
    <w:rsid w:val="00D03F5C"/>
    <w:rsid w:val="00D043B3"/>
    <w:rsid w:val="00D05A30"/>
    <w:rsid w:val="00D07447"/>
    <w:rsid w:val="00D07715"/>
    <w:rsid w:val="00D101B1"/>
    <w:rsid w:val="00D135AF"/>
    <w:rsid w:val="00D135F5"/>
    <w:rsid w:val="00D1406C"/>
    <w:rsid w:val="00D148EE"/>
    <w:rsid w:val="00D156CA"/>
    <w:rsid w:val="00D15BEB"/>
    <w:rsid w:val="00D16F4E"/>
    <w:rsid w:val="00D239B5"/>
    <w:rsid w:val="00D23EE3"/>
    <w:rsid w:val="00D24112"/>
    <w:rsid w:val="00D25346"/>
    <w:rsid w:val="00D255B0"/>
    <w:rsid w:val="00D26186"/>
    <w:rsid w:val="00D268C7"/>
    <w:rsid w:val="00D27DC1"/>
    <w:rsid w:val="00D303A8"/>
    <w:rsid w:val="00D30D79"/>
    <w:rsid w:val="00D31C6A"/>
    <w:rsid w:val="00D32562"/>
    <w:rsid w:val="00D32776"/>
    <w:rsid w:val="00D32C97"/>
    <w:rsid w:val="00D337B0"/>
    <w:rsid w:val="00D34D79"/>
    <w:rsid w:val="00D36519"/>
    <w:rsid w:val="00D36871"/>
    <w:rsid w:val="00D37BEC"/>
    <w:rsid w:val="00D37DE6"/>
    <w:rsid w:val="00D4024E"/>
    <w:rsid w:val="00D41443"/>
    <w:rsid w:val="00D4450B"/>
    <w:rsid w:val="00D44E62"/>
    <w:rsid w:val="00D46551"/>
    <w:rsid w:val="00D46CFA"/>
    <w:rsid w:val="00D47244"/>
    <w:rsid w:val="00D473DB"/>
    <w:rsid w:val="00D479FA"/>
    <w:rsid w:val="00D504A8"/>
    <w:rsid w:val="00D5425D"/>
    <w:rsid w:val="00D543DA"/>
    <w:rsid w:val="00D54BBE"/>
    <w:rsid w:val="00D56E34"/>
    <w:rsid w:val="00D605BE"/>
    <w:rsid w:val="00D60BEA"/>
    <w:rsid w:val="00D60C0B"/>
    <w:rsid w:val="00D61866"/>
    <w:rsid w:val="00D61CAB"/>
    <w:rsid w:val="00D6228C"/>
    <w:rsid w:val="00D62785"/>
    <w:rsid w:val="00D632C6"/>
    <w:rsid w:val="00D6443C"/>
    <w:rsid w:val="00D65135"/>
    <w:rsid w:val="00D6525A"/>
    <w:rsid w:val="00D65ECD"/>
    <w:rsid w:val="00D71C85"/>
    <w:rsid w:val="00D722EE"/>
    <w:rsid w:val="00D7296B"/>
    <w:rsid w:val="00D7319E"/>
    <w:rsid w:val="00D737C2"/>
    <w:rsid w:val="00D73F73"/>
    <w:rsid w:val="00D74420"/>
    <w:rsid w:val="00D74F2F"/>
    <w:rsid w:val="00D76072"/>
    <w:rsid w:val="00D76665"/>
    <w:rsid w:val="00D76B16"/>
    <w:rsid w:val="00D76FA6"/>
    <w:rsid w:val="00D77495"/>
    <w:rsid w:val="00D777F2"/>
    <w:rsid w:val="00D80457"/>
    <w:rsid w:val="00D81783"/>
    <w:rsid w:val="00D818AE"/>
    <w:rsid w:val="00D8207C"/>
    <w:rsid w:val="00D82DE3"/>
    <w:rsid w:val="00D83C26"/>
    <w:rsid w:val="00D86155"/>
    <w:rsid w:val="00D9076F"/>
    <w:rsid w:val="00D90BF5"/>
    <w:rsid w:val="00D92C18"/>
    <w:rsid w:val="00D938CD"/>
    <w:rsid w:val="00D9484F"/>
    <w:rsid w:val="00DA022A"/>
    <w:rsid w:val="00DA078B"/>
    <w:rsid w:val="00DA19A1"/>
    <w:rsid w:val="00DA1C0A"/>
    <w:rsid w:val="00DA2A62"/>
    <w:rsid w:val="00DA31B5"/>
    <w:rsid w:val="00DA4DE5"/>
    <w:rsid w:val="00DA52C5"/>
    <w:rsid w:val="00DA5652"/>
    <w:rsid w:val="00DA5EF3"/>
    <w:rsid w:val="00DA66EE"/>
    <w:rsid w:val="00DB32D4"/>
    <w:rsid w:val="00DB3BBB"/>
    <w:rsid w:val="00DB5218"/>
    <w:rsid w:val="00DB5AE1"/>
    <w:rsid w:val="00DB7BBF"/>
    <w:rsid w:val="00DB7D49"/>
    <w:rsid w:val="00DC019C"/>
    <w:rsid w:val="00DC2C31"/>
    <w:rsid w:val="00DC31F2"/>
    <w:rsid w:val="00DC378F"/>
    <w:rsid w:val="00DC3A6F"/>
    <w:rsid w:val="00DC62FA"/>
    <w:rsid w:val="00DC633B"/>
    <w:rsid w:val="00DC6FC8"/>
    <w:rsid w:val="00DC7442"/>
    <w:rsid w:val="00DD01E0"/>
    <w:rsid w:val="00DD1165"/>
    <w:rsid w:val="00DD3D74"/>
    <w:rsid w:val="00DD43E3"/>
    <w:rsid w:val="00DD4468"/>
    <w:rsid w:val="00DD4704"/>
    <w:rsid w:val="00DD5785"/>
    <w:rsid w:val="00DD59D1"/>
    <w:rsid w:val="00DD613C"/>
    <w:rsid w:val="00DE228C"/>
    <w:rsid w:val="00DE2388"/>
    <w:rsid w:val="00DE2E0C"/>
    <w:rsid w:val="00DE409B"/>
    <w:rsid w:val="00DE46AD"/>
    <w:rsid w:val="00DE523B"/>
    <w:rsid w:val="00DE6A71"/>
    <w:rsid w:val="00DE73A2"/>
    <w:rsid w:val="00DE77AB"/>
    <w:rsid w:val="00DF0890"/>
    <w:rsid w:val="00DF1228"/>
    <w:rsid w:val="00DF29E6"/>
    <w:rsid w:val="00DF2C11"/>
    <w:rsid w:val="00DF44DB"/>
    <w:rsid w:val="00DF5913"/>
    <w:rsid w:val="00DF61DA"/>
    <w:rsid w:val="00DF6BEA"/>
    <w:rsid w:val="00DF7B98"/>
    <w:rsid w:val="00E00365"/>
    <w:rsid w:val="00E0071A"/>
    <w:rsid w:val="00E00B54"/>
    <w:rsid w:val="00E02B55"/>
    <w:rsid w:val="00E05982"/>
    <w:rsid w:val="00E05983"/>
    <w:rsid w:val="00E05A0D"/>
    <w:rsid w:val="00E061C2"/>
    <w:rsid w:val="00E06E03"/>
    <w:rsid w:val="00E0755D"/>
    <w:rsid w:val="00E10429"/>
    <w:rsid w:val="00E10A14"/>
    <w:rsid w:val="00E12D5C"/>
    <w:rsid w:val="00E133F8"/>
    <w:rsid w:val="00E13AF3"/>
    <w:rsid w:val="00E14B80"/>
    <w:rsid w:val="00E15516"/>
    <w:rsid w:val="00E16793"/>
    <w:rsid w:val="00E21357"/>
    <w:rsid w:val="00E2184B"/>
    <w:rsid w:val="00E228B0"/>
    <w:rsid w:val="00E22E3C"/>
    <w:rsid w:val="00E239C4"/>
    <w:rsid w:val="00E23D96"/>
    <w:rsid w:val="00E245B0"/>
    <w:rsid w:val="00E24ABA"/>
    <w:rsid w:val="00E24B77"/>
    <w:rsid w:val="00E33536"/>
    <w:rsid w:val="00E34E50"/>
    <w:rsid w:val="00E35111"/>
    <w:rsid w:val="00E35F01"/>
    <w:rsid w:val="00E3662C"/>
    <w:rsid w:val="00E37269"/>
    <w:rsid w:val="00E375C5"/>
    <w:rsid w:val="00E42095"/>
    <w:rsid w:val="00E42220"/>
    <w:rsid w:val="00E42D81"/>
    <w:rsid w:val="00E42F20"/>
    <w:rsid w:val="00E431CE"/>
    <w:rsid w:val="00E44A25"/>
    <w:rsid w:val="00E44AC9"/>
    <w:rsid w:val="00E44D90"/>
    <w:rsid w:val="00E4534B"/>
    <w:rsid w:val="00E45449"/>
    <w:rsid w:val="00E4627C"/>
    <w:rsid w:val="00E50207"/>
    <w:rsid w:val="00E51BCA"/>
    <w:rsid w:val="00E54E34"/>
    <w:rsid w:val="00E55078"/>
    <w:rsid w:val="00E551D4"/>
    <w:rsid w:val="00E559A7"/>
    <w:rsid w:val="00E55AEC"/>
    <w:rsid w:val="00E5666C"/>
    <w:rsid w:val="00E56A07"/>
    <w:rsid w:val="00E6018B"/>
    <w:rsid w:val="00E6031F"/>
    <w:rsid w:val="00E60416"/>
    <w:rsid w:val="00E61D9E"/>
    <w:rsid w:val="00E64808"/>
    <w:rsid w:val="00E655A4"/>
    <w:rsid w:val="00E6766C"/>
    <w:rsid w:val="00E70EFC"/>
    <w:rsid w:val="00E71326"/>
    <w:rsid w:val="00E72846"/>
    <w:rsid w:val="00E72F38"/>
    <w:rsid w:val="00E73524"/>
    <w:rsid w:val="00E75590"/>
    <w:rsid w:val="00E75665"/>
    <w:rsid w:val="00E763AA"/>
    <w:rsid w:val="00E76774"/>
    <w:rsid w:val="00E77160"/>
    <w:rsid w:val="00E77788"/>
    <w:rsid w:val="00E80DF3"/>
    <w:rsid w:val="00E81BEB"/>
    <w:rsid w:val="00E82C46"/>
    <w:rsid w:val="00E85AC1"/>
    <w:rsid w:val="00E8683A"/>
    <w:rsid w:val="00E86E16"/>
    <w:rsid w:val="00E87511"/>
    <w:rsid w:val="00E876E8"/>
    <w:rsid w:val="00E90694"/>
    <w:rsid w:val="00E9201F"/>
    <w:rsid w:val="00E92739"/>
    <w:rsid w:val="00E9491C"/>
    <w:rsid w:val="00E94BA8"/>
    <w:rsid w:val="00E95146"/>
    <w:rsid w:val="00E954B3"/>
    <w:rsid w:val="00E95E99"/>
    <w:rsid w:val="00E96A54"/>
    <w:rsid w:val="00E979DE"/>
    <w:rsid w:val="00E97B7F"/>
    <w:rsid w:val="00EA2AF4"/>
    <w:rsid w:val="00EA342C"/>
    <w:rsid w:val="00EA5E36"/>
    <w:rsid w:val="00EA66C0"/>
    <w:rsid w:val="00EA6A2C"/>
    <w:rsid w:val="00EA7500"/>
    <w:rsid w:val="00EB0DB8"/>
    <w:rsid w:val="00EB2C39"/>
    <w:rsid w:val="00EB2EB0"/>
    <w:rsid w:val="00EB5E64"/>
    <w:rsid w:val="00EC2ED3"/>
    <w:rsid w:val="00EC395D"/>
    <w:rsid w:val="00EC47DB"/>
    <w:rsid w:val="00EC53A2"/>
    <w:rsid w:val="00EC5E81"/>
    <w:rsid w:val="00ED1621"/>
    <w:rsid w:val="00ED165D"/>
    <w:rsid w:val="00ED16C8"/>
    <w:rsid w:val="00ED3928"/>
    <w:rsid w:val="00ED3E94"/>
    <w:rsid w:val="00ED3ED6"/>
    <w:rsid w:val="00ED4832"/>
    <w:rsid w:val="00ED7964"/>
    <w:rsid w:val="00EE0DA9"/>
    <w:rsid w:val="00EE1B2D"/>
    <w:rsid w:val="00EE3B20"/>
    <w:rsid w:val="00EE3D62"/>
    <w:rsid w:val="00EE476E"/>
    <w:rsid w:val="00EE7982"/>
    <w:rsid w:val="00EF0961"/>
    <w:rsid w:val="00EF1055"/>
    <w:rsid w:val="00EF46A4"/>
    <w:rsid w:val="00EF480C"/>
    <w:rsid w:val="00EF5ABD"/>
    <w:rsid w:val="00EF69C7"/>
    <w:rsid w:val="00F01F30"/>
    <w:rsid w:val="00F04033"/>
    <w:rsid w:val="00F047F3"/>
    <w:rsid w:val="00F04BD5"/>
    <w:rsid w:val="00F04EF0"/>
    <w:rsid w:val="00F10C07"/>
    <w:rsid w:val="00F121C1"/>
    <w:rsid w:val="00F1390D"/>
    <w:rsid w:val="00F13C4A"/>
    <w:rsid w:val="00F144B2"/>
    <w:rsid w:val="00F14FEC"/>
    <w:rsid w:val="00F15B31"/>
    <w:rsid w:val="00F15E22"/>
    <w:rsid w:val="00F16C26"/>
    <w:rsid w:val="00F179C9"/>
    <w:rsid w:val="00F17DD7"/>
    <w:rsid w:val="00F20582"/>
    <w:rsid w:val="00F211F9"/>
    <w:rsid w:val="00F21AD9"/>
    <w:rsid w:val="00F21CB3"/>
    <w:rsid w:val="00F21E60"/>
    <w:rsid w:val="00F22899"/>
    <w:rsid w:val="00F230B6"/>
    <w:rsid w:val="00F233C8"/>
    <w:rsid w:val="00F23ECF"/>
    <w:rsid w:val="00F242D7"/>
    <w:rsid w:val="00F245A0"/>
    <w:rsid w:val="00F24807"/>
    <w:rsid w:val="00F2566E"/>
    <w:rsid w:val="00F262CE"/>
    <w:rsid w:val="00F2733F"/>
    <w:rsid w:val="00F32E13"/>
    <w:rsid w:val="00F33534"/>
    <w:rsid w:val="00F337FC"/>
    <w:rsid w:val="00F3609C"/>
    <w:rsid w:val="00F3624D"/>
    <w:rsid w:val="00F36857"/>
    <w:rsid w:val="00F368D1"/>
    <w:rsid w:val="00F40AA1"/>
    <w:rsid w:val="00F40C89"/>
    <w:rsid w:val="00F4295A"/>
    <w:rsid w:val="00F44B5E"/>
    <w:rsid w:val="00F46ABE"/>
    <w:rsid w:val="00F4776B"/>
    <w:rsid w:val="00F5016D"/>
    <w:rsid w:val="00F50315"/>
    <w:rsid w:val="00F5034C"/>
    <w:rsid w:val="00F507E1"/>
    <w:rsid w:val="00F508B4"/>
    <w:rsid w:val="00F51432"/>
    <w:rsid w:val="00F516F5"/>
    <w:rsid w:val="00F52AA9"/>
    <w:rsid w:val="00F532B0"/>
    <w:rsid w:val="00F53B13"/>
    <w:rsid w:val="00F543C7"/>
    <w:rsid w:val="00F544D1"/>
    <w:rsid w:val="00F54AAB"/>
    <w:rsid w:val="00F60CED"/>
    <w:rsid w:val="00F6218A"/>
    <w:rsid w:val="00F63289"/>
    <w:rsid w:val="00F63CB6"/>
    <w:rsid w:val="00F65025"/>
    <w:rsid w:val="00F677BE"/>
    <w:rsid w:val="00F67FD5"/>
    <w:rsid w:val="00F70573"/>
    <w:rsid w:val="00F70F2E"/>
    <w:rsid w:val="00F711A3"/>
    <w:rsid w:val="00F713B0"/>
    <w:rsid w:val="00F7365F"/>
    <w:rsid w:val="00F74A16"/>
    <w:rsid w:val="00F74DA1"/>
    <w:rsid w:val="00F752A2"/>
    <w:rsid w:val="00F76358"/>
    <w:rsid w:val="00F76CCE"/>
    <w:rsid w:val="00F76ED0"/>
    <w:rsid w:val="00F80A0B"/>
    <w:rsid w:val="00F8218E"/>
    <w:rsid w:val="00F82CA6"/>
    <w:rsid w:val="00F837CA"/>
    <w:rsid w:val="00F8535C"/>
    <w:rsid w:val="00F862A6"/>
    <w:rsid w:val="00F86D91"/>
    <w:rsid w:val="00F87D83"/>
    <w:rsid w:val="00F87EF2"/>
    <w:rsid w:val="00F902FD"/>
    <w:rsid w:val="00F9161F"/>
    <w:rsid w:val="00F91E4A"/>
    <w:rsid w:val="00F925E4"/>
    <w:rsid w:val="00F93502"/>
    <w:rsid w:val="00F93C23"/>
    <w:rsid w:val="00F94045"/>
    <w:rsid w:val="00F943ED"/>
    <w:rsid w:val="00F95192"/>
    <w:rsid w:val="00F95BDC"/>
    <w:rsid w:val="00FA00E1"/>
    <w:rsid w:val="00FA01ED"/>
    <w:rsid w:val="00FA03CA"/>
    <w:rsid w:val="00FA1197"/>
    <w:rsid w:val="00FA1A89"/>
    <w:rsid w:val="00FA1D03"/>
    <w:rsid w:val="00FA2649"/>
    <w:rsid w:val="00FA2F52"/>
    <w:rsid w:val="00FA3961"/>
    <w:rsid w:val="00FA4611"/>
    <w:rsid w:val="00FA4698"/>
    <w:rsid w:val="00FA644F"/>
    <w:rsid w:val="00FB13FD"/>
    <w:rsid w:val="00FB23E3"/>
    <w:rsid w:val="00FB2A46"/>
    <w:rsid w:val="00FB338F"/>
    <w:rsid w:val="00FB3737"/>
    <w:rsid w:val="00FB46E0"/>
    <w:rsid w:val="00FB77A0"/>
    <w:rsid w:val="00FC06DD"/>
    <w:rsid w:val="00FC2E8A"/>
    <w:rsid w:val="00FC31F5"/>
    <w:rsid w:val="00FC427C"/>
    <w:rsid w:val="00FC464E"/>
    <w:rsid w:val="00FC50B3"/>
    <w:rsid w:val="00FC573C"/>
    <w:rsid w:val="00FC5D35"/>
    <w:rsid w:val="00FC6AC1"/>
    <w:rsid w:val="00FD04F2"/>
    <w:rsid w:val="00FD0868"/>
    <w:rsid w:val="00FD0B13"/>
    <w:rsid w:val="00FD2AB9"/>
    <w:rsid w:val="00FD33BD"/>
    <w:rsid w:val="00FD5C2E"/>
    <w:rsid w:val="00FD6935"/>
    <w:rsid w:val="00FD6B70"/>
    <w:rsid w:val="00FE00AD"/>
    <w:rsid w:val="00FE0B3D"/>
    <w:rsid w:val="00FE0CAD"/>
    <w:rsid w:val="00FE1726"/>
    <w:rsid w:val="00FE27D2"/>
    <w:rsid w:val="00FE49FC"/>
    <w:rsid w:val="00FE53B0"/>
    <w:rsid w:val="00FE7AE8"/>
    <w:rsid w:val="00FF342A"/>
    <w:rsid w:val="00FF35D4"/>
    <w:rsid w:val="00FF385A"/>
    <w:rsid w:val="00FF483E"/>
    <w:rsid w:val="00FF5BA0"/>
    <w:rsid w:val="050B6963"/>
    <w:rsid w:val="06983A5E"/>
    <w:rsid w:val="069A210C"/>
    <w:rsid w:val="08F24482"/>
    <w:rsid w:val="0DE76EA6"/>
    <w:rsid w:val="0F6C355D"/>
    <w:rsid w:val="0F732EE8"/>
    <w:rsid w:val="10E243C3"/>
    <w:rsid w:val="11584002"/>
    <w:rsid w:val="147558AC"/>
    <w:rsid w:val="16E708A4"/>
    <w:rsid w:val="17B865FB"/>
    <w:rsid w:val="1A677F74"/>
    <w:rsid w:val="1BB003F9"/>
    <w:rsid w:val="1FCC023A"/>
    <w:rsid w:val="21816E8C"/>
    <w:rsid w:val="21C67E02"/>
    <w:rsid w:val="22E51188"/>
    <w:rsid w:val="239A7727"/>
    <w:rsid w:val="266F3232"/>
    <w:rsid w:val="276C53BD"/>
    <w:rsid w:val="27A73DBF"/>
    <w:rsid w:val="2948144B"/>
    <w:rsid w:val="2C296796"/>
    <w:rsid w:val="2C6E0973"/>
    <w:rsid w:val="2E660AAD"/>
    <w:rsid w:val="3080170A"/>
    <w:rsid w:val="3193715B"/>
    <w:rsid w:val="31CE512E"/>
    <w:rsid w:val="349E665E"/>
    <w:rsid w:val="373FB640"/>
    <w:rsid w:val="38265C2B"/>
    <w:rsid w:val="384A7051"/>
    <w:rsid w:val="387F1F7C"/>
    <w:rsid w:val="39AC616D"/>
    <w:rsid w:val="39B750BD"/>
    <w:rsid w:val="3B9F31CB"/>
    <w:rsid w:val="3E8962AC"/>
    <w:rsid w:val="3F06380A"/>
    <w:rsid w:val="3F9F3A2C"/>
    <w:rsid w:val="409A0B88"/>
    <w:rsid w:val="41B7483D"/>
    <w:rsid w:val="4CBE2078"/>
    <w:rsid w:val="509D0057"/>
    <w:rsid w:val="52653BBD"/>
    <w:rsid w:val="54126F04"/>
    <w:rsid w:val="56A3365A"/>
    <w:rsid w:val="56C7506B"/>
    <w:rsid w:val="57C703B5"/>
    <w:rsid w:val="58BC4221"/>
    <w:rsid w:val="59964C1F"/>
    <w:rsid w:val="5F8261BE"/>
    <w:rsid w:val="5FBD0F15"/>
    <w:rsid w:val="602A56D2"/>
    <w:rsid w:val="612D61FA"/>
    <w:rsid w:val="61964A92"/>
    <w:rsid w:val="63F35B2D"/>
    <w:rsid w:val="65DF2BA9"/>
    <w:rsid w:val="6622382F"/>
    <w:rsid w:val="688F3898"/>
    <w:rsid w:val="6F786CEE"/>
    <w:rsid w:val="71351A09"/>
    <w:rsid w:val="721D7A44"/>
    <w:rsid w:val="72692487"/>
    <w:rsid w:val="7657053B"/>
    <w:rsid w:val="77DD5A09"/>
    <w:rsid w:val="7DFD6A17"/>
    <w:rsid w:val="7EE1A3EE"/>
    <w:rsid w:val="7FAB676D"/>
    <w:rsid w:val="A76705FB"/>
    <w:rsid w:val="AEBD4B45"/>
    <w:rsid w:val="BED590F4"/>
    <w:rsid w:val="D7FFD689"/>
    <w:rsid w:val="DEFFA950"/>
    <w:rsid w:val="DFEF2BBA"/>
    <w:rsid w:val="E8FD2C59"/>
    <w:rsid w:val="EDBE3B53"/>
    <w:rsid w:val="EEAD6464"/>
    <w:rsid w:val="EFFFB5ED"/>
    <w:rsid w:val="FDEBF88D"/>
    <w:rsid w:val="FEEBA2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0" w:name="envelope address"/>
    <w:lsdException w:uiPriority="0" w:name="envelope return"/>
    <w:lsdException w:uiPriority="0" w:name="footnote reference"/>
    <w:lsdException w:qFormat="1" w:uiPriority="0" w:semiHidden="0" w:name="annotation reference"/>
    <w:lsdException w:uiPriority="99" w:name="line number"/>
    <w:lsdException w:uiPriority="0" w:name="page number"/>
    <w:lsdException w:uiPriority="99" w:name="endnote reference"/>
    <w:lsdException w:qFormat="1" w:unhideWhenUsed="0" w:uiPriority="0" w:semiHidden="0" w:name="endnote text"/>
    <w:lsdException w:uiPriority="0" w:name="table of authorities"/>
    <w:lsdException w:uiPriority="99"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1"/>
    <w:qFormat/>
    <w:uiPriority w:val="0"/>
    <w:pPr>
      <w:keepNext/>
      <w:keepLines/>
      <w:numPr>
        <w:ilvl w:val="0"/>
        <w:numId w:val="1"/>
      </w:numPr>
      <w:spacing w:before="340" w:after="330" w:line="576" w:lineRule="auto"/>
      <w:outlineLvl w:val="0"/>
    </w:pPr>
    <w:rPr>
      <w:b/>
      <w:bCs/>
      <w:kern w:val="44"/>
      <w:sz w:val="44"/>
      <w:szCs w:val="44"/>
    </w:rPr>
  </w:style>
  <w:style w:type="paragraph" w:styleId="4">
    <w:name w:val="heading 2"/>
    <w:basedOn w:val="1"/>
    <w:next w:val="1"/>
    <w:link w:val="52"/>
    <w:qFormat/>
    <w:uiPriority w:val="0"/>
    <w:pPr>
      <w:keepNext/>
      <w:keepLines/>
      <w:numPr>
        <w:ilvl w:val="1"/>
        <w:numId w:val="1"/>
      </w:numPr>
      <w:spacing w:before="260" w:after="260" w:line="415" w:lineRule="auto"/>
      <w:outlineLvl w:val="1"/>
    </w:pPr>
    <w:rPr>
      <w:rFonts w:ascii="Arial" w:hAnsi="Arial" w:eastAsia="黑体"/>
      <w:b/>
      <w:bCs/>
      <w:sz w:val="32"/>
      <w:szCs w:val="32"/>
    </w:rPr>
  </w:style>
  <w:style w:type="paragraph" w:styleId="5">
    <w:name w:val="heading 3"/>
    <w:basedOn w:val="1"/>
    <w:next w:val="1"/>
    <w:link w:val="53"/>
    <w:qFormat/>
    <w:uiPriority w:val="0"/>
    <w:pPr>
      <w:keepNext/>
      <w:keepLines/>
      <w:numPr>
        <w:ilvl w:val="2"/>
        <w:numId w:val="1"/>
      </w:numPr>
      <w:spacing w:before="260" w:after="260" w:line="415" w:lineRule="auto"/>
      <w:outlineLvl w:val="2"/>
    </w:pPr>
    <w:rPr>
      <w:b/>
      <w:bCs/>
      <w:sz w:val="32"/>
      <w:szCs w:val="32"/>
    </w:rPr>
  </w:style>
  <w:style w:type="paragraph" w:styleId="6">
    <w:name w:val="heading 4"/>
    <w:basedOn w:val="1"/>
    <w:next w:val="1"/>
    <w:link w:val="54"/>
    <w:qFormat/>
    <w:uiPriority w:val="0"/>
    <w:pPr>
      <w:keepNext/>
      <w:keepLines/>
      <w:numPr>
        <w:ilvl w:val="3"/>
        <w:numId w:val="1"/>
      </w:numPr>
      <w:autoSpaceDE w:val="0"/>
      <w:autoSpaceDN w:val="0"/>
      <w:adjustRightInd w:val="0"/>
      <w:spacing w:before="280" w:after="290" w:line="374" w:lineRule="auto"/>
      <w:outlineLvl w:val="3"/>
    </w:pPr>
    <w:rPr>
      <w:rFonts w:ascii="Arial" w:hAnsi="Arial" w:eastAsia="黑体"/>
      <w:b/>
      <w:kern w:val="0"/>
      <w:sz w:val="28"/>
      <w:szCs w:val="20"/>
    </w:rPr>
  </w:style>
  <w:style w:type="paragraph" w:styleId="7">
    <w:name w:val="heading 5"/>
    <w:basedOn w:val="1"/>
    <w:next w:val="1"/>
    <w:link w:val="55"/>
    <w:qFormat/>
    <w:uiPriority w:val="0"/>
    <w:pPr>
      <w:keepNext/>
      <w:keepLines/>
      <w:numPr>
        <w:ilvl w:val="4"/>
        <w:numId w:val="1"/>
      </w:numPr>
      <w:autoSpaceDE w:val="0"/>
      <w:autoSpaceDN w:val="0"/>
      <w:adjustRightInd w:val="0"/>
      <w:spacing w:before="280" w:after="290" w:line="374" w:lineRule="auto"/>
      <w:outlineLvl w:val="4"/>
    </w:pPr>
    <w:rPr>
      <w:rFonts w:hint="eastAsia" w:ascii="宋体"/>
      <w:b/>
      <w:kern w:val="0"/>
      <w:sz w:val="28"/>
      <w:szCs w:val="20"/>
    </w:rPr>
  </w:style>
  <w:style w:type="paragraph" w:styleId="8">
    <w:name w:val="heading 6"/>
    <w:basedOn w:val="1"/>
    <w:next w:val="1"/>
    <w:link w:val="56"/>
    <w:qFormat/>
    <w:uiPriority w:val="0"/>
    <w:pPr>
      <w:keepNext/>
      <w:keepLines/>
      <w:numPr>
        <w:ilvl w:val="5"/>
        <w:numId w:val="1"/>
      </w:numPr>
      <w:autoSpaceDE w:val="0"/>
      <w:autoSpaceDN w:val="0"/>
      <w:adjustRightInd w:val="0"/>
      <w:spacing w:before="240" w:after="64" w:line="319" w:lineRule="auto"/>
      <w:outlineLvl w:val="5"/>
    </w:pPr>
    <w:rPr>
      <w:rFonts w:ascii="Arial" w:hAnsi="Arial" w:eastAsia="黑体"/>
      <w:b/>
      <w:kern w:val="0"/>
      <w:sz w:val="24"/>
      <w:szCs w:val="20"/>
    </w:rPr>
  </w:style>
  <w:style w:type="paragraph" w:styleId="9">
    <w:name w:val="heading 7"/>
    <w:basedOn w:val="1"/>
    <w:next w:val="1"/>
    <w:link w:val="57"/>
    <w:qFormat/>
    <w:uiPriority w:val="0"/>
    <w:pPr>
      <w:keepNext/>
      <w:keepLines/>
      <w:numPr>
        <w:ilvl w:val="6"/>
        <w:numId w:val="1"/>
      </w:numPr>
      <w:autoSpaceDE w:val="0"/>
      <w:autoSpaceDN w:val="0"/>
      <w:adjustRightInd w:val="0"/>
      <w:spacing w:before="240" w:after="64" w:line="319" w:lineRule="auto"/>
      <w:outlineLvl w:val="6"/>
    </w:pPr>
    <w:rPr>
      <w:rFonts w:hint="eastAsia" w:ascii="宋体"/>
      <w:b/>
      <w:kern w:val="0"/>
      <w:sz w:val="24"/>
      <w:szCs w:val="20"/>
    </w:rPr>
  </w:style>
  <w:style w:type="paragraph" w:styleId="10">
    <w:name w:val="heading 8"/>
    <w:basedOn w:val="1"/>
    <w:next w:val="1"/>
    <w:link w:val="58"/>
    <w:qFormat/>
    <w:uiPriority w:val="0"/>
    <w:pPr>
      <w:keepNext/>
      <w:keepLines/>
      <w:numPr>
        <w:ilvl w:val="7"/>
        <w:numId w:val="1"/>
      </w:numPr>
      <w:autoSpaceDE w:val="0"/>
      <w:autoSpaceDN w:val="0"/>
      <w:adjustRightInd w:val="0"/>
      <w:spacing w:before="240" w:after="64" w:line="319" w:lineRule="auto"/>
      <w:outlineLvl w:val="7"/>
    </w:pPr>
    <w:rPr>
      <w:rFonts w:ascii="Arial" w:hAnsi="Arial" w:eastAsia="黑体"/>
      <w:kern w:val="0"/>
      <w:sz w:val="24"/>
      <w:szCs w:val="20"/>
    </w:rPr>
  </w:style>
  <w:style w:type="paragraph" w:styleId="11">
    <w:name w:val="heading 9"/>
    <w:basedOn w:val="1"/>
    <w:next w:val="1"/>
    <w:link w:val="59"/>
    <w:qFormat/>
    <w:uiPriority w:val="0"/>
    <w:pPr>
      <w:keepNext/>
      <w:keepLines/>
      <w:numPr>
        <w:ilvl w:val="8"/>
        <w:numId w:val="1"/>
      </w:numPr>
      <w:autoSpaceDE w:val="0"/>
      <w:autoSpaceDN w:val="0"/>
      <w:adjustRightInd w:val="0"/>
      <w:spacing w:before="240" w:after="64" w:line="319" w:lineRule="auto"/>
      <w:outlineLvl w:val="8"/>
    </w:pPr>
    <w:rPr>
      <w:rFonts w:ascii="Arial" w:hAnsi="Arial" w:eastAsia="黑体"/>
      <w:kern w:val="0"/>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6"/>
    <w:qFormat/>
    <w:uiPriority w:val="99"/>
    <w:rPr>
      <w:sz w:val="18"/>
      <w:szCs w:val="18"/>
    </w:rPr>
  </w:style>
  <w:style w:type="paragraph" w:styleId="12">
    <w:name w:val="E-mail Signature"/>
    <w:basedOn w:val="1"/>
    <w:link w:val="134"/>
    <w:qFormat/>
    <w:uiPriority w:val="0"/>
    <w:pPr>
      <w:widowControl/>
    </w:pPr>
    <w:rPr>
      <w:kern w:val="0"/>
      <w:szCs w:val="21"/>
    </w:rPr>
  </w:style>
  <w:style w:type="paragraph" w:styleId="13">
    <w:name w:val="List Number"/>
    <w:basedOn w:val="14"/>
    <w:qFormat/>
    <w:uiPriority w:val="0"/>
    <w:pPr>
      <w:numPr>
        <w:ilvl w:val="0"/>
        <w:numId w:val="2"/>
      </w:numPr>
      <w:ind w:right="720"/>
    </w:pPr>
  </w:style>
  <w:style w:type="paragraph" w:styleId="14">
    <w:name w:val="List"/>
    <w:basedOn w:val="15"/>
    <w:qFormat/>
    <w:uiPriority w:val="0"/>
    <w:pPr>
      <w:widowControl/>
      <w:spacing w:after="240" w:line="240" w:lineRule="atLeast"/>
      <w:ind w:left="720" w:hanging="360"/>
      <w:jc w:val="left"/>
    </w:pPr>
    <w:rPr>
      <w:rFonts w:eastAsia="PMingLiU"/>
      <w:kern w:val="0"/>
      <w:szCs w:val="20"/>
      <w:lang w:eastAsia="en-US"/>
    </w:rPr>
  </w:style>
  <w:style w:type="paragraph" w:styleId="15">
    <w:name w:val="Body Text"/>
    <w:basedOn w:val="1"/>
    <w:link w:val="66"/>
    <w:qFormat/>
    <w:uiPriority w:val="0"/>
    <w:pPr>
      <w:spacing w:line="360" w:lineRule="auto"/>
    </w:pPr>
    <w:rPr>
      <w:sz w:val="24"/>
    </w:rPr>
  </w:style>
  <w:style w:type="paragraph" w:styleId="16">
    <w:name w:val="Normal Indent"/>
    <w:basedOn w:val="1"/>
    <w:qFormat/>
    <w:uiPriority w:val="0"/>
    <w:pPr>
      <w:ind w:firstLine="420"/>
    </w:pPr>
    <w:rPr>
      <w:szCs w:val="20"/>
    </w:rPr>
  </w:style>
  <w:style w:type="paragraph" w:styleId="17">
    <w:name w:val="caption"/>
    <w:basedOn w:val="1"/>
    <w:next w:val="1"/>
    <w:qFormat/>
    <w:uiPriority w:val="0"/>
    <w:pPr>
      <w:adjustRightInd w:val="0"/>
      <w:spacing w:before="152" w:after="160" w:line="360" w:lineRule="auto"/>
      <w:ind w:firstLine="567" w:firstLineChars="200"/>
    </w:pPr>
    <w:rPr>
      <w:rFonts w:ascii="Arial" w:hAnsi="Arial" w:eastAsia="黑体"/>
      <w:sz w:val="24"/>
      <w:szCs w:val="20"/>
    </w:rPr>
  </w:style>
  <w:style w:type="paragraph" w:styleId="18">
    <w:name w:val="List Bullet"/>
    <w:basedOn w:val="14"/>
    <w:qFormat/>
    <w:uiPriority w:val="0"/>
    <w:pPr>
      <w:numPr>
        <w:ilvl w:val="0"/>
        <w:numId w:val="3"/>
      </w:numPr>
      <w:ind w:right="720"/>
    </w:pPr>
  </w:style>
  <w:style w:type="paragraph" w:styleId="19">
    <w:name w:val="Document Map"/>
    <w:basedOn w:val="1"/>
    <w:link w:val="73"/>
    <w:qFormat/>
    <w:uiPriority w:val="0"/>
    <w:pPr>
      <w:shd w:val="clear" w:color="auto" w:fill="000080"/>
    </w:pPr>
  </w:style>
  <w:style w:type="paragraph" w:styleId="20">
    <w:name w:val="annotation text"/>
    <w:basedOn w:val="1"/>
    <w:link w:val="62"/>
    <w:qFormat/>
    <w:uiPriority w:val="99"/>
    <w:pPr>
      <w:jc w:val="left"/>
    </w:pPr>
    <w:rPr>
      <w:sz w:val="24"/>
      <w:szCs w:val="20"/>
    </w:rPr>
  </w:style>
  <w:style w:type="paragraph" w:styleId="21">
    <w:name w:val="Salutation"/>
    <w:basedOn w:val="1"/>
    <w:next w:val="1"/>
    <w:link w:val="153"/>
    <w:qFormat/>
    <w:uiPriority w:val="0"/>
  </w:style>
  <w:style w:type="paragraph" w:styleId="22">
    <w:name w:val="Body Text 3"/>
    <w:basedOn w:val="1"/>
    <w:link w:val="70"/>
    <w:qFormat/>
    <w:uiPriority w:val="0"/>
    <w:pPr>
      <w:autoSpaceDE w:val="0"/>
      <w:autoSpaceDN w:val="0"/>
      <w:adjustRightInd w:val="0"/>
      <w:spacing w:after="120" w:line="360" w:lineRule="auto"/>
    </w:pPr>
    <w:rPr>
      <w:kern w:val="0"/>
      <w:sz w:val="24"/>
      <w:szCs w:val="20"/>
      <w:u w:val="single"/>
    </w:rPr>
  </w:style>
  <w:style w:type="paragraph" w:styleId="23">
    <w:name w:val="Body Text Indent"/>
    <w:basedOn w:val="1"/>
    <w:link w:val="67"/>
    <w:qFormat/>
    <w:uiPriority w:val="0"/>
    <w:pPr>
      <w:autoSpaceDE w:val="0"/>
      <w:autoSpaceDN w:val="0"/>
      <w:adjustRightInd w:val="0"/>
      <w:spacing w:after="120" w:line="440" w:lineRule="atLeast"/>
      <w:ind w:firstLine="539"/>
    </w:pPr>
    <w:rPr>
      <w:rFonts w:hint="eastAsia" w:ascii="宋体"/>
      <w:kern w:val="0"/>
      <w:sz w:val="24"/>
      <w:szCs w:val="20"/>
    </w:rPr>
  </w:style>
  <w:style w:type="paragraph" w:styleId="24">
    <w:name w:val="toc 3"/>
    <w:basedOn w:val="1"/>
    <w:next w:val="1"/>
    <w:qFormat/>
    <w:uiPriority w:val="39"/>
    <w:pPr>
      <w:ind w:left="420"/>
      <w:jc w:val="left"/>
    </w:pPr>
    <w:rPr>
      <w:szCs w:val="21"/>
    </w:rPr>
  </w:style>
  <w:style w:type="paragraph" w:styleId="25">
    <w:name w:val="Plain Text"/>
    <w:basedOn w:val="1"/>
    <w:link w:val="74"/>
    <w:qFormat/>
    <w:uiPriority w:val="0"/>
    <w:rPr>
      <w:rFonts w:hint="eastAsia" w:ascii="宋体" w:hAnsi="Courier New"/>
      <w:szCs w:val="20"/>
    </w:rPr>
  </w:style>
  <w:style w:type="paragraph" w:styleId="26">
    <w:name w:val="Date"/>
    <w:basedOn w:val="1"/>
    <w:next w:val="1"/>
    <w:link w:val="68"/>
    <w:qFormat/>
    <w:uiPriority w:val="0"/>
    <w:pPr>
      <w:ind w:left="2500" w:leftChars="2500"/>
    </w:pPr>
    <w:rPr>
      <w:rFonts w:hint="eastAsia" w:ascii="宋体" w:hAnsi="宋体" w:eastAsia="仿宋_GB2312"/>
      <w:sz w:val="28"/>
    </w:rPr>
  </w:style>
  <w:style w:type="paragraph" w:styleId="27">
    <w:name w:val="Body Text Indent 2"/>
    <w:basedOn w:val="1"/>
    <w:link w:val="71"/>
    <w:qFormat/>
    <w:uiPriority w:val="0"/>
    <w:pPr>
      <w:spacing w:line="360" w:lineRule="auto"/>
      <w:ind w:firstLine="560" w:firstLineChars="200"/>
    </w:pPr>
    <w:rPr>
      <w:rFonts w:eastAsia="仿宋_GB2312"/>
      <w:sz w:val="28"/>
    </w:rPr>
  </w:style>
  <w:style w:type="paragraph" w:styleId="28">
    <w:name w:val="endnote text"/>
    <w:basedOn w:val="29"/>
    <w:link w:val="129"/>
    <w:qFormat/>
    <w:uiPriority w:val="0"/>
    <w:pPr>
      <w:spacing w:line="240" w:lineRule="auto"/>
      <w:ind w:left="720" w:hanging="720"/>
    </w:pPr>
    <w:rPr>
      <w:sz w:val="16"/>
    </w:rPr>
  </w:style>
  <w:style w:type="paragraph" w:customStyle="1" w:styleId="29">
    <w:name w:val="AONormal"/>
    <w:qFormat/>
    <w:uiPriority w:val="0"/>
    <w:pPr>
      <w:spacing w:line="260" w:lineRule="atLeast"/>
    </w:pPr>
    <w:rPr>
      <w:rFonts w:ascii="Times New Roman" w:hAnsi="Times New Roman" w:eastAsia="宋体" w:cs="Times New Roman"/>
      <w:sz w:val="22"/>
      <w:szCs w:val="22"/>
      <w:lang w:val="en-GB" w:eastAsia="en-US" w:bidi="ar-SA"/>
    </w:rPr>
  </w:style>
  <w:style w:type="paragraph" w:styleId="30">
    <w:name w:val="footer"/>
    <w:basedOn w:val="1"/>
    <w:link w:val="64"/>
    <w:qFormat/>
    <w:uiPriority w:val="99"/>
    <w:pPr>
      <w:tabs>
        <w:tab w:val="center" w:pos="4153"/>
        <w:tab w:val="right" w:pos="8306"/>
      </w:tabs>
      <w:snapToGrid w:val="0"/>
      <w:jc w:val="left"/>
    </w:pPr>
    <w:rPr>
      <w:sz w:val="18"/>
      <w:szCs w:val="18"/>
    </w:rPr>
  </w:style>
  <w:style w:type="paragraph" w:styleId="31">
    <w:name w:val="header"/>
    <w:basedOn w:val="1"/>
    <w:link w:val="63"/>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pPr>
      <w:tabs>
        <w:tab w:val="left" w:pos="510"/>
        <w:tab w:val="left" w:pos="709"/>
        <w:tab w:val="right" w:leader="dot" w:pos="8296"/>
      </w:tabs>
      <w:spacing w:line="276" w:lineRule="auto"/>
      <w:ind w:firstLine="207" w:firstLineChars="98"/>
      <w:jc w:val="center"/>
    </w:pPr>
    <w:rPr>
      <w:rFonts w:ascii="宋体" w:hAnsi="宋体"/>
      <w:b/>
      <w:bCs/>
      <w:color w:val="000000"/>
    </w:rPr>
  </w:style>
  <w:style w:type="paragraph" w:styleId="33">
    <w:name w:val="Subtitle"/>
    <w:basedOn w:val="4"/>
    <w:next w:val="5"/>
    <w:link w:val="142"/>
    <w:qFormat/>
    <w:uiPriority w:val="0"/>
    <w:pPr>
      <w:numPr>
        <w:ilvl w:val="0"/>
        <w:numId w:val="0"/>
      </w:numPr>
      <w:spacing w:before="240" w:after="60" w:line="312" w:lineRule="auto"/>
      <w:jc w:val="left"/>
    </w:pPr>
    <w:rPr>
      <w:rFonts w:ascii="Cambria" w:hAnsi="Cambria" w:eastAsia="宋体"/>
      <w:bCs w:val="0"/>
      <w:kern w:val="28"/>
      <w:sz w:val="24"/>
    </w:rPr>
  </w:style>
  <w:style w:type="paragraph" w:styleId="34">
    <w:name w:val="footnote text"/>
    <w:basedOn w:val="1"/>
    <w:link w:val="61"/>
    <w:qFormat/>
    <w:uiPriority w:val="0"/>
    <w:pPr>
      <w:snapToGrid w:val="0"/>
      <w:jc w:val="left"/>
    </w:pPr>
    <w:rPr>
      <w:sz w:val="18"/>
      <w:szCs w:val="18"/>
    </w:rPr>
  </w:style>
  <w:style w:type="paragraph" w:styleId="35">
    <w:name w:val="Body Text Indent 3"/>
    <w:basedOn w:val="1"/>
    <w:link w:val="72"/>
    <w:qFormat/>
    <w:uiPriority w:val="0"/>
    <w:pPr>
      <w:spacing w:line="400" w:lineRule="atLeast"/>
      <w:ind w:firstLine="600"/>
    </w:pPr>
    <w:rPr>
      <w:rFonts w:hint="eastAsia" w:ascii="宋体"/>
      <w:sz w:val="28"/>
      <w:szCs w:val="20"/>
    </w:rPr>
  </w:style>
  <w:style w:type="paragraph" w:styleId="36">
    <w:name w:val="toc 2"/>
    <w:basedOn w:val="1"/>
    <w:next w:val="1"/>
    <w:qFormat/>
    <w:uiPriority w:val="39"/>
    <w:pPr>
      <w:tabs>
        <w:tab w:val="left" w:pos="840"/>
        <w:tab w:val="left" w:pos="1560"/>
        <w:tab w:val="right" w:leader="dot" w:pos="8296"/>
      </w:tabs>
      <w:spacing w:line="276" w:lineRule="auto"/>
      <w:ind w:left="210"/>
      <w:jc w:val="left"/>
    </w:pPr>
  </w:style>
  <w:style w:type="paragraph" w:styleId="37">
    <w:name w:val="Body Text 2"/>
    <w:basedOn w:val="1"/>
    <w:link w:val="69"/>
    <w:qFormat/>
    <w:uiPriority w:val="0"/>
    <w:rPr>
      <w:sz w:val="28"/>
      <w:szCs w:val="20"/>
    </w:rPr>
  </w:style>
  <w:style w:type="paragraph" w:styleId="38">
    <w:name w:val="HTML Preformatted"/>
    <w:basedOn w:val="1"/>
    <w:link w:val="13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kern w:val="0"/>
      <w:sz w:val="20"/>
      <w:szCs w:val="20"/>
    </w:rPr>
  </w:style>
  <w:style w:type="paragraph" w:styleId="39">
    <w:name w:val="Normal (Web)"/>
    <w:basedOn w:val="1"/>
    <w:unhideWhenUsed/>
    <w:qFormat/>
    <w:uiPriority w:val="99"/>
    <w:pPr>
      <w:spacing w:before="100" w:beforeAutospacing="1" w:after="100" w:afterAutospacing="1"/>
    </w:pPr>
    <w:rPr>
      <w:rFonts w:ascii="宋体" w:hAnsi="宋体"/>
      <w:kern w:val="0"/>
      <w:sz w:val="24"/>
    </w:rPr>
  </w:style>
  <w:style w:type="paragraph" w:styleId="40">
    <w:name w:val="Title"/>
    <w:basedOn w:val="1"/>
    <w:link w:val="65"/>
    <w:qFormat/>
    <w:uiPriority w:val="0"/>
    <w:pPr>
      <w:spacing w:before="240" w:after="60" w:line="360" w:lineRule="auto"/>
      <w:ind w:firstLine="425"/>
      <w:jc w:val="center"/>
      <w:outlineLvl w:val="0"/>
    </w:pPr>
    <w:rPr>
      <w:rFonts w:ascii="Arial" w:hAnsi="Arial"/>
      <w:b/>
      <w:sz w:val="32"/>
      <w:szCs w:val="20"/>
    </w:rPr>
  </w:style>
  <w:style w:type="paragraph" w:styleId="41">
    <w:name w:val="annotation subject"/>
    <w:basedOn w:val="20"/>
    <w:next w:val="20"/>
    <w:link w:val="78"/>
    <w:qFormat/>
    <w:uiPriority w:val="0"/>
    <w:rPr>
      <w:b/>
      <w:bCs/>
      <w:sz w:val="21"/>
      <w:szCs w:val="24"/>
    </w:rPr>
  </w:style>
  <w:style w:type="paragraph" w:styleId="42">
    <w:name w:val="Body Text First Indent"/>
    <w:basedOn w:val="15"/>
    <w:link w:val="135"/>
    <w:qFormat/>
    <w:uiPriority w:val="0"/>
    <w:pPr>
      <w:spacing w:after="120" w:line="240" w:lineRule="auto"/>
      <w:ind w:firstLine="420" w:firstLineChars="100"/>
    </w:pPr>
  </w:style>
  <w:style w:type="table" w:styleId="44">
    <w:name w:val="Table Grid"/>
    <w:basedOn w:val="43"/>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6">
    <w:name w:val="Strong"/>
    <w:basedOn w:val="45"/>
    <w:qFormat/>
    <w:uiPriority w:val="22"/>
    <w:rPr>
      <w:b/>
      <w:bCs/>
    </w:rPr>
  </w:style>
  <w:style w:type="character" w:styleId="47">
    <w:name w:val="FollowedHyperlink"/>
    <w:basedOn w:val="45"/>
    <w:semiHidden/>
    <w:unhideWhenUsed/>
    <w:qFormat/>
    <w:uiPriority w:val="0"/>
    <w:rPr>
      <w:color w:val="800080" w:themeColor="followedHyperlink"/>
      <w:u w:val="single"/>
      <w14:textFill>
        <w14:solidFill>
          <w14:schemeClr w14:val="folHlink"/>
        </w14:solidFill>
      </w14:textFill>
    </w:rPr>
  </w:style>
  <w:style w:type="character" w:styleId="48">
    <w:name w:val="Emphasis"/>
    <w:basedOn w:val="45"/>
    <w:qFormat/>
    <w:uiPriority w:val="0"/>
    <w:rPr>
      <w:i/>
      <w:iCs/>
    </w:rPr>
  </w:style>
  <w:style w:type="character" w:styleId="49">
    <w:name w:val="Hyperlink"/>
    <w:basedOn w:val="45"/>
    <w:unhideWhenUsed/>
    <w:qFormat/>
    <w:uiPriority w:val="99"/>
    <w:rPr>
      <w:color w:val="0000FF"/>
      <w:u w:val="single"/>
    </w:rPr>
  </w:style>
  <w:style w:type="character" w:styleId="50">
    <w:name w:val="annotation reference"/>
    <w:basedOn w:val="45"/>
    <w:unhideWhenUsed/>
    <w:qFormat/>
    <w:uiPriority w:val="0"/>
    <w:rPr>
      <w:sz w:val="21"/>
      <w:szCs w:val="21"/>
    </w:rPr>
  </w:style>
  <w:style w:type="character" w:customStyle="1" w:styleId="51">
    <w:name w:val="标题 1 字符"/>
    <w:basedOn w:val="45"/>
    <w:link w:val="3"/>
    <w:qFormat/>
    <w:uiPriority w:val="0"/>
    <w:rPr>
      <w:rFonts w:ascii="Times New Roman" w:hAnsi="Times New Roman"/>
      <w:b/>
      <w:bCs/>
      <w:kern w:val="44"/>
      <w:sz w:val="44"/>
      <w:szCs w:val="44"/>
    </w:rPr>
  </w:style>
  <w:style w:type="character" w:customStyle="1" w:styleId="52">
    <w:name w:val="标题 2 字符"/>
    <w:basedOn w:val="45"/>
    <w:link w:val="4"/>
    <w:qFormat/>
    <w:uiPriority w:val="0"/>
    <w:rPr>
      <w:rFonts w:ascii="Arial" w:hAnsi="Arial" w:eastAsia="黑体"/>
      <w:b/>
      <w:bCs/>
      <w:kern w:val="2"/>
      <w:sz w:val="32"/>
      <w:szCs w:val="32"/>
    </w:rPr>
  </w:style>
  <w:style w:type="character" w:customStyle="1" w:styleId="53">
    <w:name w:val="标题 3 字符"/>
    <w:basedOn w:val="45"/>
    <w:link w:val="5"/>
    <w:qFormat/>
    <w:uiPriority w:val="0"/>
    <w:rPr>
      <w:rFonts w:ascii="Times New Roman" w:hAnsi="Times New Roman"/>
      <w:b/>
      <w:bCs/>
      <w:kern w:val="2"/>
      <w:sz w:val="32"/>
      <w:szCs w:val="32"/>
    </w:rPr>
  </w:style>
  <w:style w:type="character" w:customStyle="1" w:styleId="54">
    <w:name w:val="标题 4 字符"/>
    <w:basedOn w:val="45"/>
    <w:link w:val="6"/>
    <w:qFormat/>
    <w:uiPriority w:val="0"/>
    <w:rPr>
      <w:rFonts w:ascii="Arial" w:hAnsi="Arial" w:eastAsia="黑体"/>
      <w:b/>
      <w:sz w:val="28"/>
    </w:rPr>
  </w:style>
  <w:style w:type="character" w:customStyle="1" w:styleId="55">
    <w:name w:val="标题 5 字符"/>
    <w:basedOn w:val="45"/>
    <w:link w:val="7"/>
    <w:qFormat/>
    <w:uiPriority w:val="0"/>
    <w:rPr>
      <w:rFonts w:ascii="宋体" w:hAnsi="Times New Roman"/>
      <w:b/>
      <w:sz w:val="28"/>
    </w:rPr>
  </w:style>
  <w:style w:type="character" w:customStyle="1" w:styleId="56">
    <w:name w:val="标题 6 字符"/>
    <w:basedOn w:val="45"/>
    <w:link w:val="8"/>
    <w:qFormat/>
    <w:uiPriority w:val="0"/>
    <w:rPr>
      <w:rFonts w:ascii="Arial" w:hAnsi="Arial" w:eastAsia="黑体"/>
      <w:b/>
      <w:sz w:val="24"/>
    </w:rPr>
  </w:style>
  <w:style w:type="character" w:customStyle="1" w:styleId="57">
    <w:name w:val="标题 7 字符"/>
    <w:basedOn w:val="45"/>
    <w:link w:val="9"/>
    <w:qFormat/>
    <w:uiPriority w:val="0"/>
    <w:rPr>
      <w:rFonts w:ascii="宋体" w:hAnsi="Times New Roman"/>
      <w:b/>
      <w:sz w:val="24"/>
    </w:rPr>
  </w:style>
  <w:style w:type="character" w:customStyle="1" w:styleId="58">
    <w:name w:val="标题 8 字符"/>
    <w:basedOn w:val="45"/>
    <w:link w:val="10"/>
    <w:qFormat/>
    <w:uiPriority w:val="0"/>
    <w:rPr>
      <w:rFonts w:ascii="Arial" w:hAnsi="Arial" w:eastAsia="黑体"/>
      <w:sz w:val="24"/>
    </w:rPr>
  </w:style>
  <w:style w:type="character" w:customStyle="1" w:styleId="59">
    <w:name w:val="标题 9 字符"/>
    <w:basedOn w:val="45"/>
    <w:link w:val="11"/>
    <w:qFormat/>
    <w:uiPriority w:val="0"/>
    <w:rPr>
      <w:rFonts w:ascii="Arial" w:hAnsi="Arial" w:eastAsia="黑体"/>
      <w:sz w:val="21"/>
    </w:rPr>
  </w:style>
  <w:style w:type="paragraph" w:customStyle="1" w:styleId="60">
    <w:name w:val="默认段落字体 Para Char"/>
    <w:basedOn w:val="1"/>
    <w:qFormat/>
    <w:uiPriority w:val="0"/>
    <w:pPr>
      <w:numPr>
        <w:ilvl w:val="0"/>
        <w:numId w:val="4"/>
      </w:numPr>
      <w:tabs>
        <w:tab w:val="left" w:pos="360"/>
        <w:tab w:val="clear" w:pos="870"/>
      </w:tabs>
      <w:ind w:left="0" w:firstLine="0"/>
    </w:pPr>
    <w:rPr>
      <w:sz w:val="24"/>
    </w:rPr>
  </w:style>
  <w:style w:type="character" w:customStyle="1" w:styleId="61">
    <w:name w:val="脚注文本 字符"/>
    <w:basedOn w:val="45"/>
    <w:link w:val="34"/>
    <w:qFormat/>
    <w:uiPriority w:val="0"/>
    <w:rPr>
      <w:rFonts w:ascii="Times New Roman" w:hAnsi="Times New Roman" w:eastAsia="宋体" w:cs="Times New Roman"/>
      <w:sz w:val="18"/>
      <w:szCs w:val="18"/>
    </w:rPr>
  </w:style>
  <w:style w:type="character" w:customStyle="1" w:styleId="62">
    <w:name w:val="批注文字 字符"/>
    <w:basedOn w:val="45"/>
    <w:link w:val="20"/>
    <w:qFormat/>
    <w:uiPriority w:val="99"/>
    <w:rPr>
      <w:rFonts w:ascii="Times New Roman" w:hAnsi="Times New Roman" w:eastAsia="宋体" w:cs="Times New Roman"/>
      <w:sz w:val="24"/>
      <w:szCs w:val="20"/>
    </w:rPr>
  </w:style>
  <w:style w:type="character" w:customStyle="1" w:styleId="63">
    <w:name w:val="页眉 字符"/>
    <w:basedOn w:val="45"/>
    <w:link w:val="31"/>
    <w:qFormat/>
    <w:uiPriority w:val="0"/>
    <w:rPr>
      <w:rFonts w:ascii="Times New Roman" w:hAnsi="Times New Roman" w:eastAsia="宋体" w:cs="Times New Roman"/>
      <w:sz w:val="18"/>
      <w:szCs w:val="18"/>
    </w:rPr>
  </w:style>
  <w:style w:type="character" w:customStyle="1" w:styleId="64">
    <w:name w:val="页脚 字符"/>
    <w:basedOn w:val="45"/>
    <w:link w:val="30"/>
    <w:qFormat/>
    <w:uiPriority w:val="99"/>
    <w:rPr>
      <w:rFonts w:ascii="Times New Roman" w:hAnsi="Times New Roman" w:eastAsia="宋体" w:cs="Times New Roman"/>
      <w:sz w:val="18"/>
      <w:szCs w:val="18"/>
    </w:rPr>
  </w:style>
  <w:style w:type="character" w:customStyle="1" w:styleId="65">
    <w:name w:val="标题 字符"/>
    <w:basedOn w:val="45"/>
    <w:link w:val="40"/>
    <w:qFormat/>
    <w:uiPriority w:val="0"/>
    <w:rPr>
      <w:rFonts w:ascii="Arial" w:hAnsi="Arial" w:eastAsia="宋体" w:cs="Times New Roman"/>
      <w:b/>
      <w:sz w:val="32"/>
      <w:szCs w:val="20"/>
    </w:rPr>
  </w:style>
  <w:style w:type="character" w:customStyle="1" w:styleId="66">
    <w:name w:val="正文文本 字符"/>
    <w:basedOn w:val="45"/>
    <w:link w:val="15"/>
    <w:qFormat/>
    <w:uiPriority w:val="0"/>
    <w:rPr>
      <w:rFonts w:ascii="Times New Roman" w:hAnsi="Times New Roman" w:eastAsia="宋体" w:cs="Times New Roman"/>
      <w:sz w:val="24"/>
      <w:szCs w:val="24"/>
    </w:rPr>
  </w:style>
  <w:style w:type="character" w:customStyle="1" w:styleId="67">
    <w:name w:val="正文文本缩进 字符"/>
    <w:basedOn w:val="45"/>
    <w:link w:val="23"/>
    <w:qFormat/>
    <w:uiPriority w:val="0"/>
    <w:rPr>
      <w:rFonts w:ascii="宋体" w:hAnsi="Times New Roman" w:eastAsia="宋体" w:cs="Times New Roman"/>
      <w:kern w:val="0"/>
      <w:sz w:val="24"/>
      <w:szCs w:val="20"/>
    </w:rPr>
  </w:style>
  <w:style w:type="character" w:customStyle="1" w:styleId="68">
    <w:name w:val="日期 字符"/>
    <w:basedOn w:val="45"/>
    <w:link w:val="26"/>
    <w:qFormat/>
    <w:uiPriority w:val="0"/>
    <w:rPr>
      <w:rFonts w:ascii="宋体" w:hAnsi="宋体" w:eastAsia="仿宋_GB2312" w:cs="Times New Roman"/>
      <w:sz w:val="28"/>
      <w:szCs w:val="24"/>
    </w:rPr>
  </w:style>
  <w:style w:type="character" w:customStyle="1" w:styleId="69">
    <w:name w:val="正文文本 2 字符"/>
    <w:basedOn w:val="45"/>
    <w:link w:val="37"/>
    <w:qFormat/>
    <w:uiPriority w:val="0"/>
    <w:rPr>
      <w:rFonts w:ascii="Times New Roman" w:hAnsi="Times New Roman" w:eastAsia="宋体" w:cs="Times New Roman"/>
      <w:sz w:val="28"/>
      <w:szCs w:val="20"/>
    </w:rPr>
  </w:style>
  <w:style w:type="character" w:customStyle="1" w:styleId="70">
    <w:name w:val="正文文本 3 字符"/>
    <w:basedOn w:val="45"/>
    <w:link w:val="22"/>
    <w:qFormat/>
    <w:uiPriority w:val="0"/>
    <w:rPr>
      <w:rFonts w:ascii="Times New Roman" w:hAnsi="Times New Roman" w:eastAsia="宋体" w:cs="Times New Roman"/>
      <w:kern w:val="0"/>
      <w:sz w:val="24"/>
      <w:szCs w:val="20"/>
      <w:u w:val="single"/>
    </w:rPr>
  </w:style>
  <w:style w:type="character" w:customStyle="1" w:styleId="71">
    <w:name w:val="正文文本缩进 2 字符"/>
    <w:basedOn w:val="45"/>
    <w:link w:val="27"/>
    <w:qFormat/>
    <w:uiPriority w:val="0"/>
    <w:rPr>
      <w:rFonts w:ascii="Times New Roman" w:hAnsi="Times New Roman" w:eastAsia="仿宋_GB2312" w:cs="Times New Roman"/>
      <w:sz w:val="28"/>
      <w:szCs w:val="24"/>
    </w:rPr>
  </w:style>
  <w:style w:type="character" w:customStyle="1" w:styleId="72">
    <w:name w:val="正文文本缩进 3 字符"/>
    <w:basedOn w:val="45"/>
    <w:link w:val="35"/>
    <w:qFormat/>
    <w:uiPriority w:val="0"/>
    <w:rPr>
      <w:rFonts w:ascii="宋体" w:hAnsi="Times New Roman" w:eastAsia="宋体" w:cs="Times New Roman"/>
      <w:sz w:val="28"/>
      <w:szCs w:val="20"/>
    </w:rPr>
  </w:style>
  <w:style w:type="character" w:customStyle="1" w:styleId="73">
    <w:name w:val="文档结构图 字符"/>
    <w:basedOn w:val="45"/>
    <w:link w:val="19"/>
    <w:qFormat/>
    <w:uiPriority w:val="0"/>
    <w:rPr>
      <w:rFonts w:ascii="Times New Roman" w:hAnsi="Times New Roman" w:eastAsia="宋体" w:cs="Times New Roman"/>
      <w:szCs w:val="24"/>
      <w:shd w:val="clear" w:color="auto" w:fill="000080"/>
    </w:rPr>
  </w:style>
  <w:style w:type="character" w:customStyle="1" w:styleId="74">
    <w:name w:val="纯文本 字符"/>
    <w:basedOn w:val="45"/>
    <w:link w:val="25"/>
    <w:qFormat/>
    <w:uiPriority w:val="0"/>
    <w:rPr>
      <w:rFonts w:ascii="宋体" w:hAnsi="Courier New" w:eastAsia="宋体" w:cs="Times New Roman"/>
      <w:szCs w:val="20"/>
    </w:rPr>
  </w:style>
  <w:style w:type="paragraph" w:customStyle="1" w:styleId="75">
    <w:name w:val="列表2"/>
    <w:basedOn w:val="1"/>
    <w:next w:val="40"/>
    <w:qFormat/>
    <w:uiPriority w:val="0"/>
    <w:pPr>
      <w:numPr>
        <w:ilvl w:val="0"/>
        <w:numId w:val="5"/>
      </w:numPr>
      <w:spacing w:line="360" w:lineRule="auto"/>
    </w:pPr>
    <w:rPr>
      <w:szCs w:val="20"/>
    </w:rPr>
  </w:style>
  <w:style w:type="character" w:customStyle="1" w:styleId="76">
    <w:name w:val="批注框文本 字符"/>
    <w:basedOn w:val="45"/>
    <w:link w:val="2"/>
    <w:qFormat/>
    <w:uiPriority w:val="99"/>
    <w:rPr>
      <w:rFonts w:ascii="Times New Roman" w:hAnsi="Times New Roman" w:eastAsia="宋体" w:cs="Times New Roman"/>
      <w:sz w:val="18"/>
      <w:szCs w:val="18"/>
    </w:rPr>
  </w:style>
  <w:style w:type="paragraph" w:customStyle="1" w:styleId="77">
    <w:name w:val="列表3"/>
    <w:basedOn w:val="1"/>
    <w:qFormat/>
    <w:uiPriority w:val="0"/>
    <w:pPr>
      <w:spacing w:line="360" w:lineRule="auto"/>
    </w:pPr>
    <w:rPr>
      <w:rFonts w:hint="eastAsia" w:ascii="宋体"/>
      <w:szCs w:val="20"/>
    </w:rPr>
  </w:style>
  <w:style w:type="character" w:customStyle="1" w:styleId="78">
    <w:name w:val="批注主题 字符"/>
    <w:basedOn w:val="62"/>
    <w:link w:val="41"/>
    <w:qFormat/>
    <w:uiPriority w:val="0"/>
    <w:rPr>
      <w:rFonts w:ascii="Times New Roman" w:hAnsi="Times New Roman" w:eastAsia="宋体" w:cs="Times New Roman"/>
      <w:b/>
      <w:bCs/>
      <w:sz w:val="24"/>
      <w:szCs w:val="24"/>
    </w:rPr>
  </w:style>
  <w:style w:type="character" w:customStyle="1" w:styleId="79">
    <w:name w:val="read"/>
    <w:basedOn w:val="45"/>
    <w:qFormat/>
    <w:uiPriority w:val="0"/>
  </w:style>
  <w:style w:type="paragraph" w:customStyle="1" w:styleId="80">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81">
    <w:name w:val="AODocTxt"/>
    <w:basedOn w:val="82"/>
    <w:qFormat/>
    <w:uiPriority w:val="0"/>
    <w:pPr>
      <w:numPr>
        <w:ilvl w:val="0"/>
        <w:numId w:val="6"/>
      </w:numPr>
    </w:pPr>
  </w:style>
  <w:style w:type="paragraph" w:customStyle="1" w:styleId="82">
    <w:name w:val="AOBodyTxt"/>
    <w:basedOn w:val="29"/>
    <w:next w:val="81"/>
    <w:qFormat/>
    <w:uiPriority w:val="0"/>
    <w:pPr>
      <w:spacing w:before="240"/>
    </w:pPr>
  </w:style>
  <w:style w:type="paragraph" w:customStyle="1" w:styleId="83">
    <w:name w:val="AOBullet"/>
    <w:basedOn w:val="82"/>
    <w:qFormat/>
    <w:uiPriority w:val="0"/>
    <w:pPr>
      <w:numPr>
        <w:ilvl w:val="0"/>
        <w:numId w:val="7"/>
      </w:numPr>
      <w:tabs>
        <w:tab w:val="clear" w:pos="720"/>
      </w:tabs>
    </w:pPr>
  </w:style>
  <w:style w:type="paragraph" w:customStyle="1" w:styleId="84">
    <w:name w:val="AODefHead"/>
    <w:basedOn w:val="82"/>
    <w:next w:val="85"/>
    <w:qFormat/>
    <w:uiPriority w:val="0"/>
    <w:pPr>
      <w:numPr>
        <w:ilvl w:val="0"/>
        <w:numId w:val="8"/>
      </w:numPr>
      <w:outlineLvl w:val="5"/>
    </w:pPr>
  </w:style>
  <w:style w:type="paragraph" w:customStyle="1" w:styleId="85">
    <w:name w:val="AODefPara"/>
    <w:basedOn w:val="84"/>
    <w:qFormat/>
    <w:uiPriority w:val="0"/>
    <w:pPr>
      <w:numPr>
        <w:ilvl w:val="1"/>
      </w:numPr>
      <w:tabs>
        <w:tab w:val="left" w:pos="992"/>
      </w:tabs>
      <w:ind w:left="992" w:hanging="992"/>
      <w:outlineLvl w:val="6"/>
    </w:pPr>
  </w:style>
  <w:style w:type="paragraph" w:customStyle="1" w:styleId="86">
    <w:name w:val="AO(1)"/>
    <w:basedOn w:val="82"/>
    <w:next w:val="81"/>
    <w:qFormat/>
    <w:uiPriority w:val="0"/>
    <w:pPr>
      <w:numPr>
        <w:ilvl w:val="0"/>
        <w:numId w:val="9"/>
      </w:numPr>
      <w:tabs>
        <w:tab w:val="clear" w:pos="720"/>
      </w:tabs>
    </w:pPr>
  </w:style>
  <w:style w:type="paragraph" w:customStyle="1" w:styleId="87">
    <w:name w:val="AO(A)"/>
    <w:basedOn w:val="82"/>
    <w:next w:val="81"/>
    <w:qFormat/>
    <w:uiPriority w:val="0"/>
    <w:pPr>
      <w:numPr>
        <w:ilvl w:val="0"/>
        <w:numId w:val="10"/>
      </w:numPr>
      <w:tabs>
        <w:tab w:val="clear" w:pos="720"/>
      </w:tabs>
    </w:pPr>
  </w:style>
  <w:style w:type="paragraph" w:customStyle="1" w:styleId="88">
    <w:name w:val="AOAnxHead"/>
    <w:basedOn w:val="89"/>
    <w:next w:val="90"/>
    <w:qFormat/>
    <w:uiPriority w:val="0"/>
    <w:pPr>
      <w:pageBreakBefore/>
      <w:numPr>
        <w:ilvl w:val="0"/>
        <w:numId w:val="11"/>
      </w:numPr>
      <w:outlineLvl w:val="0"/>
    </w:pPr>
  </w:style>
  <w:style w:type="paragraph" w:customStyle="1" w:styleId="89">
    <w:name w:val="AOAttachments"/>
    <w:basedOn w:val="82"/>
    <w:next w:val="81"/>
    <w:qFormat/>
    <w:uiPriority w:val="0"/>
    <w:pPr>
      <w:jc w:val="center"/>
    </w:pPr>
    <w:rPr>
      <w:caps/>
    </w:rPr>
  </w:style>
  <w:style w:type="paragraph" w:customStyle="1" w:styleId="90">
    <w:name w:val="AOAnxTitle"/>
    <w:basedOn w:val="89"/>
    <w:next w:val="81"/>
    <w:qFormat/>
    <w:uiPriority w:val="0"/>
    <w:pPr>
      <w:outlineLvl w:val="1"/>
    </w:pPr>
    <w:rPr>
      <w:b/>
    </w:rPr>
  </w:style>
  <w:style w:type="paragraph" w:customStyle="1" w:styleId="91">
    <w:name w:val="AOAnxPartHead"/>
    <w:basedOn w:val="88"/>
    <w:next w:val="92"/>
    <w:qFormat/>
    <w:uiPriority w:val="0"/>
    <w:pPr>
      <w:pageBreakBefore w:val="0"/>
      <w:numPr>
        <w:ilvl w:val="1"/>
      </w:numPr>
      <w:tabs>
        <w:tab w:val="left" w:pos="1440"/>
      </w:tabs>
      <w:ind w:left="1440" w:hanging="360"/>
    </w:pPr>
  </w:style>
  <w:style w:type="paragraph" w:customStyle="1" w:styleId="92">
    <w:name w:val="AOAnxPartTitle"/>
    <w:basedOn w:val="90"/>
    <w:next w:val="81"/>
    <w:qFormat/>
    <w:uiPriority w:val="0"/>
  </w:style>
  <w:style w:type="paragraph" w:customStyle="1" w:styleId="93">
    <w:name w:val="AOAppHead"/>
    <w:basedOn w:val="89"/>
    <w:next w:val="94"/>
    <w:qFormat/>
    <w:uiPriority w:val="0"/>
    <w:pPr>
      <w:pageBreakBefore/>
      <w:numPr>
        <w:ilvl w:val="0"/>
        <w:numId w:val="12"/>
      </w:numPr>
      <w:outlineLvl w:val="0"/>
    </w:pPr>
  </w:style>
  <w:style w:type="paragraph" w:customStyle="1" w:styleId="94">
    <w:name w:val="AOAppTitle"/>
    <w:basedOn w:val="89"/>
    <w:next w:val="81"/>
    <w:qFormat/>
    <w:uiPriority w:val="0"/>
    <w:pPr>
      <w:outlineLvl w:val="1"/>
    </w:pPr>
    <w:rPr>
      <w:b/>
    </w:rPr>
  </w:style>
  <w:style w:type="paragraph" w:customStyle="1" w:styleId="95">
    <w:name w:val="AOAppPartHead"/>
    <w:basedOn w:val="93"/>
    <w:next w:val="96"/>
    <w:qFormat/>
    <w:uiPriority w:val="0"/>
    <w:pPr>
      <w:pageBreakBefore w:val="0"/>
      <w:numPr>
        <w:ilvl w:val="1"/>
      </w:numPr>
      <w:tabs>
        <w:tab w:val="left" w:pos="840"/>
      </w:tabs>
      <w:ind w:left="840" w:hanging="420"/>
    </w:pPr>
  </w:style>
  <w:style w:type="paragraph" w:customStyle="1" w:styleId="96">
    <w:name w:val="AOAppPartTitle"/>
    <w:basedOn w:val="94"/>
    <w:next w:val="81"/>
    <w:qFormat/>
    <w:uiPriority w:val="0"/>
  </w:style>
  <w:style w:type="paragraph" w:customStyle="1" w:styleId="97">
    <w:name w:val="AOSchHead"/>
    <w:basedOn w:val="89"/>
    <w:next w:val="98"/>
    <w:qFormat/>
    <w:uiPriority w:val="0"/>
    <w:pPr>
      <w:pageBreakBefore/>
      <w:numPr>
        <w:ilvl w:val="0"/>
        <w:numId w:val="13"/>
      </w:numPr>
      <w:outlineLvl w:val="0"/>
    </w:pPr>
  </w:style>
  <w:style w:type="paragraph" w:customStyle="1" w:styleId="98">
    <w:name w:val="AOSchTitle"/>
    <w:basedOn w:val="89"/>
    <w:next w:val="81"/>
    <w:qFormat/>
    <w:uiPriority w:val="0"/>
    <w:pPr>
      <w:outlineLvl w:val="1"/>
    </w:pPr>
    <w:rPr>
      <w:b/>
    </w:rPr>
  </w:style>
  <w:style w:type="paragraph" w:customStyle="1" w:styleId="99">
    <w:name w:val="AOSchPartHead"/>
    <w:basedOn w:val="97"/>
    <w:next w:val="100"/>
    <w:qFormat/>
    <w:uiPriority w:val="0"/>
    <w:pPr>
      <w:pageBreakBefore w:val="0"/>
      <w:numPr>
        <w:ilvl w:val="1"/>
      </w:numPr>
      <w:tabs>
        <w:tab w:val="left" w:pos="780"/>
      </w:tabs>
      <w:ind w:firstLine="420"/>
    </w:pPr>
  </w:style>
  <w:style w:type="paragraph" w:customStyle="1" w:styleId="100">
    <w:name w:val="AOSchPartTitle"/>
    <w:basedOn w:val="98"/>
    <w:next w:val="81"/>
    <w:qFormat/>
    <w:uiPriority w:val="0"/>
  </w:style>
  <w:style w:type="paragraph" w:customStyle="1" w:styleId="101">
    <w:name w:val="AODocTxtL1"/>
    <w:basedOn w:val="81"/>
    <w:qFormat/>
    <w:uiPriority w:val="0"/>
    <w:pPr>
      <w:numPr>
        <w:ilvl w:val="1"/>
      </w:numPr>
      <w:tabs>
        <w:tab w:val="left" w:pos="780"/>
      </w:tabs>
      <w:ind w:left="0" w:firstLine="420"/>
    </w:pPr>
  </w:style>
  <w:style w:type="paragraph" w:customStyle="1" w:styleId="102">
    <w:name w:val="AODocTxtL2"/>
    <w:basedOn w:val="81"/>
    <w:qFormat/>
    <w:uiPriority w:val="0"/>
    <w:pPr>
      <w:numPr>
        <w:ilvl w:val="2"/>
      </w:numPr>
      <w:tabs>
        <w:tab w:val="left" w:pos="2160"/>
      </w:tabs>
      <w:ind w:left="2160" w:hanging="360"/>
    </w:pPr>
  </w:style>
  <w:style w:type="paragraph" w:customStyle="1" w:styleId="103">
    <w:name w:val="AODocTxtL3"/>
    <w:basedOn w:val="81"/>
    <w:qFormat/>
    <w:uiPriority w:val="0"/>
    <w:pPr>
      <w:numPr>
        <w:ilvl w:val="3"/>
      </w:numPr>
      <w:tabs>
        <w:tab w:val="left" w:pos="2880"/>
      </w:tabs>
      <w:ind w:left="2880" w:hanging="360"/>
    </w:pPr>
  </w:style>
  <w:style w:type="paragraph" w:customStyle="1" w:styleId="104">
    <w:name w:val="AODocTxtL4"/>
    <w:basedOn w:val="81"/>
    <w:qFormat/>
    <w:uiPriority w:val="0"/>
    <w:pPr>
      <w:numPr>
        <w:ilvl w:val="4"/>
      </w:numPr>
      <w:tabs>
        <w:tab w:val="left" w:pos="3600"/>
      </w:tabs>
      <w:ind w:left="3600" w:hanging="360"/>
    </w:pPr>
  </w:style>
  <w:style w:type="paragraph" w:customStyle="1" w:styleId="105">
    <w:name w:val="AODocTxtL5"/>
    <w:basedOn w:val="81"/>
    <w:qFormat/>
    <w:uiPriority w:val="0"/>
    <w:pPr>
      <w:numPr>
        <w:ilvl w:val="5"/>
      </w:numPr>
      <w:tabs>
        <w:tab w:val="left" w:pos="4320"/>
      </w:tabs>
      <w:ind w:left="4320" w:hanging="360"/>
    </w:pPr>
  </w:style>
  <w:style w:type="paragraph" w:customStyle="1" w:styleId="106">
    <w:name w:val="AODocTxtL6"/>
    <w:basedOn w:val="81"/>
    <w:qFormat/>
    <w:uiPriority w:val="0"/>
    <w:pPr>
      <w:numPr>
        <w:ilvl w:val="6"/>
      </w:numPr>
      <w:tabs>
        <w:tab w:val="left" w:pos="5040"/>
      </w:tabs>
      <w:ind w:left="5040" w:hanging="360"/>
    </w:pPr>
  </w:style>
  <w:style w:type="paragraph" w:customStyle="1" w:styleId="107">
    <w:name w:val="AODocTxtL7"/>
    <w:basedOn w:val="81"/>
    <w:qFormat/>
    <w:uiPriority w:val="0"/>
    <w:pPr>
      <w:numPr>
        <w:ilvl w:val="7"/>
      </w:numPr>
      <w:tabs>
        <w:tab w:val="left" w:pos="5760"/>
      </w:tabs>
      <w:ind w:left="5760" w:hanging="360"/>
    </w:pPr>
  </w:style>
  <w:style w:type="paragraph" w:customStyle="1" w:styleId="108">
    <w:name w:val="AODocTxtL8"/>
    <w:basedOn w:val="81"/>
    <w:qFormat/>
    <w:uiPriority w:val="0"/>
    <w:pPr>
      <w:numPr>
        <w:ilvl w:val="8"/>
      </w:numPr>
      <w:tabs>
        <w:tab w:val="left" w:pos="6480"/>
      </w:tabs>
      <w:ind w:left="6480" w:hanging="360"/>
    </w:pPr>
  </w:style>
  <w:style w:type="paragraph" w:customStyle="1" w:styleId="109">
    <w:name w:val="AOGenNum1"/>
    <w:basedOn w:val="82"/>
    <w:next w:val="110"/>
    <w:qFormat/>
    <w:uiPriority w:val="0"/>
    <w:pPr>
      <w:keepNext/>
      <w:numPr>
        <w:ilvl w:val="0"/>
        <w:numId w:val="14"/>
      </w:numPr>
    </w:pPr>
    <w:rPr>
      <w:b/>
      <w:caps/>
    </w:rPr>
  </w:style>
  <w:style w:type="paragraph" w:customStyle="1" w:styleId="110">
    <w:name w:val="AOGenNum1Para"/>
    <w:basedOn w:val="109"/>
    <w:next w:val="111"/>
    <w:qFormat/>
    <w:uiPriority w:val="0"/>
    <w:pPr>
      <w:numPr>
        <w:ilvl w:val="1"/>
      </w:numPr>
      <w:tabs>
        <w:tab w:val="left" w:pos="1588"/>
        <w:tab w:val="clear" w:pos="720"/>
      </w:tabs>
      <w:ind w:left="1588" w:hanging="737"/>
    </w:pPr>
    <w:rPr>
      <w:caps w:val="0"/>
    </w:rPr>
  </w:style>
  <w:style w:type="paragraph" w:customStyle="1" w:styleId="111">
    <w:name w:val="AOGenNum1List"/>
    <w:basedOn w:val="109"/>
    <w:qFormat/>
    <w:uiPriority w:val="0"/>
    <w:pPr>
      <w:keepNext w:val="0"/>
      <w:numPr>
        <w:ilvl w:val="2"/>
      </w:numPr>
      <w:tabs>
        <w:tab w:val="left" w:pos="851"/>
        <w:tab w:val="clear" w:pos="720"/>
      </w:tabs>
      <w:ind w:left="851" w:hanging="431"/>
    </w:pPr>
    <w:rPr>
      <w:b w:val="0"/>
      <w:caps w:val="0"/>
    </w:rPr>
  </w:style>
  <w:style w:type="paragraph" w:customStyle="1" w:styleId="112">
    <w:name w:val="AOGenNum2"/>
    <w:basedOn w:val="82"/>
    <w:next w:val="113"/>
    <w:qFormat/>
    <w:uiPriority w:val="0"/>
    <w:pPr>
      <w:keepNext/>
      <w:numPr>
        <w:ilvl w:val="0"/>
        <w:numId w:val="15"/>
      </w:numPr>
    </w:pPr>
    <w:rPr>
      <w:b/>
    </w:rPr>
  </w:style>
  <w:style w:type="paragraph" w:customStyle="1" w:styleId="113">
    <w:name w:val="AOGenNum2Para"/>
    <w:basedOn w:val="112"/>
    <w:next w:val="114"/>
    <w:qFormat/>
    <w:uiPriority w:val="0"/>
    <w:pPr>
      <w:keepNext w:val="0"/>
      <w:numPr>
        <w:ilvl w:val="1"/>
      </w:numPr>
      <w:tabs>
        <w:tab w:val="left" w:pos="1588"/>
        <w:tab w:val="clear" w:pos="720"/>
      </w:tabs>
      <w:ind w:left="1588" w:hanging="737"/>
    </w:pPr>
    <w:rPr>
      <w:b w:val="0"/>
    </w:rPr>
  </w:style>
  <w:style w:type="paragraph" w:customStyle="1" w:styleId="114">
    <w:name w:val="AOGenNum2List"/>
    <w:basedOn w:val="112"/>
    <w:qFormat/>
    <w:uiPriority w:val="0"/>
    <w:pPr>
      <w:keepNext w:val="0"/>
      <w:numPr>
        <w:ilvl w:val="2"/>
      </w:numPr>
      <w:tabs>
        <w:tab w:val="left" w:pos="1021"/>
        <w:tab w:val="clear" w:pos="720"/>
      </w:tabs>
      <w:ind w:left="1021" w:hanging="601"/>
    </w:pPr>
    <w:rPr>
      <w:b w:val="0"/>
    </w:rPr>
  </w:style>
  <w:style w:type="paragraph" w:customStyle="1" w:styleId="115">
    <w:name w:val="AOGenNum3"/>
    <w:basedOn w:val="82"/>
    <w:next w:val="116"/>
    <w:qFormat/>
    <w:uiPriority w:val="0"/>
    <w:pPr>
      <w:numPr>
        <w:ilvl w:val="0"/>
        <w:numId w:val="16"/>
      </w:numPr>
    </w:pPr>
  </w:style>
  <w:style w:type="paragraph" w:customStyle="1" w:styleId="116">
    <w:name w:val="AOGenNum3List"/>
    <w:basedOn w:val="115"/>
    <w:qFormat/>
    <w:uiPriority w:val="0"/>
    <w:pPr>
      <w:numPr>
        <w:ilvl w:val="1"/>
      </w:numPr>
      <w:tabs>
        <w:tab w:val="left" w:pos="840"/>
        <w:tab w:val="clear" w:pos="720"/>
      </w:tabs>
      <w:ind w:left="840" w:hanging="420"/>
    </w:pPr>
  </w:style>
  <w:style w:type="paragraph" w:customStyle="1" w:styleId="117">
    <w:name w:val="AOHead1"/>
    <w:basedOn w:val="118"/>
    <w:next w:val="101"/>
    <w:qFormat/>
    <w:uiPriority w:val="0"/>
    <w:pPr>
      <w:keepNext/>
      <w:numPr>
        <w:ilvl w:val="0"/>
        <w:numId w:val="17"/>
      </w:numPr>
      <w:outlineLvl w:val="0"/>
    </w:pPr>
    <w:rPr>
      <w:b/>
      <w:caps/>
      <w:kern w:val="28"/>
    </w:rPr>
  </w:style>
  <w:style w:type="paragraph" w:customStyle="1" w:styleId="118">
    <w:name w:val="AOHeadings"/>
    <w:basedOn w:val="82"/>
    <w:next w:val="81"/>
    <w:qFormat/>
    <w:uiPriority w:val="0"/>
  </w:style>
  <w:style w:type="paragraph" w:customStyle="1" w:styleId="119">
    <w:name w:val="AOHead2"/>
    <w:basedOn w:val="118"/>
    <w:next w:val="101"/>
    <w:qFormat/>
    <w:uiPriority w:val="0"/>
    <w:pPr>
      <w:keepNext/>
      <w:numPr>
        <w:ilvl w:val="1"/>
        <w:numId w:val="17"/>
      </w:numPr>
      <w:outlineLvl w:val="1"/>
    </w:pPr>
    <w:rPr>
      <w:b/>
    </w:rPr>
  </w:style>
  <w:style w:type="paragraph" w:customStyle="1" w:styleId="120">
    <w:name w:val="AOHead3"/>
    <w:basedOn w:val="118"/>
    <w:next w:val="102"/>
    <w:qFormat/>
    <w:uiPriority w:val="0"/>
    <w:pPr>
      <w:numPr>
        <w:ilvl w:val="2"/>
        <w:numId w:val="17"/>
      </w:numPr>
      <w:outlineLvl w:val="2"/>
    </w:pPr>
  </w:style>
  <w:style w:type="paragraph" w:customStyle="1" w:styleId="121">
    <w:name w:val="AOHead4"/>
    <w:basedOn w:val="118"/>
    <w:next w:val="103"/>
    <w:qFormat/>
    <w:uiPriority w:val="0"/>
    <w:pPr>
      <w:numPr>
        <w:ilvl w:val="3"/>
        <w:numId w:val="17"/>
      </w:numPr>
      <w:outlineLvl w:val="3"/>
    </w:pPr>
  </w:style>
  <w:style w:type="paragraph" w:customStyle="1" w:styleId="122">
    <w:name w:val="AOHead5"/>
    <w:basedOn w:val="118"/>
    <w:next w:val="104"/>
    <w:qFormat/>
    <w:uiPriority w:val="0"/>
    <w:pPr>
      <w:numPr>
        <w:ilvl w:val="4"/>
        <w:numId w:val="17"/>
      </w:numPr>
      <w:outlineLvl w:val="4"/>
    </w:pPr>
  </w:style>
  <w:style w:type="paragraph" w:customStyle="1" w:styleId="123">
    <w:name w:val="AOHead6"/>
    <w:basedOn w:val="118"/>
    <w:next w:val="105"/>
    <w:qFormat/>
    <w:uiPriority w:val="0"/>
    <w:pPr>
      <w:numPr>
        <w:ilvl w:val="5"/>
        <w:numId w:val="17"/>
      </w:numPr>
      <w:outlineLvl w:val="5"/>
    </w:pPr>
  </w:style>
  <w:style w:type="paragraph" w:customStyle="1" w:styleId="124">
    <w:name w:val="AOListNumber"/>
    <w:basedOn w:val="82"/>
    <w:qFormat/>
    <w:uiPriority w:val="0"/>
    <w:pPr>
      <w:numPr>
        <w:ilvl w:val="0"/>
        <w:numId w:val="18"/>
      </w:numPr>
      <w:tabs>
        <w:tab w:val="clear" w:pos="720"/>
      </w:tabs>
    </w:pPr>
  </w:style>
  <w:style w:type="paragraph" w:customStyle="1" w:styleId="125">
    <w:name w:val="AOBullet2"/>
    <w:basedOn w:val="83"/>
    <w:qFormat/>
    <w:uiPriority w:val="0"/>
    <w:pPr>
      <w:numPr>
        <w:numId w:val="19"/>
      </w:numPr>
      <w:tabs>
        <w:tab w:val="left" w:pos="720"/>
        <w:tab w:val="left" w:pos="1280"/>
      </w:tabs>
      <w:spacing w:before="120"/>
      <w:ind w:left="1280"/>
    </w:pPr>
  </w:style>
  <w:style w:type="paragraph" w:customStyle="1" w:styleId="126">
    <w:name w:val="AOBullet3"/>
    <w:basedOn w:val="82"/>
    <w:qFormat/>
    <w:uiPriority w:val="0"/>
    <w:pPr>
      <w:numPr>
        <w:ilvl w:val="0"/>
        <w:numId w:val="20"/>
      </w:numPr>
      <w:tabs>
        <w:tab w:val="clear" w:pos="720"/>
      </w:tabs>
      <w:spacing w:before="120"/>
    </w:pPr>
  </w:style>
  <w:style w:type="paragraph" w:customStyle="1" w:styleId="127">
    <w:name w:val="AOBullet4"/>
    <w:basedOn w:val="82"/>
    <w:qFormat/>
    <w:uiPriority w:val="0"/>
    <w:pPr>
      <w:numPr>
        <w:ilvl w:val="0"/>
        <w:numId w:val="21"/>
      </w:numPr>
      <w:spacing w:before="120"/>
    </w:pPr>
  </w:style>
  <w:style w:type="paragraph" w:customStyle="1" w:styleId="128">
    <w:name w:val="正文所"/>
    <w:basedOn w:val="1"/>
    <w:qFormat/>
    <w:uiPriority w:val="0"/>
    <w:pPr>
      <w:spacing w:line="360" w:lineRule="auto"/>
      <w:ind w:firstLine="420" w:firstLineChars="200"/>
    </w:pPr>
  </w:style>
  <w:style w:type="character" w:customStyle="1" w:styleId="129">
    <w:name w:val="尾注文本 字符"/>
    <w:basedOn w:val="45"/>
    <w:link w:val="28"/>
    <w:qFormat/>
    <w:uiPriority w:val="0"/>
    <w:rPr>
      <w:rFonts w:ascii="Times New Roman" w:hAnsi="Times New Roman" w:eastAsia="宋体" w:cs="Times New Roman"/>
      <w:kern w:val="0"/>
      <w:sz w:val="16"/>
      <w:lang w:val="en-GB" w:eastAsia="en-US"/>
    </w:rPr>
  </w:style>
  <w:style w:type="character" w:customStyle="1" w:styleId="130">
    <w:name w:val="HTML 预设格式 字符"/>
    <w:basedOn w:val="45"/>
    <w:link w:val="38"/>
    <w:qFormat/>
    <w:uiPriority w:val="0"/>
    <w:rPr>
      <w:rFonts w:ascii="Arial Unicode MS" w:hAnsi="Arial Unicode MS" w:eastAsia="Arial Unicode MS" w:cs="Arial Unicode MS"/>
      <w:kern w:val="0"/>
      <w:sz w:val="20"/>
      <w:szCs w:val="20"/>
    </w:rPr>
  </w:style>
  <w:style w:type="paragraph" w:customStyle="1" w:styleId="131">
    <w:name w:val="Char"/>
    <w:basedOn w:val="1"/>
    <w:qFormat/>
    <w:uiPriority w:val="0"/>
    <w:pPr>
      <w:tabs>
        <w:tab w:val="left" w:pos="360"/>
      </w:tabs>
      <w:spacing w:line="560" w:lineRule="exact"/>
    </w:pPr>
    <w:rPr>
      <w:rFonts w:ascii="方正黑体简体" w:eastAsia="方正黑体简体"/>
      <w:sz w:val="30"/>
      <w:szCs w:val="30"/>
    </w:rPr>
  </w:style>
  <w:style w:type="paragraph" w:customStyle="1" w:styleId="132">
    <w:name w:val="修订1"/>
    <w:hidden/>
    <w:qFormat/>
    <w:uiPriority w:val="99"/>
    <w:rPr>
      <w:rFonts w:ascii="Times New Roman" w:hAnsi="Times New Roman" w:eastAsia="宋体" w:cs="Times New Roman"/>
      <w:kern w:val="2"/>
      <w:sz w:val="21"/>
      <w:szCs w:val="24"/>
      <w:lang w:val="en-US" w:eastAsia="zh-CN" w:bidi="ar-SA"/>
    </w:rPr>
  </w:style>
  <w:style w:type="paragraph" w:customStyle="1" w:styleId="133">
    <w:name w:val="TOC 标题1"/>
    <w:basedOn w:val="3"/>
    <w:next w:val="1"/>
    <w:qFormat/>
    <w:uiPriority w:val="39"/>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134">
    <w:name w:val="电子邮件签名 字符"/>
    <w:basedOn w:val="45"/>
    <w:link w:val="12"/>
    <w:qFormat/>
    <w:uiPriority w:val="0"/>
    <w:rPr>
      <w:rFonts w:ascii="Times New Roman" w:hAnsi="Times New Roman" w:eastAsia="宋体" w:cs="Times New Roman"/>
      <w:kern w:val="0"/>
      <w:szCs w:val="21"/>
    </w:rPr>
  </w:style>
  <w:style w:type="character" w:customStyle="1" w:styleId="135">
    <w:name w:val="正文文本首行缩进 字符"/>
    <w:basedOn w:val="66"/>
    <w:link w:val="42"/>
    <w:qFormat/>
    <w:uiPriority w:val="0"/>
    <w:rPr>
      <w:rFonts w:ascii="Times New Roman" w:hAnsi="Times New Roman" w:eastAsia="宋体" w:cs="Times New Roman"/>
      <w:sz w:val="24"/>
      <w:szCs w:val="24"/>
    </w:rPr>
  </w:style>
  <w:style w:type="character" w:customStyle="1" w:styleId="136">
    <w:name w:val="正文首行缩进 Char1"/>
    <w:basedOn w:val="66"/>
    <w:qFormat/>
    <w:uiPriority w:val="0"/>
    <w:rPr>
      <w:rFonts w:ascii="Times New Roman" w:hAnsi="Times New Roman" w:eastAsia="宋体" w:cs="Times New Roman"/>
      <w:sz w:val="24"/>
      <w:szCs w:val="24"/>
    </w:rPr>
  </w:style>
  <w:style w:type="paragraph" w:customStyle="1" w:styleId="137">
    <w:name w:val="编号正文2"/>
    <w:basedOn w:val="1"/>
    <w:qFormat/>
    <w:uiPriority w:val="0"/>
    <w:pPr>
      <w:numPr>
        <w:ilvl w:val="0"/>
        <w:numId w:val="22"/>
      </w:numPr>
      <w:autoSpaceDE w:val="0"/>
      <w:autoSpaceDN w:val="0"/>
      <w:adjustRightInd w:val="0"/>
      <w:spacing w:after="120" w:line="300" w:lineRule="auto"/>
    </w:pPr>
    <w:rPr>
      <w:rFonts w:ascii="宋体"/>
      <w:kern w:val="0"/>
      <w:szCs w:val="20"/>
    </w:rPr>
  </w:style>
  <w:style w:type="paragraph" w:customStyle="1" w:styleId="138">
    <w:name w:val="c_"/>
    <w:qFormat/>
    <w:uiPriority w:val="0"/>
    <w:pPr>
      <w:widowControl w:val="0"/>
      <w:autoSpaceDE w:val="0"/>
      <w:autoSpaceDN w:val="0"/>
      <w:adjustRightInd w:val="0"/>
      <w:jc w:val="both"/>
    </w:pPr>
    <w:rPr>
      <w:rFonts w:ascii="五" w:hAnsi="Times New Roman" w:eastAsia="五" w:cs="Times New Roman"/>
      <w:sz w:val="24"/>
      <w:lang w:val="en-US" w:eastAsia="zh-CN" w:bidi="ar-SA"/>
    </w:rPr>
  </w:style>
  <w:style w:type="paragraph" w:styleId="139">
    <w:name w:val="List Paragraph"/>
    <w:basedOn w:val="1"/>
    <w:qFormat/>
    <w:uiPriority w:val="34"/>
    <w:pPr>
      <w:ind w:firstLine="420" w:firstLineChars="200"/>
    </w:pPr>
  </w:style>
  <w:style w:type="paragraph" w:customStyle="1" w:styleId="140">
    <w:name w:val="List_bullet"/>
    <w:basedOn w:val="1"/>
    <w:qFormat/>
    <w:uiPriority w:val="0"/>
    <w:pPr>
      <w:widowControl/>
      <w:numPr>
        <w:ilvl w:val="0"/>
        <w:numId w:val="23"/>
      </w:numPr>
      <w:jc w:val="left"/>
    </w:pPr>
    <w:rPr>
      <w:kern w:val="0"/>
      <w:sz w:val="24"/>
      <w:szCs w:val="20"/>
    </w:rPr>
  </w:style>
  <w:style w:type="paragraph" w:customStyle="1" w:styleId="141">
    <w:name w:val="msonormal1"/>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2">
    <w:name w:val="副标题 字符"/>
    <w:basedOn w:val="45"/>
    <w:link w:val="33"/>
    <w:qFormat/>
    <w:uiPriority w:val="0"/>
    <w:rPr>
      <w:rFonts w:ascii="Cambria" w:hAnsi="Cambria" w:eastAsia="宋体" w:cs="Times New Roman"/>
      <w:b/>
      <w:kern w:val="28"/>
      <w:sz w:val="24"/>
      <w:szCs w:val="32"/>
    </w:rPr>
  </w:style>
  <w:style w:type="paragraph" w:customStyle="1" w:styleId="143">
    <w:name w:val="次标题"/>
    <w:basedOn w:val="5"/>
    <w:next w:val="1"/>
    <w:qFormat/>
    <w:uiPriority w:val="0"/>
    <w:pPr>
      <w:numPr>
        <w:ilvl w:val="0"/>
        <w:numId w:val="0"/>
      </w:numPr>
      <w:spacing w:line="416" w:lineRule="auto"/>
      <w:jc w:val="left"/>
    </w:pPr>
    <w:rPr>
      <w:rFonts w:ascii="宋体" w:hAnsi="宋体"/>
      <w:sz w:val="24"/>
      <w:szCs w:val="24"/>
    </w:rPr>
  </w:style>
  <w:style w:type="paragraph" w:customStyle="1" w:styleId="144">
    <w:name w:val="Char Char Char1"/>
    <w:basedOn w:val="1"/>
    <w:qFormat/>
    <w:uiPriority w:val="0"/>
    <w:rPr>
      <w:szCs w:val="20"/>
    </w:rPr>
  </w:style>
  <w:style w:type="character" w:customStyle="1" w:styleId="145">
    <w:name w:val="z-窗体顶端 字符"/>
    <w:basedOn w:val="45"/>
    <w:link w:val="146"/>
    <w:qFormat/>
    <w:uiPriority w:val="99"/>
    <w:rPr>
      <w:rFonts w:ascii="Arial" w:hAnsi="Arial" w:eastAsia="宋体" w:cs="Arial"/>
      <w:vanish/>
      <w:kern w:val="0"/>
      <w:sz w:val="16"/>
      <w:szCs w:val="16"/>
    </w:rPr>
  </w:style>
  <w:style w:type="paragraph" w:customStyle="1" w:styleId="146">
    <w:name w:val="z-窗体顶端1"/>
    <w:basedOn w:val="1"/>
    <w:next w:val="1"/>
    <w:link w:val="145"/>
    <w:qFormat/>
    <w:uiPriority w:val="99"/>
    <w:pPr>
      <w:widowControl/>
      <w:pBdr>
        <w:bottom w:val="single" w:color="auto" w:sz="6" w:space="1"/>
      </w:pBdr>
      <w:jc w:val="center"/>
    </w:pPr>
    <w:rPr>
      <w:rFonts w:ascii="Arial" w:hAnsi="Arial" w:cs="Arial"/>
      <w:vanish/>
      <w:kern w:val="0"/>
      <w:sz w:val="16"/>
      <w:szCs w:val="16"/>
    </w:rPr>
  </w:style>
  <w:style w:type="character" w:customStyle="1" w:styleId="147">
    <w:name w:val="z-窗体底端 字符"/>
    <w:basedOn w:val="45"/>
    <w:link w:val="148"/>
    <w:qFormat/>
    <w:uiPriority w:val="99"/>
    <w:rPr>
      <w:rFonts w:ascii="Arial" w:hAnsi="Arial" w:eastAsia="宋体" w:cs="Arial"/>
      <w:vanish/>
      <w:kern w:val="0"/>
      <w:sz w:val="16"/>
      <w:szCs w:val="16"/>
    </w:rPr>
  </w:style>
  <w:style w:type="paragraph" w:customStyle="1" w:styleId="148">
    <w:name w:val="z-窗体底端1"/>
    <w:basedOn w:val="1"/>
    <w:next w:val="1"/>
    <w:link w:val="147"/>
    <w:qFormat/>
    <w:uiPriority w:val="99"/>
    <w:pPr>
      <w:widowControl/>
      <w:pBdr>
        <w:top w:val="single" w:color="auto" w:sz="6" w:space="1"/>
      </w:pBdr>
      <w:jc w:val="center"/>
    </w:pPr>
    <w:rPr>
      <w:rFonts w:ascii="Arial" w:hAnsi="Arial" w:cs="Arial"/>
      <w:vanish/>
      <w:kern w:val="0"/>
      <w:sz w:val="16"/>
      <w:szCs w:val="16"/>
    </w:rPr>
  </w:style>
  <w:style w:type="paragraph" w:styleId="149">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不明显强调1"/>
    <w:basedOn w:val="45"/>
    <w:qFormat/>
    <w:uiPriority w:val="19"/>
    <w:rPr>
      <w:i/>
      <w:iCs/>
      <w:color w:val="808080"/>
    </w:rPr>
  </w:style>
  <w:style w:type="character" w:customStyle="1" w:styleId="151">
    <w:name w:val="明显强调1"/>
    <w:basedOn w:val="45"/>
    <w:qFormat/>
    <w:uiPriority w:val="21"/>
    <w:rPr>
      <w:b/>
      <w:bCs/>
      <w:i/>
      <w:iCs/>
      <w:color w:val="4F81BD"/>
    </w:rPr>
  </w:style>
  <w:style w:type="paragraph" w:customStyle="1" w:styleId="152">
    <w:name w:val="修订11"/>
    <w:hidden/>
    <w:semiHidden/>
    <w:qFormat/>
    <w:uiPriority w:val="0"/>
    <w:rPr>
      <w:rFonts w:ascii="Times New Roman" w:hAnsi="Times New Roman" w:eastAsia="宋体" w:cs="Times New Roman"/>
      <w:kern w:val="2"/>
      <w:sz w:val="21"/>
      <w:szCs w:val="24"/>
      <w:lang w:val="en-US" w:eastAsia="zh-CN" w:bidi="ar-SA"/>
    </w:rPr>
  </w:style>
  <w:style w:type="character" w:customStyle="1" w:styleId="153">
    <w:name w:val="称呼 字符"/>
    <w:basedOn w:val="45"/>
    <w:link w:val="21"/>
    <w:qFormat/>
    <w:uiPriority w:val="0"/>
    <w:rPr>
      <w:rFonts w:ascii="Times New Roman" w:hAnsi="Times New Roman" w:eastAsia="宋体" w:cs="Times New Roman"/>
      <w:szCs w:val="24"/>
    </w:rPr>
  </w:style>
  <w:style w:type="paragraph" w:customStyle="1" w:styleId="154">
    <w:name w:val="无间隔1"/>
    <w:link w:val="155"/>
    <w:qFormat/>
    <w:uiPriority w:val="0"/>
    <w:rPr>
      <w:rFonts w:ascii="Calibri" w:hAnsi="Calibri" w:eastAsia="宋体" w:cs="Times New Roman"/>
      <w:sz w:val="22"/>
      <w:szCs w:val="22"/>
      <w:lang w:val="en-US" w:eastAsia="zh-CN" w:bidi="ar-SA"/>
    </w:rPr>
  </w:style>
  <w:style w:type="character" w:customStyle="1" w:styleId="155">
    <w:name w:val="No Spacing Char"/>
    <w:basedOn w:val="45"/>
    <w:link w:val="154"/>
    <w:qFormat/>
    <w:locked/>
    <w:uiPriority w:val="0"/>
    <w:rPr>
      <w:sz w:val="22"/>
      <w:szCs w:val="22"/>
      <w:lang w:val="en-US" w:eastAsia="zh-CN" w:bidi="ar-SA"/>
    </w:rPr>
  </w:style>
  <w:style w:type="paragraph" w:customStyle="1" w:styleId="156">
    <w:name w:val="XBRLTitle1"/>
    <w:basedOn w:val="3"/>
    <w:next w:val="4"/>
    <w:qFormat/>
    <w:uiPriority w:val="0"/>
    <w:pPr>
      <w:numPr>
        <w:numId w:val="24"/>
      </w:numPr>
      <w:spacing w:beforeLines="50" w:afterLines="50" w:line="240" w:lineRule="auto"/>
      <w:jc w:val="center"/>
    </w:pPr>
    <w:rPr>
      <w:rFonts w:ascii="Cambria" w:hAnsi="Cambria"/>
      <w:sz w:val="28"/>
    </w:rPr>
  </w:style>
  <w:style w:type="paragraph" w:customStyle="1" w:styleId="157">
    <w:name w:val="XBRLTitle2"/>
    <w:basedOn w:val="33"/>
    <w:next w:val="6"/>
    <w:qFormat/>
    <w:uiPriority w:val="0"/>
    <w:pPr>
      <w:numPr>
        <w:ilvl w:val="1"/>
        <w:numId w:val="24"/>
      </w:numPr>
      <w:spacing w:beforeLines="50" w:afterLines="50" w:line="240" w:lineRule="auto"/>
    </w:pPr>
    <w:rPr>
      <w:bCs/>
    </w:rPr>
  </w:style>
  <w:style w:type="paragraph" w:customStyle="1" w:styleId="158">
    <w:name w:val="XBRLTitle3"/>
    <w:basedOn w:val="33"/>
    <w:next w:val="6"/>
    <w:qFormat/>
    <w:uiPriority w:val="0"/>
    <w:pPr>
      <w:numPr>
        <w:ilvl w:val="2"/>
        <w:numId w:val="24"/>
      </w:numPr>
      <w:spacing w:beforeLines="50" w:afterLines="50" w:line="240" w:lineRule="auto"/>
      <w:outlineLvl w:val="9"/>
    </w:pPr>
    <w:rPr>
      <w:bCs/>
    </w:rPr>
  </w:style>
  <w:style w:type="paragraph" w:customStyle="1" w:styleId="159">
    <w:name w:val="XBRLTitle4"/>
    <w:basedOn w:val="33"/>
    <w:next w:val="6"/>
    <w:qFormat/>
    <w:uiPriority w:val="0"/>
    <w:pPr>
      <w:numPr>
        <w:ilvl w:val="3"/>
        <w:numId w:val="24"/>
      </w:numPr>
      <w:spacing w:beforeLines="50" w:afterLines="50" w:line="240" w:lineRule="auto"/>
      <w:outlineLvl w:val="9"/>
    </w:pPr>
    <w:rPr>
      <w:bCs/>
    </w:rPr>
  </w:style>
  <w:style w:type="paragraph" w:customStyle="1" w:styleId="160">
    <w:name w:val="XBRLTitle5"/>
    <w:basedOn w:val="33"/>
    <w:next w:val="6"/>
    <w:qFormat/>
    <w:uiPriority w:val="0"/>
    <w:pPr>
      <w:numPr>
        <w:ilvl w:val="4"/>
        <w:numId w:val="24"/>
      </w:numPr>
      <w:spacing w:beforeLines="50" w:afterLines="50" w:line="240" w:lineRule="auto"/>
      <w:outlineLvl w:val="9"/>
    </w:pPr>
    <w:rPr>
      <w:bCs/>
    </w:rPr>
  </w:style>
  <w:style w:type="paragraph" w:customStyle="1" w:styleId="161">
    <w:name w:val="XBRLTitle6"/>
    <w:basedOn w:val="33"/>
    <w:next w:val="6"/>
    <w:qFormat/>
    <w:uiPriority w:val="0"/>
    <w:pPr>
      <w:numPr>
        <w:ilvl w:val="5"/>
        <w:numId w:val="24"/>
      </w:numPr>
      <w:spacing w:beforeLines="50" w:afterLines="50" w:line="240" w:lineRule="auto"/>
      <w:outlineLvl w:val="9"/>
    </w:pPr>
    <w:rPr>
      <w:bCs/>
    </w:rPr>
  </w:style>
  <w:style w:type="paragraph" w:customStyle="1" w:styleId="162">
    <w:name w:val="纯文本1"/>
    <w:basedOn w:val="1"/>
    <w:qFormat/>
    <w:uiPriority w:val="0"/>
    <w:rPr>
      <w:rFonts w:ascii="宋体" w:hAnsi="Courier New"/>
      <w:szCs w:val="20"/>
    </w:rPr>
  </w:style>
  <w:style w:type="paragraph" w:customStyle="1" w:styleId="163">
    <w:name w:val="HD正文"/>
    <w:basedOn w:val="1"/>
    <w:qFormat/>
    <w:uiPriority w:val="0"/>
    <w:pPr>
      <w:snapToGrid w:val="0"/>
      <w:spacing w:line="360" w:lineRule="auto"/>
      <w:ind w:firstLine="420" w:firstLineChars="200"/>
    </w:pPr>
    <w:rPr>
      <w:szCs w:val="21"/>
    </w:rPr>
  </w:style>
  <w:style w:type="paragraph" w:customStyle="1" w:styleId="164">
    <w:name w:val="正文s"/>
    <w:basedOn w:val="23"/>
    <w:qFormat/>
    <w:uiPriority w:val="0"/>
    <w:pPr>
      <w:autoSpaceDE/>
      <w:autoSpaceDN/>
      <w:adjustRightInd/>
      <w:spacing w:after="0" w:line="360" w:lineRule="auto"/>
      <w:ind w:firstLine="560" w:firstLineChars="200"/>
    </w:pPr>
    <w:rPr>
      <w:rFonts w:hint="default" w:hAnsi="宋体"/>
      <w:kern w:val="2"/>
      <w:sz w:val="28"/>
      <w:szCs w:val="18"/>
    </w:rPr>
  </w:style>
  <w:style w:type="paragraph" w:customStyle="1" w:styleId="165">
    <w:name w:val="列表1"/>
    <w:basedOn w:val="1"/>
    <w:next w:val="1"/>
    <w:qFormat/>
    <w:uiPriority w:val="0"/>
    <w:pPr>
      <w:tabs>
        <w:tab w:val="left" w:pos="757"/>
      </w:tabs>
      <w:spacing w:line="360" w:lineRule="auto"/>
      <w:ind w:firstLine="397"/>
    </w:pPr>
    <w:rPr>
      <w:szCs w:val="20"/>
    </w:rPr>
  </w:style>
  <w:style w:type="paragraph" w:customStyle="1" w:styleId="166">
    <w:name w:val="正文1"/>
    <w:qFormat/>
    <w:uiPriority w:val="0"/>
    <w:pPr>
      <w:jc w:val="both"/>
    </w:pPr>
    <w:rPr>
      <w:rFonts w:ascii="Times New Roman" w:hAnsi="Times New Roman" w:eastAsia="宋体" w:cs="Times New Roman"/>
      <w:kern w:val="2"/>
      <w:sz w:val="21"/>
      <w:szCs w:val="21"/>
      <w:lang w:val="en-US" w:eastAsia="zh-CN" w:bidi="ar-SA"/>
    </w:rPr>
  </w:style>
  <w:style w:type="character" w:styleId="167">
    <w:name w:val="Placeholder Text"/>
    <w:basedOn w:val="45"/>
    <w:semiHidden/>
    <w:qFormat/>
    <w:uiPriority w:val="99"/>
    <w:rPr>
      <w:color w:val="808080"/>
    </w:rPr>
  </w:style>
  <w:style w:type="table" w:customStyle="1" w:styleId="168">
    <w:name w:val="Lined - Accent 3"/>
    <w:basedOn w:val="43"/>
    <w:qFormat/>
    <w:uiPriority w:val="99"/>
    <w:rPr>
      <w:color w:val="404040"/>
    </w:rPr>
    <w:tblStylePr w:type="firstRow">
      <w:pPr>
        <w:snapToGrid/>
      </w:pPr>
      <w:rPr>
        <w:rFonts w:ascii="Arial" w:hAnsi="Arial"/>
        <w:color w:val="F2F2F2"/>
        <w:sz w:val="22"/>
      </w:rPr>
      <w:tcPr>
        <w:shd w:val="clear" w:color="auto" w:fill="9BBB59" w:themeFill="accent3" w:themeFillTint="FE"/>
      </w:tcPr>
    </w:tblStylePr>
    <w:tblStylePr w:type="lastRow">
      <w:pPr>
        <w:snapToGrid/>
      </w:pPr>
      <w:rPr>
        <w:rFonts w:ascii="Arial" w:hAnsi="Arial"/>
        <w:color w:val="F2F2F2"/>
        <w:sz w:val="22"/>
      </w:rPr>
      <w:tcPr>
        <w:shd w:val="clear" w:color="auto" w:fill="9BBB59" w:themeFill="accent3" w:themeFillTint="FE"/>
      </w:tcPr>
    </w:tblStylePr>
    <w:tblStylePr w:type="firstCol">
      <w:pPr>
        <w:snapToGrid/>
      </w:pPr>
      <w:rPr>
        <w:rFonts w:ascii="Arial" w:hAnsi="Arial"/>
        <w:color w:val="F2F2F2"/>
        <w:sz w:val="22"/>
      </w:rPr>
      <w:tcPr>
        <w:shd w:val="clear" w:color="auto" w:fill="9BBB59" w:themeFill="accent3" w:themeFillTint="FE"/>
      </w:tcPr>
    </w:tblStylePr>
    <w:tblStylePr w:type="lastCol">
      <w:pPr>
        <w:snapToGrid/>
      </w:pPr>
      <w:rPr>
        <w:rFonts w:ascii="Arial" w:hAnsi="Arial"/>
        <w:color w:val="F2F2F2"/>
        <w:sz w:val="22"/>
      </w:rPr>
      <w:tcPr>
        <w:shd w:val="clear" w:color="auto" w:fill="9BBB59" w:themeFill="accent3" w:themeFillTint="FE"/>
      </w:tcPr>
    </w:tblStylePr>
    <w:tblStylePr w:type="band1Vert">
      <w:pPr>
        <w:snapToGrid/>
      </w:pPr>
      <w:rPr>
        <w:rFonts w:ascii="Arial" w:hAnsi="Arial"/>
        <w:color w:val="404040"/>
        <w:sz w:val="22"/>
      </w:rPr>
    </w:tblStylePr>
    <w:tblStylePr w:type="band2Vert">
      <w:pPr>
        <w:snapToGrid/>
      </w:pPr>
      <w:rPr>
        <w:rFonts w:ascii="Arial" w:hAnsi="Arial"/>
        <w:color w:val="404040"/>
        <w:sz w:val="22"/>
      </w:rPr>
      <w:tcPr>
        <w:shd w:val="clear" w:color="auto" w:fill="EAF1DD" w:themeFill="accent3" w:themeFillTint="34"/>
      </w:tcPr>
    </w:tblStylePr>
    <w:tblStylePr w:type="band1Horz">
      <w:pPr>
        <w:snapToGrid/>
      </w:pPr>
      <w:rPr>
        <w:rFonts w:ascii="Arial" w:hAnsi="Arial"/>
        <w:color w:val="404040"/>
        <w:sz w:val="22"/>
      </w:rPr>
    </w:tblStylePr>
    <w:tblStylePr w:type="band2Horz">
      <w:pPr>
        <w:snapToGrid/>
      </w:pPr>
      <w:rPr>
        <w:rFonts w:ascii="Arial" w:hAnsi="Arial"/>
        <w:color w:val="404040"/>
        <w:sz w:val="22"/>
      </w:rPr>
      <w:tcPr>
        <w:shd w:val="clear" w:color="auto" w:fill="EAF1DD" w:themeFill="accent3" w:themeFillTint="34"/>
      </w:tcPr>
    </w:tblStylePr>
    <w:tblStylePr w:type="neCell">
      <w:pPr>
        <w:snapToGrid/>
      </w:pPr>
    </w:tblStylePr>
    <w:tblStylePr w:type="nwCell">
      <w:pPr>
        <w:snapToGrid/>
      </w:pPr>
    </w:tblStylePr>
    <w:tblStylePr w:type="seCell">
      <w:pPr>
        <w:snapToGrid/>
      </w:pPr>
    </w:tblStylePr>
    <w:tblStylePr w:type="swCell">
      <w:pPr>
        <w:snapToGrid/>
      </w:pPr>
    </w:tblStylePr>
  </w:style>
  <w:style w:type="paragraph" w:customStyle="1" w:styleId="169">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170">
    <w:name w:val="Revision"/>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31.xml"/><Relationship Id="rId32" Type="http://schemas.openxmlformats.org/officeDocument/2006/relationships/footer" Target="footer30.xml"/><Relationship Id="rId31" Type="http://schemas.openxmlformats.org/officeDocument/2006/relationships/footer" Target="footer29.xml"/><Relationship Id="rId30" Type="http://schemas.openxmlformats.org/officeDocument/2006/relationships/footer" Target="footer28.xml"/><Relationship Id="rId3" Type="http://schemas.openxmlformats.org/officeDocument/2006/relationships/footer" Target="footer1.xml"/><Relationship Id="rId29" Type="http://schemas.openxmlformats.org/officeDocument/2006/relationships/footer" Target="footer27.xml"/><Relationship Id="rId28" Type="http://schemas.openxmlformats.org/officeDocument/2006/relationships/footer" Target="footer26.xml"/><Relationship Id="rId27" Type="http://schemas.openxmlformats.org/officeDocument/2006/relationships/footer" Target="footer25.xml"/><Relationship Id="rId26" Type="http://schemas.openxmlformats.org/officeDocument/2006/relationships/footer" Target="footer24.xml"/><Relationship Id="rId25" Type="http://schemas.openxmlformats.org/officeDocument/2006/relationships/footer" Target="footer23.xml"/><Relationship Id="rId24" Type="http://schemas.openxmlformats.org/officeDocument/2006/relationships/footer" Target="footer22.xml"/><Relationship Id="rId23" Type="http://schemas.openxmlformats.org/officeDocument/2006/relationships/footer" Target="footer21.xml"/><Relationship Id="rId22" Type="http://schemas.openxmlformats.org/officeDocument/2006/relationships/footer" Target="footer20.xml"/><Relationship Id="rId21" Type="http://schemas.openxmlformats.org/officeDocument/2006/relationships/footer" Target="footer19.xml"/><Relationship Id="rId20" Type="http://schemas.openxmlformats.org/officeDocument/2006/relationships/footer" Target="footer18.xml"/><Relationship Id="rId2" Type="http://schemas.openxmlformats.org/officeDocument/2006/relationships/settings" Target="settings.xml"/><Relationship Id="rId19" Type="http://schemas.openxmlformats.org/officeDocument/2006/relationships/footer" Target="footer17.xml"/><Relationship Id="rId18" Type="http://schemas.openxmlformats.org/officeDocument/2006/relationships/footer" Target="footer16.xml"/><Relationship Id="rId17" Type="http://schemas.openxmlformats.org/officeDocument/2006/relationships/footer" Target="footer15.xml"/><Relationship Id="rId16" Type="http://schemas.openxmlformats.org/officeDocument/2006/relationships/footer" Target="footer14.xml"/><Relationship Id="rId15" Type="http://schemas.openxmlformats.org/officeDocument/2006/relationships/footer" Target="footer13.xml"/><Relationship Id="rId14" Type="http://schemas.openxmlformats.org/officeDocument/2006/relationships/footer" Target="footer12.xml"/><Relationship Id="rId13" Type="http://schemas.openxmlformats.org/officeDocument/2006/relationships/footer" Target="footer1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117</Pages>
  <Words>14597</Words>
  <Characters>83205</Characters>
  <Lines>693</Lines>
  <Paragraphs>195</Paragraphs>
  <TotalTime>5</TotalTime>
  <ScaleCrop>false</ScaleCrop>
  <LinksUpToDate>false</LinksUpToDate>
  <CharactersWithSpaces>97607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2023-12-07T06:17:00Z</dcterms:created>
  <dc:creator>陈艳群</dc:creator>
  <cp:lastModifiedBy>Liwen Xiao</cp:lastModifiedBy>
  <cp:lastPrinted>2023-10-20T23:34:00Z</cp:lastPrinted>
  <dcterms:modified xsi:type="dcterms:W3CDTF">2024-04-11T06:41:57Z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480D312556E04E45B137340F65DECD45</vt:lpwstr>
  </property>
</Properties>
</file>