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汇添富添添乐双盈债券型证券投资基金A类份额更新基金产品资料概要(2024年04月15日更新)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汇添富添添乐双盈债券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017592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汇添富添添乐双盈债券A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017592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2023年02月01日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蔡志文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2023年02月01日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二级债基，投资于股票（含港股通标的股票）、可转债与可交债的比例合并计算后不得超过基金资产的20%，在通常情况下本基金的预期风险水平高于纯债基金。本基金暂不向金融机构自营账户销售（基金管理人自有资金除外）。</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在严格控制风险和保持资产流动性的基础上，通过积极主动的投资管理，追求基金资产的长期稳健增值。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投资于股票（含港股通标的股票）、可转债与可交债的比例合并计算后不得超过基金资产的20%，其中，投资于港股通标的股票的比例不超过股票资产的50%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等固定收益类资产的投资力争平稳收益，并适度参与股票等权益类资产的投资增强回报，在灵活配置各类资产以及严格的风险管理基础上，力争实现基金资产的持续稳定增值。本基金采取的投资策略主要包括资产配置策略、股票精选策略、港股通标的股票的投资策略、存托凭证的投资策略、债券投资策略、可转债及可交换债投资策略及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中债新综合财富（总值）指数收益率*85%+沪深300指数收益率*7%+恒生指数收益率（经汇率调整）*3%+金融机构人民币活期存款利率（税后）*5%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217383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54597"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通过本公司直销中心申购本基金A类基金份额的特定投资群体申购费用为每笔500元。未通过本公司直销中心申购本基金A类基金份额的特定投资群体仍适用上表非特定投资群体的申购费率。</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但法律法规、中国证监会另有规定的除外）、《基金合同》生效后与基金相关的会计师费、律师费、仲裁费和诉讼费、基金份额持有人大会费用、基金的证券/期货等交易费用、基金的银行汇划费用、基金的账户开户费用、账户维护费用、因投资港股通标的股票而产生的各项合理费用、按照国家有关规定和《基金合同》约定，可以在基金财产中列支的其他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及其他风险。其中特有风险包括但不限于：</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债券市场的变化会影响到基金业绩，基金净值表现因此可能受到影响。本基金为二级债基，投资于股票（含港股通标的股票）、可转债与可交债的比例合并计算后不得超过基金资产的20%，在通常情况下本基金的预期风险水平高于纯债基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（2）本基金可投资于境内的股票市场，股票市场的变化将会带来基金业绩的波动。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（3）本基金可投资国债期货、资产支持证券、存托凭证、港股通标的股票，因此本基金将面临投资上述投资标的的风险。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（4）本基金启用侧袋机制可能会给本基金投资带来特殊交易风险。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本基金暂不向金融机构自营账户销售（基金管理人自有资金除外），如未来本基金开放向金融机构自营账户公开销售或对销售对象的范围予以进一步限定，基金管理人将另行公告。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本次更新了业绩表现章节。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