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汇添富添添乐双盈债券型证券投资基金C类份额更新基金产品资料概要(2024年04月15日更新)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2024年04月12日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2024年04月15日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汇添富添添乐双盈债券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017592</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汇添富添添乐双盈债券C</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017593</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中国工商银行股份有限公司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2023年02月01日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债券型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蔡志文</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2023年02月01日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2014年07月01日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本基金为二级债基，投资于股票（含港股通标的股票）、可转债与可交债的比例合并计算后不得超过基金资产的20%，在通常情况下本基金的预期风险水平高于纯债基金。本基金暂不向金融机构自营账户销售（基金管理人自有资金除外）。</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在严格控制风险和保持资产流动性的基础上，通过积极主动的投资管理，追求基金资产的长期稳健增值。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内依法发行上市的股票（含主板、创业板及其他经中国证监会允许上市的股票、存托凭证）、港股通标的股票、债券（包括国债、央行票据、金融债券、企业债券、公司债券、中期票据、短期融资券、超短期融资券、次级债券、政府支持债券、政府支持机构债券、地方政府债券、可交换债券、可转换债券（含分离交易可转债）及其他经中国证监会允许投资的债券）、国债期货、资产支持证券、债券回购、同业存单、银行存款（包含协议存款、定期存款及其他银行存款）、货币市场工具以及法律法规或中国证监会允许基金投资的其他金融工具（但须符合中国证监会相关规定）。</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投资于债券资产的比例不低于基金资产的80%，投资于股票（含港股通标的股票）、可转债与可交债的比例合并计算后不得超过基金资产的20%，其中，投资于港股通标的股票的比例不超过股票资产的50%。每个交易日日终在扣除国债期货合约需缴纳的交易保证金后，本基金保留的现金或投资于到期日在一年以内的政府债券的比例合计不低于基金资产净值的5%。其中现金不包括结算备付金、存出保证金、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取稳健的投资策略，通过债券等固定收益类资产的投资力争平稳收益，并适度参与股票等权益类资产的投资增强回报，在灵活配置各类资产以及严格的风险管理基础上，力争实现基金资产的持续稳定增值。本基金采取的投资策略主要包括资产配置策略、股票精选策略、港股通标的股票的投资策略、存托凭证的投资策略、债券投资策略、可转债及可交换债投资策略及国债期货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中债新综合财富（总值）指数收益率*85%+沪深300指数收益率*7%+恒生指数收益率（经汇率调整）*3%+金融机构人民币活期存款利率（税后）*5%</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本基金属于债券型基金，其预期的风险与收益低于股票型基金、混合型基金，高于货币市场基金。</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本基金除了投资A股以外，还可以根据法律法规规定投资港股通标的股票，将面临港股通机制下因投资环境、投资标的、市场制度以及交易规则等差异带来的特有风险。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20986203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973462"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本基金C类基金份额不收取申购费用。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77"/>
        <w:gridCol w:w="2877"/>
        <w:gridCol w:w="287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0.4%</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信息披露费用（但法律法规、中国证监会另有规定的除外）、《基金合同》生效后与基金相关的会计师费、律师费、仲裁费和诉讼费、基金份额持有人大会费用、基金的证券/期货等交易费用、基金的银行汇划费用、基金的账户开户费用、账户维护费用、因投资港股通标的股票而产生的各项合理费用、按照国家有关规定和《基金合同》约定，可以在基金财产中列支的其他费用。</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管理风险、流动性风险、特有风险、税负增加风险、操作或技术风险、合规性风险、本基金法律文件风险收益特征表述与销售机构基金风险评价可能不一致的风险及其他风险。其中特有风险包括但不限于：</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本基金为债券型基金，本基金对债券资产的投资比例不低于基金资产的80%，债券市场的变化会影响到基金业绩，基金净值表现因此可能受到影响。本基金为二级债基，投资于股票（含港股通标的股票）、可转债与可交债的比例合并计算后不得超过基金资产的20%，在通常情况下本基金的预期风险水平高于纯债基金。</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（2）本基金可投资于境内的股票市场，股票市场的变化将会带来基金业绩的波动。</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（3）本基金可投资国债期货、资产支持证券、存托凭证、港股通标的股票，因此本基金将面临投资上述投资标的的风险。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（4）本基金启用侧袋机制可能会给本基金投资带来特殊交易风险。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 xml:space="preserve">本基金暂不向金融机构自营账户销售（基金管理人自有资金除外），如未来本基金开放向金融机构自营账户公开销售或对销售对象的范围予以进一步限定，基金管理人将另行公告。 </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宋体"/>
          <w:b/>
          <w:bCs/>
          <w:iCs/>
          <w:color w:val="000000"/>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宋体"/>
          <w:b/>
          <w:bCs/>
          <w:iCs/>
          <w:color w:val="000000"/>
          <w:szCs w:val="21"/>
        </w:rPr>
        <w:t>其他情况说明</w:t>
      </w:r>
    </w:p>
    <w:p w:rsidR="00C723AC" w:rsidRPr="00C723AC" w:rsidP="00C723AC">
      <w:pPr>
        <w:spacing w:line="360" w:lineRule="auto"/>
        <w:ind w:firstLine="420" w:firstLineChars="200"/>
        <w:rPr>
          <w:rFonts w:ascii="宋体" w:eastAsia="宋体" w:hAnsi="宋体" w:cs="宋体"/>
          <w:iCs/>
          <w:color w:val="000000"/>
          <w:szCs w:val="21"/>
        </w:rPr>
      </w:pPr>
      <w:r w:rsidRPr="00C723AC">
        <w:rPr>
          <w:rFonts w:ascii="宋体" w:eastAsia="宋体" w:hAnsi="宋体" w:cs="宋体"/>
          <w:iCs/>
          <w:color w:val="000000"/>
          <w:szCs w:val="21"/>
        </w:rPr>
        <w:t>本次更新了业绩表现章节。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A0B11"/>
    <w:rsid w:val="008C558C"/>
    <w:rsid w:val="008C59BE"/>
    <w:rsid w:val="009E1D5A"/>
    <w:rsid w:val="00A02F78"/>
    <w:rsid w:val="00AC240E"/>
    <w:rsid w:val="00AF19F0"/>
    <w:rsid w:val="00B4654F"/>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