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8C22339" w14:textId="77777777" w:rsidR="009912D6" w:rsidRPr="00925CE2" w:rsidRDefault="009912D6" w:rsidP="009912D6">
      <w:pPr>
        <w:tabs>
          <w:tab w:val="left" w:pos="4471"/>
        </w:tabs>
        <w:spacing w:line="360" w:lineRule="auto"/>
        <w:jc w:val="center"/>
        <w:rPr>
          <w:bCs/>
          <w:sz w:val="44"/>
        </w:rPr>
      </w:pPr>
    </w:p>
    <w:p w14:paraId="3ACE16C0" w14:textId="77777777" w:rsidR="009912D6" w:rsidRPr="00925CE2" w:rsidRDefault="009912D6" w:rsidP="009912D6">
      <w:pPr>
        <w:jc w:val="center"/>
        <w:rPr>
          <w:rFonts w:eastAsia="仿宋_GB2312"/>
          <w:sz w:val="28"/>
          <w:szCs w:val="28"/>
        </w:rPr>
      </w:pPr>
    </w:p>
    <w:p w14:paraId="0F4BA3D0" w14:textId="77777777" w:rsidR="009912D6" w:rsidRDefault="009912D6" w:rsidP="009912D6">
      <w:pPr>
        <w:jc w:val="center"/>
        <w:rPr>
          <w:b/>
          <w:sz w:val="52"/>
        </w:rPr>
      </w:pPr>
    </w:p>
    <w:p w14:paraId="5AEF0C66" w14:textId="77777777" w:rsidR="00E65899" w:rsidRDefault="00E65899" w:rsidP="009912D6">
      <w:pPr>
        <w:jc w:val="center"/>
        <w:rPr>
          <w:b/>
          <w:sz w:val="52"/>
        </w:rPr>
      </w:pPr>
    </w:p>
    <w:p w14:paraId="1FBB8318" w14:textId="77777777" w:rsidR="00E65899" w:rsidRDefault="00E65899" w:rsidP="009912D6">
      <w:pPr>
        <w:jc w:val="center"/>
        <w:rPr>
          <w:b/>
          <w:sz w:val="52"/>
        </w:rPr>
      </w:pPr>
    </w:p>
    <w:p w14:paraId="77A0E19E" w14:textId="77777777" w:rsidR="00E65899" w:rsidRDefault="00E65899" w:rsidP="009912D6">
      <w:pPr>
        <w:jc w:val="center"/>
        <w:rPr>
          <w:b/>
          <w:sz w:val="52"/>
        </w:rPr>
      </w:pPr>
    </w:p>
    <w:p w14:paraId="71FC698D" w14:textId="77777777" w:rsidR="00E65899" w:rsidRPr="00925CE2" w:rsidRDefault="00E65899" w:rsidP="009912D6">
      <w:pPr>
        <w:jc w:val="center"/>
        <w:rPr>
          <w:b/>
          <w:sz w:val="52"/>
        </w:rPr>
      </w:pPr>
    </w:p>
    <w:p w14:paraId="3B9ECC9B" w14:textId="77777777" w:rsidR="00821265" w:rsidRDefault="00821265" w:rsidP="009912D6">
      <w:pPr>
        <w:spacing w:line="600" w:lineRule="auto"/>
        <w:jc w:val="center"/>
        <w:rPr>
          <w:b/>
          <w:sz w:val="44"/>
          <w:szCs w:val="36"/>
        </w:rPr>
      </w:pPr>
      <w:r w:rsidRPr="00821265">
        <w:rPr>
          <w:rFonts w:hint="eastAsia"/>
          <w:b/>
          <w:sz w:val="44"/>
          <w:szCs w:val="36"/>
        </w:rPr>
        <w:t>汇添富添添乐双盈债券型证券投资基金</w:t>
      </w:r>
    </w:p>
    <w:p w14:paraId="40ABE1D8" w14:textId="561C23A2" w:rsidR="00821265" w:rsidRDefault="00821265" w:rsidP="009912D6">
      <w:pPr>
        <w:spacing w:line="600" w:lineRule="auto"/>
        <w:jc w:val="center"/>
        <w:rPr>
          <w:b/>
          <w:sz w:val="44"/>
          <w:szCs w:val="36"/>
        </w:rPr>
      </w:pPr>
      <w:r w:rsidRPr="00821265">
        <w:rPr>
          <w:rFonts w:hint="eastAsia"/>
          <w:b/>
          <w:sz w:val="44"/>
          <w:szCs w:val="36"/>
        </w:rPr>
        <w:t>更新招募说明书</w:t>
      </w:r>
    </w:p>
    <w:p w14:paraId="63D810CB" w14:textId="649DEC7B" w:rsidR="00DE38E8" w:rsidRPr="00CF7D3D" w:rsidRDefault="00821265" w:rsidP="009912D6">
      <w:pPr>
        <w:spacing w:line="600" w:lineRule="auto"/>
        <w:jc w:val="center"/>
        <w:rPr>
          <w:b/>
          <w:sz w:val="44"/>
          <w:szCs w:val="36"/>
        </w:rPr>
      </w:pPr>
      <w:r w:rsidRPr="00821265">
        <w:rPr>
          <w:rFonts w:hint="eastAsia"/>
          <w:b/>
          <w:sz w:val="44"/>
          <w:szCs w:val="36"/>
        </w:rPr>
        <w:t>（</w:t>
      </w:r>
      <w:r w:rsidR="00A9711A" w:rsidRPr="00821265">
        <w:rPr>
          <w:rFonts w:hint="eastAsia"/>
          <w:b/>
          <w:sz w:val="44"/>
          <w:szCs w:val="36"/>
        </w:rPr>
        <w:t>202</w:t>
      </w:r>
      <w:r w:rsidR="00A9711A">
        <w:rPr>
          <w:b/>
          <w:sz w:val="44"/>
          <w:szCs w:val="36"/>
        </w:rPr>
        <w:t>4</w:t>
      </w:r>
      <w:r w:rsidR="00A9711A" w:rsidRPr="00821265">
        <w:rPr>
          <w:rFonts w:hint="eastAsia"/>
          <w:b/>
          <w:sz w:val="44"/>
          <w:szCs w:val="36"/>
        </w:rPr>
        <w:t>年</w:t>
      </w:r>
      <w:r w:rsidR="00A9711A">
        <w:rPr>
          <w:b/>
          <w:sz w:val="44"/>
          <w:szCs w:val="36"/>
        </w:rPr>
        <w:t>4</w:t>
      </w:r>
      <w:r w:rsidRPr="00821265">
        <w:rPr>
          <w:rFonts w:hint="eastAsia"/>
          <w:b/>
          <w:sz w:val="44"/>
          <w:szCs w:val="36"/>
        </w:rPr>
        <w:t>月</w:t>
      </w:r>
      <w:r w:rsidR="00A9711A">
        <w:rPr>
          <w:b/>
          <w:sz w:val="44"/>
          <w:szCs w:val="36"/>
        </w:rPr>
        <w:t>15</w:t>
      </w:r>
      <w:r w:rsidRPr="00821265">
        <w:rPr>
          <w:rFonts w:hint="eastAsia"/>
          <w:b/>
          <w:sz w:val="44"/>
          <w:szCs w:val="36"/>
        </w:rPr>
        <w:t>日更新）</w:t>
      </w:r>
    </w:p>
    <w:p w14:paraId="7309185B" w14:textId="1A30CD68" w:rsidR="009912D6" w:rsidRPr="00BA7DD7" w:rsidRDefault="009912D6" w:rsidP="009912D6">
      <w:pPr>
        <w:spacing w:line="600" w:lineRule="auto"/>
        <w:jc w:val="center"/>
        <w:rPr>
          <w:b/>
          <w:sz w:val="52"/>
        </w:rPr>
      </w:pPr>
    </w:p>
    <w:p w14:paraId="3EF84861" w14:textId="77777777" w:rsidR="009912D6" w:rsidRPr="00BA7DD7" w:rsidRDefault="009912D6" w:rsidP="009912D6">
      <w:pPr>
        <w:jc w:val="center"/>
        <w:rPr>
          <w:b/>
        </w:rPr>
      </w:pPr>
    </w:p>
    <w:p w14:paraId="55FD8BAD" w14:textId="77777777" w:rsidR="009912D6" w:rsidRPr="00B77B33" w:rsidRDefault="009912D6" w:rsidP="009912D6">
      <w:pPr>
        <w:jc w:val="center"/>
        <w:rPr>
          <w:b/>
          <w:sz w:val="52"/>
        </w:rPr>
      </w:pPr>
    </w:p>
    <w:p w14:paraId="7AE44EE6" w14:textId="77777777" w:rsidR="009912D6" w:rsidRPr="0028782A" w:rsidRDefault="009912D6" w:rsidP="009912D6">
      <w:pPr>
        <w:jc w:val="center"/>
        <w:rPr>
          <w:sz w:val="24"/>
          <w:szCs w:val="24"/>
        </w:rPr>
      </w:pPr>
    </w:p>
    <w:p w14:paraId="23B3D2B4" w14:textId="77777777" w:rsidR="009912D6" w:rsidRDefault="009912D6" w:rsidP="009912D6">
      <w:pPr>
        <w:jc w:val="center"/>
        <w:rPr>
          <w:sz w:val="24"/>
          <w:szCs w:val="24"/>
        </w:rPr>
      </w:pPr>
    </w:p>
    <w:p w14:paraId="58D180D9" w14:textId="77777777" w:rsidR="009912D6" w:rsidRPr="009155CA" w:rsidRDefault="009912D6" w:rsidP="009912D6">
      <w:pPr>
        <w:jc w:val="center"/>
        <w:rPr>
          <w:b/>
          <w:sz w:val="52"/>
        </w:rPr>
      </w:pPr>
    </w:p>
    <w:p w14:paraId="7848E7A9" w14:textId="77777777" w:rsidR="009912D6" w:rsidRPr="00BA7DD7" w:rsidRDefault="009912D6" w:rsidP="009912D6">
      <w:pPr>
        <w:jc w:val="center"/>
        <w:rPr>
          <w:b/>
          <w:sz w:val="52"/>
        </w:rPr>
      </w:pPr>
    </w:p>
    <w:p w14:paraId="1FEC2EA4" w14:textId="77777777" w:rsidR="009912D6" w:rsidRPr="00BA7DD7" w:rsidRDefault="009912D6" w:rsidP="009912D6">
      <w:pPr>
        <w:jc w:val="center"/>
        <w:rPr>
          <w:b/>
          <w:sz w:val="52"/>
        </w:rPr>
      </w:pPr>
    </w:p>
    <w:p w14:paraId="411F4D08" w14:textId="77777777" w:rsidR="009912D6" w:rsidRPr="00BA7DD7" w:rsidRDefault="0024620C" w:rsidP="009912D6">
      <w:pPr>
        <w:jc w:val="center"/>
        <w:rPr>
          <w:b/>
          <w:sz w:val="36"/>
        </w:rPr>
      </w:pPr>
      <w:r w:rsidRPr="00BA7DD7">
        <w:rPr>
          <w:b/>
          <w:sz w:val="36"/>
        </w:rPr>
        <w:t>基金管理人：</w:t>
      </w:r>
      <w:r>
        <w:rPr>
          <w:b/>
          <w:noProof/>
          <w:sz w:val="36"/>
        </w:rPr>
        <w:t>汇添富基金管理股份有限公司</w:t>
      </w:r>
    </w:p>
    <w:p w14:paraId="68DB152E" w14:textId="4BD204BF" w:rsidR="009912D6" w:rsidRPr="00BA7DD7" w:rsidRDefault="0024620C" w:rsidP="009912D6">
      <w:pPr>
        <w:jc w:val="center"/>
        <w:rPr>
          <w:b/>
          <w:sz w:val="36"/>
        </w:rPr>
      </w:pPr>
      <w:r w:rsidRPr="00BA7DD7">
        <w:rPr>
          <w:b/>
          <w:sz w:val="36"/>
        </w:rPr>
        <w:t>基金托管人：</w:t>
      </w:r>
      <w:r w:rsidR="007F25F9" w:rsidRPr="007F25F9">
        <w:rPr>
          <w:rFonts w:hint="eastAsia"/>
          <w:b/>
          <w:sz w:val="36"/>
        </w:rPr>
        <w:t>中国工商银行股份有限公司</w:t>
      </w:r>
    </w:p>
    <w:p w14:paraId="37C8676B" w14:textId="77777777" w:rsidR="009912D6" w:rsidRPr="00BA7DD7" w:rsidRDefault="009912D6" w:rsidP="009912D6">
      <w:pPr>
        <w:jc w:val="center"/>
        <w:rPr>
          <w:bCs/>
          <w:sz w:val="32"/>
        </w:rPr>
      </w:pPr>
    </w:p>
    <w:p w14:paraId="7174618E" w14:textId="77777777" w:rsidR="009912D6" w:rsidRPr="00BA7DD7" w:rsidRDefault="009912D6" w:rsidP="009912D6">
      <w:pPr>
        <w:jc w:val="center"/>
        <w:rPr>
          <w:bCs/>
          <w:sz w:val="32"/>
        </w:rPr>
      </w:pPr>
    </w:p>
    <w:p w14:paraId="18CF67B8" w14:textId="77777777" w:rsidR="009912D6" w:rsidRPr="00EB4987" w:rsidRDefault="0024620C" w:rsidP="009912D6">
      <w:pPr>
        <w:rPr>
          <w:rFonts w:ascii="宋体"/>
          <w:b/>
          <w:bCs/>
          <w:sz w:val="30"/>
        </w:rPr>
        <w:sectPr w:rsidR="009912D6" w:rsidRPr="00EB4987" w:rsidSect="009912D6">
          <w:footerReference w:type="default" r:id="rId9"/>
          <w:pgSz w:w="11906" w:h="16838"/>
          <w:pgMar w:top="1440" w:right="1800" w:bottom="1440" w:left="1800" w:header="851" w:footer="992" w:gutter="0"/>
          <w:cols w:space="720"/>
          <w:docGrid w:type="lines" w:linePitch="312"/>
        </w:sectPr>
      </w:pPr>
      <w:bookmarkStart w:id="0" w:name="_Toc123112227"/>
      <w:bookmarkStart w:id="1" w:name="_Toc123112266"/>
      <w:bookmarkStart w:id="2" w:name="_Toc123701386"/>
      <w:bookmarkStart w:id="3" w:name="_Toc139991729"/>
      <w:r>
        <w:rPr>
          <w:bCs/>
          <w:sz w:val="30"/>
        </w:rPr>
        <w:br w:type="page"/>
      </w:r>
      <w:bookmarkStart w:id="4" w:name="_Toc23386"/>
      <w:bookmarkStart w:id="5" w:name="_Toc141703880"/>
      <w:bookmarkStart w:id="6" w:name="_Toc139991730"/>
      <w:bookmarkStart w:id="7" w:name="_Toc4867"/>
      <w:bookmarkStart w:id="8" w:name="_Toc6306"/>
      <w:bookmarkStart w:id="9" w:name="_Toc8727"/>
      <w:bookmarkStart w:id="10" w:name="_Toc30935"/>
      <w:bookmarkStart w:id="11" w:name="_Toc32639"/>
      <w:bookmarkStart w:id="12" w:name="_Toc15517"/>
      <w:bookmarkStart w:id="13" w:name="_Toc29629"/>
      <w:bookmarkStart w:id="14" w:name="_Toc26897"/>
      <w:bookmarkStart w:id="15" w:name="_Toc4966"/>
      <w:bookmarkStart w:id="16" w:name="_Toc123701389"/>
      <w:bookmarkStart w:id="17" w:name="_Toc123112268"/>
      <w:bookmarkStart w:id="18" w:name="_Toc123112229"/>
      <w:bookmarkStart w:id="19" w:name="_Toc233456271"/>
      <w:bookmarkEnd w:id="0"/>
      <w:bookmarkEnd w:id="1"/>
      <w:bookmarkEnd w:id="2"/>
      <w:bookmarkEnd w:id="3"/>
    </w:p>
    <w:p w14:paraId="67CABD4E" w14:textId="77777777" w:rsidR="009912D6" w:rsidRDefault="0024620C" w:rsidP="009912D6">
      <w:pPr>
        <w:autoSpaceDE w:val="0"/>
        <w:autoSpaceDN w:val="0"/>
        <w:adjustRightInd w:val="0"/>
        <w:spacing w:line="360" w:lineRule="auto"/>
        <w:ind w:firstLineChars="200" w:firstLine="482"/>
        <w:jc w:val="center"/>
        <w:rPr>
          <w:noProof/>
        </w:rPr>
      </w:pPr>
      <w:r w:rsidRPr="00657FE9">
        <w:rPr>
          <w:rStyle w:val="read"/>
          <w:rFonts w:ascii="宋体" w:hAnsi="宋体" w:cs="宋体"/>
          <w:b/>
          <w:sz w:val="24"/>
        </w:rPr>
        <w:lastRenderedPageBreak/>
        <w:t>目录</w:t>
      </w:r>
    </w:p>
    <w:p w14:paraId="754F7ECC" w14:textId="47C0C621" w:rsidR="00D1082E" w:rsidRDefault="00D1082E" w:rsidP="006B11D0">
      <w:pPr>
        <w:pStyle w:val="TOC1"/>
        <w:spacing w:line="360" w:lineRule="auto"/>
        <w:rPr>
          <w:rFonts w:asciiTheme="minorHAnsi" w:eastAsiaTheme="minorEastAsia" w:hAnsiTheme="minorHAnsi" w:cstheme="minorBidi"/>
          <w:noProof/>
          <w:sz w:val="21"/>
          <w:szCs w:val="22"/>
        </w:rPr>
      </w:pPr>
      <w:r>
        <w:rPr>
          <w:rStyle w:val="read"/>
          <w:rFonts w:ascii="宋体" w:hAnsi="宋体" w:cs="宋体"/>
          <w:b/>
          <w:sz w:val="24"/>
        </w:rPr>
        <w:fldChar w:fldCharType="begin"/>
      </w:r>
      <w:r>
        <w:rPr>
          <w:rStyle w:val="read"/>
          <w:rFonts w:ascii="宋体" w:hAnsi="宋体" w:cs="宋体"/>
          <w:b/>
          <w:sz w:val="24"/>
        </w:rPr>
        <w:instrText xml:space="preserve"> TOC \o "1-1" \h \z \u </w:instrText>
      </w:r>
      <w:r>
        <w:rPr>
          <w:rStyle w:val="read"/>
          <w:rFonts w:ascii="宋体" w:hAnsi="宋体" w:cs="宋体"/>
          <w:b/>
          <w:sz w:val="24"/>
        </w:rPr>
        <w:fldChar w:fldCharType="separate"/>
      </w:r>
      <w:hyperlink w:anchor="_Toc135000336" w:history="1">
        <w:r w:rsidRPr="0049440D">
          <w:rPr>
            <w:rStyle w:val="ac"/>
            <w:rFonts w:hint="eastAsia"/>
            <w:noProof/>
          </w:rPr>
          <w:t>第一部分</w:t>
        </w:r>
        <w:r w:rsidRPr="0049440D">
          <w:rPr>
            <w:rStyle w:val="ac"/>
            <w:noProof/>
          </w:rPr>
          <w:t xml:space="preserve">  </w:t>
        </w:r>
        <w:r w:rsidRPr="0049440D">
          <w:rPr>
            <w:rStyle w:val="ac"/>
            <w:rFonts w:hint="eastAsia"/>
            <w:noProof/>
          </w:rPr>
          <w:t>绪言</w:t>
        </w:r>
        <w:r>
          <w:rPr>
            <w:noProof/>
            <w:webHidden/>
          </w:rPr>
          <w:tab/>
        </w:r>
        <w:r>
          <w:rPr>
            <w:noProof/>
            <w:webHidden/>
          </w:rPr>
          <w:fldChar w:fldCharType="begin"/>
        </w:r>
        <w:r>
          <w:rPr>
            <w:noProof/>
            <w:webHidden/>
          </w:rPr>
          <w:instrText xml:space="preserve"> PAGEREF _Toc135000336 \h </w:instrText>
        </w:r>
        <w:r>
          <w:rPr>
            <w:noProof/>
            <w:webHidden/>
          </w:rPr>
        </w:r>
        <w:r>
          <w:rPr>
            <w:noProof/>
            <w:webHidden/>
          </w:rPr>
          <w:fldChar w:fldCharType="separate"/>
        </w:r>
        <w:r w:rsidR="00241B10">
          <w:rPr>
            <w:noProof/>
            <w:webHidden/>
          </w:rPr>
          <w:t>5</w:t>
        </w:r>
        <w:r>
          <w:rPr>
            <w:noProof/>
            <w:webHidden/>
          </w:rPr>
          <w:fldChar w:fldCharType="end"/>
        </w:r>
      </w:hyperlink>
    </w:p>
    <w:p w14:paraId="05C0571E" w14:textId="7F94A3A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37" w:history="1">
        <w:r w:rsidR="00D1082E" w:rsidRPr="0049440D">
          <w:rPr>
            <w:rStyle w:val="ac"/>
            <w:rFonts w:hint="eastAsia"/>
            <w:noProof/>
          </w:rPr>
          <w:t>第二部分</w:t>
        </w:r>
        <w:r w:rsidR="00D1082E" w:rsidRPr="0049440D">
          <w:rPr>
            <w:rStyle w:val="ac"/>
            <w:noProof/>
          </w:rPr>
          <w:t xml:space="preserve">  </w:t>
        </w:r>
        <w:r w:rsidR="00D1082E" w:rsidRPr="0049440D">
          <w:rPr>
            <w:rStyle w:val="ac"/>
            <w:rFonts w:hint="eastAsia"/>
            <w:noProof/>
          </w:rPr>
          <w:t>释义</w:t>
        </w:r>
        <w:r w:rsidR="00D1082E">
          <w:rPr>
            <w:noProof/>
            <w:webHidden/>
          </w:rPr>
          <w:tab/>
        </w:r>
        <w:r w:rsidR="00D1082E">
          <w:rPr>
            <w:noProof/>
            <w:webHidden/>
          </w:rPr>
          <w:fldChar w:fldCharType="begin"/>
        </w:r>
        <w:r w:rsidR="00D1082E">
          <w:rPr>
            <w:noProof/>
            <w:webHidden/>
          </w:rPr>
          <w:instrText xml:space="preserve"> PAGEREF _Toc135000337 \h </w:instrText>
        </w:r>
        <w:r w:rsidR="00D1082E">
          <w:rPr>
            <w:noProof/>
            <w:webHidden/>
          </w:rPr>
        </w:r>
        <w:r w:rsidR="00D1082E">
          <w:rPr>
            <w:noProof/>
            <w:webHidden/>
          </w:rPr>
          <w:fldChar w:fldCharType="separate"/>
        </w:r>
        <w:r w:rsidR="00241B10">
          <w:rPr>
            <w:noProof/>
            <w:webHidden/>
          </w:rPr>
          <w:t>6</w:t>
        </w:r>
        <w:r w:rsidR="00D1082E">
          <w:rPr>
            <w:noProof/>
            <w:webHidden/>
          </w:rPr>
          <w:fldChar w:fldCharType="end"/>
        </w:r>
      </w:hyperlink>
    </w:p>
    <w:p w14:paraId="3EDAC8E1" w14:textId="36A1ECB4"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38" w:history="1">
        <w:r w:rsidR="00D1082E" w:rsidRPr="0049440D">
          <w:rPr>
            <w:rStyle w:val="ac"/>
            <w:rFonts w:hint="eastAsia"/>
            <w:noProof/>
          </w:rPr>
          <w:t>第三部分</w:t>
        </w:r>
        <w:r w:rsidR="00D1082E" w:rsidRPr="0049440D">
          <w:rPr>
            <w:rStyle w:val="ac"/>
            <w:noProof/>
          </w:rPr>
          <w:t xml:space="preserve">  </w:t>
        </w:r>
        <w:r w:rsidR="00D1082E" w:rsidRPr="0049440D">
          <w:rPr>
            <w:rStyle w:val="ac"/>
            <w:rFonts w:hint="eastAsia"/>
            <w:noProof/>
          </w:rPr>
          <w:t>基金管理人</w:t>
        </w:r>
        <w:r w:rsidR="00D1082E">
          <w:rPr>
            <w:noProof/>
            <w:webHidden/>
          </w:rPr>
          <w:tab/>
        </w:r>
        <w:r w:rsidR="00D1082E">
          <w:rPr>
            <w:noProof/>
            <w:webHidden/>
          </w:rPr>
          <w:fldChar w:fldCharType="begin"/>
        </w:r>
        <w:r w:rsidR="00D1082E">
          <w:rPr>
            <w:noProof/>
            <w:webHidden/>
          </w:rPr>
          <w:instrText xml:space="preserve"> PAGEREF _Toc135000338 \h </w:instrText>
        </w:r>
        <w:r w:rsidR="00D1082E">
          <w:rPr>
            <w:noProof/>
            <w:webHidden/>
          </w:rPr>
        </w:r>
        <w:r w:rsidR="00D1082E">
          <w:rPr>
            <w:noProof/>
            <w:webHidden/>
          </w:rPr>
          <w:fldChar w:fldCharType="separate"/>
        </w:r>
        <w:r w:rsidR="00241B10">
          <w:rPr>
            <w:noProof/>
            <w:webHidden/>
          </w:rPr>
          <w:t>12</w:t>
        </w:r>
        <w:r w:rsidR="00D1082E">
          <w:rPr>
            <w:noProof/>
            <w:webHidden/>
          </w:rPr>
          <w:fldChar w:fldCharType="end"/>
        </w:r>
      </w:hyperlink>
    </w:p>
    <w:p w14:paraId="6A59354E" w14:textId="62498D51"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39" w:history="1">
        <w:r w:rsidR="00D1082E" w:rsidRPr="0049440D">
          <w:rPr>
            <w:rStyle w:val="ac"/>
            <w:rFonts w:hint="eastAsia"/>
            <w:noProof/>
          </w:rPr>
          <w:t>第四部分</w:t>
        </w:r>
        <w:r w:rsidR="00D1082E" w:rsidRPr="0049440D">
          <w:rPr>
            <w:rStyle w:val="ac"/>
            <w:noProof/>
          </w:rPr>
          <w:t xml:space="preserve">  </w:t>
        </w:r>
        <w:r w:rsidR="00D1082E" w:rsidRPr="0049440D">
          <w:rPr>
            <w:rStyle w:val="ac"/>
            <w:rFonts w:hint="eastAsia"/>
            <w:noProof/>
          </w:rPr>
          <w:t>基金托管人</w:t>
        </w:r>
        <w:r w:rsidR="00D1082E">
          <w:rPr>
            <w:noProof/>
            <w:webHidden/>
          </w:rPr>
          <w:tab/>
        </w:r>
        <w:r w:rsidR="00D1082E">
          <w:rPr>
            <w:noProof/>
            <w:webHidden/>
          </w:rPr>
          <w:fldChar w:fldCharType="begin"/>
        </w:r>
        <w:r w:rsidR="00D1082E">
          <w:rPr>
            <w:noProof/>
            <w:webHidden/>
          </w:rPr>
          <w:instrText xml:space="preserve"> PAGEREF _Toc135000339 \h </w:instrText>
        </w:r>
        <w:r w:rsidR="00D1082E">
          <w:rPr>
            <w:noProof/>
            <w:webHidden/>
          </w:rPr>
        </w:r>
        <w:r w:rsidR="00D1082E">
          <w:rPr>
            <w:noProof/>
            <w:webHidden/>
          </w:rPr>
          <w:fldChar w:fldCharType="separate"/>
        </w:r>
        <w:r w:rsidR="00241B10">
          <w:rPr>
            <w:noProof/>
            <w:webHidden/>
          </w:rPr>
          <w:t>25</w:t>
        </w:r>
        <w:r w:rsidR="00D1082E">
          <w:rPr>
            <w:noProof/>
            <w:webHidden/>
          </w:rPr>
          <w:fldChar w:fldCharType="end"/>
        </w:r>
      </w:hyperlink>
    </w:p>
    <w:p w14:paraId="7B5EDBCE" w14:textId="5D39834C"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0" w:history="1">
        <w:r w:rsidR="00D1082E" w:rsidRPr="0049440D">
          <w:rPr>
            <w:rStyle w:val="ac"/>
            <w:rFonts w:hint="eastAsia"/>
            <w:noProof/>
          </w:rPr>
          <w:t>第五部分</w:t>
        </w:r>
        <w:r w:rsidR="00D1082E" w:rsidRPr="0049440D">
          <w:rPr>
            <w:rStyle w:val="ac"/>
            <w:noProof/>
          </w:rPr>
          <w:t xml:space="preserve">  </w:t>
        </w:r>
        <w:r w:rsidR="00D1082E" w:rsidRPr="0049440D">
          <w:rPr>
            <w:rStyle w:val="ac"/>
            <w:rFonts w:hint="eastAsia"/>
            <w:noProof/>
          </w:rPr>
          <w:t>相关服务机构</w:t>
        </w:r>
        <w:r w:rsidR="00D1082E">
          <w:rPr>
            <w:noProof/>
            <w:webHidden/>
          </w:rPr>
          <w:tab/>
        </w:r>
        <w:r w:rsidR="00D1082E">
          <w:rPr>
            <w:noProof/>
            <w:webHidden/>
          </w:rPr>
          <w:fldChar w:fldCharType="begin"/>
        </w:r>
        <w:r w:rsidR="00D1082E">
          <w:rPr>
            <w:noProof/>
            <w:webHidden/>
          </w:rPr>
          <w:instrText xml:space="preserve"> PAGEREF _Toc135000340 \h </w:instrText>
        </w:r>
        <w:r w:rsidR="00D1082E">
          <w:rPr>
            <w:noProof/>
            <w:webHidden/>
          </w:rPr>
        </w:r>
        <w:r w:rsidR="00D1082E">
          <w:rPr>
            <w:noProof/>
            <w:webHidden/>
          </w:rPr>
          <w:fldChar w:fldCharType="separate"/>
        </w:r>
        <w:r w:rsidR="00241B10">
          <w:rPr>
            <w:noProof/>
            <w:webHidden/>
          </w:rPr>
          <w:t>30</w:t>
        </w:r>
        <w:r w:rsidR="00D1082E">
          <w:rPr>
            <w:noProof/>
            <w:webHidden/>
          </w:rPr>
          <w:fldChar w:fldCharType="end"/>
        </w:r>
      </w:hyperlink>
    </w:p>
    <w:p w14:paraId="01237250" w14:textId="36647C9C"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1" w:history="1">
        <w:r w:rsidR="00D1082E" w:rsidRPr="0049440D">
          <w:rPr>
            <w:rStyle w:val="ac"/>
            <w:rFonts w:hint="eastAsia"/>
            <w:noProof/>
          </w:rPr>
          <w:t>第六部分</w:t>
        </w:r>
        <w:r w:rsidR="00D1082E" w:rsidRPr="0049440D">
          <w:rPr>
            <w:rStyle w:val="ac"/>
            <w:noProof/>
          </w:rPr>
          <w:t xml:space="preserve">  </w:t>
        </w:r>
        <w:r w:rsidR="00D1082E" w:rsidRPr="0049440D">
          <w:rPr>
            <w:rStyle w:val="ac"/>
            <w:rFonts w:hint="eastAsia"/>
            <w:noProof/>
          </w:rPr>
          <w:t>基金的募集</w:t>
        </w:r>
        <w:r w:rsidR="00D1082E">
          <w:rPr>
            <w:noProof/>
            <w:webHidden/>
          </w:rPr>
          <w:tab/>
        </w:r>
        <w:r w:rsidR="00D1082E">
          <w:rPr>
            <w:noProof/>
            <w:webHidden/>
          </w:rPr>
          <w:fldChar w:fldCharType="begin"/>
        </w:r>
        <w:r w:rsidR="00D1082E">
          <w:rPr>
            <w:noProof/>
            <w:webHidden/>
          </w:rPr>
          <w:instrText xml:space="preserve"> PAGEREF _Toc135000341 \h </w:instrText>
        </w:r>
        <w:r w:rsidR="00D1082E">
          <w:rPr>
            <w:noProof/>
            <w:webHidden/>
          </w:rPr>
        </w:r>
        <w:r w:rsidR="00D1082E">
          <w:rPr>
            <w:noProof/>
            <w:webHidden/>
          </w:rPr>
          <w:fldChar w:fldCharType="separate"/>
        </w:r>
        <w:r w:rsidR="00241B10">
          <w:rPr>
            <w:noProof/>
            <w:webHidden/>
          </w:rPr>
          <w:t>32</w:t>
        </w:r>
        <w:r w:rsidR="00D1082E">
          <w:rPr>
            <w:noProof/>
            <w:webHidden/>
          </w:rPr>
          <w:fldChar w:fldCharType="end"/>
        </w:r>
      </w:hyperlink>
    </w:p>
    <w:p w14:paraId="47E51FEF" w14:textId="59868BA9"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2" w:history="1">
        <w:r w:rsidR="00D1082E" w:rsidRPr="0049440D">
          <w:rPr>
            <w:rStyle w:val="ac"/>
            <w:rFonts w:hint="eastAsia"/>
            <w:noProof/>
          </w:rPr>
          <w:t>第七部分</w:t>
        </w:r>
        <w:r w:rsidR="00D1082E" w:rsidRPr="0049440D">
          <w:rPr>
            <w:rStyle w:val="ac"/>
            <w:noProof/>
          </w:rPr>
          <w:t xml:space="preserve">  </w:t>
        </w:r>
        <w:r w:rsidR="00D1082E" w:rsidRPr="0049440D">
          <w:rPr>
            <w:rStyle w:val="ac"/>
            <w:rFonts w:hint="eastAsia"/>
            <w:noProof/>
          </w:rPr>
          <w:t>基金合同的生效</w:t>
        </w:r>
        <w:r w:rsidR="00D1082E">
          <w:rPr>
            <w:noProof/>
            <w:webHidden/>
          </w:rPr>
          <w:tab/>
        </w:r>
        <w:r w:rsidR="00D1082E">
          <w:rPr>
            <w:noProof/>
            <w:webHidden/>
          </w:rPr>
          <w:fldChar w:fldCharType="begin"/>
        </w:r>
        <w:r w:rsidR="00D1082E">
          <w:rPr>
            <w:noProof/>
            <w:webHidden/>
          </w:rPr>
          <w:instrText xml:space="preserve"> PAGEREF _Toc135000342 \h </w:instrText>
        </w:r>
        <w:r w:rsidR="00D1082E">
          <w:rPr>
            <w:noProof/>
            <w:webHidden/>
          </w:rPr>
        </w:r>
        <w:r w:rsidR="00D1082E">
          <w:rPr>
            <w:noProof/>
            <w:webHidden/>
          </w:rPr>
          <w:fldChar w:fldCharType="separate"/>
        </w:r>
        <w:r w:rsidR="00241B10">
          <w:rPr>
            <w:noProof/>
            <w:webHidden/>
          </w:rPr>
          <w:t>39</w:t>
        </w:r>
        <w:r w:rsidR="00D1082E">
          <w:rPr>
            <w:noProof/>
            <w:webHidden/>
          </w:rPr>
          <w:fldChar w:fldCharType="end"/>
        </w:r>
      </w:hyperlink>
    </w:p>
    <w:p w14:paraId="3C06E87F" w14:textId="718D6174"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3" w:history="1">
        <w:r w:rsidR="00D1082E" w:rsidRPr="0049440D">
          <w:rPr>
            <w:rStyle w:val="ac"/>
            <w:rFonts w:hint="eastAsia"/>
            <w:noProof/>
          </w:rPr>
          <w:t>第八部分</w:t>
        </w:r>
        <w:r w:rsidR="00D1082E" w:rsidRPr="0049440D">
          <w:rPr>
            <w:rStyle w:val="ac"/>
            <w:noProof/>
          </w:rPr>
          <w:t xml:space="preserve">  </w:t>
        </w:r>
        <w:r w:rsidR="00D1082E" w:rsidRPr="0049440D">
          <w:rPr>
            <w:rStyle w:val="ac"/>
            <w:rFonts w:hint="eastAsia"/>
            <w:noProof/>
          </w:rPr>
          <w:t>基金份额的申购与赎回</w:t>
        </w:r>
        <w:r w:rsidR="00D1082E">
          <w:rPr>
            <w:noProof/>
            <w:webHidden/>
          </w:rPr>
          <w:tab/>
        </w:r>
        <w:r w:rsidR="00D1082E">
          <w:rPr>
            <w:noProof/>
            <w:webHidden/>
          </w:rPr>
          <w:fldChar w:fldCharType="begin"/>
        </w:r>
        <w:r w:rsidR="00D1082E">
          <w:rPr>
            <w:noProof/>
            <w:webHidden/>
          </w:rPr>
          <w:instrText xml:space="preserve"> PAGEREF _Toc135000343 \h </w:instrText>
        </w:r>
        <w:r w:rsidR="00D1082E">
          <w:rPr>
            <w:noProof/>
            <w:webHidden/>
          </w:rPr>
        </w:r>
        <w:r w:rsidR="00D1082E">
          <w:rPr>
            <w:noProof/>
            <w:webHidden/>
          </w:rPr>
          <w:fldChar w:fldCharType="separate"/>
        </w:r>
        <w:r w:rsidR="00241B10">
          <w:rPr>
            <w:noProof/>
            <w:webHidden/>
          </w:rPr>
          <w:t>40</w:t>
        </w:r>
        <w:r w:rsidR="00D1082E">
          <w:rPr>
            <w:noProof/>
            <w:webHidden/>
          </w:rPr>
          <w:fldChar w:fldCharType="end"/>
        </w:r>
      </w:hyperlink>
    </w:p>
    <w:p w14:paraId="701218D1" w14:textId="2024108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4" w:history="1">
        <w:r w:rsidR="00D1082E" w:rsidRPr="0049440D">
          <w:rPr>
            <w:rStyle w:val="ac"/>
            <w:rFonts w:hint="eastAsia"/>
            <w:noProof/>
          </w:rPr>
          <w:t>第九部分</w:t>
        </w:r>
        <w:r w:rsidR="00D1082E" w:rsidRPr="0049440D">
          <w:rPr>
            <w:rStyle w:val="ac"/>
            <w:noProof/>
          </w:rPr>
          <w:t xml:space="preserve">  </w:t>
        </w:r>
        <w:r w:rsidR="00D1082E" w:rsidRPr="0049440D">
          <w:rPr>
            <w:rStyle w:val="ac"/>
            <w:rFonts w:hint="eastAsia"/>
            <w:noProof/>
          </w:rPr>
          <w:t>基金的投资</w:t>
        </w:r>
        <w:r w:rsidR="00D1082E">
          <w:rPr>
            <w:noProof/>
            <w:webHidden/>
          </w:rPr>
          <w:tab/>
        </w:r>
        <w:r w:rsidR="00D1082E">
          <w:rPr>
            <w:noProof/>
            <w:webHidden/>
          </w:rPr>
          <w:fldChar w:fldCharType="begin"/>
        </w:r>
        <w:r w:rsidR="00D1082E">
          <w:rPr>
            <w:noProof/>
            <w:webHidden/>
          </w:rPr>
          <w:instrText xml:space="preserve"> PAGEREF _Toc135000344 \h </w:instrText>
        </w:r>
        <w:r w:rsidR="00D1082E">
          <w:rPr>
            <w:noProof/>
            <w:webHidden/>
          </w:rPr>
        </w:r>
        <w:r w:rsidR="00D1082E">
          <w:rPr>
            <w:noProof/>
            <w:webHidden/>
          </w:rPr>
          <w:fldChar w:fldCharType="separate"/>
        </w:r>
        <w:r w:rsidR="00241B10">
          <w:rPr>
            <w:noProof/>
            <w:webHidden/>
          </w:rPr>
          <w:t>53</w:t>
        </w:r>
        <w:r w:rsidR="00D1082E">
          <w:rPr>
            <w:noProof/>
            <w:webHidden/>
          </w:rPr>
          <w:fldChar w:fldCharType="end"/>
        </w:r>
      </w:hyperlink>
    </w:p>
    <w:p w14:paraId="4B9E5B47" w14:textId="64356751"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6" w:history="1">
        <w:r w:rsidR="00D1082E" w:rsidRPr="0049440D">
          <w:rPr>
            <w:rStyle w:val="ac"/>
            <w:rFonts w:hint="eastAsia"/>
            <w:noProof/>
          </w:rPr>
          <w:t>第十部分</w:t>
        </w:r>
        <w:r w:rsidR="00D1082E" w:rsidRPr="0049440D">
          <w:rPr>
            <w:rStyle w:val="ac"/>
            <w:noProof/>
          </w:rPr>
          <w:t xml:space="preserve">  </w:t>
        </w:r>
        <w:r w:rsidR="00D1082E" w:rsidRPr="0049440D">
          <w:rPr>
            <w:rStyle w:val="ac"/>
            <w:rFonts w:hint="eastAsia"/>
            <w:noProof/>
          </w:rPr>
          <w:t>基金的业绩</w:t>
        </w:r>
        <w:r w:rsidR="00D1082E">
          <w:rPr>
            <w:noProof/>
            <w:webHidden/>
          </w:rPr>
          <w:tab/>
        </w:r>
        <w:r w:rsidR="00D1082E">
          <w:rPr>
            <w:noProof/>
            <w:webHidden/>
          </w:rPr>
          <w:fldChar w:fldCharType="begin"/>
        </w:r>
        <w:r w:rsidR="00D1082E">
          <w:rPr>
            <w:noProof/>
            <w:webHidden/>
          </w:rPr>
          <w:instrText xml:space="preserve"> PAGEREF _Toc135000346 \h </w:instrText>
        </w:r>
        <w:r w:rsidR="00D1082E">
          <w:rPr>
            <w:noProof/>
            <w:webHidden/>
          </w:rPr>
        </w:r>
        <w:r w:rsidR="00D1082E">
          <w:rPr>
            <w:noProof/>
            <w:webHidden/>
          </w:rPr>
          <w:fldChar w:fldCharType="separate"/>
        </w:r>
        <w:r w:rsidR="00241B10">
          <w:rPr>
            <w:noProof/>
            <w:webHidden/>
          </w:rPr>
          <w:t>68</w:t>
        </w:r>
        <w:r w:rsidR="00D1082E">
          <w:rPr>
            <w:noProof/>
            <w:webHidden/>
          </w:rPr>
          <w:fldChar w:fldCharType="end"/>
        </w:r>
      </w:hyperlink>
    </w:p>
    <w:p w14:paraId="15207EED" w14:textId="511419DE"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7" w:history="1">
        <w:r w:rsidR="00D1082E" w:rsidRPr="0049440D">
          <w:rPr>
            <w:rStyle w:val="ac"/>
            <w:rFonts w:hint="eastAsia"/>
            <w:noProof/>
          </w:rPr>
          <w:t>第十一部分</w:t>
        </w:r>
        <w:r w:rsidR="00D1082E" w:rsidRPr="0049440D">
          <w:rPr>
            <w:rStyle w:val="ac"/>
            <w:noProof/>
          </w:rPr>
          <w:t xml:space="preserve">  </w:t>
        </w:r>
        <w:r w:rsidR="00D1082E" w:rsidRPr="0049440D">
          <w:rPr>
            <w:rStyle w:val="ac"/>
            <w:rFonts w:hint="eastAsia"/>
            <w:noProof/>
          </w:rPr>
          <w:t>基金的财产</w:t>
        </w:r>
        <w:r w:rsidR="00D1082E">
          <w:rPr>
            <w:noProof/>
            <w:webHidden/>
          </w:rPr>
          <w:tab/>
        </w:r>
        <w:r w:rsidR="00D1082E">
          <w:rPr>
            <w:noProof/>
            <w:webHidden/>
          </w:rPr>
          <w:fldChar w:fldCharType="begin"/>
        </w:r>
        <w:r w:rsidR="00D1082E">
          <w:rPr>
            <w:noProof/>
            <w:webHidden/>
          </w:rPr>
          <w:instrText xml:space="preserve"> PAGEREF _Toc135000347 \h </w:instrText>
        </w:r>
        <w:r w:rsidR="00D1082E">
          <w:rPr>
            <w:noProof/>
            <w:webHidden/>
          </w:rPr>
        </w:r>
        <w:r w:rsidR="00D1082E">
          <w:rPr>
            <w:noProof/>
            <w:webHidden/>
          </w:rPr>
          <w:fldChar w:fldCharType="separate"/>
        </w:r>
        <w:r w:rsidR="00241B10">
          <w:rPr>
            <w:noProof/>
            <w:webHidden/>
          </w:rPr>
          <w:t>70</w:t>
        </w:r>
        <w:r w:rsidR="00D1082E">
          <w:rPr>
            <w:noProof/>
            <w:webHidden/>
          </w:rPr>
          <w:fldChar w:fldCharType="end"/>
        </w:r>
      </w:hyperlink>
    </w:p>
    <w:p w14:paraId="1AB1F7A8" w14:textId="4F90DD0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8" w:history="1">
        <w:r w:rsidR="00D1082E" w:rsidRPr="0049440D">
          <w:rPr>
            <w:rStyle w:val="ac"/>
            <w:rFonts w:hint="eastAsia"/>
            <w:noProof/>
          </w:rPr>
          <w:t>第十二部分</w:t>
        </w:r>
        <w:r w:rsidR="00D1082E" w:rsidRPr="0049440D">
          <w:rPr>
            <w:rStyle w:val="ac"/>
            <w:noProof/>
          </w:rPr>
          <w:t xml:space="preserve">  </w:t>
        </w:r>
        <w:r w:rsidR="00D1082E" w:rsidRPr="0049440D">
          <w:rPr>
            <w:rStyle w:val="ac"/>
            <w:rFonts w:hint="eastAsia"/>
            <w:noProof/>
          </w:rPr>
          <w:t>基金资产估值</w:t>
        </w:r>
        <w:r w:rsidR="00D1082E">
          <w:rPr>
            <w:noProof/>
            <w:webHidden/>
          </w:rPr>
          <w:tab/>
        </w:r>
        <w:r w:rsidR="00D1082E">
          <w:rPr>
            <w:noProof/>
            <w:webHidden/>
          </w:rPr>
          <w:fldChar w:fldCharType="begin"/>
        </w:r>
        <w:r w:rsidR="00D1082E">
          <w:rPr>
            <w:noProof/>
            <w:webHidden/>
          </w:rPr>
          <w:instrText xml:space="preserve"> PAGEREF _Toc135000348 \h </w:instrText>
        </w:r>
        <w:r w:rsidR="00D1082E">
          <w:rPr>
            <w:noProof/>
            <w:webHidden/>
          </w:rPr>
        </w:r>
        <w:r w:rsidR="00D1082E">
          <w:rPr>
            <w:noProof/>
            <w:webHidden/>
          </w:rPr>
          <w:fldChar w:fldCharType="separate"/>
        </w:r>
        <w:r w:rsidR="00241B10">
          <w:rPr>
            <w:noProof/>
            <w:webHidden/>
          </w:rPr>
          <w:t>71</w:t>
        </w:r>
        <w:r w:rsidR="00D1082E">
          <w:rPr>
            <w:noProof/>
            <w:webHidden/>
          </w:rPr>
          <w:fldChar w:fldCharType="end"/>
        </w:r>
      </w:hyperlink>
    </w:p>
    <w:p w14:paraId="3876AC4B" w14:textId="573785F4"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49" w:history="1">
        <w:r w:rsidR="00D1082E" w:rsidRPr="0049440D">
          <w:rPr>
            <w:rStyle w:val="ac"/>
            <w:rFonts w:hint="eastAsia"/>
            <w:noProof/>
          </w:rPr>
          <w:t>第十三部分</w:t>
        </w:r>
        <w:r w:rsidR="00D1082E" w:rsidRPr="0049440D">
          <w:rPr>
            <w:rStyle w:val="ac"/>
            <w:noProof/>
          </w:rPr>
          <w:t xml:space="preserve">  </w:t>
        </w:r>
        <w:r w:rsidR="00D1082E" w:rsidRPr="0049440D">
          <w:rPr>
            <w:rStyle w:val="ac"/>
            <w:rFonts w:hint="eastAsia"/>
            <w:noProof/>
          </w:rPr>
          <w:t>基金的收益与分配</w:t>
        </w:r>
        <w:r w:rsidR="00D1082E">
          <w:rPr>
            <w:noProof/>
            <w:webHidden/>
          </w:rPr>
          <w:tab/>
        </w:r>
        <w:r w:rsidR="00D1082E">
          <w:rPr>
            <w:noProof/>
            <w:webHidden/>
          </w:rPr>
          <w:fldChar w:fldCharType="begin"/>
        </w:r>
        <w:r w:rsidR="00D1082E">
          <w:rPr>
            <w:noProof/>
            <w:webHidden/>
          </w:rPr>
          <w:instrText xml:space="preserve"> PAGEREF _Toc135000349 \h </w:instrText>
        </w:r>
        <w:r w:rsidR="00D1082E">
          <w:rPr>
            <w:noProof/>
            <w:webHidden/>
          </w:rPr>
        </w:r>
        <w:r w:rsidR="00D1082E">
          <w:rPr>
            <w:noProof/>
            <w:webHidden/>
          </w:rPr>
          <w:fldChar w:fldCharType="separate"/>
        </w:r>
        <w:r w:rsidR="00241B10">
          <w:rPr>
            <w:noProof/>
            <w:webHidden/>
          </w:rPr>
          <w:t>78</w:t>
        </w:r>
        <w:r w:rsidR="00D1082E">
          <w:rPr>
            <w:noProof/>
            <w:webHidden/>
          </w:rPr>
          <w:fldChar w:fldCharType="end"/>
        </w:r>
      </w:hyperlink>
    </w:p>
    <w:p w14:paraId="3BBC7EEE" w14:textId="32999CA7"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0" w:history="1">
        <w:r w:rsidR="00D1082E" w:rsidRPr="0049440D">
          <w:rPr>
            <w:rStyle w:val="ac"/>
            <w:rFonts w:hint="eastAsia"/>
            <w:noProof/>
          </w:rPr>
          <w:t>第十四部分</w:t>
        </w:r>
        <w:r w:rsidR="00D1082E" w:rsidRPr="0049440D">
          <w:rPr>
            <w:rStyle w:val="ac"/>
            <w:noProof/>
          </w:rPr>
          <w:t xml:space="preserve">  </w:t>
        </w:r>
        <w:r w:rsidR="00D1082E" w:rsidRPr="0049440D">
          <w:rPr>
            <w:rStyle w:val="ac"/>
            <w:rFonts w:hint="eastAsia"/>
            <w:noProof/>
          </w:rPr>
          <w:t>基金费用与税收</w:t>
        </w:r>
        <w:r w:rsidR="00D1082E">
          <w:rPr>
            <w:noProof/>
            <w:webHidden/>
          </w:rPr>
          <w:tab/>
        </w:r>
        <w:r w:rsidR="00D1082E">
          <w:rPr>
            <w:noProof/>
            <w:webHidden/>
          </w:rPr>
          <w:fldChar w:fldCharType="begin"/>
        </w:r>
        <w:r w:rsidR="00D1082E">
          <w:rPr>
            <w:noProof/>
            <w:webHidden/>
          </w:rPr>
          <w:instrText xml:space="preserve"> PAGEREF _Toc135000350 \h </w:instrText>
        </w:r>
        <w:r w:rsidR="00D1082E">
          <w:rPr>
            <w:noProof/>
            <w:webHidden/>
          </w:rPr>
        </w:r>
        <w:r w:rsidR="00D1082E">
          <w:rPr>
            <w:noProof/>
            <w:webHidden/>
          </w:rPr>
          <w:fldChar w:fldCharType="separate"/>
        </w:r>
        <w:r w:rsidR="00241B10">
          <w:rPr>
            <w:noProof/>
            <w:webHidden/>
          </w:rPr>
          <w:t>80</w:t>
        </w:r>
        <w:r w:rsidR="00D1082E">
          <w:rPr>
            <w:noProof/>
            <w:webHidden/>
          </w:rPr>
          <w:fldChar w:fldCharType="end"/>
        </w:r>
      </w:hyperlink>
    </w:p>
    <w:p w14:paraId="495E4774" w14:textId="1F2C90A1"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1" w:history="1">
        <w:r w:rsidR="00D1082E" w:rsidRPr="0049440D">
          <w:rPr>
            <w:rStyle w:val="ac"/>
            <w:rFonts w:hint="eastAsia"/>
            <w:noProof/>
          </w:rPr>
          <w:t>第十五部分</w:t>
        </w:r>
        <w:r w:rsidR="00D1082E" w:rsidRPr="0049440D">
          <w:rPr>
            <w:rStyle w:val="ac"/>
            <w:noProof/>
          </w:rPr>
          <w:t xml:space="preserve">  </w:t>
        </w:r>
        <w:r w:rsidR="00D1082E" w:rsidRPr="0049440D">
          <w:rPr>
            <w:rStyle w:val="ac"/>
            <w:rFonts w:hint="eastAsia"/>
            <w:noProof/>
          </w:rPr>
          <w:t>基金的会计与审计</w:t>
        </w:r>
        <w:r w:rsidR="00D1082E">
          <w:rPr>
            <w:noProof/>
            <w:webHidden/>
          </w:rPr>
          <w:tab/>
        </w:r>
        <w:r w:rsidR="00D1082E">
          <w:rPr>
            <w:noProof/>
            <w:webHidden/>
          </w:rPr>
          <w:fldChar w:fldCharType="begin"/>
        </w:r>
        <w:r w:rsidR="00D1082E">
          <w:rPr>
            <w:noProof/>
            <w:webHidden/>
          </w:rPr>
          <w:instrText xml:space="preserve"> PAGEREF _Toc135000351 \h </w:instrText>
        </w:r>
        <w:r w:rsidR="00D1082E">
          <w:rPr>
            <w:noProof/>
            <w:webHidden/>
          </w:rPr>
        </w:r>
        <w:r w:rsidR="00D1082E">
          <w:rPr>
            <w:noProof/>
            <w:webHidden/>
          </w:rPr>
          <w:fldChar w:fldCharType="separate"/>
        </w:r>
        <w:r w:rsidR="00241B10">
          <w:rPr>
            <w:noProof/>
            <w:webHidden/>
          </w:rPr>
          <w:t>83</w:t>
        </w:r>
        <w:r w:rsidR="00D1082E">
          <w:rPr>
            <w:noProof/>
            <w:webHidden/>
          </w:rPr>
          <w:fldChar w:fldCharType="end"/>
        </w:r>
      </w:hyperlink>
    </w:p>
    <w:p w14:paraId="40E8028F" w14:textId="63846F9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2" w:history="1">
        <w:r w:rsidR="00D1082E" w:rsidRPr="0049440D">
          <w:rPr>
            <w:rStyle w:val="ac"/>
            <w:rFonts w:hint="eastAsia"/>
            <w:noProof/>
          </w:rPr>
          <w:t>第十六部分</w:t>
        </w:r>
        <w:r w:rsidR="00D1082E" w:rsidRPr="0049440D">
          <w:rPr>
            <w:rStyle w:val="ac"/>
            <w:noProof/>
          </w:rPr>
          <w:t xml:space="preserve">  </w:t>
        </w:r>
        <w:r w:rsidR="00D1082E" w:rsidRPr="0049440D">
          <w:rPr>
            <w:rStyle w:val="ac"/>
            <w:rFonts w:hint="eastAsia"/>
            <w:noProof/>
          </w:rPr>
          <w:t>基金的信息披露</w:t>
        </w:r>
        <w:r w:rsidR="00D1082E">
          <w:rPr>
            <w:noProof/>
            <w:webHidden/>
          </w:rPr>
          <w:tab/>
        </w:r>
        <w:r w:rsidR="00D1082E">
          <w:rPr>
            <w:noProof/>
            <w:webHidden/>
          </w:rPr>
          <w:fldChar w:fldCharType="begin"/>
        </w:r>
        <w:r w:rsidR="00D1082E">
          <w:rPr>
            <w:noProof/>
            <w:webHidden/>
          </w:rPr>
          <w:instrText xml:space="preserve"> PAGEREF _Toc135000352 \h </w:instrText>
        </w:r>
        <w:r w:rsidR="00D1082E">
          <w:rPr>
            <w:noProof/>
            <w:webHidden/>
          </w:rPr>
        </w:r>
        <w:r w:rsidR="00D1082E">
          <w:rPr>
            <w:noProof/>
            <w:webHidden/>
          </w:rPr>
          <w:fldChar w:fldCharType="separate"/>
        </w:r>
        <w:r w:rsidR="00241B10">
          <w:rPr>
            <w:noProof/>
            <w:webHidden/>
          </w:rPr>
          <w:t>84</w:t>
        </w:r>
        <w:r w:rsidR="00D1082E">
          <w:rPr>
            <w:noProof/>
            <w:webHidden/>
          </w:rPr>
          <w:fldChar w:fldCharType="end"/>
        </w:r>
      </w:hyperlink>
    </w:p>
    <w:p w14:paraId="1FB7047D" w14:textId="2231D24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3" w:history="1">
        <w:r w:rsidR="00D1082E" w:rsidRPr="0049440D">
          <w:rPr>
            <w:rStyle w:val="ac"/>
            <w:rFonts w:hint="eastAsia"/>
            <w:noProof/>
          </w:rPr>
          <w:t>第十七部分</w:t>
        </w:r>
        <w:r w:rsidR="00D1082E" w:rsidRPr="0049440D">
          <w:rPr>
            <w:rStyle w:val="ac"/>
            <w:noProof/>
          </w:rPr>
          <w:t xml:space="preserve">  </w:t>
        </w:r>
        <w:r w:rsidR="00D1082E" w:rsidRPr="0049440D">
          <w:rPr>
            <w:rStyle w:val="ac"/>
            <w:rFonts w:hint="eastAsia"/>
            <w:noProof/>
          </w:rPr>
          <w:t>风险揭示</w:t>
        </w:r>
        <w:r w:rsidR="00D1082E">
          <w:rPr>
            <w:noProof/>
            <w:webHidden/>
          </w:rPr>
          <w:tab/>
        </w:r>
        <w:r w:rsidR="00D1082E">
          <w:rPr>
            <w:noProof/>
            <w:webHidden/>
          </w:rPr>
          <w:fldChar w:fldCharType="begin"/>
        </w:r>
        <w:r w:rsidR="00D1082E">
          <w:rPr>
            <w:noProof/>
            <w:webHidden/>
          </w:rPr>
          <w:instrText xml:space="preserve"> PAGEREF _Toc135000353 \h </w:instrText>
        </w:r>
        <w:r w:rsidR="00D1082E">
          <w:rPr>
            <w:noProof/>
            <w:webHidden/>
          </w:rPr>
        </w:r>
        <w:r w:rsidR="00D1082E">
          <w:rPr>
            <w:noProof/>
            <w:webHidden/>
          </w:rPr>
          <w:fldChar w:fldCharType="separate"/>
        </w:r>
        <w:r w:rsidR="00241B10">
          <w:rPr>
            <w:noProof/>
            <w:webHidden/>
          </w:rPr>
          <w:t>91</w:t>
        </w:r>
        <w:r w:rsidR="00D1082E">
          <w:rPr>
            <w:noProof/>
            <w:webHidden/>
          </w:rPr>
          <w:fldChar w:fldCharType="end"/>
        </w:r>
      </w:hyperlink>
    </w:p>
    <w:p w14:paraId="4B33EF66" w14:textId="5FF6BFBD"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4" w:history="1">
        <w:r w:rsidR="00D1082E" w:rsidRPr="0049440D">
          <w:rPr>
            <w:rStyle w:val="ac"/>
            <w:rFonts w:hint="eastAsia"/>
            <w:noProof/>
          </w:rPr>
          <w:t>第十八部分</w:t>
        </w:r>
        <w:r w:rsidR="00D1082E" w:rsidRPr="0049440D">
          <w:rPr>
            <w:rStyle w:val="ac"/>
            <w:noProof/>
          </w:rPr>
          <w:t xml:space="preserve">  </w:t>
        </w:r>
        <w:r w:rsidR="00D1082E" w:rsidRPr="0049440D">
          <w:rPr>
            <w:rStyle w:val="ac"/>
            <w:rFonts w:hint="eastAsia"/>
            <w:noProof/>
          </w:rPr>
          <w:t>侧袋机制</w:t>
        </w:r>
        <w:r w:rsidR="00D1082E">
          <w:rPr>
            <w:noProof/>
            <w:webHidden/>
          </w:rPr>
          <w:tab/>
        </w:r>
        <w:r w:rsidR="00D1082E">
          <w:rPr>
            <w:noProof/>
            <w:webHidden/>
          </w:rPr>
          <w:fldChar w:fldCharType="begin"/>
        </w:r>
        <w:r w:rsidR="00D1082E">
          <w:rPr>
            <w:noProof/>
            <w:webHidden/>
          </w:rPr>
          <w:instrText xml:space="preserve"> PAGEREF _Toc135000354 \h </w:instrText>
        </w:r>
        <w:r w:rsidR="00D1082E">
          <w:rPr>
            <w:noProof/>
            <w:webHidden/>
          </w:rPr>
        </w:r>
        <w:r w:rsidR="00D1082E">
          <w:rPr>
            <w:noProof/>
            <w:webHidden/>
          </w:rPr>
          <w:fldChar w:fldCharType="separate"/>
        </w:r>
        <w:r w:rsidR="00241B10">
          <w:rPr>
            <w:noProof/>
            <w:webHidden/>
          </w:rPr>
          <w:t>101</w:t>
        </w:r>
        <w:r w:rsidR="00D1082E">
          <w:rPr>
            <w:noProof/>
            <w:webHidden/>
          </w:rPr>
          <w:fldChar w:fldCharType="end"/>
        </w:r>
      </w:hyperlink>
    </w:p>
    <w:p w14:paraId="2273FA8B" w14:textId="0F36B67C"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5" w:history="1">
        <w:r w:rsidR="00D1082E" w:rsidRPr="0049440D">
          <w:rPr>
            <w:rStyle w:val="ac"/>
            <w:rFonts w:hint="eastAsia"/>
            <w:noProof/>
          </w:rPr>
          <w:t>第十九部分</w:t>
        </w:r>
        <w:r w:rsidR="00D1082E" w:rsidRPr="0049440D">
          <w:rPr>
            <w:rStyle w:val="ac"/>
            <w:noProof/>
          </w:rPr>
          <w:t xml:space="preserve">  </w:t>
        </w:r>
        <w:r w:rsidR="00D1082E" w:rsidRPr="0049440D">
          <w:rPr>
            <w:rStyle w:val="ac"/>
            <w:rFonts w:hint="eastAsia"/>
            <w:noProof/>
          </w:rPr>
          <w:t>基金合同的变更、终止与基金财产的清算</w:t>
        </w:r>
        <w:r w:rsidR="00D1082E">
          <w:rPr>
            <w:noProof/>
            <w:webHidden/>
          </w:rPr>
          <w:tab/>
        </w:r>
        <w:r w:rsidR="00D1082E">
          <w:rPr>
            <w:noProof/>
            <w:webHidden/>
          </w:rPr>
          <w:fldChar w:fldCharType="begin"/>
        </w:r>
        <w:r w:rsidR="00D1082E">
          <w:rPr>
            <w:noProof/>
            <w:webHidden/>
          </w:rPr>
          <w:instrText xml:space="preserve"> PAGEREF _Toc135000355 \h </w:instrText>
        </w:r>
        <w:r w:rsidR="00D1082E">
          <w:rPr>
            <w:noProof/>
            <w:webHidden/>
          </w:rPr>
        </w:r>
        <w:r w:rsidR="00D1082E">
          <w:rPr>
            <w:noProof/>
            <w:webHidden/>
          </w:rPr>
          <w:fldChar w:fldCharType="separate"/>
        </w:r>
        <w:r w:rsidR="00241B10">
          <w:rPr>
            <w:noProof/>
            <w:webHidden/>
          </w:rPr>
          <w:t>104</w:t>
        </w:r>
        <w:r w:rsidR="00D1082E">
          <w:rPr>
            <w:noProof/>
            <w:webHidden/>
          </w:rPr>
          <w:fldChar w:fldCharType="end"/>
        </w:r>
      </w:hyperlink>
    </w:p>
    <w:p w14:paraId="565F5BD8" w14:textId="556D07D4"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6" w:history="1">
        <w:r w:rsidR="00D1082E" w:rsidRPr="0049440D">
          <w:rPr>
            <w:rStyle w:val="ac"/>
            <w:rFonts w:hint="eastAsia"/>
            <w:noProof/>
          </w:rPr>
          <w:t>第二十部分</w:t>
        </w:r>
        <w:r w:rsidR="00D1082E" w:rsidRPr="0049440D">
          <w:rPr>
            <w:rStyle w:val="ac"/>
            <w:noProof/>
          </w:rPr>
          <w:t xml:space="preserve">  </w:t>
        </w:r>
        <w:r w:rsidR="00D1082E" w:rsidRPr="0049440D">
          <w:rPr>
            <w:rStyle w:val="ac"/>
            <w:rFonts w:hint="eastAsia"/>
            <w:noProof/>
          </w:rPr>
          <w:t>基金合同的内容摘要</w:t>
        </w:r>
        <w:r w:rsidR="00D1082E">
          <w:rPr>
            <w:noProof/>
            <w:webHidden/>
          </w:rPr>
          <w:tab/>
        </w:r>
        <w:r w:rsidR="00D1082E">
          <w:rPr>
            <w:noProof/>
            <w:webHidden/>
          </w:rPr>
          <w:fldChar w:fldCharType="begin"/>
        </w:r>
        <w:r w:rsidR="00D1082E">
          <w:rPr>
            <w:noProof/>
            <w:webHidden/>
          </w:rPr>
          <w:instrText xml:space="preserve"> PAGEREF _Toc135000356 \h </w:instrText>
        </w:r>
        <w:r w:rsidR="00D1082E">
          <w:rPr>
            <w:noProof/>
            <w:webHidden/>
          </w:rPr>
        </w:r>
        <w:r w:rsidR="00D1082E">
          <w:rPr>
            <w:noProof/>
            <w:webHidden/>
          </w:rPr>
          <w:fldChar w:fldCharType="separate"/>
        </w:r>
        <w:r w:rsidR="00241B10">
          <w:rPr>
            <w:noProof/>
            <w:webHidden/>
          </w:rPr>
          <w:t>106</w:t>
        </w:r>
        <w:r w:rsidR="00D1082E">
          <w:rPr>
            <w:noProof/>
            <w:webHidden/>
          </w:rPr>
          <w:fldChar w:fldCharType="end"/>
        </w:r>
      </w:hyperlink>
    </w:p>
    <w:p w14:paraId="235353E6" w14:textId="28DB87C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7" w:history="1">
        <w:r w:rsidR="00D1082E" w:rsidRPr="0049440D">
          <w:rPr>
            <w:rStyle w:val="ac"/>
            <w:rFonts w:hint="eastAsia"/>
            <w:noProof/>
          </w:rPr>
          <w:t>第二十一部分</w:t>
        </w:r>
        <w:r w:rsidR="00D1082E" w:rsidRPr="0049440D">
          <w:rPr>
            <w:rStyle w:val="ac"/>
            <w:noProof/>
          </w:rPr>
          <w:t xml:space="preserve">  </w:t>
        </w:r>
        <w:r w:rsidR="00D1082E" w:rsidRPr="0049440D">
          <w:rPr>
            <w:rStyle w:val="ac"/>
            <w:rFonts w:hint="eastAsia"/>
            <w:noProof/>
          </w:rPr>
          <w:t>托管协议的内容摘要</w:t>
        </w:r>
        <w:r w:rsidR="00D1082E">
          <w:rPr>
            <w:noProof/>
            <w:webHidden/>
          </w:rPr>
          <w:tab/>
        </w:r>
        <w:r w:rsidR="00D1082E">
          <w:rPr>
            <w:noProof/>
            <w:webHidden/>
          </w:rPr>
          <w:fldChar w:fldCharType="begin"/>
        </w:r>
        <w:r w:rsidR="00D1082E">
          <w:rPr>
            <w:noProof/>
            <w:webHidden/>
          </w:rPr>
          <w:instrText xml:space="preserve"> PAGEREF _Toc135000357 \h </w:instrText>
        </w:r>
        <w:r w:rsidR="00D1082E">
          <w:rPr>
            <w:noProof/>
            <w:webHidden/>
          </w:rPr>
        </w:r>
        <w:r w:rsidR="00D1082E">
          <w:rPr>
            <w:noProof/>
            <w:webHidden/>
          </w:rPr>
          <w:fldChar w:fldCharType="separate"/>
        </w:r>
        <w:r w:rsidR="00241B10">
          <w:rPr>
            <w:noProof/>
            <w:webHidden/>
          </w:rPr>
          <w:t>123</w:t>
        </w:r>
        <w:r w:rsidR="00D1082E">
          <w:rPr>
            <w:noProof/>
            <w:webHidden/>
          </w:rPr>
          <w:fldChar w:fldCharType="end"/>
        </w:r>
      </w:hyperlink>
    </w:p>
    <w:p w14:paraId="4EC65DA5" w14:textId="42CD19FF"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8" w:history="1">
        <w:r w:rsidR="00D1082E" w:rsidRPr="0049440D">
          <w:rPr>
            <w:rStyle w:val="ac"/>
            <w:rFonts w:hint="eastAsia"/>
            <w:noProof/>
          </w:rPr>
          <w:t>第二十二部分</w:t>
        </w:r>
        <w:r w:rsidR="00D1082E" w:rsidRPr="0049440D">
          <w:rPr>
            <w:rStyle w:val="ac"/>
            <w:noProof/>
          </w:rPr>
          <w:t xml:space="preserve">  </w:t>
        </w:r>
        <w:r w:rsidR="00D1082E" w:rsidRPr="0049440D">
          <w:rPr>
            <w:rStyle w:val="ac"/>
            <w:rFonts w:hint="eastAsia"/>
            <w:noProof/>
          </w:rPr>
          <w:t>对基金份额持有人的服务</w:t>
        </w:r>
        <w:r w:rsidR="00D1082E">
          <w:rPr>
            <w:noProof/>
            <w:webHidden/>
          </w:rPr>
          <w:tab/>
        </w:r>
        <w:r w:rsidR="00D1082E">
          <w:rPr>
            <w:noProof/>
            <w:webHidden/>
          </w:rPr>
          <w:fldChar w:fldCharType="begin"/>
        </w:r>
        <w:r w:rsidR="00D1082E">
          <w:rPr>
            <w:noProof/>
            <w:webHidden/>
          </w:rPr>
          <w:instrText xml:space="preserve"> PAGEREF _Toc135000358 \h </w:instrText>
        </w:r>
        <w:r w:rsidR="00D1082E">
          <w:rPr>
            <w:noProof/>
            <w:webHidden/>
          </w:rPr>
        </w:r>
        <w:r w:rsidR="00D1082E">
          <w:rPr>
            <w:noProof/>
            <w:webHidden/>
          </w:rPr>
          <w:fldChar w:fldCharType="separate"/>
        </w:r>
        <w:r w:rsidR="00241B10">
          <w:rPr>
            <w:noProof/>
            <w:webHidden/>
          </w:rPr>
          <w:t>142</w:t>
        </w:r>
        <w:r w:rsidR="00D1082E">
          <w:rPr>
            <w:noProof/>
            <w:webHidden/>
          </w:rPr>
          <w:fldChar w:fldCharType="end"/>
        </w:r>
      </w:hyperlink>
    </w:p>
    <w:p w14:paraId="2B035A89" w14:textId="06D4641C"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59" w:history="1">
        <w:r w:rsidR="00D1082E" w:rsidRPr="0049440D">
          <w:rPr>
            <w:rStyle w:val="ac"/>
            <w:rFonts w:hint="eastAsia"/>
            <w:noProof/>
          </w:rPr>
          <w:t>第二十三部分</w:t>
        </w:r>
        <w:r w:rsidR="00D1082E" w:rsidRPr="0049440D">
          <w:rPr>
            <w:rStyle w:val="ac"/>
            <w:noProof/>
          </w:rPr>
          <w:t xml:space="preserve">  </w:t>
        </w:r>
        <w:r w:rsidR="00D1082E" w:rsidRPr="0049440D">
          <w:rPr>
            <w:rStyle w:val="ac"/>
            <w:rFonts w:hint="eastAsia"/>
            <w:noProof/>
          </w:rPr>
          <w:t>其他应披露事项</w:t>
        </w:r>
        <w:r w:rsidR="00D1082E">
          <w:rPr>
            <w:noProof/>
            <w:webHidden/>
          </w:rPr>
          <w:tab/>
        </w:r>
        <w:r w:rsidR="00D1082E">
          <w:rPr>
            <w:noProof/>
            <w:webHidden/>
          </w:rPr>
          <w:fldChar w:fldCharType="begin"/>
        </w:r>
        <w:r w:rsidR="00D1082E">
          <w:rPr>
            <w:noProof/>
            <w:webHidden/>
          </w:rPr>
          <w:instrText xml:space="preserve"> PAGEREF _Toc135000359 \h </w:instrText>
        </w:r>
        <w:r w:rsidR="00D1082E">
          <w:rPr>
            <w:noProof/>
            <w:webHidden/>
          </w:rPr>
        </w:r>
        <w:r w:rsidR="00D1082E">
          <w:rPr>
            <w:noProof/>
            <w:webHidden/>
          </w:rPr>
          <w:fldChar w:fldCharType="separate"/>
        </w:r>
        <w:r w:rsidR="00241B10">
          <w:rPr>
            <w:noProof/>
            <w:webHidden/>
          </w:rPr>
          <w:t>144</w:t>
        </w:r>
        <w:r w:rsidR="00D1082E">
          <w:rPr>
            <w:noProof/>
            <w:webHidden/>
          </w:rPr>
          <w:fldChar w:fldCharType="end"/>
        </w:r>
      </w:hyperlink>
    </w:p>
    <w:p w14:paraId="3AB4FA35" w14:textId="4A9E1E58"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60" w:history="1">
        <w:r w:rsidR="00D1082E" w:rsidRPr="0049440D">
          <w:rPr>
            <w:rStyle w:val="ac"/>
            <w:rFonts w:hint="eastAsia"/>
            <w:noProof/>
          </w:rPr>
          <w:t>第二十四部分</w:t>
        </w:r>
        <w:r w:rsidR="00D1082E" w:rsidRPr="0049440D">
          <w:rPr>
            <w:rStyle w:val="ac"/>
            <w:noProof/>
          </w:rPr>
          <w:t xml:space="preserve">  </w:t>
        </w:r>
        <w:r w:rsidR="00D1082E" w:rsidRPr="0049440D">
          <w:rPr>
            <w:rStyle w:val="ac"/>
            <w:rFonts w:hint="eastAsia"/>
            <w:noProof/>
          </w:rPr>
          <w:t>招募说明书的存放和查阅方式</w:t>
        </w:r>
        <w:r w:rsidR="00D1082E">
          <w:rPr>
            <w:noProof/>
            <w:webHidden/>
          </w:rPr>
          <w:tab/>
        </w:r>
        <w:r w:rsidR="00D1082E">
          <w:rPr>
            <w:noProof/>
            <w:webHidden/>
          </w:rPr>
          <w:fldChar w:fldCharType="begin"/>
        </w:r>
        <w:r w:rsidR="00D1082E">
          <w:rPr>
            <w:noProof/>
            <w:webHidden/>
          </w:rPr>
          <w:instrText xml:space="preserve"> PAGEREF _Toc135000360 \h </w:instrText>
        </w:r>
        <w:r w:rsidR="00D1082E">
          <w:rPr>
            <w:noProof/>
            <w:webHidden/>
          </w:rPr>
        </w:r>
        <w:r w:rsidR="00D1082E">
          <w:rPr>
            <w:noProof/>
            <w:webHidden/>
          </w:rPr>
          <w:fldChar w:fldCharType="separate"/>
        </w:r>
        <w:r w:rsidR="00241B10">
          <w:rPr>
            <w:noProof/>
            <w:webHidden/>
          </w:rPr>
          <w:t>145</w:t>
        </w:r>
        <w:r w:rsidR="00D1082E">
          <w:rPr>
            <w:noProof/>
            <w:webHidden/>
          </w:rPr>
          <w:fldChar w:fldCharType="end"/>
        </w:r>
      </w:hyperlink>
    </w:p>
    <w:p w14:paraId="4BEFA52F" w14:textId="2EFEF55B" w:rsidR="00D1082E" w:rsidRDefault="00000000" w:rsidP="006B11D0">
      <w:pPr>
        <w:pStyle w:val="TOC1"/>
        <w:spacing w:line="360" w:lineRule="auto"/>
        <w:rPr>
          <w:rFonts w:asciiTheme="minorHAnsi" w:eastAsiaTheme="minorEastAsia" w:hAnsiTheme="minorHAnsi" w:cstheme="minorBidi"/>
          <w:noProof/>
          <w:sz w:val="21"/>
          <w:szCs w:val="22"/>
        </w:rPr>
      </w:pPr>
      <w:hyperlink w:anchor="_Toc135000361" w:history="1">
        <w:r w:rsidR="00D1082E" w:rsidRPr="0049440D">
          <w:rPr>
            <w:rStyle w:val="ac"/>
            <w:rFonts w:hint="eastAsia"/>
            <w:noProof/>
          </w:rPr>
          <w:t>第二十五部分</w:t>
        </w:r>
        <w:r w:rsidR="00D1082E" w:rsidRPr="0049440D">
          <w:rPr>
            <w:rStyle w:val="ac"/>
            <w:noProof/>
          </w:rPr>
          <w:t xml:space="preserve">  </w:t>
        </w:r>
        <w:r w:rsidR="00D1082E" w:rsidRPr="0049440D">
          <w:rPr>
            <w:rStyle w:val="ac"/>
            <w:rFonts w:hint="eastAsia"/>
            <w:noProof/>
          </w:rPr>
          <w:t>备查文件</w:t>
        </w:r>
        <w:r w:rsidR="00D1082E">
          <w:rPr>
            <w:noProof/>
            <w:webHidden/>
          </w:rPr>
          <w:tab/>
        </w:r>
        <w:r w:rsidR="00D1082E">
          <w:rPr>
            <w:noProof/>
            <w:webHidden/>
          </w:rPr>
          <w:fldChar w:fldCharType="begin"/>
        </w:r>
        <w:r w:rsidR="00D1082E">
          <w:rPr>
            <w:noProof/>
            <w:webHidden/>
          </w:rPr>
          <w:instrText xml:space="preserve"> PAGEREF _Toc135000361 \h </w:instrText>
        </w:r>
        <w:r w:rsidR="00D1082E">
          <w:rPr>
            <w:noProof/>
            <w:webHidden/>
          </w:rPr>
        </w:r>
        <w:r w:rsidR="00D1082E">
          <w:rPr>
            <w:noProof/>
            <w:webHidden/>
          </w:rPr>
          <w:fldChar w:fldCharType="separate"/>
        </w:r>
        <w:r w:rsidR="00241B10">
          <w:rPr>
            <w:noProof/>
            <w:webHidden/>
          </w:rPr>
          <w:t>146</w:t>
        </w:r>
        <w:r w:rsidR="00D1082E">
          <w:rPr>
            <w:noProof/>
            <w:webHidden/>
          </w:rPr>
          <w:fldChar w:fldCharType="end"/>
        </w:r>
      </w:hyperlink>
    </w:p>
    <w:p w14:paraId="5570FAB3" w14:textId="46B6A956" w:rsidR="009912D6" w:rsidRPr="00657FE9" w:rsidRDefault="00D1082E" w:rsidP="006B11D0">
      <w:pPr>
        <w:spacing w:line="360" w:lineRule="auto"/>
        <w:jc w:val="left"/>
        <w:rPr>
          <w:rStyle w:val="read"/>
          <w:rFonts w:ascii="宋体" w:hAnsi="宋体" w:cs="宋体"/>
          <w:b/>
          <w:sz w:val="24"/>
        </w:rPr>
      </w:pPr>
      <w:r>
        <w:rPr>
          <w:rStyle w:val="read"/>
          <w:rFonts w:ascii="宋体" w:hAnsi="宋体" w:cs="宋体"/>
          <w:b/>
          <w:sz w:val="24"/>
        </w:rPr>
        <w:fldChar w:fldCharType="end"/>
      </w:r>
      <w:r w:rsidR="0024620C">
        <w:rPr>
          <w:noProof/>
        </w:rPr>
        <w:br w:type="page"/>
      </w:r>
      <w:bookmarkStart w:id="20" w:name="_Toc452127896"/>
      <w:bookmarkStart w:id="21" w:name="_Toc2163435"/>
      <w:bookmarkStart w:id="22" w:name="_Toc11660"/>
    </w:p>
    <w:p w14:paraId="6A4E83A9" w14:textId="77777777" w:rsidR="009912D6" w:rsidRDefault="009912D6" w:rsidP="009912D6">
      <w:pPr>
        <w:pStyle w:val="1"/>
        <w:spacing w:before="0" w:after="0"/>
        <w:jc w:val="center"/>
        <w:rPr>
          <w:rFonts w:ascii="Times New Roman"/>
          <w:color w:val="auto"/>
          <w:sz w:val="30"/>
        </w:rPr>
        <w:sectPr w:rsidR="009912D6" w:rsidSect="009912D6">
          <w:headerReference w:type="default" r:id="rId10"/>
          <w:footerReference w:type="default" r:id="rId11"/>
          <w:pgSz w:w="11906" w:h="16838"/>
          <w:pgMar w:top="1440" w:right="1800" w:bottom="1440" w:left="1800" w:header="851" w:footer="992" w:gutter="0"/>
          <w:pgNumType w:start="1"/>
          <w:cols w:space="720"/>
          <w:docGrid w:type="lines" w:linePitch="312"/>
        </w:sectPr>
      </w:pPr>
    </w:p>
    <w:p w14:paraId="611DD40B" w14:textId="77777777" w:rsidR="009912D6" w:rsidRDefault="0024620C" w:rsidP="009912D6">
      <w:pPr>
        <w:pStyle w:val="1"/>
        <w:spacing w:before="0" w:after="0"/>
        <w:jc w:val="center"/>
        <w:rPr>
          <w:rFonts w:ascii="Times New Roman"/>
          <w:color w:val="auto"/>
          <w:sz w:val="30"/>
        </w:rPr>
      </w:pPr>
      <w:bookmarkStart w:id="23" w:name="_Toc139991731"/>
      <w:bookmarkStart w:id="24" w:name="_Toc122905996"/>
      <w:bookmarkStart w:id="25" w:name="_Toc135000335"/>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9E26D0">
        <w:rPr>
          <w:rFonts w:ascii="Times New Roman"/>
          <w:color w:val="auto"/>
          <w:sz w:val="30"/>
        </w:rPr>
        <w:lastRenderedPageBreak/>
        <w:t>重要提示</w:t>
      </w:r>
      <w:bookmarkEnd w:id="24"/>
      <w:bookmarkEnd w:id="25"/>
    </w:p>
    <w:p w14:paraId="505C882E" w14:textId="77777777" w:rsidR="009912D6" w:rsidRPr="0017353E" w:rsidRDefault="009912D6" w:rsidP="009912D6"/>
    <w:p w14:paraId="08E132EB" w14:textId="2F2B0692"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本基金经中国证券监督管理委员会20</w:t>
      </w:r>
      <w:r w:rsidR="00A868EB">
        <w:rPr>
          <w:rFonts w:ascii="宋体" w:hAnsi="宋体" w:cs="宋体"/>
          <w:kern w:val="0"/>
          <w:sz w:val="24"/>
          <w:szCs w:val="24"/>
        </w:rPr>
        <w:t>22</w:t>
      </w:r>
      <w:r>
        <w:rPr>
          <w:rFonts w:ascii="宋体" w:hAnsi="宋体" w:cs="宋体"/>
          <w:kern w:val="0"/>
          <w:sz w:val="24"/>
          <w:szCs w:val="24"/>
        </w:rPr>
        <w:t>年</w:t>
      </w:r>
      <w:r w:rsidR="00A868EB">
        <w:rPr>
          <w:rFonts w:ascii="宋体" w:hAnsi="宋体" w:cs="宋体"/>
          <w:kern w:val="0"/>
          <w:sz w:val="24"/>
          <w:szCs w:val="24"/>
        </w:rPr>
        <w:t>11</w:t>
      </w:r>
      <w:r>
        <w:rPr>
          <w:rFonts w:ascii="宋体" w:hAnsi="宋体" w:cs="宋体"/>
          <w:kern w:val="0"/>
          <w:sz w:val="24"/>
          <w:szCs w:val="24"/>
        </w:rPr>
        <w:t>月</w:t>
      </w:r>
      <w:r w:rsidR="00A868EB">
        <w:rPr>
          <w:rFonts w:ascii="宋体" w:hAnsi="宋体" w:cs="宋体"/>
          <w:kern w:val="0"/>
          <w:sz w:val="24"/>
          <w:szCs w:val="24"/>
        </w:rPr>
        <w:t>8</w:t>
      </w:r>
      <w:r>
        <w:rPr>
          <w:rFonts w:ascii="宋体" w:hAnsi="宋体" w:cs="宋体"/>
          <w:kern w:val="0"/>
          <w:sz w:val="24"/>
          <w:szCs w:val="24"/>
        </w:rPr>
        <w:t>日证监许可【20</w:t>
      </w:r>
      <w:r w:rsidR="00A868EB">
        <w:rPr>
          <w:rFonts w:ascii="宋体" w:hAnsi="宋体" w:cs="宋体"/>
          <w:kern w:val="0"/>
          <w:sz w:val="24"/>
          <w:szCs w:val="24"/>
        </w:rPr>
        <w:t>22</w:t>
      </w:r>
      <w:r>
        <w:rPr>
          <w:rFonts w:ascii="宋体" w:hAnsi="宋体" w:cs="宋体"/>
          <w:kern w:val="0"/>
          <w:sz w:val="24"/>
          <w:szCs w:val="24"/>
        </w:rPr>
        <w:t>】</w:t>
      </w:r>
      <w:r w:rsidR="00A868EB">
        <w:rPr>
          <w:rFonts w:ascii="宋体" w:hAnsi="宋体" w:cs="宋体" w:hint="eastAsia"/>
          <w:kern w:val="0"/>
          <w:sz w:val="24"/>
          <w:szCs w:val="24"/>
        </w:rPr>
        <w:t>2</w:t>
      </w:r>
      <w:r w:rsidR="00A868EB">
        <w:rPr>
          <w:rFonts w:ascii="宋体" w:hAnsi="宋体" w:cs="宋体"/>
          <w:kern w:val="0"/>
          <w:sz w:val="24"/>
          <w:szCs w:val="24"/>
        </w:rPr>
        <w:t>787</w:t>
      </w:r>
      <w:r>
        <w:rPr>
          <w:rFonts w:ascii="宋体" w:hAnsi="宋体" w:cs="宋体"/>
          <w:kern w:val="0"/>
          <w:sz w:val="24"/>
          <w:szCs w:val="24"/>
        </w:rPr>
        <w:t>号文注册募集。</w:t>
      </w:r>
      <w:r w:rsidR="001466A3" w:rsidRPr="001466A3">
        <w:rPr>
          <w:rFonts w:ascii="宋体" w:hAnsi="宋体" w:cs="宋体" w:hint="eastAsia"/>
          <w:kern w:val="0"/>
          <w:sz w:val="24"/>
          <w:szCs w:val="24"/>
        </w:rPr>
        <w:t>本基金基金合同于2023年2月1日正式生效。</w:t>
      </w:r>
    </w:p>
    <w:p w14:paraId="426B0B8E" w14:textId="2F29E051"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基金管理人保证《</w:t>
      </w:r>
      <w:r w:rsidR="007F25F9" w:rsidRPr="007F25F9">
        <w:rPr>
          <w:rFonts w:ascii="宋体" w:hAnsi="宋体" w:cs="宋体" w:hint="eastAsia"/>
          <w:kern w:val="0"/>
          <w:sz w:val="24"/>
          <w:szCs w:val="24"/>
        </w:rPr>
        <w:t>汇添富添添乐双盈债券型证券投资基金</w:t>
      </w:r>
      <w:r>
        <w:rPr>
          <w:rFonts w:ascii="宋体" w:hAnsi="宋体" w:cs="宋体"/>
          <w:kern w:val="0"/>
          <w:sz w:val="24"/>
          <w:szCs w:val="24"/>
        </w:rPr>
        <w:t>招募说明书》(以下简称“招募说明书”或“本招募说明书”)的内容真实、准确、完整。本招募说明书经中国证监会注册，但中国证监会对本基金募集的注册，并不表明其对本基金的投资价值和市场前景作出实质性判断或保证，也不表明投资于本基金没有风险。</w:t>
      </w:r>
    </w:p>
    <w:p w14:paraId="1FA72A8B" w14:textId="3E108E96" w:rsidR="00586A97" w:rsidRDefault="0024620C">
      <w:pPr>
        <w:spacing w:line="360" w:lineRule="auto"/>
        <w:ind w:firstLine="420"/>
        <w:rPr>
          <w:rFonts w:eastAsia="Times New Roman"/>
          <w:kern w:val="0"/>
          <w:sz w:val="24"/>
          <w:szCs w:val="24"/>
        </w:rPr>
      </w:pPr>
      <w:r>
        <w:rPr>
          <w:rFonts w:ascii="宋体" w:hAnsi="宋体" w:cs="宋体"/>
          <w:kern w:val="0"/>
          <w:sz w:val="24"/>
          <w:szCs w:val="24"/>
        </w:rPr>
        <w:t>投资有风险，投资者根据所持有份额享受基金的收益，但同时也要承担相应的投资风险。投资者拟认购（或申购）基金时应认真阅读本招募说明书、基金合同、基金产品资料概要等信息披露文件，</w:t>
      </w:r>
      <w:r w:rsidR="0038665C">
        <w:rPr>
          <w:rFonts w:ascii="宋体" w:hAnsi="宋体" w:cs="宋体"/>
          <w:kern w:val="0"/>
          <w:sz w:val="24"/>
          <w:szCs w:val="24"/>
        </w:rPr>
        <w:t>根据自身的投资目的、投资期限、投资经验、资产状况等判断基金是否和投资者的风险承受能力相适应，</w:t>
      </w:r>
      <w:r>
        <w:rPr>
          <w:rFonts w:ascii="宋体" w:hAnsi="宋体" w:cs="宋体"/>
          <w:kern w:val="0"/>
          <w:sz w:val="24"/>
          <w:szCs w:val="24"/>
        </w:rPr>
        <w:t>自主判断基金的投资价值，自主做出投资决策，全面认识本基金产品的风险收益特征，并承担基金投资中出现的各类风险，包括：因整体政治、经济、社会等环境因素对证券价格产生影响而形成的系统性风险，个别证券特有的非系统性风险，由于基金投资者连续大量赎回基金产生的流动性风险，基金管理人在基金管理实施过程中产生的基金管理风险，本基金的特定风险等等。</w:t>
      </w:r>
    </w:p>
    <w:p w14:paraId="6B17D5CF" w14:textId="317944E4"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w:t>
      </w:r>
      <w:r>
        <w:rPr>
          <w:rFonts w:ascii="宋体" w:hAnsi="宋体" w:cs="宋体" w:hint="eastAsia"/>
          <w:kern w:val="0"/>
          <w:sz w:val="24"/>
          <w:szCs w:val="24"/>
        </w:rPr>
        <w:t>为</w:t>
      </w:r>
      <w:r>
        <w:rPr>
          <w:rFonts w:ascii="宋体" w:hAnsi="宋体" w:cs="宋体"/>
          <w:kern w:val="0"/>
          <w:sz w:val="24"/>
          <w:szCs w:val="24"/>
        </w:rPr>
        <w:t>债券型基金，其预期风险及预期收益水平低于股票型基金、混合型基金，高于货币市场基金。</w:t>
      </w:r>
    </w:p>
    <w:p w14:paraId="0C7252B3" w14:textId="15B0C62F" w:rsidR="00586A97" w:rsidRDefault="00E65899">
      <w:pPr>
        <w:spacing w:line="360" w:lineRule="auto"/>
        <w:ind w:firstLine="420"/>
        <w:rPr>
          <w:rFonts w:eastAsia="Times New Roman"/>
          <w:kern w:val="0"/>
          <w:sz w:val="24"/>
          <w:szCs w:val="24"/>
        </w:rPr>
      </w:pPr>
      <w:r w:rsidRPr="00E65899">
        <w:rPr>
          <w:rFonts w:ascii="宋体" w:hAnsi="宋体" w:cs="宋体" w:hint="eastAsia"/>
          <w:kern w:val="0"/>
          <w:sz w:val="24"/>
          <w:szCs w:val="24"/>
        </w:rPr>
        <w:t>本基金招募说明书“基金的投资”章节中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销售适当性风险评价”，不同的销售机构采用的评价方法也不尽相同，因此销售机构的基金产品“风险等级评价”与“基金的投资”章节中“风险收益特征”的表述可能存在不同，投资人在购买本基金时需按照销售机构的要求完成风险承受能力与产品风险之间的匹配检验。</w:t>
      </w:r>
    </w:p>
    <w:p w14:paraId="30C3358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基金的过往业绩并不预示其未来表现，基金管理人管理的其他基金的业绩也不构成对本基金业绩表现的保证。</w:t>
      </w:r>
    </w:p>
    <w:p w14:paraId="4BE84E4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基金管理人依照恪尽职守、诚实信用、谨慎勤勉的原则管理和运用基金财产，但不保证投资于本基金一定盈利，也不保证最低收益。</w:t>
      </w:r>
    </w:p>
    <w:p w14:paraId="2A1017B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投资者应充分考虑自身的风险承受能力，并对于认购（或申购）基金的意愿、时机、数量等投资行为作出独立决策。基金管理人提醒投资者基金投资的“买者自负”原则，在投资者作出投资决策后，基金运营状况与基金净值变化导致的投资风险，由投资者自行负担。</w:t>
      </w:r>
    </w:p>
    <w:p w14:paraId="466BA9F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当本基金持有特定资产且存在或潜在大额赎回申请时，基金管理人履行相应程序后，可以启动侧袋机制，具体详见基金合同和本招募说明书“侧袋机制”等有关章节。侧袋机制实施期间，基金管理人将对基金简称进行特殊标识，并不办理侧袋账户的申购赎回。请基金份额持有人仔细阅读相关内容并关注本基金启用侧袋机制时的特定风险。</w:t>
      </w:r>
    </w:p>
    <w:p w14:paraId="187AEFAD" w14:textId="77777777" w:rsidR="00B864DD" w:rsidRPr="00B864DD" w:rsidRDefault="00B864DD" w:rsidP="00B864DD">
      <w:pPr>
        <w:spacing w:line="360" w:lineRule="auto"/>
        <w:ind w:firstLine="420"/>
        <w:rPr>
          <w:rFonts w:eastAsiaTheme="minorEastAsia"/>
          <w:kern w:val="0"/>
          <w:sz w:val="24"/>
          <w:szCs w:val="24"/>
        </w:rPr>
      </w:pPr>
      <w:r w:rsidRPr="003826C9">
        <w:rPr>
          <w:rFonts w:ascii="宋体" w:hAnsi="宋体" w:cs="宋体" w:hint="eastAsia"/>
          <w:kern w:val="0"/>
          <w:sz w:val="24"/>
          <w:szCs w:val="24"/>
        </w:rPr>
        <w:t>本基金可投资于境内的股票市场，股票市场的变化将会带来基金业绩的波动。</w:t>
      </w:r>
    </w:p>
    <w:p w14:paraId="2B644FA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投资相关股票市场交易互联互通机制试点（以下简称“港股通机制”）允许买卖的规定范围内的香港联合交易所上市的股票（以下简称“港股通标的股票”）的，会面临港股通机制下因投资环境、投资标的、市场制度以及交易规则等差异带来的特有风险，包括港股市场股价波动较大的风险（港股市场实行T+0回转交易，且对个股不设涨跌幅限制，港股股价可能表现出比A股更为剧烈的股价波动）、汇率风险（汇率波动可能对基金的投资收益造成损失）、港股通机制下交易日不连贯可能带来的风险（在内地开市香港休市的情形下，港股通不能正常交易，港股不能及时卖出，可能带来一定的流动性风险）等。</w:t>
      </w:r>
    </w:p>
    <w:p w14:paraId="4251B61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本基金可根据投资策略需要或不同配置地市场环境的变化，选择将部分基金资产投资于港股或选择不将基金资产投资于港股，基金资产并非必然投资港股。</w:t>
      </w:r>
    </w:p>
    <w:p w14:paraId="53C2FE5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可投资存托凭证，除普通股票投资可能面临的宏观经济风险、政策风险、市场风险、流动性风险外，还将面临存托凭证持有人与持有基础股票的股东在法律地位享有权利等方面存在差异可能引发的风险、发行人采用协议控制架构的风险、增发基础证券可能导致的存托凭证持有人权益被摊薄的风险、交易机制相关风险、存托凭证退市风险等其他风险。</w:t>
      </w:r>
    </w:p>
    <w:p w14:paraId="1DAC9A8F" w14:textId="77777777" w:rsidR="00BB47E0" w:rsidRDefault="0024620C" w:rsidP="00CE4F60">
      <w:pPr>
        <w:spacing w:line="360" w:lineRule="auto"/>
        <w:ind w:firstLine="420"/>
        <w:rPr>
          <w:rFonts w:ascii="宋体" w:hAnsi="宋体" w:cs="宋体"/>
          <w:kern w:val="0"/>
          <w:sz w:val="24"/>
          <w:szCs w:val="24"/>
        </w:rPr>
      </w:pPr>
      <w:r>
        <w:rPr>
          <w:rFonts w:ascii="宋体" w:hAnsi="宋体" w:cs="宋体"/>
          <w:kern w:val="0"/>
          <w:sz w:val="24"/>
          <w:szCs w:val="24"/>
        </w:rPr>
        <w:t>本基金单一投资者持有基金份额数不得达到或超过基金份额总数的50%，但在基金运作过程中因基金份额赎回等基金管理人无法予以控制的情形导致被动</w:t>
      </w:r>
      <w:r>
        <w:rPr>
          <w:rFonts w:ascii="宋体" w:hAnsi="宋体" w:cs="宋体"/>
          <w:kern w:val="0"/>
          <w:sz w:val="24"/>
          <w:szCs w:val="24"/>
        </w:rPr>
        <w:lastRenderedPageBreak/>
        <w:t>达到或超过50%的除外。法律法规或监管机构另有规定的，从其规定。</w:t>
      </w:r>
    </w:p>
    <w:p w14:paraId="28946347" w14:textId="04C38CDA" w:rsidR="00BB47E0" w:rsidRDefault="00F820EA" w:rsidP="00497DEB">
      <w:pPr>
        <w:spacing w:line="360" w:lineRule="auto"/>
        <w:ind w:firstLine="420"/>
        <w:rPr>
          <w:rFonts w:ascii="宋体" w:hAnsi="宋体" w:cs="宋体"/>
          <w:kern w:val="0"/>
          <w:sz w:val="24"/>
          <w:szCs w:val="24"/>
        </w:rPr>
      </w:pPr>
      <w:r w:rsidRPr="00F820EA">
        <w:rPr>
          <w:rFonts w:ascii="宋体" w:hAnsi="宋体" w:cs="宋体" w:hint="eastAsia"/>
          <w:kern w:val="0"/>
          <w:sz w:val="24"/>
          <w:szCs w:val="24"/>
        </w:rPr>
        <w:t>本次招募说明书更新主要涉及</w:t>
      </w:r>
      <w:r w:rsidR="00A9711A">
        <w:rPr>
          <w:rFonts w:ascii="宋体" w:hAnsi="宋体" w:cs="宋体" w:hint="eastAsia"/>
          <w:kern w:val="0"/>
          <w:sz w:val="24"/>
          <w:szCs w:val="24"/>
        </w:rPr>
        <w:t>其他应披露事项</w:t>
      </w:r>
      <w:r w:rsidR="00BF7AC8">
        <w:rPr>
          <w:rFonts w:ascii="宋体" w:hAnsi="宋体" w:cs="宋体" w:hint="eastAsia"/>
          <w:kern w:val="0"/>
          <w:sz w:val="24"/>
          <w:szCs w:val="24"/>
        </w:rPr>
        <w:t>，</w:t>
      </w:r>
      <w:r w:rsidRPr="00F820EA">
        <w:rPr>
          <w:rFonts w:ascii="宋体" w:hAnsi="宋体" w:cs="宋体" w:hint="eastAsia"/>
          <w:kern w:val="0"/>
          <w:sz w:val="24"/>
          <w:szCs w:val="24"/>
        </w:rPr>
        <w:t>更新所载内容截止日为</w:t>
      </w:r>
      <w:r w:rsidR="00A9711A" w:rsidRPr="00F820EA">
        <w:rPr>
          <w:rFonts w:ascii="宋体" w:hAnsi="宋体" w:cs="宋体" w:hint="eastAsia"/>
          <w:kern w:val="0"/>
          <w:sz w:val="24"/>
          <w:szCs w:val="24"/>
        </w:rPr>
        <w:t>2024年</w:t>
      </w:r>
      <w:r w:rsidR="00A9711A">
        <w:rPr>
          <w:rFonts w:ascii="宋体" w:hAnsi="宋体" w:cs="宋体"/>
          <w:kern w:val="0"/>
          <w:sz w:val="24"/>
          <w:szCs w:val="24"/>
        </w:rPr>
        <w:t>4</w:t>
      </w:r>
      <w:r w:rsidRPr="00F820EA">
        <w:rPr>
          <w:rFonts w:ascii="宋体" w:hAnsi="宋体" w:cs="宋体" w:hint="eastAsia"/>
          <w:kern w:val="0"/>
          <w:sz w:val="24"/>
          <w:szCs w:val="24"/>
        </w:rPr>
        <w:t>月</w:t>
      </w:r>
      <w:r w:rsidR="00A9711A">
        <w:rPr>
          <w:rFonts w:ascii="宋体" w:hAnsi="宋体" w:cs="宋体"/>
          <w:kern w:val="0"/>
          <w:sz w:val="24"/>
          <w:szCs w:val="24"/>
        </w:rPr>
        <w:t>12</w:t>
      </w:r>
      <w:r w:rsidRPr="00F820EA">
        <w:rPr>
          <w:rFonts w:ascii="宋体" w:hAnsi="宋体" w:cs="宋体" w:hint="eastAsia"/>
          <w:kern w:val="0"/>
          <w:sz w:val="24"/>
          <w:szCs w:val="24"/>
        </w:rPr>
        <w:t>日，有关财务数据和净值表现截止日为2023年12月31日。</w:t>
      </w:r>
    </w:p>
    <w:p w14:paraId="372A9F78" w14:textId="01B219CC" w:rsidR="009912D6" w:rsidRDefault="0024620C" w:rsidP="00CE4F60">
      <w:pPr>
        <w:spacing w:line="360" w:lineRule="auto"/>
        <w:ind w:firstLine="420"/>
        <w:rPr>
          <w:rFonts w:ascii="宋体"/>
          <w:noProof/>
          <w:color w:val="000000"/>
          <w:kern w:val="0"/>
          <w:sz w:val="24"/>
          <w:szCs w:val="24"/>
        </w:rPr>
      </w:pPr>
      <w:r>
        <w:rPr>
          <w:rFonts w:ascii="宋体"/>
          <w:noProof/>
          <w:color w:val="000000"/>
          <w:kern w:val="0"/>
          <w:sz w:val="24"/>
          <w:szCs w:val="24"/>
        </w:rPr>
        <w:br w:type="page"/>
      </w:r>
    </w:p>
    <w:p w14:paraId="79348AF1" w14:textId="77777777" w:rsidR="009912D6" w:rsidRDefault="0024620C" w:rsidP="009912D6">
      <w:pPr>
        <w:pStyle w:val="1"/>
        <w:spacing w:before="0" w:after="0"/>
        <w:jc w:val="center"/>
        <w:rPr>
          <w:rFonts w:ascii="Times New Roman"/>
          <w:color w:val="auto"/>
          <w:sz w:val="30"/>
        </w:rPr>
      </w:pPr>
      <w:bookmarkStart w:id="26" w:name="_Toc135000336"/>
      <w:r w:rsidRPr="009E26D0">
        <w:rPr>
          <w:rFonts w:ascii="Times New Roman"/>
          <w:color w:val="auto"/>
          <w:sz w:val="30"/>
        </w:rPr>
        <w:lastRenderedPageBreak/>
        <w:t>第一部分</w:t>
      </w:r>
      <w:r w:rsidRPr="009E26D0">
        <w:rPr>
          <w:rFonts w:ascii="Times New Roman"/>
          <w:color w:val="auto"/>
          <w:sz w:val="30"/>
        </w:rPr>
        <w:t xml:space="preserve">  </w:t>
      </w:r>
      <w:r w:rsidRPr="009E26D0">
        <w:rPr>
          <w:rFonts w:ascii="Times New Roman"/>
          <w:color w:val="auto"/>
          <w:sz w:val="30"/>
        </w:rPr>
        <w:t>绪言</w:t>
      </w:r>
      <w:bookmarkEnd w:id="26"/>
    </w:p>
    <w:p w14:paraId="6FC34346" w14:textId="77777777" w:rsidR="009912D6" w:rsidRPr="0017353E" w:rsidRDefault="009912D6" w:rsidP="009912D6"/>
    <w:p w14:paraId="30F8BADC" w14:textId="6BF5F186" w:rsidR="00586A97" w:rsidRDefault="0024620C">
      <w:pPr>
        <w:spacing w:line="360" w:lineRule="auto"/>
        <w:ind w:firstLine="420"/>
        <w:rPr>
          <w:rFonts w:eastAsia="Times New Roman"/>
          <w:kern w:val="0"/>
          <w:sz w:val="24"/>
          <w:szCs w:val="24"/>
        </w:rPr>
      </w:pPr>
      <w:r>
        <w:rPr>
          <w:rFonts w:ascii="宋体" w:hAnsi="宋体" w:cs="宋体"/>
          <w:kern w:val="0"/>
          <w:sz w:val="24"/>
          <w:szCs w:val="24"/>
        </w:rPr>
        <w:t>本招募说明书依据《中华人民共和国证券投资基金法》(以下简称“《基金法》”)、《公开募集证券投资基金运作管理办法》、《公开募集证券投资基金销售机构监督管理办法》、《公开募集证券投资基金信息披露管理办法》、《公开募集开放式证券投资基金流动性风险管理规定》及其他有关法律法规以及《</w:t>
      </w:r>
      <w:r w:rsidR="00E74E38" w:rsidRPr="00E74E38">
        <w:rPr>
          <w:rFonts w:ascii="宋体" w:hAnsi="宋体" w:cs="宋体" w:hint="eastAsia"/>
          <w:kern w:val="0"/>
          <w:sz w:val="24"/>
          <w:szCs w:val="24"/>
        </w:rPr>
        <w:t>汇添富添添乐双盈债券型证券投资基金</w:t>
      </w:r>
      <w:r>
        <w:rPr>
          <w:rFonts w:ascii="宋体" w:hAnsi="宋体" w:cs="宋体"/>
          <w:kern w:val="0"/>
          <w:sz w:val="24"/>
          <w:szCs w:val="24"/>
        </w:rPr>
        <w:t>基金合同》编写。</w:t>
      </w:r>
    </w:p>
    <w:p w14:paraId="5125491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本基金管理人承诺本招募说明书不存在任何虚假记载、误导性陈述或重大遗漏，并对其真实性、准确性、完整性承担法律责任。</w:t>
      </w:r>
    </w:p>
    <w:p w14:paraId="1E71AF8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本基金根据本招募说明书所载明的资料申请募集。本基金管理人没有委托或授权任何其他人提供未在本招募说明书中载明的信息，或对本招募说明书作任何解释或者说明。</w:t>
      </w:r>
    </w:p>
    <w:p w14:paraId="0A6896E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招募说明书根据本基金的基金合同编写，并经中国证监会注册。基金合同是约定基金合同当事人之间权利、义务的法律文件。本基金投资者自依基金合同取得基金份额，即成为本基金份额持有人和基金合同当事人，其持有本基金基金份额的行为本身即表明其对基金合同的承认和接受，并按照《基金法》、基金合同及其他有关规定享有权利、承担义务。基金投资者欲了解本基金份额持有人的权利和义务，应详细查阅基金合同。</w:t>
      </w:r>
    </w:p>
    <w:p w14:paraId="6971FE39"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5532B689" w14:textId="77777777" w:rsidR="009912D6" w:rsidRDefault="0024620C" w:rsidP="009912D6">
      <w:pPr>
        <w:pStyle w:val="1"/>
        <w:spacing w:before="0" w:after="0"/>
        <w:jc w:val="center"/>
        <w:rPr>
          <w:rFonts w:ascii="Times New Roman"/>
          <w:color w:val="auto"/>
          <w:sz w:val="30"/>
        </w:rPr>
      </w:pPr>
      <w:bookmarkStart w:id="27" w:name="_Toc135000337"/>
      <w:r w:rsidRPr="009E26D0">
        <w:rPr>
          <w:rFonts w:ascii="Times New Roman"/>
          <w:color w:val="auto"/>
          <w:sz w:val="30"/>
        </w:rPr>
        <w:lastRenderedPageBreak/>
        <w:t>第二部分</w:t>
      </w:r>
      <w:r w:rsidRPr="009E26D0">
        <w:rPr>
          <w:rFonts w:ascii="Times New Roman"/>
          <w:color w:val="auto"/>
          <w:sz w:val="30"/>
        </w:rPr>
        <w:t xml:space="preserve">  </w:t>
      </w:r>
      <w:r w:rsidRPr="009E26D0">
        <w:rPr>
          <w:rFonts w:ascii="Times New Roman"/>
          <w:color w:val="auto"/>
          <w:sz w:val="30"/>
        </w:rPr>
        <w:t>释义</w:t>
      </w:r>
      <w:bookmarkEnd w:id="27"/>
    </w:p>
    <w:p w14:paraId="159179D8" w14:textId="77777777" w:rsidR="009912D6" w:rsidRPr="0017353E" w:rsidRDefault="009912D6" w:rsidP="009912D6"/>
    <w:p w14:paraId="08FBFF4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在本招募说明书中，除非文意另有所指，下列词语或简称具有如下含义：</w:t>
      </w:r>
    </w:p>
    <w:p w14:paraId="467E10C7" w14:textId="553F8748"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1、基金或本基金：指</w:t>
      </w:r>
      <w:r w:rsidR="002C7BC4" w:rsidRPr="002C7BC4">
        <w:rPr>
          <w:rFonts w:ascii="宋体" w:hAnsi="宋体" w:cs="宋体" w:hint="eastAsia"/>
          <w:kern w:val="0"/>
          <w:sz w:val="24"/>
          <w:szCs w:val="24"/>
        </w:rPr>
        <w:t>汇添富添添乐双盈债券型证券投资基金</w:t>
      </w:r>
    </w:p>
    <w:p w14:paraId="6D567A08"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2、基金管理人：指汇添富基金管理股份有限公司</w:t>
      </w:r>
    </w:p>
    <w:p w14:paraId="299479A5" w14:textId="0135BAB0"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3、基金托管人：指</w:t>
      </w:r>
      <w:r w:rsidR="002C7BC4">
        <w:rPr>
          <w:rFonts w:ascii="宋体" w:hAnsi="宋体" w:cs="宋体"/>
          <w:kern w:val="0"/>
          <w:sz w:val="24"/>
          <w:szCs w:val="24"/>
        </w:rPr>
        <w:t>中国工商银行股份有限公司</w:t>
      </w:r>
    </w:p>
    <w:p w14:paraId="400B88C8" w14:textId="0547AA23"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4、基金合同：指《</w:t>
      </w:r>
      <w:r w:rsidR="002C7BC4" w:rsidRPr="002C7BC4">
        <w:rPr>
          <w:rFonts w:ascii="宋体" w:hAnsi="宋体" w:cs="宋体" w:hint="eastAsia"/>
          <w:kern w:val="0"/>
          <w:sz w:val="24"/>
          <w:szCs w:val="24"/>
        </w:rPr>
        <w:t>汇添富添添乐双盈债券型证券投资基金</w:t>
      </w:r>
      <w:r>
        <w:rPr>
          <w:rFonts w:ascii="宋体" w:hAnsi="宋体" w:cs="宋体"/>
          <w:kern w:val="0"/>
          <w:sz w:val="24"/>
          <w:szCs w:val="24"/>
        </w:rPr>
        <w:t>基金合同》及对基金合同的任何有效修订和补充</w:t>
      </w:r>
    </w:p>
    <w:p w14:paraId="158B3255" w14:textId="2956BD09"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5、托管协议：指基金管理人与基金托管人就本基金签订之《</w:t>
      </w:r>
      <w:r w:rsidR="002C7BC4" w:rsidRPr="002C7BC4">
        <w:rPr>
          <w:rFonts w:ascii="宋体" w:hAnsi="宋体" w:cs="宋体" w:hint="eastAsia"/>
          <w:kern w:val="0"/>
          <w:sz w:val="24"/>
          <w:szCs w:val="24"/>
        </w:rPr>
        <w:t>汇添富添添乐双盈债券型证券投资基金</w:t>
      </w:r>
      <w:r>
        <w:rPr>
          <w:rFonts w:ascii="宋体" w:hAnsi="宋体" w:cs="宋体"/>
          <w:kern w:val="0"/>
          <w:sz w:val="24"/>
          <w:szCs w:val="24"/>
        </w:rPr>
        <w:t>托管协议》及对该托管协议的任何有效修订和补充</w:t>
      </w:r>
    </w:p>
    <w:p w14:paraId="181699E8" w14:textId="7F9EC9B5"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6、招募说明书或本招募说明书：指《</w:t>
      </w:r>
      <w:r w:rsidR="002C7BC4" w:rsidRPr="002C7BC4">
        <w:rPr>
          <w:rFonts w:ascii="宋体" w:hAnsi="宋体" w:cs="宋体" w:hint="eastAsia"/>
          <w:kern w:val="0"/>
          <w:sz w:val="24"/>
          <w:szCs w:val="24"/>
        </w:rPr>
        <w:t>汇添富添添乐双盈债券型证券投资基金</w:t>
      </w:r>
      <w:r>
        <w:rPr>
          <w:rFonts w:ascii="宋体" w:hAnsi="宋体" w:cs="宋体"/>
          <w:kern w:val="0"/>
          <w:sz w:val="24"/>
          <w:szCs w:val="24"/>
        </w:rPr>
        <w:t>招募说明书》及其更新</w:t>
      </w:r>
    </w:p>
    <w:p w14:paraId="361B2782" w14:textId="09AD119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7、基金产品资料概要：指《</w:t>
      </w:r>
      <w:r w:rsidR="002C7BC4" w:rsidRPr="002C7BC4">
        <w:rPr>
          <w:rFonts w:ascii="宋体" w:hAnsi="宋体" w:cs="宋体" w:hint="eastAsia"/>
          <w:kern w:val="0"/>
          <w:sz w:val="24"/>
          <w:szCs w:val="24"/>
        </w:rPr>
        <w:t>汇添富添添乐双盈债券型证券投资基金</w:t>
      </w:r>
      <w:r>
        <w:rPr>
          <w:rFonts w:ascii="宋体" w:hAnsi="宋体" w:cs="宋体"/>
          <w:kern w:val="0"/>
          <w:sz w:val="24"/>
          <w:szCs w:val="24"/>
        </w:rPr>
        <w:t>基金产品资料概要》及其更新</w:t>
      </w:r>
    </w:p>
    <w:p w14:paraId="4AC771FB" w14:textId="4F888E38"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8、基金份额发售公告：指《</w:t>
      </w:r>
      <w:r w:rsidR="002C7BC4" w:rsidRPr="002C7BC4">
        <w:rPr>
          <w:rFonts w:ascii="宋体" w:hAnsi="宋体" w:cs="宋体" w:hint="eastAsia"/>
          <w:kern w:val="0"/>
          <w:sz w:val="24"/>
          <w:szCs w:val="24"/>
        </w:rPr>
        <w:t>汇添富添添乐双盈债券型证券投资基金</w:t>
      </w:r>
      <w:r>
        <w:rPr>
          <w:rFonts w:ascii="宋体" w:hAnsi="宋体" w:cs="宋体"/>
          <w:kern w:val="0"/>
          <w:sz w:val="24"/>
          <w:szCs w:val="24"/>
        </w:rPr>
        <w:t>基金份额发售公告》</w:t>
      </w:r>
    </w:p>
    <w:p w14:paraId="606C76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9、法律法规：指中国现行有效并公布实施的法律、行政法规、规范性文件、司法解释、行政规章以及其他对基金合同当事人有约束力的决定、决议、通知等</w:t>
      </w:r>
    </w:p>
    <w:p w14:paraId="3BFDE3C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基金法》：指2003年10月28日经第十届全国人民代表大会常务委员会第五次会议通过，经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正的《中华人民共和国证券投资基金法》及颁布机关对其不时做出的修订</w:t>
      </w:r>
    </w:p>
    <w:p w14:paraId="16181DD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11、《销售办法》：指中国证监会2020年8月28日颁布、同年10月1日实施的《公开募集证券投资基金销售机构监督管理办法》及颁布机关对其不时做出的修订</w:t>
      </w:r>
    </w:p>
    <w:p w14:paraId="363C8A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12、《信息披露办法》：指中国证监会2019年7月26日颁布、同年9月1日实施的，并经2020年3月20日中国证监会《关于修改部分证券期货规章的决</w:t>
      </w:r>
      <w:r>
        <w:rPr>
          <w:rFonts w:ascii="宋体" w:hAnsi="宋体" w:cs="宋体"/>
          <w:kern w:val="0"/>
          <w:sz w:val="24"/>
          <w:szCs w:val="24"/>
        </w:rPr>
        <w:lastRenderedPageBreak/>
        <w:t>定》修正的《公开募集证券投资基金信息披露管理办法》及颁布机关对其不时做出的修订</w:t>
      </w:r>
    </w:p>
    <w:p w14:paraId="4B8EDE5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13、《运作办法》：指中国证监会2014年7月7日颁布、同年8月8日实施的《公开募集证券投资基金运作管理办法》及颁布机关对其不时做出的修订</w:t>
      </w:r>
    </w:p>
    <w:p w14:paraId="42F43CD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14、《流动性风险管理规定》：指中国证监会2017年8月31日颁布、同年10月1日实施的《公开募集开放式证券投资基金流动性风险管理规定》及颁布机关对其不时做出的修订</w:t>
      </w:r>
    </w:p>
    <w:p w14:paraId="2ECFF04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15、中国证监会：指中国证券监督管理委员会</w:t>
      </w:r>
    </w:p>
    <w:p w14:paraId="7A40E51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16、银行业监督管理机构：指中国人民银行和/或中国银行保险监督管理委员会</w:t>
      </w:r>
    </w:p>
    <w:p w14:paraId="26A2CB9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17、基金合同当事人：指受基金合同约束，根据基金合同享有权利并承担义务的法律主体，包括基金管理人、基金托管人和基金份额持有人</w:t>
      </w:r>
    </w:p>
    <w:p w14:paraId="4E6997C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18、个人投资者：指依据有关法律法规规定可投资于证券投资基金的自然人</w:t>
      </w:r>
    </w:p>
    <w:p w14:paraId="43F190E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19、机构投资者：指依法可以投资证券投资基金的、在中华人民共和国境内合法登记并存续或经有关政府部门批准设立并存续的企业法人、事业法人、社会团体或其他组织</w:t>
      </w:r>
    </w:p>
    <w:p w14:paraId="2550CA4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20、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276DEAC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21、投资人、投资者：指个人投资者、机构投资者、合格境外投资者以及法律法规或中国证监会允许购买证券投资基金的其他投资人的合称</w:t>
      </w:r>
    </w:p>
    <w:p w14:paraId="3ED3AE7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22、基金份额持有人：指依基金合同和招募说明书合法取得基金份额的投资人</w:t>
      </w:r>
    </w:p>
    <w:p w14:paraId="59D9594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23、基金销售业务：指基金管理人或销售机构宣传推介基金，发售基金份额，办理基金份额的申购、赎回、转换、转托管及定期定额投资等业务</w:t>
      </w:r>
    </w:p>
    <w:p w14:paraId="02430CA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24、销售机构：指汇添富基金管理股份有限公司以及符合《销售办法》和中国证监会规定的其他条件，取得基金销售业务资格并与基金管理人签订了基金销售服务协议，办理基金销售业务的机构</w:t>
      </w:r>
    </w:p>
    <w:p w14:paraId="61483E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2B8FAF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26、登记机构：指办理登记业务的机构。基金的登记机构为汇添富基金管理股份有限公司或接受汇添富基金管理股份有限公司委托代为办理登记业务的机构</w:t>
      </w:r>
    </w:p>
    <w:p w14:paraId="424A7CB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27、基金账户：指登记机构为投资人开立的、记录其持有的、基金管理人所管理的基金份额余额及其变动情况的账户</w:t>
      </w:r>
    </w:p>
    <w:p w14:paraId="3E9F12D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28、基金交易账户：指销售机构为投资人开立的、记录投资人通过该销售机构办理认购、申购、赎回、转换、转托管及定期定额投资等业务而引起的基金份额变动及结余情况的账户</w:t>
      </w:r>
    </w:p>
    <w:p w14:paraId="77A332F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29、基金合同生效日：指基金募集达到法律法规规定及基金合同规定的条件，基金管理人向中国证监会办理基金备案手续完毕，并获得中国证监会书面确认的日期</w:t>
      </w:r>
    </w:p>
    <w:p w14:paraId="4AE85FD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30、基金合同终止日：指基金合同规定的基金合同终止事由出现后，基金财产清算完毕，清算结果报中国证监会备案并予以公告的日期</w:t>
      </w:r>
    </w:p>
    <w:p w14:paraId="4FB28B9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31、基金募集期：指自基金份额发售之日起至发售结束之日止的期间，最长不得超过3个月</w:t>
      </w:r>
    </w:p>
    <w:p w14:paraId="0FA2AFD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32、存续期：指基金合同生效至终止之间的不定期期限</w:t>
      </w:r>
    </w:p>
    <w:p w14:paraId="6F40D8F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33、工作日：指上海证券交易所、深圳证券交易所的正常交易日</w:t>
      </w:r>
    </w:p>
    <w:p w14:paraId="25CF8FD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34、T日：指销售机构在规定时间受理投资人申购、赎回或其他业务申请的开放日</w:t>
      </w:r>
    </w:p>
    <w:p w14:paraId="26CDC901" w14:textId="5F31109A"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35、T+n日：指自T日起第n个工作日</w:t>
      </w:r>
      <w:r w:rsidR="002C7BC4">
        <w:rPr>
          <w:rFonts w:ascii="宋体" w:hAnsi="宋体" w:cs="宋体" w:hint="eastAsia"/>
          <w:kern w:val="0"/>
          <w:sz w:val="24"/>
          <w:szCs w:val="24"/>
        </w:rPr>
        <w:t>（</w:t>
      </w:r>
      <w:r w:rsidR="002C7BC4">
        <w:rPr>
          <w:rFonts w:ascii="宋体" w:hAnsi="宋体" w:cs="宋体"/>
          <w:kern w:val="0"/>
          <w:sz w:val="24"/>
          <w:szCs w:val="24"/>
        </w:rPr>
        <w:t>不包含T日</w:t>
      </w:r>
      <w:r w:rsidR="002C7BC4">
        <w:rPr>
          <w:rFonts w:ascii="宋体" w:hAnsi="宋体" w:cs="宋体" w:hint="eastAsia"/>
          <w:kern w:val="0"/>
          <w:sz w:val="24"/>
          <w:szCs w:val="24"/>
        </w:rPr>
        <w:t>）</w:t>
      </w:r>
    </w:p>
    <w:p w14:paraId="3FA4F10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36、开放日：指为投资人办理基金份额申购、赎回或其他业务的工作日（如遇香港联合交易所法定节假日或因其他原因暂停营业或港股通暂停交易的情形，基金管理人有权暂停办理基金份额的申购和赎回业务）</w:t>
      </w:r>
    </w:p>
    <w:p w14:paraId="35C0305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37、开放时间：指开放日基金接受申购、赎回或其他交易的时间段</w:t>
      </w:r>
    </w:p>
    <w:p w14:paraId="290BC21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38、《业务规则》：指《汇添富基金管理股份有限公司开放式基金业务规则》，是规范基金管理人所管理的开放式证券投资基金登记方面的业务规则，由基金管</w:t>
      </w:r>
      <w:r>
        <w:rPr>
          <w:rFonts w:ascii="宋体" w:hAnsi="宋体" w:cs="宋体"/>
          <w:kern w:val="0"/>
          <w:sz w:val="24"/>
          <w:szCs w:val="24"/>
        </w:rPr>
        <w:lastRenderedPageBreak/>
        <w:t>理人和投资人共同遵守</w:t>
      </w:r>
    </w:p>
    <w:p w14:paraId="4322AF1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39、认购：指在基金募集期内，投资人根据基金合同和招募说明书的规定申请购买基金份额的行为</w:t>
      </w:r>
    </w:p>
    <w:p w14:paraId="24A32BE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40、申购：指基金合同生效后，投资人根据基金合同和招募说明书的规定申请购买基金份额的行为</w:t>
      </w:r>
    </w:p>
    <w:p w14:paraId="22D7A85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41、赎回：指基金合同生效后，基金份额持有人按基金合同和招募说明书规定的条件要求将基金份额兑换为现金的行为</w:t>
      </w:r>
    </w:p>
    <w:p w14:paraId="4660E0C6" w14:textId="5BE8EAB3"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42、基金转换：指基金份额持有人按照基金合同和基金管理人届时有效公告规定的条件，申请将其持有基金管理人管理的、某一基金的基金份额转换为基金管理人管理的其他基金基金份额的行为</w:t>
      </w:r>
    </w:p>
    <w:p w14:paraId="0D9BF2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43、转托管：指基金份额持有人在本基金的不同销售机构之间实施的变更所持基金份额销售机构的操作</w:t>
      </w:r>
    </w:p>
    <w:p w14:paraId="32AD72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44、定期定额投资计划：指投资人通过有关销售机构提出申请，约定每期申购日、扣款金额及扣款方式，由销售机构于每期约定扣款日在投资人指定银行账户内自动完成扣款及受理基金申购申请的一种投资方式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30EE32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45、巨额赎回：指本基金单个开放日，基金净赎回申请（赎回申请份额总数加上基金转换中转出申请份额总数后扣除申购申请份额总数及基金转换中转入申请份额总数后的余额，不同类别份额合并计算）超过上一开放日基金总份额的10%</w:t>
      </w:r>
    </w:p>
    <w:p w14:paraId="2D2E428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46、元：指人民币元</w:t>
      </w:r>
    </w:p>
    <w:p w14:paraId="62BA7D8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47、基金收益：指基金投资所得红利、股息、债券利息、买卖证券价差、银行存款利息、已实现的其他合法收入及因运用基金财产带来的成本和费用的节约</w:t>
      </w:r>
    </w:p>
    <w:p w14:paraId="276E40A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48、基金资产总值：指基金拥有的各类有价证券、银行存款本息、基金应收申购款及其他资产的价值总和</w:t>
      </w:r>
    </w:p>
    <w:p w14:paraId="4BB3A26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49、基金资产净值：指基金资产总值减去基金负债后的价值</w:t>
      </w:r>
    </w:p>
    <w:p w14:paraId="456B4CA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50、基金份额净值：指计算日基金资产净值除以计算日基金份额总数</w:t>
      </w:r>
    </w:p>
    <w:p w14:paraId="40684B5B" w14:textId="7856D41C"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51、基金资产估值：指计算评估基金资产和负债的价值，以确定基金资产净值和基金份额净值的过程</w:t>
      </w:r>
    </w:p>
    <w:p w14:paraId="7C1FADB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52、规定媒介：指符合中国证监会规定条件的用以进行信息披露的全国性报</w:t>
      </w:r>
      <w:r>
        <w:rPr>
          <w:rFonts w:ascii="宋体" w:hAnsi="宋体" w:cs="宋体"/>
          <w:kern w:val="0"/>
          <w:sz w:val="24"/>
          <w:szCs w:val="24"/>
        </w:rPr>
        <w:lastRenderedPageBreak/>
        <w:t>刊及《信息披露办法》规定的互联网网站（包括基金管理人网站、基金托管人网站、中国证监会基金电子披露网站）等媒介</w:t>
      </w:r>
    </w:p>
    <w:p w14:paraId="6658F0A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53、基金份额类别：根据认购/申购费用、销售服务费收取方式等事项的不同，将基金份额分为不同的类别，各基金份额类别分别设置代码、计算公告基金份额净值和基金份额累计净值</w:t>
      </w:r>
    </w:p>
    <w:p w14:paraId="7D15B532" w14:textId="3FA5ABD4"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54、A类基金份额：指在投资者认购、申购时收取认购、申购费用，在赎回时根据持有期限收取赎回费用，但不从本类别基金财产中计提销售服务费的基金份额</w:t>
      </w:r>
    </w:p>
    <w:p w14:paraId="44D540A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55、C类基金份额：指从本类别基金财产中计提销售服务费而不收取认购、申购费用，在赎回时根据持有期限收取赎回费用的基金份额</w:t>
      </w:r>
    </w:p>
    <w:p w14:paraId="441DA89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56、销售服务费：指从基金财产中计提的，用于本基金市场推广、销售以及基金份额持有人服务的费用</w:t>
      </w:r>
    </w:p>
    <w:p w14:paraId="79232993" w14:textId="4A4897D4" w:rsidR="00E62E21" w:rsidRPr="00E62E21" w:rsidRDefault="00E62E21">
      <w:pPr>
        <w:spacing w:line="360" w:lineRule="auto"/>
        <w:ind w:firstLine="420"/>
        <w:rPr>
          <w:rFonts w:ascii="宋体" w:hAnsi="宋体" w:cs="宋体"/>
          <w:kern w:val="0"/>
          <w:sz w:val="24"/>
          <w:szCs w:val="24"/>
        </w:rPr>
      </w:pPr>
      <w:r>
        <w:rPr>
          <w:rFonts w:ascii="宋体" w:hAnsi="宋体" w:cs="宋体"/>
          <w:kern w:val="0"/>
          <w:sz w:val="24"/>
          <w:szCs w:val="24"/>
        </w:rPr>
        <w:t>57</w:t>
      </w:r>
      <w:r>
        <w:rPr>
          <w:rFonts w:ascii="宋体" w:hAnsi="宋体" w:cs="宋体" w:hint="eastAsia"/>
          <w:kern w:val="0"/>
          <w:sz w:val="24"/>
          <w:szCs w:val="24"/>
        </w:rPr>
        <w:t>、</w:t>
      </w:r>
      <w:r>
        <w:rPr>
          <w:rFonts w:hint="eastAsia"/>
          <w:bCs/>
          <w:sz w:val="24"/>
        </w:rPr>
        <w:t>第三方估值机构：指中央国债登记结算有限责任公司和中证指数有限公司或者在法律法规允许的情况下，基金管理人和基金托管人经协商一致后确定的其他估值机构</w:t>
      </w:r>
    </w:p>
    <w:p w14:paraId="40DABBD2" w14:textId="36143327"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58</w:t>
      </w:r>
      <w:r w:rsidR="0024620C">
        <w:rPr>
          <w:rFonts w:ascii="宋体" w:hAnsi="宋体" w:cs="宋体"/>
          <w:kern w:val="0"/>
          <w:sz w:val="24"/>
          <w:szCs w:val="24"/>
        </w:rPr>
        <w:t>、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以及法律法规或中国证监会规定的其他流动性受限资产，如未来法律法规变动，基金管理人在履行适当程序后，可对上述流动性受限资产范围进行调整</w:t>
      </w:r>
    </w:p>
    <w:p w14:paraId="22643BE3" w14:textId="3FFB381C"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59</w:t>
      </w:r>
      <w:r w:rsidR="0024620C">
        <w:rPr>
          <w:rFonts w:ascii="宋体" w:hAnsi="宋体" w:cs="宋体"/>
          <w:kern w:val="0"/>
          <w:sz w:val="24"/>
          <w:szCs w:val="24"/>
        </w:rPr>
        <w:t>、摆动定价机制：指当开放式基金遭遇大额申购赎回时，通过调整基金份额净值的方式，将基金调整投资组合的市场冲击成本分配给实际申购、赎回的投资者，从而减少对存量基金份额持有人利益的不利影响，确保投资人的合法权益不受损害并得到公平对待，如未来法律法规变动，基金管理人在履行适当程序后，可对前述摆动定价机制的定义进行调整</w:t>
      </w:r>
    </w:p>
    <w:p w14:paraId="7A5A29B6" w14:textId="23A454F4"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60</w:t>
      </w:r>
      <w:r w:rsidR="0024620C">
        <w:rPr>
          <w:rFonts w:ascii="宋体" w:hAnsi="宋体" w:cs="宋体"/>
          <w:kern w:val="0"/>
          <w:sz w:val="24"/>
          <w:szCs w:val="24"/>
        </w:rPr>
        <w:t>、侧袋机制：指将基金投资组合中的特定资产从原有账户分离至一个专门账户进行处置清算，目的在于有效隔离并化解风险，确保投资者得到公平对待，</w:t>
      </w:r>
      <w:r w:rsidR="0024620C">
        <w:rPr>
          <w:rFonts w:ascii="宋体" w:hAnsi="宋体" w:cs="宋体"/>
          <w:kern w:val="0"/>
          <w:sz w:val="24"/>
          <w:szCs w:val="24"/>
        </w:rPr>
        <w:lastRenderedPageBreak/>
        <w:t>属于流动性风险管理工具。侧袋机制实施期间，原有账户称为主袋账户，专门账户称为侧袋账户</w:t>
      </w:r>
    </w:p>
    <w:p w14:paraId="6FFF186F" w14:textId="725BD2C1"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61</w:t>
      </w:r>
      <w:r w:rsidR="0024620C">
        <w:rPr>
          <w:rFonts w:ascii="宋体" w:hAnsi="宋体" w:cs="宋体"/>
          <w:kern w:val="0"/>
          <w:sz w:val="24"/>
          <w:szCs w:val="24"/>
        </w:rPr>
        <w:t>、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28595B21" w14:textId="47B12635"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62</w:t>
      </w:r>
      <w:r w:rsidR="0024620C">
        <w:rPr>
          <w:rFonts w:ascii="宋体" w:hAnsi="宋体" w:cs="宋体"/>
          <w:kern w:val="0"/>
          <w:sz w:val="24"/>
          <w:szCs w:val="24"/>
        </w:rPr>
        <w:t>、港股通标的股票：指内地投资者委托内地证券公司，经由内地证券交易所设立的证券交易服务公司，向香港联合交易所进行申报，买卖规定范围内的香港联合交易所上市的股票</w:t>
      </w:r>
    </w:p>
    <w:p w14:paraId="0709BDC2" w14:textId="72138EE6" w:rsidR="00586A97" w:rsidRDefault="00E62E21">
      <w:pPr>
        <w:spacing w:line="360" w:lineRule="auto"/>
        <w:ind w:firstLine="420"/>
        <w:rPr>
          <w:rFonts w:ascii="宋体" w:hAnsi="宋体" w:cs="宋体"/>
          <w:kern w:val="0"/>
          <w:sz w:val="24"/>
          <w:szCs w:val="24"/>
        </w:rPr>
      </w:pPr>
      <w:r>
        <w:rPr>
          <w:rFonts w:ascii="宋体" w:hAnsi="宋体" w:cs="宋体"/>
          <w:kern w:val="0"/>
          <w:sz w:val="24"/>
          <w:szCs w:val="24"/>
        </w:rPr>
        <w:t>63</w:t>
      </w:r>
      <w:r w:rsidR="0024620C">
        <w:rPr>
          <w:rFonts w:ascii="宋体" w:hAnsi="宋体" w:cs="宋体"/>
          <w:kern w:val="0"/>
          <w:sz w:val="24"/>
          <w:szCs w:val="24"/>
        </w:rPr>
        <w:t>、不可抗力：指基金合同当事人不能预见、不能避免且不能克服的客观事件</w:t>
      </w:r>
    </w:p>
    <w:p w14:paraId="1BC17ADE"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689363BF" w14:textId="77777777" w:rsidR="009912D6" w:rsidRDefault="0024620C" w:rsidP="009912D6">
      <w:pPr>
        <w:pStyle w:val="1"/>
        <w:spacing w:before="0" w:after="0"/>
        <w:jc w:val="center"/>
        <w:rPr>
          <w:rFonts w:ascii="Times New Roman"/>
          <w:color w:val="auto"/>
          <w:sz w:val="30"/>
        </w:rPr>
      </w:pPr>
      <w:bookmarkStart w:id="28" w:name="_Toc135000338"/>
      <w:r w:rsidRPr="009E26D0">
        <w:rPr>
          <w:rFonts w:ascii="Times New Roman"/>
          <w:color w:val="auto"/>
          <w:sz w:val="30"/>
        </w:rPr>
        <w:lastRenderedPageBreak/>
        <w:t>第三部分</w:t>
      </w:r>
      <w:r w:rsidRPr="009E26D0">
        <w:rPr>
          <w:rFonts w:ascii="Times New Roman"/>
          <w:color w:val="auto"/>
          <w:sz w:val="30"/>
        </w:rPr>
        <w:t xml:space="preserve">  </w:t>
      </w:r>
      <w:r w:rsidRPr="009E26D0">
        <w:rPr>
          <w:rFonts w:ascii="Times New Roman"/>
          <w:color w:val="auto"/>
          <w:sz w:val="30"/>
        </w:rPr>
        <w:t>基金管理人</w:t>
      </w:r>
      <w:bookmarkEnd w:id="28"/>
    </w:p>
    <w:p w14:paraId="79669310" w14:textId="77777777" w:rsidR="009912D6" w:rsidRPr="0017353E" w:rsidRDefault="009912D6" w:rsidP="009912D6"/>
    <w:p w14:paraId="6F24D69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一、基金管理人简况</w:t>
      </w:r>
    </w:p>
    <w:p w14:paraId="7349D3A5" w14:textId="77777777" w:rsidR="009912D6" w:rsidRPr="001A6522" w:rsidRDefault="009912D6" w:rsidP="009912D6">
      <w:pPr>
        <w:spacing w:line="360" w:lineRule="auto"/>
        <w:ind w:firstLineChars="200" w:firstLine="480"/>
        <w:rPr>
          <w:bCs/>
          <w:sz w:val="24"/>
        </w:rPr>
      </w:pPr>
      <w:r w:rsidRPr="001A6522">
        <w:rPr>
          <w:bCs/>
          <w:sz w:val="24"/>
        </w:rPr>
        <w:t>名称：汇添富基金管理股份有限公司</w:t>
      </w:r>
      <w:r w:rsidRPr="001A6522">
        <w:rPr>
          <w:bCs/>
          <w:sz w:val="24"/>
        </w:rPr>
        <w:t xml:space="preserve"> </w:t>
      </w:r>
    </w:p>
    <w:p w14:paraId="72494AF6" w14:textId="77777777" w:rsidR="009912D6" w:rsidRPr="001A6522" w:rsidRDefault="009912D6" w:rsidP="009912D6">
      <w:pPr>
        <w:spacing w:line="360" w:lineRule="auto"/>
        <w:ind w:firstLineChars="200" w:firstLine="480"/>
        <w:rPr>
          <w:bCs/>
          <w:sz w:val="24"/>
        </w:rPr>
      </w:pPr>
      <w:r w:rsidRPr="001A6522">
        <w:rPr>
          <w:bCs/>
          <w:sz w:val="24"/>
        </w:rPr>
        <w:t>住所：上海市黄浦区</w:t>
      </w:r>
      <w:r w:rsidRPr="001A6522">
        <w:rPr>
          <w:rFonts w:hint="eastAsia"/>
          <w:bCs/>
          <w:sz w:val="24"/>
        </w:rPr>
        <w:t>北京东路</w:t>
      </w:r>
      <w:r w:rsidRPr="001A6522">
        <w:rPr>
          <w:rFonts w:hint="eastAsia"/>
          <w:bCs/>
          <w:sz w:val="24"/>
        </w:rPr>
        <w:t>666</w:t>
      </w:r>
      <w:r w:rsidRPr="001A6522">
        <w:rPr>
          <w:rFonts w:hint="eastAsia"/>
          <w:bCs/>
          <w:sz w:val="24"/>
        </w:rPr>
        <w:t>号</w:t>
      </w:r>
      <w:r w:rsidRPr="001A6522">
        <w:rPr>
          <w:rFonts w:hint="eastAsia"/>
          <w:bCs/>
          <w:sz w:val="24"/>
        </w:rPr>
        <w:t>H</w:t>
      </w:r>
      <w:r w:rsidRPr="001A6522">
        <w:rPr>
          <w:rFonts w:hint="eastAsia"/>
          <w:bCs/>
          <w:sz w:val="24"/>
        </w:rPr>
        <w:t>区（东座）</w:t>
      </w:r>
      <w:r w:rsidRPr="001A6522">
        <w:rPr>
          <w:rFonts w:hint="eastAsia"/>
          <w:bCs/>
          <w:sz w:val="24"/>
        </w:rPr>
        <w:t>6</w:t>
      </w:r>
      <w:r w:rsidRPr="001A6522">
        <w:rPr>
          <w:rFonts w:hint="eastAsia"/>
          <w:bCs/>
          <w:sz w:val="24"/>
        </w:rPr>
        <w:t>楼</w:t>
      </w:r>
      <w:r w:rsidRPr="001A6522">
        <w:rPr>
          <w:rFonts w:hint="eastAsia"/>
          <w:bCs/>
          <w:sz w:val="24"/>
        </w:rPr>
        <w:t>H686</w:t>
      </w:r>
      <w:r w:rsidRPr="001A6522">
        <w:rPr>
          <w:rFonts w:hint="eastAsia"/>
          <w:bCs/>
          <w:sz w:val="24"/>
        </w:rPr>
        <w:t>室</w:t>
      </w:r>
      <w:r w:rsidRPr="001A6522">
        <w:rPr>
          <w:bCs/>
          <w:sz w:val="24"/>
        </w:rPr>
        <w:t xml:space="preserve"> </w:t>
      </w:r>
    </w:p>
    <w:p w14:paraId="00CDC079" w14:textId="77777777" w:rsidR="009912D6" w:rsidRPr="001A6522" w:rsidRDefault="009912D6" w:rsidP="009912D6">
      <w:pPr>
        <w:spacing w:line="360" w:lineRule="auto"/>
        <w:ind w:firstLineChars="200" w:firstLine="480"/>
        <w:rPr>
          <w:bCs/>
          <w:sz w:val="24"/>
        </w:rPr>
      </w:pPr>
      <w:r w:rsidRPr="001A6522">
        <w:rPr>
          <w:bCs/>
          <w:sz w:val="24"/>
        </w:rPr>
        <w:t>办公地址：上海市</w:t>
      </w:r>
      <w:r w:rsidRPr="001A6522">
        <w:rPr>
          <w:rFonts w:hint="eastAsia"/>
          <w:bCs/>
          <w:sz w:val="24"/>
        </w:rPr>
        <w:t>黄浦区外马路</w:t>
      </w:r>
      <w:r w:rsidRPr="001A6522">
        <w:rPr>
          <w:rFonts w:hint="eastAsia"/>
          <w:bCs/>
          <w:sz w:val="24"/>
        </w:rPr>
        <w:t>728</w:t>
      </w:r>
      <w:r w:rsidRPr="001A6522">
        <w:rPr>
          <w:rFonts w:hint="eastAsia"/>
          <w:bCs/>
          <w:sz w:val="24"/>
        </w:rPr>
        <w:t>号</w:t>
      </w:r>
    </w:p>
    <w:p w14:paraId="705D943B" w14:textId="77777777" w:rsidR="009912D6" w:rsidRPr="001A6522" w:rsidRDefault="009912D6" w:rsidP="009912D6">
      <w:pPr>
        <w:spacing w:line="360" w:lineRule="auto"/>
        <w:ind w:firstLineChars="200" w:firstLine="480"/>
        <w:rPr>
          <w:bCs/>
          <w:sz w:val="24"/>
        </w:rPr>
      </w:pPr>
      <w:r w:rsidRPr="001A6522">
        <w:rPr>
          <w:bCs/>
          <w:sz w:val="24"/>
        </w:rPr>
        <w:t>法定代表人：李文</w:t>
      </w:r>
    </w:p>
    <w:p w14:paraId="510C9711" w14:textId="77777777" w:rsidR="009912D6" w:rsidRPr="001A6522" w:rsidRDefault="009912D6" w:rsidP="009912D6">
      <w:pPr>
        <w:spacing w:line="360" w:lineRule="auto"/>
        <w:ind w:firstLineChars="200" w:firstLine="480"/>
        <w:rPr>
          <w:bCs/>
          <w:sz w:val="24"/>
        </w:rPr>
      </w:pPr>
      <w:r w:rsidRPr="001A6522">
        <w:rPr>
          <w:bCs/>
          <w:sz w:val="24"/>
        </w:rPr>
        <w:t>成立时间：</w:t>
      </w:r>
      <w:smartTag w:uri="urn:schemas-microsoft-com:office:smarttags" w:element="chsdate">
        <w:smartTagPr>
          <w:attr w:name="Year" w:val="2005"/>
          <w:attr w:name="Month" w:val="2"/>
          <w:attr w:name="Day" w:val="3"/>
          <w:attr w:name="IsLunarDate" w:val="False"/>
          <w:attr w:name="IsROCDate" w:val="False"/>
        </w:smartTagPr>
        <w:r w:rsidRPr="001A6522">
          <w:rPr>
            <w:bCs/>
            <w:sz w:val="24"/>
          </w:rPr>
          <w:t>2005</w:t>
        </w:r>
        <w:r w:rsidRPr="001A6522">
          <w:rPr>
            <w:bCs/>
            <w:sz w:val="24"/>
          </w:rPr>
          <w:t>年</w:t>
        </w:r>
        <w:r w:rsidRPr="001A6522">
          <w:rPr>
            <w:bCs/>
            <w:sz w:val="24"/>
          </w:rPr>
          <w:t>2</w:t>
        </w:r>
        <w:r w:rsidRPr="001A6522">
          <w:rPr>
            <w:bCs/>
            <w:sz w:val="24"/>
          </w:rPr>
          <w:t>月</w:t>
        </w:r>
        <w:r w:rsidRPr="001A6522">
          <w:rPr>
            <w:bCs/>
            <w:sz w:val="24"/>
          </w:rPr>
          <w:t>3</w:t>
        </w:r>
        <w:r w:rsidRPr="001A6522">
          <w:rPr>
            <w:bCs/>
            <w:sz w:val="24"/>
          </w:rPr>
          <w:t>日</w:t>
        </w:r>
      </w:smartTag>
      <w:r w:rsidRPr="001A6522">
        <w:rPr>
          <w:bCs/>
          <w:sz w:val="24"/>
        </w:rPr>
        <w:t xml:space="preserve"> </w:t>
      </w:r>
    </w:p>
    <w:p w14:paraId="6B0C4150" w14:textId="77777777" w:rsidR="009912D6" w:rsidRPr="001A6522" w:rsidRDefault="009912D6" w:rsidP="009912D6">
      <w:pPr>
        <w:spacing w:line="360" w:lineRule="auto"/>
        <w:ind w:firstLineChars="200" w:firstLine="480"/>
        <w:rPr>
          <w:bCs/>
          <w:sz w:val="24"/>
        </w:rPr>
      </w:pPr>
      <w:r w:rsidRPr="001A6522">
        <w:rPr>
          <w:bCs/>
          <w:sz w:val="24"/>
        </w:rPr>
        <w:t>批准设立机关：中国证监会</w:t>
      </w:r>
      <w:r w:rsidRPr="001A6522">
        <w:rPr>
          <w:bCs/>
          <w:sz w:val="24"/>
        </w:rPr>
        <w:t xml:space="preserve"> </w:t>
      </w:r>
    </w:p>
    <w:p w14:paraId="5032879B" w14:textId="77777777" w:rsidR="009912D6" w:rsidRPr="001A6522" w:rsidRDefault="009912D6" w:rsidP="009912D6">
      <w:pPr>
        <w:spacing w:line="360" w:lineRule="auto"/>
        <w:ind w:firstLineChars="200" w:firstLine="480"/>
        <w:rPr>
          <w:bCs/>
          <w:sz w:val="24"/>
        </w:rPr>
      </w:pPr>
      <w:r w:rsidRPr="001A6522">
        <w:rPr>
          <w:bCs/>
          <w:sz w:val="24"/>
        </w:rPr>
        <w:t>批准设立文号：证监基金字</w:t>
      </w:r>
      <w:r w:rsidRPr="001A6522">
        <w:rPr>
          <w:bCs/>
          <w:sz w:val="24"/>
        </w:rPr>
        <w:t>[2005]5</w:t>
      </w:r>
      <w:r w:rsidRPr="001A6522">
        <w:rPr>
          <w:bCs/>
          <w:sz w:val="24"/>
        </w:rPr>
        <w:t>号</w:t>
      </w:r>
      <w:r w:rsidRPr="001A6522">
        <w:rPr>
          <w:bCs/>
          <w:sz w:val="24"/>
        </w:rPr>
        <w:t xml:space="preserve"> </w:t>
      </w:r>
    </w:p>
    <w:p w14:paraId="3D8934BA" w14:textId="77777777" w:rsidR="009912D6" w:rsidRPr="001A6522" w:rsidRDefault="009912D6" w:rsidP="009912D6">
      <w:pPr>
        <w:spacing w:line="360" w:lineRule="auto"/>
        <w:ind w:firstLineChars="200" w:firstLine="480"/>
        <w:rPr>
          <w:bCs/>
          <w:sz w:val="24"/>
        </w:rPr>
      </w:pPr>
      <w:r w:rsidRPr="001A6522">
        <w:rPr>
          <w:bCs/>
          <w:sz w:val="24"/>
        </w:rPr>
        <w:t>注册资本：人民币</w:t>
      </w:r>
      <w:r w:rsidRPr="001A6522">
        <w:rPr>
          <w:bCs/>
          <w:sz w:val="24"/>
        </w:rPr>
        <w:t>1</w:t>
      </w:r>
      <w:r w:rsidRPr="001A6522">
        <w:rPr>
          <w:rFonts w:hint="eastAsia"/>
          <w:bCs/>
          <w:sz w:val="24"/>
        </w:rPr>
        <w:t>3272</w:t>
      </w:r>
      <w:r w:rsidRPr="001A6522">
        <w:rPr>
          <w:bCs/>
          <w:sz w:val="24"/>
        </w:rPr>
        <w:t>.</w:t>
      </w:r>
      <w:r w:rsidRPr="001A6522">
        <w:rPr>
          <w:rFonts w:hint="eastAsia"/>
          <w:bCs/>
          <w:sz w:val="24"/>
        </w:rPr>
        <w:t>4224</w:t>
      </w:r>
      <w:r w:rsidRPr="001A6522">
        <w:rPr>
          <w:bCs/>
          <w:sz w:val="24"/>
        </w:rPr>
        <w:t>万元</w:t>
      </w:r>
      <w:r w:rsidRPr="001A6522">
        <w:rPr>
          <w:bCs/>
          <w:sz w:val="24"/>
        </w:rPr>
        <w:t xml:space="preserve"> </w:t>
      </w:r>
    </w:p>
    <w:p w14:paraId="53B8A13B" w14:textId="77777777" w:rsidR="009912D6" w:rsidRPr="001A6522" w:rsidRDefault="009912D6" w:rsidP="009912D6">
      <w:pPr>
        <w:spacing w:line="360" w:lineRule="auto"/>
        <w:ind w:firstLineChars="200" w:firstLine="480"/>
        <w:rPr>
          <w:bCs/>
          <w:sz w:val="24"/>
        </w:rPr>
      </w:pPr>
      <w:r w:rsidRPr="001A6522">
        <w:rPr>
          <w:rFonts w:hint="eastAsia"/>
          <w:bCs/>
          <w:sz w:val="24"/>
        </w:rPr>
        <w:t>联系人：李鹏</w:t>
      </w:r>
    </w:p>
    <w:p w14:paraId="6D0E3038" w14:textId="77777777" w:rsidR="009912D6" w:rsidRPr="001A6522" w:rsidRDefault="009912D6" w:rsidP="009912D6">
      <w:pPr>
        <w:spacing w:line="360" w:lineRule="auto"/>
        <w:ind w:firstLineChars="200" w:firstLine="480"/>
        <w:rPr>
          <w:bCs/>
          <w:sz w:val="24"/>
        </w:rPr>
      </w:pPr>
      <w:r w:rsidRPr="001A6522">
        <w:rPr>
          <w:bCs/>
          <w:sz w:val="24"/>
        </w:rPr>
        <w:t>联系电话：（</w:t>
      </w:r>
      <w:r w:rsidRPr="001A6522">
        <w:rPr>
          <w:bCs/>
          <w:sz w:val="24"/>
        </w:rPr>
        <w:t>021</w:t>
      </w:r>
      <w:r w:rsidRPr="001A6522">
        <w:rPr>
          <w:bCs/>
          <w:sz w:val="24"/>
        </w:rPr>
        <w:t>）</w:t>
      </w:r>
      <w:r w:rsidRPr="001A6522">
        <w:rPr>
          <w:bCs/>
          <w:sz w:val="24"/>
        </w:rPr>
        <w:t xml:space="preserve">28932888 </w:t>
      </w:r>
    </w:p>
    <w:p w14:paraId="545CC1BD" w14:textId="77777777" w:rsidR="009912D6" w:rsidRPr="001A6522" w:rsidRDefault="009912D6" w:rsidP="009912D6">
      <w:pPr>
        <w:spacing w:line="360" w:lineRule="auto"/>
        <w:ind w:firstLineChars="200" w:firstLine="480"/>
        <w:rPr>
          <w:bCs/>
          <w:sz w:val="24"/>
        </w:rPr>
      </w:pPr>
      <w:r w:rsidRPr="001A6522">
        <w:rPr>
          <w:bCs/>
          <w:sz w:val="24"/>
        </w:rPr>
        <w:t>股东名称及其出资比例：</w:t>
      </w:r>
      <w:r w:rsidRPr="001A6522">
        <w:rPr>
          <w:bCs/>
          <w:sz w:val="24"/>
        </w:rPr>
        <w:t xml:space="preserve"> </w:t>
      </w:r>
    </w:p>
    <w:tbl>
      <w:tblPr>
        <w:tblW w:w="793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gridCol w:w="2552"/>
      </w:tblGrid>
      <w:tr w:rsidR="009912D6" w:rsidRPr="001A6522" w14:paraId="059C1F72" w14:textId="77777777" w:rsidTr="009912D6">
        <w:tc>
          <w:tcPr>
            <w:tcW w:w="5386" w:type="dxa"/>
            <w:shd w:val="clear" w:color="auto" w:fill="auto"/>
          </w:tcPr>
          <w:p w14:paraId="058150FF" w14:textId="77777777" w:rsidR="009912D6" w:rsidRPr="001A6522" w:rsidRDefault="009912D6" w:rsidP="009912D6">
            <w:pPr>
              <w:widowControl/>
              <w:spacing w:line="360" w:lineRule="auto"/>
              <w:jc w:val="center"/>
              <w:rPr>
                <w:kern w:val="0"/>
                <w:sz w:val="24"/>
              </w:rPr>
            </w:pPr>
            <w:r w:rsidRPr="001A6522">
              <w:rPr>
                <w:kern w:val="0"/>
                <w:sz w:val="24"/>
              </w:rPr>
              <w:t>股东名称</w:t>
            </w:r>
          </w:p>
        </w:tc>
        <w:tc>
          <w:tcPr>
            <w:tcW w:w="2552" w:type="dxa"/>
            <w:shd w:val="clear" w:color="auto" w:fill="auto"/>
          </w:tcPr>
          <w:p w14:paraId="4D0CF83D" w14:textId="77777777" w:rsidR="009912D6" w:rsidRPr="001A6522" w:rsidRDefault="009912D6" w:rsidP="009912D6">
            <w:pPr>
              <w:widowControl/>
              <w:spacing w:line="360" w:lineRule="auto"/>
              <w:jc w:val="center"/>
              <w:rPr>
                <w:kern w:val="0"/>
                <w:sz w:val="24"/>
              </w:rPr>
            </w:pPr>
            <w:r w:rsidRPr="001A6522">
              <w:rPr>
                <w:kern w:val="0"/>
                <w:sz w:val="24"/>
              </w:rPr>
              <w:t>股权比例</w:t>
            </w:r>
          </w:p>
        </w:tc>
      </w:tr>
      <w:tr w:rsidR="009912D6" w:rsidRPr="001A6522" w14:paraId="24F92327" w14:textId="77777777" w:rsidTr="009912D6">
        <w:tc>
          <w:tcPr>
            <w:tcW w:w="5386" w:type="dxa"/>
            <w:shd w:val="clear" w:color="auto" w:fill="auto"/>
            <w:vAlign w:val="center"/>
          </w:tcPr>
          <w:p w14:paraId="516EFF60" w14:textId="77777777" w:rsidR="009912D6" w:rsidRPr="001A6522" w:rsidRDefault="009912D6" w:rsidP="009912D6">
            <w:pPr>
              <w:widowControl/>
              <w:spacing w:line="360" w:lineRule="auto"/>
              <w:rPr>
                <w:kern w:val="0"/>
                <w:sz w:val="24"/>
              </w:rPr>
            </w:pPr>
            <w:r w:rsidRPr="001A6522">
              <w:rPr>
                <w:kern w:val="0"/>
                <w:sz w:val="24"/>
              </w:rPr>
              <w:t>东方证券股份有限公司</w:t>
            </w:r>
          </w:p>
        </w:tc>
        <w:tc>
          <w:tcPr>
            <w:tcW w:w="2552" w:type="dxa"/>
            <w:shd w:val="clear" w:color="auto" w:fill="auto"/>
            <w:vAlign w:val="center"/>
          </w:tcPr>
          <w:p w14:paraId="2A47F119" w14:textId="77777777" w:rsidR="009912D6" w:rsidRPr="001A6522" w:rsidRDefault="009912D6" w:rsidP="009912D6">
            <w:pPr>
              <w:widowControl/>
              <w:spacing w:line="360" w:lineRule="auto"/>
              <w:jc w:val="center"/>
              <w:rPr>
                <w:kern w:val="0"/>
                <w:sz w:val="24"/>
              </w:rPr>
            </w:pPr>
            <w:r w:rsidRPr="001A6522">
              <w:rPr>
                <w:rFonts w:hint="eastAsia"/>
                <w:kern w:val="0"/>
                <w:sz w:val="24"/>
              </w:rPr>
              <w:t>35.412</w:t>
            </w:r>
            <w:r w:rsidRPr="001A6522">
              <w:rPr>
                <w:kern w:val="0"/>
                <w:sz w:val="24"/>
              </w:rPr>
              <w:t>%</w:t>
            </w:r>
          </w:p>
        </w:tc>
      </w:tr>
      <w:tr w:rsidR="009912D6" w:rsidRPr="001A6522" w14:paraId="0C27C1B6" w14:textId="77777777" w:rsidTr="009912D6">
        <w:tc>
          <w:tcPr>
            <w:tcW w:w="5386" w:type="dxa"/>
            <w:shd w:val="clear" w:color="auto" w:fill="auto"/>
            <w:vAlign w:val="center"/>
          </w:tcPr>
          <w:p w14:paraId="04C64532" w14:textId="77777777" w:rsidR="009912D6" w:rsidRPr="001A6522" w:rsidRDefault="009912D6" w:rsidP="009912D6">
            <w:pPr>
              <w:widowControl/>
              <w:spacing w:line="360" w:lineRule="auto"/>
              <w:rPr>
                <w:kern w:val="0"/>
                <w:sz w:val="24"/>
              </w:rPr>
            </w:pPr>
            <w:r w:rsidRPr="001A6522">
              <w:rPr>
                <w:kern w:val="0"/>
                <w:sz w:val="24"/>
              </w:rPr>
              <w:t>上海菁聚金投资管理合伙企业（有限合伙）</w:t>
            </w:r>
          </w:p>
        </w:tc>
        <w:tc>
          <w:tcPr>
            <w:tcW w:w="2552" w:type="dxa"/>
            <w:shd w:val="clear" w:color="auto" w:fill="auto"/>
            <w:vAlign w:val="center"/>
          </w:tcPr>
          <w:p w14:paraId="45594137" w14:textId="77777777" w:rsidR="009912D6" w:rsidRPr="001A6522" w:rsidRDefault="009912D6" w:rsidP="009912D6">
            <w:pPr>
              <w:widowControl/>
              <w:spacing w:line="360" w:lineRule="auto"/>
              <w:jc w:val="center"/>
              <w:rPr>
                <w:kern w:val="0"/>
                <w:sz w:val="24"/>
              </w:rPr>
            </w:pPr>
            <w:r w:rsidRPr="001A6522">
              <w:rPr>
                <w:kern w:val="0"/>
                <w:sz w:val="24"/>
              </w:rPr>
              <w:t>2</w:t>
            </w:r>
            <w:r w:rsidRPr="001A6522">
              <w:rPr>
                <w:rFonts w:hint="eastAsia"/>
                <w:kern w:val="0"/>
                <w:sz w:val="24"/>
              </w:rPr>
              <w:t>4.656</w:t>
            </w:r>
            <w:r w:rsidRPr="001A6522">
              <w:rPr>
                <w:kern w:val="0"/>
                <w:sz w:val="24"/>
              </w:rPr>
              <w:t>%</w:t>
            </w:r>
          </w:p>
        </w:tc>
      </w:tr>
      <w:tr w:rsidR="009912D6" w:rsidRPr="001A6522" w14:paraId="3093B6A7" w14:textId="77777777" w:rsidTr="009912D6">
        <w:trPr>
          <w:trHeight w:val="429"/>
        </w:trPr>
        <w:tc>
          <w:tcPr>
            <w:tcW w:w="5386" w:type="dxa"/>
            <w:shd w:val="clear" w:color="auto" w:fill="auto"/>
            <w:vAlign w:val="center"/>
          </w:tcPr>
          <w:p w14:paraId="6C3F17B7" w14:textId="77777777" w:rsidR="009912D6" w:rsidRPr="001A6522" w:rsidRDefault="009912D6" w:rsidP="009912D6">
            <w:pPr>
              <w:widowControl/>
              <w:spacing w:line="360" w:lineRule="auto"/>
              <w:rPr>
                <w:kern w:val="0"/>
                <w:sz w:val="24"/>
              </w:rPr>
            </w:pPr>
            <w:r w:rsidRPr="001A6522">
              <w:rPr>
                <w:rFonts w:hint="eastAsia"/>
                <w:kern w:val="0"/>
                <w:sz w:val="24"/>
              </w:rPr>
              <w:t>上海上报资产管理有限公司</w:t>
            </w:r>
          </w:p>
        </w:tc>
        <w:tc>
          <w:tcPr>
            <w:tcW w:w="2552" w:type="dxa"/>
            <w:shd w:val="clear" w:color="auto" w:fill="auto"/>
            <w:vAlign w:val="center"/>
          </w:tcPr>
          <w:p w14:paraId="4B7DB4F3" w14:textId="77777777" w:rsidR="009912D6" w:rsidRPr="001A6522" w:rsidRDefault="009912D6" w:rsidP="009912D6">
            <w:pPr>
              <w:widowControl/>
              <w:spacing w:line="360" w:lineRule="auto"/>
              <w:jc w:val="center"/>
              <w:rPr>
                <w:kern w:val="0"/>
                <w:sz w:val="24"/>
              </w:rPr>
            </w:pPr>
            <w:r w:rsidRPr="001A6522">
              <w:rPr>
                <w:rFonts w:hint="eastAsia"/>
                <w:kern w:val="0"/>
                <w:sz w:val="24"/>
              </w:rPr>
              <w:t>19.966</w:t>
            </w:r>
            <w:r w:rsidRPr="001A6522">
              <w:rPr>
                <w:kern w:val="0"/>
                <w:sz w:val="24"/>
              </w:rPr>
              <w:t>%</w:t>
            </w:r>
          </w:p>
        </w:tc>
      </w:tr>
      <w:tr w:rsidR="009912D6" w:rsidRPr="001A6522" w14:paraId="1CF5BB86" w14:textId="77777777" w:rsidTr="009912D6">
        <w:tc>
          <w:tcPr>
            <w:tcW w:w="5386" w:type="dxa"/>
            <w:shd w:val="clear" w:color="auto" w:fill="auto"/>
            <w:vAlign w:val="center"/>
          </w:tcPr>
          <w:p w14:paraId="2DD2FF7C" w14:textId="77777777" w:rsidR="009912D6" w:rsidRPr="001A6522" w:rsidRDefault="009912D6" w:rsidP="009912D6">
            <w:pPr>
              <w:widowControl/>
              <w:spacing w:line="360" w:lineRule="auto"/>
              <w:rPr>
                <w:kern w:val="0"/>
                <w:sz w:val="24"/>
              </w:rPr>
            </w:pPr>
            <w:r w:rsidRPr="001A6522">
              <w:rPr>
                <w:rFonts w:hint="eastAsia"/>
                <w:kern w:val="0"/>
                <w:sz w:val="24"/>
              </w:rPr>
              <w:t>东航金控有限责任公司</w:t>
            </w:r>
          </w:p>
        </w:tc>
        <w:tc>
          <w:tcPr>
            <w:tcW w:w="2552" w:type="dxa"/>
            <w:shd w:val="clear" w:color="auto" w:fill="auto"/>
            <w:vAlign w:val="center"/>
          </w:tcPr>
          <w:p w14:paraId="129FF138" w14:textId="77777777" w:rsidR="009912D6" w:rsidRPr="001A6522" w:rsidRDefault="009912D6" w:rsidP="009912D6">
            <w:pPr>
              <w:widowControl/>
              <w:spacing w:line="360" w:lineRule="auto"/>
              <w:jc w:val="center"/>
              <w:rPr>
                <w:kern w:val="0"/>
                <w:sz w:val="24"/>
              </w:rPr>
            </w:pPr>
            <w:r w:rsidRPr="001A6522">
              <w:rPr>
                <w:rFonts w:hint="eastAsia"/>
                <w:kern w:val="0"/>
                <w:sz w:val="24"/>
              </w:rPr>
              <w:t>19.966</w:t>
            </w:r>
            <w:r w:rsidRPr="001A6522">
              <w:rPr>
                <w:kern w:val="0"/>
                <w:sz w:val="24"/>
              </w:rPr>
              <w:t>%</w:t>
            </w:r>
          </w:p>
        </w:tc>
      </w:tr>
      <w:tr w:rsidR="009912D6" w:rsidRPr="001A6522" w14:paraId="68267123" w14:textId="77777777" w:rsidTr="009912D6">
        <w:tc>
          <w:tcPr>
            <w:tcW w:w="5386" w:type="dxa"/>
            <w:shd w:val="clear" w:color="auto" w:fill="auto"/>
            <w:vAlign w:val="center"/>
          </w:tcPr>
          <w:p w14:paraId="1A27D6C7" w14:textId="77777777" w:rsidR="009912D6" w:rsidRPr="001A6522" w:rsidRDefault="009912D6" w:rsidP="009912D6">
            <w:pPr>
              <w:widowControl/>
              <w:spacing w:line="360" w:lineRule="auto"/>
              <w:rPr>
                <w:kern w:val="0"/>
                <w:sz w:val="24"/>
              </w:rPr>
            </w:pPr>
            <w:r w:rsidRPr="001A6522">
              <w:rPr>
                <w:kern w:val="0"/>
                <w:sz w:val="24"/>
              </w:rPr>
              <w:t>合计</w:t>
            </w:r>
          </w:p>
        </w:tc>
        <w:tc>
          <w:tcPr>
            <w:tcW w:w="2552" w:type="dxa"/>
            <w:shd w:val="clear" w:color="auto" w:fill="auto"/>
            <w:vAlign w:val="center"/>
          </w:tcPr>
          <w:p w14:paraId="056754A2" w14:textId="77777777" w:rsidR="009912D6" w:rsidRPr="001A6522" w:rsidRDefault="009912D6" w:rsidP="009912D6">
            <w:pPr>
              <w:widowControl/>
              <w:spacing w:line="360" w:lineRule="auto"/>
              <w:jc w:val="center"/>
              <w:rPr>
                <w:kern w:val="0"/>
                <w:sz w:val="24"/>
              </w:rPr>
            </w:pPr>
            <w:r w:rsidRPr="001A6522">
              <w:rPr>
                <w:kern w:val="0"/>
                <w:sz w:val="24"/>
              </w:rPr>
              <w:t>100%</w:t>
            </w:r>
          </w:p>
        </w:tc>
      </w:tr>
    </w:tbl>
    <w:p w14:paraId="25CF44F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二、主要人员情况</w:t>
      </w:r>
    </w:p>
    <w:p w14:paraId="0DFBB480" w14:textId="77777777" w:rsidR="004B277D" w:rsidRPr="004B277D" w:rsidRDefault="004B277D" w:rsidP="004B277D">
      <w:pPr>
        <w:spacing w:line="360" w:lineRule="auto"/>
        <w:ind w:firstLine="420"/>
        <w:rPr>
          <w:rFonts w:ascii="宋体" w:hAnsi="宋体"/>
          <w:bCs/>
          <w:sz w:val="24"/>
          <w:szCs w:val="24"/>
        </w:rPr>
      </w:pPr>
      <w:r w:rsidRPr="004B277D">
        <w:rPr>
          <w:rFonts w:ascii="宋体" w:hAnsi="宋体" w:hint="eastAsia"/>
          <w:bCs/>
          <w:sz w:val="24"/>
          <w:szCs w:val="24"/>
        </w:rPr>
        <w:t>1、董事会成员</w:t>
      </w:r>
    </w:p>
    <w:p w14:paraId="1FE20E30"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李文先生，2015年4月16日起担任董事长。中国籍，1967 年出生，厦门大学会计学博士。现任汇添富基金管理股份有限公司董事长，汇添富资产管理(香港)有限公司董事长。历任中国人民银行厦门市分行稽核处科长，中国人民银行杏林支行、国家外汇管理局杏林支局副行长、副局长，中国人民银行厦门市中心支行银行监管一处、二处副处长，东方证券有限责任公司资金财务管理总部副总经理，稽核总部总经理，东方证券股份有限公司资金财务管理总部总经理，汇添富基金管理股份有限公司督察长。其他现任职务包括中国证券投资基金业协会副</w:t>
      </w:r>
      <w:r w:rsidRPr="00D12E6A">
        <w:rPr>
          <w:rFonts w:ascii="宋体" w:hAnsi="宋体" w:hint="eastAsia"/>
          <w:bCs/>
          <w:sz w:val="24"/>
          <w:szCs w:val="24"/>
        </w:rPr>
        <w:lastRenderedPageBreak/>
        <w:t>会长、合规与风险管理专业委员会主席，上海资产管理协会会长，深圳证券交易所理事会创业板股票发行规范委员会委员等。</w:t>
      </w:r>
    </w:p>
    <w:p w14:paraId="3E471391"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李芸女士，2023年8月22日起担任董事。中国籍，1964年出生，华东师范大学经济学硕士，高级编辑。现任上海报业集团党委书记、社长。历任上海第四师范学校团委书记、教师；共青团卢湾区委学校部副部长、部长、副书记，卢湾区妇女联合会副主任，卢湾区委办公室副主任，卢湾区五里桥街道党工委书记，卢湾区委常委、宣传部部长；闵行区委常委、宣传部部长；解放日报报业集团党委副书记、纪委书记，解放日报党委书记；上海报业集团党委副书记，解放日报社党委书记、社长。其他现任职务包括全国第十四届政协委员，中共上海市第十一届、第十二届委员会委员，中国报业协会副理事长，上海众源资本管理有限公司董事长，东方证券股份有限公司董事。</w:t>
      </w:r>
    </w:p>
    <w:p w14:paraId="47C66A22"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林福杰先生，2018年3月21日起担任董事。中国籍，1971年出生，上海交通大学工商管理硕士。现任东航金控有限责任公司董事、总经理、党委副书记，东航国际控股（香港）有限公司董事，汇添富基金管理股份有限公司董事。曾任东航期货有限责任公司部门经理，东航集团财务有限责任公司副总经理、董事长，东航国际融资租赁有限公司董事、董事长，东航国际金融（香港）有限公司董事，国泰人寿保险有限责任公司董事、副总经理，东航金控有限责任公司党委书记、副总经理等。</w:t>
      </w:r>
    </w:p>
    <w:p w14:paraId="21E266A1"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张晖先生，2015年4月16日起担任董事，总经理。中国籍，1971年出生，上海财经大学数量经济学硕士。现任汇添富基金管理股份有限公司总经理，汇添富资本管理有限公司董事长。历任申银万国证券研究所高级分析师，富国基金管理有限公司高级分析师、研究主管和基金经理，汇添富基金管理股份有限公司副总经理、投资总监、投资决策委员会副主席，曾担任中国证券监督管理委员会第十届和第十一届发行审核委员会委员。</w:t>
      </w:r>
    </w:p>
    <w:p w14:paraId="058804E2"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魏尚进（SHANG JIN WEI）先生，2020年1月9日起担任汇添富基金独立董事。美国籍，1964年出生，加州大学伯克利分校经济学博士。现任复旦泛海国际金融学院学术访问学者、美国哥伦比亚大学终身讲席教授、美国国民经济研究局研究员、欧洲经济政策研究中心研究员、深圳高等金融研究院理事、香港金融管理局金融研究院顾问等。曾于2014-2016年间任亚洲开发银行首位华人首席经济</w:t>
      </w:r>
      <w:r w:rsidRPr="00D12E6A">
        <w:rPr>
          <w:rFonts w:ascii="宋体" w:hAnsi="宋体" w:hint="eastAsia"/>
          <w:bCs/>
          <w:sz w:val="24"/>
          <w:szCs w:val="24"/>
        </w:rPr>
        <w:lastRenderedPageBreak/>
        <w:t>学家兼区域合作与经济研究局局长。其它既往职务包括哈佛大学肯尼迪政府学院副教授、国际货币基金组织贸易与投资研究主管、世界银行顾问、美国联邦储备系统董事局访问学者等。</w:t>
      </w:r>
    </w:p>
    <w:p w14:paraId="4E301623"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黄钰昌（HWANG YUH-CHANG）先生，2021年9月23日起担任汇添富基金独立董事。美国籍，1955年出生，加州大学伯克利分校会计学博士。现任中欧国际工商学院会计学终身荣誉教授、卓越服务研究领域主任和DBA课程学术主任，美国亚利桑那大学荣退教授，教学和研究领域包括管理会计、公司治理、激励合同设计、绩效评估、医疗成本和质量管理。曾任美国匹兹堡大学凯兹商学院助理教授、美国亚利桑那州立大学凯瑞商学院会计系终身教授，曾于2007-2009年间被选为美国会计学会的管理会计学会秘书长。</w:t>
      </w:r>
    </w:p>
    <w:p w14:paraId="25CE13DC"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连平先生，2021年9月23日起担任汇添富基金独立董事。中国籍，1956年出生，华东师范大学金融专业博士，教授，博士生导师。现任中国首席经济学家论坛理事长、中国金融论坛创始成员、上海市经济学会副会长、华东师范大学经济与管理学部名誉主任、复旦大学管理学院特聘教授、上海交通大学上海高级金融学院兼聘教授、上海首席经济学家金融发展中心理事长。曾任中国金融40人论坛常务理事和特邀成员、中国银行业协会行业发展研究委员会主任，2007-2019任交通银行首席经济学家，多次出席党和国家领导人主持的专家会议，多次担任上海市人民政府决策咨询特聘专家，享受国务院政府特殊津贴。</w:t>
      </w:r>
    </w:p>
    <w:p w14:paraId="6DDC9BE9"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2、监事会成员</w:t>
      </w:r>
    </w:p>
    <w:p w14:paraId="4356344D"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毛海东先生，2015年6月30日起担任监事，2021年9月23日起担任监事会主席。中国籍，1978年出生，上海财经大学经济学硕士。现任东航私募基金管理有限公司总经理、董事长，东航国际控股（香港）有限公司董事，东航国际金融（香港）有限公司董事，汇添富基金管理股份有限公司监事。曾任东航期货有限责任公司总经理、董事长、党总支书记，东航金控有限责任公司财富管理中心总经理、总经理助理，曾任职于东航集团财务有限责任公司等。</w:t>
      </w:r>
    </w:p>
    <w:p w14:paraId="5D215526"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王如富先生，2015年9月8日起担任监事。中国籍，1973年出生，浙江大学硕士研究生，注册会计师。现任东方证券股份有限公司董事会秘书兼董事会办公室主任。历任申银万国证券计划统筹总部综合计划部专员、发展协调办公室专员，金信证券规划发展总部总经理助理、秘书处副主任（主持工作），东方证券</w:t>
      </w:r>
      <w:r w:rsidRPr="00D12E6A">
        <w:rPr>
          <w:rFonts w:ascii="宋体" w:hAnsi="宋体" w:hint="eastAsia"/>
          <w:bCs/>
          <w:sz w:val="24"/>
          <w:szCs w:val="24"/>
        </w:rPr>
        <w:lastRenderedPageBreak/>
        <w:t>研究所证券市场战略资深研究员、董事会办公室资深主管、主任助理、副主任。</w:t>
      </w:r>
    </w:p>
    <w:p w14:paraId="62CC7136"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邹捷先生，2023年8月22日起担任监事。中国籍，1970年出生，复旦大学会计专业硕士，高级会计师。现任上海报业集团资产运营部主任。历任上海焦化总厂财务处职员，中国华源集团有限公司财务部职员，中国华源集团有限公司驻英国办事处总经理助理，中国华源集团有限公司机电进出口事业部财务经理，中国华源集团生命产业有限公司医疗健康事业部财务副处长，上海华源热疗技术有限公司财务经理，解放日报报业集团计划财务处处长助理，解放日报报业集团计划财务处副处长，解放日报报业集团计划财务处处长，上海报业集团财务管理部常务副主任。</w:t>
      </w:r>
    </w:p>
    <w:p w14:paraId="58201FB9"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王静女士，2008年2月23日起担任职工监事。中国籍，1977年出生，复旦大学EMBA。现任汇添富基金管理股份有限公司私人财富管理中心总监。曾任职于中国东方航空集团公司宣传部，东航金控有限责任公司研究发展部。</w:t>
      </w:r>
    </w:p>
    <w:p w14:paraId="636DE6C1"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林旋女士，2008年2月23日起担任职工监事。中国籍，1977年出生，华东政法学院法学硕士。现任汇添富基金管理股份有限公司董事会办公室副总监，汇添富资本管理有限公司监事。曾任职于东方证券股份有限公司办公室。</w:t>
      </w:r>
    </w:p>
    <w:p w14:paraId="0A3A5F32"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陈杰先生，2013年8月8日起担任职工监事。中国籍，1979年出生，北京大学理学博士。现任汇添富基金管理股份有限公司综合办公室总监。曾任职于罗兰贝格管理咨询有限公司，泰科电子（上海）有限公司能源事业部。</w:t>
      </w:r>
    </w:p>
    <w:p w14:paraId="7C62B5E9"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3、高管人员</w:t>
      </w:r>
    </w:p>
    <w:p w14:paraId="71E9A70C"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李文先生，董事长。（简历请参见上述董事会成员介绍）</w:t>
      </w:r>
    </w:p>
    <w:p w14:paraId="2BBA7DDB"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张晖先生，2015年6月25日起担任总经理。（简历请参见上述董事会成员介绍）</w:t>
      </w:r>
    </w:p>
    <w:p w14:paraId="2C7B1633"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雷继明先生，2012年3月7日起担任副总经理。中国籍，1971年出生，工商管理硕士。2011年12月加入汇添富基金管理股份有限公司，现任公司副总经理、市场总监。历任中国民族国际信托投资公司网上交易部副总经理，中国民族证券有限责任公司营业部总经理、经纪业务总监、总裁助理。</w:t>
      </w:r>
    </w:p>
    <w:p w14:paraId="090F5BA0"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娄焱女士，2013年1月7日起担任副总经理。中国籍，1971年出生，金融经济学硕士。2011年4月加入汇添富基金管理股份有限公司，现任公司副总经理。曾在赛格国际信托投资股份有限公司、华夏证券股份有限公司、嘉实基金管</w:t>
      </w:r>
      <w:r w:rsidRPr="00D12E6A">
        <w:rPr>
          <w:rFonts w:ascii="宋体" w:hAnsi="宋体" w:hint="eastAsia"/>
          <w:bCs/>
          <w:sz w:val="24"/>
          <w:szCs w:val="24"/>
        </w:rPr>
        <w:lastRenderedPageBreak/>
        <w:t>理有限公司、招商基金管理有限公司、华夏基金管理有限公司以及富达基金北京与上海代表处工作，负责投资银行、证券投资研究，以及基金产品策划、机构理财等管理工作。</w:t>
      </w:r>
    </w:p>
    <w:p w14:paraId="2D3ACC56"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袁建军先生，2015年8月5日起担任副总经理。中国籍，1972年出生，金融学硕士。2005年4月加入汇添富基金管理股份有限公司，现任公司副总经理、投资决策委员会主席。历任华夏证券股份有限公司研究所行业二部副经理，汇添富基金管理股份有限公司基金经理、专户投资总监、总经理助理，并于2014年至2015年期间担任中国证券监督管理委员会第十六届主板发行审核委员会专职委员。</w:t>
      </w:r>
    </w:p>
    <w:p w14:paraId="43BDD675" w14:textId="77777777" w:rsidR="00D12E6A" w:rsidRPr="00D12E6A" w:rsidRDefault="00D12E6A" w:rsidP="00D12E6A">
      <w:pPr>
        <w:spacing w:line="360" w:lineRule="auto"/>
        <w:ind w:firstLine="420"/>
        <w:rPr>
          <w:rFonts w:ascii="宋体" w:hAnsi="宋体"/>
          <w:bCs/>
          <w:sz w:val="24"/>
          <w:szCs w:val="24"/>
        </w:rPr>
      </w:pPr>
      <w:r w:rsidRPr="00D12E6A">
        <w:rPr>
          <w:rFonts w:ascii="宋体" w:hAnsi="宋体" w:hint="eastAsia"/>
          <w:bCs/>
          <w:sz w:val="24"/>
          <w:szCs w:val="24"/>
        </w:rPr>
        <w:t>李骁先生，2017年3月3日起担任副总经理。中国籍，1969年出生，武汉大学金融学硕士。2016年9月加入汇添富基金管理股份有限公司，现任公司副总经理、首席信息官。历任厦门建行计算机处副处长，厦门建行信用卡部副处长、处长，厦门建行信息技术部处长，建总行北京开发中心负责人，建总行信息技术管理部副总经理，建总行信息技术管理部副总经理兼北京研发中心主任，建总行信息技术管理部资深专员（副总经理级）。</w:t>
      </w:r>
    </w:p>
    <w:p w14:paraId="7AC4F40F" w14:textId="13E3C8C3" w:rsidR="00BB47E0" w:rsidRPr="0025270A" w:rsidRDefault="00D12E6A" w:rsidP="0025270A">
      <w:pPr>
        <w:spacing w:line="360" w:lineRule="auto"/>
        <w:ind w:firstLineChars="200" w:firstLine="480"/>
        <w:rPr>
          <w:bCs/>
          <w:sz w:val="24"/>
        </w:rPr>
      </w:pPr>
      <w:r w:rsidRPr="00D12E6A">
        <w:rPr>
          <w:rFonts w:ascii="宋体" w:hAnsi="宋体" w:hint="eastAsia"/>
          <w:bCs/>
          <w:sz w:val="24"/>
          <w:szCs w:val="24"/>
        </w:rPr>
        <w:t>李鹏先生，2015年6月25日起担任督察长。中国籍，1978年出生，上海财经大学经济学博士。2015年3月加入汇添富基金管理股份有限公司，现任公司督察长。历任上海证监局主任科员、副处长，上海农商银行同业金融部副总经理，汇添富基金管理股份有限公司稽核监察部总监。</w:t>
      </w:r>
    </w:p>
    <w:p w14:paraId="24B477F2" w14:textId="77777777" w:rsidR="00586A97" w:rsidRPr="002D01CC" w:rsidRDefault="0024620C" w:rsidP="002D01CC">
      <w:pPr>
        <w:spacing w:line="360" w:lineRule="auto"/>
        <w:ind w:firstLine="420"/>
        <w:rPr>
          <w:rFonts w:eastAsiaTheme="minorEastAsia"/>
          <w:kern w:val="0"/>
          <w:sz w:val="24"/>
          <w:szCs w:val="24"/>
        </w:rPr>
      </w:pPr>
      <w:r>
        <w:rPr>
          <w:rFonts w:ascii="宋体" w:hAnsi="宋体" w:cs="宋体"/>
          <w:kern w:val="0"/>
          <w:sz w:val="24"/>
          <w:szCs w:val="24"/>
        </w:rPr>
        <w:t>4、基金经理</w:t>
      </w:r>
    </w:p>
    <w:p w14:paraId="3A6A3516" w14:textId="326A041E" w:rsidR="00586A97" w:rsidRPr="00CE4F60" w:rsidRDefault="001352DF" w:rsidP="00CE4F60">
      <w:pPr>
        <w:spacing w:line="360" w:lineRule="auto"/>
        <w:ind w:firstLineChars="200" w:firstLine="480"/>
        <w:rPr>
          <w:bCs/>
          <w:sz w:val="24"/>
        </w:rPr>
      </w:pPr>
      <w:r w:rsidRPr="004F4754">
        <w:rPr>
          <w:rFonts w:hint="eastAsia"/>
          <w:bCs/>
          <w:sz w:val="24"/>
        </w:rPr>
        <w:t>蔡志文，</w:t>
      </w:r>
      <w:r w:rsidR="0025270A" w:rsidRPr="0025270A">
        <w:rPr>
          <w:rFonts w:hint="eastAsia"/>
          <w:bCs/>
          <w:sz w:val="24"/>
        </w:rPr>
        <w:t>国籍：中国。学历：上海财经大学统计学硕士。从业资格：证券投资基金从业资格。从业经历：</w:t>
      </w:r>
      <w:r w:rsidR="0025270A" w:rsidRPr="0025270A">
        <w:rPr>
          <w:rFonts w:hint="eastAsia"/>
          <w:bCs/>
          <w:sz w:val="24"/>
        </w:rPr>
        <w:t>2014</w:t>
      </w:r>
      <w:r w:rsidR="0025270A" w:rsidRPr="0025270A">
        <w:rPr>
          <w:rFonts w:hint="eastAsia"/>
          <w:bCs/>
          <w:sz w:val="24"/>
        </w:rPr>
        <w:t>年</w:t>
      </w:r>
      <w:r w:rsidR="0025270A" w:rsidRPr="0025270A">
        <w:rPr>
          <w:rFonts w:hint="eastAsia"/>
          <w:bCs/>
          <w:sz w:val="24"/>
        </w:rPr>
        <w:t>7</w:t>
      </w:r>
      <w:r w:rsidR="0025270A" w:rsidRPr="0025270A">
        <w:rPr>
          <w:rFonts w:hint="eastAsia"/>
          <w:bCs/>
          <w:sz w:val="24"/>
        </w:rPr>
        <w:t>月加入汇添富基金管理股份有限公司任行业分析师。</w:t>
      </w:r>
      <w:r w:rsidR="0025270A" w:rsidRPr="0025270A">
        <w:rPr>
          <w:rFonts w:hint="eastAsia"/>
          <w:bCs/>
          <w:sz w:val="24"/>
        </w:rPr>
        <w:t>2019</w:t>
      </w:r>
      <w:r w:rsidR="0025270A" w:rsidRPr="0025270A">
        <w:rPr>
          <w:rFonts w:hint="eastAsia"/>
          <w:bCs/>
          <w:sz w:val="24"/>
        </w:rPr>
        <w:t>年</w:t>
      </w:r>
      <w:r w:rsidR="0025270A" w:rsidRPr="0025270A">
        <w:rPr>
          <w:rFonts w:hint="eastAsia"/>
          <w:bCs/>
          <w:sz w:val="24"/>
        </w:rPr>
        <w:t>12</w:t>
      </w:r>
      <w:r w:rsidR="0025270A" w:rsidRPr="0025270A">
        <w:rPr>
          <w:rFonts w:hint="eastAsia"/>
          <w:bCs/>
          <w:sz w:val="24"/>
        </w:rPr>
        <w:t>月</w:t>
      </w:r>
      <w:r w:rsidR="0025270A" w:rsidRPr="0025270A">
        <w:rPr>
          <w:rFonts w:hint="eastAsia"/>
          <w:bCs/>
          <w:sz w:val="24"/>
        </w:rPr>
        <w:t>4</w:t>
      </w:r>
      <w:r w:rsidR="0025270A" w:rsidRPr="0025270A">
        <w:rPr>
          <w:rFonts w:hint="eastAsia"/>
          <w:bCs/>
          <w:sz w:val="24"/>
        </w:rPr>
        <w:t>日至今任汇添富外延增长主题股票型证券投资基金的基金经理。</w:t>
      </w:r>
      <w:r w:rsidR="0025270A" w:rsidRPr="0025270A">
        <w:rPr>
          <w:rFonts w:hint="eastAsia"/>
          <w:bCs/>
          <w:sz w:val="24"/>
        </w:rPr>
        <w:t>2022</w:t>
      </w:r>
      <w:r w:rsidR="0025270A" w:rsidRPr="0025270A">
        <w:rPr>
          <w:rFonts w:hint="eastAsia"/>
          <w:bCs/>
          <w:sz w:val="24"/>
        </w:rPr>
        <w:t>年</w:t>
      </w:r>
      <w:r w:rsidR="0025270A" w:rsidRPr="0025270A">
        <w:rPr>
          <w:rFonts w:hint="eastAsia"/>
          <w:bCs/>
          <w:sz w:val="24"/>
        </w:rPr>
        <w:t>3</w:t>
      </w:r>
      <w:r w:rsidR="0025270A" w:rsidRPr="0025270A">
        <w:rPr>
          <w:rFonts w:hint="eastAsia"/>
          <w:bCs/>
          <w:sz w:val="24"/>
        </w:rPr>
        <w:t>月</w:t>
      </w:r>
      <w:r w:rsidR="0025270A" w:rsidRPr="0025270A">
        <w:rPr>
          <w:rFonts w:hint="eastAsia"/>
          <w:bCs/>
          <w:sz w:val="24"/>
        </w:rPr>
        <w:t>1</w:t>
      </w:r>
      <w:r w:rsidR="0025270A" w:rsidRPr="0025270A">
        <w:rPr>
          <w:rFonts w:hint="eastAsia"/>
          <w:bCs/>
          <w:sz w:val="24"/>
        </w:rPr>
        <w:t>日至今任汇添富品牌力一年持有期混合型证券投资基金的基金经理。</w:t>
      </w:r>
      <w:r w:rsidR="0025270A" w:rsidRPr="0025270A">
        <w:rPr>
          <w:rFonts w:hint="eastAsia"/>
          <w:bCs/>
          <w:sz w:val="24"/>
        </w:rPr>
        <w:t>2023</w:t>
      </w:r>
      <w:r w:rsidR="0025270A" w:rsidRPr="0025270A">
        <w:rPr>
          <w:rFonts w:hint="eastAsia"/>
          <w:bCs/>
          <w:sz w:val="24"/>
        </w:rPr>
        <w:t>年</w:t>
      </w:r>
      <w:r w:rsidR="0025270A" w:rsidRPr="0025270A">
        <w:rPr>
          <w:rFonts w:hint="eastAsia"/>
          <w:bCs/>
          <w:sz w:val="24"/>
        </w:rPr>
        <w:t>2</w:t>
      </w:r>
      <w:r w:rsidR="0025270A" w:rsidRPr="0025270A">
        <w:rPr>
          <w:rFonts w:hint="eastAsia"/>
          <w:bCs/>
          <w:sz w:val="24"/>
        </w:rPr>
        <w:t>月</w:t>
      </w:r>
      <w:r w:rsidR="0025270A" w:rsidRPr="0025270A">
        <w:rPr>
          <w:rFonts w:hint="eastAsia"/>
          <w:bCs/>
          <w:sz w:val="24"/>
        </w:rPr>
        <w:t>1</w:t>
      </w:r>
      <w:r w:rsidR="0025270A" w:rsidRPr="0025270A">
        <w:rPr>
          <w:rFonts w:hint="eastAsia"/>
          <w:bCs/>
          <w:sz w:val="24"/>
        </w:rPr>
        <w:t>日至今任汇添富添添乐双盈债券型证券投资基金的基金经理。</w:t>
      </w:r>
      <w:r w:rsidR="0025270A" w:rsidRPr="0025270A">
        <w:rPr>
          <w:rFonts w:hint="eastAsia"/>
          <w:bCs/>
          <w:sz w:val="24"/>
        </w:rPr>
        <w:t>2023</w:t>
      </w:r>
      <w:r w:rsidR="0025270A" w:rsidRPr="0025270A">
        <w:rPr>
          <w:rFonts w:hint="eastAsia"/>
          <w:bCs/>
          <w:sz w:val="24"/>
        </w:rPr>
        <w:t>年</w:t>
      </w:r>
      <w:r w:rsidR="0025270A" w:rsidRPr="0025270A">
        <w:rPr>
          <w:rFonts w:hint="eastAsia"/>
          <w:bCs/>
          <w:sz w:val="24"/>
        </w:rPr>
        <w:t>3</w:t>
      </w:r>
      <w:r w:rsidR="0025270A" w:rsidRPr="0025270A">
        <w:rPr>
          <w:rFonts w:hint="eastAsia"/>
          <w:bCs/>
          <w:sz w:val="24"/>
        </w:rPr>
        <w:t>月</w:t>
      </w:r>
      <w:r w:rsidR="0025270A" w:rsidRPr="0025270A">
        <w:rPr>
          <w:rFonts w:hint="eastAsia"/>
          <w:bCs/>
          <w:sz w:val="24"/>
        </w:rPr>
        <w:t>22</w:t>
      </w:r>
      <w:r w:rsidR="0025270A" w:rsidRPr="0025270A">
        <w:rPr>
          <w:rFonts w:hint="eastAsia"/>
          <w:bCs/>
          <w:sz w:val="24"/>
        </w:rPr>
        <w:t>日至今任汇添富战略精选中小盘市值</w:t>
      </w:r>
      <w:r w:rsidR="0025270A" w:rsidRPr="0025270A">
        <w:rPr>
          <w:rFonts w:hint="eastAsia"/>
          <w:bCs/>
          <w:sz w:val="24"/>
        </w:rPr>
        <w:t>3</w:t>
      </w:r>
      <w:r w:rsidR="0025270A" w:rsidRPr="0025270A">
        <w:rPr>
          <w:rFonts w:hint="eastAsia"/>
          <w:bCs/>
          <w:sz w:val="24"/>
        </w:rPr>
        <w:t>年持有期混合型发起式证券投资基金的基金经理。</w:t>
      </w:r>
      <w:r w:rsidR="006C1CE3">
        <w:rPr>
          <w:rFonts w:hint="eastAsia"/>
          <w:bCs/>
          <w:sz w:val="24"/>
        </w:rPr>
        <w:t>2</w:t>
      </w:r>
      <w:r w:rsidR="006C1CE3">
        <w:rPr>
          <w:bCs/>
          <w:sz w:val="24"/>
        </w:rPr>
        <w:t>024</w:t>
      </w:r>
      <w:r w:rsidR="006C1CE3">
        <w:rPr>
          <w:rFonts w:hint="eastAsia"/>
          <w:bCs/>
          <w:sz w:val="24"/>
        </w:rPr>
        <w:t>年</w:t>
      </w:r>
      <w:r w:rsidR="006C1CE3">
        <w:rPr>
          <w:rFonts w:hint="eastAsia"/>
          <w:bCs/>
          <w:sz w:val="24"/>
        </w:rPr>
        <w:t>3</w:t>
      </w:r>
      <w:r w:rsidR="006C1CE3">
        <w:rPr>
          <w:rFonts w:hint="eastAsia"/>
          <w:bCs/>
          <w:sz w:val="24"/>
        </w:rPr>
        <w:t>月</w:t>
      </w:r>
      <w:r w:rsidR="006C1CE3">
        <w:rPr>
          <w:bCs/>
          <w:sz w:val="24"/>
        </w:rPr>
        <w:t>13</w:t>
      </w:r>
      <w:r w:rsidR="006C1CE3">
        <w:rPr>
          <w:rFonts w:hint="eastAsia"/>
          <w:bCs/>
          <w:sz w:val="24"/>
        </w:rPr>
        <w:t>日至今任</w:t>
      </w:r>
      <w:r w:rsidR="006C1CE3" w:rsidRPr="006C1CE3">
        <w:rPr>
          <w:rFonts w:hint="eastAsia"/>
          <w:bCs/>
          <w:sz w:val="24"/>
        </w:rPr>
        <w:t>汇添富国企创新增长股票型证券投资基金</w:t>
      </w:r>
      <w:r w:rsidR="006C1CE3">
        <w:rPr>
          <w:rFonts w:hint="eastAsia"/>
          <w:bCs/>
          <w:sz w:val="24"/>
        </w:rPr>
        <w:t>的基金经理。</w:t>
      </w:r>
    </w:p>
    <w:p w14:paraId="1783735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5、投资决策委员会</w:t>
      </w:r>
    </w:p>
    <w:p w14:paraId="28ECD574" w14:textId="77777777" w:rsidR="009912D6" w:rsidRPr="00CF7D3D" w:rsidRDefault="009912D6" w:rsidP="00CF7D3D">
      <w:pPr>
        <w:spacing w:line="360" w:lineRule="auto"/>
        <w:ind w:firstLine="420"/>
        <w:rPr>
          <w:rFonts w:ascii="宋体" w:hAnsi="宋体" w:cs="宋体"/>
          <w:kern w:val="0"/>
          <w:sz w:val="24"/>
          <w:szCs w:val="24"/>
        </w:rPr>
      </w:pPr>
      <w:r w:rsidRPr="00CF7D3D">
        <w:rPr>
          <w:rFonts w:ascii="宋体" w:hAnsi="宋体" w:cs="宋体" w:hint="eastAsia"/>
          <w:kern w:val="0"/>
          <w:sz w:val="24"/>
          <w:szCs w:val="24"/>
        </w:rPr>
        <w:lastRenderedPageBreak/>
        <w:t>主席：袁建军（副总经理）</w:t>
      </w:r>
    </w:p>
    <w:p w14:paraId="20C59EDB" w14:textId="24A7F6E9" w:rsidR="009912D6" w:rsidRPr="00CF7D3D" w:rsidRDefault="001E4039" w:rsidP="00CF7D3D">
      <w:pPr>
        <w:spacing w:line="360" w:lineRule="auto"/>
        <w:ind w:firstLine="420"/>
        <w:rPr>
          <w:rFonts w:ascii="宋体" w:hAnsi="宋体" w:cs="宋体"/>
          <w:kern w:val="0"/>
          <w:sz w:val="24"/>
          <w:szCs w:val="24"/>
        </w:rPr>
      </w:pPr>
      <w:r w:rsidRPr="00CF7D3D">
        <w:rPr>
          <w:rFonts w:ascii="宋体" w:hAnsi="宋体" w:cs="宋体" w:hint="eastAsia"/>
          <w:kern w:val="0"/>
          <w:sz w:val="24"/>
          <w:szCs w:val="24"/>
        </w:rPr>
        <w:t>成员：</w:t>
      </w:r>
      <w:r w:rsidR="00615FCF" w:rsidRPr="00615FCF">
        <w:rPr>
          <w:rFonts w:ascii="宋体" w:hAnsi="宋体" w:cs="宋体" w:hint="eastAsia"/>
          <w:kern w:val="0"/>
          <w:sz w:val="24"/>
          <w:szCs w:val="24"/>
        </w:rPr>
        <w:t>邵佳民（首席固收投资官）、王栩（总经理助理，权益投资总监）、刘伟林（研究总监，基金经理）、韩贤旺（首席经济学家，国际业务部总监）、宋鹏（养老金投资部总监）</w:t>
      </w:r>
    </w:p>
    <w:p w14:paraId="586BF79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6、上述人员之间不存在近亲属关系。</w:t>
      </w:r>
    </w:p>
    <w:p w14:paraId="4107743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三、基金管理人的职责</w:t>
      </w:r>
    </w:p>
    <w:p w14:paraId="5602399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根据《基金法》、《运作办法》及其他法律、法规的规定，基金管理人应履行以下职责：</w:t>
      </w:r>
    </w:p>
    <w:p w14:paraId="2E677CD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1、依法募集资金，办理或者委托经中国证监会认定的其他机构代为办理基金份额的发售、申购、赎回和登记事宜；</w:t>
      </w:r>
    </w:p>
    <w:p w14:paraId="532D260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2、办理基金备案手续；</w:t>
      </w:r>
    </w:p>
    <w:p w14:paraId="0619109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3、对所管理的不同基金财产分别管理、分别记账，进行证券投资；</w:t>
      </w:r>
    </w:p>
    <w:p w14:paraId="0A9F661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4、按照基金合同的约定确定基金收益分配方案，及时足额向基金份额持有人分配收益；</w:t>
      </w:r>
    </w:p>
    <w:p w14:paraId="201BB73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5、进行基金会计核算并编制基金财务会计报告；</w:t>
      </w:r>
    </w:p>
    <w:p w14:paraId="6250FB1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6、编制基金季度报告、中期报告和年度报告；</w:t>
      </w:r>
    </w:p>
    <w:p w14:paraId="57BE9FF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7、计算并公告基金净值信息，确定基金份额申购、赎回价格；</w:t>
      </w:r>
    </w:p>
    <w:p w14:paraId="470AA58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8、办理与基金财产管理业务活动有关的信息披露事项；</w:t>
      </w:r>
    </w:p>
    <w:p w14:paraId="7E7E43F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9、按照规定召集基金份额持有人大会；</w:t>
      </w:r>
    </w:p>
    <w:p w14:paraId="4D01BBC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10、保存基金财产管理业务活动的记录、账册、报表和其他相关资料；</w:t>
      </w:r>
    </w:p>
    <w:p w14:paraId="568DE74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11、以基金管理人名义，代表基金份额持有人利益行使诉讼权利或者实施其他法律行为；</w:t>
      </w:r>
    </w:p>
    <w:p w14:paraId="1CEDB5A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12、法律、行政法规、中国证监会和基金合同规定的其他职责。</w:t>
      </w:r>
    </w:p>
    <w:p w14:paraId="665DB57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四、基金管理人和基金经理的承诺</w:t>
      </w:r>
    </w:p>
    <w:p w14:paraId="3408214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本基金管理人承诺严格遵守现行有效的相关法律、行政法规、规章、基金合同和中国证监会的有关规定，建立健全内部控制制度，采取有效措施，防止违反现行有效的有关法律、行政法规、规章、基金合同和中国证监会有关规定的行为发生。</w:t>
      </w:r>
    </w:p>
    <w:p w14:paraId="36F1625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2、本基金管理人承诺严格遵守《中华人民共和国证券法》、《基金法》及有</w:t>
      </w:r>
      <w:r>
        <w:rPr>
          <w:rFonts w:ascii="宋体" w:hAnsi="宋体" w:cs="宋体"/>
          <w:kern w:val="0"/>
          <w:sz w:val="24"/>
          <w:szCs w:val="24"/>
        </w:rPr>
        <w:lastRenderedPageBreak/>
        <w:t>关法律法规，建立健全的内部控制制度，采取有效措施，防止下列行为发生：</w:t>
      </w:r>
    </w:p>
    <w:p w14:paraId="6557146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（1）将其固有财产或者他人财产混同于基金财产从事证券投资；</w:t>
      </w:r>
    </w:p>
    <w:p w14:paraId="58B76B7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（2）不公平地对待其管理的不同基金财产；</w:t>
      </w:r>
    </w:p>
    <w:p w14:paraId="0FA3AF1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（3）利用基金财产或职务之便为基金份额持有人以外的第三人牟取利益；</w:t>
      </w:r>
    </w:p>
    <w:p w14:paraId="1580076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（4）向基金份额持有人违规承诺收益或者承担损失；</w:t>
      </w:r>
    </w:p>
    <w:p w14:paraId="6BA8C74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（5）侵占、挪用基金财产；</w:t>
      </w:r>
    </w:p>
    <w:p w14:paraId="44F2700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（6）泄露因职务便利获取的未公开信息、利用该信息从事或者明示、暗示他人从事相关的交易活动；</w:t>
      </w:r>
    </w:p>
    <w:p w14:paraId="23C05FB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（7）玩忽职守，不按照规定履行职责；</w:t>
      </w:r>
    </w:p>
    <w:p w14:paraId="26239DA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（8）法律、行政法规和中国证监会规定禁止的其他行为。</w:t>
      </w:r>
    </w:p>
    <w:p w14:paraId="3F6505A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3、本基金管理人承诺加强人员管理，强化职业操守，督促和约束员工遵守国家有关法律、法规及行业规范，诚实信用、勤勉尽责，不从事以下活动：</w:t>
      </w:r>
    </w:p>
    <w:p w14:paraId="2196077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（1）越权或违规经营；</w:t>
      </w:r>
    </w:p>
    <w:p w14:paraId="13AA5F5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（2）违反基金合同或托管协议；</w:t>
      </w:r>
    </w:p>
    <w:p w14:paraId="0A185C0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（3）故意损害基金份额持有人或其他基金相关机构的合法利益；</w:t>
      </w:r>
    </w:p>
    <w:p w14:paraId="638F670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（4）在向中国证监会报送的资料中弄虚作假；</w:t>
      </w:r>
    </w:p>
    <w:p w14:paraId="0F71A79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（5）拒绝、干扰、阻挠或严重影响中国证监会依法监管；</w:t>
      </w:r>
    </w:p>
    <w:p w14:paraId="1636BFA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（6）玩忽职守、滥用职权，不按照规定履行职责；</w:t>
      </w:r>
    </w:p>
    <w:p w14:paraId="4D62DF7A" w14:textId="1436A47E" w:rsidR="00586A97" w:rsidRDefault="0024620C">
      <w:pPr>
        <w:spacing w:line="360" w:lineRule="auto"/>
        <w:ind w:firstLine="420"/>
        <w:rPr>
          <w:rFonts w:eastAsia="Times New Roman"/>
          <w:kern w:val="0"/>
          <w:sz w:val="24"/>
          <w:szCs w:val="24"/>
        </w:rPr>
      </w:pPr>
      <w:r>
        <w:rPr>
          <w:rFonts w:ascii="宋体" w:hAnsi="宋体" w:cs="宋体"/>
          <w:kern w:val="0"/>
          <w:sz w:val="24"/>
          <w:szCs w:val="24"/>
        </w:rPr>
        <w:t>（7）违反现行有效的有关法律、法规、规章、基金合同和中国证监会的有关规定，</w:t>
      </w:r>
      <w:r w:rsidR="00082FF1">
        <w:rPr>
          <w:rFonts w:ascii="宋体" w:hAnsi="宋体" w:cs="宋体" w:hint="eastAsia"/>
          <w:kern w:val="0"/>
          <w:sz w:val="24"/>
          <w:szCs w:val="24"/>
        </w:rPr>
        <w:t>泄露</w:t>
      </w:r>
      <w:r>
        <w:rPr>
          <w:rFonts w:ascii="宋体" w:hAnsi="宋体" w:cs="宋体"/>
          <w:kern w:val="0"/>
          <w:sz w:val="24"/>
          <w:szCs w:val="24"/>
        </w:rPr>
        <w:t>在任职期间知悉的有关证券、基金的商业秘密，尚未依法公开的基金投资内容、基金投资计划等信息，或利用该信息从事或者明示、暗示他人从事相关的交易活动；</w:t>
      </w:r>
    </w:p>
    <w:p w14:paraId="6524308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（8）违反证券交易场所业务规则，利用对敲、倒仓等手段操纵市场价格，扰乱市场秩序；</w:t>
      </w:r>
    </w:p>
    <w:p w14:paraId="386753E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（9）贬损同行，以抬高自己；</w:t>
      </w:r>
    </w:p>
    <w:p w14:paraId="6F0ADE7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（10）以不正当手段谋求业务发展；</w:t>
      </w:r>
    </w:p>
    <w:p w14:paraId="0F049C3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（11）有悖社会公德，损害证券投资基金人员形象；</w:t>
      </w:r>
    </w:p>
    <w:p w14:paraId="3EEA044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（12）在公开信息披露和广告中故意含有虚假、误导、欺诈成分；</w:t>
      </w:r>
    </w:p>
    <w:p w14:paraId="32B231B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（13）法律、行政法规以及中国证监会规定禁止的行为。</w:t>
      </w:r>
    </w:p>
    <w:p w14:paraId="792B10B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4、基金经理承诺</w:t>
      </w:r>
    </w:p>
    <w:p w14:paraId="042D8D1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（1）依照有关法律、行政法规和基金合同的规定，本着谨慎勤勉的原则为基金份额持有人谋取最大利益；</w:t>
      </w:r>
    </w:p>
    <w:p w14:paraId="628A2C7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（2）不利用职务之便为自己及其代理人、受雇人或任何第三人谋取利益；</w:t>
      </w:r>
    </w:p>
    <w:p w14:paraId="69D939F5" w14:textId="0F512582" w:rsidR="00586A97" w:rsidRDefault="0024620C">
      <w:pPr>
        <w:spacing w:line="360" w:lineRule="auto"/>
        <w:ind w:firstLine="420"/>
        <w:rPr>
          <w:rFonts w:eastAsia="Times New Roman"/>
          <w:kern w:val="0"/>
          <w:sz w:val="24"/>
          <w:szCs w:val="24"/>
        </w:rPr>
      </w:pPr>
      <w:r>
        <w:rPr>
          <w:rFonts w:ascii="宋体" w:hAnsi="宋体" w:cs="宋体"/>
          <w:kern w:val="0"/>
          <w:sz w:val="24"/>
          <w:szCs w:val="24"/>
        </w:rPr>
        <w:t>（3）不违反现行有效的有关法律法规、基金合同和中国证监会的有关规定，</w:t>
      </w:r>
      <w:r w:rsidR="00082FF1">
        <w:rPr>
          <w:rFonts w:ascii="宋体" w:hAnsi="宋体" w:cs="宋体" w:hint="eastAsia"/>
          <w:kern w:val="0"/>
          <w:sz w:val="24"/>
          <w:szCs w:val="24"/>
        </w:rPr>
        <w:t>泄露</w:t>
      </w:r>
      <w:r>
        <w:rPr>
          <w:rFonts w:ascii="宋体" w:hAnsi="宋体" w:cs="宋体"/>
          <w:kern w:val="0"/>
          <w:sz w:val="24"/>
          <w:szCs w:val="24"/>
        </w:rPr>
        <w:t>在任职期间知悉的有关证券、基金的商业秘密、尚未依法公开的基金投资内容、基金投资计划等信息，或利用该信息从事或者明示、暗示他人从事相关的交易活动；</w:t>
      </w:r>
    </w:p>
    <w:p w14:paraId="4D914C9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（4）不从事损害基金财产和基金份额持有人利益的证券交易及其他活动。</w:t>
      </w:r>
    </w:p>
    <w:p w14:paraId="5A33F58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五、基金管理人的风险管理体系</w:t>
      </w:r>
    </w:p>
    <w:p w14:paraId="165E15A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管理人将经营管理中的主要风险划分为投资风险、合规风险、营运风险和道德风险四大类，其中，投资风险主要包括市场风险、信用风险、流动性风险等。针对上述各类风险，基金管理人建立了一套完整的风险管理体系。</w:t>
      </w:r>
    </w:p>
    <w:p w14:paraId="32708B1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1、风险管理原则</w:t>
      </w:r>
    </w:p>
    <w:p w14:paraId="2293F34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基金管理人风险管理体系的构建遵循以下六项基本原则：</w:t>
      </w:r>
    </w:p>
    <w:p w14:paraId="20E7C38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（1）营造良好的风险管理文化和内部控制环境，使风险意识贯穿到每位员工、各个岗位和经营管理的各个环节。</w:t>
      </w:r>
    </w:p>
    <w:p w14:paraId="7645E83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（2）建立完善的风险管理组织体系，切实保证风险管理部门的独立性和权威性，使其有效地发挥职能作用。</w:t>
      </w:r>
    </w:p>
    <w:p w14:paraId="72EB5B3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（3）确保风险管理制度的严肃性，保证风险管理制度在投资管理和经营活动过程中得到切实有效的执行。</w:t>
      </w:r>
    </w:p>
    <w:p w14:paraId="4A16BB3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（4）运用合理有效的风险指标和模型，实现风险事前配置和预警、事中实时监控、事后评估和反馈的全程嵌入式投资风险管理模式。</w:t>
      </w:r>
    </w:p>
    <w:p w14:paraId="651951B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（5）建立和推进员工职业守则教育和专业培训体系，确保员工具备良好的职业操守和充分的职责胜任能力。</w:t>
      </w:r>
    </w:p>
    <w:p w14:paraId="1761F6A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（6）建立风险事件学习机制，认真剖析各类风险事件，汲取经验和教训，不断完善风险管理体系。</w:t>
      </w:r>
    </w:p>
    <w:p w14:paraId="243F946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2、风险管理组织架构</w:t>
      </w:r>
    </w:p>
    <w:p w14:paraId="362DB87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本基金管理人建立了董事会、经营管理层、风险管理部门、各职能部门四级</w:t>
      </w:r>
      <w:r>
        <w:rPr>
          <w:rFonts w:ascii="宋体" w:hAnsi="宋体" w:cs="宋体"/>
          <w:kern w:val="0"/>
          <w:sz w:val="24"/>
          <w:szCs w:val="24"/>
        </w:rPr>
        <w:lastRenderedPageBreak/>
        <w:t>风险管理组织架构，并明确了相应的风险管理职能。</w:t>
      </w:r>
    </w:p>
    <w:p w14:paraId="130AA724" w14:textId="77777777" w:rsidR="00586A97" w:rsidRDefault="0024620C">
      <w:pPr>
        <w:spacing w:line="360" w:lineRule="auto"/>
        <w:ind w:firstLine="420"/>
        <w:jc w:val="center"/>
        <w:rPr>
          <w:rFonts w:eastAsia="Times New Roman"/>
          <w:kern w:val="0"/>
          <w:sz w:val="24"/>
          <w:szCs w:val="24"/>
        </w:rPr>
      </w:pPr>
      <w:r>
        <w:rPr>
          <w:rFonts w:ascii="宋体" w:hAnsi="宋体" w:cs="宋体"/>
          <w:b/>
          <w:bCs/>
          <w:kern w:val="0"/>
          <w:sz w:val="24"/>
          <w:szCs w:val="24"/>
        </w:rPr>
        <w:t>汇添富风险管理组织结构图</w:t>
      </w:r>
    </w:p>
    <w:p w14:paraId="1ABAD7DD" w14:textId="5AB801D0" w:rsidR="00586A97" w:rsidRPr="0025270A" w:rsidRDefault="000C323A" w:rsidP="0025270A">
      <w:pPr>
        <w:widowControl/>
        <w:spacing w:after="240"/>
        <w:ind w:right="600"/>
        <w:jc w:val="left"/>
        <w:rPr>
          <w:rFonts w:eastAsiaTheme="minorEastAsia"/>
          <w:kern w:val="0"/>
          <w:sz w:val="24"/>
          <w:szCs w:val="24"/>
        </w:rPr>
      </w:pPr>
      <w:r w:rsidRPr="008B4B99">
        <w:rPr>
          <w:rFonts w:ascii="Calibri" w:hAnsi="Calibri" w:hint="eastAsia"/>
          <w:noProof/>
        </w:rPr>
        <mc:AlternateContent>
          <mc:Choice Requires="wpg">
            <w:drawing>
              <wp:inline distT="0" distB="0" distL="0" distR="0" wp14:anchorId="67104D6C" wp14:editId="77771541">
                <wp:extent cx="5257800" cy="2971165"/>
                <wp:effectExtent l="0" t="0" r="19050" b="19685"/>
                <wp:docPr id="46" name="组合 46"/>
                <wp:cNvGraphicFramePr/>
                <a:graphic xmlns:a="http://schemas.openxmlformats.org/drawingml/2006/main">
                  <a:graphicData uri="http://schemas.microsoft.com/office/word/2010/wordprocessingGroup">
                    <wpg:wgp>
                      <wpg:cNvGrpSpPr/>
                      <wpg:grpSpPr>
                        <a:xfrm>
                          <a:off x="0" y="0"/>
                          <a:ext cx="5257800" cy="2971165"/>
                          <a:chOff x="0" y="0"/>
                          <a:chExt cx="4682195" cy="3227705"/>
                        </a:xfrm>
                      </wpg:grpSpPr>
                      <wpg:grpSp>
                        <wpg:cNvPr id="47" name="组合 47"/>
                        <wpg:cNvGrpSpPr/>
                        <wpg:grpSpPr>
                          <a:xfrm>
                            <a:off x="0" y="0"/>
                            <a:ext cx="4682195" cy="3227705"/>
                            <a:chOff x="1594087" y="0"/>
                            <a:chExt cx="4682692" cy="3227927"/>
                          </a:xfrm>
                        </wpg:grpSpPr>
                        <wps:wsp>
                          <wps:cNvPr id="48" name="直接连接符 12"/>
                          <wps:cNvCnPr/>
                          <wps:spPr>
                            <a:xfrm>
                              <a:off x="2402653" y="342900"/>
                              <a:ext cx="25044" cy="1933175"/>
                            </a:xfrm>
                            <a:prstGeom prst="straightConnector1">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49" name="矩形 49"/>
                          <wps:cNvSpPr/>
                          <wps:spPr>
                            <a:xfrm>
                              <a:off x="1594087" y="0"/>
                              <a:ext cx="1631950" cy="342900"/>
                            </a:xfrm>
                            <a:prstGeom prst="rect">
                              <a:avLst/>
                            </a:prstGeom>
                            <a:solidFill>
                              <a:srgbClr val="FF3300"/>
                            </a:solidFill>
                            <a:ln w="25400" cap="flat" cmpd="sng" algn="ctr">
                              <a:noFill/>
                              <a:prstDash val="solid"/>
                            </a:ln>
                            <a:effectLst/>
                          </wps:spPr>
                          <wps:txbx>
                            <w:txbxContent>
                              <w:p w14:paraId="4355A7C6" w14:textId="77777777" w:rsidR="000C323A" w:rsidRPr="008B4B99" w:rsidRDefault="000C323A" w:rsidP="000C323A">
                                <w:pPr>
                                  <w:jc w:val="center"/>
                                  <w:rPr>
                                    <w:b/>
                                    <w:color w:val="FFFFFF"/>
                                    <w:sz w:val="24"/>
                                  </w:rPr>
                                </w:pPr>
                                <w:r w:rsidRPr="008B4B99">
                                  <w:rPr>
                                    <w:rFonts w:hint="eastAsia"/>
                                    <w:b/>
                                    <w:color w:val="FFFFFF"/>
                                    <w:sz w:val="24"/>
                                  </w:rPr>
                                  <w:t>董事会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1594087" y="581891"/>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7EF0EFB3" w14:textId="77777777" w:rsidR="000C323A" w:rsidRPr="00A7362E" w:rsidRDefault="000C323A" w:rsidP="000C323A">
                                <w:pPr>
                                  <w:jc w:val="center"/>
                                  <w:rPr>
                                    <w:b/>
                                    <w:sz w:val="22"/>
                                  </w:rPr>
                                </w:pPr>
                                <w:r w:rsidRPr="00A7362E">
                                  <w:rPr>
                                    <w:rFonts w:hint="eastAsia"/>
                                    <w:b/>
                                    <w:sz w:val="22"/>
                                  </w:rPr>
                                  <w:t>审计与</w:t>
                                </w:r>
                                <w:r w:rsidRPr="00A7362E">
                                  <w:rPr>
                                    <w:b/>
                                    <w:sz w:val="22"/>
                                  </w:rPr>
                                  <w:t>风险管理委员会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1594087" y="1139333"/>
                              <a:ext cx="1631950" cy="342900"/>
                            </a:xfrm>
                            <a:prstGeom prst="rect">
                              <a:avLst/>
                            </a:prstGeom>
                            <a:solidFill>
                              <a:srgbClr val="FF3300"/>
                            </a:solidFill>
                            <a:ln w="25400" cap="flat" cmpd="sng" algn="ctr">
                              <a:noFill/>
                              <a:prstDash val="solid"/>
                            </a:ln>
                            <a:effectLst/>
                          </wps:spPr>
                          <wps:txbx>
                            <w:txbxContent>
                              <w:p w14:paraId="3B421C6D" w14:textId="77777777" w:rsidR="000C323A" w:rsidRPr="00A7362E" w:rsidRDefault="000C323A" w:rsidP="000C323A">
                                <w:pPr>
                                  <w:jc w:val="center"/>
                                  <w:rPr>
                                    <w:b/>
                                    <w:sz w:val="24"/>
                                  </w:rPr>
                                </w:pPr>
                                <w:r>
                                  <w:rPr>
                                    <w:rFonts w:hint="eastAsia"/>
                                    <w:b/>
                                    <w:color w:val="FFFFFF"/>
                                    <w:sz w:val="24"/>
                                  </w:rPr>
                                  <w:t>经营</w:t>
                                </w:r>
                                <w:r w:rsidRPr="008B4B99">
                                  <w:rPr>
                                    <w:rFonts w:hint="eastAsia"/>
                                    <w:b/>
                                    <w:color w:val="FFFFFF"/>
                                    <w:sz w:val="24"/>
                                  </w:rPr>
                                  <w:t>管理</w:t>
                                </w:r>
                                <w:r w:rsidRPr="008B4B99">
                                  <w:rPr>
                                    <w:b/>
                                    <w:color w:val="FFFFFF"/>
                                    <w:sz w:val="24"/>
                                  </w:rPr>
                                  <w:t>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矩形 52"/>
                          <wps:cNvSpPr/>
                          <wps:spPr>
                            <a:xfrm>
                              <a:off x="1594087" y="1686995"/>
                              <a:ext cx="1631950" cy="342900"/>
                            </a:xfrm>
                            <a:prstGeom prst="rect">
                              <a:avLst/>
                            </a:prstGeom>
                            <a:solidFill>
                              <a:srgbClr val="000066"/>
                            </a:solidFill>
                            <a:ln w="25400" cap="flat" cmpd="sng" algn="ctr">
                              <a:solidFill>
                                <a:srgbClr val="4BACC6">
                                  <a:shade val="50000"/>
                                </a:srgbClr>
                              </a:solidFill>
                              <a:prstDash val="solid"/>
                            </a:ln>
                            <a:effectLst/>
                          </wps:spPr>
                          <wps:txbx>
                            <w:txbxContent>
                              <w:p w14:paraId="03E6A21F" w14:textId="77777777" w:rsidR="000C323A" w:rsidRPr="00A7362E" w:rsidRDefault="000C323A" w:rsidP="000C323A">
                                <w:pPr>
                                  <w:jc w:val="center"/>
                                  <w:rPr>
                                    <w:b/>
                                    <w:sz w:val="24"/>
                                  </w:rPr>
                                </w:pPr>
                                <w:r>
                                  <w:rPr>
                                    <w:rFonts w:hint="eastAsia"/>
                                    <w:b/>
                                    <w:sz w:val="24"/>
                                  </w:rPr>
                                  <w:t>风险控制</w:t>
                                </w:r>
                                <w:r>
                                  <w:rPr>
                                    <w:b/>
                                    <w:sz w:val="24"/>
                                  </w:rPr>
                                  <w:t>委员会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矩形 53"/>
                          <wps:cNvSpPr/>
                          <wps:spPr>
                            <a:xfrm>
                              <a:off x="3589695" y="1139333"/>
                              <a:ext cx="1631947" cy="342901"/>
                            </a:xfrm>
                            <a:prstGeom prst="rect">
                              <a:avLst/>
                            </a:prstGeom>
                            <a:solidFill>
                              <a:srgbClr val="000066"/>
                            </a:solidFill>
                            <a:ln w="25400" cap="flat" cmpd="sng" algn="ctr">
                              <a:solidFill>
                                <a:srgbClr val="4BACC6">
                                  <a:shade val="50000"/>
                                </a:srgbClr>
                              </a:solidFill>
                              <a:prstDash val="solid"/>
                            </a:ln>
                            <a:effectLst/>
                          </wps:spPr>
                          <wps:txbx>
                            <w:txbxContent>
                              <w:p w14:paraId="3712CFE3" w14:textId="77777777" w:rsidR="000C323A" w:rsidRPr="00A7362E" w:rsidRDefault="000C323A" w:rsidP="000C323A">
                                <w:pPr>
                                  <w:jc w:val="center"/>
                                  <w:rPr>
                                    <w:b/>
                                    <w:sz w:val="24"/>
                                  </w:rPr>
                                </w:pPr>
                                <w:r>
                                  <w:rPr>
                                    <w:rFonts w:hint="eastAsia"/>
                                    <w:b/>
                                    <w:sz w:val="24"/>
                                  </w:rPr>
                                  <w:t>督察长</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矩形 54"/>
                          <wps:cNvSpPr/>
                          <wps:spPr>
                            <a:xfrm>
                              <a:off x="1609878" y="2271352"/>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7D831EDB" w14:textId="77777777" w:rsidR="000C323A" w:rsidRPr="00A7362E" w:rsidRDefault="000C323A" w:rsidP="000C323A">
                                <w:pPr>
                                  <w:jc w:val="center"/>
                                  <w:rPr>
                                    <w:b/>
                                    <w:sz w:val="24"/>
                                  </w:rPr>
                                </w:pPr>
                                <w:r>
                                  <w:rPr>
                                    <w:rFonts w:hint="eastAsia"/>
                                    <w:b/>
                                    <w:sz w:val="24"/>
                                  </w:rPr>
                                  <w:t>各职能</w:t>
                                </w:r>
                                <w:r>
                                  <w:rPr>
                                    <w:b/>
                                    <w:sz w:val="24"/>
                                  </w:rPr>
                                  <w:t>部门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矩形 55"/>
                          <wps:cNvSpPr/>
                          <wps:spPr>
                            <a:xfrm>
                              <a:off x="4644828" y="2885026"/>
                              <a:ext cx="1631951" cy="342901"/>
                            </a:xfrm>
                            <a:prstGeom prst="rect">
                              <a:avLst/>
                            </a:prstGeom>
                            <a:solidFill>
                              <a:srgbClr val="000066"/>
                            </a:solidFill>
                            <a:ln w="25400" cap="flat" cmpd="sng" algn="ctr">
                              <a:solidFill>
                                <a:srgbClr val="4BACC6">
                                  <a:shade val="50000"/>
                                </a:srgbClr>
                              </a:solidFill>
                              <a:prstDash val="solid"/>
                            </a:ln>
                            <a:effectLst/>
                          </wps:spPr>
                          <wps:txbx>
                            <w:txbxContent>
                              <w:p w14:paraId="0166972E" w14:textId="77777777" w:rsidR="000C323A" w:rsidRPr="00A7362E" w:rsidRDefault="000C323A" w:rsidP="000C323A">
                                <w:pPr>
                                  <w:jc w:val="center"/>
                                  <w:rPr>
                                    <w:b/>
                                    <w:sz w:val="24"/>
                                  </w:rPr>
                                </w:pPr>
                                <w:r>
                                  <w:rPr>
                                    <w:rFonts w:hint="eastAsia"/>
                                    <w:b/>
                                    <w:sz w:val="24"/>
                                  </w:rPr>
                                  <w:t>风险管理</w:t>
                                </w:r>
                                <w:r>
                                  <w:rPr>
                                    <w:b/>
                                    <w:sz w:val="24"/>
                                  </w:rPr>
                                  <w:t>部</w:t>
                                </w:r>
                              </w:p>
                              <w:p w14:paraId="57C26AB8" w14:textId="77777777" w:rsidR="000C323A" w:rsidRPr="00A7362E" w:rsidRDefault="000C323A" w:rsidP="000C323A">
                                <w:pPr>
                                  <w:jc w:val="center"/>
                                  <w:rPr>
                                    <w:b/>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矩形 56"/>
                          <wps:cNvSpPr/>
                          <wps:spPr>
                            <a:xfrm>
                              <a:off x="4640427" y="2275455"/>
                              <a:ext cx="1631949" cy="342901"/>
                            </a:xfrm>
                            <a:prstGeom prst="rect">
                              <a:avLst/>
                            </a:prstGeom>
                            <a:solidFill>
                              <a:srgbClr val="000066"/>
                            </a:solidFill>
                            <a:ln w="25400" cap="flat" cmpd="sng" algn="ctr">
                              <a:solidFill>
                                <a:srgbClr val="4BACC6">
                                  <a:shade val="50000"/>
                                </a:srgbClr>
                              </a:solidFill>
                              <a:prstDash val="solid"/>
                            </a:ln>
                            <a:effectLst/>
                          </wps:spPr>
                          <wps:txbx>
                            <w:txbxContent>
                              <w:p w14:paraId="0046BB62" w14:textId="77777777" w:rsidR="000C323A" w:rsidRPr="00A7362E" w:rsidRDefault="000C323A" w:rsidP="000C323A">
                                <w:pPr>
                                  <w:jc w:val="center"/>
                                  <w:rPr>
                                    <w:b/>
                                    <w:sz w:val="24"/>
                                  </w:rPr>
                                </w:pPr>
                                <w:r>
                                  <w:rPr>
                                    <w:rFonts w:hint="eastAsia"/>
                                    <w:b/>
                                    <w:sz w:val="24"/>
                                  </w:rPr>
                                  <w:t>合规稽核</w:t>
                                </w:r>
                                <w:r>
                                  <w:rPr>
                                    <w:b/>
                                    <w:sz w:val="24"/>
                                  </w:rPr>
                                  <w:t>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直接连接符 57"/>
                          <wps:cNvCnPr/>
                          <wps:spPr>
                            <a:xfrm>
                              <a:off x="4409795" y="1495586"/>
                              <a:ext cx="8486" cy="1573792"/>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58" name="直接连接符 58"/>
                          <wps:cNvCnPr/>
                          <wps:spPr>
                            <a:xfrm>
                              <a:off x="4403374" y="733476"/>
                              <a:ext cx="0" cy="38608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grpSp>
                      <wps:wsp>
                        <wps:cNvPr id="59" name="直接连接符 59"/>
                        <wps:cNvCnPr/>
                        <wps:spPr>
                          <a:xfrm>
                            <a:off x="1663453" y="732116"/>
                            <a:ext cx="1145115"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0" name="直接连接符 60"/>
                        <wps:cNvCnPr/>
                        <wps:spPr>
                          <a:xfrm flipV="1">
                            <a:off x="2823957" y="2452063"/>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1" name="直接连接符 61"/>
                        <wps:cNvCnPr/>
                        <wps:spPr>
                          <a:xfrm flipV="1">
                            <a:off x="2838508" y="3052572"/>
                            <a:ext cx="207528"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s:wsp>
                        <wps:cNvPr id="62" name="直接连接符 62"/>
                        <wps:cNvCnPr/>
                        <wps:spPr>
                          <a:xfrm>
                            <a:off x="829672" y="2150166"/>
                            <a:ext cx="1994010" cy="0"/>
                          </a:xfrm>
                          <a:prstGeom prst="line">
                            <a:avLst/>
                          </a:prstGeom>
                          <a:noFill/>
                          <a:ln w="38100" cap="flat" cmpd="sng" algn="ctr">
                            <a:solidFill>
                              <a:sysClr val="windowText" lastClr="000000"/>
                            </a:solidFill>
                            <a:prstDash val="solid"/>
                          </a:ln>
                          <a:effectLst>
                            <a:outerShdw blurRad="40000" dist="23000" dir="5400000" rotWithShape="0">
                              <a:srgbClr val="000000">
                                <a:alpha val="35000"/>
                              </a:srgbClr>
                            </a:outerShdw>
                          </a:effectLst>
                        </wps:spPr>
                        <wps:bodyPr/>
                      </wps:wsp>
                    </wpg:wgp>
                  </a:graphicData>
                </a:graphic>
              </wp:inline>
            </w:drawing>
          </mc:Choice>
          <mc:Fallback>
            <w:pict>
              <v:group w14:anchorId="67104D6C" id="组合 46" o:spid="_x0000_s1026" style="width:414pt;height:233.95pt;mso-position-horizontal-relative:char;mso-position-vertical-relative:line" coordsize="46821,322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">
                <v:group id="组合 47" o:spid="_x0000_s1027" style="position:absolute;width:46821;height:32277" coordorigin="15940" coordsize="46826,322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type id="_x0000_t32" coordsize="21600,21600" o:spt="32" o:oned="t" path="m,l21600,21600e" filled="f">
                    <v:path arrowok="t" fillok="f" o:connecttype="none"/>
                    <o:lock v:ext="edit" shapetype="t"/>
                  </v:shapetype>
                  <v:shape id="直接连接符 12" o:spid="_x0000_s1028" type="#_x0000_t32" style="position:absolute;left:24026;top:3429;width:250;height:1933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" strokecolor="windowText" strokeweight="3pt">
                    <v:shadow on="t" color="black" opacity="22937f" origin=",.5" offset="0,.63889mm"/>
                  </v:shape>
                  <v:rect id="矩形 49" o:spid="_x0000_s1029" style="position:absolute;left:15940;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" fillcolor="#f30" stroked="f" strokeweight="2pt">
                    <v:textbox>
                      <w:txbxContent>
                        <w:p w14:paraId="4355A7C6" w14:textId="77777777" w:rsidR="000C323A" w:rsidRPr="008B4B99" w:rsidRDefault="000C323A" w:rsidP="000C323A">
                          <w:pPr>
                            <w:jc w:val="center"/>
                            <w:rPr>
                              <w:b/>
                              <w:color w:val="FFFFFF"/>
                              <w:sz w:val="24"/>
                            </w:rPr>
                          </w:pPr>
                          <w:r w:rsidRPr="008B4B99">
                            <w:rPr>
                              <w:rFonts w:hint="eastAsia"/>
                              <w:b/>
                              <w:color w:val="FFFFFF"/>
                              <w:sz w:val="24"/>
                            </w:rPr>
                            <w:t>董事会</w:t>
                          </w:r>
                        </w:p>
                      </w:txbxContent>
                    </v:textbox>
                  </v:rect>
                  <v:rect id="矩形 50" o:spid="_x0000_s1030" style="position:absolute;left:15940;top:5818;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" fillcolor="#006" strokecolor="#357d91" strokeweight="2pt">
                    <v:textbox>
                      <w:txbxContent>
                        <w:p w14:paraId="7EF0EFB3" w14:textId="77777777" w:rsidR="000C323A" w:rsidRPr="00A7362E" w:rsidRDefault="000C323A" w:rsidP="000C323A">
                          <w:pPr>
                            <w:jc w:val="center"/>
                            <w:rPr>
                              <w:b/>
                              <w:sz w:val="22"/>
                            </w:rPr>
                          </w:pPr>
                          <w:r w:rsidRPr="00A7362E">
                            <w:rPr>
                              <w:rFonts w:hint="eastAsia"/>
                              <w:b/>
                              <w:sz w:val="22"/>
                            </w:rPr>
                            <w:t>审计与</w:t>
                          </w:r>
                          <w:r w:rsidRPr="00A7362E">
                            <w:rPr>
                              <w:b/>
                              <w:sz w:val="22"/>
                            </w:rPr>
                            <w:t>风险管理委员会</w:t>
                          </w:r>
                        </w:p>
                      </w:txbxContent>
                    </v:textbox>
                  </v:rect>
                  <v:rect id="矩形 51" o:spid="_x0000_s1031" style="position:absolute;left:15940;top:1139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" fillcolor="#f30" stroked="f" strokeweight="2pt">
                    <v:textbox>
                      <w:txbxContent>
                        <w:p w14:paraId="3B421C6D" w14:textId="77777777" w:rsidR="000C323A" w:rsidRPr="00A7362E" w:rsidRDefault="000C323A" w:rsidP="000C323A">
                          <w:pPr>
                            <w:jc w:val="center"/>
                            <w:rPr>
                              <w:b/>
                              <w:sz w:val="24"/>
                            </w:rPr>
                          </w:pPr>
                          <w:r>
                            <w:rPr>
                              <w:rFonts w:hint="eastAsia"/>
                              <w:b/>
                              <w:color w:val="FFFFFF"/>
                              <w:sz w:val="24"/>
                            </w:rPr>
                            <w:t>经营</w:t>
                          </w:r>
                          <w:r w:rsidRPr="008B4B99">
                            <w:rPr>
                              <w:rFonts w:hint="eastAsia"/>
                              <w:b/>
                              <w:color w:val="FFFFFF"/>
                              <w:sz w:val="24"/>
                            </w:rPr>
                            <w:t>管理</w:t>
                          </w:r>
                          <w:r w:rsidRPr="008B4B99">
                            <w:rPr>
                              <w:b/>
                              <w:color w:val="FFFFFF"/>
                              <w:sz w:val="24"/>
                            </w:rPr>
                            <w:t>层</w:t>
                          </w:r>
                        </w:p>
                      </w:txbxContent>
                    </v:textbox>
                  </v:rect>
                  <v:rect id="矩形 52" o:spid="_x0000_s1032" style="position:absolute;left:15940;top:16869;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" fillcolor="#006" strokecolor="#357d91" strokeweight="2pt">
                    <v:textbox>
                      <w:txbxContent>
                        <w:p w14:paraId="03E6A21F" w14:textId="77777777" w:rsidR="000C323A" w:rsidRPr="00A7362E" w:rsidRDefault="000C323A" w:rsidP="000C323A">
                          <w:pPr>
                            <w:jc w:val="center"/>
                            <w:rPr>
                              <w:b/>
                              <w:sz w:val="24"/>
                            </w:rPr>
                          </w:pPr>
                          <w:r>
                            <w:rPr>
                              <w:rFonts w:hint="eastAsia"/>
                              <w:b/>
                              <w:sz w:val="24"/>
                            </w:rPr>
                            <w:t>风险控制</w:t>
                          </w:r>
                          <w:r>
                            <w:rPr>
                              <w:b/>
                              <w:sz w:val="24"/>
                            </w:rPr>
                            <w:t>委员会</w:t>
                          </w:r>
                        </w:p>
                      </w:txbxContent>
                    </v:textbox>
                  </v:rect>
                  <v:rect id="矩形 53" o:spid="_x0000_s1033" style="position:absolute;left:35896;top:1139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" fillcolor="#006" strokecolor="#357d91" strokeweight="2pt">
                    <v:textbox>
                      <w:txbxContent>
                        <w:p w14:paraId="3712CFE3" w14:textId="77777777" w:rsidR="000C323A" w:rsidRPr="00A7362E" w:rsidRDefault="000C323A" w:rsidP="000C323A">
                          <w:pPr>
                            <w:jc w:val="center"/>
                            <w:rPr>
                              <w:b/>
                              <w:sz w:val="24"/>
                            </w:rPr>
                          </w:pPr>
                          <w:r>
                            <w:rPr>
                              <w:rFonts w:hint="eastAsia"/>
                              <w:b/>
                              <w:sz w:val="24"/>
                            </w:rPr>
                            <w:t>督察长</w:t>
                          </w:r>
                        </w:p>
                      </w:txbxContent>
                    </v:textbox>
                  </v:rect>
                  <v:rect id="矩形 54" o:spid="_x0000_s1034" style="position:absolute;left:16098;top:22713;width:16320;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" fillcolor="#006" strokecolor="#357d91" strokeweight="2pt">
                    <v:textbox>
                      <w:txbxContent>
                        <w:p w14:paraId="7D831EDB" w14:textId="77777777" w:rsidR="000C323A" w:rsidRPr="00A7362E" w:rsidRDefault="000C323A" w:rsidP="000C323A">
                          <w:pPr>
                            <w:jc w:val="center"/>
                            <w:rPr>
                              <w:b/>
                              <w:sz w:val="24"/>
                            </w:rPr>
                          </w:pPr>
                          <w:r>
                            <w:rPr>
                              <w:rFonts w:hint="eastAsia"/>
                              <w:b/>
                              <w:sz w:val="24"/>
                            </w:rPr>
                            <w:t>各职能</w:t>
                          </w:r>
                          <w:r>
                            <w:rPr>
                              <w:b/>
                              <w:sz w:val="24"/>
                            </w:rPr>
                            <w:t>部门</w:t>
                          </w:r>
                        </w:p>
                      </w:txbxContent>
                    </v:textbox>
                  </v:rect>
                  <v:rect id="矩形 55" o:spid="_x0000_s1035" style="position:absolute;left:46448;top:28850;width:163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" fillcolor="#006" strokecolor="#357d91" strokeweight="2pt">
                    <v:textbox>
                      <w:txbxContent>
                        <w:p w14:paraId="0166972E" w14:textId="77777777" w:rsidR="000C323A" w:rsidRPr="00A7362E" w:rsidRDefault="000C323A" w:rsidP="000C323A">
                          <w:pPr>
                            <w:jc w:val="center"/>
                            <w:rPr>
                              <w:b/>
                              <w:sz w:val="24"/>
                            </w:rPr>
                          </w:pPr>
                          <w:r>
                            <w:rPr>
                              <w:rFonts w:hint="eastAsia"/>
                              <w:b/>
                              <w:sz w:val="24"/>
                            </w:rPr>
                            <w:t>风险管理</w:t>
                          </w:r>
                          <w:r>
                            <w:rPr>
                              <w:b/>
                              <w:sz w:val="24"/>
                            </w:rPr>
                            <w:t>部</w:t>
                          </w:r>
                        </w:p>
                        <w:p w14:paraId="57C26AB8" w14:textId="77777777" w:rsidR="000C323A" w:rsidRPr="00A7362E" w:rsidRDefault="000C323A" w:rsidP="000C323A">
                          <w:pPr>
                            <w:jc w:val="center"/>
                            <w:rPr>
                              <w:b/>
                              <w:sz w:val="24"/>
                            </w:rPr>
                          </w:pPr>
                        </w:p>
                      </w:txbxContent>
                    </v:textbox>
                  </v:rect>
                  <v:rect id="矩形 56" o:spid="_x0000_s1036" style="position:absolute;left:46404;top:22754;width:16319;height:34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" fillcolor="#006" strokecolor="#357d91" strokeweight="2pt">
                    <v:textbox>
                      <w:txbxContent>
                        <w:p w14:paraId="0046BB62" w14:textId="77777777" w:rsidR="000C323A" w:rsidRPr="00A7362E" w:rsidRDefault="000C323A" w:rsidP="000C323A">
                          <w:pPr>
                            <w:jc w:val="center"/>
                            <w:rPr>
                              <w:b/>
                              <w:sz w:val="24"/>
                            </w:rPr>
                          </w:pPr>
                          <w:r>
                            <w:rPr>
                              <w:rFonts w:hint="eastAsia"/>
                              <w:b/>
                              <w:sz w:val="24"/>
                            </w:rPr>
                            <w:t>合规稽核</w:t>
                          </w:r>
                          <w:r>
                            <w:rPr>
                              <w:b/>
                              <w:sz w:val="24"/>
                            </w:rPr>
                            <w:t>部</w:t>
                          </w:r>
                        </w:p>
                      </w:txbxContent>
                    </v:textbox>
                  </v:rect>
                  <v:line id="直接连接符 57" o:spid="_x0000_s1037" style="position:absolute;visibility:visible;mso-wrap-style:square" from="44097,14955" to="44182,30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" strokecolor="windowText" strokeweight="3pt">
                    <v:shadow on="t" color="black" opacity="22937f" origin=",.5" offset="0,.63889mm"/>
                  </v:line>
                  <v:line id="直接连接符 58" o:spid="_x0000_s1038" style="position:absolute;visibility:visible;mso-wrap-style:square" from="44033,7334" to="44033,111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" strokecolor="windowText" strokeweight="3pt">
                    <v:shadow on="t" color="black" opacity="22937f" origin=",.5" offset="0,.63889mm"/>
                  </v:line>
                </v:group>
                <v:line id="直接连接符 59" o:spid="_x0000_s1039" style="position:absolute;visibility:visible;mso-wrap-style:square" from="16634,7321" to="28085,7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" strokecolor="windowText" strokeweight="3pt">
                  <v:shadow on="t" color="black" opacity="22937f" origin=",.5" offset="0,.63889mm"/>
                </v:line>
                <v:line id="直接连接符 60" o:spid="_x0000_s1040" style="position:absolute;flip:y;visibility:visible;mso-wrap-style:square" from="28239,24520" to="30314,24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" strokecolor="windowText" strokeweight="3pt">
                  <v:shadow on="t" color="black" opacity="22937f" origin=",.5" offset="0,.63889mm"/>
                </v:line>
                <v:line id="直接连接符 61" o:spid="_x0000_s1041" style="position:absolute;flip:y;visibility:visible;mso-wrap-style:square" from="28385,30525" to="30460,3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" strokecolor="windowText" strokeweight="3pt">
                  <v:shadow on="t" color="black" opacity="22937f" origin=",.5" offset="0,.63889mm"/>
                </v:line>
                <v:line id="直接连接符 62" o:spid="_x0000_s1042" style="position:absolute;visibility:visible;mso-wrap-style:square" from="8296,21501" to="28236,215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" strokecolor="windowText" strokeweight="3pt">
                  <v:shadow on="t" color="black" opacity="22937f" origin=",.5" offset="0,.63889mm"/>
                </v:line>
                <w10:anchorlock/>
              </v:group>
            </w:pict>
          </mc:Fallback>
        </mc:AlternateContent>
      </w:r>
    </w:p>
    <w:p w14:paraId="0CF7ED3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董事会对公司风险管理负有最终责任，董事会下设审计与风险管理委员会与督察长。审计与风险管理委员会主要负责审核和指导公司的风险管理政策，对公司的整体风险水平、风险控制措施的实施情况进行评价。督察长负责组织指导公司合规稽核和风险管理工作，监督检查受托资产和公司运作的合法合规情况及公司内部风险控制情况。</w:t>
      </w:r>
    </w:p>
    <w:p w14:paraId="1E5405B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（2）经营管理层负责风险管理政策、风险控制措施的制定和落实，经营管理层下设风险控制委员会。风险控制委员会主要负责审议风险管理制度和流程，处置重大风险事件，促进风险管理文化的形成。</w:t>
      </w:r>
    </w:p>
    <w:p w14:paraId="186CE45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（3）合规稽核部和风险管理部是合规管理和风险管理的职能部门，负责合规风险、投资组合市场风险、信用风险、流动性风险、营运风险、道德风险等的管理。</w:t>
      </w:r>
    </w:p>
    <w:p w14:paraId="248014A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（4）各职能部门负责从经营管理的各业务环节上贯彻落实风险管理措施，执行风险识别、风险测量、风险控制、风险评价和风险报告等风险管理程序，并持续完善相应的内部控制制度和流程。</w:t>
      </w:r>
    </w:p>
    <w:p w14:paraId="60A41B1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3、风险管理内容</w:t>
      </w:r>
    </w:p>
    <w:p w14:paraId="12B0EAF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本基金管理人的风险管理包括风险识别、风险测量、风险控制、风险评价、</w:t>
      </w:r>
      <w:r>
        <w:rPr>
          <w:rFonts w:ascii="宋体" w:hAnsi="宋体" w:cs="宋体"/>
          <w:kern w:val="0"/>
          <w:sz w:val="24"/>
          <w:szCs w:val="24"/>
        </w:rPr>
        <w:lastRenderedPageBreak/>
        <w:t>风险报告等内容。</w:t>
      </w:r>
    </w:p>
    <w:p w14:paraId="2833183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（1）风险识别是指对现实以及潜在的各种风险加以判断、归类和鉴定风险性质的过程。</w:t>
      </w:r>
    </w:p>
    <w:p w14:paraId="4B34D3F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（2）风险测量是指估计和预测风险发生的概率和可能造成的损失，并根据这两个因素的结合来衡量风险大小的程度。</w:t>
      </w:r>
    </w:p>
    <w:p w14:paraId="44B395D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（3）风险控制是指采取相应的措施，监控和防止各种风险的发生，实现以合理的成本在最大限度内防范风险和减轻损失。</w:t>
      </w:r>
    </w:p>
    <w:p w14:paraId="388882B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（4）风险评价是指分析风险识别、风险测量和风险控制的执行情况和运行效果的过程。</w:t>
      </w:r>
    </w:p>
    <w:p w14:paraId="680C95D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（5）风险报告是指将风险事件及处置、风险评价情况以一定程序进行报告的过程。</w:t>
      </w:r>
    </w:p>
    <w:p w14:paraId="45DDBC7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六、基金管理人的内部控制制度</w:t>
      </w:r>
    </w:p>
    <w:p w14:paraId="6692F24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内部控制是指基金管理人为防范和化解风险，保证经营运作符合基金管理人发展规划，在充分考虑内外部环境的基础上，通过建立组织机制、运用管理方法、实施控制程序与控制措施而形成的系统。</w:t>
      </w:r>
    </w:p>
    <w:p w14:paraId="2E653C4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基金管理人结合自身具体情况，建立了科学合理、控制严密、运行高效的内部控制体系，并制定了科学完善的内部控制制度。</w:t>
      </w:r>
    </w:p>
    <w:p w14:paraId="7CC52E6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1、内部控制目标</w:t>
      </w:r>
    </w:p>
    <w:p w14:paraId="3392066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（1）保证基金管理人经营运作遵守国家法律法规和行业监管规则，自觉形成守法经营、规范运作的经营思想和经营理念。</w:t>
      </w:r>
    </w:p>
    <w:p w14:paraId="040B6C8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（2）防范和化解经营风险，提高经营管理效益，确保经营业务的稳健运行和受托资产的安全完整，实现持续、稳定、健康发展。</w:t>
      </w:r>
    </w:p>
    <w:p w14:paraId="454EBD0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（3）确保基金管理人和基金财务及其他信息的真实、准确、及时、完整。</w:t>
      </w:r>
    </w:p>
    <w:p w14:paraId="78B75EE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2、内部控制原则</w:t>
      </w:r>
    </w:p>
    <w:p w14:paraId="2DC1CE0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（1）健全性原则。内部控制机制覆盖基金管理人的各项业务、各个部门和各级人员，并渗透到决策、执行、监督、反馈等各个环节。</w:t>
      </w:r>
    </w:p>
    <w:p w14:paraId="7F0A3FF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（2）有效性原则。通过科学的内部控制手段和方法，建立合理的内部控制程序，维护内部控制的有效执行。</w:t>
      </w:r>
    </w:p>
    <w:p w14:paraId="47446A2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（3）独立性原则。基金管理人各机构、部门和岗位职责保持相对独立，基金</w:t>
      </w:r>
      <w:r>
        <w:rPr>
          <w:rFonts w:ascii="宋体" w:hAnsi="宋体" w:cs="宋体"/>
          <w:kern w:val="0"/>
          <w:sz w:val="24"/>
          <w:szCs w:val="24"/>
        </w:rPr>
        <w:lastRenderedPageBreak/>
        <w:t>资产、固有财产、其他资产的运作相互分离。</w:t>
      </w:r>
    </w:p>
    <w:p w14:paraId="26AA27F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（4）相互制约原则。基金管理人内部部门和岗位的设置权责分明、相互制衡。</w:t>
      </w:r>
    </w:p>
    <w:p w14:paraId="68CC5D5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（5）成本效益原则。基金管理人运用科学化的经营管理方法降低运作成本，提高经济效益，以合理的控制成本达到最佳的内部控制效果。</w:t>
      </w:r>
    </w:p>
    <w:p w14:paraId="0324A87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3、内部控制内容</w:t>
      </w:r>
    </w:p>
    <w:p w14:paraId="305EE3D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基金管理人的内部控制要求建立：不相容职务相分离的机制、完善的岗位责任制、规范的岗位管理措施、完整的信息资料保全系统、严格的授权控制、有效的风险防范系统和快速反应机制等。</w:t>
      </w:r>
    </w:p>
    <w:p w14:paraId="4357CBC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遵守国家有关法律法规，遵循合法合规性原则、全面性原则、审慎性原则和适时性原则，制订了系统完善的内部控制制度。内部控制的内容包括投资管理业务控制、信息披露控制、信息技术系统控制、会计系统控制以及内部稽核控制等。</w:t>
      </w:r>
    </w:p>
    <w:p w14:paraId="1A31A13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（1）投资管理业务控制</w:t>
      </w:r>
    </w:p>
    <w:p w14:paraId="7D032BA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通过规范投资业务流程，分层次强化投资风险控制。公司根据投资管理业务不同阶段的性质和特点，制定了完善的管理规章、操作流程和岗位手册，明确揭示不同业务可能存在的风险，分别采取不同措施进行控制。</w:t>
      </w:r>
    </w:p>
    <w:p w14:paraId="7DAE69A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针对投资研究业务，基金管理人制定了《汇添富基金管理股份有限公司投资研究部制度》，对研究工作的业务流程、研究报告质量评价，研究与投资的交流渠道等都做了明确的规定；对于投资决策业务，基金管理人制定了《汇添富基金管理股份有限公司投资管理制度》，保证投资决策严格遵守法律法规的有关规定，符合基金合同所规定的要求，同时设立了汇添富投资风险评估与管理制度以及投资管理业绩评价体系；对于基金交易业务，基金管理人将实行集中交易与防火墙制度，建立交易监测系统、预警系统和交易反馈系统，完善相关的安全设施，交易流程将严格按照“审核—执行—反馈—复核—存档”的程序进行，防止不正当关联交易损害基金份额持有人利益。</w:t>
      </w:r>
    </w:p>
    <w:p w14:paraId="271715B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（2）信息披露控制</w:t>
      </w:r>
    </w:p>
    <w:p w14:paraId="3BA9BBD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通过完善信息披露制度，确保基金份额持有人及时完整地了解基金信息。基金管理人按照法律、法规和中国证监会有关规定，建立了《汇添富基金管理股份有限公司公开募集证券投资基金信息披露管理制度》，指定了信息披</w:t>
      </w:r>
      <w:r>
        <w:rPr>
          <w:rFonts w:ascii="宋体" w:hAnsi="宋体" w:cs="宋体"/>
          <w:kern w:val="0"/>
          <w:sz w:val="24"/>
          <w:szCs w:val="24"/>
        </w:rPr>
        <w:lastRenderedPageBreak/>
        <w:t>露责任人负责信息披露工作，进行信息的组织、审核和发布，并将定期对信息披露进行检查和评价，保证公开披露的信息真实、准确、完整。</w:t>
      </w:r>
    </w:p>
    <w:p w14:paraId="799717B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（3）信息技术系统控制</w:t>
      </w:r>
    </w:p>
    <w:p w14:paraId="3474C82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建立了先进的信息技术系统和完善的信息技术管理制度。基金管理人的信息技术系统由先进的计算机系统构成，通过了国家、金融行业软件工程标准的认证，并有完整的技术资料。基金管理人制定了严格的信息技术岗位责任制度、门禁制度、内外网分离制度等管理措施，对电子信息数据进行即时保存和备份，重要数据实行异地备份并且长期保存，确保了系统可靠、稳定、安全地运行。在人员控制方面，对信息技术人员进行有关信息系统安全的统一培训和考核；信息技术人员之间定期轮换岗位。</w:t>
      </w:r>
    </w:p>
    <w:p w14:paraId="7F304F5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（4）会计系统控制</w:t>
      </w:r>
    </w:p>
    <w:p w14:paraId="7B5FE8F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通过建立严格的会计系统控制措施，确保会计核算正常运转。基金管理人根据《中华人民共和国会计法》、《金融企业会计制度》、《证券投资基金会计核算业务指引》、《企业财务通则》等国家有关法律、法规制订了基金会计制度、公司财务制度、会计工作操作流程和会计岗位工作手册。通过事前防范、事中检查、事后监督的方式发现、堵截、杜绝基金会计核算中存在的各种风险。具体措施包括：采用了目前最先进的基金核算软件；基金会计严格执行复核制度；基金会计核算采用基金管理人与托管银行双人同步独立核算、相互核对的方式；每日制作基金会计核算估值系统电子数据的备份，同时打印保存书面的记账凭证、各类会计报表、统计报表，并由专人保存原始记账凭证等。</w:t>
      </w:r>
    </w:p>
    <w:p w14:paraId="2979F07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（5）内部稽核控制</w:t>
      </w:r>
    </w:p>
    <w:p w14:paraId="460B459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通过制定稽核监察制度，开展独立监督，确保内部控制的有效性。基金管理人设立督察长，督察长可以列席基金管理人召开的任何会议，调阅相关档案，就内部控制制度的执行情况独立地履行检查、评价、报告、建议职能。督察长定期和不定期向董事会报告公司内部控制执行情况。公司为合规稽核部配备充足合格的稽核监察人员，监督各业务部门和人员遵守法律、法规和规章的有关情况；检查各业务部门和人员执行内部控制制度、各项管理制度和业务规章的情况。</w:t>
      </w:r>
    </w:p>
    <w:p w14:paraId="3978D64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4、基金管理人关于内部控制制度声明书</w:t>
      </w:r>
    </w:p>
    <w:p w14:paraId="6BC1D66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（1）基金管理人承诺以上关于内部控制制度的披露真实、准确；</w:t>
      </w:r>
    </w:p>
    <w:p w14:paraId="064C3C5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（2）基金管理人承诺根据市场变化和基金管理人业务发展不断完善内部风险控制制度。</w:t>
      </w:r>
    </w:p>
    <w:p w14:paraId="35B38B2E"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43EF38AE" w14:textId="77777777" w:rsidR="009912D6" w:rsidRDefault="0024620C" w:rsidP="009912D6">
      <w:pPr>
        <w:pStyle w:val="1"/>
        <w:spacing w:before="0" w:after="0"/>
        <w:jc w:val="center"/>
        <w:rPr>
          <w:rFonts w:ascii="Times New Roman"/>
          <w:color w:val="auto"/>
          <w:sz w:val="30"/>
        </w:rPr>
      </w:pPr>
      <w:bookmarkStart w:id="29" w:name="_Toc135000339"/>
      <w:r w:rsidRPr="009E26D0">
        <w:rPr>
          <w:rFonts w:ascii="Times New Roman"/>
          <w:color w:val="auto"/>
          <w:sz w:val="30"/>
        </w:rPr>
        <w:lastRenderedPageBreak/>
        <w:t>第四部分</w:t>
      </w:r>
      <w:r w:rsidRPr="009E26D0">
        <w:rPr>
          <w:rFonts w:ascii="Times New Roman"/>
          <w:color w:val="auto"/>
          <w:sz w:val="30"/>
        </w:rPr>
        <w:t xml:space="preserve">  </w:t>
      </w:r>
      <w:r w:rsidRPr="009E26D0">
        <w:rPr>
          <w:rFonts w:ascii="Times New Roman"/>
          <w:color w:val="auto"/>
          <w:sz w:val="30"/>
        </w:rPr>
        <w:t>基金托管人</w:t>
      </w:r>
      <w:bookmarkEnd w:id="29"/>
    </w:p>
    <w:p w14:paraId="4B5E444D" w14:textId="77777777" w:rsidR="009912D6" w:rsidRPr="0017353E" w:rsidRDefault="009912D6" w:rsidP="009912D6"/>
    <w:p w14:paraId="12BC3909" w14:textId="77777777" w:rsidR="006056DB" w:rsidRPr="006056DB" w:rsidRDefault="008E5098" w:rsidP="006056DB">
      <w:pPr>
        <w:spacing w:line="360" w:lineRule="auto"/>
        <w:ind w:firstLineChars="200" w:firstLine="480"/>
        <w:rPr>
          <w:rFonts w:ascii="宋体" w:hAnsi="宋体" w:cs="宋体"/>
          <w:kern w:val="0"/>
          <w:sz w:val="24"/>
          <w:szCs w:val="24"/>
        </w:rPr>
      </w:pPr>
      <w:r w:rsidRPr="008E5098">
        <w:rPr>
          <w:rFonts w:ascii="宋体" w:hAnsi="宋体" w:cs="宋体" w:hint="eastAsia"/>
          <w:kern w:val="0"/>
          <w:sz w:val="24"/>
          <w:szCs w:val="24"/>
        </w:rPr>
        <w:t>（一）</w:t>
      </w:r>
      <w:r w:rsidR="006056DB" w:rsidRPr="006056DB">
        <w:rPr>
          <w:rFonts w:ascii="宋体" w:hAnsi="宋体" w:cs="宋体" w:hint="eastAsia"/>
          <w:kern w:val="0"/>
          <w:sz w:val="24"/>
          <w:szCs w:val="24"/>
        </w:rPr>
        <w:t xml:space="preserve">基金托管人基本情况 </w:t>
      </w:r>
    </w:p>
    <w:p w14:paraId="59E4DBD2"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名称：中国工商银行股份有限公司</w:t>
      </w:r>
    </w:p>
    <w:p w14:paraId="3BD1E10E"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注册地址：北京市西城区复兴门内大街55号</w:t>
      </w:r>
    </w:p>
    <w:p w14:paraId="7DB3A0C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成立时间：1984年1月1日</w:t>
      </w:r>
    </w:p>
    <w:p w14:paraId="6F2C42E4"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法定代表人： 陈四清</w:t>
      </w:r>
    </w:p>
    <w:p w14:paraId="100F190C"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注册资本：人民币35,640,625.7089万元</w:t>
      </w:r>
    </w:p>
    <w:p w14:paraId="2E408A5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联系电话：010-66105799</w:t>
      </w:r>
    </w:p>
    <w:p w14:paraId="7D083984"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联系人：郭明</w:t>
      </w:r>
    </w:p>
    <w:p w14:paraId="3F937E34"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（二）主要人员情况</w:t>
      </w:r>
    </w:p>
    <w:p w14:paraId="185D7778"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截至2023年12月，中国工商银行资产托管部共有员工210人，平均年龄38岁，95%以上员工拥有大学本科以上学历，高管人员均拥有研究生以上学历或高级技术职称。</w:t>
      </w:r>
    </w:p>
    <w:p w14:paraId="54BD039E"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（三）基金托管业务经营情况</w:t>
      </w:r>
    </w:p>
    <w:p w14:paraId="7240BA1C"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2023年12月，中国工商银行共托管证券投资基金1385只。自2003年以来，本行连续二十年获得香港《亚洲货币》、英国《全球托管人》、香港《财资》、美国《环球金融》、内地《证券时报》、《上海证券报》等境内外权威财经媒体评选的96项最佳托管银行大奖；是获得奖项</w:t>
      </w:r>
      <w:r w:rsidRPr="006056DB">
        <w:rPr>
          <w:rFonts w:ascii="宋体" w:hAnsi="宋体" w:cs="宋体" w:hint="eastAsia"/>
          <w:kern w:val="0"/>
          <w:sz w:val="24"/>
          <w:szCs w:val="24"/>
        </w:rPr>
        <w:lastRenderedPageBreak/>
        <w:t>最多的国内托管银行，优良的服务品质获得国内外金融领域的持续认可和广泛好评。</w:t>
      </w:r>
    </w:p>
    <w:p w14:paraId="3830ABB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（四）基金托管人的内部控制制度</w:t>
      </w:r>
    </w:p>
    <w:p w14:paraId="3E38B33F"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从2005年至今共十六次顺利通过评估组织内部控制和安全措施最权威的ISAE3402审阅，全部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14:paraId="204145F7"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1、内部风险控制目标</w:t>
      </w:r>
    </w:p>
    <w:p w14:paraId="0325D28D"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14:paraId="5D0B1914"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2、内部风险控制组织结构</w:t>
      </w:r>
    </w:p>
    <w:p w14:paraId="0DCDF468"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14:paraId="3125DF9F"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3、内部风险控制原则</w:t>
      </w:r>
    </w:p>
    <w:p w14:paraId="1500A630"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（1）合法性原则。内控制度应当符合国家法律法规及监管机构的监管要求，并贯穿于托管业务经营管理活动的始终。</w:t>
      </w:r>
    </w:p>
    <w:p w14:paraId="54F44798"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lastRenderedPageBreak/>
        <w:t>（2）完整性原则。托管业务的各项经营管理活动都必须有相应的规范程序和监督制约；监督制约应渗透到托管业务的全过程和各个操作环节，覆盖所有的部门、岗位和人员。</w:t>
      </w:r>
    </w:p>
    <w:p w14:paraId="3A6B68FD"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（3）及时性原则。托管业务经营活动必须在发生时能准确及时地记录；按照“内控优先”的原则，新设机构或新增业务品种时，必须做到已建立相关的规章制度。</w:t>
      </w:r>
    </w:p>
    <w:p w14:paraId="45A7726C"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（4）审慎性原则。各项业务经营活动必须防范风险，审慎经营，保证基金资产和其他委托资产的安全与完整。</w:t>
      </w:r>
    </w:p>
    <w:p w14:paraId="43DD8222"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（5）有效性原则。内控制度应根据国家政策、法律及经营管理的需要适时修改完善，并保证得到全面落实执行，不得有任何空间、时限及人员的例外。</w:t>
      </w:r>
    </w:p>
    <w:p w14:paraId="23D63795"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（6）独立性原则。设立专门履行托管人职责的管理部门；直接操作人员和控制人员必须相对独立，适当分离；内控制度的检查、评价部门必须独立于内控制度的制定和执行部门。</w:t>
      </w:r>
    </w:p>
    <w:p w14:paraId="6C1F11D0"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4、内部风险控制措施实施</w:t>
      </w:r>
    </w:p>
    <w:p w14:paraId="7EFB4BB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14:paraId="0994FF75"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14:paraId="3418D9BC"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14:paraId="3865DDE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（4）经营控制。资产托管部通过制定计划、编制预算等方法开展各种业务营销活动、处理各项事务，从而有效地控制和配置组织资源，达到资源利用和效</w:t>
      </w:r>
      <w:r w:rsidRPr="006056DB">
        <w:rPr>
          <w:rFonts w:ascii="宋体" w:hAnsi="宋体" w:cs="宋体" w:hint="eastAsia"/>
          <w:kern w:val="0"/>
          <w:sz w:val="24"/>
          <w:szCs w:val="24"/>
        </w:rPr>
        <w:lastRenderedPageBreak/>
        <w:t>益最大化目的。</w:t>
      </w:r>
    </w:p>
    <w:p w14:paraId="36FEFA9A"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5）内部风险管理。资产托管部通过稽核监察、风险评估等方式加强内部风险管理，定期或不定期地对业务运作状况进行检查、监控，指导业务部门进行风险识别、评估，制定并实施风险控制措施，排查风险隐患。</w:t>
      </w:r>
    </w:p>
    <w:p w14:paraId="6EE0C04E"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（6）数据安全控制。我们通过业务操作区相对独立、数据和传真加密、数据传输线路的冗余备份、监控设施的运用和保障等措施来保障数据安全。</w:t>
      </w:r>
    </w:p>
    <w:p w14:paraId="3F3E72C9"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14:paraId="59C66C00"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5、资产托管部内部风险控制情况</w:t>
      </w:r>
    </w:p>
    <w:p w14:paraId="2C2A13D1"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（1）资产托管部内部设置专职稽核监察部门，配备专职稽核监察人员，在总经理的直接领导下，依照有关法律规章，全面贯彻落实全程监控思想，确保资产托管业务健康、稳定地发展。</w:t>
      </w:r>
    </w:p>
    <w:p w14:paraId="65470E44"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14:paraId="71FB42A2"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14:paraId="4F382B53"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w:t>
      </w:r>
      <w:r w:rsidRPr="006056DB">
        <w:rPr>
          <w:rFonts w:ascii="宋体" w:hAnsi="宋体" w:cs="宋体" w:hint="eastAsia"/>
          <w:kern w:val="0"/>
          <w:sz w:val="24"/>
          <w:szCs w:val="24"/>
        </w:rPr>
        <w:lastRenderedPageBreak/>
        <w:t>部始终将风险管理放在与业务发展同等重要的位置，视风险防范和控制为托管业务生存和发展的生命线。</w:t>
      </w:r>
    </w:p>
    <w:p w14:paraId="38E2ED57"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（五）基金托管人对基金管理人运作基金进行监督的方法和程序</w:t>
      </w:r>
    </w:p>
    <w:p w14:paraId="74B7E271"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14:paraId="4D76FFF6" w14:textId="77777777" w:rsidR="006056DB" w:rsidRPr="006056DB"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14:paraId="4E9C897E" w14:textId="32CC0AB4" w:rsidR="00E1345A" w:rsidRPr="00CE4F60" w:rsidRDefault="006056DB" w:rsidP="006056DB">
      <w:pPr>
        <w:spacing w:line="360" w:lineRule="auto"/>
        <w:ind w:firstLineChars="200" w:firstLine="480"/>
        <w:rPr>
          <w:rFonts w:ascii="宋体" w:hAnsi="宋体" w:cs="宋体"/>
          <w:kern w:val="0"/>
          <w:sz w:val="24"/>
          <w:szCs w:val="24"/>
        </w:rPr>
      </w:pPr>
      <w:r w:rsidRPr="006056DB">
        <w:rPr>
          <w:rFonts w:ascii="宋体" w:hAnsi="宋体" w:cs="宋体" w:hint="eastAsia"/>
          <w:kern w:val="0"/>
          <w:sz w:val="24"/>
          <w:szCs w:val="24"/>
        </w:rPr>
        <w:t>基金托管人发现基金管理人有重大违规行为，应立即报告中国证监会，同时通知基金管理人限期纠正。</w:t>
      </w:r>
    </w:p>
    <w:p w14:paraId="3D851858" w14:textId="48B6476D" w:rsidR="009912D6" w:rsidRDefault="0024620C" w:rsidP="001E4039">
      <w:pPr>
        <w:autoSpaceDE w:val="0"/>
        <w:autoSpaceDN w:val="0"/>
        <w:adjustRightInd w:val="0"/>
        <w:spacing w:line="360" w:lineRule="auto"/>
        <w:ind w:firstLineChars="200" w:firstLine="480"/>
        <w:jc w:val="left"/>
        <w:rPr>
          <w:rFonts w:ascii="宋体"/>
          <w:noProof/>
          <w:color w:val="000000"/>
          <w:kern w:val="0"/>
          <w:sz w:val="24"/>
          <w:szCs w:val="24"/>
        </w:rPr>
      </w:pPr>
      <w:r>
        <w:rPr>
          <w:rFonts w:ascii="宋体"/>
          <w:noProof/>
          <w:color w:val="000000"/>
          <w:kern w:val="0"/>
          <w:sz w:val="24"/>
          <w:szCs w:val="24"/>
        </w:rPr>
        <w:br w:type="page"/>
      </w:r>
    </w:p>
    <w:p w14:paraId="3603BA9E" w14:textId="77777777" w:rsidR="009912D6" w:rsidRDefault="0024620C" w:rsidP="009912D6">
      <w:pPr>
        <w:pStyle w:val="1"/>
        <w:spacing w:before="0" w:after="0"/>
        <w:jc w:val="center"/>
        <w:rPr>
          <w:rFonts w:ascii="Times New Roman"/>
          <w:color w:val="auto"/>
          <w:sz w:val="30"/>
        </w:rPr>
      </w:pPr>
      <w:bookmarkStart w:id="30" w:name="_Toc135000340"/>
      <w:r w:rsidRPr="009E26D0">
        <w:rPr>
          <w:rFonts w:ascii="Times New Roman"/>
          <w:color w:val="auto"/>
          <w:sz w:val="30"/>
        </w:rPr>
        <w:lastRenderedPageBreak/>
        <w:t>第五部分</w:t>
      </w:r>
      <w:r w:rsidRPr="009E26D0">
        <w:rPr>
          <w:rFonts w:ascii="Times New Roman"/>
          <w:color w:val="auto"/>
          <w:sz w:val="30"/>
        </w:rPr>
        <w:t xml:space="preserve">  </w:t>
      </w:r>
      <w:r w:rsidRPr="009E26D0">
        <w:rPr>
          <w:rFonts w:ascii="Times New Roman"/>
          <w:color w:val="auto"/>
          <w:sz w:val="30"/>
        </w:rPr>
        <w:t>相关服务机构</w:t>
      </w:r>
      <w:bookmarkEnd w:id="30"/>
    </w:p>
    <w:p w14:paraId="481B0049" w14:textId="77777777" w:rsidR="009912D6" w:rsidRPr="0017353E" w:rsidRDefault="009912D6" w:rsidP="009912D6"/>
    <w:p w14:paraId="4EE6D5E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一、基金份额销售机构</w:t>
      </w:r>
    </w:p>
    <w:p w14:paraId="08A8A92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1、直销机构</w:t>
      </w:r>
    </w:p>
    <w:p w14:paraId="496F0E45" w14:textId="7AF373F4" w:rsidR="00586A97" w:rsidRDefault="0024620C">
      <w:pPr>
        <w:spacing w:line="360" w:lineRule="auto"/>
        <w:ind w:firstLine="420"/>
        <w:rPr>
          <w:rFonts w:eastAsia="Times New Roman"/>
          <w:kern w:val="0"/>
          <w:sz w:val="24"/>
          <w:szCs w:val="24"/>
        </w:rPr>
      </w:pPr>
      <w:r>
        <w:rPr>
          <w:rFonts w:ascii="宋体" w:hAnsi="宋体" w:cs="宋体"/>
          <w:kern w:val="0"/>
          <w:sz w:val="24"/>
          <w:szCs w:val="24"/>
        </w:rPr>
        <w:t>（1）直销中心</w:t>
      </w:r>
    </w:p>
    <w:p w14:paraId="44834EA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住所：上海市黄浦区北京东路666号H区（东座）6楼H686室</w:t>
      </w:r>
    </w:p>
    <w:p w14:paraId="7C6C16A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办公地址：上海市浦东新区樱花路868号建工大唐国际广场A座7楼</w:t>
      </w:r>
    </w:p>
    <w:p w14:paraId="59AD1BC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法定代表人：李文</w:t>
      </w:r>
    </w:p>
    <w:p w14:paraId="610F230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电话：（021）28932893</w:t>
      </w:r>
    </w:p>
    <w:p w14:paraId="1CBF311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传真：（021）50199035或（021）50199036</w:t>
      </w:r>
    </w:p>
    <w:p w14:paraId="6DCBE52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联系人：陈卓膺</w:t>
      </w:r>
    </w:p>
    <w:p w14:paraId="4222C4D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客户服务电话：400-888-9918（免长途话费）</w:t>
      </w:r>
    </w:p>
    <w:p w14:paraId="4AE5298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网址：www.99fund.com</w:t>
      </w:r>
    </w:p>
    <w:p w14:paraId="5476918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邮箱：guitai@htffund.com</w:t>
      </w:r>
    </w:p>
    <w:p w14:paraId="63B8F8E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（2）汇添富基金管理股份有限公司线上直销系统</w:t>
      </w:r>
    </w:p>
    <w:p w14:paraId="4A3267A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2、其他销售机构</w:t>
      </w:r>
    </w:p>
    <w:p w14:paraId="0ABE429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本基金的其他销售机构请详见基金管理人官网公示的销售机构信息表。基金管理人可根据有关法律法规的要求，选择其他符合要求的机构销售基金，并在基金管理人网站公示。</w:t>
      </w:r>
    </w:p>
    <w:p w14:paraId="400C553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二、登记机构</w:t>
      </w:r>
    </w:p>
    <w:p w14:paraId="342D328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名称：汇添富基金管理股份有限公司</w:t>
      </w:r>
    </w:p>
    <w:p w14:paraId="44F9782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住所：上海市黄浦区北京东路666号H区（东座）6楼H686室</w:t>
      </w:r>
    </w:p>
    <w:p w14:paraId="3183791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办公地址：上海市浦东新区樱花路868号建工大唐国际广场A座7楼</w:t>
      </w:r>
    </w:p>
    <w:p w14:paraId="1BC82F2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法定代表人：李文</w:t>
      </w:r>
    </w:p>
    <w:p w14:paraId="69C6E5C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电话：（021）28932888</w:t>
      </w:r>
    </w:p>
    <w:p w14:paraId="0E69FCF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传真：（021）28932876</w:t>
      </w:r>
    </w:p>
    <w:p w14:paraId="131ADC10" w14:textId="58C37D05" w:rsidR="00586A97" w:rsidRDefault="0024620C">
      <w:pPr>
        <w:spacing w:line="360" w:lineRule="auto"/>
        <w:ind w:firstLine="420"/>
        <w:rPr>
          <w:rFonts w:eastAsia="Times New Roman"/>
          <w:kern w:val="0"/>
          <w:sz w:val="24"/>
          <w:szCs w:val="24"/>
        </w:rPr>
      </w:pPr>
      <w:r>
        <w:rPr>
          <w:rFonts w:ascii="宋体" w:hAnsi="宋体" w:cs="宋体"/>
          <w:kern w:val="0"/>
          <w:sz w:val="24"/>
          <w:szCs w:val="24"/>
        </w:rPr>
        <w:t>联系人：</w:t>
      </w:r>
      <w:r w:rsidR="00A82B4B">
        <w:rPr>
          <w:rFonts w:ascii="宋体" w:hAnsi="宋体" w:cs="宋体" w:hint="eastAsia"/>
          <w:kern w:val="0"/>
          <w:sz w:val="24"/>
          <w:szCs w:val="24"/>
        </w:rPr>
        <w:t>马树超</w:t>
      </w:r>
    </w:p>
    <w:p w14:paraId="0879121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三、出具法律意见书的律师事务所</w:t>
      </w:r>
    </w:p>
    <w:p w14:paraId="27B8437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名称：上海市通力律师事务所</w:t>
      </w:r>
    </w:p>
    <w:p w14:paraId="6300114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住所：上海市银城中路68号时代金融中心19楼</w:t>
      </w:r>
    </w:p>
    <w:p w14:paraId="14A3B8B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办公地址：上海市银城中路68号时代金融中心19楼</w:t>
      </w:r>
    </w:p>
    <w:p w14:paraId="67F2423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负责人：韩炯</w:t>
      </w:r>
    </w:p>
    <w:p w14:paraId="53E2E38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电话：（021）31358666</w:t>
      </w:r>
    </w:p>
    <w:p w14:paraId="423F06E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传真：（021）31358600</w:t>
      </w:r>
    </w:p>
    <w:p w14:paraId="06F7F45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经办律师：黎明、陈颖华</w:t>
      </w:r>
    </w:p>
    <w:p w14:paraId="7165076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联系人：陈颖华</w:t>
      </w:r>
    </w:p>
    <w:p w14:paraId="4BD96F1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四、审计基金财产的会计师事务所</w:t>
      </w:r>
    </w:p>
    <w:p w14:paraId="6F88285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名称：安永华明会计师事务所（特殊普通合伙）</w:t>
      </w:r>
    </w:p>
    <w:p w14:paraId="557F662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住所：北京市东城区东长安街1号东方广场安永大楼17层</w:t>
      </w:r>
    </w:p>
    <w:p w14:paraId="137F690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办公地址：北京市东城区东长安街1号东方广场安永大楼17层</w:t>
      </w:r>
    </w:p>
    <w:p w14:paraId="19EDBAA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执行事务合伙人：毛鞍宁</w:t>
      </w:r>
    </w:p>
    <w:p w14:paraId="501DF1C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电话：010-58153000</w:t>
      </w:r>
    </w:p>
    <w:p w14:paraId="27D1551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传真：010-85188298</w:t>
      </w:r>
    </w:p>
    <w:p w14:paraId="24B9CEC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业务联系人：许培菁</w:t>
      </w:r>
    </w:p>
    <w:p w14:paraId="073ECBC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经办会计师：许培菁、韩云</w:t>
      </w:r>
    </w:p>
    <w:p w14:paraId="0F1CC4E6"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5DBA6E17" w14:textId="77777777" w:rsidR="009912D6" w:rsidRDefault="0024620C" w:rsidP="009912D6">
      <w:pPr>
        <w:pStyle w:val="1"/>
        <w:spacing w:before="0" w:after="0"/>
        <w:jc w:val="center"/>
        <w:rPr>
          <w:rFonts w:ascii="Times New Roman"/>
          <w:color w:val="auto"/>
          <w:sz w:val="30"/>
        </w:rPr>
      </w:pPr>
      <w:bookmarkStart w:id="31" w:name="_Toc135000341"/>
      <w:r w:rsidRPr="009E26D0">
        <w:rPr>
          <w:rFonts w:ascii="Times New Roman"/>
          <w:color w:val="auto"/>
          <w:sz w:val="30"/>
        </w:rPr>
        <w:lastRenderedPageBreak/>
        <w:t>第六部分</w:t>
      </w:r>
      <w:r w:rsidRPr="009E26D0">
        <w:rPr>
          <w:rFonts w:ascii="Times New Roman"/>
          <w:color w:val="auto"/>
          <w:sz w:val="30"/>
        </w:rPr>
        <w:t xml:space="preserve">  </w:t>
      </w:r>
      <w:r w:rsidRPr="009E26D0">
        <w:rPr>
          <w:rFonts w:ascii="Times New Roman"/>
          <w:color w:val="auto"/>
          <w:sz w:val="30"/>
        </w:rPr>
        <w:t>基金的募集</w:t>
      </w:r>
      <w:bookmarkEnd w:id="31"/>
    </w:p>
    <w:p w14:paraId="541E4D95" w14:textId="77777777" w:rsidR="009912D6" w:rsidRPr="0017353E" w:rsidRDefault="009912D6" w:rsidP="009912D6"/>
    <w:p w14:paraId="2993362E" w14:textId="118B6202"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本基金由基金管理人依照《基金法》、《运作办法》、《销售办法》、《信息披露办法》等有关法律法规以及基金合同的规定，经中国证监会证监许可【20</w:t>
      </w:r>
      <w:r w:rsidR="00CA79E7">
        <w:rPr>
          <w:rFonts w:ascii="宋体" w:hAnsi="宋体" w:cs="宋体"/>
          <w:kern w:val="0"/>
          <w:sz w:val="24"/>
          <w:szCs w:val="24"/>
        </w:rPr>
        <w:t>22</w:t>
      </w:r>
      <w:r>
        <w:rPr>
          <w:rFonts w:ascii="宋体" w:hAnsi="宋体" w:cs="宋体"/>
          <w:kern w:val="0"/>
          <w:sz w:val="24"/>
          <w:szCs w:val="24"/>
        </w:rPr>
        <w:t>】</w:t>
      </w:r>
      <w:r w:rsidR="00CA79E7">
        <w:rPr>
          <w:rFonts w:ascii="宋体" w:hAnsi="宋体" w:cs="宋体"/>
          <w:kern w:val="0"/>
          <w:sz w:val="24"/>
          <w:szCs w:val="24"/>
        </w:rPr>
        <w:t>2787</w:t>
      </w:r>
      <w:r>
        <w:rPr>
          <w:rFonts w:ascii="宋体" w:hAnsi="宋体" w:cs="宋体"/>
          <w:kern w:val="0"/>
          <w:sz w:val="24"/>
          <w:szCs w:val="24"/>
        </w:rPr>
        <w:t>号文件准予注册募集。</w:t>
      </w:r>
    </w:p>
    <w:p w14:paraId="0F924F84"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一、基金的类型、运作方式及存续期限</w:t>
      </w:r>
    </w:p>
    <w:p w14:paraId="7B01356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1、基金类型：</w:t>
      </w:r>
    </w:p>
    <w:p w14:paraId="786A579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债券型证券投资基金</w:t>
      </w:r>
    </w:p>
    <w:p w14:paraId="22AFAF2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2、基金运作方式：</w:t>
      </w:r>
    </w:p>
    <w:p w14:paraId="48DF168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契约型开放式</w:t>
      </w:r>
    </w:p>
    <w:p w14:paraId="3170FF9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3、存续期限：不定期</w:t>
      </w:r>
    </w:p>
    <w:p w14:paraId="5709C13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二、基金份额的募集期限、募集对象、募集方式、募集场所</w:t>
      </w:r>
    </w:p>
    <w:p w14:paraId="2C46E6E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1、募集期限</w:t>
      </w:r>
    </w:p>
    <w:p w14:paraId="3715DA8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自基金份额发售之日起最长不得超过3个月，具体发售时间见基金份额发售公告。</w:t>
      </w:r>
    </w:p>
    <w:p w14:paraId="5C6E45D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2、募集对象</w:t>
      </w:r>
    </w:p>
    <w:p w14:paraId="4CB66B8A" w14:textId="77777777" w:rsidR="0093126A" w:rsidRDefault="0024620C" w:rsidP="0093126A">
      <w:pPr>
        <w:spacing w:line="360" w:lineRule="auto"/>
        <w:ind w:firstLine="420"/>
        <w:rPr>
          <w:rFonts w:ascii="宋体" w:hAnsi="宋体" w:cs="宋体"/>
          <w:kern w:val="0"/>
          <w:sz w:val="24"/>
          <w:szCs w:val="24"/>
        </w:rPr>
      </w:pPr>
      <w:r>
        <w:rPr>
          <w:rFonts w:ascii="宋体" w:hAnsi="宋体" w:cs="宋体"/>
          <w:kern w:val="0"/>
          <w:sz w:val="24"/>
          <w:szCs w:val="24"/>
        </w:rPr>
        <w:t>符合法律法规规定的可投资于证券投资基金的个人投资者、机构投资者、合格境外投资者以及法律法规或中国证监会允许购买证券投资基金的其他投资人。</w:t>
      </w:r>
    </w:p>
    <w:p w14:paraId="4D3C30CB" w14:textId="21334589" w:rsidR="0093126A" w:rsidRPr="0093126A" w:rsidRDefault="0093126A" w:rsidP="0093126A">
      <w:pPr>
        <w:spacing w:line="360" w:lineRule="auto"/>
        <w:ind w:firstLine="420"/>
        <w:rPr>
          <w:rFonts w:ascii="宋体" w:hAnsi="宋体" w:cs="宋体"/>
          <w:kern w:val="0"/>
          <w:sz w:val="24"/>
          <w:szCs w:val="24"/>
        </w:rPr>
      </w:pPr>
      <w:r w:rsidRPr="0093126A">
        <w:rPr>
          <w:rFonts w:ascii="宋体" w:hAnsi="宋体" w:cs="宋体" w:hint="eastAsia"/>
          <w:kern w:val="0"/>
          <w:sz w:val="24"/>
          <w:szCs w:val="24"/>
        </w:rPr>
        <w:t>本基金暂不向金融机构自营账户销售</w:t>
      </w:r>
      <w:r w:rsidR="00562E4B" w:rsidRPr="00FF6F6C">
        <w:rPr>
          <w:rFonts w:ascii="宋体" w:hAnsi="宋体" w:cs="宋体" w:hint="eastAsia"/>
          <w:kern w:val="0"/>
          <w:sz w:val="24"/>
          <w:szCs w:val="24"/>
        </w:rPr>
        <w:t>（</w:t>
      </w:r>
      <w:r w:rsidR="006B1CE9">
        <w:rPr>
          <w:rFonts w:ascii="宋体" w:hAnsi="宋体" w:cs="宋体" w:hint="eastAsia"/>
          <w:kern w:val="0"/>
          <w:sz w:val="24"/>
          <w:szCs w:val="24"/>
        </w:rPr>
        <w:t>基金</w:t>
      </w:r>
      <w:r w:rsidR="00562E4B" w:rsidRPr="00FF6F6C">
        <w:rPr>
          <w:rFonts w:ascii="宋体" w:hAnsi="宋体" w:cs="宋体" w:hint="eastAsia"/>
          <w:kern w:val="0"/>
          <w:sz w:val="24"/>
          <w:szCs w:val="24"/>
        </w:rPr>
        <w:t>管理人自有资金除外）</w:t>
      </w:r>
      <w:r w:rsidRPr="0093126A">
        <w:rPr>
          <w:rFonts w:ascii="宋体" w:hAnsi="宋体" w:cs="宋体" w:hint="eastAsia"/>
          <w:kern w:val="0"/>
          <w:sz w:val="24"/>
          <w:szCs w:val="24"/>
        </w:rPr>
        <w:t>，</w:t>
      </w:r>
      <w:r w:rsidRPr="00075802">
        <w:rPr>
          <w:rFonts w:ascii="宋体" w:hAnsi="宋体" w:cs="宋体" w:hint="eastAsia"/>
          <w:kern w:val="0"/>
          <w:sz w:val="24"/>
          <w:szCs w:val="24"/>
        </w:rPr>
        <w:t>如未来本基金开放向金融机构自营账户公开</w:t>
      </w:r>
      <w:r w:rsidR="008001C8">
        <w:rPr>
          <w:rFonts w:ascii="宋体" w:hAnsi="宋体" w:cs="宋体"/>
          <w:kern w:val="0"/>
          <w:sz w:val="24"/>
          <w:szCs w:val="24"/>
        </w:rPr>
        <w:t>销</w:t>
      </w:r>
      <w:r w:rsidRPr="00075802">
        <w:rPr>
          <w:rFonts w:ascii="宋体" w:hAnsi="宋体" w:cs="宋体" w:hint="eastAsia"/>
          <w:kern w:val="0"/>
          <w:sz w:val="24"/>
          <w:szCs w:val="24"/>
        </w:rPr>
        <w:t>售或对</w:t>
      </w:r>
      <w:r w:rsidR="008001C8">
        <w:rPr>
          <w:rFonts w:ascii="宋体" w:hAnsi="宋体" w:cs="宋体"/>
          <w:kern w:val="0"/>
          <w:sz w:val="24"/>
          <w:szCs w:val="24"/>
        </w:rPr>
        <w:t>销</w:t>
      </w:r>
      <w:r w:rsidRPr="00075802">
        <w:rPr>
          <w:rFonts w:ascii="宋体" w:hAnsi="宋体" w:cs="宋体" w:hint="eastAsia"/>
          <w:kern w:val="0"/>
          <w:sz w:val="24"/>
          <w:szCs w:val="24"/>
        </w:rPr>
        <w:t>售对象的范围予以进一步限定，基金管理人将</w:t>
      </w:r>
      <w:r w:rsidR="00B17418" w:rsidRPr="00075802">
        <w:rPr>
          <w:rFonts w:ascii="宋体" w:hAnsi="宋体" w:cs="宋体" w:hint="eastAsia"/>
          <w:kern w:val="0"/>
          <w:sz w:val="24"/>
          <w:szCs w:val="24"/>
        </w:rPr>
        <w:t>另行公告</w:t>
      </w:r>
      <w:r w:rsidRPr="00075802">
        <w:rPr>
          <w:rFonts w:ascii="宋体" w:hAnsi="宋体" w:cs="宋体" w:hint="eastAsia"/>
          <w:kern w:val="0"/>
          <w:sz w:val="24"/>
          <w:szCs w:val="24"/>
        </w:rPr>
        <w:t>。</w:t>
      </w:r>
    </w:p>
    <w:p w14:paraId="64878B81" w14:textId="15B525C8" w:rsidR="00095C92" w:rsidRPr="0093126A" w:rsidRDefault="0093126A" w:rsidP="00075802">
      <w:pPr>
        <w:spacing w:line="360" w:lineRule="auto"/>
        <w:ind w:firstLine="420"/>
        <w:rPr>
          <w:rFonts w:ascii="宋体" w:hAnsi="宋体" w:cs="宋体"/>
          <w:kern w:val="0"/>
          <w:sz w:val="24"/>
          <w:szCs w:val="24"/>
        </w:rPr>
      </w:pPr>
      <w:r w:rsidRPr="0093126A">
        <w:rPr>
          <w:rFonts w:ascii="宋体" w:hAnsi="宋体" w:cs="宋体" w:hint="eastAsia"/>
          <w:kern w:val="0"/>
          <w:sz w:val="24"/>
          <w:szCs w:val="24"/>
        </w:rPr>
        <w:t>本基金单一投资者单日认购金额不超过</w:t>
      </w:r>
      <w:r w:rsidR="0000637E">
        <w:rPr>
          <w:rFonts w:ascii="宋体" w:hAnsi="宋体" w:cs="宋体" w:hint="eastAsia"/>
          <w:kern w:val="0"/>
          <w:sz w:val="24"/>
          <w:szCs w:val="24"/>
        </w:rPr>
        <w:t>1000</w:t>
      </w:r>
      <w:r w:rsidRPr="0093126A">
        <w:rPr>
          <w:rFonts w:ascii="宋体" w:hAnsi="宋体" w:cs="宋体" w:hint="eastAsia"/>
          <w:kern w:val="0"/>
          <w:sz w:val="24"/>
          <w:szCs w:val="24"/>
        </w:rPr>
        <w:t>万元</w:t>
      </w:r>
      <w:r w:rsidR="0000637E">
        <w:rPr>
          <w:rFonts w:ascii="宋体" w:hAnsi="宋体" w:cs="宋体" w:hint="eastAsia"/>
          <w:kern w:val="0"/>
          <w:sz w:val="24"/>
          <w:szCs w:val="24"/>
        </w:rPr>
        <w:t>（</w:t>
      </w:r>
      <w:r w:rsidR="0000637E" w:rsidRPr="0093126A">
        <w:rPr>
          <w:rFonts w:ascii="宋体" w:hAnsi="宋体" w:cs="宋体" w:hint="eastAsia"/>
          <w:kern w:val="0"/>
          <w:sz w:val="24"/>
          <w:szCs w:val="24"/>
        </w:rPr>
        <w:t>个人投资者</w:t>
      </w:r>
      <w:r w:rsidR="00EE5C0B">
        <w:rPr>
          <w:rFonts w:ascii="宋体" w:hAnsi="宋体" w:cs="宋体" w:hint="eastAsia"/>
          <w:kern w:val="0"/>
          <w:sz w:val="24"/>
          <w:szCs w:val="24"/>
        </w:rPr>
        <w:t>及</w:t>
      </w:r>
      <w:r w:rsidR="0000637E" w:rsidRPr="0093126A">
        <w:rPr>
          <w:rFonts w:ascii="宋体" w:hAnsi="宋体" w:cs="宋体" w:hint="eastAsia"/>
          <w:kern w:val="0"/>
          <w:sz w:val="24"/>
          <w:szCs w:val="24"/>
        </w:rPr>
        <w:t>公募资产管理产品除外</w:t>
      </w:r>
      <w:r w:rsidR="0000637E">
        <w:rPr>
          <w:rFonts w:ascii="宋体" w:hAnsi="宋体" w:cs="宋体" w:hint="eastAsia"/>
          <w:kern w:val="0"/>
          <w:sz w:val="24"/>
          <w:szCs w:val="24"/>
        </w:rPr>
        <w:t>）。</w:t>
      </w:r>
      <w:r w:rsidRPr="0093126A">
        <w:rPr>
          <w:rFonts w:ascii="宋体" w:hAnsi="宋体" w:cs="宋体" w:hint="eastAsia"/>
          <w:kern w:val="0"/>
          <w:sz w:val="24"/>
          <w:szCs w:val="24"/>
        </w:rPr>
        <w:t>基金管理人可以调整单一投资者单日认购金额上限，具体规定请参见更新的招募说明书或相关公告。</w:t>
      </w:r>
    </w:p>
    <w:p w14:paraId="4395A83F" w14:textId="37189464" w:rsidR="00586A97" w:rsidRDefault="0024620C">
      <w:pPr>
        <w:spacing w:line="360" w:lineRule="auto"/>
        <w:ind w:firstLine="420"/>
        <w:rPr>
          <w:rFonts w:eastAsia="Times New Roman"/>
          <w:kern w:val="0"/>
          <w:sz w:val="24"/>
          <w:szCs w:val="24"/>
        </w:rPr>
      </w:pPr>
      <w:r>
        <w:rPr>
          <w:rFonts w:ascii="宋体" w:hAnsi="宋体" w:cs="宋体"/>
          <w:kern w:val="0"/>
          <w:sz w:val="24"/>
          <w:szCs w:val="24"/>
        </w:rPr>
        <w:t>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生的任何损失由投资者自行承担。</w:t>
      </w:r>
    </w:p>
    <w:p w14:paraId="5F64500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3、募集方式</w:t>
      </w:r>
    </w:p>
    <w:p w14:paraId="265EFFE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通过各销售机构的基金销售网点公开发售，各销售机构的具体名单见基金管理人网站届时公示的基金销售机构名录。</w:t>
      </w:r>
    </w:p>
    <w:p w14:paraId="258BEED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4、募集场所</w:t>
      </w:r>
    </w:p>
    <w:p w14:paraId="0456E1F0" w14:textId="4501819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本基金将通过基金管理人的直销</w:t>
      </w:r>
      <w:r w:rsidR="001E4039">
        <w:rPr>
          <w:rFonts w:ascii="宋体" w:hAnsi="宋体" w:cs="宋体" w:hint="eastAsia"/>
          <w:kern w:val="0"/>
          <w:sz w:val="24"/>
          <w:szCs w:val="24"/>
        </w:rPr>
        <w:t>机构</w:t>
      </w:r>
      <w:r>
        <w:rPr>
          <w:rFonts w:ascii="宋体" w:hAnsi="宋体" w:cs="宋体"/>
          <w:kern w:val="0"/>
          <w:sz w:val="24"/>
          <w:szCs w:val="24"/>
        </w:rPr>
        <w:t>及其他基金销售机构的销售网点公开发售。</w:t>
      </w:r>
    </w:p>
    <w:p w14:paraId="1426654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投资者还可以登录基金管理人网站（www.99fund.com）办理开户、认购等业务，网上交易开通流程、业务规则请登录基金管理人网站查询。</w:t>
      </w:r>
    </w:p>
    <w:p w14:paraId="2007BA9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募集期间，基金管理人可根据情况变更或增减基金销售机构，并在基金管理人网站公示。具体销售城市（或网点）名单和联系方式，请参见基金管理人网站届时公示的基金销售机构名录以及当地基金销售机构以各种形式发布的公告。</w:t>
      </w:r>
    </w:p>
    <w:p w14:paraId="638D36D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三、基金份额类别设置</w:t>
      </w:r>
    </w:p>
    <w:p w14:paraId="3B7E0B6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本基金根据认购/申购费用、销售服务费收取方式等事项的不同，将基金份额分为不同的类别。</w:t>
      </w:r>
    </w:p>
    <w:p w14:paraId="6D896AA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A类基金份额在投资者认购、申购时收取认购、申购费用，在赎回时根据持有期限收取赎回费用，但不从本类别基金财产中计提销售服务费；C类基金份额从本类别基金财产中计提销售服务费而不收取认购、申购费用，在赎回时根据持有期限收取赎回费用。</w:t>
      </w:r>
    </w:p>
    <w:p w14:paraId="4BCE686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本基金A类、C类基金份额分别设置代码。由于基金费用的不同，本基金A类、C类基金份额将分别计算基金份额净值，计算公式为计算日各类别基金资产净值除以计算日发售在外的该类别基金份额总数。</w:t>
      </w:r>
    </w:p>
    <w:p w14:paraId="4887430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投资者可自行选择认购、申购的基金份额类别。</w:t>
      </w:r>
    </w:p>
    <w:p w14:paraId="0824468F" w14:textId="45C5AB7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不违反法律法规、基金合同的约定以及对基金份额持有人利益无实质性不利影响的情况下，经与基金托管人协商一致，在履行适当程序后基金管理人可增加、减少或调整基金份额类别设置、对基金份额分类办法及规则进行调整并在调整实施之日前依照《信息披露办法》的有关规定在规定媒介上公告，不需要召开基金份额持有人大会。</w:t>
      </w:r>
    </w:p>
    <w:p w14:paraId="72B3809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四、基金份额的认购</w:t>
      </w:r>
    </w:p>
    <w:p w14:paraId="6B58F3E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除法律法规或中国证监会有关规定另有规定外，任何与基金份额发售有关的当事人不得预留和提前发售基金份额。</w:t>
      </w:r>
    </w:p>
    <w:p w14:paraId="4E90BC1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lastRenderedPageBreak/>
        <w:t>1、基金份额的发售面值</w:t>
      </w:r>
    </w:p>
    <w:p w14:paraId="218D28A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本基金基金份额发售面值为人民币1.00元。</w:t>
      </w:r>
    </w:p>
    <w:p w14:paraId="3F5D8E7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2、认购费用</w:t>
      </w:r>
    </w:p>
    <w:p w14:paraId="03307356" w14:textId="32CC332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本基金对通过</w:t>
      </w:r>
      <w:r w:rsidR="002C7A94">
        <w:rPr>
          <w:rFonts w:ascii="宋体" w:hAnsi="宋体" w:cs="宋体" w:hint="eastAsia"/>
          <w:kern w:val="0"/>
          <w:sz w:val="24"/>
          <w:szCs w:val="24"/>
        </w:rPr>
        <w:t>本公司</w:t>
      </w:r>
      <w:r>
        <w:rPr>
          <w:rFonts w:ascii="宋体" w:hAnsi="宋体" w:cs="宋体"/>
          <w:kern w:val="0"/>
          <w:sz w:val="24"/>
          <w:szCs w:val="24"/>
        </w:rPr>
        <w:t>直销中心认购本基金A类基金份额的特定投资群体与除此之外</w:t>
      </w:r>
      <w:r w:rsidR="00E24BD4">
        <w:rPr>
          <w:rFonts w:ascii="宋体" w:hAnsi="宋体" w:cs="宋体" w:hint="eastAsia"/>
          <w:kern w:val="0"/>
          <w:sz w:val="24"/>
          <w:szCs w:val="24"/>
        </w:rPr>
        <w:t>的</w:t>
      </w:r>
      <w:r>
        <w:rPr>
          <w:rFonts w:ascii="宋体" w:hAnsi="宋体" w:cs="宋体"/>
          <w:kern w:val="0"/>
          <w:sz w:val="24"/>
          <w:szCs w:val="24"/>
        </w:rPr>
        <w:t>其他投资者实施差别化的认购费率。</w:t>
      </w:r>
    </w:p>
    <w:p w14:paraId="74C54B82" w14:textId="6177163D"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特定投资群体指全国社会保障基金、基本养老保险基金、可以投资基金的地方社会保障基金、企业年金基金、职业年金基金，以及个人税收递延型商业养老保险、养老目标证券投资基金等。如将来出现经养老基金监管部门认可的新的养老基金类型，基金管理人可将其纳入特定投资群体范围。</w:t>
      </w:r>
    </w:p>
    <w:p w14:paraId="4FEEAC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特定投资群体可通过本公司直销中心认购本基金A类基金份额。基金管理人可根据情况变更或增减特定投资群体认购本基金A类基金份额的销售机构。</w:t>
      </w:r>
    </w:p>
    <w:p w14:paraId="126D8DEB" w14:textId="03983586"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1）特定投资群体</w:t>
      </w:r>
      <w:r w:rsidR="002C7A94" w:rsidRPr="002C7A94">
        <w:rPr>
          <w:rFonts w:ascii="宋体" w:hAnsi="宋体" w:cs="宋体" w:hint="eastAsia"/>
          <w:kern w:val="0"/>
          <w:sz w:val="24"/>
          <w:szCs w:val="24"/>
        </w:rPr>
        <w:t>认购A类基金份额</w:t>
      </w:r>
      <w:r>
        <w:rPr>
          <w:rFonts w:ascii="宋体" w:hAnsi="宋体" w:cs="宋体"/>
          <w:kern w:val="0"/>
          <w:sz w:val="24"/>
          <w:szCs w:val="24"/>
        </w:rPr>
        <w:t>的认购费用</w:t>
      </w:r>
    </w:p>
    <w:p w14:paraId="0FEA2739" w14:textId="05D4A998"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通过</w:t>
      </w:r>
      <w:r w:rsidR="002C7A94">
        <w:rPr>
          <w:rFonts w:ascii="宋体" w:hAnsi="宋体" w:cs="宋体"/>
          <w:kern w:val="0"/>
          <w:sz w:val="24"/>
          <w:szCs w:val="24"/>
        </w:rPr>
        <w:t>本公司</w:t>
      </w:r>
      <w:r>
        <w:rPr>
          <w:rFonts w:ascii="宋体" w:hAnsi="宋体" w:cs="宋体"/>
          <w:kern w:val="0"/>
          <w:sz w:val="24"/>
          <w:szCs w:val="24"/>
        </w:rPr>
        <w:t>直销中心认购本基金A类基金份额的特定投资群体认购费用为每笔500元。</w:t>
      </w:r>
      <w:r w:rsidR="00D36644" w:rsidRPr="00D36644">
        <w:rPr>
          <w:rFonts w:ascii="宋体" w:hAnsi="宋体" w:cs="宋体" w:hint="eastAsia"/>
          <w:iCs/>
          <w:kern w:val="0"/>
          <w:sz w:val="24"/>
          <w:szCs w:val="24"/>
        </w:rPr>
        <w:t>未通过本公司直销中心认购本基金A类基金份额的特定投资群体，认购费率参照其他投资者适用的A类基金份额认购费率执行。</w:t>
      </w:r>
    </w:p>
    <w:p w14:paraId="24EF67B0" w14:textId="4B5113E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2）其他投资者</w:t>
      </w:r>
      <w:r w:rsidR="002C7A94" w:rsidRPr="002C7A94">
        <w:rPr>
          <w:rFonts w:ascii="宋体" w:hAnsi="宋体" w:cs="宋体" w:hint="eastAsia"/>
          <w:kern w:val="0"/>
          <w:sz w:val="24"/>
          <w:szCs w:val="24"/>
        </w:rPr>
        <w:t>认购A类基金份额</w:t>
      </w:r>
      <w:r>
        <w:rPr>
          <w:rFonts w:ascii="宋体" w:hAnsi="宋体" w:cs="宋体"/>
          <w:kern w:val="0"/>
          <w:sz w:val="24"/>
          <w:szCs w:val="24"/>
        </w:rPr>
        <w:t>的认购费</w:t>
      </w:r>
      <w:r w:rsidR="0010528A">
        <w:rPr>
          <w:rFonts w:ascii="宋体" w:hAnsi="宋体" w:cs="宋体" w:hint="eastAsia"/>
          <w:kern w:val="0"/>
          <w:sz w:val="24"/>
          <w:szCs w:val="24"/>
        </w:rPr>
        <w:t>率</w:t>
      </w:r>
    </w:p>
    <w:p w14:paraId="0F698456" w14:textId="007687C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其他投资者认购本基金A类基金份额的认购费率随认购金额增加而递减。在募集期内如果有多笔认购，适用费率按单笔认购申请单独计算。</w:t>
      </w:r>
      <w:r w:rsidR="00D50F32">
        <w:rPr>
          <w:rFonts w:ascii="宋体" w:hAnsi="宋体" w:cs="宋体" w:hint="eastAsia"/>
          <w:kern w:val="0"/>
          <w:sz w:val="24"/>
          <w:szCs w:val="24"/>
        </w:rPr>
        <w:t>其他投资者认购</w:t>
      </w:r>
      <w:r>
        <w:rPr>
          <w:rFonts w:ascii="宋体" w:hAnsi="宋体" w:cs="宋体"/>
          <w:kern w:val="0"/>
          <w:sz w:val="24"/>
          <w:szCs w:val="24"/>
        </w:rPr>
        <w:t>A类基金份额的</w:t>
      </w:r>
      <w:r w:rsidR="00D50F32">
        <w:rPr>
          <w:rFonts w:ascii="宋体" w:hAnsi="宋体" w:cs="宋体" w:hint="eastAsia"/>
          <w:kern w:val="0"/>
          <w:sz w:val="24"/>
          <w:szCs w:val="24"/>
        </w:rPr>
        <w:t>具体</w:t>
      </w:r>
      <w:r>
        <w:rPr>
          <w:rFonts w:ascii="宋体" w:hAnsi="宋体" w:cs="宋体"/>
          <w:kern w:val="0"/>
          <w:sz w:val="24"/>
          <w:szCs w:val="24"/>
        </w:rPr>
        <w:t>认购费率如下表所示：</w:t>
      </w:r>
    </w:p>
    <w:tbl>
      <w:tblPr>
        <w:tblW w:w="7945" w:type="dxa"/>
        <w:jc w:val="center"/>
        <w:tblCellMar>
          <w:left w:w="0" w:type="dxa"/>
          <w:right w:w="0" w:type="dxa"/>
        </w:tblCellMar>
        <w:tblLook w:val="04A0" w:firstRow="1" w:lastRow="0" w:firstColumn="1" w:lastColumn="0" w:noHBand="0" w:noVBand="1"/>
      </w:tblPr>
      <w:tblGrid>
        <w:gridCol w:w="4832"/>
        <w:gridCol w:w="3113"/>
      </w:tblGrid>
      <w:tr w:rsidR="00586A97" w14:paraId="3BEA43B1"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5E068FF6"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认购金额M（元）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CCDBD77"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认购费率</w:t>
            </w:r>
          </w:p>
        </w:tc>
      </w:tr>
      <w:tr w:rsidR="00586A97" w14:paraId="044FCCCE"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5339F64"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M＜100万元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8767ABF" w14:textId="13DF06E1" w:rsidR="00586A97" w:rsidRDefault="005145D6">
            <w:pPr>
              <w:ind w:firstLine="420"/>
              <w:jc w:val="center"/>
              <w:rPr>
                <w:rFonts w:ascii="宋体" w:hAnsi="宋体" w:cs="宋体"/>
                <w:color w:val="000000"/>
                <w:kern w:val="0"/>
                <w:sz w:val="24"/>
                <w:szCs w:val="24"/>
              </w:rPr>
            </w:pPr>
            <w:r>
              <w:rPr>
                <w:rFonts w:ascii="宋体" w:hAnsi="宋体" w:cs="宋体"/>
                <w:color w:val="000000"/>
                <w:kern w:val="0"/>
                <w:sz w:val="24"/>
                <w:szCs w:val="24"/>
              </w:rPr>
              <w:t>0.60</w:t>
            </w:r>
            <w:r w:rsidR="0024620C">
              <w:rPr>
                <w:rFonts w:ascii="宋体" w:hAnsi="宋体" w:cs="宋体"/>
                <w:color w:val="000000"/>
                <w:kern w:val="0"/>
                <w:sz w:val="24"/>
                <w:szCs w:val="24"/>
              </w:rPr>
              <w:t>%</w:t>
            </w:r>
          </w:p>
        </w:tc>
      </w:tr>
      <w:tr w:rsidR="00586A97" w14:paraId="409217FE"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04709F08"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100万元≤M＜500万元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F919F1D" w14:textId="6E1796E4" w:rsidR="00586A97" w:rsidRDefault="005145D6">
            <w:pPr>
              <w:ind w:firstLine="420"/>
              <w:jc w:val="center"/>
              <w:rPr>
                <w:rFonts w:ascii="宋体" w:hAnsi="宋体" w:cs="宋体"/>
                <w:color w:val="000000"/>
                <w:kern w:val="0"/>
                <w:sz w:val="24"/>
                <w:szCs w:val="24"/>
              </w:rPr>
            </w:pPr>
            <w:r>
              <w:rPr>
                <w:rFonts w:ascii="宋体" w:hAnsi="宋体" w:cs="宋体"/>
                <w:color w:val="000000"/>
                <w:kern w:val="0"/>
                <w:sz w:val="24"/>
                <w:szCs w:val="24"/>
              </w:rPr>
              <w:t>0.30</w:t>
            </w:r>
            <w:r w:rsidR="0024620C">
              <w:rPr>
                <w:rFonts w:ascii="宋体" w:hAnsi="宋体" w:cs="宋体"/>
                <w:color w:val="000000"/>
                <w:kern w:val="0"/>
                <w:sz w:val="24"/>
                <w:szCs w:val="24"/>
              </w:rPr>
              <w:t>%</w:t>
            </w:r>
          </w:p>
        </w:tc>
      </w:tr>
      <w:tr w:rsidR="00586A97" w14:paraId="40D92E0B"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FAF39E0"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M≥500万元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04C0E9B"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每笔1000元</w:t>
            </w:r>
          </w:p>
        </w:tc>
      </w:tr>
    </w:tbl>
    <w:p w14:paraId="66C83EC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本基金C类基金份额不收取认购费用。</w:t>
      </w:r>
    </w:p>
    <w:p w14:paraId="2B1C3507" w14:textId="6A61264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A类基金份额的认购费用</w:t>
      </w:r>
      <w:r w:rsidR="009E0928" w:rsidRPr="009E0928">
        <w:rPr>
          <w:rFonts w:ascii="宋体" w:hAnsi="宋体" w:cs="宋体" w:hint="eastAsia"/>
          <w:kern w:val="0"/>
          <w:sz w:val="24"/>
          <w:szCs w:val="24"/>
        </w:rPr>
        <w:t>由认购A类基金份额的投资者承担</w:t>
      </w:r>
      <w:r w:rsidR="005D7107">
        <w:rPr>
          <w:rFonts w:ascii="宋体" w:hAnsi="宋体" w:cs="宋体" w:hint="eastAsia"/>
          <w:kern w:val="0"/>
          <w:sz w:val="24"/>
          <w:szCs w:val="24"/>
        </w:rPr>
        <w:t>，</w:t>
      </w:r>
      <w:r>
        <w:rPr>
          <w:rFonts w:ascii="宋体" w:hAnsi="宋体" w:cs="宋体"/>
          <w:kern w:val="0"/>
          <w:sz w:val="24"/>
          <w:szCs w:val="24"/>
        </w:rPr>
        <w:t>不列入基金财产，主要用于基金的市场推广、销售、登记等基金募集期间发生的各项费用。</w:t>
      </w:r>
    </w:p>
    <w:p w14:paraId="742B08E2" w14:textId="5E43898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基金管理人可以在不</w:t>
      </w:r>
      <w:r w:rsidR="003C23E1">
        <w:rPr>
          <w:rFonts w:ascii="宋体" w:hAnsi="宋体" w:cs="宋体" w:hint="eastAsia"/>
          <w:kern w:val="0"/>
          <w:sz w:val="24"/>
          <w:szCs w:val="24"/>
        </w:rPr>
        <w:t>违反</w:t>
      </w:r>
      <w:r>
        <w:rPr>
          <w:rFonts w:ascii="宋体" w:hAnsi="宋体" w:cs="宋体"/>
          <w:kern w:val="0"/>
          <w:sz w:val="24"/>
          <w:szCs w:val="24"/>
        </w:rPr>
        <w:t>法律法规规定及基金合同约定的情况下根据市场情况制定基金促销计划，定期和不定期地开展基金促销活动。在基金促销活动期间，基金管理人可以按相关监管部门要求履行必要手续后，对基金投资者适当调</w:t>
      </w:r>
      <w:r>
        <w:rPr>
          <w:rFonts w:ascii="宋体" w:hAnsi="宋体" w:cs="宋体"/>
          <w:kern w:val="0"/>
          <w:sz w:val="24"/>
          <w:szCs w:val="24"/>
        </w:rPr>
        <w:lastRenderedPageBreak/>
        <w:t>低基金认购费率。</w:t>
      </w:r>
    </w:p>
    <w:p w14:paraId="3200C0E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3、认购份额的计算</w:t>
      </w:r>
    </w:p>
    <w:p w14:paraId="61F5796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基金认购采用金额认购的方式。</w:t>
      </w:r>
    </w:p>
    <w:p w14:paraId="213EEDD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（1）A类基金份额</w:t>
      </w:r>
    </w:p>
    <w:p w14:paraId="0637E66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A类基金份额的认购金额包括认购费用和净认购金额。计算公式为：</w:t>
      </w:r>
    </w:p>
    <w:p w14:paraId="298F540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1）认购费用适用比例费率：</w:t>
      </w:r>
    </w:p>
    <w:p w14:paraId="7A96D95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净认购金额=认购金额/（1＋认购费率）</w:t>
      </w:r>
    </w:p>
    <w:p w14:paraId="081BFDA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认购费用=认购金额-净认购金额</w:t>
      </w:r>
    </w:p>
    <w:p w14:paraId="34DEA1A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认购份额=（净认购金额＋认购利息）/基金份额发售面值</w:t>
      </w:r>
    </w:p>
    <w:p w14:paraId="5BEC16B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2）认购费用适用固定金额：</w:t>
      </w:r>
    </w:p>
    <w:p w14:paraId="0B2FB01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认购费用=固定金额</w:t>
      </w:r>
    </w:p>
    <w:p w14:paraId="3F840F4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净认购金额=认购金额-认购费用</w:t>
      </w:r>
    </w:p>
    <w:p w14:paraId="484A8F8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认购份额=（净认购金额＋认购利息）/基金份额发售面值</w:t>
      </w:r>
    </w:p>
    <w:p w14:paraId="6F70F02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（2）C类基金份额</w:t>
      </w:r>
    </w:p>
    <w:p w14:paraId="5AB903C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认购份额=（认购金额＋认购利息）/基金份额发售面值</w:t>
      </w:r>
    </w:p>
    <w:p w14:paraId="06D2780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（3）上述认购份额（含利息折算的份额）计算结果保留到小数点后2位，小数点2位以后的部分四舍五入，由此误差产生的收益或损失由基金财产承担。</w:t>
      </w:r>
    </w:p>
    <w:p w14:paraId="5354829B" w14:textId="1A0488AA"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例1：某投资者（</w:t>
      </w:r>
      <w:r w:rsidR="00336056">
        <w:rPr>
          <w:rFonts w:ascii="宋体" w:hAnsi="宋体" w:cs="宋体" w:hint="eastAsia"/>
          <w:kern w:val="0"/>
          <w:sz w:val="24"/>
          <w:szCs w:val="24"/>
        </w:rPr>
        <w:t>其他投资者</w:t>
      </w:r>
      <w:r>
        <w:rPr>
          <w:rFonts w:ascii="宋体" w:hAnsi="宋体" w:cs="宋体"/>
          <w:kern w:val="0"/>
          <w:sz w:val="24"/>
          <w:szCs w:val="24"/>
        </w:rPr>
        <w:t>）投资10,000元认购本基金A类基金份额，假设其认购资金在认购期间产生的利息为3.00元，其对应的认购费率为</w:t>
      </w:r>
      <w:r w:rsidR="00CF4574" w:rsidRPr="00CF4574">
        <w:rPr>
          <w:rFonts w:ascii="宋体" w:hAnsi="宋体" w:cs="宋体"/>
          <w:kern w:val="0"/>
          <w:sz w:val="24"/>
          <w:szCs w:val="24"/>
        </w:rPr>
        <w:t>0.</w:t>
      </w:r>
      <w:r w:rsidR="006F45DC">
        <w:rPr>
          <w:rFonts w:ascii="宋体" w:hAnsi="宋体" w:cs="宋体"/>
          <w:kern w:val="0"/>
          <w:sz w:val="24"/>
          <w:szCs w:val="24"/>
        </w:rPr>
        <w:t>6</w:t>
      </w:r>
      <w:r w:rsidR="006F45DC" w:rsidRPr="00CF4574">
        <w:rPr>
          <w:rFonts w:ascii="宋体" w:hAnsi="宋体" w:cs="宋体"/>
          <w:kern w:val="0"/>
          <w:sz w:val="24"/>
          <w:szCs w:val="24"/>
        </w:rPr>
        <w:t>0</w:t>
      </w:r>
      <w:r w:rsidR="00CF4574" w:rsidRPr="00CF4574">
        <w:rPr>
          <w:rFonts w:ascii="宋体" w:hAnsi="宋体" w:cs="宋体"/>
          <w:kern w:val="0"/>
          <w:sz w:val="24"/>
          <w:szCs w:val="24"/>
        </w:rPr>
        <w:t>%</w:t>
      </w:r>
      <w:r>
        <w:rPr>
          <w:rFonts w:ascii="宋体" w:hAnsi="宋体" w:cs="宋体"/>
          <w:kern w:val="0"/>
          <w:sz w:val="24"/>
          <w:szCs w:val="24"/>
        </w:rPr>
        <w:t>，则其可得到的认购份额为：</w:t>
      </w:r>
    </w:p>
    <w:p w14:paraId="6C23661F" w14:textId="62705B42"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净认购金额=10,000/（1+</w:t>
      </w:r>
      <w:r w:rsidR="00CF4574" w:rsidRPr="00CF4574">
        <w:rPr>
          <w:rFonts w:ascii="宋体" w:hAnsi="宋体" w:cs="宋体"/>
          <w:kern w:val="0"/>
          <w:sz w:val="24"/>
          <w:szCs w:val="24"/>
        </w:rPr>
        <w:t>0.</w:t>
      </w:r>
      <w:r w:rsidR="006F45DC">
        <w:rPr>
          <w:rFonts w:ascii="宋体" w:hAnsi="宋体" w:cs="宋体"/>
          <w:kern w:val="0"/>
          <w:sz w:val="24"/>
          <w:szCs w:val="24"/>
        </w:rPr>
        <w:t>6</w:t>
      </w:r>
      <w:r w:rsidR="006F45DC" w:rsidRPr="00CF4574">
        <w:rPr>
          <w:rFonts w:ascii="宋体" w:hAnsi="宋体" w:cs="宋体"/>
          <w:kern w:val="0"/>
          <w:sz w:val="24"/>
          <w:szCs w:val="24"/>
        </w:rPr>
        <w:t>0</w:t>
      </w:r>
      <w:r w:rsidR="00CF4574" w:rsidRPr="00CF4574">
        <w:rPr>
          <w:rFonts w:ascii="宋体" w:hAnsi="宋体" w:cs="宋体"/>
          <w:kern w:val="0"/>
          <w:sz w:val="24"/>
          <w:szCs w:val="24"/>
        </w:rPr>
        <w:t>%</w:t>
      </w:r>
      <w:r>
        <w:rPr>
          <w:rFonts w:ascii="宋体" w:hAnsi="宋体" w:cs="宋体"/>
          <w:kern w:val="0"/>
          <w:sz w:val="24"/>
          <w:szCs w:val="24"/>
        </w:rPr>
        <w:t>）=</w:t>
      </w:r>
      <w:r w:rsidR="006F45DC" w:rsidRPr="006F45DC">
        <w:t xml:space="preserve"> </w:t>
      </w:r>
      <w:r w:rsidR="006F45DC" w:rsidRPr="006F45DC">
        <w:rPr>
          <w:rFonts w:ascii="宋体" w:hAnsi="宋体" w:cs="宋体"/>
          <w:kern w:val="0"/>
          <w:sz w:val="24"/>
          <w:szCs w:val="24"/>
        </w:rPr>
        <w:t>9,940.36</w:t>
      </w:r>
      <w:r w:rsidR="006F45DC" w:rsidRPr="006F45DC" w:rsidDel="006F45DC">
        <w:rPr>
          <w:rFonts w:ascii="宋体" w:hAnsi="宋体" w:cs="宋体"/>
          <w:kern w:val="0"/>
          <w:sz w:val="24"/>
          <w:szCs w:val="24"/>
        </w:rPr>
        <w:t xml:space="preserve"> </w:t>
      </w:r>
      <w:r>
        <w:rPr>
          <w:rFonts w:ascii="宋体" w:hAnsi="宋体" w:cs="宋体"/>
          <w:kern w:val="0"/>
          <w:sz w:val="24"/>
          <w:szCs w:val="24"/>
        </w:rPr>
        <w:t>元</w:t>
      </w:r>
    </w:p>
    <w:p w14:paraId="2511B018" w14:textId="091F544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认购费用=</w:t>
      </w:r>
      <w:r w:rsidR="006F45DC" w:rsidRPr="006F45DC">
        <w:rPr>
          <w:rFonts w:hint="eastAsia"/>
        </w:rPr>
        <w:t xml:space="preserve"> </w:t>
      </w:r>
      <w:r w:rsidR="006F45DC" w:rsidRPr="006F45DC">
        <w:rPr>
          <w:rFonts w:ascii="宋体" w:hAnsi="宋体" w:cs="宋体" w:hint="eastAsia"/>
          <w:kern w:val="0"/>
          <w:sz w:val="24"/>
          <w:szCs w:val="24"/>
        </w:rPr>
        <w:t>10,000–9,940.36=59.64元</w:t>
      </w:r>
    </w:p>
    <w:p w14:paraId="58CCCF25" w14:textId="0E9BC356" w:rsidR="006F45DC"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w:t>
      </w:r>
      <w:r w:rsidR="006F45DC" w:rsidRPr="006F45DC">
        <w:rPr>
          <w:rFonts w:ascii="宋体" w:hAnsi="宋体" w:cs="宋体" w:hint="eastAsia"/>
          <w:kern w:val="0"/>
          <w:sz w:val="24"/>
          <w:szCs w:val="24"/>
        </w:rPr>
        <w:t>（9,940.36+3.00）/ 1.00 =9,943.36份</w:t>
      </w:r>
    </w:p>
    <w:p w14:paraId="58A772F8" w14:textId="3D2578FE"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即：投资者（</w:t>
      </w:r>
      <w:r w:rsidR="00984FF8" w:rsidRPr="00984FF8">
        <w:rPr>
          <w:rFonts w:ascii="宋体" w:hAnsi="宋体" w:cs="宋体" w:hint="eastAsia"/>
          <w:kern w:val="0"/>
          <w:sz w:val="24"/>
          <w:szCs w:val="24"/>
        </w:rPr>
        <w:t>其他投资者</w:t>
      </w:r>
      <w:r>
        <w:rPr>
          <w:rFonts w:ascii="宋体" w:hAnsi="宋体" w:cs="宋体"/>
          <w:kern w:val="0"/>
          <w:sz w:val="24"/>
          <w:szCs w:val="24"/>
        </w:rPr>
        <w:t>）投资10,000元认购本基金A类基金份额，假设其认购资金在认购期间产生的利息为3.00元，</w:t>
      </w:r>
      <w:r w:rsidR="00E71A3B" w:rsidRPr="00E71A3B">
        <w:rPr>
          <w:rFonts w:ascii="宋体" w:hAnsi="宋体" w:cs="宋体"/>
          <w:kern w:val="0"/>
          <w:sz w:val="24"/>
          <w:szCs w:val="24"/>
        </w:rPr>
        <w:t>其对应的认购费率为0.</w:t>
      </w:r>
      <w:r w:rsidR="006F45DC">
        <w:rPr>
          <w:rFonts w:ascii="宋体" w:hAnsi="宋体" w:cs="宋体"/>
          <w:kern w:val="0"/>
          <w:sz w:val="24"/>
          <w:szCs w:val="24"/>
        </w:rPr>
        <w:t>6</w:t>
      </w:r>
      <w:r w:rsidR="00E71A3B" w:rsidRPr="00E71A3B">
        <w:rPr>
          <w:rFonts w:ascii="宋体" w:hAnsi="宋体" w:cs="宋体"/>
          <w:kern w:val="0"/>
          <w:sz w:val="24"/>
          <w:szCs w:val="24"/>
        </w:rPr>
        <w:t>0%，</w:t>
      </w:r>
      <w:r>
        <w:rPr>
          <w:rFonts w:ascii="宋体" w:hAnsi="宋体" w:cs="宋体"/>
          <w:kern w:val="0"/>
          <w:sz w:val="24"/>
          <w:szCs w:val="24"/>
        </w:rPr>
        <w:t>则其可得到</w:t>
      </w:r>
      <w:r w:rsidR="006F45DC" w:rsidRPr="006F45DC">
        <w:rPr>
          <w:rFonts w:ascii="宋体" w:hAnsi="宋体" w:cs="宋体" w:hint="eastAsia"/>
          <w:kern w:val="0"/>
          <w:sz w:val="24"/>
          <w:szCs w:val="24"/>
        </w:rPr>
        <w:t>9,943.36</w:t>
      </w:r>
      <w:r>
        <w:rPr>
          <w:rFonts w:ascii="宋体" w:hAnsi="宋体" w:cs="宋体"/>
          <w:kern w:val="0"/>
          <w:sz w:val="24"/>
          <w:szCs w:val="24"/>
        </w:rPr>
        <w:t>份本基金A类基金份额。</w:t>
      </w:r>
    </w:p>
    <w:p w14:paraId="2AF26F95" w14:textId="0E9652C1"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例2：某特定投资群体客户通过</w:t>
      </w:r>
      <w:r w:rsidR="00984FF8">
        <w:rPr>
          <w:rFonts w:ascii="宋体" w:hAnsi="宋体" w:cs="宋体" w:hint="eastAsia"/>
          <w:kern w:val="0"/>
          <w:sz w:val="24"/>
          <w:szCs w:val="24"/>
        </w:rPr>
        <w:t>本公司</w:t>
      </w:r>
      <w:r>
        <w:rPr>
          <w:rFonts w:ascii="宋体" w:hAnsi="宋体" w:cs="宋体"/>
          <w:kern w:val="0"/>
          <w:sz w:val="24"/>
          <w:szCs w:val="24"/>
        </w:rPr>
        <w:t>直销中心投资100,000元认购本基金A类基金份额，其认购费金额为500元，假设其认购金额在认购期间产生的利息为50.00元，则其可得到的认购份额计算如下：</w:t>
      </w:r>
    </w:p>
    <w:p w14:paraId="31AF78A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净认购金额=100,000-500=99,500.00元</w:t>
      </w:r>
    </w:p>
    <w:p w14:paraId="33B46A1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认购份额=（99,500.00+50.00）/1.00=99,550.00份</w:t>
      </w:r>
    </w:p>
    <w:p w14:paraId="2B57FDBB" w14:textId="5B0B338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即：特定投资群体客户通过</w:t>
      </w:r>
      <w:r w:rsidR="00A36FA8">
        <w:rPr>
          <w:rFonts w:ascii="宋体" w:hAnsi="宋体" w:cs="宋体" w:hint="eastAsia"/>
          <w:kern w:val="0"/>
          <w:sz w:val="24"/>
          <w:szCs w:val="24"/>
        </w:rPr>
        <w:t>本公司</w:t>
      </w:r>
      <w:r>
        <w:rPr>
          <w:rFonts w:ascii="宋体" w:hAnsi="宋体" w:cs="宋体"/>
          <w:kern w:val="0"/>
          <w:sz w:val="24"/>
          <w:szCs w:val="24"/>
        </w:rPr>
        <w:t>直销中心投资100,000元认购本基金A类基金份额，</w:t>
      </w:r>
      <w:r w:rsidR="00E71A3B" w:rsidRPr="00E71A3B">
        <w:rPr>
          <w:rFonts w:ascii="宋体" w:hAnsi="宋体" w:cs="宋体"/>
          <w:kern w:val="0"/>
          <w:sz w:val="24"/>
          <w:szCs w:val="24"/>
        </w:rPr>
        <w:t>其认购费</w:t>
      </w:r>
      <w:r w:rsidR="00E71A3B" w:rsidRPr="00E71A3B">
        <w:rPr>
          <w:rFonts w:ascii="宋体" w:hAnsi="宋体" w:cs="宋体" w:hint="eastAsia"/>
          <w:kern w:val="0"/>
          <w:sz w:val="24"/>
          <w:szCs w:val="24"/>
        </w:rPr>
        <w:t>金额</w:t>
      </w:r>
      <w:r w:rsidR="00E71A3B" w:rsidRPr="00E71A3B">
        <w:rPr>
          <w:rFonts w:ascii="宋体" w:hAnsi="宋体" w:cs="宋体"/>
          <w:kern w:val="0"/>
          <w:sz w:val="24"/>
          <w:szCs w:val="24"/>
        </w:rPr>
        <w:t>为500元，</w:t>
      </w:r>
      <w:r>
        <w:rPr>
          <w:rFonts w:ascii="宋体" w:hAnsi="宋体" w:cs="宋体"/>
          <w:kern w:val="0"/>
          <w:sz w:val="24"/>
          <w:szCs w:val="24"/>
        </w:rPr>
        <w:t>假设募集期间其认购资金所得利息为50.00元，则其可得到99,550.00份本基金A类基金份额。</w:t>
      </w:r>
    </w:p>
    <w:p w14:paraId="69ADB9E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例3：某投资者投资10,000元认购本基金</w:t>
      </w:r>
      <w:r w:rsidR="004103CA">
        <w:rPr>
          <w:rFonts w:ascii="宋体" w:hAnsi="宋体" w:cs="宋体"/>
          <w:kern w:val="0"/>
          <w:sz w:val="24"/>
          <w:szCs w:val="24"/>
        </w:rPr>
        <w:t>C</w:t>
      </w:r>
      <w:r>
        <w:rPr>
          <w:rFonts w:ascii="宋体" w:hAnsi="宋体" w:cs="宋体"/>
          <w:kern w:val="0"/>
          <w:sz w:val="24"/>
          <w:szCs w:val="24"/>
        </w:rPr>
        <w:t>类基金份额，由于募集期间基金份额发售面值为人民币1.00元，假设其认购资金在认购期间产生的利息为3.00元，则根据公式计算出：</w:t>
      </w:r>
    </w:p>
    <w:p w14:paraId="48C2FF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认购份额=（10,000+3.00）/1.00=10,003.00份</w:t>
      </w:r>
    </w:p>
    <w:p w14:paraId="7BC577F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即：投资者投资10,000元认购本基金</w:t>
      </w:r>
      <w:r w:rsidR="004103CA">
        <w:rPr>
          <w:rFonts w:ascii="宋体" w:hAnsi="宋体" w:cs="宋体"/>
          <w:kern w:val="0"/>
          <w:sz w:val="24"/>
          <w:szCs w:val="24"/>
        </w:rPr>
        <w:t>C</w:t>
      </w:r>
      <w:r>
        <w:rPr>
          <w:rFonts w:ascii="宋体" w:hAnsi="宋体" w:cs="宋体"/>
          <w:kern w:val="0"/>
          <w:sz w:val="24"/>
          <w:szCs w:val="24"/>
        </w:rPr>
        <w:t>类基金份额，假设其认购资金在认购期间产生的利息为3.00元，则其可得到10,003.00份</w:t>
      </w:r>
      <w:r w:rsidR="004103CA">
        <w:rPr>
          <w:rFonts w:ascii="宋体" w:hAnsi="宋体" w:cs="宋体"/>
          <w:kern w:val="0"/>
          <w:sz w:val="24"/>
          <w:szCs w:val="24"/>
        </w:rPr>
        <w:t>C</w:t>
      </w:r>
      <w:r>
        <w:rPr>
          <w:rFonts w:ascii="宋体" w:hAnsi="宋体" w:cs="宋体"/>
          <w:kern w:val="0"/>
          <w:sz w:val="24"/>
          <w:szCs w:val="24"/>
        </w:rPr>
        <w:t>类基金份额。</w:t>
      </w:r>
    </w:p>
    <w:p w14:paraId="6198CF5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4、基金份额的认购程序</w:t>
      </w:r>
    </w:p>
    <w:p w14:paraId="3E564F6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（1）认购时间安排</w:t>
      </w:r>
    </w:p>
    <w:p w14:paraId="10323C9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投资者认购本基金的具体业务办理时间由基金管理人和基金销售机构确定，请参见本基金的基金份额发售公告。</w:t>
      </w:r>
    </w:p>
    <w:p w14:paraId="724AB8C7"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（2）投资者认购本基金份额应提交的文件和办理的手续</w:t>
      </w:r>
    </w:p>
    <w:p w14:paraId="379FA14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投资者认购本基金份额应提交的文件和办理的手续详见本基金的基金份额发售公告。</w:t>
      </w:r>
    </w:p>
    <w:p w14:paraId="01FB0BB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（3）基金份额的认购采用金额认购方式</w:t>
      </w:r>
    </w:p>
    <w:p w14:paraId="16FD4D0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者认购本基金采取全额缴款认购的方式。投资者在募集期内可多次认购，认购期间单个投资者的累计认购金额没有限制，但本招募说明书、基金份额发售公告、其他相关公告另有规定的除外。投资者的认购申请一经受理不得撤销。</w:t>
      </w:r>
    </w:p>
    <w:p w14:paraId="0E813F2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（4）认购的确认</w:t>
      </w:r>
    </w:p>
    <w:p w14:paraId="0F60360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当日（T日）在规定时间内提交的申请，投资者通常应在T+2日到销售机构查询认购申请的受理结果，并可在募集截止日后4个工作日内到销售机构打印交易确认书。</w:t>
      </w:r>
    </w:p>
    <w:p w14:paraId="79046361" w14:textId="1D5968D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销售机构对认购申请的受理并不代表该申请一定成功，而仅代表销售机构确实接收到认购申请。认购申请的确认以登记机构的确认结果为准。对于认购申请及认购份额的确认情况，投资人应及时查询并妥善行使合法权利，否则，由此产</w:t>
      </w:r>
      <w:r>
        <w:rPr>
          <w:rFonts w:ascii="宋体" w:hAnsi="宋体" w:cs="宋体"/>
          <w:kern w:val="0"/>
          <w:sz w:val="24"/>
          <w:szCs w:val="24"/>
        </w:rPr>
        <w:lastRenderedPageBreak/>
        <w:t>生的任何损失由投资者自行承担。</w:t>
      </w:r>
    </w:p>
    <w:p w14:paraId="3865881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（5）认购金额的限制</w:t>
      </w:r>
    </w:p>
    <w:p w14:paraId="2A22739C" w14:textId="199D830A"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基金募集期内，投资者可多次认购基金份额。投资者通过基金管理人直销中心首次认购本基金的最低金额为人民币50,000元（含认购费）；通过基金管理人线上直销系统认购本基金单笔最低金额为人民币1元（含认购费）；通过其他销售机构的销售网点认购本基金单笔最低金额为人民币1元（含认购费）。超过最低认购金额的部分不设金额级差。各销售机构对本基金最低认购金额及交易级差有其他规定的，以各销售机构的业务规定为准。募集期间不设置投资者单个账户最高认购金额限制，但本招募说明书、基金份额发售公告、其他相关公告另有规定的除外。</w:t>
      </w:r>
    </w:p>
    <w:p w14:paraId="06B9E352" w14:textId="525C6C82" w:rsidR="00586A97" w:rsidRDefault="0024620C">
      <w:pPr>
        <w:spacing w:line="360" w:lineRule="auto"/>
        <w:ind w:firstLine="420"/>
        <w:jc w:val="left"/>
        <w:rPr>
          <w:rFonts w:ascii="宋体" w:hAnsi="宋体" w:cs="宋体"/>
          <w:kern w:val="0"/>
          <w:sz w:val="24"/>
          <w:szCs w:val="24"/>
        </w:rPr>
      </w:pPr>
      <w:r>
        <w:rPr>
          <w:rFonts w:ascii="宋体" w:hAnsi="宋体" w:cs="宋体"/>
          <w:kern w:val="0"/>
          <w:sz w:val="24"/>
          <w:szCs w:val="24"/>
        </w:rPr>
        <w:t>基金管理人可以对募集期间的本基金募集规模设置上限。募集期内超过募集规模上限时，基金管理人可以采用比例确认或其他方式进行确认，具体办法参见基金份额发售公告或相关公告。</w:t>
      </w:r>
    </w:p>
    <w:p w14:paraId="14A9CCAD" w14:textId="7DAEC3BC" w:rsidR="00280FD1" w:rsidRPr="00CE4F60" w:rsidRDefault="00280FD1" w:rsidP="00CE4F60">
      <w:pPr>
        <w:spacing w:line="360" w:lineRule="auto"/>
        <w:ind w:firstLineChars="200" w:firstLine="480"/>
        <w:rPr>
          <w:sz w:val="24"/>
        </w:rPr>
      </w:pPr>
      <w:r w:rsidRPr="00B93CCB">
        <w:rPr>
          <w:rFonts w:hint="eastAsia"/>
          <w:bCs/>
          <w:sz w:val="24"/>
        </w:rPr>
        <w:t>如本基金单个投资人累计认购的基金份额数达到或者超过基金总份额的</w:t>
      </w:r>
      <w:r w:rsidRPr="00B93CCB">
        <w:rPr>
          <w:rFonts w:hint="eastAsia"/>
          <w:bCs/>
          <w:sz w:val="24"/>
        </w:rPr>
        <w:t>50%</w:t>
      </w:r>
      <w:r w:rsidRPr="00B93CCB">
        <w:rPr>
          <w:rFonts w:hint="eastAsia"/>
          <w:bCs/>
          <w:sz w:val="24"/>
        </w:rPr>
        <w:t>，基金管理人可以采取比例确认等方式对该投资人的认购申请进行限制。基金管理人接受某笔或者某些认购申请有可能导致投资者变相规避前述</w:t>
      </w:r>
      <w:r w:rsidRPr="00B93CCB">
        <w:rPr>
          <w:rFonts w:hint="eastAsia"/>
          <w:bCs/>
          <w:sz w:val="24"/>
        </w:rPr>
        <w:t>50%</w:t>
      </w:r>
      <w:r w:rsidRPr="00B93CCB">
        <w:rPr>
          <w:rFonts w:hint="eastAsia"/>
          <w:bCs/>
          <w:sz w:val="24"/>
        </w:rPr>
        <w:t>比例要求的，基金管理人有权拒绝该等全部或者部分认购申请。投资人认购的基金份额数以基金合同生效后登记机构的确认为准</w:t>
      </w:r>
      <w:r w:rsidRPr="00280FD1">
        <w:rPr>
          <w:rFonts w:hint="eastAsia"/>
          <w:sz w:val="24"/>
        </w:rPr>
        <w:t>。</w:t>
      </w:r>
    </w:p>
    <w:p w14:paraId="24526462"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5、募集期利息的处理方式</w:t>
      </w:r>
    </w:p>
    <w:p w14:paraId="07E1C1C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有效认购款项在募集期间产生的利息将折算为基金份额归基金份额持有人所有，其中利息转份额以登记机构的记录为准。</w:t>
      </w:r>
    </w:p>
    <w:p w14:paraId="7AD4597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五、募集资金的管理</w:t>
      </w:r>
    </w:p>
    <w:p w14:paraId="3F7835F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基金管理人应将基金募集期间募集的资金存入专门账户，在基金募集行为结束前，任何人不得动用。</w:t>
      </w:r>
    </w:p>
    <w:p w14:paraId="5D4195D6" w14:textId="64B5CA67" w:rsidR="008E5098" w:rsidRPr="008E5098" w:rsidRDefault="008E5098" w:rsidP="008E5098">
      <w:pPr>
        <w:spacing w:line="360" w:lineRule="auto"/>
        <w:ind w:firstLine="420"/>
        <w:rPr>
          <w:rFonts w:eastAsia="Times New Roman"/>
          <w:kern w:val="0"/>
          <w:sz w:val="24"/>
          <w:szCs w:val="24"/>
        </w:rPr>
      </w:pPr>
      <w:r>
        <w:rPr>
          <w:rFonts w:ascii="宋体" w:hAnsi="宋体" w:cs="宋体" w:hint="eastAsia"/>
          <w:kern w:val="0"/>
          <w:sz w:val="24"/>
          <w:szCs w:val="24"/>
        </w:rPr>
        <w:t>六、</w:t>
      </w:r>
      <w:r w:rsidRPr="008E5098">
        <w:rPr>
          <w:rFonts w:ascii="宋体" w:hAnsi="宋体" w:cs="宋体" w:hint="eastAsia"/>
          <w:kern w:val="0"/>
          <w:sz w:val="24"/>
          <w:szCs w:val="24"/>
        </w:rPr>
        <w:t>基金募集情况</w:t>
      </w:r>
    </w:p>
    <w:p w14:paraId="424E2CFA" w14:textId="07842F98" w:rsidR="008E5098" w:rsidRDefault="008E5098" w:rsidP="008E5098">
      <w:pPr>
        <w:spacing w:line="360" w:lineRule="auto"/>
        <w:ind w:firstLine="420"/>
        <w:rPr>
          <w:rFonts w:eastAsia="Times New Roman"/>
          <w:kern w:val="0"/>
          <w:sz w:val="24"/>
          <w:szCs w:val="24"/>
        </w:rPr>
      </w:pPr>
      <w:r w:rsidRPr="008E5098">
        <w:rPr>
          <w:rFonts w:ascii="宋体" w:hAnsi="宋体" w:cs="宋体" w:hint="eastAsia"/>
          <w:kern w:val="0"/>
          <w:sz w:val="24"/>
          <w:szCs w:val="24"/>
        </w:rPr>
        <w:t>本基金募集期为</w:t>
      </w:r>
      <w:r w:rsidRPr="008E5098">
        <w:rPr>
          <w:rFonts w:eastAsia="Times New Roman" w:hint="eastAsia"/>
          <w:kern w:val="0"/>
          <w:sz w:val="24"/>
          <w:szCs w:val="24"/>
        </w:rPr>
        <w:t>2023</w:t>
      </w:r>
      <w:r w:rsidRPr="008E5098">
        <w:rPr>
          <w:rFonts w:ascii="宋体" w:hAnsi="宋体" w:cs="宋体" w:hint="eastAsia"/>
          <w:kern w:val="0"/>
          <w:sz w:val="24"/>
          <w:szCs w:val="24"/>
        </w:rPr>
        <w:t>年</w:t>
      </w:r>
      <w:r w:rsidRPr="008E5098">
        <w:rPr>
          <w:rFonts w:eastAsia="Times New Roman" w:hint="eastAsia"/>
          <w:kern w:val="0"/>
          <w:sz w:val="24"/>
          <w:szCs w:val="24"/>
        </w:rPr>
        <w:t>01</w:t>
      </w:r>
      <w:r w:rsidRPr="008E5098">
        <w:rPr>
          <w:rFonts w:ascii="宋体" w:hAnsi="宋体" w:cs="宋体" w:hint="eastAsia"/>
          <w:kern w:val="0"/>
          <w:sz w:val="24"/>
          <w:szCs w:val="24"/>
        </w:rPr>
        <w:t>月</w:t>
      </w:r>
      <w:r w:rsidRPr="008E5098">
        <w:rPr>
          <w:rFonts w:eastAsia="Times New Roman" w:hint="eastAsia"/>
          <w:kern w:val="0"/>
          <w:sz w:val="24"/>
          <w:szCs w:val="24"/>
        </w:rPr>
        <w:t>03</w:t>
      </w:r>
      <w:r w:rsidRPr="008E5098">
        <w:rPr>
          <w:rFonts w:ascii="宋体" w:hAnsi="宋体" w:cs="宋体" w:hint="eastAsia"/>
          <w:kern w:val="0"/>
          <w:sz w:val="24"/>
          <w:szCs w:val="24"/>
        </w:rPr>
        <w:t>日至</w:t>
      </w:r>
      <w:r w:rsidRPr="008E5098">
        <w:rPr>
          <w:rFonts w:eastAsia="Times New Roman" w:hint="eastAsia"/>
          <w:kern w:val="0"/>
          <w:sz w:val="24"/>
          <w:szCs w:val="24"/>
        </w:rPr>
        <w:t>2023</w:t>
      </w:r>
      <w:r w:rsidRPr="008E5098">
        <w:rPr>
          <w:rFonts w:ascii="宋体" w:hAnsi="宋体" w:cs="宋体" w:hint="eastAsia"/>
          <w:kern w:val="0"/>
          <w:sz w:val="24"/>
          <w:szCs w:val="24"/>
        </w:rPr>
        <w:t>年</w:t>
      </w:r>
      <w:r w:rsidRPr="008E5098">
        <w:rPr>
          <w:rFonts w:eastAsia="Times New Roman" w:hint="eastAsia"/>
          <w:kern w:val="0"/>
          <w:sz w:val="24"/>
          <w:szCs w:val="24"/>
        </w:rPr>
        <w:t>01</w:t>
      </w:r>
      <w:r w:rsidRPr="008E5098">
        <w:rPr>
          <w:rFonts w:ascii="宋体" w:hAnsi="宋体" w:cs="宋体" w:hint="eastAsia"/>
          <w:kern w:val="0"/>
          <w:sz w:val="24"/>
          <w:szCs w:val="24"/>
        </w:rPr>
        <w:t>月</w:t>
      </w:r>
      <w:r w:rsidRPr="008E5098">
        <w:rPr>
          <w:rFonts w:eastAsia="Times New Roman" w:hint="eastAsia"/>
          <w:kern w:val="0"/>
          <w:sz w:val="24"/>
          <w:szCs w:val="24"/>
        </w:rPr>
        <w:t>30</w:t>
      </w:r>
      <w:r w:rsidRPr="008E5098">
        <w:rPr>
          <w:rFonts w:ascii="宋体" w:hAnsi="宋体" w:cs="宋体" w:hint="eastAsia"/>
          <w:kern w:val="0"/>
          <w:sz w:val="24"/>
          <w:szCs w:val="24"/>
        </w:rPr>
        <w:t>日。经会计师事务所验资，按照每份基金份额面值人民币</w:t>
      </w:r>
      <w:r w:rsidRPr="008E5098">
        <w:rPr>
          <w:rFonts w:eastAsia="Times New Roman" w:hint="eastAsia"/>
          <w:kern w:val="0"/>
          <w:sz w:val="24"/>
          <w:szCs w:val="24"/>
        </w:rPr>
        <w:t>1.00</w:t>
      </w:r>
      <w:r w:rsidRPr="008E5098">
        <w:rPr>
          <w:rFonts w:ascii="宋体" w:hAnsi="宋体" w:cs="宋体" w:hint="eastAsia"/>
          <w:kern w:val="0"/>
          <w:sz w:val="24"/>
          <w:szCs w:val="24"/>
        </w:rPr>
        <w:t>元计算，基金募集期共募集</w:t>
      </w:r>
      <w:r w:rsidRPr="008E5098">
        <w:rPr>
          <w:rFonts w:eastAsia="Times New Roman"/>
          <w:kern w:val="0"/>
          <w:sz w:val="24"/>
          <w:szCs w:val="24"/>
        </w:rPr>
        <w:t>777,649,047.25</w:t>
      </w:r>
      <w:r w:rsidRPr="008E5098">
        <w:rPr>
          <w:rFonts w:ascii="宋体" w:hAnsi="宋体" w:cs="宋体" w:hint="eastAsia"/>
          <w:kern w:val="0"/>
          <w:sz w:val="24"/>
          <w:szCs w:val="24"/>
        </w:rPr>
        <w:t>份基金份额（含募集期利息结转的份额），有效认购户数为</w:t>
      </w:r>
      <w:r w:rsidRPr="008E5098">
        <w:rPr>
          <w:rFonts w:eastAsia="Times New Roman"/>
          <w:kern w:val="0"/>
          <w:sz w:val="24"/>
          <w:szCs w:val="24"/>
        </w:rPr>
        <w:t>4,602</w:t>
      </w:r>
      <w:r w:rsidRPr="008E5098">
        <w:rPr>
          <w:rFonts w:ascii="宋体" w:hAnsi="宋体" w:cs="宋体" w:hint="eastAsia"/>
          <w:kern w:val="0"/>
          <w:sz w:val="24"/>
          <w:szCs w:val="24"/>
        </w:rPr>
        <w:t>户。募集期间基金管理人运用固有资金认购本基金</w:t>
      </w:r>
      <w:r w:rsidRPr="008E5098">
        <w:rPr>
          <w:rFonts w:eastAsia="Times New Roman" w:hint="eastAsia"/>
          <w:kern w:val="0"/>
          <w:sz w:val="24"/>
          <w:szCs w:val="24"/>
        </w:rPr>
        <w:t>0</w:t>
      </w:r>
      <w:r w:rsidRPr="008E5098">
        <w:rPr>
          <w:rFonts w:ascii="宋体" w:hAnsi="宋体" w:cs="宋体" w:hint="eastAsia"/>
          <w:kern w:val="0"/>
          <w:sz w:val="24"/>
          <w:szCs w:val="24"/>
        </w:rPr>
        <w:t>份，占比</w:t>
      </w:r>
      <w:r>
        <w:rPr>
          <w:rFonts w:eastAsia="Times New Roman"/>
          <w:kern w:val="0"/>
          <w:sz w:val="24"/>
          <w:szCs w:val="24"/>
        </w:rPr>
        <w:t>0</w:t>
      </w:r>
      <w:r w:rsidRPr="008E5098">
        <w:rPr>
          <w:rFonts w:eastAsia="Times New Roman" w:hint="eastAsia"/>
          <w:kern w:val="0"/>
          <w:sz w:val="24"/>
          <w:szCs w:val="24"/>
        </w:rPr>
        <w:t>%</w:t>
      </w:r>
      <w:r w:rsidRPr="008E5098">
        <w:rPr>
          <w:rFonts w:ascii="宋体" w:hAnsi="宋体" w:cs="宋体" w:hint="eastAsia"/>
          <w:kern w:val="0"/>
          <w:sz w:val="24"/>
          <w:szCs w:val="24"/>
        </w:rPr>
        <w:t>。募集期间基</w:t>
      </w:r>
      <w:r w:rsidRPr="008E5098">
        <w:rPr>
          <w:rFonts w:ascii="宋体" w:hAnsi="宋体" w:cs="宋体" w:hint="eastAsia"/>
          <w:kern w:val="0"/>
          <w:sz w:val="24"/>
          <w:szCs w:val="24"/>
        </w:rPr>
        <w:lastRenderedPageBreak/>
        <w:t>金管理人的从业人员认购本基金</w:t>
      </w:r>
      <w:r w:rsidRPr="008E5098">
        <w:rPr>
          <w:rFonts w:eastAsia="Times New Roman"/>
          <w:kern w:val="0"/>
          <w:sz w:val="24"/>
          <w:szCs w:val="24"/>
        </w:rPr>
        <w:t>12,005.86</w:t>
      </w:r>
      <w:r w:rsidRPr="008E5098">
        <w:rPr>
          <w:rFonts w:ascii="宋体" w:hAnsi="宋体" w:cs="宋体" w:hint="eastAsia"/>
          <w:kern w:val="0"/>
          <w:sz w:val="24"/>
          <w:szCs w:val="24"/>
        </w:rPr>
        <w:t>份，占比</w:t>
      </w:r>
      <w:r>
        <w:rPr>
          <w:rFonts w:eastAsia="Times New Roman"/>
          <w:kern w:val="0"/>
          <w:sz w:val="24"/>
          <w:szCs w:val="24"/>
        </w:rPr>
        <w:t>0.00</w:t>
      </w:r>
      <w:r w:rsidRPr="008E5098">
        <w:rPr>
          <w:rFonts w:eastAsia="Times New Roman" w:hint="eastAsia"/>
          <w:kern w:val="0"/>
          <w:sz w:val="24"/>
          <w:szCs w:val="24"/>
        </w:rPr>
        <w:t>%</w:t>
      </w:r>
      <w:r w:rsidRPr="008E5098">
        <w:rPr>
          <w:rFonts w:ascii="宋体" w:hAnsi="宋体" w:cs="宋体" w:hint="eastAsia"/>
          <w:kern w:val="0"/>
          <w:sz w:val="24"/>
          <w:szCs w:val="24"/>
        </w:rPr>
        <w:t>。</w:t>
      </w:r>
    </w:p>
    <w:p w14:paraId="01BA3BFE"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609C1FCA" w14:textId="77777777" w:rsidR="009912D6" w:rsidRDefault="0024620C" w:rsidP="009912D6">
      <w:pPr>
        <w:pStyle w:val="1"/>
        <w:spacing w:before="0" w:after="0"/>
        <w:jc w:val="center"/>
        <w:rPr>
          <w:rFonts w:ascii="Times New Roman"/>
          <w:color w:val="auto"/>
          <w:sz w:val="30"/>
        </w:rPr>
      </w:pPr>
      <w:bookmarkStart w:id="32" w:name="_Toc135000342"/>
      <w:r w:rsidRPr="009E26D0">
        <w:rPr>
          <w:rFonts w:ascii="Times New Roman"/>
          <w:color w:val="auto"/>
          <w:sz w:val="30"/>
        </w:rPr>
        <w:lastRenderedPageBreak/>
        <w:t>第七部分</w:t>
      </w:r>
      <w:r w:rsidRPr="009E26D0">
        <w:rPr>
          <w:rFonts w:ascii="Times New Roman"/>
          <w:color w:val="auto"/>
          <w:sz w:val="30"/>
        </w:rPr>
        <w:t xml:space="preserve">  </w:t>
      </w:r>
      <w:r w:rsidRPr="009E26D0">
        <w:rPr>
          <w:rFonts w:ascii="Times New Roman"/>
          <w:color w:val="auto"/>
          <w:sz w:val="30"/>
        </w:rPr>
        <w:t>基金合同的生效</w:t>
      </w:r>
      <w:bookmarkEnd w:id="32"/>
    </w:p>
    <w:p w14:paraId="607C8224" w14:textId="77777777" w:rsidR="009912D6" w:rsidRPr="0017353E" w:rsidRDefault="009912D6" w:rsidP="009912D6"/>
    <w:p w14:paraId="2399964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一、基金备案的条件</w:t>
      </w:r>
    </w:p>
    <w:p w14:paraId="56276E5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自基金份额发售之日起3个月内，在基金募集份额总额不少于2亿份，基金募集金额不少于2亿元人民币且基金认购人数不少于200人的条件下，基金募集期届满或基金管理人依据法律法规及招募说明书可以决定停止基金发售，并在10日内聘请法定验资机构验资，自收到验资报告之日起10日内，向中国证监会办理基金备案手续。</w:t>
      </w:r>
    </w:p>
    <w:p w14:paraId="41C1218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92FFFA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二、基金合同不能生效时募集资金的处理方式</w:t>
      </w:r>
    </w:p>
    <w:p w14:paraId="31705C3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如果募集期限届满，未满足基金备案条件，基金管理人应当承担下列责任：</w:t>
      </w:r>
    </w:p>
    <w:p w14:paraId="3E8DEDE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1、以其固有财产承担因募集行为而产生的债务和费用；</w:t>
      </w:r>
    </w:p>
    <w:p w14:paraId="65EC03B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2、在基金募集期限届满后30日内返还投资者已缴纳的款项，并加计银行同期活期存款利息；</w:t>
      </w:r>
    </w:p>
    <w:p w14:paraId="2A58678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3、如基金募集失败，基金管理人、基金托管人及销售机构不得请求报酬。基金管理人、基金托管人和销售机构为基金募集支付之一切费用应由各方各自承担。</w:t>
      </w:r>
    </w:p>
    <w:p w14:paraId="1C88F8F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三、基金存续期内的基金份额持有人数量和资产规模</w:t>
      </w:r>
    </w:p>
    <w:p w14:paraId="4DC401C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生效后，连续20个工作日出现基金份额持有人数量不满200人或者基金资产净值低于5000万元情形的，基金管理人应当在定期报告中予以披露；连续60个工作日出现前述情形的，基金管理人应当在10个工作日内向中国证监会报告并提出解决方案，如持续运作、转换运作方式、与其他基金合并或者终止基金合同等，并在6个月内召集基金份额持有人大会。</w:t>
      </w:r>
    </w:p>
    <w:p w14:paraId="73853EA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法律法规或中国证监会另有规定时，从其规定。</w:t>
      </w:r>
    </w:p>
    <w:p w14:paraId="59C092AF" w14:textId="34C05821" w:rsidR="00586A97" w:rsidRDefault="00232064">
      <w:pPr>
        <w:spacing w:line="360" w:lineRule="auto"/>
        <w:ind w:firstLine="420"/>
        <w:jc w:val="left"/>
        <w:rPr>
          <w:rFonts w:eastAsia="Times New Roman"/>
          <w:kern w:val="0"/>
          <w:sz w:val="24"/>
          <w:szCs w:val="24"/>
        </w:rPr>
      </w:pPr>
      <w:r>
        <w:rPr>
          <w:rFonts w:asciiTheme="minorEastAsia" w:eastAsiaTheme="minorEastAsia" w:hAnsiTheme="minorEastAsia" w:hint="eastAsia"/>
          <w:kern w:val="0"/>
          <w:sz w:val="24"/>
          <w:szCs w:val="24"/>
        </w:rPr>
        <w:t>四、</w:t>
      </w:r>
      <w:r w:rsidRPr="00232064">
        <w:rPr>
          <w:rFonts w:asciiTheme="minorEastAsia" w:eastAsiaTheme="minorEastAsia" w:hAnsiTheme="minorEastAsia" w:hint="eastAsia"/>
          <w:kern w:val="0"/>
          <w:sz w:val="24"/>
          <w:szCs w:val="24"/>
        </w:rPr>
        <w:t>本基金基金合同于2023年2月1日正式生效。</w:t>
      </w:r>
    </w:p>
    <w:p w14:paraId="4BC82881"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58C6AA0A" w14:textId="77777777" w:rsidR="009912D6" w:rsidRDefault="0024620C" w:rsidP="009912D6">
      <w:pPr>
        <w:pStyle w:val="1"/>
        <w:spacing w:before="0" w:after="0"/>
        <w:jc w:val="center"/>
        <w:rPr>
          <w:rFonts w:ascii="Times New Roman"/>
          <w:color w:val="auto"/>
          <w:sz w:val="30"/>
        </w:rPr>
      </w:pPr>
      <w:bookmarkStart w:id="33" w:name="_Toc135000343"/>
      <w:r w:rsidRPr="009E26D0">
        <w:rPr>
          <w:rFonts w:ascii="Times New Roman"/>
          <w:color w:val="auto"/>
          <w:sz w:val="30"/>
        </w:rPr>
        <w:lastRenderedPageBreak/>
        <w:t>第八部分</w:t>
      </w:r>
      <w:r w:rsidRPr="009E26D0">
        <w:rPr>
          <w:rFonts w:ascii="Times New Roman"/>
          <w:color w:val="auto"/>
          <w:sz w:val="30"/>
        </w:rPr>
        <w:t xml:space="preserve">  </w:t>
      </w:r>
      <w:r w:rsidRPr="009E26D0">
        <w:rPr>
          <w:rFonts w:ascii="Times New Roman"/>
          <w:color w:val="auto"/>
          <w:sz w:val="30"/>
        </w:rPr>
        <w:t>基金份额的申购与赎回</w:t>
      </w:r>
      <w:bookmarkEnd w:id="33"/>
    </w:p>
    <w:p w14:paraId="58761EEB" w14:textId="77777777" w:rsidR="009912D6" w:rsidRPr="0017353E" w:rsidRDefault="009912D6" w:rsidP="009912D6"/>
    <w:p w14:paraId="468CFCAE"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一、申购和赎回场所</w:t>
      </w:r>
    </w:p>
    <w:p w14:paraId="29C67AD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的申购与赎回将通过销售机构进行。具体的销售机构将由基金管理人在招募说明书或其他相关公示中列明。基金管理人可根据情况变更或增减销售机构，并在基金管理人网站公示。基金投资者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14:paraId="3E63B64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二、申购和赎回的开放日及时间</w:t>
      </w:r>
    </w:p>
    <w:p w14:paraId="12551E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1、开放日及开放时间</w:t>
      </w:r>
    </w:p>
    <w:p w14:paraId="667E45B8" w14:textId="46C55FFE"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人在开放日办理基金份额的申购和赎回，具体办理时间为上海证券交易所、深圳证券交易所的正常交易日的交易时间（如遇香港联合交易所法定节假日或因其他原因暂停营业或港股通暂停交易的情形，基金管理人有权暂停办理基金份额的申购和赎回业务），但基金管理人根据法律法规、中国证监会的要求或基金合同的规定公告暂停申购、赎回时除外。开放日的具体业务办理时间在招募说明书中或基金管理人届时发布的相关公告中载明。</w:t>
      </w:r>
    </w:p>
    <w:p w14:paraId="15458E2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生效后，若出现新的证券/期货交易市场、证券/期货交易所交易时间变更或其他特殊情况，基金管理人将视情况对前述开放日及开放时间进行相应的调整，但应在实施日前依照《信息披露办法》的有关规定在规定媒介上公告。</w:t>
      </w:r>
    </w:p>
    <w:p w14:paraId="286BD7C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2、申购、赎回开始日及业务办理时间</w:t>
      </w:r>
    </w:p>
    <w:p w14:paraId="4C426E3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基金管理人可根据实际情况依法决定本基金开始办理申购的具体日期，具体业务办理时间在开放申购业务的公告中规定。</w:t>
      </w:r>
    </w:p>
    <w:p w14:paraId="2B8B54A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基金管理人自基金合同生效之日起不超过3个月开始办理赎回，具体业务办理时间在开放赎回业务的公告中规定。</w:t>
      </w:r>
    </w:p>
    <w:p w14:paraId="1B3A68C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在确定申购开始与赎回开始时间后，基金管理人应在申购、赎回开放日前依照《信息披露办法》的有关规定在规定媒介上公告申购与赎回的开始时间。</w:t>
      </w:r>
    </w:p>
    <w:p w14:paraId="2AD1536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基金管理人不得在基金合同约定之外的日期或者时间办理基金份额的申购、赎回或者转换。投资人在基金合同约定之外的日期和时间提出申购、赎回或转换</w:t>
      </w:r>
      <w:r>
        <w:rPr>
          <w:rFonts w:ascii="宋体" w:hAnsi="宋体" w:cs="宋体"/>
          <w:kern w:val="0"/>
          <w:sz w:val="24"/>
          <w:szCs w:val="24"/>
        </w:rPr>
        <w:lastRenderedPageBreak/>
        <w:t>申请且登记机构确认接受的，其基金份额申购、赎回价格为下一开放日相应类别的基金份额申购、赎回的价格。</w:t>
      </w:r>
    </w:p>
    <w:p w14:paraId="3E8DFC01" w14:textId="56546F96" w:rsidR="002C76B4" w:rsidRDefault="002C76B4">
      <w:pPr>
        <w:spacing w:line="360" w:lineRule="auto"/>
        <w:ind w:firstLine="420"/>
        <w:rPr>
          <w:rFonts w:ascii="宋体" w:hAnsi="宋体" w:cs="宋体"/>
          <w:kern w:val="0"/>
          <w:sz w:val="24"/>
          <w:szCs w:val="24"/>
        </w:rPr>
      </w:pPr>
      <w:r w:rsidRPr="002C76B4">
        <w:rPr>
          <w:rFonts w:ascii="宋体" w:hAnsi="宋体" w:cs="宋体" w:hint="eastAsia"/>
          <w:kern w:val="0"/>
          <w:sz w:val="24"/>
          <w:szCs w:val="24"/>
        </w:rPr>
        <w:t>本基金已于2023年3月27日开始办理日常申购、赎回业务。</w:t>
      </w:r>
    </w:p>
    <w:p w14:paraId="3B7AA05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三、申购与赎回的原则</w:t>
      </w:r>
    </w:p>
    <w:p w14:paraId="6A6518D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1、“未知价”原则，即申购、赎回价格以申请当日收市后计算的相应类别的基金份额净值为基准进行计算；</w:t>
      </w:r>
    </w:p>
    <w:p w14:paraId="4376F30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2、“金额申购、份额赎回”原则，即申购以金额申请，赎回以份额申请；</w:t>
      </w:r>
    </w:p>
    <w:p w14:paraId="455553B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3、当日的申购与赎回申请可以在基金管理人规定的时间以内撤销；</w:t>
      </w:r>
    </w:p>
    <w:p w14:paraId="757971F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4、赎回遵循“先进先出”原则，即按照投资人认购、申购的先后次序进行顺序赎回；</w:t>
      </w:r>
    </w:p>
    <w:p w14:paraId="4F15EC7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5、办理申购、赎回业务时，应当遵循基金份额持有人利益优先原则，确保投资者的合法权益不受损害并得到公平对待。</w:t>
      </w:r>
    </w:p>
    <w:p w14:paraId="171C917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基金管理人可在法律法规允许的情况下，对上述原则进行调整。基金管理人必须在新规则开始实施前依照《信息披露办法》的有关规定在规定媒介上公告。</w:t>
      </w:r>
    </w:p>
    <w:p w14:paraId="3E05DAC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四、申购与赎回的程序</w:t>
      </w:r>
    </w:p>
    <w:p w14:paraId="01A6B58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1、申购和赎回的申请方式</w:t>
      </w:r>
    </w:p>
    <w:p w14:paraId="738E961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人必须根据销售机构规定的程序，在开放日的具体业务办理时间内提出申购或赎回的申请。投资者在提交申购申请时，须按销售机构规定的方式备足申购资金，投资者在提交赎回申请时，应确保账户内有足够的基金份额余额，否则申购、赎回申请不成立。</w:t>
      </w:r>
    </w:p>
    <w:p w14:paraId="4021DED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2、申购和赎回的款项支付</w:t>
      </w:r>
    </w:p>
    <w:p w14:paraId="6E6E5FF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投资人申购基金份额时，必须在规定时间前全额交付申购款项，否则所提交的申购申请不成立。投资人在规定时间前全额交付申购款项，申购成立；基金份额登记机构确认基金份额时，申购生效。</w:t>
      </w:r>
    </w:p>
    <w:p w14:paraId="1B64E86B" w14:textId="33BAB37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在提交赎回申请时，必须有足够的基金份额余额，否则所提交的赎回申请不成立。基金份额持有人递交赎回申请，赎回成立；基金份额登记机构确认赎回时，赎回生效。投资者赎回申请生效后，基金管理人将在T＋7日</w:t>
      </w:r>
      <w:r w:rsidR="0095273F">
        <w:rPr>
          <w:rFonts w:ascii="宋体" w:hAnsi="宋体" w:cs="宋体" w:hint="eastAsia"/>
          <w:kern w:val="0"/>
          <w:sz w:val="24"/>
          <w:szCs w:val="24"/>
        </w:rPr>
        <w:t>（</w:t>
      </w:r>
      <w:r w:rsidR="0095273F">
        <w:rPr>
          <w:rFonts w:ascii="宋体" w:hAnsi="宋体" w:cs="宋体"/>
          <w:kern w:val="0"/>
          <w:sz w:val="24"/>
          <w:szCs w:val="24"/>
        </w:rPr>
        <w:t>包括该日</w:t>
      </w:r>
      <w:r w:rsidR="0095273F">
        <w:rPr>
          <w:rFonts w:ascii="宋体" w:hAnsi="宋体" w:cs="宋体" w:hint="eastAsia"/>
          <w:kern w:val="0"/>
          <w:sz w:val="24"/>
          <w:szCs w:val="24"/>
        </w:rPr>
        <w:t>）</w:t>
      </w:r>
      <w:r>
        <w:rPr>
          <w:rFonts w:ascii="宋体" w:hAnsi="宋体" w:cs="宋体"/>
          <w:kern w:val="0"/>
          <w:sz w:val="24"/>
          <w:szCs w:val="24"/>
        </w:rPr>
        <w:t>内支付赎回款项。在发生巨额赎回时，款项的支付办法参照基金合同有关条款处理。</w:t>
      </w:r>
    </w:p>
    <w:p w14:paraId="0935083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遇交易所或交易市场数据传输延迟、通讯系统故障、银行数据交换系统故障或其他非基金管理人及基金托管人所能控制的因素影响业务处理流程，则赎回款项顺延至上述情形消除后的下一个工作日划出。</w:t>
      </w:r>
    </w:p>
    <w:p w14:paraId="528A154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基金管理人可以在法律法规和基金合同允许的范围内，对上述业务办理时间进行调整，基金管理人必须在调整实施前依照《信息披露办法》的有关规定在规定媒介上公告。</w:t>
      </w:r>
    </w:p>
    <w:p w14:paraId="165F2E1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3、申购和赎回申请的确认</w:t>
      </w:r>
    </w:p>
    <w:p w14:paraId="5C7723E2" w14:textId="5A5FF954"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基金管理人应以交易时间结束前受理有效申购和赎回申请的当天作为申购或赎回申请日</w:t>
      </w:r>
      <w:r w:rsidR="0095273F">
        <w:rPr>
          <w:rFonts w:ascii="宋体" w:hAnsi="宋体" w:cs="宋体" w:hint="eastAsia"/>
          <w:kern w:val="0"/>
          <w:sz w:val="24"/>
          <w:szCs w:val="24"/>
        </w:rPr>
        <w:t>（</w:t>
      </w:r>
      <w:r w:rsidR="0095273F">
        <w:rPr>
          <w:rFonts w:ascii="宋体" w:hAnsi="宋体" w:cs="宋体"/>
          <w:kern w:val="0"/>
          <w:sz w:val="24"/>
          <w:szCs w:val="24"/>
        </w:rPr>
        <w:t>T日</w:t>
      </w:r>
      <w:r w:rsidR="0095273F">
        <w:rPr>
          <w:rFonts w:ascii="宋体" w:hAnsi="宋体" w:cs="宋体" w:hint="eastAsia"/>
          <w:kern w:val="0"/>
          <w:sz w:val="24"/>
          <w:szCs w:val="24"/>
        </w:rPr>
        <w:t>）</w:t>
      </w:r>
      <w:r>
        <w:rPr>
          <w:rFonts w:ascii="宋体" w:hAnsi="宋体" w:cs="宋体"/>
          <w:kern w:val="0"/>
          <w:sz w:val="24"/>
          <w:szCs w:val="24"/>
        </w:rPr>
        <w:t>，在正常情况下，本基金登记机构在T+1日内对该交易的有效性进行确认。T日提交的有效申请，投资人应在T+2日后</w:t>
      </w:r>
      <w:r w:rsidR="0095273F">
        <w:rPr>
          <w:rFonts w:ascii="宋体" w:hAnsi="宋体" w:cs="宋体" w:hint="eastAsia"/>
          <w:kern w:val="0"/>
          <w:sz w:val="24"/>
          <w:szCs w:val="24"/>
        </w:rPr>
        <w:t>（</w:t>
      </w:r>
      <w:r w:rsidR="0095273F">
        <w:rPr>
          <w:rFonts w:ascii="宋体" w:hAnsi="宋体" w:cs="宋体"/>
          <w:kern w:val="0"/>
          <w:sz w:val="24"/>
          <w:szCs w:val="24"/>
        </w:rPr>
        <w:t>包括该日</w:t>
      </w:r>
      <w:r w:rsidR="0095273F">
        <w:rPr>
          <w:rFonts w:ascii="宋体" w:hAnsi="宋体" w:cs="宋体" w:hint="eastAsia"/>
          <w:kern w:val="0"/>
          <w:sz w:val="24"/>
          <w:szCs w:val="24"/>
        </w:rPr>
        <w:t>）</w:t>
      </w:r>
      <w:r>
        <w:rPr>
          <w:rFonts w:ascii="宋体" w:hAnsi="宋体" w:cs="宋体"/>
          <w:kern w:val="0"/>
          <w:sz w:val="24"/>
          <w:szCs w:val="24"/>
        </w:rPr>
        <w:t>及时到销售网点柜台或以销售机构规定的其他方式查询申请的确认情况。若申购不成立或无效，则申购款项退还给投资人。</w:t>
      </w:r>
    </w:p>
    <w:p w14:paraId="61A8698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销售机构对申购、赎回申请的受理并不代表申请一定成功，而仅代表销售机构确实接收到申请。申购、赎回的确认以登记机构的确认结果为准。对于申请的确认情况，投资者应及时查询并妥善行使合法权利，否则，由此产生的任何损失由投资人自行承担。</w:t>
      </w:r>
    </w:p>
    <w:p w14:paraId="14E5EE8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在法律法规允许的范围内，本基金管理人或登记机构可根据业务规则，对上述业务办理时间进行调整，基金管理人必须在调整实施前依照《信息披露办法》的有关规定在规定媒介上公告。</w:t>
      </w:r>
    </w:p>
    <w:p w14:paraId="53FCCCF8"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五、申购和赎回的数量限制</w:t>
      </w:r>
    </w:p>
    <w:p w14:paraId="24501FB6" w14:textId="2D25F1BE"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投资者通过基金管理人直销中心首次申购本基金基金份额的最低金额为人民币50,000元（含申购费）；通过基金管理人线上直销系统申购本基金基金份额单笔最低金额为人民币1元（含申购费）；通过其他销售机构的销售网点申购本基金基金份额单笔最低金额为人民币1元（含申购费）。超过最低申购金额的部分不设金额级差。各销售机构对本基金最低申购金额及交易级差有其他规定的，以各销售机构的业务规定为准。</w:t>
      </w:r>
    </w:p>
    <w:p w14:paraId="30DD45E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2、投资者将当期分配的基金收益转为相应类别的基金份额时，不受最低申购金额的限制。</w:t>
      </w:r>
    </w:p>
    <w:p w14:paraId="33CED4DB" w14:textId="63374FA8"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3、基金份额持有人可将其全部或部分基金份额赎回，赎回最低份额</w:t>
      </w:r>
      <w:r w:rsidR="008001C8">
        <w:rPr>
          <w:rFonts w:ascii="宋体" w:hAnsi="宋体" w:cs="宋体" w:hint="eastAsia"/>
          <w:kern w:val="0"/>
          <w:sz w:val="24"/>
          <w:szCs w:val="24"/>
        </w:rPr>
        <w:t>0</w:t>
      </w:r>
      <w:r w:rsidR="008001C8">
        <w:rPr>
          <w:rFonts w:ascii="宋体" w:hAnsi="宋体" w:cs="宋体"/>
          <w:kern w:val="0"/>
          <w:sz w:val="24"/>
          <w:szCs w:val="24"/>
        </w:rPr>
        <w:t>.</w:t>
      </w:r>
      <w:r>
        <w:rPr>
          <w:rFonts w:ascii="宋体" w:hAnsi="宋体" w:cs="宋体"/>
          <w:kern w:val="0"/>
          <w:sz w:val="24"/>
          <w:szCs w:val="24"/>
        </w:rPr>
        <w:t>1份，</w:t>
      </w:r>
      <w:r>
        <w:rPr>
          <w:rFonts w:ascii="宋体" w:hAnsi="宋体" w:cs="宋体"/>
          <w:kern w:val="0"/>
          <w:sz w:val="24"/>
          <w:szCs w:val="24"/>
        </w:rPr>
        <w:lastRenderedPageBreak/>
        <w:t>基金份额持有人在销售机构保留的基金份额不足</w:t>
      </w:r>
      <w:r w:rsidR="008001C8">
        <w:rPr>
          <w:rFonts w:ascii="宋体" w:hAnsi="宋体" w:cs="宋体" w:hint="eastAsia"/>
          <w:kern w:val="0"/>
          <w:sz w:val="24"/>
          <w:szCs w:val="24"/>
        </w:rPr>
        <w:t>0</w:t>
      </w:r>
      <w:r w:rsidR="008001C8">
        <w:rPr>
          <w:rFonts w:ascii="宋体" w:hAnsi="宋体" w:cs="宋体"/>
          <w:kern w:val="0"/>
          <w:sz w:val="24"/>
          <w:szCs w:val="24"/>
        </w:rPr>
        <w:t>.</w:t>
      </w:r>
      <w:r>
        <w:rPr>
          <w:rFonts w:ascii="宋体" w:hAnsi="宋体" w:cs="宋体"/>
          <w:kern w:val="0"/>
          <w:sz w:val="24"/>
          <w:szCs w:val="24"/>
        </w:rPr>
        <w:t>1份的，登记系统有权将全部剩余份额自动赎回。</w:t>
      </w:r>
    </w:p>
    <w:p w14:paraId="2DAB490D" w14:textId="3CA001F9" w:rsidR="00173F03" w:rsidRDefault="0024620C" w:rsidP="00173F03">
      <w:pPr>
        <w:spacing w:line="360" w:lineRule="auto"/>
        <w:ind w:firstLine="420"/>
        <w:rPr>
          <w:rFonts w:ascii="宋体" w:hAnsi="宋体" w:cs="宋体"/>
          <w:kern w:val="0"/>
          <w:sz w:val="24"/>
          <w:szCs w:val="24"/>
        </w:rPr>
      </w:pPr>
      <w:r>
        <w:rPr>
          <w:rFonts w:ascii="宋体" w:hAnsi="宋体" w:cs="宋体"/>
          <w:kern w:val="0"/>
          <w:sz w:val="24"/>
          <w:szCs w:val="24"/>
        </w:rPr>
        <w:t>4、</w:t>
      </w:r>
      <w:r w:rsidR="00173F03" w:rsidRPr="00173F03">
        <w:rPr>
          <w:rFonts w:ascii="宋体" w:hAnsi="宋体" w:cs="宋体" w:hint="eastAsia"/>
          <w:kern w:val="0"/>
          <w:sz w:val="24"/>
          <w:szCs w:val="24"/>
        </w:rPr>
        <w:t>投资者可多次申购，对单个投资者累计持有基金份额的比例或数量不设上限限制，对</w:t>
      </w:r>
      <w:r w:rsidR="00173F03">
        <w:rPr>
          <w:rFonts w:ascii="宋体" w:hAnsi="宋体" w:cs="宋体" w:hint="eastAsia"/>
          <w:kern w:val="0"/>
          <w:sz w:val="24"/>
          <w:szCs w:val="24"/>
        </w:rPr>
        <w:t>基金规模上限或基金单日净申购比例不设上限，</w:t>
      </w:r>
      <w:r w:rsidR="00173F03" w:rsidRPr="00173F03">
        <w:rPr>
          <w:rFonts w:ascii="宋体" w:hAnsi="宋体" w:cs="宋体" w:hint="eastAsia"/>
          <w:kern w:val="0"/>
          <w:sz w:val="24"/>
          <w:szCs w:val="24"/>
        </w:rPr>
        <w:t>单一投资者持有基金份额数不得达到或超过基金份额总数的50%（在基金运作过程中因基金份额赎回等基金管理人无法予以控制的情形导致被动达到或超过50%</w:t>
      </w:r>
      <w:r w:rsidR="00295294">
        <w:rPr>
          <w:rFonts w:ascii="宋体" w:hAnsi="宋体" w:cs="宋体" w:hint="eastAsia"/>
          <w:kern w:val="0"/>
          <w:sz w:val="24"/>
          <w:szCs w:val="24"/>
        </w:rPr>
        <w:t>的除外）。法律法规或监管机构另有规定的，从其规定。</w:t>
      </w:r>
    </w:p>
    <w:p w14:paraId="66B21E43" w14:textId="309CFEEC" w:rsidR="00173F03" w:rsidRDefault="00173F03" w:rsidP="00173F03">
      <w:pPr>
        <w:spacing w:line="360" w:lineRule="auto"/>
        <w:ind w:firstLine="420"/>
        <w:rPr>
          <w:rFonts w:ascii="宋体" w:hAnsi="宋体" w:cs="宋体"/>
          <w:kern w:val="0"/>
          <w:sz w:val="24"/>
          <w:szCs w:val="24"/>
        </w:rPr>
      </w:pPr>
      <w:r>
        <w:rPr>
          <w:rFonts w:ascii="宋体" w:hAnsi="宋体" w:cs="宋体" w:hint="eastAsia"/>
          <w:kern w:val="0"/>
          <w:sz w:val="24"/>
          <w:szCs w:val="24"/>
        </w:rPr>
        <w:t>5、</w:t>
      </w:r>
      <w:r>
        <w:rPr>
          <w:rFonts w:hint="eastAsia"/>
          <w:bCs/>
          <w:sz w:val="24"/>
        </w:rPr>
        <w:t>本基金单一投资者单日申购金额不超过</w:t>
      </w:r>
      <w:r w:rsidR="00347B03">
        <w:rPr>
          <w:bCs/>
          <w:sz w:val="24"/>
        </w:rPr>
        <w:t>1000</w:t>
      </w:r>
      <w:r>
        <w:rPr>
          <w:bCs/>
          <w:sz w:val="24"/>
        </w:rPr>
        <w:t>万元</w:t>
      </w:r>
      <w:r>
        <w:rPr>
          <w:rFonts w:hint="eastAsia"/>
          <w:bCs/>
          <w:sz w:val="24"/>
        </w:rPr>
        <w:t>（个人投资者</w:t>
      </w:r>
      <w:r w:rsidR="00402B43">
        <w:rPr>
          <w:rFonts w:hint="eastAsia"/>
          <w:bCs/>
          <w:sz w:val="24"/>
        </w:rPr>
        <w:t>、职业年金、企业年金、养老金产品、</w:t>
      </w:r>
      <w:r>
        <w:rPr>
          <w:rFonts w:hint="eastAsia"/>
          <w:bCs/>
          <w:sz w:val="24"/>
        </w:rPr>
        <w:t>公募资产管理产品</w:t>
      </w:r>
      <w:r w:rsidR="00402B43">
        <w:rPr>
          <w:rFonts w:ascii="宋体" w:hAnsi="宋体" w:cs="宋体" w:hint="eastAsia"/>
          <w:kern w:val="0"/>
          <w:sz w:val="24"/>
          <w:szCs w:val="24"/>
        </w:rPr>
        <w:t>和</w:t>
      </w:r>
      <w:r w:rsidR="006B1CE9">
        <w:rPr>
          <w:rFonts w:ascii="宋体" w:hAnsi="宋体" w:cs="宋体" w:hint="eastAsia"/>
          <w:kern w:val="0"/>
          <w:sz w:val="24"/>
          <w:szCs w:val="24"/>
        </w:rPr>
        <w:t>基金</w:t>
      </w:r>
      <w:r w:rsidR="00402B43" w:rsidRPr="00FF6F6C">
        <w:rPr>
          <w:rFonts w:ascii="宋体" w:hAnsi="宋体" w:cs="宋体" w:hint="eastAsia"/>
          <w:kern w:val="0"/>
          <w:sz w:val="24"/>
          <w:szCs w:val="24"/>
        </w:rPr>
        <w:t>管理人自有资金</w:t>
      </w:r>
      <w:r>
        <w:rPr>
          <w:rFonts w:hint="eastAsia"/>
          <w:bCs/>
          <w:sz w:val="24"/>
        </w:rPr>
        <w:t>除外）。</w:t>
      </w:r>
      <w:r w:rsidRPr="00F3653F">
        <w:rPr>
          <w:rFonts w:hint="eastAsia"/>
          <w:bCs/>
          <w:sz w:val="24"/>
        </w:rPr>
        <w:t>基金管理人可以调整单一投资者单日申购金额上限，具体规定请参见更新的招募说明书或相关公告。</w:t>
      </w:r>
    </w:p>
    <w:p w14:paraId="5D3C408C" w14:textId="77777777" w:rsidR="00586A97" w:rsidRDefault="0024620C" w:rsidP="00CE4F60">
      <w:pPr>
        <w:spacing w:line="360" w:lineRule="auto"/>
        <w:ind w:firstLine="420"/>
        <w:rPr>
          <w:rFonts w:eastAsia="Times New Roman"/>
          <w:kern w:val="0"/>
          <w:sz w:val="24"/>
          <w:szCs w:val="24"/>
        </w:rPr>
      </w:pPr>
      <w:r>
        <w:rPr>
          <w:rFonts w:ascii="宋体" w:hAnsi="宋体" w:cs="宋体"/>
          <w:kern w:val="0"/>
          <w:sz w:val="24"/>
          <w:szCs w:val="24"/>
        </w:rPr>
        <w:t>6、基金管理人可在法律法规允许的情况下，调整上述规定申购金额和赎回份额的数量限制。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基金管理人基于投资运作与风险控制的需要，可采取上述措施对基金规模予以控制。基金管理人必须在调整实施前依照《信息披露办法》的有关规定在规定媒介上公告。</w:t>
      </w:r>
    </w:p>
    <w:p w14:paraId="6B85161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六、申购费用和赎回费用</w:t>
      </w:r>
    </w:p>
    <w:p w14:paraId="6BAE863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1、申购费用</w:t>
      </w:r>
    </w:p>
    <w:p w14:paraId="2160D06B" w14:textId="5682FD53"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本基金对通过</w:t>
      </w:r>
      <w:r w:rsidR="00A05DEB">
        <w:rPr>
          <w:rFonts w:ascii="宋体" w:hAnsi="宋体" w:cs="宋体" w:hint="eastAsia"/>
          <w:kern w:val="0"/>
          <w:sz w:val="24"/>
          <w:szCs w:val="24"/>
        </w:rPr>
        <w:t>本公司</w:t>
      </w:r>
      <w:r>
        <w:rPr>
          <w:rFonts w:ascii="宋体" w:hAnsi="宋体" w:cs="宋体"/>
          <w:kern w:val="0"/>
          <w:sz w:val="24"/>
          <w:szCs w:val="24"/>
        </w:rPr>
        <w:t>直销中心申购本基金A类基金份额的特定投资群体与除此之外的其他投资者实施差别化的申购费率。</w:t>
      </w:r>
    </w:p>
    <w:p w14:paraId="1A284EE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特定投资群体可通过本公司直销中心申购本基金A类基金份额。基金管理人可根据情况变更或增减特定投资群体申购本基金A类基金份额的销售机构。</w:t>
      </w:r>
    </w:p>
    <w:p w14:paraId="17677F9C" w14:textId="0232887B"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1）特定投资群体</w:t>
      </w:r>
      <w:r w:rsidR="00A05DEB">
        <w:rPr>
          <w:rFonts w:ascii="宋体" w:hAnsi="宋体" w:cs="宋体"/>
          <w:kern w:val="0"/>
          <w:sz w:val="24"/>
          <w:szCs w:val="24"/>
        </w:rPr>
        <w:t>申购A类基金份额</w:t>
      </w:r>
      <w:r>
        <w:rPr>
          <w:rFonts w:ascii="宋体" w:hAnsi="宋体" w:cs="宋体"/>
          <w:kern w:val="0"/>
          <w:sz w:val="24"/>
          <w:szCs w:val="24"/>
        </w:rPr>
        <w:t>的申购费用</w:t>
      </w:r>
    </w:p>
    <w:p w14:paraId="78974408" w14:textId="25BDDC98"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通过</w:t>
      </w:r>
      <w:r w:rsidR="00A05DEB">
        <w:rPr>
          <w:rFonts w:ascii="宋体" w:hAnsi="宋体" w:cs="宋体" w:hint="eastAsia"/>
          <w:kern w:val="0"/>
          <w:sz w:val="24"/>
          <w:szCs w:val="24"/>
        </w:rPr>
        <w:t>本公司</w:t>
      </w:r>
      <w:r>
        <w:rPr>
          <w:rFonts w:ascii="宋体" w:hAnsi="宋体" w:cs="宋体"/>
          <w:kern w:val="0"/>
          <w:sz w:val="24"/>
          <w:szCs w:val="24"/>
        </w:rPr>
        <w:t>直销中心申购本基金A类基金份额的特定投资群体申购费用为每笔500元。</w:t>
      </w:r>
      <w:r w:rsidR="008C46F3" w:rsidRPr="008C46F3">
        <w:rPr>
          <w:rFonts w:ascii="宋体" w:hAnsi="宋体" w:cs="宋体" w:hint="eastAsia"/>
          <w:iCs/>
          <w:kern w:val="0"/>
          <w:sz w:val="24"/>
          <w:szCs w:val="24"/>
        </w:rPr>
        <w:t>未通过本公司直销中心申购本基金A类基金份额的特定投资群体，申购费率参照其他投资者适用的A类基金份额申购费率执行。</w:t>
      </w:r>
    </w:p>
    <w:p w14:paraId="5E19E83B" w14:textId="34FC3C7C"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2）其他投资者</w:t>
      </w:r>
      <w:r w:rsidR="00A05DEB">
        <w:rPr>
          <w:rFonts w:ascii="宋体" w:hAnsi="宋体" w:cs="宋体"/>
          <w:kern w:val="0"/>
          <w:sz w:val="24"/>
          <w:szCs w:val="24"/>
        </w:rPr>
        <w:t>申购A类基金份额</w:t>
      </w:r>
      <w:r>
        <w:rPr>
          <w:rFonts w:ascii="宋体" w:hAnsi="宋体" w:cs="宋体"/>
          <w:kern w:val="0"/>
          <w:sz w:val="24"/>
          <w:szCs w:val="24"/>
        </w:rPr>
        <w:t>的申购费</w:t>
      </w:r>
      <w:r w:rsidR="001947F2">
        <w:rPr>
          <w:rFonts w:ascii="宋体" w:hAnsi="宋体" w:cs="宋体" w:hint="eastAsia"/>
          <w:kern w:val="0"/>
          <w:sz w:val="24"/>
          <w:szCs w:val="24"/>
        </w:rPr>
        <w:t>率</w:t>
      </w:r>
    </w:p>
    <w:p w14:paraId="22EF0D0E" w14:textId="1EB1F94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其他投资者申购本基金A类基金份额的申购费率随申购金额增加而递减。投资者在一天之内如果有多笔申购，适用费率按单笔申购申请单独计算。</w:t>
      </w:r>
      <w:r w:rsidR="0010528A" w:rsidRPr="00A05DEB">
        <w:rPr>
          <w:rFonts w:ascii="宋体" w:hAnsi="宋体" w:cs="宋体" w:hint="eastAsia"/>
          <w:kern w:val="0"/>
          <w:sz w:val="24"/>
          <w:szCs w:val="24"/>
        </w:rPr>
        <w:t>其他投资者</w:t>
      </w:r>
      <w:r w:rsidR="0010528A">
        <w:rPr>
          <w:rFonts w:ascii="宋体" w:hAnsi="宋体" w:cs="宋体" w:hint="eastAsia"/>
          <w:kern w:val="0"/>
          <w:sz w:val="24"/>
          <w:szCs w:val="24"/>
        </w:rPr>
        <w:t>申购</w:t>
      </w:r>
      <w:r w:rsidR="0010528A">
        <w:rPr>
          <w:rFonts w:ascii="宋体" w:hAnsi="宋体" w:cs="宋体"/>
          <w:kern w:val="0"/>
          <w:sz w:val="24"/>
          <w:szCs w:val="24"/>
        </w:rPr>
        <w:t>A类基金份额的</w:t>
      </w:r>
      <w:r>
        <w:rPr>
          <w:rFonts w:ascii="宋体" w:hAnsi="宋体" w:cs="宋体"/>
          <w:kern w:val="0"/>
          <w:sz w:val="24"/>
          <w:szCs w:val="24"/>
        </w:rPr>
        <w:t>具体申购费率如下表所示：</w:t>
      </w:r>
    </w:p>
    <w:tbl>
      <w:tblPr>
        <w:tblW w:w="7945" w:type="dxa"/>
        <w:jc w:val="center"/>
        <w:tblCellMar>
          <w:left w:w="0" w:type="dxa"/>
          <w:right w:w="0" w:type="dxa"/>
        </w:tblCellMar>
        <w:tblLook w:val="04A0" w:firstRow="1" w:lastRow="0" w:firstColumn="1" w:lastColumn="0" w:noHBand="0" w:noVBand="1"/>
      </w:tblPr>
      <w:tblGrid>
        <w:gridCol w:w="4832"/>
        <w:gridCol w:w="3113"/>
      </w:tblGrid>
      <w:tr w:rsidR="00586A97" w14:paraId="5AFB7F7F"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7D4A1F6"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申购金额M（元）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435625F8"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申购费率</w:t>
            </w:r>
          </w:p>
        </w:tc>
      </w:tr>
      <w:tr w:rsidR="00586A97" w14:paraId="76766901"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7D571442"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M＜100万元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10B1221D"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0.80%</w:t>
            </w:r>
          </w:p>
        </w:tc>
      </w:tr>
      <w:tr w:rsidR="00586A97" w14:paraId="629AD982"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37A74D97"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100万元≤M＜500万元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28586802"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0.50%</w:t>
            </w:r>
          </w:p>
        </w:tc>
      </w:tr>
      <w:tr w:rsidR="00586A97" w14:paraId="1C542375" w14:textId="77777777">
        <w:trPr>
          <w:trHeight w:val="460"/>
          <w:jc w:val="center"/>
        </w:trPr>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99746B0"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M≥500万元</w:t>
            </w:r>
          </w:p>
        </w:tc>
        <w:tc>
          <w:tcPr>
            <w:tcW w:w="0" w:type="auto"/>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vAlign w:val="center"/>
          </w:tcPr>
          <w:p w14:paraId="6B7FAE71" w14:textId="77777777" w:rsidR="00586A97" w:rsidRDefault="0024620C">
            <w:pPr>
              <w:ind w:firstLine="420"/>
              <w:jc w:val="center"/>
              <w:rPr>
                <w:rFonts w:ascii="宋体" w:hAnsi="宋体" w:cs="宋体"/>
                <w:color w:val="000000"/>
                <w:kern w:val="0"/>
                <w:sz w:val="24"/>
                <w:szCs w:val="24"/>
              </w:rPr>
            </w:pPr>
            <w:r>
              <w:rPr>
                <w:rFonts w:ascii="宋体" w:hAnsi="宋体" w:cs="宋体"/>
                <w:color w:val="000000"/>
                <w:kern w:val="0"/>
                <w:sz w:val="24"/>
                <w:szCs w:val="24"/>
              </w:rPr>
              <w:t>每笔1000元</w:t>
            </w:r>
          </w:p>
        </w:tc>
      </w:tr>
    </w:tbl>
    <w:p w14:paraId="62E103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本基金C类基金份额不收取申购费用。</w:t>
      </w:r>
    </w:p>
    <w:p w14:paraId="6D4EBC6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A类基金份额的申购费用由申购A类基金份额的投资者承担，不列入基金财产，主要用于本基金的市场推广、销售、登记等各项费用。</w:t>
      </w:r>
    </w:p>
    <w:p w14:paraId="009EA2E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2、赎回费用</w:t>
      </w:r>
    </w:p>
    <w:p w14:paraId="60DBFF2F" w14:textId="77777777" w:rsidR="007E24FC" w:rsidRPr="00B93CCB" w:rsidRDefault="007E24FC" w:rsidP="007E24FC">
      <w:pPr>
        <w:spacing w:line="360" w:lineRule="auto"/>
        <w:ind w:firstLineChars="200" w:firstLine="480"/>
        <w:rPr>
          <w:bCs/>
          <w:sz w:val="24"/>
        </w:rPr>
      </w:pPr>
      <w:r w:rsidRPr="00174644">
        <w:rPr>
          <w:rFonts w:hint="eastAsia"/>
          <w:bCs/>
          <w:sz w:val="24"/>
        </w:rPr>
        <w:t>本基金赎回费用按基金份额持有人持有该部分基金份额的时间分段设定。本基金</w:t>
      </w:r>
      <w:r w:rsidRPr="00174644">
        <w:rPr>
          <w:rFonts w:hint="eastAsia"/>
          <w:bCs/>
          <w:sz w:val="24"/>
        </w:rPr>
        <w:t>A</w:t>
      </w:r>
      <w:r w:rsidRPr="00174644">
        <w:rPr>
          <w:rFonts w:hint="eastAsia"/>
          <w:bCs/>
          <w:sz w:val="24"/>
        </w:rPr>
        <w:t>类基金份额和</w:t>
      </w:r>
      <w:r w:rsidRPr="00174644">
        <w:rPr>
          <w:rFonts w:hint="eastAsia"/>
          <w:bCs/>
          <w:sz w:val="24"/>
        </w:rPr>
        <w:t>C</w:t>
      </w:r>
      <w:r w:rsidRPr="00174644">
        <w:rPr>
          <w:rFonts w:hint="eastAsia"/>
          <w:bCs/>
          <w:sz w:val="24"/>
        </w:rPr>
        <w:t>类基金份额采用相同的赎回费率结构，赎回费率具体如下：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52"/>
        <w:gridCol w:w="2839"/>
        <w:gridCol w:w="2605"/>
      </w:tblGrid>
      <w:tr w:rsidR="007E24FC" w:rsidRPr="00B93CCB" w14:paraId="020E4CB9" w14:textId="77777777" w:rsidTr="00CE4F60">
        <w:tc>
          <w:tcPr>
            <w:tcW w:w="2852" w:type="dxa"/>
            <w:vAlign w:val="center"/>
          </w:tcPr>
          <w:p w14:paraId="72D99FAA" w14:textId="77777777" w:rsidR="007E24FC" w:rsidRPr="00B93CCB" w:rsidRDefault="007E24FC" w:rsidP="007E24FC">
            <w:pPr>
              <w:spacing w:line="360" w:lineRule="auto"/>
              <w:jc w:val="center"/>
              <w:rPr>
                <w:bCs/>
                <w:sz w:val="24"/>
              </w:rPr>
            </w:pPr>
            <w:r w:rsidRPr="00B93CCB">
              <w:rPr>
                <w:bCs/>
                <w:sz w:val="24"/>
              </w:rPr>
              <w:t>持有期限（</w:t>
            </w:r>
            <w:r w:rsidRPr="00B93CCB">
              <w:rPr>
                <w:bCs/>
                <w:sz w:val="24"/>
              </w:rPr>
              <w:t>N</w:t>
            </w:r>
            <w:r w:rsidRPr="00B93CCB">
              <w:rPr>
                <w:bCs/>
                <w:sz w:val="24"/>
              </w:rPr>
              <w:t>）</w:t>
            </w:r>
          </w:p>
        </w:tc>
        <w:tc>
          <w:tcPr>
            <w:tcW w:w="2839" w:type="dxa"/>
            <w:vAlign w:val="center"/>
          </w:tcPr>
          <w:p w14:paraId="21CF3026" w14:textId="77777777" w:rsidR="007E24FC" w:rsidRPr="00B93CCB" w:rsidRDefault="007E24FC" w:rsidP="007E24FC">
            <w:pPr>
              <w:spacing w:line="360" w:lineRule="auto"/>
              <w:jc w:val="center"/>
              <w:rPr>
                <w:bCs/>
                <w:sz w:val="24"/>
              </w:rPr>
            </w:pPr>
            <w:r w:rsidRPr="00B93CCB">
              <w:rPr>
                <w:bCs/>
                <w:sz w:val="24"/>
              </w:rPr>
              <w:t>赎回费率</w:t>
            </w:r>
          </w:p>
        </w:tc>
        <w:tc>
          <w:tcPr>
            <w:tcW w:w="2605" w:type="dxa"/>
          </w:tcPr>
          <w:p w14:paraId="2476F128" w14:textId="77777777" w:rsidR="007E24FC" w:rsidRPr="00B93CCB" w:rsidRDefault="007E24FC" w:rsidP="007E24FC">
            <w:pPr>
              <w:spacing w:line="360" w:lineRule="auto"/>
              <w:jc w:val="center"/>
              <w:rPr>
                <w:bCs/>
                <w:sz w:val="24"/>
              </w:rPr>
            </w:pPr>
            <w:r w:rsidRPr="00B93CCB">
              <w:rPr>
                <w:bCs/>
                <w:sz w:val="24"/>
              </w:rPr>
              <w:t>归入基金资产比例</w:t>
            </w:r>
          </w:p>
        </w:tc>
      </w:tr>
      <w:tr w:rsidR="007E24FC" w:rsidRPr="00B93CCB" w14:paraId="5AFEDA06" w14:textId="77777777" w:rsidTr="00CE4F60">
        <w:tc>
          <w:tcPr>
            <w:tcW w:w="2852" w:type="dxa"/>
            <w:vAlign w:val="center"/>
          </w:tcPr>
          <w:p w14:paraId="79A209BB" w14:textId="4F9D25BE" w:rsidR="007E24FC" w:rsidRPr="00B93CCB" w:rsidRDefault="007E24FC" w:rsidP="007E24FC">
            <w:pPr>
              <w:spacing w:line="360" w:lineRule="auto"/>
              <w:jc w:val="center"/>
              <w:rPr>
                <w:bCs/>
                <w:sz w:val="24"/>
              </w:rPr>
            </w:pPr>
            <w:r w:rsidRPr="00B93CCB">
              <w:rPr>
                <w:bCs/>
                <w:sz w:val="24"/>
              </w:rPr>
              <w:t>N</w:t>
            </w:r>
            <w:r w:rsidR="004B4B59">
              <w:rPr>
                <w:rFonts w:hint="eastAsia"/>
                <w:bCs/>
                <w:sz w:val="24"/>
              </w:rPr>
              <w:t>＜</w:t>
            </w:r>
            <w:r w:rsidRPr="00B93CCB">
              <w:rPr>
                <w:bCs/>
                <w:sz w:val="24"/>
              </w:rPr>
              <w:t>7</w:t>
            </w:r>
            <w:r w:rsidRPr="00B93CCB">
              <w:rPr>
                <w:bCs/>
                <w:sz w:val="24"/>
              </w:rPr>
              <w:t>天</w:t>
            </w:r>
          </w:p>
        </w:tc>
        <w:tc>
          <w:tcPr>
            <w:tcW w:w="2839" w:type="dxa"/>
            <w:vAlign w:val="center"/>
          </w:tcPr>
          <w:p w14:paraId="585C3170" w14:textId="77777777" w:rsidR="007E24FC" w:rsidRPr="00B93CCB" w:rsidRDefault="007E24FC" w:rsidP="007E24FC">
            <w:pPr>
              <w:spacing w:line="360" w:lineRule="auto"/>
              <w:jc w:val="center"/>
              <w:rPr>
                <w:bCs/>
                <w:sz w:val="24"/>
              </w:rPr>
            </w:pPr>
            <w:r w:rsidRPr="00B93CCB">
              <w:rPr>
                <w:bCs/>
                <w:sz w:val="24"/>
              </w:rPr>
              <w:t>1.5</w:t>
            </w:r>
            <w:r w:rsidRPr="00B93CCB">
              <w:rPr>
                <w:rFonts w:hint="eastAsia"/>
                <w:bCs/>
                <w:sz w:val="24"/>
              </w:rPr>
              <w:t>0</w:t>
            </w:r>
            <w:r w:rsidRPr="00B93CCB">
              <w:rPr>
                <w:bCs/>
                <w:sz w:val="24"/>
              </w:rPr>
              <w:t>%</w:t>
            </w:r>
          </w:p>
        </w:tc>
        <w:tc>
          <w:tcPr>
            <w:tcW w:w="2605" w:type="dxa"/>
          </w:tcPr>
          <w:p w14:paraId="63E172D2" w14:textId="77777777" w:rsidR="007E24FC" w:rsidRPr="00B93CCB" w:rsidRDefault="007E24FC" w:rsidP="007E24FC">
            <w:pPr>
              <w:spacing w:line="360" w:lineRule="auto"/>
              <w:jc w:val="center"/>
              <w:rPr>
                <w:bCs/>
                <w:sz w:val="24"/>
              </w:rPr>
            </w:pPr>
            <w:r w:rsidRPr="00B93CCB">
              <w:rPr>
                <w:bCs/>
                <w:sz w:val="24"/>
              </w:rPr>
              <w:t>100%</w:t>
            </w:r>
          </w:p>
        </w:tc>
      </w:tr>
      <w:tr w:rsidR="007E24FC" w:rsidRPr="00B93CCB" w14:paraId="763E1682" w14:textId="77777777" w:rsidTr="00CE4F60">
        <w:tc>
          <w:tcPr>
            <w:tcW w:w="2852" w:type="dxa"/>
            <w:vAlign w:val="center"/>
          </w:tcPr>
          <w:p w14:paraId="4428A33A" w14:textId="3E5D37F5" w:rsidR="007E24FC" w:rsidRPr="00B93CCB" w:rsidRDefault="007E24FC" w:rsidP="00933FF9">
            <w:pPr>
              <w:spacing w:line="360" w:lineRule="auto"/>
              <w:jc w:val="center"/>
              <w:rPr>
                <w:bCs/>
                <w:sz w:val="24"/>
              </w:rPr>
            </w:pPr>
            <w:r w:rsidRPr="00B93CCB">
              <w:rPr>
                <w:bCs/>
                <w:sz w:val="24"/>
              </w:rPr>
              <w:t>N</w:t>
            </w:r>
            <w:r w:rsidR="004B4B59">
              <w:rPr>
                <w:rFonts w:hint="eastAsia"/>
                <w:bCs/>
                <w:sz w:val="24"/>
              </w:rPr>
              <w:t>≥</w:t>
            </w:r>
            <w:r w:rsidR="004B4B59">
              <w:rPr>
                <w:bCs/>
                <w:sz w:val="24"/>
              </w:rPr>
              <w:t>7</w:t>
            </w:r>
            <w:r w:rsidRPr="00B93CCB">
              <w:rPr>
                <w:rFonts w:hint="eastAsia"/>
                <w:bCs/>
                <w:sz w:val="24"/>
              </w:rPr>
              <w:t>天</w:t>
            </w:r>
          </w:p>
        </w:tc>
        <w:tc>
          <w:tcPr>
            <w:tcW w:w="2839" w:type="dxa"/>
            <w:vAlign w:val="center"/>
          </w:tcPr>
          <w:p w14:paraId="660AB518" w14:textId="77777777" w:rsidR="007E24FC" w:rsidRPr="00B93CCB" w:rsidRDefault="007E24FC" w:rsidP="007E24FC">
            <w:pPr>
              <w:spacing w:line="360" w:lineRule="auto"/>
              <w:jc w:val="center"/>
              <w:rPr>
                <w:bCs/>
                <w:sz w:val="24"/>
              </w:rPr>
            </w:pPr>
            <w:r w:rsidRPr="00B93CCB">
              <w:rPr>
                <w:bCs/>
                <w:sz w:val="24"/>
              </w:rPr>
              <w:t>0</w:t>
            </w:r>
          </w:p>
        </w:tc>
        <w:tc>
          <w:tcPr>
            <w:tcW w:w="2605" w:type="dxa"/>
          </w:tcPr>
          <w:p w14:paraId="43D24F6E" w14:textId="77777777" w:rsidR="007E24FC" w:rsidRPr="00B93CCB" w:rsidRDefault="007E24FC" w:rsidP="007E24FC">
            <w:pPr>
              <w:spacing w:line="360" w:lineRule="auto"/>
              <w:jc w:val="center"/>
              <w:rPr>
                <w:bCs/>
                <w:sz w:val="24"/>
              </w:rPr>
            </w:pPr>
            <w:r w:rsidRPr="00B93CCB">
              <w:rPr>
                <w:rFonts w:hint="eastAsia"/>
                <w:bCs/>
                <w:sz w:val="24"/>
              </w:rPr>
              <w:t>--</w:t>
            </w:r>
          </w:p>
        </w:tc>
      </w:tr>
    </w:tbl>
    <w:p w14:paraId="46F27A7A" w14:textId="77777777" w:rsidR="00586A97" w:rsidRDefault="007E24FC">
      <w:pPr>
        <w:spacing w:line="360" w:lineRule="auto"/>
        <w:ind w:firstLine="420"/>
        <w:rPr>
          <w:rFonts w:eastAsia="Times New Roman"/>
          <w:kern w:val="0"/>
          <w:sz w:val="24"/>
          <w:szCs w:val="24"/>
        </w:rPr>
      </w:pPr>
      <w:r w:rsidRPr="00174644">
        <w:rPr>
          <w:rFonts w:hint="eastAsia"/>
          <w:bCs/>
          <w:sz w:val="24"/>
        </w:rPr>
        <w:t>赎回费用由赎回基金份额的基金份额持有人承担，在基金份额持有人赎回基金份额时收取。</w:t>
      </w:r>
    </w:p>
    <w:p w14:paraId="5F5180E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3、基金管理人可以在基金合同约定的范围内调整费率或收费方式，并最迟应于新的费率或收费方式实施日前依照《信息披露办法》的有关规定在规定媒介上公告。</w:t>
      </w:r>
    </w:p>
    <w:p w14:paraId="54CAC494" w14:textId="4BA923F5" w:rsidR="00586A97" w:rsidRDefault="00AE4644">
      <w:pPr>
        <w:spacing w:line="360" w:lineRule="auto"/>
        <w:ind w:firstLine="420"/>
        <w:rPr>
          <w:rFonts w:ascii="宋体" w:hAnsi="宋体" w:cs="宋体"/>
          <w:kern w:val="0"/>
          <w:sz w:val="24"/>
          <w:szCs w:val="24"/>
        </w:rPr>
      </w:pPr>
      <w:r>
        <w:rPr>
          <w:rFonts w:ascii="宋体" w:hAnsi="宋体" w:cs="宋体"/>
          <w:kern w:val="0"/>
          <w:sz w:val="24"/>
          <w:szCs w:val="24"/>
        </w:rPr>
        <w:t>4</w:t>
      </w:r>
      <w:r w:rsidR="0024620C">
        <w:rPr>
          <w:rFonts w:ascii="宋体" w:hAnsi="宋体" w:cs="宋体"/>
          <w:kern w:val="0"/>
          <w:sz w:val="24"/>
          <w:szCs w:val="24"/>
        </w:rPr>
        <w:t>、当本基金发生大额申购或赎回情形时，基金管理人可以采用摆动定价机制，以确保基金估值的公平性。具体处理原则与操作规范遵循相关法律法规以及监管部门、自律规则的规定。基金管理人依照《信息披露办法》的有关规定，将摆动定价机制的具体操作规则在规定媒介上公告。</w:t>
      </w:r>
    </w:p>
    <w:p w14:paraId="01E4577B" w14:textId="3C5FCD90" w:rsidR="00586A97" w:rsidRDefault="00AE4644">
      <w:pPr>
        <w:spacing w:line="360" w:lineRule="auto"/>
        <w:ind w:firstLine="420"/>
        <w:rPr>
          <w:rFonts w:ascii="宋体" w:hAnsi="宋体" w:cs="宋体"/>
          <w:kern w:val="0"/>
          <w:sz w:val="24"/>
          <w:szCs w:val="24"/>
        </w:rPr>
      </w:pPr>
      <w:r>
        <w:rPr>
          <w:rFonts w:ascii="宋体" w:hAnsi="宋体" w:cs="宋体"/>
          <w:kern w:val="0"/>
          <w:sz w:val="24"/>
          <w:szCs w:val="24"/>
        </w:rPr>
        <w:t>5</w:t>
      </w:r>
      <w:r w:rsidR="0024620C">
        <w:rPr>
          <w:rFonts w:ascii="宋体" w:hAnsi="宋体" w:cs="宋体"/>
          <w:kern w:val="0"/>
          <w:sz w:val="24"/>
          <w:szCs w:val="24"/>
        </w:rPr>
        <w:t>、基金管理人可以在不违反法律法规规定及基金合同约定的情形下根据市场情况制定基金促销计划，定期或不定期地开展基金促销活动。在基金促销活动期间，在对存量基金份额持有人利益无实质性不利影响的前提下，</w:t>
      </w:r>
      <w:r w:rsidRPr="00AE4644">
        <w:rPr>
          <w:rFonts w:ascii="宋体" w:hAnsi="宋体" w:cs="宋体" w:hint="eastAsia"/>
          <w:kern w:val="0"/>
          <w:sz w:val="24"/>
          <w:szCs w:val="24"/>
        </w:rPr>
        <w:t>按相关监管部</w:t>
      </w:r>
      <w:r w:rsidRPr="00AE4644">
        <w:rPr>
          <w:rFonts w:ascii="宋体" w:hAnsi="宋体" w:cs="宋体" w:hint="eastAsia"/>
          <w:kern w:val="0"/>
          <w:sz w:val="24"/>
          <w:szCs w:val="24"/>
        </w:rPr>
        <w:lastRenderedPageBreak/>
        <w:t>门要求履行必要手续后，基金管理人可以适当调低基金销售费率</w:t>
      </w:r>
      <w:r w:rsidR="007E24FC" w:rsidRPr="007E24FC">
        <w:rPr>
          <w:rFonts w:ascii="宋体" w:hAnsi="宋体" w:cs="宋体" w:hint="eastAsia"/>
          <w:kern w:val="0"/>
          <w:sz w:val="24"/>
          <w:szCs w:val="24"/>
        </w:rPr>
        <w:t>。</w:t>
      </w:r>
    </w:p>
    <w:p w14:paraId="0FFFA7E8" w14:textId="4F5433C9"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七、申购份额与赎回金额的计算</w:t>
      </w:r>
    </w:p>
    <w:p w14:paraId="5DD9200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1、本基金申购份额的计算</w:t>
      </w:r>
    </w:p>
    <w:p w14:paraId="6DAFC2CD" w14:textId="13B84843"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w:t>
      </w:r>
      <w:r w:rsidR="007F390A">
        <w:rPr>
          <w:rFonts w:ascii="宋体" w:hAnsi="宋体" w:cs="宋体"/>
          <w:kern w:val="0"/>
          <w:sz w:val="24"/>
          <w:szCs w:val="24"/>
        </w:rPr>
        <w:t>申购</w:t>
      </w:r>
      <w:r>
        <w:rPr>
          <w:rFonts w:ascii="宋体" w:hAnsi="宋体" w:cs="宋体"/>
          <w:kern w:val="0"/>
          <w:sz w:val="24"/>
          <w:szCs w:val="24"/>
        </w:rPr>
        <w:t>A类基金份额</w:t>
      </w:r>
    </w:p>
    <w:p w14:paraId="0AD12D2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A类基金份额的申购金额包括申购费用和净申购金额，其中：</w:t>
      </w:r>
    </w:p>
    <w:p w14:paraId="15BD322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1）申购费用适用比例费率时：</w:t>
      </w:r>
    </w:p>
    <w:p w14:paraId="163A53A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净申购金额=申购金额/（1＋申购费率）</w:t>
      </w:r>
    </w:p>
    <w:p w14:paraId="56A89BD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申购费用=申购金额-净申购金额</w:t>
      </w:r>
    </w:p>
    <w:p w14:paraId="1D7057D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申购份额=净申购金额/申购当日A类基金份额净值</w:t>
      </w:r>
    </w:p>
    <w:p w14:paraId="79E66B7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2）申购费用适用固定金额时：</w:t>
      </w:r>
    </w:p>
    <w:p w14:paraId="17B5429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申购费用=固定金额</w:t>
      </w:r>
    </w:p>
    <w:p w14:paraId="1FC97C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净申购金额=申购金额-申购费用</w:t>
      </w:r>
    </w:p>
    <w:p w14:paraId="0FB7DB1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申购份额=净申购金额/申购当日A类基金份额净值</w:t>
      </w:r>
    </w:p>
    <w:p w14:paraId="1B5D95C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（2）申购C类基金份额</w:t>
      </w:r>
    </w:p>
    <w:p w14:paraId="70475CD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申购份额=申购金额/申购当日C类基金份额净值</w:t>
      </w:r>
    </w:p>
    <w:p w14:paraId="7CC084E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（3）上述申购份额计算结果保留到小数点后2位，小数点2位以后的部分四舍五入，由此误差产生的收益或损失由基金财产承担。</w:t>
      </w:r>
    </w:p>
    <w:p w14:paraId="00B6AC8B" w14:textId="6C538926"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例1：某投资者（</w:t>
      </w:r>
      <w:r w:rsidR="0060059A">
        <w:rPr>
          <w:rFonts w:ascii="宋体" w:hAnsi="宋体" w:cs="宋体" w:hint="eastAsia"/>
          <w:kern w:val="0"/>
          <w:sz w:val="24"/>
          <w:szCs w:val="24"/>
        </w:rPr>
        <w:t>其他投资者</w:t>
      </w:r>
      <w:r>
        <w:rPr>
          <w:rFonts w:ascii="宋体" w:hAnsi="宋体" w:cs="宋体"/>
          <w:kern w:val="0"/>
          <w:sz w:val="24"/>
          <w:szCs w:val="24"/>
        </w:rPr>
        <w:t>）投资50,000元申购本基金A类基金份额，其对应的申购费率为</w:t>
      </w:r>
      <w:r w:rsidR="004103CA" w:rsidRPr="004103CA">
        <w:rPr>
          <w:rFonts w:ascii="宋体" w:hAnsi="宋体" w:cs="宋体"/>
          <w:kern w:val="0"/>
          <w:sz w:val="24"/>
          <w:szCs w:val="24"/>
        </w:rPr>
        <w:t>0.80%</w:t>
      </w:r>
      <w:r>
        <w:rPr>
          <w:rFonts w:ascii="宋体" w:hAnsi="宋体" w:cs="宋体"/>
          <w:kern w:val="0"/>
          <w:sz w:val="24"/>
          <w:szCs w:val="24"/>
        </w:rPr>
        <w:t>，假设申购当日A类基金份额净值为1.0520元，则可得到的申购份额为：</w:t>
      </w:r>
    </w:p>
    <w:p w14:paraId="7B060D4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净申购金额=50,000/（1+</w:t>
      </w:r>
      <w:r w:rsidR="004103CA" w:rsidRPr="004103CA">
        <w:rPr>
          <w:rFonts w:ascii="宋体" w:hAnsi="宋体" w:cs="宋体"/>
          <w:kern w:val="0"/>
          <w:sz w:val="24"/>
          <w:szCs w:val="24"/>
        </w:rPr>
        <w:t>0.80%</w:t>
      </w:r>
      <w:r>
        <w:rPr>
          <w:rFonts w:ascii="宋体" w:hAnsi="宋体" w:cs="宋体"/>
          <w:kern w:val="0"/>
          <w:sz w:val="24"/>
          <w:szCs w:val="24"/>
        </w:rPr>
        <w:t>）</w:t>
      </w:r>
      <w:r w:rsidR="004103CA">
        <w:rPr>
          <w:rFonts w:ascii="宋体" w:hAnsi="宋体" w:cs="宋体"/>
          <w:kern w:val="0"/>
          <w:sz w:val="24"/>
          <w:szCs w:val="24"/>
        </w:rPr>
        <w:t>=</w:t>
      </w:r>
      <w:r w:rsidR="004103CA" w:rsidRPr="004103CA">
        <w:rPr>
          <w:rFonts w:ascii="宋体" w:hAnsi="宋体" w:cs="宋体"/>
          <w:kern w:val="0"/>
          <w:sz w:val="24"/>
          <w:szCs w:val="24"/>
        </w:rPr>
        <w:t>49,603.17</w:t>
      </w:r>
      <w:r>
        <w:rPr>
          <w:rFonts w:ascii="宋体" w:hAnsi="宋体" w:cs="宋体"/>
          <w:kern w:val="0"/>
          <w:sz w:val="24"/>
          <w:szCs w:val="24"/>
        </w:rPr>
        <w:t>元</w:t>
      </w:r>
    </w:p>
    <w:p w14:paraId="3237A91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申购费用=50,000–</w:t>
      </w:r>
      <w:r w:rsidR="004103CA" w:rsidRPr="004103CA">
        <w:rPr>
          <w:rFonts w:ascii="宋体" w:hAnsi="宋体" w:cs="宋体"/>
          <w:kern w:val="0"/>
          <w:sz w:val="24"/>
          <w:szCs w:val="24"/>
        </w:rPr>
        <w:t>49,603.17</w:t>
      </w:r>
      <w:r>
        <w:rPr>
          <w:rFonts w:ascii="宋体" w:hAnsi="宋体" w:cs="宋体"/>
          <w:kern w:val="0"/>
          <w:sz w:val="24"/>
          <w:szCs w:val="24"/>
        </w:rPr>
        <w:t>=</w:t>
      </w:r>
      <w:r w:rsidR="004103CA" w:rsidRPr="004103CA">
        <w:rPr>
          <w:rFonts w:ascii="宋体" w:hAnsi="宋体" w:cs="宋体"/>
          <w:kern w:val="0"/>
          <w:sz w:val="24"/>
          <w:szCs w:val="24"/>
        </w:rPr>
        <w:t>396.83</w:t>
      </w:r>
      <w:r>
        <w:rPr>
          <w:rFonts w:ascii="宋体" w:hAnsi="宋体" w:cs="宋体"/>
          <w:kern w:val="0"/>
          <w:sz w:val="24"/>
          <w:szCs w:val="24"/>
        </w:rPr>
        <w:t>元</w:t>
      </w:r>
    </w:p>
    <w:p w14:paraId="1C5ED65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w:t>
      </w:r>
      <w:r w:rsidR="004103CA" w:rsidRPr="004103CA">
        <w:rPr>
          <w:rFonts w:ascii="宋体" w:hAnsi="宋体" w:cs="宋体"/>
          <w:kern w:val="0"/>
          <w:sz w:val="24"/>
          <w:szCs w:val="24"/>
        </w:rPr>
        <w:t>49,603.17</w:t>
      </w:r>
      <w:r>
        <w:rPr>
          <w:rFonts w:ascii="宋体" w:hAnsi="宋体" w:cs="宋体"/>
          <w:kern w:val="0"/>
          <w:sz w:val="24"/>
          <w:szCs w:val="24"/>
        </w:rPr>
        <w:t>/1.0520=</w:t>
      </w:r>
      <w:r w:rsidR="004103CA" w:rsidRPr="004103CA">
        <w:rPr>
          <w:rFonts w:ascii="宋体" w:hAnsi="宋体" w:cs="宋体"/>
          <w:kern w:val="0"/>
          <w:sz w:val="24"/>
          <w:szCs w:val="24"/>
        </w:rPr>
        <w:t>47,151.30</w:t>
      </w:r>
      <w:r>
        <w:rPr>
          <w:rFonts w:ascii="宋体" w:hAnsi="宋体" w:cs="宋体"/>
          <w:kern w:val="0"/>
          <w:sz w:val="24"/>
          <w:szCs w:val="24"/>
        </w:rPr>
        <w:t>份</w:t>
      </w:r>
    </w:p>
    <w:p w14:paraId="7D525CB0" w14:textId="5BC15C8E"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即：投资者（</w:t>
      </w:r>
      <w:r w:rsidR="003D18D8">
        <w:rPr>
          <w:rFonts w:ascii="宋体" w:hAnsi="宋体" w:cs="宋体" w:hint="eastAsia"/>
          <w:kern w:val="0"/>
          <w:sz w:val="24"/>
          <w:szCs w:val="24"/>
        </w:rPr>
        <w:t>其他投资者</w:t>
      </w:r>
      <w:r>
        <w:rPr>
          <w:rFonts w:ascii="宋体" w:hAnsi="宋体" w:cs="宋体"/>
          <w:kern w:val="0"/>
          <w:sz w:val="24"/>
          <w:szCs w:val="24"/>
        </w:rPr>
        <w:t>）投资50,000元申购本基金A类基金份额，其对应的申购费率为</w:t>
      </w:r>
      <w:r w:rsidR="0015752E" w:rsidRPr="004103CA">
        <w:rPr>
          <w:rFonts w:ascii="宋体" w:hAnsi="宋体" w:cs="宋体"/>
          <w:kern w:val="0"/>
          <w:sz w:val="24"/>
          <w:szCs w:val="24"/>
        </w:rPr>
        <w:t>0.80%</w:t>
      </w:r>
      <w:r>
        <w:rPr>
          <w:rFonts w:ascii="宋体" w:hAnsi="宋体" w:cs="宋体"/>
          <w:kern w:val="0"/>
          <w:sz w:val="24"/>
          <w:szCs w:val="24"/>
        </w:rPr>
        <w:t>，假设申购当日A类基金份额净值为1.0520元，则其可得到</w:t>
      </w:r>
      <w:r w:rsidR="0015752E" w:rsidRPr="004103CA">
        <w:rPr>
          <w:rFonts w:ascii="宋体" w:hAnsi="宋体" w:cs="宋体"/>
          <w:kern w:val="0"/>
          <w:sz w:val="24"/>
          <w:szCs w:val="24"/>
        </w:rPr>
        <w:t>47,151.30</w:t>
      </w:r>
      <w:r>
        <w:rPr>
          <w:rFonts w:ascii="宋体" w:hAnsi="宋体" w:cs="宋体"/>
          <w:kern w:val="0"/>
          <w:sz w:val="24"/>
          <w:szCs w:val="24"/>
        </w:rPr>
        <w:t>份A类基金份额。</w:t>
      </w:r>
    </w:p>
    <w:p w14:paraId="5BBAC0E6" w14:textId="35E5BB41"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例2：某特定投资群体客户通过</w:t>
      </w:r>
      <w:r w:rsidR="001B2B9C">
        <w:rPr>
          <w:rFonts w:ascii="宋体" w:hAnsi="宋体" w:cs="宋体" w:hint="eastAsia"/>
          <w:kern w:val="0"/>
          <w:sz w:val="24"/>
          <w:szCs w:val="24"/>
        </w:rPr>
        <w:t>本公司</w:t>
      </w:r>
      <w:r>
        <w:rPr>
          <w:rFonts w:ascii="宋体" w:hAnsi="宋体" w:cs="宋体"/>
          <w:kern w:val="0"/>
          <w:sz w:val="24"/>
          <w:szCs w:val="24"/>
        </w:rPr>
        <w:t>直销中心投资10万元申购本基金A类基金份额，其申购费金额为500元，假设申购当日A类基金份额净值为1.0150元，则其可得到的申购份额计算如下：</w:t>
      </w:r>
    </w:p>
    <w:p w14:paraId="2687263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净申购金额=100,000-500=99,500.00元</w:t>
      </w:r>
    </w:p>
    <w:p w14:paraId="29D23D6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申购份额=99,500.00/1.0150=98,029.56份</w:t>
      </w:r>
    </w:p>
    <w:p w14:paraId="018AC3C8" w14:textId="5A5946A9"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即：特定投资群体客户通过</w:t>
      </w:r>
      <w:r w:rsidR="001B2B9C">
        <w:rPr>
          <w:rFonts w:ascii="宋体" w:hAnsi="宋体" w:cs="宋体" w:hint="eastAsia"/>
          <w:kern w:val="0"/>
          <w:sz w:val="24"/>
          <w:szCs w:val="24"/>
        </w:rPr>
        <w:t>本公司</w:t>
      </w:r>
      <w:r>
        <w:rPr>
          <w:rFonts w:ascii="宋体" w:hAnsi="宋体" w:cs="宋体"/>
          <w:kern w:val="0"/>
          <w:sz w:val="24"/>
          <w:szCs w:val="24"/>
        </w:rPr>
        <w:t>直销中心投资10万元申购本基金A类基金份额，对应申购费为500元，假设申购当日的A类基金份额净值为1.0150元，则其可得到98,029.56份A类基金份额。</w:t>
      </w:r>
    </w:p>
    <w:p w14:paraId="438592F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例3：某投资者投资50,000元申购本基金</w:t>
      </w:r>
      <w:r w:rsidR="0015752E">
        <w:rPr>
          <w:rFonts w:ascii="宋体" w:hAnsi="宋体" w:cs="宋体"/>
          <w:kern w:val="0"/>
          <w:sz w:val="24"/>
          <w:szCs w:val="24"/>
        </w:rPr>
        <w:t>C</w:t>
      </w:r>
      <w:r>
        <w:rPr>
          <w:rFonts w:ascii="宋体" w:hAnsi="宋体" w:cs="宋体"/>
          <w:kern w:val="0"/>
          <w:sz w:val="24"/>
          <w:szCs w:val="24"/>
        </w:rPr>
        <w:t>类基金份额，假设申购当日</w:t>
      </w:r>
      <w:r w:rsidR="0015752E">
        <w:rPr>
          <w:rFonts w:ascii="宋体" w:hAnsi="宋体" w:cs="宋体"/>
          <w:kern w:val="0"/>
          <w:sz w:val="24"/>
          <w:szCs w:val="24"/>
        </w:rPr>
        <w:t>C</w:t>
      </w:r>
      <w:r>
        <w:rPr>
          <w:rFonts w:ascii="宋体" w:hAnsi="宋体" w:cs="宋体"/>
          <w:kern w:val="0"/>
          <w:sz w:val="24"/>
          <w:szCs w:val="24"/>
        </w:rPr>
        <w:t>类基金份额净值为1.0520元，则其可得到的</w:t>
      </w:r>
      <w:r w:rsidR="0015752E">
        <w:rPr>
          <w:rFonts w:ascii="宋体" w:hAnsi="宋体" w:cs="宋体"/>
          <w:kern w:val="0"/>
          <w:sz w:val="24"/>
          <w:szCs w:val="24"/>
        </w:rPr>
        <w:t>C</w:t>
      </w:r>
      <w:r>
        <w:rPr>
          <w:rFonts w:ascii="宋体" w:hAnsi="宋体" w:cs="宋体"/>
          <w:kern w:val="0"/>
          <w:sz w:val="24"/>
          <w:szCs w:val="24"/>
        </w:rPr>
        <w:t>类基金份额为：</w:t>
      </w:r>
    </w:p>
    <w:p w14:paraId="766305B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申购份额=50,000.00/1.0520=47,528.52份</w:t>
      </w:r>
    </w:p>
    <w:p w14:paraId="4FDFEEF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即：投资者投资50,000元申购本基金</w:t>
      </w:r>
      <w:r w:rsidR="0015752E">
        <w:rPr>
          <w:rFonts w:ascii="宋体" w:hAnsi="宋体" w:cs="宋体"/>
          <w:kern w:val="0"/>
          <w:sz w:val="24"/>
          <w:szCs w:val="24"/>
        </w:rPr>
        <w:t>C</w:t>
      </w:r>
      <w:r>
        <w:rPr>
          <w:rFonts w:ascii="宋体" w:hAnsi="宋体" w:cs="宋体"/>
          <w:kern w:val="0"/>
          <w:sz w:val="24"/>
          <w:szCs w:val="24"/>
        </w:rPr>
        <w:t>类基金份额，假设申购当日</w:t>
      </w:r>
      <w:r w:rsidR="0015752E">
        <w:rPr>
          <w:rFonts w:ascii="宋体" w:hAnsi="宋体" w:cs="宋体"/>
          <w:kern w:val="0"/>
          <w:sz w:val="24"/>
          <w:szCs w:val="24"/>
        </w:rPr>
        <w:t>C</w:t>
      </w:r>
      <w:r>
        <w:rPr>
          <w:rFonts w:ascii="宋体" w:hAnsi="宋体" w:cs="宋体"/>
          <w:kern w:val="0"/>
          <w:sz w:val="24"/>
          <w:szCs w:val="24"/>
        </w:rPr>
        <w:t>类基金份额净值为1.0520元，则可得到47,528.52份</w:t>
      </w:r>
      <w:r w:rsidR="0015752E">
        <w:rPr>
          <w:rFonts w:ascii="宋体" w:hAnsi="宋体" w:cs="宋体"/>
          <w:kern w:val="0"/>
          <w:sz w:val="24"/>
          <w:szCs w:val="24"/>
        </w:rPr>
        <w:t>C</w:t>
      </w:r>
      <w:r>
        <w:rPr>
          <w:rFonts w:ascii="宋体" w:hAnsi="宋体" w:cs="宋体"/>
          <w:kern w:val="0"/>
          <w:sz w:val="24"/>
          <w:szCs w:val="24"/>
        </w:rPr>
        <w:t>类基金份额。</w:t>
      </w:r>
    </w:p>
    <w:p w14:paraId="5CDF425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2、本基金赎回金额的计算</w:t>
      </w:r>
    </w:p>
    <w:p w14:paraId="7C00B774" w14:textId="77777777" w:rsidR="007E24FC" w:rsidRPr="00C22A75" w:rsidRDefault="007E24FC" w:rsidP="007E24FC">
      <w:pPr>
        <w:spacing w:line="360" w:lineRule="auto"/>
        <w:ind w:firstLine="480"/>
        <w:rPr>
          <w:bCs/>
          <w:sz w:val="24"/>
        </w:rPr>
      </w:pPr>
      <w:r w:rsidRPr="00C22A75">
        <w:rPr>
          <w:bCs/>
          <w:sz w:val="24"/>
        </w:rPr>
        <w:t>采用</w:t>
      </w:r>
      <w:r w:rsidRPr="00C22A75">
        <w:rPr>
          <w:bCs/>
          <w:sz w:val="24"/>
        </w:rPr>
        <w:t>“</w:t>
      </w:r>
      <w:r w:rsidRPr="00C22A75">
        <w:rPr>
          <w:bCs/>
          <w:sz w:val="24"/>
        </w:rPr>
        <w:t>份额赎回</w:t>
      </w:r>
      <w:r w:rsidRPr="00C22A75">
        <w:rPr>
          <w:bCs/>
          <w:sz w:val="24"/>
        </w:rPr>
        <w:t>”</w:t>
      </w:r>
      <w:r w:rsidRPr="00C22A75">
        <w:rPr>
          <w:bCs/>
          <w:sz w:val="24"/>
        </w:rPr>
        <w:t>方式，赎回金额以</w:t>
      </w:r>
      <w:r w:rsidRPr="00C22A75">
        <w:rPr>
          <w:bCs/>
          <w:sz w:val="24"/>
        </w:rPr>
        <w:t>T</w:t>
      </w:r>
      <w:r w:rsidRPr="00C22A75">
        <w:rPr>
          <w:bCs/>
          <w:sz w:val="24"/>
        </w:rPr>
        <w:t>日的</w:t>
      </w:r>
      <w:r w:rsidRPr="00C22A75">
        <w:rPr>
          <w:rFonts w:hint="eastAsia"/>
          <w:bCs/>
          <w:sz w:val="24"/>
        </w:rPr>
        <w:t>该</w:t>
      </w:r>
      <w:r w:rsidRPr="00C22A75">
        <w:rPr>
          <w:bCs/>
          <w:sz w:val="24"/>
        </w:rPr>
        <w:t>类基金份额净值为基准进行计算，计算公式：</w:t>
      </w:r>
    </w:p>
    <w:p w14:paraId="428AD1A7" w14:textId="77777777" w:rsidR="007E24FC" w:rsidRPr="00C22A75" w:rsidRDefault="007E24FC" w:rsidP="007E24FC">
      <w:pPr>
        <w:spacing w:line="360" w:lineRule="auto"/>
        <w:ind w:firstLine="480"/>
        <w:rPr>
          <w:bCs/>
          <w:sz w:val="24"/>
        </w:rPr>
      </w:pPr>
      <w:r w:rsidRPr="00C22A75">
        <w:rPr>
          <w:bCs/>
          <w:sz w:val="24"/>
        </w:rPr>
        <w:t>赎回</w:t>
      </w:r>
      <w:r w:rsidRPr="00C22A75">
        <w:rPr>
          <w:rFonts w:hint="eastAsia"/>
          <w:bCs/>
          <w:sz w:val="24"/>
        </w:rPr>
        <w:t>总</w:t>
      </w:r>
      <w:r w:rsidRPr="00C22A75">
        <w:rPr>
          <w:bCs/>
          <w:sz w:val="24"/>
        </w:rPr>
        <w:t>金额</w:t>
      </w:r>
      <w:r w:rsidRPr="00C22A75">
        <w:rPr>
          <w:bCs/>
          <w:sz w:val="24"/>
        </w:rPr>
        <w:t xml:space="preserve"> = </w:t>
      </w:r>
      <w:r w:rsidRPr="00C22A75">
        <w:rPr>
          <w:bCs/>
          <w:sz w:val="24"/>
        </w:rPr>
        <w:t>赎回份额</w:t>
      </w:r>
      <w:r w:rsidRPr="00C22A75">
        <w:rPr>
          <w:bCs/>
          <w:sz w:val="24"/>
        </w:rPr>
        <w:t>×T</w:t>
      </w:r>
      <w:r w:rsidRPr="00C22A75">
        <w:rPr>
          <w:bCs/>
          <w:sz w:val="24"/>
        </w:rPr>
        <w:t>日</w:t>
      </w:r>
      <w:r w:rsidRPr="00C22A75">
        <w:rPr>
          <w:rFonts w:hint="eastAsia"/>
          <w:bCs/>
          <w:sz w:val="24"/>
        </w:rPr>
        <w:t>该</w:t>
      </w:r>
      <w:r w:rsidRPr="00C22A75">
        <w:rPr>
          <w:bCs/>
          <w:sz w:val="24"/>
        </w:rPr>
        <w:t>类基金份额净值</w:t>
      </w:r>
    </w:p>
    <w:p w14:paraId="6299DEE3" w14:textId="77777777" w:rsidR="007E24FC" w:rsidRPr="00C22A75" w:rsidRDefault="007E24FC" w:rsidP="007E24FC">
      <w:pPr>
        <w:spacing w:line="360" w:lineRule="auto"/>
        <w:ind w:firstLine="480"/>
        <w:rPr>
          <w:sz w:val="24"/>
          <w:szCs w:val="24"/>
        </w:rPr>
      </w:pPr>
      <w:r w:rsidRPr="00C22A75">
        <w:rPr>
          <w:rFonts w:hint="eastAsia"/>
          <w:sz w:val="24"/>
          <w:szCs w:val="24"/>
        </w:rPr>
        <w:t>赎回费用</w:t>
      </w:r>
      <w:r w:rsidRPr="00C22A75">
        <w:rPr>
          <w:rFonts w:hint="eastAsia"/>
          <w:sz w:val="24"/>
          <w:szCs w:val="24"/>
        </w:rPr>
        <w:t xml:space="preserve"> = </w:t>
      </w:r>
      <w:r w:rsidRPr="00C22A75">
        <w:rPr>
          <w:rFonts w:hint="eastAsia"/>
          <w:sz w:val="24"/>
          <w:szCs w:val="24"/>
        </w:rPr>
        <w:t>赎回总金额×赎回费率</w:t>
      </w:r>
    </w:p>
    <w:p w14:paraId="4408A7E5" w14:textId="77777777" w:rsidR="007E24FC" w:rsidRPr="00C22A75" w:rsidRDefault="007E24FC" w:rsidP="007E24FC">
      <w:pPr>
        <w:spacing w:line="360" w:lineRule="auto"/>
        <w:ind w:firstLineChars="200" w:firstLine="480"/>
        <w:rPr>
          <w:sz w:val="24"/>
          <w:szCs w:val="24"/>
        </w:rPr>
      </w:pPr>
      <w:r w:rsidRPr="00C22A75">
        <w:rPr>
          <w:rFonts w:hint="eastAsia"/>
          <w:sz w:val="24"/>
          <w:szCs w:val="24"/>
        </w:rPr>
        <w:t>净赎回金额</w:t>
      </w:r>
      <w:r w:rsidRPr="00C22A75">
        <w:rPr>
          <w:sz w:val="24"/>
          <w:szCs w:val="24"/>
        </w:rPr>
        <w:t xml:space="preserve"> = </w:t>
      </w:r>
      <w:r w:rsidRPr="00C22A75">
        <w:rPr>
          <w:rFonts w:hint="eastAsia"/>
          <w:sz w:val="24"/>
          <w:szCs w:val="24"/>
        </w:rPr>
        <w:t>赎回总金额</w:t>
      </w:r>
      <w:r w:rsidRPr="00C22A75">
        <w:rPr>
          <w:sz w:val="24"/>
          <w:szCs w:val="24"/>
        </w:rPr>
        <w:t>−</w:t>
      </w:r>
      <w:r w:rsidRPr="00C22A75">
        <w:rPr>
          <w:rFonts w:hint="eastAsia"/>
          <w:sz w:val="24"/>
          <w:szCs w:val="24"/>
        </w:rPr>
        <w:t>赎回费用</w:t>
      </w:r>
    </w:p>
    <w:p w14:paraId="39B06E1D" w14:textId="77777777" w:rsidR="00A136D1" w:rsidRPr="00A136D1" w:rsidRDefault="00A136D1" w:rsidP="00A136D1">
      <w:pPr>
        <w:spacing w:line="360" w:lineRule="auto"/>
        <w:ind w:firstLineChars="200" w:firstLine="480"/>
        <w:rPr>
          <w:sz w:val="24"/>
        </w:rPr>
      </w:pPr>
      <w:r w:rsidRPr="00A136D1">
        <w:rPr>
          <w:sz w:val="24"/>
        </w:rPr>
        <w:t>上述计算结果均按四舍五入方法，保留到小数点后</w:t>
      </w:r>
      <w:r w:rsidRPr="00A136D1">
        <w:rPr>
          <w:sz w:val="24"/>
        </w:rPr>
        <w:t>2</w:t>
      </w:r>
      <w:r w:rsidRPr="00A136D1">
        <w:rPr>
          <w:sz w:val="24"/>
        </w:rPr>
        <w:t>位，由此产生的收益或损失由基金财产承担。</w:t>
      </w:r>
    </w:p>
    <w:p w14:paraId="1B1DD895" w14:textId="77C33A5A" w:rsidR="007E24FC" w:rsidRPr="00C22A75" w:rsidRDefault="007E24FC" w:rsidP="007E24FC">
      <w:pPr>
        <w:spacing w:line="360" w:lineRule="auto"/>
        <w:ind w:firstLineChars="200" w:firstLine="480"/>
        <w:rPr>
          <w:sz w:val="24"/>
        </w:rPr>
      </w:pPr>
      <w:r w:rsidRPr="00C22A75">
        <w:rPr>
          <w:sz w:val="24"/>
        </w:rPr>
        <w:t>例</w:t>
      </w:r>
      <w:r w:rsidRPr="00C22A75">
        <w:rPr>
          <w:sz w:val="24"/>
        </w:rPr>
        <w:t>4</w:t>
      </w:r>
      <w:r w:rsidRPr="00C22A75">
        <w:rPr>
          <w:sz w:val="24"/>
        </w:rPr>
        <w:t>：某投资者</w:t>
      </w:r>
      <w:r w:rsidRPr="00C22A75">
        <w:rPr>
          <w:rFonts w:hint="eastAsia"/>
          <w:sz w:val="24"/>
        </w:rPr>
        <w:t>在持有期</w:t>
      </w:r>
      <w:r w:rsidR="0062196C">
        <w:rPr>
          <w:rFonts w:hint="eastAsia"/>
          <w:sz w:val="24"/>
        </w:rPr>
        <w:t>限</w:t>
      </w:r>
      <w:r w:rsidRPr="00C22A75">
        <w:rPr>
          <w:rFonts w:hint="eastAsia"/>
          <w:sz w:val="24"/>
        </w:rPr>
        <w:t>未满</w:t>
      </w:r>
      <w:r w:rsidRPr="00C22A75">
        <w:rPr>
          <w:rFonts w:hint="eastAsia"/>
          <w:sz w:val="24"/>
        </w:rPr>
        <w:t>7</w:t>
      </w:r>
      <w:r w:rsidRPr="00C22A75">
        <w:rPr>
          <w:rFonts w:hint="eastAsia"/>
          <w:sz w:val="24"/>
        </w:rPr>
        <w:t>日时</w:t>
      </w:r>
      <w:r w:rsidRPr="00C22A75">
        <w:rPr>
          <w:sz w:val="24"/>
        </w:rPr>
        <w:t>赎回本基金</w:t>
      </w:r>
      <w:r w:rsidRPr="00C22A75">
        <w:rPr>
          <w:sz w:val="24"/>
        </w:rPr>
        <w:t>1</w:t>
      </w:r>
      <w:r w:rsidRPr="00C22A75">
        <w:rPr>
          <w:sz w:val="24"/>
        </w:rPr>
        <w:t>万份</w:t>
      </w:r>
      <w:r w:rsidRPr="00C22A75">
        <w:rPr>
          <w:sz w:val="24"/>
        </w:rPr>
        <w:t>A</w:t>
      </w:r>
      <w:r w:rsidRPr="00C22A75">
        <w:rPr>
          <w:sz w:val="24"/>
        </w:rPr>
        <w:t>类基金份额，对应的赎回费率为</w:t>
      </w:r>
      <w:r w:rsidRPr="00C22A75">
        <w:rPr>
          <w:rFonts w:hint="eastAsia"/>
          <w:sz w:val="24"/>
        </w:rPr>
        <w:t>1</w:t>
      </w:r>
      <w:r w:rsidRPr="00C22A75">
        <w:rPr>
          <w:sz w:val="24"/>
        </w:rPr>
        <w:t>.50%</w:t>
      </w:r>
      <w:r w:rsidRPr="00C22A75">
        <w:rPr>
          <w:sz w:val="24"/>
        </w:rPr>
        <w:t>，假设赎回当日</w:t>
      </w:r>
      <w:r w:rsidRPr="00C22A75">
        <w:rPr>
          <w:sz w:val="24"/>
        </w:rPr>
        <w:t>A</w:t>
      </w:r>
      <w:r w:rsidRPr="00C22A75">
        <w:rPr>
          <w:sz w:val="24"/>
        </w:rPr>
        <w:t>类基金份额</w:t>
      </w:r>
      <w:r w:rsidRPr="00C22A75">
        <w:rPr>
          <w:rFonts w:hint="eastAsia"/>
          <w:sz w:val="24"/>
        </w:rPr>
        <w:t>的基金份额</w:t>
      </w:r>
      <w:r w:rsidRPr="00C22A75">
        <w:rPr>
          <w:sz w:val="24"/>
        </w:rPr>
        <w:t>净值是</w:t>
      </w:r>
      <w:r w:rsidRPr="00C22A75">
        <w:rPr>
          <w:sz w:val="24"/>
        </w:rPr>
        <w:t>1.052</w:t>
      </w:r>
      <w:r w:rsidRPr="00C22A75">
        <w:rPr>
          <w:rFonts w:hint="eastAsia"/>
          <w:sz w:val="24"/>
        </w:rPr>
        <w:t>0</w:t>
      </w:r>
      <w:r w:rsidRPr="00C22A75">
        <w:rPr>
          <w:sz w:val="24"/>
        </w:rPr>
        <w:t>元，则其可得到的净赎回金额为：</w:t>
      </w:r>
    </w:p>
    <w:p w14:paraId="630A7E2E" w14:textId="77777777" w:rsidR="007E24FC" w:rsidRPr="00C22A75" w:rsidRDefault="007E24FC" w:rsidP="007E24FC">
      <w:pPr>
        <w:spacing w:line="360" w:lineRule="auto"/>
        <w:ind w:firstLineChars="200" w:firstLine="480"/>
        <w:rPr>
          <w:sz w:val="24"/>
        </w:rPr>
      </w:pPr>
      <w:r w:rsidRPr="00C22A75">
        <w:rPr>
          <w:sz w:val="24"/>
        </w:rPr>
        <w:t>赎回总金额</w:t>
      </w:r>
      <w:r w:rsidRPr="00C22A75">
        <w:rPr>
          <w:sz w:val="24"/>
        </w:rPr>
        <w:t xml:space="preserve"> = 10,000 × 1.052</w:t>
      </w:r>
      <w:r w:rsidRPr="00C22A75">
        <w:rPr>
          <w:rFonts w:hint="eastAsia"/>
          <w:sz w:val="24"/>
        </w:rPr>
        <w:t>0</w:t>
      </w:r>
      <w:r w:rsidRPr="00C22A75">
        <w:rPr>
          <w:sz w:val="24"/>
        </w:rPr>
        <w:t xml:space="preserve"> = 10,520.00</w:t>
      </w:r>
      <w:r w:rsidRPr="00C22A75">
        <w:rPr>
          <w:sz w:val="24"/>
        </w:rPr>
        <w:t>元</w:t>
      </w:r>
    </w:p>
    <w:p w14:paraId="24979171" w14:textId="77777777" w:rsidR="007E24FC" w:rsidRPr="00C22A75" w:rsidRDefault="007E24FC" w:rsidP="007E24FC">
      <w:pPr>
        <w:spacing w:line="360" w:lineRule="auto"/>
        <w:ind w:firstLineChars="200" w:firstLine="480"/>
        <w:rPr>
          <w:sz w:val="24"/>
        </w:rPr>
      </w:pPr>
      <w:r w:rsidRPr="00C22A75">
        <w:rPr>
          <w:sz w:val="24"/>
        </w:rPr>
        <w:t>赎回费用</w:t>
      </w:r>
      <w:r w:rsidRPr="00C22A75">
        <w:rPr>
          <w:sz w:val="24"/>
        </w:rPr>
        <w:t xml:space="preserve"> = 10,520.00 × </w:t>
      </w:r>
      <w:r w:rsidRPr="00C22A75">
        <w:rPr>
          <w:rFonts w:hint="eastAsia"/>
          <w:sz w:val="24"/>
        </w:rPr>
        <w:t>1</w:t>
      </w:r>
      <w:r w:rsidRPr="00C22A75">
        <w:rPr>
          <w:sz w:val="24"/>
        </w:rPr>
        <w:t xml:space="preserve">.50% = </w:t>
      </w:r>
      <w:r w:rsidRPr="00C22A75">
        <w:rPr>
          <w:rFonts w:hint="eastAsia"/>
          <w:sz w:val="24"/>
        </w:rPr>
        <w:t>1</w:t>
      </w:r>
      <w:r w:rsidRPr="00C22A75">
        <w:rPr>
          <w:sz w:val="24"/>
        </w:rPr>
        <w:t>5</w:t>
      </w:r>
      <w:r w:rsidRPr="00C22A75">
        <w:rPr>
          <w:rFonts w:hint="eastAsia"/>
          <w:sz w:val="24"/>
        </w:rPr>
        <w:t>7</w:t>
      </w:r>
      <w:r w:rsidRPr="00C22A75">
        <w:rPr>
          <w:sz w:val="24"/>
        </w:rPr>
        <w:t>.</w:t>
      </w:r>
      <w:r w:rsidRPr="00C22A75">
        <w:rPr>
          <w:rFonts w:hint="eastAsia"/>
          <w:sz w:val="24"/>
        </w:rPr>
        <w:t>8</w:t>
      </w:r>
      <w:r w:rsidRPr="00C22A75">
        <w:rPr>
          <w:sz w:val="24"/>
        </w:rPr>
        <w:t>0</w:t>
      </w:r>
      <w:r w:rsidRPr="00C22A75">
        <w:rPr>
          <w:sz w:val="24"/>
        </w:rPr>
        <w:t>元</w:t>
      </w:r>
    </w:p>
    <w:p w14:paraId="65B350A6" w14:textId="77777777" w:rsidR="007E24FC" w:rsidRPr="00C22A75" w:rsidRDefault="007E24FC" w:rsidP="007E24FC">
      <w:pPr>
        <w:spacing w:line="360" w:lineRule="auto"/>
        <w:ind w:firstLineChars="200" w:firstLine="480"/>
        <w:rPr>
          <w:sz w:val="24"/>
        </w:rPr>
      </w:pPr>
      <w:r w:rsidRPr="00C22A75">
        <w:rPr>
          <w:sz w:val="24"/>
        </w:rPr>
        <w:t>净赎回金额</w:t>
      </w:r>
      <w:r w:rsidRPr="00C22A75">
        <w:rPr>
          <w:sz w:val="24"/>
        </w:rPr>
        <w:t xml:space="preserve"> = 10,520.00 − </w:t>
      </w:r>
      <w:r w:rsidRPr="00C22A75">
        <w:rPr>
          <w:rFonts w:hint="eastAsia"/>
          <w:sz w:val="24"/>
        </w:rPr>
        <w:t>157</w:t>
      </w:r>
      <w:r w:rsidRPr="00C22A75">
        <w:rPr>
          <w:sz w:val="24"/>
        </w:rPr>
        <w:t>.</w:t>
      </w:r>
      <w:r w:rsidRPr="00C22A75">
        <w:rPr>
          <w:rFonts w:hint="eastAsia"/>
          <w:sz w:val="24"/>
        </w:rPr>
        <w:t>8</w:t>
      </w:r>
      <w:r w:rsidRPr="00C22A75">
        <w:rPr>
          <w:sz w:val="24"/>
        </w:rPr>
        <w:t>0 = 10,</w:t>
      </w:r>
      <w:r w:rsidRPr="00C22A75">
        <w:rPr>
          <w:rFonts w:hint="eastAsia"/>
          <w:sz w:val="24"/>
        </w:rPr>
        <w:t>362</w:t>
      </w:r>
      <w:r w:rsidRPr="00C22A75">
        <w:rPr>
          <w:sz w:val="24"/>
        </w:rPr>
        <w:t>.</w:t>
      </w:r>
      <w:r w:rsidRPr="00C22A75">
        <w:rPr>
          <w:rFonts w:hint="eastAsia"/>
          <w:sz w:val="24"/>
        </w:rPr>
        <w:t>2</w:t>
      </w:r>
      <w:r w:rsidRPr="00C22A75">
        <w:rPr>
          <w:sz w:val="24"/>
        </w:rPr>
        <w:t>0</w:t>
      </w:r>
      <w:r w:rsidRPr="00C22A75">
        <w:rPr>
          <w:sz w:val="24"/>
        </w:rPr>
        <w:t>元</w:t>
      </w:r>
    </w:p>
    <w:p w14:paraId="2B29DDC7" w14:textId="3E73AF57" w:rsidR="007E24FC" w:rsidRPr="00C22A75" w:rsidRDefault="007E24FC" w:rsidP="007E24FC">
      <w:pPr>
        <w:spacing w:line="360" w:lineRule="auto"/>
        <w:ind w:firstLineChars="200" w:firstLine="480"/>
        <w:rPr>
          <w:sz w:val="24"/>
        </w:rPr>
      </w:pPr>
      <w:r w:rsidRPr="00C22A75">
        <w:rPr>
          <w:sz w:val="24"/>
        </w:rPr>
        <w:t>即：投资者</w:t>
      </w:r>
      <w:r w:rsidRPr="00C22A75">
        <w:rPr>
          <w:rFonts w:hint="eastAsia"/>
          <w:sz w:val="24"/>
        </w:rPr>
        <w:t>在持有期</w:t>
      </w:r>
      <w:r w:rsidR="005669A0">
        <w:rPr>
          <w:rFonts w:hint="eastAsia"/>
          <w:sz w:val="24"/>
        </w:rPr>
        <w:t>限</w:t>
      </w:r>
      <w:r w:rsidRPr="00C22A75">
        <w:rPr>
          <w:rFonts w:hint="eastAsia"/>
          <w:sz w:val="24"/>
        </w:rPr>
        <w:t>未满</w:t>
      </w:r>
      <w:r w:rsidRPr="00C22A75">
        <w:rPr>
          <w:rFonts w:hint="eastAsia"/>
          <w:sz w:val="24"/>
        </w:rPr>
        <w:t>7</w:t>
      </w:r>
      <w:r w:rsidRPr="00C22A75">
        <w:rPr>
          <w:rFonts w:hint="eastAsia"/>
          <w:sz w:val="24"/>
        </w:rPr>
        <w:t>日时</w:t>
      </w:r>
      <w:r w:rsidRPr="00C22A75">
        <w:rPr>
          <w:sz w:val="24"/>
        </w:rPr>
        <w:t>赎回本基金</w:t>
      </w:r>
      <w:r w:rsidRPr="00C22A75">
        <w:rPr>
          <w:sz w:val="24"/>
        </w:rPr>
        <w:t>1</w:t>
      </w:r>
      <w:r w:rsidRPr="00C22A75">
        <w:rPr>
          <w:sz w:val="24"/>
        </w:rPr>
        <w:t>万份</w:t>
      </w:r>
      <w:r w:rsidRPr="00C22A75">
        <w:rPr>
          <w:sz w:val="24"/>
        </w:rPr>
        <w:t>A</w:t>
      </w:r>
      <w:r w:rsidRPr="00C22A75">
        <w:rPr>
          <w:sz w:val="24"/>
        </w:rPr>
        <w:t>类基金份额，对应的赎回费率为</w:t>
      </w:r>
      <w:r w:rsidRPr="00C22A75">
        <w:rPr>
          <w:rFonts w:hint="eastAsia"/>
          <w:sz w:val="24"/>
        </w:rPr>
        <w:t>1</w:t>
      </w:r>
      <w:r w:rsidRPr="00C22A75">
        <w:rPr>
          <w:sz w:val="24"/>
        </w:rPr>
        <w:t>.50%</w:t>
      </w:r>
      <w:r w:rsidRPr="00C22A75">
        <w:rPr>
          <w:sz w:val="24"/>
        </w:rPr>
        <w:t>，假设赎回当日</w:t>
      </w:r>
      <w:r w:rsidRPr="00C22A75">
        <w:rPr>
          <w:sz w:val="24"/>
        </w:rPr>
        <w:t>A</w:t>
      </w:r>
      <w:r w:rsidRPr="00C22A75">
        <w:rPr>
          <w:sz w:val="24"/>
        </w:rPr>
        <w:t>类基金份额</w:t>
      </w:r>
      <w:r w:rsidRPr="00C22A75">
        <w:rPr>
          <w:rFonts w:hint="eastAsia"/>
          <w:sz w:val="24"/>
        </w:rPr>
        <w:t>的基金份额</w:t>
      </w:r>
      <w:r w:rsidRPr="00C22A75">
        <w:rPr>
          <w:sz w:val="24"/>
        </w:rPr>
        <w:t>净值是</w:t>
      </w:r>
      <w:r w:rsidRPr="00C22A75">
        <w:rPr>
          <w:sz w:val="24"/>
        </w:rPr>
        <w:t>1.052</w:t>
      </w:r>
      <w:r w:rsidRPr="00C22A75">
        <w:rPr>
          <w:rFonts w:hint="eastAsia"/>
          <w:sz w:val="24"/>
        </w:rPr>
        <w:t>0</w:t>
      </w:r>
      <w:r w:rsidRPr="00C22A75">
        <w:rPr>
          <w:sz w:val="24"/>
        </w:rPr>
        <w:t>元，则其可得到的净赎回金额为</w:t>
      </w:r>
      <w:r w:rsidRPr="00C22A75">
        <w:rPr>
          <w:sz w:val="24"/>
        </w:rPr>
        <w:t>10,</w:t>
      </w:r>
      <w:r w:rsidRPr="00C22A75">
        <w:rPr>
          <w:rFonts w:hint="eastAsia"/>
          <w:sz w:val="24"/>
        </w:rPr>
        <w:t>362</w:t>
      </w:r>
      <w:r w:rsidRPr="00C22A75">
        <w:rPr>
          <w:sz w:val="24"/>
        </w:rPr>
        <w:t>.</w:t>
      </w:r>
      <w:r w:rsidRPr="00C22A75">
        <w:rPr>
          <w:rFonts w:hint="eastAsia"/>
          <w:sz w:val="24"/>
        </w:rPr>
        <w:t>2</w:t>
      </w:r>
      <w:r w:rsidRPr="00C22A75">
        <w:rPr>
          <w:sz w:val="24"/>
        </w:rPr>
        <w:t>0</w:t>
      </w:r>
      <w:r w:rsidRPr="00C22A75">
        <w:rPr>
          <w:sz w:val="24"/>
        </w:rPr>
        <w:t>元。</w:t>
      </w:r>
    </w:p>
    <w:p w14:paraId="002DDD3C"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3、基金份额净值的计算</w:t>
      </w:r>
    </w:p>
    <w:p w14:paraId="7A8CF44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本基金各类基金份额净值的计算，均保留到小数点后4位，小数点后第5位</w:t>
      </w:r>
      <w:r>
        <w:rPr>
          <w:rFonts w:ascii="宋体" w:hAnsi="宋体" w:cs="宋体"/>
          <w:kern w:val="0"/>
          <w:sz w:val="24"/>
          <w:szCs w:val="24"/>
        </w:rPr>
        <w:lastRenderedPageBreak/>
        <w:t>四舍五入，由此产生的收益或损失由基金财产承担。T日的各类基金份额净值在当天收市后计算，并根据基金合同的约定公告。遇特殊情况，经履行适当程序，可以适当延迟计算或公告。</w:t>
      </w:r>
    </w:p>
    <w:p w14:paraId="0C842B7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本基金A类、C类基金份额将分别计算基金份额净值。</w:t>
      </w:r>
    </w:p>
    <w:p w14:paraId="4583B2F8"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八、拒绝或暂停申购的情形</w:t>
      </w:r>
    </w:p>
    <w:p w14:paraId="6875A5E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发生下列情况时，基金管理人可拒绝或暂停接受投资人的申购申请：</w:t>
      </w:r>
    </w:p>
    <w:p w14:paraId="046AE95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1、因不可抗力导致基金无法正常运作或者因不可抗力导致基金管理人无法接受投资人的申购申请。</w:t>
      </w:r>
    </w:p>
    <w:p w14:paraId="14864E3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2、发生基金合同规定的暂停基金资产估值情况时，基金管理人可暂停接受投资人的申购申请。</w:t>
      </w:r>
    </w:p>
    <w:p w14:paraId="7F73D39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3、证券/期货交易所交易时间非正常停市，导致基金管理人无法计算当日基金资产净值。</w:t>
      </w:r>
    </w:p>
    <w:p w14:paraId="1988735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4、接受某笔或某些申购申请可能会影响或损害现有基金份额持有人利益时。</w:t>
      </w:r>
    </w:p>
    <w:p w14:paraId="22BD884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5、基金资产规模过大，使基金管理人无法找到合适的投资品种，或其他可能对基金业绩产生负面影响，或发生其他损害现有基金份额持有人利益的情形。</w:t>
      </w:r>
    </w:p>
    <w:p w14:paraId="5C21E40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6、当前一估值日基金资产净值50%以上的资产出现无可参考的活跃市场价格且采用估值技术仍导致公允价值存在重大不确定性时，经与基金托管人协商确认后，基金管理人应当暂停接受基金申购申请。</w:t>
      </w:r>
    </w:p>
    <w:p w14:paraId="1B36EC3E" w14:textId="193879B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7、申请超过基金管理人设定的基金总规模、单日申购</w:t>
      </w:r>
      <w:r w:rsidR="00367248">
        <w:rPr>
          <w:rFonts w:ascii="宋体" w:hAnsi="宋体" w:cs="宋体" w:hint="eastAsia"/>
          <w:kern w:val="0"/>
          <w:sz w:val="24"/>
          <w:szCs w:val="24"/>
        </w:rPr>
        <w:t>金额</w:t>
      </w:r>
      <w:r>
        <w:rPr>
          <w:rFonts w:ascii="宋体" w:hAnsi="宋体" w:cs="宋体"/>
          <w:kern w:val="0"/>
          <w:sz w:val="24"/>
          <w:szCs w:val="24"/>
        </w:rPr>
        <w:t>上限、单日净申购比例上限、单个投资者累计持有份额上限、单个投资者单日或单笔申购金额上限的。</w:t>
      </w:r>
    </w:p>
    <w:p w14:paraId="2511C35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8、基金管理人接受某笔或者某些申购申请有可能导致单一投资者持有基金份额的比例达到或者超过50%，或者变相规避50%集中度的情形。</w:t>
      </w:r>
    </w:p>
    <w:p w14:paraId="3580B38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9、基金管理人、基金托管人、基金销售机构、登记机构、支付结算机构等因异常情况导致基金销售系统、基金销售支付结算系统、基金登记结算系统、基金会计系统无法正常运行。</w:t>
      </w:r>
    </w:p>
    <w:p w14:paraId="25734B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10、基金参与港股通交易且港股通交易每日额度不足。</w:t>
      </w:r>
    </w:p>
    <w:p w14:paraId="531906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11、法律法规规定或中国证监会认定的其他情形。</w:t>
      </w:r>
    </w:p>
    <w:p w14:paraId="022C51D4" w14:textId="77777777" w:rsidR="00586A97" w:rsidRDefault="0024620C">
      <w:pPr>
        <w:spacing w:line="360" w:lineRule="auto"/>
        <w:ind w:firstLine="420"/>
        <w:jc w:val="left"/>
        <w:rPr>
          <w:rFonts w:ascii="宋体" w:hAnsi="宋体" w:cs="宋体"/>
          <w:kern w:val="0"/>
          <w:sz w:val="24"/>
          <w:szCs w:val="24"/>
        </w:rPr>
      </w:pPr>
      <w:r>
        <w:rPr>
          <w:rFonts w:ascii="宋体" w:hAnsi="宋体" w:cs="宋体"/>
          <w:kern w:val="0"/>
          <w:sz w:val="24"/>
          <w:szCs w:val="24"/>
        </w:rPr>
        <w:t>发生除上述第4、7、8项暂停申购情形之一且基金管理人决定暂停接受投</w:t>
      </w:r>
      <w:r>
        <w:rPr>
          <w:rFonts w:ascii="宋体" w:hAnsi="宋体" w:cs="宋体"/>
          <w:kern w:val="0"/>
          <w:sz w:val="24"/>
          <w:szCs w:val="24"/>
        </w:rPr>
        <w:lastRenderedPageBreak/>
        <w:t>资人申购申请时，基金管理人应当根据有关规定在规定媒介上刊登暂停申购公告。如果投资人的申购申请被全部或部分拒绝的，被拒绝的申购款项将退还给投资人。在暂停申购的情况消除时，基金管理人应及时恢复申购业务的办理。</w:t>
      </w:r>
    </w:p>
    <w:p w14:paraId="794BD24E"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九、暂停赎回或延缓支付赎回款项的情形</w:t>
      </w:r>
    </w:p>
    <w:p w14:paraId="6CD0058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发生下列情形时，基金管理人可暂停接受投资人的赎回申请或延缓支付赎回款项：</w:t>
      </w:r>
    </w:p>
    <w:p w14:paraId="0371F5E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1、因不可抗力导致基金管理人不能支付赎回款项。</w:t>
      </w:r>
    </w:p>
    <w:p w14:paraId="45F24B6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2、发生基金合同规定的暂停基金资产估值情况时，基金管理人可暂停接受投资人的赎回申请或延缓支付赎回款项。</w:t>
      </w:r>
    </w:p>
    <w:p w14:paraId="7B43444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3、证券/期货交易所交易时间非正常停市，导致基金管理人无法计算当日基金资产净值。</w:t>
      </w:r>
    </w:p>
    <w:p w14:paraId="5E9FF2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4、连续两个或两个以上开放日发生巨额赎回。</w:t>
      </w:r>
    </w:p>
    <w:p w14:paraId="393817F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5、发生继续接受赎回申请将损害现有基金份额持有人利益的情形时，基金管理人可暂停接受基金份额持有人的赎回申请。</w:t>
      </w:r>
    </w:p>
    <w:p w14:paraId="37FB2CD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当前一估值日基金资产净值50%以上的资产出现无可参考的活跃市场价格且采用估值技术仍导致公允价值存在重大不确定性时，经与基金托管人协商确认后，基金管理人应当延缓支付赎回款项或暂停接受基金赎回申请。</w:t>
      </w:r>
    </w:p>
    <w:p w14:paraId="72CAD62A" w14:textId="136A3996"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7、法律法规规定或中国证监会认定的其他情形。</w:t>
      </w:r>
    </w:p>
    <w:p w14:paraId="6A8701F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发生上述情形之一且基金管理人决定暂停赎回或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14:paraId="5863528C"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十、巨额赎回的情形及处理方式</w:t>
      </w:r>
    </w:p>
    <w:p w14:paraId="75629B5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1、巨额赎回的认定</w:t>
      </w:r>
    </w:p>
    <w:p w14:paraId="62EDB08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若本基金单个开放日内的基金份额净赎回申请(赎回申请份额总数加上基金转换中转出申请份额总数后扣除申购申请份额总数及基金转换中转入申请份额</w:t>
      </w:r>
      <w:r>
        <w:rPr>
          <w:rFonts w:ascii="宋体" w:hAnsi="宋体" w:cs="宋体"/>
          <w:kern w:val="0"/>
          <w:sz w:val="24"/>
          <w:szCs w:val="24"/>
        </w:rPr>
        <w:lastRenderedPageBreak/>
        <w:t>总数后的余额，不同类别份额合并计算）超过前一开放日的基金总份额的10%，即认为是发生了巨额赎回。</w:t>
      </w:r>
    </w:p>
    <w:p w14:paraId="5399B16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2、巨额赎回的处理方式</w:t>
      </w:r>
    </w:p>
    <w:p w14:paraId="4A37F3D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当基金出现巨额赎回时，基金管理人可以根据基金当时的资产组合状况决定全额赎回或部分延期赎回。</w:t>
      </w:r>
    </w:p>
    <w:p w14:paraId="5F92721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（1）全额赎回：当基金管理人认为有能力支付投资人的全部赎回申请时，按正常赎回程序执行。</w:t>
      </w:r>
    </w:p>
    <w:p w14:paraId="1030E22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w:t>
      </w:r>
    </w:p>
    <w:p w14:paraId="3E60082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延期的赎回申请与下一开放日赎回申请一并处理，无优先权并以下一开放日的该类基金份额净值为基础计算赎回金额，以此类推，直到全部赎回为止。</w:t>
      </w:r>
    </w:p>
    <w:p w14:paraId="05254C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如投资人在提交赎回申请时未作明确选择，投资人未能赎回部分作自动延期赎回处理。</w:t>
      </w:r>
    </w:p>
    <w:p w14:paraId="02F2F64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（3）如发生单个开放日内单个基金份额持有人申请赎回的基金份额超过前一开放日的基金总份额的30%时，本基金管理人可以对该单个基金份额持有人超过30%比例的赎回申请实施延期办理。</w:t>
      </w:r>
    </w:p>
    <w:p w14:paraId="3DDDD59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对该单个基金份额持有人不超过30%比例的赎回申请，与当日其他赎回申请一起，按上述（1）、（2）方式处理。如下一开放日，该单一基金份额持有人剩余未赎回部分仍旧超出前一开放日基金总份额的30%时，继续按前述规则处理，直至该单一基金份额持有人单个开放日内申请赎回的基金份额占前一开放日基金总份额的比例低于30%。</w:t>
      </w:r>
    </w:p>
    <w:p w14:paraId="02588BC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基金管理人在履行适当程序后，有权根据当时市场环境调整前述比例及处理规则，并在规定媒介上进行公告。</w:t>
      </w:r>
    </w:p>
    <w:p w14:paraId="19F7346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4）暂停赎回：连续2个开放日以上(含本数)发生巨额赎回，如基金管理人认为有必要，可暂停接受基金的赎回申请；已经接受的赎回申请可以延缓支付赎回款项，但不得超过20个工作日，并应当在规定媒介上进行公告。</w:t>
      </w:r>
    </w:p>
    <w:p w14:paraId="3BA2F8F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3、巨额赎回的公告</w:t>
      </w:r>
    </w:p>
    <w:p w14:paraId="7636E60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当发生上述巨额赎回并延期办理时，基金管理人应当通过邮寄、传真或者招募说明书规定的其他方式在3个交易日内通知基金份额持有人，说明有关处理方法，并在2日内在规定媒介上刊登公告。</w:t>
      </w:r>
    </w:p>
    <w:p w14:paraId="3322F4B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十一、暂停申购或赎回的公告和重新开放申购或赎回的公告</w:t>
      </w:r>
    </w:p>
    <w:p w14:paraId="5F1281B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1、发生上述暂停申购或赎回情况的，基金管理人应在规定期限内在规定媒介上刊登暂停公告。</w:t>
      </w:r>
    </w:p>
    <w:p w14:paraId="640751F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管理人可以根据暂停申购或赎回的时间，依照《信息披露办法》的有关规定，最迟于重新开放日在规定媒介刊登重新开放申购或赎回的公告；也可以根据实际情况在暂停公告中明确重新开放申购或赎回的时间，届时可不再另行发布重新开放的公告。</w:t>
      </w:r>
    </w:p>
    <w:p w14:paraId="07E1A1E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十二、基金转换</w:t>
      </w:r>
    </w:p>
    <w:p w14:paraId="760C8423" w14:textId="7B0333C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以根据相关法律法规以及基金合同的规定决定开办本基金与基金管理人管理的其他基金之间的转换业务，基金转换可以收取一定的转换费，相关规则由基金管理人届时根据相关法律法规及基金合同的规定制定并公告，并提前告知基金托管人与相关机构。</w:t>
      </w:r>
    </w:p>
    <w:p w14:paraId="0049B7F8" w14:textId="691AF376" w:rsidR="002C76B4" w:rsidRDefault="002C76B4">
      <w:pPr>
        <w:spacing w:line="360" w:lineRule="auto"/>
        <w:ind w:firstLine="420"/>
        <w:rPr>
          <w:rFonts w:ascii="宋体" w:hAnsi="宋体" w:cs="宋体"/>
          <w:kern w:val="0"/>
          <w:sz w:val="24"/>
          <w:szCs w:val="24"/>
        </w:rPr>
      </w:pPr>
      <w:r w:rsidRPr="002C76B4">
        <w:rPr>
          <w:rFonts w:ascii="宋体" w:hAnsi="宋体" w:cs="宋体" w:hint="eastAsia"/>
          <w:kern w:val="0"/>
          <w:sz w:val="24"/>
          <w:szCs w:val="24"/>
        </w:rPr>
        <w:t>本基金自2023年3月27日起开始办理转换业务。</w:t>
      </w:r>
    </w:p>
    <w:p w14:paraId="59362A8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十三、基金份额的转让</w:t>
      </w:r>
    </w:p>
    <w:p w14:paraId="0E0A419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法律法规允许且条件具备的情况下，且对基金份额持有人无实质性不利影响的前提下，履行相关程序后，基金管理人可受理基金份额持有人通过中国证监会认可的交易场所或者交易方式进行基金份额转让的申请并由登记机构办理基金份额的过户登记。基金管理人拟受理基金份额转让业务的，将提前公告，基金份额持有人应根据基金管理人公告的业务规则办理基金份额转让业务。</w:t>
      </w:r>
    </w:p>
    <w:p w14:paraId="3A83928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十四、基金的非交易过户</w:t>
      </w:r>
    </w:p>
    <w:p w14:paraId="6498255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基金的非交易过户是指基金登记机构受理继承、捐赠和司法强制执行等情形而产生的非交易过户以及登记机构认可、符合法律法规的其它非交易过户或者按</w:t>
      </w:r>
      <w:r>
        <w:rPr>
          <w:rFonts w:ascii="宋体" w:hAnsi="宋体" w:cs="宋体"/>
          <w:kern w:val="0"/>
          <w:sz w:val="24"/>
          <w:szCs w:val="24"/>
        </w:rPr>
        <w:lastRenderedPageBreak/>
        <w:t>照相关法律法规或国家有权机关要求的方式进行处理的行为。无论在上述何种情况下，接受划转的主体必须是依法可以持有本基金基金份额的投资人。</w:t>
      </w:r>
    </w:p>
    <w:p w14:paraId="3BDE84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628B3E69"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十五、基金的转托管</w:t>
      </w:r>
    </w:p>
    <w:p w14:paraId="12E622C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基金份额持有人可办理已持有基金份额在不同销售机构之间的转托管，基金销售机构可以按照规定的标准收取转托管费。</w:t>
      </w:r>
    </w:p>
    <w:p w14:paraId="21D1F874"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十六、定期定额投资计划</w:t>
      </w:r>
    </w:p>
    <w:p w14:paraId="0F3535C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可以为投资人办理定期定额投资计划，具体规则由基金管理人在届时发布公告或更新的招募说明书中确定。投资人在办理定期定额投资计划时可自行约定每期扣款金额，每期扣款金额必须不低于基金管理人在相关公告或更新的招募说明书中所规定的定期定额投资计划最低申购金额。</w:t>
      </w:r>
    </w:p>
    <w:p w14:paraId="79EA4E87" w14:textId="20B8BCB2" w:rsidR="00FA3A26" w:rsidRDefault="00FA3A26">
      <w:pPr>
        <w:spacing w:line="360" w:lineRule="auto"/>
        <w:ind w:firstLine="420"/>
        <w:rPr>
          <w:rFonts w:ascii="宋体" w:hAnsi="宋体" w:cs="宋体"/>
          <w:kern w:val="0"/>
          <w:sz w:val="24"/>
          <w:szCs w:val="24"/>
        </w:rPr>
      </w:pPr>
      <w:r w:rsidRPr="00FA3A26">
        <w:rPr>
          <w:rFonts w:ascii="宋体" w:hAnsi="宋体" w:cs="宋体" w:hint="eastAsia"/>
          <w:kern w:val="0"/>
          <w:sz w:val="24"/>
          <w:szCs w:val="24"/>
        </w:rPr>
        <w:t>本基金自2023年3月27日起开始办理定期定额投资业务。</w:t>
      </w:r>
    </w:p>
    <w:p w14:paraId="075D29F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十七、基金份额的冻结和解冻</w:t>
      </w:r>
    </w:p>
    <w:p w14:paraId="1C201A0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基金登记机构只受理国家有权机关依法要求的基金份额的冻结与解冻，以及登记机构认可、符合法律法规的其他情况下的冻结与解冻。</w:t>
      </w:r>
    </w:p>
    <w:p w14:paraId="1692B5C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基金份额被冻结的，被冻结部分产生的权益一并冻结，被冻结部分份额仍然参与收益分配。法律法规或监管机构另有规定的除外。</w:t>
      </w:r>
    </w:p>
    <w:p w14:paraId="1554D1E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十八、实施侧袋机制期间本基金的申购与赎回</w:t>
      </w:r>
    </w:p>
    <w:p w14:paraId="7205B51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本基金实施侧袋机制的，本基金的申购和赎回安排详见本招募说明书“侧袋机制”部分的规定或相关公告。</w:t>
      </w:r>
    </w:p>
    <w:p w14:paraId="6000AD8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十八、如相关法律法规允许基金管理人办理基金份额的质押业务或其他基金业务，基金管理人将制定和实施相应的业务规则。</w:t>
      </w:r>
    </w:p>
    <w:p w14:paraId="3A7B5C7F" w14:textId="5201B3CB" w:rsidR="009912D6" w:rsidRDefault="0024620C" w:rsidP="005A171A">
      <w:pPr>
        <w:spacing w:line="360" w:lineRule="auto"/>
        <w:ind w:firstLine="420"/>
        <w:rPr>
          <w:rFonts w:ascii="宋体"/>
          <w:noProof/>
          <w:color w:val="000000"/>
          <w:kern w:val="0"/>
          <w:sz w:val="24"/>
          <w:szCs w:val="24"/>
        </w:rPr>
      </w:pPr>
      <w:r>
        <w:rPr>
          <w:rFonts w:ascii="宋体" w:hAnsi="宋体" w:cs="宋体"/>
          <w:kern w:val="0"/>
          <w:sz w:val="24"/>
          <w:szCs w:val="24"/>
        </w:rPr>
        <w:t>十九、基金管理人可在法律法规允许的范围内，在不影响基金份额持有人实质利益的前提下，根据市场情况对上述申购和赎回的安排进行补充和调整并提前</w:t>
      </w:r>
      <w:r>
        <w:rPr>
          <w:rFonts w:ascii="宋体" w:hAnsi="宋体" w:cs="宋体"/>
          <w:kern w:val="0"/>
          <w:sz w:val="24"/>
          <w:szCs w:val="24"/>
        </w:rPr>
        <w:lastRenderedPageBreak/>
        <w:t>公告。</w:t>
      </w:r>
      <w:r>
        <w:rPr>
          <w:rFonts w:ascii="宋体"/>
          <w:noProof/>
          <w:color w:val="000000"/>
          <w:kern w:val="0"/>
          <w:sz w:val="24"/>
          <w:szCs w:val="24"/>
        </w:rPr>
        <w:br w:type="page"/>
      </w:r>
    </w:p>
    <w:p w14:paraId="29984E6D" w14:textId="77777777" w:rsidR="009912D6" w:rsidRDefault="0024620C" w:rsidP="009912D6">
      <w:pPr>
        <w:pStyle w:val="1"/>
        <w:spacing w:before="0" w:after="0"/>
        <w:jc w:val="center"/>
        <w:rPr>
          <w:rFonts w:ascii="Times New Roman"/>
          <w:color w:val="auto"/>
          <w:sz w:val="30"/>
        </w:rPr>
      </w:pPr>
      <w:bookmarkStart w:id="34" w:name="_Toc135000344"/>
      <w:r w:rsidRPr="009E26D0">
        <w:rPr>
          <w:rFonts w:ascii="Times New Roman"/>
          <w:color w:val="auto"/>
          <w:sz w:val="30"/>
        </w:rPr>
        <w:lastRenderedPageBreak/>
        <w:t>第九部分</w:t>
      </w:r>
      <w:r w:rsidRPr="009E26D0">
        <w:rPr>
          <w:rFonts w:ascii="Times New Roman"/>
          <w:color w:val="auto"/>
          <w:sz w:val="30"/>
        </w:rPr>
        <w:t xml:space="preserve">  </w:t>
      </w:r>
      <w:r w:rsidRPr="009E26D0">
        <w:rPr>
          <w:rFonts w:ascii="Times New Roman"/>
          <w:color w:val="auto"/>
          <w:sz w:val="30"/>
        </w:rPr>
        <w:t>基金的投资</w:t>
      </w:r>
      <w:bookmarkEnd w:id="34"/>
    </w:p>
    <w:p w14:paraId="530580B7" w14:textId="77777777" w:rsidR="009912D6" w:rsidRPr="0017353E" w:rsidRDefault="009912D6" w:rsidP="009912D6"/>
    <w:p w14:paraId="1527D3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一、投资目标</w:t>
      </w:r>
    </w:p>
    <w:p w14:paraId="18F81BF2" w14:textId="77777777" w:rsidR="00161704" w:rsidRDefault="00161704">
      <w:pPr>
        <w:spacing w:line="360" w:lineRule="auto"/>
        <w:ind w:firstLine="420"/>
        <w:rPr>
          <w:rFonts w:ascii="宋体" w:hAnsi="宋体" w:cs="宋体"/>
          <w:kern w:val="0"/>
          <w:sz w:val="24"/>
          <w:szCs w:val="24"/>
        </w:rPr>
      </w:pPr>
      <w:r w:rsidRPr="00161704">
        <w:rPr>
          <w:rFonts w:ascii="宋体" w:hAnsi="宋体" w:cs="宋体" w:hint="eastAsia"/>
          <w:kern w:val="0"/>
          <w:sz w:val="24"/>
          <w:szCs w:val="24"/>
        </w:rPr>
        <w:t>在严格控制风险和保持资产流动性的基础上，通过积极主动的投资管理，追求基金资产的长期稳健增值。</w:t>
      </w:r>
    </w:p>
    <w:p w14:paraId="31109A0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二、投资范围</w:t>
      </w:r>
    </w:p>
    <w:p w14:paraId="5BF7BFF0" w14:textId="23B7DAEB" w:rsidR="008001C8" w:rsidRDefault="00161704" w:rsidP="00161704">
      <w:pPr>
        <w:spacing w:line="360" w:lineRule="auto"/>
        <w:ind w:firstLine="420"/>
        <w:rPr>
          <w:rFonts w:eastAsia="Times New Roman"/>
          <w:kern w:val="0"/>
          <w:sz w:val="24"/>
          <w:szCs w:val="24"/>
        </w:rPr>
      </w:pPr>
      <w:r>
        <w:rPr>
          <w:rFonts w:ascii="宋体" w:hAnsi="宋体" w:cs="宋体"/>
          <w:kern w:val="0"/>
          <w:sz w:val="24"/>
          <w:szCs w:val="24"/>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w:t>
      </w:r>
      <w:r>
        <w:rPr>
          <w:rFonts w:ascii="宋体" w:hAnsi="宋体" w:cs="宋体" w:hint="eastAsia"/>
          <w:kern w:val="0"/>
          <w:sz w:val="24"/>
          <w:szCs w:val="24"/>
        </w:rPr>
        <w:t>（</w:t>
      </w:r>
      <w:r>
        <w:rPr>
          <w:rFonts w:ascii="宋体" w:hAnsi="宋体" w:cs="宋体"/>
          <w:kern w:val="0"/>
          <w:sz w:val="24"/>
          <w:szCs w:val="24"/>
        </w:rPr>
        <w:t>但须符合中国证监会相关规定</w:t>
      </w:r>
      <w:r>
        <w:rPr>
          <w:rFonts w:ascii="宋体" w:hAnsi="宋体" w:cs="宋体" w:hint="eastAsia"/>
          <w:kern w:val="0"/>
          <w:sz w:val="24"/>
          <w:szCs w:val="24"/>
        </w:rPr>
        <w:t>）</w:t>
      </w:r>
      <w:r>
        <w:rPr>
          <w:rFonts w:ascii="宋体" w:hAnsi="宋体" w:cs="宋体"/>
          <w:kern w:val="0"/>
          <w:sz w:val="24"/>
          <w:szCs w:val="24"/>
        </w:rPr>
        <w:t>。</w:t>
      </w:r>
    </w:p>
    <w:p w14:paraId="186C4697" w14:textId="28439DB6" w:rsidR="00586A97" w:rsidRDefault="00161704" w:rsidP="00CF7D3D">
      <w:pPr>
        <w:spacing w:line="360" w:lineRule="auto"/>
        <w:ind w:firstLine="420"/>
        <w:rPr>
          <w:rFonts w:ascii="宋体" w:hAnsi="宋体" w:cs="宋体"/>
          <w:kern w:val="0"/>
          <w:sz w:val="24"/>
          <w:szCs w:val="24"/>
        </w:rPr>
      </w:pPr>
      <w:r>
        <w:rPr>
          <w:rFonts w:ascii="宋体" w:hAnsi="宋体" w:cs="宋体"/>
          <w:kern w:val="0"/>
          <w:sz w:val="24"/>
          <w:szCs w:val="24"/>
        </w:rPr>
        <w:t>如法律法规或监管机构以后允许基金投资其他品种，基金管理人在履行适当程序后，可以将其纳入投资范围。</w:t>
      </w:r>
    </w:p>
    <w:p w14:paraId="686855ED" w14:textId="77777777" w:rsidR="00161704" w:rsidRDefault="0024620C" w:rsidP="00161704">
      <w:pPr>
        <w:spacing w:line="360" w:lineRule="auto"/>
        <w:ind w:firstLine="420"/>
        <w:rPr>
          <w:rFonts w:eastAsia="Times New Roman"/>
          <w:kern w:val="0"/>
          <w:sz w:val="24"/>
          <w:szCs w:val="24"/>
        </w:rPr>
      </w:pPr>
      <w:r>
        <w:rPr>
          <w:rFonts w:ascii="宋体" w:hAnsi="宋体" w:cs="宋体"/>
          <w:kern w:val="0"/>
          <w:sz w:val="24"/>
          <w:szCs w:val="24"/>
        </w:rPr>
        <w:t>基金的投资组合比例为：</w:t>
      </w:r>
      <w:r w:rsidR="00161704">
        <w:rPr>
          <w:rFonts w:ascii="宋体" w:hAnsi="宋体" w:cs="宋体"/>
          <w:kern w:val="0"/>
          <w:sz w:val="24"/>
          <w:szCs w:val="24"/>
        </w:rPr>
        <w:t>本基金投资于债券资产的比例不低于基金资产的80%，投资于股票</w:t>
      </w:r>
      <w:r w:rsidR="00161704">
        <w:rPr>
          <w:rFonts w:ascii="宋体" w:hAnsi="宋体" w:cs="宋体" w:hint="eastAsia"/>
          <w:kern w:val="0"/>
          <w:sz w:val="24"/>
          <w:szCs w:val="24"/>
        </w:rPr>
        <w:t>（含港股通标的股票）、</w:t>
      </w:r>
      <w:r w:rsidR="00161704">
        <w:rPr>
          <w:rFonts w:ascii="宋体" w:hAnsi="宋体" w:cs="宋体"/>
          <w:kern w:val="0"/>
          <w:sz w:val="24"/>
          <w:szCs w:val="24"/>
        </w:rPr>
        <w:t>可转债与可交债的比例合并计算后不得超过基金资产的20%，其中，投资于港股通标的股票的比例不超过股票资产的50%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14:paraId="05B55665" w14:textId="77777777" w:rsidR="00161704" w:rsidRDefault="00161704" w:rsidP="00161704">
      <w:pPr>
        <w:spacing w:line="360" w:lineRule="auto"/>
        <w:ind w:firstLine="420"/>
        <w:rPr>
          <w:rFonts w:eastAsia="Times New Roman"/>
          <w:kern w:val="0"/>
          <w:sz w:val="24"/>
          <w:szCs w:val="24"/>
        </w:rPr>
      </w:pPr>
      <w:r>
        <w:rPr>
          <w:rFonts w:ascii="宋体" w:hAnsi="宋体" w:cs="宋体"/>
          <w:kern w:val="0"/>
          <w:sz w:val="24"/>
          <w:szCs w:val="24"/>
        </w:rPr>
        <w:t>如法律法规或监管机构变更投资品种的投资比例限制，基金管理人在履行适当程序后，可以调整上述投资品种的投资比例。</w:t>
      </w:r>
    </w:p>
    <w:p w14:paraId="422DA299" w14:textId="77777777" w:rsidR="00586A97" w:rsidRDefault="0024620C" w:rsidP="00161704">
      <w:pPr>
        <w:spacing w:line="360" w:lineRule="auto"/>
        <w:ind w:firstLine="420"/>
        <w:rPr>
          <w:rFonts w:ascii="宋体" w:hAnsi="宋体" w:cs="宋体"/>
          <w:kern w:val="0"/>
          <w:sz w:val="24"/>
          <w:szCs w:val="24"/>
        </w:rPr>
      </w:pPr>
      <w:r>
        <w:rPr>
          <w:rFonts w:ascii="宋体" w:hAnsi="宋体" w:cs="宋体"/>
          <w:kern w:val="0"/>
          <w:sz w:val="24"/>
          <w:szCs w:val="24"/>
        </w:rPr>
        <w:t>三、投资策略</w:t>
      </w:r>
    </w:p>
    <w:p w14:paraId="1C19A769"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采取稳健的投资策略，通过债券等固定收益类资产的投资力争平稳收益，并适度参与股票等权益类资产的投资增强回报，在灵活配置各类资产以及严格的风险管理基础上，力争实现基金资产的持续稳定增值。</w:t>
      </w:r>
    </w:p>
    <w:p w14:paraId="1F382184"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lastRenderedPageBreak/>
        <w:t>1、资产配置策略</w:t>
      </w:r>
    </w:p>
    <w:p w14:paraId="476A8B89"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80%以上的基金资产投资于债券资产，并在严格控制风险的基础上，综合分析和持续跟踪基本面、政策面、市场面等多方面因素（其中，基本面因素包括国民生产总值、居民消费价格指数、工业增加值、失业率水平、固定资产投资总量、发电量等宏观经济统计数据；政策面因素包括存款准备金率、存贷款利率、再贴现率、公开市场操作等货币政策、政府购买总量、转移支付水平以及税收政策等财政政策；市场面因素包括市场参与者情绪、市场资金供求变化、市场P/E与历史平均水平的偏离程度等），结合全球宏观经济形势，研判国内外经济的发展趋势，并在严格控制投资组合风险的前提下，确定或调整投资组合中股票、债券、货币市场工具和法律法规或中国证监会允许基金投资的其他品种的投资比例。</w:t>
      </w:r>
    </w:p>
    <w:p w14:paraId="5D77E4A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2、股票精选策略</w:t>
      </w:r>
    </w:p>
    <w:p w14:paraId="5B8BCB5C"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在股票投资中，本基金主要采用“自下而上”的策略，精选出具有持续竞争优势且估值有吸引力的股票，精心科学构建股票投资组合，并辅以严格的投资组合风险控制，以获得当期的较高投资收益。</w:t>
      </w:r>
    </w:p>
    <w:p w14:paraId="1D056975"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精选组合成份股的过程具体分为二个层次进行：第一层次，企业竞争优势评估。通过深入的案头分析和实地调研，发现在经营中具有一个或多个方面的持续竞争优势（如公司治理优势、管理层优势、生产优势、市场优势、技术优势、政策性优势等）、管理出色且财务透明稳健的企业；第二层次，估值精选。基于定性定量分析、动态静态指标相结合的原则，采用内在价值、相对价值、收购价值相结合的估值方法，选择股价没有充分反映价值的股票进行投资及组合管理。</w:t>
      </w:r>
    </w:p>
    <w:p w14:paraId="73AB6998"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同时，本基金将密切关注上市公司的可持续经营发展状况，对上市公司进行环境、社会、公司治理（ESG）三个维度评估，并将ESG评价情况纳入投资参考，剔除有ESG重大瑕疵的股票。</w:t>
      </w:r>
    </w:p>
    <w:p w14:paraId="11FEDFFC"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3、港股通标的股票的投资策略</w:t>
      </w:r>
    </w:p>
    <w:p w14:paraId="79E39272"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考虑到香港股票市场与A股股票市场的差异，对于港股通标的股票，本基金除按照上述“自下而上”的个股精选策略，还将结合公司基本面、国内经济和相关行业发展前景、香港市场资金面和投资者行为，以及世界主要经济体经济发展</w:t>
      </w:r>
      <w:r>
        <w:rPr>
          <w:rFonts w:ascii="宋体" w:hAnsi="宋体" w:cs="宋体"/>
          <w:kern w:val="0"/>
          <w:sz w:val="24"/>
          <w:szCs w:val="24"/>
        </w:rPr>
        <w:lastRenderedPageBreak/>
        <w:t>前景和货币政策、主流资本市场对投资者的相对吸引力等因素，精选符合本基金投资目标的港股通标的股票。</w:t>
      </w:r>
    </w:p>
    <w:p w14:paraId="2A761FB1"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4、存托凭证的投资策略</w:t>
      </w:r>
    </w:p>
    <w:p w14:paraId="10AAA1F2"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本基金投资存托凭证的策略依照上述境内上市交易的股票投资策略执行。</w:t>
      </w:r>
    </w:p>
    <w:p w14:paraId="7D136FD1"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5、债券投资策略</w:t>
      </w:r>
    </w:p>
    <w:p w14:paraId="6DB599E3"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（1）类属资产配置策略</w:t>
      </w:r>
    </w:p>
    <w:p w14:paraId="6ADD8822"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不同类属的券种，由于受到不同的因素影响，在收益率变化及利差变化上表现出明显不同的差异。本基金将分析各券种的利差变化趋势，综合分析收益率水平、利息支付方式、市场偏好及流动性等因素，合理配置并动态调整不同类属债券的投资比例。</w:t>
      </w:r>
    </w:p>
    <w:p w14:paraId="4FBC6521"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（2）利率策略</w:t>
      </w:r>
    </w:p>
    <w:p w14:paraId="098088AB"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将通过全面研究和分析宏观经济运行情况和金融市场资金供求状况变化趋势及结构，结合对财政政策、货币政策等宏观经济政策取向的研判，从而预测出金融市场利率水平变动趋势。在此基础上，结合期限利差与凸度综合分析，制定出具体的利率策略。</w:t>
      </w:r>
    </w:p>
    <w:p w14:paraId="2307CE42"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具体而言，本基金将首先采用“自上而下”的研究方法，综合研究主要经济变量指标，分析宏观经济情况，建立经济前景的场景模拟，进而预测财政政策、货币政策等宏观经济政策取向。同时，本基金还将分析金融市场资金供求状况变化趋势与结构，对影响资金面的因素进行详细分析与预判，建立资金面的场景模拟。</w:t>
      </w:r>
    </w:p>
    <w:p w14:paraId="7D806E0C"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在此基础上，本基金将结合历史与经验数据，区分当前利率债收益率曲线的期限利差、曲率与券间利差所面临的历史分位，判断收益率曲线参数变动的程度与概率，即对收益率曲线平移的方向，陡峭化的程度与凸度变动的趋势进行敏感性分析，以此为依据动态调整投资组合。如预期收益率曲线出现正向平移的概率较大时，即市场利率将上升，本基金将降低组合久期以规避损失；如出现负向平移的概率较大时，则提高组合久期；如收益率曲线过于陡峭时，则采用骑乘策略获取超额收益。</w:t>
      </w:r>
    </w:p>
    <w:p w14:paraId="430ACBC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（3）信用策略</w:t>
      </w:r>
    </w:p>
    <w:p w14:paraId="1038703B"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本基金依靠内部信用评级系统跟踪研究发债主体的经营状况、财务指标等情</w:t>
      </w:r>
      <w:r>
        <w:rPr>
          <w:rFonts w:ascii="宋体" w:hAnsi="宋体" w:cs="宋体"/>
          <w:kern w:val="0"/>
          <w:sz w:val="24"/>
          <w:szCs w:val="24"/>
        </w:rPr>
        <w:lastRenderedPageBreak/>
        <w:t>况，对其信用风险进行评估，以此作为个券选择的基本依据。为了准确评估发债主体的信用风险，基金管理人设计了定性和定量相结合的内部信用评级体系。内部信用评级体系遵循从“行业风险”－“公司风险”（公司背景、公司行业地位、企业盈利模式、公司治理结构和信息披露状况、企业财务状况）－“外部支持”(外部流动性支持能力、债券担保增信)－“得到评分”的评级过程。其中，定量分析主要是指对企业财务数据的定量分析，定量分析主要包括四个方面：盈利能力分析、偿债能力分析、现金流获取能力分析、营运能力分析。定性分析包括所有非定量信息的分析和研究，它是对定量分析的重要补充，能够有效提高定量分析的准确性。</w:t>
      </w:r>
    </w:p>
    <w:p w14:paraId="6036403A"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内部的信用评级体系定位为即期评级，侧重于评级的准确性，从而为信用产品的实时交易提供参考。本基金会对宏观、行业、公司自身信用状况的变化和趋势进行跟踪，并快速做出反应，以便及时有效地抓住信用利差变化带来的市场交易机会。</w:t>
      </w:r>
    </w:p>
    <w:p w14:paraId="1C4AE523"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本基金在投资信用债（包含资产支持证券，下同）时遵守以下约定：本基金主动投资于信用债的信用评级不低于AA+，其中，投资于信用评级为AAA及以上的信用债的比例不低于信用债资产的50%；</w:t>
      </w:r>
      <w:r w:rsidRPr="00FC6506">
        <w:rPr>
          <w:rFonts w:ascii="宋体" w:hAnsi="宋体" w:cs="宋体" w:hint="eastAsia"/>
          <w:kern w:val="0"/>
          <w:sz w:val="24"/>
          <w:szCs w:val="24"/>
        </w:rPr>
        <w:t>投资于信用评级为AA+</w:t>
      </w:r>
      <w:r>
        <w:rPr>
          <w:rFonts w:ascii="宋体" w:hAnsi="宋体" w:cs="宋体" w:hint="eastAsia"/>
          <w:kern w:val="0"/>
          <w:sz w:val="24"/>
          <w:szCs w:val="24"/>
        </w:rPr>
        <w:t>的信用债</w:t>
      </w:r>
      <w:r w:rsidRPr="00FC6506">
        <w:rPr>
          <w:rFonts w:ascii="宋体" w:hAnsi="宋体" w:cs="宋体" w:hint="eastAsia"/>
          <w:kern w:val="0"/>
          <w:sz w:val="24"/>
          <w:szCs w:val="24"/>
        </w:rPr>
        <w:t>的比例不高于信用债资产的50%</w:t>
      </w:r>
      <w:r>
        <w:rPr>
          <w:rFonts w:ascii="宋体" w:hAnsi="宋体" w:cs="宋体"/>
          <w:kern w:val="0"/>
          <w:sz w:val="24"/>
          <w:szCs w:val="24"/>
        </w:rPr>
        <w:t>。上述信用评级为债项评级，短期融资券、超短期融资券等短期信用债以及无债项评级信用债的信用评级依照其主体评级。本基金持有信用债期间，如果其信用评级下降不再符合前述标准，应在3个月内予以卖出。</w:t>
      </w:r>
    </w:p>
    <w:p w14:paraId="0045310E"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（4）期限结构配置策略</w:t>
      </w:r>
    </w:p>
    <w:p w14:paraId="7977A88B"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本基金对同一类属收益率曲线形态和期限结构变动进行分析，在给定组合久期以及其他组合约束条件的情形下，确定最优的期限结构。</w:t>
      </w:r>
    </w:p>
    <w:p w14:paraId="7E89E11E"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（5）个券选择策略</w:t>
      </w:r>
    </w:p>
    <w:p w14:paraId="0A8E3775"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建立了自上而下和自下而上两方面的研究流程，自上而下的研究包含宏观基本面分析、资金技术面分析，自下而上的研究包含信用利差分析、债券信用风险评估、信用债估值模型和交易策略分析，由此形成宏观和微观层面相配套的研究决策体系，最后形成具体的投资策略。</w:t>
      </w:r>
    </w:p>
    <w:p w14:paraId="0CF24B3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6、可转债及可交换债投资策略</w:t>
      </w:r>
    </w:p>
    <w:p w14:paraId="463C29F0"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lastRenderedPageBreak/>
        <w:t>对于本基金中可转债的投资，本基金主要采用可转债相对价值分析策略。</w:t>
      </w:r>
    </w:p>
    <w:p w14:paraId="0D21B56E"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由于可转债兼具债性和股性，其投资风险和收益介于股票和债券之间，可转债相对价值分析策略通过分析不同市场环境下其股性和债性的相对价值，把握可转债的价值走向，选择相应券种，力争获取较高投资收益。</w:t>
      </w:r>
    </w:p>
    <w:p w14:paraId="6139FD3F"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其次，在进行可转债筛选时，本基金还对可转债自身的基本面要素进行综合分析，这些基本面要素包括股性特征、债性特征、摊薄率、流动性等，形成对基础股票的价值评估。本基金将可转债自身的基本面分析和其基础股票的基本面分析结合在一起，最终确定投资的品种。</w:t>
      </w:r>
    </w:p>
    <w:p w14:paraId="08B55440"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可交换债券与可转换债券的区别在于换股期间用于交换的股票并非自身新发的股票，而是发行人持有的其他上市公司的股票。可交换债券同样具有债券属性和权益属性，其中债券属性与可转换债券相同，即选择持有可交换债券至到期以获取票面价值和票面利息；而对于权益属性的分析则需关注目标公司的股票价值以及发行人作为股东的换股意愿等。本基金将通过对目标公司股票的投资价值、可交换债券的债券价值、以及条款带来的期权价值等综合分析，进行投资决策。</w:t>
      </w:r>
    </w:p>
    <w:p w14:paraId="2F6DC01E"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7、国债期货投资策略</w:t>
      </w:r>
    </w:p>
    <w:p w14:paraId="2070007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本基金投资国债期货将根据风险管理的原则，以套期保值为目的，结合对宏观经济形势和政策趋势的判断、对债券市场进行定性和定量分析，对国债期货和现货基差、国债期货的流动性、波动水平等指标进行跟踪监控。</w:t>
      </w:r>
    </w:p>
    <w:p w14:paraId="03CE863D"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未来如法律法规或监管机构允许</w:t>
      </w:r>
      <w:r>
        <w:rPr>
          <w:rFonts w:ascii="宋体" w:hAnsi="宋体" w:cs="宋体" w:hint="eastAsia"/>
          <w:kern w:val="0"/>
          <w:sz w:val="24"/>
          <w:szCs w:val="24"/>
        </w:rPr>
        <w:t>本</w:t>
      </w:r>
      <w:r>
        <w:rPr>
          <w:rFonts w:ascii="宋体" w:hAnsi="宋体" w:cs="宋体"/>
          <w:kern w:val="0"/>
          <w:sz w:val="24"/>
          <w:szCs w:val="24"/>
        </w:rPr>
        <w:t>基金投资</w:t>
      </w:r>
      <w:r>
        <w:rPr>
          <w:rFonts w:ascii="宋体" w:hAnsi="宋体" w:cs="宋体" w:hint="eastAsia"/>
          <w:kern w:val="0"/>
          <w:sz w:val="24"/>
          <w:szCs w:val="24"/>
        </w:rPr>
        <w:t>股指</w:t>
      </w:r>
      <w:r>
        <w:rPr>
          <w:rFonts w:ascii="宋体" w:hAnsi="宋体" w:cs="宋体"/>
          <w:kern w:val="0"/>
          <w:sz w:val="24"/>
          <w:szCs w:val="24"/>
        </w:rPr>
        <w:t>期货、股票期权或其他期权品种，本基金将在履行适当程序后，纳入投资范围并制定相应投资策略，并在招募说明书中更新公告，无需召开基金份额持有人大会。</w:t>
      </w:r>
    </w:p>
    <w:p w14:paraId="25007DB2"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未来，随着投资工具的发展和丰富，本基金可在不改变投资目标和风险收益特征的前提下，相应调整和更新相关投资策略，并在招募说明书更新中公告。</w:t>
      </w:r>
    </w:p>
    <w:p w14:paraId="11A3E5D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四、投资限制</w:t>
      </w:r>
    </w:p>
    <w:p w14:paraId="57B5939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1、组合限制</w:t>
      </w:r>
    </w:p>
    <w:p w14:paraId="6BEB04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基金的投资组合应遵循以下限制：</w:t>
      </w:r>
    </w:p>
    <w:p w14:paraId="2192DA09"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（1）本基金投资于债券资产的比例不低于基金资产的80%；投资于股票</w:t>
      </w:r>
      <w:r>
        <w:rPr>
          <w:rFonts w:ascii="宋体" w:hAnsi="宋体" w:cs="宋体" w:hint="eastAsia"/>
          <w:kern w:val="0"/>
          <w:sz w:val="24"/>
          <w:szCs w:val="24"/>
        </w:rPr>
        <w:t>（含港股通标的股票）、</w:t>
      </w:r>
      <w:r>
        <w:rPr>
          <w:rFonts w:ascii="宋体" w:hAnsi="宋体" w:cs="宋体"/>
          <w:kern w:val="0"/>
          <w:sz w:val="24"/>
          <w:szCs w:val="24"/>
        </w:rPr>
        <w:t>可转债</w:t>
      </w:r>
      <w:r>
        <w:rPr>
          <w:rFonts w:ascii="宋体" w:hAnsi="宋体" w:cs="宋体" w:hint="eastAsia"/>
          <w:kern w:val="0"/>
          <w:sz w:val="24"/>
          <w:szCs w:val="24"/>
        </w:rPr>
        <w:t>与</w:t>
      </w:r>
      <w:r>
        <w:rPr>
          <w:rFonts w:ascii="宋体" w:hAnsi="宋体" w:cs="宋体"/>
          <w:kern w:val="0"/>
          <w:sz w:val="24"/>
          <w:szCs w:val="24"/>
        </w:rPr>
        <w:t>可交债的比例合并计算后不得超过基金资产的20%，其中，投资于港股通标的股票的比例不超过股票资产的50%；</w:t>
      </w:r>
    </w:p>
    <w:p w14:paraId="19C3439E"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lastRenderedPageBreak/>
        <w:t>（2）每个交易日日终在扣除国债期货合约需缴纳的交易保证金后，本基金保留的现金或投资于到期日在一年以内的政府债券的比例合计不低于基金资产净值的5%。其中现金不包括结算备付金、存出保证金和应收申购款等；</w:t>
      </w:r>
    </w:p>
    <w:p w14:paraId="7305CEA6"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（3）本基金持有一家公司发行的证券（同一家公司在内地和香港同时上市的A+H股合并计算），其市值不超过基金资产净值的10％；</w:t>
      </w:r>
    </w:p>
    <w:p w14:paraId="40D5B6BB"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4）本基金管理人管理的全部基金持有一家公司发行的证券（同一家公司在内地和香港同时上市的A+H股合并计算），不超过该证券的10％，完全按照有关指数的构成比例进行证券投资的基金品种可以不受此条款规定的比例限制；</w:t>
      </w:r>
    </w:p>
    <w:p w14:paraId="61D00AA9"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（5）本基金投资于同一原始权益人的各类资产支持证券的比例，不得超过基金资产净值的10％；</w:t>
      </w:r>
    </w:p>
    <w:p w14:paraId="0535D05D"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（6）本基金持有的全部资产支持证券，其市值不得超过基金资产净值的20％；</w:t>
      </w:r>
    </w:p>
    <w:p w14:paraId="7C87208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（7）本基金持有的同一</w:t>
      </w:r>
      <w:r>
        <w:rPr>
          <w:rFonts w:ascii="宋体" w:hAnsi="宋体" w:cs="宋体" w:hint="eastAsia"/>
          <w:kern w:val="0"/>
          <w:sz w:val="24"/>
          <w:szCs w:val="24"/>
        </w:rPr>
        <w:t>（</w:t>
      </w:r>
      <w:r>
        <w:rPr>
          <w:rFonts w:ascii="宋体" w:hAnsi="宋体" w:cs="宋体"/>
          <w:kern w:val="0"/>
          <w:sz w:val="24"/>
          <w:szCs w:val="24"/>
        </w:rPr>
        <w:t>指同一信用级别</w:t>
      </w:r>
      <w:r>
        <w:rPr>
          <w:rFonts w:ascii="宋体" w:hAnsi="宋体" w:cs="宋体" w:hint="eastAsia"/>
          <w:kern w:val="0"/>
          <w:sz w:val="24"/>
          <w:szCs w:val="24"/>
        </w:rPr>
        <w:t>）</w:t>
      </w:r>
      <w:r>
        <w:rPr>
          <w:rFonts w:ascii="宋体" w:hAnsi="宋体" w:cs="宋体"/>
          <w:kern w:val="0"/>
          <w:sz w:val="24"/>
          <w:szCs w:val="24"/>
        </w:rPr>
        <w:t>资产支持证券的比例，不得超过该资产支持证券规模的10％；</w:t>
      </w:r>
    </w:p>
    <w:p w14:paraId="66F7C35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（8）本基金管理人管理的全部基金投资于同一原始权益人的各类资产支持证券，不得超过其各类资产支持证券合计规模的10％；</w:t>
      </w:r>
    </w:p>
    <w:p w14:paraId="4A0DDAD0"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（9）基金财产参与股票发行申购，本基金所申报的金额不超过本基金的总资产，本基金所申报的股票数量不超过拟发行股票公司本次发行股票的总量；</w:t>
      </w:r>
    </w:p>
    <w:p w14:paraId="10904138" w14:textId="532A53E3"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（10）</w:t>
      </w:r>
      <w:r w:rsidR="00EB0EE1" w:rsidRPr="00D966FC">
        <w:rPr>
          <w:rFonts w:ascii="宋体" w:hAnsi="宋体" w:cs="宋体" w:hint="eastAsia"/>
          <w:kern w:val="0"/>
          <w:sz w:val="24"/>
          <w:szCs w:val="24"/>
        </w:rPr>
        <w:t>本基金进入全国银行间同业市场进行债券回购的资金余额不得超过基金资产净值的40%</w:t>
      </w:r>
      <w:r w:rsidR="00EB0EE1">
        <w:rPr>
          <w:rFonts w:ascii="宋体" w:hAnsi="宋体" w:cs="宋体" w:hint="eastAsia"/>
          <w:kern w:val="0"/>
          <w:sz w:val="24"/>
          <w:szCs w:val="24"/>
        </w:rPr>
        <w:t>，</w:t>
      </w:r>
      <w:r>
        <w:rPr>
          <w:rFonts w:ascii="宋体" w:hAnsi="宋体" w:cs="宋体"/>
          <w:kern w:val="0"/>
          <w:sz w:val="24"/>
          <w:szCs w:val="24"/>
        </w:rPr>
        <w:t>本基金进入全国银行间同业市场进行债券回购的最长期限为1年，债券回购到期后不得展期；</w:t>
      </w:r>
    </w:p>
    <w:p w14:paraId="0922CB2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11）本基金管理人管理的全部开放式基金持有一家上市公司发行的可流通股票，不得超过该上市公司可流通股票的15%；本基金管理人管理的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16D8476D"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12）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0238D32E" w14:textId="572E2878"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lastRenderedPageBreak/>
        <w:t>（13）本基金与私募类证券资管产品及中国证监会认定的其他主体为交易对手开展逆回购交易的，可接受质押品的资质要求应当与基金合同约定的投资范围保持一致；</w:t>
      </w:r>
    </w:p>
    <w:p w14:paraId="590A3020"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（14）本基金资产总值不超过基金资产净值的140%；</w:t>
      </w:r>
    </w:p>
    <w:p w14:paraId="76E5201A" w14:textId="77777777" w:rsidR="00D44723" w:rsidRDefault="00D44723" w:rsidP="00D44723">
      <w:pPr>
        <w:spacing w:line="360" w:lineRule="auto"/>
        <w:ind w:firstLine="420"/>
        <w:rPr>
          <w:rFonts w:ascii="宋体" w:hAnsi="宋体" w:cs="宋体"/>
          <w:kern w:val="0"/>
          <w:sz w:val="24"/>
          <w:szCs w:val="24"/>
        </w:rPr>
      </w:pPr>
      <w:r w:rsidRPr="007E2E2D">
        <w:rPr>
          <w:rFonts w:ascii="宋体" w:hAnsi="宋体" w:cs="宋体"/>
          <w:kern w:val="0"/>
          <w:sz w:val="24"/>
          <w:szCs w:val="24"/>
        </w:rPr>
        <w:t>（15）本基金参与国债期货交易的，应当遵守下列要求：</w:t>
      </w:r>
    </w:p>
    <w:p w14:paraId="4F0D8C8A"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1）本基金在任何交易日日终，持有的买入国债期货合约价值，不得超过基金资产净值的15%；</w:t>
      </w:r>
    </w:p>
    <w:p w14:paraId="55D57727"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2</w:t>
      </w:r>
      <w:r>
        <w:rPr>
          <w:rFonts w:ascii="宋体" w:hAnsi="宋体" w:cs="宋体" w:hint="eastAsia"/>
          <w:kern w:val="0"/>
          <w:sz w:val="24"/>
          <w:szCs w:val="24"/>
        </w:rPr>
        <w:t>）</w:t>
      </w:r>
      <w:r>
        <w:rPr>
          <w:rFonts w:ascii="宋体" w:hAnsi="宋体" w:cs="宋体"/>
          <w:kern w:val="0"/>
          <w:sz w:val="24"/>
          <w:szCs w:val="24"/>
        </w:rPr>
        <w:t>本基金在任何交易日日终，持有的卖出国债期货合约价值不得超过基金持有的债券总市值的30%；</w:t>
      </w:r>
    </w:p>
    <w:p w14:paraId="7948F805" w14:textId="77777777" w:rsidR="00D44723" w:rsidRDefault="00D44723" w:rsidP="00D44723">
      <w:pPr>
        <w:spacing w:line="360" w:lineRule="auto"/>
        <w:ind w:firstLine="420"/>
        <w:rPr>
          <w:rFonts w:ascii="宋体" w:hAnsi="宋体" w:cs="宋体"/>
          <w:kern w:val="0"/>
          <w:sz w:val="24"/>
          <w:szCs w:val="24"/>
        </w:rPr>
      </w:pPr>
      <w:r>
        <w:rPr>
          <w:rFonts w:ascii="宋体" w:hAnsi="宋体" w:cs="宋体" w:hint="eastAsia"/>
          <w:kern w:val="0"/>
          <w:sz w:val="24"/>
          <w:szCs w:val="24"/>
        </w:rPr>
        <w:t>3）</w:t>
      </w:r>
      <w:r>
        <w:rPr>
          <w:rFonts w:ascii="宋体" w:hAnsi="宋体" w:cs="宋体"/>
          <w:kern w:val="0"/>
          <w:sz w:val="24"/>
          <w:szCs w:val="24"/>
        </w:rPr>
        <w:t>本基金所持有的债券（不含到期日在一年以内的政府债券）市值和买入、卖出国债期货合约价值，合计（轧差计算）应当符合基金合同关于债券投资比例的有关约定；</w:t>
      </w:r>
    </w:p>
    <w:p w14:paraId="7F5FC462" w14:textId="77777777" w:rsidR="00D44723" w:rsidRPr="007619ED" w:rsidRDefault="00D44723" w:rsidP="00D44723">
      <w:pPr>
        <w:spacing w:line="360" w:lineRule="auto"/>
        <w:ind w:firstLine="420"/>
        <w:rPr>
          <w:rFonts w:ascii="宋体" w:hAnsi="宋体" w:cs="宋体"/>
          <w:kern w:val="0"/>
          <w:sz w:val="24"/>
          <w:szCs w:val="24"/>
        </w:rPr>
      </w:pPr>
      <w:r>
        <w:rPr>
          <w:rFonts w:ascii="宋体" w:hAnsi="宋体" w:cs="宋体" w:hint="eastAsia"/>
          <w:kern w:val="0"/>
          <w:sz w:val="24"/>
          <w:szCs w:val="24"/>
        </w:rPr>
        <w:t>4）</w:t>
      </w:r>
      <w:r w:rsidRPr="007619ED">
        <w:rPr>
          <w:rFonts w:ascii="宋体" w:hAnsi="宋体" w:cs="宋体" w:hint="eastAsia"/>
          <w:kern w:val="0"/>
          <w:sz w:val="24"/>
          <w:szCs w:val="24"/>
        </w:rPr>
        <w:t>基金在任何交易日内交易（不包括平仓）的国债期货合约的成交金额不得超过上一交易日基金资产净值的30%；</w:t>
      </w:r>
    </w:p>
    <w:p w14:paraId="17FDEB73" w14:textId="77777777" w:rsidR="00D44723" w:rsidRDefault="00D44723" w:rsidP="00D44723">
      <w:pPr>
        <w:spacing w:line="360" w:lineRule="auto"/>
        <w:ind w:firstLine="420"/>
        <w:rPr>
          <w:rFonts w:ascii="宋体" w:hAnsi="宋体" w:cs="宋体"/>
          <w:kern w:val="0"/>
          <w:sz w:val="24"/>
          <w:szCs w:val="24"/>
        </w:rPr>
      </w:pPr>
      <w:r>
        <w:rPr>
          <w:rFonts w:ascii="宋体" w:hAnsi="宋体" w:cs="宋体"/>
          <w:kern w:val="0"/>
          <w:sz w:val="24"/>
          <w:szCs w:val="24"/>
        </w:rPr>
        <w:t>（16）本基金投资存托凭证的比例限制依照境内上市交易的股票执行；</w:t>
      </w:r>
    </w:p>
    <w:p w14:paraId="033E5A65"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（17）法律法规及中国证监会规定的和《基金合同》约定的其他投资限制。</w:t>
      </w:r>
    </w:p>
    <w:p w14:paraId="0A1E9057"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除上述（2）、（12）、（13）情形之外，因证券</w:t>
      </w:r>
      <w:r>
        <w:rPr>
          <w:rFonts w:eastAsia="Times New Roman"/>
          <w:kern w:val="0"/>
          <w:sz w:val="24"/>
          <w:szCs w:val="24"/>
        </w:rPr>
        <w:t>/</w:t>
      </w:r>
      <w:r>
        <w:rPr>
          <w:rFonts w:ascii="宋体" w:hAnsi="宋体" w:cs="宋体"/>
          <w:kern w:val="0"/>
          <w:sz w:val="24"/>
          <w:szCs w:val="24"/>
        </w:rPr>
        <w:t>期货市场波动、证券发行人合并、基金规模变动等基金管理人之外的因素致使基金投资比例不符合上述规定投资比例的，基金管理人应当在</w:t>
      </w:r>
      <w:r>
        <w:rPr>
          <w:rFonts w:eastAsia="Times New Roman"/>
          <w:kern w:val="0"/>
          <w:sz w:val="24"/>
          <w:szCs w:val="24"/>
        </w:rPr>
        <w:t>10</w:t>
      </w:r>
      <w:r>
        <w:rPr>
          <w:rFonts w:ascii="宋体" w:hAnsi="宋体" w:cs="宋体"/>
          <w:kern w:val="0"/>
          <w:sz w:val="24"/>
          <w:szCs w:val="24"/>
        </w:rPr>
        <w:t>个交易日内进行调整，但中国证监会规定的特殊情形除外。</w:t>
      </w:r>
    </w:p>
    <w:p w14:paraId="5193FD33" w14:textId="20D3652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356562B6" w14:textId="77777777" w:rsidR="00D44723" w:rsidRDefault="00D44723" w:rsidP="00D44723">
      <w:pPr>
        <w:spacing w:line="360" w:lineRule="auto"/>
        <w:ind w:firstLine="420"/>
        <w:rPr>
          <w:rFonts w:eastAsia="Times New Roman"/>
          <w:kern w:val="0"/>
          <w:sz w:val="24"/>
          <w:szCs w:val="24"/>
        </w:rPr>
      </w:pPr>
      <w:r>
        <w:rPr>
          <w:rFonts w:ascii="宋体" w:hAnsi="宋体" w:cs="宋体"/>
          <w:kern w:val="0"/>
          <w:sz w:val="24"/>
          <w:szCs w:val="24"/>
        </w:rPr>
        <w:t>法律法规或监管部门取消或调整上述限制，如适用于本基金，基金管理人在履行适当程序后，则本基金投资不再受相关限制或以调整以后的规定为准。</w:t>
      </w:r>
    </w:p>
    <w:p w14:paraId="27052A5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2、禁止行为</w:t>
      </w:r>
    </w:p>
    <w:p w14:paraId="0C369DB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为维护基金份额持有人的合法权益，基金财产不得用于下列投资或者活动：</w:t>
      </w:r>
    </w:p>
    <w:p w14:paraId="264CF40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（1）承销证券；</w:t>
      </w:r>
    </w:p>
    <w:p w14:paraId="713A3C0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（2）违反规定向他人贷款或者提供担保；</w:t>
      </w:r>
    </w:p>
    <w:p w14:paraId="621E5A7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（3）从事承担无限责任的投资；</w:t>
      </w:r>
    </w:p>
    <w:p w14:paraId="4182193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（4）买卖其他基金份额，但是中国证监会另有规定的除外；</w:t>
      </w:r>
    </w:p>
    <w:p w14:paraId="370F435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（5）向其基金管理人、基金托管人出资；</w:t>
      </w:r>
    </w:p>
    <w:p w14:paraId="5F96C54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（6）从事内幕交易、操纵证券交易价格及其他不正当的证券交易活动；</w:t>
      </w:r>
    </w:p>
    <w:p w14:paraId="361A435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（7）法律、行政法规和中国证监会规定禁止的其他活动。</w:t>
      </w:r>
    </w:p>
    <w:p w14:paraId="2896AD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78672B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法律法规或监管部门取消或调整上述限制，如适用于本基金，基金管理人在履行适当程序后，则本基金投资不再受相关限制或以调整以后的规定为准。</w:t>
      </w:r>
    </w:p>
    <w:p w14:paraId="3BEB1EA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五、业绩比较基准</w:t>
      </w:r>
    </w:p>
    <w:p w14:paraId="7BCC6492" w14:textId="77777777" w:rsidR="0081403D" w:rsidRDefault="0081403D" w:rsidP="0081403D">
      <w:pPr>
        <w:spacing w:line="360" w:lineRule="auto"/>
        <w:ind w:firstLine="420"/>
        <w:rPr>
          <w:rFonts w:ascii="宋体" w:hAnsi="宋体" w:cs="宋体"/>
          <w:kern w:val="0"/>
          <w:sz w:val="24"/>
          <w:szCs w:val="24"/>
        </w:rPr>
      </w:pPr>
      <w:r>
        <w:rPr>
          <w:rFonts w:ascii="宋体" w:hAnsi="宋体" w:cs="宋体"/>
          <w:kern w:val="0"/>
          <w:sz w:val="24"/>
          <w:szCs w:val="24"/>
        </w:rPr>
        <w:t>本基金的业绩比较基准为：中债新综合财富（总值）指数收益率*85%+沪深300指数收益率*7%+恒生指数收益率（经汇率调整）*3%+金融机构人民币活期存款利率（税后）*5%</w:t>
      </w:r>
    </w:p>
    <w:p w14:paraId="6B3B35B0" w14:textId="77777777" w:rsidR="0081403D" w:rsidRPr="0097094F" w:rsidRDefault="0081403D" w:rsidP="0081403D">
      <w:pPr>
        <w:spacing w:line="360" w:lineRule="auto"/>
        <w:ind w:firstLine="420"/>
        <w:rPr>
          <w:rFonts w:ascii="宋体" w:hAnsi="宋体" w:cs="宋体"/>
          <w:kern w:val="0"/>
          <w:sz w:val="24"/>
          <w:szCs w:val="24"/>
        </w:rPr>
      </w:pPr>
      <w:r w:rsidRPr="0097094F">
        <w:rPr>
          <w:rFonts w:ascii="宋体" w:hAnsi="宋体" w:cs="宋体" w:hint="eastAsia"/>
          <w:kern w:val="0"/>
          <w:sz w:val="24"/>
          <w:szCs w:val="24"/>
        </w:rPr>
        <w:t>中债新综合财富（总值）指数由中央国债登记结算有限责任公司编制，为中国全市场债券指数；样本范围涵盖银行间市场和交易所市场，成份债券包括国债、企业债券、央行票据等所有主要债券种类，能较好地反映债券市场的整体收益，具有广泛的市场代表性</w:t>
      </w:r>
      <w:r>
        <w:rPr>
          <w:rFonts w:ascii="宋体" w:hAnsi="宋体" w:cs="宋体" w:hint="eastAsia"/>
          <w:kern w:val="0"/>
          <w:sz w:val="24"/>
          <w:szCs w:val="24"/>
        </w:rPr>
        <w:t>。</w:t>
      </w:r>
    </w:p>
    <w:p w14:paraId="59879C7E" w14:textId="77777777" w:rsidR="0081403D" w:rsidRPr="0097094F" w:rsidRDefault="0081403D" w:rsidP="0081403D">
      <w:pPr>
        <w:spacing w:line="360" w:lineRule="auto"/>
        <w:ind w:firstLine="420"/>
        <w:rPr>
          <w:rFonts w:ascii="宋体" w:hAnsi="宋体" w:cs="宋体"/>
          <w:kern w:val="0"/>
          <w:sz w:val="24"/>
          <w:szCs w:val="24"/>
        </w:rPr>
      </w:pPr>
      <w:r w:rsidRPr="0097094F">
        <w:rPr>
          <w:rFonts w:ascii="宋体" w:hAnsi="宋体" w:cs="宋体" w:hint="eastAsia"/>
          <w:kern w:val="0"/>
          <w:sz w:val="24"/>
          <w:szCs w:val="24"/>
        </w:rPr>
        <w:t>沪深300指数由中证指数有限公司编制并发布，指数样本覆盖了沪深两地大部分流通市值，成份股均为A股市场中代表性强且流动性高的主流投资股票, 能够反映中国证券市场股票价格变动的概貌和运行状况，适合作为本基金境内权益类资产投资的业绩比较基准。</w:t>
      </w:r>
    </w:p>
    <w:p w14:paraId="428B7BD8" w14:textId="77777777" w:rsidR="0081403D" w:rsidRPr="0097094F" w:rsidRDefault="0081403D" w:rsidP="0081403D">
      <w:pPr>
        <w:spacing w:line="360" w:lineRule="auto"/>
        <w:ind w:firstLine="420"/>
        <w:rPr>
          <w:rFonts w:ascii="宋体" w:hAnsi="宋体" w:cs="宋体"/>
          <w:kern w:val="0"/>
          <w:sz w:val="24"/>
          <w:szCs w:val="24"/>
        </w:rPr>
      </w:pPr>
      <w:r w:rsidRPr="0097094F">
        <w:rPr>
          <w:rFonts w:ascii="宋体" w:hAnsi="宋体" w:cs="宋体" w:hint="eastAsia"/>
          <w:kern w:val="0"/>
          <w:sz w:val="24"/>
          <w:szCs w:val="24"/>
        </w:rPr>
        <w:t>恒生指数是由恒生指数服务有限公司编制，以香港股票市场中的50家上市公司股票为成份股样本，以其发行量为权数的加权平均股价指数，是反映香港股</w:t>
      </w:r>
      <w:r w:rsidRPr="0097094F">
        <w:rPr>
          <w:rFonts w:ascii="宋体" w:hAnsi="宋体" w:cs="宋体" w:hint="eastAsia"/>
          <w:kern w:val="0"/>
          <w:sz w:val="24"/>
          <w:szCs w:val="24"/>
        </w:rPr>
        <w:lastRenderedPageBreak/>
        <w:t>市价幅趋势最有影响的一种股价指数</w:t>
      </w:r>
      <w:r>
        <w:rPr>
          <w:rFonts w:ascii="宋体" w:hAnsi="宋体" w:cs="宋体" w:hint="eastAsia"/>
          <w:kern w:val="0"/>
          <w:sz w:val="24"/>
          <w:szCs w:val="24"/>
        </w:rPr>
        <w:t>，</w:t>
      </w:r>
      <w:r w:rsidRPr="0097094F">
        <w:rPr>
          <w:rFonts w:ascii="宋体" w:hAnsi="宋体" w:cs="宋体" w:hint="eastAsia"/>
          <w:kern w:val="0"/>
          <w:sz w:val="24"/>
          <w:szCs w:val="24"/>
        </w:rPr>
        <w:t>适合作为本基金港股投资的业绩比较基准。</w:t>
      </w:r>
    </w:p>
    <w:p w14:paraId="7C1AE0C9" w14:textId="77777777" w:rsidR="0081403D" w:rsidRDefault="0081403D" w:rsidP="0081403D">
      <w:pPr>
        <w:spacing w:line="360" w:lineRule="auto"/>
        <w:ind w:firstLine="420"/>
        <w:rPr>
          <w:rFonts w:eastAsia="Times New Roman"/>
          <w:kern w:val="0"/>
          <w:sz w:val="24"/>
          <w:szCs w:val="24"/>
        </w:rPr>
      </w:pPr>
      <w:r>
        <w:rPr>
          <w:rFonts w:ascii="宋体" w:hAnsi="宋体" w:cs="宋体"/>
          <w:kern w:val="0"/>
          <w:sz w:val="24"/>
          <w:szCs w:val="24"/>
        </w:rPr>
        <w:t>如果今后法律法规发生变化，或者指数编制</w:t>
      </w:r>
      <w:r>
        <w:rPr>
          <w:rFonts w:ascii="宋体" w:hAnsi="宋体" w:cs="宋体" w:hint="eastAsia"/>
          <w:kern w:val="0"/>
          <w:sz w:val="24"/>
          <w:szCs w:val="24"/>
        </w:rPr>
        <w:t>单位</w:t>
      </w:r>
      <w:r>
        <w:rPr>
          <w:rFonts w:ascii="宋体" w:hAnsi="宋体" w:cs="宋体"/>
          <w:kern w:val="0"/>
          <w:sz w:val="24"/>
          <w:szCs w:val="24"/>
        </w:rPr>
        <w:t>停止计算编制上述指数或更改指数名称、或者有更权威的、更能为市场普遍接受的业绩比较基准推出，或者市场上出现更加适合用于本基金业绩比较基准的指数时，经与基金托管人协商一致，本基金可以在报中国证监会备案后变更业绩比较基准并及时公告，而无需召开基金份额持有人大会。</w:t>
      </w:r>
    </w:p>
    <w:p w14:paraId="5220B42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六、风险收益特征</w:t>
      </w:r>
    </w:p>
    <w:p w14:paraId="4BAB8F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属于债券型基金，其预期的风险与收益低于股票型基金、混合型基金，高于货币市场基金。本基金除了投资A股以外，还可以根据法律法规规定投资港股通标的股票，将面临港股通机制下因投资环境、投资标的、市场制度以及交易规则等差异带来的特有风险。</w:t>
      </w:r>
    </w:p>
    <w:p w14:paraId="0FA7A4C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七、基金管理人代表基金行使股东或债权人权利的处理原则及方法</w:t>
      </w:r>
    </w:p>
    <w:p w14:paraId="2D6A00E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1、基金管理人按照国家有关规定代表基金独立行使股东或债权人权利，保护基金份额持有人的利益；</w:t>
      </w:r>
    </w:p>
    <w:p w14:paraId="56B23D4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2、不谋求对上市公司的控股；</w:t>
      </w:r>
    </w:p>
    <w:p w14:paraId="0EE54A4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3、有利于基金财产的安全与增值；</w:t>
      </w:r>
    </w:p>
    <w:p w14:paraId="0D5E25F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4、不通过关联交易为自身、雇员、授权代理人或任何存在利害关系的第三人牟取任何不当利益。</w:t>
      </w:r>
    </w:p>
    <w:p w14:paraId="6FE3F8E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八、侧袋机制的实施和投资运作安排</w:t>
      </w:r>
    </w:p>
    <w:p w14:paraId="17CFC2C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86F391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侧袋机制实施期间，本部分约定的投资组合比例、投资策略、组合限制、业绩比较基准、风险收益特征等约定仅适用于主袋账户。</w:t>
      </w:r>
    </w:p>
    <w:p w14:paraId="7DECD1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侧袋账户的实施条件、实施程序、运作安排、投资安排、特定资产的处置变现和支付等对投资者权益有重大影响的事项详见本招募说明书“侧袋机制”章节的规定。</w:t>
      </w:r>
    </w:p>
    <w:p w14:paraId="2BFB2798" w14:textId="35081A68" w:rsidR="00495F38" w:rsidRDefault="00495F38">
      <w:pPr>
        <w:spacing w:line="360" w:lineRule="auto"/>
        <w:ind w:firstLine="420"/>
        <w:rPr>
          <w:rFonts w:eastAsiaTheme="minorEastAsia"/>
          <w:kern w:val="0"/>
          <w:sz w:val="24"/>
          <w:szCs w:val="24"/>
        </w:rPr>
      </w:pPr>
      <w:r>
        <w:rPr>
          <w:rFonts w:eastAsiaTheme="minorEastAsia" w:hint="eastAsia"/>
          <w:kern w:val="0"/>
          <w:sz w:val="24"/>
          <w:szCs w:val="24"/>
        </w:rPr>
        <w:t>九、</w:t>
      </w:r>
      <w:r w:rsidRPr="00495F38">
        <w:rPr>
          <w:rFonts w:eastAsiaTheme="minorEastAsia" w:hint="eastAsia"/>
          <w:kern w:val="0"/>
          <w:sz w:val="24"/>
          <w:szCs w:val="24"/>
        </w:rPr>
        <w:t>基金</w:t>
      </w:r>
      <w:r w:rsidR="00E82EC5">
        <w:rPr>
          <w:rFonts w:eastAsiaTheme="minorEastAsia" w:hint="eastAsia"/>
          <w:kern w:val="0"/>
          <w:sz w:val="24"/>
          <w:szCs w:val="24"/>
        </w:rPr>
        <w:t>的</w:t>
      </w:r>
      <w:r w:rsidRPr="00495F38">
        <w:rPr>
          <w:rFonts w:eastAsiaTheme="minorEastAsia" w:hint="eastAsia"/>
          <w:kern w:val="0"/>
          <w:sz w:val="24"/>
          <w:szCs w:val="24"/>
        </w:rPr>
        <w:t>投资组合报告</w:t>
      </w:r>
    </w:p>
    <w:p w14:paraId="29DA23D8" w14:textId="77777777" w:rsidR="00495F38" w:rsidRPr="00495F38" w:rsidRDefault="00495F38" w:rsidP="00495F38">
      <w:pPr>
        <w:spacing w:line="360" w:lineRule="auto"/>
        <w:ind w:firstLine="420"/>
        <w:rPr>
          <w:rFonts w:eastAsiaTheme="minorEastAsia"/>
          <w:kern w:val="0"/>
          <w:sz w:val="24"/>
          <w:szCs w:val="24"/>
        </w:rPr>
      </w:pPr>
      <w:r w:rsidRPr="00495F38">
        <w:rPr>
          <w:rFonts w:eastAsiaTheme="minorEastAsia" w:hint="eastAsia"/>
          <w:kern w:val="0"/>
          <w:sz w:val="24"/>
          <w:szCs w:val="24"/>
        </w:rPr>
        <w:t>基金管理人的董事会、董事保证本报告所载资料不存在虚假记载、误导性陈</w:t>
      </w:r>
      <w:r w:rsidRPr="00495F38">
        <w:rPr>
          <w:rFonts w:eastAsiaTheme="minorEastAsia" w:hint="eastAsia"/>
          <w:kern w:val="0"/>
          <w:sz w:val="24"/>
          <w:szCs w:val="24"/>
        </w:rPr>
        <w:lastRenderedPageBreak/>
        <w:t>述或重大遗漏，并对其内容的真实性、准确性和完整性承担个别及连带责任。</w:t>
      </w:r>
    </w:p>
    <w:p w14:paraId="5269F313" w14:textId="2CF10C83" w:rsidR="00495F38" w:rsidRDefault="008C1A13" w:rsidP="00495F38">
      <w:pPr>
        <w:spacing w:line="360" w:lineRule="auto"/>
        <w:ind w:firstLine="420"/>
        <w:rPr>
          <w:rFonts w:eastAsiaTheme="minorEastAsia"/>
          <w:kern w:val="0"/>
          <w:sz w:val="24"/>
          <w:szCs w:val="24"/>
        </w:rPr>
      </w:pPr>
      <w:r w:rsidRPr="008C1A13">
        <w:rPr>
          <w:rFonts w:eastAsiaTheme="minorEastAsia" w:hint="eastAsia"/>
          <w:kern w:val="0"/>
          <w:sz w:val="24"/>
          <w:szCs w:val="24"/>
        </w:rPr>
        <w:t>基金托管人中国工商银行股份有限公司根据本基金合同规定，于</w:t>
      </w:r>
      <w:r w:rsidRPr="008C1A13">
        <w:rPr>
          <w:rFonts w:eastAsiaTheme="minorEastAsia" w:hint="eastAsia"/>
          <w:kern w:val="0"/>
          <w:sz w:val="24"/>
          <w:szCs w:val="24"/>
        </w:rPr>
        <w:t>2024</w:t>
      </w:r>
      <w:r w:rsidRPr="008C1A13">
        <w:rPr>
          <w:rFonts w:eastAsiaTheme="minorEastAsia" w:hint="eastAsia"/>
          <w:kern w:val="0"/>
          <w:sz w:val="24"/>
          <w:szCs w:val="24"/>
        </w:rPr>
        <w:t>年</w:t>
      </w:r>
      <w:r w:rsidRPr="008C1A13">
        <w:rPr>
          <w:rFonts w:eastAsiaTheme="minorEastAsia" w:hint="eastAsia"/>
          <w:kern w:val="0"/>
          <w:sz w:val="24"/>
          <w:szCs w:val="24"/>
        </w:rPr>
        <w:t>1</w:t>
      </w:r>
      <w:r w:rsidRPr="008C1A13">
        <w:rPr>
          <w:rFonts w:eastAsiaTheme="minorEastAsia" w:hint="eastAsia"/>
          <w:kern w:val="0"/>
          <w:sz w:val="24"/>
          <w:szCs w:val="24"/>
        </w:rPr>
        <w:t>月</w:t>
      </w:r>
      <w:r w:rsidRPr="008C1A13">
        <w:rPr>
          <w:rFonts w:eastAsiaTheme="minorEastAsia" w:hint="eastAsia"/>
          <w:kern w:val="0"/>
          <w:sz w:val="24"/>
          <w:szCs w:val="24"/>
        </w:rPr>
        <w:t>18</w:t>
      </w:r>
      <w:r w:rsidRPr="008C1A13">
        <w:rPr>
          <w:rFonts w:eastAsiaTheme="minorEastAsia" w:hint="eastAsia"/>
          <w:kern w:val="0"/>
          <w:sz w:val="24"/>
          <w:szCs w:val="24"/>
        </w:rPr>
        <w:t>日复核了本报告中的财务指标、净值表现、投资组合报告等内容，保证复核内容不存在虚假记载、误导性陈述或者重大遗漏。</w:t>
      </w:r>
    </w:p>
    <w:p w14:paraId="32CD9F95" w14:textId="1A10BA1A" w:rsidR="00495F38" w:rsidRDefault="008C1A13" w:rsidP="00495F38">
      <w:pPr>
        <w:spacing w:line="360" w:lineRule="auto"/>
        <w:ind w:firstLine="420"/>
        <w:rPr>
          <w:rFonts w:eastAsiaTheme="minorEastAsia"/>
          <w:kern w:val="0"/>
          <w:sz w:val="24"/>
          <w:szCs w:val="24"/>
        </w:rPr>
      </w:pPr>
      <w:r w:rsidRPr="008C1A13">
        <w:rPr>
          <w:rFonts w:eastAsiaTheme="minorEastAsia" w:hint="eastAsia"/>
          <w:kern w:val="0"/>
          <w:sz w:val="24"/>
          <w:szCs w:val="24"/>
        </w:rPr>
        <w:t>本报告期自</w:t>
      </w:r>
      <w:r w:rsidRPr="008C1A13">
        <w:rPr>
          <w:rFonts w:eastAsiaTheme="minorEastAsia" w:hint="eastAsia"/>
          <w:kern w:val="0"/>
          <w:sz w:val="24"/>
          <w:szCs w:val="24"/>
        </w:rPr>
        <w:t>2023</w:t>
      </w:r>
      <w:r w:rsidRPr="008C1A13">
        <w:rPr>
          <w:rFonts w:eastAsiaTheme="minorEastAsia" w:hint="eastAsia"/>
          <w:kern w:val="0"/>
          <w:sz w:val="24"/>
          <w:szCs w:val="24"/>
        </w:rPr>
        <w:t>年</w:t>
      </w:r>
      <w:r w:rsidRPr="008C1A13">
        <w:rPr>
          <w:rFonts w:eastAsiaTheme="minorEastAsia" w:hint="eastAsia"/>
          <w:kern w:val="0"/>
          <w:sz w:val="24"/>
          <w:szCs w:val="24"/>
        </w:rPr>
        <w:t>10</w:t>
      </w:r>
      <w:r w:rsidRPr="008C1A13">
        <w:rPr>
          <w:rFonts w:eastAsiaTheme="minorEastAsia" w:hint="eastAsia"/>
          <w:kern w:val="0"/>
          <w:sz w:val="24"/>
          <w:szCs w:val="24"/>
        </w:rPr>
        <w:t>月</w:t>
      </w:r>
      <w:r w:rsidRPr="008C1A13">
        <w:rPr>
          <w:rFonts w:eastAsiaTheme="minorEastAsia" w:hint="eastAsia"/>
          <w:kern w:val="0"/>
          <w:sz w:val="24"/>
          <w:szCs w:val="24"/>
        </w:rPr>
        <w:t>01</w:t>
      </w:r>
      <w:r w:rsidRPr="008C1A13">
        <w:rPr>
          <w:rFonts w:eastAsiaTheme="minorEastAsia" w:hint="eastAsia"/>
          <w:kern w:val="0"/>
          <w:sz w:val="24"/>
          <w:szCs w:val="24"/>
        </w:rPr>
        <w:t>日起至</w:t>
      </w:r>
      <w:r w:rsidRPr="008C1A13">
        <w:rPr>
          <w:rFonts w:eastAsiaTheme="minorEastAsia" w:hint="eastAsia"/>
          <w:kern w:val="0"/>
          <w:sz w:val="24"/>
          <w:szCs w:val="24"/>
        </w:rPr>
        <w:t>2023</w:t>
      </w:r>
      <w:r w:rsidRPr="008C1A13">
        <w:rPr>
          <w:rFonts w:eastAsiaTheme="minorEastAsia" w:hint="eastAsia"/>
          <w:kern w:val="0"/>
          <w:sz w:val="24"/>
          <w:szCs w:val="24"/>
        </w:rPr>
        <w:t>年</w:t>
      </w:r>
      <w:r w:rsidRPr="008C1A13">
        <w:rPr>
          <w:rFonts w:eastAsiaTheme="minorEastAsia" w:hint="eastAsia"/>
          <w:kern w:val="0"/>
          <w:sz w:val="24"/>
          <w:szCs w:val="24"/>
        </w:rPr>
        <w:t>12</w:t>
      </w:r>
      <w:r w:rsidRPr="008C1A13">
        <w:rPr>
          <w:rFonts w:eastAsiaTheme="minorEastAsia" w:hint="eastAsia"/>
          <w:kern w:val="0"/>
          <w:sz w:val="24"/>
          <w:szCs w:val="24"/>
        </w:rPr>
        <w:t>月</w:t>
      </w:r>
      <w:r w:rsidRPr="008C1A13">
        <w:rPr>
          <w:rFonts w:eastAsiaTheme="minorEastAsia" w:hint="eastAsia"/>
          <w:kern w:val="0"/>
          <w:sz w:val="24"/>
          <w:szCs w:val="24"/>
        </w:rPr>
        <w:t>31</w:t>
      </w:r>
      <w:r w:rsidRPr="008C1A13">
        <w:rPr>
          <w:rFonts w:eastAsiaTheme="minorEastAsia" w:hint="eastAsia"/>
          <w:kern w:val="0"/>
          <w:sz w:val="24"/>
          <w:szCs w:val="24"/>
        </w:rPr>
        <w:t>日止。</w:t>
      </w:r>
    </w:p>
    <w:p w14:paraId="15FD70F7" w14:textId="133CCA2F" w:rsidR="00495F38" w:rsidRDefault="00495F38" w:rsidP="00495F38">
      <w:pPr>
        <w:keepNext/>
        <w:keepLines/>
        <w:spacing w:beforeLines="50" w:before="156" w:afterLines="50" w:after="156" w:line="360" w:lineRule="auto"/>
        <w:jc w:val="center"/>
        <w:outlineLvl w:val="0"/>
        <w:rPr>
          <w:rFonts w:ascii="宋体" w:hAnsi="宋体"/>
          <w:b/>
          <w:kern w:val="44"/>
          <w:sz w:val="28"/>
          <w:szCs w:val="28"/>
        </w:rPr>
      </w:pPr>
      <w:bookmarkStart w:id="35" w:name="_Toc135000345"/>
      <w:r w:rsidRPr="007A27F1">
        <w:rPr>
          <w:rFonts w:ascii="宋体" w:hAnsi="宋体"/>
          <w:b/>
          <w:kern w:val="44"/>
          <w:sz w:val="28"/>
          <w:szCs w:val="28"/>
        </w:rPr>
        <w:t>§</w:t>
      </w:r>
      <w:r>
        <w:rPr>
          <w:rFonts w:ascii="宋体" w:hAnsi="宋体" w:cs="宋体"/>
          <w:b/>
          <w:color w:val="000000"/>
          <w:kern w:val="44"/>
          <w:sz w:val="28"/>
          <w:szCs w:val="28"/>
        </w:rPr>
        <w:t>1</w:t>
      </w:r>
      <w:r w:rsidRPr="007A27F1">
        <w:rPr>
          <w:rFonts w:ascii="宋体" w:hAnsi="宋体" w:hint="eastAsia"/>
          <w:b/>
          <w:kern w:val="44"/>
          <w:sz w:val="28"/>
          <w:szCs w:val="28"/>
        </w:rPr>
        <w:t>投资组合报告</w:t>
      </w:r>
      <w:bookmarkEnd w:id="35"/>
    </w:p>
    <w:p w14:paraId="3A0BA225" w14:textId="6AC4B18B" w:rsidR="00E35D27" w:rsidRPr="00BB283E" w:rsidRDefault="00E35D27" w:rsidP="00E35D27">
      <w:pPr>
        <w:pStyle w:val="2"/>
        <w:spacing w:before="0" w:after="0" w:line="360" w:lineRule="auto"/>
        <w:jc w:val="left"/>
        <w:rPr>
          <w:rFonts w:ascii="宋体" w:eastAsia="宋体" w:hAnsi="宋体"/>
          <w:sz w:val="24"/>
        </w:rPr>
      </w:pPr>
      <w:bookmarkStart w:id="36" w:name="_Toc393207301_13"/>
      <w:r>
        <w:rPr>
          <w:rFonts w:ascii="宋体" w:eastAsia="宋体" w:hAnsi="宋体" w:cs="宋体"/>
          <w:color w:val="000000"/>
          <w:sz w:val="24"/>
        </w:rPr>
        <w:t>1</w:t>
      </w:r>
      <w:r>
        <w:rPr>
          <w:rFonts w:ascii="宋体" w:eastAsia="宋体" w:hAnsi="宋体" w:cs="宋体" w:hint="eastAsia"/>
          <w:color w:val="000000"/>
          <w:sz w:val="24"/>
        </w:rPr>
        <w:t>.1</w:t>
      </w:r>
      <w:r>
        <w:rPr>
          <w:rFonts w:ascii="宋体" w:eastAsia="宋体" w:hAnsi="宋体" w:hint="eastAsia"/>
          <w:sz w:val="24"/>
        </w:rPr>
        <w:t>报告</w:t>
      </w:r>
      <w:r w:rsidRPr="00A97453">
        <w:rPr>
          <w:rFonts w:ascii="宋体" w:eastAsia="宋体" w:hAnsi="宋体"/>
          <w:sz w:val="24"/>
        </w:rPr>
        <w:t>期末基金资产组合情况</w:t>
      </w:r>
    </w:p>
    <w:tbl>
      <w:tblPr>
        <w:tblW w:w="5000" w:type="pct"/>
        <w:tblCellMar>
          <w:left w:w="0" w:type="dxa"/>
          <w:right w:w="0" w:type="dxa"/>
        </w:tblCellMar>
        <w:tblLook w:val="0000" w:firstRow="0" w:lastRow="0" w:firstColumn="0" w:lastColumn="0" w:noHBand="0" w:noVBand="0"/>
      </w:tblPr>
      <w:tblGrid>
        <w:gridCol w:w="526"/>
        <w:gridCol w:w="2588"/>
        <w:gridCol w:w="2615"/>
        <w:gridCol w:w="2567"/>
      </w:tblGrid>
      <w:tr w:rsidR="00E35D27" w14:paraId="15B7053A" w14:textId="77777777" w:rsidTr="00E9350B">
        <w:trPr>
          <w:trHeight w:val="415"/>
        </w:trPr>
        <w:tc>
          <w:tcPr>
            <w:tcW w:w="317" w:type="pct"/>
            <w:tcBorders>
              <w:top w:val="single" w:sz="4" w:space="0" w:color="auto"/>
              <w:left w:val="single" w:sz="4" w:space="0" w:color="auto"/>
              <w:bottom w:val="single" w:sz="4" w:space="0" w:color="auto"/>
              <w:right w:val="single" w:sz="4" w:space="0" w:color="auto"/>
            </w:tcBorders>
            <w:shd w:val="clear" w:color="auto" w:fill="D9D9D9"/>
          </w:tcPr>
          <w:p w14:paraId="6B583B62" w14:textId="77777777" w:rsidR="00E35D27" w:rsidRPr="00346589" w:rsidRDefault="00E35D27" w:rsidP="00E9350B">
            <w:pPr>
              <w:spacing w:line="360" w:lineRule="auto"/>
              <w:jc w:val="center"/>
              <w:rPr>
                <w:rFonts w:ascii="宋体" w:hAnsi="宋体"/>
                <w:color w:val="000000" w:themeColor="text1"/>
                <w:szCs w:val="21"/>
              </w:rPr>
            </w:pPr>
            <w:r w:rsidRPr="00346589">
              <w:rPr>
                <w:rFonts w:ascii="宋体" w:hAnsi="宋体" w:hint="eastAsia"/>
                <w:color w:val="000000" w:themeColor="text1"/>
                <w:szCs w:val="21"/>
              </w:rPr>
              <w:t>序号</w:t>
            </w:r>
          </w:p>
        </w:tc>
        <w:tc>
          <w:tcPr>
            <w:tcW w:w="1560" w:type="pct"/>
            <w:tcBorders>
              <w:top w:val="single" w:sz="4" w:space="0" w:color="auto"/>
              <w:left w:val="nil"/>
              <w:bottom w:val="single" w:sz="4" w:space="0" w:color="auto"/>
              <w:right w:val="single" w:sz="4" w:space="0" w:color="auto"/>
            </w:tcBorders>
            <w:shd w:val="clear" w:color="auto" w:fill="D9D9D9"/>
          </w:tcPr>
          <w:p w14:paraId="32EB058E" w14:textId="77777777" w:rsidR="00E35D27" w:rsidRPr="00346589" w:rsidRDefault="00E35D27" w:rsidP="00E9350B">
            <w:pPr>
              <w:spacing w:line="360" w:lineRule="auto"/>
              <w:jc w:val="center"/>
              <w:rPr>
                <w:rFonts w:ascii="宋体" w:hAnsi="宋体"/>
                <w:color w:val="000000" w:themeColor="text1"/>
                <w:szCs w:val="21"/>
              </w:rPr>
            </w:pPr>
            <w:r w:rsidRPr="00346589">
              <w:rPr>
                <w:rFonts w:ascii="宋体" w:hAnsi="宋体"/>
                <w:color w:val="000000" w:themeColor="text1"/>
                <w:szCs w:val="21"/>
              </w:rPr>
              <w:t>项目</w:t>
            </w:r>
          </w:p>
        </w:tc>
        <w:tc>
          <w:tcPr>
            <w:tcW w:w="1576" w:type="pct"/>
            <w:tcBorders>
              <w:top w:val="single" w:sz="4" w:space="0" w:color="auto"/>
              <w:left w:val="nil"/>
              <w:bottom w:val="single" w:sz="4" w:space="0" w:color="auto"/>
              <w:right w:val="single" w:sz="4" w:space="0" w:color="auto"/>
            </w:tcBorders>
            <w:shd w:val="clear" w:color="auto" w:fill="D9D9D9"/>
          </w:tcPr>
          <w:p w14:paraId="7D40E23D" w14:textId="77777777" w:rsidR="00E35D27" w:rsidRPr="00346589" w:rsidRDefault="00E35D27" w:rsidP="00E9350B">
            <w:pPr>
              <w:spacing w:line="360" w:lineRule="auto"/>
              <w:jc w:val="center"/>
              <w:rPr>
                <w:rFonts w:ascii="宋体" w:hAnsi="宋体"/>
                <w:color w:val="000000" w:themeColor="text1"/>
                <w:szCs w:val="21"/>
              </w:rPr>
            </w:pPr>
            <w:r w:rsidRPr="00346589">
              <w:rPr>
                <w:rFonts w:ascii="宋体" w:hAnsi="宋体"/>
                <w:color w:val="000000" w:themeColor="text1"/>
                <w:szCs w:val="21"/>
              </w:rPr>
              <w:t>金额</w:t>
            </w:r>
            <w:r w:rsidRPr="00346589">
              <w:rPr>
                <w:rFonts w:ascii="宋体" w:hAnsi="宋体" w:hint="eastAsia"/>
                <w:color w:val="000000" w:themeColor="text1"/>
                <w:szCs w:val="21"/>
              </w:rPr>
              <w:t>（元）</w:t>
            </w:r>
          </w:p>
        </w:tc>
        <w:tc>
          <w:tcPr>
            <w:tcW w:w="1547" w:type="pct"/>
            <w:tcBorders>
              <w:top w:val="single" w:sz="4" w:space="0" w:color="auto"/>
              <w:left w:val="nil"/>
              <w:bottom w:val="single" w:sz="4" w:space="0" w:color="auto"/>
              <w:right w:val="single" w:sz="4" w:space="0" w:color="auto"/>
            </w:tcBorders>
            <w:shd w:val="clear" w:color="auto" w:fill="D9D9D9"/>
          </w:tcPr>
          <w:p w14:paraId="3D342D34" w14:textId="77777777" w:rsidR="00E35D27" w:rsidRPr="00346589" w:rsidRDefault="00E35D27" w:rsidP="00E9350B">
            <w:pPr>
              <w:spacing w:line="360" w:lineRule="auto"/>
              <w:jc w:val="center"/>
              <w:rPr>
                <w:rFonts w:ascii="宋体" w:hAnsi="宋体"/>
                <w:color w:val="000000" w:themeColor="text1"/>
                <w:szCs w:val="21"/>
              </w:rPr>
            </w:pPr>
            <w:r w:rsidRPr="00346589">
              <w:rPr>
                <w:rFonts w:ascii="宋体" w:hAnsi="宋体"/>
                <w:color w:val="000000" w:themeColor="text1"/>
                <w:szCs w:val="21"/>
              </w:rPr>
              <w:t>占基金总资产的比例（%）</w:t>
            </w:r>
          </w:p>
        </w:tc>
      </w:tr>
      <w:tr w:rsidR="00E35D27" w14:paraId="122651C6"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295033AD"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1</w:t>
            </w:r>
          </w:p>
        </w:tc>
        <w:tc>
          <w:tcPr>
            <w:tcW w:w="1560" w:type="pct"/>
            <w:tcBorders>
              <w:top w:val="single" w:sz="4" w:space="0" w:color="auto"/>
              <w:left w:val="nil"/>
              <w:bottom w:val="single" w:sz="4" w:space="0" w:color="auto"/>
              <w:right w:val="single" w:sz="4" w:space="0" w:color="auto"/>
            </w:tcBorders>
          </w:tcPr>
          <w:p w14:paraId="04DB30C5"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权益投资</w:t>
            </w:r>
          </w:p>
        </w:tc>
        <w:tc>
          <w:tcPr>
            <w:tcW w:w="1576" w:type="pct"/>
            <w:tcBorders>
              <w:top w:val="single" w:sz="4" w:space="0" w:color="auto"/>
              <w:left w:val="nil"/>
              <w:bottom w:val="single" w:sz="4" w:space="0" w:color="auto"/>
              <w:right w:val="single" w:sz="4" w:space="0" w:color="auto"/>
            </w:tcBorders>
            <w:vAlign w:val="center"/>
          </w:tcPr>
          <w:p w14:paraId="67EA9C87"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46,632,841.20</w:t>
            </w:r>
          </w:p>
        </w:tc>
        <w:tc>
          <w:tcPr>
            <w:tcW w:w="1547" w:type="pct"/>
            <w:tcBorders>
              <w:top w:val="single" w:sz="4" w:space="0" w:color="auto"/>
              <w:left w:val="nil"/>
              <w:bottom w:val="single" w:sz="4" w:space="0" w:color="auto"/>
              <w:right w:val="single" w:sz="4" w:space="0" w:color="auto"/>
            </w:tcBorders>
            <w:vAlign w:val="center"/>
          </w:tcPr>
          <w:p w14:paraId="2E83D244"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13.77</w:t>
            </w:r>
          </w:p>
        </w:tc>
      </w:tr>
      <w:tr w:rsidR="00E35D27" w14:paraId="1BA0A227"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631BCEF4" w14:textId="77777777" w:rsidR="00E35D27" w:rsidRPr="00346589" w:rsidRDefault="00E35D27" w:rsidP="00E9350B">
            <w:pPr>
              <w:spacing w:line="360" w:lineRule="auto"/>
              <w:rPr>
                <w:rFonts w:ascii="宋体" w:hAnsi="宋体"/>
                <w:color w:val="000000" w:themeColor="text1"/>
                <w:szCs w:val="21"/>
              </w:rPr>
            </w:pPr>
          </w:p>
        </w:tc>
        <w:tc>
          <w:tcPr>
            <w:tcW w:w="1560" w:type="pct"/>
            <w:tcBorders>
              <w:top w:val="single" w:sz="4" w:space="0" w:color="auto"/>
              <w:left w:val="nil"/>
              <w:bottom w:val="single" w:sz="4" w:space="0" w:color="auto"/>
              <w:right w:val="single" w:sz="4" w:space="0" w:color="auto"/>
            </w:tcBorders>
          </w:tcPr>
          <w:p w14:paraId="3CDF3F0E"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其中：</w:t>
            </w:r>
            <w:r w:rsidRPr="00346589">
              <w:rPr>
                <w:rFonts w:ascii="宋体" w:hAnsi="宋体"/>
                <w:color w:val="000000" w:themeColor="text1"/>
                <w:szCs w:val="21"/>
              </w:rPr>
              <w:t>股票</w:t>
            </w:r>
          </w:p>
        </w:tc>
        <w:tc>
          <w:tcPr>
            <w:tcW w:w="1576" w:type="pct"/>
            <w:tcBorders>
              <w:top w:val="single" w:sz="4" w:space="0" w:color="auto"/>
              <w:left w:val="nil"/>
              <w:bottom w:val="single" w:sz="4" w:space="0" w:color="auto"/>
              <w:right w:val="single" w:sz="4" w:space="0" w:color="auto"/>
            </w:tcBorders>
            <w:vAlign w:val="center"/>
          </w:tcPr>
          <w:p w14:paraId="5B82E2D0"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46,632,841.20</w:t>
            </w:r>
          </w:p>
        </w:tc>
        <w:tc>
          <w:tcPr>
            <w:tcW w:w="1547" w:type="pct"/>
            <w:tcBorders>
              <w:top w:val="single" w:sz="4" w:space="0" w:color="auto"/>
              <w:left w:val="nil"/>
              <w:bottom w:val="single" w:sz="4" w:space="0" w:color="auto"/>
              <w:right w:val="single" w:sz="4" w:space="0" w:color="auto"/>
            </w:tcBorders>
            <w:vAlign w:val="center"/>
          </w:tcPr>
          <w:p w14:paraId="47442086"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13.77</w:t>
            </w:r>
          </w:p>
        </w:tc>
      </w:tr>
      <w:tr w:rsidR="00E35D27" w14:paraId="03FE7584"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7C79741A"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2</w:t>
            </w:r>
          </w:p>
        </w:tc>
        <w:tc>
          <w:tcPr>
            <w:tcW w:w="1560" w:type="pct"/>
            <w:tcBorders>
              <w:top w:val="single" w:sz="4" w:space="0" w:color="auto"/>
              <w:left w:val="nil"/>
              <w:bottom w:val="single" w:sz="4" w:space="0" w:color="auto"/>
              <w:right w:val="single" w:sz="4" w:space="0" w:color="auto"/>
            </w:tcBorders>
          </w:tcPr>
          <w:p w14:paraId="5A6803A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基金投资</w:t>
            </w:r>
          </w:p>
        </w:tc>
        <w:tc>
          <w:tcPr>
            <w:tcW w:w="1576" w:type="pct"/>
            <w:tcBorders>
              <w:top w:val="single" w:sz="4" w:space="0" w:color="auto"/>
              <w:left w:val="nil"/>
              <w:bottom w:val="single" w:sz="4" w:space="0" w:color="auto"/>
              <w:right w:val="single" w:sz="4" w:space="0" w:color="auto"/>
            </w:tcBorders>
          </w:tcPr>
          <w:p w14:paraId="63610165"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47" w:type="pct"/>
            <w:tcBorders>
              <w:top w:val="single" w:sz="4" w:space="0" w:color="auto"/>
              <w:left w:val="nil"/>
              <w:bottom w:val="single" w:sz="4" w:space="0" w:color="auto"/>
              <w:right w:val="single" w:sz="4" w:space="0" w:color="auto"/>
            </w:tcBorders>
            <w:vAlign w:val="center"/>
          </w:tcPr>
          <w:p w14:paraId="1B7F76D4"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E35D27" w14:paraId="345AC2EC"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53EEFBE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3</w:t>
            </w:r>
          </w:p>
        </w:tc>
        <w:tc>
          <w:tcPr>
            <w:tcW w:w="1560" w:type="pct"/>
            <w:tcBorders>
              <w:top w:val="single" w:sz="4" w:space="0" w:color="auto"/>
              <w:left w:val="nil"/>
              <w:bottom w:val="single" w:sz="4" w:space="0" w:color="auto"/>
              <w:right w:val="single" w:sz="4" w:space="0" w:color="auto"/>
            </w:tcBorders>
          </w:tcPr>
          <w:p w14:paraId="1242BA8B"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固定收益投资</w:t>
            </w:r>
          </w:p>
        </w:tc>
        <w:tc>
          <w:tcPr>
            <w:tcW w:w="1576" w:type="pct"/>
            <w:tcBorders>
              <w:top w:val="single" w:sz="4" w:space="0" w:color="auto"/>
              <w:left w:val="nil"/>
              <w:bottom w:val="single" w:sz="4" w:space="0" w:color="auto"/>
              <w:right w:val="single" w:sz="4" w:space="0" w:color="auto"/>
            </w:tcBorders>
            <w:vAlign w:val="center"/>
          </w:tcPr>
          <w:p w14:paraId="24FB1002"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260,163,428.23</w:t>
            </w:r>
          </w:p>
        </w:tc>
        <w:tc>
          <w:tcPr>
            <w:tcW w:w="1547" w:type="pct"/>
            <w:tcBorders>
              <w:top w:val="single" w:sz="4" w:space="0" w:color="auto"/>
              <w:left w:val="nil"/>
              <w:bottom w:val="single" w:sz="4" w:space="0" w:color="auto"/>
              <w:right w:val="single" w:sz="4" w:space="0" w:color="auto"/>
            </w:tcBorders>
            <w:vAlign w:val="center"/>
          </w:tcPr>
          <w:p w14:paraId="4EA1E854"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76.84</w:t>
            </w:r>
          </w:p>
        </w:tc>
      </w:tr>
      <w:tr w:rsidR="00E35D27" w14:paraId="3DEB2EEE"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18F49A80" w14:textId="77777777" w:rsidR="00E35D27" w:rsidRPr="00346589" w:rsidRDefault="00E35D27" w:rsidP="00E9350B">
            <w:pPr>
              <w:spacing w:line="360" w:lineRule="auto"/>
              <w:rPr>
                <w:rFonts w:ascii="宋体" w:hAnsi="宋体"/>
                <w:color w:val="000000" w:themeColor="text1"/>
                <w:szCs w:val="21"/>
              </w:rPr>
            </w:pPr>
          </w:p>
        </w:tc>
        <w:tc>
          <w:tcPr>
            <w:tcW w:w="1560" w:type="pct"/>
            <w:tcBorders>
              <w:top w:val="single" w:sz="4" w:space="0" w:color="auto"/>
              <w:left w:val="nil"/>
              <w:bottom w:val="single" w:sz="4" w:space="0" w:color="auto"/>
              <w:right w:val="single" w:sz="4" w:space="0" w:color="auto"/>
            </w:tcBorders>
          </w:tcPr>
          <w:p w14:paraId="7AD7CDE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其中：</w:t>
            </w:r>
            <w:r w:rsidRPr="00346589">
              <w:rPr>
                <w:rFonts w:ascii="宋体" w:hAnsi="宋体"/>
                <w:color w:val="000000" w:themeColor="text1"/>
                <w:szCs w:val="21"/>
              </w:rPr>
              <w:t>债券</w:t>
            </w:r>
          </w:p>
        </w:tc>
        <w:tc>
          <w:tcPr>
            <w:tcW w:w="1576" w:type="pct"/>
            <w:tcBorders>
              <w:top w:val="single" w:sz="4" w:space="0" w:color="auto"/>
              <w:left w:val="nil"/>
              <w:bottom w:val="single" w:sz="4" w:space="0" w:color="auto"/>
              <w:right w:val="single" w:sz="4" w:space="0" w:color="auto"/>
            </w:tcBorders>
            <w:vAlign w:val="center"/>
          </w:tcPr>
          <w:p w14:paraId="440319F8"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260,163,428.23</w:t>
            </w:r>
          </w:p>
        </w:tc>
        <w:tc>
          <w:tcPr>
            <w:tcW w:w="1547" w:type="pct"/>
            <w:tcBorders>
              <w:top w:val="single" w:sz="4" w:space="0" w:color="auto"/>
              <w:left w:val="nil"/>
              <w:bottom w:val="single" w:sz="4" w:space="0" w:color="auto"/>
              <w:right w:val="single" w:sz="4" w:space="0" w:color="auto"/>
            </w:tcBorders>
            <w:vAlign w:val="center"/>
          </w:tcPr>
          <w:p w14:paraId="46080D18"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76.84</w:t>
            </w:r>
          </w:p>
        </w:tc>
      </w:tr>
      <w:tr w:rsidR="00E35D27" w14:paraId="0BAE878E"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027438CE" w14:textId="77777777" w:rsidR="00E35D27" w:rsidRPr="00346589" w:rsidRDefault="00E35D27" w:rsidP="00E9350B">
            <w:pPr>
              <w:spacing w:line="360" w:lineRule="auto"/>
              <w:rPr>
                <w:rFonts w:ascii="宋体" w:hAnsi="宋体"/>
                <w:color w:val="000000" w:themeColor="text1"/>
                <w:szCs w:val="21"/>
              </w:rPr>
            </w:pPr>
          </w:p>
        </w:tc>
        <w:tc>
          <w:tcPr>
            <w:tcW w:w="1560" w:type="pct"/>
            <w:tcBorders>
              <w:top w:val="single" w:sz="4" w:space="0" w:color="auto"/>
              <w:left w:val="nil"/>
              <w:bottom w:val="single" w:sz="4" w:space="0" w:color="auto"/>
              <w:right w:val="single" w:sz="4" w:space="0" w:color="auto"/>
            </w:tcBorders>
          </w:tcPr>
          <w:p w14:paraId="3FB3F03B"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 xml:space="preserve">      </w:t>
            </w:r>
            <w:r w:rsidRPr="00346589">
              <w:rPr>
                <w:rFonts w:ascii="宋体" w:hAnsi="宋体"/>
                <w:color w:val="000000" w:themeColor="text1"/>
                <w:szCs w:val="21"/>
              </w:rPr>
              <w:t>资产支持证券</w:t>
            </w:r>
          </w:p>
        </w:tc>
        <w:tc>
          <w:tcPr>
            <w:tcW w:w="1576" w:type="pct"/>
            <w:tcBorders>
              <w:top w:val="single" w:sz="4" w:space="0" w:color="auto"/>
              <w:left w:val="nil"/>
              <w:bottom w:val="single" w:sz="4" w:space="0" w:color="auto"/>
              <w:right w:val="single" w:sz="4" w:space="0" w:color="auto"/>
            </w:tcBorders>
            <w:vAlign w:val="center"/>
          </w:tcPr>
          <w:p w14:paraId="7513E684"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47" w:type="pct"/>
            <w:tcBorders>
              <w:top w:val="single" w:sz="4" w:space="0" w:color="auto"/>
              <w:left w:val="nil"/>
              <w:bottom w:val="single" w:sz="4" w:space="0" w:color="auto"/>
              <w:right w:val="single" w:sz="4" w:space="0" w:color="auto"/>
            </w:tcBorders>
            <w:vAlign w:val="center"/>
          </w:tcPr>
          <w:p w14:paraId="177F5A0E"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E35D27" w14:paraId="58A83D2A"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41931C7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4</w:t>
            </w:r>
          </w:p>
        </w:tc>
        <w:tc>
          <w:tcPr>
            <w:tcW w:w="1560" w:type="pct"/>
            <w:tcBorders>
              <w:top w:val="single" w:sz="4" w:space="0" w:color="auto"/>
              <w:left w:val="nil"/>
              <w:bottom w:val="single" w:sz="4" w:space="0" w:color="auto"/>
              <w:right w:val="single" w:sz="4" w:space="0" w:color="auto"/>
            </w:tcBorders>
          </w:tcPr>
          <w:p w14:paraId="43B7DED1"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贵金属投资</w:t>
            </w:r>
          </w:p>
        </w:tc>
        <w:tc>
          <w:tcPr>
            <w:tcW w:w="1576" w:type="pct"/>
            <w:tcBorders>
              <w:top w:val="single" w:sz="4" w:space="0" w:color="auto"/>
              <w:left w:val="nil"/>
              <w:bottom w:val="single" w:sz="4" w:space="0" w:color="auto"/>
              <w:right w:val="single" w:sz="4" w:space="0" w:color="auto"/>
            </w:tcBorders>
            <w:vAlign w:val="center"/>
          </w:tcPr>
          <w:p w14:paraId="7FEBCCBE"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47" w:type="pct"/>
            <w:tcBorders>
              <w:top w:val="single" w:sz="4" w:space="0" w:color="auto"/>
              <w:left w:val="nil"/>
              <w:bottom w:val="single" w:sz="4" w:space="0" w:color="auto"/>
              <w:right w:val="single" w:sz="4" w:space="0" w:color="auto"/>
            </w:tcBorders>
            <w:vAlign w:val="center"/>
          </w:tcPr>
          <w:p w14:paraId="141A868B"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E35D27" w14:paraId="074FDF8C"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493F56B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5</w:t>
            </w:r>
          </w:p>
        </w:tc>
        <w:tc>
          <w:tcPr>
            <w:tcW w:w="1560" w:type="pct"/>
            <w:tcBorders>
              <w:top w:val="single" w:sz="4" w:space="0" w:color="auto"/>
              <w:left w:val="nil"/>
              <w:bottom w:val="single" w:sz="4" w:space="0" w:color="auto"/>
              <w:right w:val="single" w:sz="4" w:space="0" w:color="auto"/>
            </w:tcBorders>
          </w:tcPr>
          <w:p w14:paraId="1DEE77E2"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金融衍生品投资</w:t>
            </w:r>
          </w:p>
        </w:tc>
        <w:tc>
          <w:tcPr>
            <w:tcW w:w="1576" w:type="pct"/>
            <w:tcBorders>
              <w:top w:val="single" w:sz="4" w:space="0" w:color="auto"/>
              <w:left w:val="nil"/>
              <w:bottom w:val="single" w:sz="4" w:space="0" w:color="auto"/>
              <w:right w:val="single" w:sz="4" w:space="0" w:color="auto"/>
            </w:tcBorders>
            <w:vAlign w:val="center"/>
          </w:tcPr>
          <w:p w14:paraId="6079E4ED"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47" w:type="pct"/>
            <w:tcBorders>
              <w:top w:val="single" w:sz="4" w:space="0" w:color="auto"/>
              <w:left w:val="nil"/>
              <w:bottom w:val="single" w:sz="4" w:space="0" w:color="auto"/>
              <w:right w:val="single" w:sz="4" w:space="0" w:color="auto"/>
            </w:tcBorders>
            <w:vAlign w:val="center"/>
          </w:tcPr>
          <w:p w14:paraId="3F505168"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E35D27" w14:paraId="22F6298F"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1E3FAC64"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6</w:t>
            </w:r>
          </w:p>
        </w:tc>
        <w:tc>
          <w:tcPr>
            <w:tcW w:w="1560" w:type="pct"/>
            <w:tcBorders>
              <w:top w:val="single" w:sz="4" w:space="0" w:color="auto"/>
              <w:left w:val="nil"/>
              <w:bottom w:val="single" w:sz="4" w:space="0" w:color="auto"/>
              <w:right w:val="single" w:sz="4" w:space="0" w:color="auto"/>
            </w:tcBorders>
          </w:tcPr>
          <w:p w14:paraId="0BC54A74"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买入返售金融资产</w:t>
            </w:r>
          </w:p>
        </w:tc>
        <w:tc>
          <w:tcPr>
            <w:tcW w:w="1576" w:type="pct"/>
            <w:tcBorders>
              <w:top w:val="single" w:sz="4" w:space="0" w:color="auto"/>
              <w:left w:val="nil"/>
              <w:bottom w:val="single" w:sz="4" w:space="0" w:color="auto"/>
              <w:right w:val="single" w:sz="4" w:space="0" w:color="auto"/>
            </w:tcBorders>
            <w:vAlign w:val="center"/>
          </w:tcPr>
          <w:p w14:paraId="2AC5FA9D"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2,105,000.00</w:t>
            </w:r>
          </w:p>
        </w:tc>
        <w:tc>
          <w:tcPr>
            <w:tcW w:w="1547" w:type="pct"/>
            <w:tcBorders>
              <w:top w:val="single" w:sz="4" w:space="0" w:color="auto"/>
              <w:left w:val="nil"/>
              <w:bottom w:val="single" w:sz="4" w:space="0" w:color="auto"/>
              <w:right w:val="single" w:sz="4" w:space="0" w:color="auto"/>
            </w:tcBorders>
            <w:vAlign w:val="center"/>
          </w:tcPr>
          <w:p w14:paraId="082C34E7"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0.62</w:t>
            </w:r>
          </w:p>
        </w:tc>
      </w:tr>
      <w:tr w:rsidR="00E35D27" w14:paraId="4B0A444A"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58A509CC" w14:textId="77777777" w:rsidR="00E35D27" w:rsidRPr="00346589" w:rsidRDefault="00E35D27" w:rsidP="00E9350B">
            <w:pPr>
              <w:spacing w:line="360" w:lineRule="auto"/>
              <w:rPr>
                <w:rFonts w:ascii="宋体" w:hAnsi="宋体"/>
                <w:color w:val="000000" w:themeColor="text1"/>
                <w:szCs w:val="21"/>
              </w:rPr>
            </w:pPr>
          </w:p>
        </w:tc>
        <w:tc>
          <w:tcPr>
            <w:tcW w:w="1560" w:type="pct"/>
            <w:tcBorders>
              <w:top w:val="single" w:sz="4" w:space="0" w:color="auto"/>
              <w:left w:val="nil"/>
              <w:bottom w:val="single" w:sz="4" w:space="0" w:color="auto"/>
              <w:right w:val="single" w:sz="4" w:space="0" w:color="auto"/>
            </w:tcBorders>
          </w:tcPr>
          <w:p w14:paraId="4E75AF73"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color w:val="000000" w:themeColor="text1"/>
                <w:szCs w:val="21"/>
              </w:rPr>
              <w:t>其中：买断式回购的买入返售</w:t>
            </w:r>
            <w:r w:rsidRPr="00346589">
              <w:rPr>
                <w:rFonts w:ascii="宋体" w:hAnsi="宋体" w:hint="eastAsia"/>
                <w:color w:val="000000" w:themeColor="text1"/>
                <w:szCs w:val="21"/>
              </w:rPr>
              <w:t>金融资产</w:t>
            </w:r>
          </w:p>
        </w:tc>
        <w:tc>
          <w:tcPr>
            <w:tcW w:w="1576" w:type="pct"/>
            <w:tcBorders>
              <w:top w:val="single" w:sz="4" w:space="0" w:color="auto"/>
              <w:left w:val="nil"/>
              <w:bottom w:val="single" w:sz="4" w:space="0" w:color="auto"/>
              <w:right w:val="single" w:sz="4" w:space="0" w:color="auto"/>
            </w:tcBorders>
            <w:vAlign w:val="center"/>
          </w:tcPr>
          <w:p w14:paraId="13D8AE8A"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c>
          <w:tcPr>
            <w:tcW w:w="1547" w:type="pct"/>
            <w:tcBorders>
              <w:top w:val="single" w:sz="4" w:space="0" w:color="auto"/>
              <w:left w:val="nil"/>
              <w:bottom w:val="single" w:sz="4" w:space="0" w:color="auto"/>
              <w:right w:val="single" w:sz="4" w:space="0" w:color="auto"/>
            </w:tcBorders>
            <w:vAlign w:val="center"/>
          </w:tcPr>
          <w:p w14:paraId="7AAC9CDA"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w:t>
            </w:r>
          </w:p>
        </w:tc>
      </w:tr>
      <w:tr w:rsidR="00E35D27" w14:paraId="1D95214B"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63EAB6B4"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7</w:t>
            </w:r>
          </w:p>
        </w:tc>
        <w:tc>
          <w:tcPr>
            <w:tcW w:w="1560" w:type="pct"/>
            <w:tcBorders>
              <w:top w:val="single" w:sz="4" w:space="0" w:color="auto"/>
              <w:left w:val="nil"/>
              <w:bottom w:val="single" w:sz="4" w:space="0" w:color="auto"/>
              <w:right w:val="single" w:sz="4" w:space="0" w:color="auto"/>
            </w:tcBorders>
          </w:tcPr>
          <w:p w14:paraId="3E6FFFD7"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hint="eastAsia"/>
                <w:color w:val="000000" w:themeColor="text1"/>
                <w:szCs w:val="21"/>
              </w:rPr>
              <w:t>银行存款和结算备付金合计</w:t>
            </w:r>
          </w:p>
        </w:tc>
        <w:tc>
          <w:tcPr>
            <w:tcW w:w="1576" w:type="pct"/>
            <w:tcBorders>
              <w:top w:val="single" w:sz="4" w:space="0" w:color="auto"/>
              <w:left w:val="nil"/>
              <w:bottom w:val="single" w:sz="4" w:space="0" w:color="auto"/>
              <w:right w:val="single" w:sz="4" w:space="0" w:color="auto"/>
            </w:tcBorders>
            <w:vAlign w:val="center"/>
          </w:tcPr>
          <w:p w14:paraId="69B6BCE2"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18,148,635.11</w:t>
            </w:r>
          </w:p>
        </w:tc>
        <w:tc>
          <w:tcPr>
            <w:tcW w:w="1547" w:type="pct"/>
            <w:tcBorders>
              <w:top w:val="single" w:sz="4" w:space="0" w:color="auto"/>
              <w:left w:val="nil"/>
              <w:bottom w:val="single" w:sz="4" w:space="0" w:color="auto"/>
              <w:right w:val="single" w:sz="4" w:space="0" w:color="auto"/>
            </w:tcBorders>
            <w:vAlign w:val="center"/>
          </w:tcPr>
          <w:p w14:paraId="22792BE1"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5.36</w:t>
            </w:r>
          </w:p>
        </w:tc>
      </w:tr>
      <w:tr w:rsidR="00E35D27" w14:paraId="258A96DF"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7D2B09D1"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color w:val="000000" w:themeColor="text1"/>
                <w:szCs w:val="21"/>
              </w:rPr>
              <w:t>8</w:t>
            </w:r>
          </w:p>
        </w:tc>
        <w:tc>
          <w:tcPr>
            <w:tcW w:w="1560" w:type="pct"/>
            <w:tcBorders>
              <w:top w:val="single" w:sz="4" w:space="0" w:color="auto"/>
              <w:left w:val="nil"/>
              <w:bottom w:val="single" w:sz="4" w:space="0" w:color="auto"/>
              <w:right w:val="single" w:sz="4" w:space="0" w:color="auto"/>
            </w:tcBorders>
          </w:tcPr>
          <w:p w14:paraId="77249361"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color w:val="000000" w:themeColor="text1"/>
                <w:szCs w:val="21"/>
              </w:rPr>
              <w:t>其他资产</w:t>
            </w:r>
          </w:p>
        </w:tc>
        <w:tc>
          <w:tcPr>
            <w:tcW w:w="1576" w:type="pct"/>
            <w:tcBorders>
              <w:top w:val="single" w:sz="4" w:space="0" w:color="auto"/>
              <w:left w:val="nil"/>
              <w:bottom w:val="single" w:sz="4" w:space="0" w:color="auto"/>
              <w:right w:val="single" w:sz="4" w:space="0" w:color="auto"/>
            </w:tcBorders>
            <w:vAlign w:val="center"/>
          </w:tcPr>
          <w:p w14:paraId="5136E533"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11,538,570.41</w:t>
            </w:r>
          </w:p>
        </w:tc>
        <w:tc>
          <w:tcPr>
            <w:tcW w:w="1547" w:type="pct"/>
            <w:tcBorders>
              <w:top w:val="single" w:sz="4" w:space="0" w:color="auto"/>
              <w:left w:val="nil"/>
              <w:bottom w:val="single" w:sz="4" w:space="0" w:color="auto"/>
              <w:right w:val="single" w:sz="4" w:space="0" w:color="auto"/>
            </w:tcBorders>
            <w:vAlign w:val="center"/>
          </w:tcPr>
          <w:p w14:paraId="4203C432"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3.41</w:t>
            </w:r>
          </w:p>
        </w:tc>
      </w:tr>
      <w:tr w:rsidR="00E35D27" w14:paraId="490A335D" w14:textId="77777777" w:rsidTr="00E9350B">
        <w:trPr>
          <w:trHeight w:val="20"/>
        </w:trPr>
        <w:tc>
          <w:tcPr>
            <w:tcW w:w="317" w:type="pct"/>
            <w:tcBorders>
              <w:top w:val="single" w:sz="4" w:space="0" w:color="auto"/>
              <w:left w:val="single" w:sz="4" w:space="0" w:color="auto"/>
              <w:bottom w:val="single" w:sz="4" w:space="0" w:color="auto"/>
              <w:right w:val="single" w:sz="4" w:space="0" w:color="auto"/>
            </w:tcBorders>
          </w:tcPr>
          <w:p w14:paraId="50CAA148"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color w:val="000000" w:themeColor="text1"/>
                <w:szCs w:val="21"/>
              </w:rPr>
              <w:t>9</w:t>
            </w:r>
          </w:p>
        </w:tc>
        <w:tc>
          <w:tcPr>
            <w:tcW w:w="1560" w:type="pct"/>
            <w:tcBorders>
              <w:top w:val="single" w:sz="4" w:space="0" w:color="auto"/>
              <w:left w:val="nil"/>
              <w:bottom w:val="single" w:sz="4" w:space="0" w:color="auto"/>
              <w:right w:val="single" w:sz="4" w:space="0" w:color="auto"/>
            </w:tcBorders>
          </w:tcPr>
          <w:p w14:paraId="089A30CF" w14:textId="77777777" w:rsidR="00E35D27" w:rsidRPr="00346589" w:rsidRDefault="00E35D27" w:rsidP="00E9350B">
            <w:pPr>
              <w:spacing w:line="360" w:lineRule="auto"/>
              <w:rPr>
                <w:rFonts w:ascii="宋体" w:hAnsi="宋体"/>
                <w:color w:val="000000" w:themeColor="text1"/>
                <w:szCs w:val="21"/>
              </w:rPr>
            </w:pPr>
            <w:r w:rsidRPr="00346589">
              <w:rPr>
                <w:rFonts w:ascii="宋体" w:hAnsi="宋体"/>
                <w:color w:val="000000" w:themeColor="text1"/>
                <w:szCs w:val="21"/>
              </w:rPr>
              <w:t>合计</w:t>
            </w:r>
          </w:p>
        </w:tc>
        <w:tc>
          <w:tcPr>
            <w:tcW w:w="1576" w:type="pct"/>
            <w:tcBorders>
              <w:top w:val="single" w:sz="4" w:space="0" w:color="auto"/>
              <w:left w:val="nil"/>
              <w:bottom w:val="single" w:sz="4" w:space="0" w:color="auto"/>
              <w:right w:val="single" w:sz="4" w:space="0" w:color="auto"/>
            </w:tcBorders>
            <w:vAlign w:val="center"/>
          </w:tcPr>
          <w:p w14:paraId="1E4F2D06"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338,588,474.95</w:t>
            </w:r>
          </w:p>
        </w:tc>
        <w:tc>
          <w:tcPr>
            <w:tcW w:w="1547" w:type="pct"/>
            <w:tcBorders>
              <w:top w:val="single" w:sz="4" w:space="0" w:color="auto"/>
              <w:left w:val="nil"/>
              <w:bottom w:val="single" w:sz="4" w:space="0" w:color="auto"/>
              <w:right w:val="single" w:sz="4" w:space="0" w:color="auto"/>
            </w:tcBorders>
            <w:vAlign w:val="center"/>
          </w:tcPr>
          <w:p w14:paraId="5E7EFF04" w14:textId="77777777" w:rsidR="00E35D27" w:rsidRPr="00346589" w:rsidRDefault="00E35D27" w:rsidP="00E9350B">
            <w:pPr>
              <w:spacing w:line="360" w:lineRule="auto"/>
              <w:jc w:val="right"/>
              <w:rPr>
                <w:rFonts w:ascii="宋体" w:hAnsi="宋体" w:cs="宋体"/>
                <w:color w:val="000000" w:themeColor="text1"/>
                <w:kern w:val="0"/>
                <w:szCs w:val="21"/>
              </w:rPr>
            </w:pPr>
            <w:r w:rsidRPr="00346589">
              <w:rPr>
                <w:rFonts w:ascii="宋体" w:hAnsi="宋体" w:cs="宋体"/>
                <w:color w:val="000000"/>
                <w:kern w:val="0"/>
                <w:szCs w:val="21"/>
              </w:rPr>
              <w:t>100.00</w:t>
            </w:r>
          </w:p>
        </w:tc>
      </w:tr>
    </w:tbl>
    <w:p w14:paraId="27615ABE" w14:textId="77777777" w:rsidR="00E35D27" w:rsidRPr="00346589" w:rsidRDefault="00E35D27" w:rsidP="00E35D27">
      <w:pPr>
        <w:spacing w:line="360" w:lineRule="auto"/>
        <w:rPr>
          <w:rFonts w:ascii="宋体" w:hAnsi="宋体" w:cs="宋体"/>
          <w:color w:val="000000" w:themeColor="text1"/>
          <w:szCs w:val="21"/>
        </w:rPr>
      </w:pPr>
      <w:r w:rsidRPr="00346589">
        <w:rPr>
          <w:rFonts w:ascii="宋体" w:hAnsi="宋体" w:cs="宋体"/>
          <w:color w:val="000000"/>
          <w:szCs w:val="21"/>
        </w:rPr>
        <w:t>注:本基金通过港股通交易机制投资的港股公允价值为人民币17,906,907.20元，占期末净值比例为6.05%。</w:t>
      </w:r>
    </w:p>
    <w:p w14:paraId="0844D1BE" w14:textId="50AA02F0" w:rsidR="00E35D27" w:rsidRDefault="00E35D27" w:rsidP="00E35D27">
      <w:pPr>
        <w:pStyle w:val="2"/>
        <w:spacing w:before="0" w:after="0" w:line="360" w:lineRule="auto"/>
        <w:jc w:val="left"/>
        <w:rPr>
          <w:rFonts w:ascii="宋体" w:eastAsia="宋体" w:hAnsi="宋体"/>
          <w:bCs/>
          <w:sz w:val="24"/>
        </w:rPr>
      </w:pPr>
      <w:r>
        <w:rPr>
          <w:rFonts w:ascii="宋体" w:eastAsia="宋体" w:hAnsi="宋体" w:cs="宋体"/>
          <w:color w:val="000000"/>
          <w:sz w:val="24"/>
        </w:rPr>
        <w:t>1</w:t>
      </w:r>
      <w:r w:rsidRPr="00CB318D">
        <w:rPr>
          <w:rFonts w:ascii="宋体" w:eastAsia="宋体" w:hAnsi="宋体" w:cs="宋体"/>
          <w:color w:val="000000"/>
          <w:sz w:val="24"/>
        </w:rPr>
        <w:t>.2</w:t>
      </w:r>
      <w:r w:rsidRPr="00CB318D">
        <w:rPr>
          <w:rFonts w:ascii="宋体" w:eastAsia="宋体" w:hAnsi="宋体"/>
          <w:sz w:val="24"/>
        </w:rPr>
        <w:t>报</w:t>
      </w:r>
      <w:r w:rsidRPr="00CB318D">
        <w:rPr>
          <w:rFonts w:ascii="宋体" w:eastAsia="宋体" w:hAnsi="宋体" w:hint="eastAsia"/>
          <w:sz w:val="24"/>
        </w:rPr>
        <w:t>告期末按行业分类的股票投资</w:t>
      </w:r>
      <w:r w:rsidRPr="00CB318D">
        <w:rPr>
          <w:rFonts w:ascii="宋体" w:eastAsia="宋体" w:hAnsi="宋体"/>
          <w:sz w:val="24"/>
        </w:rPr>
        <w:t>组合</w:t>
      </w:r>
    </w:p>
    <w:p w14:paraId="532F1A19" w14:textId="4382CACF" w:rsidR="00E35D27" w:rsidRDefault="00E35D27" w:rsidP="00E35D27">
      <w:pPr>
        <w:spacing w:line="360" w:lineRule="auto"/>
        <w:jc w:val="left"/>
        <w:rPr>
          <w:rFonts w:ascii="宋体" w:hAnsi="宋体"/>
          <w:b/>
          <w:sz w:val="24"/>
        </w:rPr>
      </w:pPr>
      <w:r>
        <w:rPr>
          <w:rFonts w:ascii="宋体" w:hAnsi="宋体" w:cs="宋体"/>
          <w:b/>
          <w:color w:val="000000"/>
          <w:sz w:val="24"/>
        </w:rPr>
        <w:t>1</w:t>
      </w:r>
      <w:r>
        <w:rPr>
          <w:rFonts w:ascii="宋体" w:hAnsi="宋体" w:cs="宋体" w:hint="eastAsia"/>
          <w:b/>
          <w:color w:val="000000"/>
          <w:sz w:val="24"/>
        </w:rPr>
        <w:t>.2.1</w:t>
      </w:r>
      <w:r>
        <w:rPr>
          <w:rFonts w:ascii="宋体" w:hAnsi="宋体" w:hint="eastAsia"/>
          <w:b/>
          <w:sz w:val="24"/>
        </w:rPr>
        <w:t>报告期末按行业分类的境内股票投资组合</w:t>
      </w:r>
    </w:p>
    <w:tbl>
      <w:tblPr>
        <w:tblW w:w="873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39"/>
        <w:gridCol w:w="3691"/>
        <w:gridCol w:w="1620"/>
        <w:gridCol w:w="2880"/>
      </w:tblGrid>
      <w:tr w:rsidR="00E35D27" w14:paraId="0EE2A7C2" w14:textId="77777777" w:rsidTr="00E9350B">
        <w:trPr>
          <w:trHeight w:val="390"/>
        </w:trPr>
        <w:tc>
          <w:tcPr>
            <w:tcW w:w="54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51091423" w14:textId="77777777" w:rsidR="00E35D27" w:rsidRDefault="00E35D27" w:rsidP="00E9350B">
            <w:pPr>
              <w:spacing w:line="360" w:lineRule="auto"/>
              <w:jc w:val="center"/>
              <w:rPr>
                <w:rFonts w:ascii="宋体" w:hAnsi="宋体"/>
              </w:rPr>
            </w:pPr>
            <w:r>
              <w:rPr>
                <w:rFonts w:ascii="宋体" w:hAnsi="宋体" w:hint="eastAsia"/>
              </w:rPr>
              <w:t>代码</w:t>
            </w:r>
          </w:p>
        </w:tc>
        <w:tc>
          <w:tcPr>
            <w:tcW w:w="3691" w:type="dxa"/>
            <w:tcBorders>
              <w:top w:val="single" w:sz="4" w:space="0" w:color="000000"/>
              <w:left w:val="single" w:sz="4" w:space="0" w:color="000000"/>
              <w:bottom w:val="single" w:sz="4" w:space="0" w:color="000000"/>
              <w:right w:val="single" w:sz="4" w:space="0" w:color="auto"/>
            </w:tcBorders>
            <w:shd w:val="clear" w:color="auto" w:fill="D9D9D9"/>
            <w:tcMar>
              <w:top w:w="15" w:type="dxa"/>
              <w:left w:w="15" w:type="dxa"/>
              <w:bottom w:w="0" w:type="dxa"/>
              <w:right w:w="15" w:type="dxa"/>
            </w:tcMar>
            <w:vAlign w:val="center"/>
            <w:hideMark/>
          </w:tcPr>
          <w:p w14:paraId="6456617F" w14:textId="77777777" w:rsidR="00E35D27" w:rsidRDefault="00E35D27" w:rsidP="00E9350B">
            <w:pPr>
              <w:spacing w:line="360" w:lineRule="auto"/>
              <w:jc w:val="center"/>
              <w:rPr>
                <w:rFonts w:ascii="宋体" w:hAnsi="宋体"/>
              </w:rPr>
            </w:pPr>
            <w:r>
              <w:rPr>
                <w:rFonts w:ascii="宋体" w:hAnsi="宋体" w:hint="eastAsia"/>
              </w:rPr>
              <w:t>行业类别</w:t>
            </w:r>
          </w:p>
        </w:tc>
        <w:tc>
          <w:tcPr>
            <w:tcW w:w="1620" w:type="dxa"/>
            <w:tcBorders>
              <w:top w:val="single" w:sz="4" w:space="0" w:color="000000"/>
              <w:left w:val="single" w:sz="4" w:space="0" w:color="auto"/>
              <w:bottom w:val="single" w:sz="4" w:space="0" w:color="000000"/>
              <w:right w:val="single" w:sz="4" w:space="0" w:color="000000"/>
            </w:tcBorders>
            <w:shd w:val="clear" w:color="auto" w:fill="D9D9D9"/>
            <w:vAlign w:val="center"/>
            <w:hideMark/>
          </w:tcPr>
          <w:p w14:paraId="60E73CB8" w14:textId="77777777" w:rsidR="00E35D27" w:rsidRDefault="00E35D27" w:rsidP="00E9350B">
            <w:pPr>
              <w:spacing w:line="360" w:lineRule="auto"/>
              <w:jc w:val="center"/>
              <w:rPr>
                <w:rFonts w:ascii="宋体" w:hAnsi="宋体"/>
              </w:rPr>
            </w:pPr>
            <w:r>
              <w:rPr>
                <w:rFonts w:ascii="宋体" w:hAnsi="宋体" w:hint="eastAsia"/>
              </w:rPr>
              <w:t>公允价值（元）</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15" w:type="dxa"/>
              <w:left w:w="15" w:type="dxa"/>
              <w:bottom w:w="0" w:type="dxa"/>
              <w:right w:w="15" w:type="dxa"/>
            </w:tcMar>
            <w:vAlign w:val="center"/>
            <w:hideMark/>
          </w:tcPr>
          <w:p w14:paraId="22115B27" w14:textId="77777777" w:rsidR="00E35D27" w:rsidRDefault="00E35D27" w:rsidP="00E9350B">
            <w:pPr>
              <w:spacing w:line="360" w:lineRule="auto"/>
              <w:jc w:val="center"/>
              <w:rPr>
                <w:rFonts w:ascii="宋体" w:hAnsi="宋体"/>
              </w:rPr>
            </w:pPr>
            <w:r>
              <w:rPr>
                <w:rFonts w:ascii="宋体" w:hAnsi="宋体" w:hint="eastAsia"/>
              </w:rPr>
              <w:t>占基金资产净值比例（％）</w:t>
            </w:r>
          </w:p>
        </w:tc>
      </w:tr>
      <w:tr w:rsidR="00E35D27" w14:paraId="0DC40864"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84A86FC" w14:textId="77777777" w:rsidR="00E35D27" w:rsidRDefault="00E35D27" w:rsidP="00E9350B">
            <w:pPr>
              <w:spacing w:line="360" w:lineRule="auto"/>
              <w:jc w:val="center"/>
              <w:rPr>
                <w:rFonts w:ascii="宋体" w:hAnsi="宋体"/>
              </w:rPr>
            </w:pPr>
            <w:r>
              <w:rPr>
                <w:rFonts w:ascii="宋体" w:hAnsi="宋体" w:hint="eastAsia"/>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E292C4A" w14:textId="77777777" w:rsidR="00E35D27" w:rsidRDefault="00E35D27" w:rsidP="00E9350B">
            <w:pPr>
              <w:spacing w:line="360" w:lineRule="auto"/>
              <w:rPr>
                <w:rFonts w:ascii="宋体" w:hAnsi="宋体"/>
              </w:rPr>
            </w:pPr>
            <w:r>
              <w:rPr>
                <w:rFonts w:ascii="宋体" w:hAnsi="宋体" w:hint="eastAsia"/>
              </w:rPr>
              <w:t>农、林、牧、渔业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C94FC4F"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AA02BFB"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21712F97"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828D64" w14:textId="77777777" w:rsidR="00E35D27" w:rsidRDefault="00E35D27" w:rsidP="00E9350B">
            <w:pPr>
              <w:spacing w:line="360" w:lineRule="auto"/>
              <w:jc w:val="center"/>
              <w:rPr>
                <w:rFonts w:ascii="宋体" w:hAnsi="宋体"/>
              </w:rPr>
            </w:pPr>
            <w:r>
              <w:rPr>
                <w:rFonts w:ascii="宋体" w:hAnsi="宋体" w:hint="eastAsia"/>
              </w:rPr>
              <w:lastRenderedPageBreak/>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F76FD7D" w14:textId="77777777" w:rsidR="00E35D27" w:rsidRDefault="00E35D27" w:rsidP="00E9350B">
            <w:pPr>
              <w:spacing w:line="360" w:lineRule="auto"/>
              <w:rPr>
                <w:rFonts w:ascii="宋体" w:hAnsi="宋体"/>
              </w:rPr>
            </w:pPr>
            <w:r>
              <w:rPr>
                <w:rFonts w:ascii="宋体" w:hAnsi="宋体" w:hint="eastAsia"/>
              </w:rPr>
              <w:t>采矿业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2E754D0"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21,835,616.00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FAD9670"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7.38</w:t>
            </w:r>
          </w:p>
        </w:tc>
      </w:tr>
      <w:tr w:rsidR="00E35D27" w14:paraId="2206BE2F"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3B72B9" w14:textId="77777777" w:rsidR="00E35D27" w:rsidRDefault="00E35D27" w:rsidP="00E9350B">
            <w:pPr>
              <w:spacing w:line="360" w:lineRule="auto"/>
              <w:jc w:val="center"/>
              <w:rPr>
                <w:rFonts w:ascii="宋体" w:hAnsi="宋体"/>
              </w:rPr>
            </w:pPr>
            <w:r>
              <w:rPr>
                <w:rFonts w:ascii="宋体" w:hAnsi="宋体" w:hint="eastAsia"/>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9ACE5E5" w14:textId="77777777" w:rsidR="00E35D27" w:rsidRDefault="00E35D27" w:rsidP="00E9350B">
            <w:pPr>
              <w:spacing w:line="360" w:lineRule="auto"/>
              <w:rPr>
                <w:rFonts w:ascii="宋体" w:hAnsi="宋体"/>
              </w:rPr>
            </w:pPr>
            <w:r>
              <w:rPr>
                <w:rFonts w:ascii="宋体" w:hAnsi="宋体" w:hint="eastAsia"/>
              </w:rPr>
              <w:t>制造业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8FC4EFF"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5,480,763.00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26F4715"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1.85</w:t>
            </w:r>
          </w:p>
        </w:tc>
      </w:tr>
      <w:tr w:rsidR="00E35D27" w14:paraId="7CA91354"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BAC479" w14:textId="77777777" w:rsidR="00E35D27" w:rsidRDefault="00E35D27" w:rsidP="00E9350B">
            <w:pPr>
              <w:spacing w:line="360" w:lineRule="auto"/>
              <w:jc w:val="center"/>
              <w:rPr>
                <w:rFonts w:ascii="宋体" w:hAnsi="宋体"/>
              </w:rPr>
            </w:pPr>
            <w:r>
              <w:rPr>
                <w:rFonts w:ascii="宋体" w:hAnsi="宋体" w:hint="eastAsia"/>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3104706" w14:textId="77777777" w:rsidR="00E35D27" w:rsidRDefault="00E35D27" w:rsidP="00E9350B">
            <w:pPr>
              <w:spacing w:line="360" w:lineRule="auto"/>
              <w:rPr>
                <w:rFonts w:ascii="宋体" w:hAnsi="宋体"/>
              </w:rPr>
            </w:pPr>
            <w:r>
              <w:rPr>
                <w:rFonts w:ascii="宋体" w:hAnsi="宋体" w:hint="eastAsia"/>
              </w:rPr>
              <w:t>电力、热力、燃气及水生产和供应业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2818EC4"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F4ECA06"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65E5F044"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5784D5" w14:textId="77777777" w:rsidR="00E35D27" w:rsidRDefault="00E35D27" w:rsidP="00E9350B">
            <w:pPr>
              <w:spacing w:line="360" w:lineRule="auto"/>
              <w:jc w:val="center"/>
              <w:rPr>
                <w:rFonts w:ascii="宋体" w:hAnsi="宋体"/>
              </w:rPr>
            </w:pPr>
            <w:r>
              <w:rPr>
                <w:rFonts w:ascii="宋体" w:hAnsi="宋体" w:hint="eastAsia"/>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18FE162" w14:textId="77777777" w:rsidR="00E35D27" w:rsidRDefault="00E35D27" w:rsidP="00E9350B">
            <w:pPr>
              <w:spacing w:line="360" w:lineRule="auto"/>
              <w:rPr>
                <w:rFonts w:ascii="宋体" w:hAnsi="宋体"/>
              </w:rPr>
            </w:pPr>
            <w:r>
              <w:rPr>
                <w:rFonts w:ascii="宋体" w:hAnsi="宋体" w:hint="eastAsia"/>
              </w:rPr>
              <w:t>建筑业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7C625C6"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7A3E71B"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4E5F28B8"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13F4B7A" w14:textId="77777777" w:rsidR="00E35D27" w:rsidRDefault="00E35D27" w:rsidP="00E9350B">
            <w:pPr>
              <w:spacing w:line="360" w:lineRule="auto"/>
              <w:jc w:val="center"/>
              <w:rPr>
                <w:rFonts w:ascii="宋体" w:hAnsi="宋体"/>
              </w:rPr>
            </w:pPr>
            <w:r>
              <w:rPr>
                <w:rFonts w:ascii="宋体" w:hAnsi="宋体" w:hint="eastAsia"/>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43F5AF1" w14:textId="77777777" w:rsidR="00E35D27" w:rsidRDefault="00E35D27" w:rsidP="00E9350B">
            <w:pPr>
              <w:spacing w:line="360" w:lineRule="auto"/>
              <w:rPr>
                <w:rFonts w:ascii="宋体" w:hAnsi="宋体"/>
              </w:rPr>
            </w:pPr>
            <w:r>
              <w:rPr>
                <w:rFonts w:ascii="宋体" w:hAnsi="宋体" w:hint="eastAsia"/>
              </w:rPr>
              <w:t>批发和零售业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7D909E4C"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1,409,555.00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15C624"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0.48</w:t>
            </w:r>
          </w:p>
        </w:tc>
      </w:tr>
      <w:tr w:rsidR="00E35D27" w14:paraId="2CD07BCE"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3AA0C49" w14:textId="77777777" w:rsidR="00E35D27" w:rsidRDefault="00E35D27" w:rsidP="00E9350B">
            <w:pPr>
              <w:spacing w:line="360" w:lineRule="auto"/>
              <w:jc w:val="center"/>
              <w:rPr>
                <w:rFonts w:ascii="宋体" w:hAnsi="宋体"/>
              </w:rPr>
            </w:pPr>
            <w:r>
              <w:rPr>
                <w:rFonts w:ascii="宋体" w:hAnsi="宋体" w:hint="eastAsia"/>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DA62683" w14:textId="77777777" w:rsidR="00E35D27" w:rsidRDefault="00E35D27" w:rsidP="00E9350B">
            <w:pPr>
              <w:spacing w:line="360" w:lineRule="auto"/>
              <w:rPr>
                <w:rFonts w:ascii="宋体" w:hAnsi="宋体"/>
              </w:rPr>
            </w:pPr>
            <w:r>
              <w:rPr>
                <w:rFonts w:ascii="宋体" w:hAnsi="宋体" w:hint="eastAsia"/>
              </w:rPr>
              <w:t>交通运输、仓储和邮政业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A2028D7"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CB6AE5"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6E9C4FE0"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2A528B" w14:textId="77777777" w:rsidR="00E35D27" w:rsidRDefault="00E35D27" w:rsidP="00E9350B">
            <w:pPr>
              <w:spacing w:line="360" w:lineRule="auto"/>
              <w:jc w:val="center"/>
              <w:rPr>
                <w:rFonts w:ascii="宋体" w:hAnsi="宋体"/>
              </w:rPr>
            </w:pPr>
            <w:r>
              <w:rPr>
                <w:rFonts w:ascii="宋体" w:hAnsi="宋体" w:hint="eastAsia"/>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53AD8DFD" w14:textId="77777777" w:rsidR="00E35D27" w:rsidRDefault="00E35D27" w:rsidP="00E9350B">
            <w:pPr>
              <w:spacing w:line="360" w:lineRule="auto"/>
              <w:rPr>
                <w:rFonts w:ascii="宋体" w:hAnsi="宋体"/>
              </w:rPr>
            </w:pPr>
            <w:r>
              <w:rPr>
                <w:rFonts w:ascii="宋体" w:hAnsi="宋体" w:hint="eastAsia"/>
              </w:rPr>
              <w:t>住宿和餐饮业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42D078A"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E8710CD"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1AB7D7FA"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DB1488C" w14:textId="77777777" w:rsidR="00E35D27" w:rsidRDefault="00E35D27" w:rsidP="00E9350B">
            <w:pPr>
              <w:spacing w:line="360" w:lineRule="auto"/>
              <w:jc w:val="center"/>
              <w:rPr>
                <w:rFonts w:ascii="宋体" w:hAnsi="宋体"/>
              </w:rPr>
            </w:pPr>
            <w:r>
              <w:rPr>
                <w:rFonts w:ascii="宋体" w:hAnsi="宋体" w:hint="eastAsia"/>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5390C96" w14:textId="77777777" w:rsidR="00E35D27" w:rsidRDefault="00E35D27" w:rsidP="00E9350B">
            <w:pPr>
              <w:spacing w:line="360" w:lineRule="auto"/>
              <w:rPr>
                <w:rFonts w:ascii="宋体" w:hAnsi="宋体"/>
              </w:rPr>
            </w:pPr>
            <w:r>
              <w:rPr>
                <w:rFonts w:ascii="宋体" w:hAnsi="宋体" w:hint="eastAsia"/>
              </w:rPr>
              <w:t>信息传输、软件和信息技术服务业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48A4955B"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D02AD1B"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61F28A6E"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9E54C58" w14:textId="77777777" w:rsidR="00E35D27" w:rsidRDefault="00E35D27" w:rsidP="00E9350B">
            <w:pPr>
              <w:spacing w:line="360" w:lineRule="auto"/>
              <w:jc w:val="center"/>
              <w:rPr>
                <w:rFonts w:ascii="宋体" w:hAnsi="宋体"/>
                <w:color w:val="000000"/>
              </w:rPr>
            </w:pPr>
            <w:r>
              <w:rPr>
                <w:rFonts w:ascii="宋体" w:hAnsi="宋体" w:hint="eastAsia"/>
                <w:color w:val="00000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CAE7A21" w14:textId="77777777" w:rsidR="00E35D27" w:rsidRDefault="00E35D27" w:rsidP="00E9350B">
            <w:pPr>
              <w:spacing w:line="360" w:lineRule="auto"/>
              <w:rPr>
                <w:rFonts w:ascii="宋体" w:hAnsi="宋体"/>
                <w:color w:val="000000"/>
              </w:rPr>
            </w:pPr>
            <w:r>
              <w:rPr>
                <w:rFonts w:ascii="宋体" w:hAnsi="宋体" w:hint="eastAsia"/>
                <w:color w:val="000000"/>
              </w:rPr>
              <w:t>金融业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C8FF345"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9746925"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7E2F5F78"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0B57D92" w14:textId="77777777" w:rsidR="00E35D27" w:rsidRDefault="00E35D27" w:rsidP="00E9350B">
            <w:pPr>
              <w:spacing w:line="360" w:lineRule="auto"/>
              <w:jc w:val="center"/>
              <w:rPr>
                <w:rFonts w:ascii="宋体" w:hAnsi="宋体"/>
                <w:color w:val="000000"/>
              </w:rPr>
            </w:pPr>
            <w:r>
              <w:rPr>
                <w:rFonts w:ascii="宋体" w:hAnsi="宋体" w:hint="eastAsia"/>
                <w:color w:val="00000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D9F1B30" w14:textId="77777777" w:rsidR="00E35D27" w:rsidRDefault="00E35D27" w:rsidP="00E9350B">
            <w:pPr>
              <w:spacing w:line="360" w:lineRule="auto"/>
              <w:rPr>
                <w:rFonts w:ascii="宋体" w:hAnsi="宋体"/>
                <w:color w:val="000000"/>
              </w:rPr>
            </w:pPr>
            <w:r>
              <w:rPr>
                <w:rFonts w:ascii="宋体" w:hAnsi="宋体" w:hint="eastAsia"/>
                <w:color w:val="000000"/>
              </w:rPr>
              <w:t>房地产业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BE2CF6A"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73BDA37"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151CA659"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7A6E8995" w14:textId="77777777" w:rsidR="00E35D27" w:rsidRDefault="00E35D27" w:rsidP="00E9350B">
            <w:pPr>
              <w:spacing w:line="360" w:lineRule="auto"/>
              <w:jc w:val="center"/>
              <w:rPr>
                <w:rFonts w:ascii="宋体" w:hAnsi="宋体"/>
                <w:color w:val="000000"/>
              </w:rPr>
            </w:pPr>
            <w:r>
              <w:rPr>
                <w:rFonts w:ascii="宋体" w:hAnsi="宋体" w:hint="eastAsia"/>
                <w:color w:val="00000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DA1173B" w14:textId="77777777" w:rsidR="00E35D27" w:rsidRDefault="00E35D27" w:rsidP="00E9350B">
            <w:pPr>
              <w:spacing w:line="360" w:lineRule="auto"/>
              <w:rPr>
                <w:rFonts w:ascii="宋体" w:hAnsi="宋体"/>
                <w:color w:val="000000"/>
              </w:rPr>
            </w:pPr>
            <w:r>
              <w:rPr>
                <w:rFonts w:ascii="宋体" w:hAnsi="宋体" w:hint="eastAsia"/>
                <w:color w:val="000000"/>
              </w:rPr>
              <w:t>租赁和商务服务业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8052740"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8BF7C9E"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1343B59F"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7265BDC" w14:textId="77777777" w:rsidR="00E35D27" w:rsidRDefault="00E35D27" w:rsidP="00E9350B">
            <w:pPr>
              <w:spacing w:line="360" w:lineRule="auto"/>
              <w:jc w:val="center"/>
              <w:rPr>
                <w:rFonts w:ascii="宋体" w:hAnsi="宋体"/>
                <w:color w:val="000000"/>
              </w:rPr>
            </w:pPr>
            <w:r>
              <w:rPr>
                <w:rFonts w:ascii="宋体" w:hAnsi="宋体" w:hint="eastAsia"/>
                <w:color w:val="00000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659EAAE3" w14:textId="77777777" w:rsidR="00E35D27" w:rsidRDefault="00E35D27" w:rsidP="00E9350B">
            <w:pPr>
              <w:spacing w:line="360" w:lineRule="auto"/>
              <w:rPr>
                <w:rFonts w:ascii="宋体" w:hAnsi="宋体"/>
                <w:color w:val="000000"/>
              </w:rPr>
            </w:pPr>
            <w:r>
              <w:rPr>
                <w:rFonts w:ascii="宋体" w:hAnsi="宋体" w:hint="eastAsia"/>
                <w:color w:val="000000"/>
              </w:rPr>
              <w:t>科学研究和技术服务业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130EA780"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43C9598"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387C3E6C"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279B6097" w14:textId="77777777" w:rsidR="00E35D27" w:rsidRDefault="00E35D27" w:rsidP="00E9350B">
            <w:pPr>
              <w:spacing w:line="360" w:lineRule="auto"/>
              <w:jc w:val="center"/>
              <w:rPr>
                <w:rFonts w:ascii="宋体" w:hAnsi="宋体"/>
                <w:color w:val="000000"/>
              </w:rPr>
            </w:pPr>
            <w:r>
              <w:rPr>
                <w:rFonts w:ascii="宋体" w:hAnsi="宋体" w:hint="eastAsia"/>
                <w:color w:val="00000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0ED553CE" w14:textId="77777777" w:rsidR="00E35D27" w:rsidRDefault="00E35D27" w:rsidP="00E9350B">
            <w:pPr>
              <w:spacing w:line="360" w:lineRule="auto"/>
              <w:rPr>
                <w:rFonts w:ascii="宋体" w:hAnsi="宋体"/>
                <w:color w:val="000000"/>
              </w:rPr>
            </w:pPr>
            <w:r>
              <w:rPr>
                <w:rFonts w:ascii="宋体" w:hAnsi="宋体" w:hint="eastAsia"/>
                <w:color w:val="000000"/>
              </w:rPr>
              <w:t>水利、环境和公共设施管理业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28FCBC3C"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2CE1EB2"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0FC29739"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11739213" w14:textId="77777777" w:rsidR="00E35D27" w:rsidRDefault="00E35D27" w:rsidP="00E9350B">
            <w:pPr>
              <w:spacing w:line="360" w:lineRule="auto"/>
              <w:jc w:val="center"/>
              <w:rPr>
                <w:rFonts w:ascii="宋体" w:hAnsi="宋体"/>
                <w:color w:val="000000"/>
              </w:rPr>
            </w:pPr>
            <w:r>
              <w:rPr>
                <w:rFonts w:ascii="宋体" w:hAnsi="宋体" w:hint="eastAsia"/>
                <w:color w:val="00000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19B7AF68" w14:textId="77777777" w:rsidR="00E35D27" w:rsidRDefault="00E35D27" w:rsidP="00E9350B">
            <w:pPr>
              <w:spacing w:line="360" w:lineRule="auto"/>
              <w:rPr>
                <w:rFonts w:ascii="宋体" w:hAnsi="宋体"/>
                <w:color w:val="000000"/>
              </w:rPr>
            </w:pPr>
            <w:r>
              <w:rPr>
                <w:rFonts w:ascii="宋体" w:hAnsi="宋体" w:hint="eastAsia"/>
                <w:color w:val="000000"/>
              </w:rPr>
              <w:t>居民服务、修理和其他服务业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6D0EDB7"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083C6385"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514EFFE7"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37301822" w14:textId="77777777" w:rsidR="00E35D27" w:rsidRDefault="00E35D27" w:rsidP="00E9350B">
            <w:pPr>
              <w:spacing w:line="360" w:lineRule="auto"/>
              <w:jc w:val="center"/>
              <w:rPr>
                <w:rFonts w:ascii="宋体" w:hAnsi="宋体"/>
                <w:color w:val="000000"/>
              </w:rPr>
            </w:pPr>
            <w:r>
              <w:rPr>
                <w:rFonts w:ascii="宋体" w:hAnsi="宋体" w:hint="eastAsia"/>
                <w:color w:val="00000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4B1AB38E" w14:textId="77777777" w:rsidR="00E35D27" w:rsidRDefault="00E35D27" w:rsidP="00E9350B">
            <w:pPr>
              <w:spacing w:line="360" w:lineRule="auto"/>
              <w:rPr>
                <w:rFonts w:ascii="宋体" w:hAnsi="宋体"/>
                <w:color w:val="000000"/>
              </w:rPr>
            </w:pPr>
            <w:r>
              <w:rPr>
                <w:rFonts w:ascii="宋体" w:hAnsi="宋体" w:hint="eastAsia"/>
                <w:color w:val="000000"/>
              </w:rPr>
              <w:t>教育</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5A673B4E"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55B0EAE"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28D419B6"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EBC20D3" w14:textId="77777777" w:rsidR="00E35D27" w:rsidRDefault="00E35D27" w:rsidP="00E9350B">
            <w:pPr>
              <w:spacing w:line="360" w:lineRule="auto"/>
              <w:jc w:val="center"/>
              <w:rPr>
                <w:rFonts w:ascii="宋体" w:hAnsi="宋体"/>
                <w:color w:val="000000"/>
              </w:rPr>
            </w:pPr>
            <w:r>
              <w:rPr>
                <w:rFonts w:ascii="宋体" w:hAnsi="宋体" w:hint="eastAsia"/>
                <w:color w:val="00000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72442BAC" w14:textId="77777777" w:rsidR="00E35D27" w:rsidRDefault="00E35D27" w:rsidP="00E9350B">
            <w:pPr>
              <w:spacing w:line="360" w:lineRule="auto"/>
              <w:rPr>
                <w:rFonts w:ascii="宋体" w:hAnsi="宋体"/>
                <w:color w:val="000000"/>
              </w:rPr>
            </w:pPr>
            <w:r>
              <w:rPr>
                <w:rFonts w:ascii="宋体" w:hAnsi="宋体" w:hint="eastAsia"/>
                <w:color w:val="000000"/>
              </w:rPr>
              <w:t>卫生和社会工作</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C4C4A57"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5CCB1F6"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5865C85E"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BEB31CF" w14:textId="77777777" w:rsidR="00E35D27" w:rsidRDefault="00E35D27" w:rsidP="00E9350B">
            <w:pPr>
              <w:spacing w:line="360" w:lineRule="auto"/>
              <w:jc w:val="center"/>
              <w:rPr>
                <w:rFonts w:ascii="宋体" w:hAnsi="宋体"/>
                <w:color w:val="000000"/>
              </w:rPr>
            </w:pPr>
            <w:r>
              <w:rPr>
                <w:rFonts w:ascii="宋体" w:hAnsi="宋体" w:hint="eastAsia"/>
                <w:color w:val="00000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8E2B21C" w14:textId="77777777" w:rsidR="00E35D27" w:rsidRDefault="00E35D27" w:rsidP="00E9350B">
            <w:pPr>
              <w:spacing w:line="360" w:lineRule="auto"/>
              <w:rPr>
                <w:rFonts w:ascii="宋体" w:hAnsi="宋体"/>
                <w:color w:val="000000"/>
              </w:rPr>
            </w:pPr>
            <w:r>
              <w:rPr>
                <w:rFonts w:ascii="宋体" w:hAnsi="宋体" w:hint="eastAsia"/>
                <w:color w:val="000000"/>
              </w:rPr>
              <w:t>文化、体育和娱乐业</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6BD7A2D4"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A8E83DE"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416CA227"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53C4AD7E" w14:textId="77777777" w:rsidR="00E35D27" w:rsidRDefault="00E35D27" w:rsidP="00E9350B">
            <w:pPr>
              <w:spacing w:line="360" w:lineRule="auto"/>
              <w:jc w:val="center"/>
              <w:rPr>
                <w:rFonts w:ascii="宋体" w:hAnsi="宋体"/>
                <w:color w:val="000000"/>
              </w:rPr>
            </w:pPr>
            <w:r>
              <w:rPr>
                <w:rFonts w:ascii="宋体" w:hAnsi="宋体" w:hint="eastAsia"/>
                <w:color w:val="00000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3B409177" w14:textId="77777777" w:rsidR="00E35D27" w:rsidRDefault="00E35D27" w:rsidP="00E9350B">
            <w:pPr>
              <w:spacing w:line="360" w:lineRule="auto"/>
              <w:rPr>
                <w:rFonts w:ascii="宋体" w:hAnsi="宋体"/>
                <w:color w:val="000000"/>
              </w:rPr>
            </w:pPr>
            <w:r>
              <w:rPr>
                <w:rFonts w:ascii="宋体" w:hAnsi="宋体" w:hint="eastAsia"/>
                <w:color w:val="000000"/>
              </w:rPr>
              <w:t>综合</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37196224"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63D6C5BC"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w:t>
            </w:r>
          </w:p>
        </w:tc>
      </w:tr>
      <w:tr w:rsidR="00E35D27" w14:paraId="5D63FFA7" w14:textId="77777777" w:rsidTr="00E9350B">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F95785F" w14:textId="77777777" w:rsidR="00E35D27" w:rsidRDefault="00E35D27" w:rsidP="00E9350B">
            <w:pPr>
              <w:spacing w:line="360" w:lineRule="auto"/>
              <w:jc w:val="center"/>
              <w:rPr>
                <w:rFonts w:ascii="宋体" w:hAnsi="宋体"/>
                <w:color w:val="00000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hideMark/>
          </w:tcPr>
          <w:p w14:paraId="2437DC49" w14:textId="77777777" w:rsidR="00E35D27" w:rsidRDefault="00E35D27" w:rsidP="00E9350B">
            <w:pPr>
              <w:spacing w:line="360" w:lineRule="auto"/>
              <w:rPr>
                <w:rFonts w:ascii="宋体" w:hAnsi="宋体"/>
                <w:color w:val="000000"/>
              </w:rPr>
            </w:pPr>
            <w:r>
              <w:rPr>
                <w:rFonts w:ascii="宋体" w:hAnsi="宋体" w:hint="eastAsia"/>
                <w:color w:val="000000"/>
              </w:rPr>
              <w:t>合计</w:t>
            </w:r>
          </w:p>
        </w:tc>
        <w:tc>
          <w:tcPr>
            <w:tcW w:w="1620" w:type="dxa"/>
            <w:tcBorders>
              <w:top w:val="single" w:sz="4" w:space="0" w:color="000000"/>
              <w:left w:val="single" w:sz="4" w:space="0" w:color="auto"/>
              <w:bottom w:val="single" w:sz="4" w:space="0" w:color="000000"/>
              <w:right w:val="single" w:sz="4" w:space="0" w:color="000000"/>
            </w:tcBorders>
            <w:vAlign w:val="center"/>
            <w:hideMark/>
          </w:tcPr>
          <w:p w14:paraId="0E0A9518"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28,725,934.00</w:t>
            </w:r>
          </w:p>
        </w:tc>
        <w:tc>
          <w:tcPr>
            <w:tcW w:w="288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hideMark/>
          </w:tcPr>
          <w:p w14:paraId="47067284" w14:textId="77777777" w:rsidR="00E35D27" w:rsidRDefault="00E35D27" w:rsidP="00E9350B">
            <w:pPr>
              <w:spacing w:line="360" w:lineRule="auto"/>
              <w:jc w:val="right"/>
              <w:rPr>
                <w:rFonts w:ascii="宋体" w:hAnsi="宋体" w:cs="宋体"/>
                <w:color w:val="000000" w:themeColor="text1"/>
                <w:kern w:val="0"/>
                <w:szCs w:val="24"/>
              </w:rPr>
            </w:pPr>
            <w:r>
              <w:rPr>
                <w:rFonts w:ascii="宋体" w:hAnsi="宋体" w:cs="宋体"/>
                <w:color w:val="000000"/>
                <w:kern w:val="0"/>
                <w:szCs w:val="24"/>
              </w:rPr>
              <w:t>9.70</w:t>
            </w:r>
          </w:p>
        </w:tc>
      </w:tr>
    </w:tbl>
    <w:p w14:paraId="785E4DB7" w14:textId="20CCE49D" w:rsidR="00E35D27" w:rsidRPr="0025270A" w:rsidRDefault="00E35D27" w:rsidP="0025270A">
      <w:pPr>
        <w:rPr>
          <w:rFonts w:asciiTheme="minorEastAsia" w:hAnsiTheme="minorEastAsia"/>
          <w:b/>
          <w:sz w:val="24"/>
          <w:szCs w:val="24"/>
        </w:rPr>
      </w:pPr>
      <w:r>
        <w:rPr>
          <w:rFonts w:ascii="宋体" w:hAnsi="宋体" w:cs="宋体"/>
          <w:b/>
          <w:color w:val="000000"/>
          <w:sz w:val="24"/>
          <w:szCs w:val="24"/>
        </w:rPr>
        <w:t>1</w:t>
      </w:r>
      <w:r w:rsidRPr="00C73E44">
        <w:rPr>
          <w:rFonts w:ascii="宋体" w:hAnsi="宋体" w:cs="宋体" w:hint="eastAsia"/>
          <w:b/>
          <w:color w:val="000000"/>
          <w:sz w:val="24"/>
          <w:szCs w:val="24"/>
        </w:rPr>
        <w:t>.2.2</w:t>
      </w:r>
      <w:r w:rsidRPr="00C73E44">
        <w:rPr>
          <w:rFonts w:asciiTheme="minorEastAsia" w:hAnsiTheme="minorEastAsia" w:hint="eastAsia"/>
          <w:b/>
          <w:sz w:val="24"/>
          <w:szCs w:val="24"/>
        </w:rPr>
        <w:t>报告期末按行业分类的港股通投资股票投资组合</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3"/>
        <w:gridCol w:w="3366"/>
        <w:gridCol w:w="2607"/>
      </w:tblGrid>
      <w:tr w:rsidR="00E35D27" w14:paraId="0FFF7992" w14:textId="77777777" w:rsidTr="00E9350B">
        <w:tc>
          <w:tcPr>
            <w:tcW w:w="20000" w:type="dxa"/>
            <w:shd w:val="clear" w:color="auto" w:fill="D3D3D3"/>
            <w:vAlign w:val="center"/>
          </w:tcPr>
          <w:p w14:paraId="54D852A7" w14:textId="77777777" w:rsidR="00E35D27" w:rsidRPr="00B64D57" w:rsidRDefault="00E35D27" w:rsidP="00E9350B">
            <w:pPr>
              <w:spacing w:line="360" w:lineRule="auto"/>
              <w:jc w:val="center"/>
              <w:rPr>
                <w:rFonts w:ascii="宋体" w:hAnsi="宋体" w:cs="宋体"/>
                <w:color w:val="000000"/>
                <w:szCs w:val="24"/>
              </w:rPr>
            </w:pPr>
            <w:r w:rsidRPr="00B64D57">
              <w:rPr>
                <w:rFonts w:ascii="宋体" w:hAnsi="宋体" w:cs="宋体"/>
                <w:color w:val="000000"/>
                <w:szCs w:val="24"/>
              </w:rPr>
              <w:t>行业类别</w:t>
            </w:r>
          </w:p>
        </w:tc>
        <w:tc>
          <w:tcPr>
            <w:tcW w:w="20000" w:type="dxa"/>
            <w:shd w:val="clear" w:color="auto" w:fill="D3D3D3"/>
            <w:vAlign w:val="center"/>
          </w:tcPr>
          <w:p w14:paraId="09E7A8B6" w14:textId="77777777" w:rsidR="00E35D27" w:rsidRPr="00B64D57" w:rsidRDefault="00E35D27" w:rsidP="00E9350B">
            <w:pPr>
              <w:spacing w:line="360" w:lineRule="auto"/>
              <w:jc w:val="center"/>
              <w:rPr>
                <w:rFonts w:ascii="宋体" w:hAnsi="宋体" w:cs="宋体"/>
                <w:color w:val="000000"/>
                <w:szCs w:val="24"/>
              </w:rPr>
            </w:pPr>
            <w:r w:rsidRPr="00B64D57">
              <w:rPr>
                <w:rFonts w:ascii="宋体" w:hAnsi="宋体" w:cs="宋体"/>
                <w:color w:val="000000"/>
                <w:szCs w:val="24"/>
              </w:rPr>
              <w:t>公允价值（人民币）</w:t>
            </w:r>
          </w:p>
        </w:tc>
        <w:tc>
          <w:tcPr>
            <w:tcW w:w="20000" w:type="dxa"/>
            <w:shd w:val="clear" w:color="auto" w:fill="D3D3D3"/>
            <w:vAlign w:val="center"/>
          </w:tcPr>
          <w:p w14:paraId="17401201" w14:textId="77777777" w:rsidR="00E35D27" w:rsidRPr="00B64D57" w:rsidRDefault="00E35D27" w:rsidP="00E9350B">
            <w:pPr>
              <w:spacing w:line="360" w:lineRule="auto"/>
              <w:jc w:val="center"/>
              <w:rPr>
                <w:rFonts w:ascii="宋体" w:hAnsi="宋体" w:cs="宋体"/>
                <w:color w:val="000000"/>
                <w:szCs w:val="24"/>
              </w:rPr>
            </w:pPr>
            <w:r w:rsidRPr="00B64D57">
              <w:rPr>
                <w:rFonts w:ascii="宋体" w:hAnsi="宋体" w:cs="宋体"/>
                <w:color w:val="000000"/>
                <w:szCs w:val="24"/>
              </w:rPr>
              <w:t>占基金资产净值比例（%）</w:t>
            </w:r>
          </w:p>
        </w:tc>
      </w:tr>
      <w:tr w:rsidR="00E35D27" w14:paraId="01944B3D" w14:textId="77777777" w:rsidTr="00E9350B">
        <w:tc>
          <w:tcPr>
            <w:tcW w:w="20000" w:type="dxa"/>
            <w:shd w:val="clear" w:color="auto" w:fill="auto"/>
            <w:vAlign w:val="center"/>
          </w:tcPr>
          <w:p w14:paraId="56E79B46"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10 能源</w:t>
            </w:r>
          </w:p>
        </w:tc>
        <w:tc>
          <w:tcPr>
            <w:tcW w:w="20000" w:type="dxa"/>
            <w:shd w:val="clear" w:color="auto" w:fill="auto"/>
            <w:vAlign w:val="center"/>
          </w:tcPr>
          <w:p w14:paraId="0E3C9FFA"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17,906,907.20</w:t>
            </w:r>
          </w:p>
        </w:tc>
        <w:tc>
          <w:tcPr>
            <w:tcW w:w="20000" w:type="dxa"/>
            <w:shd w:val="clear" w:color="auto" w:fill="auto"/>
            <w:vAlign w:val="center"/>
          </w:tcPr>
          <w:p w14:paraId="46D2019A"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6.05</w:t>
            </w:r>
          </w:p>
        </w:tc>
      </w:tr>
      <w:tr w:rsidR="00E35D27" w14:paraId="539A841F" w14:textId="77777777" w:rsidTr="00E9350B">
        <w:tc>
          <w:tcPr>
            <w:tcW w:w="20000" w:type="dxa"/>
            <w:shd w:val="clear" w:color="auto" w:fill="auto"/>
            <w:vAlign w:val="center"/>
          </w:tcPr>
          <w:p w14:paraId="311711EB"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15 原材料</w:t>
            </w:r>
          </w:p>
        </w:tc>
        <w:tc>
          <w:tcPr>
            <w:tcW w:w="20000" w:type="dxa"/>
            <w:shd w:val="clear" w:color="auto" w:fill="auto"/>
            <w:vAlign w:val="center"/>
          </w:tcPr>
          <w:p w14:paraId="5D172509"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5BF4A63E"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5A767A13" w14:textId="77777777" w:rsidTr="00E9350B">
        <w:tc>
          <w:tcPr>
            <w:tcW w:w="20000" w:type="dxa"/>
            <w:shd w:val="clear" w:color="auto" w:fill="auto"/>
            <w:vAlign w:val="center"/>
          </w:tcPr>
          <w:p w14:paraId="69CB6CCE"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20 工业</w:t>
            </w:r>
          </w:p>
        </w:tc>
        <w:tc>
          <w:tcPr>
            <w:tcW w:w="20000" w:type="dxa"/>
            <w:shd w:val="clear" w:color="auto" w:fill="auto"/>
            <w:vAlign w:val="center"/>
          </w:tcPr>
          <w:p w14:paraId="3C1A08FB"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4DD75F79"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6600E6FF" w14:textId="77777777" w:rsidTr="00E9350B">
        <w:tc>
          <w:tcPr>
            <w:tcW w:w="20000" w:type="dxa"/>
            <w:shd w:val="clear" w:color="auto" w:fill="auto"/>
            <w:vAlign w:val="center"/>
          </w:tcPr>
          <w:p w14:paraId="0E3611EF"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25 可选消费</w:t>
            </w:r>
          </w:p>
        </w:tc>
        <w:tc>
          <w:tcPr>
            <w:tcW w:w="20000" w:type="dxa"/>
            <w:shd w:val="clear" w:color="auto" w:fill="auto"/>
            <w:vAlign w:val="center"/>
          </w:tcPr>
          <w:p w14:paraId="4B5AA7EF"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6FE958CF"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179C1589" w14:textId="77777777" w:rsidTr="00E9350B">
        <w:tc>
          <w:tcPr>
            <w:tcW w:w="20000" w:type="dxa"/>
            <w:shd w:val="clear" w:color="auto" w:fill="auto"/>
            <w:vAlign w:val="center"/>
          </w:tcPr>
          <w:p w14:paraId="4BAAB0C2"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30 日常消费</w:t>
            </w:r>
          </w:p>
        </w:tc>
        <w:tc>
          <w:tcPr>
            <w:tcW w:w="20000" w:type="dxa"/>
            <w:shd w:val="clear" w:color="auto" w:fill="auto"/>
            <w:vAlign w:val="center"/>
          </w:tcPr>
          <w:p w14:paraId="6E4BE06F"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6FEDF9FB"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11B4CC3A" w14:textId="77777777" w:rsidTr="00E9350B">
        <w:tc>
          <w:tcPr>
            <w:tcW w:w="20000" w:type="dxa"/>
            <w:shd w:val="clear" w:color="auto" w:fill="auto"/>
            <w:vAlign w:val="center"/>
          </w:tcPr>
          <w:p w14:paraId="59F2EC47"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35 医疗保健</w:t>
            </w:r>
          </w:p>
        </w:tc>
        <w:tc>
          <w:tcPr>
            <w:tcW w:w="20000" w:type="dxa"/>
            <w:shd w:val="clear" w:color="auto" w:fill="auto"/>
            <w:vAlign w:val="center"/>
          </w:tcPr>
          <w:p w14:paraId="575F52E2"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7EFB81F0"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2906DD86" w14:textId="77777777" w:rsidTr="00E9350B">
        <w:tc>
          <w:tcPr>
            <w:tcW w:w="20000" w:type="dxa"/>
            <w:shd w:val="clear" w:color="auto" w:fill="auto"/>
            <w:vAlign w:val="center"/>
          </w:tcPr>
          <w:p w14:paraId="600B803F"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lastRenderedPageBreak/>
              <w:t>40 金融</w:t>
            </w:r>
          </w:p>
        </w:tc>
        <w:tc>
          <w:tcPr>
            <w:tcW w:w="20000" w:type="dxa"/>
            <w:shd w:val="clear" w:color="auto" w:fill="auto"/>
            <w:vAlign w:val="center"/>
          </w:tcPr>
          <w:p w14:paraId="3443CD0D"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281E2F3C"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4D4E3933" w14:textId="77777777" w:rsidTr="00E9350B">
        <w:tc>
          <w:tcPr>
            <w:tcW w:w="20000" w:type="dxa"/>
            <w:shd w:val="clear" w:color="auto" w:fill="auto"/>
            <w:vAlign w:val="center"/>
          </w:tcPr>
          <w:p w14:paraId="076D3786"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45 信息技术</w:t>
            </w:r>
          </w:p>
        </w:tc>
        <w:tc>
          <w:tcPr>
            <w:tcW w:w="20000" w:type="dxa"/>
            <w:shd w:val="clear" w:color="auto" w:fill="auto"/>
            <w:vAlign w:val="center"/>
          </w:tcPr>
          <w:p w14:paraId="03F7BAFE"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51CD554D"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3987C664" w14:textId="77777777" w:rsidTr="00E9350B">
        <w:tc>
          <w:tcPr>
            <w:tcW w:w="20000" w:type="dxa"/>
            <w:shd w:val="clear" w:color="auto" w:fill="auto"/>
            <w:vAlign w:val="center"/>
          </w:tcPr>
          <w:p w14:paraId="4CF52548"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50 电信服务</w:t>
            </w:r>
          </w:p>
        </w:tc>
        <w:tc>
          <w:tcPr>
            <w:tcW w:w="20000" w:type="dxa"/>
            <w:shd w:val="clear" w:color="auto" w:fill="auto"/>
            <w:vAlign w:val="center"/>
          </w:tcPr>
          <w:p w14:paraId="73A40721"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76B2843B"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7C519024" w14:textId="77777777" w:rsidTr="00E9350B">
        <w:tc>
          <w:tcPr>
            <w:tcW w:w="20000" w:type="dxa"/>
            <w:shd w:val="clear" w:color="auto" w:fill="auto"/>
            <w:vAlign w:val="center"/>
          </w:tcPr>
          <w:p w14:paraId="28D2C704"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55 公用事业</w:t>
            </w:r>
          </w:p>
        </w:tc>
        <w:tc>
          <w:tcPr>
            <w:tcW w:w="20000" w:type="dxa"/>
            <w:shd w:val="clear" w:color="auto" w:fill="auto"/>
            <w:vAlign w:val="center"/>
          </w:tcPr>
          <w:p w14:paraId="3929B261"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0FAD097C"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48DD9EE7" w14:textId="77777777" w:rsidTr="00E9350B">
        <w:tc>
          <w:tcPr>
            <w:tcW w:w="20000" w:type="dxa"/>
            <w:shd w:val="clear" w:color="auto" w:fill="auto"/>
            <w:vAlign w:val="center"/>
          </w:tcPr>
          <w:p w14:paraId="6013BAD3"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60 房地产</w:t>
            </w:r>
          </w:p>
        </w:tc>
        <w:tc>
          <w:tcPr>
            <w:tcW w:w="20000" w:type="dxa"/>
            <w:shd w:val="clear" w:color="auto" w:fill="auto"/>
            <w:vAlign w:val="center"/>
          </w:tcPr>
          <w:p w14:paraId="6FF31355"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c>
          <w:tcPr>
            <w:tcW w:w="20000" w:type="dxa"/>
            <w:shd w:val="clear" w:color="auto" w:fill="auto"/>
            <w:vAlign w:val="center"/>
          </w:tcPr>
          <w:p w14:paraId="5B39862F"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w:t>
            </w:r>
          </w:p>
        </w:tc>
      </w:tr>
      <w:tr w:rsidR="00E35D27" w14:paraId="2A1EE0A6" w14:textId="77777777" w:rsidTr="00E9350B">
        <w:tc>
          <w:tcPr>
            <w:tcW w:w="20000" w:type="dxa"/>
            <w:shd w:val="clear" w:color="auto" w:fill="auto"/>
            <w:vAlign w:val="center"/>
          </w:tcPr>
          <w:p w14:paraId="7925D7FC" w14:textId="77777777" w:rsidR="00E35D27" w:rsidRPr="00B64D57" w:rsidRDefault="00E35D27" w:rsidP="00E9350B">
            <w:pPr>
              <w:spacing w:line="360" w:lineRule="auto"/>
              <w:jc w:val="left"/>
              <w:rPr>
                <w:rFonts w:ascii="宋体" w:hAnsi="宋体" w:cs="宋体"/>
                <w:color w:val="000000"/>
                <w:szCs w:val="24"/>
              </w:rPr>
            </w:pPr>
            <w:r w:rsidRPr="00B64D57">
              <w:rPr>
                <w:rFonts w:ascii="宋体" w:hAnsi="宋体" w:cs="宋体"/>
                <w:color w:val="000000"/>
                <w:szCs w:val="24"/>
              </w:rPr>
              <w:t>合计</w:t>
            </w:r>
          </w:p>
        </w:tc>
        <w:tc>
          <w:tcPr>
            <w:tcW w:w="20000" w:type="dxa"/>
            <w:shd w:val="clear" w:color="auto" w:fill="auto"/>
            <w:vAlign w:val="center"/>
          </w:tcPr>
          <w:p w14:paraId="3BDBD71B"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17,906,907.20</w:t>
            </w:r>
          </w:p>
        </w:tc>
        <w:tc>
          <w:tcPr>
            <w:tcW w:w="20000" w:type="dxa"/>
            <w:shd w:val="clear" w:color="auto" w:fill="auto"/>
            <w:vAlign w:val="center"/>
          </w:tcPr>
          <w:p w14:paraId="7BD80AAF" w14:textId="77777777" w:rsidR="00E35D27" w:rsidRPr="00B64D57" w:rsidRDefault="00E35D27" w:rsidP="00E9350B">
            <w:pPr>
              <w:spacing w:line="360" w:lineRule="auto"/>
              <w:jc w:val="right"/>
              <w:rPr>
                <w:rFonts w:ascii="宋体" w:hAnsi="宋体" w:cs="宋体"/>
                <w:color w:val="000000"/>
                <w:szCs w:val="24"/>
              </w:rPr>
            </w:pPr>
            <w:r w:rsidRPr="00B64D57">
              <w:rPr>
                <w:rFonts w:ascii="宋体" w:hAnsi="宋体" w:cs="宋体"/>
                <w:color w:val="000000"/>
                <w:szCs w:val="24"/>
              </w:rPr>
              <w:t>6.05</w:t>
            </w:r>
          </w:p>
        </w:tc>
      </w:tr>
    </w:tbl>
    <w:p w14:paraId="0CAAEA04" w14:textId="77777777" w:rsidR="00E35D27" w:rsidRPr="00B64D57" w:rsidRDefault="00E35D27" w:rsidP="00E35D27">
      <w:pPr>
        <w:spacing w:line="360" w:lineRule="auto"/>
        <w:rPr>
          <w:rFonts w:ascii="宋体" w:hAnsi="宋体" w:cs="宋体"/>
          <w:color w:val="000000"/>
          <w:szCs w:val="24"/>
        </w:rPr>
      </w:pPr>
      <w:r w:rsidRPr="00B64D57">
        <w:rPr>
          <w:rFonts w:ascii="宋体" w:hAnsi="宋体" w:cs="宋体"/>
          <w:color w:val="000000"/>
          <w:szCs w:val="24"/>
        </w:rPr>
        <w:t>注:（1）以上分类采用全球行业分类标准（GICS）。</w:t>
      </w:r>
    </w:p>
    <w:p w14:paraId="13E05BD2" w14:textId="77777777" w:rsidR="00E35D27" w:rsidRDefault="00E35D27" w:rsidP="00E35D27">
      <w:pPr>
        <w:spacing w:line="360" w:lineRule="auto"/>
        <w:rPr>
          <w:rFonts w:ascii="宋体" w:hAnsi="宋体" w:cs="宋体"/>
          <w:color w:val="000000"/>
          <w:szCs w:val="24"/>
        </w:rPr>
      </w:pPr>
      <w:r w:rsidRPr="00B64D57">
        <w:rPr>
          <w:rFonts w:ascii="宋体" w:hAnsi="宋体" w:cs="宋体"/>
          <w:color w:val="000000"/>
          <w:szCs w:val="24"/>
        </w:rPr>
        <w:t>（2）由于四舍五入的原因市值占基金资产净值的比例分项之和与合计可能有尾差。</w:t>
      </w:r>
    </w:p>
    <w:p w14:paraId="212F3BE4" w14:textId="5F8EA56E" w:rsidR="00E35D27" w:rsidRDefault="00E35D27" w:rsidP="00E35D27">
      <w:pPr>
        <w:pStyle w:val="2"/>
        <w:keepNext w:val="0"/>
        <w:keepLines w:val="0"/>
        <w:spacing w:before="0" w:after="0" w:line="360" w:lineRule="auto"/>
        <w:jc w:val="left"/>
        <w:rPr>
          <w:rFonts w:ascii="宋体" w:eastAsia="宋体" w:hAnsi="宋体"/>
          <w:sz w:val="24"/>
          <w:szCs w:val="24"/>
        </w:rPr>
      </w:pPr>
      <w:r>
        <w:rPr>
          <w:rFonts w:ascii="宋体" w:eastAsia="宋体" w:hAnsi="宋体" w:cs="宋体"/>
          <w:color w:val="000000"/>
          <w:sz w:val="24"/>
          <w:szCs w:val="24"/>
        </w:rPr>
        <w:t>1</w:t>
      </w:r>
      <w:r w:rsidRPr="004F41C2">
        <w:rPr>
          <w:rFonts w:ascii="宋体" w:eastAsia="宋体" w:hAnsi="宋体" w:cs="宋体"/>
          <w:color w:val="000000"/>
          <w:sz w:val="24"/>
          <w:szCs w:val="24"/>
        </w:rPr>
        <w:t>.3</w:t>
      </w:r>
      <w:r w:rsidRPr="004F41C2">
        <w:rPr>
          <w:rFonts w:ascii="宋体" w:eastAsia="宋体" w:hAnsi="宋体"/>
          <w:sz w:val="24"/>
          <w:szCs w:val="24"/>
        </w:rPr>
        <w:t>期末</w:t>
      </w:r>
      <w:r w:rsidRPr="004F41C2">
        <w:rPr>
          <w:rFonts w:ascii="宋体" w:eastAsia="宋体" w:hAnsi="宋体" w:hint="eastAsia"/>
          <w:sz w:val="24"/>
          <w:szCs w:val="24"/>
        </w:rPr>
        <w:t>按公允价值占基金资产净值比例大小排序的股票投资明细</w:t>
      </w:r>
    </w:p>
    <w:p w14:paraId="64A8991F" w14:textId="664BC9C4" w:rsidR="00E35D27" w:rsidRPr="0025270A" w:rsidRDefault="00E35D27" w:rsidP="00E35D27">
      <w:pPr>
        <w:spacing w:line="360" w:lineRule="auto"/>
        <w:rPr>
          <w:rFonts w:asciiTheme="minorEastAsia" w:hAnsiTheme="minorEastAsia"/>
          <w:b/>
          <w:sz w:val="24"/>
          <w:szCs w:val="24"/>
        </w:rPr>
      </w:pPr>
      <w:r>
        <w:rPr>
          <w:rFonts w:ascii="宋体" w:hAnsi="宋体" w:cs="宋体"/>
          <w:b/>
          <w:color w:val="000000"/>
          <w:sz w:val="24"/>
          <w:szCs w:val="24"/>
        </w:rPr>
        <w:t>1</w:t>
      </w:r>
      <w:r w:rsidRPr="008D4B84">
        <w:rPr>
          <w:rFonts w:ascii="宋体" w:hAnsi="宋体" w:cs="宋体"/>
          <w:b/>
          <w:color w:val="000000"/>
          <w:sz w:val="24"/>
          <w:szCs w:val="24"/>
        </w:rPr>
        <w:t>.3.1</w:t>
      </w:r>
      <w:r w:rsidRPr="008D4B84">
        <w:rPr>
          <w:rFonts w:asciiTheme="minorEastAsia" w:hAnsiTheme="minorEastAsia" w:hint="eastAsia"/>
          <w:b/>
          <w:sz w:val="24"/>
          <w:szCs w:val="24"/>
        </w:rPr>
        <w:t>报告</w:t>
      </w:r>
      <w:r w:rsidRPr="008D4B84">
        <w:rPr>
          <w:rFonts w:asciiTheme="minorEastAsia" w:hAnsiTheme="minorEastAsia"/>
          <w:b/>
          <w:sz w:val="24"/>
          <w:szCs w:val="24"/>
        </w:rPr>
        <w:t>期末</w:t>
      </w:r>
      <w:r w:rsidRPr="008D4B84">
        <w:rPr>
          <w:rFonts w:asciiTheme="minorEastAsia" w:hAnsiTheme="minorEastAsia" w:hint="eastAsia"/>
          <w:b/>
          <w:sz w:val="24"/>
          <w:szCs w:val="24"/>
        </w:rPr>
        <w:t>按公允价值占基金资产净值比例大小排序的前十名股票投资明细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349"/>
        <w:gridCol w:w="940"/>
        <w:gridCol w:w="1655"/>
        <w:gridCol w:w="2064"/>
        <w:gridCol w:w="1349"/>
      </w:tblGrid>
      <w:tr w:rsidR="00E35D27" w14:paraId="445F6183" w14:textId="77777777" w:rsidTr="00E9350B">
        <w:tc>
          <w:tcPr>
            <w:tcW w:w="20000" w:type="dxa"/>
            <w:shd w:val="clear" w:color="auto" w:fill="D3D3D3"/>
            <w:vAlign w:val="center"/>
          </w:tcPr>
          <w:p w14:paraId="33073479"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序号</w:t>
            </w:r>
          </w:p>
        </w:tc>
        <w:tc>
          <w:tcPr>
            <w:tcW w:w="20000" w:type="dxa"/>
            <w:shd w:val="clear" w:color="auto" w:fill="D3D3D3"/>
            <w:vAlign w:val="center"/>
          </w:tcPr>
          <w:p w14:paraId="3674C340"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股票代码</w:t>
            </w:r>
          </w:p>
        </w:tc>
        <w:tc>
          <w:tcPr>
            <w:tcW w:w="20000" w:type="dxa"/>
            <w:shd w:val="clear" w:color="auto" w:fill="D3D3D3"/>
            <w:vAlign w:val="center"/>
          </w:tcPr>
          <w:p w14:paraId="3873380E"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股票名称</w:t>
            </w:r>
          </w:p>
        </w:tc>
        <w:tc>
          <w:tcPr>
            <w:tcW w:w="20000" w:type="dxa"/>
            <w:shd w:val="clear" w:color="auto" w:fill="D3D3D3"/>
            <w:vAlign w:val="center"/>
          </w:tcPr>
          <w:p w14:paraId="373A47B4"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数量（股）</w:t>
            </w:r>
          </w:p>
        </w:tc>
        <w:tc>
          <w:tcPr>
            <w:tcW w:w="20000" w:type="dxa"/>
            <w:shd w:val="clear" w:color="auto" w:fill="D3D3D3"/>
            <w:vAlign w:val="center"/>
          </w:tcPr>
          <w:p w14:paraId="51DD9D54"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公允价值（元）</w:t>
            </w:r>
          </w:p>
        </w:tc>
        <w:tc>
          <w:tcPr>
            <w:tcW w:w="20000" w:type="dxa"/>
            <w:shd w:val="clear" w:color="auto" w:fill="D3D3D3"/>
            <w:vAlign w:val="center"/>
          </w:tcPr>
          <w:p w14:paraId="3DE990A8" w14:textId="77777777" w:rsidR="00E35D27" w:rsidRPr="004F41C2" w:rsidRDefault="00E35D27" w:rsidP="00E9350B">
            <w:pPr>
              <w:spacing w:line="360" w:lineRule="auto"/>
              <w:jc w:val="center"/>
              <w:rPr>
                <w:rFonts w:ascii="宋体" w:hAnsi="宋体" w:cs="宋体"/>
                <w:color w:val="000000"/>
                <w:szCs w:val="24"/>
              </w:rPr>
            </w:pPr>
            <w:r w:rsidRPr="004F41C2">
              <w:rPr>
                <w:rFonts w:ascii="宋体" w:hAnsi="宋体" w:cs="宋体"/>
                <w:color w:val="000000"/>
                <w:szCs w:val="24"/>
              </w:rPr>
              <w:t>占基金资产净值比例（％）</w:t>
            </w:r>
          </w:p>
        </w:tc>
      </w:tr>
      <w:tr w:rsidR="00E35D27" w14:paraId="2AC309C8" w14:textId="77777777" w:rsidTr="00E9350B">
        <w:tc>
          <w:tcPr>
            <w:tcW w:w="20000" w:type="dxa"/>
            <w:shd w:val="clear" w:color="auto" w:fill="auto"/>
            <w:vAlign w:val="center"/>
          </w:tcPr>
          <w:p w14:paraId="1A2CA852"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1</w:t>
            </w:r>
          </w:p>
        </w:tc>
        <w:tc>
          <w:tcPr>
            <w:tcW w:w="20000" w:type="dxa"/>
            <w:shd w:val="clear" w:color="auto" w:fill="auto"/>
            <w:vAlign w:val="center"/>
          </w:tcPr>
          <w:p w14:paraId="3E422170"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00883</w:t>
            </w:r>
          </w:p>
        </w:tc>
        <w:tc>
          <w:tcPr>
            <w:tcW w:w="20000" w:type="dxa"/>
            <w:shd w:val="clear" w:color="auto" w:fill="auto"/>
            <w:vAlign w:val="center"/>
          </w:tcPr>
          <w:p w14:paraId="0A09A2C1"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中国海洋石油</w:t>
            </w:r>
          </w:p>
        </w:tc>
        <w:tc>
          <w:tcPr>
            <w:tcW w:w="20000" w:type="dxa"/>
            <w:shd w:val="clear" w:color="auto" w:fill="auto"/>
            <w:vAlign w:val="center"/>
          </w:tcPr>
          <w:p w14:paraId="2EB56A28"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1,520,000</w:t>
            </w:r>
          </w:p>
        </w:tc>
        <w:tc>
          <w:tcPr>
            <w:tcW w:w="20000" w:type="dxa"/>
            <w:shd w:val="clear" w:color="auto" w:fill="auto"/>
            <w:vAlign w:val="center"/>
          </w:tcPr>
          <w:p w14:paraId="00B6422C"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17,906,907.20</w:t>
            </w:r>
          </w:p>
        </w:tc>
        <w:tc>
          <w:tcPr>
            <w:tcW w:w="20000" w:type="dxa"/>
            <w:shd w:val="clear" w:color="auto" w:fill="auto"/>
            <w:vAlign w:val="center"/>
          </w:tcPr>
          <w:p w14:paraId="6B1549F4"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6.05</w:t>
            </w:r>
          </w:p>
        </w:tc>
      </w:tr>
      <w:tr w:rsidR="00E35D27" w14:paraId="694E774A" w14:textId="77777777" w:rsidTr="00E9350B">
        <w:tc>
          <w:tcPr>
            <w:tcW w:w="20000" w:type="dxa"/>
            <w:shd w:val="clear" w:color="auto" w:fill="auto"/>
            <w:vAlign w:val="center"/>
          </w:tcPr>
          <w:p w14:paraId="175B1181"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2</w:t>
            </w:r>
          </w:p>
        </w:tc>
        <w:tc>
          <w:tcPr>
            <w:tcW w:w="20000" w:type="dxa"/>
            <w:shd w:val="clear" w:color="auto" w:fill="auto"/>
            <w:vAlign w:val="center"/>
          </w:tcPr>
          <w:p w14:paraId="1BBB3F28"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601225</w:t>
            </w:r>
          </w:p>
        </w:tc>
        <w:tc>
          <w:tcPr>
            <w:tcW w:w="20000" w:type="dxa"/>
            <w:shd w:val="clear" w:color="auto" w:fill="auto"/>
            <w:vAlign w:val="center"/>
          </w:tcPr>
          <w:p w14:paraId="7972AB55"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陕西煤业</w:t>
            </w:r>
          </w:p>
        </w:tc>
        <w:tc>
          <w:tcPr>
            <w:tcW w:w="20000" w:type="dxa"/>
            <w:shd w:val="clear" w:color="auto" w:fill="auto"/>
            <w:vAlign w:val="center"/>
          </w:tcPr>
          <w:p w14:paraId="3F23D8DC"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376,000</w:t>
            </w:r>
          </w:p>
        </w:tc>
        <w:tc>
          <w:tcPr>
            <w:tcW w:w="20000" w:type="dxa"/>
            <w:shd w:val="clear" w:color="auto" w:fill="auto"/>
            <w:vAlign w:val="center"/>
          </w:tcPr>
          <w:p w14:paraId="5D4348DC"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7,854,640.00</w:t>
            </w:r>
          </w:p>
        </w:tc>
        <w:tc>
          <w:tcPr>
            <w:tcW w:w="20000" w:type="dxa"/>
            <w:shd w:val="clear" w:color="auto" w:fill="auto"/>
            <w:vAlign w:val="center"/>
          </w:tcPr>
          <w:p w14:paraId="794F110F"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2.65</w:t>
            </w:r>
          </w:p>
        </w:tc>
      </w:tr>
      <w:tr w:rsidR="00E35D27" w14:paraId="55B17997" w14:textId="77777777" w:rsidTr="00E9350B">
        <w:tc>
          <w:tcPr>
            <w:tcW w:w="20000" w:type="dxa"/>
            <w:shd w:val="clear" w:color="auto" w:fill="auto"/>
            <w:vAlign w:val="center"/>
          </w:tcPr>
          <w:p w14:paraId="0243420E"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3</w:t>
            </w:r>
          </w:p>
        </w:tc>
        <w:tc>
          <w:tcPr>
            <w:tcW w:w="20000" w:type="dxa"/>
            <w:shd w:val="clear" w:color="auto" w:fill="auto"/>
            <w:vAlign w:val="center"/>
          </w:tcPr>
          <w:p w14:paraId="6949C356"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601899</w:t>
            </w:r>
          </w:p>
        </w:tc>
        <w:tc>
          <w:tcPr>
            <w:tcW w:w="20000" w:type="dxa"/>
            <w:shd w:val="clear" w:color="auto" w:fill="auto"/>
            <w:vAlign w:val="center"/>
          </w:tcPr>
          <w:p w14:paraId="4DD7B98C"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紫金矿业</w:t>
            </w:r>
          </w:p>
        </w:tc>
        <w:tc>
          <w:tcPr>
            <w:tcW w:w="20000" w:type="dxa"/>
            <w:shd w:val="clear" w:color="auto" w:fill="auto"/>
            <w:vAlign w:val="center"/>
          </w:tcPr>
          <w:p w14:paraId="67F611A4"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625,200</w:t>
            </w:r>
          </w:p>
        </w:tc>
        <w:tc>
          <w:tcPr>
            <w:tcW w:w="20000" w:type="dxa"/>
            <w:shd w:val="clear" w:color="auto" w:fill="auto"/>
            <w:vAlign w:val="center"/>
          </w:tcPr>
          <w:p w14:paraId="660F9BFD"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7,789,992.00</w:t>
            </w:r>
          </w:p>
        </w:tc>
        <w:tc>
          <w:tcPr>
            <w:tcW w:w="20000" w:type="dxa"/>
            <w:shd w:val="clear" w:color="auto" w:fill="auto"/>
            <w:vAlign w:val="center"/>
          </w:tcPr>
          <w:p w14:paraId="7FE029D3"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2.63</w:t>
            </w:r>
          </w:p>
        </w:tc>
      </w:tr>
      <w:tr w:rsidR="00E35D27" w14:paraId="74796915" w14:textId="77777777" w:rsidTr="00E9350B">
        <w:tc>
          <w:tcPr>
            <w:tcW w:w="20000" w:type="dxa"/>
            <w:shd w:val="clear" w:color="auto" w:fill="auto"/>
            <w:vAlign w:val="center"/>
          </w:tcPr>
          <w:p w14:paraId="14926C1A"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4</w:t>
            </w:r>
          </w:p>
        </w:tc>
        <w:tc>
          <w:tcPr>
            <w:tcW w:w="20000" w:type="dxa"/>
            <w:shd w:val="clear" w:color="auto" w:fill="auto"/>
            <w:vAlign w:val="center"/>
          </w:tcPr>
          <w:p w14:paraId="5049D78B"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000932</w:t>
            </w:r>
          </w:p>
        </w:tc>
        <w:tc>
          <w:tcPr>
            <w:tcW w:w="20000" w:type="dxa"/>
            <w:shd w:val="clear" w:color="auto" w:fill="auto"/>
            <w:vAlign w:val="center"/>
          </w:tcPr>
          <w:p w14:paraId="3BDECEE1"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华菱钢铁</w:t>
            </w:r>
          </w:p>
        </w:tc>
        <w:tc>
          <w:tcPr>
            <w:tcW w:w="20000" w:type="dxa"/>
            <w:shd w:val="clear" w:color="auto" w:fill="auto"/>
            <w:vAlign w:val="center"/>
          </w:tcPr>
          <w:p w14:paraId="6DB37057"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662,900</w:t>
            </w:r>
          </w:p>
        </w:tc>
        <w:tc>
          <w:tcPr>
            <w:tcW w:w="20000" w:type="dxa"/>
            <w:shd w:val="clear" w:color="auto" w:fill="auto"/>
            <w:vAlign w:val="center"/>
          </w:tcPr>
          <w:p w14:paraId="17E9BB4F"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3,413,935.00</w:t>
            </w:r>
          </w:p>
        </w:tc>
        <w:tc>
          <w:tcPr>
            <w:tcW w:w="20000" w:type="dxa"/>
            <w:shd w:val="clear" w:color="auto" w:fill="auto"/>
            <w:vAlign w:val="center"/>
          </w:tcPr>
          <w:p w14:paraId="7CC3895B"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1.15</w:t>
            </w:r>
          </w:p>
        </w:tc>
      </w:tr>
      <w:tr w:rsidR="00E35D27" w14:paraId="3A6F70A4" w14:textId="77777777" w:rsidTr="00E9350B">
        <w:tc>
          <w:tcPr>
            <w:tcW w:w="20000" w:type="dxa"/>
            <w:shd w:val="clear" w:color="auto" w:fill="auto"/>
            <w:vAlign w:val="center"/>
          </w:tcPr>
          <w:p w14:paraId="70C142BC"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5</w:t>
            </w:r>
          </w:p>
        </w:tc>
        <w:tc>
          <w:tcPr>
            <w:tcW w:w="20000" w:type="dxa"/>
            <w:shd w:val="clear" w:color="auto" w:fill="auto"/>
            <w:vAlign w:val="center"/>
          </w:tcPr>
          <w:p w14:paraId="412A2D18"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600348</w:t>
            </w:r>
          </w:p>
        </w:tc>
        <w:tc>
          <w:tcPr>
            <w:tcW w:w="20000" w:type="dxa"/>
            <w:shd w:val="clear" w:color="auto" w:fill="auto"/>
            <w:vAlign w:val="center"/>
          </w:tcPr>
          <w:p w14:paraId="0A10C2DF"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华阳股份</w:t>
            </w:r>
          </w:p>
        </w:tc>
        <w:tc>
          <w:tcPr>
            <w:tcW w:w="20000" w:type="dxa"/>
            <w:shd w:val="clear" w:color="auto" w:fill="auto"/>
            <w:vAlign w:val="center"/>
          </w:tcPr>
          <w:p w14:paraId="40108DA0"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349,600</w:t>
            </w:r>
          </w:p>
        </w:tc>
        <w:tc>
          <w:tcPr>
            <w:tcW w:w="20000" w:type="dxa"/>
            <w:shd w:val="clear" w:color="auto" w:fill="auto"/>
            <w:vAlign w:val="center"/>
          </w:tcPr>
          <w:p w14:paraId="5615F7D5"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3,412,096.00</w:t>
            </w:r>
          </w:p>
        </w:tc>
        <w:tc>
          <w:tcPr>
            <w:tcW w:w="20000" w:type="dxa"/>
            <w:shd w:val="clear" w:color="auto" w:fill="auto"/>
            <w:vAlign w:val="center"/>
          </w:tcPr>
          <w:p w14:paraId="23D195E0"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1.15</w:t>
            </w:r>
          </w:p>
        </w:tc>
      </w:tr>
      <w:tr w:rsidR="00E35D27" w14:paraId="1558D2F6" w14:textId="77777777" w:rsidTr="00E9350B">
        <w:tc>
          <w:tcPr>
            <w:tcW w:w="20000" w:type="dxa"/>
            <w:shd w:val="clear" w:color="auto" w:fill="auto"/>
            <w:vAlign w:val="center"/>
          </w:tcPr>
          <w:p w14:paraId="60411B3E"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w:t>
            </w:r>
          </w:p>
        </w:tc>
        <w:tc>
          <w:tcPr>
            <w:tcW w:w="20000" w:type="dxa"/>
            <w:shd w:val="clear" w:color="auto" w:fill="auto"/>
            <w:vAlign w:val="center"/>
          </w:tcPr>
          <w:p w14:paraId="3CBF074B"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600256</w:t>
            </w:r>
          </w:p>
        </w:tc>
        <w:tc>
          <w:tcPr>
            <w:tcW w:w="20000" w:type="dxa"/>
            <w:shd w:val="clear" w:color="auto" w:fill="auto"/>
            <w:vAlign w:val="center"/>
          </w:tcPr>
          <w:p w14:paraId="0787A60F"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广汇能源</w:t>
            </w:r>
          </w:p>
        </w:tc>
        <w:tc>
          <w:tcPr>
            <w:tcW w:w="20000" w:type="dxa"/>
            <w:shd w:val="clear" w:color="auto" w:fill="auto"/>
            <w:vAlign w:val="center"/>
          </w:tcPr>
          <w:p w14:paraId="79FA50CE"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389,200</w:t>
            </w:r>
          </w:p>
        </w:tc>
        <w:tc>
          <w:tcPr>
            <w:tcW w:w="20000" w:type="dxa"/>
            <w:shd w:val="clear" w:color="auto" w:fill="auto"/>
            <w:vAlign w:val="center"/>
          </w:tcPr>
          <w:p w14:paraId="12FAFA5B"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2,778,888.00</w:t>
            </w:r>
          </w:p>
        </w:tc>
        <w:tc>
          <w:tcPr>
            <w:tcW w:w="20000" w:type="dxa"/>
            <w:shd w:val="clear" w:color="auto" w:fill="auto"/>
            <w:vAlign w:val="center"/>
          </w:tcPr>
          <w:p w14:paraId="416330ED"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0.94</w:t>
            </w:r>
          </w:p>
        </w:tc>
      </w:tr>
      <w:tr w:rsidR="00E35D27" w14:paraId="6B6D37B8" w14:textId="77777777" w:rsidTr="00E9350B">
        <w:tc>
          <w:tcPr>
            <w:tcW w:w="20000" w:type="dxa"/>
            <w:shd w:val="clear" w:color="auto" w:fill="auto"/>
            <w:vAlign w:val="center"/>
          </w:tcPr>
          <w:p w14:paraId="0BA1D933"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7</w:t>
            </w:r>
          </w:p>
        </w:tc>
        <w:tc>
          <w:tcPr>
            <w:tcW w:w="20000" w:type="dxa"/>
            <w:shd w:val="clear" w:color="auto" w:fill="auto"/>
            <w:vAlign w:val="center"/>
          </w:tcPr>
          <w:p w14:paraId="5B1624FC"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601339</w:t>
            </w:r>
          </w:p>
        </w:tc>
        <w:tc>
          <w:tcPr>
            <w:tcW w:w="20000" w:type="dxa"/>
            <w:shd w:val="clear" w:color="auto" w:fill="auto"/>
            <w:vAlign w:val="center"/>
          </w:tcPr>
          <w:p w14:paraId="7B95BEDF"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百隆东方</w:t>
            </w:r>
          </w:p>
        </w:tc>
        <w:tc>
          <w:tcPr>
            <w:tcW w:w="20000" w:type="dxa"/>
            <w:shd w:val="clear" w:color="auto" w:fill="auto"/>
            <w:vAlign w:val="center"/>
          </w:tcPr>
          <w:p w14:paraId="3AC85D5C"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424,400</w:t>
            </w:r>
          </w:p>
        </w:tc>
        <w:tc>
          <w:tcPr>
            <w:tcW w:w="20000" w:type="dxa"/>
            <w:shd w:val="clear" w:color="auto" w:fill="auto"/>
            <w:vAlign w:val="center"/>
          </w:tcPr>
          <w:p w14:paraId="33B25F13"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2,066,828.00</w:t>
            </w:r>
          </w:p>
        </w:tc>
        <w:tc>
          <w:tcPr>
            <w:tcW w:w="20000" w:type="dxa"/>
            <w:shd w:val="clear" w:color="auto" w:fill="auto"/>
            <w:vAlign w:val="center"/>
          </w:tcPr>
          <w:p w14:paraId="5CF62EC6"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0.70</w:t>
            </w:r>
          </w:p>
        </w:tc>
      </w:tr>
      <w:tr w:rsidR="00E35D27" w14:paraId="37FA6227" w14:textId="77777777" w:rsidTr="00E9350B">
        <w:tc>
          <w:tcPr>
            <w:tcW w:w="20000" w:type="dxa"/>
            <w:shd w:val="clear" w:color="auto" w:fill="auto"/>
            <w:vAlign w:val="center"/>
          </w:tcPr>
          <w:p w14:paraId="57FF8D39"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8</w:t>
            </w:r>
          </w:p>
        </w:tc>
        <w:tc>
          <w:tcPr>
            <w:tcW w:w="20000" w:type="dxa"/>
            <w:shd w:val="clear" w:color="auto" w:fill="auto"/>
            <w:vAlign w:val="center"/>
          </w:tcPr>
          <w:p w14:paraId="01D99575"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600546</w:t>
            </w:r>
          </w:p>
        </w:tc>
        <w:tc>
          <w:tcPr>
            <w:tcW w:w="20000" w:type="dxa"/>
            <w:shd w:val="clear" w:color="auto" w:fill="auto"/>
            <w:vAlign w:val="center"/>
          </w:tcPr>
          <w:p w14:paraId="13476380" w14:textId="77777777" w:rsidR="00E35D27" w:rsidRPr="004F41C2" w:rsidRDefault="00E35D27" w:rsidP="00E9350B">
            <w:pPr>
              <w:spacing w:line="360" w:lineRule="auto"/>
              <w:jc w:val="left"/>
              <w:rPr>
                <w:rFonts w:ascii="宋体" w:hAnsi="宋体" w:cs="宋体"/>
                <w:color w:val="000000"/>
                <w:szCs w:val="24"/>
              </w:rPr>
            </w:pPr>
            <w:r w:rsidRPr="004F41C2">
              <w:rPr>
                <w:rFonts w:ascii="宋体" w:hAnsi="宋体" w:cs="宋体"/>
                <w:color w:val="000000"/>
                <w:szCs w:val="24"/>
              </w:rPr>
              <w:t>山煤国</w:t>
            </w:r>
            <w:r w:rsidRPr="004F41C2">
              <w:rPr>
                <w:rFonts w:ascii="宋体" w:hAnsi="宋体" w:cs="宋体"/>
                <w:color w:val="000000"/>
                <w:szCs w:val="24"/>
              </w:rPr>
              <w:lastRenderedPageBreak/>
              <w:t>际</w:t>
            </w:r>
          </w:p>
        </w:tc>
        <w:tc>
          <w:tcPr>
            <w:tcW w:w="20000" w:type="dxa"/>
            <w:shd w:val="clear" w:color="auto" w:fill="auto"/>
            <w:vAlign w:val="center"/>
          </w:tcPr>
          <w:p w14:paraId="34C0EF9C"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lastRenderedPageBreak/>
              <w:t>80,500</w:t>
            </w:r>
          </w:p>
        </w:tc>
        <w:tc>
          <w:tcPr>
            <w:tcW w:w="20000" w:type="dxa"/>
            <w:shd w:val="clear" w:color="auto" w:fill="auto"/>
            <w:vAlign w:val="center"/>
          </w:tcPr>
          <w:p w14:paraId="68B4F070"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1,409,555.00</w:t>
            </w:r>
          </w:p>
        </w:tc>
        <w:tc>
          <w:tcPr>
            <w:tcW w:w="20000" w:type="dxa"/>
            <w:shd w:val="clear" w:color="auto" w:fill="auto"/>
            <w:vAlign w:val="center"/>
          </w:tcPr>
          <w:p w14:paraId="0078DE72" w14:textId="77777777" w:rsidR="00E35D27" w:rsidRPr="004F41C2" w:rsidRDefault="00E35D27" w:rsidP="00E9350B">
            <w:pPr>
              <w:spacing w:line="360" w:lineRule="auto"/>
              <w:jc w:val="right"/>
              <w:rPr>
                <w:rFonts w:ascii="宋体" w:hAnsi="宋体" w:cs="宋体"/>
                <w:color w:val="000000"/>
                <w:szCs w:val="24"/>
              </w:rPr>
            </w:pPr>
            <w:r w:rsidRPr="004F41C2">
              <w:rPr>
                <w:rFonts w:ascii="宋体" w:hAnsi="宋体" w:cs="宋体"/>
                <w:color w:val="000000"/>
                <w:szCs w:val="24"/>
              </w:rPr>
              <w:t>0.48</w:t>
            </w:r>
          </w:p>
        </w:tc>
      </w:tr>
    </w:tbl>
    <w:p w14:paraId="7BAA0FCB" w14:textId="294D02E5" w:rsidR="00E35D27" w:rsidRPr="00E129F9"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Pr>
          <w:rFonts w:ascii="宋体" w:eastAsia="宋体" w:hAnsi="宋体" w:cs="宋体" w:hint="eastAsia"/>
          <w:color w:val="000000"/>
          <w:sz w:val="24"/>
        </w:rPr>
        <w:t>.4</w:t>
      </w:r>
      <w:r>
        <w:rPr>
          <w:rFonts w:ascii="宋体" w:eastAsia="宋体" w:hAnsi="宋体" w:hint="eastAsia"/>
          <w:sz w:val="24"/>
        </w:rPr>
        <w:t>报告</w:t>
      </w:r>
      <w:r w:rsidRPr="005F5EB9">
        <w:rPr>
          <w:rFonts w:ascii="宋体" w:eastAsia="宋体" w:hAnsi="宋体" w:hint="eastAsia"/>
          <w:sz w:val="24"/>
        </w:rPr>
        <w:t>期末按债券品种分类的债券投资组合</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831"/>
        <w:gridCol w:w="2985"/>
        <w:gridCol w:w="1580"/>
        <w:gridCol w:w="2963"/>
      </w:tblGrid>
      <w:tr w:rsidR="00E35D27" w14:paraId="01ADC03A" w14:textId="77777777" w:rsidTr="00E9350B">
        <w:trPr>
          <w:trHeight w:val="315"/>
        </w:trPr>
        <w:tc>
          <w:tcPr>
            <w:tcW w:w="831" w:type="dxa"/>
            <w:shd w:val="clear" w:color="auto" w:fill="D9D9D9"/>
            <w:vAlign w:val="center"/>
          </w:tcPr>
          <w:p w14:paraId="462CD761" w14:textId="77777777" w:rsidR="00E35D27" w:rsidRPr="00FF08A2" w:rsidRDefault="00E35D27" w:rsidP="00E9350B">
            <w:pPr>
              <w:spacing w:line="360" w:lineRule="auto"/>
              <w:jc w:val="center"/>
              <w:rPr>
                <w:rFonts w:ascii="宋体" w:hAnsi="宋体"/>
                <w:color w:val="000000" w:themeColor="text1"/>
                <w:szCs w:val="24"/>
              </w:rPr>
            </w:pPr>
            <w:r w:rsidRPr="00FF08A2">
              <w:rPr>
                <w:rFonts w:ascii="宋体" w:hAnsi="宋体" w:hint="eastAsia"/>
                <w:color w:val="000000" w:themeColor="text1"/>
                <w:szCs w:val="24"/>
              </w:rPr>
              <w:t>序号</w:t>
            </w:r>
          </w:p>
        </w:tc>
        <w:tc>
          <w:tcPr>
            <w:tcW w:w="2985" w:type="dxa"/>
            <w:shd w:val="clear" w:color="auto" w:fill="D9D9D9"/>
            <w:vAlign w:val="center"/>
          </w:tcPr>
          <w:p w14:paraId="414F8F29" w14:textId="77777777" w:rsidR="00E35D27" w:rsidRPr="00FF08A2" w:rsidRDefault="00E35D27" w:rsidP="00E9350B">
            <w:pPr>
              <w:spacing w:line="360" w:lineRule="auto"/>
              <w:jc w:val="center"/>
              <w:rPr>
                <w:rFonts w:ascii="宋体" w:hAnsi="宋体"/>
                <w:color w:val="000000" w:themeColor="text1"/>
                <w:szCs w:val="24"/>
              </w:rPr>
            </w:pPr>
            <w:r w:rsidRPr="00FF08A2">
              <w:rPr>
                <w:rFonts w:ascii="宋体" w:hAnsi="宋体" w:hint="eastAsia"/>
                <w:color w:val="000000" w:themeColor="text1"/>
                <w:szCs w:val="24"/>
              </w:rPr>
              <w:t>债券品种</w:t>
            </w:r>
          </w:p>
        </w:tc>
        <w:tc>
          <w:tcPr>
            <w:tcW w:w="1580" w:type="dxa"/>
            <w:shd w:val="clear" w:color="auto" w:fill="D9D9D9"/>
            <w:vAlign w:val="center"/>
          </w:tcPr>
          <w:p w14:paraId="2433F974" w14:textId="77777777" w:rsidR="00E35D27" w:rsidRPr="00FF08A2" w:rsidRDefault="00E35D27" w:rsidP="00E9350B">
            <w:pPr>
              <w:spacing w:line="360" w:lineRule="auto"/>
              <w:jc w:val="center"/>
              <w:rPr>
                <w:rFonts w:ascii="宋体" w:hAnsi="宋体"/>
                <w:color w:val="000000" w:themeColor="text1"/>
                <w:szCs w:val="24"/>
              </w:rPr>
            </w:pPr>
            <w:r w:rsidRPr="00FF08A2">
              <w:rPr>
                <w:rFonts w:ascii="宋体" w:hAnsi="宋体" w:hint="eastAsia"/>
                <w:color w:val="000000" w:themeColor="text1"/>
                <w:szCs w:val="24"/>
              </w:rPr>
              <w:t>公允价值</w:t>
            </w:r>
            <w:r>
              <w:rPr>
                <w:rFonts w:ascii="宋体" w:hAnsi="宋体" w:hint="eastAsia"/>
                <w:color w:val="000000" w:themeColor="text1"/>
                <w:szCs w:val="24"/>
              </w:rPr>
              <w:t>（元）</w:t>
            </w:r>
          </w:p>
        </w:tc>
        <w:tc>
          <w:tcPr>
            <w:tcW w:w="2963" w:type="dxa"/>
            <w:shd w:val="clear" w:color="auto" w:fill="D9D9D9"/>
            <w:vAlign w:val="center"/>
          </w:tcPr>
          <w:p w14:paraId="78F59DA5" w14:textId="77777777" w:rsidR="00E35D27" w:rsidRPr="00FF08A2" w:rsidRDefault="00E35D27" w:rsidP="00E9350B">
            <w:pPr>
              <w:spacing w:line="360" w:lineRule="auto"/>
              <w:jc w:val="center"/>
              <w:rPr>
                <w:rFonts w:ascii="宋体" w:hAnsi="宋体"/>
                <w:color w:val="000000" w:themeColor="text1"/>
                <w:szCs w:val="24"/>
              </w:rPr>
            </w:pPr>
            <w:r w:rsidRPr="00FF08A2">
              <w:rPr>
                <w:rFonts w:ascii="宋体" w:hAnsi="宋体" w:hint="eastAsia"/>
                <w:color w:val="000000" w:themeColor="text1"/>
                <w:szCs w:val="24"/>
              </w:rPr>
              <w:t>占基金资产净值比例（％）</w:t>
            </w:r>
          </w:p>
        </w:tc>
      </w:tr>
      <w:tr w:rsidR="00E35D27" w14:paraId="3EAC647D" w14:textId="77777777" w:rsidTr="00E9350B">
        <w:trPr>
          <w:trHeight w:val="315"/>
        </w:trPr>
        <w:tc>
          <w:tcPr>
            <w:tcW w:w="831" w:type="dxa"/>
            <w:vAlign w:val="center"/>
          </w:tcPr>
          <w:p w14:paraId="01B41929"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1</w:t>
            </w:r>
          </w:p>
        </w:tc>
        <w:tc>
          <w:tcPr>
            <w:tcW w:w="2985" w:type="dxa"/>
            <w:vAlign w:val="center"/>
          </w:tcPr>
          <w:p w14:paraId="7535F430"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国家债券</w:t>
            </w:r>
          </w:p>
        </w:tc>
        <w:tc>
          <w:tcPr>
            <w:tcW w:w="1580" w:type="dxa"/>
            <w:vAlign w:val="center"/>
          </w:tcPr>
          <w:p w14:paraId="31E5D26A"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33,683,214.87</w:t>
            </w:r>
          </w:p>
        </w:tc>
        <w:tc>
          <w:tcPr>
            <w:tcW w:w="2963" w:type="dxa"/>
            <w:vAlign w:val="center"/>
          </w:tcPr>
          <w:p w14:paraId="58C5FDF4"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11.38</w:t>
            </w:r>
          </w:p>
        </w:tc>
      </w:tr>
      <w:tr w:rsidR="00E35D27" w14:paraId="1B7AE5A4" w14:textId="77777777" w:rsidTr="00E9350B">
        <w:trPr>
          <w:trHeight w:val="315"/>
        </w:trPr>
        <w:tc>
          <w:tcPr>
            <w:tcW w:w="831" w:type="dxa"/>
            <w:vAlign w:val="center"/>
          </w:tcPr>
          <w:p w14:paraId="7697E9FF"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2</w:t>
            </w:r>
          </w:p>
        </w:tc>
        <w:tc>
          <w:tcPr>
            <w:tcW w:w="2985" w:type="dxa"/>
            <w:vAlign w:val="center"/>
          </w:tcPr>
          <w:p w14:paraId="3CF8CCA1"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央行票据</w:t>
            </w:r>
          </w:p>
        </w:tc>
        <w:tc>
          <w:tcPr>
            <w:tcW w:w="1580" w:type="dxa"/>
            <w:vAlign w:val="center"/>
          </w:tcPr>
          <w:p w14:paraId="2FCF1308"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w:t>
            </w:r>
          </w:p>
        </w:tc>
        <w:tc>
          <w:tcPr>
            <w:tcW w:w="2963" w:type="dxa"/>
            <w:vAlign w:val="center"/>
          </w:tcPr>
          <w:p w14:paraId="3619EBE1"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w:t>
            </w:r>
          </w:p>
        </w:tc>
      </w:tr>
      <w:tr w:rsidR="00E35D27" w14:paraId="651F35AE" w14:textId="77777777" w:rsidTr="00E9350B">
        <w:trPr>
          <w:trHeight w:val="315"/>
        </w:trPr>
        <w:tc>
          <w:tcPr>
            <w:tcW w:w="831" w:type="dxa"/>
            <w:vAlign w:val="center"/>
          </w:tcPr>
          <w:p w14:paraId="54C88251"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3</w:t>
            </w:r>
          </w:p>
        </w:tc>
        <w:tc>
          <w:tcPr>
            <w:tcW w:w="2985" w:type="dxa"/>
            <w:vAlign w:val="center"/>
          </w:tcPr>
          <w:p w14:paraId="2B3C510B"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金融债券</w:t>
            </w:r>
          </w:p>
        </w:tc>
        <w:tc>
          <w:tcPr>
            <w:tcW w:w="1580" w:type="dxa"/>
            <w:vAlign w:val="center"/>
          </w:tcPr>
          <w:p w14:paraId="43FDD0E3"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51,380,056.77</w:t>
            </w:r>
          </w:p>
        </w:tc>
        <w:tc>
          <w:tcPr>
            <w:tcW w:w="2963" w:type="dxa"/>
            <w:vAlign w:val="center"/>
          </w:tcPr>
          <w:p w14:paraId="7B436FA6"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17.35</w:t>
            </w:r>
          </w:p>
        </w:tc>
      </w:tr>
      <w:tr w:rsidR="00E35D27" w14:paraId="7990846C" w14:textId="77777777" w:rsidTr="00E9350B">
        <w:trPr>
          <w:trHeight w:val="315"/>
        </w:trPr>
        <w:tc>
          <w:tcPr>
            <w:tcW w:w="831" w:type="dxa"/>
            <w:vAlign w:val="center"/>
          </w:tcPr>
          <w:p w14:paraId="795B3025" w14:textId="77777777" w:rsidR="00E35D27" w:rsidRPr="00FF08A2" w:rsidRDefault="00E35D27" w:rsidP="00E9350B">
            <w:pPr>
              <w:spacing w:line="360" w:lineRule="auto"/>
              <w:rPr>
                <w:rFonts w:ascii="宋体" w:hAnsi="宋体"/>
                <w:color w:val="000000" w:themeColor="text1"/>
                <w:szCs w:val="24"/>
              </w:rPr>
            </w:pPr>
          </w:p>
        </w:tc>
        <w:tc>
          <w:tcPr>
            <w:tcW w:w="2985" w:type="dxa"/>
            <w:vAlign w:val="center"/>
          </w:tcPr>
          <w:p w14:paraId="3A52F6C6"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hint="eastAsia"/>
                <w:color w:val="000000" w:themeColor="text1"/>
                <w:szCs w:val="24"/>
              </w:rPr>
              <w:t>其中：政策性金融债</w:t>
            </w:r>
          </w:p>
        </w:tc>
        <w:tc>
          <w:tcPr>
            <w:tcW w:w="1580" w:type="dxa"/>
            <w:vAlign w:val="center"/>
          </w:tcPr>
          <w:p w14:paraId="1BD1E32C"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2963" w:type="dxa"/>
            <w:vAlign w:val="center"/>
          </w:tcPr>
          <w:p w14:paraId="5E04CF45"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7E74402D" w14:textId="77777777" w:rsidTr="00E9350B">
        <w:trPr>
          <w:trHeight w:val="315"/>
        </w:trPr>
        <w:tc>
          <w:tcPr>
            <w:tcW w:w="831" w:type="dxa"/>
            <w:vAlign w:val="center"/>
          </w:tcPr>
          <w:p w14:paraId="383514D4"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4</w:t>
            </w:r>
          </w:p>
        </w:tc>
        <w:tc>
          <w:tcPr>
            <w:tcW w:w="2985" w:type="dxa"/>
            <w:vAlign w:val="center"/>
          </w:tcPr>
          <w:p w14:paraId="676CCA93"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企业债券</w:t>
            </w:r>
          </w:p>
        </w:tc>
        <w:tc>
          <w:tcPr>
            <w:tcW w:w="1580" w:type="dxa"/>
            <w:vAlign w:val="center"/>
          </w:tcPr>
          <w:p w14:paraId="53A46722"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175,100,156.59</w:t>
            </w:r>
          </w:p>
        </w:tc>
        <w:tc>
          <w:tcPr>
            <w:tcW w:w="2963" w:type="dxa"/>
            <w:vAlign w:val="center"/>
          </w:tcPr>
          <w:p w14:paraId="6515553F"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59.14</w:t>
            </w:r>
          </w:p>
        </w:tc>
      </w:tr>
      <w:tr w:rsidR="00E35D27" w14:paraId="69CAB1DC" w14:textId="77777777" w:rsidTr="00E9350B">
        <w:trPr>
          <w:trHeight w:val="315"/>
        </w:trPr>
        <w:tc>
          <w:tcPr>
            <w:tcW w:w="831" w:type="dxa"/>
            <w:vAlign w:val="center"/>
          </w:tcPr>
          <w:p w14:paraId="4CCF0CF0"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5</w:t>
            </w:r>
          </w:p>
        </w:tc>
        <w:tc>
          <w:tcPr>
            <w:tcW w:w="2985" w:type="dxa"/>
            <w:vAlign w:val="center"/>
          </w:tcPr>
          <w:p w14:paraId="3E302024"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hint="eastAsia"/>
                <w:color w:val="000000" w:themeColor="text1"/>
                <w:szCs w:val="24"/>
              </w:rPr>
              <w:t>企业短期融资券</w:t>
            </w:r>
          </w:p>
        </w:tc>
        <w:tc>
          <w:tcPr>
            <w:tcW w:w="1580" w:type="dxa"/>
            <w:vAlign w:val="center"/>
          </w:tcPr>
          <w:p w14:paraId="574DCD75"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2963" w:type="dxa"/>
            <w:vAlign w:val="center"/>
          </w:tcPr>
          <w:p w14:paraId="5ECFED2D"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52599899" w14:textId="77777777" w:rsidTr="00E9350B">
        <w:trPr>
          <w:trHeight w:val="315"/>
        </w:trPr>
        <w:tc>
          <w:tcPr>
            <w:tcW w:w="831" w:type="dxa"/>
            <w:shd w:val="clear" w:color="auto" w:fill="FFFFFF"/>
            <w:vAlign w:val="center"/>
          </w:tcPr>
          <w:p w14:paraId="20162EF3"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6</w:t>
            </w:r>
          </w:p>
        </w:tc>
        <w:tc>
          <w:tcPr>
            <w:tcW w:w="2985" w:type="dxa"/>
            <w:shd w:val="clear" w:color="auto" w:fill="FFFFFF"/>
            <w:vAlign w:val="center"/>
          </w:tcPr>
          <w:p w14:paraId="0E13D495"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hint="eastAsia"/>
                <w:color w:val="000000" w:themeColor="text1"/>
                <w:szCs w:val="24"/>
              </w:rPr>
              <w:t>中期票据</w:t>
            </w:r>
          </w:p>
        </w:tc>
        <w:tc>
          <w:tcPr>
            <w:tcW w:w="1580" w:type="dxa"/>
            <w:shd w:val="clear" w:color="auto" w:fill="FFFFFF"/>
            <w:vAlign w:val="center"/>
          </w:tcPr>
          <w:p w14:paraId="29CF035D"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2963" w:type="dxa"/>
            <w:shd w:val="clear" w:color="auto" w:fill="FFFFFF"/>
            <w:vAlign w:val="center"/>
          </w:tcPr>
          <w:p w14:paraId="05C0D936"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0C44A895" w14:textId="77777777" w:rsidTr="00E9350B">
        <w:trPr>
          <w:trHeight w:val="315"/>
        </w:trPr>
        <w:tc>
          <w:tcPr>
            <w:tcW w:w="831" w:type="dxa"/>
            <w:vAlign w:val="center"/>
          </w:tcPr>
          <w:p w14:paraId="52401753" w14:textId="77777777" w:rsidR="00E35D27" w:rsidRPr="00FF08A2" w:rsidRDefault="00E35D27" w:rsidP="00E9350B">
            <w:pPr>
              <w:spacing w:line="360" w:lineRule="auto"/>
              <w:rPr>
                <w:rFonts w:ascii="宋体" w:hAnsi="宋体"/>
                <w:color w:val="000000" w:themeColor="text1"/>
                <w:szCs w:val="24"/>
              </w:rPr>
            </w:pPr>
            <w:r w:rsidRPr="00FF08A2">
              <w:rPr>
                <w:rFonts w:ascii="宋体" w:hAnsi="宋体" w:hint="eastAsia"/>
                <w:color w:val="000000" w:themeColor="text1"/>
                <w:szCs w:val="24"/>
              </w:rPr>
              <w:t>7</w:t>
            </w:r>
          </w:p>
        </w:tc>
        <w:tc>
          <w:tcPr>
            <w:tcW w:w="2985" w:type="dxa"/>
            <w:vAlign w:val="center"/>
          </w:tcPr>
          <w:p w14:paraId="7FCB9AA6"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可转债</w:t>
            </w:r>
            <w:r w:rsidRPr="00FF08A2">
              <w:rPr>
                <w:rFonts w:ascii="宋体" w:hAnsi="宋体" w:hint="eastAsia"/>
                <w:color w:val="000000" w:themeColor="text1"/>
                <w:szCs w:val="24"/>
              </w:rPr>
              <w:t>（可交换债）</w:t>
            </w:r>
          </w:p>
        </w:tc>
        <w:tc>
          <w:tcPr>
            <w:tcW w:w="1580" w:type="dxa"/>
            <w:vAlign w:val="center"/>
          </w:tcPr>
          <w:p w14:paraId="40F8C7CB"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w:t>
            </w:r>
          </w:p>
        </w:tc>
        <w:tc>
          <w:tcPr>
            <w:tcW w:w="2963" w:type="dxa"/>
            <w:vAlign w:val="center"/>
          </w:tcPr>
          <w:p w14:paraId="23158965"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1C8DF812" w14:textId="77777777" w:rsidTr="00E9350B">
        <w:trPr>
          <w:trHeight w:val="315"/>
        </w:trPr>
        <w:tc>
          <w:tcPr>
            <w:tcW w:w="831" w:type="dxa"/>
            <w:vAlign w:val="center"/>
          </w:tcPr>
          <w:p w14:paraId="41041B25" w14:textId="77777777" w:rsidR="00E35D27" w:rsidRPr="00FF08A2" w:rsidRDefault="00E35D27" w:rsidP="00E9350B">
            <w:pPr>
              <w:spacing w:line="360" w:lineRule="auto"/>
              <w:rPr>
                <w:rFonts w:ascii="宋体" w:hAnsi="宋体"/>
                <w:color w:val="000000" w:themeColor="text1"/>
                <w:kern w:val="0"/>
                <w:szCs w:val="24"/>
              </w:rPr>
            </w:pPr>
            <w:r w:rsidRPr="00FF08A2">
              <w:rPr>
                <w:rFonts w:ascii="宋体" w:hAnsi="宋体" w:hint="eastAsia"/>
                <w:color w:val="000000" w:themeColor="text1"/>
                <w:kern w:val="0"/>
                <w:szCs w:val="24"/>
              </w:rPr>
              <w:t>8</w:t>
            </w:r>
          </w:p>
        </w:tc>
        <w:tc>
          <w:tcPr>
            <w:tcW w:w="2985" w:type="dxa"/>
            <w:vAlign w:val="center"/>
          </w:tcPr>
          <w:p w14:paraId="55922B10" w14:textId="77777777" w:rsidR="00E35D27" w:rsidRPr="00FF08A2" w:rsidRDefault="00E35D27" w:rsidP="00E9350B">
            <w:pPr>
              <w:spacing w:line="360" w:lineRule="auto"/>
              <w:ind w:left="105"/>
              <w:rPr>
                <w:rFonts w:ascii="宋体" w:hAnsi="宋体"/>
                <w:color w:val="000000" w:themeColor="text1"/>
                <w:kern w:val="0"/>
                <w:szCs w:val="24"/>
              </w:rPr>
            </w:pPr>
            <w:r w:rsidRPr="00FF08A2">
              <w:rPr>
                <w:rFonts w:ascii="宋体" w:hAnsi="宋体" w:hint="eastAsia"/>
                <w:color w:val="000000" w:themeColor="text1"/>
                <w:kern w:val="0"/>
                <w:szCs w:val="24"/>
              </w:rPr>
              <w:t>同业存单</w:t>
            </w:r>
          </w:p>
        </w:tc>
        <w:tc>
          <w:tcPr>
            <w:tcW w:w="1580" w:type="dxa"/>
            <w:vAlign w:val="center"/>
          </w:tcPr>
          <w:p w14:paraId="638AEFBC"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2963" w:type="dxa"/>
            <w:vAlign w:val="center"/>
          </w:tcPr>
          <w:p w14:paraId="641BE0DA"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4B85BC50" w14:textId="77777777" w:rsidTr="00E9350B">
        <w:trPr>
          <w:trHeight w:val="315"/>
        </w:trPr>
        <w:tc>
          <w:tcPr>
            <w:tcW w:w="831" w:type="dxa"/>
            <w:vAlign w:val="center"/>
          </w:tcPr>
          <w:p w14:paraId="0D727B19" w14:textId="77777777" w:rsidR="00E35D27" w:rsidRPr="00FF08A2" w:rsidRDefault="00E35D27" w:rsidP="00E9350B">
            <w:pPr>
              <w:spacing w:line="360" w:lineRule="auto"/>
              <w:rPr>
                <w:rFonts w:ascii="宋体" w:hAnsi="宋体" w:cs="宋体"/>
                <w:color w:val="000000" w:themeColor="text1"/>
                <w:kern w:val="0"/>
                <w:szCs w:val="24"/>
              </w:rPr>
            </w:pPr>
            <w:r w:rsidRPr="00FF08A2">
              <w:rPr>
                <w:rFonts w:ascii="宋体" w:hAnsi="宋体" w:cs="宋体"/>
                <w:color w:val="000000"/>
                <w:kern w:val="0"/>
                <w:szCs w:val="24"/>
              </w:rPr>
              <w:t>9</w:t>
            </w:r>
          </w:p>
        </w:tc>
        <w:tc>
          <w:tcPr>
            <w:tcW w:w="2985" w:type="dxa"/>
            <w:vAlign w:val="center"/>
          </w:tcPr>
          <w:p w14:paraId="7BE9162A" w14:textId="77777777" w:rsidR="00E35D27" w:rsidRPr="00FF08A2" w:rsidRDefault="00E35D27" w:rsidP="00E9350B">
            <w:pPr>
              <w:spacing w:line="360" w:lineRule="auto"/>
              <w:ind w:left="105"/>
              <w:rPr>
                <w:rFonts w:ascii="宋体" w:hAnsi="宋体" w:cs="宋体"/>
                <w:color w:val="000000" w:themeColor="text1"/>
                <w:kern w:val="0"/>
                <w:szCs w:val="24"/>
              </w:rPr>
            </w:pPr>
            <w:r w:rsidRPr="00FF08A2">
              <w:rPr>
                <w:rFonts w:ascii="宋体" w:hAnsi="宋体" w:cs="宋体"/>
                <w:color w:val="000000"/>
                <w:kern w:val="0"/>
                <w:szCs w:val="24"/>
              </w:rPr>
              <w:t>地方政府债</w:t>
            </w:r>
          </w:p>
        </w:tc>
        <w:tc>
          <w:tcPr>
            <w:tcW w:w="1580" w:type="dxa"/>
            <w:vAlign w:val="center"/>
          </w:tcPr>
          <w:p w14:paraId="38045048"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c>
          <w:tcPr>
            <w:tcW w:w="2963" w:type="dxa"/>
            <w:vAlign w:val="center"/>
          </w:tcPr>
          <w:p w14:paraId="188899EC"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0AB47645" w14:textId="77777777" w:rsidTr="00E9350B">
        <w:trPr>
          <w:trHeight w:val="315"/>
        </w:trPr>
        <w:tc>
          <w:tcPr>
            <w:tcW w:w="831" w:type="dxa"/>
            <w:vAlign w:val="center"/>
          </w:tcPr>
          <w:p w14:paraId="64963123" w14:textId="77777777" w:rsidR="00E35D27" w:rsidRPr="00FF08A2" w:rsidRDefault="00E35D27" w:rsidP="00E9350B">
            <w:pPr>
              <w:spacing w:line="360" w:lineRule="auto"/>
              <w:rPr>
                <w:rFonts w:ascii="宋体" w:hAnsi="宋体"/>
                <w:color w:val="000000" w:themeColor="text1"/>
                <w:szCs w:val="24"/>
              </w:rPr>
            </w:pPr>
            <w:r>
              <w:rPr>
                <w:rFonts w:ascii="宋体" w:hAnsi="宋体" w:hint="eastAsia"/>
                <w:color w:val="000000" w:themeColor="text1"/>
                <w:szCs w:val="24"/>
              </w:rPr>
              <w:t>10</w:t>
            </w:r>
          </w:p>
        </w:tc>
        <w:tc>
          <w:tcPr>
            <w:tcW w:w="2985" w:type="dxa"/>
            <w:vAlign w:val="center"/>
          </w:tcPr>
          <w:p w14:paraId="70E7F104"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其他</w:t>
            </w:r>
          </w:p>
        </w:tc>
        <w:tc>
          <w:tcPr>
            <w:tcW w:w="1580" w:type="dxa"/>
            <w:vAlign w:val="center"/>
          </w:tcPr>
          <w:p w14:paraId="0D161679"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w:t>
            </w:r>
          </w:p>
        </w:tc>
        <w:tc>
          <w:tcPr>
            <w:tcW w:w="2963" w:type="dxa"/>
            <w:vAlign w:val="center"/>
          </w:tcPr>
          <w:p w14:paraId="2368E8B7"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w:t>
            </w:r>
          </w:p>
        </w:tc>
      </w:tr>
      <w:tr w:rsidR="00E35D27" w14:paraId="248A09F4" w14:textId="77777777" w:rsidTr="00E9350B">
        <w:trPr>
          <w:trHeight w:val="315"/>
        </w:trPr>
        <w:tc>
          <w:tcPr>
            <w:tcW w:w="831" w:type="dxa"/>
            <w:vAlign w:val="center"/>
          </w:tcPr>
          <w:p w14:paraId="4829FAF9" w14:textId="77777777" w:rsidR="00E35D27" w:rsidRPr="00FF08A2" w:rsidRDefault="00E35D27" w:rsidP="00E9350B">
            <w:pPr>
              <w:spacing w:line="360" w:lineRule="auto"/>
              <w:rPr>
                <w:rFonts w:ascii="宋体" w:hAnsi="宋体"/>
                <w:color w:val="000000" w:themeColor="text1"/>
                <w:szCs w:val="24"/>
              </w:rPr>
            </w:pPr>
            <w:r>
              <w:rPr>
                <w:rFonts w:ascii="宋体" w:hAnsi="宋体"/>
                <w:color w:val="000000" w:themeColor="text1"/>
                <w:szCs w:val="24"/>
              </w:rPr>
              <w:t>1</w:t>
            </w:r>
            <w:r>
              <w:rPr>
                <w:rFonts w:ascii="宋体" w:hAnsi="宋体" w:hint="eastAsia"/>
                <w:color w:val="000000" w:themeColor="text1"/>
                <w:szCs w:val="24"/>
              </w:rPr>
              <w:t>1</w:t>
            </w:r>
          </w:p>
        </w:tc>
        <w:tc>
          <w:tcPr>
            <w:tcW w:w="2985" w:type="dxa"/>
            <w:vAlign w:val="center"/>
          </w:tcPr>
          <w:p w14:paraId="0D8E0E5B" w14:textId="77777777" w:rsidR="00E35D27" w:rsidRPr="00FF08A2" w:rsidRDefault="00E35D27" w:rsidP="00E9350B">
            <w:pPr>
              <w:spacing w:line="360" w:lineRule="auto"/>
              <w:ind w:left="105"/>
              <w:rPr>
                <w:rFonts w:ascii="宋体" w:hAnsi="宋体"/>
                <w:color w:val="000000" w:themeColor="text1"/>
                <w:szCs w:val="24"/>
              </w:rPr>
            </w:pPr>
            <w:r w:rsidRPr="00FF08A2">
              <w:rPr>
                <w:rFonts w:ascii="宋体" w:hAnsi="宋体"/>
                <w:color w:val="000000" w:themeColor="text1"/>
                <w:szCs w:val="24"/>
              </w:rPr>
              <w:t>合计</w:t>
            </w:r>
          </w:p>
        </w:tc>
        <w:tc>
          <w:tcPr>
            <w:tcW w:w="1580" w:type="dxa"/>
            <w:vAlign w:val="center"/>
          </w:tcPr>
          <w:p w14:paraId="1DC9821E" w14:textId="77777777" w:rsidR="00E35D27" w:rsidRPr="00FF08A2" w:rsidRDefault="00E35D27" w:rsidP="00E9350B">
            <w:pPr>
              <w:spacing w:line="360" w:lineRule="auto"/>
              <w:jc w:val="right"/>
              <w:rPr>
                <w:rFonts w:ascii="宋体" w:hAnsi="宋体" w:cs="宋体"/>
                <w:color w:val="000000" w:themeColor="text1"/>
                <w:szCs w:val="24"/>
              </w:rPr>
            </w:pPr>
            <w:r w:rsidRPr="00FF08A2">
              <w:rPr>
                <w:rFonts w:ascii="宋体" w:hAnsi="宋体" w:cs="宋体"/>
                <w:color w:val="000000"/>
                <w:szCs w:val="24"/>
              </w:rPr>
              <w:t>260,163,428.23</w:t>
            </w:r>
          </w:p>
        </w:tc>
        <w:tc>
          <w:tcPr>
            <w:tcW w:w="2963" w:type="dxa"/>
            <w:vAlign w:val="center"/>
          </w:tcPr>
          <w:p w14:paraId="56917032" w14:textId="77777777" w:rsidR="00E35D27" w:rsidRPr="00FF08A2" w:rsidRDefault="00E35D27" w:rsidP="00E9350B">
            <w:pPr>
              <w:spacing w:line="360" w:lineRule="auto"/>
              <w:jc w:val="right"/>
              <w:rPr>
                <w:rFonts w:ascii="宋体" w:hAnsi="宋体" w:cs="宋体"/>
                <w:color w:val="000000" w:themeColor="text1"/>
                <w:kern w:val="0"/>
                <w:szCs w:val="24"/>
              </w:rPr>
            </w:pPr>
            <w:r w:rsidRPr="00FF08A2">
              <w:rPr>
                <w:rFonts w:ascii="宋体" w:hAnsi="宋体" w:cs="宋体"/>
                <w:color w:val="000000"/>
                <w:kern w:val="0"/>
                <w:szCs w:val="24"/>
              </w:rPr>
              <w:t>87.88</w:t>
            </w:r>
          </w:p>
        </w:tc>
      </w:tr>
    </w:tbl>
    <w:p w14:paraId="5DB350E4" w14:textId="7AA70D8B" w:rsidR="00E35D27" w:rsidRPr="0025270A" w:rsidRDefault="00E35D27" w:rsidP="0025270A">
      <w:pPr>
        <w:keepNext/>
        <w:keepLines/>
        <w:spacing w:line="360" w:lineRule="auto"/>
        <w:jc w:val="left"/>
        <w:outlineLvl w:val="1"/>
        <w:rPr>
          <w:rFonts w:ascii="宋体" w:hAnsi="宋体"/>
          <w:b/>
          <w:sz w:val="24"/>
        </w:rPr>
      </w:pPr>
      <w:r>
        <w:rPr>
          <w:rFonts w:ascii="宋体" w:hAnsi="宋体" w:cs="宋体"/>
          <w:b/>
          <w:color w:val="000000"/>
          <w:sz w:val="24"/>
        </w:rPr>
        <w:t>1</w:t>
      </w:r>
      <w:r w:rsidRPr="00CC3401">
        <w:rPr>
          <w:rFonts w:ascii="宋体" w:hAnsi="宋体" w:cs="宋体" w:hint="eastAsia"/>
          <w:b/>
          <w:color w:val="000000"/>
          <w:sz w:val="24"/>
        </w:rPr>
        <w:t>.5</w:t>
      </w:r>
      <w:r w:rsidRPr="00CC3401">
        <w:rPr>
          <w:rFonts w:ascii="宋体" w:hAnsi="宋体" w:hint="eastAsia"/>
          <w:b/>
          <w:sz w:val="24"/>
        </w:rPr>
        <w:t>报告期末按公允价值占基金资产净值比例大小排序的前五名债券投资明细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468"/>
        <w:gridCol w:w="957"/>
        <w:gridCol w:w="1468"/>
        <w:gridCol w:w="2081"/>
        <w:gridCol w:w="1366"/>
      </w:tblGrid>
      <w:tr w:rsidR="00E35D27" w14:paraId="51A89068" w14:textId="77777777" w:rsidTr="00E9350B">
        <w:tc>
          <w:tcPr>
            <w:tcW w:w="20000" w:type="dxa"/>
            <w:shd w:val="clear" w:color="auto" w:fill="D3D3D3"/>
            <w:vAlign w:val="center"/>
          </w:tcPr>
          <w:p w14:paraId="43331E1C"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序号</w:t>
            </w:r>
          </w:p>
        </w:tc>
        <w:tc>
          <w:tcPr>
            <w:tcW w:w="20000" w:type="dxa"/>
            <w:shd w:val="clear" w:color="auto" w:fill="D3D3D3"/>
            <w:vAlign w:val="center"/>
          </w:tcPr>
          <w:p w14:paraId="1B16E580"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债券代码</w:t>
            </w:r>
          </w:p>
        </w:tc>
        <w:tc>
          <w:tcPr>
            <w:tcW w:w="20000" w:type="dxa"/>
            <w:shd w:val="clear" w:color="auto" w:fill="D3D3D3"/>
            <w:vAlign w:val="center"/>
          </w:tcPr>
          <w:p w14:paraId="586F245C"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债券名称</w:t>
            </w:r>
          </w:p>
        </w:tc>
        <w:tc>
          <w:tcPr>
            <w:tcW w:w="20000" w:type="dxa"/>
            <w:shd w:val="clear" w:color="auto" w:fill="D3D3D3"/>
            <w:vAlign w:val="center"/>
          </w:tcPr>
          <w:p w14:paraId="3AD2B47D"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数量（张）</w:t>
            </w:r>
          </w:p>
        </w:tc>
        <w:tc>
          <w:tcPr>
            <w:tcW w:w="20000" w:type="dxa"/>
            <w:shd w:val="clear" w:color="auto" w:fill="D3D3D3"/>
            <w:vAlign w:val="center"/>
          </w:tcPr>
          <w:p w14:paraId="4062FBCC"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公允价值（元）</w:t>
            </w:r>
          </w:p>
        </w:tc>
        <w:tc>
          <w:tcPr>
            <w:tcW w:w="20000" w:type="dxa"/>
            <w:shd w:val="clear" w:color="auto" w:fill="D3D3D3"/>
            <w:vAlign w:val="center"/>
          </w:tcPr>
          <w:p w14:paraId="30629987" w14:textId="77777777" w:rsidR="00E35D27" w:rsidRPr="00871BA5" w:rsidRDefault="00E35D27" w:rsidP="00E9350B">
            <w:pPr>
              <w:spacing w:line="360" w:lineRule="auto"/>
              <w:jc w:val="center"/>
              <w:rPr>
                <w:rFonts w:ascii="宋体" w:hAnsi="宋体" w:cs="宋体"/>
                <w:color w:val="000000"/>
                <w:szCs w:val="24"/>
              </w:rPr>
            </w:pPr>
            <w:r w:rsidRPr="00871BA5">
              <w:rPr>
                <w:rFonts w:ascii="宋体" w:hAnsi="宋体" w:cs="宋体"/>
                <w:color w:val="000000"/>
                <w:szCs w:val="24"/>
              </w:rPr>
              <w:t>占基金资产净值比例（％）</w:t>
            </w:r>
          </w:p>
        </w:tc>
      </w:tr>
      <w:tr w:rsidR="00E35D27" w14:paraId="79A79AFA" w14:textId="77777777" w:rsidTr="00E9350B">
        <w:tc>
          <w:tcPr>
            <w:tcW w:w="20000" w:type="dxa"/>
            <w:shd w:val="clear" w:color="auto" w:fill="auto"/>
            <w:vAlign w:val="center"/>
          </w:tcPr>
          <w:p w14:paraId="4AB8C0BE"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w:t>
            </w:r>
          </w:p>
        </w:tc>
        <w:tc>
          <w:tcPr>
            <w:tcW w:w="20000" w:type="dxa"/>
            <w:shd w:val="clear" w:color="auto" w:fill="auto"/>
            <w:vAlign w:val="center"/>
          </w:tcPr>
          <w:p w14:paraId="2CC7267F"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1928032</w:t>
            </w:r>
          </w:p>
        </w:tc>
        <w:tc>
          <w:tcPr>
            <w:tcW w:w="20000" w:type="dxa"/>
            <w:shd w:val="clear" w:color="auto" w:fill="auto"/>
            <w:vAlign w:val="center"/>
          </w:tcPr>
          <w:p w14:paraId="6F1C9812"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19建设银行永续债</w:t>
            </w:r>
          </w:p>
        </w:tc>
        <w:tc>
          <w:tcPr>
            <w:tcW w:w="20000" w:type="dxa"/>
            <w:shd w:val="clear" w:color="auto" w:fill="auto"/>
            <w:vAlign w:val="center"/>
          </w:tcPr>
          <w:p w14:paraId="3702E4BF"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200,000</w:t>
            </w:r>
          </w:p>
        </w:tc>
        <w:tc>
          <w:tcPr>
            <w:tcW w:w="20000" w:type="dxa"/>
            <w:shd w:val="clear" w:color="auto" w:fill="auto"/>
            <w:vAlign w:val="center"/>
          </w:tcPr>
          <w:p w14:paraId="050E571F"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20,356,706.01</w:t>
            </w:r>
          </w:p>
        </w:tc>
        <w:tc>
          <w:tcPr>
            <w:tcW w:w="20000" w:type="dxa"/>
            <w:shd w:val="clear" w:color="auto" w:fill="auto"/>
            <w:vAlign w:val="center"/>
          </w:tcPr>
          <w:p w14:paraId="1230EAAD"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6.88</w:t>
            </w:r>
          </w:p>
        </w:tc>
      </w:tr>
      <w:tr w:rsidR="00E35D27" w14:paraId="4847E8C0" w14:textId="77777777" w:rsidTr="00E9350B">
        <w:tc>
          <w:tcPr>
            <w:tcW w:w="20000" w:type="dxa"/>
            <w:shd w:val="clear" w:color="auto" w:fill="auto"/>
            <w:vAlign w:val="center"/>
          </w:tcPr>
          <w:p w14:paraId="2DF16880"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2</w:t>
            </w:r>
          </w:p>
        </w:tc>
        <w:tc>
          <w:tcPr>
            <w:tcW w:w="20000" w:type="dxa"/>
            <w:shd w:val="clear" w:color="auto" w:fill="auto"/>
            <w:vAlign w:val="center"/>
          </w:tcPr>
          <w:p w14:paraId="2142BDC2"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019729</w:t>
            </w:r>
          </w:p>
        </w:tc>
        <w:tc>
          <w:tcPr>
            <w:tcW w:w="20000" w:type="dxa"/>
            <w:shd w:val="clear" w:color="auto" w:fill="auto"/>
            <w:vAlign w:val="center"/>
          </w:tcPr>
          <w:p w14:paraId="18768B5A"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23国债26</w:t>
            </w:r>
          </w:p>
        </w:tc>
        <w:tc>
          <w:tcPr>
            <w:tcW w:w="20000" w:type="dxa"/>
            <w:shd w:val="clear" w:color="auto" w:fill="auto"/>
            <w:vAlign w:val="center"/>
          </w:tcPr>
          <w:p w14:paraId="16CCC74D"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140,000</w:t>
            </w:r>
          </w:p>
        </w:tc>
        <w:tc>
          <w:tcPr>
            <w:tcW w:w="20000" w:type="dxa"/>
            <w:shd w:val="clear" w:color="auto" w:fill="auto"/>
            <w:vAlign w:val="center"/>
          </w:tcPr>
          <w:p w14:paraId="49069303"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14,166,692.05</w:t>
            </w:r>
          </w:p>
        </w:tc>
        <w:tc>
          <w:tcPr>
            <w:tcW w:w="20000" w:type="dxa"/>
            <w:shd w:val="clear" w:color="auto" w:fill="auto"/>
            <w:vAlign w:val="center"/>
          </w:tcPr>
          <w:p w14:paraId="1C42C337"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4.79</w:t>
            </w:r>
          </w:p>
        </w:tc>
      </w:tr>
      <w:tr w:rsidR="00E35D27" w14:paraId="4596BBBB" w14:textId="77777777" w:rsidTr="00E9350B">
        <w:tc>
          <w:tcPr>
            <w:tcW w:w="20000" w:type="dxa"/>
            <w:shd w:val="clear" w:color="auto" w:fill="auto"/>
            <w:vAlign w:val="center"/>
          </w:tcPr>
          <w:p w14:paraId="09B8EA71"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3</w:t>
            </w:r>
          </w:p>
        </w:tc>
        <w:tc>
          <w:tcPr>
            <w:tcW w:w="20000" w:type="dxa"/>
            <w:shd w:val="clear" w:color="auto" w:fill="auto"/>
            <w:vAlign w:val="center"/>
          </w:tcPr>
          <w:p w14:paraId="1606989E"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122374</w:t>
            </w:r>
          </w:p>
        </w:tc>
        <w:tc>
          <w:tcPr>
            <w:tcW w:w="20000" w:type="dxa"/>
            <w:shd w:val="clear" w:color="auto" w:fill="auto"/>
            <w:vAlign w:val="center"/>
          </w:tcPr>
          <w:p w14:paraId="16199548"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14招商债</w:t>
            </w:r>
          </w:p>
        </w:tc>
        <w:tc>
          <w:tcPr>
            <w:tcW w:w="20000" w:type="dxa"/>
            <w:shd w:val="clear" w:color="auto" w:fill="auto"/>
            <w:vAlign w:val="center"/>
          </w:tcPr>
          <w:p w14:paraId="6E80A141"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100,000</w:t>
            </w:r>
          </w:p>
        </w:tc>
        <w:tc>
          <w:tcPr>
            <w:tcW w:w="20000" w:type="dxa"/>
            <w:shd w:val="clear" w:color="auto" w:fill="auto"/>
            <w:vAlign w:val="center"/>
          </w:tcPr>
          <w:p w14:paraId="57B719FF"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10,579,953.43</w:t>
            </w:r>
          </w:p>
        </w:tc>
        <w:tc>
          <w:tcPr>
            <w:tcW w:w="20000" w:type="dxa"/>
            <w:shd w:val="clear" w:color="auto" w:fill="auto"/>
            <w:vAlign w:val="center"/>
          </w:tcPr>
          <w:p w14:paraId="266D2E52"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3.57</w:t>
            </w:r>
          </w:p>
        </w:tc>
      </w:tr>
      <w:tr w:rsidR="00E35D27" w14:paraId="3BD6827F" w14:textId="77777777" w:rsidTr="00E9350B">
        <w:tc>
          <w:tcPr>
            <w:tcW w:w="20000" w:type="dxa"/>
            <w:shd w:val="clear" w:color="auto" w:fill="auto"/>
            <w:vAlign w:val="center"/>
          </w:tcPr>
          <w:p w14:paraId="42ACDAC3"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4</w:t>
            </w:r>
          </w:p>
        </w:tc>
        <w:tc>
          <w:tcPr>
            <w:tcW w:w="20000" w:type="dxa"/>
            <w:shd w:val="clear" w:color="auto" w:fill="auto"/>
            <w:vAlign w:val="center"/>
          </w:tcPr>
          <w:p w14:paraId="7C513EE8"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188104</w:t>
            </w:r>
          </w:p>
        </w:tc>
        <w:tc>
          <w:tcPr>
            <w:tcW w:w="20000" w:type="dxa"/>
            <w:shd w:val="clear" w:color="auto" w:fill="auto"/>
            <w:vAlign w:val="center"/>
          </w:tcPr>
          <w:p w14:paraId="53E742D7"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21光证Y1</w:t>
            </w:r>
          </w:p>
        </w:tc>
        <w:tc>
          <w:tcPr>
            <w:tcW w:w="20000" w:type="dxa"/>
            <w:shd w:val="clear" w:color="auto" w:fill="auto"/>
            <w:vAlign w:val="center"/>
          </w:tcPr>
          <w:p w14:paraId="69FC15FC"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100,000</w:t>
            </w:r>
          </w:p>
        </w:tc>
        <w:tc>
          <w:tcPr>
            <w:tcW w:w="20000" w:type="dxa"/>
            <w:shd w:val="clear" w:color="auto" w:fill="auto"/>
            <w:vAlign w:val="center"/>
          </w:tcPr>
          <w:p w14:paraId="06E44343"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10,468,976.99</w:t>
            </w:r>
          </w:p>
        </w:tc>
        <w:tc>
          <w:tcPr>
            <w:tcW w:w="20000" w:type="dxa"/>
            <w:shd w:val="clear" w:color="auto" w:fill="auto"/>
            <w:vAlign w:val="center"/>
          </w:tcPr>
          <w:p w14:paraId="7DF5053A"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3.54</w:t>
            </w:r>
          </w:p>
        </w:tc>
      </w:tr>
      <w:tr w:rsidR="00E35D27" w14:paraId="2514FE3B" w14:textId="77777777" w:rsidTr="00E9350B">
        <w:tc>
          <w:tcPr>
            <w:tcW w:w="20000" w:type="dxa"/>
            <w:shd w:val="clear" w:color="auto" w:fill="auto"/>
            <w:vAlign w:val="center"/>
          </w:tcPr>
          <w:p w14:paraId="2F5928DD"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5</w:t>
            </w:r>
          </w:p>
        </w:tc>
        <w:tc>
          <w:tcPr>
            <w:tcW w:w="20000" w:type="dxa"/>
            <w:shd w:val="clear" w:color="auto" w:fill="auto"/>
            <w:vAlign w:val="center"/>
          </w:tcPr>
          <w:p w14:paraId="0A818140"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2028006</w:t>
            </w:r>
          </w:p>
        </w:tc>
        <w:tc>
          <w:tcPr>
            <w:tcW w:w="20000" w:type="dxa"/>
            <w:shd w:val="clear" w:color="auto" w:fill="auto"/>
            <w:vAlign w:val="center"/>
          </w:tcPr>
          <w:p w14:paraId="25483B5C" w14:textId="77777777" w:rsidR="00E35D27" w:rsidRPr="00871BA5" w:rsidRDefault="00E35D27" w:rsidP="00E9350B">
            <w:pPr>
              <w:spacing w:line="360" w:lineRule="auto"/>
              <w:jc w:val="left"/>
              <w:rPr>
                <w:rFonts w:ascii="宋体" w:hAnsi="宋体" w:cs="宋体"/>
                <w:color w:val="000000"/>
                <w:szCs w:val="24"/>
              </w:rPr>
            </w:pPr>
            <w:r w:rsidRPr="00871BA5">
              <w:rPr>
                <w:rFonts w:ascii="宋体" w:hAnsi="宋体" w:cs="宋体"/>
                <w:color w:val="000000"/>
                <w:szCs w:val="24"/>
              </w:rPr>
              <w:t>20邮储</w:t>
            </w:r>
            <w:r w:rsidRPr="00871BA5">
              <w:rPr>
                <w:rFonts w:ascii="宋体" w:hAnsi="宋体" w:cs="宋体"/>
                <w:color w:val="000000"/>
                <w:szCs w:val="24"/>
              </w:rPr>
              <w:lastRenderedPageBreak/>
              <w:t>银行永续债</w:t>
            </w:r>
          </w:p>
        </w:tc>
        <w:tc>
          <w:tcPr>
            <w:tcW w:w="20000" w:type="dxa"/>
            <w:shd w:val="clear" w:color="auto" w:fill="auto"/>
            <w:vAlign w:val="center"/>
          </w:tcPr>
          <w:p w14:paraId="5F19FA5B"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lastRenderedPageBreak/>
              <w:t>100,000</w:t>
            </w:r>
          </w:p>
        </w:tc>
        <w:tc>
          <w:tcPr>
            <w:tcW w:w="20000" w:type="dxa"/>
            <w:shd w:val="clear" w:color="auto" w:fill="auto"/>
            <w:vAlign w:val="center"/>
          </w:tcPr>
          <w:p w14:paraId="02A66F45"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10,400,095.08</w:t>
            </w:r>
          </w:p>
        </w:tc>
        <w:tc>
          <w:tcPr>
            <w:tcW w:w="20000" w:type="dxa"/>
            <w:shd w:val="clear" w:color="auto" w:fill="auto"/>
            <w:vAlign w:val="center"/>
          </w:tcPr>
          <w:p w14:paraId="4607675C" w14:textId="77777777" w:rsidR="00E35D27" w:rsidRPr="00871BA5" w:rsidRDefault="00E35D27" w:rsidP="00E9350B">
            <w:pPr>
              <w:spacing w:line="360" w:lineRule="auto"/>
              <w:jc w:val="right"/>
              <w:rPr>
                <w:rFonts w:ascii="宋体" w:hAnsi="宋体" w:cs="宋体"/>
                <w:color w:val="000000"/>
                <w:szCs w:val="24"/>
              </w:rPr>
            </w:pPr>
            <w:r w:rsidRPr="00871BA5">
              <w:rPr>
                <w:rFonts w:ascii="宋体" w:hAnsi="宋体" w:cs="宋体"/>
                <w:color w:val="000000"/>
                <w:szCs w:val="24"/>
              </w:rPr>
              <w:t>3.51</w:t>
            </w:r>
          </w:p>
        </w:tc>
      </w:tr>
    </w:tbl>
    <w:p w14:paraId="6499CBF3" w14:textId="46037614" w:rsidR="00E35D27" w:rsidRPr="00C91FA7"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sidRPr="00504D41">
        <w:rPr>
          <w:rFonts w:ascii="宋体" w:eastAsia="宋体" w:hAnsi="宋体" w:cs="宋体" w:hint="eastAsia"/>
          <w:color w:val="000000"/>
          <w:sz w:val="24"/>
        </w:rPr>
        <w:t>.6</w:t>
      </w:r>
      <w:r w:rsidRPr="00504D41">
        <w:rPr>
          <w:rFonts w:ascii="宋体" w:eastAsia="宋体" w:hAnsi="宋体" w:hint="eastAsia"/>
          <w:sz w:val="24"/>
        </w:rPr>
        <w:t>报告期末按公允价值占基金资产净值比例大小排序的前十名资产支持证券投资明细</w:t>
      </w:r>
    </w:p>
    <w:p w14:paraId="7B320DAE" w14:textId="77777777" w:rsidR="00E35D27" w:rsidRDefault="00E35D27" w:rsidP="00E35D27">
      <w:pPr>
        <w:spacing w:line="360" w:lineRule="auto"/>
        <w:rPr>
          <w:rFonts w:ascii="宋体" w:hAnsi="宋体" w:cs="宋体"/>
          <w:color w:val="000000"/>
        </w:rPr>
      </w:pPr>
      <w:r w:rsidRPr="00C91FA7">
        <w:rPr>
          <w:rFonts w:ascii="宋体" w:hAnsi="宋体" w:cs="宋体"/>
          <w:color w:val="000000"/>
        </w:rPr>
        <w:t>注:本基金本报告期末未持有资产支持证券。</w:t>
      </w:r>
    </w:p>
    <w:p w14:paraId="4A43B556" w14:textId="279B699C" w:rsidR="00E35D27" w:rsidRPr="007977BF"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sidRPr="007977BF">
        <w:rPr>
          <w:rFonts w:ascii="宋体" w:eastAsia="宋体" w:hAnsi="宋体" w:cs="宋体"/>
          <w:color w:val="000000"/>
          <w:sz w:val="24"/>
        </w:rPr>
        <w:t>.7</w:t>
      </w:r>
      <w:r w:rsidRPr="007977BF">
        <w:rPr>
          <w:rFonts w:ascii="宋体" w:eastAsia="宋体" w:hAnsi="宋体"/>
          <w:sz w:val="24"/>
        </w:rPr>
        <w:t>报告</w:t>
      </w:r>
      <w:r w:rsidRPr="007977BF">
        <w:rPr>
          <w:rFonts w:ascii="宋体" w:eastAsia="宋体" w:hAnsi="宋体" w:hint="eastAsia"/>
          <w:sz w:val="24"/>
        </w:rPr>
        <w:t>期末按公允价值占基金资产净值比例大小排序的前五名贵金属投资明细</w:t>
      </w:r>
    </w:p>
    <w:p w14:paraId="22907817" w14:textId="77777777" w:rsidR="00E35D27" w:rsidRDefault="00E35D27" w:rsidP="00E35D27">
      <w:pPr>
        <w:spacing w:line="360" w:lineRule="auto"/>
        <w:rPr>
          <w:rFonts w:ascii="宋体" w:hAnsi="宋体" w:cs="宋体"/>
          <w:color w:val="000000"/>
        </w:rPr>
      </w:pPr>
      <w:r w:rsidRPr="007977BF">
        <w:rPr>
          <w:rFonts w:ascii="宋体" w:hAnsi="宋体" w:cs="宋体"/>
          <w:color w:val="000000"/>
        </w:rPr>
        <w:t>注:本基金本报告期末未持有贵金属投资。</w:t>
      </w:r>
    </w:p>
    <w:p w14:paraId="1B5BC7A6" w14:textId="18AF12D4" w:rsidR="00E35D27" w:rsidRPr="007F06CD"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Pr>
          <w:rFonts w:ascii="宋体" w:eastAsia="宋体" w:hAnsi="宋体" w:cs="宋体" w:hint="eastAsia"/>
          <w:color w:val="000000"/>
          <w:sz w:val="24"/>
        </w:rPr>
        <w:t>.8</w:t>
      </w:r>
      <w:r>
        <w:rPr>
          <w:rFonts w:ascii="宋体" w:eastAsia="宋体" w:hAnsi="宋体" w:hint="eastAsia"/>
          <w:sz w:val="24"/>
        </w:rPr>
        <w:t>报告</w:t>
      </w:r>
      <w:r w:rsidRPr="007F06CD">
        <w:rPr>
          <w:rFonts w:ascii="宋体" w:eastAsia="宋体" w:hAnsi="宋体" w:hint="eastAsia"/>
          <w:sz w:val="24"/>
        </w:rPr>
        <w:t>期末按公允价值占基金资产净值比例大小排序的前五名权证投资明细</w:t>
      </w:r>
    </w:p>
    <w:p w14:paraId="2B06F51C" w14:textId="77777777" w:rsidR="00E35D27" w:rsidRDefault="00E35D27" w:rsidP="00E35D27">
      <w:pPr>
        <w:spacing w:line="360" w:lineRule="auto"/>
        <w:rPr>
          <w:rFonts w:ascii="宋体" w:hAnsi="宋体" w:cs="宋体"/>
          <w:color w:val="000000"/>
          <w:szCs w:val="24"/>
        </w:rPr>
      </w:pPr>
      <w:r w:rsidRPr="00C468EE">
        <w:rPr>
          <w:rFonts w:ascii="宋体" w:hAnsi="宋体" w:cs="宋体"/>
          <w:color w:val="000000"/>
          <w:szCs w:val="24"/>
        </w:rPr>
        <w:t>注:本基金本报告期末未持有权证投资。</w:t>
      </w:r>
    </w:p>
    <w:p w14:paraId="44F609CA" w14:textId="5BE09268" w:rsidR="00E35D27" w:rsidRPr="00675DD5"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sidRPr="00675DD5">
        <w:rPr>
          <w:rFonts w:ascii="宋体" w:eastAsia="宋体" w:hAnsi="宋体" w:cs="宋体" w:hint="eastAsia"/>
          <w:color w:val="000000"/>
          <w:sz w:val="24"/>
        </w:rPr>
        <w:t>.9</w:t>
      </w:r>
      <w:r w:rsidRPr="00675DD5">
        <w:rPr>
          <w:rFonts w:ascii="宋体" w:eastAsia="宋体" w:hAnsi="宋体" w:hint="eastAsia"/>
          <w:sz w:val="24"/>
        </w:rPr>
        <w:t>报告期末本基金投资的股指期货交易情况说明</w:t>
      </w:r>
    </w:p>
    <w:p w14:paraId="2DE26353" w14:textId="77777777" w:rsidR="00E35D27" w:rsidRDefault="00E35D27" w:rsidP="00E35D27">
      <w:pPr>
        <w:spacing w:line="360" w:lineRule="auto"/>
        <w:rPr>
          <w:rFonts w:ascii="宋体" w:hAnsi="宋体" w:cs="宋体"/>
          <w:color w:val="000000"/>
        </w:rPr>
      </w:pPr>
      <w:r w:rsidRPr="00675DD5">
        <w:rPr>
          <w:rFonts w:ascii="宋体" w:hAnsi="宋体" w:cs="宋体"/>
          <w:color w:val="000000"/>
        </w:rPr>
        <w:t>注:本基金本报告期未投资股指期货。</w:t>
      </w:r>
    </w:p>
    <w:p w14:paraId="610931EE" w14:textId="77CBE2BA" w:rsidR="00E35D27" w:rsidRPr="00C07A78"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sidRPr="00C07A78">
        <w:rPr>
          <w:rFonts w:ascii="宋体" w:eastAsia="宋体" w:hAnsi="宋体" w:cs="宋体" w:hint="eastAsia"/>
          <w:color w:val="000000"/>
          <w:sz w:val="24"/>
        </w:rPr>
        <w:t>.10</w:t>
      </w:r>
      <w:r w:rsidRPr="00C07A78">
        <w:rPr>
          <w:rFonts w:ascii="宋体" w:eastAsia="宋体" w:hAnsi="宋体" w:hint="eastAsia"/>
          <w:sz w:val="24"/>
        </w:rPr>
        <w:t>报告</w:t>
      </w:r>
      <w:r w:rsidRPr="00C07A78">
        <w:rPr>
          <w:rFonts w:ascii="宋体" w:eastAsia="宋体" w:hAnsi="宋体"/>
          <w:sz w:val="24"/>
        </w:rPr>
        <w:t>期</w:t>
      </w:r>
      <w:r w:rsidRPr="00C07A78">
        <w:rPr>
          <w:rFonts w:ascii="宋体" w:eastAsia="宋体" w:hAnsi="宋体" w:hint="eastAsia"/>
          <w:sz w:val="24"/>
        </w:rPr>
        <w:t>末本基金投资的国债期货交易情况说明</w:t>
      </w:r>
    </w:p>
    <w:p w14:paraId="38CD5BF1" w14:textId="77777777" w:rsidR="00E35D27" w:rsidRDefault="00E35D27" w:rsidP="00E35D27">
      <w:pPr>
        <w:spacing w:line="360" w:lineRule="auto"/>
        <w:rPr>
          <w:rFonts w:ascii="宋体" w:hAnsi="宋体" w:cs="宋体"/>
          <w:color w:val="000000"/>
        </w:rPr>
      </w:pPr>
      <w:r w:rsidRPr="00C07A78">
        <w:rPr>
          <w:rFonts w:ascii="宋体" w:hAnsi="宋体" w:cs="宋体"/>
          <w:color w:val="000000"/>
        </w:rPr>
        <w:t>注:本基金本报告期未投资国债期货。</w:t>
      </w:r>
    </w:p>
    <w:p w14:paraId="394CF648" w14:textId="41797E72" w:rsidR="00E35D27" w:rsidRDefault="00E35D27" w:rsidP="00E35D27">
      <w:pPr>
        <w:pStyle w:val="2"/>
        <w:spacing w:before="0" w:after="0" w:line="360" w:lineRule="auto"/>
        <w:jc w:val="left"/>
        <w:rPr>
          <w:rFonts w:ascii="宋体" w:eastAsia="宋体" w:hAnsi="宋体"/>
          <w:sz w:val="24"/>
        </w:rPr>
      </w:pPr>
      <w:r>
        <w:rPr>
          <w:rFonts w:ascii="宋体" w:eastAsia="宋体" w:hAnsi="宋体" w:cs="宋体"/>
          <w:color w:val="000000"/>
          <w:sz w:val="24"/>
        </w:rPr>
        <w:t>1</w:t>
      </w:r>
      <w:r w:rsidRPr="00626288">
        <w:rPr>
          <w:rFonts w:ascii="宋体" w:eastAsia="宋体" w:hAnsi="宋体" w:cs="宋体" w:hint="eastAsia"/>
          <w:color w:val="000000"/>
          <w:sz w:val="24"/>
        </w:rPr>
        <w:t>.11</w:t>
      </w:r>
      <w:r w:rsidRPr="00626288">
        <w:rPr>
          <w:rFonts w:ascii="宋体" w:eastAsia="宋体" w:hAnsi="宋体" w:hint="eastAsia"/>
          <w:sz w:val="24"/>
        </w:rPr>
        <w:t>投资</w:t>
      </w:r>
      <w:r w:rsidRPr="00626288">
        <w:rPr>
          <w:rFonts w:ascii="宋体" w:eastAsia="宋体" w:hAnsi="宋体"/>
          <w:sz w:val="24"/>
        </w:rPr>
        <w:t>组合报告附注</w:t>
      </w:r>
    </w:p>
    <w:p w14:paraId="5890F7CE" w14:textId="605304EB" w:rsidR="00E35D27" w:rsidRPr="009A5EFA" w:rsidRDefault="00E35D27" w:rsidP="00E35D27">
      <w:pPr>
        <w:spacing w:line="360" w:lineRule="auto"/>
        <w:rPr>
          <w:rFonts w:ascii="宋体" w:hAnsi="宋体" w:cs="宋体"/>
          <w:b/>
          <w:color w:val="000000"/>
          <w:sz w:val="24"/>
          <w:szCs w:val="24"/>
        </w:rPr>
      </w:pPr>
      <w:r>
        <w:rPr>
          <w:rFonts w:ascii="宋体" w:hAnsi="宋体" w:cs="宋体"/>
          <w:b/>
          <w:color w:val="000000"/>
          <w:sz w:val="24"/>
          <w:szCs w:val="24"/>
        </w:rPr>
        <w:t>1</w:t>
      </w:r>
      <w:r w:rsidRPr="009A5EFA">
        <w:rPr>
          <w:rFonts w:ascii="宋体" w:hAnsi="宋体" w:cs="宋体"/>
          <w:b/>
          <w:color w:val="000000"/>
          <w:sz w:val="24"/>
          <w:szCs w:val="24"/>
        </w:rPr>
        <w:t>.11.1</w:t>
      </w:r>
    </w:p>
    <w:p w14:paraId="4C7F76E5" w14:textId="77777777" w:rsidR="00E35D27" w:rsidRDefault="00E35D27" w:rsidP="00E35D27">
      <w:pPr>
        <w:spacing w:line="360" w:lineRule="auto"/>
        <w:ind w:firstLineChars="200" w:firstLine="420"/>
        <w:rPr>
          <w:rFonts w:ascii="宋体" w:hAnsi="宋体" w:cs="宋体"/>
          <w:color w:val="000000"/>
          <w:szCs w:val="24"/>
        </w:rPr>
      </w:pPr>
      <w:r w:rsidRPr="00AD66DE">
        <w:rPr>
          <w:rFonts w:ascii="宋体" w:hAnsi="宋体" w:cs="宋体"/>
          <w:color w:val="000000"/>
          <w:szCs w:val="24"/>
        </w:rPr>
        <w:t>本基金投资的前十名证券的发行主体中，中国建设银行股份有限公司、中国邮政储蓄银行股份有限公司、华泰证券股份有限公司出现在报告编制日前一年内受到监管部门公开谴责、处罚的情况。本基金对上述主体发行的相关证券的投资决策程序符合相关法律法规及基金合同的要求。</w:t>
      </w:r>
    </w:p>
    <w:p w14:paraId="51011FF5" w14:textId="4E5D1F6B" w:rsidR="00E35D27" w:rsidRPr="00BC3385" w:rsidRDefault="00E35D27" w:rsidP="00E35D27">
      <w:pPr>
        <w:spacing w:line="360" w:lineRule="auto"/>
        <w:rPr>
          <w:rFonts w:ascii="宋体" w:hAnsi="宋体" w:cs="宋体"/>
          <w:b/>
          <w:color w:val="000000"/>
          <w:sz w:val="24"/>
          <w:szCs w:val="24"/>
        </w:rPr>
      </w:pPr>
      <w:r>
        <w:rPr>
          <w:rFonts w:ascii="宋体" w:hAnsi="宋体" w:cs="宋体"/>
          <w:b/>
          <w:color w:val="000000"/>
          <w:sz w:val="24"/>
          <w:szCs w:val="24"/>
        </w:rPr>
        <w:t>1</w:t>
      </w:r>
      <w:r w:rsidRPr="00BC3385">
        <w:rPr>
          <w:rFonts w:ascii="宋体" w:hAnsi="宋体" w:cs="宋体"/>
          <w:b/>
          <w:color w:val="000000"/>
          <w:sz w:val="24"/>
          <w:szCs w:val="24"/>
        </w:rPr>
        <w:t>.11.2</w:t>
      </w:r>
    </w:p>
    <w:p w14:paraId="3333E201" w14:textId="77777777" w:rsidR="00E35D27" w:rsidRDefault="00E35D27" w:rsidP="00E35D27">
      <w:pPr>
        <w:spacing w:line="360" w:lineRule="auto"/>
        <w:ind w:firstLineChars="200" w:firstLine="420"/>
        <w:rPr>
          <w:rFonts w:ascii="宋体" w:hAnsi="宋体" w:cs="宋体"/>
          <w:color w:val="000000"/>
          <w:szCs w:val="24"/>
        </w:rPr>
      </w:pPr>
      <w:r w:rsidRPr="00E452F7">
        <w:rPr>
          <w:rFonts w:ascii="宋体" w:hAnsi="宋体" w:cs="宋体"/>
          <w:color w:val="000000"/>
          <w:szCs w:val="24"/>
        </w:rPr>
        <w:t>本基金投资的前十名股票没有超出基金合同规定的备选股票库。</w:t>
      </w:r>
    </w:p>
    <w:p w14:paraId="68721EB2" w14:textId="616947BB" w:rsidR="00E35D27" w:rsidRPr="00512472" w:rsidRDefault="00E35D27" w:rsidP="00E35D27">
      <w:pPr>
        <w:spacing w:line="360" w:lineRule="auto"/>
        <w:rPr>
          <w:rFonts w:ascii="宋体" w:hAnsi="宋体"/>
          <w:b/>
          <w:sz w:val="24"/>
          <w:szCs w:val="24"/>
        </w:rPr>
      </w:pPr>
      <w:r>
        <w:rPr>
          <w:rFonts w:ascii="宋体" w:hAnsi="宋体" w:cs="宋体"/>
          <w:b/>
          <w:color w:val="000000"/>
          <w:sz w:val="24"/>
          <w:szCs w:val="24"/>
        </w:rPr>
        <w:t>1.11.3</w:t>
      </w:r>
      <w:r>
        <w:rPr>
          <w:rFonts w:ascii="宋体" w:hAnsi="宋体"/>
          <w:b/>
          <w:sz w:val="24"/>
          <w:szCs w:val="24"/>
        </w:rPr>
        <w:t>其他</w:t>
      </w:r>
      <w:r w:rsidRPr="00683284">
        <w:rPr>
          <w:rFonts w:ascii="宋体" w:hAnsi="宋体"/>
          <w:b/>
          <w:sz w:val="24"/>
          <w:szCs w:val="24"/>
        </w:rPr>
        <w:t>资产构成</w:t>
      </w:r>
    </w:p>
    <w:tbl>
      <w:tblPr>
        <w:tblW w:w="5000" w:type="pct"/>
        <w:tblCellMar>
          <w:left w:w="0" w:type="dxa"/>
          <w:right w:w="0" w:type="dxa"/>
        </w:tblCellMar>
        <w:tblLook w:val="0000" w:firstRow="0" w:lastRow="0" w:firstColumn="0" w:lastColumn="0" w:noHBand="0" w:noVBand="0"/>
      </w:tblPr>
      <w:tblGrid>
        <w:gridCol w:w="526"/>
        <w:gridCol w:w="4130"/>
        <w:gridCol w:w="3640"/>
      </w:tblGrid>
      <w:tr w:rsidR="00E35D27" w14:paraId="1C3BF93D" w14:textId="77777777" w:rsidTr="00E9350B">
        <w:trPr>
          <w:trHeight w:val="285"/>
        </w:trPr>
        <w:tc>
          <w:tcPr>
            <w:tcW w:w="317" w:type="pct"/>
            <w:tcBorders>
              <w:top w:val="single" w:sz="4" w:space="0" w:color="auto"/>
              <w:left w:val="single" w:sz="4" w:space="0" w:color="auto"/>
              <w:bottom w:val="single" w:sz="4" w:space="0" w:color="auto"/>
              <w:right w:val="single" w:sz="4" w:space="0" w:color="auto"/>
            </w:tcBorders>
            <w:shd w:val="clear" w:color="auto" w:fill="D9D9D9"/>
          </w:tcPr>
          <w:p w14:paraId="7D1086CD" w14:textId="77777777" w:rsidR="00E35D27" w:rsidRPr="00683284" w:rsidRDefault="00E35D27" w:rsidP="00E9350B">
            <w:pPr>
              <w:spacing w:line="360" w:lineRule="auto"/>
              <w:jc w:val="center"/>
              <w:rPr>
                <w:rFonts w:ascii="宋体" w:hAnsi="宋体"/>
              </w:rPr>
            </w:pPr>
            <w:r w:rsidRPr="00683284">
              <w:rPr>
                <w:rFonts w:ascii="宋体" w:hAnsi="宋体" w:hint="eastAsia"/>
              </w:rPr>
              <w:t>序号</w:t>
            </w:r>
          </w:p>
        </w:tc>
        <w:tc>
          <w:tcPr>
            <w:tcW w:w="2489" w:type="pct"/>
            <w:tcBorders>
              <w:top w:val="single" w:sz="4" w:space="0" w:color="auto"/>
              <w:left w:val="single" w:sz="4" w:space="0" w:color="auto"/>
              <w:bottom w:val="single" w:sz="4" w:space="0" w:color="auto"/>
              <w:right w:val="single" w:sz="4" w:space="0" w:color="auto"/>
            </w:tcBorders>
            <w:shd w:val="clear" w:color="auto" w:fill="D9D9D9"/>
          </w:tcPr>
          <w:p w14:paraId="7E105523" w14:textId="77777777" w:rsidR="00E35D27" w:rsidRPr="00683284" w:rsidRDefault="00E35D27" w:rsidP="00E9350B">
            <w:pPr>
              <w:spacing w:line="360" w:lineRule="auto"/>
              <w:jc w:val="center"/>
              <w:rPr>
                <w:rFonts w:ascii="宋体" w:hAnsi="宋体"/>
              </w:rPr>
            </w:pPr>
            <w:r w:rsidRPr="00683284">
              <w:rPr>
                <w:rFonts w:ascii="宋体" w:hAnsi="宋体" w:hint="eastAsia"/>
              </w:rPr>
              <w:t>名称</w:t>
            </w:r>
          </w:p>
        </w:tc>
        <w:tc>
          <w:tcPr>
            <w:tcW w:w="2194" w:type="pct"/>
            <w:tcBorders>
              <w:top w:val="single" w:sz="4" w:space="0" w:color="auto"/>
              <w:left w:val="nil"/>
              <w:bottom w:val="single" w:sz="4" w:space="0" w:color="auto"/>
              <w:right w:val="single" w:sz="4" w:space="0" w:color="auto"/>
            </w:tcBorders>
            <w:shd w:val="clear" w:color="auto" w:fill="D9D9D9"/>
            <w:tcMar>
              <w:top w:w="15" w:type="dxa"/>
              <w:left w:w="15" w:type="dxa"/>
              <w:bottom w:w="0" w:type="dxa"/>
              <w:right w:w="15" w:type="dxa"/>
            </w:tcMar>
          </w:tcPr>
          <w:p w14:paraId="539F2ADB" w14:textId="77777777" w:rsidR="00E35D27" w:rsidRPr="00683284" w:rsidRDefault="00E35D27" w:rsidP="00E9350B">
            <w:pPr>
              <w:spacing w:line="360" w:lineRule="auto"/>
              <w:jc w:val="center"/>
              <w:rPr>
                <w:rFonts w:ascii="宋体" w:hAnsi="宋体"/>
              </w:rPr>
            </w:pPr>
            <w:r w:rsidRPr="00683284">
              <w:rPr>
                <w:rFonts w:ascii="宋体" w:hAnsi="宋体" w:hint="eastAsia"/>
              </w:rPr>
              <w:t>金额</w:t>
            </w:r>
            <w:r>
              <w:rPr>
                <w:rFonts w:ascii="宋体" w:hAnsi="宋体" w:hint="eastAsia"/>
              </w:rPr>
              <w:t>（元）</w:t>
            </w:r>
          </w:p>
        </w:tc>
      </w:tr>
      <w:tr w:rsidR="00E35D27" w14:paraId="50CA156C" w14:textId="77777777" w:rsidTr="00E9350B">
        <w:trPr>
          <w:trHeight w:val="312"/>
        </w:trPr>
        <w:tc>
          <w:tcPr>
            <w:tcW w:w="317" w:type="pct"/>
            <w:tcBorders>
              <w:top w:val="nil"/>
              <w:left w:val="single" w:sz="4" w:space="0" w:color="auto"/>
              <w:bottom w:val="single" w:sz="4" w:space="0" w:color="auto"/>
              <w:right w:val="single" w:sz="4" w:space="0" w:color="auto"/>
            </w:tcBorders>
          </w:tcPr>
          <w:p w14:paraId="43D55F4B"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1</w:t>
            </w:r>
          </w:p>
        </w:tc>
        <w:tc>
          <w:tcPr>
            <w:tcW w:w="2489" w:type="pct"/>
            <w:tcBorders>
              <w:top w:val="nil"/>
              <w:left w:val="single" w:sz="4" w:space="0" w:color="auto"/>
              <w:bottom w:val="single" w:sz="4" w:space="0" w:color="auto"/>
              <w:right w:val="single" w:sz="4" w:space="0" w:color="auto"/>
            </w:tcBorders>
          </w:tcPr>
          <w:p w14:paraId="6BB59AAF"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存出保证金</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30FC0EA1"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19,060.65</w:t>
            </w:r>
          </w:p>
        </w:tc>
      </w:tr>
      <w:tr w:rsidR="00E35D27" w14:paraId="3919843D" w14:textId="77777777" w:rsidTr="00E9350B">
        <w:trPr>
          <w:trHeight w:val="285"/>
        </w:trPr>
        <w:tc>
          <w:tcPr>
            <w:tcW w:w="317" w:type="pct"/>
            <w:tcBorders>
              <w:top w:val="nil"/>
              <w:left w:val="single" w:sz="4" w:space="0" w:color="auto"/>
              <w:bottom w:val="single" w:sz="4" w:space="0" w:color="auto"/>
              <w:right w:val="single" w:sz="4" w:space="0" w:color="auto"/>
            </w:tcBorders>
          </w:tcPr>
          <w:p w14:paraId="73A4AF64"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2</w:t>
            </w:r>
          </w:p>
        </w:tc>
        <w:tc>
          <w:tcPr>
            <w:tcW w:w="2489" w:type="pct"/>
            <w:tcBorders>
              <w:top w:val="nil"/>
              <w:left w:val="single" w:sz="4" w:space="0" w:color="auto"/>
              <w:bottom w:val="single" w:sz="4" w:space="0" w:color="auto"/>
              <w:right w:val="single" w:sz="4" w:space="0" w:color="auto"/>
            </w:tcBorders>
          </w:tcPr>
          <w:p w14:paraId="0FE98365"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应收证券清算款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0C627B1B"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1,508,034.29</w:t>
            </w:r>
          </w:p>
        </w:tc>
      </w:tr>
      <w:tr w:rsidR="00E35D27" w14:paraId="552D3669" w14:textId="77777777" w:rsidTr="00E9350B">
        <w:trPr>
          <w:trHeight w:val="285"/>
        </w:trPr>
        <w:tc>
          <w:tcPr>
            <w:tcW w:w="317" w:type="pct"/>
            <w:tcBorders>
              <w:top w:val="nil"/>
              <w:left w:val="single" w:sz="4" w:space="0" w:color="auto"/>
              <w:bottom w:val="single" w:sz="4" w:space="0" w:color="auto"/>
              <w:right w:val="single" w:sz="4" w:space="0" w:color="auto"/>
            </w:tcBorders>
          </w:tcPr>
          <w:p w14:paraId="22F2F24D"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3</w:t>
            </w:r>
          </w:p>
        </w:tc>
        <w:tc>
          <w:tcPr>
            <w:tcW w:w="2489" w:type="pct"/>
            <w:tcBorders>
              <w:top w:val="nil"/>
              <w:left w:val="single" w:sz="4" w:space="0" w:color="auto"/>
              <w:bottom w:val="single" w:sz="4" w:space="0" w:color="auto"/>
              <w:right w:val="single" w:sz="4" w:space="0" w:color="auto"/>
            </w:tcBorders>
          </w:tcPr>
          <w:p w14:paraId="5D463B27"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应收股利</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6A58366F"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w:t>
            </w:r>
          </w:p>
        </w:tc>
      </w:tr>
      <w:tr w:rsidR="00E35D27" w14:paraId="5CCABB19" w14:textId="77777777" w:rsidTr="00E9350B">
        <w:trPr>
          <w:trHeight w:val="285"/>
        </w:trPr>
        <w:tc>
          <w:tcPr>
            <w:tcW w:w="317" w:type="pct"/>
            <w:tcBorders>
              <w:top w:val="nil"/>
              <w:left w:val="single" w:sz="4" w:space="0" w:color="auto"/>
              <w:bottom w:val="single" w:sz="4" w:space="0" w:color="auto"/>
              <w:right w:val="single" w:sz="4" w:space="0" w:color="auto"/>
            </w:tcBorders>
          </w:tcPr>
          <w:p w14:paraId="428D3E2D"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4</w:t>
            </w:r>
          </w:p>
        </w:tc>
        <w:tc>
          <w:tcPr>
            <w:tcW w:w="2489" w:type="pct"/>
            <w:tcBorders>
              <w:top w:val="nil"/>
              <w:left w:val="single" w:sz="4" w:space="0" w:color="auto"/>
              <w:bottom w:val="single" w:sz="4" w:space="0" w:color="auto"/>
              <w:right w:val="single" w:sz="4" w:space="0" w:color="auto"/>
            </w:tcBorders>
          </w:tcPr>
          <w:p w14:paraId="3F970AA1"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应收利息</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207FAADE"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w:t>
            </w:r>
          </w:p>
        </w:tc>
      </w:tr>
      <w:tr w:rsidR="00E35D27" w14:paraId="1CE412B2" w14:textId="77777777" w:rsidTr="00E9350B">
        <w:trPr>
          <w:trHeight w:val="285"/>
        </w:trPr>
        <w:tc>
          <w:tcPr>
            <w:tcW w:w="317" w:type="pct"/>
            <w:tcBorders>
              <w:top w:val="nil"/>
              <w:left w:val="single" w:sz="4" w:space="0" w:color="auto"/>
              <w:bottom w:val="single" w:sz="4" w:space="0" w:color="auto"/>
              <w:right w:val="single" w:sz="4" w:space="0" w:color="auto"/>
            </w:tcBorders>
          </w:tcPr>
          <w:p w14:paraId="68788D9D"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5</w:t>
            </w:r>
          </w:p>
        </w:tc>
        <w:tc>
          <w:tcPr>
            <w:tcW w:w="2489" w:type="pct"/>
            <w:tcBorders>
              <w:top w:val="nil"/>
              <w:left w:val="single" w:sz="4" w:space="0" w:color="auto"/>
              <w:bottom w:val="single" w:sz="4" w:space="0" w:color="auto"/>
              <w:right w:val="single" w:sz="4" w:space="0" w:color="auto"/>
            </w:tcBorders>
          </w:tcPr>
          <w:p w14:paraId="73DDB093"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应收申购款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1ACBF0DD"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10,011,475.47</w:t>
            </w:r>
          </w:p>
        </w:tc>
      </w:tr>
      <w:tr w:rsidR="00E35D27" w14:paraId="2F103529" w14:textId="77777777" w:rsidTr="00E9350B">
        <w:trPr>
          <w:trHeight w:val="285"/>
        </w:trPr>
        <w:tc>
          <w:tcPr>
            <w:tcW w:w="317" w:type="pct"/>
            <w:tcBorders>
              <w:top w:val="nil"/>
              <w:left w:val="single" w:sz="4" w:space="0" w:color="auto"/>
              <w:bottom w:val="single" w:sz="4" w:space="0" w:color="auto"/>
              <w:right w:val="single" w:sz="4" w:space="0" w:color="auto"/>
            </w:tcBorders>
          </w:tcPr>
          <w:p w14:paraId="74AE0A48"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lastRenderedPageBreak/>
              <w:t>6</w:t>
            </w:r>
          </w:p>
        </w:tc>
        <w:tc>
          <w:tcPr>
            <w:tcW w:w="2489" w:type="pct"/>
            <w:tcBorders>
              <w:top w:val="nil"/>
              <w:left w:val="single" w:sz="4" w:space="0" w:color="auto"/>
              <w:bottom w:val="single" w:sz="4" w:space="0" w:color="auto"/>
              <w:right w:val="single" w:sz="4" w:space="0" w:color="auto"/>
            </w:tcBorders>
          </w:tcPr>
          <w:p w14:paraId="53CD6145"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其他应收款</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09196A50"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w:t>
            </w:r>
          </w:p>
        </w:tc>
      </w:tr>
      <w:tr w:rsidR="00E35D27" w14:paraId="7F208946" w14:textId="77777777" w:rsidTr="00E9350B">
        <w:trPr>
          <w:trHeight w:val="285"/>
        </w:trPr>
        <w:tc>
          <w:tcPr>
            <w:tcW w:w="317" w:type="pct"/>
            <w:tcBorders>
              <w:top w:val="nil"/>
              <w:left w:val="single" w:sz="4" w:space="0" w:color="auto"/>
              <w:bottom w:val="single" w:sz="4" w:space="0" w:color="auto"/>
              <w:right w:val="single" w:sz="4" w:space="0" w:color="auto"/>
            </w:tcBorders>
          </w:tcPr>
          <w:p w14:paraId="1BD44548" w14:textId="77777777" w:rsidR="00E35D27" w:rsidRPr="00683284" w:rsidRDefault="00E35D27" w:rsidP="00E9350B">
            <w:pPr>
              <w:spacing w:line="360" w:lineRule="auto"/>
              <w:jc w:val="center"/>
              <w:rPr>
                <w:rFonts w:ascii="宋体" w:hAnsi="宋体"/>
                <w:color w:val="000000"/>
              </w:rPr>
            </w:pPr>
            <w:r w:rsidRPr="00683284">
              <w:rPr>
                <w:rFonts w:ascii="宋体" w:hAnsi="宋体" w:hint="eastAsia"/>
                <w:color w:val="000000"/>
              </w:rPr>
              <w:t>7</w:t>
            </w:r>
          </w:p>
        </w:tc>
        <w:tc>
          <w:tcPr>
            <w:tcW w:w="2489" w:type="pct"/>
            <w:tcBorders>
              <w:top w:val="nil"/>
              <w:left w:val="single" w:sz="4" w:space="0" w:color="auto"/>
              <w:bottom w:val="single" w:sz="4" w:space="0" w:color="auto"/>
              <w:right w:val="single" w:sz="4" w:space="0" w:color="auto"/>
            </w:tcBorders>
          </w:tcPr>
          <w:p w14:paraId="39729766" w14:textId="77777777" w:rsidR="00E35D27" w:rsidRPr="00683284" w:rsidRDefault="00E35D27" w:rsidP="00E9350B">
            <w:pPr>
              <w:spacing w:line="360" w:lineRule="auto"/>
              <w:ind w:left="105"/>
              <w:rPr>
                <w:rFonts w:ascii="宋体" w:hAnsi="宋体" w:cs="宋体"/>
                <w:color w:val="000000"/>
                <w:kern w:val="0"/>
              </w:rPr>
            </w:pPr>
            <w:r w:rsidRPr="00683284">
              <w:rPr>
                <w:rFonts w:ascii="宋体" w:hAnsi="宋体" w:cs="宋体"/>
                <w:color w:val="000000"/>
                <w:kern w:val="0"/>
              </w:rPr>
              <w:t>待摊费用</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7C26FF64" w14:textId="77777777" w:rsidR="00E35D27" w:rsidRPr="00683284" w:rsidRDefault="00E35D27" w:rsidP="00E9350B">
            <w:pPr>
              <w:spacing w:line="360" w:lineRule="auto"/>
              <w:ind w:left="105"/>
              <w:jc w:val="right"/>
              <w:rPr>
                <w:rFonts w:ascii="宋体" w:hAnsi="宋体" w:cs="宋体"/>
                <w:color w:val="000000"/>
                <w:kern w:val="0"/>
              </w:rPr>
            </w:pPr>
            <w:r w:rsidRPr="00683284">
              <w:rPr>
                <w:rFonts w:ascii="宋体" w:hAnsi="宋体" w:cs="宋体"/>
                <w:color w:val="000000"/>
                <w:kern w:val="0"/>
              </w:rPr>
              <w:t>-</w:t>
            </w:r>
          </w:p>
        </w:tc>
      </w:tr>
      <w:tr w:rsidR="00E35D27" w14:paraId="436B7295" w14:textId="77777777" w:rsidTr="00E9350B">
        <w:trPr>
          <w:trHeight w:val="285"/>
        </w:trPr>
        <w:tc>
          <w:tcPr>
            <w:tcW w:w="317" w:type="pct"/>
            <w:tcBorders>
              <w:top w:val="nil"/>
              <w:left w:val="single" w:sz="4" w:space="0" w:color="auto"/>
              <w:bottom w:val="single" w:sz="4" w:space="0" w:color="auto"/>
              <w:right w:val="single" w:sz="4" w:space="0" w:color="auto"/>
            </w:tcBorders>
          </w:tcPr>
          <w:p w14:paraId="1E3F3CA4" w14:textId="77777777" w:rsidR="00E35D27" w:rsidRPr="00683284" w:rsidRDefault="00E35D27" w:rsidP="00E9350B">
            <w:pPr>
              <w:spacing w:line="360" w:lineRule="auto"/>
              <w:jc w:val="center"/>
              <w:rPr>
                <w:rFonts w:ascii="宋体" w:hAnsi="宋体"/>
                <w:color w:val="000000"/>
              </w:rPr>
            </w:pPr>
            <w:r w:rsidRPr="00683284">
              <w:rPr>
                <w:rFonts w:ascii="宋体" w:hAnsi="宋体"/>
                <w:color w:val="000000"/>
              </w:rPr>
              <w:t>8</w:t>
            </w:r>
          </w:p>
        </w:tc>
        <w:tc>
          <w:tcPr>
            <w:tcW w:w="2489" w:type="pct"/>
            <w:tcBorders>
              <w:top w:val="nil"/>
              <w:left w:val="single" w:sz="4" w:space="0" w:color="auto"/>
              <w:bottom w:val="single" w:sz="4" w:space="0" w:color="auto"/>
              <w:right w:val="single" w:sz="4" w:space="0" w:color="auto"/>
            </w:tcBorders>
          </w:tcPr>
          <w:p w14:paraId="7B061CF1"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其他</w:t>
            </w:r>
          </w:p>
        </w:tc>
        <w:tc>
          <w:tcPr>
            <w:tcW w:w="2194" w:type="pct"/>
            <w:tcBorders>
              <w:top w:val="nil"/>
              <w:left w:val="nil"/>
              <w:bottom w:val="single" w:sz="4" w:space="0" w:color="auto"/>
              <w:right w:val="single" w:sz="4" w:space="0" w:color="auto"/>
            </w:tcBorders>
            <w:tcMar>
              <w:top w:w="15" w:type="dxa"/>
              <w:left w:w="15" w:type="dxa"/>
              <w:bottom w:w="0" w:type="dxa"/>
              <w:right w:w="15" w:type="dxa"/>
            </w:tcMar>
          </w:tcPr>
          <w:p w14:paraId="349140B0"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w:t>
            </w:r>
          </w:p>
        </w:tc>
      </w:tr>
      <w:tr w:rsidR="00E35D27" w14:paraId="312107BE" w14:textId="77777777" w:rsidTr="00E9350B">
        <w:trPr>
          <w:trHeight w:val="285"/>
        </w:trPr>
        <w:tc>
          <w:tcPr>
            <w:tcW w:w="317" w:type="pct"/>
            <w:tcBorders>
              <w:top w:val="single" w:sz="4" w:space="0" w:color="auto"/>
              <w:left w:val="single" w:sz="4" w:space="0" w:color="auto"/>
              <w:bottom w:val="single" w:sz="4" w:space="0" w:color="auto"/>
              <w:right w:val="single" w:sz="4" w:space="0" w:color="auto"/>
            </w:tcBorders>
          </w:tcPr>
          <w:p w14:paraId="0C17A562" w14:textId="77777777" w:rsidR="00E35D27" w:rsidRPr="00683284" w:rsidRDefault="00E35D27" w:rsidP="00E9350B">
            <w:pPr>
              <w:spacing w:line="360" w:lineRule="auto"/>
              <w:jc w:val="center"/>
              <w:rPr>
                <w:rFonts w:ascii="宋体" w:hAnsi="宋体"/>
                <w:color w:val="000000"/>
              </w:rPr>
            </w:pPr>
            <w:r w:rsidRPr="00683284">
              <w:rPr>
                <w:rFonts w:ascii="宋体" w:hAnsi="宋体"/>
                <w:color w:val="000000"/>
              </w:rPr>
              <w:t>9</w:t>
            </w:r>
          </w:p>
        </w:tc>
        <w:tc>
          <w:tcPr>
            <w:tcW w:w="2489" w:type="pct"/>
            <w:tcBorders>
              <w:top w:val="single" w:sz="4" w:space="0" w:color="auto"/>
              <w:left w:val="single" w:sz="4" w:space="0" w:color="auto"/>
              <w:bottom w:val="single" w:sz="4" w:space="0" w:color="auto"/>
              <w:right w:val="single" w:sz="4" w:space="0" w:color="auto"/>
            </w:tcBorders>
          </w:tcPr>
          <w:p w14:paraId="02305F9F" w14:textId="77777777" w:rsidR="00E35D27" w:rsidRPr="00683284" w:rsidRDefault="00E35D27" w:rsidP="00E9350B">
            <w:pPr>
              <w:spacing w:line="360" w:lineRule="auto"/>
              <w:ind w:left="105"/>
              <w:rPr>
                <w:rFonts w:ascii="宋体" w:hAnsi="宋体"/>
                <w:color w:val="000000"/>
              </w:rPr>
            </w:pPr>
            <w:r w:rsidRPr="00683284">
              <w:rPr>
                <w:rFonts w:ascii="宋体" w:hAnsi="宋体" w:hint="eastAsia"/>
                <w:color w:val="000000"/>
              </w:rPr>
              <w:t>合计</w:t>
            </w:r>
          </w:p>
        </w:tc>
        <w:tc>
          <w:tcPr>
            <w:tcW w:w="2194" w:type="pct"/>
            <w:tcBorders>
              <w:top w:val="single" w:sz="4" w:space="0" w:color="auto"/>
              <w:left w:val="nil"/>
              <w:bottom w:val="single" w:sz="4" w:space="0" w:color="auto"/>
              <w:right w:val="single" w:sz="4" w:space="0" w:color="auto"/>
            </w:tcBorders>
            <w:tcMar>
              <w:top w:w="15" w:type="dxa"/>
              <w:left w:w="15" w:type="dxa"/>
              <w:bottom w:w="0" w:type="dxa"/>
              <w:right w:w="15" w:type="dxa"/>
            </w:tcMar>
          </w:tcPr>
          <w:p w14:paraId="14D10106" w14:textId="77777777" w:rsidR="00E35D27" w:rsidRPr="00683284" w:rsidRDefault="00E35D27" w:rsidP="00E9350B">
            <w:pPr>
              <w:spacing w:line="360" w:lineRule="auto"/>
              <w:ind w:left="105"/>
              <w:jc w:val="right"/>
              <w:rPr>
                <w:rFonts w:ascii="宋体" w:hAnsi="宋体" w:cs="宋体"/>
                <w:color w:val="000000"/>
              </w:rPr>
            </w:pPr>
            <w:r w:rsidRPr="00683284">
              <w:rPr>
                <w:rFonts w:ascii="宋体" w:hAnsi="宋体" w:cs="宋体"/>
                <w:color w:val="000000"/>
              </w:rPr>
              <w:t>11,538,570.41</w:t>
            </w:r>
          </w:p>
        </w:tc>
      </w:tr>
    </w:tbl>
    <w:p w14:paraId="48510626" w14:textId="7588F1F5" w:rsidR="00E35D27" w:rsidRPr="00F553F9" w:rsidRDefault="00E35D27" w:rsidP="00E35D27">
      <w:pPr>
        <w:spacing w:line="360" w:lineRule="auto"/>
        <w:jc w:val="left"/>
        <w:rPr>
          <w:rFonts w:ascii="宋体" w:hAnsi="宋体"/>
          <w:b/>
          <w:sz w:val="24"/>
        </w:rPr>
      </w:pPr>
      <w:r>
        <w:rPr>
          <w:rFonts w:ascii="宋体" w:hAnsi="宋体" w:cs="宋体"/>
          <w:b/>
          <w:color w:val="000000"/>
          <w:sz w:val="24"/>
        </w:rPr>
        <w:t>1.11.4</w:t>
      </w:r>
      <w:r>
        <w:rPr>
          <w:rFonts w:ascii="宋体" w:hAnsi="宋体"/>
          <w:b/>
          <w:sz w:val="24"/>
        </w:rPr>
        <w:t>报告</w:t>
      </w:r>
      <w:r w:rsidRPr="00F553F9">
        <w:rPr>
          <w:rFonts w:ascii="宋体" w:hAnsi="宋体"/>
          <w:b/>
          <w:sz w:val="24"/>
        </w:rPr>
        <w:t>期末</w:t>
      </w:r>
      <w:r w:rsidRPr="00F553F9">
        <w:rPr>
          <w:rFonts w:ascii="宋体" w:hAnsi="宋体" w:hint="eastAsia"/>
          <w:b/>
          <w:sz w:val="24"/>
        </w:rPr>
        <w:t>持有</w:t>
      </w:r>
      <w:r w:rsidRPr="00F553F9">
        <w:rPr>
          <w:rFonts w:ascii="宋体" w:hAnsi="宋体"/>
          <w:b/>
          <w:sz w:val="24"/>
        </w:rPr>
        <w:t>的处于转股期的可转换债券明细</w:t>
      </w:r>
    </w:p>
    <w:p w14:paraId="6765B78B" w14:textId="77777777" w:rsidR="00E35D27" w:rsidRDefault="00E35D27" w:rsidP="00E35D27">
      <w:pPr>
        <w:spacing w:line="360" w:lineRule="auto"/>
        <w:rPr>
          <w:rFonts w:ascii="宋体" w:hAnsi="宋体" w:cs="宋体"/>
          <w:color w:val="000000"/>
          <w:szCs w:val="24"/>
        </w:rPr>
      </w:pPr>
      <w:r w:rsidRPr="00F64627">
        <w:rPr>
          <w:rFonts w:ascii="宋体" w:hAnsi="宋体" w:cs="宋体"/>
          <w:color w:val="000000"/>
          <w:szCs w:val="24"/>
        </w:rPr>
        <w:t>注:本基金本报告期末未持有处于转股期的可转换债券。</w:t>
      </w:r>
    </w:p>
    <w:p w14:paraId="443F443C" w14:textId="489ED43F" w:rsidR="00E35D27" w:rsidRPr="001D47A2" w:rsidRDefault="00E35D27" w:rsidP="00E35D27">
      <w:pPr>
        <w:spacing w:line="360" w:lineRule="auto"/>
        <w:rPr>
          <w:rFonts w:ascii="宋体" w:hAnsi="宋体"/>
          <w:b/>
          <w:bCs/>
          <w:sz w:val="24"/>
          <w:szCs w:val="24"/>
        </w:rPr>
      </w:pPr>
      <w:r>
        <w:rPr>
          <w:rFonts w:ascii="宋体" w:hAnsi="宋体" w:cs="宋体"/>
          <w:b/>
          <w:color w:val="000000"/>
          <w:sz w:val="24"/>
          <w:szCs w:val="24"/>
        </w:rPr>
        <w:t>1.11.5</w:t>
      </w:r>
      <w:r>
        <w:rPr>
          <w:rFonts w:ascii="宋体" w:hAnsi="宋体"/>
          <w:b/>
          <w:sz w:val="24"/>
          <w:szCs w:val="24"/>
        </w:rPr>
        <w:t>报告</w:t>
      </w:r>
      <w:r w:rsidRPr="001D47A2">
        <w:rPr>
          <w:rFonts w:ascii="宋体" w:hAnsi="宋体"/>
          <w:b/>
          <w:sz w:val="24"/>
        </w:rPr>
        <w:t>期末</w:t>
      </w:r>
      <w:r w:rsidRPr="001D47A2">
        <w:rPr>
          <w:rFonts w:ascii="宋体" w:hAnsi="宋体" w:hint="eastAsia"/>
          <w:b/>
          <w:sz w:val="24"/>
        </w:rPr>
        <w:t>前十名股票中存在流通受限情况的说明</w:t>
      </w:r>
    </w:p>
    <w:p w14:paraId="4A298B7C" w14:textId="77777777" w:rsidR="00E35D27" w:rsidRDefault="00E35D27" w:rsidP="00E35D27">
      <w:pPr>
        <w:spacing w:line="360" w:lineRule="auto"/>
        <w:rPr>
          <w:rFonts w:ascii="宋体" w:hAnsi="宋体" w:cs="宋体"/>
          <w:color w:val="000000"/>
          <w:szCs w:val="24"/>
        </w:rPr>
      </w:pPr>
      <w:r w:rsidRPr="004E2167">
        <w:rPr>
          <w:rFonts w:ascii="宋体" w:hAnsi="宋体" w:cs="宋体"/>
          <w:color w:val="000000"/>
          <w:szCs w:val="24"/>
        </w:rPr>
        <w:t>注：本基金本报告期末前十名股票中不存在流通受限情况。</w:t>
      </w:r>
    </w:p>
    <w:bookmarkEnd w:id="36"/>
    <w:p w14:paraId="6F1BBBB8" w14:textId="77777777" w:rsidR="00495F38" w:rsidRPr="005A171A" w:rsidRDefault="00495F38">
      <w:pPr>
        <w:spacing w:line="360" w:lineRule="auto"/>
        <w:ind w:firstLine="420"/>
        <w:rPr>
          <w:rFonts w:eastAsiaTheme="minorEastAsia"/>
          <w:kern w:val="0"/>
          <w:sz w:val="24"/>
          <w:szCs w:val="24"/>
        </w:rPr>
      </w:pPr>
    </w:p>
    <w:p w14:paraId="0122D984"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472E1D25" w14:textId="77777777" w:rsidR="00EA7BD5" w:rsidRPr="00D1082E" w:rsidRDefault="00EA7BD5" w:rsidP="005A171A">
      <w:pPr>
        <w:pStyle w:val="1"/>
        <w:spacing w:before="0" w:after="0"/>
        <w:jc w:val="center"/>
        <w:rPr>
          <w:sz w:val="30"/>
        </w:rPr>
      </w:pPr>
      <w:bookmarkStart w:id="37" w:name="_Toc135000346"/>
      <w:r w:rsidRPr="00D1082E">
        <w:rPr>
          <w:rFonts w:ascii="Times New Roman" w:hint="eastAsia"/>
          <w:color w:val="auto"/>
          <w:sz w:val="30"/>
        </w:rPr>
        <w:lastRenderedPageBreak/>
        <w:t>第十部分</w:t>
      </w:r>
      <w:r w:rsidRPr="00D1082E">
        <w:rPr>
          <w:rFonts w:ascii="Times New Roman"/>
          <w:color w:val="auto"/>
          <w:sz w:val="30"/>
        </w:rPr>
        <w:t xml:space="preserve">  </w:t>
      </w:r>
      <w:r w:rsidRPr="00D1082E">
        <w:rPr>
          <w:rFonts w:ascii="Times New Roman" w:hint="eastAsia"/>
          <w:color w:val="auto"/>
          <w:sz w:val="30"/>
        </w:rPr>
        <w:t>基金的业绩</w:t>
      </w:r>
      <w:bookmarkEnd w:id="37"/>
    </w:p>
    <w:p w14:paraId="4F20EF07" w14:textId="77777777" w:rsidR="00EA7BD5" w:rsidRPr="005A171A" w:rsidRDefault="00EA7BD5" w:rsidP="005A171A">
      <w:pPr>
        <w:spacing w:line="360" w:lineRule="auto"/>
        <w:ind w:firstLine="420"/>
        <w:rPr>
          <w:rFonts w:ascii="宋体" w:hAnsi="宋体" w:cs="宋体"/>
          <w:kern w:val="0"/>
          <w:sz w:val="24"/>
          <w:szCs w:val="24"/>
        </w:rPr>
      </w:pPr>
      <w:r w:rsidRPr="005A171A">
        <w:rPr>
          <w:rFonts w:ascii="宋体" w:hAnsi="宋体" w:cs="宋体" w:hint="eastAsia"/>
          <w:kern w:val="0"/>
          <w:sz w:val="24"/>
          <w:szCs w:val="24"/>
        </w:rPr>
        <w:t>本基金管理人依照恪尽职守、诚实信用、谨慎勤勉的原则管理和运用基金财产，但不保证基金一定盈利，也不保证最低收益。基金的过往业绩并不代表其未来表现。投资有风险，投资者在做出投资决策前应仔细阅读本基金的招募说明书。</w:t>
      </w:r>
    </w:p>
    <w:p w14:paraId="6DF54724" w14:textId="7E5F7AE1" w:rsidR="00EA7BD5" w:rsidRPr="005A171A" w:rsidRDefault="00EA7BD5" w:rsidP="00EA7BD5">
      <w:pPr>
        <w:spacing w:line="360" w:lineRule="auto"/>
        <w:jc w:val="left"/>
        <w:rPr>
          <w:rFonts w:ascii="宋体" w:hAnsi="宋体"/>
          <w:sz w:val="24"/>
        </w:rPr>
      </w:pPr>
      <w:bookmarkStart w:id="38" w:name="_Toc393207301_3"/>
      <w:r w:rsidRPr="005A171A">
        <w:rPr>
          <w:rFonts w:ascii="宋体" w:hAnsi="宋体" w:cs="宋体" w:hint="eastAsia"/>
          <w:color w:val="000000"/>
          <w:sz w:val="24"/>
        </w:rPr>
        <w:t>（一）</w:t>
      </w:r>
      <w:r w:rsidRPr="005A171A">
        <w:rPr>
          <w:rFonts w:ascii="宋体" w:hAnsi="宋体"/>
          <w:sz w:val="24"/>
        </w:rPr>
        <w:t>基金份额净值</w:t>
      </w:r>
      <w:r w:rsidRPr="005A171A">
        <w:rPr>
          <w:rFonts w:ascii="宋体" w:hAnsi="宋体" w:hint="eastAsia"/>
          <w:sz w:val="24"/>
        </w:rPr>
        <w:t>增长</w:t>
      </w:r>
      <w:r w:rsidRPr="005A171A">
        <w:rPr>
          <w:rFonts w:ascii="宋体" w:hAnsi="宋体"/>
          <w:sz w:val="24"/>
        </w:rPr>
        <w:t>率及其与同期业绩比较基准</w:t>
      </w:r>
      <w:r w:rsidRPr="005A171A">
        <w:rPr>
          <w:rFonts w:ascii="宋体" w:hAnsi="宋体" w:hint="eastAsia"/>
          <w:sz w:val="24"/>
        </w:rPr>
        <w:t>收益率</w:t>
      </w:r>
      <w:r w:rsidRPr="005A171A">
        <w:rPr>
          <w:rFonts w:ascii="宋体" w:hAnsi="宋体"/>
          <w:sz w:val="24"/>
        </w:rPr>
        <w:t>的比较</w:t>
      </w:r>
    </w:p>
    <w:bookmarkEnd w:id="38"/>
    <w:p w14:paraId="75B72051" w14:textId="77777777" w:rsidR="00EA7BD5" w:rsidRPr="002A58AC" w:rsidRDefault="00EA7BD5" w:rsidP="00EA7BD5">
      <w:pPr>
        <w:rPr>
          <w:rFonts w:ascii="宋体" w:hAnsi="宋体"/>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100"/>
        <w:gridCol w:w="1100"/>
        <w:gridCol w:w="1100"/>
        <w:gridCol w:w="1100"/>
        <w:gridCol w:w="1100"/>
        <w:gridCol w:w="1100"/>
      </w:tblGrid>
      <w:tr w:rsidR="00EA7BD5" w14:paraId="2E764283" w14:textId="77777777" w:rsidTr="005A171A">
        <w:tc>
          <w:tcPr>
            <w:tcW w:w="8296" w:type="dxa"/>
            <w:gridSpan w:val="7"/>
            <w:shd w:val="clear" w:color="auto" w:fill="D3D3D3"/>
            <w:vAlign w:val="center"/>
          </w:tcPr>
          <w:p w14:paraId="0D5FC787" w14:textId="77777777" w:rsidR="00EA7BD5" w:rsidRPr="002A58AC" w:rsidRDefault="00EA7BD5" w:rsidP="002C76B4">
            <w:pPr>
              <w:jc w:val="center"/>
              <w:rPr>
                <w:rFonts w:ascii="宋体" w:hAnsi="宋体" w:cs="宋体"/>
                <w:color w:val="000000"/>
              </w:rPr>
            </w:pPr>
            <w:r w:rsidRPr="002A58AC">
              <w:rPr>
                <w:rFonts w:ascii="宋体" w:hAnsi="宋体" w:cs="宋体"/>
                <w:color w:val="000000"/>
              </w:rPr>
              <w:t>汇添富添添乐双盈债券A</w:t>
            </w:r>
          </w:p>
        </w:tc>
      </w:tr>
      <w:tr w:rsidR="00EA7BD5" w14:paraId="6CB5EF31" w14:textId="77777777" w:rsidTr="005A171A">
        <w:tc>
          <w:tcPr>
            <w:tcW w:w="1696" w:type="dxa"/>
            <w:shd w:val="clear" w:color="auto" w:fill="D3D3D3"/>
            <w:vAlign w:val="center"/>
          </w:tcPr>
          <w:p w14:paraId="09E26579" w14:textId="77777777" w:rsidR="00EA7BD5" w:rsidRPr="002A58AC" w:rsidRDefault="00EA7BD5" w:rsidP="002C76B4">
            <w:pPr>
              <w:jc w:val="center"/>
              <w:rPr>
                <w:rFonts w:ascii="宋体" w:hAnsi="宋体" w:cs="宋体"/>
                <w:color w:val="000000"/>
              </w:rPr>
            </w:pPr>
            <w:r w:rsidRPr="002A58AC">
              <w:rPr>
                <w:rFonts w:ascii="宋体" w:hAnsi="宋体" w:cs="宋体"/>
                <w:color w:val="000000"/>
              </w:rPr>
              <w:t>阶段</w:t>
            </w:r>
          </w:p>
        </w:tc>
        <w:tc>
          <w:tcPr>
            <w:tcW w:w="1100" w:type="dxa"/>
            <w:shd w:val="clear" w:color="auto" w:fill="D3D3D3"/>
            <w:vAlign w:val="center"/>
          </w:tcPr>
          <w:p w14:paraId="4D5B8A2E"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份额净值增长率①</w:t>
            </w:r>
          </w:p>
        </w:tc>
        <w:tc>
          <w:tcPr>
            <w:tcW w:w="1100" w:type="dxa"/>
            <w:shd w:val="clear" w:color="auto" w:fill="D3D3D3"/>
            <w:vAlign w:val="center"/>
          </w:tcPr>
          <w:p w14:paraId="4BD0DB88"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份额净值增长率标准差②</w:t>
            </w:r>
          </w:p>
        </w:tc>
        <w:tc>
          <w:tcPr>
            <w:tcW w:w="1100" w:type="dxa"/>
            <w:shd w:val="clear" w:color="auto" w:fill="D3D3D3"/>
            <w:vAlign w:val="center"/>
          </w:tcPr>
          <w:p w14:paraId="2682BB90"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业绩比较基准收益率③</w:t>
            </w:r>
          </w:p>
        </w:tc>
        <w:tc>
          <w:tcPr>
            <w:tcW w:w="1100" w:type="dxa"/>
            <w:shd w:val="clear" w:color="auto" w:fill="D3D3D3"/>
            <w:vAlign w:val="center"/>
          </w:tcPr>
          <w:p w14:paraId="00623DE9"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业绩比较基准收益率标准差④</w:t>
            </w:r>
          </w:p>
        </w:tc>
        <w:tc>
          <w:tcPr>
            <w:tcW w:w="1100" w:type="dxa"/>
            <w:shd w:val="clear" w:color="auto" w:fill="D3D3D3"/>
            <w:vAlign w:val="center"/>
          </w:tcPr>
          <w:p w14:paraId="53EDC8C5" w14:textId="77777777" w:rsidR="00EA7BD5" w:rsidRPr="002A58AC" w:rsidRDefault="00EA7BD5" w:rsidP="002C76B4">
            <w:pPr>
              <w:jc w:val="center"/>
              <w:rPr>
                <w:rFonts w:ascii="宋体" w:hAnsi="宋体" w:cs="宋体"/>
                <w:color w:val="000000"/>
              </w:rPr>
            </w:pPr>
            <w:r w:rsidRPr="002A58AC">
              <w:rPr>
                <w:rFonts w:ascii="宋体" w:hAnsi="宋体" w:cs="宋体"/>
                <w:color w:val="000000"/>
              </w:rPr>
              <w:t>①－③</w:t>
            </w:r>
          </w:p>
        </w:tc>
        <w:tc>
          <w:tcPr>
            <w:tcW w:w="1100" w:type="dxa"/>
            <w:shd w:val="clear" w:color="auto" w:fill="D3D3D3"/>
            <w:vAlign w:val="center"/>
          </w:tcPr>
          <w:p w14:paraId="643BFF17" w14:textId="77777777" w:rsidR="00EA7BD5" w:rsidRPr="002A58AC" w:rsidRDefault="00EA7BD5" w:rsidP="002C76B4">
            <w:pPr>
              <w:jc w:val="center"/>
              <w:rPr>
                <w:rFonts w:ascii="宋体" w:hAnsi="宋体" w:cs="宋体"/>
                <w:color w:val="000000"/>
              </w:rPr>
            </w:pPr>
            <w:r w:rsidRPr="002A58AC">
              <w:rPr>
                <w:rFonts w:ascii="宋体" w:hAnsi="宋体" w:cs="宋体"/>
                <w:color w:val="000000"/>
              </w:rPr>
              <w:t>②－④</w:t>
            </w:r>
          </w:p>
        </w:tc>
      </w:tr>
      <w:tr w:rsidR="005E4342" w14:paraId="081591EC" w14:textId="77777777" w:rsidTr="005A171A">
        <w:tc>
          <w:tcPr>
            <w:tcW w:w="1696" w:type="dxa"/>
            <w:shd w:val="clear" w:color="auto" w:fill="auto"/>
            <w:vAlign w:val="center"/>
          </w:tcPr>
          <w:p w14:paraId="1AA622D7" w14:textId="55794268" w:rsidR="005E4342" w:rsidRPr="002A58AC" w:rsidRDefault="005E4342" w:rsidP="005E4342">
            <w:pPr>
              <w:jc w:val="left"/>
              <w:rPr>
                <w:rFonts w:ascii="宋体" w:hAnsi="宋体" w:cs="宋体"/>
                <w:color w:val="000000"/>
              </w:rPr>
            </w:pPr>
            <w:r w:rsidRPr="00883CF6">
              <w:rPr>
                <w:rFonts w:ascii="宋体" w:hAnsi="宋体" w:cs="宋体" w:hint="eastAsia"/>
                <w:color w:val="000000"/>
              </w:rPr>
              <w:t>2023年02月01日（基金合同生效日）至2023年</w:t>
            </w:r>
            <w:r>
              <w:rPr>
                <w:rFonts w:ascii="宋体" w:hAnsi="宋体" w:cs="宋体"/>
                <w:color w:val="000000"/>
              </w:rPr>
              <w:t>12</w:t>
            </w:r>
            <w:r w:rsidRPr="00883CF6">
              <w:rPr>
                <w:rFonts w:ascii="宋体" w:hAnsi="宋体" w:cs="宋体" w:hint="eastAsia"/>
                <w:color w:val="000000"/>
              </w:rPr>
              <w:t>月31日</w:t>
            </w:r>
          </w:p>
        </w:tc>
        <w:tc>
          <w:tcPr>
            <w:tcW w:w="1100" w:type="dxa"/>
            <w:shd w:val="clear" w:color="auto" w:fill="auto"/>
            <w:vAlign w:val="center"/>
          </w:tcPr>
          <w:p w14:paraId="72934547" w14:textId="27F56859" w:rsidR="005E4342" w:rsidRPr="002A58AC" w:rsidRDefault="005E4342" w:rsidP="005E4342">
            <w:pPr>
              <w:jc w:val="right"/>
              <w:rPr>
                <w:rFonts w:ascii="宋体" w:hAnsi="宋体" w:cs="宋体"/>
                <w:color w:val="000000"/>
              </w:rPr>
            </w:pPr>
            <w:r w:rsidRPr="002A58AC">
              <w:rPr>
                <w:rFonts w:ascii="宋体" w:hAnsi="宋体" w:cs="宋体"/>
                <w:color w:val="000000"/>
              </w:rPr>
              <w:t>1.01%</w:t>
            </w:r>
          </w:p>
        </w:tc>
        <w:tc>
          <w:tcPr>
            <w:tcW w:w="1100" w:type="dxa"/>
            <w:shd w:val="clear" w:color="auto" w:fill="auto"/>
            <w:vAlign w:val="center"/>
          </w:tcPr>
          <w:p w14:paraId="16D5B752" w14:textId="0CB0ECA3" w:rsidR="005E4342" w:rsidRPr="002A58AC" w:rsidRDefault="005E4342" w:rsidP="005E4342">
            <w:pPr>
              <w:jc w:val="right"/>
              <w:rPr>
                <w:rFonts w:ascii="宋体" w:hAnsi="宋体" w:cs="宋体"/>
                <w:color w:val="000000"/>
              </w:rPr>
            </w:pPr>
            <w:r w:rsidRPr="002A58AC">
              <w:rPr>
                <w:rFonts w:ascii="宋体" w:hAnsi="宋体" w:cs="宋体"/>
                <w:color w:val="000000"/>
              </w:rPr>
              <w:t>0.12%</w:t>
            </w:r>
          </w:p>
        </w:tc>
        <w:tc>
          <w:tcPr>
            <w:tcW w:w="1100" w:type="dxa"/>
            <w:shd w:val="clear" w:color="auto" w:fill="auto"/>
            <w:vAlign w:val="center"/>
          </w:tcPr>
          <w:p w14:paraId="1FE68874" w14:textId="7A72D592" w:rsidR="005E4342" w:rsidRPr="002A58AC" w:rsidRDefault="005E4342" w:rsidP="005E4342">
            <w:pPr>
              <w:jc w:val="right"/>
              <w:rPr>
                <w:rFonts w:ascii="宋体" w:hAnsi="宋体" w:cs="宋体"/>
                <w:color w:val="000000"/>
              </w:rPr>
            </w:pPr>
            <w:r w:rsidRPr="002A58AC">
              <w:rPr>
                <w:rFonts w:ascii="宋体" w:hAnsi="宋体" w:cs="宋体"/>
                <w:color w:val="000000"/>
              </w:rPr>
              <w:t>2.03%</w:t>
            </w:r>
          </w:p>
        </w:tc>
        <w:tc>
          <w:tcPr>
            <w:tcW w:w="1100" w:type="dxa"/>
            <w:shd w:val="clear" w:color="auto" w:fill="auto"/>
            <w:vAlign w:val="center"/>
          </w:tcPr>
          <w:p w14:paraId="6A0D7E70" w14:textId="22783043" w:rsidR="005E4342" w:rsidRPr="002A58AC" w:rsidRDefault="005E4342" w:rsidP="005E4342">
            <w:pPr>
              <w:jc w:val="right"/>
              <w:rPr>
                <w:rFonts w:ascii="宋体" w:hAnsi="宋体" w:cs="宋体"/>
                <w:color w:val="000000"/>
              </w:rPr>
            </w:pPr>
            <w:r w:rsidRPr="002A58AC">
              <w:rPr>
                <w:rFonts w:ascii="宋体" w:hAnsi="宋体" w:cs="宋体"/>
                <w:color w:val="000000"/>
              </w:rPr>
              <w:t>0.09%</w:t>
            </w:r>
          </w:p>
        </w:tc>
        <w:tc>
          <w:tcPr>
            <w:tcW w:w="1100" w:type="dxa"/>
            <w:shd w:val="clear" w:color="auto" w:fill="auto"/>
            <w:vAlign w:val="center"/>
          </w:tcPr>
          <w:p w14:paraId="22B886A6" w14:textId="77E0354E" w:rsidR="005E4342" w:rsidRPr="002A58AC" w:rsidRDefault="005E4342" w:rsidP="005E4342">
            <w:pPr>
              <w:jc w:val="right"/>
              <w:rPr>
                <w:rFonts w:ascii="宋体" w:hAnsi="宋体" w:cs="宋体"/>
                <w:color w:val="000000"/>
              </w:rPr>
            </w:pPr>
            <w:r w:rsidRPr="002A58AC">
              <w:rPr>
                <w:rFonts w:ascii="宋体" w:hAnsi="宋体" w:cs="宋体"/>
                <w:color w:val="000000"/>
              </w:rPr>
              <w:t>-1.02%</w:t>
            </w:r>
          </w:p>
        </w:tc>
        <w:tc>
          <w:tcPr>
            <w:tcW w:w="1100" w:type="dxa"/>
            <w:shd w:val="clear" w:color="auto" w:fill="auto"/>
            <w:vAlign w:val="center"/>
          </w:tcPr>
          <w:p w14:paraId="1C1260BA" w14:textId="6F69EFAA" w:rsidR="005E4342" w:rsidRPr="002A58AC" w:rsidRDefault="005E4342" w:rsidP="005E4342">
            <w:pPr>
              <w:jc w:val="right"/>
              <w:rPr>
                <w:rFonts w:ascii="宋体" w:hAnsi="宋体" w:cs="宋体"/>
                <w:color w:val="000000"/>
              </w:rPr>
            </w:pPr>
            <w:r w:rsidRPr="002A58AC">
              <w:rPr>
                <w:rFonts w:ascii="宋体" w:hAnsi="宋体" w:cs="宋体"/>
                <w:color w:val="000000"/>
              </w:rPr>
              <w:t>0.03%</w:t>
            </w:r>
          </w:p>
        </w:tc>
      </w:tr>
      <w:tr w:rsidR="00EA7BD5" w14:paraId="0FE22841" w14:textId="77777777" w:rsidTr="005A171A">
        <w:tc>
          <w:tcPr>
            <w:tcW w:w="8296" w:type="dxa"/>
            <w:gridSpan w:val="7"/>
            <w:shd w:val="clear" w:color="auto" w:fill="D3D3D3"/>
            <w:vAlign w:val="center"/>
          </w:tcPr>
          <w:p w14:paraId="3E8BAFC0" w14:textId="77777777" w:rsidR="00EA7BD5" w:rsidRPr="002A58AC" w:rsidRDefault="00EA7BD5" w:rsidP="002C76B4">
            <w:pPr>
              <w:jc w:val="center"/>
              <w:rPr>
                <w:rFonts w:ascii="宋体" w:hAnsi="宋体" w:cs="宋体"/>
                <w:color w:val="000000"/>
              </w:rPr>
            </w:pPr>
            <w:r w:rsidRPr="002A58AC">
              <w:rPr>
                <w:rFonts w:ascii="宋体" w:hAnsi="宋体" w:cs="宋体"/>
                <w:color w:val="000000"/>
              </w:rPr>
              <w:t>汇添富添添乐双盈债券C</w:t>
            </w:r>
          </w:p>
        </w:tc>
      </w:tr>
      <w:tr w:rsidR="00EA7BD5" w14:paraId="4BCD6032" w14:textId="77777777" w:rsidTr="005A171A">
        <w:tc>
          <w:tcPr>
            <w:tcW w:w="1696" w:type="dxa"/>
            <w:shd w:val="clear" w:color="auto" w:fill="D3D3D3"/>
            <w:vAlign w:val="center"/>
          </w:tcPr>
          <w:p w14:paraId="722EEE5F" w14:textId="77777777" w:rsidR="00EA7BD5" w:rsidRPr="002A58AC" w:rsidRDefault="00EA7BD5" w:rsidP="002C76B4">
            <w:pPr>
              <w:jc w:val="center"/>
              <w:rPr>
                <w:rFonts w:ascii="宋体" w:hAnsi="宋体" w:cs="宋体"/>
                <w:color w:val="000000"/>
              </w:rPr>
            </w:pPr>
            <w:r w:rsidRPr="002A58AC">
              <w:rPr>
                <w:rFonts w:ascii="宋体" w:hAnsi="宋体" w:cs="宋体"/>
                <w:color w:val="000000"/>
              </w:rPr>
              <w:t>阶段</w:t>
            </w:r>
          </w:p>
        </w:tc>
        <w:tc>
          <w:tcPr>
            <w:tcW w:w="1100" w:type="dxa"/>
            <w:shd w:val="clear" w:color="auto" w:fill="D3D3D3"/>
            <w:vAlign w:val="center"/>
          </w:tcPr>
          <w:p w14:paraId="0D7BAB86"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份额净值增长率①</w:t>
            </w:r>
          </w:p>
        </w:tc>
        <w:tc>
          <w:tcPr>
            <w:tcW w:w="1100" w:type="dxa"/>
            <w:shd w:val="clear" w:color="auto" w:fill="D3D3D3"/>
            <w:vAlign w:val="center"/>
          </w:tcPr>
          <w:p w14:paraId="5C6FF4A4"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份额净值增长率标准差②</w:t>
            </w:r>
          </w:p>
        </w:tc>
        <w:tc>
          <w:tcPr>
            <w:tcW w:w="1100" w:type="dxa"/>
            <w:shd w:val="clear" w:color="auto" w:fill="D3D3D3"/>
            <w:vAlign w:val="center"/>
          </w:tcPr>
          <w:p w14:paraId="4E0923ED"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业绩比较基准收益率③</w:t>
            </w:r>
          </w:p>
        </w:tc>
        <w:tc>
          <w:tcPr>
            <w:tcW w:w="1100" w:type="dxa"/>
            <w:shd w:val="clear" w:color="auto" w:fill="D3D3D3"/>
            <w:vAlign w:val="center"/>
          </w:tcPr>
          <w:p w14:paraId="4FB40799" w14:textId="77777777" w:rsidR="00EA7BD5" w:rsidRPr="002A58AC" w:rsidRDefault="00EA7BD5" w:rsidP="002C76B4">
            <w:pPr>
              <w:jc w:val="center"/>
              <w:rPr>
                <w:rFonts w:ascii="宋体" w:hAnsi="宋体" w:cs="宋体"/>
                <w:color w:val="000000"/>
              </w:rPr>
            </w:pPr>
            <w:r w:rsidRPr="002A58AC">
              <w:rPr>
                <w:rFonts w:ascii="宋体" w:hAnsi="宋体" w:cs="宋体"/>
                <w:color w:val="000000"/>
              </w:rPr>
              <w:t>业绩比较基准收益率标准差④</w:t>
            </w:r>
          </w:p>
        </w:tc>
        <w:tc>
          <w:tcPr>
            <w:tcW w:w="1100" w:type="dxa"/>
            <w:shd w:val="clear" w:color="auto" w:fill="D3D3D3"/>
            <w:vAlign w:val="center"/>
          </w:tcPr>
          <w:p w14:paraId="489463E1" w14:textId="77777777" w:rsidR="00EA7BD5" w:rsidRPr="002A58AC" w:rsidRDefault="00EA7BD5" w:rsidP="002C76B4">
            <w:pPr>
              <w:jc w:val="center"/>
              <w:rPr>
                <w:rFonts w:ascii="宋体" w:hAnsi="宋体" w:cs="宋体"/>
                <w:color w:val="000000"/>
              </w:rPr>
            </w:pPr>
            <w:r w:rsidRPr="002A58AC">
              <w:rPr>
                <w:rFonts w:ascii="宋体" w:hAnsi="宋体" w:cs="宋体"/>
                <w:color w:val="000000"/>
              </w:rPr>
              <w:t>①－③</w:t>
            </w:r>
          </w:p>
        </w:tc>
        <w:tc>
          <w:tcPr>
            <w:tcW w:w="1100" w:type="dxa"/>
            <w:shd w:val="clear" w:color="auto" w:fill="D3D3D3"/>
            <w:vAlign w:val="center"/>
          </w:tcPr>
          <w:p w14:paraId="7FC88CC5" w14:textId="77777777" w:rsidR="00EA7BD5" w:rsidRPr="002A58AC" w:rsidRDefault="00EA7BD5" w:rsidP="002C76B4">
            <w:pPr>
              <w:jc w:val="center"/>
              <w:rPr>
                <w:rFonts w:ascii="宋体" w:hAnsi="宋体" w:cs="宋体"/>
                <w:color w:val="000000"/>
              </w:rPr>
            </w:pPr>
            <w:r w:rsidRPr="002A58AC">
              <w:rPr>
                <w:rFonts w:ascii="宋体" w:hAnsi="宋体" w:cs="宋体"/>
                <w:color w:val="000000"/>
              </w:rPr>
              <w:t>②－④</w:t>
            </w:r>
          </w:p>
        </w:tc>
      </w:tr>
      <w:tr w:rsidR="005E4342" w14:paraId="53B6B927" w14:textId="77777777" w:rsidTr="005A171A">
        <w:tc>
          <w:tcPr>
            <w:tcW w:w="1696" w:type="dxa"/>
            <w:shd w:val="clear" w:color="auto" w:fill="auto"/>
            <w:vAlign w:val="center"/>
          </w:tcPr>
          <w:p w14:paraId="20F0371B" w14:textId="5ECCA1E0" w:rsidR="005E4342" w:rsidRPr="002A58AC" w:rsidRDefault="005E4342" w:rsidP="005E4342">
            <w:pPr>
              <w:jc w:val="left"/>
              <w:rPr>
                <w:rFonts w:ascii="宋体" w:hAnsi="宋体" w:cs="宋体"/>
                <w:color w:val="000000"/>
              </w:rPr>
            </w:pPr>
            <w:r w:rsidRPr="00883CF6">
              <w:rPr>
                <w:rFonts w:ascii="宋体" w:hAnsi="宋体" w:cs="宋体" w:hint="eastAsia"/>
                <w:color w:val="000000"/>
              </w:rPr>
              <w:t>2023年02月01日（基金合同生效日）至2023年</w:t>
            </w:r>
            <w:r>
              <w:rPr>
                <w:rFonts w:ascii="宋体" w:hAnsi="宋体" w:cs="宋体"/>
                <w:color w:val="000000"/>
              </w:rPr>
              <w:t>12</w:t>
            </w:r>
            <w:r w:rsidRPr="00883CF6">
              <w:rPr>
                <w:rFonts w:ascii="宋体" w:hAnsi="宋体" w:cs="宋体" w:hint="eastAsia"/>
                <w:color w:val="000000"/>
              </w:rPr>
              <w:t>月31日</w:t>
            </w:r>
          </w:p>
        </w:tc>
        <w:tc>
          <w:tcPr>
            <w:tcW w:w="1100" w:type="dxa"/>
            <w:shd w:val="clear" w:color="auto" w:fill="auto"/>
            <w:vAlign w:val="center"/>
          </w:tcPr>
          <w:p w14:paraId="3A7ED196" w14:textId="6B6B086E" w:rsidR="005E4342" w:rsidRPr="002A58AC" w:rsidRDefault="005E4342" w:rsidP="005E4342">
            <w:pPr>
              <w:jc w:val="right"/>
              <w:rPr>
                <w:rFonts w:ascii="宋体" w:hAnsi="宋体" w:cs="宋体"/>
                <w:color w:val="000000"/>
              </w:rPr>
            </w:pPr>
            <w:r w:rsidRPr="002A58AC">
              <w:rPr>
                <w:rFonts w:ascii="宋体" w:hAnsi="宋体" w:cs="宋体"/>
                <w:color w:val="000000"/>
              </w:rPr>
              <w:t>0.64%</w:t>
            </w:r>
          </w:p>
        </w:tc>
        <w:tc>
          <w:tcPr>
            <w:tcW w:w="1100" w:type="dxa"/>
            <w:shd w:val="clear" w:color="auto" w:fill="auto"/>
            <w:vAlign w:val="center"/>
          </w:tcPr>
          <w:p w14:paraId="2E3B4BF9" w14:textId="042F600C" w:rsidR="005E4342" w:rsidRPr="002A58AC" w:rsidRDefault="005E4342" w:rsidP="005E4342">
            <w:pPr>
              <w:jc w:val="right"/>
              <w:rPr>
                <w:rFonts w:ascii="宋体" w:hAnsi="宋体" w:cs="宋体"/>
                <w:color w:val="000000"/>
              </w:rPr>
            </w:pPr>
            <w:r w:rsidRPr="002A58AC">
              <w:rPr>
                <w:rFonts w:ascii="宋体" w:hAnsi="宋体" w:cs="宋体"/>
                <w:color w:val="000000"/>
              </w:rPr>
              <w:t>0.12%</w:t>
            </w:r>
          </w:p>
        </w:tc>
        <w:tc>
          <w:tcPr>
            <w:tcW w:w="1100" w:type="dxa"/>
            <w:shd w:val="clear" w:color="auto" w:fill="auto"/>
            <w:vAlign w:val="center"/>
          </w:tcPr>
          <w:p w14:paraId="33DE5930" w14:textId="2884580B" w:rsidR="005E4342" w:rsidRPr="002A58AC" w:rsidRDefault="005E4342" w:rsidP="005E4342">
            <w:pPr>
              <w:jc w:val="right"/>
              <w:rPr>
                <w:rFonts w:ascii="宋体" w:hAnsi="宋体" w:cs="宋体"/>
                <w:color w:val="000000"/>
              </w:rPr>
            </w:pPr>
            <w:r w:rsidRPr="002A58AC">
              <w:rPr>
                <w:rFonts w:ascii="宋体" w:hAnsi="宋体" w:cs="宋体"/>
                <w:color w:val="000000"/>
              </w:rPr>
              <w:t>2.03%</w:t>
            </w:r>
          </w:p>
        </w:tc>
        <w:tc>
          <w:tcPr>
            <w:tcW w:w="1100" w:type="dxa"/>
            <w:shd w:val="clear" w:color="auto" w:fill="auto"/>
            <w:vAlign w:val="center"/>
          </w:tcPr>
          <w:p w14:paraId="74105615" w14:textId="783273DC" w:rsidR="005E4342" w:rsidRPr="002A58AC" w:rsidRDefault="005E4342" w:rsidP="005E4342">
            <w:pPr>
              <w:jc w:val="right"/>
              <w:rPr>
                <w:rFonts w:ascii="宋体" w:hAnsi="宋体" w:cs="宋体"/>
                <w:color w:val="000000"/>
              </w:rPr>
            </w:pPr>
            <w:r w:rsidRPr="002A58AC">
              <w:rPr>
                <w:rFonts w:ascii="宋体" w:hAnsi="宋体" w:cs="宋体"/>
                <w:color w:val="000000"/>
              </w:rPr>
              <w:t>0.09%</w:t>
            </w:r>
          </w:p>
        </w:tc>
        <w:tc>
          <w:tcPr>
            <w:tcW w:w="1100" w:type="dxa"/>
            <w:shd w:val="clear" w:color="auto" w:fill="auto"/>
            <w:vAlign w:val="center"/>
          </w:tcPr>
          <w:p w14:paraId="31C3670E" w14:textId="4293C545" w:rsidR="005E4342" w:rsidRPr="002A58AC" w:rsidRDefault="005E4342" w:rsidP="005E4342">
            <w:pPr>
              <w:jc w:val="right"/>
              <w:rPr>
                <w:rFonts w:ascii="宋体" w:hAnsi="宋体" w:cs="宋体"/>
                <w:color w:val="000000"/>
              </w:rPr>
            </w:pPr>
            <w:r w:rsidRPr="002A58AC">
              <w:rPr>
                <w:rFonts w:ascii="宋体" w:hAnsi="宋体" w:cs="宋体"/>
                <w:color w:val="000000"/>
              </w:rPr>
              <w:t>-1.39%</w:t>
            </w:r>
          </w:p>
        </w:tc>
        <w:tc>
          <w:tcPr>
            <w:tcW w:w="1100" w:type="dxa"/>
            <w:shd w:val="clear" w:color="auto" w:fill="auto"/>
            <w:vAlign w:val="center"/>
          </w:tcPr>
          <w:p w14:paraId="30554EA4" w14:textId="3A03B5C5" w:rsidR="005E4342" w:rsidRPr="002A58AC" w:rsidRDefault="005E4342" w:rsidP="005E4342">
            <w:pPr>
              <w:jc w:val="right"/>
              <w:rPr>
                <w:rFonts w:ascii="宋体" w:hAnsi="宋体" w:cs="宋体"/>
                <w:color w:val="000000"/>
              </w:rPr>
            </w:pPr>
            <w:r w:rsidRPr="002A58AC">
              <w:rPr>
                <w:rFonts w:ascii="宋体" w:hAnsi="宋体" w:cs="宋体"/>
                <w:color w:val="000000"/>
              </w:rPr>
              <w:t>0.03%</w:t>
            </w:r>
          </w:p>
        </w:tc>
      </w:tr>
    </w:tbl>
    <w:p w14:paraId="1F169865" w14:textId="77777777" w:rsidR="00EA7BD5" w:rsidRPr="005A171A" w:rsidRDefault="00EA7BD5" w:rsidP="005A171A">
      <w:pPr>
        <w:spacing w:line="360" w:lineRule="auto"/>
        <w:ind w:firstLine="420"/>
        <w:rPr>
          <w:rFonts w:ascii="宋体" w:hAnsi="宋体" w:cs="宋体"/>
          <w:kern w:val="0"/>
          <w:sz w:val="24"/>
          <w:szCs w:val="24"/>
        </w:rPr>
      </w:pPr>
    </w:p>
    <w:p w14:paraId="27116780" w14:textId="04EEF992" w:rsidR="005C124E" w:rsidRPr="002D1A8F" w:rsidRDefault="005C124E" w:rsidP="005C124E">
      <w:pPr>
        <w:spacing w:line="360" w:lineRule="auto"/>
        <w:jc w:val="left"/>
        <w:rPr>
          <w:rFonts w:ascii="宋体" w:hAnsi="宋体"/>
          <w:sz w:val="24"/>
        </w:rPr>
      </w:pPr>
      <w:r>
        <w:rPr>
          <w:rFonts w:ascii="宋体" w:hAnsi="宋体" w:cs="宋体" w:hint="eastAsia"/>
          <w:color w:val="000000"/>
          <w:sz w:val="24"/>
        </w:rPr>
        <w:t>（二</w:t>
      </w:r>
      <w:r w:rsidRPr="002D1A8F">
        <w:rPr>
          <w:rFonts w:ascii="宋体" w:hAnsi="宋体" w:cs="宋体" w:hint="eastAsia"/>
          <w:color w:val="000000"/>
          <w:sz w:val="24"/>
        </w:rPr>
        <w:t>）</w:t>
      </w:r>
      <w:r w:rsidRPr="005C124E">
        <w:rPr>
          <w:rFonts w:ascii="宋体" w:hAnsi="宋体" w:hint="eastAsia"/>
          <w:sz w:val="24"/>
        </w:rPr>
        <w:t>自基金合同生效以来基金份额累计净值增长率变动及其与同期业绩比较基准收益率变动的比较</w:t>
      </w:r>
    </w:p>
    <w:p w14:paraId="40E11609" w14:textId="2EA8F2A1" w:rsidR="00EA7BD5" w:rsidRPr="005A171A" w:rsidRDefault="00DD6B5F" w:rsidP="0025270A">
      <w:pPr>
        <w:spacing w:line="360" w:lineRule="auto"/>
        <w:rPr>
          <w:rFonts w:ascii="宋体" w:hAnsi="宋体" w:cs="宋体"/>
          <w:kern w:val="0"/>
          <w:sz w:val="24"/>
          <w:szCs w:val="24"/>
        </w:rPr>
      </w:pPr>
      <w:r w:rsidRPr="00530D97">
        <w:rPr>
          <w:rFonts w:ascii="宋体" w:hAnsi="宋体" w:cs="宋体" w:hint="eastAsia"/>
          <w:noProof/>
          <w:sz w:val="24"/>
          <w:szCs w:val="28"/>
        </w:rPr>
        <w:lastRenderedPageBreak/>
        <w:drawing>
          <wp:inline distT="0" distB="0" distL="0" distR="0" wp14:anchorId="2270C65C" wp14:editId="445E5AA1">
            <wp:extent cx="5274310" cy="3955415"/>
            <wp:effectExtent l="0" t="0" r="254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2"/>
                    <a:stretch>
                      <a:fillRect/>
                    </a:stretch>
                  </pic:blipFill>
                  <pic:spPr>
                    <a:xfrm>
                      <a:off x="0" y="0"/>
                      <a:ext cx="5274310" cy="3955415"/>
                    </a:xfrm>
                    <a:prstGeom prst="rect">
                      <a:avLst/>
                    </a:prstGeom>
                  </pic:spPr>
                </pic:pic>
              </a:graphicData>
            </a:graphic>
          </wp:inline>
        </w:drawing>
      </w:r>
    </w:p>
    <w:p w14:paraId="6D5E2CA1" w14:textId="3023557D" w:rsidR="005C124E" w:rsidRPr="00530D97" w:rsidRDefault="00DD6B5F" w:rsidP="005C124E">
      <w:pPr>
        <w:spacing w:line="360" w:lineRule="auto"/>
        <w:rPr>
          <w:rFonts w:ascii="宋体" w:hAnsi="宋体"/>
        </w:rPr>
      </w:pPr>
      <w:r w:rsidRPr="00530D97">
        <w:rPr>
          <w:rFonts w:ascii="宋体" w:hAnsi="宋体" w:cs="宋体" w:hint="eastAsia"/>
          <w:noProof/>
          <w:sz w:val="24"/>
          <w:szCs w:val="28"/>
        </w:rPr>
        <w:drawing>
          <wp:inline distT="0" distB="0" distL="0" distR="0" wp14:anchorId="7E22D9AC" wp14:editId="11ABA602">
            <wp:extent cx="5274310" cy="3955415"/>
            <wp:effectExtent l="0" t="0" r="2540" b="698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3"/>
                    <a:stretch>
                      <a:fillRect/>
                    </a:stretch>
                  </pic:blipFill>
                  <pic:spPr>
                    <a:xfrm>
                      <a:off x="0" y="0"/>
                      <a:ext cx="5274310" cy="3955415"/>
                    </a:xfrm>
                    <a:prstGeom prst="rect">
                      <a:avLst/>
                    </a:prstGeom>
                  </pic:spPr>
                </pic:pic>
              </a:graphicData>
            </a:graphic>
          </wp:inline>
        </w:drawing>
      </w:r>
    </w:p>
    <w:p w14:paraId="61B38902" w14:textId="77777777" w:rsidR="00EA7BD5" w:rsidRPr="00A35C8A" w:rsidRDefault="00EA7BD5" w:rsidP="00EA7BD5"/>
    <w:p w14:paraId="5CCF7DB6" w14:textId="77777777" w:rsidR="00EA7BD5" w:rsidRDefault="00EA7BD5">
      <w:pPr>
        <w:widowControl/>
        <w:jc w:val="left"/>
        <w:rPr>
          <w:b/>
          <w:kern w:val="0"/>
          <w:sz w:val="30"/>
        </w:rPr>
      </w:pPr>
      <w:r>
        <w:rPr>
          <w:sz w:val="30"/>
        </w:rPr>
        <w:br w:type="page"/>
      </w:r>
    </w:p>
    <w:p w14:paraId="30FF48CA" w14:textId="244A5DDB" w:rsidR="009912D6" w:rsidRDefault="0024620C" w:rsidP="009912D6">
      <w:pPr>
        <w:pStyle w:val="1"/>
        <w:spacing w:before="0" w:after="0"/>
        <w:jc w:val="center"/>
        <w:rPr>
          <w:rFonts w:ascii="Times New Roman"/>
          <w:color w:val="auto"/>
          <w:sz w:val="30"/>
        </w:rPr>
      </w:pPr>
      <w:bookmarkStart w:id="39" w:name="_Toc135000347"/>
      <w:r w:rsidRPr="009E26D0">
        <w:rPr>
          <w:rFonts w:ascii="Times New Roman"/>
          <w:color w:val="auto"/>
          <w:sz w:val="30"/>
        </w:rPr>
        <w:lastRenderedPageBreak/>
        <w:t>第十</w:t>
      </w:r>
      <w:r w:rsidR="00120661">
        <w:rPr>
          <w:rFonts w:ascii="Times New Roman" w:hint="eastAsia"/>
          <w:color w:val="auto"/>
          <w:sz w:val="30"/>
        </w:rPr>
        <w:t>一</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基金的财产</w:t>
      </w:r>
      <w:bookmarkEnd w:id="39"/>
    </w:p>
    <w:p w14:paraId="4C982AD3" w14:textId="77777777" w:rsidR="009912D6" w:rsidRPr="0017353E" w:rsidRDefault="009912D6" w:rsidP="009912D6"/>
    <w:p w14:paraId="04AFC3E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一、基金资产总值</w:t>
      </w:r>
    </w:p>
    <w:p w14:paraId="65FB054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基金资产总值是指购买的各类证券及票据价值、银行存款本息和基金应收的申购基金款以及其他投资所形成的价值总和。</w:t>
      </w:r>
    </w:p>
    <w:p w14:paraId="6A05590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二、基金资产净值</w:t>
      </w:r>
    </w:p>
    <w:p w14:paraId="6A34D67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基金资产净值是指基金资产总值减去基金负债后的价值。</w:t>
      </w:r>
    </w:p>
    <w:p w14:paraId="0813FE7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三、基金财产的账户</w:t>
      </w:r>
    </w:p>
    <w:p w14:paraId="02165C1A" w14:textId="3F4C600D"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14:paraId="2ED7F36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四、基金财产的保管和处分</w:t>
      </w:r>
    </w:p>
    <w:p w14:paraId="2DA101A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14C9F2C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14:paraId="2272DD10"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2B976776" w14:textId="70108A60" w:rsidR="009912D6" w:rsidRDefault="0024620C" w:rsidP="009912D6">
      <w:pPr>
        <w:pStyle w:val="1"/>
        <w:spacing w:before="0" w:after="0"/>
        <w:jc w:val="center"/>
        <w:rPr>
          <w:rFonts w:ascii="Times New Roman"/>
          <w:color w:val="auto"/>
          <w:sz w:val="30"/>
        </w:rPr>
      </w:pPr>
      <w:bookmarkStart w:id="40" w:name="_Toc135000348"/>
      <w:r w:rsidRPr="009E26D0">
        <w:rPr>
          <w:rFonts w:ascii="Times New Roman"/>
          <w:color w:val="auto"/>
          <w:sz w:val="30"/>
        </w:rPr>
        <w:lastRenderedPageBreak/>
        <w:t>第十</w:t>
      </w:r>
      <w:r w:rsidR="00120661">
        <w:rPr>
          <w:rFonts w:ascii="Times New Roman" w:hint="eastAsia"/>
          <w:color w:val="auto"/>
          <w:sz w:val="30"/>
        </w:rPr>
        <w:t>二</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基金资产估值</w:t>
      </w:r>
      <w:bookmarkEnd w:id="40"/>
    </w:p>
    <w:p w14:paraId="6A68D9A1" w14:textId="77777777" w:rsidR="009912D6" w:rsidRPr="0017353E" w:rsidRDefault="009912D6" w:rsidP="009912D6"/>
    <w:p w14:paraId="5371E5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一、估值日</w:t>
      </w:r>
    </w:p>
    <w:p w14:paraId="537B9509" w14:textId="591D50EA"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本基金的估值日为本基金相关的证券交易场所的交易日以及国家法律法规规定需要对外披露基金净值的非交易日。</w:t>
      </w:r>
    </w:p>
    <w:p w14:paraId="47115F9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二、估值对象</w:t>
      </w:r>
    </w:p>
    <w:p w14:paraId="008C541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基金所拥有的股票、债券、资产支持证券、国债期货合约和银行存款本息、应收款项、其它投资等资产及负债。</w:t>
      </w:r>
    </w:p>
    <w:p w14:paraId="22818C2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三、估值原则</w:t>
      </w:r>
    </w:p>
    <w:p w14:paraId="5EE9AF2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基金管理人在确定相关金融资产和金融负债的公允价值时，应符合《企业会计准则》、监管部门有关规定。</w:t>
      </w:r>
    </w:p>
    <w:p w14:paraId="45F2008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700A9BB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204E4E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0CDF33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（三）如经济环境发生重大变化或证券发行人发生影响证券价格的重大事件，使潜在估值调整对前一估值日的基金资产净值的影响在0.25%以上的，应对估值进行调整并确定公允价值。</w:t>
      </w:r>
    </w:p>
    <w:p w14:paraId="27F77C0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四、估值方法</w:t>
      </w:r>
    </w:p>
    <w:p w14:paraId="5C5D57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1、证券交易所上市的有价证券的估值</w:t>
      </w:r>
    </w:p>
    <w:p w14:paraId="03EFF6B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27D8CFE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（2）交易所上市交易或挂牌转让的不含权固定收益品种，选取估值日第三方估值机构提供的相应品种当日的估值净价进行估值；</w:t>
      </w:r>
    </w:p>
    <w:p w14:paraId="43ADA43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（3）交易所上市交易或挂牌转让的含权固定收益品种，选取估值日第三方估值机构提供的相应品种当日的唯一估值净价或推荐估值净价进行估值；</w:t>
      </w:r>
    </w:p>
    <w:p w14:paraId="7780D79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（4）交易所上市交易的可转换债券以每日收盘价作为估值全价；</w:t>
      </w:r>
    </w:p>
    <w:p w14:paraId="24DCD73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（5）交易所上市不存在活跃市场的有价证券，采用估值技术确定公允价值。交易所市场挂牌转让的资产支持证券，采用估值技术确定公允价值。</w:t>
      </w:r>
    </w:p>
    <w:p w14:paraId="4739148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2、处于未上市期间的有价证券应区分如下情况处理：</w:t>
      </w:r>
    </w:p>
    <w:p w14:paraId="73D628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（1）送股、转增股、配股和公开增发的新股，按估值日在证券交易所挂牌的同一股票的估值方法估值；该日无交易的，以最近一日的市价（收盘价）估值；</w:t>
      </w:r>
    </w:p>
    <w:p w14:paraId="79D161E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（2）首次公开发行未上市的股票，采用估值技术确定公允价值，在估值技术难以可靠计量公允价值的情况下，按成本估值；</w:t>
      </w:r>
    </w:p>
    <w:p w14:paraId="70A6B7D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46E8490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5845ED0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DA3FA5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4、同一债券或股票同时在两个或两个以上市场交易的，按债券或股票所处的市场分别估值。</w:t>
      </w:r>
    </w:p>
    <w:p w14:paraId="66C6D3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5、同业存单按估值日第三方估值机构提供的估值净价估值；选定的第三方估值机构未提供估值价格的，按成本估值。</w:t>
      </w:r>
    </w:p>
    <w:p w14:paraId="749FAEA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6、本基金投资国债期货合约，一般以国债期货合约估值日的结算价估值，估值当日无结算价的，且最近交易日后经济环境未发生重大变化的，采用最近交易日结算价估值。</w:t>
      </w:r>
    </w:p>
    <w:p w14:paraId="2CFBFF9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7、估值计算中涉及港币或其他外币币种对人民币汇率的，将依据下列信息提供机构所提供的汇率为基准：当日中国人民银行或其授权机构公布的人民币汇率的中间价，或其他可以反映公允价值的汇率进行估值。</w:t>
      </w:r>
    </w:p>
    <w:p w14:paraId="69F170D2" w14:textId="49340C06" w:rsidR="00933FF9" w:rsidRPr="00933FF9" w:rsidRDefault="00933FF9" w:rsidP="00933FF9">
      <w:pPr>
        <w:spacing w:line="360" w:lineRule="auto"/>
        <w:ind w:firstLine="420"/>
        <w:rPr>
          <w:rFonts w:ascii="宋体" w:hAnsi="宋体" w:cs="宋体"/>
          <w:kern w:val="0"/>
          <w:sz w:val="24"/>
          <w:szCs w:val="24"/>
        </w:rPr>
      </w:pPr>
      <w:r w:rsidRPr="00B552B3">
        <w:rPr>
          <w:rFonts w:ascii="宋体" w:hAnsi="宋体" w:cs="宋体" w:hint="eastAsia"/>
          <w:kern w:val="0"/>
          <w:sz w:val="24"/>
          <w:szCs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w:t>
      </w:r>
      <w:r>
        <w:rPr>
          <w:rFonts w:ascii="宋体" w:hAnsi="宋体" w:cs="宋体" w:hint="eastAsia"/>
          <w:kern w:val="0"/>
          <w:sz w:val="24"/>
          <w:szCs w:val="24"/>
        </w:rPr>
        <w:t>有差异的，基金将在相关税金调整日或实际支付日进行相应的估值调整。</w:t>
      </w:r>
    </w:p>
    <w:p w14:paraId="5A88B28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8、本基金投资存托凭证的估值核算，依照境内上市交易的股票进行。</w:t>
      </w:r>
    </w:p>
    <w:p w14:paraId="4936804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9、如有确凿证据表明按上述方法进行估值不能客观反映其公允价值的，基金管理人可根据具体情况与基金托管人商定后，按最能反映公允价值的价格估值。</w:t>
      </w:r>
    </w:p>
    <w:p w14:paraId="4AE3C7F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10、当发生大额申购或赎回情形时，基金管理人可以采用摆动定价机制，以确保基金估值的公平性。</w:t>
      </w:r>
    </w:p>
    <w:p w14:paraId="1F7BDE1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11、相关法律法规以及监管部门有强制规定的，从其规定。如有新增事项，按国家最新规定估值。</w:t>
      </w:r>
    </w:p>
    <w:p w14:paraId="6E05215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如基金管理人或基金托管人发现基金估值违反基金合同订明的估值方法、程</w:t>
      </w:r>
      <w:r>
        <w:rPr>
          <w:rFonts w:ascii="宋体" w:hAnsi="宋体" w:cs="宋体"/>
          <w:kern w:val="0"/>
          <w:sz w:val="24"/>
          <w:szCs w:val="24"/>
        </w:rPr>
        <w:lastRenderedPageBreak/>
        <w:t>序及相关法律法规的规定或者未能充分维护基金份额持有人利益时，应立即通知对方，共同查明原因，双方协商解决。</w:t>
      </w:r>
    </w:p>
    <w:p w14:paraId="55DD6E9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2AE831C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五、估值程序</w:t>
      </w:r>
    </w:p>
    <w:p w14:paraId="28C99AF9" w14:textId="3FFC37D1"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1、各类基金份额净值是按照每个工作日闭市后，各类基金资产净值除以当日该类基金份额的余额数量计算，均精确到0.0001元，小数点后第5位四舍五入</w:t>
      </w:r>
      <w:r w:rsidR="00032FFE">
        <w:rPr>
          <w:rFonts w:ascii="宋体" w:hAnsi="宋体" w:cs="宋体" w:hint="eastAsia"/>
          <w:kern w:val="0"/>
          <w:sz w:val="24"/>
          <w:szCs w:val="24"/>
        </w:rPr>
        <w:t>，</w:t>
      </w:r>
      <w:r w:rsidR="00032FFE">
        <w:rPr>
          <w:rFonts w:ascii="宋体" w:hAnsi="宋体" w:cs="宋体"/>
          <w:kern w:val="0"/>
          <w:sz w:val="24"/>
          <w:szCs w:val="24"/>
        </w:rPr>
        <w:t>由此产生的误差计入基金</w:t>
      </w:r>
      <w:r w:rsidR="00032FFE">
        <w:rPr>
          <w:rFonts w:ascii="宋体" w:hAnsi="宋体" w:cs="宋体" w:hint="eastAsia"/>
          <w:kern w:val="0"/>
          <w:sz w:val="24"/>
          <w:szCs w:val="24"/>
        </w:rPr>
        <w:t>财产</w:t>
      </w:r>
      <w:r>
        <w:rPr>
          <w:rFonts w:ascii="宋体" w:hAnsi="宋体" w:cs="宋体"/>
          <w:kern w:val="0"/>
          <w:sz w:val="24"/>
          <w:szCs w:val="24"/>
        </w:rPr>
        <w:t>。基金管理人可以设立大额赎回情形下的净值精度应急调整机制。国家另有规定的，从其规定。</w:t>
      </w:r>
    </w:p>
    <w:p w14:paraId="594AFE7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基金管理人每个工作日计算基金资产净值及各类基金份额净值，并按规定公告。</w:t>
      </w:r>
    </w:p>
    <w:p w14:paraId="2D1154C1" w14:textId="007AE67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管理人应每个工作日对基金资产估值。但基金管理人根据法律法规或基金合同的规定暂停估值时除外。基金管理人每个工作日对基金资产估值后，将各类基金份额净值结果发送基金托管人，经基金托管人复核无误后，由基金管理人按约定对外公布。</w:t>
      </w:r>
    </w:p>
    <w:p w14:paraId="0CED401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六、估值错误的处理</w:t>
      </w:r>
    </w:p>
    <w:p w14:paraId="04BF78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基金管理人和基金托管人将采取必要、适当、合理的措施确保基金资产估值的准确性、及时性。当某类基金份额净值小数点后4位以内(含第4位)发生估值错误时，视为该类基金份额净值错误。</w:t>
      </w:r>
    </w:p>
    <w:p w14:paraId="407A27E2" w14:textId="05E940A0"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基金合同的当事人应按照以下约定处理：</w:t>
      </w:r>
    </w:p>
    <w:p w14:paraId="2958F29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1、估值错误类型</w:t>
      </w:r>
    </w:p>
    <w:p w14:paraId="545FCE3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14:paraId="7A761C3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上述估值错误的主要类型包括但不限于：资料申报差错、数据传输差错、数据计算差错、系统故障差错、下达指令差错等。</w:t>
      </w:r>
    </w:p>
    <w:p w14:paraId="20266CB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2、估值错误处理原则</w:t>
      </w:r>
    </w:p>
    <w:p w14:paraId="7D2460A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79C89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（2）估值错误的责任方对有关当事人的直接损失负责，不对间接损失负责，并且仅对估值错误的有关直接当事人负责，不对第三方负责。</w:t>
      </w:r>
    </w:p>
    <w:p w14:paraId="4B514BF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08DBA7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（4）估值错误调整采用尽量恢复至假设未发生估值错误的正确情形的方式。</w:t>
      </w:r>
    </w:p>
    <w:p w14:paraId="6DB128F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3、估值错误处理程序</w:t>
      </w:r>
    </w:p>
    <w:p w14:paraId="407DD8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估值错误被发现后，有关的当事人应当及时进行处理，处理的程序如下：</w:t>
      </w:r>
    </w:p>
    <w:p w14:paraId="36E7DD6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（1）查明估值错误发生的原因，列明所有的当事人，并根据估值错误发生的原因确定估值错误的责任方；</w:t>
      </w:r>
    </w:p>
    <w:p w14:paraId="78257AA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（2）根据估值错误处理原则或当事人协商的方法对因估值错误造成的损失进行评估；</w:t>
      </w:r>
    </w:p>
    <w:p w14:paraId="50DF48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（3）根据估值错误处理原则或当事人协商的方法由估值错误的责任方进行更正和赔偿损失；</w:t>
      </w:r>
    </w:p>
    <w:p w14:paraId="20E8D13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（4）根据估值错误处理的方法，需要修改基金登记机构交易数据的，由基金登记机构进行更正，并就估值错误的更正向有关当事人进行确认。</w:t>
      </w:r>
    </w:p>
    <w:p w14:paraId="1EAED6E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4、基金份额净值估值错误处理的方法如下：</w:t>
      </w:r>
    </w:p>
    <w:p w14:paraId="3476AD3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（1）某类基金份额净值计算出现错误时，基金管理人应当立即予以纠正，通报基金托管人，并采取合理的措施防止损失进一步扩大。</w:t>
      </w:r>
    </w:p>
    <w:p w14:paraId="47E0D0C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（2）错误偏差达到该类基金份额净值的0.25%时，基金管理人应当通报基金托管人并报中国证监会备案；错误偏差达到该类基金份额净值的0.5%时，基金管理人应当公告，并报中国证监会备案。</w:t>
      </w:r>
    </w:p>
    <w:p w14:paraId="16B6576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（3）前述内容如法律法规或监管机构另有规定的，从其规定处理。如果行业另有通行做法，基金管理人和基金托管人应本着平等和保护基金份额持有人利益的原则进行协商。</w:t>
      </w:r>
    </w:p>
    <w:p w14:paraId="6C4406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七、暂停估值的情形</w:t>
      </w:r>
    </w:p>
    <w:p w14:paraId="08CB6DC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1、基金投资所涉及的证券/期货交易市场遇法定节假日或因其他原因暂停营业时；</w:t>
      </w:r>
    </w:p>
    <w:p w14:paraId="7F3F022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2、因不可抗力或其他情形致使基金管理人、基金托管人无法准确评估基金资产价值时；</w:t>
      </w:r>
    </w:p>
    <w:p w14:paraId="2F422EA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3、当特定资产占前一估值日基金资产净值50%以上的，经与基金托管人协商确认后，基金管理人应当暂停估值；</w:t>
      </w:r>
    </w:p>
    <w:p w14:paraId="1904245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4、法律法规规定、中国证监会和基金合同认定的其它情形。</w:t>
      </w:r>
    </w:p>
    <w:p w14:paraId="4EF20FF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八、基金净值的确认</w:t>
      </w:r>
    </w:p>
    <w:p w14:paraId="375C519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用于基金信息披露的基金资产净值和各类基金份额净值由基金管理人负责计算，基金托管人负责进行复核。基金管理人应于每个工作日交易结束后计算当日的基金资产净值和各类基金份额净值并发送给基金托管人。基金托管人对净值计算结果复核确认后发送给基金管理人，由基金管理人对基金净值按约定予以公布。</w:t>
      </w:r>
    </w:p>
    <w:p w14:paraId="6BB2471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九、实施侧袋机制期间的基金资产估值</w:t>
      </w:r>
    </w:p>
    <w:p w14:paraId="315F5E7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本基金实施侧袋机制的，应根据本部分的约定对主袋账户资产进行估值并披露主袋账户的基金净值信息，暂停披露侧袋账户份额净值。</w:t>
      </w:r>
    </w:p>
    <w:p w14:paraId="32B8760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十、特殊情形的处理</w:t>
      </w:r>
    </w:p>
    <w:p w14:paraId="69944F6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1、基金管理人、基金托管人按本部分有关估值方法约定的第9项进行估值时，所造成的误差不作为基金资产估值错误处理。</w:t>
      </w:r>
    </w:p>
    <w:p w14:paraId="79B79F2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2、由于证券/期货交易所、登记结算公司等第三方机构发送的数据错误，或</w:t>
      </w:r>
      <w:r>
        <w:rPr>
          <w:rFonts w:ascii="宋体" w:hAnsi="宋体" w:cs="宋体"/>
          <w:kern w:val="0"/>
          <w:sz w:val="24"/>
          <w:szCs w:val="24"/>
        </w:rPr>
        <w:lastRenderedPageBreak/>
        <w:t>由于其他不可抗力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减轻或消除由此造成的影响。</w:t>
      </w:r>
    </w:p>
    <w:p w14:paraId="1461687F" w14:textId="77777777" w:rsidR="009912D6" w:rsidRDefault="0024620C" w:rsidP="00CF4574">
      <w:pPr>
        <w:autoSpaceDE w:val="0"/>
        <w:autoSpaceDN w:val="0"/>
        <w:adjustRightInd w:val="0"/>
        <w:spacing w:line="360" w:lineRule="auto"/>
        <w:rPr>
          <w:rFonts w:ascii="宋体"/>
          <w:noProof/>
          <w:color w:val="000000"/>
          <w:kern w:val="0"/>
          <w:sz w:val="24"/>
          <w:szCs w:val="24"/>
        </w:rPr>
      </w:pPr>
      <w:r>
        <w:rPr>
          <w:rFonts w:ascii="宋体"/>
          <w:noProof/>
          <w:color w:val="000000"/>
          <w:kern w:val="0"/>
          <w:sz w:val="24"/>
          <w:szCs w:val="24"/>
        </w:rPr>
        <w:br w:type="page"/>
      </w:r>
    </w:p>
    <w:p w14:paraId="77F294FE" w14:textId="20780181" w:rsidR="009912D6" w:rsidRDefault="0024620C" w:rsidP="009912D6">
      <w:pPr>
        <w:pStyle w:val="1"/>
        <w:spacing w:before="0" w:after="0"/>
        <w:jc w:val="center"/>
        <w:rPr>
          <w:rFonts w:ascii="Times New Roman"/>
          <w:color w:val="auto"/>
          <w:sz w:val="30"/>
        </w:rPr>
      </w:pPr>
      <w:bookmarkStart w:id="41" w:name="_Toc135000349"/>
      <w:r w:rsidRPr="009E26D0">
        <w:rPr>
          <w:rFonts w:ascii="Times New Roman"/>
          <w:color w:val="auto"/>
          <w:sz w:val="30"/>
        </w:rPr>
        <w:lastRenderedPageBreak/>
        <w:t>第十</w:t>
      </w:r>
      <w:r w:rsidR="00120661">
        <w:rPr>
          <w:rFonts w:ascii="Times New Roman" w:hint="eastAsia"/>
          <w:color w:val="auto"/>
          <w:sz w:val="30"/>
        </w:rPr>
        <w:t>三</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基金的收益与分配</w:t>
      </w:r>
      <w:bookmarkEnd w:id="41"/>
    </w:p>
    <w:p w14:paraId="304AD1B4" w14:textId="77777777" w:rsidR="009912D6" w:rsidRPr="0017353E" w:rsidRDefault="009912D6" w:rsidP="009912D6"/>
    <w:p w14:paraId="415BC2E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一、基金利润的构成</w:t>
      </w:r>
    </w:p>
    <w:p w14:paraId="7851E4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基金利润指基金利息收入、投资收益、公允价值变动收益和其他收入扣除相关费用后的余额，基金已实现收益指基金利润减去公允价值变动收益后的余额。</w:t>
      </w:r>
    </w:p>
    <w:p w14:paraId="78B5EE4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二、基金可供分配利润</w:t>
      </w:r>
    </w:p>
    <w:p w14:paraId="76825C2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基金可供分配利润指截至收益分配基准日基金未分配利润与未分配利润中已实现收益的孰低数。</w:t>
      </w:r>
    </w:p>
    <w:p w14:paraId="0215251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三、基金收益分配原则</w:t>
      </w:r>
    </w:p>
    <w:p w14:paraId="003CF21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1、在符合有关基金分红条件的前提下，本基金可进行基金收益分配，若《基金合同》生效不满3个月可不进行收益分配；</w:t>
      </w:r>
    </w:p>
    <w:p w14:paraId="3D205D8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本基金收益分配方式分两种：现金分红与红利再投资，投资者可选择现金红利或将现金红利自动转为相应类别的基金份额进行再投资，基金份额持有人可对A类、C类基金份额分别选择不同的分红方式；若投资者不选择，本基金默认的收益分配方式是现金分红；</w:t>
      </w:r>
    </w:p>
    <w:p w14:paraId="1DB120F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3、基金收益分配后各类基金份额净值不能低于面值，即基金收益分配基准日的各类基金份额净值减去每单位该类基金份额收益分配金额后不能低于面值；</w:t>
      </w:r>
    </w:p>
    <w:p w14:paraId="2F496E6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4、同一类别内每一基金份额享有同等分配权；</w:t>
      </w:r>
    </w:p>
    <w:p w14:paraId="2F1D4FB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5、法律法规或监管机构另有规定的，从其规定。</w:t>
      </w:r>
    </w:p>
    <w:p w14:paraId="1288FC3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在不违反法律法规且对基金份额持有人利益无实质性不利影响的前提下，基金管理人可对基金收益分配原则进行调整，无需召开基金份额持有人大会。</w:t>
      </w:r>
    </w:p>
    <w:p w14:paraId="2C3FF1A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四、收益分配方案</w:t>
      </w:r>
    </w:p>
    <w:p w14:paraId="2C25F48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基金收益分配方案中应载明截至收益分配基准日的可供分配利润、基金收益分配对象、分配时间、分配数额及比例、分配方式等内容。</w:t>
      </w:r>
    </w:p>
    <w:p w14:paraId="472196C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五、收益分配方案的确定、公告与实施</w:t>
      </w:r>
    </w:p>
    <w:p w14:paraId="6EA17C8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本基金收益分配方案由基金管理人拟定，并由基金托管人复核，在2日内在规定媒介公告。</w:t>
      </w:r>
    </w:p>
    <w:p w14:paraId="4432F7A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六、基金收益分配中发生的费用</w:t>
      </w:r>
    </w:p>
    <w:p w14:paraId="725456F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基金收益分配时所发生的银行转账或其他手续费用由投资者自行承担。当投</w:t>
      </w:r>
      <w:r>
        <w:rPr>
          <w:rFonts w:ascii="宋体" w:hAnsi="宋体" w:cs="宋体"/>
          <w:kern w:val="0"/>
          <w:sz w:val="24"/>
          <w:szCs w:val="24"/>
        </w:rPr>
        <w:lastRenderedPageBreak/>
        <w:t>资者的现金红利小于一定金额，不足以支付银行转账或其他手续费用时，基金登记机构可将基金份额持有人的现金红利自动转为相应类别的基金份额。红利再投资的计算方法，依照《业务规则》执行。</w:t>
      </w:r>
    </w:p>
    <w:p w14:paraId="28999854"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七、实施侧袋机制期间的收益分配</w:t>
      </w:r>
    </w:p>
    <w:p w14:paraId="27758A6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本基金实施侧袋机制的，侧袋账户不进行收益分配，详见本招募说明书“侧袋机制”章节的规定。</w:t>
      </w:r>
    </w:p>
    <w:p w14:paraId="634AB075"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4360770F" w14:textId="3E67A0C0" w:rsidR="009912D6" w:rsidRDefault="0024620C" w:rsidP="009912D6">
      <w:pPr>
        <w:pStyle w:val="1"/>
        <w:spacing w:before="0" w:after="0"/>
        <w:jc w:val="center"/>
        <w:rPr>
          <w:rFonts w:ascii="Times New Roman"/>
          <w:color w:val="auto"/>
          <w:sz w:val="30"/>
        </w:rPr>
      </w:pPr>
      <w:bookmarkStart w:id="42" w:name="_Toc135000350"/>
      <w:r w:rsidRPr="009E26D0">
        <w:rPr>
          <w:rFonts w:ascii="Times New Roman"/>
          <w:color w:val="auto"/>
          <w:sz w:val="30"/>
        </w:rPr>
        <w:lastRenderedPageBreak/>
        <w:t>第十</w:t>
      </w:r>
      <w:r w:rsidR="00120661">
        <w:rPr>
          <w:rFonts w:ascii="Times New Roman" w:hint="eastAsia"/>
          <w:color w:val="auto"/>
          <w:sz w:val="30"/>
        </w:rPr>
        <w:t>四</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基金费用与税收</w:t>
      </w:r>
      <w:bookmarkEnd w:id="42"/>
    </w:p>
    <w:p w14:paraId="66C44C45" w14:textId="77777777" w:rsidR="009912D6" w:rsidRPr="0017353E" w:rsidRDefault="009912D6" w:rsidP="009912D6"/>
    <w:p w14:paraId="13AEDA6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一、基金费用的种类</w:t>
      </w:r>
    </w:p>
    <w:p w14:paraId="35FD1AA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1、基金管理人的管理费；</w:t>
      </w:r>
    </w:p>
    <w:p w14:paraId="49F52B5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2、基金托管人的托管费；</w:t>
      </w:r>
    </w:p>
    <w:p w14:paraId="5D8CE0A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3、销售服务费；</w:t>
      </w:r>
    </w:p>
    <w:p w14:paraId="00925E8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4、《基金合同》生效后与基金相关的信息披露费用（但法律法规、中国证监会另有规定的除外）；</w:t>
      </w:r>
    </w:p>
    <w:p w14:paraId="0A4112F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5、《基金合同》生效后与基金相关的会计师费、律师费、仲裁费和诉讼费；</w:t>
      </w:r>
    </w:p>
    <w:p w14:paraId="7D80A6B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6、基金份额持有人大会费用；</w:t>
      </w:r>
    </w:p>
    <w:p w14:paraId="4B88361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7、基金的证券、期货等交易费用；</w:t>
      </w:r>
    </w:p>
    <w:p w14:paraId="4390322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8、基金的银行汇划费用；</w:t>
      </w:r>
    </w:p>
    <w:p w14:paraId="0DDFD5B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9、基金的账户开户费用、账户维护费用；</w:t>
      </w:r>
    </w:p>
    <w:p w14:paraId="5F156F2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10、因投资港股通标的股票而产生的各项合理费用；</w:t>
      </w:r>
    </w:p>
    <w:p w14:paraId="5456A13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11、按照国家有关规定和《基金合同》约定，可以在基金财产中列支的其他费用。</w:t>
      </w:r>
    </w:p>
    <w:p w14:paraId="1A7441C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二、基金费用计提方法、计提标准和支付方式</w:t>
      </w:r>
    </w:p>
    <w:p w14:paraId="790B637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1、基金管理人的管理费</w:t>
      </w:r>
    </w:p>
    <w:p w14:paraId="1F76EA3A"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本基金的管理费按前一日基金资产净值的0.50%年费率计提。管理费的计算方法如下：</w:t>
      </w:r>
    </w:p>
    <w:p w14:paraId="300475C2"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H＝E×0.50%÷当年天数</w:t>
      </w:r>
    </w:p>
    <w:p w14:paraId="36266047"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H为每日应计提的基金管理费</w:t>
      </w:r>
    </w:p>
    <w:p w14:paraId="79486499"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E为前一日的基金资产净值</w:t>
      </w:r>
    </w:p>
    <w:p w14:paraId="6948357E"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基金管理费每日计提，逐日累计至每月月末，按月支付，经基金管理人与基金托管人双方核对无误后，自动在次月初五个工作日内、按照指定的账户路径进行资金支付，基金管理人无需再出具资金划拨指令。若遇法定节假日、休息日或不可抗力致使无法按时支付的，顺延至法定节假日、休息日结束之日起</w:t>
      </w:r>
      <w:r>
        <w:rPr>
          <w:rFonts w:ascii="Calibri" w:eastAsia="Calibri" w:hAnsi="Calibri" w:cs="Calibri"/>
          <w:kern w:val="0"/>
          <w:sz w:val="24"/>
          <w:szCs w:val="24"/>
        </w:rPr>
        <w:t>5</w:t>
      </w:r>
      <w:r>
        <w:rPr>
          <w:rFonts w:ascii="宋体" w:hAnsi="宋体" w:cs="宋体"/>
          <w:kern w:val="0"/>
          <w:sz w:val="24"/>
          <w:szCs w:val="24"/>
        </w:rPr>
        <w:t>个工作日内或不可抗力情形消除之日起</w:t>
      </w:r>
      <w:r>
        <w:rPr>
          <w:rFonts w:ascii="Calibri" w:eastAsia="Calibri" w:hAnsi="Calibri" w:cs="Calibri"/>
          <w:kern w:val="0"/>
          <w:sz w:val="24"/>
          <w:szCs w:val="24"/>
        </w:rPr>
        <w:t>5</w:t>
      </w:r>
      <w:r>
        <w:rPr>
          <w:rFonts w:ascii="宋体" w:hAnsi="宋体" w:cs="宋体"/>
          <w:kern w:val="0"/>
          <w:sz w:val="24"/>
          <w:szCs w:val="24"/>
        </w:rPr>
        <w:t>个工作日内支付。</w:t>
      </w:r>
    </w:p>
    <w:p w14:paraId="7B4C0A8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2、基金托管人的托管费</w:t>
      </w:r>
    </w:p>
    <w:p w14:paraId="7330D974"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lastRenderedPageBreak/>
        <w:t>本基金的托管费按前一日基金资产净值的0.20%的年费率计提。托管费的计算方法如下：</w:t>
      </w:r>
    </w:p>
    <w:p w14:paraId="34133DCA"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H＝E×0.20%÷当年天数</w:t>
      </w:r>
    </w:p>
    <w:p w14:paraId="61363197"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H为每日应计提的基金托管费</w:t>
      </w:r>
    </w:p>
    <w:p w14:paraId="77196B6F"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E为前一日的基金资产净值</w:t>
      </w:r>
    </w:p>
    <w:p w14:paraId="253B6BA6" w14:textId="77777777" w:rsidR="00102490" w:rsidRDefault="00102490" w:rsidP="00102490">
      <w:pPr>
        <w:spacing w:line="360" w:lineRule="auto"/>
        <w:ind w:firstLine="420"/>
        <w:rPr>
          <w:rFonts w:eastAsia="Times New Roman"/>
          <w:kern w:val="0"/>
          <w:sz w:val="24"/>
          <w:szCs w:val="24"/>
        </w:rPr>
      </w:pPr>
      <w:r>
        <w:rPr>
          <w:rFonts w:ascii="宋体" w:hAnsi="宋体" w:cs="宋体"/>
          <w:kern w:val="0"/>
          <w:sz w:val="24"/>
          <w:szCs w:val="24"/>
        </w:rPr>
        <w:t>基金托管费每日计提，逐日累计至每月月末，按月支付，经基金管理人与基金托管人双方核对无误后，自动在次月初五个工作日内、按照指定的账户路径进行资金支付，基金管理人无需再出具资金划拨指令。若遇法定节假日、休息日或不可抗力致使无法按时支付的，顺延至法定节假日、休息日结束之日起</w:t>
      </w:r>
      <w:r>
        <w:rPr>
          <w:rFonts w:ascii="Calibri" w:eastAsia="Calibri" w:hAnsi="Calibri" w:cs="Calibri"/>
          <w:kern w:val="0"/>
          <w:sz w:val="24"/>
          <w:szCs w:val="24"/>
        </w:rPr>
        <w:t>5</w:t>
      </w:r>
      <w:r>
        <w:rPr>
          <w:rFonts w:ascii="宋体" w:hAnsi="宋体" w:cs="宋体"/>
          <w:kern w:val="0"/>
          <w:sz w:val="24"/>
          <w:szCs w:val="24"/>
        </w:rPr>
        <w:t>个工作日内或不可抗力情形消除之日起</w:t>
      </w:r>
      <w:r>
        <w:rPr>
          <w:rFonts w:ascii="Calibri" w:eastAsia="Calibri" w:hAnsi="Calibri" w:cs="Calibri"/>
          <w:kern w:val="0"/>
          <w:sz w:val="24"/>
          <w:szCs w:val="24"/>
        </w:rPr>
        <w:t>5</w:t>
      </w:r>
      <w:r>
        <w:rPr>
          <w:rFonts w:ascii="宋体" w:hAnsi="宋体" w:cs="宋体"/>
          <w:kern w:val="0"/>
          <w:sz w:val="24"/>
          <w:szCs w:val="24"/>
        </w:rPr>
        <w:t>个工作日内支付。</w:t>
      </w:r>
    </w:p>
    <w:p w14:paraId="7FC16C1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3、销售服务费</w:t>
      </w:r>
    </w:p>
    <w:p w14:paraId="45DEF352"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本基金A类基金份额不收取销售服务费,C类基金份额的销售服务费年费率为0.40%。</w:t>
      </w:r>
    </w:p>
    <w:p w14:paraId="152959B2"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计算方法如下：</w:t>
      </w:r>
    </w:p>
    <w:p w14:paraId="6E62D163"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H＝E×</w:t>
      </w:r>
      <w:r>
        <w:rPr>
          <w:rFonts w:ascii="宋体" w:hAnsi="宋体" w:cs="宋体" w:hint="eastAsia"/>
          <w:kern w:val="0"/>
          <w:sz w:val="24"/>
          <w:szCs w:val="24"/>
        </w:rPr>
        <w:t>0</w:t>
      </w:r>
      <w:r>
        <w:rPr>
          <w:rFonts w:ascii="宋体" w:hAnsi="宋体" w:cs="宋体"/>
          <w:kern w:val="0"/>
          <w:sz w:val="24"/>
          <w:szCs w:val="24"/>
        </w:rPr>
        <w:t>.40</w:t>
      </w:r>
      <w:r>
        <w:rPr>
          <w:rFonts w:ascii="宋体" w:hAnsi="宋体" w:cs="宋体" w:hint="eastAsia"/>
          <w:kern w:val="0"/>
          <w:sz w:val="24"/>
          <w:szCs w:val="24"/>
        </w:rPr>
        <w:t>%</w:t>
      </w:r>
      <w:r>
        <w:rPr>
          <w:rFonts w:ascii="宋体" w:hAnsi="宋体" w:cs="宋体"/>
          <w:kern w:val="0"/>
          <w:sz w:val="24"/>
          <w:szCs w:val="24"/>
        </w:rPr>
        <w:t>÷当年天数</w:t>
      </w:r>
    </w:p>
    <w:p w14:paraId="6007A6FE"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H为</w:t>
      </w:r>
      <w:r>
        <w:rPr>
          <w:rFonts w:ascii="宋体" w:hAnsi="宋体" w:cs="宋体" w:hint="eastAsia"/>
          <w:kern w:val="0"/>
          <w:sz w:val="24"/>
          <w:szCs w:val="24"/>
        </w:rPr>
        <w:t>C</w:t>
      </w:r>
      <w:r>
        <w:rPr>
          <w:rFonts w:ascii="宋体" w:hAnsi="宋体" w:cs="宋体"/>
          <w:kern w:val="0"/>
          <w:sz w:val="24"/>
          <w:szCs w:val="24"/>
        </w:rPr>
        <w:t>类基金份额每日应计提的销售服务费</w:t>
      </w:r>
    </w:p>
    <w:p w14:paraId="209E4AFF"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E为</w:t>
      </w:r>
      <w:r>
        <w:rPr>
          <w:rFonts w:ascii="宋体" w:hAnsi="宋体" w:cs="宋体" w:hint="eastAsia"/>
          <w:kern w:val="0"/>
          <w:sz w:val="24"/>
          <w:szCs w:val="24"/>
        </w:rPr>
        <w:t>C</w:t>
      </w:r>
      <w:r>
        <w:rPr>
          <w:rFonts w:ascii="宋体" w:hAnsi="宋体" w:cs="宋体"/>
          <w:kern w:val="0"/>
          <w:sz w:val="24"/>
          <w:szCs w:val="24"/>
        </w:rPr>
        <w:t>类基金份额前一日基金资产净值</w:t>
      </w:r>
    </w:p>
    <w:p w14:paraId="73AFE19D" w14:textId="77777777" w:rsidR="00102490" w:rsidRDefault="00102490" w:rsidP="00102490">
      <w:pPr>
        <w:spacing w:line="360" w:lineRule="auto"/>
        <w:ind w:firstLine="420"/>
        <w:rPr>
          <w:rFonts w:ascii="宋体" w:hAnsi="宋体" w:cs="宋体"/>
          <w:kern w:val="0"/>
          <w:sz w:val="24"/>
          <w:szCs w:val="24"/>
        </w:rPr>
      </w:pPr>
      <w:r>
        <w:rPr>
          <w:rFonts w:ascii="宋体" w:hAnsi="宋体" w:cs="宋体"/>
          <w:kern w:val="0"/>
          <w:sz w:val="24"/>
          <w:szCs w:val="24"/>
        </w:rPr>
        <w:t>销售服务费每日计提，逐日累计至每月月末，按月支付，经基金管理人与基金托管人双方核对无误后，自动在次月初五个工作日内、按照指定的账户路径进行资金支付，基金管理人无需再出具资金划拨指令。若遇法定节假日、休息日或不可抗力致使无法按时支付的，顺延至法定节假日、休息日结束之日起</w:t>
      </w:r>
      <w:r>
        <w:rPr>
          <w:rFonts w:ascii="Calibri" w:eastAsia="Calibri" w:hAnsi="Calibri" w:cs="Calibri"/>
          <w:kern w:val="0"/>
          <w:sz w:val="24"/>
          <w:szCs w:val="24"/>
        </w:rPr>
        <w:t>5</w:t>
      </w:r>
      <w:r>
        <w:rPr>
          <w:rFonts w:ascii="宋体" w:hAnsi="宋体" w:cs="宋体"/>
          <w:kern w:val="0"/>
          <w:sz w:val="24"/>
          <w:szCs w:val="24"/>
        </w:rPr>
        <w:t>个工作日内或不可抗力情形消除之日起</w:t>
      </w:r>
      <w:r>
        <w:rPr>
          <w:rFonts w:ascii="Calibri" w:eastAsia="Calibri" w:hAnsi="Calibri" w:cs="Calibri"/>
          <w:kern w:val="0"/>
          <w:sz w:val="24"/>
          <w:szCs w:val="24"/>
        </w:rPr>
        <w:t>5</w:t>
      </w:r>
      <w:r>
        <w:rPr>
          <w:rFonts w:ascii="宋体" w:hAnsi="宋体" w:cs="宋体"/>
          <w:kern w:val="0"/>
          <w:sz w:val="24"/>
          <w:szCs w:val="24"/>
        </w:rPr>
        <w:t>个工作日内支付。</w:t>
      </w:r>
    </w:p>
    <w:p w14:paraId="52F23F0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上述“一、基金费用的种类”中第4－11项费用，根据有关法规及相应协议规定，按费用实际支出金额列入当期费用，由基金托管人从基金财产中支付。</w:t>
      </w:r>
    </w:p>
    <w:p w14:paraId="326991E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三、不列入基金费用的项目</w:t>
      </w:r>
    </w:p>
    <w:p w14:paraId="170EAC3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下列费用不列入基金费用：</w:t>
      </w:r>
    </w:p>
    <w:p w14:paraId="28F0E83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1、基金管理人和基金托管人因未履行或未完全履行义务导致的费用支出或基金财产的损失；</w:t>
      </w:r>
    </w:p>
    <w:p w14:paraId="3D0A191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2、基金管理人和基金托管人处理与基金运作无关的事项发生的费用；</w:t>
      </w:r>
    </w:p>
    <w:p w14:paraId="47726D2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3、《基金合同》生效前的相关费用；</w:t>
      </w:r>
    </w:p>
    <w:p w14:paraId="0BD1BE5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4、其他根据相关法律法规及中国证监会的有关规定不得列入基金费用的项目。</w:t>
      </w:r>
    </w:p>
    <w:p w14:paraId="0880F026" w14:textId="6060ED3A" w:rsidR="00586A97" w:rsidRDefault="007E413F">
      <w:pPr>
        <w:spacing w:line="360" w:lineRule="auto"/>
        <w:ind w:firstLine="420"/>
        <w:jc w:val="left"/>
        <w:rPr>
          <w:rFonts w:eastAsia="Times New Roman"/>
          <w:kern w:val="0"/>
          <w:sz w:val="24"/>
          <w:szCs w:val="24"/>
        </w:rPr>
      </w:pPr>
      <w:r>
        <w:rPr>
          <w:rFonts w:ascii="宋体" w:hAnsi="宋体" w:cs="宋体" w:hint="eastAsia"/>
          <w:kern w:val="0"/>
          <w:sz w:val="24"/>
          <w:szCs w:val="24"/>
        </w:rPr>
        <w:t>四</w:t>
      </w:r>
      <w:r w:rsidR="0024620C">
        <w:rPr>
          <w:rFonts w:ascii="宋体" w:hAnsi="宋体" w:cs="宋体"/>
          <w:kern w:val="0"/>
          <w:sz w:val="24"/>
          <w:szCs w:val="24"/>
        </w:rPr>
        <w:t>、实施侧袋机制期间的基金费用</w:t>
      </w:r>
    </w:p>
    <w:p w14:paraId="558986A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本基金实施侧袋机制的，与侧袋账户有关的费用可以从侧袋账户中列支，但应待侧袋账户资产变现后方可列支，有关费用可酌情收取或减免，但不得收取管理费，详见本招募说明书“侧袋机制”章节的规定。</w:t>
      </w:r>
    </w:p>
    <w:p w14:paraId="1800360D" w14:textId="0179AAC4" w:rsidR="00586A97" w:rsidRDefault="007E413F">
      <w:pPr>
        <w:spacing w:line="360" w:lineRule="auto"/>
        <w:ind w:firstLine="420"/>
        <w:jc w:val="left"/>
        <w:rPr>
          <w:rFonts w:eastAsia="Times New Roman"/>
          <w:kern w:val="0"/>
          <w:sz w:val="24"/>
          <w:szCs w:val="24"/>
        </w:rPr>
      </w:pPr>
      <w:r>
        <w:rPr>
          <w:rFonts w:ascii="宋体" w:hAnsi="宋体" w:cs="宋体" w:hint="eastAsia"/>
          <w:kern w:val="0"/>
          <w:sz w:val="24"/>
          <w:szCs w:val="24"/>
        </w:rPr>
        <w:t>五</w:t>
      </w:r>
      <w:r w:rsidR="0024620C">
        <w:rPr>
          <w:rFonts w:ascii="宋体" w:hAnsi="宋体" w:cs="宋体"/>
          <w:kern w:val="0"/>
          <w:sz w:val="24"/>
          <w:szCs w:val="24"/>
        </w:rPr>
        <w:t>、基金税收</w:t>
      </w:r>
    </w:p>
    <w:p w14:paraId="5B2641B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本基金运作过程中涉及的各纳税主体，其纳税义务按国家税收法律、法规执行。基金财产投资的相关税收，由基金份额持有人承担，基金管理人或者其他扣缴义务人按照国家有关税收征收的规定代扣代缴。</w:t>
      </w:r>
    </w:p>
    <w:p w14:paraId="65B44E77"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51331986" w14:textId="556C6926" w:rsidR="009912D6" w:rsidRDefault="0024620C" w:rsidP="009912D6">
      <w:pPr>
        <w:pStyle w:val="1"/>
        <w:spacing w:before="0" w:after="0"/>
        <w:jc w:val="center"/>
        <w:rPr>
          <w:rFonts w:ascii="Times New Roman"/>
          <w:color w:val="auto"/>
          <w:sz w:val="30"/>
        </w:rPr>
      </w:pPr>
      <w:bookmarkStart w:id="43" w:name="_Toc135000351"/>
      <w:r w:rsidRPr="009E26D0">
        <w:rPr>
          <w:rFonts w:ascii="Times New Roman"/>
          <w:color w:val="auto"/>
          <w:sz w:val="30"/>
        </w:rPr>
        <w:lastRenderedPageBreak/>
        <w:t>第十</w:t>
      </w:r>
      <w:r w:rsidR="00120661">
        <w:rPr>
          <w:rFonts w:ascii="Times New Roman" w:hint="eastAsia"/>
          <w:color w:val="auto"/>
          <w:sz w:val="30"/>
        </w:rPr>
        <w:t>五</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基金的会计与审计</w:t>
      </w:r>
      <w:bookmarkEnd w:id="43"/>
    </w:p>
    <w:p w14:paraId="306711E8" w14:textId="77777777" w:rsidR="009912D6" w:rsidRPr="0017353E" w:rsidRDefault="009912D6" w:rsidP="009912D6"/>
    <w:p w14:paraId="7D26BE2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一、基金会计政策</w:t>
      </w:r>
    </w:p>
    <w:p w14:paraId="5259EC4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1、基金管理人为本基金的基金会计责任方；</w:t>
      </w:r>
    </w:p>
    <w:p w14:paraId="5ECB5C3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2、基金的会计年度为公历年度的1月1日至12月31日；基金首次募集的会计年度按如下原则：如果《基金合同》生效少于2个月，可以并入下一个会计年度披露；</w:t>
      </w:r>
    </w:p>
    <w:p w14:paraId="3A9D180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3、基金核算以人民币为记账本位币，以人民币元为记账单位；</w:t>
      </w:r>
    </w:p>
    <w:p w14:paraId="37AE7B1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4、会计制度执行国家有关会计制度；</w:t>
      </w:r>
    </w:p>
    <w:p w14:paraId="3BB3DE1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5、本基金独立建账、独立核算；</w:t>
      </w:r>
    </w:p>
    <w:p w14:paraId="7E5C0AE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6、基金管理人及基金托管人各自保留完整的会计账目、凭证并进行日常的会计核算，按照有关规定编制基金会计报表；</w:t>
      </w:r>
    </w:p>
    <w:p w14:paraId="2C1BCF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7、基金托管人每月与基金管理人就基金的会计核算、报表编制等进行核对并以书面方式确认。</w:t>
      </w:r>
    </w:p>
    <w:p w14:paraId="41E7200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二、基金的年度审计</w:t>
      </w:r>
    </w:p>
    <w:p w14:paraId="5AC5697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1、基金管理人聘请与基金管理人、基金托管人相互独立的符合《中华人民共和国证券法》规定的会计师事务所及其注册会计师对本基金的年度财务报表进行审计。</w:t>
      </w:r>
    </w:p>
    <w:p w14:paraId="626CC74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2、会计师事务所更换经办注册会计师，应事先征得基金管理人同意。</w:t>
      </w:r>
    </w:p>
    <w:p w14:paraId="022624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3、基金管理人认为有充足理由更换会计师事务所，须通报基金托管人。更换会计师事务所需在2日内在规定媒介公告。</w:t>
      </w:r>
    </w:p>
    <w:p w14:paraId="0C50021A"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746D6222" w14:textId="0F1D4C6C" w:rsidR="009912D6" w:rsidRDefault="0024620C" w:rsidP="009912D6">
      <w:pPr>
        <w:pStyle w:val="1"/>
        <w:spacing w:before="0" w:after="0"/>
        <w:jc w:val="center"/>
        <w:rPr>
          <w:rFonts w:ascii="Times New Roman"/>
          <w:color w:val="auto"/>
          <w:sz w:val="30"/>
        </w:rPr>
      </w:pPr>
      <w:bookmarkStart w:id="44" w:name="_Toc135000352"/>
      <w:r w:rsidRPr="009E26D0">
        <w:rPr>
          <w:rFonts w:ascii="Times New Roman"/>
          <w:color w:val="auto"/>
          <w:sz w:val="30"/>
        </w:rPr>
        <w:lastRenderedPageBreak/>
        <w:t>第十</w:t>
      </w:r>
      <w:r w:rsidR="00120661">
        <w:rPr>
          <w:rFonts w:ascii="Times New Roman" w:hint="eastAsia"/>
          <w:color w:val="auto"/>
          <w:sz w:val="30"/>
        </w:rPr>
        <w:t>六</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基金的信息披露</w:t>
      </w:r>
      <w:bookmarkEnd w:id="44"/>
    </w:p>
    <w:p w14:paraId="235A9626" w14:textId="77777777" w:rsidR="009912D6" w:rsidRPr="0017353E" w:rsidRDefault="009912D6" w:rsidP="009912D6"/>
    <w:p w14:paraId="653EF86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一、本基金的信息披露应符合《基金法》、《运作办法》、《信息披露办法》、《流动性风险管理规定》、《基金合同》及其他有关规定。相关法律法规关于信息披露的规定发生变化时，本基金从其最新规定。</w:t>
      </w:r>
    </w:p>
    <w:p w14:paraId="3BCCAE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二、信息披露义务人</w:t>
      </w:r>
    </w:p>
    <w:p w14:paraId="3649CD9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本基金信息披露义务人包括基金管理人、基金托管人、召集基金份额持有人大会的基金份额持有人等法律法规和中国证监会规定的自然人、法人和非法人组织。</w:t>
      </w:r>
    </w:p>
    <w:p w14:paraId="4860453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本基金信息披露义务人以保护基金份额持有人利益为根本出发点，按照法律法规和中国证监会的规定披露基金信息，并保证所披露信息的真实性、准确性、完整性、及时性、简明性和易得性。</w:t>
      </w:r>
    </w:p>
    <w:p w14:paraId="304B128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信息披露义务人应当在中国证监会规定时间内，将应予披露的基金信息通过符合中国证监会规定条件的全国性报刊（以下简称“规定报刊”）和《信息披露办法》规定的互联网网站（以下简称“规定网站”）等规定媒介披露，并保证基金投资者能够按照《基金合同》约定的时间和方式查阅或者复制公开披露的信息资料。</w:t>
      </w:r>
    </w:p>
    <w:p w14:paraId="4B12F24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三、本基金信息披露义务人承诺公开披露的基金信息，不得有下列行为：</w:t>
      </w:r>
    </w:p>
    <w:p w14:paraId="30E565D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1、虚假记载、误导性陈述或者重大遗漏；</w:t>
      </w:r>
    </w:p>
    <w:p w14:paraId="6B8086A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2、对证券投资业绩进行预测；</w:t>
      </w:r>
    </w:p>
    <w:p w14:paraId="3CB997B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3、违规承诺收益或者承担损失；</w:t>
      </w:r>
    </w:p>
    <w:p w14:paraId="36FD4CF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4、诋毁其他基金管理人、基金托管人或者基金销售机构；</w:t>
      </w:r>
    </w:p>
    <w:p w14:paraId="2E7EC6F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5、登载任何自然人、法人和非法人组织的祝贺性、恭维性或推荐性的文字；</w:t>
      </w:r>
    </w:p>
    <w:p w14:paraId="50A4021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6、中国证监会禁止的其他行为。</w:t>
      </w:r>
    </w:p>
    <w:p w14:paraId="3EF2139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四、本基金公开披露的信息应采用中文文本。如同时采用外文文本的，基金信息披露义务人应保证不同文本的内容一致。不同文本之间发生歧义的，以中文文本为准。</w:t>
      </w:r>
    </w:p>
    <w:p w14:paraId="67E54CE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本基金公开披露的信息采用阿拉伯数字；除特别说明外，货币单位为人民币元。</w:t>
      </w:r>
    </w:p>
    <w:p w14:paraId="62C4591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五、公开披露的基金信息</w:t>
      </w:r>
    </w:p>
    <w:p w14:paraId="2199B38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公开披露的基金信息包括：</w:t>
      </w:r>
    </w:p>
    <w:p w14:paraId="2088E70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（一）基金招募说明书、《基金合同》、基金托管协议、基金产品资料概要</w:t>
      </w:r>
    </w:p>
    <w:p w14:paraId="3F14F9F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1、《基金合同》是界定《基金合同》当事人的各项权利、义务关系，明确基金份额持有人大会召开的规则及具体程序，说明基金产品的特性等涉及基金投资者重大利益的事项的法律文件。</w:t>
      </w:r>
    </w:p>
    <w:p w14:paraId="22C5AE6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4C0781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3、基金托管协议是界定基金托管人和基金管理人在基金财产保管及基金运作监督等活动中的权利、义务关系的法律文件。</w:t>
      </w:r>
    </w:p>
    <w:p w14:paraId="36CAE511" w14:textId="1C0AE5B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20C27C3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募集申请经中国证监会注册后，基金管理人在基金份额发售的3日前，将基金份额发售公告、基金招募说明书提示性公告、《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602334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（二）基金份额发售公告</w:t>
      </w:r>
    </w:p>
    <w:p w14:paraId="419EFE2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基金管理人应当就基金份额发售的具体事宜编制基金份额发售公告，并在披露招募说明书的当日登载于规定媒介上。</w:t>
      </w:r>
    </w:p>
    <w:p w14:paraId="0B89261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（三）《基金合同》生效公告</w:t>
      </w:r>
    </w:p>
    <w:p w14:paraId="278706D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基金管理人应当在收到中国证监会确认文件的次日在规定媒介上登载《基金合同》生效公告。</w:t>
      </w:r>
    </w:p>
    <w:p w14:paraId="021F23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（四）基金净值信息</w:t>
      </w:r>
    </w:p>
    <w:p w14:paraId="7F96505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《基金合同》生效后，在开始办理基金份额申购或者赎回前，基金管理人应当至少每周在规定网站披露一次各类基金份额净值和基金份额累计净值。</w:t>
      </w:r>
    </w:p>
    <w:p w14:paraId="4494FA4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在开始办理基金份额申购或者赎回后，基金管理人应当在不晚于每个开放日的次日，通过规定网站、基金销售机构网站或者营业网点，披露开放日的各类基金份额净值和基金份额累计净值。</w:t>
      </w:r>
    </w:p>
    <w:p w14:paraId="2251D96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基金管理人应当在不晚于半年度和年度最后一日的次日，在规定网站披露半年度和年度最后一日的各类基金份额净值和基金份额累计净值。</w:t>
      </w:r>
    </w:p>
    <w:p w14:paraId="390DD79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（五）基金份额申购、赎回价格</w:t>
      </w:r>
    </w:p>
    <w:p w14:paraId="6314F59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基金管理人应当在《基金合同》、招募说明书等信息披露文件上载明基金份额申购、赎回价格的计算方式及有关申购、赎回费率，并保证投资者能够在基金销售机构网站或营业网点查阅或者复制前述信息资料。</w:t>
      </w:r>
    </w:p>
    <w:p w14:paraId="361EF9C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（六）基金定期报告，包括基金年度报告、基金中期报告和基金季度报告</w:t>
      </w:r>
    </w:p>
    <w:p w14:paraId="5D61F3A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11CE3B9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基金管理人应当在上半年结束之日起两个月内，编制完成基金中期报告，将中期报告登载在规定网站上，并将中期报告提示性公告登载在规定报刊上。</w:t>
      </w:r>
    </w:p>
    <w:p w14:paraId="2FD1FB5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基金管理人应当在季度结束之日起15个工作日内，编制完成基金季度报告，将季度报告登载在规定网站上，并将季度报告提示性公告登载在规定报刊上。</w:t>
      </w:r>
    </w:p>
    <w:p w14:paraId="25A3CB0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《基金合同》生效不足2个月的，基金管理人可以不编制当期季度报告、中期报告或者年度报告。</w:t>
      </w:r>
    </w:p>
    <w:p w14:paraId="17B10C5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如报告期内出现单一投资者持有基金份额达到或超过基金总份额20%的情形，为保障其他投资者的权益，基金管理人至少应当在定期报告“影响投资者决策的其他重要信息”项下披露该投资者的类别、报告期末持有份额及占比、报告期内</w:t>
      </w:r>
      <w:r>
        <w:rPr>
          <w:rFonts w:ascii="宋体" w:hAnsi="宋体" w:cs="宋体"/>
          <w:kern w:val="0"/>
          <w:sz w:val="24"/>
          <w:szCs w:val="24"/>
        </w:rPr>
        <w:lastRenderedPageBreak/>
        <w:t>持有份额变化情况及本基金的特有风险，中国证监会认定的特殊情形除外。</w:t>
      </w:r>
    </w:p>
    <w:p w14:paraId="7E33009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基金管理人应当在基金年度报告和中期报告中披露基金组合资产情况及其流动性风险分析等。</w:t>
      </w:r>
    </w:p>
    <w:p w14:paraId="05AA169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（七）临时报告</w:t>
      </w:r>
    </w:p>
    <w:p w14:paraId="69317D3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本基金发生重大事件，有关信息披露义务人应当在2日内编制临时报告书，并登载在规定报刊和规定网站上。</w:t>
      </w:r>
    </w:p>
    <w:p w14:paraId="2A9C8E9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前款所称重大事件，是指可能对基金份额持有人权益或者基金份额的价格产生重大影响的下列事件：</w:t>
      </w:r>
    </w:p>
    <w:p w14:paraId="53168C1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1、基金份额持有人大会的召开及决定的事项；</w:t>
      </w:r>
    </w:p>
    <w:p w14:paraId="2308733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2、《基金合同》终止、基金清算；</w:t>
      </w:r>
    </w:p>
    <w:p w14:paraId="1639F0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3、转换基金运作方式、基金合并；</w:t>
      </w:r>
    </w:p>
    <w:p w14:paraId="47BF182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4、更换基金管理人、基金托管人、基金份额登记机构，基金改聘会计师事务所；</w:t>
      </w:r>
    </w:p>
    <w:p w14:paraId="090F7AE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5、基金管理人委托基金服务机构代为办理基金的份额登记、核算、估值等事项，基金托管人委托基金服务机构代为办理基金的核算、估值、复核等事项；</w:t>
      </w:r>
    </w:p>
    <w:p w14:paraId="31EA896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6、基金管理人、基金托管人的法定名称、住所发生变更；</w:t>
      </w:r>
    </w:p>
    <w:p w14:paraId="0DA5B83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7、基金管理人变更持有百分之五以上股权的股东、基金管理人的实际控制人变更；</w:t>
      </w:r>
    </w:p>
    <w:p w14:paraId="2999E01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8、基金募集期延长或提前结束募集；</w:t>
      </w:r>
    </w:p>
    <w:p w14:paraId="0F379E3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9、基金管理人的高级管理人员、基金经理和基金托管人专门基金托管部门负责人发生变动；</w:t>
      </w:r>
    </w:p>
    <w:p w14:paraId="63BD6A1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10、基金管理人的董事在最近12个月内变更超过百分之五十，基金管理人、基金托管人专门基金托管部门的主要业务人员在最近12个月内变动超过百分之三十；</w:t>
      </w:r>
    </w:p>
    <w:p w14:paraId="749CB4F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11、涉及基金财产、基金管理业务、基金托管业务的诉讼或仲裁；</w:t>
      </w:r>
    </w:p>
    <w:p w14:paraId="3AD797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12、基金管理人或其高级管理人员、基金经理因基金管理业务相关行为受到重大行政处罚、刑事处罚，基金托管人或其专门基金托管部门负责人因基金托管业务相关行为受到重大行政处罚、刑事处罚；</w:t>
      </w:r>
    </w:p>
    <w:p w14:paraId="7BDC5B8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13、基金管理人运用基金财产买卖基金管理人、基金托管人及其控股股东、</w:t>
      </w:r>
      <w:r>
        <w:rPr>
          <w:rFonts w:ascii="宋体" w:hAnsi="宋体" w:cs="宋体"/>
          <w:kern w:val="0"/>
          <w:sz w:val="24"/>
          <w:szCs w:val="24"/>
        </w:rPr>
        <w:lastRenderedPageBreak/>
        <w:t>实际控制人或者与其有重大利害关系的公司发行的证券或者承销期内承销的证券，或者从事其他重大关联交易事项，但中国证监会另有规定的除外；</w:t>
      </w:r>
    </w:p>
    <w:p w14:paraId="4FB002D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14、基金收益分配事项；</w:t>
      </w:r>
    </w:p>
    <w:p w14:paraId="2E69BFF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15、管理费、托管费、销售服务费、申购费和赎回费等费用计提标准、计提方式和费率发生变更；</w:t>
      </w:r>
    </w:p>
    <w:p w14:paraId="29F5E94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16、某类基金份额净值估值错误达该类基金份额净值百分之零点五；</w:t>
      </w:r>
    </w:p>
    <w:p w14:paraId="5A03296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17、本基金开始办理申购、赎回；</w:t>
      </w:r>
    </w:p>
    <w:p w14:paraId="465726E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18、本基金发生巨额赎回并延期办理；</w:t>
      </w:r>
    </w:p>
    <w:p w14:paraId="187B923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19、本基金连续发生巨额赎回并暂停接受赎回申请或延缓支付赎回款项；</w:t>
      </w:r>
    </w:p>
    <w:p w14:paraId="57A5AB0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20、本基金暂停接受申购、赎回申请或者重新接受申购、赎回申请；</w:t>
      </w:r>
    </w:p>
    <w:p w14:paraId="099E7A2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21、调整基金份额类别的设置；</w:t>
      </w:r>
    </w:p>
    <w:p w14:paraId="1FC1829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22、本基金推出新业务或服务；</w:t>
      </w:r>
    </w:p>
    <w:p w14:paraId="5DBA97F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23、发生涉及基金申购、赎回事项调整或潜在影响投资者赎回等重大事项时；</w:t>
      </w:r>
    </w:p>
    <w:p w14:paraId="5A64CDC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24、基金管理人采用摆动定价机制进行估值；</w:t>
      </w:r>
    </w:p>
    <w:p w14:paraId="6837061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25、基金信息披露义务人认为可能对基金份额持有人权益或者基金份额的价格产生重大影响的其他事项或中国证监会规定的其他事项。</w:t>
      </w:r>
    </w:p>
    <w:p w14:paraId="21F2509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（八）澄清公告</w:t>
      </w:r>
    </w:p>
    <w:p w14:paraId="68098FD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w:t>
      </w:r>
    </w:p>
    <w:p w14:paraId="51DFD15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（九）清算报告</w:t>
      </w:r>
    </w:p>
    <w:p w14:paraId="126E02B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基金合同终止情形发生时，基金管理人应当依法组织基金财产清算小组对基金财产进行清算并作出清算报告。基金财产清算小组应当将清算报告登载在规定网站上，并将清算报告提示性公告登载在规定报刊上。</w:t>
      </w:r>
    </w:p>
    <w:p w14:paraId="216A1A3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（十）基金份额持有人大会决议</w:t>
      </w:r>
    </w:p>
    <w:p w14:paraId="7E7C889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基金份额持有人大会决定的事项，应当依法报中国证监会备案，并予以公告。</w:t>
      </w:r>
    </w:p>
    <w:p w14:paraId="0A92110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（十一）投资国债期货的信息披露</w:t>
      </w:r>
    </w:p>
    <w:p w14:paraId="20A42EA8" w14:textId="12AE6949"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基金管理人应在季度报告、中期报告、年度报告等定期报告和招募说明书（更新）等文件中披露国债期货交易情况，包括</w:t>
      </w:r>
      <w:r w:rsidR="00D71071">
        <w:rPr>
          <w:rFonts w:ascii="宋体" w:hAnsi="宋体" w:cs="宋体" w:hint="eastAsia"/>
          <w:kern w:val="0"/>
          <w:sz w:val="24"/>
          <w:szCs w:val="24"/>
        </w:rPr>
        <w:t>交易</w:t>
      </w:r>
      <w:r>
        <w:rPr>
          <w:rFonts w:ascii="宋体" w:hAnsi="宋体" w:cs="宋体"/>
          <w:kern w:val="0"/>
          <w:sz w:val="24"/>
          <w:szCs w:val="24"/>
        </w:rPr>
        <w:t>政策、持仓情况、损益情况、风</w:t>
      </w:r>
      <w:r>
        <w:rPr>
          <w:rFonts w:ascii="宋体" w:hAnsi="宋体" w:cs="宋体"/>
          <w:kern w:val="0"/>
          <w:sz w:val="24"/>
          <w:szCs w:val="24"/>
        </w:rPr>
        <w:lastRenderedPageBreak/>
        <w:t>险指标等，并充分揭示国债期货交易对基金总体风险的影响以及是否符合既定的</w:t>
      </w:r>
      <w:r w:rsidR="00D71071">
        <w:rPr>
          <w:rFonts w:ascii="宋体" w:hAnsi="宋体" w:cs="宋体" w:hint="eastAsia"/>
          <w:kern w:val="0"/>
          <w:sz w:val="24"/>
          <w:szCs w:val="24"/>
        </w:rPr>
        <w:t>交易</w:t>
      </w:r>
      <w:r>
        <w:rPr>
          <w:rFonts w:ascii="宋体" w:hAnsi="宋体" w:cs="宋体"/>
          <w:kern w:val="0"/>
          <w:sz w:val="24"/>
          <w:szCs w:val="24"/>
        </w:rPr>
        <w:t>政策和</w:t>
      </w:r>
      <w:r w:rsidR="00D71071">
        <w:rPr>
          <w:rFonts w:ascii="宋体" w:hAnsi="宋体" w:cs="宋体" w:hint="eastAsia"/>
          <w:kern w:val="0"/>
          <w:sz w:val="24"/>
          <w:szCs w:val="24"/>
        </w:rPr>
        <w:t>交易</w:t>
      </w:r>
      <w:r>
        <w:rPr>
          <w:rFonts w:ascii="宋体" w:hAnsi="宋体" w:cs="宋体"/>
          <w:kern w:val="0"/>
          <w:sz w:val="24"/>
          <w:szCs w:val="24"/>
        </w:rPr>
        <w:t>目标等。</w:t>
      </w:r>
    </w:p>
    <w:p w14:paraId="559EB93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（十二）投资资产支持证券的信息披露</w:t>
      </w:r>
    </w:p>
    <w:p w14:paraId="4533AF0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投资资产支持证券，基金管理人应在基金年度报告及中期报告中披露其持有的资产支持证券总额、资产支持证券市值占基金净资产的比例和报告期内所有的资产支持证券明细。基金管理人应在基金季度报告中披露其持有的资产支持证券总额、资产支持证券市值占基金净资产的比例和报告期末按市值占基金净资产比例大小排序的前10名资产支持证券明细。</w:t>
      </w:r>
    </w:p>
    <w:p w14:paraId="6ACE365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（十三）投资港股通标的股票的信息披露</w:t>
      </w:r>
    </w:p>
    <w:p w14:paraId="0406CA0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基金管理人应在季度报告、中期报告、年度报告等定期报告和招募说明书（更新）等文件中披露港股通交易的相关情况。</w:t>
      </w:r>
    </w:p>
    <w:p w14:paraId="138100C1" w14:textId="4809E0EF" w:rsidR="00586A97" w:rsidRDefault="0024620C">
      <w:pPr>
        <w:spacing w:line="360" w:lineRule="auto"/>
        <w:ind w:firstLine="420"/>
        <w:jc w:val="left"/>
        <w:rPr>
          <w:rFonts w:eastAsia="Times New Roman"/>
          <w:kern w:val="0"/>
          <w:sz w:val="24"/>
          <w:szCs w:val="24"/>
        </w:rPr>
      </w:pPr>
      <w:r w:rsidRPr="00DB3A85">
        <w:rPr>
          <w:rFonts w:ascii="宋体" w:hAnsi="宋体" w:cs="宋体"/>
          <w:kern w:val="0"/>
          <w:sz w:val="24"/>
          <w:szCs w:val="24"/>
        </w:rPr>
        <w:t>（十</w:t>
      </w:r>
      <w:r w:rsidR="007E413F">
        <w:rPr>
          <w:rFonts w:ascii="宋体" w:hAnsi="宋体" w:cs="宋体" w:hint="eastAsia"/>
          <w:kern w:val="0"/>
          <w:sz w:val="24"/>
          <w:szCs w:val="24"/>
        </w:rPr>
        <w:t>四</w:t>
      </w:r>
      <w:r w:rsidRPr="00DB3A85">
        <w:rPr>
          <w:rFonts w:ascii="宋体" w:hAnsi="宋体" w:cs="宋体"/>
          <w:kern w:val="0"/>
          <w:sz w:val="24"/>
          <w:szCs w:val="24"/>
        </w:rPr>
        <w:t>）</w:t>
      </w:r>
      <w:r>
        <w:rPr>
          <w:rFonts w:ascii="宋体" w:hAnsi="宋体" w:cs="宋体"/>
          <w:kern w:val="0"/>
          <w:sz w:val="24"/>
          <w:szCs w:val="24"/>
        </w:rPr>
        <w:t>实施侧袋机制期间的信息披露</w:t>
      </w:r>
    </w:p>
    <w:p w14:paraId="5706A4E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本基金实施侧袋机制的，相关信息披露义务人应当根据法律法规、基金合同和招募说明书的规定进行信息披露，详见本招募说明书“侧袋机制”章节的规定。</w:t>
      </w:r>
    </w:p>
    <w:p w14:paraId="34F14C59" w14:textId="3E0716FD" w:rsidR="00586A97" w:rsidRDefault="0024620C">
      <w:pPr>
        <w:spacing w:line="360" w:lineRule="auto"/>
        <w:ind w:firstLine="420"/>
        <w:jc w:val="left"/>
        <w:rPr>
          <w:rFonts w:eastAsia="Times New Roman"/>
          <w:kern w:val="0"/>
          <w:sz w:val="24"/>
          <w:szCs w:val="24"/>
        </w:rPr>
      </w:pPr>
      <w:r w:rsidRPr="00DB3A85">
        <w:rPr>
          <w:rFonts w:ascii="宋体" w:hAnsi="宋体" w:cs="宋体"/>
          <w:kern w:val="0"/>
          <w:sz w:val="24"/>
          <w:szCs w:val="24"/>
        </w:rPr>
        <w:t>（十</w:t>
      </w:r>
      <w:r w:rsidR="007E413F">
        <w:rPr>
          <w:rFonts w:ascii="宋体" w:hAnsi="宋体" w:cs="宋体" w:hint="eastAsia"/>
          <w:kern w:val="0"/>
          <w:sz w:val="24"/>
          <w:szCs w:val="24"/>
        </w:rPr>
        <w:t>五</w:t>
      </w:r>
      <w:r w:rsidRPr="00DB3A85">
        <w:rPr>
          <w:rFonts w:ascii="宋体" w:hAnsi="宋体" w:cs="宋体"/>
          <w:kern w:val="0"/>
          <w:sz w:val="24"/>
          <w:szCs w:val="24"/>
        </w:rPr>
        <w:t>）</w:t>
      </w:r>
      <w:r>
        <w:rPr>
          <w:rFonts w:ascii="宋体" w:hAnsi="宋体" w:cs="宋体"/>
          <w:kern w:val="0"/>
          <w:sz w:val="24"/>
          <w:szCs w:val="24"/>
        </w:rPr>
        <w:t>中国证监会规定的其他信息。</w:t>
      </w:r>
    </w:p>
    <w:p w14:paraId="280AB3AC"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六、暂停或延迟信息披露的情形</w:t>
      </w:r>
    </w:p>
    <w:p w14:paraId="3D9B8F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1、基金投资所涉及的证券/期货交易所遇法定节假日或因其他原因暂停营业时；</w:t>
      </w:r>
    </w:p>
    <w:p w14:paraId="13EE152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2、因不可抗力或其他情形致使基金管理人、基金托管人无法准确评估基金资产价值时；</w:t>
      </w:r>
    </w:p>
    <w:p w14:paraId="2FAF262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3、法律法规规定、中国证监会或《基金合同》认定的其他情形。</w:t>
      </w:r>
    </w:p>
    <w:p w14:paraId="6D5798F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七、信息披露事务管理</w:t>
      </w:r>
    </w:p>
    <w:p w14:paraId="5493D35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基金管理人、基金托管人应当建立健全信息披露管理制度，指定专门部门及高级管理人员负责管理信息披露事务。</w:t>
      </w:r>
    </w:p>
    <w:p w14:paraId="461F461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基金信息披露义务人公开披露基金信息，应当符合中国证监会相关基金信息披露内容与格式准则等法规的规定。</w:t>
      </w:r>
    </w:p>
    <w:p w14:paraId="38D17F0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托管人应当按照相关法律法规、中国证监会的规定和《基金合同》的约定，对基金管理人编制的基金资产净值、各类基金份额净值、基金份额申购赎回价格、基金定期报告、更新的招募说明书、更新的基金产品资料概要、基金清算</w:t>
      </w:r>
      <w:r>
        <w:rPr>
          <w:rFonts w:ascii="宋体" w:hAnsi="宋体" w:cs="宋体"/>
          <w:kern w:val="0"/>
          <w:sz w:val="24"/>
          <w:szCs w:val="24"/>
        </w:rPr>
        <w:lastRenderedPageBreak/>
        <w:t>报告等公开披露的相关基金信息进行复核、审查，并向基金管理人进行书面或电子确认。</w:t>
      </w:r>
    </w:p>
    <w:p w14:paraId="58032E1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0D0C46E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基金管理人、基金托管人除依法在规定媒介上披露信息外，还可以根据需要在其他公共媒介披露信息，但是其他公共媒介不得早于规定媒介披露信息，并且在不同媒介上披露同一信息的内容应当一致。</w:t>
      </w:r>
    </w:p>
    <w:p w14:paraId="2B08F33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除按法律法规要求披露信息外，也可着眼于为投资者决策提供有用信息的角度，在保证公平对待投资者、不误导投资者、不影响基金正常投资操作的前提下，自主提升信息披露服务的质量。具体要求应当符合中国证监会及自律规则的相关规定。前述自主披露如产生信息披露费用，该费用不得从基金财产中列支。</w:t>
      </w:r>
    </w:p>
    <w:p w14:paraId="11687DD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为基金信息披露义务人公开披露的基金信息出具审计报告、法律意见书的专业机构，应当制作工作底稿，并将相关档案至少保存到《基金合同》终止后10年。</w:t>
      </w:r>
    </w:p>
    <w:p w14:paraId="70B1A0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八、信息披露文件的存放与查阅</w:t>
      </w:r>
    </w:p>
    <w:p w14:paraId="6967ACE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依法必须披露的信息发布后，基金管理人、基金托管人应当按照相关法律法规规定将信息置备于各自住所，供社会公众查阅、复制。</w:t>
      </w:r>
    </w:p>
    <w:p w14:paraId="49605E80"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11162CC5" w14:textId="4BB38CB2" w:rsidR="009912D6" w:rsidRDefault="0024620C" w:rsidP="009912D6">
      <w:pPr>
        <w:pStyle w:val="1"/>
        <w:spacing w:before="0" w:after="0"/>
        <w:jc w:val="center"/>
        <w:rPr>
          <w:rFonts w:ascii="Times New Roman"/>
          <w:color w:val="auto"/>
          <w:sz w:val="30"/>
        </w:rPr>
      </w:pPr>
      <w:bookmarkStart w:id="45" w:name="_Toc135000353"/>
      <w:r w:rsidRPr="009E26D0">
        <w:rPr>
          <w:rFonts w:ascii="Times New Roman"/>
          <w:color w:val="auto"/>
          <w:sz w:val="30"/>
        </w:rPr>
        <w:lastRenderedPageBreak/>
        <w:t>第十</w:t>
      </w:r>
      <w:r w:rsidR="00120661">
        <w:rPr>
          <w:rFonts w:ascii="Times New Roman" w:hint="eastAsia"/>
          <w:color w:val="auto"/>
          <w:sz w:val="30"/>
        </w:rPr>
        <w:t>七</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风险揭示</w:t>
      </w:r>
      <w:bookmarkEnd w:id="45"/>
    </w:p>
    <w:p w14:paraId="1AC033FF" w14:textId="77777777" w:rsidR="009912D6" w:rsidRPr="0017353E" w:rsidRDefault="009912D6" w:rsidP="009912D6"/>
    <w:p w14:paraId="5A977A7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一、市场风险</w:t>
      </w:r>
    </w:p>
    <w:p w14:paraId="0042870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市场风险是指证券市场价格受到经济因素、政治因素、投资心理和交易制度等各种因素的影响而变化，导致收益水平存在的不确定性。市场风险主要包括：</w:t>
      </w:r>
    </w:p>
    <w:p w14:paraId="134379F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1、政策风险</w:t>
      </w:r>
    </w:p>
    <w:p w14:paraId="1EAB428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因国家宏观政策（如货币政策、财政政策、行业政策、地区发展政策等）发生变化，导致市场价格波动而产生风险。</w:t>
      </w:r>
    </w:p>
    <w:p w14:paraId="2B2389DE"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2、经济周期风险</w:t>
      </w:r>
    </w:p>
    <w:p w14:paraId="0D6CD36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随经济运行的周期性变化，证券市场的收益水平也呈周期性变化。基金投资于证券，收益水平也会随之变化，从而产生风险。</w:t>
      </w:r>
    </w:p>
    <w:p w14:paraId="22F5FFE4"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3、利率风险</w:t>
      </w:r>
    </w:p>
    <w:p w14:paraId="5266848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金融市场利率的波动会导致证券市场价格和收益率的变动。利率直接影响着证券的价格和收益率，影响着企业的融资成本和利润。基金投资于证券，其收益水平会受到利率变化的影响。</w:t>
      </w:r>
    </w:p>
    <w:p w14:paraId="41F6F972"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4、上市公司经营风险</w:t>
      </w:r>
    </w:p>
    <w:p w14:paraId="3ACC726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上市公司的经营好坏受多种因素影响，如管理能力、财务状况、市场前景、行业竞争、人员素质等，这些都会导致企业的盈利发生变化。</w:t>
      </w:r>
    </w:p>
    <w:p w14:paraId="504E2AD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如果基金所投资的上市公司经营不善，其股票价格可能下跌，或者能够用于分配的利润减少，使基金投资收益下降。</w:t>
      </w:r>
    </w:p>
    <w:p w14:paraId="61CE6E3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虽然基金可以通过投资多样化来分散这种非系统风险，但不能完全规避。</w:t>
      </w:r>
    </w:p>
    <w:p w14:paraId="47682F3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5、信用风险</w:t>
      </w:r>
    </w:p>
    <w:p w14:paraId="02E74F8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主要是指债务人的违约风险，若债务人经营不善，资不抵债，债权人可能会损失掉大部分的投资，这主要体现在企业债中。</w:t>
      </w:r>
    </w:p>
    <w:p w14:paraId="7EE1E67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6、购买力风险</w:t>
      </w:r>
    </w:p>
    <w:p w14:paraId="3B547FC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基金的利润将主要通过现金形式来分配，而现金可能因为通货膨胀的影响而导致购买力下降，从而使基金的实际收益下降。</w:t>
      </w:r>
    </w:p>
    <w:p w14:paraId="33B73749"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7、债券收益率曲线风险</w:t>
      </w:r>
    </w:p>
    <w:p w14:paraId="16D0A94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债券收益率曲线风险是指与收益率曲线非平行移动有关的风险，单一的久期</w:t>
      </w:r>
      <w:r>
        <w:rPr>
          <w:rFonts w:ascii="宋体" w:hAnsi="宋体" w:cs="宋体"/>
          <w:kern w:val="0"/>
          <w:sz w:val="24"/>
          <w:szCs w:val="24"/>
        </w:rPr>
        <w:lastRenderedPageBreak/>
        <w:t>指标并不能充分反映这一风险的存在。</w:t>
      </w:r>
    </w:p>
    <w:p w14:paraId="5DFA3C97"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8、再投资风险</w:t>
      </w:r>
    </w:p>
    <w:p w14:paraId="63F3511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比之前较少的收益率。</w:t>
      </w:r>
    </w:p>
    <w:p w14:paraId="087B7A5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9、波动性风险</w:t>
      </w:r>
    </w:p>
    <w:p w14:paraId="0411F77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波动性风险主要存在于可转换债券的投资中，具体表现为可转换债券的价格受到其相对应股票价格波动的影响，同时可转换债券还有信用风险与转股风险。转股风险指相对应股票价格跌破转股价，不能获得转股收益，从而无法弥补当初付出的转股期权价值。</w:t>
      </w:r>
    </w:p>
    <w:p w14:paraId="404E3943"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二、管理风险</w:t>
      </w:r>
    </w:p>
    <w:p w14:paraId="13F7945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在基金管理运作过程中，基金管理人的知识、技能、经验、判断等主观因素会影响其对相关信息和经济形势、证券价格走势的判断，从而影响基金收益水平。</w:t>
      </w:r>
    </w:p>
    <w:p w14:paraId="1C0173C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三、流动性风险</w:t>
      </w:r>
    </w:p>
    <w:p w14:paraId="7EC3E51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流动性风险可视为一种综合性风险，它是其他风险在基金管理和公司整体经营方面的综合体现。中国的证券市场还处在初期发展阶段，在某些情况下某些投资品种的流动性不佳，由此可能影响到基金投资收益的实现。</w:t>
      </w:r>
    </w:p>
    <w:p w14:paraId="3C38CC5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要随时应对投资者的赎回，如果基金资产不能迅速转变成现金，或者变现为现金时对基金资产净值产生不利的影响，都会影响基金运作和收益水平。尤其是在发生巨额赎回时，如果基金资产变现能力差，可能会产生基金仓位调整的困难，导致流动性风险，可能影响基金份额净值。</w:t>
      </w:r>
    </w:p>
    <w:p w14:paraId="6A03305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1、投资市场、行业及资产的流动性风险评估</w:t>
      </w:r>
    </w:p>
    <w:p w14:paraId="17626F8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本基金为债券型基金，本基金投资于债券资产的比例不低于基金资产的80%。</w:t>
      </w:r>
    </w:p>
    <w:p w14:paraId="365DFD9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因此，本基金主要面临债券市场风险，由于债券流动性不佳、发生信用风险事件、极端情况下发生违约事件，从而对投资收益以及正常的申购赎回产生直接或间接的影响。</w:t>
      </w:r>
    </w:p>
    <w:p w14:paraId="4ED6586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债券流动性受到债券发行人资质、债券流通量、市场配置偏好、资金面等因素的影响。投资于债券市场将面临包括但不限于如下流动性风险：</w:t>
      </w:r>
    </w:p>
    <w:p w14:paraId="100968D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1）债券发行人信用恶化带来的流动性风险。若发债主体特别是公司债、企业债的发债主体的信用质量发生变化，导致发生信用风险事件甚至是违约事件，将对债券流动性造成冲击，可能导致债券流动性缺失，无法卖出债券。</w:t>
      </w:r>
    </w:p>
    <w:p w14:paraId="5408C82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（2）债券流通量降低带来的流动性风险。若有投资者大量买入债券并持有至到期，将降低债券流通量，其他持有该债券的投资者可能因债券流通量过小无法找到合适的交易对手。</w:t>
      </w:r>
    </w:p>
    <w:p w14:paraId="6FF2EF7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1）市场配置偏好发生变化带来的流动性风险。若市场对不同券种、久期、风险等级、行业的债券配置偏好发生明显变化，可能导致被低配的债券流动性下降。</w:t>
      </w:r>
    </w:p>
    <w:p w14:paraId="55D9484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2）市场资金面紧张带来的流动性风险。若市场资金面紧张，可能会降低机构买券的意愿或导致部分机构被迫卖券获得资金，进而带来流动性风险。</w:t>
      </w:r>
    </w:p>
    <w:p w14:paraId="0BB781E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以上风险可能会影响基金资产不能迅速转变为现金，或者变现为现金时对基金资产净值产生不利的影响。本基金管理人高度重视基金组合的流动性风险，关注投资组合中债券、现金等资产的配置情况，以及单一证券、券种与行业的集中度，合理配置资产，认真分析基金的持有人结构、资产规模、投资组合的流动性情况，对市场交易状况和投资者行为相关联的流动性风险进行充分的评估与检测，防止片面追求业绩排名或短期收益而忽视流动性风险控制。</w:t>
      </w:r>
    </w:p>
    <w:p w14:paraId="1A000D4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2、本基金申购、赎回安排</w:t>
      </w:r>
    </w:p>
    <w:p w14:paraId="0F0B499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投资人可在本基金的开放日办理基金份额的申购和赎回业务。</w:t>
      </w:r>
    </w:p>
    <w:p w14:paraId="3F141BE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为切实保护存量基金份额持有人的合法权益，遵循基金份额持有人利益优先原则，本基金管理人将合理控制基金份额持有人集中度，审慎确认申购赎回业务申请，包括但不限于：</w:t>
      </w:r>
    </w:p>
    <w:p w14:paraId="017F16C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当接受申购申请对存量基金份额持有人利益构成潜在重大不利影响时，基金管理人应当采取设定单一投资者申购金额上限、基金规模上限或基金单日净申购比例上限、拒绝大额申购、暂停基金申购等措施，切实保护存量基金份额持有人的合法权益。</w:t>
      </w:r>
    </w:p>
    <w:p w14:paraId="039AA4E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（2）本基金管理人对持续持有期少于7日的投资者收取不低于1.5%的赎回费，并将上述赎回费全额计入基金财产。</w:t>
      </w:r>
    </w:p>
    <w:p w14:paraId="5EB59B2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（3）当发生大额申购或赎回情形时，基金管理人可以采用摆动定价机制，以确保基金估值的公平性。</w:t>
      </w:r>
    </w:p>
    <w:p w14:paraId="780EB71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lastRenderedPageBreak/>
        <w:t>（4）当前一估值日基金资产净值50%以上的资产出现无可参考的活跃市场价格且采用估值技术仍导致公允价值存在重大不确定性时，经与基金托管人协商确认后，基金管理人应当暂停接受基金申购申请、赎回申请或延缓支付赎回款项。</w:t>
      </w:r>
    </w:p>
    <w:p w14:paraId="6793C31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具体措施详见本招募说明书“基金份额的申购与赎回”部分的规定。</w:t>
      </w:r>
    </w:p>
    <w:p w14:paraId="2AB0A81E"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3、巨额赎回情形下流动性风险管理措施</w:t>
      </w:r>
    </w:p>
    <w:p w14:paraId="562E616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当本基金出现巨额赎回情形时，本基金管理人经内部决策，并与基金托管人协商一致后，将运用多种流动性风险管理工具对赎回申请进行适度调整，以应对流动性风险，保护基金份额持有人的利益，包括但不限于：</w:t>
      </w:r>
    </w:p>
    <w:p w14:paraId="4C5BE32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（1）延期办理巨额赎回申请；</w:t>
      </w:r>
    </w:p>
    <w:p w14:paraId="7C26C34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（2）暂停接受赎回申请；</w:t>
      </w:r>
    </w:p>
    <w:p w14:paraId="761E991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（3）延缓支付赎回款项；</w:t>
      </w:r>
    </w:p>
    <w:p w14:paraId="0EE4E66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（4）中国证监会认可的其他措施。</w:t>
      </w:r>
    </w:p>
    <w:p w14:paraId="7E678A1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具体措施详见本招募说明书“基金份额的申购与赎回”部分的规定。</w:t>
      </w:r>
    </w:p>
    <w:p w14:paraId="652915D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4、实施备用的流动性风险管理工具的情形、程序及对投资者的潜在影响</w:t>
      </w:r>
    </w:p>
    <w:p w14:paraId="74383E4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经与基金托管人协商一致，在确保投资者得到公平对待的前提下，可依照法律法规及基金合同的约定，综合运用各类流动性风险管理工具，对赎回申请进行适度调整，作为特定情形下基金管理人流动性风险管理的辅助措施。</w:t>
      </w:r>
    </w:p>
    <w:p w14:paraId="2CBB4F0B" w14:textId="249550B0" w:rsidR="00586A97" w:rsidRDefault="0024620C">
      <w:pPr>
        <w:spacing w:line="360" w:lineRule="auto"/>
        <w:ind w:firstLine="420"/>
        <w:rPr>
          <w:rFonts w:eastAsia="Times New Roman"/>
          <w:kern w:val="0"/>
          <w:sz w:val="24"/>
          <w:szCs w:val="24"/>
        </w:rPr>
      </w:pPr>
      <w:r>
        <w:rPr>
          <w:rFonts w:ascii="宋体" w:hAnsi="宋体" w:cs="宋体"/>
          <w:kern w:val="0"/>
          <w:sz w:val="24"/>
          <w:szCs w:val="24"/>
        </w:rPr>
        <w:t>当基金管理人认为支付投资人的赎回申请有困难或认为因支付投资人的赎回申请而进行的财产变现可能会对基金资产净值造成较大波动时，可综合运用包括延期办理巨额赎回申请、暂停接受赎回申请、延缓支付赎回款项、收取短期赎回费、暂停基金估值、摆动定价、</w:t>
      </w:r>
      <w:r w:rsidR="00F00394">
        <w:rPr>
          <w:rFonts w:ascii="宋体" w:hAnsi="宋体" w:cs="宋体" w:hint="eastAsia"/>
          <w:kern w:val="0"/>
          <w:sz w:val="24"/>
          <w:szCs w:val="24"/>
        </w:rPr>
        <w:t>实施</w:t>
      </w:r>
      <w:r>
        <w:rPr>
          <w:rFonts w:ascii="宋体" w:hAnsi="宋体" w:cs="宋体"/>
          <w:kern w:val="0"/>
          <w:sz w:val="24"/>
          <w:szCs w:val="24"/>
        </w:rPr>
        <w:t>侧袋机制等流动性风险管理工具，投资者将面临无法办理申购、其赎回申请被拒绝或延期办理、赎回款项延缓支付，或面临赎回成本或申购成本较高等的风险。</w:t>
      </w:r>
    </w:p>
    <w:p w14:paraId="28D413A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本基金实施备用的流动性风险管理工具包括但不限于：</w:t>
      </w:r>
    </w:p>
    <w:p w14:paraId="6B034336"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（1）延期办理巨额赎回申请；</w:t>
      </w:r>
    </w:p>
    <w:p w14:paraId="7736626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（2）暂停接受赎回申请；</w:t>
      </w:r>
    </w:p>
    <w:p w14:paraId="7C691580"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（3）延缓支付赎回款项；</w:t>
      </w:r>
    </w:p>
    <w:p w14:paraId="666ACFD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（4）收取短期赎回费；</w:t>
      </w:r>
    </w:p>
    <w:p w14:paraId="2AB4BDE1"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lastRenderedPageBreak/>
        <w:t>（5）暂停基金估值；</w:t>
      </w:r>
    </w:p>
    <w:p w14:paraId="72E538D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（6）摆动定价；</w:t>
      </w:r>
    </w:p>
    <w:p w14:paraId="5EC2F469"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（7）实施侧袋机制；</w:t>
      </w:r>
    </w:p>
    <w:p w14:paraId="78274BA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（8）中国证监会认定的其他措施。</w:t>
      </w:r>
    </w:p>
    <w:p w14:paraId="168EABB3"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四、特有风险</w:t>
      </w:r>
    </w:p>
    <w:p w14:paraId="62A10CFB" w14:textId="77777777" w:rsidR="00CE0BBE" w:rsidRDefault="00CE0BBE" w:rsidP="00CE0BBE">
      <w:pPr>
        <w:spacing w:line="360" w:lineRule="auto"/>
        <w:ind w:firstLine="420"/>
        <w:rPr>
          <w:rFonts w:ascii="宋体" w:hAnsi="宋体" w:cs="宋体"/>
          <w:kern w:val="0"/>
          <w:sz w:val="24"/>
          <w:szCs w:val="24"/>
        </w:rPr>
      </w:pPr>
      <w:r>
        <w:rPr>
          <w:rFonts w:ascii="宋体" w:hAnsi="宋体" w:cs="宋体"/>
          <w:kern w:val="0"/>
          <w:sz w:val="24"/>
          <w:szCs w:val="24"/>
        </w:rPr>
        <w:t>1、本基金为债券型基金，本基金投资于债券资产的比例不低于基金资产的80%，</w:t>
      </w:r>
      <w:r w:rsidRPr="008F4EAA">
        <w:rPr>
          <w:rFonts w:ascii="宋体" w:hAnsi="宋体" w:cs="宋体" w:hint="eastAsia"/>
          <w:kern w:val="0"/>
          <w:sz w:val="24"/>
          <w:szCs w:val="24"/>
        </w:rPr>
        <w:t>债券市场的变化会影响到基金业绩，基金净值表现因此可能受到影响</w:t>
      </w:r>
      <w:r>
        <w:rPr>
          <w:rFonts w:ascii="宋体" w:hAnsi="宋体" w:cs="宋体"/>
          <w:kern w:val="0"/>
          <w:sz w:val="24"/>
          <w:szCs w:val="24"/>
        </w:rPr>
        <w:t>。</w:t>
      </w:r>
      <w:r w:rsidRPr="00373422">
        <w:rPr>
          <w:rFonts w:ascii="宋体" w:hAnsi="宋体" w:cs="宋体" w:hint="eastAsia"/>
          <w:kern w:val="0"/>
          <w:sz w:val="24"/>
          <w:szCs w:val="24"/>
        </w:rPr>
        <w:t>本基金为二级债基，投资于股票（含港股通标的股票）、可转债与可交债的比例合并计算后不得超过基金资产的20%，在通常情况下本基金的预期风险水平高于纯债基金。</w:t>
      </w:r>
    </w:p>
    <w:p w14:paraId="577BF710" w14:textId="77777777" w:rsidR="00CE0BBE" w:rsidRDefault="00CE0BBE" w:rsidP="00CE0BBE">
      <w:pPr>
        <w:spacing w:line="360" w:lineRule="auto"/>
        <w:ind w:firstLine="420"/>
        <w:rPr>
          <w:rFonts w:ascii="宋体" w:hAnsi="宋体" w:cs="宋体"/>
          <w:kern w:val="0"/>
          <w:sz w:val="24"/>
          <w:szCs w:val="24"/>
        </w:rPr>
      </w:pPr>
      <w:r>
        <w:rPr>
          <w:rFonts w:ascii="宋体" w:hAnsi="宋体" w:cs="宋体" w:hint="eastAsia"/>
          <w:kern w:val="0"/>
          <w:sz w:val="24"/>
          <w:szCs w:val="24"/>
        </w:rPr>
        <w:t>2、</w:t>
      </w:r>
      <w:r w:rsidRPr="003826C9">
        <w:rPr>
          <w:rFonts w:ascii="宋体" w:hAnsi="宋体" w:cs="宋体" w:hint="eastAsia"/>
          <w:kern w:val="0"/>
          <w:sz w:val="24"/>
          <w:szCs w:val="24"/>
        </w:rPr>
        <w:t>股票投资风险</w:t>
      </w:r>
    </w:p>
    <w:p w14:paraId="49C200A5" w14:textId="77777777" w:rsidR="00CE0BBE" w:rsidRDefault="00CE0BBE" w:rsidP="00CE0BBE">
      <w:pPr>
        <w:spacing w:line="360" w:lineRule="auto"/>
        <w:ind w:firstLine="420"/>
        <w:rPr>
          <w:rFonts w:ascii="宋体" w:hAnsi="宋体" w:cs="宋体"/>
          <w:kern w:val="0"/>
          <w:sz w:val="24"/>
          <w:szCs w:val="24"/>
        </w:rPr>
      </w:pPr>
      <w:r w:rsidRPr="003826C9">
        <w:rPr>
          <w:rFonts w:ascii="宋体" w:hAnsi="宋体" w:cs="宋体" w:hint="eastAsia"/>
          <w:kern w:val="0"/>
          <w:sz w:val="24"/>
          <w:szCs w:val="24"/>
        </w:rPr>
        <w:t>本基金可投资于境内的股票市场，股票市场的变化将会带来基金业绩的波动。</w:t>
      </w:r>
    </w:p>
    <w:p w14:paraId="57026872" w14:textId="6AC17A26" w:rsidR="00586A97" w:rsidRDefault="00CE0BBE">
      <w:pPr>
        <w:spacing w:line="360" w:lineRule="auto"/>
        <w:ind w:firstLine="420"/>
        <w:rPr>
          <w:rFonts w:ascii="宋体" w:hAnsi="宋体" w:cs="宋体"/>
          <w:kern w:val="0"/>
          <w:sz w:val="24"/>
          <w:szCs w:val="24"/>
        </w:rPr>
      </w:pPr>
      <w:r>
        <w:rPr>
          <w:rFonts w:ascii="宋体" w:hAnsi="宋体" w:cs="宋体"/>
          <w:kern w:val="0"/>
          <w:sz w:val="24"/>
          <w:szCs w:val="24"/>
        </w:rPr>
        <w:t>3</w:t>
      </w:r>
      <w:r w:rsidR="0024620C">
        <w:rPr>
          <w:rFonts w:ascii="宋体" w:hAnsi="宋体" w:cs="宋体"/>
          <w:kern w:val="0"/>
          <w:sz w:val="24"/>
          <w:szCs w:val="24"/>
        </w:rPr>
        <w:t>、本基金可以投资港股通标的股票，投资风险包括：</w:t>
      </w:r>
    </w:p>
    <w:p w14:paraId="126DC1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本基金将通过“港股通”投资于香港市场，在市场环境、市场进入、投资额度、可投资对象、税务政策、市场制度等方面都有一定的限制，而且此类限制可能会不断调整，这些限制因素的变化可能对本基金进入或退出当地市场造成障碍，从而对投资收益以及正常的申购赎回产生直接或间接的影响。</w:t>
      </w:r>
    </w:p>
    <w:p w14:paraId="17A2F8B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（2）香港市场交易规则有别于内地A股市场规则，此外，在港股通下参与香港股票投资还将面临包括但不限于如下特殊风险：</w:t>
      </w:r>
    </w:p>
    <w:p w14:paraId="622BAD0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①香港市场实行T+0回转交易，且证券交易价格并无涨跌幅上下限的规定，因此每日涨跌幅空间相对较大，港股股价可能表现出比A股更为剧烈的股价波动；</w:t>
      </w:r>
    </w:p>
    <w:p w14:paraId="409A33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②只有内地和香港两地均为交易日且能够满足结算安排的交易日才为港股通交易日，在内地开市香港休市的情形下，港股通不能正常交易，港股不能及时卖出，可能带来一定的流动性风险；</w:t>
      </w:r>
    </w:p>
    <w:p w14:paraId="76B47BF2" w14:textId="666EB52A"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③香港出现台风、黑色暴雨或者联交所规定的其他情形时，联交所将可能停市，投资者将面临在停市期间无法进行港股通交易的风险；出现</w:t>
      </w:r>
      <w:r w:rsidR="00F1411D">
        <w:rPr>
          <w:rFonts w:ascii="宋体" w:hAnsi="宋体" w:cs="宋体" w:hint="eastAsia"/>
          <w:kern w:val="0"/>
          <w:sz w:val="24"/>
          <w:szCs w:val="24"/>
        </w:rPr>
        <w:t>内地</w:t>
      </w:r>
      <w:r>
        <w:rPr>
          <w:rFonts w:ascii="宋体" w:hAnsi="宋体" w:cs="宋体"/>
          <w:kern w:val="0"/>
          <w:sz w:val="24"/>
          <w:szCs w:val="24"/>
        </w:rPr>
        <w:t>证券交易服务公司认定的交易异常情况时，</w:t>
      </w:r>
      <w:r w:rsidR="00F1411D" w:rsidRPr="00F1411D">
        <w:rPr>
          <w:rFonts w:ascii="宋体" w:hAnsi="宋体" w:cs="宋体" w:hint="eastAsia"/>
          <w:kern w:val="0"/>
          <w:sz w:val="24"/>
          <w:szCs w:val="24"/>
        </w:rPr>
        <w:t>内地</w:t>
      </w:r>
      <w:r>
        <w:rPr>
          <w:rFonts w:ascii="宋体" w:hAnsi="宋体" w:cs="宋体"/>
          <w:kern w:val="0"/>
          <w:sz w:val="24"/>
          <w:szCs w:val="24"/>
        </w:rPr>
        <w:t>证券交易服务公司将可能暂停提供部分或者全部港股通服务，投资者将面临在暂停服务期间无法进行港股通交易的风险；</w:t>
      </w:r>
    </w:p>
    <w:p w14:paraId="0503E3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④投资者因港股通股票权益分派、转换、上市公司被收购等情形或者异常情况，所取得的港股通股票以外的联交所上市证券，只能通过港股通卖出，但不得买入，证券交易所另有规定的除外；因港股通股票权益分派或者转换等情形取得的联交所上市股票的认购权利在联交所上市的，可以通过港股通卖出，但不得行权；因港股通股票权益分派、转换或者上市公司被收购等所取得的非联交所上市证券，可以享有相关权益，但不得通过港股通买入或卖出；</w:t>
      </w:r>
    </w:p>
    <w:p w14:paraId="0139D2C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⑤代理投票。由于中国结算是在汇总投资者意愿后再向香港结算提交投票意愿，中国结算对投资者设定的意愿征集期比香港结算的征集期稍早结束；投票没有权益登记日的，以投票截止日的持有作为计算基准；投票数量超出持有数量的，按照比例分配持有基数；</w:t>
      </w:r>
    </w:p>
    <w:p w14:paraId="2256E20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⑥汇率风险。投资港股通标的股票还面临汇率风险，汇率波动可能对基金的投资收益造成影响；</w:t>
      </w:r>
    </w:p>
    <w:p w14:paraId="7A29C496" w14:textId="3109C81F"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⑦本基金可根据投资策略需要或不同配置地市场环境的变化，选择将部分基金资产投资于港股或选择不将基金资产投资于港股，基金资产并非必然投资港股</w:t>
      </w:r>
      <w:r w:rsidR="00202D75">
        <w:rPr>
          <w:rFonts w:ascii="宋体" w:hAnsi="宋体" w:cs="宋体" w:hint="eastAsia"/>
          <w:kern w:val="0"/>
          <w:sz w:val="24"/>
          <w:szCs w:val="24"/>
        </w:rPr>
        <w:t>。</w:t>
      </w:r>
    </w:p>
    <w:p w14:paraId="2F67B3F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（3）港股通额度限制。现行的港股通规则，对港股通设有每日额度上限的限制；本基金可能因为港股通市场每日额度不足，而不能买入看好的投资标的进而错失投资机会的风险。</w:t>
      </w:r>
    </w:p>
    <w:p w14:paraId="38705B42" w14:textId="1B78068F" w:rsidR="00586A97" w:rsidRDefault="00CE0BBE">
      <w:pPr>
        <w:spacing w:line="360" w:lineRule="auto"/>
        <w:ind w:firstLine="420"/>
        <w:rPr>
          <w:rFonts w:ascii="宋体" w:hAnsi="宋体" w:cs="宋体"/>
          <w:kern w:val="0"/>
          <w:sz w:val="24"/>
          <w:szCs w:val="24"/>
        </w:rPr>
      </w:pPr>
      <w:r>
        <w:rPr>
          <w:rFonts w:ascii="宋体" w:hAnsi="宋体" w:cs="宋体"/>
          <w:kern w:val="0"/>
          <w:sz w:val="24"/>
          <w:szCs w:val="24"/>
        </w:rPr>
        <w:t>4</w:t>
      </w:r>
      <w:r w:rsidR="0024620C">
        <w:rPr>
          <w:rFonts w:ascii="宋体" w:hAnsi="宋体" w:cs="宋体"/>
          <w:kern w:val="0"/>
          <w:sz w:val="24"/>
          <w:szCs w:val="24"/>
        </w:rPr>
        <w:t>、国债期货投资风险</w:t>
      </w:r>
    </w:p>
    <w:p w14:paraId="4969B9DC" w14:textId="5F4F096D"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w:t>
      </w:r>
      <w:r w:rsidR="00334DF0">
        <w:rPr>
          <w:rFonts w:ascii="宋体" w:hAnsi="宋体" w:cs="宋体" w:hint="eastAsia"/>
          <w:kern w:val="0"/>
          <w:sz w:val="24"/>
          <w:szCs w:val="24"/>
        </w:rPr>
        <w:t>可投资</w:t>
      </w:r>
      <w:r>
        <w:rPr>
          <w:rFonts w:ascii="宋体" w:hAnsi="宋体" w:cs="宋体"/>
          <w:kern w:val="0"/>
          <w:sz w:val="24"/>
          <w:szCs w:val="24"/>
        </w:rPr>
        <w:t>国债期货，国债期货的投资可能面临市场风险、基差风险、流动性风险。市场风险是因期货市场价格波动使所持有的期货合约价值发生变化的风险。基差风险是期货市场的特有风险之一，是指由于期货与现货间的价差的波动，影响套期保值或套利效果，使之发生意外损益的风险。流动性风险可分为两类：一类为流通量风险，是指期货合约无法及时以所希望的价格建立或了结头寸的风险，此类风险往往是由市场缺乏广度或深度导致的；另一类为资金量风险，是指资金量无法满足保证金要求，使得所持有的头寸面临被强制平仓的风险。</w:t>
      </w:r>
    </w:p>
    <w:p w14:paraId="780C0050" w14:textId="66A04E00" w:rsidR="00586A97" w:rsidRDefault="00CE0BBE">
      <w:pPr>
        <w:spacing w:line="360" w:lineRule="auto"/>
        <w:ind w:firstLine="420"/>
        <w:rPr>
          <w:rFonts w:ascii="宋体" w:hAnsi="宋体" w:cs="宋体"/>
          <w:kern w:val="0"/>
          <w:sz w:val="24"/>
          <w:szCs w:val="24"/>
        </w:rPr>
      </w:pPr>
      <w:r>
        <w:rPr>
          <w:rFonts w:ascii="宋体" w:hAnsi="宋体" w:cs="宋体"/>
          <w:kern w:val="0"/>
          <w:sz w:val="24"/>
          <w:szCs w:val="24"/>
        </w:rPr>
        <w:t>5</w:t>
      </w:r>
      <w:r w:rsidR="0024620C">
        <w:rPr>
          <w:rFonts w:ascii="宋体" w:hAnsi="宋体" w:cs="宋体"/>
          <w:kern w:val="0"/>
          <w:sz w:val="24"/>
          <w:szCs w:val="24"/>
        </w:rPr>
        <w:t>、资产支持证券投资风险</w:t>
      </w:r>
    </w:p>
    <w:p w14:paraId="7F7503A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可投资资产支持证券，资产支持证券在国内市场尚处发展初期，具有低流动性、高收益的特征，并存在一定的投资风险。资产支持证券的投资与基金资产密切相关，因此会受到特定原始权益人破产风险及现金流预测风险等的影响；</w:t>
      </w:r>
      <w:r>
        <w:rPr>
          <w:rFonts w:ascii="宋体" w:hAnsi="宋体" w:cs="宋体"/>
          <w:kern w:val="0"/>
          <w:sz w:val="24"/>
          <w:szCs w:val="24"/>
        </w:rPr>
        <w:lastRenderedPageBreak/>
        <w:t>当本基金投资的资产支持证券信用评级发生变化时，本基金将需要面对临时调整持仓的风险；此外当资产支持证券相关的发行人、管理人、托管人等出现违规违约时，本基金将面临无法收取投资收益甚至损失本金的风险。</w:t>
      </w:r>
    </w:p>
    <w:p w14:paraId="47194062" w14:textId="2EDD3CBA" w:rsidR="00586A97" w:rsidRDefault="00CE0BBE">
      <w:pPr>
        <w:spacing w:line="360" w:lineRule="auto"/>
        <w:ind w:firstLine="420"/>
        <w:rPr>
          <w:rFonts w:ascii="宋体" w:hAnsi="宋体" w:cs="宋体"/>
          <w:kern w:val="0"/>
          <w:sz w:val="24"/>
          <w:szCs w:val="24"/>
        </w:rPr>
      </w:pPr>
      <w:r>
        <w:rPr>
          <w:rFonts w:ascii="宋体" w:hAnsi="宋体" w:cs="宋体"/>
          <w:kern w:val="0"/>
          <w:sz w:val="24"/>
          <w:szCs w:val="24"/>
        </w:rPr>
        <w:t>6</w:t>
      </w:r>
      <w:r w:rsidR="0024620C">
        <w:rPr>
          <w:rFonts w:ascii="宋体" w:hAnsi="宋体" w:cs="宋体"/>
          <w:kern w:val="0"/>
          <w:sz w:val="24"/>
          <w:szCs w:val="24"/>
        </w:rPr>
        <w:t>、存托凭证投资风险</w:t>
      </w:r>
    </w:p>
    <w:p w14:paraId="2EC7C40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本基金可投资存托凭证，除普通股票投资可能面临的宏观经济风险、政策风险、市场风险、流动性风险外，投资存托凭证可能还会面临以下风险：</w:t>
      </w:r>
    </w:p>
    <w:p w14:paraId="40B8CF0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（1）存托凭证持有人与持有基础股票的股东在法律地位享有权利等方面存在差异可能引发的风险</w:t>
      </w:r>
    </w:p>
    <w:p w14:paraId="0CEB5B7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存托凭证系由存托人以境外发行的证券为基础，在中国境内发行的代表境外基础证券权益的证券。存托凭证持有人实际享有的权益与境外基础证券持有人的权益虽然基本相当，但并不能等同于直接持有境外基础证券。存托凭证持有人与境外基础证券发行人股东之间在法律地位、享有权利等方面存在一定的差异。境外基础证券发行人股东为公司的直接股东，可以直接享有股东权利（包括但不限于投票权、分红等收益权等）；存托凭证持有人为间接拥有公司相关权益的证券持有人，其投票权、收益权等仅能根据存托协议的约定，通过存托人享有并间接行使分红、投票等权利。若未来发行人或存托人未能履行存托协议的约定，不对存托凭证持有人进行分红派息或者分红派息金额少于应得金额，或者存托人行使股东表决权时未充分代表存托凭证持有人的共同意见，则存托凭证持有人的利益将受到损害，本基金作为存托凭证持有人可能会面临一定的投资损失。</w:t>
      </w:r>
    </w:p>
    <w:p w14:paraId="3C20E4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（2）发行人采用协议控制架构的风险</w:t>
      </w:r>
    </w:p>
    <w:p w14:paraId="54DFA86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境外基础证券发行人如采用协议控制架构，可能由于法律、政策变化带来合规、经营等风险，可能面临对境内实体运营企业重大依赖、协议控制架构下相关主体违约等风险。</w:t>
      </w:r>
    </w:p>
    <w:p w14:paraId="234B9D5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（3）增发基础证券可能导致的存托凭证持有人权益被摊薄的风险</w:t>
      </w:r>
    </w:p>
    <w:p w14:paraId="26E079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存托凭证发行时，其对应的净资产已经固定，但未来若发行人增发基础证券，将会导致存托凭证持有人权益被摊薄。</w:t>
      </w:r>
    </w:p>
    <w:p w14:paraId="0C94F03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（4）交易机制相关风险</w:t>
      </w:r>
    </w:p>
    <w:p w14:paraId="48D02B0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境外基础证券与境内存托凭证由于时差、交易时间、交易制度、停复牌规则、异常交易情形、做空机制等差异，境内存托凭证的交易价格可能受到境外市场影</w:t>
      </w:r>
      <w:r>
        <w:rPr>
          <w:rFonts w:ascii="宋体" w:hAnsi="宋体" w:cs="宋体"/>
          <w:kern w:val="0"/>
          <w:sz w:val="24"/>
          <w:szCs w:val="24"/>
        </w:rPr>
        <w:lastRenderedPageBreak/>
        <w:t>响，从而出现大幅波动。此外，在境内法律及监管政策允许的情况下，发行人现在及将来境外发行的股票或存托凭证可能转移至境内市场上市交易，从而增加境内市场的存托凭证供给数量，可能引起交易价格大幅波动。</w:t>
      </w:r>
    </w:p>
    <w:p w14:paraId="7510469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（5）存托凭证退市风险</w:t>
      </w:r>
    </w:p>
    <w:p w14:paraId="0C7224B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如果发行人不再符合上市条件或者发生其他重大违法行为，可能导致存托凭证面临退市。基金作为存托凭证持有人可能面临存托人无法根据存托协议的约定卖出基础证券、持有的存托凭证无法转到境内其他市场进行公开交易或者转让、存托人无法继续按照存托协议的约定为基金提供相应服务等风险。</w:t>
      </w:r>
    </w:p>
    <w:p w14:paraId="11F864E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（6）其它风险</w:t>
      </w:r>
    </w:p>
    <w:p w14:paraId="0144415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存托凭证存续期间，存托凭证项目内容可能发生重大、实质变化，包括但不限于存托凭证与基础证券转换比例发生调整、红筹公司和存托人可能对存托协议作出修改、更换存托人、更换托管人、存托凭证主动退市等。部分变化可能仅以事先通知的方式，即对投资者生效。本基金作为存托凭证投资者可能无法对此行使表决权。</w:t>
      </w:r>
    </w:p>
    <w:p w14:paraId="328AB83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存托凭证存续期间，对应的基础证券等财产可能出现被质押、挪用、司法冻结、强制执行等情形，本基金作为存托凭证投资者可能面临失去应有权利的风险。</w:t>
      </w:r>
    </w:p>
    <w:p w14:paraId="0ECAC0A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存托人可能向存托凭证持有人收取存托凭证相关费用。</w:t>
      </w:r>
    </w:p>
    <w:p w14:paraId="6C969E07" w14:textId="786F8688" w:rsidR="00586A97" w:rsidRDefault="00CE0BBE" w:rsidP="00DB3A85">
      <w:pPr>
        <w:spacing w:line="360" w:lineRule="auto"/>
        <w:ind w:firstLine="420"/>
        <w:rPr>
          <w:rFonts w:eastAsia="Times New Roman"/>
          <w:kern w:val="0"/>
          <w:sz w:val="24"/>
          <w:szCs w:val="24"/>
        </w:rPr>
      </w:pPr>
      <w:r>
        <w:rPr>
          <w:rFonts w:ascii="宋体" w:hAnsi="宋体" w:cs="宋体"/>
          <w:kern w:val="0"/>
          <w:sz w:val="24"/>
          <w:szCs w:val="24"/>
        </w:rPr>
        <w:t>7</w:t>
      </w:r>
      <w:r w:rsidR="0024620C">
        <w:rPr>
          <w:rFonts w:ascii="宋体" w:hAnsi="宋体" w:cs="宋体"/>
          <w:kern w:val="0"/>
          <w:sz w:val="24"/>
          <w:szCs w:val="24"/>
        </w:rPr>
        <w:t>、启用侧袋机制的风险</w:t>
      </w:r>
    </w:p>
    <w:p w14:paraId="693957A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当本基金启用侧袋机制时，实施侧袋机制期间，侧袋账户份额将停止披露基金净值信息，并不得办理申购、赎回和转换，仅主袋账户份额正常开放赎回，因此启用侧袋机制时持有基金份额的持有人将在启用侧袋机制后同时持有主袋账户份额和侧袋账户份额。因特定资产的变现时间具有不确定性，最终变现价格也具有不确定性并且有可能大幅低于启用侧袋机制时的特定资产的估值，基金份额持有人可能因此面临损失。</w:t>
      </w:r>
    </w:p>
    <w:p w14:paraId="57E4B9D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实施侧袋机制期间，因本基金不披露侧袋账户的基金净值信息，即便基金管理人在基金定期报告中披露报告期末特定资产可变现净值或净值区间的，也不作为特定资产最终变现价格的承诺，因此对于特定资产的公允价值和最终变现价格，基金管理人不承担任何保证和承诺的责任。</w:t>
      </w:r>
    </w:p>
    <w:p w14:paraId="7CBA904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基金管理人将根据主袋账户运作情况合理确定申购政策，因此实施侧袋机制</w:t>
      </w:r>
      <w:r>
        <w:rPr>
          <w:rFonts w:ascii="宋体" w:hAnsi="宋体" w:cs="宋体"/>
          <w:kern w:val="0"/>
          <w:sz w:val="24"/>
          <w:szCs w:val="24"/>
        </w:rPr>
        <w:lastRenderedPageBreak/>
        <w:t>后主袋账户份额存在暂停申购的可能。</w:t>
      </w:r>
    </w:p>
    <w:p w14:paraId="1C3EA4F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启用侧袋机制后，基金管理人计算各项投资运作指标和基金业绩指标时仅需考虑主袋账户资产，并根据相关规定对分割侧袋账户资产导致的基金净资产减少进行按投资损失处理，因此本基金披露的业绩指标不能反映特定资产的真实价值及变化情况。</w:t>
      </w:r>
    </w:p>
    <w:p w14:paraId="2A4BDDE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以上所述因素可能会给本基金投资带来特殊交易风险。</w:t>
      </w:r>
    </w:p>
    <w:p w14:paraId="3B8D44B5"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五、税负增加风险</w:t>
      </w:r>
    </w:p>
    <w:p w14:paraId="3591A06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财政部、国家税务总局财政[2016]140号《关于明确金融、房地产开发、教育辅助服务等增值税政策的通知》第四条规定：“资管产品运营过程中发生的增值税应税行为，以资管产品管理人为增值税纳税人。”鉴于基金合同中基金管理人的管理费中不包括产品运营过程中发生的税款，本基金运营过程中需要缴纳增值税应税的，将由基金份额持有人承担并从基金资产中支付，按照税务机关的规定以基金管理人为增值税纳税人履行纳税义务，因此可能增加基金份额持有人的投资税费成本。</w:t>
      </w:r>
    </w:p>
    <w:p w14:paraId="2EC388A7"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六、操作或技术风险</w:t>
      </w:r>
    </w:p>
    <w:p w14:paraId="1E5E447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相关当事人在业务各环节操作过程中，因内部控制存在缺陷或者人为因素造成操作失误或违反操作规程等引致的风险，例如，越权违规交易、会计部门欺诈、交易错误、IT系统故障等风险。</w:t>
      </w:r>
    </w:p>
    <w:p w14:paraId="21753BE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在开放式基金的各种交易行为或者后台运作中，可能因为技术系统的故障或者差错而影响交易的正常进行或者导致基金份额持有人的利益受到影响。这种技术风险可能来自基金管理人、登记机构、销售机构、证券、期货交易所、证券登记结算机构等等。</w:t>
      </w:r>
    </w:p>
    <w:p w14:paraId="29871EDA"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七、合规性风险</w:t>
      </w:r>
    </w:p>
    <w:p w14:paraId="3FB74B3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指基金管理或运作过程中，违反国家法律法规的规定，或者基金投资违反法规及基金合同有关规定的风险。</w:t>
      </w:r>
    </w:p>
    <w:p w14:paraId="75CC60E7"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八、本基金法律文件风险收益特征表述与销售机构基金风险评价可能不一致的风险</w:t>
      </w:r>
    </w:p>
    <w:p w14:paraId="3CAE706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本基金法律文件投资章节有关风险收益特征的表述是基于投资范围、投资比例、证券市场普遍规律等做出的概述性描述，代表了一般市场情况下本基金的长</w:t>
      </w:r>
      <w:r>
        <w:rPr>
          <w:rFonts w:ascii="宋体" w:hAnsi="宋体" w:cs="宋体"/>
          <w:kern w:val="0"/>
          <w:sz w:val="24"/>
          <w:szCs w:val="24"/>
        </w:rPr>
        <w:lastRenderedPageBreak/>
        <w:t>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B1B349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九、其他风险</w:t>
      </w:r>
    </w:p>
    <w:p w14:paraId="2DBDC439"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1、战争、自然灾害等不可抗力因素的出现，将会严重影响证券市场的运行，可能导致基金资产的损失。</w:t>
      </w:r>
    </w:p>
    <w:p w14:paraId="641D9519"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2、金融市场危机、行业竞争、代理商违约、基金托管人违约等超出基金管理人自身直接控制能力之外的风险，也可能导致基金或者基金份额持有人利益受损。</w:t>
      </w:r>
    </w:p>
    <w:p w14:paraId="5DEDCA7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十、声明</w:t>
      </w:r>
    </w:p>
    <w:p w14:paraId="067DA7D4"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1、本基金未经任何一级政府、机构及部门担保。投资者自愿投资于本基金，须自行承担投资风险。</w:t>
      </w:r>
    </w:p>
    <w:p w14:paraId="1D9C2D02"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2、除基金管理人直接办理本基金的销售外，本基金还可通过其他销售机构销售，但是，基金并不是销售机构的存款或负债，也没有经销售机构担保或者背书，销售机构并不能保证其收益或本金安全。</w:t>
      </w:r>
    </w:p>
    <w:p w14:paraId="0B777A06"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0190F8EC" w14:textId="5F223CD2" w:rsidR="009912D6" w:rsidRDefault="0024620C" w:rsidP="009912D6">
      <w:pPr>
        <w:pStyle w:val="1"/>
        <w:spacing w:before="0" w:after="0"/>
        <w:jc w:val="center"/>
        <w:rPr>
          <w:rFonts w:ascii="Times New Roman"/>
          <w:color w:val="auto"/>
          <w:sz w:val="30"/>
        </w:rPr>
      </w:pPr>
      <w:bookmarkStart w:id="46" w:name="_Toc135000354"/>
      <w:r w:rsidRPr="009E26D0">
        <w:rPr>
          <w:rFonts w:ascii="Times New Roman"/>
          <w:color w:val="auto"/>
          <w:sz w:val="30"/>
        </w:rPr>
        <w:lastRenderedPageBreak/>
        <w:t>第十</w:t>
      </w:r>
      <w:r w:rsidR="00120661">
        <w:rPr>
          <w:rFonts w:ascii="Times New Roman" w:hint="eastAsia"/>
          <w:color w:val="auto"/>
          <w:sz w:val="30"/>
        </w:rPr>
        <w:t>八</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侧袋机制</w:t>
      </w:r>
      <w:bookmarkEnd w:id="46"/>
    </w:p>
    <w:p w14:paraId="31AA26D0" w14:textId="77777777" w:rsidR="009912D6" w:rsidRPr="0017353E" w:rsidRDefault="009912D6" w:rsidP="009912D6"/>
    <w:p w14:paraId="679FD26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一、侧袋机制的实施条件、实施程序</w:t>
      </w:r>
    </w:p>
    <w:p w14:paraId="7958954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无需召开基金份额持有人大会。基金管理人应当在启用侧袋机制当日报中国证监会及公司所在地中国证监会派出机构备案。</w:t>
      </w:r>
    </w:p>
    <w:p w14:paraId="56636F5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启用侧袋机制当日，基金管理人应以基金份额持有人的原有账户份额为基础，确认相应侧袋账户基金份额持有人名册和份额。当日收到的申购申请，按照启用侧袋机制后的主袋账户份额办理；当日收到的赎回申请，仅办理主袋账户的赎回申请并支付赎回款项。</w:t>
      </w:r>
    </w:p>
    <w:p w14:paraId="3FB3B02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二、侧袋机制实施期间的基金运作安排</w:t>
      </w:r>
    </w:p>
    <w:p w14:paraId="6B78B30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（一）基金份额的申购与赎回</w:t>
      </w:r>
    </w:p>
    <w:p w14:paraId="107A34D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1、侧袋账户</w:t>
      </w:r>
    </w:p>
    <w:p w14:paraId="3B49253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侧袋机制实施期间，基金管理人不办理侧袋账户的申购、赎回和转换。基金份额持有人申请申购、赎回或转换侧袋账户基金份额的，该申购、赎回或转换申请将被拒绝。</w:t>
      </w:r>
    </w:p>
    <w:p w14:paraId="0024BEE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2、主袋账户</w:t>
      </w:r>
    </w:p>
    <w:p w14:paraId="1CBBEE7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基金管理人将依法保障主袋账户份额持有人享有基金合同约定的赎回权利，并根据主袋账户运作情况合理确定申购事项，具体事项届时将由基金管理人在相关公告中规定。</w:t>
      </w:r>
    </w:p>
    <w:p w14:paraId="70B9446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本招募说明书“基金份额的申购与赎回”部分的申购、赎回规定适用于主袋账户份额。巨额赎回按照单个开放日内主袋账户份额净赎回申请超过前一开放日主袋账户总份额的10%认定。</w:t>
      </w:r>
    </w:p>
    <w:p w14:paraId="0E82B3A3"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（二）基金的投资</w:t>
      </w:r>
    </w:p>
    <w:p w14:paraId="473223F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招募说明书“基金的投资”部分约定的投资组合比例、投资策略、组合限制、业绩比较基准、风险收益特征等约定仅适用于主袋账户；且本基金的各项投资运作指标和基金业绩指标应当以主袋账户资产为基准。</w:t>
      </w:r>
    </w:p>
    <w:p w14:paraId="6999C97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基金管理人原则上应当在侧袋机制启用后20个交易日内完成对主袋账户投资组合的调整，但因资产流动性受限等中国证监会规定的情形除外。</w:t>
      </w:r>
    </w:p>
    <w:p w14:paraId="4BD1B55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基金管理人不得在侧袋账户中进行除特定资产处置变现以外的其他投资操作。</w:t>
      </w:r>
    </w:p>
    <w:p w14:paraId="47259FE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（三）基金的费用</w:t>
      </w:r>
    </w:p>
    <w:p w14:paraId="0974DCC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侧袋机制实施期间，侧袋账户资产不收取管理费。</w:t>
      </w:r>
    </w:p>
    <w:p w14:paraId="63459E8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基金管理人可以将与侧袋账户有关的费用从侧袋账户资产中列支，但应待特定资产变现后方可列支。</w:t>
      </w:r>
    </w:p>
    <w:p w14:paraId="00E030D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主袋账户的管理费和托管费等费用仍按主袋账户基金资产净值作为基数计提。</w:t>
      </w:r>
    </w:p>
    <w:p w14:paraId="33BD47C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（四）基金的收益分配</w:t>
      </w:r>
    </w:p>
    <w:p w14:paraId="7F7730D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侧袋机制实施期间，在主袋账户份额满足基金合同收益分配条件的情形下，基金管理人可对主袋账户份额进行收益分配。侧袋账户不进行收益分配。</w:t>
      </w:r>
    </w:p>
    <w:p w14:paraId="1A99E9D6"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（五）基金的信息披露</w:t>
      </w:r>
    </w:p>
    <w:p w14:paraId="1DAC6F5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1、基金净值信息</w:t>
      </w:r>
    </w:p>
    <w:p w14:paraId="7B372F38"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应按照招募说明书“基金的信息披露”部分规定的基金净值信息披露方式和频率披露主袋账户份额的基金净值信息。侧袋机制实施期间，基金管理人应当暂停披露侧袋账户的基金份额净值和基金份额累计净值。</w:t>
      </w:r>
    </w:p>
    <w:p w14:paraId="0F1B6B69"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2、定期报告</w:t>
      </w:r>
    </w:p>
    <w:p w14:paraId="29F45C8F"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应当在基金定期报告中披露报告期内特定资产处置进展情况，披露报告期末特定资产可变现净值或净值区间的，该净值或净值区间并不代表特定资产最终的变现价格，不作为基金管理人对特定资产最终变现价格的承诺。</w:t>
      </w:r>
    </w:p>
    <w:p w14:paraId="1E8FA36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侧袋机制实施期间，基金定期报告中的基金会计报表仅需针对主袋账户进行编制。会计师事务所对基金年度报告进行审计时，应对报告期内基金侧袋机制运行相关的会计核算和年度报告披露等发表审计意见。</w:t>
      </w:r>
    </w:p>
    <w:p w14:paraId="077B9A6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3、临时报告</w:t>
      </w:r>
    </w:p>
    <w:p w14:paraId="2BDE426C"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基金管理人在启用侧袋机制、处置特定资产、终止侧袋机制以及发生其他可能对投资者利益产生重大影响的事项后应及时发布临时公告。</w:t>
      </w:r>
    </w:p>
    <w:p w14:paraId="08A6F22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启用侧袋机制的临时公告内容应当包括启用原因及程序、特定资产流动性和</w:t>
      </w:r>
      <w:r>
        <w:rPr>
          <w:rFonts w:ascii="宋体" w:hAnsi="宋体" w:cs="宋体"/>
          <w:kern w:val="0"/>
          <w:sz w:val="24"/>
          <w:szCs w:val="24"/>
        </w:rPr>
        <w:lastRenderedPageBreak/>
        <w:t>估值情况、对投资者申购赎回的影响、风险提示等重要信息。</w:t>
      </w:r>
    </w:p>
    <w:p w14:paraId="07A41EC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处置特定资产的临时公告内容应当包括特定资产处置价格和时间、向侧袋账户份额持有人支付的款项、相关费用发生情况等重要信息。</w:t>
      </w:r>
    </w:p>
    <w:p w14:paraId="3E3E828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（六）特定资产处置清算</w:t>
      </w:r>
    </w:p>
    <w:p w14:paraId="7F21552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特定资产以可出售、可转让、恢复交易等方式恢复流动性后，基金管理人将按照基金份额持有人利益最大化原则，采取将特定资产予以处置变现等方式，及时向侧袋账户份额持有人支付的款项。</w:t>
      </w:r>
    </w:p>
    <w:p w14:paraId="3CCC54D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（七）侧袋的审计</w:t>
      </w:r>
    </w:p>
    <w:p w14:paraId="05DEB0D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基金管理人应当在启用侧袋机制和终止侧袋机制后，及时聘请符合《中华人民共和国证券法》规定的会计师事务所进行审计并披露专项审计意见。</w:t>
      </w:r>
    </w:p>
    <w:p w14:paraId="4B320210"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三、本部分关于侧袋机制的相关规定，凡是直接引用法律法规或监管规则的部分，如将来法律法规或监管规则修改导致相关内容被取消或变更的，或将来法律法规或监管规则针对侧袋机制的内容有进一步规定的，基金管理人经与基金托管人协商一致并履行适当程序后，可直接对本部分内容进行修改和调整，无需召开基金份额持有人大会审议。</w:t>
      </w:r>
    </w:p>
    <w:p w14:paraId="58860C3C"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29902D45" w14:textId="46EFBAEE" w:rsidR="009912D6" w:rsidRDefault="0024620C" w:rsidP="009912D6">
      <w:pPr>
        <w:pStyle w:val="1"/>
        <w:spacing w:before="0" w:after="0"/>
        <w:jc w:val="center"/>
        <w:rPr>
          <w:rFonts w:ascii="Times New Roman"/>
          <w:color w:val="auto"/>
          <w:sz w:val="30"/>
        </w:rPr>
      </w:pPr>
      <w:bookmarkStart w:id="47" w:name="_Toc135000355"/>
      <w:r w:rsidRPr="009E26D0">
        <w:rPr>
          <w:rFonts w:ascii="Times New Roman"/>
          <w:color w:val="auto"/>
          <w:sz w:val="30"/>
        </w:rPr>
        <w:lastRenderedPageBreak/>
        <w:t>第十</w:t>
      </w:r>
      <w:r w:rsidR="00120661">
        <w:rPr>
          <w:rFonts w:ascii="Times New Roman" w:hint="eastAsia"/>
          <w:color w:val="auto"/>
          <w:sz w:val="30"/>
        </w:rPr>
        <w:t>九</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基金合同的变更、终止与基金财产的清算</w:t>
      </w:r>
      <w:bookmarkEnd w:id="47"/>
    </w:p>
    <w:p w14:paraId="1B2570E2" w14:textId="77777777" w:rsidR="009912D6" w:rsidRPr="0017353E" w:rsidRDefault="009912D6" w:rsidP="009912D6"/>
    <w:p w14:paraId="0668462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一、《基金合同》的变更</w:t>
      </w:r>
    </w:p>
    <w:p w14:paraId="6957F48C" w14:textId="34613479"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变更基金合同涉及法律法规规定或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6E4D896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2、关于《基金合同》变更的基金份额持有人大会决议自生效后方可执行，自决议生效后两日内在规定媒介公告。</w:t>
      </w:r>
    </w:p>
    <w:p w14:paraId="2F9D3FD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二、《基金合同》的终止事由</w:t>
      </w:r>
    </w:p>
    <w:p w14:paraId="3EA7B61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有下列情形之一的，经履行相关程序后，《基金合同》应当终止：</w:t>
      </w:r>
    </w:p>
    <w:p w14:paraId="43022C2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1、基金份额持有人大会决定终止的；</w:t>
      </w:r>
    </w:p>
    <w:p w14:paraId="4565E30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2、基金管理人、基金托管人职责终止，在6个月内没有新基金管理人、新基金托管人承接的；</w:t>
      </w:r>
    </w:p>
    <w:p w14:paraId="70C2BF0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3、《基金合同》约定的其他情形；</w:t>
      </w:r>
    </w:p>
    <w:p w14:paraId="7A287B8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4、相关法律法规和中国证监会规定的其他情况。</w:t>
      </w:r>
    </w:p>
    <w:p w14:paraId="7E1835E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三、基金财产的清算</w:t>
      </w:r>
    </w:p>
    <w:p w14:paraId="01D9820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1、基金财产清算小组：自出现《基金合同》终止事由之日起30个工作日内成立清算小组，基金管理人组织基金财产清算小组并在中国证监会的监督下进行基金清算。</w:t>
      </w:r>
    </w:p>
    <w:p w14:paraId="105DA0D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72F0BD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3、基金财产清算小组职责：基金财产清算小组负责基金财产的保管、清理、估价、变现和分配。基金财产清算小组可以依法进行必要的民事活动。</w:t>
      </w:r>
    </w:p>
    <w:p w14:paraId="189E68E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4、基金财产清算程序：</w:t>
      </w:r>
    </w:p>
    <w:p w14:paraId="102BACD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（1）《基金合同》终止情形出现时，由基金财产清算小组统一接管基金；</w:t>
      </w:r>
    </w:p>
    <w:p w14:paraId="76930AD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（2）对基金财产和债权债务进行清理和确认；</w:t>
      </w:r>
    </w:p>
    <w:p w14:paraId="0214170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（3）对基金财产进行估值和变现；</w:t>
      </w:r>
    </w:p>
    <w:p w14:paraId="57C331B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（4）制作清算报告；</w:t>
      </w:r>
    </w:p>
    <w:p w14:paraId="765633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（5）聘请会计师事务所对清算报告进行外部审计，聘请律师事务所对清算报告出具法律意见书；</w:t>
      </w:r>
    </w:p>
    <w:p w14:paraId="63F77C4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（6）将清算报告报中国证监会备案并公告；</w:t>
      </w:r>
    </w:p>
    <w:p w14:paraId="28678BB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（7）对基金剩余财产进行分配。</w:t>
      </w:r>
    </w:p>
    <w:p w14:paraId="276859E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5、基金财产清算的期限为6个月，但因本基金所持证券的流动性受到限制而不能及时变现的，清算期限相应顺延。</w:t>
      </w:r>
    </w:p>
    <w:p w14:paraId="694DCC0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四、清算费用</w:t>
      </w:r>
    </w:p>
    <w:p w14:paraId="6898417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清算费用是指基金财产清算小组在进行基金财产清算过程中发生的所有合理费用，清算费用由基金财产清算小组优先从基金财产中支付。</w:t>
      </w:r>
    </w:p>
    <w:p w14:paraId="3413684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五、基金财产清算剩余资产的分配</w:t>
      </w:r>
    </w:p>
    <w:p w14:paraId="6794A9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4D321D6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六、基金财产清算的公告</w:t>
      </w:r>
    </w:p>
    <w:p w14:paraId="169E5F8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54C425A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七、基金财产清算账册及文件的保存</w:t>
      </w:r>
    </w:p>
    <w:p w14:paraId="03E5161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基金财产清算账册及有关文件由基金托管人保存，保存期限不少于法定最低期限。</w:t>
      </w:r>
    </w:p>
    <w:p w14:paraId="068D4075"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73EE82A5" w14:textId="6AB5AD4E" w:rsidR="009912D6" w:rsidRDefault="0024620C" w:rsidP="009912D6">
      <w:pPr>
        <w:pStyle w:val="1"/>
        <w:spacing w:before="0" w:after="0"/>
        <w:jc w:val="center"/>
        <w:rPr>
          <w:rFonts w:ascii="Times New Roman"/>
          <w:color w:val="auto"/>
          <w:sz w:val="30"/>
        </w:rPr>
      </w:pPr>
      <w:bookmarkStart w:id="48" w:name="_Toc135000356"/>
      <w:r w:rsidRPr="009E26D0">
        <w:rPr>
          <w:rFonts w:ascii="Times New Roman"/>
          <w:color w:val="auto"/>
          <w:sz w:val="30"/>
        </w:rPr>
        <w:lastRenderedPageBreak/>
        <w:t>第</w:t>
      </w:r>
      <w:r w:rsidR="00120661">
        <w:rPr>
          <w:rFonts w:ascii="Times New Roman" w:hint="eastAsia"/>
          <w:color w:val="auto"/>
          <w:sz w:val="30"/>
        </w:rPr>
        <w:t>二十</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基金合同的内容摘要</w:t>
      </w:r>
      <w:bookmarkEnd w:id="48"/>
    </w:p>
    <w:p w14:paraId="2016F259" w14:textId="77777777" w:rsidR="009912D6" w:rsidRPr="0017353E" w:rsidRDefault="009912D6" w:rsidP="009912D6"/>
    <w:p w14:paraId="2B5C044B" w14:textId="77777777" w:rsidR="00586A97" w:rsidRPr="00CE4F60" w:rsidRDefault="0024620C" w:rsidP="00CE4F60">
      <w:pPr>
        <w:spacing w:line="360" w:lineRule="auto"/>
        <w:ind w:firstLine="420"/>
        <w:rPr>
          <w:rFonts w:ascii="宋体" w:hAnsi="宋体" w:cs="宋体"/>
          <w:kern w:val="0"/>
          <w:sz w:val="24"/>
          <w:szCs w:val="24"/>
        </w:rPr>
      </w:pPr>
      <w:r>
        <w:rPr>
          <w:rFonts w:ascii="宋体" w:hAnsi="宋体" w:cs="宋体"/>
          <w:kern w:val="0"/>
          <w:sz w:val="24"/>
          <w:szCs w:val="24"/>
        </w:rPr>
        <w:t>一、</w:t>
      </w:r>
      <w:r w:rsidRPr="00CE4F60">
        <w:rPr>
          <w:rFonts w:ascii="宋体" w:hAnsi="宋体" w:cs="宋体"/>
          <w:kern w:val="0"/>
          <w:sz w:val="24"/>
          <w:szCs w:val="24"/>
        </w:rPr>
        <w:t>基金合同当事人的权利、义务</w:t>
      </w:r>
    </w:p>
    <w:p w14:paraId="041D816C"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（一）基金管理人的权利与义务</w:t>
      </w:r>
    </w:p>
    <w:p w14:paraId="7AFACD5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1、根据《基金法》、《运作办法》及其他有关规定，基金管理人的权利包括但不限于：</w:t>
      </w:r>
    </w:p>
    <w:p w14:paraId="02A4A34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（1）依法募集资金；</w:t>
      </w:r>
    </w:p>
    <w:p w14:paraId="0117B8E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（2）自《基金合同》生效之日起，根据法律法规和《基金合同》独立运用并管理基金财产；</w:t>
      </w:r>
    </w:p>
    <w:p w14:paraId="061C2F1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（3）依照《基金合同》收取基金管理费以及法律法规规定或中国证监会批准的其他费用；</w:t>
      </w:r>
    </w:p>
    <w:p w14:paraId="0246407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（4）销售基金份额；</w:t>
      </w:r>
    </w:p>
    <w:p w14:paraId="5C22E84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（5）按照规定召集基金份额持有人大会；</w:t>
      </w:r>
    </w:p>
    <w:p w14:paraId="4235C4C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（6）依据《基金合同》及有关法律规定监督基金托管人，如认为基金托管人违反了《基金合同》及国家有关法律规定，应呈报中国证监会和其他监管部门，并采取必要措施保护基金投资者的利益；</w:t>
      </w:r>
    </w:p>
    <w:p w14:paraId="23CB6A0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（7）在基金托管人更换时，提名新的基金托管人；</w:t>
      </w:r>
    </w:p>
    <w:p w14:paraId="4DAE5C1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（8）选择、更换基金销售机构，对基金销售机构的相关行为进行监督和处理；</w:t>
      </w:r>
    </w:p>
    <w:p w14:paraId="350EB86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（9）担任或委托其他符合条件的机构担任基金登记机构办理基金登记业务并获得《基金合同》规定的费用；</w:t>
      </w:r>
    </w:p>
    <w:p w14:paraId="10C4A1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（10）依据《基金合同》及有关法律规定决定基金收益的分配方案；</w:t>
      </w:r>
    </w:p>
    <w:p w14:paraId="626EEF6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（11）在《基金合同》约定的范围内，拒绝或暂停受理申购与赎回申请；</w:t>
      </w:r>
    </w:p>
    <w:p w14:paraId="54E3505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（12）依照法律法规为基金的利益对被投资公司行使股东权利，为基金的利益行使因基金财产投资于证券所产生的权利；</w:t>
      </w:r>
    </w:p>
    <w:p w14:paraId="2F8DA7C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（13）在法律法规允许的前提下，为基金的利益依法为基金进行融资；</w:t>
      </w:r>
    </w:p>
    <w:p w14:paraId="6869F0B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（14）以基金管理人的名义，代表基金份额持有人的利益行使诉讼权利或者实施其他法律行为；</w:t>
      </w:r>
    </w:p>
    <w:p w14:paraId="434415D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（15）选择、更换律师事务所、会计师事务所、证券经纪商、期货经纪机构或其他为基金提供服务的外部机构；</w:t>
      </w:r>
    </w:p>
    <w:p w14:paraId="2605A00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（16）在符合有关法律、法规的前提下，制订和调整有关基金认购、申购、赎回、转换、定期定额投资、转托管和非交易过户等业务规则；</w:t>
      </w:r>
    </w:p>
    <w:p w14:paraId="40D93A1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（17）在法律法规和基金合同规定的范围内决定调整基金费率结构和收费方式；</w:t>
      </w:r>
    </w:p>
    <w:p w14:paraId="6896160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（18）法律法规及中国证监会规定的和《基金合同》约定的其他权利。</w:t>
      </w:r>
    </w:p>
    <w:p w14:paraId="60D8526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2、根据《基金法》、《运作办法》及其他有关规定，基金管理人的义务包括但不限于：</w:t>
      </w:r>
    </w:p>
    <w:p w14:paraId="65DD17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（1）依法募集资金，办理或者委托经中国证监会认定的其他机构代为办理基金份额的发售、申购、赎回和登记事宜；</w:t>
      </w:r>
    </w:p>
    <w:p w14:paraId="6DD86F4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（2）办理基金备案手续；</w:t>
      </w:r>
    </w:p>
    <w:p w14:paraId="23332B2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（3）自《基金合同》生效之日起，以诚实信用、谨慎勤勉的原则管理和运用基金财产；</w:t>
      </w:r>
    </w:p>
    <w:p w14:paraId="7D0C32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（4）配备足够的具有专业资格的人员进行基金投资分析、决策，以专业化的经营方式管理和运作基金财产；</w:t>
      </w:r>
    </w:p>
    <w:p w14:paraId="57F606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（5）建立健全内部风险控制、监察与稽核、财务管理及人事管理等制度，保证所管理的基金财产和基金管理人的财产相互独立，对所管理的不同基金分别管理，分别记账，进行证券投资；</w:t>
      </w:r>
    </w:p>
    <w:p w14:paraId="145FD8B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（6）除依据《基金法》、《基金合同》及其他有关规定外，不得利用基金财产为自己及任何第三人谋取利益，不得委托第三人运作基金财产；</w:t>
      </w:r>
    </w:p>
    <w:p w14:paraId="3C09824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（7）依法接受基金托管人的监督；</w:t>
      </w:r>
    </w:p>
    <w:p w14:paraId="53D8A90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（8）采取适当合理的措施使计算基金份额认购、申购、赎回和注销价格的方法符合《基金合同》等法律文件的规定，按有关规定计算并公告基金净值信息，确定基金份额申购、赎回的价格；</w:t>
      </w:r>
    </w:p>
    <w:p w14:paraId="39DA32D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（9）进行基金会计核算并编制基金财务会计报告；</w:t>
      </w:r>
    </w:p>
    <w:p w14:paraId="02DD10C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（10）编制季度报告、中期报告和年度报告；</w:t>
      </w:r>
    </w:p>
    <w:p w14:paraId="75D9CF1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（11）严格按照《基金法》、《基金合同》及其他有关规定，履行信息披露及报告义务；</w:t>
      </w:r>
    </w:p>
    <w:p w14:paraId="3FEA06D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（12）保守基金商业秘密，不泄露基金投资计划、投资意向等。除《基金法》、《基金合同》及其他有关规定另有规定外，在基金信息公开披露前应予保密，不</w:t>
      </w:r>
      <w:r>
        <w:rPr>
          <w:rFonts w:ascii="宋体" w:hAnsi="宋体" w:cs="宋体"/>
          <w:kern w:val="0"/>
          <w:sz w:val="24"/>
          <w:szCs w:val="24"/>
        </w:rPr>
        <w:lastRenderedPageBreak/>
        <w:t>向他人泄露，但应监管机构、司法机关等有权机关的要求，或因审计、法律等外部专业顾问提供服务需要提供的情况除外；</w:t>
      </w:r>
    </w:p>
    <w:p w14:paraId="1016198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（13）按《基金合同》的约定确定基金收益分配方案，及时向基金份额持有人分配基金收益；</w:t>
      </w:r>
    </w:p>
    <w:p w14:paraId="3ADE810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（14）按规定受理申购与赎回申请，及时、足额支付赎回款项；</w:t>
      </w:r>
    </w:p>
    <w:p w14:paraId="05089E5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（15）依据《基金法》、《基金合同》及其他有关规定召集基金份额持有人大会或配合基金托管人、基金份额持有人依法召集基金份额持有人大会；</w:t>
      </w:r>
    </w:p>
    <w:p w14:paraId="36B0582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（16）按规定保存基金财产管理业务活动的会计账册、报表、记录和其他相关资料不少于法定最低期限；</w:t>
      </w:r>
    </w:p>
    <w:p w14:paraId="2632F8D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17）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0C80D85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（18）组织并参加基金财产清算小组，参与基金财产的保管、清理、估价、变现和分配；</w:t>
      </w:r>
    </w:p>
    <w:p w14:paraId="45F8A7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（19）面临解散、依法被撤销或者被依法宣告破产时，及时报告中国证监会并通知基金托管人；</w:t>
      </w:r>
    </w:p>
    <w:p w14:paraId="6F3BB2F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（20）因违反《基金合同》导致基金财产的损失或损害基金份额持有人合法权益时，应当承担赔偿责任，其赔偿责任不因其退任而免除；</w:t>
      </w:r>
    </w:p>
    <w:p w14:paraId="604CF0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（21）监督基金托管人按法律法规和《基金合同》规定履行自己的义务，基金托管人违反《基金合同》造成基金财产损失时，基金管理人应为基金份额持有人利益向基金托管人追偿；</w:t>
      </w:r>
    </w:p>
    <w:p w14:paraId="02B3C28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（22）当基金管理人将其义务委托第三方处理时，应当对第三方处理有关基金事务的行为承担责任；</w:t>
      </w:r>
    </w:p>
    <w:p w14:paraId="4539C4C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（23）以基金管理人名义，代表基金份额持有人利益行使诉讼权利或实施其他法律行为；</w:t>
      </w:r>
    </w:p>
    <w:p w14:paraId="543FC29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（24）基金管理人在募集期间未能达到基金的备案条件，《基金合同》不能生效，基金管理人承担全部募集费用，将已募集资金并加计银行同期活期存款利息在基金募集期结束后30日内退还基金认购人；</w:t>
      </w:r>
    </w:p>
    <w:p w14:paraId="2D181A3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（25）执行生效的基金份额持有人大会的决议；</w:t>
      </w:r>
    </w:p>
    <w:p w14:paraId="10B21B7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（26）建立并保存基金份额持有人名册；</w:t>
      </w:r>
    </w:p>
    <w:p w14:paraId="1BD3ED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（27）法律法规及中国证监会规定的和《基金合同》约定的其他义务。</w:t>
      </w:r>
    </w:p>
    <w:p w14:paraId="2C4983D0"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（二）基金托管人的权利与义务</w:t>
      </w:r>
    </w:p>
    <w:p w14:paraId="1B52820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1、根据《基金法》、《运作办法》及其他有关规定，基金托管人的权利包括但不限于：</w:t>
      </w:r>
    </w:p>
    <w:p w14:paraId="47531A9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（1）自《基金合同》生效之日起，依法律法规和《基金合同》的规定安全保管基金财产；</w:t>
      </w:r>
    </w:p>
    <w:p w14:paraId="5A30CB3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（2）依《基金合同》约定获得基金托管费以及法律法规规定或监管部门批准的其他费用；</w:t>
      </w:r>
    </w:p>
    <w:p w14:paraId="1CF17A3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76EB4DE6" w14:textId="4028E9D8"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（4）根据相关市场规则，为基金开设资金账户、证券账户和期货账户等投资所需账户，为基金办理证券、期货交易资金清算；</w:t>
      </w:r>
    </w:p>
    <w:p w14:paraId="3C18654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（5）提议召开或召集基金份额持有人大会；</w:t>
      </w:r>
    </w:p>
    <w:p w14:paraId="0EF2C81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（6）在基金管理人更换时，提名新的基金管理人；</w:t>
      </w:r>
    </w:p>
    <w:p w14:paraId="12F2C5A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（7）法律法规及中国证监会规定的和《基金合同》约定的其他权利。</w:t>
      </w:r>
    </w:p>
    <w:p w14:paraId="0695E42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2、根据《基金法》、《运作办法》及其他有关规定，基金托管人的义务包括但不限于：</w:t>
      </w:r>
    </w:p>
    <w:p w14:paraId="3F5E540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（1）以诚实信用、勤勉尽责的原则持有并安全保管基金财产；</w:t>
      </w:r>
    </w:p>
    <w:p w14:paraId="20CA82A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（2）设立专门的基金托管部门，具有符合要求的营业场所，配备足够的、合格的熟悉基金托管业务的专职人员，负责基金财产托管事宜；</w:t>
      </w:r>
    </w:p>
    <w:p w14:paraId="1403596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5F88726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（4）除依据《基金法》、《基金合同》及其他有关规定外，不得利用基金财产为自己及任何第三人谋取利益，不得委托第三人托管基金财产；</w:t>
      </w:r>
    </w:p>
    <w:p w14:paraId="1099613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（5）保管由基金管理人代表基金签订的与基金有关的重大合同及有关凭证；</w:t>
      </w:r>
    </w:p>
    <w:p w14:paraId="67332A42" w14:textId="7C9FD849"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（6）按规定开设基金财产的资金账户、证券账户和期货账户等投资所需账户，按照《基金合同》的约定，根据基金管理人的投资指令，及时办理清算、交割事宜；</w:t>
      </w:r>
    </w:p>
    <w:p w14:paraId="30E9176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保守基金商业秘密，除《基金法》、《基金合同》及其他有关规定另有规定外，在基金信息公开披露前予以保密，不得向他人泄露，但应监管机构、司法机关等有权机关的要求，或因审计、法律等外部专业顾问提供服务需要提供的情况除外；</w:t>
      </w:r>
    </w:p>
    <w:p w14:paraId="79343DD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（8）复核、审查基金管理人计算的基金资产净值、基金份额净值、基金份额申购、赎回价格；</w:t>
      </w:r>
    </w:p>
    <w:p w14:paraId="6436008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（9）办理与基金托管业务活动有关的信息披露事项；</w:t>
      </w:r>
    </w:p>
    <w:p w14:paraId="06BF328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003408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（11）保存基金托管业务活动的记录、账册、报表和其他相关资料不少于法定最低期限；</w:t>
      </w:r>
    </w:p>
    <w:p w14:paraId="47D0990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（12）建立并保存基金份额持有人名册；</w:t>
      </w:r>
    </w:p>
    <w:p w14:paraId="288B44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（13）按规定制作相关账册并与基金管理人核对；</w:t>
      </w:r>
    </w:p>
    <w:p w14:paraId="01CB4F3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（14）依据基金管理人的指令或有关规定向基金份额持有人支付基金收益和赎回款项；</w:t>
      </w:r>
    </w:p>
    <w:p w14:paraId="6FAA2B1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（15）依据《基金法》、《基金合同》及其他有关规定，召集基金份额持有人大会或配合基金管理人、基金份额持有人依法召集基金份额持有人大会；</w:t>
      </w:r>
    </w:p>
    <w:p w14:paraId="6E433FA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（16）按照法律法规和《基金合同》的规定监督基金管理人的投资运作；</w:t>
      </w:r>
    </w:p>
    <w:p w14:paraId="24EF0DF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（17）参加基金财产清算小组，参与基金财产的保管、清理、估价、变现和分配；</w:t>
      </w:r>
    </w:p>
    <w:p w14:paraId="01F6A9A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（18）面临解散、依法被撤销或者被依法宣告破产时，及时报告中国证监会和银行业监督管理机构，并通知基金管理人；</w:t>
      </w:r>
    </w:p>
    <w:p w14:paraId="6ED709A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（19）因违反《基金合同》导致基金财产损失时，应承担赔偿责任，其赔偿责任不因其退任而免除；</w:t>
      </w:r>
    </w:p>
    <w:p w14:paraId="4A99A53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（20）按规定监督基金管理人按法律法规和《基金合同》规定履行自己的义务，基金管理人因违反《基金合同》造成基金财产损失时，应为基金份额持有人利益向基金管理人追偿；</w:t>
      </w:r>
    </w:p>
    <w:p w14:paraId="0364B25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（21）执行生效的基金份额持有人大会的决议；</w:t>
      </w:r>
    </w:p>
    <w:p w14:paraId="49194D6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（22）法律法规及中国证监会规定的和《基金合同》约定的其他义务。</w:t>
      </w:r>
    </w:p>
    <w:p w14:paraId="6ABC286F"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（三）基金份额持有人的权利和义务</w:t>
      </w:r>
    </w:p>
    <w:p w14:paraId="4F68225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投资者持有本基金基金份额的行为即视为对《基金合同》的承认和接受，基金投资者自依据《基金合同》取得基金份额，即成为本基金份额持有人和《基金合同》的当事人，直至其不再持有本基金的基金份额。基金份额持有人作为《基金合同》当事人并不以在《基金合同》上书面签章或签字为必要条件。</w:t>
      </w:r>
    </w:p>
    <w:p w14:paraId="68FAFCC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同一类别内每份基金份额具有同等的合法权益。</w:t>
      </w:r>
    </w:p>
    <w:p w14:paraId="7FC185C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1、根据《基金法》、《运作办法》及其他有关规定，基金份额持有人的权利包括但不限于：</w:t>
      </w:r>
    </w:p>
    <w:p w14:paraId="3E36622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（1）分享基金财产收益；</w:t>
      </w:r>
    </w:p>
    <w:p w14:paraId="475FA4C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（2）参与分配清算后的剩余基金财产；</w:t>
      </w:r>
    </w:p>
    <w:p w14:paraId="3B40DB0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（3）依法转让或者申请赎回其持有的基金份额；</w:t>
      </w:r>
    </w:p>
    <w:p w14:paraId="4220787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（4）按照规定要求召开基金份额持有人大会或者召集基金份额持有人大会；</w:t>
      </w:r>
    </w:p>
    <w:p w14:paraId="72BB031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（5）出席或者委派代表出席基金份额持有人大会，对基金份额持有人大会审议事项行使表决权；</w:t>
      </w:r>
    </w:p>
    <w:p w14:paraId="0B716AB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（6）查阅或者复制公开披露的基金信息资料；</w:t>
      </w:r>
    </w:p>
    <w:p w14:paraId="191873C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（7）监督基金管理人的投资运作；</w:t>
      </w:r>
    </w:p>
    <w:p w14:paraId="5A1D9B9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（8）对基金管理人、基金托管人、基金服务机构损害其合法权益的行为依法提起诉讼或仲裁；</w:t>
      </w:r>
    </w:p>
    <w:p w14:paraId="3CE5C51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（9）法律法规及中国证监会规定的和《基金合同》约定的其他权利。</w:t>
      </w:r>
    </w:p>
    <w:p w14:paraId="55C7052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2、根据《基金法》、《运作办法》及其他有关规定，基金份额持有人的义务包括但不限于：</w:t>
      </w:r>
    </w:p>
    <w:p w14:paraId="4F1CB3E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（1）认真阅读并遵守《基金合同》、《招募说明书》等信息披露文件；</w:t>
      </w:r>
    </w:p>
    <w:p w14:paraId="1B2E9AD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（2）了解所投资基金产品，了解自身风险承受能力，自主判断基金的投资价值，自主做出投资决策，自行承担投资风险；</w:t>
      </w:r>
    </w:p>
    <w:p w14:paraId="65F799A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（3）关注基金信息披露，及时行使权利和履行义务；</w:t>
      </w:r>
    </w:p>
    <w:p w14:paraId="66CE6A3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（4）交纳基金认购、申购款项及法律法规和《基金合同》所规定的费用；</w:t>
      </w:r>
    </w:p>
    <w:p w14:paraId="17CCC1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（5）在其持有的基金份额范围内，承担基金亏损或者《基金合同》终止的有限责任；</w:t>
      </w:r>
    </w:p>
    <w:p w14:paraId="2525547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（6）不从事任何有损基金及其他《基金合同》当事人合法权益的活动；</w:t>
      </w:r>
    </w:p>
    <w:p w14:paraId="2425C88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（7）执行生效的基金份额持有人大会的决议；</w:t>
      </w:r>
    </w:p>
    <w:p w14:paraId="588A831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（8）返还在基金交易过程中因任何原因获得的不当得利；</w:t>
      </w:r>
    </w:p>
    <w:p w14:paraId="54D4BF7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（9）提供基金管理人和监管机构依法要求提供的信息，以及不时的更新和补充，并保证其真实性；</w:t>
      </w:r>
    </w:p>
    <w:p w14:paraId="00C2CA9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（10）遵守基金管理人、基金托管人、销售机构和登记机构的相关交易及业务规则；</w:t>
      </w:r>
    </w:p>
    <w:p w14:paraId="4BE3EFA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（11）法律法规及中国证监会规定的和《基金合同》约定的其他义务。</w:t>
      </w:r>
    </w:p>
    <w:p w14:paraId="026ECFB7" w14:textId="77777777" w:rsidR="00586A97" w:rsidRPr="00E5426A" w:rsidRDefault="0024620C">
      <w:pPr>
        <w:spacing w:line="360" w:lineRule="auto"/>
        <w:ind w:firstLine="420"/>
        <w:jc w:val="left"/>
        <w:rPr>
          <w:rFonts w:eastAsia="Times New Roman"/>
          <w:kern w:val="0"/>
          <w:sz w:val="24"/>
          <w:szCs w:val="24"/>
        </w:rPr>
      </w:pPr>
      <w:r w:rsidRPr="00E5426A">
        <w:rPr>
          <w:rFonts w:ascii="宋体" w:hAnsi="宋体" w:cs="宋体"/>
          <w:kern w:val="0"/>
          <w:sz w:val="24"/>
          <w:szCs w:val="24"/>
        </w:rPr>
        <w:t>二、</w:t>
      </w:r>
      <w:r w:rsidRPr="00CE4F60">
        <w:rPr>
          <w:rFonts w:ascii="宋体" w:hAnsi="宋体" w:cs="宋体"/>
          <w:bCs/>
          <w:kern w:val="0"/>
          <w:sz w:val="24"/>
          <w:szCs w:val="24"/>
        </w:rPr>
        <w:t>基金份额持有人大会召集、议事及表决的程序和规则</w:t>
      </w:r>
    </w:p>
    <w:p w14:paraId="702354D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基金份额持有人大会由基金份额持有人组成，基金份额持有人的合法授权代表有权代表基金份额持有人出席会议并表决。基金份额持有人持有的每一基金份额拥有平等的投票权。</w:t>
      </w:r>
    </w:p>
    <w:p w14:paraId="167A2F7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本基金份额持有人大会不设日常机构。</w:t>
      </w:r>
    </w:p>
    <w:p w14:paraId="687AFE81" w14:textId="1026CDD1"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一</w:t>
      </w:r>
      <w:r>
        <w:rPr>
          <w:rFonts w:ascii="宋体" w:hAnsi="宋体" w:cs="宋体" w:hint="eastAsia"/>
          <w:kern w:val="0"/>
          <w:sz w:val="24"/>
          <w:szCs w:val="24"/>
        </w:rPr>
        <w:t>）</w:t>
      </w:r>
      <w:r w:rsidR="0024620C">
        <w:rPr>
          <w:rFonts w:ascii="宋体" w:hAnsi="宋体" w:cs="宋体"/>
          <w:kern w:val="0"/>
          <w:sz w:val="24"/>
          <w:szCs w:val="24"/>
        </w:rPr>
        <w:t>召开事由</w:t>
      </w:r>
    </w:p>
    <w:p w14:paraId="51828FC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1、当出现或需要决定下列事由之一的，应当召开基金份额持有人大会，法律法规、中国证监会另有规定或基金合同另有约定的除外：</w:t>
      </w:r>
    </w:p>
    <w:p w14:paraId="18D1A06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（1）终止《基金合同》；</w:t>
      </w:r>
    </w:p>
    <w:p w14:paraId="3D0264B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（2）更换基金管理人；</w:t>
      </w:r>
    </w:p>
    <w:p w14:paraId="1FDF3C5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（3）更换基金托管人；</w:t>
      </w:r>
    </w:p>
    <w:p w14:paraId="5219B5D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（4）转换基金运作方式；</w:t>
      </w:r>
    </w:p>
    <w:p w14:paraId="3F6288D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（5）调整基金管理人、基金托管人的报酬标准或提高销售服务费率；</w:t>
      </w:r>
    </w:p>
    <w:p w14:paraId="4229A59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（6）变更基金类别；</w:t>
      </w:r>
    </w:p>
    <w:p w14:paraId="52C2256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（7）本基金与其他基金的合并；</w:t>
      </w:r>
    </w:p>
    <w:p w14:paraId="7D2216A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（8）变更基金投资目标、范围或策略；</w:t>
      </w:r>
    </w:p>
    <w:p w14:paraId="1FCB883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（9）变更基金份额持有人大会程序；</w:t>
      </w:r>
    </w:p>
    <w:p w14:paraId="5E3487F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（10）基金管理人或基金托管人要求召开基金份额持有人大会；</w:t>
      </w:r>
    </w:p>
    <w:p w14:paraId="205098C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（11）单独或合计持有本基金总份额10%以上（含10%）基金份额的基金份额持有人（以基金管理人收到提议当日的基金份额计算，下同）就同一事项书面要求召开基金份额持有人大会；</w:t>
      </w:r>
    </w:p>
    <w:p w14:paraId="4F01A47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（12）对基金合同当事人权利和义务产生重大影响的其他事项；</w:t>
      </w:r>
    </w:p>
    <w:p w14:paraId="0D0E6BF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（13）法律法规、《基金合同》或中国证监会规定的其他应当召开基金份额持有人大会的事项。</w:t>
      </w:r>
    </w:p>
    <w:p w14:paraId="7D502E8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2、在法律法规规定和《基金合同》约定的范围内且对基金份额持有人利益无实质性不利影响的前提下，以下情况可由基金管理人和基金托管人协商后修改，不需召开基金份额持有人大会：</w:t>
      </w:r>
    </w:p>
    <w:p w14:paraId="0814F3E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（1）法律法规要求增加的基金费用的收取；</w:t>
      </w:r>
    </w:p>
    <w:p w14:paraId="26DE24F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（2）调整本基金的申购费率、调低赎回费率、调低销售服务费率或变更收费方式；</w:t>
      </w:r>
    </w:p>
    <w:p w14:paraId="333CB9C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（3）停止现有基金份额类别的销售或者增加新的基金份额类别等；</w:t>
      </w:r>
    </w:p>
    <w:p w14:paraId="3BAEC00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（4）因相应的法律法规发生变动而应当对《基金合同》进行修改；</w:t>
      </w:r>
    </w:p>
    <w:p w14:paraId="3A0AD9F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（5）基金管理人和基金登记机构等调整或修改《业务规则》，包括但不限于有关基金认购、申购、赎回、转换、非交易过户、转托管等内容；</w:t>
      </w:r>
    </w:p>
    <w:p w14:paraId="4D589C64" w14:textId="7D4D59E2"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（6）对《基金合同》的修改对基金份额持有人利益无实质性不利影响或修改不涉及《基金合同》当事人权利义务关系发生重大变化；</w:t>
      </w:r>
    </w:p>
    <w:p w14:paraId="5B7482FD" w14:textId="39E0BA06"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w:t>
      </w:r>
      <w:r w:rsidR="00EB0EE1">
        <w:rPr>
          <w:rFonts w:ascii="宋体" w:hAnsi="宋体" w:cs="宋体"/>
          <w:kern w:val="0"/>
          <w:sz w:val="24"/>
          <w:szCs w:val="24"/>
        </w:rPr>
        <w:t>在履行适当程序后</w:t>
      </w:r>
      <w:r w:rsidR="00EB0EE1">
        <w:rPr>
          <w:rFonts w:ascii="宋体" w:hAnsi="宋体" w:cs="宋体" w:hint="eastAsia"/>
          <w:kern w:val="0"/>
          <w:sz w:val="24"/>
          <w:szCs w:val="24"/>
        </w:rPr>
        <w:t>，</w:t>
      </w:r>
      <w:r>
        <w:rPr>
          <w:rFonts w:ascii="宋体" w:hAnsi="宋体" w:cs="宋体"/>
          <w:kern w:val="0"/>
          <w:sz w:val="24"/>
          <w:szCs w:val="24"/>
        </w:rPr>
        <w:t>基金推出新业务或服务；</w:t>
      </w:r>
    </w:p>
    <w:p w14:paraId="1FD21BD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（8）基金管理人调整基金收益分配原则；</w:t>
      </w:r>
    </w:p>
    <w:p w14:paraId="5A840C6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（9）按照法律法规和《基金合同》规定不需召开基金份额持有人大会的其他情形。</w:t>
      </w:r>
    </w:p>
    <w:p w14:paraId="16DDD0AC" w14:textId="3BB285D2"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二</w:t>
      </w:r>
      <w:r>
        <w:rPr>
          <w:rFonts w:ascii="宋体" w:hAnsi="宋体" w:cs="宋体" w:hint="eastAsia"/>
          <w:kern w:val="0"/>
          <w:sz w:val="24"/>
          <w:szCs w:val="24"/>
        </w:rPr>
        <w:t>）</w:t>
      </w:r>
      <w:r w:rsidR="0024620C">
        <w:rPr>
          <w:rFonts w:ascii="宋体" w:hAnsi="宋体" w:cs="宋体"/>
          <w:kern w:val="0"/>
          <w:sz w:val="24"/>
          <w:szCs w:val="24"/>
        </w:rPr>
        <w:t>会议召集人及召集方式</w:t>
      </w:r>
    </w:p>
    <w:p w14:paraId="569B21D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1、除法律法规规定或《基金合同》另有约定外，基金份额持有人大会由基金管理人召集。</w:t>
      </w:r>
    </w:p>
    <w:p w14:paraId="186EEAC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2、基金管理人未按规定召集或不能召集时，由基金托管人召集。</w:t>
      </w:r>
    </w:p>
    <w:p w14:paraId="7231F02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3、基金托管人认为有必要召开基金份额持有人大会的，应当向基金管理人提出书面提议。基金管理人应当自收到书面提议之日起10日内决定是否召集，并</w:t>
      </w:r>
      <w:r>
        <w:rPr>
          <w:rFonts w:ascii="宋体" w:hAnsi="宋体" w:cs="宋体"/>
          <w:kern w:val="0"/>
          <w:sz w:val="24"/>
          <w:szCs w:val="24"/>
        </w:rPr>
        <w:lastRenderedPageBreak/>
        <w:t>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00D68E1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4215C95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8D914C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6、基金份额持有人会议的召集人负责选择确定开会时间、地点、方式和权益登记日。</w:t>
      </w:r>
    </w:p>
    <w:p w14:paraId="1AFEC7E6" w14:textId="4AC49A49"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三</w:t>
      </w:r>
      <w:r>
        <w:rPr>
          <w:rFonts w:ascii="宋体" w:hAnsi="宋体" w:cs="宋体" w:hint="eastAsia"/>
          <w:kern w:val="0"/>
          <w:sz w:val="24"/>
          <w:szCs w:val="24"/>
        </w:rPr>
        <w:t>）</w:t>
      </w:r>
      <w:r w:rsidR="0024620C">
        <w:rPr>
          <w:rFonts w:ascii="宋体" w:hAnsi="宋体" w:cs="宋体"/>
          <w:kern w:val="0"/>
          <w:sz w:val="24"/>
          <w:szCs w:val="24"/>
        </w:rPr>
        <w:t>召开基金份额持有人大会的通知时间、通知内容、通知方式</w:t>
      </w:r>
    </w:p>
    <w:p w14:paraId="3B477F7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1、召开基金份额持有人大会，召集人应于会议召开前30日，在规定媒介公告。基金份额持有人大会通知应至少载明以下内容：</w:t>
      </w:r>
    </w:p>
    <w:p w14:paraId="40F2124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（1）会议召开的时间、地点和会议形式；</w:t>
      </w:r>
    </w:p>
    <w:p w14:paraId="21B43F6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（2）会议拟审议的事项、议事程序和表决方式；</w:t>
      </w:r>
    </w:p>
    <w:p w14:paraId="1AF0434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（3）有权出席基金份额持有人大会的基金份额持有人的权益登记日；</w:t>
      </w:r>
    </w:p>
    <w:p w14:paraId="0E52E3B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（4）授权委托证明的内容要求（包括但不限于代理人身份，代理权限和代理有效期限等）、送达时间和地点；</w:t>
      </w:r>
    </w:p>
    <w:p w14:paraId="1CF708A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（5）会务常设联系人姓名及联系电话；</w:t>
      </w:r>
    </w:p>
    <w:p w14:paraId="4C12A27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（6）出席会议者必须准备的文件和必须履行的手续；</w:t>
      </w:r>
    </w:p>
    <w:p w14:paraId="01F0706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（7）召集人需要通知的其他事项。</w:t>
      </w:r>
    </w:p>
    <w:p w14:paraId="0013D9F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149E5A7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14:paraId="1A0231E4" w14:textId="735FC9EB"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四</w:t>
      </w:r>
      <w:r>
        <w:rPr>
          <w:rFonts w:ascii="宋体" w:hAnsi="宋体" w:cs="宋体" w:hint="eastAsia"/>
          <w:kern w:val="0"/>
          <w:sz w:val="24"/>
          <w:szCs w:val="24"/>
        </w:rPr>
        <w:t>）</w:t>
      </w:r>
      <w:r w:rsidR="0024620C">
        <w:rPr>
          <w:rFonts w:ascii="宋体" w:hAnsi="宋体" w:cs="宋体"/>
          <w:kern w:val="0"/>
          <w:sz w:val="24"/>
          <w:szCs w:val="24"/>
        </w:rPr>
        <w:t>基金份额持有人出席会议的方式</w:t>
      </w:r>
    </w:p>
    <w:p w14:paraId="6140C17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基金份额持有人大会可通过现场开会方式、通讯开会方式或法律法规、监管机构允许的其他方式召开，会议的召开方式由会议召集人确定。</w:t>
      </w:r>
    </w:p>
    <w:p w14:paraId="0C4A0AC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0F8CDDC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2A24A81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5B51EFF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2、通讯开会。通讯开会系指基金份额持有人将其对表决事项的投票以书面形</w:t>
      </w:r>
      <w:r>
        <w:rPr>
          <w:rFonts w:ascii="宋体" w:hAnsi="宋体" w:cs="宋体"/>
          <w:kern w:val="0"/>
          <w:sz w:val="24"/>
          <w:szCs w:val="24"/>
        </w:rPr>
        <w:lastRenderedPageBreak/>
        <w:t>式或基金合同约定的其他方式在表决截止日以前送达至召集人指定的地址或系统。通讯开会应以书面方式或基金合同约定的其他方式进行表决。</w:t>
      </w:r>
    </w:p>
    <w:p w14:paraId="716FE6F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在同时符合以下条件时，通讯开会的方式视为有效：</w:t>
      </w:r>
    </w:p>
    <w:p w14:paraId="6CFC84D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（1）会议召集人按《基金合同》约定公布会议通知后，在2个工作日内连续公布相关提示性公告；</w:t>
      </w:r>
    </w:p>
    <w:p w14:paraId="2E80462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0A0F31B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本人直接出具书面意见或授权他人代表出具书面意见的，基金份额持有人所持有的基金份额不小于在权益登记日基金总份额的二分之一（含二分之一）；若本人直接出具书面意见或授权他人代表出具书面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书面意见或授权他人代表出具书面意见；</w:t>
      </w:r>
    </w:p>
    <w:p w14:paraId="03F3D9A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上述第（3）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机构记录相符。</w:t>
      </w:r>
    </w:p>
    <w:p w14:paraId="3CF1CC2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在法律法规和监管机构允许的情况下，本基金亦可采用网络、电话等其他非现场方式或者以非现场方式与现场方式结合的方式召开基金份额持有人大会，或者采用网络、电话或其他方式授权他人代为出席会议并表决，会议程序比照现场开会和通讯方式开会的程序进行。</w:t>
      </w:r>
    </w:p>
    <w:p w14:paraId="233126D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4、在法律法规和监管机构允许的情况下，本基金的基金份额持有人也可以采用其他非书面方式授权其代理人出席基金份额持有人大会。</w:t>
      </w:r>
    </w:p>
    <w:p w14:paraId="2FABF4ED" w14:textId="3CD22FB0"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五</w:t>
      </w:r>
      <w:r>
        <w:rPr>
          <w:rFonts w:ascii="宋体" w:hAnsi="宋体" w:cs="宋体" w:hint="eastAsia"/>
          <w:kern w:val="0"/>
          <w:sz w:val="24"/>
          <w:szCs w:val="24"/>
        </w:rPr>
        <w:t>）</w:t>
      </w:r>
      <w:r w:rsidR="0024620C">
        <w:rPr>
          <w:rFonts w:ascii="宋体" w:hAnsi="宋体" w:cs="宋体"/>
          <w:kern w:val="0"/>
          <w:sz w:val="24"/>
          <w:szCs w:val="24"/>
        </w:rPr>
        <w:t>议事内容与程序</w:t>
      </w:r>
    </w:p>
    <w:p w14:paraId="72DFF45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1、议事内容及提案权</w:t>
      </w:r>
    </w:p>
    <w:p w14:paraId="14AEDD4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36B642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基金份额持有人大会的召集人发出召集会议的通知后，对原有提案的修改应当在基金份额持有人大会召开前及时公告。</w:t>
      </w:r>
    </w:p>
    <w:p w14:paraId="19EEF07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基金份额持有人大会不得对未事先公告的议事内容进行表决。</w:t>
      </w:r>
    </w:p>
    <w:p w14:paraId="7E8B97B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2、议事程序</w:t>
      </w:r>
    </w:p>
    <w:p w14:paraId="4C49025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（1）现场开会</w:t>
      </w:r>
    </w:p>
    <w:p w14:paraId="27EB343F" w14:textId="4A87C4F4"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在现场开会的方式下，首先由大会主持人按照下列第</w:t>
      </w:r>
      <w:r w:rsidR="00616234">
        <w:rPr>
          <w:rFonts w:ascii="宋体" w:hAnsi="宋体" w:cs="宋体" w:hint="eastAsia"/>
          <w:kern w:val="0"/>
          <w:sz w:val="24"/>
          <w:szCs w:val="24"/>
        </w:rPr>
        <w:t>（</w:t>
      </w:r>
      <w:r>
        <w:rPr>
          <w:rFonts w:ascii="宋体" w:hAnsi="宋体" w:cs="宋体"/>
          <w:kern w:val="0"/>
          <w:sz w:val="24"/>
          <w:szCs w:val="24"/>
        </w:rPr>
        <w:t>七</w:t>
      </w:r>
      <w:r w:rsidR="00616234">
        <w:rPr>
          <w:rFonts w:ascii="宋体" w:hAnsi="宋体" w:cs="宋体" w:hint="eastAsia"/>
          <w:kern w:val="0"/>
          <w:sz w:val="24"/>
          <w:szCs w:val="24"/>
        </w:rPr>
        <w:t>）</w:t>
      </w:r>
      <w:r>
        <w:rPr>
          <w:rFonts w:ascii="宋体" w:hAnsi="宋体" w:cs="宋体"/>
          <w:kern w:val="0"/>
          <w:sz w:val="24"/>
          <w:szCs w:val="24"/>
        </w:rPr>
        <w:t>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50%以上（含50%）选举产生一名基金份额持有人作为该次基金份额持有人大会的主持人。基金管理人和基金托管人拒不出席或主持基金份额持有人大会，不影响基金份额持有人大会作出的决议的效力。</w:t>
      </w:r>
    </w:p>
    <w:p w14:paraId="054025A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会议召集人应当制作出席会议人员的签名册。签名册载明参加会议人员姓名（或单位名称）、身份证明文件号码、持有或代表有表决权的基金份额、委托人姓名（或单位名称）和联系方式等事项。</w:t>
      </w:r>
    </w:p>
    <w:p w14:paraId="08F196E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（2）通讯开会</w:t>
      </w:r>
    </w:p>
    <w:p w14:paraId="3736822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在通讯开会的情况下，首先由召集人提前30日公布提案，在所通知的表决截止日期后2个工作日内在公证机关监督下由召集人统计全部有效表决，在公证机关监督下形成决议。</w:t>
      </w:r>
    </w:p>
    <w:p w14:paraId="412B8CB3" w14:textId="667C3B64"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六</w:t>
      </w:r>
      <w:r>
        <w:rPr>
          <w:rFonts w:ascii="宋体" w:hAnsi="宋体" w:cs="宋体" w:hint="eastAsia"/>
          <w:kern w:val="0"/>
          <w:sz w:val="24"/>
          <w:szCs w:val="24"/>
        </w:rPr>
        <w:t>）</w:t>
      </w:r>
      <w:r w:rsidR="0024620C">
        <w:rPr>
          <w:rFonts w:ascii="宋体" w:hAnsi="宋体" w:cs="宋体"/>
          <w:kern w:val="0"/>
          <w:sz w:val="24"/>
          <w:szCs w:val="24"/>
        </w:rPr>
        <w:t>表决</w:t>
      </w:r>
    </w:p>
    <w:p w14:paraId="3EC17EE7"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基金份额持有人所持每份基金份额有一票表决权。</w:t>
      </w:r>
    </w:p>
    <w:p w14:paraId="202E2F86"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基金份额持有人大会决议分为一般决议和特别决议：</w:t>
      </w:r>
    </w:p>
    <w:p w14:paraId="26E1E5B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1、一般决议，一般决议须经参加大会的基金份额持有人或其代理人所持表决</w:t>
      </w:r>
      <w:r>
        <w:rPr>
          <w:rFonts w:ascii="宋体" w:hAnsi="宋体" w:cs="宋体"/>
          <w:kern w:val="0"/>
          <w:sz w:val="24"/>
          <w:szCs w:val="24"/>
        </w:rPr>
        <w:lastRenderedPageBreak/>
        <w:t>权的二分之一以上（含二分之一）通过方为有效；除下列第2项所规定的须以特别决议通过事项以外的其他事项均以一般决议的方式通过。</w:t>
      </w:r>
    </w:p>
    <w:p w14:paraId="4336ACF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特别决议，特别决议应当经参加大会的基金份额持有人或其代理人所持表决权的三分之二以上（含三分之二）通过方可做出。转换基金运作方式、更换基金管理人或者基金托管人、终止《基金合同》、本基金与其他基金合并以特别决议通过方为有效。</w:t>
      </w:r>
    </w:p>
    <w:p w14:paraId="239679D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基金份额持有人大会采取记名方式进行投票表决。</w:t>
      </w:r>
    </w:p>
    <w:p w14:paraId="5ECDEFF8"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1D7BF16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基金份额持有人大会的各项提案或同一项提案内并列的各项议题应当分开审议、逐项表决。</w:t>
      </w:r>
    </w:p>
    <w:p w14:paraId="36E812D8" w14:textId="46FF5DF8"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七</w:t>
      </w:r>
      <w:r>
        <w:rPr>
          <w:rFonts w:ascii="宋体" w:hAnsi="宋体" w:cs="宋体" w:hint="eastAsia"/>
          <w:kern w:val="0"/>
          <w:sz w:val="24"/>
          <w:szCs w:val="24"/>
        </w:rPr>
        <w:t>）</w:t>
      </w:r>
      <w:r w:rsidR="0024620C">
        <w:rPr>
          <w:rFonts w:ascii="宋体" w:hAnsi="宋体" w:cs="宋体"/>
          <w:kern w:val="0"/>
          <w:sz w:val="24"/>
          <w:szCs w:val="24"/>
        </w:rPr>
        <w:t>计票</w:t>
      </w:r>
    </w:p>
    <w:p w14:paraId="0027C4E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1、现场开会</w:t>
      </w:r>
    </w:p>
    <w:p w14:paraId="10BABDD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6711EA1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（2）监票人应当在基金份额持有人表决后立即进行清点并由大会主持人当场公布计票结果。</w:t>
      </w:r>
    </w:p>
    <w:p w14:paraId="354DC49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如果会议主持人或基金份额持有人或代理人对于提交的表决结果有异议，可以在宣布表决结果后立即对所投票数要求进行重新清点。监票人应当进行重新清点，重新清点以一次为限。重新清点后，大会主持人应当当场公布重新清点结果。</w:t>
      </w:r>
    </w:p>
    <w:p w14:paraId="037C5B55"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（4）计票过程应由公证机关予以公证，基金管理人或基金托管人拒不出席大会的，不影响计票的效力。</w:t>
      </w:r>
    </w:p>
    <w:p w14:paraId="54C88A5E"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2、通讯开会</w:t>
      </w:r>
    </w:p>
    <w:p w14:paraId="2C7124B9"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书面表决意见的计票进行监督的，不影响计票和表决结果。</w:t>
      </w:r>
    </w:p>
    <w:p w14:paraId="0B9A8841" w14:textId="4DC4C97C"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八</w:t>
      </w:r>
      <w:r>
        <w:rPr>
          <w:rFonts w:ascii="宋体" w:hAnsi="宋体" w:cs="宋体" w:hint="eastAsia"/>
          <w:kern w:val="0"/>
          <w:sz w:val="24"/>
          <w:szCs w:val="24"/>
        </w:rPr>
        <w:t>）</w:t>
      </w:r>
      <w:r w:rsidR="0024620C">
        <w:rPr>
          <w:rFonts w:ascii="宋体" w:hAnsi="宋体" w:cs="宋体"/>
          <w:kern w:val="0"/>
          <w:sz w:val="24"/>
          <w:szCs w:val="24"/>
        </w:rPr>
        <w:t>生效与公告</w:t>
      </w:r>
    </w:p>
    <w:p w14:paraId="4269DE2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基金份额持有人大会的决议，召集人应当自通过之日起5日内报中国证监会备案。</w:t>
      </w:r>
    </w:p>
    <w:p w14:paraId="727D903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基金份额持有人大会的决议自表决通过之日起生效。</w:t>
      </w:r>
    </w:p>
    <w:p w14:paraId="56131B7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基金份额持有人大会决议自生效之日起2日内在规定媒介上公告。如果采用通讯方式进行表决，在公告基金份额持有人大会决议时，必须将公证书全文、公证机构、公证员姓名等一同公告。</w:t>
      </w:r>
    </w:p>
    <w:p w14:paraId="3612BEEA"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基金管理人、基金托管人和基金份额持有人应当执行生效的基金份额持有人大会的决议。生效的基金份额持有人大会决议对全体基金份额持有人、基金管理人、基金托管人均有约束力。</w:t>
      </w:r>
    </w:p>
    <w:p w14:paraId="0832E071" w14:textId="11728473"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九</w:t>
      </w:r>
      <w:r>
        <w:rPr>
          <w:rFonts w:ascii="宋体" w:hAnsi="宋体" w:cs="宋体" w:hint="eastAsia"/>
          <w:kern w:val="0"/>
          <w:sz w:val="24"/>
          <w:szCs w:val="24"/>
        </w:rPr>
        <w:t>）</w:t>
      </w:r>
      <w:r w:rsidR="0024620C">
        <w:rPr>
          <w:rFonts w:ascii="宋体" w:hAnsi="宋体" w:cs="宋体"/>
          <w:kern w:val="0"/>
          <w:sz w:val="24"/>
          <w:szCs w:val="24"/>
        </w:rPr>
        <w:t>实施侧袋机制期间基金份额持有人大会的特殊约定</w:t>
      </w:r>
    </w:p>
    <w:p w14:paraId="22D902D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7A4E4632"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1、基金份额持有人行使提议权、召集权、提名权所需单独或合计代表相关基金份额10%以上（含10%）；</w:t>
      </w:r>
    </w:p>
    <w:p w14:paraId="27E7DB6F"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2、现场开会的到会者在权益登记日代表的基金份额不少于本基金在权益登记日相关基金份额的二分之一（含二分之一）；</w:t>
      </w:r>
    </w:p>
    <w:p w14:paraId="04DA012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3、通讯开会的直接出具书面意见或授权他人代表出具书面意见的基金份额持有人所持有的基金份额不小于在权益登记日相关基金份额的二分之一（含二分之一）；</w:t>
      </w:r>
    </w:p>
    <w:p w14:paraId="3A69ED43"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lastRenderedPageBreak/>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0CBFE581"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5、现场开会由出席大会的基金份额持有人和代理人所持表决权的50%以上（含50%）选举产生一名基金份额持有人作为该次基金份额持有人大会的主持人；</w:t>
      </w:r>
    </w:p>
    <w:p w14:paraId="38D44840"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6、一般决议须经参加大会的基金份额持有人或其代理人所持表决权的二分之一以上（含二分之一）通过；</w:t>
      </w:r>
    </w:p>
    <w:p w14:paraId="42E4968B"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7、特别决议应当经参加大会的基金份额持有人或其代理人所持表决权的三分之二以上（含三分之二）通过。</w:t>
      </w:r>
    </w:p>
    <w:p w14:paraId="56701D6C"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同一主侧袋账户内的每份基金份额具有平等的表决权。</w:t>
      </w:r>
    </w:p>
    <w:p w14:paraId="2625AAA7" w14:textId="714FE08E" w:rsidR="00586A97" w:rsidRDefault="00616234">
      <w:pPr>
        <w:spacing w:line="360" w:lineRule="auto"/>
        <w:ind w:firstLine="420"/>
        <w:rPr>
          <w:rFonts w:ascii="宋体" w:hAnsi="宋体" w:cs="宋体"/>
          <w:kern w:val="0"/>
          <w:sz w:val="24"/>
          <w:szCs w:val="24"/>
        </w:rPr>
      </w:pPr>
      <w:r>
        <w:rPr>
          <w:rFonts w:ascii="宋体" w:hAnsi="宋体" w:cs="宋体" w:hint="eastAsia"/>
          <w:kern w:val="0"/>
          <w:sz w:val="24"/>
          <w:szCs w:val="24"/>
        </w:rPr>
        <w:t>（</w:t>
      </w:r>
      <w:r w:rsidR="0024620C">
        <w:rPr>
          <w:rFonts w:ascii="宋体" w:hAnsi="宋体" w:cs="宋体"/>
          <w:kern w:val="0"/>
          <w:sz w:val="24"/>
          <w:szCs w:val="24"/>
        </w:rPr>
        <w:t>十</w:t>
      </w:r>
      <w:r>
        <w:rPr>
          <w:rFonts w:ascii="宋体" w:hAnsi="宋体" w:cs="宋体" w:hint="eastAsia"/>
          <w:kern w:val="0"/>
          <w:sz w:val="24"/>
          <w:szCs w:val="24"/>
        </w:rPr>
        <w:t>）</w:t>
      </w:r>
      <w:r w:rsidR="0024620C">
        <w:rPr>
          <w:rFonts w:ascii="宋体" w:hAnsi="宋体" w:cs="宋体"/>
          <w:kern w:val="0"/>
          <w:sz w:val="24"/>
          <w:szCs w:val="24"/>
        </w:rPr>
        <w:t>本部分关于基金份额持有人大会召开事由、召开条件、议事程序、表决条件等规定，凡是直接引用法律法规或监管规则的部分，如将来法律法规或监管规则修改导致相关内容被取消或变更的，基金管理人经与基金托管人协商一致，报监管机构并提前公告后，可直接对本部分内容进行修改和调整，无需召开基金份额持有人大会审议。</w:t>
      </w:r>
    </w:p>
    <w:p w14:paraId="0E108A29" w14:textId="77777777" w:rsidR="00586A97" w:rsidRPr="00E5426A" w:rsidRDefault="0024620C">
      <w:pPr>
        <w:widowControl/>
        <w:shd w:val="clear" w:color="auto" w:fill="FFFFFF"/>
        <w:spacing w:line="360" w:lineRule="atLeast"/>
        <w:ind w:firstLine="420"/>
        <w:jc w:val="left"/>
        <w:rPr>
          <w:rFonts w:ascii="yh" w:eastAsia="yh" w:hAnsi="yh" w:cs="yh"/>
          <w:color w:val="272C36"/>
          <w:kern w:val="0"/>
          <w:sz w:val="24"/>
          <w:szCs w:val="24"/>
        </w:rPr>
      </w:pPr>
      <w:r w:rsidRPr="00E5426A">
        <w:rPr>
          <w:rFonts w:ascii="宋体" w:hAnsi="宋体" w:cs="宋体"/>
          <w:color w:val="272C36"/>
          <w:kern w:val="0"/>
          <w:sz w:val="24"/>
          <w:szCs w:val="24"/>
        </w:rPr>
        <w:t>三、</w:t>
      </w:r>
      <w:r w:rsidRPr="00CE4F60">
        <w:rPr>
          <w:rFonts w:ascii="宋体" w:hAnsi="宋体" w:cs="宋体"/>
          <w:bCs/>
          <w:color w:val="272C36"/>
          <w:kern w:val="0"/>
          <w:sz w:val="24"/>
          <w:szCs w:val="24"/>
        </w:rPr>
        <w:t>基金合同解除和终止的事由、程序以及基金财产清算方式</w:t>
      </w:r>
    </w:p>
    <w:p w14:paraId="2B90F0EE" w14:textId="20668AF1"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一</w:t>
      </w:r>
      <w:r>
        <w:rPr>
          <w:rFonts w:ascii="宋体" w:hAnsi="宋体" w:cs="宋体" w:hint="eastAsia"/>
          <w:color w:val="272C36"/>
          <w:kern w:val="0"/>
          <w:sz w:val="24"/>
          <w:szCs w:val="24"/>
        </w:rPr>
        <w:t>）</w:t>
      </w:r>
      <w:r w:rsidR="0024620C">
        <w:rPr>
          <w:rFonts w:ascii="宋体" w:hAnsi="宋体" w:cs="宋体"/>
          <w:color w:val="272C36"/>
          <w:kern w:val="0"/>
          <w:sz w:val="24"/>
          <w:szCs w:val="24"/>
        </w:rPr>
        <w:t>《基金合同》的变更</w:t>
      </w:r>
    </w:p>
    <w:p w14:paraId="7277B07A"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14:paraId="74BA263D"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2、关于《基金合同》变更的基金份额持有人大会决议自生效后方可执行，自决议生效后两日内在规定媒介公告。</w:t>
      </w:r>
    </w:p>
    <w:p w14:paraId="2459DDFC" w14:textId="18ED13FF"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二</w:t>
      </w:r>
      <w:r>
        <w:rPr>
          <w:rFonts w:ascii="宋体" w:hAnsi="宋体" w:cs="宋体" w:hint="eastAsia"/>
          <w:color w:val="272C36"/>
          <w:kern w:val="0"/>
          <w:sz w:val="24"/>
          <w:szCs w:val="24"/>
        </w:rPr>
        <w:t>）</w:t>
      </w:r>
      <w:r w:rsidR="0024620C">
        <w:rPr>
          <w:rFonts w:ascii="宋体" w:hAnsi="宋体" w:cs="宋体"/>
          <w:color w:val="272C36"/>
          <w:kern w:val="0"/>
          <w:sz w:val="24"/>
          <w:szCs w:val="24"/>
        </w:rPr>
        <w:t>《基金合同》的终止事由</w:t>
      </w:r>
    </w:p>
    <w:p w14:paraId="26A5CEB6"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有下列情形之一的，经履行相关程序后，《基金合同》应当终止：</w:t>
      </w:r>
    </w:p>
    <w:p w14:paraId="41F7DE81"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1、基金份额持有人大会决定终止的；</w:t>
      </w:r>
    </w:p>
    <w:p w14:paraId="5D1FD227"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2、基金管理人、基金托管人职责终止，在6个月内没有新基金管理人、新基金托管人承接的；</w:t>
      </w:r>
    </w:p>
    <w:p w14:paraId="28CE1376"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lastRenderedPageBreak/>
        <w:t>3、《基金合同》约定的其他情形；</w:t>
      </w:r>
    </w:p>
    <w:p w14:paraId="04CD61EC"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4、相关法律法规和中国证监会规定的其他情况。</w:t>
      </w:r>
    </w:p>
    <w:p w14:paraId="56325C38" w14:textId="5A24EC4F"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三</w:t>
      </w:r>
      <w:r>
        <w:rPr>
          <w:rFonts w:ascii="宋体" w:hAnsi="宋体" w:cs="宋体" w:hint="eastAsia"/>
          <w:color w:val="272C36"/>
          <w:kern w:val="0"/>
          <w:sz w:val="24"/>
          <w:szCs w:val="24"/>
        </w:rPr>
        <w:t>）</w:t>
      </w:r>
      <w:r w:rsidR="0024620C">
        <w:rPr>
          <w:rFonts w:ascii="宋体" w:hAnsi="宋体" w:cs="宋体"/>
          <w:color w:val="272C36"/>
          <w:kern w:val="0"/>
          <w:sz w:val="24"/>
          <w:szCs w:val="24"/>
        </w:rPr>
        <w:t>基金财产的清算</w:t>
      </w:r>
    </w:p>
    <w:p w14:paraId="6508C71A"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1、基金财产清算小组：自出现《基金合同》终止事由之日起30个工作日内成立清算小组，基金管理人组织基金财产清算小组并在中国证监会的监督下进行基金清算。</w:t>
      </w:r>
    </w:p>
    <w:p w14:paraId="1CCB2CD4"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2、基金财产清算小组组成：基金财产清算小组成员由基金管理人、基金托管人、符合《中华人民共和国证券法》规定的注册会计师、律师以及中国证监会指定的人员组成。基金财产清算小组可以聘用必要的工作人员。</w:t>
      </w:r>
    </w:p>
    <w:p w14:paraId="39838893"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3、基金财产清算小组职责：基金财产清算小组负责基金财产的保管、清理、估价、变现和分配。基金财产清算小组可以依法进行必要的民事活动。</w:t>
      </w:r>
    </w:p>
    <w:p w14:paraId="061B34CA"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4、基金财产清算程序：</w:t>
      </w:r>
    </w:p>
    <w:p w14:paraId="5CC4E480"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（1）《基金合同》终止情形出现时，由基金财产清算小组统一接管基金；</w:t>
      </w:r>
    </w:p>
    <w:p w14:paraId="087EE868"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（2）对基金财产和债权债务进行清理和确认；</w:t>
      </w:r>
    </w:p>
    <w:p w14:paraId="07A69276"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（3）对基金财产进行估值和变现；</w:t>
      </w:r>
    </w:p>
    <w:p w14:paraId="1C4D6095"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（4）制作清算报告；</w:t>
      </w:r>
    </w:p>
    <w:p w14:paraId="5F7EF1F1"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（5）聘请会计师事务所对清算报告进行外部审计，聘请律师事务所对清算报告出具法律意见书；</w:t>
      </w:r>
    </w:p>
    <w:p w14:paraId="2414A523"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（6）将清算报告报中国证监会备案并公告；</w:t>
      </w:r>
    </w:p>
    <w:p w14:paraId="470FE97C"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（7）对基金剩余财产进行分配。</w:t>
      </w:r>
    </w:p>
    <w:p w14:paraId="487D159C"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5、基金财产清算的期限为6个月，但因本基金所持证券的流动性受到限制而不能及时变现的，清算期限相应顺延。</w:t>
      </w:r>
    </w:p>
    <w:p w14:paraId="01B2DA2B" w14:textId="558A8843"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四</w:t>
      </w:r>
      <w:r>
        <w:rPr>
          <w:rFonts w:ascii="宋体" w:hAnsi="宋体" w:cs="宋体" w:hint="eastAsia"/>
          <w:color w:val="272C36"/>
          <w:kern w:val="0"/>
          <w:sz w:val="24"/>
          <w:szCs w:val="24"/>
        </w:rPr>
        <w:t>）</w:t>
      </w:r>
      <w:r w:rsidR="0024620C">
        <w:rPr>
          <w:rFonts w:ascii="宋体" w:hAnsi="宋体" w:cs="宋体"/>
          <w:color w:val="272C36"/>
          <w:kern w:val="0"/>
          <w:sz w:val="24"/>
          <w:szCs w:val="24"/>
        </w:rPr>
        <w:t>清算费用</w:t>
      </w:r>
    </w:p>
    <w:p w14:paraId="45684497"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清算费用是指基金财产清算小组在进行基金财产清算过程中发生的所有合理费用，清算费用由基金财产清算小组优先从基金财产中支付。</w:t>
      </w:r>
    </w:p>
    <w:p w14:paraId="4C1C2BB3" w14:textId="3E9A4BF4"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五</w:t>
      </w:r>
      <w:r>
        <w:rPr>
          <w:rFonts w:ascii="宋体" w:hAnsi="宋体" w:cs="宋体" w:hint="eastAsia"/>
          <w:color w:val="272C36"/>
          <w:kern w:val="0"/>
          <w:sz w:val="24"/>
          <w:szCs w:val="24"/>
        </w:rPr>
        <w:t>）</w:t>
      </w:r>
      <w:r w:rsidR="0024620C">
        <w:rPr>
          <w:rFonts w:ascii="宋体" w:hAnsi="宋体" w:cs="宋体"/>
          <w:color w:val="272C36"/>
          <w:kern w:val="0"/>
          <w:sz w:val="24"/>
          <w:szCs w:val="24"/>
        </w:rPr>
        <w:t>基金财产清算剩余资产的分配</w:t>
      </w:r>
    </w:p>
    <w:p w14:paraId="6FC55082"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依据基金财产清算的分配方案，将基金财产清算后的全部剩余资产扣除基金财产清算费用、交纳所欠税款并清偿基金债务后，按基金份额持有人持有的基金份额比例进行分配。</w:t>
      </w:r>
    </w:p>
    <w:p w14:paraId="7FAE8D4C" w14:textId="4060B2C5"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lastRenderedPageBreak/>
        <w:t>（</w:t>
      </w:r>
      <w:r w:rsidR="0024620C">
        <w:rPr>
          <w:rFonts w:ascii="宋体" w:hAnsi="宋体" w:cs="宋体"/>
          <w:color w:val="272C36"/>
          <w:kern w:val="0"/>
          <w:sz w:val="24"/>
          <w:szCs w:val="24"/>
        </w:rPr>
        <w:t>六</w:t>
      </w:r>
      <w:r>
        <w:rPr>
          <w:rFonts w:ascii="宋体" w:hAnsi="宋体" w:cs="宋体" w:hint="eastAsia"/>
          <w:color w:val="272C36"/>
          <w:kern w:val="0"/>
          <w:sz w:val="24"/>
          <w:szCs w:val="24"/>
        </w:rPr>
        <w:t>）</w:t>
      </w:r>
      <w:r w:rsidR="0024620C">
        <w:rPr>
          <w:rFonts w:ascii="宋体" w:hAnsi="宋体" w:cs="宋体"/>
          <w:color w:val="272C36"/>
          <w:kern w:val="0"/>
          <w:sz w:val="24"/>
          <w:szCs w:val="24"/>
        </w:rPr>
        <w:t>基金财产清算的公告</w:t>
      </w:r>
    </w:p>
    <w:p w14:paraId="666FA966"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64C29395" w14:textId="51238735" w:rsidR="00586A97" w:rsidRDefault="00616234">
      <w:pPr>
        <w:shd w:val="clear" w:color="auto" w:fill="FFFFFF"/>
        <w:spacing w:line="360" w:lineRule="auto"/>
        <w:ind w:firstLine="420"/>
        <w:rPr>
          <w:rFonts w:ascii="宋体" w:hAnsi="宋体" w:cs="宋体"/>
          <w:color w:val="272C36"/>
          <w:kern w:val="0"/>
          <w:sz w:val="24"/>
          <w:szCs w:val="24"/>
        </w:rPr>
      </w:pPr>
      <w:r>
        <w:rPr>
          <w:rFonts w:ascii="宋体" w:hAnsi="宋体" w:cs="宋体" w:hint="eastAsia"/>
          <w:color w:val="272C36"/>
          <w:kern w:val="0"/>
          <w:sz w:val="24"/>
          <w:szCs w:val="24"/>
        </w:rPr>
        <w:t>（</w:t>
      </w:r>
      <w:r w:rsidR="0024620C">
        <w:rPr>
          <w:rFonts w:ascii="宋体" w:hAnsi="宋体" w:cs="宋体"/>
          <w:color w:val="272C36"/>
          <w:kern w:val="0"/>
          <w:sz w:val="24"/>
          <w:szCs w:val="24"/>
        </w:rPr>
        <w:t>七</w:t>
      </w:r>
      <w:r>
        <w:rPr>
          <w:rFonts w:ascii="宋体" w:hAnsi="宋体" w:cs="宋体" w:hint="eastAsia"/>
          <w:color w:val="272C36"/>
          <w:kern w:val="0"/>
          <w:sz w:val="24"/>
          <w:szCs w:val="24"/>
        </w:rPr>
        <w:t>）</w:t>
      </w:r>
      <w:r w:rsidR="0024620C">
        <w:rPr>
          <w:rFonts w:ascii="宋体" w:hAnsi="宋体" w:cs="宋体"/>
          <w:color w:val="272C36"/>
          <w:kern w:val="0"/>
          <w:sz w:val="24"/>
          <w:szCs w:val="24"/>
        </w:rPr>
        <w:t>基金财产清算账册及文件的保存</w:t>
      </w:r>
    </w:p>
    <w:p w14:paraId="17A499B1" w14:textId="77777777" w:rsidR="00586A97" w:rsidRDefault="0024620C">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基金财产清算账册及有关文件由基金托管人保存，保存期限不少于法定最低期限。</w:t>
      </w:r>
    </w:p>
    <w:p w14:paraId="20A8D79F" w14:textId="77777777" w:rsidR="00586A97" w:rsidRPr="00CE4F60" w:rsidRDefault="0024620C" w:rsidP="00CE4F60">
      <w:pPr>
        <w:shd w:val="clear" w:color="auto" w:fill="FFFFFF"/>
        <w:spacing w:line="360" w:lineRule="auto"/>
        <w:ind w:firstLine="420"/>
        <w:rPr>
          <w:rFonts w:ascii="宋体" w:hAnsi="宋体" w:cs="宋体"/>
          <w:color w:val="272C36"/>
          <w:kern w:val="0"/>
          <w:sz w:val="24"/>
          <w:szCs w:val="24"/>
        </w:rPr>
      </w:pPr>
      <w:r>
        <w:rPr>
          <w:rFonts w:ascii="宋体" w:hAnsi="宋体" w:cs="宋体"/>
          <w:color w:val="272C36"/>
          <w:kern w:val="0"/>
          <w:sz w:val="24"/>
          <w:szCs w:val="24"/>
        </w:rPr>
        <w:t>四、</w:t>
      </w:r>
      <w:r w:rsidRPr="00CE4F60">
        <w:rPr>
          <w:rFonts w:ascii="宋体" w:hAnsi="宋体" w:cs="宋体"/>
          <w:color w:val="272C36"/>
          <w:kern w:val="0"/>
          <w:sz w:val="24"/>
          <w:szCs w:val="24"/>
        </w:rPr>
        <w:t>争议解决方式</w:t>
      </w:r>
    </w:p>
    <w:p w14:paraId="6D044B61" w14:textId="77777777" w:rsidR="009F3C29" w:rsidRPr="00CE4F60" w:rsidRDefault="009F3C29" w:rsidP="00CE4F60">
      <w:pPr>
        <w:shd w:val="clear" w:color="auto" w:fill="FFFFFF"/>
        <w:spacing w:line="360" w:lineRule="auto"/>
        <w:ind w:firstLine="420"/>
        <w:rPr>
          <w:rFonts w:ascii="宋体" w:hAnsi="宋体" w:cs="宋体"/>
          <w:color w:val="272C36"/>
          <w:kern w:val="0"/>
          <w:sz w:val="24"/>
          <w:szCs w:val="24"/>
        </w:rPr>
      </w:pPr>
      <w:r w:rsidRPr="00CE4F60">
        <w:rPr>
          <w:rFonts w:ascii="宋体" w:hAnsi="宋体" w:cs="宋体"/>
          <w:color w:val="272C36"/>
          <w:kern w:val="0"/>
          <w:sz w:val="24"/>
          <w:szCs w:val="24"/>
        </w:rPr>
        <w:t>各方当事人同意，因《基金合同》而产生的或与《基金合同》有关的一切争议可通过友好协商或者调解解决，如未能协商或者调解解决的，任何一方均有权将争议提交</w:t>
      </w:r>
      <w:r w:rsidRPr="00CE4F60">
        <w:rPr>
          <w:rFonts w:ascii="宋体" w:hAnsi="宋体" w:cs="宋体" w:hint="eastAsia"/>
          <w:color w:val="272C36"/>
          <w:kern w:val="0"/>
          <w:sz w:val="24"/>
          <w:szCs w:val="24"/>
        </w:rPr>
        <w:t>中国国际经济贸易仲裁委员会，</w:t>
      </w:r>
      <w:r w:rsidRPr="00CE4F60">
        <w:rPr>
          <w:rFonts w:ascii="宋体" w:hAnsi="宋体" w:cs="宋体"/>
          <w:color w:val="272C36"/>
          <w:kern w:val="0"/>
          <w:sz w:val="24"/>
          <w:szCs w:val="24"/>
        </w:rPr>
        <w:t>按照该会届时有效的仲裁规则进行仲裁，仲裁地点为北京市。仲裁裁决是终局的，对各方当事人均有约束力，除非仲裁裁决另有决定，仲裁费用由败诉方承担。</w:t>
      </w:r>
    </w:p>
    <w:p w14:paraId="58CCBBC7" w14:textId="77777777" w:rsidR="009F3C29" w:rsidRPr="00CE4F60" w:rsidRDefault="009F3C29" w:rsidP="00CE4F60">
      <w:pPr>
        <w:shd w:val="clear" w:color="auto" w:fill="FFFFFF"/>
        <w:spacing w:line="360" w:lineRule="auto"/>
        <w:ind w:firstLine="420"/>
        <w:rPr>
          <w:rFonts w:ascii="宋体" w:hAnsi="宋体" w:cs="宋体"/>
          <w:color w:val="272C36"/>
          <w:kern w:val="0"/>
          <w:sz w:val="24"/>
          <w:szCs w:val="24"/>
        </w:rPr>
      </w:pPr>
      <w:r w:rsidRPr="00CE4F60">
        <w:rPr>
          <w:rFonts w:ascii="宋体" w:hAnsi="宋体" w:cs="宋体"/>
          <w:color w:val="272C36"/>
          <w:kern w:val="0"/>
          <w:sz w:val="24"/>
          <w:szCs w:val="24"/>
        </w:rPr>
        <w:t>争议处理期间，基金合同当事人应恪守各自的职责，继续忠实、勤勉、尽责地履行基金合同规定的义务，维护基金份额持有人的合法权益。</w:t>
      </w:r>
    </w:p>
    <w:p w14:paraId="414C9EBB" w14:textId="77777777" w:rsidR="009F3C29" w:rsidRPr="00CE4F60" w:rsidRDefault="009F3C29" w:rsidP="00CE4F60">
      <w:pPr>
        <w:shd w:val="clear" w:color="auto" w:fill="FFFFFF"/>
        <w:spacing w:line="360" w:lineRule="auto"/>
        <w:ind w:firstLine="420"/>
        <w:rPr>
          <w:rFonts w:ascii="宋体" w:hAnsi="宋体" w:cs="宋体"/>
          <w:color w:val="272C36"/>
          <w:kern w:val="0"/>
          <w:sz w:val="24"/>
          <w:szCs w:val="24"/>
        </w:rPr>
      </w:pPr>
      <w:r w:rsidRPr="00CE4F60">
        <w:rPr>
          <w:rFonts w:ascii="宋体" w:hAnsi="宋体" w:cs="宋体"/>
          <w:color w:val="272C36"/>
          <w:kern w:val="0"/>
          <w:sz w:val="24"/>
          <w:szCs w:val="24"/>
        </w:rPr>
        <w:t>《基金合同》受中国法律（为本基金合同之目的，在此不包括香港、澳门特别行政区和台湾地区法律）管辖。</w:t>
      </w:r>
    </w:p>
    <w:p w14:paraId="27DA75B5" w14:textId="77777777" w:rsidR="00586A97" w:rsidRPr="00CE4F60" w:rsidRDefault="0024620C" w:rsidP="00CE4F60">
      <w:pPr>
        <w:shd w:val="clear" w:color="auto" w:fill="FFFFFF"/>
        <w:spacing w:line="360" w:lineRule="auto"/>
        <w:ind w:firstLine="420"/>
        <w:rPr>
          <w:rFonts w:ascii="宋体" w:hAnsi="宋体" w:cs="宋体"/>
          <w:color w:val="272C36"/>
          <w:kern w:val="0"/>
          <w:sz w:val="24"/>
          <w:szCs w:val="24"/>
        </w:rPr>
      </w:pPr>
      <w:r w:rsidRPr="00CE4F60">
        <w:rPr>
          <w:rFonts w:ascii="宋体" w:hAnsi="宋体" w:cs="宋体"/>
          <w:color w:val="272C36"/>
          <w:kern w:val="0"/>
          <w:sz w:val="24"/>
          <w:szCs w:val="24"/>
        </w:rPr>
        <w:t>五、基金合同存放地和投资者取得基金合同的方式</w:t>
      </w:r>
    </w:p>
    <w:p w14:paraId="02E25E33" w14:textId="77777777" w:rsidR="00586A97" w:rsidRDefault="0024620C" w:rsidP="00CE4F60">
      <w:pPr>
        <w:shd w:val="clear" w:color="auto" w:fill="FFFFFF"/>
        <w:spacing w:line="360" w:lineRule="auto"/>
        <w:ind w:firstLine="420"/>
        <w:rPr>
          <w:rFonts w:ascii="宋体" w:hAnsi="宋体" w:cs="宋体"/>
          <w:kern w:val="0"/>
          <w:sz w:val="24"/>
          <w:szCs w:val="24"/>
        </w:rPr>
      </w:pPr>
      <w:r w:rsidRPr="00CE4F60">
        <w:rPr>
          <w:rFonts w:ascii="宋体" w:hAnsi="宋体" w:cs="宋体"/>
          <w:color w:val="272C36"/>
          <w:kern w:val="0"/>
          <w:sz w:val="24"/>
          <w:szCs w:val="24"/>
        </w:rPr>
        <w:t>《基金合同》可印制成册，供投资者在基金管理人、基金</w:t>
      </w:r>
      <w:r>
        <w:rPr>
          <w:rFonts w:ascii="宋体" w:hAnsi="宋体" w:cs="宋体"/>
          <w:kern w:val="0"/>
          <w:sz w:val="24"/>
          <w:szCs w:val="24"/>
        </w:rPr>
        <w:t>托管人、销售机构的办公场所和营业场所查阅。</w:t>
      </w:r>
    </w:p>
    <w:p w14:paraId="41447BE8"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7B5241A8" w14:textId="029B6B90" w:rsidR="009912D6" w:rsidRDefault="0024620C" w:rsidP="009912D6">
      <w:pPr>
        <w:pStyle w:val="1"/>
        <w:spacing w:before="0" w:after="0"/>
        <w:jc w:val="center"/>
        <w:rPr>
          <w:rFonts w:ascii="Times New Roman"/>
          <w:color w:val="auto"/>
          <w:sz w:val="30"/>
        </w:rPr>
      </w:pPr>
      <w:bookmarkStart w:id="49" w:name="_Toc135000357"/>
      <w:r w:rsidRPr="009E26D0">
        <w:rPr>
          <w:rFonts w:ascii="Times New Roman"/>
          <w:color w:val="auto"/>
          <w:sz w:val="30"/>
        </w:rPr>
        <w:lastRenderedPageBreak/>
        <w:t>第二十</w:t>
      </w:r>
      <w:r w:rsidR="00120661">
        <w:rPr>
          <w:rFonts w:ascii="Times New Roman"/>
          <w:color w:val="auto"/>
          <w:sz w:val="30"/>
        </w:rPr>
        <w:t>一</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托管协议的内容摘要</w:t>
      </w:r>
      <w:bookmarkEnd w:id="49"/>
    </w:p>
    <w:p w14:paraId="1DADBABA" w14:textId="77777777" w:rsidR="009912D6" w:rsidRPr="0017353E" w:rsidRDefault="009912D6" w:rsidP="009912D6"/>
    <w:p w14:paraId="2CE12C3E" w14:textId="77777777" w:rsidR="0015752E" w:rsidRPr="00CE4F60" w:rsidRDefault="0015752E" w:rsidP="0015752E">
      <w:pPr>
        <w:spacing w:line="360" w:lineRule="auto"/>
        <w:ind w:left="420"/>
        <w:jc w:val="left"/>
        <w:rPr>
          <w:rFonts w:ascii="宋体" w:hAnsi="宋体" w:cs="宋体"/>
          <w:kern w:val="0"/>
          <w:sz w:val="24"/>
          <w:szCs w:val="24"/>
        </w:rPr>
      </w:pPr>
      <w:bookmarkStart w:id="50" w:name="_Hlk114517613"/>
      <w:r w:rsidRPr="00CE4F60">
        <w:rPr>
          <w:rFonts w:ascii="宋体" w:hAnsi="宋体" w:cs="宋体"/>
          <w:kern w:val="0"/>
          <w:sz w:val="24"/>
          <w:szCs w:val="24"/>
        </w:rPr>
        <w:t>一、</w:t>
      </w:r>
      <w:r w:rsidR="0024620C" w:rsidRPr="00CE4F60">
        <w:rPr>
          <w:rFonts w:ascii="宋体" w:hAnsi="宋体" w:cs="宋体"/>
          <w:kern w:val="0"/>
          <w:sz w:val="24"/>
          <w:szCs w:val="24"/>
        </w:rPr>
        <w:t>基金托管协议当事人</w:t>
      </w:r>
    </w:p>
    <w:p w14:paraId="556B029D"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（一）基金管理人</w:t>
      </w:r>
    </w:p>
    <w:p w14:paraId="055034CE"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名称：汇添富基金管理股份有限公司</w:t>
      </w:r>
    </w:p>
    <w:p w14:paraId="7106684C" w14:textId="2F1CBF9E" w:rsidR="0015752E" w:rsidRPr="0015752E" w:rsidRDefault="00B60103" w:rsidP="0015752E">
      <w:pPr>
        <w:spacing w:line="360" w:lineRule="auto"/>
        <w:ind w:left="420"/>
        <w:jc w:val="left"/>
        <w:rPr>
          <w:rFonts w:ascii="宋体" w:hAnsi="宋体" w:cs="宋体"/>
          <w:kern w:val="0"/>
          <w:sz w:val="24"/>
          <w:szCs w:val="24"/>
        </w:rPr>
      </w:pPr>
      <w:r>
        <w:rPr>
          <w:rFonts w:ascii="宋体" w:hAnsi="宋体" w:cs="宋体" w:hint="eastAsia"/>
          <w:kern w:val="0"/>
          <w:sz w:val="24"/>
          <w:szCs w:val="24"/>
        </w:rPr>
        <w:t>住所</w:t>
      </w:r>
      <w:r w:rsidR="0015752E" w:rsidRPr="0015752E">
        <w:rPr>
          <w:rFonts w:ascii="宋体" w:hAnsi="宋体" w:cs="宋体" w:hint="eastAsia"/>
          <w:kern w:val="0"/>
          <w:sz w:val="24"/>
          <w:szCs w:val="24"/>
        </w:rPr>
        <w:t>：上海市黄浦区北京东路666号H区（东座）6楼H686室</w:t>
      </w:r>
    </w:p>
    <w:p w14:paraId="72F0551D"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法定代表人：李文</w:t>
      </w:r>
    </w:p>
    <w:p w14:paraId="08FE2DE7" w14:textId="3029409C"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成立</w:t>
      </w:r>
      <w:r w:rsidR="00B60103">
        <w:rPr>
          <w:rFonts w:ascii="宋体" w:hAnsi="宋体" w:cs="宋体" w:hint="eastAsia"/>
          <w:kern w:val="0"/>
          <w:sz w:val="24"/>
          <w:szCs w:val="24"/>
        </w:rPr>
        <w:t>时间</w:t>
      </w:r>
      <w:r w:rsidRPr="0015752E">
        <w:rPr>
          <w:rFonts w:ascii="宋体" w:hAnsi="宋体" w:cs="宋体" w:hint="eastAsia"/>
          <w:kern w:val="0"/>
          <w:sz w:val="24"/>
          <w:szCs w:val="24"/>
        </w:rPr>
        <w:t>：2005年2月3日</w:t>
      </w:r>
    </w:p>
    <w:p w14:paraId="1A33ADD8"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批准设立机关及批准设立文号：中国证监会证监基金字【2005】5号</w:t>
      </w:r>
    </w:p>
    <w:p w14:paraId="7833EE24"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注册资本：人民币132,724,224元</w:t>
      </w:r>
    </w:p>
    <w:p w14:paraId="347C2F27" w14:textId="77777777" w:rsidR="00B60103" w:rsidRPr="00B60103" w:rsidRDefault="00B60103" w:rsidP="00B60103">
      <w:pPr>
        <w:spacing w:line="360" w:lineRule="auto"/>
        <w:ind w:left="420"/>
        <w:jc w:val="left"/>
        <w:rPr>
          <w:rFonts w:ascii="宋体" w:hAnsi="宋体" w:cs="宋体"/>
          <w:kern w:val="0"/>
          <w:sz w:val="24"/>
          <w:szCs w:val="24"/>
        </w:rPr>
      </w:pPr>
      <w:r w:rsidRPr="00B60103">
        <w:rPr>
          <w:rFonts w:ascii="宋体" w:hAnsi="宋体" w:cs="宋体" w:hint="eastAsia"/>
          <w:kern w:val="0"/>
          <w:sz w:val="24"/>
          <w:szCs w:val="24"/>
        </w:rPr>
        <w:t>组织形式：股份有限公司</w:t>
      </w:r>
    </w:p>
    <w:p w14:paraId="7617C147" w14:textId="77777777"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经营范围：基金募集、基金销售、资产管理以及经中国证监会许可的其他业务。</w:t>
      </w:r>
    </w:p>
    <w:p w14:paraId="1DB7F67B" w14:textId="77777777" w:rsidR="00B60103" w:rsidRPr="00B60103" w:rsidRDefault="00B60103" w:rsidP="00B60103">
      <w:pPr>
        <w:spacing w:line="360" w:lineRule="auto"/>
        <w:ind w:left="420"/>
        <w:jc w:val="left"/>
        <w:rPr>
          <w:rFonts w:ascii="宋体" w:hAnsi="宋体" w:cs="宋体"/>
          <w:kern w:val="0"/>
          <w:sz w:val="24"/>
          <w:szCs w:val="24"/>
        </w:rPr>
      </w:pPr>
      <w:r w:rsidRPr="00B60103">
        <w:rPr>
          <w:rFonts w:ascii="宋体" w:hAnsi="宋体" w:cs="宋体" w:hint="eastAsia"/>
          <w:kern w:val="0"/>
          <w:sz w:val="24"/>
          <w:szCs w:val="24"/>
        </w:rPr>
        <w:t>存续期间：持续经营</w:t>
      </w:r>
    </w:p>
    <w:p w14:paraId="01045B9A" w14:textId="77777777" w:rsidR="001A0882" w:rsidRDefault="00B60103" w:rsidP="0015752E">
      <w:pPr>
        <w:spacing w:line="360" w:lineRule="auto"/>
        <w:ind w:left="420"/>
        <w:jc w:val="left"/>
        <w:rPr>
          <w:rFonts w:ascii="宋体" w:hAnsi="宋体" w:cs="宋体"/>
          <w:bCs/>
          <w:kern w:val="0"/>
          <w:sz w:val="24"/>
          <w:szCs w:val="24"/>
        </w:rPr>
      </w:pPr>
      <w:r w:rsidRPr="00B60103">
        <w:rPr>
          <w:rFonts w:ascii="宋体" w:hAnsi="宋体" w:cs="宋体" w:hint="eastAsia"/>
          <w:kern w:val="0"/>
          <w:sz w:val="24"/>
          <w:szCs w:val="24"/>
        </w:rPr>
        <w:t>联系电话：</w:t>
      </w:r>
      <w:r w:rsidRPr="00B60103">
        <w:rPr>
          <w:rFonts w:ascii="宋体" w:hAnsi="宋体" w:cs="宋体" w:hint="eastAsia"/>
          <w:bCs/>
          <w:kern w:val="0"/>
          <w:sz w:val="24"/>
          <w:szCs w:val="24"/>
        </w:rPr>
        <w:t>（021）28932888</w:t>
      </w:r>
    </w:p>
    <w:p w14:paraId="085EA606" w14:textId="1FF47A4B" w:rsidR="0015752E" w:rsidRPr="0015752E" w:rsidRDefault="0015752E" w:rsidP="0015752E">
      <w:pPr>
        <w:spacing w:line="360" w:lineRule="auto"/>
        <w:ind w:left="420"/>
        <w:jc w:val="left"/>
        <w:rPr>
          <w:rFonts w:ascii="宋体" w:hAnsi="宋体" w:cs="宋体"/>
          <w:kern w:val="0"/>
          <w:sz w:val="24"/>
          <w:szCs w:val="24"/>
        </w:rPr>
      </w:pPr>
      <w:r w:rsidRPr="0015752E">
        <w:rPr>
          <w:rFonts w:ascii="宋体" w:hAnsi="宋体" w:cs="宋体" w:hint="eastAsia"/>
          <w:kern w:val="0"/>
          <w:sz w:val="24"/>
          <w:szCs w:val="24"/>
        </w:rPr>
        <w:t>（二）基金托管人</w:t>
      </w:r>
    </w:p>
    <w:p w14:paraId="06489628"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名称：中国工商银行股份有限公司</w:t>
      </w:r>
    </w:p>
    <w:p w14:paraId="29B52FDC"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住所：北京市西城区复兴门内大街</w:t>
      </w:r>
      <w:r>
        <w:rPr>
          <w:rFonts w:ascii="宋体" w:hAnsi="宋体"/>
          <w:sz w:val="24"/>
        </w:rPr>
        <w:t>55</w:t>
      </w:r>
      <w:r>
        <w:rPr>
          <w:rFonts w:ascii="宋体" w:hAnsi="宋体" w:hint="eastAsia"/>
          <w:sz w:val="24"/>
        </w:rPr>
        <w:t>号（100032）</w:t>
      </w:r>
    </w:p>
    <w:p w14:paraId="26F9CEA9"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法定代表人：陈四清</w:t>
      </w:r>
    </w:p>
    <w:p w14:paraId="5879E4A9"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5799</w:t>
      </w:r>
    </w:p>
    <w:p w14:paraId="57461B3C"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5798</w:t>
      </w:r>
    </w:p>
    <w:p w14:paraId="378F9F98"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联系人：郭明</w:t>
      </w:r>
    </w:p>
    <w:p w14:paraId="1BEA590C"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成立时间：</w:t>
      </w:r>
      <w:r>
        <w:rPr>
          <w:rFonts w:ascii="宋体" w:hAnsi="宋体"/>
          <w:sz w:val="24"/>
        </w:rPr>
        <w:t>1984</w:t>
      </w:r>
      <w:r>
        <w:rPr>
          <w:rFonts w:ascii="宋体" w:hAnsi="宋体" w:hint="eastAsia"/>
          <w:sz w:val="24"/>
        </w:rPr>
        <w:t>年</w:t>
      </w:r>
      <w:r>
        <w:rPr>
          <w:rFonts w:ascii="宋体" w:hAnsi="宋体"/>
          <w:sz w:val="24"/>
        </w:rPr>
        <w:t>1</w:t>
      </w:r>
      <w:r>
        <w:rPr>
          <w:rFonts w:ascii="宋体" w:hAnsi="宋体" w:hint="eastAsia"/>
          <w:sz w:val="24"/>
        </w:rPr>
        <w:t>月</w:t>
      </w:r>
      <w:r>
        <w:rPr>
          <w:rFonts w:ascii="宋体" w:hAnsi="宋体"/>
          <w:sz w:val="24"/>
        </w:rPr>
        <w:t>1</w:t>
      </w:r>
      <w:r>
        <w:rPr>
          <w:rFonts w:ascii="宋体" w:hAnsi="宋体" w:hint="eastAsia"/>
          <w:sz w:val="24"/>
        </w:rPr>
        <w:t>日</w:t>
      </w:r>
    </w:p>
    <w:p w14:paraId="0866D823"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组织形式：股份有限公司</w:t>
      </w:r>
    </w:p>
    <w:p w14:paraId="6C7E61B9"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注册资本：人民币</w:t>
      </w:r>
      <w:r w:rsidRPr="00EB5E8C">
        <w:rPr>
          <w:rFonts w:ascii="宋体" w:hAnsi="宋体"/>
          <w:sz w:val="24"/>
        </w:rPr>
        <w:t>35,640,625.71</w:t>
      </w:r>
      <w:r>
        <w:rPr>
          <w:rFonts w:ascii="宋体" w:cs="宋体" w:hint="eastAsia"/>
          <w:color w:val="10000A"/>
          <w:kern w:val="0"/>
          <w:sz w:val="24"/>
        </w:rPr>
        <w:t>万</w:t>
      </w:r>
      <w:r>
        <w:rPr>
          <w:rFonts w:ascii="宋体" w:hAnsi="宋体" w:hint="eastAsia"/>
          <w:sz w:val="24"/>
        </w:rPr>
        <w:t>元</w:t>
      </w:r>
    </w:p>
    <w:p w14:paraId="4777DA16" w14:textId="77777777" w:rsidR="006812F6" w:rsidRDefault="006812F6" w:rsidP="006812F6">
      <w:pPr>
        <w:spacing w:line="360" w:lineRule="auto"/>
        <w:ind w:firstLineChars="200" w:firstLine="480"/>
        <w:rPr>
          <w:rFonts w:ascii="宋体" w:hAnsi="宋体"/>
          <w:sz w:val="24"/>
          <w:szCs w:val="21"/>
        </w:rPr>
      </w:pPr>
      <w:r>
        <w:rPr>
          <w:rFonts w:ascii="宋体" w:hAnsi="宋体" w:hint="eastAsia"/>
          <w:sz w:val="24"/>
        </w:rPr>
        <w:t>批准设立机关和设立文号：国务院《关于中国人民银行专门行使中央银行职能的决定》</w:t>
      </w:r>
      <w:r>
        <w:rPr>
          <w:rFonts w:ascii="宋体" w:hAnsi="宋体" w:hint="eastAsia"/>
          <w:sz w:val="24"/>
          <w:szCs w:val="21"/>
        </w:rPr>
        <w:t>（国发[1983]146号）</w:t>
      </w:r>
    </w:p>
    <w:p w14:paraId="5BF65CC6"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存续期间：持续经营</w:t>
      </w:r>
    </w:p>
    <w:p w14:paraId="15520F85" w14:textId="77777777" w:rsidR="006812F6" w:rsidRDefault="006812F6" w:rsidP="006812F6">
      <w:pPr>
        <w:spacing w:line="360" w:lineRule="auto"/>
        <w:ind w:firstLineChars="200" w:firstLine="480"/>
        <w:rPr>
          <w:rFonts w:ascii="宋体" w:hAnsi="宋体"/>
          <w:sz w:val="24"/>
        </w:rPr>
      </w:pPr>
      <w:r>
        <w:rPr>
          <w:rFonts w:ascii="宋体" w:hAnsi="宋体" w:hint="eastAsia"/>
          <w:sz w:val="24"/>
        </w:rPr>
        <w:t>经营范围：办理人民币存款、贷款、同业拆借业务；国内外结算；办理票据</w:t>
      </w:r>
      <w:r>
        <w:rPr>
          <w:rFonts w:ascii="宋体" w:hAnsi="宋体" w:hint="eastAsia"/>
          <w:sz w:val="24"/>
        </w:rPr>
        <w:lastRenderedPageBreak/>
        <w:t>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625D5C1A" w14:textId="77777777" w:rsidR="00586A97" w:rsidRPr="00CE4F60" w:rsidRDefault="0024620C">
      <w:pPr>
        <w:spacing w:line="360" w:lineRule="auto"/>
        <w:ind w:firstLine="420"/>
        <w:jc w:val="left"/>
        <w:rPr>
          <w:rFonts w:ascii="宋体" w:hAnsi="宋体" w:cs="宋体"/>
          <w:kern w:val="0"/>
          <w:sz w:val="24"/>
          <w:szCs w:val="24"/>
        </w:rPr>
      </w:pPr>
      <w:r w:rsidRPr="00CE4F60">
        <w:rPr>
          <w:rFonts w:ascii="宋体" w:hAnsi="宋体" w:cs="宋体"/>
          <w:kern w:val="0"/>
          <w:sz w:val="24"/>
          <w:szCs w:val="24"/>
        </w:rPr>
        <w:t>二、基金托管人对基金管理人的业务监督和核查</w:t>
      </w:r>
    </w:p>
    <w:p w14:paraId="706E01AC" w14:textId="77777777" w:rsidR="00C704FB" w:rsidRPr="00CE4F60" w:rsidRDefault="00C704FB" w:rsidP="00CE4F60">
      <w:pPr>
        <w:spacing w:line="360" w:lineRule="auto"/>
        <w:ind w:firstLineChars="200" w:firstLine="480"/>
        <w:rPr>
          <w:rFonts w:ascii="宋体" w:hAnsi="宋体"/>
          <w:b/>
          <w:sz w:val="24"/>
        </w:rPr>
      </w:pPr>
      <w:r w:rsidRPr="001500CA">
        <w:rPr>
          <w:rFonts w:ascii="宋体" w:hAnsi="宋体" w:hint="eastAsia"/>
          <w:sz w:val="24"/>
        </w:rPr>
        <w:t>（一）基金托管人对基金管理人的投资行为行使监督权</w:t>
      </w:r>
    </w:p>
    <w:p w14:paraId="474329FB" w14:textId="77777777" w:rsidR="00C704FB" w:rsidRPr="00280FD1" w:rsidRDefault="00C704FB" w:rsidP="00CE4F60">
      <w:pPr>
        <w:spacing w:line="360" w:lineRule="auto"/>
        <w:ind w:firstLineChars="200" w:firstLine="480"/>
        <w:rPr>
          <w:rFonts w:ascii="宋体" w:hAnsi="宋体"/>
          <w:sz w:val="24"/>
        </w:rPr>
      </w:pPr>
      <w:r w:rsidRPr="001500CA">
        <w:rPr>
          <w:rFonts w:ascii="宋体" w:hAnsi="宋体"/>
          <w:sz w:val="24"/>
        </w:rPr>
        <w:t>1</w:t>
      </w:r>
      <w:r w:rsidRPr="001C49D4">
        <w:rPr>
          <w:rFonts w:ascii="宋体" w:hAnsi="宋体"/>
          <w:sz w:val="24"/>
        </w:rPr>
        <w:t>、基金托管人根据有关法律法规的规定和《基金合同》的约定，对下述基金投资范围、投资对象进行监督。</w:t>
      </w:r>
    </w:p>
    <w:p w14:paraId="76AE5DD1"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hint="eastAsia"/>
          <w:sz w:val="24"/>
        </w:rPr>
        <w:t>本基金的投资范围为具有良好流动性的金融工具，包括国内依法发行上市的股票（含主板、创业板及其他经中国证监会允许上市的股票、存托凭证）、港股通标的股票、债券（包括国债、央行票据、金融债券、企业债券、公司债券、中期票据、短期融资券、超短期融资券、次级债券、政府支持债券、政府支持机构债券、地方政府债券、可交换债券、可转换债券（含分离交易可转债）及其他经中国证监会允许投资的债券）、国债期货、资产支持证券、债券回购、同业存单、银行存款（包含协议存款、定期存款及其他银行存款）、货币市场工具以及法律法规或中国证监会允许基金投资的其他金融工具</w:t>
      </w:r>
      <w:r w:rsidRPr="00CE4F60">
        <w:rPr>
          <w:rFonts w:ascii="宋体" w:hAnsi="宋体"/>
          <w:sz w:val="24"/>
        </w:rPr>
        <w:t>(但须符合中国证监会相关规定)。</w:t>
      </w:r>
    </w:p>
    <w:p w14:paraId="1A5220C0" w14:textId="77777777" w:rsidR="00C704FB" w:rsidRDefault="00C704FB" w:rsidP="00CE4F60">
      <w:pPr>
        <w:spacing w:line="360" w:lineRule="auto"/>
        <w:ind w:firstLineChars="200" w:firstLine="480"/>
        <w:rPr>
          <w:rFonts w:ascii="宋体" w:hAnsi="宋体"/>
          <w:sz w:val="24"/>
        </w:rPr>
      </w:pPr>
      <w:r w:rsidRPr="00CE4F60">
        <w:rPr>
          <w:rFonts w:ascii="宋体" w:hAnsi="宋体" w:hint="eastAsia"/>
          <w:sz w:val="24"/>
        </w:rPr>
        <w:t>如法律法规或监管机构以后允许基金投资其他品种，基金管理人在履行适当程序后，可以将其纳入投资范围。</w:t>
      </w:r>
    </w:p>
    <w:p w14:paraId="5BBF291C"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本基金不得投资于</w:t>
      </w:r>
      <w:r w:rsidRPr="00CE4F60">
        <w:rPr>
          <w:rFonts w:ascii="宋体" w:hAnsi="宋体" w:hint="eastAsia"/>
          <w:sz w:val="24"/>
        </w:rPr>
        <w:t>相关法律、法规、部门规章及《基金合同》禁止投资的投资工具</w:t>
      </w:r>
      <w:r w:rsidRPr="00CE4F60">
        <w:rPr>
          <w:rFonts w:ascii="宋体" w:hAnsi="宋体"/>
          <w:sz w:val="24"/>
        </w:rPr>
        <w:t>。</w:t>
      </w:r>
    </w:p>
    <w:p w14:paraId="4F98FC53" w14:textId="77777777" w:rsidR="00C704FB" w:rsidRPr="00280FD1" w:rsidRDefault="00C704FB" w:rsidP="00CE4F60">
      <w:pPr>
        <w:spacing w:line="360" w:lineRule="auto"/>
        <w:ind w:firstLineChars="200" w:firstLine="480"/>
        <w:rPr>
          <w:rFonts w:ascii="宋体" w:hAnsi="宋体"/>
          <w:sz w:val="24"/>
        </w:rPr>
      </w:pPr>
      <w:r w:rsidRPr="001500CA">
        <w:rPr>
          <w:rFonts w:ascii="宋体" w:hAnsi="宋体"/>
          <w:sz w:val="24"/>
        </w:rPr>
        <w:t>2</w:t>
      </w:r>
      <w:r w:rsidRPr="001C49D4">
        <w:rPr>
          <w:rFonts w:ascii="宋体" w:hAnsi="宋体"/>
          <w:sz w:val="24"/>
        </w:rPr>
        <w:t>、基金托管人根据有关法律法规的规定及《基金合同》的约定对下述基金</w:t>
      </w:r>
      <w:r w:rsidRPr="001C49D4">
        <w:rPr>
          <w:rFonts w:ascii="宋体" w:hAnsi="宋体"/>
          <w:sz w:val="24"/>
        </w:rPr>
        <w:lastRenderedPageBreak/>
        <w:t>投资比例进行监督：</w:t>
      </w:r>
    </w:p>
    <w:p w14:paraId="3B14DE3C" w14:textId="77777777" w:rsidR="00C704FB" w:rsidRPr="00F70422" w:rsidRDefault="00C704FB" w:rsidP="00CE4F60">
      <w:pPr>
        <w:spacing w:line="360" w:lineRule="auto"/>
        <w:ind w:firstLineChars="200" w:firstLine="480"/>
        <w:rPr>
          <w:rFonts w:ascii="宋体" w:hAnsi="宋体"/>
          <w:sz w:val="24"/>
        </w:rPr>
      </w:pPr>
      <w:r w:rsidRPr="00135287">
        <w:rPr>
          <w:rFonts w:ascii="宋体" w:hAnsi="宋体" w:hint="eastAsia"/>
          <w:sz w:val="24"/>
        </w:rPr>
        <w:t>本基金投资于债券资产的比例不低于基金资产的</w:t>
      </w:r>
      <w:r w:rsidRPr="00367248">
        <w:rPr>
          <w:rFonts w:ascii="宋体" w:hAnsi="宋体"/>
          <w:sz w:val="24"/>
        </w:rPr>
        <w:t>80%</w:t>
      </w:r>
      <w:r w:rsidRPr="00F70422">
        <w:rPr>
          <w:rFonts w:ascii="宋体" w:hAnsi="宋体"/>
          <w:sz w:val="24"/>
        </w:rPr>
        <w:t>，投资于股票（含港股通标的股票）、可转债与可交债的比例合并计算后不得超过基金资产的20%，其中，投资于港股通标的股票的比例不超过股票资产的50%。每个交易日日终在扣除国债期货合约需缴纳的交易保证金后，本基金保留的现金或投资于到期日在一年以内的政府债券的比例合计不低于基金资产净值的5%。其中现金不包括结算备付金、存出保证金、应收申购款等。</w:t>
      </w:r>
    </w:p>
    <w:p w14:paraId="2A9E74B9" w14:textId="77777777" w:rsidR="00C704FB" w:rsidRPr="00F70422" w:rsidRDefault="00C704FB" w:rsidP="00C704FB">
      <w:pPr>
        <w:spacing w:line="360" w:lineRule="auto"/>
        <w:ind w:firstLineChars="200" w:firstLine="480"/>
        <w:rPr>
          <w:rFonts w:ascii="宋体" w:hAnsi="宋体"/>
          <w:sz w:val="24"/>
        </w:rPr>
      </w:pPr>
      <w:r w:rsidRPr="00F70422">
        <w:rPr>
          <w:rFonts w:ascii="宋体" w:hAnsi="宋体" w:hint="eastAsia"/>
          <w:sz w:val="24"/>
        </w:rPr>
        <w:t>如法律法规或监管机构变更投资品种的投资比例限制，基金管理人在履行适当程序后，可以调整上述投资品种的投资比例。</w:t>
      </w:r>
    </w:p>
    <w:p w14:paraId="1BF09747" w14:textId="77777777" w:rsidR="00C704FB" w:rsidRDefault="00C704FB" w:rsidP="00CE4F60">
      <w:pPr>
        <w:spacing w:line="360" w:lineRule="auto"/>
        <w:ind w:firstLineChars="200" w:firstLine="480"/>
        <w:rPr>
          <w:rFonts w:ascii="宋体" w:hAnsi="宋体"/>
          <w:sz w:val="24"/>
        </w:rPr>
      </w:pPr>
      <w:r w:rsidRPr="00CE4F60">
        <w:rPr>
          <w:rFonts w:ascii="宋体" w:hAnsi="宋体" w:hint="eastAsia"/>
          <w:sz w:val="24"/>
        </w:rPr>
        <w:t>（</w:t>
      </w:r>
      <w:r w:rsidRPr="00CE4F60">
        <w:rPr>
          <w:rFonts w:ascii="宋体" w:hAnsi="宋体"/>
          <w:sz w:val="24"/>
        </w:rPr>
        <w:t>2</w:t>
      </w:r>
      <w:r w:rsidRPr="00CE4F60">
        <w:rPr>
          <w:rFonts w:ascii="宋体" w:hAnsi="宋体" w:hint="eastAsia"/>
          <w:sz w:val="24"/>
        </w:rPr>
        <w:t>）</w:t>
      </w:r>
      <w:r>
        <w:rPr>
          <w:rFonts w:ascii="宋体" w:hAnsi="宋体" w:hint="eastAsia"/>
          <w:sz w:val="24"/>
        </w:rPr>
        <w:t xml:space="preserve">根据法律法规的规定及《基金合同》的约定，本基金投资组合遵循以下投资限制： </w:t>
      </w:r>
    </w:p>
    <w:p w14:paraId="77E84FDD"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1）本基金投资于债券资产的比例不低于基金资产的80%；投资于股票</w:t>
      </w:r>
      <w:r w:rsidRPr="00CE4F60">
        <w:rPr>
          <w:rFonts w:ascii="宋体" w:hAnsi="宋体" w:hint="eastAsia"/>
          <w:sz w:val="24"/>
        </w:rPr>
        <w:t>（含港股通标的股票）、</w:t>
      </w:r>
      <w:r w:rsidRPr="00CE4F60">
        <w:rPr>
          <w:rFonts w:ascii="宋体" w:hAnsi="宋体"/>
          <w:sz w:val="24"/>
        </w:rPr>
        <w:t>可转债</w:t>
      </w:r>
      <w:r w:rsidRPr="00CE4F60">
        <w:rPr>
          <w:rFonts w:ascii="宋体" w:hAnsi="宋体" w:hint="eastAsia"/>
          <w:sz w:val="24"/>
        </w:rPr>
        <w:t>与</w:t>
      </w:r>
      <w:r w:rsidRPr="00CE4F60">
        <w:rPr>
          <w:rFonts w:ascii="宋体" w:hAnsi="宋体"/>
          <w:sz w:val="24"/>
        </w:rPr>
        <w:t>可交债的比例合并计算后不得超过基金资产的20%，其中，投资于港股通标的股票的比例不超过股票资产的50%；</w:t>
      </w:r>
    </w:p>
    <w:p w14:paraId="264CBFA8"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2）每个交易日日终在扣除国债期货合约需缴纳的交易保证金后，本基金保留的现金或投资于到期日在一年以内的政府债券的比例合计不低于基金资产净值的5%。其中现金不包括结算备付金、存出保证金和应收申购款等；</w:t>
      </w:r>
    </w:p>
    <w:p w14:paraId="696158EF"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3）本基金持有一家公司发行的证券（同一家公司在内地和香港同时上市的A+H股合并计算），其市值不超过基金资产净值的10％；</w:t>
      </w:r>
    </w:p>
    <w:p w14:paraId="569DBEE9" w14:textId="2CA16D22"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4）本基金管理人管理的</w:t>
      </w:r>
      <w:r w:rsidR="005A75C9">
        <w:rPr>
          <w:rFonts w:ascii="宋体" w:hAnsi="宋体"/>
          <w:sz w:val="24"/>
        </w:rPr>
        <w:t>且由本基金托管人托管的</w:t>
      </w:r>
      <w:r w:rsidRPr="00CE4F60">
        <w:rPr>
          <w:rFonts w:ascii="宋体" w:hAnsi="宋体"/>
          <w:sz w:val="24"/>
        </w:rPr>
        <w:t>全部基金持有一家公司发行的证券（同一家公司在内地和香港同时上市的A+H股合并计算），不超过该证券的10％，完全按照有关指数的构成比例进行证券投资的基金品种可以不受此条款规定的比例限制；</w:t>
      </w:r>
    </w:p>
    <w:p w14:paraId="7CB1D4AC"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5）本基金投资于同一原始权益人的各类资产支持证券的比例，不得超过基金资产净值的10％；</w:t>
      </w:r>
    </w:p>
    <w:p w14:paraId="4D38B721"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6）本基金持有的全部资产支持证券，其市值不得超过基金资产净值的20％；</w:t>
      </w:r>
    </w:p>
    <w:p w14:paraId="13D65584"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7）本基金持有的同一</w:t>
      </w:r>
      <w:r w:rsidRPr="00CE4F60">
        <w:rPr>
          <w:rFonts w:ascii="宋体" w:hAnsi="宋体" w:hint="eastAsia"/>
          <w:sz w:val="24"/>
        </w:rPr>
        <w:t>（</w:t>
      </w:r>
      <w:r w:rsidRPr="00CE4F60">
        <w:rPr>
          <w:rFonts w:ascii="宋体" w:hAnsi="宋体"/>
          <w:sz w:val="24"/>
        </w:rPr>
        <w:t>指同一信用级别</w:t>
      </w:r>
      <w:r w:rsidRPr="00CE4F60">
        <w:rPr>
          <w:rFonts w:ascii="宋体" w:hAnsi="宋体" w:hint="eastAsia"/>
          <w:sz w:val="24"/>
        </w:rPr>
        <w:t>）</w:t>
      </w:r>
      <w:r w:rsidRPr="00CE4F60">
        <w:rPr>
          <w:rFonts w:ascii="宋体" w:hAnsi="宋体"/>
          <w:sz w:val="24"/>
        </w:rPr>
        <w:t>资产支持证券的比例，不得超过该资产支持证券规模的10％；</w:t>
      </w:r>
    </w:p>
    <w:p w14:paraId="209B6B58" w14:textId="10857436"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8）本基金管理人管理的</w:t>
      </w:r>
      <w:r w:rsidR="005A75C9">
        <w:rPr>
          <w:rFonts w:ascii="宋体" w:hAnsi="宋体"/>
          <w:sz w:val="24"/>
        </w:rPr>
        <w:t>且由本基金托管人托管的</w:t>
      </w:r>
      <w:r w:rsidRPr="00CE4F60">
        <w:rPr>
          <w:rFonts w:ascii="宋体" w:hAnsi="宋体"/>
          <w:sz w:val="24"/>
        </w:rPr>
        <w:t>全部基金投资于同一原始</w:t>
      </w:r>
      <w:r w:rsidRPr="00CE4F60">
        <w:rPr>
          <w:rFonts w:ascii="宋体" w:hAnsi="宋体"/>
          <w:sz w:val="24"/>
        </w:rPr>
        <w:lastRenderedPageBreak/>
        <w:t>权益人的各类资产支持证券，不得超过其各类资产支持证券合计规模的10％；</w:t>
      </w:r>
    </w:p>
    <w:p w14:paraId="0571BFE7"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9）基金财产参与股票发行申购，本基金所申报的金额不超过本基金的总资产，本基金所申报的股票数量不超过拟发行股票公司本次发行股票的总量；</w:t>
      </w:r>
    </w:p>
    <w:p w14:paraId="77DBA57B" w14:textId="536033E0" w:rsidR="00C704FB" w:rsidRPr="006053E5" w:rsidRDefault="00C704FB" w:rsidP="006053E5">
      <w:pPr>
        <w:spacing w:line="360" w:lineRule="auto"/>
        <w:ind w:firstLine="420"/>
        <w:rPr>
          <w:rFonts w:ascii="宋体" w:hAnsi="宋体" w:cs="宋体"/>
          <w:kern w:val="0"/>
          <w:sz w:val="24"/>
          <w:szCs w:val="24"/>
        </w:rPr>
      </w:pPr>
      <w:r w:rsidRPr="00CE4F60">
        <w:rPr>
          <w:rFonts w:ascii="宋体" w:hAnsi="宋体"/>
          <w:sz w:val="24"/>
        </w:rPr>
        <w:t>10）</w:t>
      </w:r>
      <w:r w:rsidR="00EB0EE1" w:rsidRPr="00D966FC">
        <w:rPr>
          <w:rFonts w:ascii="宋体" w:hAnsi="宋体" w:cs="宋体" w:hint="eastAsia"/>
          <w:kern w:val="0"/>
          <w:sz w:val="24"/>
          <w:szCs w:val="24"/>
        </w:rPr>
        <w:t>本基金进入全国银行间同业市场进行债券回购的资金余额不得超过基金资产净值的40%</w:t>
      </w:r>
      <w:r w:rsidR="00EB0EE1">
        <w:rPr>
          <w:rFonts w:ascii="宋体" w:hAnsi="宋体" w:cs="宋体" w:hint="eastAsia"/>
          <w:kern w:val="0"/>
          <w:sz w:val="24"/>
          <w:szCs w:val="24"/>
        </w:rPr>
        <w:t>，</w:t>
      </w:r>
      <w:r w:rsidRPr="00CE4F60">
        <w:rPr>
          <w:rFonts w:ascii="宋体" w:hAnsi="宋体"/>
          <w:sz w:val="24"/>
        </w:rPr>
        <w:t>本基金进入全国银行间同业市场进行债券回购的最长期限为1年，债券回购到期后不得展期；</w:t>
      </w:r>
    </w:p>
    <w:p w14:paraId="40685219" w14:textId="1412330C"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11）本基金管理人管理的</w:t>
      </w:r>
      <w:r w:rsidR="005A75C9">
        <w:rPr>
          <w:rFonts w:ascii="宋体" w:hAnsi="宋体"/>
          <w:sz w:val="24"/>
        </w:rPr>
        <w:t>且由本基金托管人托管的</w:t>
      </w:r>
      <w:r w:rsidRPr="00CE4F60">
        <w:rPr>
          <w:rFonts w:ascii="宋体" w:hAnsi="宋体"/>
          <w:sz w:val="24"/>
        </w:rPr>
        <w:t>全部开放式基金持有一家上市公司发行的可流通股票，不得超过该上市公司可流通股票的15%；本基金管理人管理的</w:t>
      </w:r>
      <w:r w:rsidR="005A75C9">
        <w:rPr>
          <w:rFonts w:ascii="宋体" w:hAnsi="宋体"/>
          <w:sz w:val="24"/>
        </w:rPr>
        <w:t>且由本基金托管人托管的</w:t>
      </w:r>
      <w:r w:rsidRPr="00CE4F60">
        <w:rPr>
          <w:rFonts w:ascii="宋体" w:hAnsi="宋体"/>
          <w:sz w:val="24"/>
        </w:rPr>
        <w:t>全部投资组合持有一家上市公司发行的可流通股票，不得超过该上市公司可流通股票的30%；完全按照有关指数的构成比例进行证券投资的开放式基金以及中国证监会认定的特殊投资组合可不受前述比例限制；</w:t>
      </w:r>
    </w:p>
    <w:p w14:paraId="7D227101"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12）本基金主动投资于流动性受限资产的市值合计不得超过本基金资产净值的15%；因证券市场波动、上市公司股票停牌、基金规模变动等基金管理人之外的因素致使基金不符合该比例限制的，基金管理人不得主动新增流动性受限资产的投资；</w:t>
      </w:r>
    </w:p>
    <w:p w14:paraId="2D563118"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13）本基金与私募类证券资管产品及中国证监会认定的其他主体为交易对手开展逆回购交易的，可接受质押品的资质要求应当与基金合同约定的投资范围保持一致；</w:t>
      </w:r>
    </w:p>
    <w:p w14:paraId="5EA637C4"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14）本基金资产总值不超过基金资产净值的140%；</w:t>
      </w:r>
    </w:p>
    <w:p w14:paraId="29B63013"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15）本基金参与国债期货交易的，应当遵守下列要求：</w:t>
      </w:r>
    </w:p>
    <w:p w14:paraId="4D5F0286"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a.本基金在任何交易日日终，持有的买入国债期货合约价值，不得超过基金资产净值的15%；</w:t>
      </w:r>
    </w:p>
    <w:p w14:paraId="50F09C4E"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b.本基金在任何交易日日终，持有的卖出国债期货合约价值不得超过基金持有的债券总市值的30%；</w:t>
      </w:r>
    </w:p>
    <w:p w14:paraId="39A93D12"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c.本基金所持有的债券（不含到期日在一年以内的政府债券）市值和买入、卖出国债期货合约价值，合计（轧差计算）应当符合基金合同关于债券投资比例的有关约定；</w:t>
      </w:r>
    </w:p>
    <w:p w14:paraId="2C98A21F"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d.</w:t>
      </w:r>
      <w:r w:rsidRPr="00CE4F60">
        <w:rPr>
          <w:rFonts w:ascii="宋体" w:hAnsi="宋体" w:hint="eastAsia"/>
          <w:sz w:val="24"/>
        </w:rPr>
        <w:t>基金在任何交易日内交易（不包括平仓）的国债期货合约的成交金额不得</w:t>
      </w:r>
      <w:r w:rsidRPr="00CE4F60">
        <w:rPr>
          <w:rFonts w:ascii="宋体" w:hAnsi="宋体" w:hint="eastAsia"/>
          <w:sz w:val="24"/>
        </w:rPr>
        <w:lastRenderedPageBreak/>
        <w:t>超过上一交易日基金资产净值的</w:t>
      </w:r>
      <w:r w:rsidRPr="00CE4F60">
        <w:rPr>
          <w:rFonts w:ascii="宋体" w:hAnsi="宋体"/>
          <w:sz w:val="24"/>
        </w:rPr>
        <w:t>30%；</w:t>
      </w:r>
    </w:p>
    <w:p w14:paraId="1B524523" w14:textId="13D18E28"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16）本基金投资存托凭证的比例限制依照境内上市交易的股票执行。</w:t>
      </w:r>
    </w:p>
    <w:p w14:paraId="3E330A62" w14:textId="77777777" w:rsidR="00C704FB" w:rsidRPr="00CE4F60" w:rsidRDefault="00C704FB" w:rsidP="00CE4F60">
      <w:pPr>
        <w:spacing w:line="360" w:lineRule="auto"/>
        <w:ind w:firstLineChars="200" w:firstLine="480"/>
        <w:rPr>
          <w:rFonts w:ascii="宋体" w:hAnsi="宋体"/>
          <w:sz w:val="24"/>
        </w:rPr>
      </w:pPr>
      <w:r>
        <w:rPr>
          <w:rFonts w:ascii="宋体" w:hAnsi="宋体" w:hint="eastAsia"/>
          <w:sz w:val="24"/>
        </w:rPr>
        <w:t>（3）法规允许的基金投资比例调整期限</w:t>
      </w:r>
    </w:p>
    <w:p w14:paraId="4722340F" w14:textId="77777777" w:rsidR="00C704FB" w:rsidRPr="00CE4F60" w:rsidRDefault="00C704FB" w:rsidP="00C704FB">
      <w:pPr>
        <w:spacing w:line="360" w:lineRule="auto"/>
        <w:ind w:firstLineChars="200" w:firstLine="480"/>
        <w:rPr>
          <w:rFonts w:ascii="宋体" w:hAnsi="宋体"/>
          <w:sz w:val="24"/>
        </w:rPr>
      </w:pPr>
      <w:r w:rsidRPr="00CE4F60">
        <w:rPr>
          <w:rFonts w:ascii="宋体" w:hAnsi="宋体"/>
          <w:sz w:val="24"/>
        </w:rPr>
        <w:t>除上述2）、12）、13）情形之外，因证券/期货市场波动、证券发行人合并、基金规模变动等基金管理人之外的因素致使基金投资比例不符合上述规定投资比例的，基金管理人应当在10个交易日内进行调整，但中国证监会规定的特殊情形除外。</w:t>
      </w:r>
    </w:p>
    <w:p w14:paraId="0633F0DB" w14:textId="6947405D"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基金管理人应当自基金合同生效之日起6个月内使基金的投资组合比例符合基金合同的有关约定。在上述期间内，本基金的投资范围应当符合基金合同的约定。基金托管人对基金的投资的监督与检查自基金合同生效之日起开始。</w:t>
      </w:r>
    </w:p>
    <w:p w14:paraId="11ABA707" w14:textId="77777777" w:rsidR="00C704FB" w:rsidRDefault="00C704FB" w:rsidP="00C704FB">
      <w:pPr>
        <w:spacing w:line="360" w:lineRule="auto"/>
        <w:ind w:firstLineChars="200" w:firstLine="480"/>
        <w:rPr>
          <w:rFonts w:ascii="宋体" w:hAnsi="宋体"/>
          <w:sz w:val="24"/>
        </w:rPr>
      </w:pPr>
      <w:r w:rsidRPr="003B2742">
        <w:rPr>
          <w:rFonts w:ascii="宋体" w:hAnsi="宋体" w:hint="eastAsia"/>
          <w:sz w:val="24"/>
        </w:rPr>
        <w:t>法律法规或监管部门取消或调整上述限制，如适用于本基金，基金管理人在履行适当程序后，则本基金投资不再受相关限制或以调整以后的规定为准。</w:t>
      </w:r>
    </w:p>
    <w:p w14:paraId="01336421" w14:textId="77777777" w:rsidR="00C704FB" w:rsidRPr="00CE4F60" w:rsidRDefault="00C704FB" w:rsidP="00C704FB">
      <w:pPr>
        <w:spacing w:line="360" w:lineRule="auto"/>
        <w:ind w:firstLineChars="200" w:firstLine="480"/>
        <w:rPr>
          <w:rFonts w:ascii="宋体" w:hAnsi="宋体"/>
          <w:sz w:val="24"/>
        </w:rPr>
      </w:pPr>
      <w:r>
        <w:rPr>
          <w:rFonts w:ascii="宋体" w:hAnsi="宋体" w:hint="eastAsia"/>
          <w:sz w:val="24"/>
        </w:rPr>
        <w:t>基金管理人知晓基金托管人投资监督职责的履行受外部数据来源或系统开发等因素影响，基金管理人应为基金托管人系统调整预留所需的合理必要时间。</w:t>
      </w:r>
    </w:p>
    <w:p w14:paraId="2B94FC63" w14:textId="77777777" w:rsidR="00C704FB" w:rsidRPr="001500CA" w:rsidRDefault="00C704FB" w:rsidP="00CE4F60">
      <w:pPr>
        <w:spacing w:line="360" w:lineRule="auto"/>
        <w:ind w:firstLineChars="200" w:firstLine="480"/>
        <w:rPr>
          <w:rFonts w:ascii="宋体" w:hAnsi="宋体"/>
          <w:sz w:val="24"/>
        </w:rPr>
      </w:pPr>
      <w:r w:rsidRPr="00CE4F60">
        <w:rPr>
          <w:rFonts w:ascii="宋体" w:hAnsi="宋体" w:hint="eastAsia"/>
          <w:sz w:val="24"/>
        </w:rPr>
        <w:t>基金管理人应在出现可预见资产规模大幅变动的情况下，至少提前</w:t>
      </w:r>
      <w:r w:rsidRPr="00CE4F60">
        <w:rPr>
          <w:rFonts w:ascii="宋体" w:hAnsi="宋体"/>
          <w:sz w:val="24"/>
        </w:rPr>
        <w:t>2</w:t>
      </w:r>
      <w:r w:rsidRPr="00CE4F60">
        <w:rPr>
          <w:rFonts w:ascii="宋体" w:hAnsi="宋体" w:hint="eastAsia"/>
          <w:sz w:val="24"/>
        </w:rPr>
        <w:t>个工作日正式向基金托管人发函说明基金可能变动规模和公司应对措施，便于基金托管人实施交易监督。</w:t>
      </w:r>
    </w:p>
    <w:p w14:paraId="0DA336DD" w14:textId="77777777" w:rsidR="00C704FB" w:rsidRPr="00367248" w:rsidRDefault="00C704FB" w:rsidP="00CE4F60">
      <w:pPr>
        <w:spacing w:line="360" w:lineRule="auto"/>
        <w:ind w:firstLineChars="200" w:firstLine="480"/>
        <w:rPr>
          <w:rFonts w:ascii="宋体" w:hAnsi="宋体"/>
          <w:sz w:val="24"/>
        </w:rPr>
      </w:pPr>
      <w:r w:rsidRPr="001C49D4">
        <w:rPr>
          <w:rFonts w:ascii="宋体" w:hAnsi="宋体"/>
          <w:sz w:val="24"/>
        </w:rPr>
        <w:t>3</w:t>
      </w:r>
      <w:r w:rsidRPr="00280FD1">
        <w:rPr>
          <w:rFonts w:ascii="宋体" w:hAnsi="宋体"/>
          <w:sz w:val="24"/>
        </w:rPr>
        <w:t>、基金托管人根据有关法律法规的规定及《基金合同》的约定对下述基金投资禁止行为进行监督：</w:t>
      </w:r>
      <w:r w:rsidRPr="00135287">
        <w:rPr>
          <w:rFonts w:ascii="宋体" w:hAnsi="宋体"/>
          <w:sz w:val="24"/>
        </w:rPr>
        <w:t xml:space="preserve"> </w:t>
      </w:r>
    </w:p>
    <w:p w14:paraId="497C738B" w14:textId="77777777" w:rsidR="00C704FB" w:rsidRDefault="00C704FB" w:rsidP="00CE4F60">
      <w:pPr>
        <w:spacing w:line="360" w:lineRule="auto"/>
        <w:ind w:firstLineChars="200" w:firstLine="480"/>
        <w:rPr>
          <w:rFonts w:ascii="宋体" w:hAnsi="宋体"/>
          <w:sz w:val="24"/>
        </w:rPr>
      </w:pPr>
      <w:r>
        <w:rPr>
          <w:rFonts w:ascii="宋体" w:hAnsi="宋体" w:hint="eastAsia"/>
          <w:sz w:val="24"/>
        </w:rPr>
        <w:t>根据法律法规的规定及《基金合同》的约定，本基金禁止从事下列行为：</w:t>
      </w:r>
    </w:p>
    <w:p w14:paraId="466986FB"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（1）承销证券；</w:t>
      </w:r>
    </w:p>
    <w:p w14:paraId="596C277E"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（2）违反规定向他人贷款或者提供担保；</w:t>
      </w:r>
    </w:p>
    <w:p w14:paraId="25340496"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（3）从事承担无限责任的投资；</w:t>
      </w:r>
    </w:p>
    <w:p w14:paraId="57A0B2FA"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（4）买卖其他基金份额，但是中国证监会另有规定的除外；</w:t>
      </w:r>
    </w:p>
    <w:p w14:paraId="16ED437A" w14:textId="6E2B384B" w:rsidR="00C704FB" w:rsidRPr="00CE4F60" w:rsidRDefault="00C704FB" w:rsidP="00CE4F60">
      <w:pPr>
        <w:spacing w:line="360" w:lineRule="auto"/>
        <w:ind w:firstLineChars="200" w:firstLine="480"/>
        <w:rPr>
          <w:rFonts w:ascii="宋体" w:hAnsi="宋体"/>
          <w:sz w:val="24"/>
        </w:rPr>
      </w:pPr>
      <w:r w:rsidRPr="00CE4F60">
        <w:rPr>
          <w:rFonts w:ascii="宋体" w:hAnsi="宋体"/>
          <w:sz w:val="24"/>
        </w:rPr>
        <w:t>（5）向其基金管理人、基金托管人出资。</w:t>
      </w:r>
    </w:p>
    <w:p w14:paraId="27424AEE" w14:textId="77777777" w:rsidR="00C704FB" w:rsidRPr="00CE4F60" w:rsidRDefault="00C704FB" w:rsidP="00CE4F60">
      <w:pPr>
        <w:spacing w:line="360" w:lineRule="auto"/>
        <w:ind w:firstLineChars="200" w:firstLine="480"/>
        <w:rPr>
          <w:rFonts w:ascii="宋体" w:hAnsi="宋体"/>
          <w:sz w:val="24"/>
        </w:rPr>
      </w:pPr>
      <w:r w:rsidRPr="00CE4F60">
        <w:rPr>
          <w:rFonts w:ascii="宋体" w:hAnsi="宋体"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遵循基金份额持有人利益优先原则，防范利益冲突，建立健全内部审批机制和评估机制，按照市场公平</w:t>
      </w:r>
      <w:r w:rsidRPr="00CE4F60">
        <w:rPr>
          <w:rFonts w:ascii="宋体" w:hAnsi="宋体" w:hint="eastAsia"/>
          <w:sz w:val="24"/>
        </w:rPr>
        <w:lastRenderedPageBreak/>
        <w:t>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7B288743" w14:textId="77777777" w:rsidR="00E5426A" w:rsidRDefault="00C704FB" w:rsidP="00CE4F60">
      <w:pPr>
        <w:spacing w:line="360" w:lineRule="auto"/>
        <w:ind w:firstLineChars="200" w:firstLine="480"/>
        <w:rPr>
          <w:rFonts w:ascii="宋体" w:hAnsi="宋体"/>
          <w:sz w:val="24"/>
        </w:rPr>
      </w:pPr>
      <w:r>
        <w:rPr>
          <w:rFonts w:ascii="宋体" w:hAnsi="宋体" w:hint="eastAsia"/>
          <w:sz w:val="24"/>
        </w:rPr>
        <w:t>如</w:t>
      </w:r>
      <w:r>
        <w:rPr>
          <w:rFonts w:ascii="宋体" w:hAnsi="宋体"/>
          <w:sz w:val="24"/>
        </w:rPr>
        <w:t>法律法规或监管部门</w:t>
      </w:r>
      <w:r>
        <w:rPr>
          <w:rFonts w:ascii="宋体" w:hAnsi="宋体" w:hint="eastAsia"/>
          <w:sz w:val="24"/>
        </w:rPr>
        <w:t>取消或调整上述禁止性规定，如适用于本基金，基金管理人在履行适当程序后可不受上述规定的限制</w:t>
      </w:r>
      <w:r w:rsidRPr="00CE4F60">
        <w:rPr>
          <w:rFonts w:ascii="宋体" w:hAnsi="宋体"/>
          <w:sz w:val="24"/>
        </w:rPr>
        <w:t>或以调整以后的规定为准</w:t>
      </w:r>
      <w:r>
        <w:rPr>
          <w:rFonts w:ascii="宋体" w:hAnsi="宋体"/>
          <w:sz w:val="24"/>
        </w:rPr>
        <w:t>。</w:t>
      </w:r>
    </w:p>
    <w:p w14:paraId="275ABC87" w14:textId="5CDA159E" w:rsidR="00C704FB" w:rsidRDefault="00C704FB" w:rsidP="00CE4F60">
      <w:pPr>
        <w:spacing w:line="360" w:lineRule="auto"/>
        <w:ind w:firstLineChars="200" w:firstLine="480"/>
        <w:rPr>
          <w:rFonts w:ascii="宋体" w:hAnsi="宋体"/>
          <w:sz w:val="24"/>
        </w:rPr>
      </w:pPr>
      <w:r w:rsidRPr="001500CA">
        <w:rPr>
          <w:rFonts w:ascii="宋体" w:hAnsi="宋体"/>
          <w:sz w:val="24"/>
        </w:rPr>
        <w:t>4</w:t>
      </w:r>
      <w:r w:rsidRPr="001C49D4">
        <w:rPr>
          <w:rFonts w:ascii="宋体" w:hAnsi="宋体"/>
          <w:sz w:val="24"/>
        </w:rPr>
        <w:t>、</w:t>
      </w:r>
      <w:r>
        <w:rPr>
          <w:rFonts w:ascii="宋体" w:hAnsi="宋体" w:hint="eastAsia"/>
          <w:sz w:val="24"/>
        </w:rPr>
        <w:t>基金托管人依据以下约定对基金管理人参与银行间债券市场投资进行监督。</w:t>
      </w:r>
    </w:p>
    <w:p w14:paraId="5EFF544B" w14:textId="4A220647" w:rsidR="00C704FB" w:rsidRPr="00135287" w:rsidRDefault="00C704FB" w:rsidP="00CE4F60">
      <w:pPr>
        <w:spacing w:line="360" w:lineRule="auto"/>
        <w:ind w:firstLineChars="200" w:firstLine="480"/>
        <w:rPr>
          <w:rFonts w:ascii="宋体" w:hAnsi="宋体"/>
          <w:sz w:val="24"/>
        </w:rPr>
      </w:pPr>
      <w:r w:rsidRPr="001500CA">
        <w:rPr>
          <w:rFonts w:ascii="宋体" w:hAnsi="宋体" w:hint="eastAsia"/>
          <w:sz w:val="24"/>
        </w:rPr>
        <w:t>基金管理人参与银行间市场交易</w:t>
      </w:r>
      <w:r w:rsidRPr="001C49D4">
        <w:rPr>
          <w:rFonts w:ascii="宋体" w:hAnsi="宋体"/>
          <w:sz w:val="24"/>
        </w:rPr>
        <w:t>,</w:t>
      </w:r>
      <w:r w:rsidRPr="00280FD1">
        <w:rPr>
          <w:rFonts w:ascii="宋体" w:hAnsi="宋体"/>
          <w:sz w:val="24"/>
        </w:rPr>
        <w:t>应按照审慎的风险控制原则评估交易对手资信风险，并自主选择交易对手。基金托管人发现基金管理人与银行间市场的丙类会员进行债券交易的，可以通过邮件、电话等双方认</w:t>
      </w:r>
      <w:r w:rsidRPr="00135287">
        <w:rPr>
          <w:rFonts w:ascii="宋体" w:hAnsi="宋体"/>
          <w:sz w:val="24"/>
        </w:rPr>
        <w:t>可的方式提醒基金管理人，基金管理人应及时向基金托管人提供可行性说明。基金管理人应确保可行性说明内容真实、准确、完整。基金托管人不对基金管理人提供的可行性说明进行实质审查。基金管理人同意，经提醒后基金管理人仍执行交易并造成基金资产损失的，基金托管人不承担责任。</w:t>
      </w:r>
    </w:p>
    <w:p w14:paraId="0451A581" w14:textId="77777777" w:rsidR="00C704FB" w:rsidRPr="00F70422" w:rsidRDefault="00C704FB" w:rsidP="00CE4F60">
      <w:pPr>
        <w:spacing w:line="360" w:lineRule="auto"/>
        <w:ind w:firstLineChars="200" w:firstLine="480"/>
        <w:rPr>
          <w:rFonts w:ascii="宋体" w:hAnsi="宋体"/>
          <w:sz w:val="24"/>
        </w:rPr>
      </w:pPr>
      <w:r w:rsidRPr="00367248">
        <w:rPr>
          <w:rFonts w:ascii="宋体" w:hAnsi="宋体" w:hint="eastAsia"/>
          <w:sz w:val="24"/>
        </w:rPr>
        <w:t>基金管理人在银行间市场进行现券买卖和回购交易时，以</w:t>
      </w:r>
      <w:r w:rsidRPr="00F70422">
        <w:rPr>
          <w:rFonts w:ascii="宋体" w:hAnsi="宋体"/>
          <w:sz w:val="24"/>
        </w:rPr>
        <w:t>DVP(券款兑付)的交易结算方式进行交易。</w:t>
      </w:r>
    </w:p>
    <w:p w14:paraId="4B46FAB0" w14:textId="77777777" w:rsidR="00C704FB" w:rsidRPr="00F70422" w:rsidRDefault="00C704FB" w:rsidP="00CE4F60">
      <w:pPr>
        <w:spacing w:line="360" w:lineRule="auto"/>
        <w:ind w:firstLineChars="200" w:firstLine="480"/>
        <w:rPr>
          <w:rFonts w:ascii="宋体" w:hAnsi="宋体"/>
          <w:sz w:val="24"/>
        </w:rPr>
      </w:pPr>
      <w:r w:rsidRPr="00F70422">
        <w:rPr>
          <w:rFonts w:ascii="宋体" w:hAnsi="宋体"/>
          <w:sz w:val="24"/>
        </w:rPr>
        <w:t>5、关于银行存款投资</w:t>
      </w:r>
    </w:p>
    <w:p w14:paraId="7D0C0DF2" w14:textId="77777777" w:rsidR="00C704FB" w:rsidRPr="00F70422" w:rsidRDefault="00C704FB" w:rsidP="00CE4F60">
      <w:pPr>
        <w:spacing w:line="360" w:lineRule="auto"/>
        <w:ind w:firstLineChars="200" w:firstLine="480"/>
        <w:rPr>
          <w:rFonts w:ascii="宋体" w:hAnsi="宋体"/>
          <w:sz w:val="24"/>
        </w:rPr>
      </w:pPr>
      <w:r w:rsidRPr="00F70422">
        <w:rPr>
          <w:rFonts w:ascii="宋体" w:hAnsi="宋体" w:hint="eastAsia"/>
          <w:sz w:val="24"/>
        </w:rPr>
        <w:t>本基金投资银行存款的信用风险主要包括存款银行的信用等级、存款银行的支付能力等涉及到存款银行选择方面的风险。基金管理人应基于审慎原则评估存款银行信用风险并据此选择存款银行。因基金管理人违反上述原则给基金造成的损失，基金托管人不承担任何责任，相关损失由基金管理人先行承担。基金管理人履行先行赔付责任后，有权要求相关责任人进行赔偿。基金托管人的职责仅限于督促基金管理人履行先行赔付责任。</w:t>
      </w:r>
    </w:p>
    <w:p w14:paraId="527FFF37" w14:textId="77777777" w:rsidR="00C704FB" w:rsidRPr="00F70422" w:rsidRDefault="00C704FB" w:rsidP="00CE4F60">
      <w:pPr>
        <w:spacing w:line="360" w:lineRule="auto"/>
        <w:ind w:firstLineChars="200" w:firstLine="480"/>
        <w:rPr>
          <w:rFonts w:ascii="宋体" w:hAnsi="宋体"/>
          <w:sz w:val="24"/>
        </w:rPr>
      </w:pPr>
      <w:r w:rsidRPr="00F70422">
        <w:rPr>
          <w:rFonts w:ascii="宋体" w:hAnsi="宋体"/>
          <w:sz w:val="24"/>
        </w:rPr>
        <w:t>6、基金托管人对基金投资流通受限证券的监督</w:t>
      </w:r>
    </w:p>
    <w:p w14:paraId="136EB607" w14:textId="77777777" w:rsidR="00C704FB" w:rsidRPr="00F70422" w:rsidRDefault="00C704FB" w:rsidP="00C704FB">
      <w:pPr>
        <w:spacing w:line="360" w:lineRule="auto"/>
        <w:ind w:firstLineChars="200" w:firstLine="480"/>
        <w:rPr>
          <w:rFonts w:ascii="宋体" w:hAnsi="宋体"/>
          <w:sz w:val="24"/>
        </w:rPr>
      </w:pPr>
      <w:r w:rsidRPr="00F70422">
        <w:rPr>
          <w:rFonts w:ascii="宋体" w:hAnsi="宋体" w:hint="eastAsia"/>
          <w:sz w:val="24"/>
        </w:rPr>
        <w:t>（</w:t>
      </w:r>
      <w:r w:rsidRPr="00F70422">
        <w:rPr>
          <w:rFonts w:ascii="宋体" w:hAnsi="宋体"/>
          <w:sz w:val="24"/>
        </w:rPr>
        <w:t>1）基金投资流通受限证券，应遵守《关于基金投资非公开发行股票等流通受限证券有关问题的通知》等有关法律法规规定。</w:t>
      </w:r>
    </w:p>
    <w:p w14:paraId="1949E43E" w14:textId="77777777" w:rsidR="00C704FB" w:rsidRPr="00F70422" w:rsidRDefault="00C704FB" w:rsidP="00C704FB">
      <w:pPr>
        <w:spacing w:line="360" w:lineRule="auto"/>
        <w:ind w:firstLineChars="200" w:firstLine="480"/>
        <w:rPr>
          <w:rFonts w:ascii="宋体" w:hAnsi="宋体"/>
          <w:sz w:val="24"/>
        </w:rPr>
      </w:pPr>
      <w:r w:rsidRPr="00F70422">
        <w:rPr>
          <w:rFonts w:ascii="宋体" w:hAnsi="宋体" w:hint="eastAsia"/>
          <w:sz w:val="24"/>
        </w:rPr>
        <w:t>（</w:t>
      </w:r>
      <w:r w:rsidRPr="00F70422">
        <w:rPr>
          <w:rFonts w:ascii="宋体" w:hAnsi="宋体"/>
          <w:sz w:val="24"/>
        </w:rPr>
        <w:t>2）流通受限证券，与上文所述的流动性受限资产并不完全一致，包括由</w:t>
      </w:r>
      <w:r w:rsidRPr="00F70422">
        <w:rPr>
          <w:rFonts w:ascii="宋体" w:hAnsi="宋体" w:hint="eastAsia"/>
          <w:sz w:val="24"/>
        </w:rPr>
        <w:t>《上市公司证券发行管理办法》规范的非公开发行股票、公开发行股票网下配售部分等在发行时明确一定期限锁定期的可交易证券</w:t>
      </w:r>
      <w:r w:rsidRPr="00F70422">
        <w:rPr>
          <w:rFonts w:ascii="宋体" w:hAnsi="宋体"/>
          <w:sz w:val="24"/>
        </w:rPr>
        <w:t>,</w:t>
      </w:r>
      <w:r w:rsidRPr="00F70422">
        <w:rPr>
          <w:rFonts w:ascii="宋体" w:hAnsi="宋体" w:hint="eastAsia"/>
          <w:sz w:val="24"/>
        </w:rPr>
        <w:t>不包括由于发布重大消息或</w:t>
      </w:r>
      <w:r w:rsidRPr="00F70422">
        <w:rPr>
          <w:rFonts w:ascii="宋体" w:hAnsi="宋体" w:hint="eastAsia"/>
          <w:sz w:val="24"/>
        </w:rPr>
        <w:lastRenderedPageBreak/>
        <w:t>其他原因而临时停牌的证券、已发行未上市证券、回购交易中的质押券等流通受限证券。</w:t>
      </w:r>
    </w:p>
    <w:p w14:paraId="42C5CCC1" w14:textId="77777777" w:rsidR="00C704FB" w:rsidRPr="00F70422" w:rsidRDefault="00C704FB" w:rsidP="00C704FB">
      <w:pPr>
        <w:spacing w:line="360" w:lineRule="auto"/>
        <w:ind w:firstLineChars="200" w:firstLine="480"/>
        <w:rPr>
          <w:rFonts w:ascii="宋体" w:hAnsi="宋体"/>
          <w:sz w:val="24"/>
        </w:rPr>
      </w:pPr>
      <w:r w:rsidRPr="00F70422">
        <w:rPr>
          <w:rFonts w:ascii="宋体" w:hAnsi="宋体" w:hint="eastAsia"/>
          <w:sz w:val="24"/>
        </w:rPr>
        <w:t>（</w:t>
      </w:r>
      <w:r w:rsidRPr="00F70422">
        <w:rPr>
          <w:rFonts w:ascii="宋体" w:hAnsi="宋体"/>
          <w:sz w:val="24"/>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394CE4BA" w14:textId="77777777" w:rsidR="00C704FB" w:rsidRPr="00F70422" w:rsidRDefault="00C704FB" w:rsidP="00C704FB">
      <w:pPr>
        <w:spacing w:line="360" w:lineRule="auto"/>
        <w:ind w:firstLineChars="200" w:firstLine="480"/>
        <w:rPr>
          <w:rFonts w:ascii="宋体" w:hAnsi="宋体"/>
          <w:sz w:val="24"/>
        </w:rPr>
      </w:pPr>
      <w:r w:rsidRPr="00F70422">
        <w:rPr>
          <w:rFonts w:ascii="宋体" w:hAnsi="宋体" w:hint="eastAsia"/>
          <w:sz w:val="24"/>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55EF7A87" w14:textId="77777777" w:rsidR="00C704FB" w:rsidRPr="00F70422" w:rsidRDefault="00C704FB" w:rsidP="00CE4F60">
      <w:pPr>
        <w:spacing w:line="360" w:lineRule="auto"/>
        <w:ind w:firstLineChars="200" w:firstLine="480"/>
        <w:rPr>
          <w:rFonts w:ascii="宋体" w:hAnsi="宋体"/>
          <w:sz w:val="24"/>
        </w:rPr>
      </w:pPr>
      <w:r w:rsidRPr="00F70422">
        <w:rPr>
          <w:rFonts w:ascii="宋体" w:hAnsi="宋体" w:hint="eastAsia"/>
          <w:sz w:val="24"/>
        </w:rPr>
        <w:t>（</w:t>
      </w:r>
      <w:r w:rsidRPr="00F70422">
        <w:rPr>
          <w:rFonts w:ascii="宋体" w:hAnsi="宋体"/>
          <w:sz w:val="24"/>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5F3C6768" w14:textId="77777777" w:rsidR="00C704FB" w:rsidRPr="00280FD1" w:rsidRDefault="00C704FB" w:rsidP="00CE4F60">
      <w:pPr>
        <w:spacing w:line="360" w:lineRule="auto"/>
        <w:ind w:firstLineChars="200" w:firstLine="480"/>
        <w:rPr>
          <w:rFonts w:ascii="宋体" w:hAnsi="宋体"/>
          <w:sz w:val="24"/>
        </w:rPr>
      </w:pPr>
      <w:r w:rsidRPr="00F70422">
        <w:rPr>
          <w:rFonts w:ascii="宋体" w:hAnsi="宋体" w:hint="eastAsia"/>
          <w:sz w:val="24"/>
        </w:rPr>
        <w:t>（</w:t>
      </w:r>
      <w:r w:rsidRPr="00F70422">
        <w:rPr>
          <w:rFonts w:ascii="宋体" w:hAnsi="宋体"/>
          <w:sz w:val="24"/>
        </w:rPr>
        <w:t>5）基金托管人应按照《关于基金投资非公开发行股票等流通受限证券有关问题的通知》规定，对基金管理人是否遵守法律法规进行监督，并审核基金管理人提供的有关书面信息。基金托管人认为上述资料可能导致基金出现风险的，有权要求基金管理人在投资</w:t>
      </w:r>
      <w:r>
        <w:rPr>
          <w:rFonts w:ascii="宋体" w:hAnsi="宋体" w:hint="eastAsia"/>
          <w:sz w:val="24"/>
        </w:rPr>
        <w:t>流通受限证券前</w:t>
      </w:r>
      <w:r w:rsidRPr="001500CA">
        <w:rPr>
          <w:rFonts w:ascii="宋体" w:hAnsi="宋体" w:hint="eastAsia"/>
          <w:sz w:val="24"/>
        </w:rPr>
        <w:t>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14:paraId="2B57DCDF" w14:textId="77777777" w:rsidR="00C704FB" w:rsidRPr="00F70422" w:rsidRDefault="00C704FB" w:rsidP="00CE4F60">
      <w:pPr>
        <w:spacing w:line="360" w:lineRule="auto"/>
        <w:ind w:firstLineChars="200" w:firstLine="480"/>
        <w:rPr>
          <w:rFonts w:ascii="宋体" w:hAnsi="宋体"/>
          <w:sz w:val="24"/>
        </w:rPr>
      </w:pPr>
      <w:r w:rsidRPr="00135287">
        <w:rPr>
          <w:rFonts w:ascii="宋体" w:hAnsi="宋体" w:hint="eastAsia"/>
          <w:sz w:val="24"/>
        </w:rPr>
        <w:t>如基金管理人和基金托管人无法达成一致，应及时上报中国证监会请求解决。如果基金托管人</w:t>
      </w:r>
      <w:r w:rsidRPr="00367248">
        <w:rPr>
          <w:rFonts w:ascii="宋体" w:hAnsi="宋体"/>
          <w:sz w:val="24"/>
        </w:rPr>
        <w:t>切实履</w:t>
      </w:r>
      <w:r w:rsidRPr="00F70422">
        <w:rPr>
          <w:rFonts w:ascii="宋体" w:hAnsi="宋体"/>
          <w:sz w:val="24"/>
        </w:rPr>
        <w:t>行监督职责</w:t>
      </w:r>
      <w:r w:rsidRPr="00F70422">
        <w:rPr>
          <w:rFonts w:ascii="宋体" w:hAnsi="宋体" w:hint="eastAsia"/>
          <w:sz w:val="24"/>
        </w:rPr>
        <w:t>，则不承担任何责任。</w:t>
      </w:r>
      <w:r w:rsidRPr="00F70422">
        <w:rPr>
          <w:rFonts w:ascii="宋体" w:hAnsi="宋体"/>
          <w:sz w:val="24"/>
        </w:rPr>
        <w:t>如果基金托管</w:t>
      </w:r>
      <w:r w:rsidRPr="00F70422">
        <w:rPr>
          <w:rFonts w:ascii="宋体" w:hAnsi="宋体" w:hint="eastAsia"/>
          <w:sz w:val="24"/>
        </w:rPr>
        <w:t>人</w:t>
      </w:r>
      <w:r w:rsidRPr="00F70422">
        <w:rPr>
          <w:rFonts w:ascii="宋体" w:hAnsi="宋体"/>
          <w:sz w:val="24"/>
        </w:rPr>
        <w:t>没有切实履行监督职责，导致基金出现风险，基金托管</w:t>
      </w:r>
      <w:r w:rsidRPr="00F70422">
        <w:rPr>
          <w:rFonts w:ascii="宋体" w:hAnsi="宋体" w:hint="eastAsia"/>
          <w:sz w:val="24"/>
        </w:rPr>
        <w:t>人</w:t>
      </w:r>
      <w:r w:rsidRPr="00F70422">
        <w:rPr>
          <w:rFonts w:ascii="宋体" w:hAnsi="宋体"/>
          <w:sz w:val="24"/>
        </w:rPr>
        <w:t>应承担连带责任。</w:t>
      </w:r>
    </w:p>
    <w:p w14:paraId="64C1138D" w14:textId="77777777" w:rsidR="00C704FB" w:rsidRPr="00CE4F60" w:rsidRDefault="00C704FB" w:rsidP="00CE4F60">
      <w:pPr>
        <w:spacing w:line="360" w:lineRule="auto"/>
        <w:ind w:firstLineChars="200" w:firstLine="480"/>
        <w:rPr>
          <w:rFonts w:ascii="宋体" w:hAnsi="宋体"/>
          <w:b/>
          <w:sz w:val="24"/>
        </w:rPr>
      </w:pPr>
      <w:r w:rsidRPr="00F70422">
        <w:rPr>
          <w:rFonts w:ascii="宋体" w:hAnsi="宋体" w:hint="eastAsia"/>
          <w:sz w:val="24"/>
        </w:rPr>
        <w:t>（二）基金托管人应根据有关法律法规的规定及《基金合同》的约定，对基</w:t>
      </w:r>
      <w:r w:rsidRPr="00F70422">
        <w:rPr>
          <w:rFonts w:ascii="宋体" w:hAnsi="宋体" w:hint="eastAsia"/>
          <w:sz w:val="24"/>
        </w:rPr>
        <w:lastRenderedPageBreak/>
        <w:t>金资产净值计算、各类基金份额的基金份额净值计算、应收资金到账、基金费用开支及收入确定、基金收益分配、相关信息披露、基金宣传推介材料中登载基金业绩表现数据等进行监督和核查。</w:t>
      </w:r>
    </w:p>
    <w:p w14:paraId="5E17FF6F" w14:textId="77777777" w:rsidR="00C704FB" w:rsidRPr="00CE4F60" w:rsidRDefault="00C704FB" w:rsidP="00CE4F60">
      <w:pPr>
        <w:spacing w:line="360" w:lineRule="auto"/>
        <w:ind w:firstLineChars="200" w:firstLine="480"/>
        <w:rPr>
          <w:rFonts w:ascii="宋体" w:hAnsi="宋体"/>
          <w:b/>
          <w:sz w:val="24"/>
        </w:rPr>
      </w:pPr>
      <w:r w:rsidRPr="001500CA">
        <w:rPr>
          <w:rFonts w:ascii="宋体" w:hAnsi="宋体" w:hint="eastAsia"/>
          <w:sz w:val="24"/>
        </w:rPr>
        <w:t>（三）基金托管人发现基金管理人的投资运作及其他运作违反《基金法》、《基金合同》、基金托管协议有关规定时，应及时以书面形式通知基金管理人限期纠正，基金管理人收到通知后应在下一个工作日及时核对，并以书面形式向基金托管人发出回函，进行解释或举证。</w:t>
      </w:r>
    </w:p>
    <w:p w14:paraId="59AF1ECA" w14:textId="77777777" w:rsidR="00C704FB" w:rsidRPr="00280FD1" w:rsidRDefault="00C704FB" w:rsidP="00C704FB">
      <w:pPr>
        <w:spacing w:line="360" w:lineRule="auto"/>
        <w:ind w:firstLineChars="200" w:firstLine="480"/>
        <w:rPr>
          <w:rFonts w:ascii="宋体" w:hAnsi="宋体"/>
          <w:sz w:val="24"/>
        </w:rPr>
      </w:pPr>
      <w:r w:rsidRPr="001500CA">
        <w:rPr>
          <w:rFonts w:ascii="宋体" w:hAnsi="宋体" w:hint="eastAsia"/>
          <w:sz w:val="24"/>
        </w:rPr>
        <w:t>在限期内，基金托管人有权随时对通知事项进行复查，督促基金管理人改正。基金管理人对基金托管</w:t>
      </w:r>
      <w:r w:rsidRPr="00280FD1">
        <w:rPr>
          <w:rFonts w:ascii="宋体" w:hAnsi="宋体" w:hint="eastAsia"/>
          <w:sz w:val="24"/>
        </w:rPr>
        <w:t>人通知的违规事项未能在限期内纠正的，基金托管人应报告中国证监会。基金托管人有义务要求基金管理人赔偿因其违反《基金合同》而致使投资者遭受的损失。</w:t>
      </w:r>
    </w:p>
    <w:p w14:paraId="2E3D0094" w14:textId="77777777" w:rsidR="00C704FB" w:rsidRPr="00CE4F60" w:rsidRDefault="00C704FB" w:rsidP="00CE4F60">
      <w:pPr>
        <w:spacing w:line="360" w:lineRule="auto"/>
        <w:ind w:firstLineChars="200" w:firstLine="480"/>
        <w:rPr>
          <w:rFonts w:hAnsi="宋体"/>
          <w:sz w:val="24"/>
        </w:rPr>
      </w:pPr>
      <w:r w:rsidRPr="00CE4F60">
        <w:rPr>
          <w:rFonts w:ascii="宋体" w:hAnsi="宋体" w:hint="eastAsia"/>
          <w:sz w:val="24"/>
        </w:rPr>
        <w:t>对于依据交易程序尚未成交的且基金托管人在交易前能够监控的投资指令，基金托管人发现该投资指令违反相关法律法规规定或者违反《基金合同》约定的，应当拒绝执行，立即通知基金管理人，并向中国证监会报告。</w:t>
      </w:r>
    </w:p>
    <w:p w14:paraId="754BF565" w14:textId="77777777" w:rsidR="00C704FB" w:rsidRPr="001500CA" w:rsidRDefault="00C704FB" w:rsidP="00CE4F60">
      <w:pPr>
        <w:spacing w:line="360" w:lineRule="auto"/>
        <w:ind w:firstLineChars="200" w:firstLine="480"/>
        <w:rPr>
          <w:rFonts w:hAnsi="宋体"/>
          <w:sz w:val="24"/>
        </w:rPr>
      </w:pPr>
      <w:r w:rsidRPr="00CE4F60">
        <w:rPr>
          <w:rFonts w:ascii="宋体" w:hAnsi="宋体" w:hint="eastAsia"/>
          <w:sz w:val="24"/>
        </w:rPr>
        <w:t>对于必须于估值完成后方可获知的监控指标或依据交易程序已经成交的投资指令，基金托管人发现该投资指令违反法律法规或者违反《基金合同》约定的，应当立即通知基金管理人，并报告中国证监会。</w:t>
      </w:r>
    </w:p>
    <w:p w14:paraId="57B64D46" w14:textId="77777777" w:rsidR="00C704FB" w:rsidRPr="00280FD1" w:rsidRDefault="00C704FB" w:rsidP="00CE4F60">
      <w:pPr>
        <w:spacing w:line="360" w:lineRule="auto"/>
        <w:ind w:firstLineChars="200" w:firstLine="480"/>
        <w:rPr>
          <w:rFonts w:ascii="宋体" w:hAnsi="宋体"/>
          <w:sz w:val="24"/>
        </w:rPr>
      </w:pPr>
      <w:r w:rsidRPr="001C49D4">
        <w:rPr>
          <w:rFonts w:ascii="宋体" w:hAnsi="宋体" w:hint="eastAsia"/>
          <w:sz w:val="24"/>
        </w:rPr>
        <w:t>基金管理人应积极配合和协助基金托管人的监督和核查，必须在规定时间内答复基金托管人并改正，就基金托管人的疑义进行解释或举证，对基金托管人按照法规要求需向中国证监会报送基金监督报告的，基金管理人应积极配合提供相关数据资料和制度等。</w:t>
      </w:r>
    </w:p>
    <w:p w14:paraId="160AB275" w14:textId="07BF5D03" w:rsidR="00C704FB" w:rsidRPr="00367248" w:rsidRDefault="00C704FB" w:rsidP="00CE4F60">
      <w:pPr>
        <w:spacing w:line="360" w:lineRule="auto"/>
        <w:ind w:firstLineChars="200" w:firstLine="480"/>
        <w:rPr>
          <w:rFonts w:ascii="宋体" w:hAnsi="宋体"/>
          <w:sz w:val="24"/>
        </w:rPr>
      </w:pPr>
      <w:r w:rsidRPr="00135287">
        <w:rPr>
          <w:rFonts w:ascii="宋体" w:hAnsi="宋体" w:hint="eastAsia"/>
          <w:sz w:val="24"/>
        </w:rPr>
        <w:t>基金托管人发现基金管理人有重大违规行为，应立即报告中国证监会，同时通知基金管理人限期纠正。</w:t>
      </w:r>
    </w:p>
    <w:p w14:paraId="556E5591" w14:textId="6455E7B9" w:rsidR="0015752E" w:rsidRPr="00CE4F60" w:rsidRDefault="00C704FB" w:rsidP="00CE4F60">
      <w:pPr>
        <w:spacing w:line="360" w:lineRule="auto"/>
        <w:ind w:firstLineChars="200" w:firstLine="480"/>
        <w:rPr>
          <w:rFonts w:ascii="宋体" w:hAnsi="宋体"/>
          <w:sz w:val="24"/>
        </w:rPr>
      </w:pPr>
      <w:r w:rsidRPr="00F70422">
        <w:rPr>
          <w:rFonts w:ascii="宋体" w:hAnsi="宋体" w:hint="eastAsia"/>
          <w:sz w:val="24"/>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04D56EA0" w14:textId="77777777" w:rsidR="00586A97" w:rsidRPr="00CE4F60" w:rsidRDefault="0024620C">
      <w:pPr>
        <w:spacing w:line="360" w:lineRule="auto"/>
        <w:ind w:firstLine="420"/>
        <w:jc w:val="left"/>
        <w:rPr>
          <w:rFonts w:eastAsia="Times New Roman"/>
          <w:kern w:val="0"/>
          <w:sz w:val="24"/>
          <w:szCs w:val="24"/>
        </w:rPr>
      </w:pPr>
      <w:r w:rsidRPr="00CE4F60">
        <w:rPr>
          <w:rFonts w:ascii="宋体" w:hAnsi="宋体" w:cs="宋体"/>
          <w:kern w:val="0"/>
          <w:sz w:val="24"/>
          <w:szCs w:val="24"/>
        </w:rPr>
        <w:t>三、基金管理人对基金托管人的业务核查</w:t>
      </w:r>
    </w:p>
    <w:p w14:paraId="12EDA39F" w14:textId="661F55F2" w:rsidR="007107F8" w:rsidRDefault="007107F8" w:rsidP="007107F8">
      <w:pPr>
        <w:spacing w:line="360" w:lineRule="auto"/>
        <w:ind w:firstLineChars="200" w:firstLine="480"/>
        <w:rPr>
          <w:rFonts w:ascii="宋体" w:hAnsi="宋体"/>
          <w:sz w:val="24"/>
          <w:szCs w:val="21"/>
        </w:rPr>
      </w:pPr>
      <w:r>
        <w:rPr>
          <w:rFonts w:ascii="宋体" w:hAnsi="宋体" w:hint="eastAsia"/>
          <w:sz w:val="24"/>
          <w:szCs w:val="21"/>
        </w:rPr>
        <w:t>基金管理人对基金托管人履行托管职责情况进行核查，核查事项包括但不限于基金托管人安全保管基金财产、开设基金财产的资金账户、证券账户和期货账</w:t>
      </w:r>
      <w:r>
        <w:rPr>
          <w:rFonts w:ascii="宋体" w:hAnsi="宋体" w:hint="eastAsia"/>
          <w:sz w:val="24"/>
          <w:szCs w:val="21"/>
        </w:rPr>
        <w:lastRenderedPageBreak/>
        <w:t>户等投资所需账户、复核基金管理人计算的基金资产净值和各类基金份额净值、</w:t>
      </w:r>
      <w:r w:rsidR="00E5426A">
        <w:rPr>
          <w:rFonts w:ascii="宋体" w:hAnsi="宋体" w:hint="eastAsia"/>
          <w:sz w:val="24"/>
          <w:szCs w:val="21"/>
        </w:rPr>
        <w:t>根据管理人指令办理清算交收、相关信息披露和监督基金投资运作等行为</w:t>
      </w:r>
      <w:r>
        <w:rPr>
          <w:rFonts w:ascii="宋体" w:hAnsi="宋体" w:hint="eastAsia"/>
          <w:sz w:val="24"/>
          <w:szCs w:val="21"/>
        </w:rPr>
        <w:t>。</w:t>
      </w:r>
    </w:p>
    <w:p w14:paraId="41AAD8FD" w14:textId="77777777" w:rsidR="007107F8" w:rsidRDefault="007107F8" w:rsidP="007107F8">
      <w:pPr>
        <w:spacing w:line="360" w:lineRule="auto"/>
        <w:ind w:firstLineChars="200" w:firstLine="480"/>
        <w:rPr>
          <w:rFonts w:ascii="宋体" w:hAnsi="宋体"/>
          <w:sz w:val="24"/>
          <w:szCs w:val="21"/>
        </w:rPr>
      </w:pPr>
      <w:r>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w:t>
      </w:r>
      <w:r w:rsidRPr="00CE4F60">
        <w:rPr>
          <w:rFonts w:ascii="宋体" w:hAnsi="宋体" w:hint="eastAsia"/>
          <w:sz w:val="24"/>
          <w:szCs w:val="21"/>
        </w:rPr>
        <w:t>所遭受的损失。</w:t>
      </w:r>
    </w:p>
    <w:p w14:paraId="52532DA9" w14:textId="77777777" w:rsidR="007107F8" w:rsidRDefault="007107F8" w:rsidP="007107F8">
      <w:pPr>
        <w:spacing w:line="360" w:lineRule="auto"/>
        <w:ind w:firstLineChars="200" w:firstLine="480"/>
        <w:rPr>
          <w:rFonts w:ascii="宋体" w:hAnsi="宋体"/>
          <w:sz w:val="24"/>
          <w:szCs w:val="21"/>
        </w:rPr>
      </w:pPr>
      <w:r>
        <w:rPr>
          <w:rFonts w:ascii="宋体" w:hAnsi="宋体" w:hint="eastAsia"/>
          <w:sz w:val="24"/>
          <w:szCs w:val="21"/>
        </w:rPr>
        <w:t>基金管理人发现基金托管人有重大违规行为，应立即报告中国证监会和银行业监督管理机构，同时通知基金托管人限期纠正。</w:t>
      </w:r>
    </w:p>
    <w:p w14:paraId="5C0B9EBC" w14:textId="77777777" w:rsidR="007107F8" w:rsidRDefault="007107F8" w:rsidP="007107F8">
      <w:pPr>
        <w:spacing w:line="360" w:lineRule="auto"/>
        <w:ind w:firstLineChars="200" w:firstLine="480"/>
        <w:rPr>
          <w:rFonts w:ascii="宋体" w:hAnsi="宋体"/>
          <w:sz w:val="24"/>
          <w:szCs w:val="21"/>
        </w:rPr>
      </w:pPr>
      <w:r>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4BB0803B" w14:textId="77777777" w:rsidR="007107F8" w:rsidRPr="00CE4F60" w:rsidRDefault="007107F8">
      <w:pPr>
        <w:spacing w:line="360" w:lineRule="auto"/>
        <w:ind w:firstLine="420"/>
        <w:jc w:val="left"/>
        <w:rPr>
          <w:rFonts w:ascii="宋体" w:hAnsi="宋体"/>
          <w:sz w:val="24"/>
          <w:szCs w:val="21"/>
        </w:rPr>
      </w:pPr>
      <w:r w:rsidRPr="00CE4F60">
        <w:rPr>
          <w:rFonts w:ascii="宋体" w:hAnsi="宋体" w:hint="eastAsia"/>
          <w:sz w:val="24"/>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6593F584" w14:textId="77777777" w:rsidR="00586A97" w:rsidRPr="00CE4F60" w:rsidRDefault="0024620C">
      <w:pPr>
        <w:spacing w:line="360" w:lineRule="auto"/>
        <w:ind w:firstLine="420"/>
        <w:jc w:val="left"/>
        <w:rPr>
          <w:rFonts w:eastAsia="Times New Roman"/>
          <w:kern w:val="0"/>
          <w:sz w:val="24"/>
          <w:szCs w:val="24"/>
        </w:rPr>
      </w:pPr>
      <w:r w:rsidRPr="00CE4F60">
        <w:rPr>
          <w:rFonts w:ascii="宋体" w:hAnsi="宋体" w:cs="宋体"/>
          <w:kern w:val="0"/>
          <w:sz w:val="24"/>
          <w:szCs w:val="24"/>
        </w:rPr>
        <w:t>四、基金财产的保管</w:t>
      </w:r>
    </w:p>
    <w:p w14:paraId="3B3E045A" w14:textId="77777777" w:rsidR="00E5426A" w:rsidRPr="00CE4F60" w:rsidRDefault="00E5426A" w:rsidP="00CE4F60">
      <w:pPr>
        <w:spacing w:line="360" w:lineRule="auto"/>
        <w:ind w:firstLine="420"/>
        <w:jc w:val="left"/>
        <w:rPr>
          <w:rFonts w:ascii="宋体" w:hAnsi="宋体"/>
          <w:b/>
          <w:sz w:val="24"/>
        </w:rPr>
      </w:pPr>
      <w:bookmarkStart w:id="51" w:name="_Toc37159173"/>
      <w:r w:rsidRPr="001500CA">
        <w:rPr>
          <w:rFonts w:ascii="宋体" w:hAnsi="宋体" w:hint="eastAsia"/>
          <w:sz w:val="24"/>
        </w:rPr>
        <w:t>（一）基金财产保管的原则</w:t>
      </w:r>
      <w:bookmarkStart w:id="52" w:name="_Hlt88903033"/>
      <w:bookmarkEnd w:id="51"/>
      <w:bookmarkEnd w:id="52"/>
    </w:p>
    <w:p w14:paraId="5539CEF4" w14:textId="77777777" w:rsidR="00E5426A" w:rsidRDefault="00E5426A" w:rsidP="00CE4F60">
      <w:pPr>
        <w:spacing w:line="360" w:lineRule="auto"/>
        <w:ind w:firstLine="420"/>
        <w:jc w:val="left"/>
        <w:rPr>
          <w:rFonts w:ascii="宋体" w:hAnsi="宋体"/>
          <w:sz w:val="24"/>
        </w:rPr>
      </w:pPr>
      <w:r>
        <w:rPr>
          <w:rFonts w:ascii="宋体" w:hAnsi="宋体" w:hint="eastAsia"/>
          <w:sz w:val="24"/>
        </w:rPr>
        <w:t>1、基金财产应独立于基金管理人、基金托管人的固有财产。</w:t>
      </w:r>
    </w:p>
    <w:p w14:paraId="25C553D0" w14:textId="77777777" w:rsidR="00E5426A" w:rsidRDefault="00E5426A" w:rsidP="00CE4F60">
      <w:pPr>
        <w:spacing w:line="360" w:lineRule="auto"/>
        <w:ind w:firstLine="420"/>
        <w:jc w:val="left"/>
        <w:rPr>
          <w:rFonts w:ascii="宋体" w:hAnsi="宋体"/>
          <w:sz w:val="24"/>
        </w:rPr>
      </w:pPr>
      <w:r>
        <w:rPr>
          <w:rFonts w:ascii="宋体" w:hAnsi="宋体" w:hint="eastAsia"/>
          <w:sz w:val="24"/>
        </w:rPr>
        <w:t>2、基金托管人应安全保管基金财产。未经基金管理人的正当指令，不得自行运用、处分、分配基金的任何财产。</w:t>
      </w:r>
    </w:p>
    <w:p w14:paraId="1E2D1EFE" w14:textId="77777777" w:rsidR="00E5426A" w:rsidRDefault="00E5426A" w:rsidP="00CE4F60">
      <w:pPr>
        <w:spacing w:line="360" w:lineRule="auto"/>
        <w:ind w:firstLine="420"/>
        <w:jc w:val="left"/>
        <w:rPr>
          <w:rFonts w:ascii="宋体" w:hAnsi="宋体"/>
          <w:sz w:val="24"/>
        </w:rPr>
      </w:pPr>
      <w:r>
        <w:rPr>
          <w:rFonts w:ascii="宋体" w:hAnsi="宋体" w:hint="eastAsia"/>
          <w:sz w:val="24"/>
        </w:rPr>
        <w:t>3、基金托管人按照规定开设基金财产的资金账户、证券账户和期货账户等投资所需账户。</w:t>
      </w:r>
    </w:p>
    <w:p w14:paraId="440AB43D" w14:textId="77777777" w:rsidR="00E5426A" w:rsidRDefault="00E5426A" w:rsidP="00CE4F60">
      <w:pPr>
        <w:spacing w:line="360" w:lineRule="auto"/>
        <w:ind w:firstLine="420"/>
        <w:jc w:val="left"/>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69B16A50" w14:textId="77777777" w:rsidR="00E5426A" w:rsidRDefault="00E5426A" w:rsidP="00CE4F60">
      <w:pPr>
        <w:spacing w:line="360" w:lineRule="auto"/>
        <w:ind w:firstLine="420"/>
        <w:jc w:val="left"/>
        <w:rPr>
          <w:rFonts w:ascii="宋体" w:hAnsi="宋体"/>
          <w:sz w:val="24"/>
        </w:rPr>
      </w:pPr>
      <w:r>
        <w:rPr>
          <w:rFonts w:ascii="宋体" w:hAnsi="宋体" w:hint="eastAsia"/>
          <w:sz w:val="24"/>
        </w:rPr>
        <w:t>5、对于因基金认（申）购、基金投资过程中产生的应收财产，应由基金管</w:t>
      </w:r>
      <w:r>
        <w:rPr>
          <w:rFonts w:ascii="宋体" w:hAnsi="宋体" w:hint="eastAsia"/>
          <w:sz w:val="24"/>
        </w:rPr>
        <w:lastRenderedPageBreak/>
        <w:t>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基金托管人对此不承担责任。</w:t>
      </w:r>
      <w:bookmarkStart w:id="53" w:name="_Hlt88902859"/>
      <w:bookmarkEnd w:id="53"/>
    </w:p>
    <w:p w14:paraId="56487D51" w14:textId="1FC4DD43" w:rsidR="00E5426A" w:rsidRPr="00CE4F60" w:rsidRDefault="00E5426A" w:rsidP="00CE4F60">
      <w:pPr>
        <w:spacing w:line="360" w:lineRule="auto"/>
        <w:ind w:firstLine="420"/>
        <w:jc w:val="left"/>
        <w:rPr>
          <w:rFonts w:ascii="宋体" w:hAnsi="宋体"/>
          <w:b/>
          <w:sz w:val="24"/>
        </w:rPr>
      </w:pPr>
      <w:bookmarkStart w:id="54" w:name="_Toc37159174"/>
      <w:r w:rsidRPr="001500CA">
        <w:rPr>
          <w:rFonts w:ascii="宋体" w:hAnsi="宋体" w:hint="eastAsia"/>
          <w:sz w:val="24"/>
        </w:rPr>
        <w:t>（二）募集资金的验证</w:t>
      </w:r>
      <w:bookmarkEnd w:id="54"/>
    </w:p>
    <w:p w14:paraId="35FC68BD" w14:textId="77777777" w:rsidR="00E5426A" w:rsidRDefault="00E5426A" w:rsidP="00CE4F60">
      <w:pPr>
        <w:spacing w:line="360" w:lineRule="auto"/>
        <w:ind w:firstLine="420"/>
        <w:jc w:val="left"/>
        <w:rPr>
          <w:rFonts w:ascii="宋体" w:hAnsi="宋体"/>
          <w:sz w:val="24"/>
        </w:rPr>
      </w:pPr>
      <w:r>
        <w:rPr>
          <w:rFonts w:ascii="宋体" w:hAnsi="宋体" w:hint="eastAsia"/>
          <w:sz w:val="24"/>
        </w:rPr>
        <w:t>募集期内销售机构按销售与服务协议的约定，将认购资金划入基金管理人在具有托管资格的商业银行开设的</w:t>
      </w:r>
      <w:r w:rsidRPr="00A30C54">
        <w:rPr>
          <w:rFonts w:ascii="宋体" w:hAnsi="宋体" w:hint="eastAsia"/>
          <w:sz w:val="24"/>
        </w:rPr>
        <w:t>汇添富基金管理股份有限公司</w:t>
      </w:r>
      <w:r>
        <w:rPr>
          <w:rFonts w:ascii="宋体" w:hAnsi="宋体" w:hint="eastAsia"/>
          <w:sz w:val="24"/>
        </w:rPr>
        <w:t>基金认购专户。该账户由基金管理人开立并管理。基金募集期满，募集的基金份额总额、基金募集金额、基金份额持有人人数符合《基金法》、《运作办法》等有关规定后，由基金管理人聘请</w:t>
      </w:r>
      <w:r w:rsidRPr="00CE4F60">
        <w:rPr>
          <w:rFonts w:ascii="宋体" w:hAnsi="宋体" w:hint="eastAsia"/>
          <w:sz w:val="24"/>
        </w:rPr>
        <w:t>符合《中华人民共和国证券法》规定</w:t>
      </w:r>
      <w:r>
        <w:rPr>
          <w:rFonts w:ascii="宋体" w:hAnsi="宋体" w:hint="eastAsia"/>
          <w:sz w:val="24"/>
        </w:rPr>
        <w:t>的会计师事务所进行验资，出具验资报告，出具的验资报告应由参加验资的</w:t>
      </w:r>
      <w:r>
        <w:rPr>
          <w:rFonts w:ascii="宋体" w:hAnsi="宋体"/>
          <w:sz w:val="24"/>
        </w:rPr>
        <w:t>2</w:t>
      </w:r>
      <w:r>
        <w:rPr>
          <w:rFonts w:ascii="宋体" w:hAnsi="宋体" w:hint="eastAsia"/>
          <w:sz w:val="24"/>
        </w:rPr>
        <w:t>名以上（含</w:t>
      </w:r>
      <w:r>
        <w:rPr>
          <w:rFonts w:ascii="宋体" w:hAnsi="宋体"/>
          <w:sz w:val="24"/>
        </w:rPr>
        <w:t>2</w:t>
      </w:r>
      <w:r>
        <w:rPr>
          <w:rFonts w:ascii="宋体" w:hAnsi="宋体" w:hint="eastAsia"/>
          <w:sz w:val="24"/>
        </w:rPr>
        <w:t>名）中国注册会计师签字有效。验资完成，基金管理人应将募集的</w:t>
      </w:r>
      <w:r w:rsidRPr="001500CA">
        <w:rPr>
          <w:rFonts w:ascii="宋体" w:hAnsi="宋体" w:hint="eastAsia"/>
          <w:sz w:val="24"/>
        </w:rPr>
        <w:t>属于本基金财产的全部资金</w:t>
      </w:r>
      <w:r>
        <w:rPr>
          <w:rFonts w:ascii="宋体" w:hAnsi="宋体" w:hint="eastAsia"/>
          <w:sz w:val="24"/>
        </w:rPr>
        <w:t>划入基金托管人为基金开立的资产托管专户中，基金托管人在收到资金当日出具确认文件。</w:t>
      </w:r>
    </w:p>
    <w:p w14:paraId="2F4AEC1C" w14:textId="77777777" w:rsidR="00E5426A" w:rsidRPr="00280FD1" w:rsidRDefault="00E5426A" w:rsidP="00CE4F60">
      <w:pPr>
        <w:spacing w:line="360" w:lineRule="auto"/>
        <w:ind w:firstLine="420"/>
        <w:jc w:val="left"/>
        <w:rPr>
          <w:rFonts w:ascii="宋体" w:hAnsi="宋体"/>
          <w:sz w:val="24"/>
        </w:rPr>
      </w:pPr>
      <w:r w:rsidRPr="001500CA">
        <w:rPr>
          <w:rFonts w:ascii="宋体" w:hAnsi="宋体" w:hint="eastAsia"/>
          <w:sz w:val="24"/>
        </w:rPr>
        <w:t>若基金募集期限届满，未能达到《基金合同》生效的条件，由基金管理人按规定办理退款事宜。</w:t>
      </w:r>
    </w:p>
    <w:p w14:paraId="6850B2A7" w14:textId="77777777" w:rsidR="00E5426A" w:rsidRPr="00CE4F60" w:rsidRDefault="00E5426A" w:rsidP="00CE4F60">
      <w:pPr>
        <w:spacing w:line="360" w:lineRule="auto"/>
        <w:ind w:firstLine="420"/>
        <w:jc w:val="left"/>
        <w:rPr>
          <w:rFonts w:ascii="宋体" w:hAnsi="宋体"/>
          <w:b/>
          <w:sz w:val="24"/>
        </w:rPr>
      </w:pPr>
      <w:r w:rsidRPr="00135287">
        <w:rPr>
          <w:rFonts w:ascii="宋体" w:hAnsi="宋体" w:hint="eastAsia"/>
          <w:sz w:val="24"/>
        </w:rPr>
        <w:t>（三）基金的银行账户的开立和管理</w:t>
      </w:r>
    </w:p>
    <w:p w14:paraId="7AE2B19E" w14:textId="77777777" w:rsidR="00E5426A" w:rsidRDefault="00E5426A" w:rsidP="00CE4F60">
      <w:pPr>
        <w:spacing w:line="360" w:lineRule="auto"/>
        <w:ind w:firstLine="420"/>
        <w:jc w:val="left"/>
        <w:rPr>
          <w:rFonts w:ascii="宋体" w:hAnsi="宋体"/>
          <w:sz w:val="24"/>
        </w:rPr>
      </w:pPr>
      <w:r>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65C4EB63" w14:textId="77777777" w:rsidR="00E5426A" w:rsidRDefault="00E5426A" w:rsidP="00CE4F60">
      <w:pPr>
        <w:spacing w:line="360" w:lineRule="auto"/>
        <w:ind w:firstLine="420"/>
        <w:jc w:val="left"/>
        <w:rPr>
          <w:rFonts w:ascii="宋体" w:hAnsi="宋体"/>
          <w:sz w:val="24"/>
        </w:rPr>
      </w:pPr>
      <w:r>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4E8731DF" w14:textId="77777777" w:rsidR="00E5426A" w:rsidRDefault="00E5426A" w:rsidP="00CE4F60">
      <w:pPr>
        <w:spacing w:line="360" w:lineRule="auto"/>
        <w:ind w:firstLine="420"/>
        <w:jc w:val="left"/>
        <w:rPr>
          <w:rFonts w:ascii="宋体" w:hAnsi="宋体"/>
          <w:sz w:val="24"/>
        </w:rPr>
      </w:pPr>
      <w:r>
        <w:rPr>
          <w:rFonts w:ascii="宋体" w:hAnsi="宋体" w:hint="eastAsia"/>
          <w:sz w:val="24"/>
        </w:rPr>
        <w:t>资产托管专户的管理应符合</w:t>
      </w:r>
      <w:r>
        <w:rPr>
          <w:rFonts w:ascii="宋体" w:hAnsi="宋体"/>
          <w:sz w:val="24"/>
        </w:rPr>
        <w:t>《人民币银行结算账户管理办法》</w:t>
      </w:r>
      <w:r>
        <w:rPr>
          <w:rFonts w:ascii="宋体" w:hAnsi="宋体" w:hint="eastAsia"/>
          <w:sz w:val="24"/>
        </w:rPr>
        <w:t>、《现金管理暂行条例》、《人民币利率管理规定》、《利率管理暂行规定》、《支付结算办法》以及银行业监督管理机构的其他规定。</w:t>
      </w:r>
    </w:p>
    <w:p w14:paraId="339109FC" w14:textId="77777777" w:rsidR="00E5426A" w:rsidRPr="00CE4F60" w:rsidRDefault="00E5426A" w:rsidP="00CE4F60">
      <w:pPr>
        <w:spacing w:line="360" w:lineRule="auto"/>
        <w:ind w:firstLine="420"/>
        <w:jc w:val="left"/>
        <w:rPr>
          <w:rFonts w:ascii="宋体" w:hAnsi="宋体"/>
          <w:b/>
          <w:sz w:val="24"/>
        </w:rPr>
      </w:pPr>
      <w:r w:rsidRPr="001500CA">
        <w:rPr>
          <w:rFonts w:ascii="宋体" w:hAnsi="宋体" w:hint="eastAsia"/>
          <w:sz w:val="24"/>
        </w:rPr>
        <w:t>（四）基金证券账户与证券交易资金账户的开设和管理</w:t>
      </w:r>
    </w:p>
    <w:p w14:paraId="5E38D772" w14:textId="77777777" w:rsidR="00E5426A" w:rsidRDefault="00E5426A" w:rsidP="00CE4F60">
      <w:pPr>
        <w:spacing w:line="360" w:lineRule="auto"/>
        <w:ind w:firstLine="420"/>
        <w:jc w:val="left"/>
        <w:rPr>
          <w:rFonts w:ascii="宋体" w:hAnsi="宋体"/>
          <w:sz w:val="24"/>
        </w:rPr>
      </w:pPr>
      <w:r>
        <w:rPr>
          <w:rFonts w:ascii="宋体" w:hAnsi="宋体" w:hint="eastAsia"/>
          <w:sz w:val="24"/>
        </w:rPr>
        <w:t>基金托管人以基金托管人和本基金联名的方式在中国证券登记结算有限责任公司上海分公司/深圳分公司开设证券账户。</w:t>
      </w:r>
    </w:p>
    <w:p w14:paraId="45AE1485" w14:textId="77777777" w:rsidR="00E5426A" w:rsidRDefault="00E5426A" w:rsidP="00CE4F60">
      <w:pPr>
        <w:spacing w:line="360" w:lineRule="auto"/>
        <w:ind w:firstLine="420"/>
        <w:jc w:val="left"/>
        <w:rPr>
          <w:rFonts w:ascii="宋体" w:hAnsi="宋体"/>
          <w:sz w:val="24"/>
        </w:rPr>
      </w:pPr>
      <w:r>
        <w:rPr>
          <w:rFonts w:ascii="宋体" w:hAnsi="宋体" w:hint="eastAsia"/>
          <w:sz w:val="24"/>
        </w:rPr>
        <w:lastRenderedPageBreak/>
        <w:t>基金托管人</w:t>
      </w:r>
      <w:r>
        <w:rPr>
          <w:rFonts w:ascii="宋体" w:hAnsi="宋体"/>
          <w:sz w:val="24"/>
        </w:rPr>
        <w:t>以</w:t>
      </w:r>
      <w:r>
        <w:rPr>
          <w:rFonts w:ascii="宋体" w:hAnsi="宋体" w:hint="eastAsia"/>
          <w:sz w:val="24"/>
        </w:rPr>
        <w:t>基金托管人的名义在中国证券登记结算有限责任公司上海分公司/深圳分公司开立基金证券交易资金账户，用于证券清算。</w:t>
      </w:r>
    </w:p>
    <w:p w14:paraId="4255FF91" w14:textId="77777777" w:rsidR="00E5426A" w:rsidRDefault="00E5426A" w:rsidP="00CE4F60">
      <w:pPr>
        <w:spacing w:line="360" w:lineRule="auto"/>
        <w:ind w:firstLine="420"/>
        <w:jc w:val="left"/>
        <w:rPr>
          <w:rFonts w:ascii="宋体" w:hAnsi="宋体"/>
          <w:sz w:val="24"/>
        </w:rPr>
      </w:pPr>
      <w:r>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783A41ED" w14:textId="77777777" w:rsidR="00E5426A" w:rsidRPr="00CE4F60" w:rsidRDefault="00E5426A" w:rsidP="00CE4F60">
      <w:pPr>
        <w:spacing w:line="360" w:lineRule="auto"/>
        <w:ind w:firstLine="420"/>
        <w:jc w:val="left"/>
        <w:rPr>
          <w:rFonts w:ascii="宋体" w:hAnsi="宋体"/>
          <w:b/>
          <w:sz w:val="24"/>
        </w:rPr>
      </w:pPr>
      <w:r w:rsidRPr="001500CA">
        <w:rPr>
          <w:rFonts w:ascii="宋体" w:hAnsi="宋体" w:hint="eastAsia"/>
          <w:sz w:val="24"/>
        </w:rPr>
        <w:t>（五）债券托管账户的开立和管理</w:t>
      </w:r>
    </w:p>
    <w:p w14:paraId="6E0022A5" w14:textId="77777777" w:rsidR="00E5426A" w:rsidRDefault="00E5426A" w:rsidP="00CE4F60">
      <w:pPr>
        <w:spacing w:line="360" w:lineRule="auto"/>
        <w:ind w:firstLine="420"/>
        <w:jc w:val="left"/>
        <w:rPr>
          <w:rFonts w:ascii="宋体" w:hAnsi="宋体"/>
          <w:sz w:val="24"/>
        </w:rPr>
      </w:pPr>
      <w:r>
        <w:rPr>
          <w:rFonts w:ascii="宋体" w:hAnsi="宋体" w:hint="eastAsia"/>
          <w:sz w:val="24"/>
        </w:rPr>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和资金结算专户，并由基金托管人负责基金的债券的后台匹配及资金的清算。</w:t>
      </w:r>
    </w:p>
    <w:p w14:paraId="163E1665" w14:textId="77777777" w:rsidR="00E5426A" w:rsidRDefault="00E5426A" w:rsidP="00CE4F60">
      <w:pPr>
        <w:spacing w:line="360" w:lineRule="auto"/>
        <w:ind w:firstLine="420"/>
        <w:jc w:val="left"/>
        <w:rPr>
          <w:rFonts w:ascii="宋体" w:hAnsi="宋体"/>
          <w:sz w:val="24"/>
        </w:rPr>
      </w:pPr>
      <w:r>
        <w:rPr>
          <w:rFonts w:ascii="宋体" w:hAnsi="宋体" w:hint="eastAsia"/>
          <w:sz w:val="24"/>
        </w:rPr>
        <w:t>2、基金管理人和基金托管人应一起负责为基金对外签订全国银行间债券市场回购主协议，正本由基金托管人保管，基金管理人保存副本。</w:t>
      </w:r>
    </w:p>
    <w:p w14:paraId="66EDDD4E" w14:textId="77777777" w:rsidR="00E5426A" w:rsidRPr="00CE4F60" w:rsidRDefault="00E5426A" w:rsidP="00CE4F60">
      <w:pPr>
        <w:spacing w:line="360" w:lineRule="auto"/>
        <w:ind w:firstLine="420"/>
        <w:jc w:val="left"/>
        <w:rPr>
          <w:rFonts w:ascii="宋体" w:hAnsi="宋体"/>
          <w:sz w:val="24"/>
        </w:rPr>
      </w:pPr>
      <w:r w:rsidRPr="00CE4F60">
        <w:rPr>
          <w:rFonts w:ascii="宋体" w:hAnsi="宋体" w:hint="eastAsia"/>
          <w:sz w:val="24"/>
        </w:rPr>
        <w:t>（六）存款账户的开立和管理</w:t>
      </w:r>
    </w:p>
    <w:p w14:paraId="4E4FF784" w14:textId="6D7C596E" w:rsidR="00E5426A" w:rsidRDefault="00E5426A" w:rsidP="00CE4F60">
      <w:pPr>
        <w:spacing w:line="360" w:lineRule="auto"/>
        <w:ind w:firstLine="420"/>
        <w:jc w:val="left"/>
        <w:rPr>
          <w:rFonts w:ascii="宋体" w:hAnsi="宋体"/>
          <w:sz w:val="24"/>
        </w:rPr>
      </w:pPr>
      <w:r w:rsidRPr="00CE4F60">
        <w:rPr>
          <w:rFonts w:ascii="宋体" w:hAnsi="宋体" w:hint="eastAsia"/>
          <w:sz w:val="24"/>
        </w:rPr>
        <w:t>基金管理人投资银行定期存款、协议存款划款前，应先完成银行账户开立，户名应为产品名称，预留基金管理人和</w:t>
      </w:r>
      <w:r w:rsidR="001A0882">
        <w:rPr>
          <w:rFonts w:ascii="宋体" w:hAnsi="宋体" w:hint="eastAsia"/>
          <w:sz w:val="24"/>
        </w:rPr>
        <w:t>基金</w:t>
      </w:r>
      <w:r w:rsidRPr="00CE4F60">
        <w:rPr>
          <w:rFonts w:ascii="宋体" w:hAnsi="宋体" w:hint="eastAsia"/>
          <w:sz w:val="24"/>
        </w:rPr>
        <w:t>托管人印鉴。</w:t>
      </w:r>
    </w:p>
    <w:p w14:paraId="6CD7584B" w14:textId="77777777" w:rsidR="00E5426A" w:rsidRDefault="00E5426A" w:rsidP="00CE4F60">
      <w:pPr>
        <w:spacing w:line="360" w:lineRule="auto"/>
        <w:ind w:firstLine="420"/>
        <w:jc w:val="left"/>
        <w:rPr>
          <w:rFonts w:ascii="宋体" w:hAnsi="宋体"/>
          <w:sz w:val="24"/>
        </w:rPr>
      </w:pPr>
      <w:r>
        <w:rPr>
          <w:rFonts w:ascii="宋体" w:hAnsi="宋体" w:hint="eastAsia"/>
          <w:sz w:val="24"/>
        </w:rPr>
        <w:t>（</w:t>
      </w:r>
      <w:r>
        <w:rPr>
          <w:rFonts w:ascii="宋体" w:hAnsi="宋体"/>
          <w:sz w:val="24"/>
        </w:rPr>
        <w:t>七</w:t>
      </w:r>
      <w:r>
        <w:rPr>
          <w:rFonts w:ascii="宋体" w:hAnsi="宋体" w:hint="eastAsia"/>
          <w:sz w:val="24"/>
        </w:rPr>
        <w:t>）其他账户的开设和管理</w:t>
      </w:r>
    </w:p>
    <w:p w14:paraId="1C63312E" w14:textId="77777777" w:rsidR="00E5426A" w:rsidRDefault="00E5426A" w:rsidP="00CE4F60">
      <w:pPr>
        <w:spacing w:line="360" w:lineRule="auto"/>
        <w:ind w:firstLine="420"/>
        <w:jc w:val="left"/>
        <w:rPr>
          <w:rFonts w:ascii="宋体" w:hAnsi="宋体"/>
          <w:sz w:val="24"/>
        </w:rPr>
      </w:pPr>
      <w:r>
        <w:rPr>
          <w:rFonts w:ascii="宋体" w:hAnsi="宋体" w:hint="eastAsia"/>
          <w:sz w:val="24"/>
        </w:rPr>
        <w:t>在本托管协议订立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14:paraId="246275F9" w14:textId="77777777" w:rsidR="00E5426A" w:rsidRPr="00CE4F60" w:rsidRDefault="00E5426A" w:rsidP="00CE4F60">
      <w:pPr>
        <w:spacing w:line="360" w:lineRule="auto"/>
        <w:ind w:firstLine="420"/>
        <w:jc w:val="left"/>
        <w:rPr>
          <w:rFonts w:ascii="宋体" w:hAnsi="宋体"/>
          <w:b/>
          <w:sz w:val="24"/>
        </w:rPr>
      </w:pPr>
      <w:r w:rsidRPr="001500CA">
        <w:rPr>
          <w:rFonts w:ascii="宋体" w:hAnsi="宋体" w:hint="eastAsia"/>
          <w:sz w:val="24"/>
        </w:rPr>
        <w:t>（</w:t>
      </w:r>
      <w:r w:rsidRPr="001C49D4">
        <w:rPr>
          <w:rFonts w:ascii="宋体" w:hAnsi="宋体"/>
          <w:sz w:val="24"/>
        </w:rPr>
        <w:t>八</w:t>
      </w:r>
      <w:r w:rsidRPr="00280FD1">
        <w:rPr>
          <w:rFonts w:ascii="宋体" w:hAnsi="宋体" w:hint="eastAsia"/>
          <w:sz w:val="24"/>
        </w:rPr>
        <w:t>）基金财产投资的有关银行存款证实书等实物证券的保管</w:t>
      </w:r>
    </w:p>
    <w:p w14:paraId="70549723" w14:textId="77777777" w:rsidR="00E5426A" w:rsidRDefault="00E5426A" w:rsidP="00CE4F60">
      <w:pPr>
        <w:spacing w:line="360" w:lineRule="auto"/>
        <w:ind w:firstLine="420"/>
        <w:jc w:val="left"/>
        <w:rPr>
          <w:rFonts w:ascii="宋体" w:hAnsi="宋体"/>
          <w:sz w:val="24"/>
        </w:rPr>
      </w:pPr>
      <w:r w:rsidRPr="00CE4F60">
        <w:rPr>
          <w:rFonts w:ascii="宋体" w:hAnsi="宋体" w:hint="eastAsia"/>
          <w:sz w:val="24"/>
        </w:rPr>
        <w:t>基金财产投资的有关银行存款证实书等实物证券根据实际需要，存放于基金托管人或其他机构的保管库。</w:t>
      </w:r>
      <w:r>
        <w:rPr>
          <w:rFonts w:ascii="宋体" w:hAnsi="宋体" w:hint="eastAsia"/>
          <w:sz w:val="24"/>
        </w:rPr>
        <w:t>属于基金托管人实际有效控制下的实物证券在基金托管人保管期间的损坏、灭失，由此产生的责任应由基金托管人承担。基金托管人</w:t>
      </w:r>
      <w:r w:rsidRPr="00CE4F60">
        <w:rPr>
          <w:rFonts w:ascii="宋体" w:hAnsi="宋体" w:hint="eastAsia"/>
          <w:sz w:val="24"/>
        </w:rPr>
        <w:t>对基金托管人以外机构实际有效控制</w:t>
      </w:r>
      <w:r>
        <w:rPr>
          <w:rFonts w:ascii="宋体" w:hAnsi="宋体" w:hint="eastAsia"/>
          <w:sz w:val="24"/>
        </w:rPr>
        <w:t>或保管的证券不承担保管责任。</w:t>
      </w:r>
      <w:r w:rsidRPr="00CE4F60">
        <w:rPr>
          <w:rFonts w:ascii="宋体" w:hAnsi="宋体" w:hint="eastAsia"/>
          <w:sz w:val="24"/>
        </w:rPr>
        <w:t>基金管理人应敦促存款银行尽快与基金托管人办理存款证实书入库保管。</w:t>
      </w:r>
    </w:p>
    <w:p w14:paraId="78371711" w14:textId="2245019B" w:rsidR="00E5426A" w:rsidRPr="00CE4F60" w:rsidRDefault="00E5426A" w:rsidP="00CE4F60">
      <w:pPr>
        <w:spacing w:line="360" w:lineRule="auto"/>
        <w:ind w:firstLine="420"/>
        <w:jc w:val="left"/>
        <w:rPr>
          <w:rFonts w:ascii="宋体" w:hAnsi="宋体"/>
          <w:b/>
          <w:sz w:val="24"/>
        </w:rPr>
      </w:pPr>
      <w:bookmarkStart w:id="55" w:name="_Toc37159180"/>
      <w:r w:rsidRPr="001500CA">
        <w:rPr>
          <w:rFonts w:ascii="宋体" w:hAnsi="宋体" w:hint="eastAsia"/>
          <w:sz w:val="24"/>
        </w:rPr>
        <w:t>（</w:t>
      </w:r>
      <w:r w:rsidRPr="001C49D4">
        <w:rPr>
          <w:rFonts w:ascii="宋体" w:hAnsi="宋体"/>
          <w:sz w:val="24"/>
        </w:rPr>
        <w:t>九</w:t>
      </w:r>
      <w:r w:rsidRPr="00280FD1">
        <w:rPr>
          <w:rFonts w:ascii="宋体" w:hAnsi="宋体" w:hint="eastAsia"/>
          <w:sz w:val="24"/>
        </w:rPr>
        <w:t>）与基金财产有关的重大合同的保管</w:t>
      </w:r>
      <w:bookmarkEnd w:id="55"/>
    </w:p>
    <w:p w14:paraId="747CE308" w14:textId="77777777" w:rsidR="00E5426A" w:rsidRPr="001500CA" w:rsidRDefault="00E5426A" w:rsidP="00CE4F60">
      <w:pPr>
        <w:spacing w:line="360" w:lineRule="auto"/>
        <w:ind w:firstLine="420"/>
        <w:jc w:val="left"/>
        <w:rPr>
          <w:rFonts w:ascii="宋体" w:hAnsi="宋体"/>
          <w:sz w:val="24"/>
        </w:rPr>
      </w:pPr>
      <w:r>
        <w:rPr>
          <w:rFonts w:ascii="宋体" w:hAnsi="宋体" w:hint="eastAsia"/>
          <w:sz w:val="24"/>
        </w:rPr>
        <w:t>由基金管理人代表基金签署的与基金有关的重大合同的原件分别应由基金</w:t>
      </w:r>
      <w:r>
        <w:rPr>
          <w:rFonts w:ascii="宋体" w:hAnsi="宋体" w:hint="eastAsia"/>
          <w:sz w:val="24"/>
        </w:rPr>
        <w:lastRenderedPageBreak/>
        <w:t>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w:t>
      </w:r>
      <w:r w:rsidRPr="001500CA">
        <w:rPr>
          <w:rFonts w:ascii="宋体" w:hAnsi="宋体" w:hint="eastAsia"/>
          <w:sz w:val="24"/>
        </w:rPr>
        <w:t>保存期限不少于法定最低期限</w:t>
      </w:r>
      <w:r>
        <w:rPr>
          <w:rFonts w:ascii="宋体" w:hAnsi="宋体" w:hint="eastAsia"/>
          <w:sz w:val="24"/>
        </w:rPr>
        <w:t>。</w:t>
      </w:r>
    </w:p>
    <w:p w14:paraId="2D51FADC" w14:textId="77777777" w:rsidR="00586A97" w:rsidRPr="00CE4F60" w:rsidRDefault="0024620C">
      <w:pPr>
        <w:spacing w:line="360" w:lineRule="auto"/>
        <w:ind w:firstLine="420"/>
        <w:jc w:val="left"/>
        <w:rPr>
          <w:rFonts w:eastAsia="Times New Roman"/>
          <w:kern w:val="0"/>
          <w:sz w:val="24"/>
          <w:szCs w:val="24"/>
        </w:rPr>
      </w:pPr>
      <w:r w:rsidRPr="00CE4F60">
        <w:rPr>
          <w:rFonts w:ascii="宋体" w:hAnsi="宋体" w:cs="宋体"/>
          <w:kern w:val="0"/>
          <w:sz w:val="24"/>
          <w:szCs w:val="24"/>
        </w:rPr>
        <w:t>五、基金资产净值计算与会计核算</w:t>
      </w:r>
    </w:p>
    <w:p w14:paraId="3D1184BE" w14:textId="77777777" w:rsidR="0015752E" w:rsidRPr="00CE4F60" w:rsidRDefault="0015752E" w:rsidP="0015752E">
      <w:pPr>
        <w:spacing w:line="360" w:lineRule="auto"/>
        <w:ind w:firstLine="420"/>
        <w:jc w:val="left"/>
        <w:rPr>
          <w:rFonts w:ascii="宋体" w:hAnsi="宋体"/>
          <w:sz w:val="24"/>
        </w:rPr>
      </w:pPr>
      <w:r w:rsidRPr="00CE4F60">
        <w:rPr>
          <w:rFonts w:ascii="宋体" w:hAnsi="宋体" w:hint="eastAsia"/>
          <w:sz w:val="24"/>
        </w:rPr>
        <w:t>（一）基金资产净值的计算、复核与完成的时间及程序</w:t>
      </w:r>
    </w:p>
    <w:p w14:paraId="641E370D"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1.</w:t>
      </w:r>
      <w:r w:rsidRPr="00CE4F60">
        <w:rPr>
          <w:rFonts w:ascii="宋体" w:hAnsi="宋体"/>
          <w:sz w:val="24"/>
        </w:rPr>
        <w:tab/>
      </w:r>
      <w:r w:rsidRPr="00CE4F60">
        <w:rPr>
          <w:rFonts w:ascii="宋体" w:hAnsi="宋体" w:hint="eastAsia"/>
          <w:sz w:val="24"/>
        </w:rPr>
        <w:t>基金资产净值</w:t>
      </w:r>
    </w:p>
    <w:p w14:paraId="17C51277" w14:textId="7302F13B" w:rsidR="0015752E" w:rsidRPr="00CE4F60" w:rsidRDefault="0015752E" w:rsidP="001A0882">
      <w:pPr>
        <w:spacing w:line="360" w:lineRule="auto"/>
        <w:ind w:firstLine="420"/>
        <w:jc w:val="left"/>
        <w:rPr>
          <w:rFonts w:ascii="宋体" w:hAnsi="宋体"/>
          <w:sz w:val="24"/>
        </w:rPr>
      </w:pPr>
      <w:r w:rsidRPr="00CE4F60">
        <w:rPr>
          <w:rFonts w:ascii="宋体" w:hAnsi="宋体" w:hint="eastAsia"/>
          <w:sz w:val="24"/>
        </w:rPr>
        <w:t>基金资产净值是指基金资产总值减去负债后的</w:t>
      </w:r>
      <w:r w:rsidR="001A0882" w:rsidRPr="001A0882">
        <w:rPr>
          <w:rFonts w:ascii="宋体" w:hAnsi="宋体" w:hint="eastAsia"/>
          <w:sz w:val="24"/>
        </w:rPr>
        <w:t>价值</w:t>
      </w:r>
      <w:r w:rsidRPr="00CE4F60">
        <w:rPr>
          <w:rFonts w:ascii="宋体" w:hAnsi="宋体" w:hint="eastAsia"/>
          <w:sz w:val="24"/>
        </w:rPr>
        <w:t>。</w:t>
      </w:r>
      <w:r w:rsidR="001A0882" w:rsidRPr="001A0882">
        <w:rPr>
          <w:rFonts w:ascii="宋体" w:hAnsi="宋体"/>
          <w:sz w:val="24"/>
        </w:rPr>
        <w:t>各类</w:t>
      </w:r>
      <w:r w:rsidR="001A0882" w:rsidRPr="001A0882">
        <w:rPr>
          <w:rFonts w:ascii="宋体" w:hAnsi="宋体" w:hint="eastAsia"/>
          <w:sz w:val="24"/>
        </w:rPr>
        <w:t>基金份额净值是指计算日</w:t>
      </w:r>
      <w:r w:rsidR="001A0882" w:rsidRPr="001A0882">
        <w:rPr>
          <w:rFonts w:ascii="宋体" w:hAnsi="宋体"/>
          <w:sz w:val="24"/>
        </w:rPr>
        <w:t>各类</w:t>
      </w:r>
      <w:r w:rsidR="001A0882" w:rsidRPr="001A0882">
        <w:rPr>
          <w:rFonts w:ascii="宋体" w:hAnsi="宋体" w:hint="eastAsia"/>
          <w:sz w:val="24"/>
        </w:rPr>
        <w:t>基金资产净值除以该计算日该类基金份额总份额后的数值。本基金的各类基金份额净值的计算均保留到小数点后</w:t>
      </w:r>
      <w:r w:rsidR="001A0882" w:rsidRPr="001A0882">
        <w:rPr>
          <w:rFonts w:ascii="宋体" w:hAnsi="宋体"/>
          <w:sz w:val="24"/>
        </w:rPr>
        <w:t>4</w:t>
      </w:r>
      <w:r w:rsidR="001A0882" w:rsidRPr="001A0882">
        <w:rPr>
          <w:rFonts w:ascii="宋体" w:hAnsi="宋体" w:hint="eastAsia"/>
          <w:sz w:val="24"/>
        </w:rPr>
        <w:t>位，小数点后第</w:t>
      </w:r>
      <w:r w:rsidR="001A0882" w:rsidRPr="001A0882">
        <w:rPr>
          <w:rFonts w:ascii="宋体" w:hAnsi="宋体"/>
          <w:sz w:val="24"/>
        </w:rPr>
        <w:t>5</w:t>
      </w:r>
      <w:r w:rsidR="001A0882" w:rsidRPr="001A0882">
        <w:rPr>
          <w:rFonts w:ascii="宋体" w:hAnsi="宋体" w:hint="eastAsia"/>
          <w:sz w:val="24"/>
        </w:rPr>
        <w:t>位四舍五入，由此产生的误差计入基金财产。</w:t>
      </w:r>
      <w:r w:rsidR="001A0882" w:rsidRPr="001A0882">
        <w:rPr>
          <w:rFonts w:ascii="宋体" w:hAnsi="宋体"/>
          <w:sz w:val="24"/>
        </w:rPr>
        <w:t>基金管理人可以设立大额赎回情形下的净值精度应急调整机制。国家另有规定的，从其规定。</w:t>
      </w:r>
    </w:p>
    <w:p w14:paraId="0DB08363" w14:textId="38B410E5" w:rsidR="0015752E" w:rsidRPr="00CE4F60" w:rsidRDefault="0015752E" w:rsidP="00465EA5">
      <w:pPr>
        <w:spacing w:line="360" w:lineRule="auto"/>
        <w:ind w:firstLine="420"/>
        <w:jc w:val="left"/>
        <w:rPr>
          <w:rFonts w:ascii="宋体" w:hAnsi="宋体"/>
          <w:sz w:val="24"/>
        </w:rPr>
      </w:pPr>
      <w:r w:rsidRPr="00CE4F60">
        <w:rPr>
          <w:rFonts w:ascii="宋体" w:hAnsi="宋体" w:hint="eastAsia"/>
          <w:sz w:val="24"/>
        </w:rPr>
        <w:t>基金管理人</w:t>
      </w:r>
      <w:r w:rsidR="004F1FB0" w:rsidRPr="004F1FB0">
        <w:rPr>
          <w:rFonts w:ascii="宋体" w:hAnsi="宋体" w:hint="eastAsia"/>
          <w:sz w:val="24"/>
        </w:rPr>
        <w:t>应每工作日对基金资产估值</w:t>
      </w:r>
      <w:r w:rsidRPr="00CE4F60">
        <w:rPr>
          <w:rFonts w:ascii="宋体" w:hAnsi="宋体" w:hint="eastAsia"/>
          <w:sz w:val="24"/>
        </w:rPr>
        <w:t>。</w:t>
      </w:r>
      <w:r w:rsidR="004F1FB0" w:rsidRPr="004F1FB0">
        <w:rPr>
          <w:rFonts w:ascii="宋体" w:hAnsi="宋体" w:hint="eastAsia"/>
          <w:sz w:val="24"/>
        </w:rPr>
        <w:t>估值原则应符合《基金合同》、《证券投资基金会计核算业务指引》及其他法律、法规的规定。用于基金信息披露的基金资产净值和各类基金份额净值由基金管理人负责计算，基金托管人复核。基金管理人应于每个工作日交易结束后计算当日的基金资产净值和各类基金份额净值，并以双方认可的方式发送给基金托管人。基金托管人对净值计算结果复核后以双方认可的方式发送给基金管理人，由基金管理人对基金净值信息予以公布。</w:t>
      </w:r>
    </w:p>
    <w:p w14:paraId="47AD2C47" w14:textId="6EF8F9D4" w:rsidR="0015752E" w:rsidRPr="00CE4F60" w:rsidRDefault="0015752E" w:rsidP="0015752E">
      <w:pPr>
        <w:spacing w:line="360" w:lineRule="auto"/>
        <w:ind w:firstLine="420"/>
        <w:jc w:val="left"/>
        <w:rPr>
          <w:rFonts w:ascii="宋体" w:hAnsi="宋体"/>
          <w:sz w:val="24"/>
        </w:rPr>
      </w:pPr>
      <w:r w:rsidRPr="00CE4F60">
        <w:rPr>
          <w:rFonts w:ascii="宋体" w:hAnsi="宋体" w:hint="eastAsia"/>
          <w:sz w:val="24"/>
        </w:rPr>
        <w:t>（二）基金资产估值方法</w:t>
      </w:r>
    </w:p>
    <w:p w14:paraId="59888C4A"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1.</w:t>
      </w:r>
      <w:r w:rsidRPr="00CE4F60">
        <w:rPr>
          <w:rFonts w:ascii="宋体" w:hAnsi="宋体"/>
          <w:sz w:val="24"/>
        </w:rPr>
        <w:tab/>
      </w:r>
      <w:r w:rsidRPr="00CE4F60">
        <w:rPr>
          <w:rFonts w:ascii="宋体" w:hAnsi="宋体" w:hint="eastAsia"/>
          <w:sz w:val="24"/>
        </w:rPr>
        <w:t>估值对象</w:t>
      </w:r>
    </w:p>
    <w:p w14:paraId="667ACD52" w14:textId="5737F00E" w:rsidR="0015752E" w:rsidRPr="00CE4F60" w:rsidRDefault="0015752E" w:rsidP="0015752E">
      <w:pPr>
        <w:spacing w:line="360" w:lineRule="auto"/>
        <w:ind w:firstLine="420"/>
        <w:jc w:val="left"/>
        <w:rPr>
          <w:rFonts w:ascii="宋体" w:hAnsi="宋体"/>
          <w:sz w:val="24"/>
        </w:rPr>
      </w:pPr>
      <w:r w:rsidRPr="00CE4F60">
        <w:rPr>
          <w:rFonts w:ascii="宋体" w:hAnsi="宋体" w:hint="eastAsia"/>
          <w:sz w:val="24"/>
        </w:rPr>
        <w:t>基金所拥有的股票、债券、资产支持证券、国债期货合约</w:t>
      </w:r>
      <w:r w:rsidR="006D79F3">
        <w:rPr>
          <w:rFonts w:ascii="宋体" w:hAnsi="宋体" w:hint="eastAsia"/>
          <w:sz w:val="24"/>
        </w:rPr>
        <w:t>和</w:t>
      </w:r>
      <w:r w:rsidRPr="00CE4F60">
        <w:rPr>
          <w:rFonts w:ascii="宋体" w:hAnsi="宋体" w:hint="eastAsia"/>
          <w:sz w:val="24"/>
        </w:rPr>
        <w:t>银行存款本息、应收款项</w:t>
      </w:r>
      <w:r w:rsidR="006D79F3">
        <w:rPr>
          <w:rFonts w:ascii="宋体" w:hAnsi="宋体" w:hint="eastAsia"/>
          <w:sz w:val="24"/>
        </w:rPr>
        <w:t>、</w:t>
      </w:r>
      <w:r w:rsidRPr="00CE4F60">
        <w:rPr>
          <w:rFonts w:ascii="宋体" w:hAnsi="宋体" w:hint="eastAsia"/>
          <w:sz w:val="24"/>
        </w:rPr>
        <w:t>其它投资等资产及负债。</w:t>
      </w:r>
    </w:p>
    <w:p w14:paraId="1023A5D9"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2.</w:t>
      </w:r>
      <w:r w:rsidRPr="00CE4F60">
        <w:rPr>
          <w:rFonts w:ascii="宋体" w:hAnsi="宋体"/>
          <w:sz w:val="24"/>
        </w:rPr>
        <w:tab/>
      </w:r>
      <w:r w:rsidRPr="00CE4F60">
        <w:rPr>
          <w:rFonts w:ascii="宋体" w:hAnsi="宋体" w:hint="eastAsia"/>
          <w:sz w:val="24"/>
        </w:rPr>
        <w:t>估值方法</w:t>
      </w:r>
    </w:p>
    <w:p w14:paraId="6F6E8948" w14:textId="77777777" w:rsidR="004E2A68" w:rsidRDefault="004E2A68" w:rsidP="004E2A68">
      <w:pPr>
        <w:spacing w:line="440" w:lineRule="atLeast"/>
        <w:ind w:right="28" w:firstLineChars="200" w:firstLine="480"/>
        <w:rPr>
          <w:rFonts w:ascii="宋体" w:hAnsi="宋体"/>
          <w:sz w:val="24"/>
        </w:rPr>
      </w:pPr>
      <w:r>
        <w:rPr>
          <w:rFonts w:ascii="宋体" w:hAnsi="宋体" w:hint="eastAsia"/>
          <w:sz w:val="24"/>
        </w:rPr>
        <w:t>本基金的估值方法为：</w:t>
      </w:r>
    </w:p>
    <w:p w14:paraId="429E2E41"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1）证券交易所上市的有价证券的估值</w:t>
      </w:r>
    </w:p>
    <w:p w14:paraId="496144D6"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A.</w:t>
      </w:r>
      <w:r w:rsidRPr="00CE4F60">
        <w:rPr>
          <w:rFonts w:ascii="宋体" w:hAnsi="宋体"/>
          <w:sz w:val="24"/>
        </w:rPr>
        <w:tab/>
      </w:r>
      <w:r w:rsidRPr="00CE4F60">
        <w:rPr>
          <w:rFonts w:ascii="宋体" w:hAnsi="宋体" w:hint="eastAsia"/>
          <w:sz w:val="24"/>
        </w:rPr>
        <w:t>交易所上市的有价证券（包括股票等），以其估值日在证券交易所挂牌的市价（收盘价）估值；估值日无交易的，且最近交易日后经济环境未发生重</w:t>
      </w:r>
      <w:r w:rsidRPr="00CE4F60">
        <w:rPr>
          <w:rFonts w:ascii="宋体" w:hAnsi="宋体" w:hint="eastAsia"/>
          <w:sz w:val="24"/>
        </w:rPr>
        <w:lastRenderedPageBreak/>
        <w:t>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39A9BB0"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B.</w:t>
      </w:r>
      <w:r w:rsidRPr="00CE4F60">
        <w:rPr>
          <w:rFonts w:ascii="宋体" w:hAnsi="宋体"/>
          <w:sz w:val="24"/>
        </w:rPr>
        <w:tab/>
      </w:r>
      <w:r w:rsidRPr="00CE4F60">
        <w:rPr>
          <w:rFonts w:ascii="宋体" w:hAnsi="宋体" w:hint="eastAsia"/>
          <w:sz w:val="24"/>
        </w:rPr>
        <w:t>交易所上市交易或挂牌转让的不含权固定收益品种，选取估值日第三方估值机构提供的相应品种当日的估值净价进行估值；</w:t>
      </w:r>
    </w:p>
    <w:p w14:paraId="4D536F86"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C.</w:t>
      </w:r>
      <w:r w:rsidRPr="00CE4F60">
        <w:rPr>
          <w:rFonts w:ascii="宋体" w:hAnsi="宋体"/>
          <w:sz w:val="24"/>
        </w:rPr>
        <w:tab/>
      </w:r>
      <w:r w:rsidRPr="00CE4F60">
        <w:rPr>
          <w:rFonts w:ascii="宋体" w:hAnsi="宋体" w:hint="eastAsia"/>
          <w:sz w:val="24"/>
        </w:rPr>
        <w:t>交易所上市交易或挂牌转让的含权固定收益品种，选取估值日第三方估值机构提供的相应品种当日的唯一估值净价或推荐估值净价进行估值；</w:t>
      </w:r>
    </w:p>
    <w:p w14:paraId="14EA578D"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D.</w:t>
      </w:r>
      <w:r w:rsidRPr="00CE4F60">
        <w:rPr>
          <w:rFonts w:ascii="宋体" w:hAnsi="宋体"/>
          <w:sz w:val="24"/>
        </w:rPr>
        <w:tab/>
      </w:r>
      <w:r w:rsidRPr="00CE4F60">
        <w:rPr>
          <w:rFonts w:ascii="宋体" w:hAnsi="宋体" w:hint="eastAsia"/>
          <w:sz w:val="24"/>
        </w:rPr>
        <w:t>交易所上市交易的可转换债券以每日收盘价作为估值全价；</w:t>
      </w:r>
    </w:p>
    <w:p w14:paraId="7D2D76F7"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E.</w:t>
      </w:r>
      <w:r w:rsidRPr="00CE4F60">
        <w:rPr>
          <w:rFonts w:ascii="宋体" w:hAnsi="宋体"/>
          <w:sz w:val="24"/>
        </w:rPr>
        <w:tab/>
      </w:r>
      <w:r w:rsidRPr="00CE4F60">
        <w:rPr>
          <w:rFonts w:ascii="宋体" w:hAnsi="宋体" w:hint="eastAsia"/>
          <w:sz w:val="24"/>
        </w:rPr>
        <w:t>交易所上市不存在活跃市场的有价证券，采用估值技术确定公允价值。交易所市场挂牌转让的资产支持证券，采用估值技术确定公允价值。</w:t>
      </w:r>
    </w:p>
    <w:p w14:paraId="5439CB27"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2）处于未上市期间的有价证券应区分如下情况处理：</w:t>
      </w:r>
    </w:p>
    <w:p w14:paraId="483386E3"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A．送股、转增股、配股和公开增发的新股，按估值日在证券交易所挂牌的同一股票的估值方法估值；该日无交易的，以最近一日的市价（收盘价）估值；</w:t>
      </w:r>
    </w:p>
    <w:p w14:paraId="7BCA85A2"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B．首次公开发行未上市的股票，采用估值技术确定公允价值，在估值技术难以可靠计量公允价值的情况下，按成本估值；</w:t>
      </w:r>
    </w:p>
    <w:p w14:paraId="23758985"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 xml:space="preserve">C. </w:t>
      </w:r>
      <w:r w:rsidRPr="00CE4F60">
        <w:rPr>
          <w:rFonts w:ascii="宋体" w:hAnsi="宋体" w:hint="eastAsia"/>
          <w:sz w:val="24"/>
        </w:rPr>
        <w:t>对在交易所市场发行未上市或未挂牌转让的债券，对存在活跃市场的情况下，应以活跃市场上未经调整的报价作为计量日的公允价值进行估值；对于活跃市场报价未能代表计量日公允价值的情况下，应对市场报价进行调整，确认计量日的公允价值；对于不存在市场活动或市场活动很少的情况下，则采用估值技术确定公允价值；</w:t>
      </w:r>
    </w:p>
    <w:p w14:paraId="6F297BEB"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 xml:space="preserve">D. </w:t>
      </w:r>
      <w:r w:rsidRPr="00CE4F60">
        <w:rPr>
          <w:rFonts w:ascii="宋体" w:hAnsi="宋体" w:hint="eastAsia"/>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2583E6F3"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w:t>
      </w:r>
      <w:r w:rsidRPr="00CE4F60">
        <w:rPr>
          <w:rFonts w:ascii="宋体" w:hAnsi="宋体"/>
          <w:sz w:val="24"/>
        </w:rPr>
        <w:lastRenderedPageBreak/>
        <w:t>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503FC66D"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4）同一债券或股票同时在两个或两个以上市场交易的，按债券或股票所处的市场分别估值。</w:t>
      </w:r>
    </w:p>
    <w:p w14:paraId="39AC2EBF"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5）同业存单按估值日第三方估值机构提供的估值净价估值；选定的第三方估值机构未提供估值价格的，按成本估值。</w:t>
      </w:r>
    </w:p>
    <w:p w14:paraId="1D8A257D" w14:textId="18011F42" w:rsidR="0015752E" w:rsidRPr="00CE4F60" w:rsidRDefault="0015752E" w:rsidP="0015752E">
      <w:pPr>
        <w:spacing w:line="360" w:lineRule="auto"/>
        <w:ind w:firstLine="420"/>
        <w:jc w:val="left"/>
        <w:rPr>
          <w:rFonts w:ascii="宋体" w:hAnsi="宋体"/>
          <w:sz w:val="24"/>
        </w:rPr>
      </w:pPr>
      <w:r w:rsidRPr="00CE4F60">
        <w:rPr>
          <w:rFonts w:ascii="宋体" w:hAnsi="宋体"/>
          <w:sz w:val="24"/>
        </w:rPr>
        <w:t>6）本基金投资国债期货合约，一般以国债期货合约估值日的结算价估值</w:t>
      </w:r>
      <w:r w:rsidR="00465EA5">
        <w:rPr>
          <w:rFonts w:ascii="宋体" w:hAnsi="宋体" w:hint="eastAsia"/>
          <w:sz w:val="24"/>
        </w:rPr>
        <w:t>，</w:t>
      </w:r>
      <w:r w:rsidRPr="00CE4F60">
        <w:rPr>
          <w:rFonts w:ascii="宋体" w:hAnsi="宋体"/>
          <w:sz w:val="24"/>
        </w:rPr>
        <w:t>估值当日无结算价的，且最近交易日后经济环境未发生重大变化的，采用最近交易日结算价估值。</w:t>
      </w:r>
    </w:p>
    <w:p w14:paraId="57CCE68E"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7）估值计算中涉及港币或其他外币币种对人民币汇率的，将依据下列信息提供机构所提供的汇率为基准：当日中国人民银行或其授权机构公布的人民币汇率的中间价，或其他可以反映公允价值的汇率进行估值。</w:t>
      </w:r>
    </w:p>
    <w:p w14:paraId="05DC4988" w14:textId="77777777" w:rsidR="00465EA5" w:rsidRDefault="00465EA5" w:rsidP="00465EA5">
      <w:pPr>
        <w:spacing w:line="360" w:lineRule="auto"/>
        <w:ind w:firstLine="420"/>
        <w:rPr>
          <w:rFonts w:ascii="宋体" w:hAnsi="宋体" w:cs="宋体"/>
          <w:kern w:val="0"/>
          <w:sz w:val="24"/>
        </w:rPr>
      </w:pPr>
      <w:r w:rsidRPr="00B552B3">
        <w:rPr>
          <w:rFonts w:ascii="宋体" w:hAnsi="宋体" w:cs="宋体" w:hint="eastAsia"/>
          <w:kern w:val="0"/>
          <w:sz w:val="24"/>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6AB5ADA0"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8）本基金投资存托凭证的估值核算，依照境内上市交易的股票进行。</w:t>
      </w:r>
    </w:p>
    <w:p w14:paraId="56D2BD5F"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9）如有确凿证据表明按上述方法进行估值不能客观反映其公允价值的，基金管理人可根据具体情况与基金托管人商定后，按最能反映公允价值的价格估值。</w:t>
      </w:r>
    </w:p>
    <w:p w14:paraId="6DB7D514"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10）当发生大额申购或赎回情形时，基金管理人可以采用摆动定价机制，以确保基金估值的公平性。</w:t>
      </w:r>
    </w:p>
    <w:p w14:paraId="40764BDD" w14:textId="77777777" w:rsidR="0015752E" w:rsidRPr="00CE4F60" w:rsidRDefault="0015752E" w:rsidP="0015752E">
      <w:pPr>
        <w:spacing w:line="360" w:lineRule="auto"/>
        <w:ind w:firstLine="420"/>
        <w:jc w:val="left"/>
        <w:rPr>
          <w:rFonts w:ascii="宋体" w:hAnsi="宋体"/>
          <w:sz w:val="24"/>
        </w:rPr>
      </w:pPr>
      <w:r w:rsidRPr="00CE4F60">
        <w:rPr>
          <w:rFonts w:ascii="宋体" w:hAnsi="宋体"/>
          <w:sz w:val="24"/>
        </w:rPr>
        <w:t>11）相关法律法规以及监管部门有强制规定的，从其规定。如有新增事项，按国家最新规定估值。</w:t>
      </w:r>
    </w:p>
    <w:p w14:paraId="154930D5" w14:textId="77777777" w:rsidR="0015752E" w:rsidRPr="00CE4F60" w:rsidRDefault="0015752E" w:rsidP="0015752E">
      <w:pPr>
        <w:spacing w:line="360" w:lineRule="auto"/>
        <w:ind w:firstLine="420"/>
        <w:jc w:val="left"/>
        <w:rPr>
          <w:rFonts w:ascii="宋体" w:hAnsi="宋体"/>
          <w:sz w:val="24"/>
        </w:rPr>
      </w:pPr>
      <w:r w:rsidRPr="00CE4F60">
        <w:rPr>
          <w:rFonts w:ascii="宋体" w:hAnsi="宋体"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E01FE31" w14:textId="309F70A5" w:rsidR="0015752E" w:rsidRPr="00CE4F60" w:rsidRDefault="00465EA5" w:rsidP="00CE4F60">
      <w:pPr>
        <w:spacing w:line="360" w:lineRule="auto"/>
        <w:ind w:firstLine="420"/>
        <w:rPr>
          <w:rFonts w:ascii="宋体" w:hAnsi="宋体"/>
          <w:sz w:val="24"/>
        </w:rPr>
      </w:pPr>
      <w:r>
        <w:rPr>
          <w:rFonts w:ascii="宋体" w:hAnsi="宋体" w:cs="宋体"/>
          <w:kern w:val="0"/>
          <w:sz w:val="24"/>
        </w:rPr>
        <w:lastRenderedPageBreak/>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p w14:paraId="3D8184D4" w14:textId="6FB1329F" w:rsidR="0015752E" w:rsidRPr="00CE4F60" w:rsidRDefault="0015752E" w:rsidP="0015752E">
      <w:pPr>
        <w:spacing w:line="360" w:lineRule="auto"/>
        <w:ind w:firstLine="420"/>
        <w:jc w:val="left"/>
        <w:rPr>
          <w:rFonts w:ascii="宋体" w:hAnsi="宋体"/>
          <w:sz w:val="24"/>
        </w:rPr>
      </w:pPr>
      <w:r w:rsidRPr="00CE4F60">
        <w:rPr>
          <w:rFonts w:ascii="宋体" w:hAnsi="宋体" w:hint="eastAsia"/>
          <w:sz w:val="24"/>
        </w:rPr>
        <w:t>（三）</w:t>
      </w:r>
      <w:r w:rsidR="00465EA5" w:rsidRPr="00CE4F60">
        <w:rPr>
          <w:rFonts w:ascii="宋体" w:hAnsi="宋体" w:hint="eastAsia"/>
          <w:bCs/>
          <w:sz w:val="24"/>
        </w:rPr>
        <w:t>估值差错处理</w:t>
      </w:r>
    </w:p>
    <w:p w14:paraId="611E3D2A" w14:textId="77777777" w:rsidR="00465EA5" w:rsidRDefault="00465EA5" w:rsidP="00465EA5">
      <w:pPr>
        <w:spacing w:line="360" w:lineRule="auto"/>
        <w:ind w:right="28" w:firstLineChars="200" w:firstLine="480"/>
        <w:rPr>
          <w:rFonts w:ascii="宋体" w:hAnsi="宋体"/>
          <w:sz w:val="24"/>
          <w:szCs w:val="21"/>
        </w:rPr>
      </w:pPr>
      <w:r>
        <w:rPr>
          <w:rFonts w:ascii="宋体" w:hAnsi="宋体" w:hint="eastAsia"/>
          <w:sz w:val="24"/>
          <w:szCs w:val="21"/>
        </w:rPr>
        <w:t>因基金估值错误给投资者造成损失的应先由基金管理人承担，基金管理人对不应由其承担的责任，有权向过错人追偿。</w:t>
      </w:r>
    </w:p>
    <w:p w14:paraId="601D4E3F" w14:textId="77777777" w:rsidR="00465EA5" w:rsidRDefault="00465EA5" w:rsidP="00465EA5">
      <w:pPr>
        <w:spacing w:line="360" w:lineRule="auto"/>
        <w:ind w:right="28" w:firstLineChars="200" w:firstLine="480"/>
        <w:rPr>
          <w:rFonts w:ascii="宋体" w:hAnsi="宋体"/>
          <w:sz w:val="24"/>
          <w:szCs w:val="21"/>
        </w:rPr>
      </w:pPr>
      <w:r>
        <w:rPr>
          <w:rFonts w:ascii="宋体" w:hAnsi="宋体" w:hint="eastAsia"/>
          <w:sz w:val="24"/>
          <w:szCs w:val="21"/>
        </w:rPr>
        <w:t>当基金管理人计算的基金资产净值、基金份额净值已由基金托管人复核确认后公告的，由此造成的投资者或基金的损失，应根据法律法规的规定对投资者或基金支付赔偿金，就实际向投资者或基金支付的赔偿金额，由基金管理人与基金托管人按照管理费率和托管费率的比例各自承担相应的责任。</w:t>
      </w:r>
    </w:p>
    <w:p w14:paraId="5F4FA67E" w14:textId="77777777" w:rsidR="00465EA5" w:rsidRDefault="00465EA5" w:rsidP="00465EA5">
      <w:pPr>
        <w:spacing w:line="360" w:lineRule="auto"/>
        <w:ind w:right="28" w:firstLineChars="200" w:firstLine="480"/>
        <w:rPr>
          <w:rFonts w:ascii="宋体" w:hAnsi="宋体"/>
          <w:sz w:val="24"/>
          <w:szCs w:val="21"/>
        </w:rPr>
      </w:pPr>
      <w:r>
        <w:rPr>
          <w:rFonts w:ascii="宋体" w:hAnsi="宋体" w:hint="eastAsia"/>
          <w:sz w:val="24"/>
          <w:szCs w:val="21"/>
        </w:rPr>
        <w:t>由于一方当事人提供的信息错误，另一方当事人在采取了必要合理的措施后仍不能发现该错误，进而导致基金资产净值、基金份额净值计算错误造成投资者或基金的损失，以及由此造成以后交易日基金资产净值、基金份额净值计算顺延错误而引起的投资者或基金的损失，由提供错误信息的当事人一方负责赔偿。</w:t>
      </w:r>
    </w:p>
    <w:p w14:paraId="0DB3274A" w14:textId="77777777" w:rsidR="00465EA5" w:rsidRDefault="00465EA5" w:rsidP="00465EA5">
      <w:pPr>
        <w:spacing w:line="360" w:lineRule="auto"/>
        <w:ind w:right="28" w:firstLineChars="200" w:firstLine="480"/>
        <w:rPr>
          <w:rFonts w:ascii="宋体" w:hAnsi="宋体"/>
          <w:sz w:val="24"/>
          <w:szCs w:val="21"/>
        </w:rPr>
      </w:pPr>
      <w:r>
        <w:rPr>
          <w:rFonts w:ascii="宋体" w:hAnsi="宋体" w:hint="eastAsia"/>
          <w:sz w:val="24"/>
          <w:szCs w:val="21"/>
        </w:rPr>
        <w:t>由于证券/期货交易所及其登记结算公司等第三方机构发送的数据错误，或由于其他不可抗力等原因，基金管理人和基金托管人虽然已经采取必要、适当、合理的措施进行检查，但是未能发现该错误的，由此造成的基金资产估值错误，基金管理人和基金托管人免除赔偿责任。但基金管理人和基金托管人应当积极采取必要的措施减轻或消除由此造成的影响。</w:t>
      </w:r>
    </w:p>
    <w:p w14:paraId="2CF6EA7F" w14:textId="77777777" w:rsidR="00465EA5" w:rsidRDefault="00465EA5" w:rsidP="00465EA5">
      <w:pPr>
        <w:spacing w:line="360" w:lineRule="auto"/>
        <w:ind w:firstLineChars="200" w:firstLine="480"/>
        <w:rPr>
          <w:rFonts w:ascii="宋体" w:hAnsi="宋体"/>
          <w:sz w:val="24"/>
        </w:rPr>
      </w:pPr>
      <w:r>
        <w:rPr>
          <w:rFonts w:ascii="宋体" w:hAnsi="宋体" w:hint="eastAsia"/>
          <w:sz w:val="24"/>
          <w:szCs w:val="21"/>
        </w:rPr>
        <w:t>当基金管理人计算的基金资产净值与基金托管人的计算结果不一致时，相关各方应本着勤勉尽责的态度重新计算核对，如果最后仍无法达成一致，应以基金管理人的计算结果为准对外公布，由此造成的损失以及因该交易日基金资产净值计算顺延错误而引起的损失由基金管理人承担赔偿责任，基金托管人不负赔偿责任。</w:t>
      </w:r>
    </w:p>
    <w:p w14:paraId="731C7136" w14:textId="77777777" w:rsidR="00465EA5" w:rsidRPr="00CE4F60" w:rsidRDefault="0015752E" w:rsidP="00CE4F60">
      <w:pPr>
        <w:spacing w:line="360" w:lineRule="auto"/>
        <w:ind w:firstLine="420"/>
        <w:jc w:val="left"/>
        <w:rPr>
          <w:rFonts w:ascii="宋体" w:hAnsi="宋体"/>
          <w:sz w:val="24"/>
        </w:rPr>
      </w:pPr>
      <w:r w:rsidRPr="00CE4F60">
        <w:rPr>
          <w:rFonts w:ascii="宋体" w:hAnsi="宋体" w:hint="eastAsia"/>
          <w:sz w:val="24"/>
        </w:rPr>
        <w:t>（四）</w:t>
      </w:r>
      <w:r w:rsidR="00465EA5" w:rsidRPr="00CE4F60">
        <w:rPr>
          <w:rFonts w:ascii="宋体" w:hAnsi="宋体" w:hint="eastAsia"/>
          <w:sz w:val="24"/>
        </w:rPr>
        <w:t>基金账册的建立</w:t>
      </w:r>
    </w:p>
    <w:p w14:paraId="25302532" w14:textId="77777777" w:rsidR="00465EA5" w:rsidRDefault="00465EA5" w:rsidP="00465EA5">
      <w:pPr>
        <w:spacing w:line="360" w:lineRule="auto"/>
        <w:ind w:firstLineChars="200" w:firstLine="480"/>
        <w:rPr>
          <w:rFonts w:ascii="宋体" w:hAnsi="宋体"/>
          <w:sz w:val="24"/>
        </w:rPr>
      </w:pPr>
      <w:r>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w:t>
      </w:r>
      <w:r>
        <w:rPr>
          <w:rFonts w:ascii="宋体" w:hAnsi="宋体" w:hint="eastAsia"/>
          <w:sz w:val="24"/>
        </w:rPr>
        <w:lastRenderedPageBreak/>
        <w:t>方对会计处理方法存在分歧，应以基金管理人的处理方法为准。</w:t>
      </w:r>
    </w:p>
    <w:p w14:paraId="2FD5D4C2" w14:textId="78CD2A30" w:rsidR="0015752E" w:rsidRPr="00CE4F60" w:rsidRDefault="00465EA5" w:rsidP="00465EA5">
      <w:pPr>
        <w:spacing w:line="360" w:lineRule="auto"/>
        <w:ind w:firstLine="420"/>
        <w:jc w:val="left"/>
        <w:rPr>
          <w:rFonts w:ascii="宋体" w:hAnsi="宋体"/>
          <w:sz w:val="24"/>
        </w:rPr>
      </w:pPr>
      <w:r>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资产净值的计算和公告的，以基金管理人的账册为准。</w:t>
      </w:r>
    </w:p>
    <w:p w14:paraId="04F8E638" w14:textId="77777777" w:rsidR="00465EA5" w:rsidRPr="00CE4F60" w:rsidRDefault="0015752E" w:rsidP="00CE4F60">
      <w:pPr>
        <w:spacing w:line="360" w:lineRule="auto"/>
        <w:ind w:firstLine="420"/>
        <w:jc w:val="left"/>
        <w:rPr>
          <w:rFonts w:ascii="宋体" w:hAnsi="宋体"/>
          <w:sz w:val="24"/>
        </w:rPr>
      </w:pPr>
      <w:r w:rsidRPr="00CE4F60">
        <w:rPr>
          <w:rFonts w:ascii="宋体" w:hAnsi="宋体" w:hint="eastAsia"/>
          <w:sz w:val="24"/>
        </w:rPr>
        <w:t>（五）</w:t>
      </w:r>
      <w:r w:rsidR="00465EA5" w:rsidRPr="00CE4F60">
        <w:rPr>
          <w:rFonts w:ascii="宋体" w:hAnsi="宋体" w:hint="eastAsia"/>
          <w:sz w:val="24"/>
        </w:rPr>
        <w:t>基金定期报告的编制和复核</w:t>
      </w:r>
      <w:bookmarkStart w:id="56" w:name="_Hlt89687912"/>
      <w:bookmarkEnd w:id="56"/>
    </w:p>
    <w:p w14:paraId="5BA49688" w14:textId="77777777" w:rsidR="00465EA5" w:rsidRDefault="00465EA5" w:rsidP="00465EA5">
      <w:pPr>
        <w:spacing w:line="360" w:lineRule="auto"/>
        <w:ind w:firstLineChars="200" w:firstLine="480"/>
        <w:rPr>
          <w:rFonts w:ascii="宋体" w:hAnsi="宋体"/>
          <w:sz w:val="24"/>
        </w:rPr>
      </w:pPr>
      <w:r>
        <w:rPr>
          <w:rFonts w:ascii="宋体" w:hAnsi="宋体" w:hint="eastAsia"/>
          <w:sz w:val="24"/>
        </w:rPr>
        <w:t>基金财务报表由基金管理人和基金托管人每月分别独立编制。月度报表的编制，应于每月终了后</w:t>
      </w:r>
      <w:r>
        <w:rPr>
          <w:rFonts w:ascii="宋体" w:hAnsi="宋体"/>
          <w:sz w:val="24"/>
        </w:rPr>
        <w:t>5</w:t>
      </w:r>
      <w:r>
        <w:rPr>
          <w:rFonts w:ascii="宋体" w:hAnsi="宋体" w:hint="eastAsia"/>
          <w:sz w:val="24"/>
        </w:rPr>
        <w:t>个工作日内完成。</w:t>
      </w:r>
    </w:p>
    <w:p w14:paraId="542FD558" w14:textId="77777777" w:rsidR="00465EA5" w:rsidRDefault="00465EA5" w:rsidP="00465EA5">
      <w:pPr>
        <w:spacing w:line="360" w:lineRule="auto"/>
        <w:ind w:firstLineChars="200" w:firstLine="480"/>
        <w:rPr>
          <w:rFonts w:ascii="宋体" w:hAnsi="宋体"/>
          <w:sz w:val="24"/>
        </w:rPr>
      </w:pPr>
      <w:r>
        <w:rPr>
          <w:rFonts w:ascii="宋体" w:hAnsi="宋体" w:hint="eastAsia"/>
          <w:bCs/>
          <w:sz w:val="24"/>
        </w:rPr>
        <w:t>《基金合同》生效后，</w:t>
      </w:r>
      <w:r w:rsidRPr="009D1AC5">
        <w:rPr>
          <w:rFonts w:ascii="宋体" w:hAnsi="宋体"/>
          <w:bCs/>
          <w:sz w:val="24"/>
        </w:rPr>
        <w:t>基金</w:t>
      </w:r>
      <w:r w:rsidRPr="009D1AC5">
        <w:rPr>
          <w:rFonts w:ascii="宋体" w:hAnsi="宋体" w:hint="eastAsia"/>
          <w:bCs/>
          <w:sz w:val="24"/>
        </w:rPr>
        <w:t>招募说明书的信息发生重大变更的，</w:t>
      </w:r>
      <w:r w:rsidRPr="009D1AC5">
        <w:rPr>
          <w:rFonts w:ascii="宋体" w:hAnsi="宋体"/>
          <w:bCs/>
          <w:sz w:val="24"/>
        </w:rPr>
        <w:t>基金管理人应当在</w:t>
      </w:r>
      <w:r w:rsidRPr="009D1AC5">
        <w:rPr>
          <w:rFonts w:ascii="宋体" w:hAnsi="宋体" w:hint="eastAsia"/>
          <w:bCs/>
          <w:sz w:val="24"/>
        </w:rPr>
        <w:t>3个工作日内，</w:t>
      </w:r>
      <w:r w:rsidRPr="009D1AC5">
        <w:rPr>
          <w:rFonts w:ascii="宋体" w:hAnsi="宋体"/>
          <w:bCs/>
          <w:sz w:val="24"/>
        </w:rPr>
        <w:t>更新基金招募说明书并登载在规定网站上</w:t>
      </w:r>
      <w:r w:rsidRPr="009D1AC5">
        <w:rPr>
          <w:rFonts w:ascii="宋体" w:hAnsi="宋体" w:hint="eastAsia"/>
          <w:bCs/>
          <w:sz w:val="24"/>
        </w:rPr>
        <w:t>；</w:t>
      </w:r>
      <w:r w:rsidRPr="009D1AC5">
        <w:rPr>
          <w:rFonts w:ascii="宋体" w:hAnsi="宋体"/>
          <w:bCs/>
          <w:sz w:val="24"/>
        </w:rPr>
        <w:t>基金招募说明书其他信息发生变更的</w:t>
      </w:r>
      <w:r w:rsidRPr="009D1AC5">
        <w:rPr>
          <w:rFonts w:ascii="宋体" w:hAnsi="宋体" w:hint="eastAsia"/>
          <w:bCs/>
          <w:sz w:val="24"/>
        </w:rPr>
        <w:t>，基金管理人至少</w:t>
      </w:r>
      <w:r w:rsidRPr="009D1AC5">
        <w:rPr>
          <w:rFonts w:ascii="宋体" w:hAnsi="宋体"/>
          <w:bCs/>
          <w:sz w:val="24"/>
        </w:rPr>
        <w:t>每年更新一次</w:t>
      </w:r>
      <w:r w:rsidRPr="009D1AC5">
        <w:rPr>
          <w:rFonts w:ascii="宋体" w:hAnsi="宋体" w:hint="eastAsia"/>
          <w:bCs/>
          <w:sz w:val="24"/>
        </w:rPr>
        <w:t>。</w:t>
      </w:r>
      <w:r>
        <w:rPr>
          <w:rFonts w:ascii="宋体" w:hAnsi="宋体" w:hint="eastAsia"/>
          <w:bCs/>
          <w:sz w:val="24"/>
        </w:rPr>
        <w:t>基金终止运作的，基金管理人不再更新基金招募说明书</w:t>
      </w:r>
      <w:r>
        <w:rPr>
          <w:rFonts w:ascii="宋体" w:hAnsi="宋体" w:hint="eastAsia"/>
          <w:kern w:val="44"/>
          <w:sz w:val="24"/>
        </w:rPr>
        <w:t>。</w:t>
      </w:r>
      <w:r>
        <w:rPr>
          <w:rFonts w:ascii="宋体" w:hAnsi="宋体" w:hint="eastAsia"/>
          <w:sz w:val="24"/>
        </w:rPr>
        <w:t>基金管理人在季度结束之日起15个工作日内完成季度报告编制并公告；在上半年结束之日起两个月内完成中期报告编制并公告；在每年结束之日起三个月内完成年度报告编制并公告。</w:t>
      </w:r>
    </w:p>
    <w:p w14:paraId="4A186710" w14:textId="77777777" w:rsidR="00465EA5" w:rsidRDefault="00465EA5" w:rsidP="00465EA5">
      <w:pPr>
        <w:spacing w:line="360" w:lineRule="auto"/>
        <w:ind w:firstLineChars="200" w:firstLine="480"/>
        <w:rPr>
          <w:rFonts w:ascii="宋体" w:hAnsi="宋体"/>
          <w:sz w:val="24"/>
        </w:rPr>
      </w:pPr>
      <w:r>
        <w:rPr>
          <w:rFonts w:ascii="宋体" w:hAnsi="宋体" w:hint="eastAsia"/>
          <w:sz w:val="24"/>
        </w:rPr>
        <w:t>基金管理人在每月终了后5个工作日内完成月度报表；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人。基金管理人在一个月内完成中期报告，在</w:t>
      </w:r>
      <w:r>
        <w:rPr>
          <w:rFonts w:ascii="宋体" w:hAnsi="宋体"/>
          <w:sz w:val="24"/>
        </w:rPr>
        <w:t>中期报告完</w:t>
      </w:r>
      <w:r>
        <w:rPr>
          <w:rFonts w:ascii="宋体" w:hAnsi="宋体" w:hint="eastAsia"/>
          <w:sz w:val="24"/>
        </w:rPr>
        <w:t>成当日，将有关报告提供基金托管人复核，基金托管人在收到后一个月内进行复核，并将复核结果书面通知基金管理人。基金管理人在一个半月内完成年度报告，在年度报告完成当日，将有关报告提供基金托管人复核，基金托管人在收到后</w:t>
      </w:r>
      <w:r>
        <w:rPr>
          <w:rFonts w:ascii="宋体" w:hAnsi="宋体"/>
          <w:sz w:val="24"/>
        </w:rPr>
        <w:t>一个半月</w:t>
      </w:r>
      <w:r>
        <w:rPr>
          <w:rFonts w:ascii="宋体" w:hAnsi="宋体" w:hint="eastAsia"/>
          <w:sz w:val="24"/>
        </w:rPr>
        <w:t>内复核，并将复核结果书面通知基金管理人。</w:t>
      </w:r>
    </w:p>
    <w:p w14:paraId="25369F57" w14:textId="77777777" w:rsidR="00465EA5" w:rsidRDefault="00465EA5" w:rsidP="00465EA5">
      <w:pPr>
        <w:spacing w:line="360" w:lineRule="auto"/>
        <w:ind w:firstLineChars="200" w:firstLine="480"/>
        <w:rPr>
          <w:rFonts w:ascii="宋体" w:hAnsi="宋体"/>
          <w:sz w:val="24"/>
        </w:rPr>
      </w:pPr>
      <w:r>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ascii="宋体" w:hAnsi="宋体" w:hint="eastAsia"/>
          <w:sz w:val="24"/>
          <w:szCs w:val="21"/>
        </w:rPr>
        <w:t>或者出具加盖托管业务部门公章的复核意见书</w:t>
      </w:r>
      <w:r>
        <w:rPr>
          <w:rFonts w:ascii="宋体" w:hAnsi="宋体" w:hint="eastAsia"/>
          <w:sz w:val="24"/>
        </w:rPr>
        <w:t>，相关各方各自留存一份。</w:t>
      </w:r>
      <w:r>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如果基金管理人与基金托管人不能于应当发布公告之日之前就相关报表达成一致，基金管理人有权按照其编制的报表对外发布公告，基金托管人有权就相关情况报中国证监会备</w:t>
      </w:r>
      <w:r>
        <w:rPr>
          <w:rFonts w:ascii="宋体" w:hAnsi="宋体" w:hint="eastAsia"/>
          <w:kern w:val="44"/>
          <w:sz w:val="24"/>
        </w:rPr>
        <w:lastRenderedPageBreak/>
        <w:t>案。</w:t>
      </w:r>
    </w:p>
    <w:p w14:paraId="4AB28ACB" w14:textId="15D8C24E" w:rsidR="0015752E" w:rsidRPr="00CE4F60" w:rsidRDefault="00465EA5" w:rsidP="00465EA5">
      <w:pPr>
        <w:spacing w:line="360" w:lineRule="auto"/>
        <w:ind w:firstLine="420"/>
        <w:jc w:val="left"/>
        <w:rPr>
          <w:rFonts w:ascii="宋体" w:hAnsi="宋体"/>
          <w:sz w:val="24"/>
        </w:rPr>
      </w:pPr>
      <w:r>
        <w:rPr>
          <w:rFonts w:ascii="宋体" w:hAnsi="宋体" w:hint="eastAsia"/>
          <w:sz w:val="24"/>
        </w:rPr>
        <w:t>基金托管人在对财务会计报告、季度报告、中期报告或年度报告复核完毕后，需</w:t>
      </w:r>
      <w:r w:rsidRPr="00892DB0">
        <w:rPr>
          <w:rFonts w:ascii="宋体" w:hAnsi="宋体" w:hint="eastAsia"/>
          <w:sz w:val="24"/>
        </w:rPr>
        <w:t>进行书面或电子确认</w:t>
      </w:r>
      <w:r>
        <w:rPr>
          <w:rFonts w:ascii="宋体" w:hAnsi="宋体" w:hint="eastAsia"/>
          <w:sz w:val="24"/>
        </w:rPr>
        <w:t>，以备有权机构对相关文件审核时提示。</w:t>
      </w:r>
    </w:p>
    <w:p w14:paraId="3E8361BE" w14:textId="77777777" w:rsidR="00586A97" w:rsidRPr="00CE4F60" w:rsidRDefault="0024620C">
      <w:pPr>
        <w:spacing w:line="360" w:lineRule="auto"/>
        <w:ind w:firstLine="420"/>
        <w:jc w:val="left"/>
        <w:rPr>
          <w:rFonts w:ascii="宋体" w:hAnsi="宋体"/>
          <w:sz w:val="24"/>
        </w:rPr>
      </w:pPr>
      <w:r w:rsidRPr="00CE4F60">
        <w:rPr>
          <w:rFonts w:ascii="宋体" w:hAnsi="宋体"/>
          <w:sz w:val="24"/>
        </w:rPr>
        <w:t>六、基金份额持有人名册的保管</w:t>
      </w:r>
    </w:p>
    <w:p w14:paraId="7C423BB1" w14:textId="77777777" w:rsidR="00465EA5" w:rsidRDefault="00465EA5" w:rsidP="00465EA5">
      <w:pPr>
        <w:spacing w:line="360" w:lineRule="auto"/>
        <w:ind w:firstLineChars="200" w:firstLine="480"/>
        <w:rPr>
          <w:rFonts w:ascii="宋体" w:hAnsi="宋体"/>
          <w:sz w:val="24"/>
          <w:szCs w:val="21"/>
        </w:rPr>
      </w:pPr>
      <w:r>
        <w:rPr>
          <w:rFonts w:ascii="宋体" w:hAnsi="宋体" w:hint="eastAsia"/>
          <w:sz w:val="24"/>
          <w:szCs w:val="21"/>
        </w:rPr>
        <w:t>基金管理人和基金托管人须分别妥善保管的基金份额持有人名册，包括</w:t>
      </w:r>
      <w:r>
        <w:rPr>
          <w:rFonts w:ascii="宋体" w:hAnsi="宋体" w:cs="Arial" w:hint="eastAsia"/>
          <w:sz w:val="24"/>
        </w:rPr>
        <w:t>《基金合同》生效日、《基金合同》终止日、基金份额持有人大会</w:t>
      </w:r>
      <w:r>
        <w:rPr>
          <w:rFonts w:ascii="宋体" w:hAnsi="宋体" w:cs="Arial"/>
          <w:sz w:val="24"/>
        </w:rPr>
        <w:t>权益</w:t>
      </w:r>
      <w:r>
        <w:rPr>
          <w:rFonts w:ascii="宋体" w:hAnsi="宋体" w:cs="Arial" w:hint="eastAsia"/>
          <w:sz w:val="24"/>
        </w:rPr>
        <w:t>登记日、每年6月30日、12月31日的基金份额持有人名册。</w:t>
      </w:r>
      <w:r>
        <w:rPr>
          <w:rFonts w:ascii="宋体" w:hAnsi="宋体" w:hint="eastAsia"/>
          <w:sz w:val="24"/>
          <w:szCs w:val="21"/>
        </w:rPr>
        <w:t>基金份额持有人名册的内容必须包括基金份额持有人的名称和持有的基金份额。</w:t>
      </w:r>
    </w:p>
    <w:p w14:paraId="13F8E8EB" w14:textId="77777777" w:rsidR="00465EA5" w:rsidRDefault="00465EA5" w:rsidP="00465EA5">
      <w:pPr>
        <w:spacing w:line="360" w:lineRule="auto"/>
        <w:ind w:firstLineChars="200" w:firstLine="480"/>
        <w:rPr>
          <w:rFonts w:ascii="宋体" w:hAnsi="宋体" w:cs="Arial"/>
          <w:sz w:val="24"/>
        </w:rPr>
      </w:pPr>
      <w:r>
        <w:rPr>
          <w:rFonts w:ascii="宋体" w:hAnsi="宋体" w:hint="eastAsia"/>
          <w:sz w:val="24"/>
          <w:szCs w:val="21"/>
        </w:rPr>
        <w:t>基金份额持有人名册由基金的</w:t>
      </w:r>
      <w:r>
        <w:rPr>
          <w:rFonts w:ascii="宋体" w:hAnsi="宋体" w:cs="Arial" w:hint="eastAsia"/>
          <w:sz w:val="24"/>
        </w:rPr>
        <w:t>基金登记机构根据基金管理人的指令编制和保管</w:t>
      </w:r>
      <w:r>
        <w:rPr>
          <w:rFonts w:hint="eastAsia"/>
          <w:sz w:val="24"/>
        </w:rPr>
        <w:t>，基金管理人和基金托管人应按照目前相关规则分别保管基金份额持有人名册。保管方式可以采用电子或文档的形式。</w:t>
      </w:r>
      <w:r>
        <w:rPr>
          <w:rFonts w:ascii="宋体" w:hAnsi="宋体" w:cs="Arial" w:hint="eastAsia"/>
          <w:sz w:val="24"/>
        </w:rPr>
        <w:t>基金份额登记机构的保存期限不得少于</w:t>
      </w:r>
      <w:r>
        <w:rPr>
          <w:rFonts w:ascii="宋体" w:hAnsi="宋体" w:cs="Arial"/>
          <w:sz w:val="24"/>
        </w:rPr>
        <w:t>法定最低期限</w:t>
      </w:r>
      <w:r>
        <w:rPr>
          <w:rFonts w:ascii="宋体" w:hAnsi="宋体" w:cs="Arial" w:hint="eastAsia"/>
          <w:sz w:val="24"/>
        </w:rPr>
        <w:t>。</w:t>
      </w:r>
    </w:p>
    <w:p w14:paraId="4F0C3D56" w14:textId="77777777" w:rsidR="00465EA5" w:rsidRDefault="00465EA5" w:rsidP="00465EA5">
      <w:pPr>
        <w:spacing w:line="360" w:lineRule="auto"/>
        <w:ind w:firstLineChars="200" w:firstLine="480"/>
        <w:rPr>
          <w:rFonts w:ascii="宋体" w:hAnsi="宋体"/>
          <w:sz w:val="24"/>
          <w:szCs w:val="21"/>
        </w:rPr>
      </w:pPr>
      <w:r>
        <w:rPr>
          <w:rFonts w:ascii="宋体" w:hAnsi="宋体" w:cs="Arial" w:hint="eastAsia"/>
          <w:sz w:val="24"/>
        </w:rPr>
        <w:t>基金管理人应当及时向基金托管人提交下列日期的基金份额持有人名册：《基金合同》生效日、《基金合同》终止日、基金份额持有人大会</w:t>
      </w:r>
      <w:r>
        <w:rPr>
          <w:rFonts w:ascii="宋体" w:hAnsi="宋体" w:cs="Arial"/>
          <w:sz w:val="24"/>
        </w:rPr>
        <w:t>权益</w:t>
      </w:r>
      <w:r>
        <w:rPr>
          <w:rFonts w:ascii="宋体" w:hAnsi="宋体" w:cs="Arial" w:hint="eastAsia"/>
          <w:sz w:val="24"/>
        </w:rPr>
        <w:t>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399EE66" w14:textId="77777777" w:rsidR="00465EA5" w:rsidRDefault="00465EA5" w:rsidP="00465EA5">
      <w:pPr>
        <w:spacing w:line="360" w:lineRule="auto"/>
        <w:ind w:firstLineChars="200" w:firstLine="480"/>
        <w:rPr>
          <w:rFonts w:ascii="宋体" w:hAnsi="宋体" w:cs="Arial"/>
          <w:sz w:val="24"/>
        </w:rPr>
      </w:pPr>
      <w:r>
        <w:rPr>
          <w:rFonts w:ascii="宋体" w:hAnsi="宋体" w:cs="Arial" w:hint="eastAsia"/>
          <w:sz w:val="24"/>
        </w:rPr>
        <w:t>基金托管人以电子版形式妥善保管基金份额持有人名册，并定期刻成光盘备份，保存期限不得少于法定最低期限。基金托管人不得将所保管的基金份额持有人名册用于基金托管业务以外的其他用途，并应遵守保密义务。</w:t>
      </w:r>
      <w:bookmarkStart w:id="57" w:name="_Hlt112616834"/>
      <w:bookmarkEnd w:id="57"/>
    </w:p>
    <w:p w14:paraId="0BF05C2E" w14:textId="01F8DCE8" w:rsidR="0015752E" w:rsidRDefault="00465EA5" w:rsidP="0015752E">
      <w:pPr>
        <w:spacing w:line="360" w:lineRule="auto"/>
        <w:ind w:firstLine="420"/>
        <w:jc w:val="left"/>
        <w:rPr>
          <w:rFonts w:ascii="宋体" w:hAnsi="宋体" w:cs="宋体"/>
          <w:kern w:val="0"/>
          <w:sz w:val="24"/>
          <w:szCs w:val="24"/>
        </w:rPr>
      </w:pPr>
      <w:r>
        <w:rPr>
          <w:rFonts w:ascii="宋体" w:hAnsi="宋体" w:cs="Arial" w:hint="eastAsia"/>
          <w:sz w:val="24"/>
        </w:rPr>
        <w:t>若基金管理人或基金托管人由于自身原因无法妥善保管基金份额持有人名册，应按有关法规规定各自</w:t>
      </w:r>
      <w:r>
        <w:rPr>
          <w:rFonts w:ascii="宋体" w:hAnsi="宋体" w:hint="eastAsia"/>
          <w:sz w:val="24"/>
          <w:szCs w:val="21"/>
        </w:rPr>
        <w:t>承担相应的责任。</w:t>
      </w:r>
    </w:p>
    <w:p w14:paraId="1F0D01B7" w14:textId="77777777" w:rsidR="00586A97" w:rsidRPr="00CE4F60" w:rsidRDefault="0024620C">
      <w:pPr>
        <w:spacing w:line="360" w:lineRule="auto"/>
        <w:ind w:firstLine="420"/>
        <w:jc w:val="left"/>
        <w:rPr>
          <w:rFonts w:eastAsia="Times New Roman"/>
          <w:kern w:val="0"/>
          <w:sz w:val="24"/>
          <w:szCs w:val="24"/>
        </w:rPr>
      </w:pPr>
      <w:r w:rsidRPr="00CE4F60">
        <w:rPr>
          <w:rFonts w:ascii="宋体" w:hAnsi="宋体" w:cs="宋体"/>
          <w:kern w:val="0"/>
          <w:sz w:val="24"/>
          <w:szCs w:val="24"/>
        </w:rPr>
        <w:t>七、争议解决方式</w:t>
      </w:r>
    </w:p>
    <w:p w14:paraId="18DFFA2B" w14:textId="04A2C881" w:rsidR="002B0C08" w:rsidRDefault="002B0C08" w:rsidP="002B0C08">
      <w:pPr>
        <w:spacing w:line="360" w:lineRule="auto"/>
        <w:ind w:firstLineChars="200" w:firstLine="480"/>
        <w:rPr>
          <w:rFonts w:ascii="宋体" w:hAnsi="宋体"/>
          <w:sz w:val="24"/>
          <w:szCs w:val="21"/>
        </w:rPr>
      </w:pPr>
      <w:r>
        <w:rPr>
          <w:rFonts w:ascii="宋体" w:hAnsi="宋体" w:hint="eastAsia"/>
          <w:sz w:val="24"/>
          <w:szCs w:val="21"/>
        </w:rPr>
        <w:t>双方当事人同意，因本协议而产生的或与本协议有关的一切争议，除经友好协商或调解可以解决的，应提交中国国际经济贸易仲裁委员会</w:t>
      </w:r>
      <w:r w:rsidR="00D80895">
        <w:rPr>
          <w:rFonts w:ascii="宋体" w:hAnsi="宋体" w:hint="eastAsia"/>
          <w:sz w:val="24"/>
          <w:szCs w:val="21"/>
        </w:rPr>
        <w:t>，</w:t>
      </w:r>
      <w:r>
        <w:rPr>
          <w:rFonts w:ascii="宋体" w:hAnsi="宋体" w:hint="eastAsia"/>
          <w:sz w:val="24"/>
          <w:szCs w:val="21"/>
        </w:rPr>
        <w:t>根据该会当时有效的仲裁规则进行仲裁，仲裁的地点在北京市，仲裁裁决是终局性的并对相关各方均有约束力，除非仲裁裁决另有规定，仲裁费用由败诉方承担。</w:t>
      </w:r>
    </w:p>
    <w:p w14:paraId="638CFEAA" w14:textId="77777777" w:rsidR="002B0C08" w:rsidRDefault="002B0C08" w:rsidP="002B0C08">
      <w:pPr>
        <w:spacing w:line="360" w:lineRule="auto"/>
        <w:ind w:firstLineChars="200" w:firstLine="480"/>
        <w:rPr>
          <w:rFonts w:ascii="宋体" w:hAnsi="宋体"/>
          <w:sz w:val="24"/>
          <w:szCs w:val="21"/>
        </w:rPr>
      </w:pPr>
      <w:r>
        <w:rPr>
          <w:rFonts w:ascii="宋体" w:hAnsi="宋体" w:hint="eastAsia"/>
          <w:sz w:val="24"/>
          <w:szCs w:val="21"/>
        </w:rPr>
        <w:lastRenderedPageBreak/>
        <w:t>争议处理期间，双方当事人应恪守基金管理人和基金托管人职责，继续忠实、勤勉、尽责地履行《基金合同》和托管协议规定的义务，维护基金份额持有人的合法权益。</w:t>
      </w:r>
    </w:p>
    <w:p w14:paraId="33129EB1" w14:textId="77777777" w:rsidR="002B0C08" w:rsidRDefault="002B0C08" w:rsidP="002B0C08">
      <w:pPr>
        <w:spacing w:line="360" w:lineRule="auto"/>
        <w:ind w:firstLineChars="200" w:firstLine="480"/>
        <w:rPr>
          <w:rFonts w:ascii="宋体" w:hAnsi="宋体"/>
          <w:sz w:val="24"/>
          <w:szCs w:val="21"/>
        </w:rPr>
      </w:pPr>
      <w:r>
        <w:rPr>
          <w:rFonts w:ascii="宋体" w:hAnsi="宋体" w:hint="eastAsia"/>
          <w:sz w:val="24"/>
          <w:szCs w:val="21"/>
        </w:rPr>
        <w:t>本协议受</w:t>
      </w:r>
      <w:r>
        <w:rPr>
          <w:bCs/>
          <w:sz w:val="24"/>
        </w:rPr>
        <w:t>中华人民共和国法律</w:t>
      </w:r>
      <w:r>
        <w:rPr>
          <w:rFonts w:hint="eastAsia"/>
          <w:bCs/>
          <w:sz w:val="24"/>
        </w:rPr>
        <w:t>（为本协议之目的，在此不包括香港、澳门特别行政区和台湾地区法律）</w:t>
      </w:r>
      <w:r>
        <w:rPr>
          <w:rFonts w:ascii="宋体" w:hAnsi="宋体" w:hint="eastAsia"/>
          <w:sz w:val="24"/>
          <w:szCs w:val="21"/>
        </w:rPr>
        <w:t>管辖。</w:t>
      </w:r>
    </w:p>
    <w:p w14:paraId="79E846B5" w14:textId="77777777" w:rsidR="00586A97" w:rsidRPr="00CE4F60" w:rsidRDefault="0024620C">
      <w:pPr>
        <w:spacing w:line="360" w:lineRule="auto"/>
        <w:ind w:firstLine="420"/>
        <w:jc w:val="left"/>
        <w:rPr>
          <w:rFonts w:ascii="宋体" w:hAnsi="宋体" w:cs="宋体"/>
          <w:kern w:val="0"/>
          <w:sz w:val="24"/>
          <w:szCs w:val="24"/>
        </w:rPr>
      </w:pPr>
      <w:r w:rsidRPr="00CE4F60">
        <w:rPr>
          <w:rFonts w:ascii="宋体" w:hAnsi="宋体" w:cs="宋体"/>
          <w:kern w:val="0"/>
          <w:sz w:val="24"/>
          <w:szCs w:val="24"/>
        </w:rPr>
        <w:t>八、托管协议的变更、终止与基金财产的清算</w:t>
      </w:r>
    </w:p>
    <w:p w14:paraId="061D2992"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（一）托管协议的变更与终止</w:t>
      </w:r>
    </w:p>
    <w:p w14:paraId="27D08B0D"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1、托管协议的变更程序</w:t>
      </w:r>
    </w:p>
    <w:p w14:paraId="0673305E"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本协议双方当事人经协商一致，可以对协议的内容进行变更。变更后的托管协议，其内容不得与《基金合同》的规定有任何冲突。基金托管协议的变更报中国证监会备案。</w:t>
      </w:r>
    </w:p>
    <w:p w14:paraId="0C1333EF"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2、基金托管协议终止的情形</w:t>
      </w:r>
    </w:p>
    <w:p w14:paraId="57BC0AA0"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发生以下情况，本托管协议终止：</w:t>
      </w:r>
    </w:p>
    <w:p w14:paraId="63F07BCE"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（1）《基金合同》终止；</w:t>
      </w:r>
    </w:p>
    <w:p w14:paraId="1BCA8C51"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（2）基金托管人解散、依法被撤销、破产或有其他基金托管人接管基金资产；</w:t>
      </w:r>
    </w:p>
    <w:p w14:paraId="4475CA47"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（3）基金管理人解散、依法被撤销、破产或有其他基金管理人接管基金管理权；</w:t>
      </w:r>
    </w:p>
    <w:p w14:paraId="75DDF13D"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（4）发生法律法规或《基金合同》规定的终止事项。</w:t>
      </w:r>
    </w:p>
    <w:p w14:paraId="5E7C9D21"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（二）基金财产的清算</w:t>
      </w:r>
    </w:p>
    <w:p w14:paraId="6DA4F173"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1、基金财产清算小组：自出现《基金合同》终止事由之日起30个工作日内成立清算小组，基金管理人组织基金财产清算小组并在中国证监会的监督下进行基金清算。</w:t>
      </w:r>
    </w:p>
    <w:p w14:paraId="6BCFA948"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2、在基金财产清算小组接管基金财产之前，基金管理人和基金托管人应按照《基金合同》和本托管协议的规定继续履行保护基金财产安全的职责。</w:t>
      </w:r>
    </w:p>
    <w:p w14:paraId="189E2D90"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3、基金财产清算小组组成：基金财产清算小组成员由基金管理人、基金托管人、符合《中华人民共和国证券法》规定的注册会计师、律师以及中国证监会指定的人员组成。基金财产清算小组可以聘用必要的工作人员。</w:t>
      </w:r>
    </w:p>
    <w:p w14:paraId="0746B147"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4、基金财产清算小组职责：基金财产清算小组负责基金财产的保管、清</w:t>
      </w:r>
      <w:r w:rsidRPr="002B0C08">
        <w:rPr>
          <w:rFonts w:ascii="宋体" w:hAnsi="宋体" w:cs="宋体" w:hint="eastAsia"/>
          <w:kern w:val="0"/>
          <w:sz w:val="24"/>
          <w:szCs w:val="24"/>
        </w:rPr>
        <w:lastRenderedPageBreak/>
        <w:t>理、估价、变现和分配。基金财产清算小组可以依法进行必要的民事活动。</w:t>
      </w:r>
    </w:p>
    <w:p w14:paraId="3E0B9A9A"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5、基金财产清算程序：</w:t>
      </w:r>
      <w:r w:rsidRPr="002B0C08">
        <w:rPr>
          <w:rFonts w:ascii="宋体" w:hAnsi="宋体" w:cs="宋体" w:hint="eastAsia"/>
          <w:kern w:val="0"/>
          <w:sz w:val="24"/>
          <w:szCs w:val="24"/>
        </w:rPr>
        <w:tab/>
      </w:r>
    </w:p>
    <w:p w14:paraId="5E36ED6B"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（1）《基金合同》终止情形出现时，由基金财产清算小组统一接管基金；</w:t>
      </w:r>
    </w:p>
    <w:p w14:paraId="7C3F1C27"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（2）对基金财产和债权债务进行清理和确认；</w:t>
      </w:r>
    </w:p>
    <w:p w14:paraId="1C27EECB"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（3）对基金财产进行估值和变现；</w:t>
      </w:r>
    </w:p>
    <w:p w14:paraId="4300A781"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（4）制作清算报告；</w:t>
      </w:r>
    </w:p>
    <w:p w14:paraId="0B26DDD4"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（5）聘请会计师事务所对清算报告进行外部审计，聘请律师事务所对清算报告出具法律意见书；</w:t>
      </w:r>
    </w:p>
    <w:p w14:paraId="6D18B8F2" w14:textId="7D324466"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（6）将清算报告报告中国证监会备案并公告；</w:t>
      </w:r>
    </w:p>
    <w:p w14:paraId="687C1F30"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（7）对基金剩余财产进行分配。</w:t>
      </w:r>
    </w:p>
    <w:p w14:paraId="7CC55744"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6、清算费用</w:t>
      </w:r>
    </w:p>
    <w:p w14:paraId="39B1BBF2"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清算费用是指基金财产清算小组在进行基金财产清算过程中发生的所有合理费用，清算费用由基金财产清算小组优先从基金财产中支付。</w:t>
      </w:r>
    </w:p>
    <w:p w14:paraId="728410A6"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7、基金财产按下列顺序清偿：</w:t>
      </w:r>
    </w:p>
    <w:p w14:paraId="4F7F930F"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(1)支付清算费用；</w:t>
      </w:r>
    </w:p>
    <w:p w14:paraId="6C398FDF"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(2)交纳所欠税款；</w:t>
      </w:r>
    </w:p>
    <w:p w14:paraId="77514DA7"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(3)清偿基金债务；</w:t>
      </w:r>
    </w:p>
    <w:p w14:paraId="051CF263"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(4)按基金份额持有人持有的基金份额比例进行分配。</w:t>
      </w:r>
    </w:p>
    <w:p w14:paraId="428B770A"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基金财产未按前款(1)－(3)项规定清偿前，不分配给基金份额持有人。</w:t>
      </w:r>
    </w:p>
    <w:p w14:paraId="7B628183"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（三）基金财产清算的公告</w:t>
      </w:r>
    </w:p>
    <w:p w14:paraId="0D0F785A" w14:textId="77777777" w:rsidR="002B0C08" w:rsidRPr="002B0C08" w:rsidRDefault="002B0C08" w:rsidP="002B0C08">
      <w:pPr>
        <w:spacing w:line="360" w:lineRule="auto"/>
        <w:ind w:firstLine="420"/>
        <w:jc w:val="left"/>
        <w:rPr>
          <w:rFonts w:ascii="宋体" w:hAnsi="宋体" w:cs="宋体"/>
          <w:kern w:val="0"/>
          <w:sz w:val="24"/>
          <w:szCs w:val="24"/>
        </w:rPr>
      </w:pPr>
      <w:r w:rsidRPr="002B0C08">
        <w:rPr>
          <w:rFonts w:ascii="宋体" w:hAnsi="宋体" w:cs="宋体" w:hint="eastAsia"/>
          <w:kern w:val="0"/>
          <w:sz w:val="24"/>
          <w:szCs w:val="24"/>
        </w:rPr>
        <w:t>清算过程中的有关重大事项须及时公告；基金财产清算报告经符合《中华人民共和国证券法》规定的会计师事务所审计并由律师事务所出具法律意见书后报中国证监会备案并公告。基金财产清算公告于基金财产清算报告报中国证监会备案后5个工作日内由基金财产清算小组进行公告，基金财产清算小组应当将清算报告登载在规定网站上，并将清算报告提示性公告登载在规定报刊上。</w:t>
      </w:r>
    </w:p>
    <w:p w14:paraId="1C400FB2" w14:textId="77777777" w:rsidR="002B0C08" w:rsidRDefault="002B0C08" w:rsidP="00CE4F60">
      <w:pPr>
        <w:autoSpaceDE w:val="0"/>
        <w:autoSpaceDN w:val="0"/>
        <w:adjustRightInd w:val="0"/>
        <w:spacing w:line="360" w:lineRule="auto"/>
        <w:ind w:firstLineChars="200" w:firstLine="480"/>
        <w:rPr>
          <w:rFonts w:ascii="宋体" w:hAnsi="宋体" w:cs="宋体"/>
          <w:kern w:val="0"/>
          <w:sz w:val="24"/>
          <w:szCs w:val="24"/>
        </w:rPr>
      </w:pPr>
      <w:r w:rsidRPr="002B0C08">
        <w:rPr>
          <w:rFonts w:ascii="宋体" w:hAnsi="宋体" w:cs="宋体" w:hint="eastAsia"/>
          <w:kern w:val="0"/>
          <w:sz w:val="24"/>
          <w:szCs w:val="24"/>
        </w:rPr>
        <w:t>（四）基金财产清算账册及文件的保存</w:t>
      </w:r>
    </w:p>
    <w:p w14:paraId="3E5DC845" w14:textId="62714472" w:rsidR="009912D6" w:rsidRDefault="002B0C08" w:rsidP="00CE4F60">
      <w:pPr>
        <w:autoSpaceDE w:val="0"/>
        <w:autoSpaceDN w:val="0"/>
        <w:adjustRightInd w:val="0"/>
        <w:spacing w:line="360" w:lineRule="auto"/>
        <w:ind w:firstLineChars="200" w:firstLine="480"/>
        <w:rPr>
          <w:rFonts w:ascii="宋体"/>
          <w:noProof/>
          <w:color w:val="000000"/>
          <w:kern w:val="0"/>
          <w:sz w:val="24"/>
          <w:szCs w:val="24"/>
        </w:rPr>
      </w:pPr>
      <w:r w:rsidRPr="002B0C08">
        <w:rPr>
          <w:rFonts w:ascii="宋体" w:hAnsi="宋体" w:cs="宋体" w:hint="eastAsia"/>
          <w:kern w:val="0"/>
          <w:sz w:val="24"/>
          <w:szCs w:val="24"/>
        </w:rPr>
        <w:t>基金财产清算账册及有关文件由基金托管人保存，保存期限不少于法定最低期限。</w:t>
      </w:r>
      <w:bookmarkEnd w:id="50"/>
      <w:r w:rsidR="0024620C">
        <w:rPr>
          <w:rFonts w:ascii="宋体"/>
          <w:noProof/>
          <w:color w:val="000000"/>
          <w:kern w:val="0"/>
          <w:sz w:val="24"/>
          <w:szCs w:val="24"/>
        </w:rPr>
        <w:br w:type="page"/>
      </w:r>
    </w:p>
    <w:p w14:paraId="2ED8C739" w14:textId="5D9FE7E5" w:rsidR="009912D6" w:rsidRDefault="0024620C" w:rsidP="009912D6">
      <w:pPr>
        <w:pStyle w:val="1"/>
        <w:spacing w:before="0" w:after="0"/>
        <w:jc w:val="center"/>
        <w:rPr>
          <w:rFonts w:ascii="Times New Roman"/>
          <w:color w:val="auto"/>
          <w:sz w:val="30"/>
        </w:rPr>
      </w:pPr>
      <w:bookmarkStart w:id="58" w:name="_Toc135000358"/>
      <w:r w:rsidRPr="009E26D0">
        <w:rPr>
          <w:rFonts w:ascii="Times New Roman"/>
          <w:color w:val="auto"/>
          <w:sz w:val="30"/>
        </w:rPr>
        <w:lastRenderedPageBreak/>
        <w:t>第二十</w:t>
      </w:r>
      <w:r w:rsidR="00120661">
        <w:rPr>
          <w:rFonts w:ascii="Times New Roman" w:hint="eastAsia"/>
          <w:color w:val="auto"/>
          <w:sz w:val="30"/>
        </w:rPr>
        <w:t>二</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对基金份额持有人的服务</w:t>
      </w:r>
      <w:bookmarkEnd w:id="58"/>
    </w:p>
    <w:p w14:paraId="4D5FAC79" w14:textId="77777777" w:rsidR="009912D6" w:rsidRPr="0017353E" w:rsidRDefault="009912D6" w:rsidP="009912D6"/>
    <w:p w14:paraId="6A6884D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对于基金份额持有人，基金管理人将根据具体情况提供一系列的服务，并将根据基金份额持有人的需要和市场的变化，增加或变更服务项目。主要服务内容如下：</w:t>
      </w:r>
    </w:p>
    <w:p w14:paraId="46BCC84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一、基金份额持有人登记服务</w:t>
      </w:r>
    </w:p>
    <w:p w14:paraId="535C310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为基金份额持有人提供登记服务。基金管理人将配备安全、完善的电脑系统及通讯系统，准确、及时地为基金投资者办理基金账户、基金份额的登记、管理、托管与转托管；基金转换和非交易过户；基金份额持有人名册的管理；权益分配时红利的登记派发；基金交易份额的清算过户和基金交易资金的交收等服务。</w:t>
      </w:r>
    </w:p>
    <w:p w14:paraId="12D175DE"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二、基金份额持有人交易信息查询及信息定制服务</w:t>
      </w:r>
    </w:p>
    <w:p w14:paraId="08A3927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1、基金交易确认查询服务：基金投资者在交易申请被受理的2个工作日后，可以到销售网点查询和打印该项交易的确认信息，或者通过基金管理人客服电话及网站进行查询。</w:t>
      </w:r>
    </w:p>
    <w:p w14:paraId="06362697"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2、基金对账单服务：基金管理人向基金份额持有人提供对账单服务，基金份额持有人可自主选择对账单的发送方式，如纸制对账单、电子邮件对账单或短信对账单，或者通过基金管理人网站进行在线对账单的查询与打印。</w:t>
      </w:r>
    </w:p>
    <w:p w14:paraId="6673160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3、信息定制服务：基金份额持有人可以通过基金管理人网站、客服热线电话、手机短信等通道提交信息定制申请。可定制的信息主要有：基金份额净值、交易确认、对账单服务等。基金管理人可根据实际业务需要，调整定制信息的条件、方式和内容。</w:t>
      </w:r>
    </w:p>
    <w:p w14:paraId="68217DC2"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三、客户服务中心电话服务</w:t>
      </w:r>
    </w:p>
    <w:p w14:paraId="67E26C8B"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基金管理人客户服务中心提供24小时自动语音查询服务，基金份额持有人可查询基金余额、交易情况、基金产品与服务等相关信息。</w:t>
      </w:r>
    </w:p>
    <w:p w14:paraId="746AEE0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客户服务中心在每一工作日提供不少于12小时的人工咨询服务。基金份额持有人可通过基金管理人全国统一客服热线：400-888-9918（免长途话费）享受业务咨询、信息查询、信息定制、通讯资料修改、投诉建议等多项服务。</w:t>
      </w:r>
    </w:p>
    <w:p w14:paraId="45399094"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四、网站服务</w:t>
      </w:r>
    </w:p>
    <w:p w14:paraId="4C6C4D1D"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lastRenderedPageBreak/>
        <w:t>基金份额持有人可以通过基金管理人网站（www.99fund.com）享受理财资讯、信息披露、账户信息、交易信息、在线咨询等多项服务。</w:t>
      </w:r>
    </w:p>
    <w:p w14:paraId="71D7391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基金份额持有人可以通过基金管理人网站“网上交易”办理开户、交易及查询等业务。有关基金网上交易的协议文本请参见基金管理人网站。</w:t>
      </w:r>
    </w:p>
    <w:p w14:paraId="68B5DBE1"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五、投诉受理服务</w:t>
      </w:r>
    </w:p>
    <w:p w14:paraId="23C12D51" w14:textId="77777777" w:rsidR="00586A97" w:rsidRDefault="0024620C">
      <w:pPr>
        <w:widowControl/>
        <w:spacing w:line="360" w:lineRule="auto"/>
        <w:ind w:firstLine="480"/>
        <w:jc w:val="left"/>
        <w:rPr>
          <w:rFonts w:eastAsia="Times New Roman"/>
          <w:kern w:val="0"/>
          <w:sz w:val="24"/>
          <w:szCs w:val="24"/>
        </w:rPr>
      </w:pPr>
      <w:r>
        <w:rPr>
          <w:rFonts w:ascii="宋体" w:hAnsi="宋体" w:cs="宋体"/>
          <w:kern w:val="0"/>
          <w:sz w:val="24"/>
          <w:szCs w:val="24"/>
        </w:rPr>
        <w:t>基金份额持有人可以通过基金管理人客服电话、网站、信函、电子邮件（客户服务邮箱：</w:t>
      </w:r>
      <w:hyperlink r:id="rId14" w:history="1">
        <w:r>
          <w:rPr>
            <w:rFonts w:ascii="宋体" w:hAnsi="宋体" w:cs="宋体"/>
            <w:color w:val="000000"/>
            <w:kern w:val="0"/>
            <w:sz w:val="24"/>
            <w:szCs w:val="24"/>
            <w:u w:val="single"/>
            <w:lang w:eastAsia="en-US"/>
          </w:rPr>
          <w:t>service@99fund.com</w:t>
        </w:r>
      </w:hyperlink>
      <w:r>
        <w:rPr>
          <w:rFonts w:ascii="宋体" w:hAnsi="宋体" w:cs="宋体"/>
          <w:kern w:val="0"/>
          <w:sz w:val="24"/>
          <w:szCs w:val="24"/>
        </w:rPr>
        <w:t>）、传真（</w:t>
      </w:r>
      <w:r>
        <w:rPr>
          <w:rFonts w:ascii="宋体" w:hAnsi="宋体" w:cs="宋体"/>
          <w:kern w:val="0"/>
          <w:sz w:val="24"/>
          <w:szCs w:val="24"/>
          <w:lang w:eastAsia="en-US"/>
        </w:rPr>
        <w:t>021-28932998</w:t>
      </w:r>
      <w:r>
        <w:rPr>
          <w:rFonts w:ascii="宋体" w:hAnsi="宋体" w:cs="宋体"/>
          <w:kern w:val="0"/>
          <w:sz w:val="24"/>
          <w:szCs w:val="24"/>
        </w:rPr>
        <w:t>）等方式对基金管理人、销售机构所提供的服务进行投诉。现场投诉和意见簿投诉是补充投诉渠道，由基金管理人和各销售机构分别管理。</w:t>
      </w:r>
    </w:p>
    <w:p w14:paraId="44F44974" w14:textId="3D22EAA2" w:rsidR="00586A97" w:rsidRDefault="0024620C">
      <w:pPr>
        <w:widowControl/>
        <w:spacing w:line="360" w:lineRule="auto"/>
        <w:ind w:firstLine="480"/>
        <w:jc w:val="left"/>
        <w:rPr>
          <w:rFonts w:eastAsia="Times New Roman"/>
          <w:kern w:val="0"/>
          <w:sz w:val="24"/>
          <w:szCs w:val="24"/>
        </w:rPr>
      </w:pPr>
      <w:r>
        <w:rPr>
          <w:rFonts w:ascii="宋体" w:hAnsi="宋体" w:cs="宋体"/>
          <w:kern w:val="0"/>
          <w:sz w:val="24"/>
          <w:szCs w:val="24"/>
        </w:rPr>
        <w:t>基金管理人客户服务中心负责受理投诉，并承诺在收到投诉后24小时（工作日）之内做出回应。</w:t>
      </w:r>
    </w:p>
    <w:p w14:paraId="6AB2B67D"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六、如本招募说明书存在任何您/贵机构无法理解的内容，可通过上述方式联系基金管理人。请确保投资前，您/贵机构已经全面理解了本招募说明书。</w:t>
      </w:r>
    </w:p>
    <w:p w14:paraId="186E879C" w14:textId="77777777" w:rsidR="00E65899" w:rsidRDefault="00E65899">
      <w:pPr>
        <w:spacing w:line="360" w:lineRule="auto"/>
        <w:ind w:firstLine="420"/>
        <w:rPr>
          <w:rFonts w:ascii="宋体" w:hAnsi="宋体" w:cs="宋体"/>
          <w:kern w:val="0"/>
          <w:sz w:val="24"/>
          <w:szCs w:val="24"/>
        </w:rPr>
      </w:pPr>
    </w:p>
    <w:p w14:paraId="63551F39" w14:textId="1549799A" w:rsidR="00E65899" w:rsidRDefault="00E65899">
      <w:pPr>
        <w:widowControl/>
        <w:jc w:val="left"/>
        <w:rPr>
          <w:rFonts w:ascii="宋体" w:hAnsi="宋体" w:cs="宋体"/>
          <w:kern w:val="0"/>
          <w:sz w:val="24"/>
          <w:szCs w:val="24"/>
        </w:rPr>
      </w:pPr>
      <w:r>
        <w:rPr>
          <w:rFonts w:ascii="宋体" w:hAnsi="宋体" w:cs="宋体"/>
          <w:kern w:val="0"/>
          <w:sz w:val="24"/>
          <w:szCs w:val="24"/>
        </w:rPr>
        <w:br w:type="page"/>
      </w:r>
    </w:p>
    <w:p w14:paraId="38982299" w14:textId="73ED917C" w:rsidR="00E65899" w:rsidRDefault="00E65899" w:rsidP="00E65899">
      <w:pPr>
        <w:pStyle w:val="1"/>
        <w:spacing w:before="0" w:after="0"/>
        <w:jc w:val="center"/>
        <w:rPr>
          <w:rFonts w:ascii="Times New Roman"/>
          <w:color w:val="auto"/>
          <w:sz w:val="30"/>
        </w:rPr>
      </w:pPr>
      <w:bookmarkStart w:id="59" w:name="_Toc135000359"/>
      <w:r>
        <w:rPr>
          <w:rFonts w:ascii="Times New Roman"/>
          <w:color w:val="auto"/>
          <w:sz w:val="30"/>
        </w:rPr>
        <w:lastRenderedPageBreak/>
        <w:t>第二十</w:t>
      </w:r>
      <w:r w:rsidR="00120661">
        <w:rPr>
          <w:rFonts w:ascii="Times New Roman" w:hint="eastAsia"/>
          <w:color w:val="auto"/>
          <w:sz w:val="30"/>
        </w:rPr>
        <w:t>三</w:t>
      </w:r>
      <w:r w:rsidRPr="009E26D0">
        <w:rPr>
          <w:rFonts w:ascii="Times New Roman"/>
          <w:color w:val="auto"/>
          <w:sz w:val="30"/>
        </w:rPr>
        <w:t>部分</w:t>
      </w:r>
      <w:r w:rsidRPr="009E26D0">
        <w:rPr>
          <w:rFonts w:ascii="Times New Roman"/>
          <w:color w:val="auto"/>
          <w:sz w:val="30"/>
        </w:rPr>
        <w:t xml:space="preserve">  </w:t>
      </w:r>
      <w:r w:rsidRPr="00E65899">
        <w:rPr>
          <w:rFonts w:ascii="Times New Roman" w:hint="eastAsia"/>
          <w:color w:val="auto"/>
          <w:sz w:val="30"/>
        </w:rPr>
        <w:t>其他应披露事项</w:t>
      </w:r>
      <w:bookmarkEnd w:id="59"/>
    </w:p>
    <w:p w14:paraId="3ECAD78C" w14:textId="2A1943A2" w:rsidR="00E65899" w:rsidRPr="00401E3C" w:rsidRDefault="00120661">
      <w:pPr>
        <w:spacing w:line="360" w:lineRule="auto"/>
        <w:ind w:firstLine="420"/>
        <w:rPr>
          <w:rFonts w:ascii="宋体" w:hAnsi="宋体" w:cs="宋体"/>
          <w:kern w:val="0"/>
          <w:sz w:val="24"/>
          <w:szCs w:val="24"/>
        </w:rPr>
      </w:pPr>
      <w:r w:rsidRPr="00120661">
        <w:rPr>
          <w:rFonts w:ascii="宋体" w:hAnsi="宋体" w:cs="宋体" w:hint="eastAsia"/>
          <w:kern w:val="0"/>
          <w:sz w:val="24"/>
          <w:szCs w:val="24"/>
        </w:rPr>
        <w:t>以下信息披露事项已通过中国证监会规定媒介进行公开披露。</w:t>
      </w:r>
    </w:p>
    <w:tbl>
      <w:tblPr>
        <w:tblW w:w="8522" w:type="dxa"/>
        <w:tblInd w:w="1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13"/>
        <w:gridCol w:w="3630"/>
        <w:gridCol w:w="2807"/>
        <w:gridCol w:w="1372"/>
      </w:tblGrid>
      <w:tr w:rsidR="00C842D1" w:rsidRPr="0025270A" w14:paraId="4FEB494B" w14:textId="77777777" w:rsidTr="0025270A">
        <w:trPr>
          <w:trHeight w:val="285"/>
        </w:trPr>
        <w:tc>
          <w:tcPr>
            <w:tcW w:w="713" w:type="dxa"/>
            <w:shd w:val="clear" w:color="auto" w:fill="auto"/>
            <w:vAlign w:val="center"/>
          </w:tcPr>
          <w:p w14:paraId="450E42B8" w14:textId="77777777" w:rsidR="00C842D1" w:rsidRPr="0025270A" w:rsidRDefault="00C842D1" w:rsidP="00CE2798">
            <w:pPr>
              <w:widowControl/>
              <w:spacing w:line="276" w:lineRule="auto"/>
              <w:jc w:val="center"/>
              <w:rPr>
                <w:rFonts w:ascii="宋体" w:hAnsi="宋体"/>
                <w:kern w:val="0"/>
                <w:szCs w:val="21"/>
              </w:rPr>
            </w:pPr>
            <w:r w:rsidRPr="0025270A">
              <w:rPr>
                <w:rFonts w:ascii="宋体" w:hAnsi="宋体"/>
                <w:kern w:val="0"/>
                <w:szCs w:val="21"/>
              </w:rPr>
              <w:t>序号</w:t>
            </w:r>
          </w:p>
        </w:tc>
        <w:tc>
          <w:tcPr>
            <w:tcW w:w="3630" w:type="dxa"/>
            <w:shd w:val="clear" w:color="auto" w:fill="auto"/>
            <w:vAlign w:val="center"/>
          </w:tcPr>
          <w:p w14:paraId="4F22567F" w14:textId="77777777" w:rsidR="00C842D1" w:rsidRPr="0025270A" w:rsidRDefault="00C842D1" w:rsidP="00CE2798">
            <w:pPr>
              <w:widowControl/>
              <w:spacing w:line="276" w:lineRule="auto"/>
              <w:jc w:val="center"/>
              <w:rPr>
                <w:rFonts w:ascii="宋体" w:hAnsi="宋体"/>
                <w:kern w:val="0"/>
                <w:szCs w:val="21"/>
              </w:rPr>
            </w:pPr>
            <w:r w:rsidRPr="0025270A">
              <w:rPr>
                <w:rFonts w:ascii="宋体" w:hAnsi="宋体"/>
                <w:kern w:val="0"/>
                <w:szCs w:val="21"/>
              </w:rPr>
              <w:t>公告事项</w:t>
            </w:r>
          </w:p>
        </w:tc>
        <w:tc>
          <w:tcPr>
            <w:tcW w:w="2807" w:type="dxa"/>
            <w:shd w:val="clear" w:color="auto" w:fill="auto"/>
            <w:vAlign w:val="center"/>
          </w:tcPr>
          <w:p w14:paraId="735D352D" w14:textId="77777777" w:rsidR="00C842D1" w:rsidRPr="0025270A" w:rsidRDefault="00C842D1" w:rsidP="00CE2798">
            <w:pPr>
              <w:widowControl/>
              <w:spacing w:line="276" w:lineRule="auto"/>
              <w:jc w:val="center"/>
              <w:rPr>
                <w:rFonts w:ascii="宋体" w:hAnsi="宋体"/>
                <w:kern w:val="0"/>
                <w:szCs w:val="21"/>
              </w:rPr>
            </w:pPr>
            <w:r w:rsidRPr="0025270A">
              <w:rPr>
                <w:rFonts w:ascii="宋体" w:hAnsi="宋体"/>
                <w:kern w:val="0"/>
                <w:szCs w:val="21"/>
              </w:rPr>
              <w:t>披露方式</w:t>
            </w:r>
          </w:p>
        </w:tc>
        <w:tc>
          <w:tcPr>
            <w:tcW w:w="1372" w:type="dxa"/>
            <w:shd w:val="clear" w:color="auto" w:fill="auto"/>
            <w:vAlign w:val="center"/>
          </w:tcPr>
          <w:p w14:paraId="59CE06E4" w14:textId="77777777" w:rsidR="00C842D1" w:rsidRPr="0025270A" w:rsidRDefault="00C842D1" w:rsidP="00CE2798">
            <w:pPr>
              <w:widowControl/>
              <w:spacing w:line="276" w:lineRule="auto"/>
              <w:jc w:val="center"/>
              <w:rPr>
                <w:rFonts w:ascii="宋体" w:hAnsi="宋体"/>
                <w:kern w:val="0"/>
                <w:szCs w:val="21"/>
              </w:rPr>
            </w:pPr>
            <w:r w:rsidRPr="0025270A">
              <w:rPr>
                <w:rFonts w:ascii="宋体" w:hAnsi="宋体"/>
                <w:kern w:val="0"/>
                <w:szCs w:val="21"/>
              </w:rPr>
              <w:t>披露日期</w:t>
            </w:r>
          </w:p>
        </w:tc>
      </w:tr>
      <w:tr w:rsidR="00826A7F" w:rsidRPr="0025270A" w14:paraId="4A2FF8D6" w14:textId="77777777" w:rsidTr="00BE4E27">
        <w:trPr>
          <w:trHeight w:val="285"/>
        </w:trPr>
        <w:tc>
          <w:tcPr>
            <w:tcW w:w="713" w:type="dxa"/>
            <w:shd w:val="clear" w:color="auto" w:fill="auto"/>
          </w:tcPr>
          <w:p w14:paraId="1D1B525A" w14:textId="77777777" w:rsidR="00826A7F" w:rsidRPr="0025270A" w:rsidRDefault="00826A7F" w:rsidP="00826A7F">
            <w:pPr>
              <w:pStyle w:val="afb"/>
              <w:widowControl/>
              <w:numPr>
                <w:ilvl w:val="0"/>
                <w:numId w:val="18"/>
              </w:numPr>
              <w:spacing w:line="276" w:lineRule="auto"/>
              <w:ind w:firstLineChars="0"/>
              <w:jc w:val="center"/>
              <w:rPr>
                <w:rFonts w:ascii="宋体" w:hAnsi="宋体"/>
                <w:szCs w:val="21"/>
              </w:rPr>
            </w:pPr>
          </w:p>
        </w:tc>
        <w:tc>
          <w:tcPr>
            <w:tcW w:w="3630" w:type="dxa"/>
            <w:shd w:val="clear" w:color="auto" w:fill="auto"/>
          </w:tcPr>
          <w:p w14:paraId="3C3309D5" w14:textId="05086353" w:rsidR="00826A7F" w:rsidRPr="0025270A" w:rsidRDefault="00826A7F" w:rsidP="00826A7F">
            <w:pPr>
              <w:widowControl/>
              <w:spacing w:line="276" w:lineRule="auto"/>
              <w:jc w:val="left"/>
              <w:rPr>
                <w:rFonts w:ascii="宋体" w:hAnsi="宋体"/>
                <w:color w:val="000000"/>
                <w:szCs w:val="21"/>
              </w:rPr>
            </w:pPr>
            <w:r w:rsidRPr="008775E2">
              <w:rPr>
                <w:rFonts w:hint="eastAsia"/>
              </w:rPr>
              <w:t>汇添富基金管理股份有限公司旗下部分基金更新招募说明书及基金产品资料概要</w:t>
            </w:r>
          </w:p>
        </w:tc>
        <w:tc>
          <w:tcPr>
            <w:tcW w:w="2807" w:type="dxa"/>
            <w:shd w:val="clear" w:color="auto" w:fill="auto"/>
          </w:tcPr>
          <w:p w14:paraId="0D0D00A1" w14:textId="2DD71B61" w:rsidR="00826A7F" w:rsidRPr="0025270A" w:rsidRDefault="00826A7F" w:rsidP="00826A7F">
            <w:pPr>
              <w:widowControl/>
              <w:spacing w:line="276" w:lineRule="auto"/>
              <w:jc w:val="left"/>
              <w:rPr>
                <w:rFonts w:ascii="宋体" w:hAnsi="宋体"/>
                <w:color w:val="000000"/>
                <w:szCs w:val="21"/>
              </w:rPr>
            </w:pPr>
            <w:r w:rsidRPr="008775E2">
              <w:rPr>
                <w:rFonts w:hint="eastAsia"/>
              </w:rPr>
              <w:t>上交所</w:t>
            </w:r>
            <w:r w:rsidRPr="008775E2">
              <w:rPr>
                <w:rFonts w:hint="eastAsia"/>
              </w:rPr>
              <w:t>,</w:t>
            </w:r>
            <w:r w:rsidRPr="008775E2">
              <w:rPr>
                <w:rFonts w:hint="eastAsia"/>
              </w:rPr>
              <w:t>公司网站</w:t>
            </w:r>
            <w:r w:rsidRPr="008775E2">
              <w:rPr>
                <w:rFonts w:hint="eastAsia"/>
              </w:rPr>
              <w:t>,</w:t>
            </w:r>
            <w:r w:rsidRPr="008775E2">
              <w:rPr>
                <w:rFonts w:hint="eastAsia"/>
              </w:rPr>
              <w:t>深交所</w:t>
            </w:r>
            <w:r w:rsidRPr="008775E2">
              <w:rPr>
                <w:rFonts w:hint="eastAsia"/>
              </w:rPr>
              <w:t>,</w:t>
            </w:r>
            <w:r w:rsidRPr="008775E2">
              <w:rPr>
                <w:rFonts w:hint="eastAsia"/>
              </w:rPr>
              <w:t>中国证监会基金电子披露网站</w:t>
            </w:r>
          </w:p>
        </w:tc>
        <w:tc>
          <w:tcPr>
            <w:tcW w:w="1372" w:type="dxa"/>
            <w:shd w:val="clear" w:color="auto" w:fill="auto"/>
            <w:vAlign w:val="center"/>
          </w:tcPr>
          <w:p w14:paraId="46DDE892" w14:textId="304222DE" w:rsidR="00826A7F" w:rsidRPr="0025270A" w:rsidRDefault="00826A7F" w:rsidP="00826A7F">
            <w:pPr>
              <w:widowControl/>
              <w:spacing w:line="276" w:lineRule="auto"/>
              <w:jc w:val="center"/>
              <w:rPr>
                <w:rFonts w:ascii="宋体" w:hAnsi="宋体"/>
                <w:color w:val="000000"/>
                <w:szCs w:val="21"/>
              </w:rPr>
            </w:pPr>
            <w:r w:rsidRPr="00BE4E27">
              <w:rPr>
                <w:rFonts w:ascii="宋体" w:hAnsi="宋体"/>
                <w:color w:val="000000"/>
                <w:szCs w:val="21"/>
              </w:rPr>
              <w:t>2024-02-22</w:t>
            </w:r>
          </w:p>
        </w:tc>
      </w:tr>
      <w:tr w:rsidR="00826A7F" w:rsidRPr="0025270A" w14:paraId="1E45D0B1" w14:textId="77777777" w:rsidTr="00BE4E27">
        <w:trPr>
          <w:trHeight w:val="285"/>
        </w:trPr>
        <w:tc>
          <w:tcPr>
            <w:tcW w:w="713" w:type="dxa"/>
            <w:shd w:val="clear" w:color="auto" w:fill="auto"/>
          </w:tcPr>
          <w:p w14:paraId="39DD7F6D" w14:textId="77777777" w:rsidR="00826A7F" w:rsidRPr="0025270A" w:rsidRDefault="00826A7F" w:rsidP="00826A7F">
            <w:pPr>
              <w:pStyle w:val="afb"/>
              <w:widowControl/>
              <w:numPr>
                <w:ilvl w:val="0"/>
                <w:numId w:val="18"/>
              </w:numPr>
              <w:spacing w:line="276" w:lineRule="auto"/>
              <w:ind w:firstLineChars="0"/>
              <w:jc w:val="center"/>
              <w:rPr>
                <w:rFonts w:ascii="宋体" w:hAnsi="宋体"/>
                <w:szCs w:val="21"/>
              </w:rPr>
            </w:pPr>
          </w:p>
        </w:tc>
        <w:tc>
          <w:tcPr>
            <w:tcW w:w="3630" w:type="dxa"/>
            <w:shd w:val="clear" w:color="auto" w:fill="auto"/>
          </w:tcPr>
          <w:p w14:paraId="016E5D4E" w14:textId="74407530" w:rsidR="00826A7F" w:rsidRPr="0025270A" w:rsidRDefault="00826A7F" w:rsidP="00826A7F">
            <w:pPr>
              <w:widowControl/>
              <w:spacing w:line="276" w:lineRule="auto"/>
              <w:jc w:val="left"/>
              <w:rPr>
                <w:rFonts w:ascii="宋体" w:hAnsi="宋体"/>
                <w:color w:val="000000"/>
                <w:szCs w:val="21"/>
              </w:rPr>
            </w:pPr>
            <w:r w:rsidRPr="008775E2">
              <w:rPr>
                <w:rFonts w:hint="eastAsia"/>
              </w:rPr>
              <w:t>汇添富基金管理股份有限公司关于汇添富添添乐双盈债券型证券投资基金调整销售对象、申购业务限额并修改招募说明书的公告</w:t>
            </w:r>
          </w:p>
        </w:tc>
        <w:tc>
          <w:tcPr>
            <w:tcW w:w="2807" w:type="dxa"/>
            <w:shd w:val="clear" w:color="auto" w:fill="auto"/>
          </w:tcPr>
          <w:p w14:paraId="01FE319C" w14:textId="67DCAAC5" w:rsidR="00826A7F" w:rsidRPr="0025270A" w:rsidRDefault="00826A7F" w:rsidP="00826A7F">
            <w:pPr>
              <w:widowControl/>
              <w:spacing w:line="276" w:lineRule="auto"/>
              <w:jc w:val="left"/>
              <w:rPr>
                <w:rFonts w:ascii="宋体" w:hAnsi="宋体"/>
                <w:color w:val="000000"/>
                <w:szCs w:val="21"/>
              </w:rPr>
            </w:pPr>
            <w:r w:rsidRPr="008775E2">
              <w:rPr>
                <w:rFonts w:hint="eastAsia"/>
              </w:rPr>
              <w:t>证券时报</w:t>
            </w:r>
            <w:r w:rsidRPr="008775E2">
              <w:rPr>
                <w:rFonts w:hint="eastAsia"/>
              </w:rPr>
              <w:t>,</w:t>
            </w:r>
            <w:r w:rsidRPr="008775E2">
              <w:rPr>
                <w:rFonts w:hint="eastAsia"/>
              </w:rPr>
              <w:t>公司网站</w:t>
            </w:r>
            <w:r w:rsidRPr="008775E2">
              <w:rPr>
                <w:rFonts w:hint="eastAsia"/>
              </w:rPr>
              <w:t>,</w:t>
            </w:r>
            <w:r w:rsidRPr="008775E2">
              <w:rPr>
                <w:rFonts w:hint="eastAsia"/>
              </w:rPr>
              <w:t>中国证监会基金电子披露网站</w:t>
            </w:r>
          </w:p>
        </w:tc>
        <w:tc>
          <w:tcPr>
            <w:tcW w:w="1372" w:type="dxa"/>
            <w:shd w:val="clear" w:color="auto" w:fill="auto"/>
            <w:vAlign w:val="center"/>
          </w:tcPr>
          <w:p w14:paraId="0FC1F0F6" w14:textId="17903CFB" w:rsidR="00826A7F" w:rsidRPr="0025270A" w:rsidRDefault="00826A7F" w:rsidP="00826A7F">
            <w:pPr>
              <w:widowControl/>
              <w:spacing w:line="276" w:lineRule="auto"/>
              <w:jc w:val="center"/>
              <w:rPr>
                <w:rFonts w:ascii="宋体" w:hAnsi="宋体"/>
                <w:color w:val="000000"/>
                <w:szCs w:val="21"/>
              </w:rPr>
            </w:pPr>
            <w:r w:rsidRPr="00BE4E27">
              <w:rPr>
                <w:rFonts w:ascii="宋体" w:hAnsi="宋体"/>
                <w:color w:val="000000"/>
                <w:szCs w:val="21"/>
              </w:rPr>
              <w:t>2024-03-26</w:t>
            </w:r>
          </w:p>
        </w:tc>
      </w:tr>
      <w:tr w:rsidR="00826A7F" w:rsidRPr="0025270A" w14:paraId="103AFC61" w14:textId="77777777" w:rsidTr="00BE4E27">
        <w:trPr>
          <w:trHeight w:val="285"/>
        </w:trPr>
        <w:tc>
          <w:tcPr>
            <w:tcW w:w="713" w:type="dxa"/>
            <w:shd w:val="clear" w:color="auto" w:fill="auto"/>
          </w:tcPr>
          <w:p w14:paraId="7B79B2C5" w14:textId="77777777" w:rsidR="00826A7F" w:rsidRPr="0025270A" w:rsidRDefault="00826A7F" w:rsidP="00826A7F">
            <w:pPr>
              <w:pStyle w:val="afb"/>
              <w:widowControl/>
              <w:numPr>
                <w:ilvl w:val="0"/>
                <w:numId w:val="18"/>
              </w:numPr>
              <w:spacing w:line="276" w:lineRule="auto"/>
              <w:ind w:firstLineChars="0"/>
              <w:jc w:val="center"/>
              <w:rPr>
                <w:rFonts w:ascii="宋体" w:hAnsi="宋体"/>
                <w:szCs w:val="21"/>
              </w:rPr>
            </w:pPr>
          </w:p>
        </w:tc>
        <w:tc>
          <w:tcPr>
            <w:tcW w:w="3630" w:type="dxa"/>
            <w:shd w:val="clear" w:color="auto" w:fill="auto"/>
          </w:tcPr>
          <w:p w14:paraId="06CC3B9C" w14:textId="138034DD" w:rsidR="00826A7F" w:rsidRPr="0025270A" w:rsidRDefault="00826A7F" w:rsidP="00826A7F">
            <w:pPr>
              <w:widowControl/>
              <w:spacing w:line="276" w:lineRule="auto"/>
              <w:jc w:val="left"/>
              <w:rPr>
                <w:rFonts w:ascii="宋体" w:hAnsi="宋体"/>
                <w:color w:val="000000"/>
                <w:szCs w:val="21"/>
              </w:rPr>
            </w:pPr>
            <w:r w:rsidRPr="008775E2">
              <w:rPr>
                <w:rFonts w:hint="eastAsia"/>
              </w:rPr>
              <w:t>汇添富添添乐双盈债券型证券投资基金更新招募说明书（</w:t>
            </w:r>
            <w:r w:rsidRPr="008775E2">
              <w:rPr>
                <w:rFonts w:hint="eastAsia"/>
              </w:rPr>
              <w:t>2024</w:t>
            </w:r>
            <w:r w:rsidRPr="008775E2">
              <w:rPr>
                <w:rFonts w:hint="eastAsia"/>
              </w:rPr>
              <w:t>年</w:t>
            </w:r>
            <w:r w:rsidRPr="008775E2">
              <w:rPr>
                <w:rFonts w:hint="eastAsia"/>
              </w:rPr>
              <w:t>3</w:t>
            </w:r>
            <w:r w:rsidRPr="008775E2">
              <w:rPr>
                <w:rFonts w:hint="eastAsia"/>
              </w:rPr>
              <w:t>月</w:t>
            </w:r>
            <w:r w:rsidRPr="008775E2">
              <w:rPr>
                <w:rFonts w:hint="eastAsia"/>
              </w:rPr>
              <w:t>27</w:t>
            </w:r>
            <w:r w:rsidRPr="008775E2">
              <w:rPr>
                <w:rFonts w:hint="eastAsia"/>
              </w:rPr>
              <w:t>日更新）</w:t>
            </w:r>
          </w:p>
        </w:tc>
        <w:tc>
          <w:tcPr>
            <w:tcW w:w="2807" w:type="dxa"/>
            <w:shd w:val="clear" w:color="auto" w:fill="auto"/>
          </w:tcPr>
          <w:p w14:paraId="641795E1" w14:textId="3878C74B" w:rsidR="00826A7F" w:rsidRPr="0025270A" w:rsidRDefault="00826A7F" w:rsidP="00826A7F">
            <w:pPr>
              <w:widowControl/>
              <w:spacing w:line="276" w:lineRule="auto"/>
              <w:jc w:val="left"/>
              <w:rPr>
                <w:rFonts w:ascii="宋体" w:hAnsi="宋体"/>
                <w:color w:val="000000"/>
                <w:szCs w:val="21"/>
              </w:rPr>
            </w:pPr>
            <w:r w:rsidRPr="008775E2">
              <w:rPr>
                <w:rFonts w:hint="eastAsia"/>
              </w:rPr>
              <w:t>公司网站</w:t>
            </w:r>
            <w:r w:rsidRPr="008775E2">
              <w:rPr>
                <w:rFonts w:hint="eastAsia"/>
              </w:rPr>
              <w:t>,</w:t>
            </w:r>
            <w:r w:rsidRPr="008775E2">
              <w:rPr>
                <w:rFonts w:hint="eastAsia"/>
              </w:rPr>
              <w:t>中国证监会基金电子披露网站</w:t>
            </w:r>
          </w:p>
        </w:tc>
        <w:tc>
          <w:tcPr>
            <w:tcW w:w="1372" w:type="dxa"/>
            <w:shd w:val="clear" w:color="auto" w:fill="auto"/>
            <w:vAlign w:val="center"/>
          </w:tcPr>
          <w:p w14:paraId="77DDBA24" w14:textId="0C826D41" w:rsidR="00826A7F" w:rsidRPr="0025270A" w:rsidRDefault="00826A7F" w:rsidP="00826A7F">
            <w:pPr>
              <w:widowControl/>
              <w:spacing w:line="276" w:lineRule="auto"/>
              <w:jc w:val="center"/>
              <w:rPr>
                <w:rFonts w:ascii="宋体" w:hAnsi="宋体"/>
                <w:color w:val="000000"/>
                <w:szCs w:val="21"/>
              </w:rPr>
            </w:pPr>
            <w:r w:rsidRPr="00BE4E27">
              <w:rPr>
                <w:rFonts w:ascii="宋体" w:hAnsi="宋体"/>
                <w:color w:val="000000"/>
                <w:szCs w:val="21"/>
              </w:rPr>
              <w:t>2024-03-27</w:t>
            </w:r>
          </w:p>
        </w:tc>
      </w:tr>
      <w:tr w:rsidR="00826A7F" w:rsidRPr="0025270A" w14:paraId="38B9DE1F" w14:textId="77777777" w:rsidTr="00BE4E27">
        <w:trPr>
          <w:trHeight w:val="285"/>
        </w:trPr>
        <w:tc>
          <w:tcPr>
            <w:tcW w:w="713" w:type="dxa"/>
            <w:shd w:val="clear" w:color="auto" w:fill="auto"/>
          </w:tcPr>
          <w:p w14:paraId="46A4BD85" w14:textId="77777777" w:rsidR="00826A7F" w:rsidRPr="0025270A" w:rsidRDefault="00826A7F" w:rsidP="00826A7F">
            <w:pPr>
              <w:pStyle w:val="afb"/>
              <w:widowControl/>
              <w:numPr>
                <w:ilvl w:val="0"/>
                <w:numId w:val="18"/>
              </w:numPr>
              <w:spacing w:line="276" w:lineRule="auto"/>
              <w:ind w:firstLineChars="0"/>
              <w:jc w:val="center"/>
              <w:rPr>
                <w:rFonts w:ascii="宋体" w:hAnsi="宋体"/>
                <w:szCs w:val="21"/>
              </w:rPr>
            </w:pPr>
          </w:p>
        </w:tc>
        <w:tc>
          <w:tcPr>
            <w:tcW w:w="3630" w:type="dxa"/>
            <w:shd w:val="clear" w:color="auto" w:fill="auto"/>
          </w:tcPr>
          <w:p w14:paraId="39077BB9" w14:textId="02A60466" w:rsidR="00826A7F" w:rsidRPr="0025270A" w:rsidRDefault="00826A7F" w:rsidP="00826A7F">
            <w:pPr>
              <w:widowControl/>
              <w:spacing w:line="276" w:lineRule="auto"/>
              <w:jc w:val="left"/>
              <w:rPr>
                <w:rFonts w:ascii="宋体" w:hAnsi="宋体"/>
                <w:color w:val="000000"/>
                <w:szCs w:val="21"/>
              </w:rPr>
            </w:pPr>
            <w:r w:rsidRPr="008775E2">
              <w:rPr>
                <w:rFonts w:hint="eastAsia"/>
              </w:rPr>
              <w:t>汇添富基金管理股份有限公司旗下基金</w:t>
            </w:r>
            <w:r w:rsidRPr="008775E2">
              <w:rPr>
                <w:rFonts w:hint="eastAsia"/>
              </w:rPr>
              <w:t>2023</w:t>
            </w:r>
            <w:r w:rsidRPr="008775E2">
              <w:rPr>
                <w:rFonts w:hint="eastAsia"/>
              </w:rPr>
              <w:t>年年度报告</w:t>
            </w:r>
          </w:p>
        </w:tc>
        <w:tc>
          <w:tcPr>
            <w:tcW w:w="2807" w:type="dxa"/>
            <w:shd w:val="clear" w:color="auto" w:fill="auto"/>
          </w:tcPr>
          <w:p w14:paraId="6F222AF7" w14:textId="36036FDB" w:rsidR="00826A7F" w:rsidRPr="0025270A" w:rsidRDefault="00826A7F" w:rsidP="00826A7F">
            <w:pPr>
              <w:widowControl/>
              <w:spacing w:line="276" w:lineRule="auto"/>
              <w:jc w:val="left"/>
              <w:rPr>
                <w:rFonts w:ascii="宋体" w:hAnsi="宋体"/>
                <w:color w:val="000000"/>
                <w:szCs w:val="21"/>
              </w:rPr>
            </w:pPr>
            <w:r w:rsidRPr="008775E2">
              <w:rPr>
                <w:rFonts w:hint="eastAsia"/>
              </w:rPr>
              <w:t>上交所</w:t>
            </w:r>
            <w:r w:rsidRPr="008775E2">
              <w:rPr>
                <w:rFonts w:hint="eastAsia"/>
              </w:rPr>
              <w:t>,</w:t>
            </w:r>
            <w:r w:rsidRPr="008775E2">
              <w:rPr>
                <w:rFonts w:hint="eastAsia"/>
              </w:rPr>
              <w:t>上证报</w:t>
            </w:r>
            <w:r w:rsidRPr="008775E2">
              <w:rPr>
                <w:rFonts w:hint="eastAsia"/>
              </w:rPr>
              <w:t>,</w:t>
            </w:r>
            <w:r w:rsidRPr="008775E2">
              <w:rPr>
                <w:rFonts w:hint="eastAsia"/>
              </w:rPr>
              <w:t>公司网站</w:t>
            </w:r>
            <w:r w:rsidRPr="008775E2">
              <w:rPr>
                <w:rFonts w:hint="eastAsia"/>
              </w:rPr>
              <w:t>,</w:t>
            </w:r>
            <w:r w:rsidRPr="008775E2">
              <w:rPr>
                <w:rFonts w:hint="eastAsia"/>
              </w:rPr>
              <w:t>深交所</w:t>
            </w:r>
            <w:r w:rsidRPr="008775E2">
              <w:rPr>
                <w:rFonts w:hint="eastAsia"/>
              </w:rPr>
              <w:t>,</w:t>
            </w:r>
            <w:r w:rsidRPr="008775E2">
              <w:rPr>
                <w:rFonts w:hint="eastAsia"/>
              </w:rPr>
              <w:t>中国证监会基金电子披露网站</w:t>
            </w:r>
          </w:p>
        </w:tc>
        <w:tc>
          <w:tcPr>
            <w:tcW w:w="1372" w:type="dxa"/>
            <w:shd w:val="clear" w:color="auto" w:fill="auto"/>
            <w:vAlign w:val="center"/>
          </w:tcPr>
          <w:p w14:paraId="0CD73FDE" w14:textId="3CE7043F" w:rsidR="00826A7F" w:rsidRPr="0025270A" w:rsidRDefault="00826A7F" w:rsidP="00826A7F">
            <w:pPr>
              <w:widowControl/>
              <w:spacing w:line="276" w:lineRule="auto"/>
              <w:jc w:val="center"/>
              <w:rPr>
                <w:rFonts w:ascii="宋体" w:hAnsi="宋体"/>
                <w:color w:val="000000"/>
                <w:szCs w:val="21"/>
              </w:rPr>
            </w:pPr>
            <w:r w:rsidRPr="00BE4E27">
              <w:rPr>
                <w:rFonts w:ascii="宋体" w:hAnsi="宋体"/>
                <w:color w:val="000000"/>
                <w:szCs w:val="21"/>
              </w:rPr>
              <w:t>2024-03-29</w:t>
            </w:r>
          </w:p>
        </w:tc>
      </w:tr>
      <w:tr w:rsidR="00826A7F" w:rsidRPr="0025270A" w14:paraId="7AE99E32" w14:textId="77777777" w:rsidTr="00BE4E27">
        <w:trPr>
          <w:trHeight w:val="285"/>
        </w:trPr>
        <w:tc>
          <w:tcPr>
            <w:tcW w:w="713" w:type="dxa"/>
            <w:shd w:val="clear" w:color="auto" w:fill="auto"/>
          </w:tcPr>
          <w:p w14:paraId="1C3C5E3A" w14:textId="77777777" w:rsidR="00826A7F" w:rsidRPr="0025270A" w:rsidRDefault="00826A7F" w:rsidP="00826A7F">
            <w:pPr>
              <w:pStyle w:val="afb"/>
              <w:widowControl/>
              <w:numPr>
                <w:ilvl w:val="0"/>
                <w:numId w:val="18"/>
              </w:numPr>
              <w:spacing w:line="276" w:lineRule="auto"/>
              <w:ind w:firstLineChars="0"/>
              <w:jc w:val="center"/>
              <w:rPr>
                <w:rFonts w:ascii="宋体" w:hAnsi="宋体"/>
                <w:szCs w:val="21"/>
              </w:rPr>
            </w:pPr>
          </w:p>
        </w:tc>
        <w:tc>
          <w:tcPr>
            <w:tcW w:w="3630" w:type="dxa"/>
            <w:shd w:val="clear" w:color="auto" w:fill="auto"/>
          </w:tcPr>
          <w:p w14:paraId="52F78FA4" w14:textId="059AADA5" w:rsidR="00826A7F" w:rsidRPr="0025270A" w:rsidRDefault="00826A7F" w:rsidP="00826A7F">
            <w:pPr>
              <w:widowControl/>
              <w:spacing w:line="276" w:lineRule="auto"/>
              <w:jc w:val="left"/>
              <w:rPr>
                <w:rFonts w:ascii="宋体" w:hAnsi="宋体"/>
                <w:color w:val="000000"/>
                <w:szCs w:val="21"/>
              </w:rPr>
            </w:pPr>
            <w:r w:rsidRPr="008775E2">
              <w:rPr>
                <w:rFonts w:hint="eastAsia"/>
              </w:rPr>
              <w:t>汇添富基金管理股份有限公司关于提醒投资者持续完善客户身份信息资料的公告</w:t>
            </w:r>
          </w:p>
        </w:tc>
        <w:tc>
          <w:tcPr>
            <w:tcW w:w="2807" w:type="dxa"/>
            <w:shd w:val="clear" w:color="auto" w:fill="auto"/>
          </w:tcPr>
          <w:p w14:paraId="7E4E65BC" w14:textId="1A0454BB" w:rsidR="00826A7F" w:rsidRPr="0025270A" w:rsidRDefault="00826A7F" w:rsidP="00826A7F">
            <w:pPr>
              <w:widowControl/>
              <w:spacing w:line="276" w:lineRule="auto"/>
              <w:jc w:val="left"/>
              <w:rPr>
                <w:rFonts w:ascii="宋体" w:hAnsi="宋体"/>
                <w:color w:val="000000"/>
                <w:szCs w:val="21"/>
              </w:rPr>
            </w:pPr>
            <w:r w:rsidRPr="008775E2">
              <w:rPr>
                <w:rFonts w:hint="eastAsia"/>
              </w:rPr>
              <w:t>上证报</w:t>
            </w:r>
            <w:r w:rsidRPr="008775E2">
              <w:rPr>
                <w:rFonts w:hint="eastAsia"/>
              </w:rPr>
              <w:t>,</w:t>
            </w:r>
            <w:r w:rsidRPr="008775E2">
              <w:rPr>
                <w:rFonts w:hint="eastAsia"/>
              </w:rPr>
              <w:t>公司网站</w:t>
            </w:r>
            <w:r w:rsidRPr="008775E2">
              <w:rPr>
                <w:rFonts w:hint="eastAsia"/>
              </w:rPr>
              <w:t>,</w:t>
            </w:r>
            <w:r w:rsidRPr="008775E2">
              <w:rPr>
                <w:rFonts w:hint="eastAsia"/>
              </w:rPr>
              <w:t>中国证监会基金电子披露网站</w:t>
            </w:r>
          </w:p>
        </w:tc>
        <w:tc>
          <w:tcPr>
            <w:tcW w:w="1372" w:type="dxa"/>
            <w:shd w:val="clear" w:color="auto" w:fill="auto"/>
            <w:vAlign w:val="center"/>
          </w:tcPr>
          <w:p w14:paraId="20A1D15D" w14:textId="33334FD8" w:rsidR="00826A7F" w:rsidRPr="0025270A" w:rsidRDefault="00826A7F" w:rsidP="00826A7F">
            <w:pPr>
              <w:widowControl/>
              <w:spacing w:line="276" w:lineRule="auto"/>
              <w:jc w:val="center"/>
              <w:rPr>
                <w:rFonts w:ascii="宋体" w:hAnsi="宋体"/>
                <w:color w:val="000000"/>
                <w:szCs w:val="21"/>
              </w:rPr>
            </w:pPr>
            <w:r w:rsidRPr="00BE4E27">
              <w:rPr>
                <w:rFonts w:ascii="宋体" w:hAnsi="宋体"/>
                <w:color w:val="000000"/>
                <w:szCs w:val="21"/>
              </w:rPr>
              <w:t>2024-04-03</w:t>
            </w:r>
          </w:p>
        </w:tc>
      </w:tr>
    </w:tbl>
    <w:p w14:paraId="539BA659" w14:textId="77777777" w:rsidR="00E65899" w:rsidRDefault="00E65899">
      <w:pPr>
        <w:spacing w:line="360" w:lineRule="auto"/>
        <w:ind w:firstLine="420"/>
        <w:rPr>
          <w:rFonts w:eastAsia="Times New Roman"/>
          <w:kern w:val="0"/>
          <w:sz w:val="24"/>
          <w:szCs w:val="24"/>
        </w:rPr>
      </w:pPr>
    </w:p>
    <w:p w14:paraId="650FC0F6"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286A7842" w14:textId="26446A94" w:rsidR="009912D6" w:rsidRDefault="0024620C" w:rsidP="009912D6">
      <w:pPr>
        <w:pStyle w:val="1"/>
        <w:spacing w:before="0" w:after="0"/>
        <w:jc w:val="center"/>
        <w:rPr>
          <w:rFonts w:ascii="Times New Roman"/>
          <w:color w:val="auto"/>
          <w:sz w:val="30"/>
        </w:rPr>
      </w:pPr>
      <w:bookmarkStart w:id="60" w:name="_Toc135000360"/>
      <w:r w:rsidRPr="009E26D0">
        <w:rPr>
          <w:rFonts w:ascii="Times New Roman"/>
          <w:color w:val="auto"/>
          <w:sz w:val="30"/>
        </w:rPr>
        <w:lastRenderedPageBreak/>
        <w:t>第二十</w:t>
      </w:r>
      <w:r w:rsidR="00120661">
        <w:rPr>
          <w:rFonts w:ascii="Times New Roman" w:hint="eastAsia"/>
          <w:color w:val="auto"/>
          <w:sz w:val="30"/>
        </w:rPr>
        <w:t>四</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招募说明书的存放和查阅方式</w:t>
      </w:r>
      <w:bookmarkEnd w:id="60"/>
    </w:p>
    <w:p w14:paraId="17943C1E" w14:textId="77777777" w:rsidR="009912D6" w:rsidRPr="0017353E" w:rsidRDefault="009912D6" w:rsidP="009912D6"/>
    <w:p w14:paraId="2CD310F5"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本基金招募说明书存放于基金管理人、基金托管人和基金销售机构的住所，供公众查阅、复制。基金投资者在支付工本费后，可在合理时间内取得招募说明书的复印件。对投资者按上述方式所获得的文件及其复印件，基金管理人和基金托管人保证与所公告文本的内容完全一致。</w:t>
      </w:r>
    </w:p>
    <w:p w14:paraId="383E5A7A" w14:textId="77777777" w:rsidR="00586A97" w:rsidRDefault="0024620C">
      <w:pPr>
        <w:spacing w:line="360" w:lineRule="auto"/>
        <w:ind w:firstLine="420"/>
        <w:rPr>
          <w:rFonts w:eastAsia="Times New Roman"/>
          <w:kern w:val="0"/>
          <w:sz w:val="24"/>
          <w:szCs w:val="24"/>
        </w:rPr>
      </w:pPr>
      <w:r>
        <w:rPr>
          <w:rFonts w:ascii="宋体" w:hAnsi="宋体" w:cs="宋体"/>
          <w:kern w:val="0"/>
          <w:sz w:val="24"/>
          <w:szCs w:val="24"/>
        </w:rPr>
        <w:t>投资者还可以直接登录基金管理人的网站(www.99fund.com)查阅和下载招募说明书。</w:t>
      </w:r>
    </w:p>
    <w:p w14:paraId="4B21BB22" w14:textId="77777777" w:rsidR="009912D6" w:rsidRDefault="0024620C" w:rsidP="009912D6">
      <w:pPr>
        <w:autoSpaceDE w:val="0"/>
        <w:autoSpaceDN w:val="0"/>
        <w:adjustRightInd w:val="0"/>
        <w:spacing w:line="360" w:lineRule="auto"/>
        <w:ind w:firstLineChars="200" w:firstLine="480"/>
        <w:jc w:val="center"/>
        <w:rPr>
          <w:rFonts w:ascii="宋体"/>
          <w:noProof/>
          <w:color w:val="000000"/>
          <w:kern w:val="0"/>
          <w:sz w:val="24"/>
          <w:szCs w:val="24"/>
        </w:rPr>
      </w:pPr>
      <w:r>
        <w:rPr>
          <w:rFonts w:ascii="宋体"/>
          <w:noProof/>
          <w:color w:val="000000"/>
          <w:kern w:val="0"/>
          <w:sz w:val="24"/>
          <w:szCs w:val="24"/>
        </w:rPr>
        <w:br w:type="page"/>
      </w:r>
    </w:p>
    <w:p w14:paraId="6814E5C2" w14:textId="21882D81" w:rsidR="009912D6" w:rsidRDefault="0024620C" w:rsidP="009912D6">
      <w:pPr>
        <w:pStyle w:val="1"/>
        <w:spacing w:before="0" w:after="0"/>
        <w:jc w:val="center"/>
        <w:rPr>
          <w:rFonts w:ascii="Times New Roman"/>
          <w:color w:val="auto"/>
          <w:sz w:val="30"/>
        </w:rPr>
      </w:pPr>
      <w:bookmarkStart w:id="61" w:name="_Toc135000361"/>
      <w:r w:rsidRPr="009E26D0">
        <w:rPr>
          <w:rFonts w:ascii="Times New Roman"/>
          <w:color w:val="auto"/>
          <w:sz w:val="30"/>
        </w:rPr>
        <w:lastRenderedPageBreak/>
        <w:t>第二十</w:t>
      </w:r>
      <w:r w:rsidR="00120661">
        <w:rPr>
          <w:rFonts w:ascii="Times New Roman" w:hint="eastAsia"/>
          <w:color w:val="auto"/>
          <w:sz w:val="30"/>
        </w:rPr>
        <w:t>五</w:t>
      </w:r>
      <w:r w:rsidRPr="009E26D0">
        <w:rPr>
          <w:rFonts w:ascii="Times New Roman"/>
          <w:color w:val="auto"/>
          <w:sz w:val="30"/>
        </w:rPr>
        <w:t>部分</w:t>
      </w:r>
      <w:r w:rsidRPr="009E26D0">
        <w:rPr>
          <w:rFonts w:ascii="Times New Roman"/>
          <w:color w:val="auto"/>
          <w:sz w:val="30"/>
        </w:rPr>
        <w:t xml:space="preserve">  </w:t>
      </w:r>
      <w:r w:rsidRPr="009E26D0">
        <w:rPr>
          <w:rFonts w:ascii="Times New Roman"/>
          <w:color w:val="auto"/>
          <w:sz w:val="30"/>
        </w:rPr>
        <w:t>备查文件</w:t>
      </w:r>
      <w:bookmarkEnd w:id="61"/>
    </w:p>
    <w:p w14:paraId="04BF3E96" w14:textId="77777777" w:rsidR="009912D6" w:rsidRPr="0017353E" w:rsidRDefault="009912D6" w:rsidP="009912D6"/>
    <w:p w14:paraId="37D0C4AE"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一、本基金备查文件包括下列文件：</w:t>
      </w:r>
    </w:p>
    <w:p w14:paraId="5F1605ED" w14:textId="30D83621"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1、中国证监会准予</w:t>
      </w:r>
      <w:r w:rsidR="009568AA" w:rsidRPr="009568AA">
        <w:rPr>
          <w:rFonts w:ascii="宋体" w:hAnsi="宋体" w:cs="宋体" w:hint="eastAsia"/>
          <w:kern w:val="0"/>
          <w:sz w:val="24"/>
          <w:szCs w:val="24"/>
        </w:rPr>
        <w:t>汇添富添添乐双盈债券型证券投资基金</w:t>
      </w:r>
      <w:r>
        <w:rPr>
          <w:rFonts w:ascii="宋体" w:hAnsi="宋体" w:cs="宋体"/>
          <w:kern w:val="0"/>
          <w:sz w:val="24"/>
          <w:szCs w:val="24"/>
        </w:rPr>
        <w:t>注册的文件；</w:t>
      </w:r>
    </w:p>
    <w:p w14:paraId="6AEE3035" w14:textId="71A16E52"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2、《</w:t>
      </w:r>
      <w:r w:rsidR="009568AA" w:rsidRPr="009568AA">
        <w:rPr>
          <w:rFonts w:ascii="宋体" w:hAnsi="宋体" w:cs="宋体" w:hint="eastAsia"/>
          <w:kern w:val="0"/>
          <w:sz w:val="24"/>
          <w:szCs w:val="24"/>
        </w:rPr>
        <w:t>汇添富添添乐双盈债券型证券投资基金</w:t>
      </w:r>
      <w:r>
        <w:rPr>
          <w:rFonts w:ascii="宋体" w:hAnsi="宋体" w:cs="宋体"/>
          <w:kern w:val="0"/>
          <w:sz w:val="24"/>
          <w:szCs w:val="24"/>
        </w:rPr>
        <w:t>基金合同》；</w:t>
      </w:r>
    </w:p>
    <w:p w14:paraId="4EBC5CA9" w14:textId="591233ED"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3、《</w:t>
      </w:r>
      <w:r w:rsidR="009568AA" w:rsidRPr="009568AA">
        <w:rPr>
          <w:rFonts w:ascii="宋体" w:hAnsi="宋体" w:cs="宋体" w:hint="eastAsia"/>
          <w:kern w:val="0"/>
          <w:sz w:val="24"/>
          <w:szCs w:val="24"/>
        </w:rPr>
        <w:t>汇添富添添乐双盈债券型证券投资基金</w:t>
      </w:r>
      <w:r>
        <w:rPr>
          <w:rFonts w:ascii="宋体" w:hAnsi="宋体" w:cs="宋体"/>
          <w:kern w:val="0"/>
          <w:sz w:val="24"/>
          <w:szCs w:val="24"/>
        </w:rPr>
        <w:t>托管协议》；</w:t>
      </w:r>
    </w:p>
    <w:p w14:paraId="2B3B9F87"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4、法律意见书；</w:t>
      </w:r>
    </w:p>
    <w:p w14:paraId="2963D99B"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5、基金管理人业务资格批件、营业执照；</w:t>
      </w:r>
    </w:p>
    <w:p w14:paraId="769FE7CC"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6、基金托管人业务资格批件、营业执照；</w:t>
      </w:r>
    </w:p>
    <w:p w14:paraId="6F8C6AC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7、中国证监会要求的其他文件。</w:t>
      </w:r>
    </w:p>
    <w:p w14:paraId="78EA37AD" w14:textId="77777777" w:rsidR="00586A97" w:rsidRDefault="0024620C">
      <w:pPr>
        <w:spacing w:line="360" w:lineRule="auto"/>
        <w:ind w:firstLine="420"/>
        <w:jc w:val="left"/>
        <w:rPr>
          <w:rFonts w:eastAsia="Times New Roman"/>
          <w:kern w:val="0"/>
          <w:sz w:val="24"/>
          <w:szCs w:val="24"/>
        </w:rPr>
      </w:pPr>
      <w:r>
        <w:rPr>
          <w:rFonts w:ascii="宋体" w:hAnsi="宋体" w:cs="宋体"/>
          <w:kern w:val="0"/>
          <w:sz w:val="24"/>
          <w:szCs w:val="24"/>
        </w:rPr>
        <w:t>二、备查文件的存放地点和投资者查阅方式：</w:t>
      </w:r>
    </w:p>
    <w:p w14:paraId="4C66D5C4" w14:textId="77777777" w:rsidR="00586A97" w:rsidRDefault="0024620C">
      <w:pPr>
        <w:spacing w:line="360" w:lineRule="auto"/>
        <w:ind w:firstLine="420"/>
        <w:rPr>
          <w:rFonts w:ascii="宋体" w:hAnsi="宋体" w:cs="宋体"/>
          <w:kern w:val="0"/>
          <w:sz w:val="24"/>
          <w:szCs w:val="24"/>
        </w:rPr>
      </w:pPr>
      <w:r>
        <w:rPr>
          <w:rFonts w:ascii="宋体" w:hAnsi="宋体" w:cs="宋体"/>
          <w:kern w:val="0"/>
          <w:sz w:val="24"/>
          <w:szCs w:val="24"/>
        </w:rPr>
        <w:t>以上备查文件存放在基金管理人和基金托管人的办公场所，在办公时间可供免费查阅。</w:t>
      </w:r>
    </w:p>
    <w:p w14:paraId="294F8C55" w14:textId="77777777" w:rsidR="009568AA" w:rsidRDefault="009568AA" w:rsidP="00CE4F60">
      <w:pPr>
        <w:spacing w:line="360" w:lineRule="auto"/>
        <w:rPr>
          <w:rFonts w:ascii="宋体" w:hAnsi="宋体" w:cs="宋体"/>
          <w:kern w:val="0"/>
          <w:sz w:val="24"/>
          <w:szCs w:val="24"/>
        </w:rPr>
      </w:pPr>
    </w:p>
    <w:p w14:paraId="05D72267" w14:textId="77777777" w:rsidR="009568AA" w:rsidRDefault="009568AA">
      <w:pPr>
        <w:spacing w:line="360" w:lineRule="auto"/>
        <w:ind w:firstLine="420"/>
        <w:rPr>
          <w:rFonts w:eastAsia="Times New Roman"/>
          <w:kern w:val="0"/>
          <w:sz w:val="24"/>
          <w:szCs w:val="24"/>
        </w:rPr>
      </w:pPr>
    </w:p>
    <w:p w14:paraId="2023AC07" w14:textId="77777777" w:rsidR="00586A97" w:rsidRDefault="0024620C">
      <w:pPr>
        <w:spacing w:line="360" w:lineRule="auto"/>
        <w:ind w:firstLine="420"/>
        <w:jc w:val="right"/>
        <w:rPr>
          <w:rFonts w:ascii="宋体" w:hAnsi="宋体" w:cs="宋体"/>
          <w:kern w:val="0"/>
          <w:sz w:val="24"/>
          <w:szCs w:val="24"/>
        </w:rPr>
      </w:pPr>
      <w:r>
        <w:rPr>
          <w:rFonts w:ascii="宋体" w:hAnsi="宋体" w:cs="宋体"/>
          <w:kern w:val="0"/>
          <w:sz w:val="24"/>
          <w:szCs w:val="24"/>
        </w:rPr>
        <w:t>汇添富基金管理股份有限公司</w:t>
      </w:r>
    </w:p>
    <w:p w14:paraId="31EA3069" w14:textId="44C2D1D3" w:rsidR="008A75CD" w:rsidRPr="008A75CD" w:rsidRDefault="00826A7F">
      <w:pPr>
        <w:spacing w:line="360" w:lineRule="auto"/>
        <w:ind w:firstLine="420"/>
        <w:jc w:val="right"/>
        <w:rPr>
          <w:rFonts w:eastAsia="Times New Roman"/>
          <w:kern w:val="0"/>
          <w:sz w:val="24"/>
          <w:szCs w:val="24"/>
        </w:rPr>
      </w:pPr>
      <w:r>
        <w:rPr>
          <w:rFonts w:ascii="宋体" w:hAnsi="宋体" w:cs="宋体"/>
          <w:kern w:val="0"/>
          <w:sz w:val="24"/>
          <w:szCs w:val="24"/>
        </w:rPr>
        <w:t>2024年4</w:t>
      </w:r>
      <w:r w:rsidR="008A75CD">
        <w:rPr>
          <w:rFonts w:ascii="宋体" w:hAnsi="宋体" w:cs="宋体"/>
          <w:kern w:val="0"/>
          <w:sz w:val="24"/>
          <w:szCs w:val="24"/>
        </w:rPr>
        <w:t>月</w:t>
      </w:r>
      <w:r>
        <w:rPr>
          <w:rFonts w:ascii="宋体" w:hAnsi="宋体" w:cs="宋体"/>
          <w:kern w:val="0"/>
          <w:sz w:val="24"/>
          <w:szCs w:val="24"/>
        </w:rPr>
        <w:t>15</w:t>
      </w:r>
      <w:r w:rsidR="008A75CD">
        <w:rPr>
          <w:rFonts w:ascii="宋体" w:hAnsi="宋体" w:cs="宋体"/>
          <w:kern w:val="0"/>
          <w:sz w:val="24"/>
          <w:szCs w:val="24"/>
        </w:rPr>
        <w:t>日</w:t>
      </w:r>
    </w:p>
    <w:p w14:paraId="61BAE445" w14:textId="387C8EEF" w:rsidR="009912D6" w:rsidRDefault="009912D6" w:rsidP="00CE4F60">
      <w:pPr>
        <w:autoSpaceDE w:val="0"/>
        <w:autoSpaceDN w:val="0"/>
        <w:adjustRightInd w:val="0"/>
        <w:spacing w:line="360" w:lineRule="auto"/>
        <w:rPr>
          <w:rFonts w:ascii="宋体"/>
          <w:noProof/>
          <w:color w:val="000000"/>
          <w:kern w:val="0"/>
          <w:sz w:val="24"/>
          <w:szCs w:val="24"/>
        </w:rPr>
      </w:pPr>
    </w:p>
    <w:sectPr w:rsidR="009912D6" w:rsidSect="009912D6">
      <w:footerReference w:type="default" r:id="rId1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47F5E" w14:textId="77777777" w:rsidR="007C5237" w:rsidRDefault="007C5237">
      <w:r>
        <w:separator/>
      </w:r>
    </w:p>
  </w:endnote>
  <w:endnote w:type="continuationSeparator" w:id="0">
    <w:p w14:paraId="0A12B37B" w14:textId="77777777" w:rsidR="007C5237" w:rsidRDefault="007C5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yh">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71BD5" w14:textId="77777777" w:rsidR="002C76B4" w:rsidRPr="00A77AE9" w:rsidRDefault="002C76B4" w:rsidP="009912D6">
    <w:pPr>
      <w:pStyle w:val="af5"/>
      <w:jc w:val="cente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6330090"/>
      <w:docPartObj>
        <w:docPartGallery w:val="Page Numbers (Bottom of Page)"/>
        <w:docPartUnique/>
      </w:docPartObj>
    </w:sdtPr>
    <w:sdtContent>
      <w:p w14:paraId="35008858" w14:textId="250BDE01" w:rsidR="002C76B4" w:rsidRPr="0024488F" w:rsidRDefault="002C76B4" w:rsidP="009912D6">
        <w:pPr>
          <w:pStyle w:val="af5"/>
          <w:jc w:val="center"/>
        </w:pPr>
        <w:r>
          <w:fldChar w:fldCharType="begin"/>
        </w:r>
        <w:r>
          <w:instrText>PAGE   \* MERGEFORMAT</w:instrText>
        </w:r>
        <w:r>
          <w:fldChar w:fldCharType="separate"/>
        </w:r>
        <w:r w:rsidR="00B64DFC" w:rsidRPr="00B64DFC">
          <w:rPr>
            <w:noProof/>
            <w:lang w:val="zh-CN"/>
          </w:rPr>
          <w:t>1</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0717897"/>
      <w:docPartObj>
        <w:docPartGallery w:val="Page Numbers (Bottom of Page)"/>
        <w:docPartUnique/>
      </w:docPartObj>
    </w:sdtPr>
    <w:sdtContent>
      <w:p w14:paraId="56ACE8F8" w14:textId="5ED76877" w:rsidR="002C76B4" w:rsidRDefault="002C76B4">
        <w:pPr>
          <w:pStyle w:val="af5"/>
          <w:jc w:val="center"/>
        </w:pPr>
        <w:r>
          <w:fldChar w:fldCharType="begin"/>
        </w:r>
        <w:r>
          <w:instrText>PAGE   \* MERGEFORMAT</w:instrText>
        </w:r>
        <w:r>
          <w:fldChar w:fldCharType="separate"/>
        </w:r>
        <w:r w:rsidR="00B64DFC" w:rsidRPr="00B64DFC">
          <w:rPr>
            <w:noProof/>
            <w:lang w:val="zh-CN"/>
          </w:rPr>
          <w:t>4</w:t>
        </w:r>
        <w:r>
          <w:fldChar w:fldCharType="end"/>
        </w:r>
      </w:p>
    </w:sdtContent>
  </w:sdt>
  <w:p w14:paraId="4A374A77" w14:textId="77777777" w:rsidR="002C76B4" w:rsidRPr="0024488F" w:rsidRDefault="002C76B4" w:rsidP="009912D6">
    <w:pPr>
      <w:pStyle w:val="af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06C4" w14:textId="77777777" w:rsidR="007C5237" w:rsidRDefault="007C5237">
      <w:r>
        <w:separator/>
      </w:r>
    </w:p>
  </w:footnote>
  <w:footnote w:type="continuationSeparator" w:id="0">
    <w:p w14:paraId="5479C8CD" w14:textId="77777777" w:rsidR="007C5237" w:rsidRDefault="007C52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DF3C0" w14:textId="51B8001D" w:rsidR="002C76B4" w:rsidRDefault="002C76B4" w:rsidP="009912D6">
    <w:pPr>
      <w:pStyle w:val="aa"/>
      <w:tabs>
        <w:tab w:val="clear" w:pos="4153"/>
      </w:tabs>
      <w:jc w:val="left"/>
    </w:pPr>
    <w:r w:rsidRPr="007F25F9">
      <w:rPr>
        <w:rFonts w:hint="eastAsia"/>
        <w:noProof/>
      </w:rPr>
      <w:t>汇添富添添乐双盈债券型证券投资基金</w:t>
    </w:r>
    <w:r>
      <w:rPr>
        <w:noProof/>
      </w:rPr>
      <w:tab/>
    </w:r>
    <w:r>
      <w:rPr>
        <w:rFonts w:hint="eastAsia"/>
        <w:noProof/>
      </w:rPr>
      <w:t>更新</w:t>
    </w:r>
    <w:r>
      <w:rPr>
        <w:rFonts w:hint="eastAsia"/>
      </w:rPr>
      <w:t>招募说明书</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2" w15:restartNumberingAfterBreak="0">
    <w:nsid w:val="07172C76"/>
    <w:multiLevelType w:val="hybridMultilevel"/>
    <w:tmpl w:val="EEA0068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E643BC9"/>
    <w:multiLevelType w:val="hybridMultilevel"/>
    <w:tmpl w:val="F108657E"/>
    <w:lvl w:ilvl="0" w:tplc="3352226A">
      <w:start w:val="1"/>
      <w:numFmt w:val="lowerRoman"/>
      <w:lvlText w:val="%1."/>
      <w:lvlJc w:val="right"/>
      <w:pPr>
        <w:ind w:left="900" w:hanging="420"/>
      </w:pPr>
      <w:rPr>
        <w:rFonts w:hint="eastAsia"/>
      </w:rPr>
    </w:lvl>
    <w:lvl w:ilvl="1" w:tplc="B276DB4A" w:tentative="1">
      <w:start w:val="1"/>
      <w:numFmt w:val="lowerLetter"/>
      <w:lvlText w:val="%2)"/>
      <w:lvlJc w:val="left"/>
      <w:pPr>
        <w:ind w:left="1320" w:hanging="420"/>
      </w:pPr>
    </w:lvl>
    <w:lvl w:ilvl="2" w:tplc="4C142536" w:tentative="1">
      <w:start w:val="1"/>
      <w:numFmt w:val="lowerRoman"/>
      <w:lvlText w:val="%3."/>
      <w:lvlJc w:val="right"/>
      <w:pPr>
        <w:ind w:left="1740" w:hanging="420"/>
      </w:pPr>
    </w:lvl>
    <w:lvl w:ilvl="3" w:tplc="0D0A92BA" w:tentative="1">
      <w:start w:val="1"/>
      <w:numFmt w:val="decimal"/>
      <w:lvlText w:val="%4."/>
      <w:lvlJc w:val="left"/>
      <w:pPr>
        <w:ind w:left="2160" w:hanging="420"/>
      </w:pPr>
    </w:lvl>
    <w:lvl w:ilvl="4" w:tplc="85523D80" w:tentative="1">
      <w:start w:val="1"/>
      <w:numFmt w:val="lowerLetter"/>
      <w:lvlText w:val="%5)"/>
      <w:lvlJc w:val="left"/>
      <w:pPr>
        <w:ind w:left="2580" w:hanging="420"/>
      </w:pPr>
    </w:lvl>
    <w:lvl w:ilvl="5" w:tplc="BD200B26" w:tentative="1">
      <w:start w:val="1"/>
      <w:numFmt w:val="lowerRoman"/>
      <w:lvlText w:val="%6."/>
      <w:lvlJc w:val="right"/>
      <w:pPr>
        <w:ind w:left="3000" w:hanging="420"/>
      </w:pPr>
    </w:lvl>
    <w:lvl w:ilvl="6" w:tplc="00F03098" w:tentative="1">
      <w:start w:val="1"/>
      <w:numFmt w:val="decimal"/>
      <w:lvlText w:val="%7."/>
      <w:lvlJc w:val="left"/>
      <w:pPr>
        <w:ind w:left="3420" w:hanging="420"/>
      </w:pPr>
    </w:lvl>
    <w:lvl w:ilvl="7" w:tplc="8BC8ED8C" w:tentative="1">
      <w:start w:val="1"/>
      <w:numFmt w:val="lowerLetter"/>
      <w:lvlText w:val="%8)"/>
      <w:lvlJc w:val="left"/>
      <w:pPr>
        <w:ind w:left="3840" w:hanging="420"/>
      </w:pPr>
    </w:lvl>
    <w:lvl w:ilvl="8" w:tplc="A568FF5C" w:tentative="1">
      <w:start w:val="1"/>
      <w:numFmt w:val="lowerRoman"/>
      <w:lvlText w:val="%9."/>
      <w:lvlJc w:val="right"/>
      <w:pPr>
        <w:ind w:left="4260" w:hanging="420"/>
      </w:pPr>
    </w:lvl>
  </w:abstractNum>
  <w:abstractNum w:abstractNumId="4" w15:restartNumberingAfterBreak="0">
    <w:nsid w:val="1C8C55EF"/>
    <w:multiLevelType w:val="hybridMultilevel"/>
    <w:tmpl w:val="00227D1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86392D"/>
    <w:multiLevelType w:val="hybridMultilevel"/>
    <w:tmpl w:val="73120538"/>
    <w:lvl w:ilvl="0" w:tplc="18DC2EAE">
      <w:start w:val="1"/>
      <w:numFmt w:val="decimal"/>
      <w:lvlText w:val="1.%1."/>
      <w:lvlJc w:val="left"/>
      <w:pPr>
        <w:ind w:left="900" w:hanging="420"/>
      </w:pPr>
      <w:rPr>
        <w:rFonts w:hint="eastAsia"/>
      </w:rPr>
    </w:lvl>
    <w:lvl w:ilvl="1" w:tplc="2898AFB8" w:tentative="1">
      <w:start w:val="1"/>
      <w:numFmt w:val="lowerLetter"/>
      <w:lvlText w:val="%2)"/>
      <w:lvlJc w:val="left"/>
      <w:pPr>
        <w:ind w:left="1320" w:hanging="420"/>
      </w:pPr>
    </w:lvl>
    <w:lvl w:ilvl="2" w:tplc="BBD2DEF0" w:tentative="1">
      <w:start w:val="1"/>
      <w:numFmt w:val="lowerRoman"/>
      <w:lvlText w:val="%3."/>
      <w:lvlJc w:val="right"/>
      <w:pPr>
        <w:ind w:left="1740" w:hanging="420"/>
      </w:pPr>
    </w:lvl>
    <w:lvl w:ilvl="3" w:tplc="312CC35E" w:tentative="1">
      <w:start w:val="1"/>
      <w:numFmt w:val="decimal"/>
      <w:lvlText w:val="%4."/>
      <w:lvlJc w:val="left"/>
      <w:pPr>
        <w:ind w:left="2160" w:hanging="420"/>
      </w:pPr>
    </w:lvl>
    <w:lvl w:ilvl="4" w:tplc="A3742EE8" w:tentative="1">
      <w:start w:val="1"/>
      <w:numFmt w:val="lowerLetter"/>
      <w:lvlText w:val="%5)"/>
      <w:lvlJc w:val="left"/>
      <w:pPr>
        <w:ind w:left="2580" w:hanging="420"/>
      </w:pPr>
    </w:lvl>
    <w:lvl w:ilvl="5" w:tplc="C3C4AE98" w:tentative="1">
      <w:start w:val="1"/>
      <w:numFmt w:val="lowerRoman"/>
      <w:lvlText w:val="%6."/>
      <w:lvlJc w:val="right"/>
      <w:pPr>
        <w:ind w:left="3000" w:hanging="420"/>
      </w:pPr>
    </w:lvl>
    <w:lvl w:ilvl="6" w:tplc="840AF4A8" w:tentative="1">
      <w:start w:val="1"/>
      <w:numFmt w:val="decimal"/>
      <w:lvlText w:val="%7."/>
      <w:lvlJc w:val="left"/>
      <w:pPr>
        <w:ind w:left="3420" w:hanging="420"/>
      </w:pPr>
    </w:lvl>
    <w:lvl w:ilvl="7" w:tplc="92A8C794" w:tentative="1">
      <w:start w:val="1"/>
      <w:numFmt w:val="lowerLetter"/>
      <w:lvlText w:val="%8)"/>
      <w:lvlJc w:val="left"/>
      <w:pPr>
        <w:ind w:left="3840" w:hanging="420"/>
      </w:pPr>
    </w:lvl>
    <w:lvl w:ilvl="8" w:tplc="2DB6F4CA" w:tentative="1">
      <w:start w:val="1"/>
      <w:numFmt w:val="lowerRoman"/>
      <w:lvlText w:val="%9."/>
      <w:lvlJc w:val="right"/>
      <w:pPr>
        <w:ind w:left="4260" w:hanging="420"/>
      </w:pPr>
    </w:lvl>
  </w:abstractNum>
  <w:abstractNum w:abstractNumId="6" w15:restartNumberingAfterBreak="0">
    <w:nsid w:val="247E28A3"/>
    <w:multiLevelType w:val="hybridMultilevel"/>
    <w:tmpl w:val="699A8FC6"/>
    <w:lvl w:ilvl="0" w:tplc="9E7A335E">
      <w:start w:val="1"/>
      <w:numFmt w:val="lowerRoman"/>
      <w:lvlText w:val="%1."/>
      <w:lvlJc w:val="right"/>
      <w:pPr>
        <w:ind w:left="900" w:hanging="420"/>
      </w:pPr>
      <w:rPr>
        <w:rFonts w:hint="eastAsia"/>
      </w:rPr>
    </w:lvl>
    <w:lvl w:ilvl="1" w:tplc="FB88283E" w:tentative="1">
      <w:start w:val="1"/>
      <w:numFmt w:val="lowerLetter"/>
      <w:lvlText w:val="%2)"/>
      <w:lvlJc w:val="left"/>
      <w:pPr>
        <w:ind w:left="840" w:hanging="420"/>
      </w:pPr>
    </w:lvl>
    <w:lvl w:ilvl="2" w:tplc="3362B590" w:tentative="1">
      <w:start w:val="1"/>
      <w:numFmt w:val="lowerRoman"/>
      <w:lvlText w:val="%3."/>
      <w:lvlJc w:val="right"/>
      <w:pPr>
        <w:ind w:left="1260" w:hanging="420"/>
      </w:pPr>
    </w:lvl>
    <w:lvl w:ilvl="3" w:tplc="0644D562" w:tentative="1">
      <w:start w:val="1"/>
      <w:numFmt w:val="decimal"/>
      <w:lvlText w:val="%4."/>
      <w:lvlJc w:val="left"/>
      <w:pPr>
        <w:ind w:left="1680" w:hanging="420"/>
      </w:pPr>
    </w:lvl>
    <w:lvl w:ilvl="4" w:tplc="C408F0B6" w:tentative="1">
      <w:start w:val="1"/>
      <w:numFmt w:val="lowerLetter"/>
      <w:lvlText w:val="%5)"/>
      <w:lvlJc w:val="left"/>
      <w:pPr>
        <w:ind w:left="2100" w:hanging="420"/>
      </w:pPr>
    </w:lvl>
    <w:lvl w:ilvl="5" w:tplc="3E3274F6" w:tentative="1">
      <w:start w:val="1"/>
      <w:numFmt w:val="lowerRoman"/>
      <w:lvlText w:val="%6."/>
      <w:lvlJc w:val="right"/>
      <w:pPr>
        <w:ind w:left="2520" w:hanging="420"/>
      </w:pPr>
    </w:lvl>
    <w:lvl w:ilvl="6" w:tplc="A650DE7C" w:tentative="1">
      <w:start w:val="1"/>
      <w:numFmt w:val="decimal"/>
      <w:lvlText w:val="%7."/>
      <w:lvlJc w:val="left"/>
      <w:pPr>
        <w:ind w:left="2940" w:hanging="420"/>
      </w:pPr>
    </w:lvl>
    <w:lvl w:ilvl="7" w:tplc="CE80C0C0" w:tentative="1">
      <w:start w:val="1"/>
      <w:numFmt w:val="lowerLetter"/>
      <w:lvlText w:val="%8)"/>
      <w:lvlJc w:val="left"/>
      <w:pPr>
        <w:ind w:left="3360" w:hanging="420"/>
      </w:pPr>
    </w:lvl>
    <w:lvl w:ilvl="8" w:tplc="32EAB3C2" w:tentative="1">
      <w:start w:val="1"/>
      <w:numFmt w:val="lowerRoman"/>
      <w:lvlText w:val="%9."/>
      <w:lvlJc w:val="right"/>
      <w:pPr>
        <w:ind w:left="3780" w:hanging="420"/>
      </w:pPr>
    </w:lvl>
  </w:abstractNum>
  <w:abstractNum w:abstractNumId="7" w15:restartNumberingAfterBreak="0">
    <w:nsid w:val="2A374D00"/>
    <w:multiLevelType w:val="hybridMultilevel"/>
    <w:tmpl w:val="55805FDE"/>
    <w:lvl w:ilvl="0" w:tplc="ABE4EB88">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B80E1A"/>
    <w:multiLevelType w:val="hybridMultilevel"/>
    <w:tmpl w:val="E6BE9F40"/>
    <w:lvl w:ilvl="0" w:tplc="C1821AE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41B62DF3"/>
    <w:multiLevelType w:val="hybridMultilevel"/>
    <w:tmpl w:val="0582A836"/>
    <w:lvl w:ilvl="0" w:tplc="414AFDB8">
      <w:start w:val="1"/>
      <w:numFmt w:val="japaneseCounting"/>
      <w:lvlText w:val="%1、"/>
      <w:lvlJc w:val="left"/>
      <w:pPr>
        <w:ind w:left="900" w:hanging="48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9771199"/>
    <w:multiLevelType w:val="hybridMultilevel"/>
    <w:tmpl w:val="B406E642"/>
    <w:lvl w:ilvl="0" w:tplc="B58EA35A">
      <w:start w:val="1"/>
      <w:numFmt w:val="decimal"/>
      <w:lvlText w:val="%1）"/>
      <w:lvlJc w:val="left"/>
      <w:pPr>
        <w:ind w:left="840" w:hanging="360"/>
      </w:pPr>
      <w:rPr>
        <w:rFonts w:hint="default"/>
      </w:rPr>
    </w:lvl>
    <w:lvl w:ilvl="1" w:tplc="25D270EE" w:tentative="1">
      <w:start w:val="1"/>
      <w:numFmt w:val="lowerLetter"/>
      <w:lvlText w:val="%2)"/>
      <w:lvlJc w:val="left"/>
      <w:pPr>
        <w:ind w:left="1320" w:hanging="420"/>
      </w:pPr>
    </w:lvl>
    <w:lvl w:ilvl="2" w:tplc="D05A8CCE" w:tentative="1">
      <w:start w:val="1"/>
      <w:numFmt w:val="lowerRoman"/>
      <w:lvlText w:val="%3."/>
      <w:lvlJc w:val="right"/>
      <w:pPr>
        <w:ind w:left="1740" w:hanging="420"/>
      </w:pPr>
    </w:lvl>
    <w:lvl w:ilvl="3" w:tplc="2FF06DB4" w:tentative="1">
      <w:start w:val="1"/>
      <w:numFmt w:val="decimal"/>
      <w:lvlText w:val="%4."/>
      <w:lvlJc w:val="left"/>
      <w:pPr>
        <w:ind w:left="2160" w:hanging="420"/>
      </w:pPr>
    </w:lvl>
    <w:lvl w:ilvl="4" w:tplc="F1EA1E8A" w:tentative="1">
      <w:start w:val="1"/>
      <w:numFmt w:val="lowerLetter"/>
      <w:lvlText w:val="%5)"/>
      <w:lvlJc w:val="left"/>
      <w:pPr>
        <w:ind w:left="2580" w:hanging="420"/>
      </w:pPr>
    </w:lvl>
    <w:lvl w:ilvl="5" w:tplc="0A641698" w:tentative="1">
      <w:start w:val="1"/>
      <w:numFmt w:val="lowerRoman"/>
      <w:lvlText w:val="%6."/>
      <w:lvlJc w:val="right"/>
      <w:pPr>
        <w:ind w:left="3000" w:hanging="420"/>
      </w:pPr>
    </w:lvl>
    <w:lvl w:ilvl="6" w:tplc="481A8166" w:tentative="1">
      <w:start w:val="1"/>
      <w:numFmt w:val="decimal"/>
      <w:lvlText w:val="%7."/>
      <w:lvlJc w:val="left"/>
      <w:pPr>
        <w:ind w:left="3420" w:hanging="420"/>
      </w:pPr>
    </w:lvl>
    <w:lvl w:ilvl="7" w:tplc="8D36CE02" w:tentative="1">
      <w:start w:val="1"/>
      <w:numFmt w:val="lowerLetter"/>
      <w:lvlText w:val="%8)"/>
      <w:lvlJc w:val="left"/>
      <w:pPr>
        <w:ind w:left="3840" w:hanging="420"/>
      </w:pPr>
    </w:lvl>
    <w:lvl w:ilvl="8" w:tplc="DDE2E652" w:tentative="1">
      <w:start w:val="1"/>
      <w:numFmt w:val="lowerRoman"/>
      <w:lvlText w:val="%9."/>
      <w:lvlJc w:val="right"/>
      <w:pPr>
        <w:ind w:left="4260" w:hanging="420"/>
      </w:pPr>
    </w:lvl>
  </w:abstractNum>
  <w:abstractNum w:abstractNumId="11" w15:restartNumberingAfterBreak="0">
    <w:nsid w:val="51E216DA"/>
    <w:multiLevelType w:val="hybridMultilevel"/>
    <w:tmpl w:val="997A61C2"/>
    <w:lvl w:ilvl="0" w:tplc="9BE4F83A">
      <w:start w:val="1"/>
      <w:numFmt w:val="decimal"/>
      <w:lvlText w:val="（%1）"/>
      <w:lvlJc w:val="left"/>
      <w:pPr>
        <w:ind w:left="1200" w:hanging="720"/>
      </w:pPr>
      <w:rPr>
        <w:rFonts w:hint="default"/>
      </w:rPr>
    </w:lvl>
    <w:lvl w:ilvl="1" w:tplc="93686618" w:tentative="1">
      <w:start w:val="1"/>
      <w:numFmt w:val="lowerLetter"/>
      <w:lvlText w:val="%2)"/>
      <w:lvlJc w:val="left"/>
      <w:pPr>
        <w:ind w:left="1320" w:hanging="420"/>
      </w:pPr>
    </w:lvl>
    <w:lvl w:ilvl="2" w:tplc="1A3E3270" w:tentative="1">
      <w:start w:val="1"/>
      <w:numFmt w:val="lowerRoman"/>
      <w:lvlText w:val="%3."/>
      <w:lvlJc w:val="right"/>
      <w:pPr>
        <w:ind w:left="1740" w:hanging="420"/>
      </w:pPr>
    </w:lvl>
    <w:lvl w:ilvl="3" w:tplc="513AA2AE" w:tentative="1">
      <w:start w:val="1"/>
      <w:numFmt w:val="decimal"/>
      <w:lvlText w:val="%4."/>
      <w:lvlJc w:val="left"/>
      <w:pPr>
        <w:ind w:left="2160" w:hanging="420"/>
      </w:pPr>
    </w:lvl>
    <w:lvl w:ilvl="4" w:tplc="6DB8CE44" w:tentative="1">
      <w:start w:val="1"/>
      <w:numFmt w:val="lowerLetter"/>
      <w:lvlText w:val="%5)"/>
      <w:lvlJc w:val="left"/>
      <w:pPr>
        <w:ind w:left="2580" w:hanging="420"/>
      </w:pPr>
    </w:lvl>
    <w:lvl w:ilvl="5" w:tplc="A9DE2B44" w:tentative="1">
      <w:start w:val="1"/>
      <w:numFmt w:val="lowerRoman"/>
      <w:lvlText w:val="%6."/>
      <w:lvlJc w:val="right"/>
      <w:pPr>
        <w:ind w:left="3000" w:hanging="420"/>
      </w:pPr>
    </w:lvl>
    <w:lvl w:ilvl="6" w:tplc="2410F9AA" w:tentative="1">
      <w:start w:val="1"/>
      <w:numFmt w:val="decimal"/>
      <w:lvlText w:val="%7."/>
      <w:lvlJc w:val="left"/>
      <w:pPr>
        <w:ind w:left="3420" w:hanging="420"/>
      </w:pPr>
    </w:lvl>
    <w:lvl w:ilvl="7" w:tplc="88802A9E" w:tentative="1">
      <w:start w:val="1"/>
      <w:numFmt w:val="lowerLetter"/>
      <w:lvlText w:val="%8)"/>
      <w:lvlJc w:val="left"/>
      <w:pPr>
        <w:ind w:left="3840" w:hanging="420"/>
      </w:pPr>
    </w:lvl>
    <w:lvl w:ilvl="8" w:tplc="74684CB8" w:tentative="1">
      <w:start w:val="1"/>
      <w:numFmt w:val="lowerRoman"/>
      <w:lvlText w:val="%9."/>
      <w:lvlJc w:val="right"/>
      <w:pPr>
        <w:ind w:left="4260" w:hanging="420"/>
      </w:pPr>
    </w:lvl>
  </w:abstractNum>
  <w:abstractNum w:abstractNumId="12" w15:restartNumberingAfterBreak="0">
    <w:nsid w:val="5A860B59"/>
    <w:multiLevelType w:val="hybridMultilevel"/>
    <w:tmpl w:val="72E65FD6"/>
    <w:lvl w:ilvl="0" w:tplc="713A26CE">
      <w:start w:val="1"/>
      <w:numFmt w:val="decimalEnclosedCircle"/>
      <w:lvlText w:val="%1"/>
      <w:lvlJc w:val="left"/>
      <w:pPr>
        <w:ind w:left="360" w:hanging="360"/>
      </w:pPr>
      <w:rPr>
        <w:rFonts w:hint="default"/>
      </w:rPr>
    </w:lvl>
    <w:lvl w:ilvl="1" w:tplc="F9B2B1EA" w:tentative="1">
      <w:start w:val="1"/>
      <w:numFmt w:val="lowerLetter"/>
      <w:lvlText w:val="%2)"/>
      <w:lvlJc w:val="left"/>
      <w:pPr>
        <w:ind w:left="840" w:hanging="420"/>
      </w:pPr>
    </w:lvl>
    <w:lvl w:ilvl="2" w:tplc="1194B992" w:tentative="1">
      <w:start w:val="1"/>
      <w:numFmt w:val="lowerRoman"/>
      <w:lvlText w:val="%3."/>
      <w:lvlJc w:val="right"/>
      <w:pPr>
        <w:ind w:left="1260" w:hanging="420"/>
      </w:pPr>
    </w:lvl>
    <w:lvl w:ilvl="3" w:tplc="CF80FEF2" w:tentative="1">
      <w:start w:val="1"/>
      <w:numFmt w:val="decimal"/>
      <w:lvlText w:val="%4."/>
      <w:lvlJc w:val="left"/>
      <w:pPr>
        <w:ind w:left="1680" w:hanging="420"/>
      </w:pPr>
    </w:lvl>
    <w:lvl w:ilvl="4" w:tplc="3ECEF4A8" w:tentative="1">
      <w:start w:val="1"/>
      <w:numFmt w:val="lowerLetter"/>
      <w:lvlText w:val="%5)"/>
      <w:lvlJc w:val="left"/>
      <w:pPr>
        <w:ind w:left="2100" w:hanging="420"/>
      </w:pPr>
    </w:lvl>
    <w:lvl w:ilvl="5" w:tplc="73D2DC00" w:tentative="1">
      <w:start w:val="1"/>
      <w:numFmt w:val="lowerRoman"/>
      <w:lvlText w:val="%6."/>
      <w:lvlJc w:val="right"/>
      <w:pPr>
        <w:ind w:left="2520" w:hanging="420"/>
      </w:pPr>
    </w:lvl>
    <w:lvl w:ilvl="6" w:tplc="8C38C366" w:tentative="1">
      <w:start w:val="1"/>
      <w:numFmt w:val="decimal"/>
      <w:lvlText w:val="%7."/>
      <w:lvlJc w:val="left"/>
      <w:pPr>
        <w:ind w:left="2940" w:hanging="420"/>
      </w:pPr>
    </w:lvl>
    <w:lvl w:ilvl="7" w:tplc="BAE09654" w:tentative="1">
      <w:start w:val="1"/>
      <w:numFmt w:val="lowerLetter"/>
      <w:lvlText w:val="%8)"/>
      <w:lvlJc w:val="left"/>
      <w:pPr>
        <w:ind w:left="3360" w:hanging="420"/>
      </w:pPr>
    </w:lvl>
    <w:lvl w:ilvl="8" w:tplc="8ADA346C" w:tentative="1">
      <w:start w:val="1"/>
      <w:numFmt w:val="lowerRoman"/>
      <w:lvlText w:val="%9."/>
      <w:lvlJc w:val="right"/>
      <w:pPr>
        <w:ind w:left="3780" w:hanging="420"/>
      </w:pPr>
    </w:lvl>
  </w:abstractNum>
  <w:abstractNum w:abstractNumId="13" w15:restartNumberingAfterBreak="0">
    <w:nsid w:val="5B28C0D8"/>
    <w:multiLevelType w:val="singleLevel"/>
    <w:tmpl w:val="5B28C0D8"/>
    <w:lvl w:ilvl="0">
      <w:start w:val="6"/>
      <w:numFmt w:val="chineseCounting"/>
      <w:suff w:val="nothing"/>
      <w:lvlText w:val="%1、"/>
      <w:lvlJc w:val="left"/>
    </w:lvl>
  </w:abstractNum>
  <w:abstractNum w:abstractNumId="14" w15:restartNumberingAfterBreak="0">
    <w:nsid w:val="5BD27EBD"/>
    <w:multiLevelType w:val="singleLevel"/>
    <w:tmpl w:val="5BD27EBD"/>
    <w:lvl w:ilvl="0">
      <w:start w:val="3"/>
      <w:numFmt w:val="chineseCounting"/>
      <w:suff w:val="nothing"/>
      <w:lvlText w:val="%1、"/>
      <w:lvlJc w:val="left"/>
    </w:lvl>
  </w:abstractNum>
  <w:abstractNum w:abstractNumId="15" w15:restartNumberingAfterBreak="0">
    <w:nsid w:val="614E4323"/>
    <w:multiLevelType w:val="hybridMultilevel"/>
    <w:tmpl w:val="BF34A04A"/>
    <w:lvl w:ilvl="0" w:tplc="55A06678">
      <w:start w:val="1"/>
      <w:numFmt w:val="lowerRoman"/>
      <w:lvlText w:val="%1."/>
      <w:lvlJc w:val="right"/>
      <w:pPr>
        <w:ind w:left="900" w:hanging="420"/>
      </w:pPr>
    </w:lvl>
    <w:lvl w:ilvl="1" w:tplc="9C4EEE14" w:tentative="1">
      <w:start w:val="1"/>
      <w:numFmt w:val="lowerLetter"/>
      <w:lvlText w:val="%2)"/>
      <w:lvlJc w:val="left"/>
      <w:pPr>
        <w:ind w:left="1320" w:hanging="420"/>
      </w:pPr>
    </w:lvl>
    <w:lvl w:ilvl="2" w:tplc="099027DE" w:tentative="1">
      <w:start w:val="1"/>
      <w:numFmt w:val="lowerRoman"/>
      <w:lvlText w:val="%3."/>
      <w:lvlJc w:val="right"/>
      <w:pPr>
        <w:ind w:left="1740" w:hanging="420"/>
      </w:pPr>
    </w:lvl>
    <w:lvl w:ilvl="3" w:tplc="FB10572C" w:tentative="1">
      <w:start w:val="1"/>
      <w:numFmt w:val="decimal"/>
      <w:lvlText w:val="%4."/>
      <w:lvlJc w:val="left"/>
      <w:pPr>
        <w:ind w:left="2160" w:hanging="420"/>
      </w:pPr>
    </w:lvl>
    <w:lvl w:ilvl="4" w:tplc="9FD897CE" w:tentative="1">
      <w:start w:val="1"/>
      <w:numFmt w:val="lowerLetter"/>
      <w:lvlText w:val="%5)"/>
      <w:lvlJc w:val="left"/>
      <w:pPr>
        <w:ind w:left="2580" w:hanging="420"/>
      </w:pPr>
    </w:lvl>
    <w:lvl w:ilvl="5" w:tplc="5C9E6EEA" w:tentative="1">
      <w:start w:val="1"/>
      <w:numFmt w:val="lowerRoman"/>
      <w:lvlText w:val="%6."/>
      <w:lvlJc w:val="right"/>
      <w:pPr>
        <w:ind w:left="3000" w:hanging="420"/>
      </w:pPr>
    </w:lvl>
    <w:lvl w:ilvl="6" w:tplc="905ECD2C" w:tentative="1">
      <w:start w:val="1"/>
      <w:numFmt w:val="decimal"/>
      <w:lvlText w:val="%7."/>
      <w:lvlJc w:val="left"/>
      <w:pPr>
        <w:ind w:left="3420" w:hanging="420"/>
      </w:pPr>
    </w:lvl>
    <w:lvl w:ilvl="7" w:tplc="86C6D2F4" w:tentative="1">
      <w:start w:val="1"/>
      <w:numFmt w:val="lowerLetter"/>
      <w:lvlText w:val="%8)"/>
      <w:lvlJc w:val="left"/>
      <w:pPr>
        <w:ind w:left="3840" w:hanging="420"/>
      </w:pPr>
    </w:lvl>
    <w:lvl w:ilvl="8" w:tplc="9A541FCE" w:tentative="1">
      <w:start w:val="1"/>
      <w:numFmt w:val="lowerRoman"/>
      <w:lvlText w:val="%9."/>
      <w:lvlJc w:val="right"/>
      <w:pPr>
        <w:ind w:left="4260" w:hanging="420"/>
      </w:pPr>
    </w:lvl>
  </w:abstractNum>
  <w:abstractNum w:abstractNumId="16" w15:restartNumberingAfterBreak="0">
    <w:nsid w:val="7F7B5D5B"/>
    <w:multiLevelType w:val="hybridMultilevel"/>
    <w:tmpl w:val="AA78389E"/>
    <w:lvl w:ilvl="0" w:tplc="B7F27198">
      <w:start w:val="1"/>
      <w:numFmt w:val="decimal"/>
      <w:lvlText w:val="%1、"/>
      <w:lvlJc w:val="left"/>
      <w:pPr>
        <w:ind w:left="840" w:hanging="360"/>
      </w:pPr>
      <w:rPr>
        <w:rFonts w:ascii="Times New Roman" w:eastAsia="宋体" w:hAnsi="Times New Roman" w:hint="default"/>
        <w:sz w:val="24"/>
      </w:rPr>
    </w:lvl>
    <w:lvl w:ilvl="1" w:tplc="65BAFD28" w:tentative="1">
      <w:start w:val="1"/>
      <w:numFmt w:val="lowerLetter"/>
      <w:lvlText w:val="%2)"/>
      <w:lvlJc w:val="left"/>
      <w:pPr>
        <w:ind w:left="1320" w:hanging="420"/>
      </w:pPr>
    </w:lvl>
    <w:lvl w:ilvl="2" w:tplc="7CE85358" w:tentative="1">
      <w:start w:val="1"/>
      <w:numFmt w:val="lowerRoman"/>
      <w:lvlText w:val="%3."/>
      <w:lvlJc w:val="right"/>
      <w:pPr>
        <w:ind w:left="1740" w:hanging="420"/>
      </w:pPr>
    </w:lvl>
    <w:lvl w:ilvl="3" w:tplc="E2E86CC2" w:tentative="1">
      <w:start w:val="1"/>
      <w:numFmt w:val="decimal"/>
      <w:lvlText w:val="%4."/>
      <w:lvlJc w:val="left"/>
      <w:pPr>
        <w:ind w:left="2160" w:hanging="420"/>
      </w:pPr>
    </w:lvl>
    <w:lvl w:ilvl="4" w:tplc="D076E3FA" w:tentative="1">
      <w:start w:val="1"/>
      <w:numFmt w:val="lowerLetter"/>
      <w:lvlText w:val="%5)"/>
      <w:lvlJc w:val="left"/>
      <w:pPr>
        <w:ind w:left="2580" w:hanging="420"/>
      </w:pPr>
    </w:lvl>
    <w:lvl w:ilvl="5" w:tplc="726899FA" w:tentative="1">
      <w:start w:val="1"/>
      <w:numFmt w:val="lowerRoman"/>
      <w:lvlText w:val="%6."/>
      <w:lvlJc w:val="right"/>
      <w:pPr>
        <w:ind w:left="3000" w:hanging="420"/>
      </w:pPr>
    </w:lvl>
    <w:lvl w:ilvl="6" w:tplc="A2C6F430" w:tentative="1">
      <w:start w:val="1"/>
      <w:numFmt w:val="decimal"/>
      <w:lvlText w:val="%7."/>
      <w:lvlJc w:val="left"/>
      <w:pPr>
        <w:ind w:left="3420" w:hanging="420"/>
      </w:pPr>
    </w:lvl>
    <w:lvl w:ilvl="7" w:tplc="8342FB20" w:tentative="1">
      <w:start w:val="1"/>
      <w:numFmt w:val="lowerLetter"/>
      <w:lvlText w:val="%8)"/>
      <w:lvlJc w:val="left"/>
      <w:pPr>
        <w:ind w:left="3840" w:hanging="420"/>
      </w:pPr>
    </w:lvl>
    <w:lvl w:ilvl="8" w:tplc="C40C9B5A" w:tentative="1">
      <w:start w:val="1"/>
      <w:numFmt w:val="lowerRoman"/>
      <w:lvlText w:val="%9."/>
      <w:lvlJc w:val="right"/>
      <w:pPr>
        <w:ind w:left="4260" w:hanging="420"/>
      </w:pPr>
    </w:lvl>
  </w:abstractNum>
  <w:abstractNum w:abstractNumId="17" w15:restartNumberingAfterBreak="0">
    <w:nsid w:val="7FED6DA0"/>
    <w:multiLevelType w:val="hybridMultilevel"/>
    <w:tmpl w:val="DDC8C464"/>
    <w:lvl w:ilvl="0" w:tplc="7812AC40">
      <w:start w:val="1"/>
      <w:numFmt w:val="lowerRoman"/>
      <w:lvlText w:val="%1."/>
      <w:lvlJc w:val="right"/>
      <w:pPr>
        <w:ind w:left="360" w:hanging="360"/>
      </w:pPr>
      <w:rPr>
        <w:rFonts w:hint="eastAsia"/>
      </w:rPr>
    </w:lvl>
    <w:lvl w:ilvl="1" w:tplc="8CFAB5DA" w:tentative="1">
      <w:start w:val="1"/>
      <w:numFmt w:val="lowerLetter"/>
      <w:lvlText w:val="%2)"/>
      <w:lvlJc w:val="left"/>
      <w:pPr>
        <w:ind w:left="840" w:hanging="420"/>
      </w:pPr>
    </w:lvl>
    <w:lvl w:ilvl="2" w:tplc="EFE6ED70" w:tentative="1">
      <w:start w:val="1"/>
      <w:numFmt w:val="lowerRoman"/>
      <w:lvlText w:val="%3."/>
      <w:lvlJc w:val="right"/>
      <w:pPr>
        <w:ind w:left="1260" w:hanging="420"/>
      </w:pPr>
    </w:lvl>
    <w:lvl w:ilvl="3" w:tplc="7616BEAE" w:tentative="1">
      <w:start w:val="1"/>
      <w:numFmt w:val="decimal"/>
      <w:lvlText w:val="%4."/>
      <w:lvlJc w:val="left"/>
      <w:pPr>
        <w:ind w:left="1680" w:hanging="420"/>
      </w:pPr>
    </w:lvl>
    <w:lvl w:ilvl="4" w:tplc="D3669A78" w:tentative="1">
      <w:start w:val="1"/>
      <w:numFmt w:val="lowerLetter"/>
      <w:lvlText w:val="%5)"/>
      <w:lvlJc w:val="left"/>
      <w:pPr>
        <w:ind w:left="2100" w:hanging="420"/>
      </w:pPr>
    </w:lvl>
    <w:lvl w:ilvl="5" w:tplc="5AD060BC" w:tentative="1">
      <w:start w:val="1"/>
      <w:numFmt w:val="lowerRoman"/>
      <w:lvlText w:val="%6."/>
      <w:lvlJc w:val="right"/>
      <w:pPr>
        <w:ind w:left="2520" w:hanging="420"/>
      </w:pPr>
    </w:lvl>
    <w:lvl w:ilvl="6" w:tplc="84263730" w:tentative="1">
      <w:start w:val="1"/>
      <w:numFmt w:val="decimal"/>
      <w:lvlText w:val="%7."/>
      <w:lvlJc w:val="left"/>
      <w:pPr>
        <w:ind w:left="2940" w:hanging="420"/>
      </w:pPr>
    </w:lvl>
    <w:lvl w:ilvl="7" w:tplc="BF3250BE" w:tentative="1">
      <w:start w:val="1"/>
      <w:numFmt w:val="lowerLetter"/>
      <w:lvlText w:val="%8)"/>
      <w:lvlJc w:val="left"/>
      <w:pPr>
        <w:ind w:left="3360" w:hanging="420"/>
      </w:pPr>
    </w:lvl>
    <w:lvl w:ilvl="8" w:tplc="DD1294BA" w:tentative="1">
      <w:start w:val="1"/>
      <w:numFmt w:val="lowerRoman"/>
      <w:lvlText w:val="%9."/>
      <w:lvlJc w:val="right"/>
      <w:pPr>
        <w:ind w:left="3780" w:hanging="420"/>
      </w:pPr>
    </w:lvl>
  </w:abstractNum>
  <w:num w:numId="1" w16cid:durableId="639531922">
    <w:abstractNumId w:val="1"/>
  </w:num>
  <w:num w:numId="2" w16cid:durableId="680860442">
    <w:abstractNumId w:val="0"/>
  </w:num>
  <w:num w:numId="3" w16cid:durableId="342824134">
    <w:abstractNumId w:val="16"/>
  </w:num>
  <w:num w:numId="4" w16cid:durableId="663894281">
    <w:abstractNumId w:val="13"/>
  </w:num>
  <w:num w:numId="5" w16cid:durableId="490295719">
    <w:abstractNumId w:val="14"/>
  </w:num>
  <w:num w:numId="6" w16cid:durableId="802651017">
    <w:abstractNumId w:val="10"/>
  </w:num>
  <w:num w:numId="7" w16cid:durableId="894242839">
    <w:abstractNumId w:val="11"/>
  </w:num>
  <w:num w:numId="8" w16cid:durableId="326056419">
    <w:abstractNumId w:val="12"/>
  </w:num>
  <w:num w:numId="9" w16cid:durableId="461777267">
    <w:abstractNumId w:val="15"/>
  </w:num>
  <w:num w:numId="10" w16cid:durableId="1785031447">
    <w:abstractNumId w:val="3"/>
  </w:num>
  <w:num w:numId="11" w16cid:durableId="1210073194">
    <w:abstractNumId w:val="5"/>
  </w:num>
  <w:num w:numId="12" w16cid:durableId="1270547890">
    <w:abstractNumId w:val="17"/>
  </w:num>
  <w:num w:numId="13" w16cid:durableId="1751346469">
    <w:abstractNumId w:val="6"/>
  </w:num>
  <w:num w:numId="14" w16cid:durableId="1294097071">
    <w:abstractNumId w:val="9"/>
  </w:num>
  <w:num w:numId="15" w16cid:durableId="936789123">
    <w:abstractNumId w:val="8"/>
  </w:num>
  <w:num w:numId="16" w16cid:durableId="492334305">
    <w:abstractNumId w:val="7"/>
  </w:num>
  <w:num w:numId="17" w16cid:durableId="707219160">
    <w:abstractNumId w:val="4"/>
  </w:num>
  <w:num w:numId="18" w16cid:durableId="18375010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A97"/>
    <w:rsid w:val="0000637E"/>
    <w:rsid w:val="00016F8A"/>
    <w:rsid w:val="0002466F"/>
    <w:rsid w:val="00027943"/>
    <w:rsid w:val="00030E44"/>
    <w:rsid w:val="00032FFE"/>
    <w:rsid w:val="0003497D"/>
    <w:rsid w:val="0003508E"/>
    <w:rsid w:val="00042E60"/>
    <w:rsid w:val="00043E42"/>
    <w:rsid w:val="00044731"/>
    <w:rsid w:val="00045B98"/>
    <w:rsid w:val="00054E80"/>
    <w:rsid w:val="00057117"/>
    <w:rsid w:val="000614D4"/>
    <w:rsid w:val="000615F6"/>
    <w:rsid w:val="0006557C"/>
    <w:rsid w:val="00072139"/>
    <w:rsid w:val="00075802"/>
    <w:rsid w:val="00076EC4"/>
    <w:rsid w:val="00082FF1"/>
    <w:rsid w:val="0008406D"/>
    <w:rsid w:val="0008531F"/>
    <w:rsid w:val="00093EAF"/>
    <w:rsid w:val="00095C92"/>
    <w:rsid w:val="000A57A7"/>
    <w:rsid w:val="000A759B"/>
    <w:rsid w:val="000B3778"/>
    <w:rsid w:val="000C323A"/>
    <w:rsid w:val="000D6DA5"/>
    <w:rsid w:val="000D76D9"/>
    <w:rsid w:val="00100B6F"/>
    <w:rsid w:val="00102490"/>
    <w:rsid w:val="00103778"/>
    <w:rsid w:val="0010528A"/>
    <w:rsid w:val="001118DC"/>
    <w:rsid w:val="00112638"/>
    <w:rsid w:val="00115287"/>
    <w:rsid w:val="00120661"/>
    <w:rsid w:val="00120D57"/>
    <w:rsid w:val="001212D0"/>
    <w:rsid w:val="00124F3B"/>
    <w:rsid w:val="0012545B"/>
    <w:rsid w:val="00125ECC"/>
    <w:rsid w:val="0013119E"/>
    <w:rsid w:val="00135287"/>
    <w:rsid w:val="001352DF"/>
    <w:rsid w:val="0013612E"/>
    <w:rsid w:val="001421BE"/>
    <w:rsid w:val="00142409"/>
    <w:rsid w:val="00142D00"/>
    <w:rsid w:val="00142DD9"/>
    <w:rsid w:val="001466A3"/>
    <w:rsid w:val="001500CA"/>
    <w:rsid w:val="00151456"/>
    <w:rsid w:val="00152883"/>
    <w:rsid w:val="00155B49"/>
    <w:rsid w:val="0015752E"/>
    <w:rsid w:val="00160C06"/>
    <w:rsid w:val="00161704"/>
    <w:rsid w:val="001632E6"/>
    <w:rsid w:val="00173696"/>
    <w:rsid w:val="00173F03"/>
    <w:rsid w:val="001775C5"/>
    <w:rsid w:val="0018035F"/>
    <w:rsid w:val="0018295E"/>
    <w:rsid w:val="001835C3"/>
    <w:rsid w:val="00190F62"/>
    <w:rsid w:val="00193924"/>
    <w:rsid w:val="00193CB3"/>
    <w:rsid w:val="001947F2"/>
    <w:rsid w:val="00197F30"/>
    <w:rsid w:val="001A0882"/>
    <w:rsid w:val="001B290A"/>
    <w:rsid w:val="001B2B9C"/>
    <w:rsid w:val="001C2699"/>
    <w:rsid w:val="001C49D4"/>
    <w:rsid w:val="001C7473"/>
    <w:rsid w:val="001D46EF"/>
    <w:rsid w:val="001E0C44"/>
    <w:rsid w:val="001E29E9"/>
    <w:rsid w:val="001E4039"/>
    <w:rsid w:val="00202D75"/>
    <w:rsid w:val="00212029"/>
    <w:rsid w:val="00217D2E"/>
    <w:rsid w:val="00220CE9"/>
    <w:rsid w:val="00220F9C"/>
    <w:rsid w:val="002231E4"/>
    <w:rsid w:val="002246DA"/>
    <w:rsid w:val="00224FF4"/>
    <w:rsid w:val="00225818"/>
    <w:rsid w:val="002310D2"/>
    <w:rsid w:val="00232064"/>
    <w:rsid w:val="002322D1"/>
    <w:rsid w:val="00233553"/>
    <w:rsid w:val="00241B10"/>
    <w:rsid w:val="0024620C"/>
    <w:rsid w:val="00246900"/>
    <w:rsid w:val="00247306"/>
    <w:rsid w:val="0025270A"/>
    <w:rsid w:val="00280FD1"/>
    <w:rsid w:val="00287594"/>
    <w:rsid w:val="002947A3"/>
    <w:rsid w:val="00295294"/>
    <w:rsid w:val="002A0D2A"/>
    <w:rsid w:val="002A7BF5"/>
    <w:rsid w:val="002B0C08"/>
    <w:rsid w:val="002B6585"/>
    <w:rsid w:val="002B6E8E"/>
    <w:rsid w:val="002C522D"/>
    <w:rsid w:val="002C69A1"/>
    <w:rsid w:val="002C7570"/>
    <w:rsid w:val="002C76B4"/>
    <w:rsid w:val="002C7A94"/>
    <w:rsid w:val="002C7BC4"/>
    <w:rsid w:val="002D01CC"/>
    <w:rsid w:val="002D4CF5"/>
    <w:rsid w:val="002D55E6"/>
    <w:rsid w:val="002D6CAF"/>
    <w:rsid w:val="002E11E8"/>
    <w:rsid w:val="002E50E6"/>
    <w:rsid w:val="002E7E1B"/>
    <w:rsid w:val="002F38B8"/>
    <w:rsid w:val="002F4226"/>
    <w:rsid w:val="002F7FD9"/>
    <w:rsid w:val="0030020B"/>
    <w:rsid w:val="003051D0"/>
    <w:rsid w:val="00310228"/>
    <w:rsid w:val="00314288"/>
    <w:rsid w:val="0031590E"/>
    <w:rsid w:val="00320CFC"/>
    <w:rsid w:val="003310ED"/>
    <w:rsid w:val="00334DF0"/>
    <w:rsid w:val="00336056"/>
    <w:rsid w:val="00347B03"/>
    <w:rsid w:val="00351BA6"/>
    <w:rsid w:val="003537B1"/>
    <w:rsid w:val="00355E7E"/>
    <w:rsid w:val="00364EFD"/>
    <w:rsid w:val="00366241"/>
    <w:rsid w:val="00367248"/>
    <w:rsid w:val="00370E9D"/>
    <w:rsid w:val="00373C98"/>
    <w:rsid w:val="00381A3F"/>
    <w:rsid w:val="00382157"/>
    <w:rsid w:val="0038617D"/>
    <w:rsid w:val="0038665C"/>
    <w:rsid w:val="00392EF6"/>
    <w:rsid w:val="00397D2E"/>
    <w:rsid w:val="003A21E1"/>
    <w:rsid w:val="003B50AA"/>
    <w:rsid w:val="003C23E1"/>
    <w:rsid w:val="003C76DB"/>
    <w:rsid w:val="003D18D8"/>
    <w:rsid w:val="003F2A32"/>
    <w:rsid w:val="003F3452"/>
    <w:rsid w:val="003F55BF"/>
    <w:rsid w:val="00400CA2"/>
    <w:rsid w:val="00401E3C"/>
    <w:rsid w:val="004022DA"/>
    <w:rsid w:val="00402B43"/>
    <w:rsid w:val="00406054"/>
    <w:rsid w:val="004103CA"/>
    <w:rsid w:val="00413393"/>
    <w:rsid w:val="00415148"/>
    <w:rsid w:val="0041648A"/>
    <w:rsid w:val="004203D6"/>
    <w:rsid w:val="0042415B"/>
    <w:rsid w:val="00424830"/>
    <w:rsid w:val="00432B5D"/>
    <w:rsid w:val="0043592F"/>
    <w:rsid w:val="00437A4F"/>
    <w:rsid w:val="00441FDB"/>
    <w:rsid w:val="00452ADE"/>
    <w:rsid w:val="004558DA"/>
    <w:rsid w:val="0045684D"/>
    <w:rsid w:val="00462B37"/>
    <w:rsid w:val="00465EA5"/>
    <w:rsid w:val="00476C1D"/>
    <w:rsid w:val="00486C42"/>
    <w:rsid w:val="004911F1"/>
    <w:rsid w:val="00495938"/>
    <w:rsid w:val="00495F38"/>
    <w:rsid w:val="00497DEB"/>
    <w:rsid w:val="004A26A8"/>
    <w:rsid w:val="004A2D4B"/>
    <w:rsid w:val="004B277D"/>
    <w:rsid w:val="004B4B59"/>
    <w:rsid w:val="004C0992"/>
    <w:rsid w:val="004D2BC7"/>
    <w:rsid w:val="004E0C29"/>
    <w:rsid w:val="004E180E"/>
    <w:rsid w:val="004E2A68"/>
    <w:rsid w:val="004F1FB0"/>
    <w:rsid w:val="004F2946"/>
    <w:rsid w:val="004F7644"/>
    <w:rsid w:val="004F7DD5"/>
    <w:rsid w:val="00514102"/>
    <w:rsid w:val="00514563"/>
    <w:rsid w:val="005145D6"/>
    <w:rsid w:val="00522802"/>
    <w:rsid w:val="005230CB"/>
    <w:rsid w:val="00525FF0"/>
    <w:rsid w:val="00526F2B"/>
    <w:rsid w:val="00541C23"/>
    <w:rsid w:val="00543F6D"/>
    <w:rsid w:val="005445DA"/>
    <w:rsid w:val="00561A9B"/>
    <w:rsid w:val="00562E4B"/>
    <w:rsid w:val="005639DD"/>
    <w:rsid w:val="00565927"/>
    <w:rsid w:val="005669A0"/>
    <w:rsid w:val="005673E2"/>
    <w:rsid w:val="00567A52"/>
    <w:rsid w:val="00570354"/>
    <w:rsid w:val="00586A97"/>
    <w:rsid w:val="005A09FE"/>
    <w:rsid w:val="005A1475"/>
    <w:rsid w:val="005A171A"/>
    <w:rsid w:val="005A4178"/>
    <w:rsid w:val="005A446C"/>
    <w:rsid w:val="005A5119"/>
    <w:rsid w:val="005A54A2"/>
    <w:rsid w:val="005A75C9"/>
    <w:rsid w:val="005B21B4"/>
    <w:rsid w:val="005C124E"/>
    <w:rsid w:val="005D7107"/>
    <w:rsid w:val="005E0647"/>
    <w:rsid w:val="005E4342"/>
    <w:rsid w:val="005E53A2"/>
    <w:rsid w:val="005E68A0"/>
    <w:rsid w:val="005F7F27"/>
    <w:rsid w:val="00600290"/>
    <w:rsid w:val="0060059A"/>
    <w:rsid w:val="006019BD"/>
    <w:rsid w:val="0060386D"/>
    <w:rsid w:val="00604C00"/>
    <w:rsid w:val="006053E5"/>
    <w:rsid w:val="006056DB"/>
    <w:rsid w:val="00610A7D"/>
    <w:rsid w:val="00610B57"/>
    <w:rsid w:val="00611C8B"/>
    <w:rsid w:val="00615FCF"/>
    <w:rsid w:val="00616234"/>
    <w:rsid w:val="0061764C"/>
    <w:rsid w:val="0062196C"/>
    <w:rsid w:val="0063509D"/>
    <w:rsid w:val="00650DFF"/>
    <w:rsid w:val="006537BD"/>
    <w:rsid w:val="00653E1A"/>
    <w:rsid w:val="00661C5D"/>
    <w:rsid w:val="00665C24"/>
    <w:rsid w:val="00670326"/>
    <w:rsid w:val="00670BA0"/>
    <w:rsid w:val="0067345B"/>
    <w:rsid w:val="00673ACA"/>
    <w:rsid w:val="006812F6"/>
    <w:rsid w:val="006838F8"/>
    <w:rsid w:val="00684214"/>
    <w:rsid w:val="00693017"/>
    <w:rsid w:val="006966F4"/>
    <w:rsid w:val="006A34E7"/>
    <w:rsid w:val="006A3F2C"/>
    <w:rsid w:val="006B0DCC"/>
    <w:rsid w:val="006B11D0"/>
    <w:rsid w:val="006B1CE9"/>
    <w:rsid w:val="006C1CE3"/>
    <w:rsid w:val="006D3DA0"/>
    <w:rsid w:val="006D41C1"/>
    <w:rsid w:val="006D5739"/>
    <w:rsid w:val="006D79F3"/>
    <w:rsid w:val="006E2658"/>
    <w:rsid w:val="006E7626"/>
    <w:rsid w:val="006F45DC"/>
    <w:rsid w:val="007107F8"/>
    <w:rsid w:val="00710A0E"/>
    <w:rsid w:val="00711831"/>
    <w:rsid w:val="00714E35"/>
    <w:rsid w:val="00724C12"/>
    <w:rsid w:val="00727ED8"/>
    <w:rsid w:val="0073057E"/>
    <w:rsid w:val="00746D28"/>
    <w:rsid w:val="007603F0"/>
    <w:rsid w:val="00761043"/>
    <w:rsid w:val="007728A2"/>
    <w:rsid w:val="007763D1"/>
    <w:rsid w:val="00793328"/>
    <w:rsid w:val="0079733A"/>
    <w:rsid w:val="007A134A"/>
    <w:rsid w:val="007A6A98"/>
    <w:rsid w:val="007B431B"/>
    <w:rsid w:val="007B43B5"/>
    <w:rsid w:val="007B6D51"/>
    <w:rsid w:val="007C3E20"/>
    <w:rsid w:val="007C5237"/>
    <w:rsid w:val="007C525A"/>
    <w:rsid w:val="007D1BAB"/>
    <w:rsid w:val="007D2183"/>
    <w:rsid w:val="007D3F7A"/>
    <w:rsid w:val="007E24FC"/>
    <w:rsid w:val="007E413F"/>
    <w:rsid w:val="007F0217"/>
    <w:rsid w:val="007F25F9"/>
    <w:rsid w:val="007F28D6"/>
    <w:rsid w:val="007F390A"/>
    <w:rsid w:val="0080019D"/>
    <w:rsid w:val="008001C8"/>
    <w:rsid w:val="00812FDE"/>
    <w:rsid w:val="00813BB5"/>
    <w:rsid w:val="0081403D"/>
    <w:rsid w:val="00815F9C"/>
    <w:rsid w:val="00821265"/>
    <w:rsid w:val="00826A7F"/>
    <w:rsid w:val="00830DBA"/>
    <w:rsid w:val="00831A48"/>
    <w:rsid w:val="00835179"/>
    <w:rsid w:val="00837C77"/>
    <w:rsid w:val="00844E95"/>
    <w:rsid w:val="008605AB"/>
    <w:rsid w:val="00873204"/>
    <w:rsid w:val="00876181"/>
    <w:rsid w:val="008766F5"/>
    <w:rsid w:val="00877747"/>
    <w:rsid w:val="00883CF6"/>
    <w:rsid w:val="00892D3D"/>
    <w:rsid w:val="00895DBA"/>
    <w:rsid w:val="008A75CD"/>
    <w:rsid w:val="008B1BAF"/>
    <w:rsid w:val="008C1A13"/>
    <w:rsid w:val="008C46F3"/>
    <w:rsid w:val="008D1A38"/>
    <w:rsid w:val="008D493E"/>
    <w:rsid w:val="008D72CA"/>
    <w:rsid w:val="008E5098"/>
    <w:rsid w:val="008F2DC9"/>
    <w:rsid w:val="0090591E"/>
    <w:rsid w:val="009155CA"/>
    <w:rsid w:val="0091586F"/>
    <w:rsid w:val="0092017F"/>
    <w:rsid w:val="0093126A"/>
    <w:rsid w:val="009313DB"/>
    <w:rsid w:val="0093383C"/>
    <w:rsid w:val="00933FF9"/>
    <w:rsid w:val="00934233"/>
    <w:rsid w:val="00936C49"/>
    <w:rsid w:val="0095273F"/>
    <w:rsid w:val="00952CCC"/>
    <w:rsid w:val="0095588C"/>
    <w:rsid w:val="009568AA"/>
    <w:rsid w:val="009611C2"/>
    <w:rsid w:val="00964009"/>
    <w:rsid w:val="00970CE4"/>
    <w:rsid w:val="00971193"/>
    <w:rsid w:val="009712C4"/>
    <w:rsid w:val="00973AFF"/>
    <w:rsid w:val="0098113E"/>
    <w:rsid w:val="00981CA2"/>
    <w:rsid w:val="00982D15"/>
    <w:rsid w:val="00984FF8"/>
    <w:rsid w:val="009912D6"/>
    <w:rsid w:val="009A1F73"/>
    <w:rsid w:val="009A3DD7"/>
    <w:rsid w:val="009A5040"/>
    <w:rsid w:val="009A6519"/>
    <w:rsid w:val="009B0CD9"/>
    <w:rsid w:val="009B5FDA"/>
    <w:rsid w:val="009B6F2F"/>
    <w:rsid w:val="009D696E"/>
    <w:rsid w:val="009E061A"/>
    <w:rsid w:val="009E0928"/>
    <w:rsid w:val="009E508B"/>
    <w:rsid w:val="009F3C29"/>
    <w:rsid w:val="00A05DEB"/>
    <w:rsid w:val="00A136B5"/>
    <w:rsid w:val="00A136D1"/>
    <w:rsid w:val="00A250AB"/>
    <w:rsid w:val="00A32C8D"/>
    <w:rsid w:val="00A33107"/>
    <w:rsid w:val="00A36FA8"/>
    <w:rsid w:val="00A43218"/>
    <w:rsid w:val="00A43888"/>
    <w:rsid w:val="00A52F57"/>
    <w:rsid w:val="00A61B18"/>
    <w:rsid w:val="00A67FA6"/>
    <w:rsid w:val="00A82B4B"/>
    <w:rsid w:val="00A868EB"/>
    <w:rsid w:val="00A96606"/>
    <w:rsid w:val="00A96DCE"/>
    <w:rsid w:val="00A9711A"/>
    <w:rsid w:val="00AB273E"/>
    <w:rsid w:val="00AC0250"/>
    <w:rsid w:val="00AD4B12"/>
    <w:rsid w:val="00AD58B7"/>
    <w:rsid w:val="00AD5BBA"/>
    <w:rsid w:val="00AD7A2D"/>
    <w:rsid w:val="00AE3C58"/>
    <w:rsid w:val="00AE4644"/>
    <w:rsid w:val="00AF2B1C"/>
    <w:rsid w:val="00AF5FB6"/>
    <w:rsid w:val="00B0408D"/>
    <w:rsid w:val="00B17116"/>
    <w:rsid w:val="00B17418"/>
    <w:rsid w:val="00B22E74"/>
    <w:rsid w:val="00B23F76"/>
    <w:rsid w:val="00B348EC"/>
    <w:rsid w:val="00B4207F"/>
    <w:rsid w:val="00B60103"/>
    <w:rsid w:val="00B64DFC"/>
    <w:rsid w:val="00B70582"/>
    <w:rsid w:val="00B81BFB"/>
    <w:rsid w:val="00B864DD"/>
    <w:rsid w:val="00B91D97"/>
    <w:rsid w:val="00B95793"/>
    <w:rsid w:val="00BA4BFD"/>
    <w:rsid w:val="00BB2555"/>
    <w:rsid w:val="00BB25B2"/>
    <w:rsid w:val="00BB3F68"/>
    <w:rsid w:val="00BB47E0"/>
    <w:rsid w:val="00BC0CDE"/>
    <w:rsid w:val="00BC3421"/>
    <w:rsid w:val="00BC6298"/>
    <w:rsid w:val="00BC6CBB"/>
    <w:rsid w:val="00BD0823"/>
    <w:rsid w:val="00BD1AFA"/>
    <w:rsid w:val="00BE37F0"/>
    <w:rsid w:val="00BE4E27"/>
    <w:rsid w:val="00BE5391"/>
    <w:rsid w:val="00BF2A81"/>
    <w:rsid w:val="00BF70E0"/>
    <w:rsid w:val="00BF7AC8"/>
    <w:rsid w:val="00C05675"/>
    <w:rsid w:val="00C059C8"/>
    <w:rsid w:val="00C06AFB"/>
    <w:rsid w:val="00C14414"/>
    <w:rsid w:val="00C15487"/>
    <w:rsid w:val="00C16C5B"/>
    <w:rsid w:val="00C20C41"/>
    <w:rsid w:val="00C21CB4"/>
    <w:rsid w:val="00C228C0"/>
    <w:rsid w:val="00C26411"/>
    <w:rsid w:val="00C27D82"/>
    <w:rsid w:val="00C45A24"/>
    <w:rsid w:val="00C46839"/>
    <w:rsid w:val="00C61E9D"/>
    <w:rsid w:val="00C62934"/>
    <w:rsid w:val="00C66435"/>
    <w:rsid w:val="00C704FB"/>
    <w:rsid w:val="00C749AD"/>
    <w:rsid w:val="00C74E9D"/>
    <w:rsid w:val="00C75688"/>
    <w:rsid w:val="00C7595B"/>
    <w:rsid w:val="00C7690A"/>
    <w:rsid w:val="00C842D1"/>
    <w:rsid w:val="00C8713B"/>
    <w:rsid w:val="00C939C2"/>
    <w:rsid w:val="00CA2A91"/>
    <w:rsid w:val="00CA39DA"/>
    <w:rsid w:val="00CA5444"/>
    <w:rsid w:val="00CA77A7"/>
    <w:rsid w:val="00CA79E7"/>
    <w:rsid w:val="00CB32D5"/>
    <w:rsid w:val="00CB7613"/>
    <w:rsid w:val="00CD4D2F"/>
    <w:rsid w:val="00CE0BBE"/>
    <w:rsid w:val="00CE1597"/>
    <w:rsid w:val="00CE1604"/>
    <w:rsid w:val="00CE4F60"/>
    <w:rsid w:val="00CE5BC5"/>
    <w:rsid w:val="00CE6D58"/>
    <w:rsid w:val="00CF3A22"/>
    <w:rsid w:val="00CF4093"/>
    <w:rsid w:val="00CF4574"/>
    <w:rsid w:val="00CF7A22"/>
    <w:rsid w:val="00CF7D3D"/>
    <w:rsid w:val="00D05E9E"/>
    <w:rsid w:val="00D078DA"/>
    <w:rsid w:val="00D1082E"/>
    <w:rsid w:val="00D12E6A"/>
    <w:rsid w:val="00D138D1"/>
    <w:rsid w:val="00D16338"/>
    <w:rsid w:val="00D2036D"/>
    <w:rsid w:val="00D30238"/>
    <w:rsid w:val="00D36644"/>
    <w:rsid w:val="00D44723"/>
    <w:rsid w:val="00D44825"/>
    <w:rsid w:val="00D50F32"/>
    <w:rsid w:val="00D52013"/>
    <w:rsid w:val="00D56944"/>
    <w:rsid w:val="00D664DD"/>
    <w:rsid w:val="00D702A8"/>
    <w:rsid w:val="00D71071"/>
    <w:rsid w:val="00D7109D"/>
    <w:rsid w:val="00D7415C"/>
    <w:rsid w:val="00D743CC"/>
    <w:rsid w:val="00D80895"/>
    <w:rsid w:val="00D91F54"/>
    <w:rsid w:val="00D959B9"/>
    <w:rsid w:val="00DA2CAA"/>
    <w:rsid w:val="00DA650C"/>
    <w:rsid w:val="00DB3A85"/>
    <w:rsid w:val="00DB634B"/>
    <w:rsid w:val="00DB6DE4"/>
    <w:rsid w:val="00DB7AB3"/>
    <w:rsid w:val="00DC4D46"/>
    <w:rsid w:val="00DC6CBD"/>
    <w:rsid w:val="00DC705F"/>
    <w:rsid w:val="00DD3A98"/>
    <w:rsid w:val="00DD6B5F"/>
    <w:rsid w:val="00DE1525"/>
    <w:rsid w:val="00DE38E8"/>
    <w:rsid w:val="00DF36DD"/>
    <w:rsid w:val="00DF49C7"/>
    <w:rsid w:val="00DF6EC7"/>
    <w:rsid w:val="00E01052"/>
    <w:rsid w:val="00E0120D"/>
    <w:rsid w:val="00E1345A"/>
    <w:rsid w:val="00E2272C"/>
    <w:rsid w:val="00E233C3"/>
    <w:rsid w:val="00E24BD4"/>
    <w:rsid w:val="00E3379D"/>
    <w:rsid w:val="00E35D27"/>
    <w:rsid w:val="00E37169"/>
    <w:rsid w:val="00E5426A"/>
    <w:rsid w:val="00E561FD"/>
    <w:rsid w:val="00E613D6"/>
    <w:rsid w:val="00E62E21"/>
    <w:rsid w:val="00E65899"/>
    <w:rsid w:val="00E6600A"/>
    <w:rsid w:val="00E71A3B"/>
    <w:rsid w:val="00E74E38"/>
    <w:rsid w:val="00E81416"/>
    <w:rsid w:val="00E82EC5"/>
    <w:rsid w:val="00E903B5"/>
    <w:rsid w:val="00E9164A"/>
    <w:rsid w:val="00E93852"/>
    <w:rsid w:val="00EA2F82"/>
    <w:rsid w:val="00EA7BD5"/>
    <w:rsid w:val="00EB0EE1"/>
    <w:rsid w:val="00ED1934"/>
    <w:rsid w:val="00EE0535"/>
    <w:rsid w:val="00EE5C0B"/>
    <w:rsid w:val="00F00394"/>
    <w:rsid w:val="00F01529"/>
    <w:rsid w:val="00F1371E"/>
    <w:rsid w:val="00F1411D"/>
    <w:rsid w:val="00F21F2D"/>
    <w:rsid w:val="00F36677"/>
    <w:rsid w:val="00F402A4"/>
    <w:rsid w:val="00F45387"/>
    <w:rsid w:val="00F559C0"/>
    <w:rsid w:val="00F60728"/>
    <w:rsid w:val="00F6169C"/>
    <w:rsid w:val="00F70109"/>
    <w:rsid w:val="00F70422"/>
    <w:rsid w:val="00F747F0"/>
    <w:rsid w:val="00F820EA"/>
    <w:rsid w:val="00FA3A26"/>
    <w:rsid w:val="00FB4CE7"/>
    <w:rsid w:val="00FC198D"/>
    <w:rsid w:val="00FC7C21"/>
    <w:rsid w:val="00FD04C4"/>
    <w:rsid w:val="00FD2793"/>
    <w:rsid w:val="00FF07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0"/>
    <o:shapelayout v:ext="edit">
      <o:idmap v:ext="edit" data="2"/>
    </o:shapelayout>
  </w:shapeDefaults>
  <w:decimalSymbol w:val="."/>
  <w:listSeparator w:val=","/>
  <w14:docId w14:val="27D7519E"/>
  <w15:docId w15:val="{73103C94-8515-4DA5-B6D9-EC1D5B4AA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paragraph" w:styleId="1">
    <w:name w:val="heading 1"/>
    <w:basedOn w:val="a"/>
    <w:next w:val="a"/>
    <w:link w:val="10"/>
    <w:qFormat/>
    <w:rsid w:val="004D087E"/>
    <w:pPr>
      <w:keepNext/>
      <w:keepLines/>
      <w:spacing w:before="120" w:after="120" w:line="360" w:lineRule="auto"/>
      <w:outlineLvl w:val="0"/>
    </w:pPr>
    <w:rPr>
      <w:rFonts w:ascii="宋体"/>
      <w:b/>
      <w:color w:val="000000"/>
      <w:kern w:val="0"/>
      <w:sz w:val="24"/>
    </w:rPr>
  </w:style>
  <w:style w:type="paragraph" w:styleId="2">
    <w:name w:val="heading 2"/>
    <w:basedOn w:val="a"/>
    <w:next w:val="a"/>
    <w:link w:val="20"/>
    <w:qFormat/>
    <w:rsid w:val="004D087E"/>
    <w:pPr>
      <w:keepNext/>
      <w:keepLines/>
      <w:spacing w:before="260" w:after="260" w:line="413" w:lineRule="auto"/>
      <w:outlineLvl w:val="1"/>
    </w:pPr>
    <w:rPr>
      <w:rFonts w:ascii="Arial" w:eastAsia="黑体" w:hAnsi="Arial"/>
      <w:b/>
      <w:sz w:val="32"/>
    </w:rPr>
  </w:style>
  <w:style w:type="paragraph" w:styleId="3">
    <w:name w:val="heading 3"/>
    <w:basedOn w:val="a"/>
    <w:next w:val="a"/>
    <w:qFormat/>
    <w:rsid w:val="004D087E"/>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正文文本 字符"/>
    <w:link w:val="a4"/>
    <w:rPr>
      <w:rFonts w:ascii="宋体"/>
    </w:rPr>
  </w:style>
  <w:style w:type="character" w:styleId="a5">
    <w:name w:val="annotation reference"/>
    <w:rPr>
      <w:sz w:val="21"/>
    </w:rPr>
  </w:style>
  <w:style w:type="character" w:customStyle="1" w:styleId="unnamed11">
    <w:name w:val="unnamed11"/>
    <w:rPr>
      <w:rFonts w:ascii="宋体" w:eastAsia="宋体" w:hAnsi="宋体" w:hint="eastAsia"/>
      <w:sz w:val="18"/>
    </w:rPr>
  </w:style>
  <w:style w:type="character" w:styleId="a6">
    <w:name w:val="footnote reference"/>
    <w:rPr>
      <w:vertAlign w:val="superscript"/>
    </w:rPr>
  </w:style>
  <w:style w:type="character" w:customStyle="1" w:styleId="a7">
    <w:name w:val="标题 字符"/>
    <w:link w:val="a8"/>
    <w:rPr>
      <w:rFonts w:ascii="Cambria" w:hAnsi="Cambria"/>
      <w:b/>
      <w:kern w:val="2"/>
      <w:sz w:val="32"/>
    </w:rPr>
  </w:style>
  <w:style w:type="character" w:customStyle="1" w:styleId="a9">
    <w:name w:val="页眉 字符"/>
    <w:link w:val="aa"/>
    <w:uiPriority w:val="99"/>
    <w:rPr>
      <w:kern w:val="2"/>
      <w:sz w:val="18"/>
    </w:rPr>
  </w:style>
  <w:style w:type="character" w:customStyle="1" w:styleId="read">
    <w:name w:val="read"/>
    <w:basedOn w:val="a0"/>
    <w:qFormat/>
    <w:rsid w:val="004D087E"/>
  </w:style>
  <w:style w:type="character" w:styleId="ab">
    <w:name w:val="page number"/>
    <w:basedOn w:val="a0"/>
  </w:style>
  <w:style w:type="character" w:styleId="ac">
    <w:name w:val="Hyperlink"/>
    <w:uiPriority w:val="99"/>
    <w:rPr>
      <w:color w:val="0000FF"/>
      <w:u w:val="single"/>
    </w:rPr>
  </w:style>
  <w:style w:type="paragraph" w:styleId="TOC3">
    <w:name w:val="toc 3"/>
    <w:basedOn w:val="a"/>
    <w:next w:val="a"/>
    <w:pPr>
      <w:ind w:leftChars="400" w:left="840"/>
    </w:pPr>
  </w:style>
  <w:style w:type="paragraph" w:styleId="30">
    <w:name w:val="Body Text Indent 3"/>
    <w:basedOn w:val="a"/>
    <w:pPr>
      <w:autoSpaceDE w:val="0"/>
      <w:autoSpaceDN w:val="0"/>
      <w:adjustRightInd w:val="0"/>
      <w:spacing w:line="360" w:lineRule="auto"/>
      <w:ind w:left="420" w:firstLine="435"/>
    </w:pPr>
    <w:rPr>
      <w:color w:val="0000FF"/>
    </w:rPr>
  </w:style>
  <w:style w:type="paragraph" w:customStyle="1" w:styleId="CharChar">
    <w:name w:val="Char Char"/>
    <w:basedOn w:val="a"/>
  </w:style>
  <w:style w:type="paragraph" w:customStyle="1" w:styleId="Default">
    <w:name w:val="Default"/>
    <w:pPr>
      <w:widowControl w:val="0"/>
      <w:autoSpaceDE w:val="0"/>
      <w:autoSpaceDN w:val="0"/>
      <w:adjustRightInd w:val="0"/>
    </w:pPr>
    <w:rPr>
      <w:rFonts w:ascii="宋体"/>
      <w:color w:val="000000"/>
      <w:sz w:val="24"/>
    </w:rPr>
  </w:style>
  <w:style w:type="paragraph" w:customStyle="1" w:styleId="unnamed1">
    <w:name w:val="unnamed1"/>
    <w:basedOn w:val="a"/>
    <w:rsid w:val="004D087E"/>
    <w:pPr>
      <w:spacing w:before="60" w:after="60"/>
      <w:ind w:left="15" w:right="15"/>
    </w:pPr>
    <w:rPr>
      <w:rFonts w:ascii="宋体" w:hAnsi="宋体" w:hint="eastAsia"/>
      <w:color w:val="000000"/>
      <w:sz w:val="18"/>
      <w:szCs w:val="18"/>
    </w:rPr>
  </w:style>
  <w:style w:type="paragraph" w:customStyle="1" w:styleId="Listbullet">
    <w:name w:val="List_bullet"/>
    <w:basedOn w:val="a"/>
    <w:rsid w:val="004D087E"/>
    <w:pPr>
      <w:widowControl/>
      <w:numPr>
        <w:numId w:val="1"/>
      </w:numPr>
      <w:tabs>
        <w:tab w:val="left" w:pos="360"/>
      </w:tabs>
      <w:jc w:val="left"/>
    </w:pPr>
    <w:rPr>
      <w:kern w:val="0"/>
      <w:sz w:val="24"/>
    </w:rPr>
  </w:style>
  <w:style w:type="paragraph" w:customStyle="1" w:styleId="msonormal1">
    <w:name w:val="msonormal1"/>
    <w:pPr>
      <w:widowControl w:val="0"/>
      <w:jc w:val="both"/>
    </w:pPr>
    <w:rPr>
      <w:kern w:val="2"/>
      <w:sz w:val="21"/>
    </w:rPr>
  </w:style>
  <w:style w:type="paragraph" w:customStyle="1" w:styleId="ad">
    <w:name w:val="正文正文"/>
    <w:basedOn w:val="a"/>
    <w:rsid w:val="004D087E"/>
    <w:pPr>
      <w:spacing w:afterLines="25" w:after="78" w:line="360" w:lineRule="auto"/>
      <w:ind w:firstLineChars="200" w:firstLine="200"/>
    </w:pPr>
    <w:rPr>
      <w:sz w:val="24"/>
    </w:rPr>
  </w:style>
  <w:style w:type="paragraph" w:styleId="ae">
    <w:name w:val="annotation subject"/>
    <w:basedOn w:val="af"/>
    <w:next w:val="af"/>
    <w:rPr>
      <w:b/>
    </w:rPr>
  </w:style>
  <w:style w:type="paragraph" w:styleId="af">
    <w:name w:val="annotation text"/>
    <w:basedOn w:val="a"/>
    <w:link w:val="af0"/>
    <w:qFormat/>
    <w:rsid w:val="004D087E"/>
    <w:pPr>
      <w:jc w:val="left"/>
    </w:pPr>
  </w:style>
  <w:style w:type="paragraph" w:styleId="af1">
    <w:name w:val="Document Map"/>
    <w:basedOn w:val="a"/>
    <w:pPr>
      <w:shd w:val="clear" w:color="auto" w:fill="000080"/>
    </w:pPr>
  </w:style>
  <w:style w:type="paragraph" w:customStyle="1" w:styleId="Char">
    <w:name w:val="Char"/>
    <w:basedOn w:val="a"/>
  </w:style>
  <w:style w:type="paragraph" w:styleId="a8">
    <w:name w:val="Title"/>
    <w:basedOn w:val="a"/>
    <w:next w:val="a"/>
    <w:link w:val="a7"/>
    <w:qFormat/>
    <w:rsid w:val="004D087E"/>
    <w:pPr>
      <w:spacing w:before="240" w:after="60"/>
      <w:jc w:val="center"/>
      <w:outlineLvl w:val="0"/>
    </w:pPr>
    <w:rPr>
      <w:rFonts w:ascii="Cambria" w:hAnsi="Cambria"/>
      <w:b/>
      <w:sz w:val="32"/>
    </w:rPr>
  </w:style>
  <w:style w:type="paragraph" w:styleId="a4">
    <w:name w:val="Body Text"/>
    <w:basedOn w:val="a"/>
    <w:link w:val="a3"/>
    <w:rsid w:val="004D087E"/>
    <w:pPr>
      <w:autoSpaceDE w:val="0"/>
      <w:autoSpaceDN w:val="0"/>
      <w:adjustRightInd w:val="0"/>
      <w:spacing w:line="360" w:lineRule="auto"/>
      <w:jc w:val="left"/>
    </w:pPr>
    <w:rPr>
      <w:rFonts w:ascii="宋体"/>
      <w:kern w:val="0"/>
      <w:sz w:val="20"/>
    </w:rPr>
  </w:style>
  <w:style w:type="paragraph" w:styleId="af2">
    <w:name w:val="Normal Indent"/>
    <w:basedOn w:val="a"/>
    <w:pPr>
      <w:ind w:firstLineChars="200" w:firstLine="420"/>
    </w:pPr>
  </w:style>
  <w:style w:type="paragraph" w:styleId="aa">
    <w:name w:val="header"/>
    <w:basedOn w:val="a"/>
    <w:link w:val="a9"/>
    <w:uiPriority w:val="99"/>
    <w:rsid w:val="004D087E"/>
    <w:pPr>
      <w:pBdr>
        <w:bottom w:val="single" w:sz="6" w:space="1" w:color="auto"/>
      </w:pBdr>
      <w:tabs>
        <w:tab w:val="center" w:pos="4153"/>
        <w:tab w:val="right" w:pos="8306"/>
      </w:tabs>
      <w:snapToGrid w:val="0"/>
      <w:jc w:val="center"/>
    </w:pPr>
    <w:rPr>
      <w:sz w:val="18"/>
    </w:rPr>
  </w:style>
  <w:style w:type="paragraph" w:customStyle="1" w:styleId="Char0">
    <w:name w:val="Char_0"/>
    <w:basedOn w:val="a"/>
  </w:style>
  <w:style w:type="paragraph" w:customStyle="1" w:styleId="CharCharChar">
    <w:name w:val="Char Char Char"/>
    <w:basedOn w:val="a"/>
  </w:style>
  <w:style w:type="paragraph" w:styleId="af3">
    <w:name w:val="Balloon Text"/>
    <w:basedOn w:val="a"/>
    <w:rPr>
      <w:sz w:val="18"/>
    </w:rPr>
  </w:style>
  <w:style w:type="paragraph" w:styleId="af4">
    <w:name w:val="footnote text"/>
    <w:basedOn w:val="a"/>
    <w:pPr>
      <w:snapToGrid w:val="0"/>
      <w:jc w:val="left"/>
    </w:pPr>
    <w:rPr>
      <w:sz w:val="18"/>
    </w:rPr>
  </w:style>
  <w:style w:type="paragraph" w:styleId="TOC1">
    <w:name w:val="toc 1"/>
    <w:basedOn w:val="a"/>
    <w:next w:val="a"/>
    <w:uiPriority w:val="39"/>
    <w:pPr>
      <w:tabs>
        <w:tab w:val="right" w:leader="dot" w:pos="8296"/>
      </w:tabs>
    </w:pPr>
    <w:rPr>
      <w:sz w:val="22"/>
    </w:rPr>
  </w:style>
  <w:style w:type="paragraph" w:styleId="af5">
    <w:name w:val="footer"/>
    <w:basedOn w:val="a"/>
    <w:link w:val="af6"/>
    <w:uiPriority w:val="99"/>
    <w:pPr>
      <w:tabs>
        <w:tab w:val="center" w:pos="4153"/>
        <w:tab w:val="right" w:pos="8306"/>
      </w:tabs>
      <w:snapToGrid w:val="0"/>
      <w:jc w:val="left"/>
    </w:pPr>
    <w:rPr>
      <w:sz w:val="18"/>
    </w:rPr>
  </w:style>
  <w:style w:type="paragraph" w:styleId="af7">
    <w:name w:val="Plain Text"/>
    <w:basedOn w:val="a"/>
    <w:link w:val="af8"/>
    <w:pPr>
      <w:adjustRightInd w:val="0"/>
      <w:spacing w:line="312" w:lineRule="atLeast"/>
      <w:textAlignment w:val="baseline"/>
    </w:pPr>
    <w:rPr>
      <w:rFonts w:ascii="宋体" w:hAnsi="Courier New"/>
      <w:kern w:val="0"/>
    </w:rPr>
  </w:style>
  <w:style w:type="paragraph" w:styleId="21">
    <w:name w:val="Body Text Indent 2"/>
    <w:basedOn w:val="a"/>
    <w:pPr>
      <w:spacing w:line="360" w:lineRule="auto"/>
      <w:ind w:firstLine="425"/>
    </w:pPr>
    <w:rPr>
      <w:rFonts w:ascii="仿宋_GB2312" w:eastAsia="仿宋_GB2312"/>
      <w:sz w:val="28"/>
    </w:rPr>
  </w:style>
  <w:style w:type="paragraph" w:customStyle="1" w:styleId="InfoBlue">
    <w:name w:val="InfoBlue"/>
    <w:basedOn w:val="a"/>
    <w:next w:val="a4"/>
    <w:rsid w:val="004D087E"/>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pPr>
      <w:tabs>
        <w:tab w:val="left" w:pos="360"/>
      </w:tabs>
    </w:pPr>
  </w:style>
  <w:style w:type="paragraph" w:customStyle="1" w:styleId="CharChar1">
    <w:name w:val="Char Char1"/>
    <w:basedOn w:val="a"/>
  </w:style>
  <w:style w:type="paragraph" w:customStyle="1" w:styleId="af9">
    <w:name w:val="正文所"/>
    <w:basedOn w:val="a"/>
    <w:pPr>
      <w:spacing w:line="360" w:lineRule="auto"/>
      <w:ind w:firstLineChars="200" w:firstLine="420"/>
    </w:pPr>
    <w:rPr>
      <w:rFonts w:ascii="宋体"/>
    </w:rPr>
  </w:style>
  <w:style w:type="paragraph" w:styleId="afa">
    <w:name w:val="Revision"/>
    <w:hidden/>
    <w:uiPriority w:val="99"/>
    <w:semiHidden/>
    <w:rsid w:val="00315C67"/>
    <w:rPr>
      <w:kern w:val="2"/>
      <w:sz w:val="21"/>
    </w:rPr>
  </w:style>
  <w:style w:type="character" w:customStyle="1" w:styleId="10">
    <w:name w:val="标题 1 字符"/>
    <w:link w:val="1"/>
    <w:rsid w:val="001B1027"/>
    <w:rPr>
      <w:rFonts w:ascii="宋体"/>
      <w:b/>
      <w:color w:val="000000"/>
      <w:sz w:val="24"/>
    </w:rPr>
  </w:style>
  <w:style w:type="character" w:customStyle="1" w:styleId="af0">
    <w:name w:val="批注文字 字符"/>
    <w:link w:val="af"/>
    <w:rsid w:val="00D72128"/>
    <w:rPr>
      <w:kern w:val="2"/>
      <w:sz w:val="21"/>
    </w:rPr>
  </w:style>
  <w:style w:type="paragraph" w:customStyle="1" w:styleId="CharChar0">
    <w:name w:val="Char Char_0"/>
    <w:basedOn w:val="a"/>
    <w:rsid w:val="00184368"/>
  </w:style>
  <w:style w:type="paragraph" w:customStyle="1" w:styleId="CharChar10">
    <w:name w:val="Char Char_1"/>
    <w:basedOn w:val="a"/>
    <w:rsid w:val="0045064E"/>
  </w:style>
  <w:style w:type="paragraph" w:customStyle="1" w:styleId="Char1">
    <w:name w:val="Char_1"/>
    <w:basedOn w:val="a"/>
    <w:rsid w:val="0045064E"/>
  </w:style>
  <w:style w:type="paragraph" w:customStyle="1" w:styleId="CharCharChar0">
    <w:name w:val="Char Char Char_0"/>
    <w:basedOn w:val="a"/>
    <w:rsid w:val="0045064E"/>
  </w:style>
  <w:style w:type="paragraph" w:customStyle="1" w:styleId="CharCharCharChar0">
    <w:name w:val="Char Char Char Char_0"/>
    <w:basedOn w:val="a"/>
    <w:rsid w:val="0045064E"/>
    <w:pPr>
      <w:tabs>
        <w:tab w:val="left" w:pos="360"/>
      </w:tabs>
    </w:pPr>
  </w:style>
  <w:style w:type="paragraph" w:customStyle="1" w:styleId="CharChar100">
    <w:name w:val="Char Char1_0"/>
    <w:basedOn w:val="a"/>
    <w:rsid w:val="0045064E"/>
  </w:style>
  <w:style w:type="paragraph" w:customStyle="1" w:styleId="CharChar2">
    <w:name w:val="Char Char_2"/>
    <w:basedOn w:val="a"/>
    <w:rsid w:val="00365EDD"/>
  </w:style>
  <w:style w:type="paragraph" w:styleId="afb">
    <w:name w:val="List Paragraph"/>
    <w:basedOn w:val="a"/>
    <w:uiPriority w:val="34"/>
    <w:qFormat/>
    <w:rsid w:val="006C5EAA"/>
    <w:pPr>
      <w:ind w:firstLineChars="200" w:firstLine="420"/>
    </w:pPr>
  </w:style>
  <w:style w:type="paragraph" w:customStyle="1" w:styleId="CharChar11">
    <w:name w:val="Char Char1_1"/>
    <w:basedOn w:val="a"/>
    <w:rsid w:val="006701B3"/>
  </w:style>
  <w:style w:type="paragraph" w:customStyle="1" w:styleId="Char2">
    <w:name w:val="Char_2"/>
    <w:basedOn w:val="a"/>
    <w:rsid w:val="006701B3"/>
  </w:style>
  <w:style w:type="paragraph" w:customStyle="1" w:styleId="CharChar12">
    <w:name w:val="Char Char1_2"/>
    <w:basedOn w:val="a"/>
    <w:rsid w:val="00923276"/>
  </w:style>
  <w:style w:type="paragraph" w:customStyle="1" w:styleId="Char3">
    <w:name w:val="Char_3"/>
    <w:basedOn w:val="a"/>
    <w:rsid w:val="00923276"/>
  </w:style>
  <w:style w:type="paragraph" w:styleId="afc">
    <w:name w:val="Normal (Web)"/>
    <w:basedOn w:val="a"/>
    <w:uiPriority w:val="99"/>
    <w:semiHidden/>
    <w:unhideWhenUsed/>
    <w:rsid w:val="006D0092"/>
    <w:pPr>
      <w:widowControl/>
      <w:spacing w:before="100" w:beforeAutospacing="1" w:after="100" w:afterAutospacing="1"/>
      <w:jc w:val="left"/>
    </w:pPr>
    <w:rPr>
      <w:rFonts w:ascii="宋体" w:hAnsi="宋体" w:cs="宋体"/>
      <w:kern w:val="0"/>
      <w:sz w:val="24"/>
      <w:szCs w:val="24"/>
    </w:rPr>
  </w:style>
  <w:style w:type="paragraph" w:customStyle="1" w:styleId="CharChar13">
    <w:name w:val="Char Char1_3"/>
    <w:basedOn w:val="a"/>
    <w:rsid w:val="004D087E"/>
  </w:style>
  <w:style w:type="paragraph" w:customStyle="1" w:styleId="Char4">
    <w:name w:val="Char_4"/>
    <w:basedOn w:val="a"/>
    <w:rsid w:val="004D087E"/>
  </w:style>
  <w:style w:type="paragraph" w:customStyle="1" w:styleId="CharChar3">
    <w:name w:val="Char Char_3"/>
    <w:basedOn w:val="a"/>
    <w:rsid w:val="00503385"/>
  </w:style>
  <w:style w:type="character" w:customStyle="1" w:styleId="af6">
    <w:name w:val="页脚 字符"/>
    <w:basedOn w:val="a0"/>
    <w:link w:val="af5"/>
    <w:uiPriority w:val="99"/>
    <w:rsid w:val="00E5297C"/>
    <w:rPr>
      <w:kern w:val="2"/>
      <w:sz w:val="18"/>
    </w:rPr>
  </w:style>
  <w:style w:type="paragraph" w:styleId="TOC2">
    <w:name w:val="toc 2"/>
    <w:basedOn w:val="a"/>
    <w:next w:val="a"/>
    <w:autoRedefine/>
    <w:uiPriority w:val="39"/>
    <w:rsid w:val="00805BCE"/>
    <w:pPr>
      <w:ind w:left="240"/>
    </w:pPr>
    <w:rPr>
      <w:sz w:val="22"/>
    </w:rPr>
  </w:style>
  <w:style w:type="character" w:customStyle="1" w:styleId="20">
    <w:name w:val="标题 2 字符"/>
    <w:basedOn w:val="a0"/>
    <w:link w:val="2"/>
    <w:rsid w:val="00E1345A"/>
    <w:rPr>
      <w:rFonts w:ascii="Arial" w:eastAsia="黑体" w:hAnsi="Arial"/>
      <w:b/>
      <w:kern w:val="2"/>
      <w:sz w:val="32"/>
    </w:rPr>
  </w:style>
  <w:style w:type="character" w:customStyle="1" w:styleId="af8">
    <w:name w:val="纯文本 字符"/>
    <w:basedOn w:val="a0"/>
    <w:link w:val="af7"/>
    <w:rsid w:val="00C704FB"/>
    <w:rPr>
      <w:rFonts w:ascii="宋体" w:hAnsi="Courier New"/>
      <w:sz w:val="21"/>
    </w:rPr>
  </w:style>
  <w:style w:type="paragraph" w:styleId="afd">
    <w:name w:val="Body Text Indent"/>
    <w:basedOn w:val="a"/>
    <w:link w:val="afe"/>
    <w:unhideWhenUsed/>
    <w:rsid w:val="00E5426A"/>
    <w:pPr>
      <w:spacing w:after="120"/>
      <w:ind w:leftChars="200" w:left="420"/>
    </w:pPr>
  </w:style>
  <w:style w:type="character" w:customStyle="1" w:styleId="afe">
    <w:name w:val="正文文本缩进 字符"/>
    <w:basedOn w:val="a0"/>
    <w:link w:val="afd"/>
    <w:rsid w:val="00E5426A"/>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551093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mailto:service@99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BC96F-B20F-41A6-B922-9BB976CF567C}">
  <ds:schemaRefs>
    <ds:schemaRef ds:uri="http://schemas.openxmlformats.org/officeDocument/2006/bibliography"/>
  </ds:schemaRefs>
</ds:datastoreItem>
</file>

<file path=customXml/itemProps2.xml><?xml version="1.0" encoding="utf-8"?>
<ds:datastoreItem xmlns:ds="http://schemas.openxmlformats.org/officeDocument/2006/customXml" ds:itemID="{74D31FE7-A4E7-4AAD-936B-B768F0C22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147</Pages>
  <Words>15255</Words>
  <Characters>86954</Characters>
  <Application>Microsoft Office Word</Application>
  <DocSecurity>0</DocSecurity>
  <Lines>724</Lines>
  <Paragraphs>204</Paragraphs>
  <ScaleCrop>false</ScaleCrop>
  <Company/>
  <LinksUpToDate>false</LinksUpToDate>
  <CharactersWithSpaces>102005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___证券投资基金招募说明书1</dc:title>
  <dc:creator>彭意</dc:creator>
  <cp:lastModifiedBy>张璋</cp:lastModifiedBy>
  <cp:revision>60</cp:revision>
  <cp:lastPrinted>2022-09-27T01:57:00Z</cp:lastPrinted>
  <dcterms:created xsi:type="dcterms:W3CDTF">2023-05-25T07:21:00Z</dcterms:created>
  <dcterms:modified xsi:type="dcterms:W3CDTF">2024-04-10T23:56:00Z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2052-6.6.0.2657</vt:lpwstr>
  </property>
</Properties>
</file>