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672040" w:rsidRPr="00672040" w:rsidP="00672040">
      <w:pPr>
        <w:spacing w:line="360" w:lineRule="auto"/>
        <w:jc w:val="center"/>
        <w:rPr>
          <w:rFonts w:ascii="宋体" w:eastAsia="宋体" w:hAnsi="宋体" w:cs="Times New Roman"/>
          <w:b/>
          <w:bCs/>
          <w:sz w:val="24"/>
          <w:szCs w:val="24"/>
        </w:rPr>
      </w:pPr>
      <w:r w:rsidRPr="00672040">
        <w:rPr>
          <w:rFonts w:ascii="宋体" w:eastAsia="宋体" w:hAnsi="宋体" w:cs="Times New Roman"/>
          <w:b/>
          <w:bCs/>
          <w:sz w:val="24"/>
          <w:szCs w:val="24"/>
        </w:rPr>
        <w:t>汇添富中证信息技术应用创新产业交易型开放式指数证券投资基金上市交易提示性公告</w:t>
      </w:r>
    </w:p>
    <w:p w:rsidR="00672040" w:rsidRPr="00672040" w:rsidP="00672040">
      <w:pPr>
        <w:spacing w:line="360" w:lineRule="auto"/>
        <w:jc w:val="center"/>
        <w:rPr>
          <w:rFonts w:ascii="宋体" w:eastAsia="宋体" w:hAnsi="宋体" w:cs="Times New Roman"/>
          <w:b/>
          <w:bCs/>
          <w:sz w:val="24"/>
          <w:szCs w:val="24"/>
        </w:rPr>
      </w:pPr>
    </w:p>
    <w:p w:rsidR="00672040" w:rsidRPr="00672040" w:rsidP="00672040">
      <w:pPr>
        <w:spacing w:line="360" w:lineRule="auto"/>
        <w:ind w:firstLine="480" w:firstLineChars="200"/>
        <w:jc w:val="left"/>
        <w:rPr>
          <w:rFonts w:ascii="宋体" w:eastAsia="宋体" w:hAnsi="宋体" w:cs="Times New Roman"/>
          <w:sz w:val="24"/>
          <w:szCs w:val="24"/>
        </w:rPr>
      </w:pPr>
      <w:r w:rsidRPr="00672040">
        <w:rPr>
          <w:rFonts w:ascii="宋体" w:eastAsia="宋体" w:hAnsi="宋体" w:cs="Times New Roman"/>
          <w:sz w:val="24"/>
          <w:szCs w:val="24"/>
        </w:rPr>
        <w:t>汇添富中证信息技术应用创新产业交易型开放式指数证券投资基金（以下简称“本基金”）自2024年04月15日开始在上海证券交易所上市交易。本基金的扩位证券简称为“信创50ETF”，二级市场基金交易代码为560850。</w:t>
      </w:r>
    </w:p>
    <w:p w:rsidR="00672040" w:rsidRPr="00672040" w:rsidP="00672040">
      <w:pPr>
        <w:spacing w:line="360" w:lineRule="auto"/>
        <w:ind w:firstLine="480" w:firstLineChars="200"/>
        <w:jc w:val="left"/>
        <w:rPr>
          <w:rFonts w:ascii="宋体" w:eastAsia="宋体" w:hAnsi="宋体" w:cs="Times New Roman"/>
          <w:sz w:val="24"/>
          <w:szCs w:val="24"/>
        </w:rPr>
      </w:pPr>
      <w:r w:rsidRPr="00672040">
        <w:rPr>
          <w:rFonts w:ascii="宋体" w:eastAsia="宋体" w:hAnsi="宋体" w:cs="Times New Roman"/>
          <w:sz w:val="24"/>
          <w:szCs w:val="24"/>
        </w:rPr>
        <w:t>截至2024年04月12日，本基金投资于标的指数成份股和备选成份股的资产比例为基金资产净值的99.42%，投资组合比例符合有关法律法规、部门规章、规范性文件的规定和基金合同的有关规定。</w:t>
      </w:r>
    </w:p>
    <w:p w:rsidR="00672040" w:rsidRPr="00672040" w:rsidP="00672040">
      <w:pPr>
        <w:spacing w:line="360" w:lineRule="auto"/>
        <w:ind w:firstLine="480" w:firstLineChars="200"/>
        <w:jc w:val="left"/>
        <w:rPr>
          <w:rFonts w:ascii="宋体" w:eastAsia="宋体" w:hAnsi="宋体" w:cs="Times New Roman"/>
          <w:sz w:val="24"/>
          <w:szCs w:val="24"/>
        </w:rPr>
      </w:pPr>
      <w:r w:rsidRPr="00672040">
        <w:rPr>
          <w:rFonts w:ascii="宋体" w:eastAsia="宋体" w:hAnsi="宋体" w:cs="Times New Roman"/>
          <w:sz w:val="24"/>
          <w:szCs w:val="24"/>
        </w:rPr>
        <w:t>特此公告。</w:t>
      </w:r>
    </w:p>
    <w:p w:rsidR="00672040" w:rsidRPr="00672040" w:rsidP="00672040">
      <w:pPr>
        <w:spacing w:line="360" w:lineRule="auto"/>
        <w:ind w:firstLine="480" w:firstLineChars="200"/>
        <w:jc w:val="left"/>
        <w:rPr>
          <w:rFonts w:ascii="宋体" w:eastAsia="宋体" w:hAnsi="宋体" w:cs="Times New Roman"/>
          <w:sz w:val="24"/>
          <w:szCs w:val="24"/>
        </w:rPr>
      </w:pPr>
    </w:p>
    <w:p w:rsidR="00672040" w:rsidRPr="00672040" w:rsidP="00672040">
      <w:pPr>
        <w:spacing w:line="360" w:lineRule="auto"/>
        <w:ind w:firstLine="480" w:firstLineChars="200"/>
        <w:jc w:val="right"/>
        <w:rPr>
          <w:rFonts w:ascii="宋体" w:eastAsia="宋体" w:hAnsi="宋体" w:cs="Times New Roman"/>
          <w:sz w:val="24"/>
          <w:szCs w:val="24"/>
        </w:rPr>
      </w:pPr>
      <w:r w:rsidRPr="00672040">
        <w:rPr>
          <w:rFonts w:ascii="宋体" w:eastAsia="宋体" w:hAnsi="宋体" w:cs="Times New Roman"/>
          <w:sz w:val="24"/>
          <w:szCs w:val="24"/>
        </w:rPr>
        <w:t>汇添富基金管理股份有限公司</w:t>
      </w:r>
    </w:p>
    <w:p w:rsidR="00313CBA" w:rsidRPr="00672040" w:rsidP="00672040">
      <w:pPr>
        <w:spacing w:line="360" w:lineRule="auto"/>
        <w:ind w:firstLine="480" w:firstLineChars="200"/>
        <w:jc w:val="right"/>
        <w:rPr>
          <w:rFonts w:ascii="宋体" w:eastAsia="宋体" w:hAnsi="宋体" w:cs="Times New Roman" w:hint="eastAsia"/>
          <w:sz w:val="24"/>
          <w:szCs w:val="24"/>
        </w:rPr>
      </w:pPr>
      <w:r w:rsidRPr="00672040">
        <w:rPr>
          <w:rFonts w:ascii="宋体" w:eastAsia="宋体" w:hAnsi="宋体" w:cs="Times New Roman" w:hint="eastAsia"/>
          <w:sz w:val="24"/>
          <w:szCs w:val="24"/>
        </w:rPr>
        <w:t>2024年04月15日</w:t>
      </w:r>
    </w:p>
    <w:sectPr w:rsidSect="008F07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40"/>
    <w:rsid w:val="00313CBA"/>
    <w:rsid w:val="004831CD"/>
    <w:rsid w:val="00556C0A"/>
    <w:rsid w:val="00672040"/>
    <w:rsid w:val="00BA729B"/>
    <w:rsid w:val="00C1684C"/>
    <w:rsid w:val="00EB743E"/>
    <w:rsid w:val="00FA34CA"/>
    <w:rsid w:val="00FF0163"/>
  </w:rsids>
  <w:docVars>
    <w:docVar w:name="KGWebUrl" w:val="http://www.htfreportdev.com/UI/api/WebOffice/PageLoad"/>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6FC1372-33B7-492B-B084-B13FF58A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dc:creator>
  <cp:lastModifiedBy>99</cp:lastModifiedBy>
  <cp:revision>1</cp:revision>
  <dcterms:created xsi:type="dcterms:W3CDTF">2022-10-11T05:59:00Z</dcterms:created>
  <dcterms:modified xsi:type="dcterms:W3CDTF">2022-10-11T05:59:00Z</dcterms:modified>
</cp:coreProperties>
</file>