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7371E2" w:rsidRPr="002066FC" w:rsidP="007371E2">
      <w:pPr>
        <w:spacing w:line="360" w:lineRule="auto"/>
        <w:jc w:val="center"/>
        <w:rPr>
          <w:rFonts w:asciiTheme="minorEastAsia" w:hAnsiTheme="minorEastAsia" w:cs="方正黑体简体"/>
          <w:b/>
          <w:iCs/>
          <w:sz w:val="28"/>
          <w:szCs w:val="28"/>
        </w:rPr>
      </w:pPr>
      <w:r w:rsidRPr="002066FC">
        <w:rPr>
          <w:rFonts w:asciiTheme="minorEastAsia" w:hAnsiTheme="minorEastAsia" w:cs="方正黑体简体"/>
          <w:b/>
          <w:iCs/>
          <w:sz w:val="28"/>
          <w:szCs w:val="28"/>
        </w:rPr>
        <w:t>汇添富现金宝货币市场基金A类份额更新基金产品资料概要(2024年04月15日更新)</w:t>
      </w:r>
    </w:p>
    <w:p w:rsidR="007371E2" w:rsidRPr="00D775F8"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Pr="00D775F8">
        <w:rPr>
          <w:rFonts w:asciiTheme="minorEastAsia" w:hAnsiTheme="minorEastAsia" w:cs="Times New Roman"/>
          <w:szCs w:val="21"/>
        </w:rPr>
        <w:t>2024年04月12日</w:t>
      </w:r>
    </w:p>
    <w:p w:rsidR="002066FC" w:rsidRPr="00D775F8" w:rsidP="0043717A">
      <w:pPr>
        <w:spacing w:line="360" w:lineRule="auto"/>
        <w:jc w:val="center"/>
        <w:rPr>
          <w:rFonts w:asciiTheme="minorEastAsia" w:hAnsiTheme="minorEastAsia" w:cs="方正仿宋简体" w:hint="eastAsia"/>
          <w:iCs/>
          <w:szCs w:val="21"/>
        </w:rPr>
      </w:pPr>
      <w:r w:rsidRPr="00D775F8">
        <w:rPr>
          <w:rFonts w:asciiTheme="minorEastAsia" w:hAnsiTheme="minorEastAsia" w:cs="Times New Roman" w:hint="eastAsia"/>
          <w:bCs/>
          <w:szCs w:val="21"/>
        </w:rPr>
        <w:t>送出日</w:t>
      </w:r>
      <w:bookmarkStart w:id="0" w:name="_GoBack"/>
      <w:r w:rsidRPr="00D775F8">
        <w:rPr>
          <w:rFonts w:asciiTheme="minorEastAsia" w:hAnsiTheme="minorEastAsia" w:cs="Times New Roman" w:hint="eastAsia"/>
          <w:bCs/>
          <w:szCs w:val="21"/>
        </w:rPr>
        <w:t>期：</w:t>
      </w:r>
      <w:r w:rsidRPr="00D775F8">
        <w:rPr>
          <w:rFonts w:asciiTheme="minorEastAsia" w:hAnsiTheme="minorEastAsia" w:cs="Times New Roman"/>
          <w:szCs w:val="21"/>
        </w:rPr>
        <w:t>2024年04月15日</w:t>
      </w:r>
      <w:bookmarkEnd w:id="0"/>
      <w:r w:rsidRPr="00D775F8">
        <w:rPr>
          <w:rFonts w:asciiTheme="minorEastAsia" w:hAnsiTheme="minorEastAsia" w:cs="方正仿宋简体"/>
          <w:iCs/>
          <w:szCs w:val="21"/>
        </w:rPr>
        <w:t xml:space="preserve"> </w:t>
      </w:r>
    </w:p>
    <w:p w:rsidR="00D775F8" w:rsidRPr="0043717A"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rsidR="00D775F8" w:rsidRPr="0043717A" w:rsidP="00D775F8">
      <w:pPr>
        <w:spacing w:line="360" w:lineRule="auto"/>
        <w:jc w:val="center"/>
        <w:rPr>
          <w:rFonts w:asciiTheme="minorEastAsia" w:hAnsiTheme="minorEastAsia" w:cs="方正仿宋简体"/>
          <w:iCs/>
          <w:szCs w:val="21"/>
        </w:rPr>
        <w:sectPr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w:t>
      </w:r>
      <w:r w:rsidRPr="0043717A">
        <w:rPr>
          <w:rFonts w:asciiTheme="minorEastAsia" w:hAnsiTheme="minorEastAsia" w:cs="方正黑体简体" w:hint="eastAsia"/>
          <w:bCs/>
          <w:iCs/>
          <w:szCs w:val="21"/>
        </w:rPr>
        <w:t>投资决定前，请阅读完整的招募说明书等销售文件。</w:t>
      </w:r>
    </w:p>
    <w:p w:rsidR="00834E25" w:rsidP="00213261">
      <w:pPr>
        <w:pStyle w:val="ListParagraph"/>
        <w:numPr>
          <w:ilvl w:val="0"/>
          <w:numId w:val="1"/>
        </w:numPr>
        <w:spacing w:line="360" w:lineRule="auto"/>
        <w:ind w:left="447" w:hanging="447" w:hangingChars="213"/>
        <w:rPr>
          <w:rFonts w:ascii="宋体" w:eastAsia="宋体" w:hAnsi="宋体" w:cs="方正仿宋简体"/>
          <w:b/>
          <w:bCs/>
          <w:iCs/>
          <w:szCs w:val="21"/>
        </w:rPr>
      </w:pPr>
      <w:r w:rsidRPr="00213261">
        <w:rPr>
          <w:rFonts w:ascii="宋体" w:eastAsia="宋体" w:hAnsi="宋体" w:cs="方正仿宋简体" w:hint="eastAsia"/>
          <w:b/>
          <w:bCs/>
          <w:iCs/>
          <w:szCs w:val="21"/>
        </w:rPr>
        <w:t>产品概况</w:t>
      </w:r>
    </w:p>
    <w:p w:rsidR="00DF6E25" w:rsidRPr="0074720D" w:rsidP="0074720D">
      <w:pPr>
        <w:rPr>
          <w:rFonts w:ascii="宋体" w:eastAsia="宋体" w:hAnsi="宋体" w:cs="方正仿宋简体"/>
          <w:bCs/>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8"/>
        <w:gridCol w:w="2158"/>
        <w:gridCol w:w="2158"/>
        <w:gridCol w:w="21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汇添富现金宝货币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000330</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下属基金简称</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汇添富现金宝货币A</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下属基金代码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000330</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基金管理人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汇添富基金管理股份有限公司</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基金托管人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中国工商银行股份有限公司</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基金合同生效日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2013年09月12日</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上市交易所</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上市日期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基金类型</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货币市场基金</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交易币种</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人民币</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运作方式</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普通开放式</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开放频率</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每个开放日</w:t>
            </w:r>
          </w:p>
        </w:tc>
      </w:tr>
      <w:tr>
        <w:tblPrEx>
          <w:tblW w:w="5000" w:type="pct"/>
          <w:tblCellMar>
            <w:left w:w="108" w:type="dxa"/>
            <w:right w:w="108" w:type="dxa"/>
          </w:tblCellMar>
        </w:tblPrEx>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基金经理</w:t>
            </w: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徐寅喆</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2022年05月09日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2008年09月01日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val="restart"/>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温开强</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开始担任本基金基金经理的日期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2023年03月15日</w:t>
            </w:r>
          </w:p>
        </w:tc>
      </w:tr>
      <w:tr>
        <w:tblPrEx>
          <w:tblW w:w="5000" w:type="pct"/>
          <w:tblCellMar>
            <w:left w:w="108" w:type="dxa"/>
            <w:right w:w="108" w:type="dxa"/>
          </w:tblCellMar>
        </w:tblPrEx>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vMerge/>
            <w:shd w:val="clear" w:color="auto" w:fill="FFFFFF"/>
            <w:vAlign w:val="center"/>
          </w:tcPr>
          <w:p w:rsidR="00DF6E25" w:rsidRPr="0074720D" w:rsidP="0074720D">
            <w:pPr>
              <w:jc w:val="left"/>
              <w:rPr>
                <w:rFonts w:ascii="宋体" w:eastAsia="宋体" w:hAnsi="宋体" w:cs="宋体"/>
                <w:bCs/>
                <w:iCs/>
                <w:color w:val="000000"/>
                <w:sz w:val="21"/>
                <w:szCs w:val="21"/>
              </w:rPr>
            </w:pP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证券从业日期</w:t>
            </w:r>
          </w:p>
        </w:tc>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2012年03月01日</w:t>
            </w:r>
          </w:p>
        </w:tc>
      </w:tr>
      <w:tr>
        <w:tblPrEx>
          <w:tblW w:w="5000" w:type="pct"/>
          <w:tblCellMar>
            <w:left w:w="108" w:type="dxa"/>
            <w:right w:w="108" w:type="dxa"/>
          </w:tblCellMar>
        </w:tblPrEx>
        <w:tc>
          <w:tcPr>
            <w:tcW w:w="20000" w:type="dxa"/>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其他</w:t>
            </w:r>
          </w:p>
        </w:tc>
        <w:tc>
          <w:tcPr>
            <w:tcW w:w="60000" w:type="dxa"/>
            <w:gridSpan w:val="3"/>
            <w:shd w:val="clear" w:color="auto" w:fill="FFFFFF"/>
            <w:vAlign w:val="center"/>
          </w:tcPr>
          <w:p w:rsidR="00DF6E25" w:rsidRPr="0074720D" w:rsidP="0074720D">
            <w:pPr>
              <w:jc w:val="left"/>
              <w:rPr>
                <w:rFonts w:ascii="宋体" w:eastAsia="宋体" w:hAnsi="宋体" w:cs="宋体"/>
                <w:bCs/>
                <w:iCs/>
                <w:color w:val="000000"/>
                <w:sz w:val="21"/>
                <w:szCs w:val="21"/>
              </w:rPr>
            </w:pPr>
            <w:r w:rsidRPr="0074720D">
              <w:rPr>
                <w:rFonts w:ascii="宋体" w:eastAsia="宋体" w:hAnsi="宋体" w:cs="宋体"/>
                <w:bCs/>
                <w:iCs/>
                <w:color w:val="000000"/>
                <w:sz w:val="21"/>
                <w:szCs w:val="21"/>
              </w:rPr>
              <w:t>-</w:t>
            </w:r>
          </w:p>
        </w:tc>
      </w:tr>
    </w:tbl>
    <w:p w:rsidR="00DF6E25" w:rsidRPr="0074720D" w:rsidP="0074720D">
      <w:pPr>
        <w:rPr>
          <w:rFonts w:ascii="宋体" w:eastAsia="宋体" w:hAnsi="宋体" w:cs="方正仿宋简体"/>
          <w:bCs/>
          <w:iCs/>
          <w:szCs w:val="21"/>
        </w:rPr>
      </w:pPr>
    </w:p>
    <w:p w:rsidR="00025EAC" w:rsidRPr="0074720D" w:rsidP="0074720D">
      <w:pPr>
        <w:rPr>
          <w:rFonts w:ascii="宋体" w:eastAsia="宋体" w:hAnsi="宋体" w:cs="方正仿宋简体"/>
          <w:iCs/>
          <w:szCs w:val="21"/>
        </w:rPr>
        <w:sectPr w:rsidSect="00FE250C">
          <w:type w:val="continuous"/>
          <w:pgSz w:w="12240" w:h="15840"/>
          <w:pgMar w:top="1440" w:right="1800" w:bottom="1440" w:left="1800" w:header="720" w:footer="720" w:gutter="0"/>
          <w:cols w:space="720"/>
        </w:sectPr>
      </w:pPr>
    </w:p>
    <w:p w:rsidR="00834E25" w:rsidRPr="00124F47"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t>二、</w:t>
      </w:r>
      <w:r w:rsidRPr="00124F47">
        <w:rPr>
          <w:rFonts w:ascii="宋体" w:eastAsia="宋体" w:hAnsi="宋体" w:cs="方正仿宋简体"/>
          <w:b/>
          <w:bCs/>
          <w:iCs/>
          <w:szCs w:val="21"/>
        </w:rPr>
        <w:t xml:space="preserve"> </w:t>
      </w:r>
      <w:r w:rsidRPr="00124F47">
        <w:rPr>
          <w:rFonts w:ascii="宋体" w:eastAsia="宋体" w:hAnsi="宋体" w:cs="方正仿宋简体"/>
          <w:b/>
          <w:bCs/>
          <w:iCs/>
          <w:szCs w:val="21"/>
        </w:rPr>
        <w:t>基金投资与净值表现</w:t>
      </w:r>
    </w:p>
    <w:p w:rsidR="00834E25" w:rsidRPr="00124F47" w:rsidP="00D32707">
      <w:pPr>
        <w:spacing w:line="360" w:lineRule="auto"/>
        <w:rPr>
          <w:rFonts w:ascii="宋体" w:eastAsia="宋体" w:hAnsi="宋体" w:cs="方正仿宋简体"/>
          <w:b/>
          <w:bCs/>
          <w:iCs/>
          <w:szCs w:val="21"/>
        </w:rPr>
        <w:sectPr w:rsidSect="00512717">
          <w:type w:val="continuous"/>
          <w:pgSz w:w="12240" w:h="15840"/>
          <w:pgMar w:top="1440" w:right="1800" w:bottom="1440" w:left="1800" w:header="720" w:footer="720" w:gutter="0"/>
          <w:cols w:space="720"/>
        </w:sectPr>
      </w:pPr>
    </w:p>
    <w:p w:rsidR="00EB4244" w:rsidRPr="006E61A9"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t>（一）</w:t>
      </w:r>
      <w:r w:rsidRPr="006E61A9">
        <w:rPr>
          <w:rFonts w:ascii="宋体" w:eastAsia="宋体" w:hAnsi="宋体" w:cs="方正仿宋简体"/>
          <w:b/>
          <w:bCs/>
          <w:iCs/>
          <w:szCs w:val="21"/>
        </w:rPr>
        <w:t>投资目标与投资策略</w:t>
      </w:r>
    </w:p>
    <w:tbl>
      <w:tblPr>
        <w:tblStyle w:val="TableNormal"/>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6946"/>
      </w:tblGrid>
      <w:tr w:rsidTr="00EB4244">
        <w:tblPrEx>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8"/>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在保持基金资产的低风险和高流动性的前提下，力争实现超越业绩比较基准的投资回报。</w:t>
            </w:r>
          </w:p>
        </w:tc>
      </w:tr>
      <w:tr w:rsidTr="00EB4244">
        <w:tblPrEx>
          <w:tblW w:w="8789" w:type="dxa"/>
          <w:tblInd w:w="27" w:type="dxa"/>
          <w:tblLook w:val="0000"/>
        </w:tblPrEx>
        <w:trPr>
          <w:trHeight w:val="416"/>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投资于法律法规及监管机构允许投资的金融工具，包括现金，通知存款，短期融资券，一年以内(含一年)的银行定期存款、大额存单，期限在一年以内(含一年)的债券回购，期限在一年以内(含一年)的中央银行票据，剩余期限在397天以内(含397天)的债券、资产支持证券、中期票据，以及中国证监会及/或中国人民银行认可的其他具有良好流动性的金融工具。</w:t>
            </w:r>
          </w:p>
        </w:tc>
      </w:tr>
      <w:tr w:rsidTr="00EB4244">
        <w:tblPrEx>
          <w:tblW w:w="8789" w:type="dxa"/>
          <w:tblInd w:w="27" w:type="dxa"/>
          <w:tblLook w:val="0000"/>
        </w:tblPrEx>
        <w:trPr>
          <w:trHeight w:val="407"/>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主要投资策略</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本基金将结合宏观分析和微观分析制定投资策略，力求在满足安全性、流动性需要的基础上实现更高的收益率。本基金具体投资策略包括：滚动配置策略，久期控制策略，套利策略，时机选择策略。</w:t>
            </w:r>
          </w:p>
        </w:tc>
      </w:tr>
      <w:tr w:rsidTr="00EB4244">
        <w:tblPrEx>
          <w:tblW w:w="8789" w:type="dxa"/>
          <w:tblInd w:w="27" w:type="dxa"/>
          <w:tblLook w:val="0000"/>
        </w:tblPrEx>
        <w:trPr>
          <w:trHeight w:val="412"/>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活期存款利率(税后)</w:t>
            </w:r>
          </w:p>
        </w:tc>
      </w:tr>
      <w:tr w:rsidTr="00EB4244">
        <w:tblPrEx>
          <w:tblW w:w="8789" w:type="dxa"/>
          <w:tblInd w:w="27" w:type="dxa"/>
          <w:tblLook w:val="0000"/>
        </w:tblPrEx>
        <w:trPr>
          <w:trHeight w:val="419"/>
        </w:trPr>
        <w:tc>
          <w:tcPr>
            <w:tcW w:w="1843" w:type="dxa"/>
            <w:vAlign w:val="center"/>
          </w:tcPr>
          <w:p w:rsidR="00EB4244" w:rsidRPr="00EB4244"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rsidR="00EB4244" w:rsidRPr="00EB4244" w:rsidP="00EB4244">
            <w:pPr>
              <w:rPr>
                <w:rFonts w:ascii="宋体" w:eastAsia="宋体" w:hAnsi="宋体" w:cs="方正仿宋简体"/>
                <w:iCs/>
                <w:szCs w:val="21"/>
              </w:rPr>
            </w:pPr>
            <w:r w:rsidRPr="00EB4244">
              <w:rPr>
                <w:rFonts w:ascii="宋体" w:eastAsia="宋体" w:hAnsi="宋体" w:cs="方正仿宋简体"/>
                <w:iCs/>
                <w:szCs w:val="21"/>
              </w:rPr>
              <w:t>本基金为货币市场证券投资基金,是证券投资基金中的低风险品种。本基金的预期风险和预期收益低于股票型基金、混合型基金、债券型基金。</w:t>
            </w:r>
          </w:p>
        </w:tc>
      </w:tr>
    </w:tbl>
    <w:p w:rsidR="0051145B" w:rsidRPr="00EB4244" w:rsidP="00EB4244">
      <w:pPr>
        <w:rPr>
          <w:rFonts w:ascii="宋体" w:eastAsia="宋体" w:hAnsi="宋体" w:cs="方正仿宋简体"/>
          <w:iCs/>
          <w:szCs w:val="21"/>
        </w:rPr>
        <w:sectPr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rsidR="00D76FFC" w:rsidRPr="00D76FFC" w:rsidP="00D76FFC">
      <w:pPr>
        <w:spacing w:line="360" w:lineRule="auto"/>
        <w:rPr>
          <w:rFonts w:ascii="宋体" w:eastAsia="宋体" w:hAnsi="宋体" w:cs="方正仿宋简体"/>
          <w:b/>
          <w:bCs/>
          <w:iCs/>
          <w:szCs w:val="21"/>
        </w:rPr>
      </w:pPr>
      <w:r w:rsidRPr="00D76FFC">
        <w:rPr>
          <w:rFonts w:ascii="宋体" w:eastAsia="宋体" w:hAnsi="宋体" w:cs="方正仿宋简体" w:hint="eastAsia"/>
          <w:b/>
          <w:bCs/>
          <w:iCs/>
          <w:szCs w:val="21"/>
        </w:rPr>
        <w:t>（二）</w:t>
      </w:r>
      <w:r w:rsidRPr="00D76FFC">
        <w:rPr>
          <w:rFonts w:ascii="宋体" w:eastAsia="宋体" w:hAnsi="宋体" w:cs="方正仿宋简体"/>
          <w:b/>
          <w:bCs/>
          <w:iCs/>
          <w:szCs w:val="21"/>
        </w:rPr>
        <w:t>投资组合资产配置图表</w:t>
      </w:r>
      <w:r w:rsidRPr="00D76FFC">
        <w:rPr>
          <w:rFonts w:ascii="宋体" w:eastAsia="宋体" w:hAnsi="宋体" w:cs="方正仿宋简体"/>
          <w:b/>
          <w:bCs/>
          <w:iCs/>
          <w:szCs w:val="21"/>
        </w:rPr>
        <w:t xml:space="preserve">  </w:t>
      </w:r>
    </w:p>
    <w:p w:rsidR="00AC240E" w:rsidP="00D76FFC">
      <w:pPr>
        <w:spacing w:line="360" w:lineRule="auto"/>
        <w:rPr>
          <w:rFonts w:ascii="宋体" w:eastAsia="宋体" w:hAnsi="宋体" w:cs="宋体"/>
          <w:iCs/>
          <w:sz w:val="24"/>
          <w:szCs w:val="21"/>
        </w:rPr>
      </w:pPr>
      <w:r>
        <w:rPr>
          <w:rFonts w:ascii="宋体" w:eastAsia="宋体" w:hAnsi="宋体" w:cs="宋体"/>
          <w:iCs/>
          <w:sz w:val="24"/>
          <w:szCs w:val="21"/>
        </w:rPr>
        <w:drawing>
          <wp:inline>
            <wp:extent cx="5486400" cy="36576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5486400" cy="3657600"/>
                    </a:xfrm>
                    <a:prstGeom prst="rect">
                      <a:avLst/>
                    </a:prstGeom>
                  </pic:spPr>
                </pic:pic>
              </a:graphicData>
            </a:graphic>
          </wp:inline>
        </w:drawing>
      </w:r>
    </w:p>
    <w:p w:rsidR="002712C4" w:rsidRPr="00292ED2" w:rsidP="00D76FFC">
      <w:pPr>
        <w:spacing w:line="360" w:lineRule="auto"/>
        <w:rPr>
          <w:rFonts w:ascii="宋体" w:eastAsia="宋体" w:hAnsi="宋体" w:cs="方正仿宋简体"/>
          <w:iCs/>
          <w:szCs w:val="21"/>
        </w:rPr>
        <w:sectPr w:rsidSect="0087548F">
          <w:type w:val="continuous"/>
          <w:pgSz w:w="12240" w:h="15840"/>
          <w:pgMar w:top="1440" w:right="1800" w:bottom="1440" w:left="1800" w:header="720" w:footer="720" w:gutter="0"/>
          <w:cols w:space="720"/>
        </w:sectPr>
      </w:pPr>
    </w:p>
    <w:p w:rsidR="00A02F78" w:rsidRPr="00A02F78" w:rsidP="00A02F78">
      <w:pPr>
        <w:spacing w:line="360" w:lineRule="auto"/>
        <w:rPr>
          <w:rFonts w:ascii="宋体" w:eastAsia="宋体" w:hAnsi="宋体" w:cs="方正仿宋简体"/>
          <w:b/>
          <w:bCs/>
          <w:iCs/>
          <w:szCs w:val="21"/>
        </w:rPr>
      </w:pPr>
      <w:r w:rsidRPr="00A02F78">
        <w:rPr>
          <w:rFonts w:ascii="宋体" w:eastAsia="宋体" w:hAnsi="宋体" w:cs="方正仿宋简体" w:hint="eastAsia"/>
          <w:b/>
          <w:bCs/>
          <w:iCs/>
          <w:szCs w:val="21"/>
        </w:rPr>
        <w:t>（三）</w:t>
      </w:r>
      <w:r w:rsidRPr="00A02F78">
        <w:rPr>
          <w:rFonts w:ascii="宋体" w:eastAsia="宋体" w:hAnsi="宋体" w:cs="方正仿宋简体"/>
          <w:b/>
          <w:bCs/>
          <w:iCs/>
          <w:szCs w:val="21"/>
        </w:rPr>
        <w:t>最近十年基金每年的净值增长率及与同期业绩比较基准的比较图</w:t>
      </w:r>
    </w:p>
    <w:p w:rsidR="00834E25" w:rsidRPr="00A02F78" w:rsidP="00A02F78">
      <w:pPr>
        <w:spacing w:line="360" w:lineRule="auto"/>
        <w:rPr>
          <w:rFonts w:ascii="宋体" w:eastAsia="宋体" w:hAnsi="宋体" w:cs="宋体"/>
          <w:iCs/>
          <w:sz w:val="24"/>
          <w:szCs w:val="21"/>
        </w:rPr>
        <w:sectPr w:rsidSect="008D2884">
          <w:type w:val="continuous"/>
          <w:pgSz w:w="12240" w:h="15840"/>
          <w:pgMar w:top="1440" w:right="1800" w:bottom="1440" w:left="1800" w:header="720" w:footer="720" w:gutter="0"/>
          <w:cols w:space="720"/>
        </w:sectPr>
      </w:pPr>
      <w:r w:rsidRPr="00A02F78">
        <w:rPr>
          <w:rFonts w:ascii="宋体" w:eastAsia="宋体" w:hAnsi="宋体" w:cs="宋体"/>
          <w:iCs/>
          <w:sz w:val="24"/>
          <w:szCs w:val="21"/>
        </w:rPr>
        <w:drawing>
          <wp:inline>
            <wp:extent cx="5486400" cy="4114800"/>
            <wp:docPr id="207461871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132510" name=""/>
                    <pic:cNvPicPr>
                      <a:picLocks noChangeAspect="1"/>
                    </pic:cNvPicPr>
                  </pic:nvPicPr>
                  <pic:blipFill>
                    <a:blip xmlns:r="http://schemas.openxmlformats.org/officeDocument/2006/relationships" r:embed="rId5"/>
                    <a:stretch>
                      <a:fillRect/>
                    </a:stretch>
                  </pic:blipFill>
                  <pic:spPr>
                    <a:xfrm>
                      <a:off x="0" y="0"/>
                      <a:ext cx="5486400" cy="4114800"/>
                    </a:xfrm>
                    <a:prstGeom prst="rect">
                      <a:avLst/>
                    </a:prstGeom>
                  </pic:spPr>
                </pic:pic>
              </a:graphicData>
            </a:graphic>
          </wp:inline>
        </w:drawing>
      </w:r>
    </w:p>
    <w:p w:rsidR="00834E25" w:rsidRPr="00340931" w:rsidP="00340931">
      <w:pPr>
        <w:spacing w:line="360" w:lineRule="auto"/>
        <w:rPr>
          <w:rFonts w:ascii="宋体" w:eastAsia="宋体" w:hAnsi="宋体" w:cs="方正仿宋简体"/>
          <w:b/>
          <w:bCs/>
          <w:iCs/>
          <w:szCs w:val="21"/>
        </w:rPr>
        <w:sectPr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t>三、投资本基金涉及的费用</w:t>
      </w:r>
    </w:p>
    <w:p w:rsidR="00263627" w:rsidRPr="00B4654F" w:rsidP="00263627">
      <w:pPr>
        <w:spacing w:line="360" w:lineRule="auto"/>
        <w:rPr>
          <w:rFonts w:ascii="宋体" w:eastAsia="宋体" w:hAnsi="宋体"/>
          <w:b/>
        </w:rPr>
      </w:pPr>
      <w:r w:rsidRPr="00B4654F">
        <w:rPr>
          <w:rFonts w:ascii="宋体" w:eastAsia="宋体" w:hAnsi="宋体" w:hint="eastAsia"/>
          <w:b/>
        </w:rPr>
        <w:t>（一）基金销售相关费用</w:t>
      </w:r>
    </w:p>
    <w:p w:rsidR="00F66C8F" w:rsidRPr="00263627" w:rsidP="00F66C8F">
      <w:pPr>
        <w:spacing w:line="240" w:lineRule="atLeast"/>
        <w:rPr>
          <w:rFonts w:ascii="宋体" w:eastAsia="宋体" w:hAnsi="宋体"/>
        </w:rPr>
      </w:pPr>
      <w:r w:rsidRPr="00263627">
        <w:rPr>
          <w:rFonts w:ascii="宋体" w:eastAsia="宋体" w:hAnsi="宋体"/>
        </w:rPr>
        <w:t>以下费用在申购/赎回基金过程中收取：</w:t>
      </w:r>
    </w:p>
    <w:p w:rsidR="00834E25" w:rsidRPr="00263627" w:rsidP="00BC38BD">
      <w:pPr>
        <w:spacing w:line="240" w:lineRule="atLeast"/>
        <w:rPr>
          <w:rFonts w:ascii="宋体" w:eastAsia="宋体" w:hAnsi="宋体"/>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15"/>
        <w:gridCol w:w="4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申购费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本基金A类份额不收取申购费用。</w:t>
            </w:r>
          </w:p>
        </w:tc>
      </w:tr>
      <w:tr>
        <w:tblPrEx>
          <w:tblW w:w="5000" w:type="pct"/>
          <w:tblCellMar>
            <w:left w:w="108" w:type="dxa"/>
            <w:right w:w="108" w:type="dxa"/>
          </w:tblCellMar>
        </w:tblPrEx>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赎回费</w:t>
            </w:r>
          </w:p>
        </w:tc>
        <w:tc>
          <w:tcPr>
            <w:tcW w:w="20000" w:type="dxa"/>
            <w:shd w:val="clear" w:color="auto" w:fill="FFFFFF"/>
            <w:vAlign w:val="center"/>
          </w:tcPr>
          <w:p w:rsidR="00834E25" w:rsidRPr="00263627" w:rsidP="00BC38BD">
            <w:pPr>
              <w:spacing w:line="240" w:lineRule="atLeast"/>
              <w:jc w:val="left"/>
              <w:rPr>
                <w:rFonts w:ascii="宋体" w:eastAsia="宋体" w:hAnsi="宋体" w:cs="宋体"/>
                <w:color w:val="000000"/>
                <w:sz w:val="21"/>
              </w:rPr>
            </w:pPr>
            <w:r w:rsidRPr="00263627">
              <w:rPr>
                <w:rFonts w:ascii="宋体" w:eastAsia="宋体" w:hAnsi="宋体" w:cs="宋体"/>
                <w:color w:val="000000"/>
                <w:sz w:val="21"/>
              </w:rPr>
              <w:t>通常情况下，本基金不收取赎回费用，但当本基金前10名基金份额持有人的持有份额合计超过基金总份额50%，且本基金投资组合中现金、国债、中央银行票据、政策性金融债券以及5个交易日内到期的其他金融工具占基金资产净值的比例合计低于10%且偏离度为负时，为确保基金平稳运作，避免诱发系统性风险，基金管理人将对当日单个基金份额持有人申请赎回基金份额超过基金总份额1%以上的赎回申请（超过1%的部分）征收1%的强制赎回费用，并将上述赎回费用全额计入基金财产。基金管理人与基金托管人协商确认上述做法无益于基金利益最大化的情形除外。</w:t>
            </w:r>
          </w:p>
        </w:tc>
      </w:tr>
    </w:tbl>
    <w:p w:rsidR="00834E25" w:rsidRPr="00263627" w:rsidP="00BC38BD">
      <w:pPr>
        <w:spacing w:line="240" w:lineRule="atLeast"/>
        <w:rPr>
          <w:rFonts w:ascii="宋体" w:eastAsia="宋体" w:hAnsi="宋体"/>
        </w:rPr>
      </w:pPr>
    </w:p>
    <w:p w:rsidR="00263627" w:rsidRPr="00263627" w:rsidP="00BC38BD">
      <w:pPr>
        <w:spacing w:line="240" w:lineRule="atLeast"/>
        <w:rPr>
          <w:rFonts w:ascii="宋体" w:eastAsia="宋体" w:hAnsi="宋体"/>
        </w:rPr>
        <w:sectPr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rsidR="004118E0" w:rsidRPr="004118E0"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t>（二）</w:t>
      </w:r>
      <w:r w:rsidRPr="004118E0">
        <w:rPr>
          <w:rFonts w:ascii="宋体" w:eastAsia="宋体" w:hAnsi="宋体" w:cs="方正仿宋简体"/>
          <w:b/>
          <w:bCs/>
          <w:iCs/>
          <w:szCs w:val="21"/>
        </w:rPr>
        <w:t>基金运作相关费用</w:t>
      </w:r>
    </w:p>
    <w:p w:rsidR="004118E0"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rsidR="004118E0" w:rsidRPr="004118E0" w:rsidP="004118E0">
      <w:pPr>
        <w:rPr>
          <w:rFonts w:ascii="宋体" w:eastAsia="宋体" w:hAnsi="宋体" w:cs="方正仿宋简体"/>
          <w:iCs/>
          <w:szCs w:val="21"/>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77"/>
        <w:gridCol w:w="2877"/>
        <w:gridCol w:w="287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费用类别</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年费率</w:t>
            </w:r>
          </w:p>
        </w:tc>
        <w:tc>
          <w:tcPr>
            <w:tcW w:w="20000" w:type="dxa"/>
            <w:shd w:val="clear" w:color="auto" w:fill="D9D9D9"/>
            <w:vAlign w:val="center"/>
          </w:tcPr>
          <w:p w:rsidR="004118E0" w:rsidRPr="004118E0" w:rsidP="004118E0">
            <w:pPr>
              <w:jc w:val="center"/>
              <w:rPr>
                <w:rFonts w:ascii="宋体" w:eastAsia="宋体" w:hAnsi="宋体" w:cs="宋体"/>
                <w:iCs/>
                <w:color w:val="000000"/>
                <w:sz w:val="21"/>
                <w:szCs w:val="21"/>
              </w:rPr>
            </w:pPr>
            <w:r w:rsidRPr="004118E0">
              <w:rPr>
                <w:rFonts w:ascii="宋体" w:eastAsia="宋体" w:hAnsi="宋体" w:cs="宋体"/>
                <w:iCs/>
                <w:color w:val="000000"/>
                <w:sz w:val="21"/>
                <w:szCs w:val="21"/>
              </w:rPr>
              <w:t>收费方式</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管理费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0.27%</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托管费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0.05%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销售服务费</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0.25%</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w:t>
            </w:r>
          </w:p>
        </w:tc>
      </w:tr>
      <w:tr>
        <w:tblPrEx>
          <w:tblW w:w="5000" w:type="pct"/>
          <w:tblCellMar>
            <w:left w:w="108" w:type="dxa"/>
            <w:right w:w="108" w:type="dxa"/>
          </w:tblCellMar>
        </w:tblPrEx>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其他费用</w:t>
            </w:r>
          </w:p>
        </w:tc>
        <w:tc>
          <w:tcPr>
            <w:tcW w:w="20000" w:type="dxa"/>
            <w:shd w:val="clear" w:color="auto" w:fill="FFFFFF"/>
            <w:vAlign w:val="center"/>
          </w:tcPr>
          <w:p w:rsidR="004118E0" w:rsidRPr="004118E0" w:rsidP="004118E0">
            <w:pPr>
              <w:jc w:val="right"/>
              <w:rPr>
                <w:rFonts w:ascii="宋体" w:eastAsia="宋体" w:hAnsi="宋体" w:cs="宋体"/>
                <w:iCs/>
                <w:color w:val="000000"/>
                <w:sz w:val="21"/>
                <w:szCs w:val="21"/>
              </w:rPr>
            </w:pPr>
            <w:r w:rsidRPr="004118E0">
              <w:rPr>
                <w:rFonts w:ascii="宋体" w:eastAsia="宋体" w:hAnsi="宋体" w:cs="宋体"/>
                <w:iCs/>
                <w:color w:val="000000"/>
                <w:sz w:val="21"/>
                <w:szCs w:val="21"/>
              </w:rPr>
              <w:t>-</w:t>
            </w:r>
          </w:p>
        </w:tc>
        <w:tc>
          <w:tcPr>
            <w:tcW w:w="20000" w:type="dxa"/>
            <w:shd w:val="clear" w:color="auto" w:fill="FFFFFF"/>
            <w:vAlign w:val="center"/>
          </w:tcPr>
          <w:p w:rsidR="004118E0" w:rsidRPr="004118E0" w:rsidP="004118E0">
            <w:pPr>
              <w:jc w:val="left"/>
              <w:rPr>
                <w:rFonts w:ascii="宋体" w:eastAsia="宋体" w:hAnsi="宋体" w:cs="宋体"/>
                <w:iCs/>
                <w:color w:val="000000"/>
                <w:sz w:val="21"/>
                <w:szCs w:val="21"/>
              </w:rPr>
            </w:pPr>
            <w:r w:rsidRPr="004118E0">
              <w:rPr>
                <w:rFonts w:ascii="宋体" w:eastAsia="宋体" w:hAnsi="宋体" w:cs="宋体"/>
                <w:iCs/>
                <w:color w:val="000000"/>
                <w:sz w:val="21"/>
                <w:szCs w:val="21"/>
              </w:rPr>
              <w:t>《基金合同》生效后与基金相关的信息披露费用、会计师费/律师费/诉讼费、基金份额持有人大会费用、证券交易费用、银行汇划费用等费用。</w:t>
            </w:r>
          </w:p>
        </w:tc>
      </w:tr>
    </w:tbl>
    <w:p w:rsidR="004118E0" w:rsidRPr="004118E0" w:rsidP="004118E0">
      <w:pPr>
        <w:rPr>
          <w:rFonts w:ascii="宋体" w:eastAsia="宋体" w:hAnsi="宋体" w:cs="方正仿宋简体"/>
          <w:iCs/>
          <w:szCs w:val="21"/>
        </w:rPr>
      </w:pPr>
    </w:p>
    <w:p w:rsidR="00834E25" w:rsidRPr="004118E0">
      <w:pPr>
        <w:rPr>
          <w:rFonts w:ascii="宋体" w:eastAsia="宋体" w:hAnsi="宋体" w:cs="方正仿宋简体"/>
          <w:iCs/>
          <w:szCs w:val="21"/>
        </w:rPr>
        <w:sectPr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注：本基金费用的计算方法和支付方式详见本基金的《招募说明书》。本基金交易证券、基金等产生的费用和税负，按实际发生额从基金资产扣除。</w:t>
      </w:r>
    </w:p>
    <w:p w:rsidR="00834E25" w:rsidRPr="00C2264A" w:rsidP="00C2264A">
      <w:pPr>
        <w:spacing w:line="360" w:lineRule="auto"/>
        <w:rPr>
          <w:rFonts w:ascii="宋体" w:eastAsia="宋体" w:hAnsi="宋体" w:cs="方正仿宋简体"/>
          <w:b/>
          <w:bCs/>
          <w:iCs/>
          <w:szCs w:val="21"/>
        </w:rPr>
        <w:sectPr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t>四、</w:t>
      </w:r>
      <w:r w:rsidRPr="00C2264A">
        <w:rPr>
          <w:rFonts w:ascii="宋体" w:eastAsia="宋体" w:hAnsi="宋体" w:cs="方正仿宋简体"/>
          <w:b/>
          <w:bCs/>
          <w:iCs/>
          <w:szCs w:val="21"/>
        </w:rPr>
        <w:t>风险揭示与重要提示</w:t>
      </w:r>
    </w:p>
    <w:p w:rsidR="008C558C" w:rsidRPr="008C558C"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t>（一）</w:t>
      </w:r>
      <w:r w:rsidRPr="008C558C">
        <w:rPr>
          <w:rFonts w:ascii="宋体" w:eastAsia="宋体" w:hAnsi="宋体" w:cs="方正仿宋简体"/>
          <w:b/>
          <w:bCs/>
          <w:iCs/>
          <w:szCs w:val="21"/>
        </w:rPr>
        <w:t>风险揭示</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w:t>
      </w:r>
    </w:p>
    <w:p w:rsidR="00834E25" w:rsidRPr="008C558C" w:rsidP="008C558C">
      <w:pPr>
        <w:spacing w:line="360" w:lineRule="auto"/>
        <w:ind w:firstLine="420" w:firstLineChars="20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rsidR="00834E25" w:rsidRPr="008C558C" w:rsidP="008C558C">
      <w:pPr>
        <w:spacing w:line="360" w:lineRule="auto"/>
        <w:ind w:firstLine="420" w:firstLineChars="200"/>
        <w:rPr>
          <w:rFonts w:ascii="宋体" w:eastAsia="宋体" w:hAnsi="宋体" w:cs="方正仿宋简体"/>
          <w:iCs/>
          <w:szCs w:val="21"/>
        </w:rPr>
        <w:sectPr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的风险包括:市场风险、管理风险、流动性风险、特有风险、操作或技术风险、合规性风险及其他风险。其中特有风险如下：本基金投资于货币市场工具，可能面临较高货币市场利率波动的系统性风险以及流动性风险。货币市场利率的波动会影响基金的再投资收益，并影响到基金资产公允价值的变动。同时为应对赎回进行资产变现时，可能会由于货币市场工具流动性不足而面临流动性风险。</w:t>
      </w:r>
    </w:p>
    <w:p w:rsidR="005468DA" w:rsidRPr="005468DA"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t>（二）</w:t>
      </w:r>
      <w:r w:rsidRPr="005468DA">
        <w:rPr>
          <w:rFonts w:ascii="宋体" w:eastAsia="宋体" w:hAnsi="宋体" w:cs="方正仿宋简体"/>
          <w:b/>
          <w:bCs/>
          <w:iCs/>
          <w:szCs w:val="21"/>
        </w:rPr>
        <w:t>重要提示</w:t>
      </w:r>
    </w:p>
    <w:p w:rsidR="00727A53"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中国证监会对本基金募集的注册，并不表明其对本基金的价值和收益作出实质性判断或保证，也不表明投资于本基金没有风险。</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rsidRPr="001E2FEA" w:rsidP="00C50D7E">
      <w:pPr>
        <w:spacing w:line="360" w:lineRule="auto"/>
        <w:ind w:firstLine="420" w:firstLineChars="200"/>
        <w:jc w:val="left"/>
        <w:rPr>
          <w:rFonts w:ascii="宋体" w:eastAsia="宋体" w:hAnsi="宋体" w:cs="方正仿宋简体"/>
          <w:iCs/>
          <w:szCs w:val="21"/>
        </w:rPr>
      </w:pPr>
      <w:r w:rsidRPr="001E2FEA">
        <w:rPr>
          <w:rFonts w:ascii="宋体" w:eastAsia="宋体" w:hAnsi="宋体" w:cs="方正仿宋简体"/>
          <w:iCs/>
          <w:szCs w:val="21"/>
        </w:rPr>
        <w:t>本基金的争议解决处理方式为仲裁。具体仲裁机构和仲裁地点详见本基金合同的具体约定。</w:t>
      </w:r>
    </w:p>
    <w:p w:rsidRPr="001E2FEA" w:rsidP="00C50D7E">
      <w:pPr>
        <w:spacing w:line="360" w:lineRule="auto"/>
        <w:ind w:firstLine="420" w:firstLineChars="200"/>
        <w:jc w:val="left"/>
        <w:rPr>
          <w:rFonts w:ascii="宋体" w:eastAsia="宋体" w:hAnsi="宋体" w:cs="方正仿宋简体"/>
          <w:iCs/>
          <w:szCs w:val="21"/>
        </w:rPr>
        <w:sectPr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75F21" w:rsidRPr="00575F21"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t>五、</w:t>
      </w:r>
      <w:r w:rsidRPr="00575F21">
        <w:rPr>
          <w:rFonts w:ascii="宋体" w:eastAsia="宋体" w:hAnsi="宋体" w:cs="方正仿宋简体"/>
          <w:b/>
          <w:bCs/>
          <w:iCs/>
          <w:szCs w:val="21"/>
        </w:rPr>
        <w:t>其他资料查询方式</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3. 基金份额净值</w:t>
      </w:r>
    </w:p>
    <w:p w:rsidR="00834E25" w:rsidRPr="00575F21" w:rsidP="00575F21">
      <w:pPr>
        <w:spacing w:line="360" w:lineRule="auto"/>
        <w:ind w:firstLine="420" w:firstLineChars="200"/>
        <w:rPr>
          <w:rFonts w:ascii="宋体" w:eastAsia="宋体" w:hAnsi="宋体" w:cs="方正仿宋简体"/>
          <w:iCs/>
          <w:szCs w:val="21"/>
        </w:rPr>
      </w:pPr>
      <w:r w:rsidRPr="00575F21">
        <w:rPr>
          <w:rFonts w:ascii="宋体" w:eastAsia="宋体" w:hAnsi="宋体" w:cs="方正仿宋简体"/>
          <w:iCs/>
          <w:szCs w:val="21"/>
        </w:rPr>
        <w:t>4. 基金销售机构及联系方式</w:t>
      </w:r>
    </w:p>
    <w:p w:rsidR="00834E25" w:rsidRPr="00575F21" w:rsidP="00575F21">
      <w:pPr>
        <w:spacing w:line="360" w:lineRule="auto"/>
        <w:ind w:firstLine="420" w:firstLineChars="200"/>
        <w:rPr>
          <w:rFonts w:ascii="宋体" w:eastAsia="宋体" w:hAnsi="宋体" w:cs="方正仿宋简体"/>
          <w:iCs/>
          <w:szCs w:val="21"/>
        </w:rPr>
        <w:sectPr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rsidR="00834E25"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t>六</w:t>
      </w:r>
      <w:r w:rsidRPr="00575F21" w:rsid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rsidR="00C723AC" w:rsidRPr="00C723AC" w:rsidP="00C723AC">
      <w:pPr>
        <w:spacing w:line="360" w:lineRule="auto"/>
        <w:ind w:firstLine="420" w:firstLineChars="200"/>
        <w:rPr>
          <w:rFonts w:ascii="宋体" w:eastAsia="宋体" w:hAnsi="宋体" w:cs="方正仿宋简体"/>
          <w:iCs/>
          <w:szCs w:val="21"/>
        </w:rPr>
      </w:pPr>
      <w:r w:rsidRPr="00C723AC">
        <w:rPr>
          <w:rFonts w:ascii="宋体" w:eastAsia="宋体" w:hAnsi="宋体" w:cs="方正仿宋简体"/>
          <w:iCs/>
          <w:szCs w:val="21"/>
        </w:rPr>
        <w:t>本次更新了投资组合资产配置图表，业绩表现（如有）取自最近一次披露的年度报告。</w:t>
      </w:r>
    </w:p>
    <w:sectPr w:rsidSect="0097619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1C76CB"/>
    <w:multiLevelType w:val="hybridMultilevel"/>
    <w:tmpl w:val="3AA41978"/>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BE"/>
    <w:rsid w:val="00025EAC"/>
    <w:rsid w:val="00036BDF"/>
    <w:rsid w:val="00124F47"/>
    <w:rsid w:val="001E2FEA"/>
    <w:rsid w:val="002066FC"/>
    <w:rsid w:val="00213261"/>
    <w:rsid w:val="00233040"/>
    <w:rsid w:val="00263627"/>
    <w:rsid w:val="002712C4"/>
    <w:rsid w:val="00292ED2"/>
    <w:rsid w:val="002948F0"/>
    <w:rsid w:val="00331AA2"/>
    <w:rsid w:val="00340931"/>
    <w:rsid w:val="003E0F5A"/>
    <w:rsid w:val="004051D1"/>
    <w:rsid w:val="004118E0"/>
    <w:rsid w:val="0043717A"/>
    <w:rsid w:val="00486D7F"/>
    <w:rsid w:val="004F0A6C"/>
    <w:rsid w:val="0051145B"/>
    <w:rsid w:val="005468DA"/>
    <w:rsid w:val="00575F21"/>
    <w:rsid w:val="006E61A9"/>
    <w:rsid w:val="006F6BAE"/>
    <w:rsid w:val="00724EC9"/>
    <w:rsid w:val="00727A53"/>
    <w:rsid w:val="007371E2"/>
    <w:rsid w:val="0074720D"/>
    <w:rsid w:val="00834E25"/>
    <w:rsid w:val="00837612"/>
    <w:rsid w:val="008466B3"/>
    <w:rsid w:val="008A0B11"/>
    <w:rsid w:val="008C558C"/>
    <w:rsid w:val="008C59BE"/>
    <w:rsid w:val="009E1D5A"/>
    <w:rsid w:val="00A02F78"/>
    <w:rsid w:val="00AC240E"/>
    <w:rsid w:val="00AF19F0"/>
    <w:rsid w:val="00B4654F"/>
    <w:rsid w:val="00BC38BD"/>
    <w:rsid w:val="00C2264A"/>
    <w:rsid w:val="00C50D7E"/>
    <w:rsid w:val="00C723AC"/>
    <w:rsid w:val="00D32707"/>
    <w:rsid w:val="00D76FFC"/>
    <w:rsid w:val="00D775F8"/>
    <w:rsid w:val="00DA3E8D"/>
    <w:rsid w:val="00DF6E25"/>
    <w:rsid w:val="00E01551"/>
    <w:rsid w:val="00E2656A"/>
    <w:rsid w:val="00EA2C49"/>
    <w:rsid w:val="00EB4244"/>
    <w:rsid w:val="00F66C8F"/>
  </w:rsids>
  <w:docVars>
    <w:docVar w:name="KGWebUrl" w:val="http://www.htfreportsit.com/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261"/>
    <w:pPr>
      <w:ind w:firstLine="420" w:firstLineChars="20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20</Words>
  <Characters>116</Characters>
  <Application>Microsoft Office Word</Application>
  <DocSecurity>0</DocSecurity>
  <Lines>1</Lines>
  <Paragraphs>1</Paragraphs>
  <ScaleCrop>false</ScaleCrop>
  <Company/>
  <LinksUpToDate>false</LinksUpToDate>
  <CharactersWithSpaces>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66.67</cp:lastModifiedBy>
  <cp:revision>2</cp:revision>
  <dcterms:created xsi:type="dcterms:W3CDTF">2020-08-14T05:50:00Z</dcterms:created>
  <dcterms:modified xsi:type="dcterms:W3CDTF">2020-08-14T05:50:00Z</dcterms:modified>
</cp:coreProperties>
</file>