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9F1343">
      <w:pPr>
        <w:tabs>
          <w:tab w:val="left" w:pos="1440"/>
        </w:tabs>
        <w:adjustRightInd w:val="0"/>
        <w:snapToGrid w:val="0"/>
        <w:jc w:val="left"/>
        <w:rPr>
          <w:i/>
          <w:sz w:val="24"/>
        </w:rPr>
      </w:pPr>
    </w:p>
    <w:p w:rsidR="009F1343">
      <w:pPr>
        <w:tabs>
          <w:tab w:val="left" w:pos="6660"/>
        </w:tabs>
        <w:spacing w:line="360" w:lineRule="auto"/>
        <w:jc w:val="center"/>
        <w:rPr>
          <w:bCs/>
          <w:sz w:val="44"/>
          <w:szCs w:val="20"/>
        </w:rPr>
      </w:pPr>
    </w:p>
    <w:p w:rsidR="009F1343">
      <w:pPr>
        <w:tabs>
          <w:tab w:val="left" w:pos="6660"/>
        </w:tabs>
        <w:spacing w:line="360" w:lineRule="auto"/>
        <w:jc w:val="center"/>
        <w:rPr>
          <w:bCs/>
          <w:sz w:val="44"/>
          <w:szCs w:val="20"/>
        </w:rPr>
      </w:pPr>
    </w:p>
    <w:p w:rsidR="009F1343">
      <w:pPr>
        <w:tabs>
          <w:tab w:val="left" w:pos="6660"/>
        </w:tabs>
        <w:spacing w:line="360" w:lineRule="auto"/>
        <w:jc w:val="center"/>
        <w:rPr>
          <w:bCs/>
          <w:sz w:val="44"/>
          <w:szCs w:val="20"/>
        </w:rPr>
      </w:pPr>
    </w:p>
    <w:p w:rsidR="009F1343" w:rsidRPr="008909CD">
      <w:pPr>
        <w:jc w:val="center"/>
        <w:rPr>
          <w:b/>
          <w:sz w:val="52"/>
          <w:szCs w:val="52"/>
        </w:rPr>
      </w:pPr>
      <w:r w:rsidRPr="008909CD">
        <w:rPr>
          <w:rFonts w:hint="eastAsia"/>
          <w:b/>
          <w:sz w:val="52"/>
          <w:szCs w:val="52"/>
        </w:rPr>
        <w:t>易方达</w:t>
      </w:r>
      <w:r w:rsidRPr="008909CD">
        <w:rPr>
          <w:b/>
          <w:sz w:val="52"/>
          <w:szCs w:val="52"/>
        </w:rPr>
        <w:t>基金管理有限公司</w:t>
      </w:r>
    </w:p>
    <w:p w:rsidR="009F1343" w:rsidRPr="008909CD">
      <w:pPr>
        <w:jc w:val="center"/>
        <w:rPr>
          <w:b/>
          <w:sz w:val="48"/>
          <w:szCs w:val="48"/>
        </w:rPr>
      </w:pPr>
    </w:p>
    <w:p w:rsidR="009F1343" w:rsidRPr="008909CD">
      <w:pPr>
        <w:jc w:val="center"/>
        <w:rPr>
          <w:b/>
          <w:sz w:val="48"/>
          <w:szCs w:val="48"/>
        </w:rPr>
      </w:pPr>
    </w:p>
    <w:p w:rsidR="009F1343" w:rsidRPr="008909CD">
      <w:pPr>
        <w:jc w:val="center"/>
        <w:rPr>
          <w:b/>
          <w:sz w:val="48"/>
          <w:szCs w:val="48"/>
        </w:rPr>
      </w:pPr>
    </w:p>
    <w:p w:rsidR="009F1343" w:rsidRPr="008909CD">
      <w:pPr>
        <w:jc w:val="center"/>
        <w:rPr>
          <w:b/>
          <w:sz w:val="48"/>
          <w:szCs w:val="48"/>
        </w:rPr>
      </w:pPr>
    </w:p>
    <w:p w:rsidR="009F1343" w:rsidRPr="008909CD">
      <w:pPr>
        <w:adjustRightInd w:val="0"/>
        <w:snapToGrid w:val="0"/>
        <w:jc w:val="center"/>
        <w:rPr>
          <w:b/>
          <w:sz w:val="48"/>
          <w:szCs w:val="48"/>
        </w:rPr>
      </w:pPr>
      <w:r w:rsidRPr="008909CD">
        <w:rPr>
          <w:rFonts w:hint="eastAsia"/>
          <w:b/>
          <w:sz w:val="48"/>
          <w:szCs w:val="48"/>
        </w:rPr>
        <w:t>易方达高等级信用债</w:t>
      </w:r>
    </w:p>
    <w:p w:rsidR="009F1343" w:rsidRPr="008909CD">
      <w:pPr>
        <w:adjustRightInd w:val="0"/>
        <w:snapToGrid w:val="0"/>
        <w:jc w:val="center"/>
        <w:rPr>
          <w:rFonts w:cs="Arial"/>
          <w:b/>
          <w:sz w:val="48"/>
          <w:szCs w:val="48"/>
        </w:rPr>
      </w:pPr>
      <w:r w:rsidRPr="008909CD">
        <w:rPr>
          <w:rFonts w:hint="eastAsia"/>
          <w:b/>
          <w:sz w:val="48"/>
          <w:szCs w:val="48"/>
        </w:rPr>
        <w:t>债券型证券投资基金</w:t>
      </w:r>
      <w:r w:rsidRPr="008909CD">
        <w:rPr>
          <w:rFonts w:hAnsi="宋体" w:cs="Arial" w:hint="eastAsia"/>
          <w:b/>
          <w:sz w:val="48"/>
          <w:szCs w:val="48"/>
        </w:rPr>
        <w:t>托管协议</w:t>
      </w:r>
    </w:p>
    <w:p w:rsidR="009F1343" w:rsidRPr="008909CD">
      <w:pPr>
        <w:adjustRightInd w:val="0"/>
        <w:snapToGrid w:val="0"/>
        <w:jc w:val="center"/>
        <w:rPr>
          <w:b/>
          <w:sz w:val="48"/>
          <w:szCs w:val="48"/>
        </w:rPr>
      </w:pPr>
    </w:p>
    <w:p w:rsidR="009F1343" w:rsidRPr="008909CD">
      <w:pPr>
        <w:adjustRightInd w:val="0"/>
        <w:snapToGrid w:val="0"/>
        <w:jc w:val="center"/>
        <w:outlineLvl w:val="0"/>
        <w:rPr>
          <w:rFonts w:cs="Arial"/>
          <w:sz w:val="48"/>
          <w:szCs w:val="48"/>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jc w:val="center"/>
        <w:outlineLvl w:val="0"/>
        <w:rPr>
          <w:rFonts w:cs="Arial"/>
          <w:sz w:val="24"/>
        </w:rPr>
      </w:pPr>
    </w:p>
    <w:p w:rsidR="009F1343" w:rsidRPr="008909CD">
      <w:pPr>
        <w:adjustRightInd w:val="0"/>
        <w:snapToGrid w:val="0"/>
        <w:outlineLvl w:val="0"/>
        <w:rPr>
          <w:rFonts w:cs="Arial"/>
          <w:b/>
          <w:bCs/>
          <w:sz w:val="28"/>
        </w:rPr>
      </w:pPr>
      <w:r w:rsidRPr="008909CD">
        <w:rPr>
          <w:rFonts w:cs="Arial" w:hint="eastAsia"/>
          <w:sz w:val="24"/>
        </w:rPr>
        <w:t xml:space="preserve">                 </w:t>
      </w:r>
      <w:r w:rsidRPr="008909CD">
        <w:rPr>
          <w:rFonts w:hAnsi="宋体" w:cs="Arial" w:hint="eastAsia"/>
          <w:b/>
          <w:bCs/>
          <w:sz w:val="28"/>
        </w:rPr>
        <w:t>基金管理人：</w:t>
      </w:r>
      <w:r w:rsidRPr="008909CD">
        <w:rPr>
          <w:b/>
          <w:bCs/>
          <w:sz w:val="30"/>
          <w:szCs w:val="30"/>
        </w:rPr>
        <w:t>易方达</w:t>
      </w:r>
      <w:r w:rsidRPr="008909CD">
        <w:rPr>
          <w:rFonts w:hAnsi="宋体" w:cs="Arial" w:hint="eastAsia"/>
          <w:b/>
          <w:bCs/>
          <w:sz w:val="28"/>
        </w:rPr>
        <w:t>基金管理有限公司</w:t>
      </w:r>
    </w:p>
    <w:p w:rsidR="009F1343" w:rsidRPr="008909CD">
      <w:pPr>
        <w:adjustRightInd w:val="0"/>
        <w:snapToGrid w:val="0"/>
        <w:outlineLvl w:val="0"/>
        <w:rPr>
          <w:rFonts w:cs="Arial"/>
          <w:b/>
          <w:bCs/>
          <w:sz w:val="28"/>
        </w:rPr>
      </w:pPr>
    </w:p>
    <w:p w:rsidR="009F1343" w:rsidRPr="008909CD">
      <w:pPr>
        <w:adjustRightInd w:val="0"/>
        <w:snapToGrid w:val="0"/>
        <w:outlineLvl w:val="0"/>
        <w:rPr>
          <w:rFonts w:hAnsi="宋体" w:cs="Arial"/>
          <w:b/>
          <w:bCs/>
          <w:sz w:val="28"/>
        </w:rPr>
      </w:pPr>
      <w:r w:rsidRPr="008909CD">
        <w:rPr>
          <w:rFonts w:cs="Arial" w:hint="eastAsia"/>
          <w:sz w:val="24"/>
        </w:rPr>
        <w:t xml:space="preserve">                 </w:t>
      </w:r>
      <w:r w:rsidRPr="008909CD">
        <w:rPr>
          <w:rFonts w:hAnsi="宋体" w:cs="Arial" w:hint="eastAsia"/>
          <w:b/>
          <w:bCs/>
          <w:sz w:val="28"/>
        </w:rPr>
        <w:t>基金托管人：中国建设银行股份有限公司</w:t>
      </w:r>
    </w:p>
    <w:p w:rsidR="009F1343" w:rsidRPr="008909CD">
      <w:pPr>
        <w:adjustRightInd w:val="0"/>
        <w:snapToGrid w:val="0"/>
        <w:outlineLvl w:val="0"/>
        <w:rPr>
          <w:rFonts w:hAnsi="宋体" w:cs="Arial"/>
          <w:b/>
          <w:bCs/>
          <w:sz w:val="28"/>
        </w:rPr>
      </w:pPr>
    </w:p>
    <w:p w:rsidR="009F1343" w:rsidRPr="008909CD">
      <w:pPr>
        <w:adjustRightInd w:val="0"/>
        <w:snapToGrid w:val="0"/>
        <w:outlineLvl w:val="0"/>
        <w:rPr>
          <w:rFonts w:hAnsi="宋体" w:cs="Arial"/>
          <w:b/>
          <w:bCs/>
          <w:sz w:val="28"/>
        </w:rPr>
      </w:pPr>
    </w:p>
    <w:p w:rsidR="009F1343" w:rsidRPr="008909CD">
      <w:pPr>
        <w:adjustRightInd w:val="0"/>
        <w:snapToGrid w:val="0"/>
        <w:outlineLvl w:val="0"/>
        <w:rPr>
          <w:rFonts w:hAnsi="宋体" w:cs="Arial"/>
          <w:b/>
          <w:bCs/>
          <w:sz w:val="28"/>
        </w:rPr>
      </w:pPr>
    </w:p>
    <w:p w:rsidR="009F1343" w:rsidRPr="008909CD">
      <w:pPr>
        <w:adjustRightInd w:val="0"/>
        <w:snapToGrid w:val="0"/>
        <w:outlineLvl w:val="0"/>
        <w:rPr>
          <w:rFonts w:hAnsi="宋体" w:cs="Arial"/>
          <w:b/>
          <w:bCs/>
          <w:sz w:val="28"/>
        </w:rPr>
      </w:pPr>
    </w:p>
    <w:p w:rsidR="009F1343" w:rsidRPr="008909CD">
      <w:pPr>
        <w:adjustRightInd w:val="0"/>
        <w:snapToGrid w:val="0"/>
        <w:jc w:val="center"/>
        <w:outlineLvl w:val="0"/>
        <w:rPr>
          <w:rFonts w:cs="Arial"/>
          <w:b/>
          <w:sz w:val="24"/>
        </w:rPr>
      </w:pPr>
      <w:r w:rsidRPr="008909CD">
        <w:rPr>
          <w:rFonts w:cs="Arial" w:hint="eastAsia"/>
          <w:b/>
          <w:sz w:val="24"/>
        </w:rPr>
        <w:t>二〇二</w:t>
      </w:r>
      <w:r w:rsidRPr="008909CD" w:rsidR="00B32822">
        <w:rPr>
          <w:rFonts w:cs="Arial" w:hint="eastAsia"/>
          <w:b/>
          <w:sz w:val="24"/>
        </w:rPr>
        <w:t>四</w:t>
      </w:r>
      <w:r w:rsidRPr="008909CD">
        <w:rPr>
          <w:rFonts w:cs="Arial" w:hint="eastAsia"/>
          <w:b/>
          <w:sz w:val="24"/>
        </w:rPr>
        <w:t>年</w:t>
      </w:r>
      <w:r w:rsidRPr="008909CD" w:rsidR="00B32822">
        <w:rPr>
          <w:rFonts w:cs="Arial" w:hint="eastAsia"/>
          <w:b/>
          <w:sz w:val="24"/>
        </w:rPr>
        <w:t>四</w:t>
      </w:r>
      <w:r w:rsidRPr="008909CD">
        <w:rPr>
          <w:rFonts w:cs="Arial" w:hint="eastAsia"/>
          <w:b/>
          <w:sz w:val="24"/>
        </w:rPr>
        <w:t>月</w:t>
      </w:r>
    </w:p>
    <w:p w:rsidR="009F1343" w:rsidRPr="008909CD">
      <w:pPr>
        <w:adjustRightInd w:val="0"/>
        <w:snapToGrid w:val="0"/>
        <w:jc w:val="center"/>
        <w:outlineLvl w:val="0"/>
        <w:rPr>
          <w:rFonts w:cs="Arial"/>
          <w:sz w:val="24"/>
        </w:rPr>
      </w:pPr>
      <w:r w:rsidRPr="008909CD">
        <w:rPr>
          <w:rFonts w:cs="Arial"/>
          <w:sz w:val="24"/>
        </w:rPr>
        <w:br w:type="page"/>
      </w:r>
    </w:p>
    <w:p w:rsidR="009F1343" w:rsidRPr="008909CD">
      <w:pPr>
        <w:adjustRightInd w:val="0"/>
        <w:snapToGrid w:val="0"/>
        <w:rPr>
          <w:rFonts w:cs="Arial"/>
          <w:bCs/>
          <w:sz w:val="24"/>
        </w:rPr>
      </w:pPr>
    </w:p>
    <w:p w:rsidR="009F1343" w:rsidRPr="008909CD">
      <w:pPr>
        <w:jc w:val="center"/>
        <w:rPr>
          <w:b/>
          <w:bCs/>
          <w:sz w:val="30"/>
        </w:rPr>
      </w:pPr>
      <w:r w:rsidRPr="008909CD">
        <w:rPr>
          <w:rFonts w:hint="eastAsia"/>
          <w:b/>
          <w:bCs/>
          <w:sz w:val="30"/>
        </w:rPr>
        <w:t>目</w:t>
      </w:r>
      <w:r w:rsidRPr="008909CD">
        <w:rPr>
          <w:rFonts w:hint="eastAsia"/>
          <w:b/>
          <w:bCs/>
          <w:sz w:val="30"/>
        </w:rPr>
        <w:t xml:space="preserve">    </w:t>
      </w:r>
      <w:r w:rsidRPr="008909CD">
        <w:rPr>
          <w:rFonts w:hint="eastAsia"/>
          <w:b/>
          <w:bCs/>
          <w:sz w:val="30"/>
        </w:rPr>
        <w:t>录</w:t>
      </w:r>
    </w:p>
    <w:p w:rsidR="009F1343" w:rsidRPr="008909CD">
      <w:pPr>
        <w:pStyle w:val="TOC2"/>
        <w:tabs>
          <w:tab w:val="right" w:leader="dot" w:pos="8494"/>
        </w:tabs>
        <w:spacing w:line="360" w:lineRule="auto"/>
        <w:rPr>
          <w:noProof/>
          <w:szCs w:val="21"/>
        </w:rPr>
      </w:pPr>
      <w:r w:rsidRPr="008909CD">
        <w:rPr>
          <w:szCs w:val="21"/>
        </w:rPr>
        <w:fldChar w:fldCharType="begin"/>
      </w:r>
      <w:r w:rsidRPr="008909CD">
        <w:rPr>
          <w:szCs w:val="21"/>
        </w:rPr>
        <w:instrText xml:space="preserve"> TOC \o "1-2" \h \z </w:instrText>
      </w:r>
      <w:r w:rsidRPr="008909CD">
        <w:rPr>
          <w:szCs w:val="21"/>
        </w:rPr>
        <w:fldChar w:fldCharType="separate"/>
      </w:r>
      <w:hyperlink w:anchor="_Toc124325885" w:history="1">
        <w:r w:rsidRPr="008909CD">
          <w:rPr>
            <w:rStyle w:val="Hyperlink"/>
            <w:rFonts w:hAnsi="宋体" w:hint="eastAsia"/>
            <w:noProof/>
            <w:szCs w:val="21"/>
          </w:rPr>
          <w:t>一、基金托管协</w:t>
        </w:r>
        <w:bookmarkStart w:id="0" w:name="_Hlt362340991"/>
        <w:bookmarkStart w:id="1" w:name="_Hlt362340992"/>
        <w:r w:rsidRPr="008909CD">
          <w:rPr>
            <w:rStyle w:val="Hyperlink"/>
            <w:rFonts w:hAnsi="宋体" w:hint="eastAsia"/>
            <w:noProof/>
            <w:szCs w:val="21"/>
          </w:rPr>
          <w:t>议</w:t>
        </w:r>
        <w:bookmarkEnd w:id="0"/>
        <w:bookmarkEnd w:id="1"/>
        <w:r w:rsidRPr="008909CD">
          <w:rPr>
            <w:rStyle w:val="Hyperlink"/>
            <w:rFonts w:hAnsi="宋体" w:hint="eastAsia"/>
            <w:noProof/>
            <w:szCs w:val="21"/>
          </w:rPr>
          <w:t>当事人</w:t>
        </w:r>
        <w:r w:rsidRPr="008909CD">
          <w:rPr>
            <w:noProof/>
            <w:szCs w:val="21"/>
          </w:rPr>
          <w:tab/>
        </w:r>
        <w:r w:rsidRPr="008909CD">
          <w:rPr>
            <w:noProof/>
            <w:szCs w:val="21"/>
          </w:rPr>
          <w:fldChar w:fldCharType="begin"/>
        </w:r>
        <w:r w:rsidRPr="008909CD">
          <w:rPr>
            <w:noProof/>
            <w:szCs w:val="21"/>
          </w:rPr>
          <w:instrText xml:space="preserve"> PAGEREF _Toc124325885 \h </w:instrText>
        </w:r>
        <w:r w:rsidRPr="008909CD">
          <w:rPr>
            <w:noProof/>
            <w:szCs w:val="21"/>
          </w:rPr>
          <w:fldChar w:fldCharType="separate"/>
        </w:r>
        <w:r w:rsidRPr="008909CD" w:rsidR="008909CD">
          <w:rPr>
            <w:noProof/>
            <w:szCs w:val="21"/>
          </w:rPr>
          <w:t>4</w:t>
        </w:r>
        <w:r w:rsidRPr="008909CD">
          <w:rPr>
            <w:noProof/>
            <w:szCs w:val="21"/>
          </w:rPr>
          <w:fldChar w:fldCharType="end"/>
        </w:r>
      </w:hyperlink>
    </w:p>
    <w:p w:rsidR="009F1343" w:rsidRPr="008909CD">
      <w:pPr>
        <w:pStyle w:val="TOC2"/>
        <w:tabs>
          <w:tab w:val="right" w:leader="dot" w:pos="8494"/>
        </w:tabs>
        <w:spacing w:line="360" w:lineRule="auto"/>
        <w:rPr>
          <w:noProof/>
          <w:szCs w:val="21"/>
        </w:rPr>
      </w:pPr>
      <w:hyperlink w:anchor="_Toc124325886" w:history="1">
        <w:r w:rsidRPr="008909CD" w:rsidR="00DD4E4E">
          <w:rPr>
            <w:rStyle w:val="Hyperlink"/>
            <w:rFonts w:hAnsi="宋体" w:hint="eastAsia"/>
            <w:noProof/>
            <w:szCs w:val="21"/>
          </w:rPr>
          <w:t>二、基金托管协议的依据、目的和原则</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_Toc124325886 \h </w:instrText>
        </w:r>
        <w:r w:rsidRPr="008909CD" w:rsidR="00DD4E4E">
          <w:rPr>
            <w:noProof/>
            <w:szCs w:val="21"/>
          </w:rPr>
          <w:fldChar w:fldCharType="separate"/>
        </w:r>
        <w:r w:rsidRPr="008909CD" w:rsidR="008909CD">
          <w:rPr>
            <w:noProof/>
            <w:szCs w:val="21"/>
          </w:rPr>
          <w:t>5</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87" w:history="1">
        <w:r w:rsidRPr="008909CD" w:rsidR="00DD4E4E">
          <w:rPr>
            <w:rStyle w:val="Hyperlink"/>
            <w:rFonts w:hAnsi="宋体" w:hint="eastAsia"/>
            <w:noProof/>
            <w:szCs w:val="21"/>
          </w:rPr>
          <w:t>三、基金托管人对基金管理人的业务监督和核查</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_Toc124325887 \h </w:instrText>
        </w:r>
        <w:r w:rsidRPr="008909CD" w:rsidR="00DD4E4E">
          <w:rPr>
            <w:noProof/>
            <w:szCs w:val="21"/>
          </w:rPr>
          <w:fldChar w:fldCharType="separate"/>
        </w:r>
        <w:r w:rsidRPr="008909CD" w:rsidR="008909CD">
          <w:rPr>
            <w:noProof/>
            <w:szCs w:val="21"/>
          </w:rPr>
          <w:t>6</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88" w:history="1">
        <w:r w:rsidRPr="008909CD" w:rsidR="00DD4E4E">
          <w:rPr>
            <w:rStyle w:val="Hyperlink"/>
            <w:rFonts w:hAnsi="宋体" w:hint="eastAsia"/>
            <w:noProof/>
            <w:szCs w:val="21"/>
          </w:rPr>
          <w:t>四、基金管理人对基金托管人的业务核查</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_Toc124325888 \h </w:instrText>
        </w:r>
        <w:r w:rsidRPr="008909CD" w:rsidR="00DD4E4E">
          <w:rPr>
            <w:noProof/>
            <w:szCs w:val="21"/>
          </w:rPr>
          <w:fldChar w:fldCharType="separate"/>
        </w:r>
        <w:r w:rsidRPr="008909CD" w:rsidR="008909CD">
          <w:rPr>
            <w:noProof/>
            <w:szCs w:val="21"/>
          </w:rPr>
          <w:t>10</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89" w:history="1">
        <w:r w:rsidRPr="008909CD" w:rsidR="00DD4E4E">
          <w:rPr>
            <w:rStyle w:val="Hyperlink"/>
            <w:rFonts w:hAnsi="宋体" w:hint="eastAsia"/>
            <w:noProof/>
            <w:szCs w:val="21"/>
          </w:rPr>
          <w:t>五、基金财产的保管</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_Toc124325889 \h </w:instrText>
        </w:r>
        <w:r w:rsidRPr="008909CD" w:rsidR="00DD4E4E">
          <w:rPr>
            <w:noProof/>
            <w:szCs w:val="21"/>
          </w:rPr>
          <w:fldChar w:fldCharType="separate"/>
        </w:r>
        <w:r w:rsidRPr="008909CD" w:rsidR="008909CD">
          <w:rPr>
            <w:noProof/>
            <w:szCs w:val="21"/>
          </w:rPr>
          <w:t>11</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0" w:history="1">
        <w:r w:rsidRPr="008909CD" w:rsidR="00DD4E4E">
          <w:rPr>
            <w:rStyle w:val="Hyperlink"/>
            <w:rFonts w:hAnsi="宋体" w:hint="eastAsia"/>
            <w:noProof/>
            <w:szCs w:val="21"/>
          </w:rPr>
          <w:t>六、指令的发送、确认及执行</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_Toc124325890 \h </w:instrText>
        </w:r>
        <w:r w:rsidRPr="008909CD" w:rsidR="00DD4E4E">
          <w:rPr>
            <w:noProof/>
            <w:szCs w:val="21"/>
          </w:rPr>
          <w:fldChar w:fldCharType="separate"/>
        </w:r>
        <w:r w:rsidRPr="008909CD" w:rsidR="008909CD">
          <w:rPr>
            <w:noProof/>
            <w:szCs w:val="21"/>
          </w:rPr>
          <w:t>14</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1" w:history="1">
        <w:r w:rsidRPr="008909CD" w:rsidR="00DD4E4E">
          <w:rPr>
            <w:rStyle w:val="Hyperlink"/>
            <w:rFonts w:hAnsi="宋体" w:hint="eastAsia"/>
            <w:noProof/>
            <w:szCs w:val="21"/>
          </w:rPr>
          <w:t>七、交易及清算交收安排</w:t>
        </w:r>
        <w:bookmarkStart w:id="2" w:name="_Hlt25179362"/>
        <w:bookmarkStart w:id="3" w:name="_Hlt25179363"/>
        <w:r w:rsidRPr="008909CD" w:rsidR="00DD4E4E">
          <w:rPr>
            <w:noProof/>
            <w:szCs w:val="21"/>
          </w:rPr>
          <w:tab/>
        </w:r>
        <w:bookmarkEnd w:id="2"/>
        <w:bookmarkEnd w:id="3"/>
        <w:r w:rsidRPr="008909CD" w:rsidR="00DD4E4E">
          <w:rPr>
            <w:noProof/>
            <w:szCs w:val="21"/>
          </w:rPr>
          <w:fldChar w:fldCharType="begin"/>
        </w:r>
        <w:r w:rsidRPr="008909CD" w:rsidR="00DD4E4E">
          <w:rPr>
            <w:noProof/>
            <w:szCs w:val="21"/>
          </w:rPr>
          <w:instrText xml:space="preserve"> PAGEREF _Toc124325891 \h </w:instrText>
        </w:r>
        <w:r w:rsidRPr="008909CD" w:rsidR="00DD4E4E">
          <w:rPr>
            <w:noProof/>
            <w:szCs w:val="21"/>
          </w:rPr>
          <w:fldChar w:fldCharType="separate"/>
        </w:r>
        <w:r w:rsidRPr="008909CD" w:rsidR="008909CD">
          <w:rPr>
            <w:noProof/>
            <w:szCs w:val="21"/>
          </w:rPr>
          <w:t>16</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2" w:history="1">
        <w:r w:rsidRPr="008909CD" w:rsidR="00DD4E4E">
          <w:rPr>
            <w:rStyle w:val="Hyperlink"/>
            <w:rFonts w:hAnsi="宋体" w:hint="eastAsia"/>
            <w:noProof/>
            <w:szCs w:val="21"/>
          </w:rPr>
          <w:t>八、基金资产净值计算和会计核算</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_Toc124325892 \h </w:instrText>
        </w:r>
        <w:r w:rsidRPr="008909CD" w:rsidR="00DD4E4E">
          <w:rPr>
            <w:noProof/>
            <w:szCs w:val="21"/>
          </w:rPr>
          <w:fldChar w:fldCharType="separate"/>
        </w:r>
        <w:r w:rsidRPr="008909CD" w:rsidR="008909CD">
          <w:rPr>
            <w:noProof/>
            <w:szCs w:val="21"/>
          </w:rPr>
          <w:t>20</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3" w:history="1">
        <w:r w:rsidRPr="008909CD" w:rsidR="00DD4E4E">
          <w:rPr>
            <w:rStyle w:val="Hyperlink"/>
            <w:rFonts w:hAnsi="宋体" w:hint="eastAsia"/>
            <w:noProof/>
            <w:szCs w:val="21"/>
          </w:rPr>
          <w:t>九、基金收益分配</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_Toc124325893 \h </w:instrText>
        </w:r>
        <w:r w:rsidRPr="008909CD" w:rsidR="00DD4E4E">
          <w:rPr>
            <w:noProof/>
            <w:szCs w:val="21"/>
          </w:rPr>
          <w:fldChar w:fldCharType="separate"/>
        </w:r>
        <w:r w:rsidRPr="008909CD" w:rsidR="008909CD">
          <w:rPr>
            <w:noProof/>
            <w:szCs w:val="21"/>
          </w:rPr>
          <w:t>24</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4" w:history="1">
        <w:r w:rsidRPr="008909CD" w:rsidR="00DD4E4E">
          <w:rPr>
            <w:rStyle w:val="Hyperlink"/>
            <w:rFonts w:hAnsi="宋体" w:hint="eastAsia"/>
            <w:noProof/>
            <w:szCs w:val="21"/>
          </w:rPr>
          <w:t>十、基金信息披露</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_Toc124325894 \h </w:instrText>
        </w:r>
        <w:r w:rsidRPr="008909CD" w:rsidR="00DD4E4E">
          <w:rPr>
            <w:noProof/>
            <w:szCs w:val="21"/>
          </w:rPr>
          <w:fldChar w:fldCharType="separate"/>
        </w:r>
        <w:r w:rsidRPr="008909CD" w:rsidR="008909CD">
          <w:rPr>
            <w:noProof/>
            <w:szCs w:val="21"/>
          </w:rPr>
          <w:t>25</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5" w:history="1">
        <w:r w:rsidRPr="008909CD" w:rsidR="00DD4E4E">
          <w:rPr>
            <w:rStyle w:val="Hyperlink"/>
            <w:rFonts w:hAnsi="宋体" w:hint="eastAsia"/>
            <w:noProof/>
            <w:szCs w:val="21"/>
          </w:rPr>
          <w:t>十一、基金费用</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_Toc124325895 \h </w:instrText>
        </w:r>
        <w:r w:rsidRPr="008909CD" w:rsidR="00DD4E4E">
          <w:rPr>
            <w:noProof/>
            <w:szCs w:val="21"/>
          </w:rPr>
          <w:fldChar w:fldCharType="separate"/>
        </w:r>
        <w:r w:rsidRPr="008909CD" w:rsidR="008909CD">
          <w:rPr>
            <w:noProof/>
            <w:szCs w:val="21"/>
          </w:rPr>
          <w:t>27</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6" w:history="1">
        <w:r w:rsidRPr="008909CD" w:rsidR="00DD4E4E">
          <w:rPr>
            <w:rStyle w:val="Hyperlink"/>
            <w:rFonts w:hAnsi="宋体" w:hint="eastAsia"/>
            <w:noProof/>
            <w:szCs w:val="21"/>
          </w:rPr>
          <w:t>十二、基金份额持有人名册的保管</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_Toc124325896 \h </w:instrText>
        </w:r>
        <w:r w:rsidRPr="008909CD" w:rsidR="00DD4E4E">
          <w:rPr>
            <w:noProof/>
            <w:szCs w:val="21"/>
          </w:rPr>
          <w:fldChar w:fldCharType="separate"/>
        </w:r>
        <w:r w:rsidRPr="008909CD" w:rsidR="008909CD">
          <w:rPr>
            <w:noProof/>
            <w:szCs w:val="21"/>
          </w:rPr>
          <w:t>29</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7" w:history="1">
        <w:r w:rsidRPr="008909CD" w:rsidR="00DD4E4E">
          <w:rPr>
            <w:rStyle w:val="Hyperlink"/>
            <w:rFonts w:hAnsi="宋体" w:hint="eastAsia"/>
            <w:noProof/>
            <w:szCs w:val="21"/>
          </w:rPr>
          <w:t>十三、基金有关文件档案的保存</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_Toc124325897 \h </w:instrText>
        </w:r>
        <w:r w:rsidRPr="008909CD" w:rsidR="00DD4E4E">
          <w:rPr>
            <w:noProof/>
            <w:szCs w:val="21"/>
          </w:rPr>
          <w:fldChar w:fldCharType="separate"/>
        </w:r>
        <w:r w:rsidRPr="008909CD" w:rsidR="008909CD">
          <w:rPr>
            <w:noProof/>
            <w:szCs w:val="21"/>
          </w:rPr>
          <w:t>30</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8" w:history="1">
        <w:r w:rsidRPr="008909CD" w:rsidR="00DD4E4E">
          <w:rPr>
            <w:rStyle w:val="Hyperlink"/>
            <w:rFonts w:hAnsi="宋体" w:hint="eastAsia"/>
            <w:noProof/>
            <w:szCs w:val="21"/>
          </w:rPr>
          <w:t>十四、基金管理人和基金托管人的更换</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_Toc124325898 \h </w:instrText>
        </w:r>
        <w:r w:rsidRPr="008909CD" w:rsidR="00DD4E4E">
          <w:rPr>
            <w:noProof/>
            <w:szCs w:val="21"/>
          </w:rPr>
          <w:fldChar w:fldCharType="separate"/>
        </w:r>
        <w:r w:rsidRPr="008909CD" w:rsidR="008909CD">
          <w:rPr>
            <w:noProof/>
            <w:szCs w:val="21"/>
          </w:rPr>
          <w:t>31</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899" w:history="1">
        <w:r w:rsidRPr="008909CD" w:rsidR="00DD4E4E">
          <w:rPr>
            <w:rStyle w:val="Hyperlink"/>
            <w:rFonts w:hAnsi="宋体" w:hint="eastAsia"/>
            <w:noProof/>
            <w:szCs w:val="21"/>
          </w:rPr>
          <w:t>十五、禁止行为</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_Toc124325899 \h </w:instrText>
        </w:r>
        <w:r w:rsidRPr="008909CD" w:rsidR="00DD4E4E">
          <w:rPr>
            <w:noProof/>
            <w:szCs w:val="21"/>
          </w:rPr>
          <w:fldChar w:fldCharType="separate"/>
        </w:r>
        <w:r w:rsidRPr="008909CD" w:rsidR="008909CD">
          <w:rPr>
            <w:noProof/>
            <w:szCs w:val="21"/>
          </w:rPr>
          <w:t>33</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900" w:history="1">
        <w:r w:rsidRPr="008909CD" w:rsidR="00DD4E4E">
          <w:rPr>
            <w:rStyle w:val="Hyperlink"/>
            <w:rFonts w:hAnsi="宋体" w:hint="eastAsia"/>
            <w:noProof/>
            <w:szCs w:val="21"/>
          </w:rPr>
          <w:t>十六、托管协议的变更、终止与基金财产的清算</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_Toc124325900 \h </w:instrText>
        </w:r>
        <w:r w:rsidRPr="008909CD" w:rsidR="00DD4E4E">
          <w:rPr>
            <w:noProof/>
            <w:szCs w:val="21"/>
          </w:rPr>
          <w:fldChar w:fldCharType="separate"/>
        </w:r>
        <w:r w:rsidRPr="008909CD" w:rsidR="008909CD">
          <w:rPr>
            <w:noProof/>
            <w:szCs w:val="21"/>
          </w:rPr>
          <w:t>34</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901" w:history="1">
        <w:r w:rsidRPr="008909CD" w:rsidR="00DD4E4E">
          <w:rPr>
            <w:rStyle w:val="Hyperlink"/>
            <w:rFonts w:hAnsi="宋体" w:hint="eastAsia"/>
            <w:noProof/>
            <w:szCs w:val="21"/>
          </w:rPr>
          <w:t>十七、违约责任</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_Toc124325901 \h </w:instrText>
        </w:r>
        <w:r w:rsidRPr="008909CD" w:rsidR="00DD4E4E">
          <w:rPr>
            <w:noProof/>
            <w:szCs w:val="21"/>
          </w:rPr>
          <w:fldChar w:fldCharType="separate"/>
        </w:r>
        <w:r w:rsidRPr="008909CD" w:rsidR="008909CD">
          <w:rPr>
            <w:noProof/>
            <w:szCs w:val="21"/>
          </w:rPr>
          <w:t>36</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902" w:history="1">
        <w:r w:rsidRPr="008909CD" w:rsidR="00DD4E4E">
          <w:rPr>
            <w:rStyle w:val="Hyperlink"/>
            <w:rFonts w:hAnsi="宋体" w:hint="eastAsia"/>
            <w:noProof/>
            <w:szCs w:val="21"/>
          </w:rPr>
          <w:t>十八、争议解决方式</w:t>
        </w:r>
        <w:bookmarkStart w:id="4" w:name="_GoBack"/>
        <w:bookmarkEnd w:id="4"/>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_Toc124325902 \h </w:instrText>
        </w:r>
        <w:r w:rsidRPr="008909CD" w:rsidR="00DD4E4E">
          <w:rPr>
            <w:noProof/>
            <w:szCs w:val="21"/>
          </w:rPr>
          <w:fldChar w:fldCharType="separate"/>
        </w:r>
        <w:r w:rsidRPr="008909CD" w:rsidR="008909CD">
          <w:rPr>
            <w:noProof/>
            <w:szCs w:val="21"/>
          </w:rPr>
          <w:t>37</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903" w:history="1">
        <w:r w:rsidRPr="008909CD" w:rsidR="00DD4E4E">
          <w:rPr>
            <w:rStyle w:val="Hyperlink"/>
            <w:rFonts w:hAnsi="宋体" w:hint="eastAsia"/>
            <w:noProof/>
            <w:szCs w:val="21"/>
          </w:rPr>
          <w:t>十九、托管协议的效力</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_Toc124325903 \h </w:instrText>
        </w:r>
        <w:r w:rsidRPr="008909CD" w:rsidR="00DD4E4E">
          <w:rPr>
            <w:noProof/>
            <w:szCs w:val="21"/>
          </w:rPr>
          <w:fldChar w:fldCharType="separate"/>
        </w:r>
        <w:r w:rsidRPr="008909CD" w:rsidR="008909CD">
          <w:rPr>
            <w:noProof/>
            <w:szCs w:val="21"/>
          </w:rPr>
          <w:t>38</w:t>
        </w:r>
        <w:r w:rsidRPr="008909CD" w:rsidR="00DD4E4E">
          <w:rPr>
            <w:noProof/>
            <w:szCs w:val="21"/>
          </w:rPr>
          <w:fldChar w:fldCharType="end"/>
        </w:r>
      </w:hyperlink>
    </w:p>
    <w:p w:rsidR="009F1343" w:rsidRPr="008909CD">
      <w:pPr>
        <w:pStyle w:val="TOC2"/>
        <w:tabs>
          <w:tab w:val="right" w:leader="dot" w:pos="8494"/>
        </w:tabs>
        <w:spacing w:line="360" w:lineRule="auto"/>
        <w:rPr>
          <w:noProof/>
          <w:szCs w:val="21"/>
        </w:rPr>
      </w:pPr>
      <w:hyperlink w:anchor="_Toc124325904" w:history="1">
        <w:r w:rsidRPr="008909CD" w:rsidR="00DD4E4E">
          <w:rPr>
            <w:rStyle w:val="Hyperlink"/>
            <w:rFonts w:hAnsi="宋体" w:hint="eastAsia"/>
            <w:noProof/>
            <w:szCs w:val="21"/>
          </w:rPr>
          <w:t>二十、其他事项</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_Toc124325904 \h </w:instrText>
        </w:r>
        <w:r w:rsidRPr="008909CD" w:rsidR="00DD4E4E">
          <w:rPr>
            <w:noProof/>
            <w:szCs w:val="21"/>
          </w:rPr>
          <w:fldChar w:fldCharType="separate"/>
        </w:r>
        <w:r w:rsidRPr="008909CD" w:rsidR="008909CD">
          <w:rPr>
            <w:noProof/>
            <w:szCs w:val="21"/>
          </w:rPr>
          <w:t>39</w:t>
        </w:r>
        <w:r w:rsidRPr="008909CD" w:rsidR="00DD4E4E">
          <w:rPr>
            <w:noProof/>
            <w:szCs w:val="21"/>
          </w:rPr>
          <w:fldChar w:fldCharType="end"/>
        </w:r>
      </w:hyperlink>
    </w:p>
    <w:p w:rsidR="009F1343" w:rsidRPr="008909CD">
      <w:pPr>
        <w:pStyle w:val="TOC2"/>
        <w:tabs>
          <w:tab w:val="right" w:leader="dot" w:pos="8494"/>
        </w:tabs>
        <w:spacing w:line="360" w:lineRule="auto"/>
        <w:rPr>
          <w:rStyle w:val="Hyperlink"/>
          <w:noProof/>
          <w:szCs w:val="21"/>
        </w:rPr>
      </w:pPr>
      <w:hyperlink w:anchor="_Toc124325905" w:history="1">
        <w:r w:rsidRPr="008909CD" w:rsidR="00DD4E4E">
          <w:rPr>
            <w:rStyle w:val="Hyperlink"/>
            <w:rFonts w:hAnsi="宋体" w:hint="eastAsia"/>
            <w:noProof/>
            <w:szCs w:val="21"/>
          </w:rPr>
          <w:t>二十一、托管协议的签订</w:t>
        </w:r>
        <w:r w:rsidRPr="008909CD" w:rsidR="00DD4E4E">
          <w:rPr>
            <w:noProof/>
            <w:szCs w:val="21"/>
          </w:rPr>
          <w:tab/>
        </w:r>
        <w:r w:rsidRPr="008909CD" w:rsidR="00DD4E4E">
          <w:rPr>
            <w:noProof/>
            <w:szCs w:val="21"/>
          </w:rPr>
          <w:fldChar w:fldCharType="begin"/>
        </w:r>
        <w:r w:rsidRPr="008909CD" w:rsidR="00DD4E4E">
          <w:rPr>
            <w:noProof/>
            <w:szCs w:val="21"/>
          </w:rPr>
          <w:instrText xml:space="preserve"> PAGEREF _Toc124325905 \h </w:instrText>
        </w:r>
        <w:r w:rsidRPr="008909CD" w:rsidR="00DD4E4E">
          <w:rPr>
            <w:noProof/>
            <w:szCs w:val="21"/>
          </w:rPr>
          <w:fldChar w:fldCharType="separate"/>
        </w:r>
        <w:r w:rsidRPr="008909CD" w:rsidR="008909CD">
          <w:rPr>
            <w:noProof/>
            <w:szCs w:val="21"/>
          </w:rPr>
          <w:t>40</w:t>
        </w:r>
        <w:r w:rsidRPr="008909CD" w:rsidR="00DD4E4E">
          <w:rPr>
            <w:noProof/>
            <w:szCs w:val="21"/>
          </w:rPr>
          <w:fldChar w:fldCharType="end"/>
        </w:r>
      </w:hyperlink>
    </w:p>
    <w:p w:rsidR="009F1343" w:rsidRPr="008909CD">
      <w:pPr>
        <w:pStyle w:val="TOC2"/>
        <w:tabs>
          <w:tab w:val="right" w:leader="dot" w:pos="8494"/>
        </w:tabs>
        <w:spacing w:line="360" w:lineRule="auto"/>
        <w:ind w:left="0" w:firstLine="420" w:leftChars="0"/>
        <w:rPr>
          <w:kern w:val="0"/>
        </w:rPr>
      </w:pPr>
      <w:r w:rsidRPr="008909CD">
        <w:rPr>
          <w:rStyle w:val="Hyperlink"/>
          <w:noProof/>
          <w:szCs w:val="21"/>
        </w:rPr>
        <w:br w:type="page"/>
      </w:r>
      <w:r w:rsidRPr="008909CD">
        <w:fldChar w:fldCharType="end"/>
      </w:r>
      <w:r w:rsidRPr="008909CD">
        <w:rPr>
          <w:rFonts w:hint="eastAsia"/>
          <w:kern w:val="0"/>
        </w:rPr>
        <w:t>鉴于</w:t>
      </w:r>
      <w:r w:rsidRPr="008909CD">
        <w:rPr>
          <w:kern w:val="0"/>
        </w:rPr>
        <w:t>易方达</w:t>
      </w:r>
      <w:r w:rsidRPr="008909CD">
        <w:rPr>
          <w:rFonts w:hint="eastAsia"/>
          <w:kern w:val="0"/>
        </w:rPr>
        <w:t>基金管理有限公司系一家依照中国法律合法成立并有效存续的有限责任公司，按照相关法律法规的规定具备担任基金管理人的资格和能力，拟募集发行易方达高等级信用债债券型证券投资基金；</w:t>
      </w:r>
    </w:p>
    <w:p w:rsidR="009F1343" w:rsidRPr="008909CD">
      <w:pPr>
        <w:widowControl/>
        <w:adjustRightInd w:val="0"/>
        <w:snapToGrid w:val="0"/>
        <w:spacing w:line="360" w:lineRule="auto"/>
        <w:ind w:firstLine="420" w:firstLineChars="200"/>
        <w:rPr>
          <w:rFonts w:cs="Arial"/>
          <w:kern w:val="0"/>
          <w:szCs w:val="21"/>
        </w:rPr>
      </w:pPr>
      <w:r w:rsidRPr="008909CD">
        <w:rPr>
          <w:rFonts w:hAnsi="宋体" w:cs="Arial" w:hint="eastAsia"/>
          <w:kern w:val="0"/>
          <w:szCs w:val="21"/>
        </w:rPr>
        <w:t>鉴于中国建设银行股份有限公司系一家依照中国法律合法成立并有效存续的银行，按照相关法律法规的规定具备担任基金托管人的资格和能力；</w:t>
      </w:r>
    </w:p>
    <w:p w:rsidR="009F1343" w:rsidRPr="008909CD">
      <w:pPr>
        <w:widowControl/>
        <w:adjustRightInd w:val="0"/>
        <w:snapToGrid w:val="0"/>
        <w:spacing w:line="360" w:lineRule="auto"/>
        <w:ind w:firstLine="420" w:firstLineChars="200"/>
        <w:rPr>
          <w:rFonts w:cs="Arial"/>
          <w:kern w:val="0"/>
          <w:szCs w:val="21"/>
        </w:rPr>
      </w:pPr>
      <w:r w:rsidRPr="008909CD">
        <w:rPr>
          <w:rFonts w:hAnsi="宋体" w:cs="Arial" w:hint="eastAsia"/>
          <w:kern w:val="0"/>
          <w:szCs w:val="21"/>
        </w:rPr>
        <w:t>鉴于</w:t>
      </w:r>
      <w:r w:rsidRPr="008909CD">
        <w:rPr>
          <w:rFonts w:hAnsi="宋体" w:cs="Arial"/>
          <w:kern w:val="0"/>
          <w:szCs w:val="21"/>
        </w:rPr>
        <w:t>易方达</w:t>
      </w:r>
      <w:r w:rsidRPr="008909CD">
        <w:rPr>
          <w:rFonts w:hAnsi="宋体" w:cs="Arial" w:hint="eastAsia"/>
          <w:kern w:val="0"/>
          <w:szCs w:val="21"/>
        </w:rPr>
        <w:t>基金管理有限公司拟担任易方达高等级信用债债券型证券投资基金的基金管理人，中国建设银行股份有限公司拟担任易方达高等级信用债债券型证券投资基金的基金托管人；</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szCs w:val="21"/>
        </w:rPr>
        <w:t>为明确易方达高等级信用债债券型证券投资基金的基金管理人和基金托管人之间的权利义务关系，特制订本托管协议；</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szCs w:val="21"/>
        </w:rPr>
        <w:t>除非另有约定，《易方达高等级信用债债券型证券投资基金基金合同》</w:t>
      </w:r>
      <w:r w:rsidRPr="008909CD">
        <w:rPr>
          <w:rFonts w:cs="Arial" w:hint="eastAsia"/>
          <w:szCs w:val="21"/>
        </w:rPr>
        <w:t>(</w:t>
      </w:r>
      <w:r w:rsidRPr="008909CD">
        <w:rPr>
          <w:rFonts w:hAnsi="宋体" w:cs="Arial" w:hint="eastAsia"/>
          <w:szCs w:val="21"/>
        </w:rPr>
        <w:t>以下简称</w:t>
      </w:r>
      <w:r w:rsidRPr="008909CD">
        <w:rPr>
          <w:rFonts w:cs="Arial" w:hint="eastAsia"/>
          <w:szCs w:val="21"/>
        </w:rPr>
        <w:t>“</w:t>
      </w:r>
      <w:r w:rsidRPr="008909CD">
        <w:rPr>
          <w:rFonts w:hAnsi="宋体" w:cs="Arial" w:hint="eastAsia"/>
          <w:szCs w:val="21"/>
        </w:rPr>
        <w:t>基金合同</w:t>
      </w:r>
      <w:r w:rsidRPr="008909CD">
        <w:rPr>
          <w:rFonts w:cs="Arial" w:hint="eastAsia"/>
          <w:szCs w:val="21"/>
        </w:rPr>
        <w:t>”</w:t>
      </w:r>
      <w:r w:rsidRPr="008909CD">
        <w:rPr>
          <w:rFonts w:cs="Arial" w:hint="eastAsia"/>
          <w:szCs w:val="21"/>
        </w:rPr>
        <w:t>)</w:t>
      </w:r>
      <w:r w:rsidRPr="008909CD">
        <w:rPr>
          <w:rFonts w:hAnsi="宋体" w:cs="Arial" w:hint="eastAsia"/>
          <w:szCs w:val="21"/>
        </w:rPr>
        <w:t>中定义的术语在用于本托管协议时应具有相同的含义；若有抵触应以基金合同为准，并依其条款解释。</w:t>
      </w:r>
    </w:p>
    <w:p w:rsidR="009F1343" w:rsidRPr="008909CD">
      <w:pPr>
        <w:widowControl/>
        <w:adjustRightInd w:val="0"/>
        <w:snapToGrid w:val="0"/>
        <w:spacing w:line="360" w:lineRule="auto"/>
        <w:ind w:firstLine="420" w:firstLineChars="200"/>
        <w:rPr>
          <w:rFonts w:cs="Arial"/>
          <w:kern w:val="0"/>
          <w:szCs w:val="21"/>
          <w:lang w:val="en-GB"/>
        </w:rPr>
      </w:pPr>
      <w:r w:rsidRPr="008909CD">
        <w:rPr>
          <w:rFonts w:cs="Arial"/>
          <w:kern w:val="0"/>
          <w:szCs w:val="21"/>
          <w:lang w:val="en-GB"/>
        </w:rPr>
        <w:br w:type="page"/>
      </w:r>
    </w:p>
    <w:p w:rsidR="009F1343" w:rsidRPr="008909CD">
      <w:pPr>
        <w:rPr>
          <w:sz w:val="24"/>
          <w:lang w:val="en-GB"/>
        </w:rPr>
      </w:pPr>
    </w:p>
    <w:p w:rsidR="009F1343" w:rsidRPr="008909CD">
      <w:pPr>
        <w:pStyle w:val="Heading2"/>
        <w:jc w:val="center"/>
        <w:rPr>
          <w:rFonts w:ascii="Times New Roman" w:eastAsia="宋体" w:hAnsi="Times New Roman"/>
        </w:rPr>
      </w:pPr>
      <w:bookmarkStart w:id="5" w:name="_Toc124325885"/>
      <w:r w:rsidRPr="008909CD">
        <w:rPr>
          <w:rFonts w:ascii="Times New Roman" w:eastAsia="宋体" w:hint="eastAsia"/>
        </w:rPr>
        <w:t>一、基金托管协议当事人</w:t>
      </w:r>
      <w:bookmarkEnd w:id="5"/>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（一）基金管理人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名称：易方达基金管理有限公司</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注册地址：</w:t>
      </w:r>
      <w:r w:rsidRPr="008909CD">
        <w:rPr>
          <w:rFonts w:hint="eastAsia"/>
          <w:bCs/>
          <w:szCs w:val="21"/>
        </w:rPr>
        <w:t>广东省珠海市横琴新区荣粤道</w:t>
      </w:r>
      <w:r w:rsidRPr="008909CD">
        <w:rPr>
          <w:rFonts w:hint="eastAsia"/>
          <w:bCs/>
          <w:szCs w:val="21"/>
        </w:rPr>
        <w:t>188</w:t>
      </w:r>
      <w:r w:rsidRPr="008909CD">
        <w:rPr>
          <w:rFonts w:hint="eastAsia"/>
          <w:bCs/>
          <w:szCs w:val="21"/>
        </w:rPr>
        <w:t>号</w:t>
      </w:r>
      <w:r w:rsidRPr="008909CD">
        <w:rPr>
          <w:rFonts w:hint="eastAsia"/>
          <w:bCs/>
          <w:szCs w:val="21"/>
        </w:rPr>
        <w:t>6</w:t>
      </w:r>
      <w:r w:rsidRPr="008909CD">
        <w:rPr>
          <w:rFonts w:hint="eastAsia"/>
          <w:bCs/>
          <w:szCs w:val="21"/>
        </w:rPr>
        <w:t>层</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法定代表人：刘晓艳</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成立时间：</w:t>
      </w:r>
      <w:r w:rsidRPr="008909CD">
        <w:rPr>
          <w:rFonts w:cs="Arial" w:hint="eastAsia"/>
          <w:szCs w:val="21"/>
        </w:rPr>
        <w:t>2001</w:t>
      </w:r>
      <w:r w:rsidRPr="008909CD">
        <w:rPr>
          <w:rFonts w:hAnsi="宋体" w:cs="Arial" w:hint="eastAsia"/>
          <w:szCs w:val="21"/>
        </w:rPr>
        <w:t>年</w:t>
      </w:r>
      <w:r w:rsidRPr="008909CD">
        <w:rPr>
          <w:rFonts w:cs="Arial" w:hint="eastAsia"/>
          <w:szCs w:val="21"/>
        </w:rPr>
        <w:t>4</w:t>
      </w:r>
      <w:r w:rsidRPr="008909CD">
        <w:rPr>
          <w:rFonts w:hAnsi="宋体" w:cs="Arial" w:hint="eastAsia"/>
          <w:szCs w:val="21"/>
        </w:rPr>
        <w:t>月</w:t>
      </w:r>
      <w:r w:rsidRPr="008909CD">
        <w:rPr>
          <w:rFonts w:cs="Arial" w:hint="eastAsia"/>
          <w:szCs w:val="21"/>
        </w:rPr>
        <w:t>17</w:t>
      </w:r>
      <w:r w:rsidRPr="008909CD">
        <w:rPr>
          <w:rFonts w:hAnsi="宋体" w:cs="Arial" w:hint="eastAsia"/>
          <w:szCs w:val="21"/>
        </w:rPr>
        <w:t>日</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批准设立机关及批准设立文号：中国证券监督管理委员会，证监基金字［</w:t>
      </w:r>
      <w:r w:rsidRPr="008909CD">
        <w:rPr>
          <w:rFonts w:cs="Arial" w:hint="eastAsia"/>
          <w:szCs w:val="21"/>
        </w:rPr>
        <w:t>2001</w:t>
      </w:r>
      <w:r w:rsidRPr="008909CD">
        <w:rPr>
          <w:rFonts w:hAnsi="宋体" w:cs="Arial" w:hint="eastAsia"/>
          <w:szCs w:val="21"/>
        </w:rPr>
        <w:t>］</w:t>
      </w:r>
      <w:r w:rsidRPr="008909CD">
        <w:rPr>
          <w:rFonts w:cs="Arial" w:hint="eastAsia"/>
          <w:szCs w:val="21"/>
        </w:rPr>
        <w:t>4</w:t>
      </w:r>
      <w:r w:rsidRPr="008909CD">
        <w:rPr>
          <w:rFonts w:hAnsi="宋体" w:cs="Arial" w:hint="eastAsia"/>
          <w:szCs w:val="21"/>
        </w:rPr>
        <w:t>号</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组织形式：有限责任公司</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注册资本：</w:t>
      </w:r>
      <w:r w:rsidRPr="008909CD">
        <w:rPr>
          <w:rFonts w:hAnsi="宋体" w:cs="Arial" w:hint="eastAsia"/>
          <w:szCs w:val="21"/>
        </w:rPr>
        <w:t xml:space="preserve">13,244.2 </w:t>
      </w:r>
      <w:r w:rsidRPr="008909CD">
        <w:rPr>
          <w:rFonts w:hAnsi="宋体" w:cs="Arial" w:hint="eastAsia"/>
          <w:szCs w:val="21"/>
        </w:rPr>
        <w:t>万元人民币</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存续期间：持续经营</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经营范围：公开募集证券投资基金管理、基金销售、特定客户资产管理</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（二）基金托管人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名称：中国建设银行股份有限公司</w:t>
      </w:r>
      <w:r w:rsidRPr="008909CD">
        <w:rPr>
          <w:rFonts w:cs="Arial" w:hint="eastAsia"/>
          <w:szCs w:val="21"/>
        </w:rPr>
        <w:t>(</w:t>
      </w:r>
      <w:r w:rsidRPr="008909CD">
        <w:rPr>
          <w:rFonts w:hAnsi="宋体" w:cs="Arial" w:hint="eastAsia"/>
          <w:szCs w:val="21"/>
        </w:rPr>
        <w:t>简称：中国建设银行</w:t>
      </w:r>
      <w:r w:rsidRPr="008909CD">
        <w:rPr>
          <w:rFonts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住所：北京市西城区金融大街</w:t>
      </w:r>
      <w:r w:rsidRPr="008909CD">
        <w:rPr>
          <w:rFonts w:cs="Arial" w:hint="eastAsia"/>
          <w:szCs w:val="21"/>
        </w:rPr>
        <w:t>25</w:t>
      </w:r>
      <w:r w:rsidRPr="008909CD">
        <w:rPr>
          <w:rFonts w:hAnsi="宋体" w:cs="Arial" w:hint="eastAsia"/>
          <w:szCs w:val="21"/>
        </w:rPr>
        <w:t>号</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办公地址：北京市西城区闹市口大街</w:t>
      </w:r>
      <w:r w:rsidRPr="008909CD">
        <w:rPr>
          <w:rFonts w:cs="Arial" w:hint="eastAsia"/>
          <w:szCs w:val="21"/>
        </w:rPr>
        <w:t>1</w:t>
      </w:r>
      <w:r w:rsidRPr="008909CD">
        <w:rPr>
          <w:rFonts w:hAnsi="宋体" w:cs="Arial" w:hint="eastAsia"/>
          <w:szCs w:val="21"/>
        </w:rPr>
        <w:t>号院</w:t>
      </w:r>
      <w:r w:rsidRPr="008909CD">
        <w:rPr>
          <w:rFonts w:cs="Arial" w:hint="eastAsia"/>
          <w:szCs w:val="21"/>
        </w:rPr>
        <w:t>1</w:t>
      </w:r>
      <w:r w:rsidRPr="008909CD">
        <w:rPr>
          <w:rFonts w:hAnsi="宋体" w:cs="Arial" w:hint="eastAsia"/>
          <w:szCs w:val="21"/>
        </w:rPr>
        <w:t>号楼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邮政编码：</w:t>
      </w:r>
      <w:r w:rsidRPr="008909CD">
        <w:rPr>
          <w:rFonts w:cs="Arial"/>
          <w:szCs w:val="21"/>
        </w:rPr>
        <w:t>100033</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法定代表人：田国立</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成立日期：</w:t>
      </w:r>
      <w:r w:rsidRPr="008909CD">
        <w:rPr>
          <w:rFonts w:hAnsi="宋体" w:cs="Arial" w:hint="eastAsia"/>
          <w:szCs w:val="21"/>
        </w:rPr>
        <w:t>2004</w:t>
      </w:r>
      <w:r w:rsidRPr="008909CD">
        <w:rPr>
          <w:rFonts w:hAnsi="宋体" w:cs="Arial" w:hint="eastAsia"/>
          <w:szCs w:val="21"/>
        </w:rPr>
        <w:t>年</w:t>
      </w:r>
      <w:r w:rsidRPr="008909CD">
        <w:rPr>
          <w:rFonts w:hAnsi="宋体" w:cs="Arial" w:hint="eastAsia"/>
          <w:szCs w:val="21"/>
        </w:rPr>
        <w:t>09</w:t>
      </w:r>
      <w:r w:rsidRPr="008909CD">
        <w:rPr>
          <w:rFonts w:hAnsi="宋体" w:cs="Arial" w:hint="eastAsia"/>
          <w:szCs w:val="21"/>
        </w:rPr>
        <w:t>月</w:t>
      </w:r>
      <w:r w:rsidRPr="008909CD">
        <w:rPr>
          <w:rFonts w:hAnsi="宋体" w:cs="Arial" w:hint="eastAsia"/>
          <w:szCs w:val="21"/>
        </w:rPr>
        <w:t>17</w:t>
      </w:r>
      <w:r w:rsidRPr="008909CD">
        <w:rPr>
          <w:rFonts w:hAnsi="宋体" w:cs="Arial" w:hint="eastAsia"/>
          <w:szCs w:val="21"/>
        </w:rPr>
        <w:t>日</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基金托管业务批准文号：中国证监会证监基字</w:t>
      </w:r>
      <w:r w:rsidRPr="008909CD">
        <w:rPr>
          <w:rFonts w:hAnsi="宋体" w:cs="Arial" w:hint="eastAsia"/>
          <w:szCs w:val="21"/>
        </w:rPr>
        <w:t>[1998</w:t>
      </w:r>
      <w:bookmarkStart w:id="6" w:name="OLE_LINK3"/>
      <w:r w:rsidRPr="008909CD">
        <w:rPr>
          <w:rFonts w:hAnsi="宋体" w:cs="Arial" w:hint="eastAsia"/>
          <w:szCs w:val="21"/>
        </w:rPr>
        <w:t>]</w:t>
      </w:r>
      <w:bookmarkEnd w:id="6"/>
      <w:r w:rsidRPr="008909CD">
        <w:rPr>
          <w:rFonts w:hAnsi="宋体" w:cs="Arial" w:hint="eastAsia"/>
          <w:szCs w:val="21"/>
        </w:rPr>
        <w:t>12</w:t>
      </w:r>
      <w:r w:rsidRPr="008909CD">
        <w:rPr>
          <w:rFonts w:hAnsi="宋体" w:cs="Arial" w:hint="eastAsia"/>
          <w:szCs w:val="21"/>
        </w:rPr>
        <w:t>号</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组织形式：股份有限公司</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注册资本：贰仟伍佰亿壹仟零玖拾柒万柒仟肆佰捌拾陆元整</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存续期间：持续经营</w:t>
      </w:r>
    </w:p>
    <w:p w:rsidR="009F1343" w:rsidRPr="008909CD">
      <w:pPr>
        <w:tabs>
          <w:tab w:val="left" w:pos="540"/>
        </w:tabs>
        <w:adjustRightInd w:val="0"/>
        <w:snapToGrid w:val="0"/>
        <w:spacing w:line="360" w:lineRule="auto"/>
        <w:ind w:firstLine="420" w:firstLineChars="200"/>
        <w:rPr>
          <w:rFonts w:cs="Arial"/>
          <w:szCs w:val="21"/>
        </w:rPr>
      </w:pPr>
      <w:r w:rsidRPr="008909CD">
        <w:rPr>
          <w:rFonts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9F1343" w:rsidRPr="008909CD">
      <w:pPr>
        <w:tabs>
          <w:tab w:val="left" w:pos="540"/>
        </w:tabs>
        <w:adjustRightInd w:val="0"/>
        <w:snapToGrid w:val="0"/>
        <w:spacing w:line="360" w:lineRule="auto"/>
        <w:ind w:firstLine="420" w:firstLineChars="200"/>
        <w:rPr>
          <w:sz w:val="24"/>
        </w:rPr>
      </w:pPr>
      <w:r w:rsidRPr="008909CD">
        <w:rPr>
          <w:rFonts w:cs="Arial"/>
          <w:szCs w:val="21"/>
        </w:rPr>
        <w:br w:type="page"/>
      </w:r>
    </w:p>
    <w:p w:rsidR="009F1343" w:rsidRPr="008909CD">
      <w:pPr>
        <w:pStyle w:val="Heading2"/>
        <w:jc w:val="center"/>
        <w:rPr>
          <w:rFonts w:ascii="Times New Roman" w:eastAsia="宋体" w:hAnsi="Times New Roman"/>
          <w:sz w:val="30"/>
        </w:rPr>
      </w:pPr>
      <w:bookmarkStart w:id="7" w:name="_Toc124325886"/>
      <w:r w:rsidRPr="008909CD">
        <w:rPr>
          <w:rFonts w:ascii="Times New Roman" w:eastAsia="宋体" w:hint="eastAsia"/>
          <w:sz w:val="30"/>
        </w:rPr>
        <w:t>二、基金托管协议的依据、目的和原则</w:t>
      </w:r>
      <w:bookmarkEnd w:id="7"/>
    </w:p>
    <w:p w:rsidR="009F1343" w:rsidRPr="008909CD">
      <w:pPr>
        <w:adjustRightInd w:val="0"/>
        <w:snapToGrid w:val="0"/>
        <w:spacing w:line="360" w:lineRule="auto"/>
        <w:ind w:firstLine="420" w:firstLineChars="200"/>
        <w:rPr>
          <w:szCs w:val="21"/>
        </w:rPr>
      </w:pPr>
      <w:r w:rsidRPr="008909CD">
        <w:rPr>
          <w:rFonts w:hAnsi="宋体" w:cs="Arial" w:hint="eastAsia"/>
          <w:szCs w:val="21"/>
        </w:rPr>
        <w:t>（一）订立托管协议的依据</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本协议依据《中华人民共和国证券投资基金法》</w:t>
      </w:r>
      <w:r w:rsidRPr="008909CD">
        <w:rPr>
          <w:rFonts w:cs="Arial" w:hint="eastAsia"/>
          <w:szCs w:val="21"/>
        </w:rPr>
        <w:t>(</w:t>
      </w:r>
      <w:r w:rsidRPr="008909CD">
        <w:rPr>
          <w:rFonts w:hAnsi="宋体" w:cs="Arial" w:hint="eastAsia"/>
          <w:szCs w:val="21"/>
        </w:rPr>
        <w:t>以下简称</w:t>
      </w:r>
      <w:r w:rsidRPr="008909CD">
        <w:rPr>
          <w:rFonts w:cs="Arial" w:hint="eastAsia"/>
          <w:szCs w:val="21"/>
        </w:rPr>
        <w:t>“</w:t>
      </w:r>
      <w:r w:rsidRPr="008909CD">
        <w:rPr>
          <w:rFonts w:hAnsi="宋体" w:cs="Arial" w:hint="eastAsia"/>
          <w:szCs w:val="21"/>
        </w:rPr>
        <w:t>《基金法》</w:t>
      </w:r>
      <w:r w:rsidRPr="008909CD">
        <w:rPr>
          <w:rFonts w:cs="Arial" w:hint="eastAsia"/>
          <w:szCs w:val="21"/>
        </w:rPr>
        <w:t>”</w:t>
      </w:r>
      <w:r w:rsidRPr="008909CD">
        <w:rPr>
          <w:rFonts w:cs="Arial" w:hint="eastAsia"/>
          <w:szCs w:val="21"/>
        </w:rPr>
        <w:t>)</w:t>
      </w:r>
      <w:r w:rsidRPr="008909CD">
        <w:rPr>
          <w:rFonts w:hint="eastAsia"/>
          <w:szCs w:val="21"/>
        </w:rPr>
        <w:t xml:space="preserve"> </w:t>
      </w:r>
      <w:r w:rsidRPr="008909CD">
        <w:rPr>
          <w:rFonts w:hAnsi="宋体" w:cs="Arial" w:hint="eastAsia"/>
          <w:szCs w:val="21"/>
        </w:rPr>
        <w:t>、《公开募集证券投资基金运作管理办法》（以下简称《运作办法》）、《公开募集证券投资基金销售机构监督管理办法》（以下简称《销售办法》）、《</w:t>
      </w:r>
      <w:r w:rsidRPr="008909CD">
        <w:rPr>
          <w:rFonts w:hAnsi="宋体" w:cs="Arial" w:hint="eastAsia"/>
          <w:bCs/>
          <w:szCs w:val="21"/>
        </w:rPr>
        <w:t>公开募集</w:t>
      </w:r>
      <w:r w:rsidRPr="008909CD">
        <w:rPr>
          <w:rFonts w:hAnsi="宋体" w:cs="Arial" w:hint="eastAsia"/>
          <w:szCs w:val="21"/>
        </w:rPr>
        <w:t>证券投资基金信息披露管理办法》（以下简称《信息披露办法》）、《证券投资基金信息披露内容与格式准则第</w:t>
      </w:r>
      <w:r w:rsidRPr="008909CD">
        <w:rPr>
          <w:rFonts w:cs="Arial" w:hint="eastAsia"/>
          <w:szCs w:val="21"/>
        </w:rPr>
        <w:t>7</w:t>
      </w:r>
      <w:r w:rsidRPr="008909CD">
        <w:rPr>
          <w:rFonts w:hAnsi="宋体" w:cs="Arial" w:hint="eastAsia"/>
          <w:szCs w:val="21"/>
        </w:rPr>
        <w:t>号〈托管协议的内容与格式〉》等有关法律法规、基金合同及其他有关规定制订。</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（二）订立托管协议的目的</w:t>
      </w:r>
    </w:p>
    <w:p w:rsidR="009F1343" w:rsidRPr="008909CD">
      <w:pPr>
        <w:adjustRightInd w:val="0"/>
        <w:snapToGrid w:val="0"/>
        <w:spacing w:line="360" w:lineRule="auto"/>
        <w:ind w:firstLine="420" w:firstLineChars="200"/>
        <w:rPr>
          <w:szCs w:val="21"/>
        </w:rPr>
      </w:pPr>
      <w:r w:rsidRPr="008909CD">
        <w:rPr>
          <w:rFonts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（三）订立托管协议的原则</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基金管理人和基金托管人本着平等自愿、诚实信用、充分保护基金份额持有人合法权益的原则，经协商一致，签订本协议。</w:t>
      </w:r>
    </w:p>
    <w:p w:rsidR="009F1343" w:rsidRPr="008909CD">
      <w:pPr>
        <w:adjustRightInd w:val="0"/>
        <w:snapToGrid w:val="0"/>
        <w:spacing w:line="360" w:lineRule="auto"/>
        <w:ind w:firstLine="420" w:firstLineChars="200"/>
        <w:rPr>
          <w:sz w:val="24"/>
        </w:rPr>
      </w:pPr>
      <w:r w:rsidRPr="008909CD">
        <w:rPr>
          <w:rFonts w:cs="Arial"/>
          <w:szCs w:val="21"/>
        </w:rPr>
        <w:br w:type="page"/>
      </w:r>
    </w:p>
    <w:p w:rsidR="009F1343" w:rsidRPr="008909CD">
      <w:pPr>
        <w:pStyle w:val="Heading2"/>
        <w:jc w:val="center"/>
        <w:rPr>
          <w:rFonts w:ascii="Times New Roman" w:eastAsia="宋体" w:hAnsi="Times New Roman"/>
          <w:sz w:val="30"/>
          <w:szCs w:val="24"/>
        </w:rPr>
      </w:pPr>
      <w:bookmarkStart w:id="8" w:name="_Toc124325887"/>
      <w:r w:rsidRPr="008909CD">
        <w:rPr>
          <w:rFonts w:ascii="Times New Roman" w:eastAsia="宋体" w:hint="eastAsia"/>
          <w:sz w:val="30"/>
        </w:rPr>
        <w:t>三、基金托管人对基金管理人的业务监督和核查</w:t>
      </w:r>
      <w:bookmarkEnd w:id="8"/>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F1343" w:rsidRPr="008909CD">
      <w:pPr>
        <w:adjustRightInd w:val="0"/>
        <w:snapToGrid w:val="0"/>
        <w:spacing w:line="360" w:lineRule="auto"/>
        <w:ind w:firstLine="420" w:firstLineChars="200"/>
        <w:rPr>
          <w:szCs w:val="21"/>
        </w:rPr>
      </w:pPr>
      <w:r w:rsidRPr="008909CD">
        <w:rPr>
          <w:rFonts w:hAnsi="宋体" w:hint="eastAsia"/>
          <w:szCs w:val="21"/>
        </w:rPr>
        <w:t>本基金的投资范围为具有良好流动性的金融工具，包括国内依法发行和上市交易的国债、地方政府债、金融债、次级债、央行票据、企业债、公司债、中期票据、短期融资券、可分离交易债券的纯债、资产支持证券、债券回购、银行存款等债券资产以及法律法规或中国证监会允许基金投资的其他金融工具，但须符合中国证监会相关规定。</w:t>
      </w:r>
    </w:p>
    <w:p w:rsidR="009F1343" w:rsidRPr="008909CD">
      <w:pPr>
        <w:adjustRightInd w:val="0"/>
        <w:snapToGrid w:val="0"/>
        <w:spacing w:line="360" w:lineRule="auto"/>
        <w:ind w:firstLine="420" w:firstLineChars="200"/>
        <w:rPr>
          <w:szCs w:val="21"/>
        </w:rPr>
      </w:pPr>
      <w:r w:rsidRPr="008909CD">
        <w:rPr>
          <w:rFonts w:hAnsi="宋体" w:hint="eastAsia"/>
          <w:szCs w:val="21"/>
        </w:rPr>
        <w:t>本基金不在二级市场买入股票、权证等资产，也不参与一级市场新股申购、新股增发，同时本基金不参与可转换债券投资。</w:t>
      </w:r>
    </w:p>
    <w:p w:rsidR="009F1343" w:rsidRPr="008909CD">
      <w:pPr>
        <w:adjustRightInd w:val="0"/>
        <w:snapToGrid w:val="0"/>
        <w:spacing w:line="360" w:lineRule="auto"/>
        <w:ind w:firstLine="420" w:firstLineChars="200"/>
        <w:rPr>
          <w:szCs w:val="21"/>
        </w:rPr>
      </w:pPr>
      <w:r w:rsidRPr="008909CD">
        <w:rPr>
          <w:rFonts w:hAnsi="宋体" w:hint="eastAsia"/>
          <w:szCs w:val="21"/>
        </w:rPr>
        <w:t>如法律法规或监管机构以后允许基金投资其他品种，本基金可以将其纳入投资范围。</w:t>
      </w:r>
    </w:p>
    <w:p w:rsidR="009F1343" w:rsidRPr="008909CD">
      <w:pPr>
        <w:adjustRightInd w:val="0"/>
        <w:snapToGrid w:val="0"/>
        <w:spacing w:line="360" w:lineRule="auto"/>
        <w:ind w:firstLine="420" w:firstLineChars="200"/>
        <w:rPr>
          <w:szCs w:val="21"/>
        </w:rPr>
      </w:pPr>
      <w:r w:rsidRPr="008909CD">
        <w:rPr>
          <w:rFonts w:hAnsi="宋体" w:hint="eastAsia"/>
          <w:szCs w:val="21"/>
        </w:rPr>
        <w:t>本基金各类资产的投资比例为：本基金投资于债券资产的比例不低于基金资产的</w:t>
      </w:r>
      <w:r w:rsidRPr="008909CD">
        <w:rPr>
          <w:rFonts w:hint="eastAsia"/>
          <w:szCs w:val="21"/>
        </w:rPr>
        <w:t>80%</w:t>
      </w:r>
      <w:r w:rsidRPr="008909CD">
        <w:rPr>
          <w:rFonts w:hAnsi="宋体" w:hint="eastAsia"/>
          <w:szCs w:val="21"/>
        </w:rPr>
        <w:t>，其中投资于高等级信用债的比例不低于非现金基金资产的</w:t>
      </w:r>
      <w:r w:rsidRPr="008909CD">
        <w:rPr>
          <w:rFonts w:hint="eastAsia"/>
          <w:szCs w:val="21"/>
        </w:rPr>
        <w:t>80%</w:t>
      </w:r>
      <w:r w:rsidRPr="008909CD">
        <w:rPr>
          <w:rFonts w:hAnsi="宋体" w:hint="eastAsia"/>
          <w:szCs w:val="21"/>
        </w:rPr>
        <w:t>；现金及到期日在一年以内的政府债券的比例合计不低于基金资产净值的</w:t>
      </w:r>
      <w:r w:rsidRPr="008909CD">
        <w:rPr>
          <w:szCs w:val="21"/>
        </w:rPr>
        <w:t>5%</w:t>
      </w:r>
      <w:r w:rsidRPr="008909CD">
        <w:rPr>
          <w:rFonts w:hint="eastAsia"/>
          <w:szCs w:val="21"/>
        </w:rPr>
        <w:t>，现金不包括结算备付金、存出保证金、应收申购款等</w:t>
      </w:r>
      <w:r w:rsidRPr="008909CD">
        <w:rPr>
          <w:rFonts w:hAnsi="宋体" w:hint="eastAsia"/>
          <w:szCs w:val="21"/>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本基金所指的高等级信用债为信用评级在</w:t>
      </w:r>
      <w:r w:rsidRPr="008909CD">
        <w:rPr>
          <w:rFonts w:hint="eastAsia"/>
          <w:szCs w:val="21"/>
        </w:rPr>
        <w:t>AAA</w:t>
      </w:r>
      <w:r w:rsidRPr="008909CD">
        <w:rPr>
          <w:rFonts w:hAnsi="宋体" w:hint="eastAsia"/>
          <w:szCs w:val="21"/>
        </w:rPr>
        <w:t>（含）到</w:t>
      </w:r>
      <w:r w:rsidRPr="008909CD">
        <w:rPr>
          <w:rFonts w:hint="eastAsia"/>
          <w:szCs w:val="21"/>
        </w:rPr>
        <w:t>AA+</w:t>
      </w:r>
      <w:r w:rsidRPr="008909CD">
        <w:rPr>
          <w:rFonts w:hAnsi="宋体" w:hint="eastAsia"/>
          <w:szCs w:val="21"/>
        </w:rPr>
        <w:t>（含）之间的信用债。</w:t>
      </w:r>
    </w:p>
    <w:p w:rsidR="009F1343" w:rsidRPr="008909CD">
      <w:pPr>
        <w:adjustRightInd w:val="0"/>
        <w:snapToGrid w:val="0"/>
        <w:spacing w:line="360" w:lineRule="auto"/>
        <w:ind w:firstLine="420" w:firstLineChars="200"/>
        <w:rPr>
          <w:szCs w:val="21"/>
        </w:rPr>
      </w:pPr>
      <w:r w:rsidRPr="008909CD">
        <w:rPr>
          <w:rFonts w:hAnsi="宋体" w:hint="eastAsia"/>
          <w:szCs w:val="21"/>
        </w:rPr>
        <w:t>本基金投资的企业债、公司债、金融债（不含政策性金融债）、地方政府债、中期票据、可分离交易债券的纯债、次级债和资产支持证券等信用债的信用评级依照评级机构出具的债券信用评级。</w:t>
      </w:r>
      <w:r w:rsidRPr="008909CD">
        <w:rPr>
          <w:szCs w:val="21"/>
        </w:rPr>
        <w:t xml:space="preserve"> </w:t>
      </w:r>
    </w:p>
    <w:p w:rsidR="009F1343" w:rsidRPr="008909CD">
      <w:pPr>
        <w:adjustRightInd w:val="0"/>
        <w:snapToGrid w:val="0"/>
        <w:spacing w:line="360" w:lineRule="auto"/>
        <w:ind w:firstLine="420" w:firstLineChars="200"/>
        <w:rPr>
          <w:szCs w:val="21"/>
        </w:rPr>
      </w:pPr>
      <w:r w:rsidRPr="008909CD">
        <w:rPr>
          <w:rFonts w:hAnsi="宋体" w:hint="eastAsia"/>
          <w:szCs w:val="21"/>
        </w:rPr>
        <w:t>本基金投资的短期融资券等信用债的信用评级依照评级机构出具的主体信用评级。</w:t>
      </w:r>
    </w:p>
    <w:p w:rsidR="009F1343" w:rsidRPr="008909CD">
      <w:pPr>
        <w:adjustRightInd w:val="0"/>
        <w:snapToGrid w:val="0"/>
        <w:spacing w:line="360" w:lineRule="auto"/>
        <w:ind w:firstLine="420" w:firstLineChars="200"/>
        <w:rPr>
          <w:szCs w:val="21"/>
        </w:rPr>
      </w:pPr>
      <w:r w:rsidRPr="008909CD">
        <w:rPr>
          <w:rFonts w:hAnsi="宋体" w:hint="eastAsia"/>
          <w:szCs w:val="21"/>
        </w:rPr>
        <w:t>（二）基金托管人根据有关法律法规的规定及基金合同的约定，对基金投资、融资比例进行监督。基金托管人按下述比例和调整期限进行监督：</w:t>
      </w:r>
    </w:p>
    <w:p w:rsidR="009F1343" w:rsidRPr="008909CD">
      <w:pPr>
        <w:adjustRightInd w:val="0"/>
        <w:snapToGrid w:val="0"/>
        <w:spacing w:line="360" w:lineRule="auto"/>
        <w:ind w:firstLine="420" w:firstLineChars="200"/>
        <w:rPr>
          <w:rFonts w:hAnsi="宋体"/>
          <w:szCs w:val="21"/>
        </w:rPr>
      </w:pPr>
      <w:r w:rsidRPr="008909CD">
        <w:rPr>
          <w:rFonts w:hAnsi="宋体" w:hint="eastAsia"/>
          <w:szCs w:val="21"/>
        </w:rPr>
        <w:t>（</w:t>
      </w:r>
      <w:r w:rsidRPr="008909CD">
        <w:rPr>
          <w:rFonts w:hint="eastAsia"/>
          <w:szCs w:val="21"/>
        </w:rPr>
        <w:t>1</w:t>
      </w:r>
      <w:r w:rsidRPr="008909CD">
        <w:rPr>
          <w:rFonts w:hAnsi="宋体" w:hint="eastAsia"/>
          <w:szCs w:val="21"/>
        </w:rPr>
        <w:t>）本基金投资于债券资产的比例不低于基金资产的</w:t>
      </w:r>
      <w:r w:rsidRPr="008909CD">
        <w:rPr>
          <w:rFonts w:hint="eastAsia"/>
          <w:szCs w:val="21"/>
        </w:rPr>
        <w:t>80%</w:t>
      </w:r>
      <w:r w:rsidRPr="008909CD">
        <w:rPr>
          <w:rFonts w:hAnsi="宋体" w:hint="eastAsia"/>
          <w:szCs w:val="21"/>
        </w:rPr>
        <w:t>，其中投资于高等级信用债的比例不低于非现金基金资产的</w:t>
      </w:r>
      <w:r w:rsidRPr="008909CD">
        <w:rPr>
          <w:rFonts w:hint="eastAsia"/>
          <w:szCs w:val="21"/>
        </w:rPr>
        <w:t>80%</w:t>
      </w:r>
      <w:r w:rsidRPr="008909CD">
        <w:rPr>
          <w:rFonts w:hAnsi="宋体" w:hint="eastAsia"/>
          <w:szCs w:val="21"/>
        </w:rPr>
        <w:t>。本基金所指信用债券具体包括企业债、公司债、金融债（不含政策性金融债）、地方政府债、短期融资券、中期票据、可分离交易债券的纯债、次级债和资产支持证券等除国债、央行票据和政策性金融债之外的、非国家信用担保的固定收益类金融工具</w:t>
      </w:r>
      <w:r w:rsidRPr="008909CD">
        <w:rPr>
          <w:rFonts w:hAnsi="宋体"/>
          <w:szCs w:val="21"/>
        </w:rPr>
        <w:t>；</w:t>
      </w:r>
      <w:r w:rsidRPr="008909CD">
        <w:rPr>
          <w:rFonts w:hAnsi="宋体" w:hint="eastAsia"/>
          <w:szCs w:val="21"/>
        </w:rPr>
        <w:t>本基金所指的高等级信用债为信用评级在</w:t>
      </w:r>
      <w:r w:rsidRPr="008909CD">
        <w:rPr>
          <w:rFonts w:hint="eastAsia"/>
          <w:szCs w:val="21"/>
        </w:rPr>
        <w:t>AAA</w:t>
      </w:r>
      <w:r w:rsidRPr="008909CD">
        <w:rPr>
          <w:rFonts w:hAnsi="宋体" w:hint="eastAsia"/>
          <w:szCs w:val="21"/>
        </w:rPr>
        <w:t>（含）到</w:t>
      </w:r>
      <w:r w:rsidRPr="008909CD">
        <w:rPr>
          <w:rFonts w:hint="eastAsia"/>
          <w:szCs w:val="21"/>
        </w:rPr>
        <w:t>AA+</w:t>
      </w:r>
      <w:r w:rsidRPr="008909CD">
        <w:rPr>
          <w:rFonts w:hAnsi="宋体" w:hint="eastAsia"/>
          <w:szCs w:val="21"/>
        </w:rPr>
        <w:t>（含）之间的信用债；</w:t>
      </w:r>
    </w:p>
    <w:p w:rsidR="009F1343" w:rsidRPr="008909CD">
      <w:pPr>
        <w:adjustRightInd w:val="0"/>
        <w:snapToGrid w:val="0"/>
        <w:spacing w:line="360" w:lineRule="auto"/>
        <w:ind w:firstLine="420" w:firstLineChars="200"/>
        <w:rPr>
          <w:szCs w:val="21"/>
        </w:rPr>
      </w:pPr>
      <w:r w:rsidRPr="008909CD">
        <w:rPr>
          <w:rFonts w:hAnsi="宋体" w:hint="eastAsia"/>
          <w:szCs w:val="21"/>
        </w:rPr>
        <w:t>（</w:t>
      </w:r>
      <w:r w:rsidRPr="008909CD">
        <w:rPr>
          <w:rFonts w:hAnsi="宋体" w:hint="eastAsia"/>
          <w:szCs w:val="21"/>
        </w:rPr>
        <w:t>2</w:t>
      </w:r>
      <w:r w:rsidRPr="008909CD">
        <w:rPr>
          <w:rFonts w:hAnsi="宋体"/>
          <w:szCs w:val="21"/>
        </w:rPr>
        <w:t>）</w:t>
      </w:r>
      <w:r w:rsidRPr="008909CD">
        <w:rPr>
          <w:rFonts w:hAnsi="宋体" w:hint="eastAsia"/>
          <w:szCs w:val="21"/>
        </w:rPr>
        <w:t>现金及到期日在一年以内的政府债券的比例合计不低于基金资产净值的</w:t>
      </w:r>
      <w:r w:rsidRPr="008909CD">
        <w:rPr>
          <w:szCs w:val="21"/>
        </w:rPr>
        <w:t>5%</w:t>
      </w:r>
      <w:r w:rsidRPr="008909CD">
        <w:rPr>
          <w:rFonts w:hint="eastAsia"/>
          <w:szCs w:val="21"/>
        </w:rPr>
        <w:t>，现金不包括结算备付金、存出保证金、应收申购款等；</w:t>
      </w:r>
    </w:p>
    <w:p w:rsidR="009F1343" w:rsidRPr="008909CD">
      <w:pPr>
        <w:adjustRightInd w:val="0"/>
        <w:snapToGrid w:val="0"/>
        <w:spacing w:line="360" w:lineRule="auto"/>
        <w:ind w:firstLine="420" w:firstLineChars="200"/>
        <w:rPr>
          <w:szCs w:val="21"/>
        </w:rPr>
      </w:pPr>
      <w:r w:rsidRPr="008909CD">
        <w:rPr>
          <w:rFonts w:hAnsi="宋体" w:hint="eastAsia"/>
          <w:szCs w:val="21"/>
        </w:rPr>
        <w:t>（</w:t>
      </w:r>
      <w:r w:rsidRPr="008909CD">
        <w:rPr>
          <w:szCs w:val="21"/>
        </w:rPr>
        <w:t>3</w:t>
      </w:r>
      <w:r w:rsidRPr="008909CD">
        <w:rPr>
          <w:rFonts w:hAnsi="宋体" w:hint="eastAsia"/>
          <w:szCs w:val="21"/>
        </w:rPr>
        <w:t>）</w:t>
      </w:r>
      <w:r w:rsidRPr="008909CD">
        <w:rPr>
          <w:rFonts w:hAnsi="宋体"/>
          <w:szCs w:val="21"/>
        </w:rPr>
        <w:t>本基金进入全国银行间同业市场进行债券回购的资金余额不得超过基金资产净值的</w:t>
      </w:r>
      <w:r w:rsidRPr="008909CD">
        <w:rPr>
          <w:szCs w:val="21"/>
        </w:rPr>
        <w:t>40%</w:t>
      </w:r>
      <w:r w:rsidRPr="008909CD">
        <w:rPr>
          <w:rFonts w:hAnsi="宋体"/>
          <w:szCs w:val="21"/>
        </w:rPr>
        <w:t>；</w:t>
      </w:r>
    </w:p>
    <w:p w:rsidR="009F1343" w:rsidRPr="008909CD">
      <w:pPr>
        <w:adjustRightInd w:val="0"/>
        <w:snapToGrid w:val="0"/>
        <w:spacing w:line="360" w:lineRule="auto"/>
        <w:ind w:firstLine="420" w:firstLineChars="200"/>
        <w:rPr>
          <w:szCs w:val="21"/>
        </w:rPr>
      </w:pPr>
      <w:r w:rsidRPr="008909CD">
        <w:rPr>
          <w:rFonts w:hAnsi="宋体"/>
          <w:szCs w:val="21"/>
        </w:rPr>
        <w:t>（</w:t>
      </w:r>
      <w:r w:rsidRPr="008909CD">
        <w:rPr>
          <w:szCs w:val="21"/>
        </w:rPr>
        <w:t>4</w:t>
      </w:r>
      <w:r w:rsidRPr="008909CD">
        <w:rPr>
          <w:rFonts w:hAnsi="宋体"/>
          <w:szCs w:val="21"/>
        </w:rPr>
        <w:t>）本基金投资于同一原始权益人的各类资产支持证券的比例，不得超过基金资产净值的</w:t>
      </w:r>
      <w:r w:rsidRPr="008909CD">
        <w:rPr>
          <w:szCs w:val="21"/>
        </w:rPr>
        <w:t>10%</w:t>
      </w:r>
      <w:r w:rsidRPr="008909CD">
        <w:rPr>
          <w:rFonts w:hAnsi="宋体"/>
          <w:szCs w:val="21"/>
        </w:rPr>
        <w:t>；本基金持有的全部资产支持证券，其市值不得超过基金资产净值的</w:t>
      </w:r>
      <w:r w:rsidRPr="008909CD">
        <w:rPr>
          <w:szCs w:val="21"/>
        </w:rPr>
        <w:t>20%</w:t>
      </w:r>
      <w:r w:rsidRPr="008909CD">
        <w:rPr>
          <w:rFonts w:hAnsi="宋体"/>
          <w:szCs w:val="21"/>
        </w:rPr>
        <w:t>；本基金持有的同一（指同一信用级别）资产支持证券的比例，不得超过该资产支持证券规模的</w:t>
      </w:r>
      <w:r w:rsidRPr="008909CD">
        <w:rPr>
          <w:szCs w:val="21"/>
        </w:rPr>
        <w:t>10%</w:t>
      </w:r>
      <w:r w:rsidRPr="008909CD">
        <w:rPr>
          <w:rFonts w:hAnsi="宋体"/>
          <w:szCs w:val="21"/>
        </w:rPr>
        <w:t>；</w:t>
      </w:r>
    </w:p>
    <w:p w:rsidR="009F1343" w:rsidRPr="008909CD">
      <w:pPr>
        <w:adjustRightInd w:val="0"/>
        <w:snapToGrid w:val="0"/>
        <w:spacing w:line="360" w:lineRule="auto"/>
        <w:ind w:firstLine="420" w:firstLineChars="200"/>
        <w:rPr>
          <w:rFonts w:hAnsi="宋体"/>
          <w:szCs w:val="21"/>
        </w:rPr>
      </w:pPr>
      <w:r w:rsidRPr="008909CD">
        <w:rPr>
          <w:rFonts w:hAnsi="宋体"/>
          <w:szCs w:val="21"/>
        </w:rPr>
        <w:t>（</w:t>
      </w:r>
      <w:r w:rsidRPr="008909CD">
        <w:rPr>
          <w:szCs w:val="21"/>
        </w:rPr>
        <w:t>5</w:t>
      </w:r>
      <w:r w:rsidRPr="008909CD">
        <w:rPr>
          <w:rFonts w:hAnsi="宋体"/>
          <w:szCs w:val="21"/>
        </w:rPr>
        <w:t>）本基金应投资于信用级别评级为</w:t>
      </w:r>
      <w:r w:rsidRPr="008909CD">
        <w:rPr>
          <w:szCs w:val="21"/>
        </w:rPr>
        <w:t>BBB</w:t>
      </w:r>
      <w:r w:rsidRPr="008909CD">
        <w:rPr>
          <w:rFonts w:hAnsi="宋体"/>
          <w:szCs w:val="21"/>
        </w:rPr>
        <w:t>以上（含</w:t>
      </w:r>
      <w:r w:rsidRPr="008909CD">
        <w:rPr>
          <w:szCs w:val="21"/>
        </w:rPr>
        <w:t>BBB</w:t>
      </w:r>
      <w:r w:rsidRPr="008909CD">
        <w:rPr>
          <w:rFonts w:hAnsi="宋体"/>
          <w:szCs w:val="21"/>
        </w:rPr>
        <w:t>）的资产支持证券，本基金持有资产支持证券期间，如果其信用等级下降、不再符合投资标准，应在评级报告发布之日起</w:t>
      </w:r>
      <w:r w:rsidRPr="008909CD">
        <w:rPr>
          <w:szCs w:val="21"/>
        </w:rPr>
        <w:t>3</w:t>
      </w:r>
      <w:r w:rsidRPr="008909CD">
        <w:rPr>
          <w:rFonts w:hAnsi="宋体"/>
          <w:szCs w:val="21"/>
        </w:rPr>
        <w:t>个月内予以全部卖出</w:t>
      </w:r>
      <w:r w:rsidRPr="008909CD">
        <w:rPr>
          <w:rFonts w:hAnsi="宋体" w:hint="eastAsia"/>
          <w:szCs w:val="21"/>
        </w:rPr>
        <w:t>。</w:t>
      </w:r>
    </w:p>
    <w:p w:rsidR="009F1343" w:rsidRPr="008909CD">
      <w:pPr>
        <w:adjustRightInd w:val="0"/>
        <w:snapToGrid w:val="0"/>
        <w:spacing w:line="360" w:lineRule="auto"/>
        <w:ind w:firstLine="420" w:firstLineChars="200"/>
        <w:rPr>
          <w:rFonts w:hAnsi="宋体"/>
          <w:szCs w:val="21"/>
        </w:rPr>
      </w:pPr>
      <w:r w:rsidRPr="008909CD">
        <w:rPr>
          <w:rFonts w:hAnsi="宋体" w:hint="eastAsia"/>
          <w:szCs w:val="21"/>
        </w:rPr>
        <w:t>（</w:t>
      </w:r>
      <w:r w:rsidRPr="008909CD">
        <w:rPr>
          <w:rFonts w:hAnsi="宋体"/>
          <w:szCs w:val="21"/>
        </w:rPr>
        <w:t>6</w:t>
      </w:r>
      <w:r w:rsidRPr="008909CD">
        <w:rPr>
          <w:rFonts w:hAnsi="宋体" w:hint="eastAsia"/>
          <w:szCs w:val="21"/>
        </w:rPr>
        <w:t>）本基金主动投资于流动性受限资产的市值合计不得超过该基金资产净值的</w:t>
      </w:r>
      <w:r w:rsidRPr="008909CD">
        <w:rPr>
          <w:rFonts w:hAnsi="宋体" w:hint="eastAsia"/>
          <w:szCs w:val="21"/>
        </w:rPr>
        <w:t>15%</w:t>
      </w:r>
      <w:r w:rsidRPr="008909CD">
        <w:rPr>
          <w:rFonts w:hAnsi="宋体" w:hint="eastAsia"/>
          <w:szCs w:val="21"/>
        </w:rPr>
        <w:t>。</w:t>
      </w:r>
    </w:p>
    <w:p w:rsidR="009F1343" w:rsidRPr="008909CD">
      <w:pPr>
        <w:adjustRightInd w:val="0"/>
        <w:snapToGrid w:val="0"/>
        <w:spacing w:line="360" w:lineRule="auto"/>
        <w:ind w:firstLine="420" w:firstLineChars="200"/>
        <w:rPr>
          <w:rFonts w:hAnsi="宋体"/>
          <w:szCs w:val="21"/>
        </w:rPr>
      </w:pPr>
      <w:r w:rsidRPr="008909CD">
        <w:rPr>
          <w:rFonts w:hAnsi="宋体" w:hint="eastAsia"/>
          <w:szCs w:val="21"/>
        </w:rPr>
        <w:t>因证券市场波动、证券停牌、基金规模变动等基金管理人之外的因素致使基金不符合前款所规定比例限制的，基金管理人不得主动新增流动性受限资产的投资。</w:t>
      </w:r>
    </w:p>
    <w:p w:rsidR="009F1343" w:rsidRPr="008909CD">
      <w:pPr>
        <w:adjustRightInd w:val="0"/>
        <w:snapToGrid w:val="0"/>
        <w:spacing w:line="360" w:lineRule="auto"/>
        <w:ind w:firstLine="420" w:firstLineChars="200"/>
        <w:rPr>
          <w:rFonts w:hAnsi="宋体"/>
          <w:szCs w:val="21"/>
        </w:rPr>
      </w:pPr>
      <w:r w:rsidRPr="008909CD">
        <w:rPr>
          <w:rFonts w:hAnsi="宋体" w:hint="eastAsia"/>
          <w:szCs w:val="21"/>
        </w:rPr>
        <w:t>（</w:t>
      </w:r>
      <w:r w:rsidRPr="008909CD">
        <w:rPr>
          <w:rFonts w:hAnsi="宋体"/>
          <w:szCs w:val="21"/>
        </w:rPr>
        <w:t>7</w:t>
      </w:r>
      <w:r w:rsidRPr="008909CD">
        <w:rPr>
          <w:rFonts w:hAnsi="宋体" w:hint="eastAsia"/>
          <w:szCs w:val="21"/>
        </w:rPr>
        <w:t>）本基金与私募类证券资管产品及中国证监会认定的其他主体为交易对手开展逆回购交易的，可接受质押品的资质要求应当与基金合同约定的投资范围保持一致。</w:t>
      </w:r>
    </w:p>
    <w:p w:rsidR="009F1343" w:rsidRPr="008909CD">
      <w:pPr>
        <w:adjustRightInd w:val="0"/>
        <w:snapToGrid w:val="0"/>
        <w:spacing w:line="360" w:lineRule="auto"/>
        <w:ind w:firstLine="420" w:firstLineChars="200"/>
        <w:rPr>
          <w:rFonts w:hAnsi="宋体"/>
          <w:szCs w:val="21"/>
        </w:rPr>
      </w:pPr>
      <w:r w:rsidRPr="008909CD">
        <w:rPr>
          <w:rFonts w:hAnsi="宋体" w:hint="eastAsia"/>
          <w:szCs w:val="21"/>
        </w:rPr>
        <w:t>（</w:t>
      </w:r>
      <w:r w:rsidRPr="008909CD">
        <w:rPr>
          <w:rFonts w:hAnsi="宋体"/>
          <w:szCs w:val="21"/>
        </w:rPr>
        <w:t>8</w:t>
      </w:r>
      <w:r w:rsidRPr="008909CD">
        <w:rPr>
          <w:rFonts w:hAnsi="宋体" w:hint="eastAsia"/>
          <w:szCs w:val="21"/>
        </w:rPr>
        <w:t>）法律法规及中国证监会规定的和《基金合同》约定的其他投资限制。</w:t>
      </w:r>
    </w:p>
    <w:p w:rsidR="009F1343" w:rsidRPr="008909CD">
      <w:pPr>
        <w:adjustRightInd w:val="0"/>
        <w:snapToGrid w:val="0"/>
        <w:spacing w:line="360" w:lineRule="auto"/>
        <w:ind w:firstLine="420" w:firstLineChars="200"/>
        <w:rPr>
          <w:szCs w:val="21"/>
        </w:rPr>
      </w:pPr>
      <w:r w:rsidRPr="008909CD">
        <w:rPr>
          <w:rFonts w:hAnsi="宋体" w:hint="eastAsia"/>
          <w:szCs w:val="21"/>
        </w:rPr>
        <w:t>除上述（</w:t>
      </w:r>
      <w:r w:rsidRPr="008909CD">
        <w:rPr>
          <w:rFonts w:hAnsi="宋体" w:hint="eastAsia"/>
          <w:szCs w:val="21"/>
        </w:rPr>
        <w:t>2</w:t>
      </w:r>
      <w:r w:rsidRPr="008909CD">
        <w:rPr>
          <w:rFonts w:hAnsi="宋体" w:hint="eastAsia"/>
          <w:szCs w:val="21"/>
        </w:rPr>
        <w:t>）、（</w:t>
      </w:r>
      <w:r w:rsidRPr="008909CD">
        <w:rPr>
          <w:rFonts w:hAnsi="宋体"/>
          <w:szCs w:val="21"/>
        </w:rPr>
        <w:t>5</w:t>
      </w:r>
      <w:r w:rsidRPr="008909CD">
        <w:rPr>
          <w:rFonts w:hAnsi="宋体" w:hint="eastAsia"/>
          <w:szCs w:val="21"/>
        </w:rPr>
        <w:t>）、（</w:t>
      </w:r>
      <w:r w:rsidRPr="008909CD">
        <w:rPr>
          <w:rFonts w:hAnsi="宋体"/>
          <w:szCs w:val="21"/>
        </w:rPr>
        <w:t>6</w:t>
      </w:r>
      <w:r w:rsidRPr="008909CD">
        <w:rPr>
          <w:rFonts w:hAnsi="宋体" w:hint="eastAsia"/>
          <w:szCs w:val="21"/>
        </w:rPr>
        <w:t>）、（</w:t>
      </w:r>
      <w:r w:rsidRPr="008909CD">
        <w:rPr>
          <w:rFonts w:hAnsi="宋体"/>
          <w:szCs w:val="21"/>
        </w:rPr>
        <w:t>7</w:t>
      </w:r>
      <w:r w:rsidRPr="008909CD">
        <w:rPr>
          <w:rFonts w:hAnsi="宋体" w:hint="eastAsia"/>
          <w:szCs w:val="21"/>
        </w:rPr>
        <w:t>）以外，</w:t>
      </w:r>
      <w:r w:rsidRPr="008909CD">
        <w:rPr>
          <w:rFonts w:hAnsi="宋体"/>
          <w:szCs w:val="21"/>
        </w:rPr>
        <w:t>因证券</w:t>
      </w:r>
      <w:r w:rsidRPr="008909CD">
        <w:rPr>
          <w:rFonts w:hAnsi="宋体" w:hint="eastAsia"/>
          <w:szCs w:val="21"/>
        </w:rPr>
        <w:t>市场</w:t>
      </w:r>
      <w:r w:rsidRPr="008909CD">
        <w:rPr>
          <w:rFonts w:hAnsi="宋体"/>
          <w:szCs w:val="21"/>
        </w:rPr>
        <w:t>波动、</w:t>
      </w:r>
      <w:r w:rsidRPr="008909CD">
        <w:rPr>
          <w:rFonts w:hAnsi="宋体" w:hint="eastAsia"/>
          <w:szCs w:val="21"/>
        </w:rPr>
        <w:t>证券发行人</w:t>
      </w:r>
      <w:r w:rsidRPr="008909CD">
        <w:rPr>
          <w:rFonts w:hAnsi="宋体"/>
          <w:szCs w:val="21"/>
        </w:rPr>
        <w:t>合并、基金规模变动等基金管理人之外的因素致使基金投资比例不符合上述规定投资比例的，基金管理人应当在</w:t>
      </w:r>
      <w:r w:rsidRPr="008909CD">
        <w:rPr>
          <w:szCs w:val="21"/>
        </w:rPr>
        <w:t>10</w:t>
      </w:r>
      <w:r w:rsidRPr="008909CD">
        <w:rPr>
          <w:rFonts w:hAnsi="宋体"/>
          <w:szCs w:val="21"/>
        </w:rPr>
        <w:t>个交易日内进行调整。法律法规或监管部门取消上述限制，如适用于本基金，则本基金投资不再受相关限制。</w:t>
      </w:r>
    </w:p>
    <w:p w:rsidR="009F1343" w:rsidRPr="008909CD">
      <w:pPr>
        <w:adjustRightInd w:val="0"/>
        <w:snapToGrid w:val="0"/>
        <w:spacing w:line="360" w:lineRule="auto"/>
        <w:ind w:firstLine="420" w:firstLineChars="200"/>
        <w:rPr>
          <w:szCs w:val="21"/>
        </w:rPr>
      </w:pPr>
      <w:r w:rsidRPr="008909CD">
        <w:rPr>
          <w:rFonts w:hAnsi="宋体" w:hint="eastAsia"/>
          <w:szCs w:val="21"/>
        </w:rPr>
        <w:t>基金管理人应当自基金合同生效之日起</w:t>
      </w:r>
      <w:r w:rsidRPr="008909CD">
        <w:rPr>
          <w:rFonts w:hint="eastAsia"/>
          <w:szCs w:val="21"/>
        </w:rPr>
        <w:t>6</w:t>
      </w:r>
      <w:r w:rsidRPr="008909CD">
        <w:rPr>
          <w:rFonts w:hAnsi="宋体" w:hint="eastAsia"/>
          <w:szCs w:val="21"/>
        </w:rPr>
        <w:t>个月内使基金的投资组合比例符合基金合同的有关约定。基金托管人对基金的投资的监督与检查自本基金合同生效之日起开始。</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（三）基金托管人</w:t>
      </w:r>
      <w:bookmarkStart w:id="9" w:name="OLE_LINK1"/>
      <w:r w:rsidRPr="008909CD">
        <w:rPr>
          <w:rFonts w:hAnsi="宋体" w:cs="Arial" w:hint="eastAsia"/>
          <w:szCs w:val="21"/>
        </w:rPr>
        <w:t>根据有关法律法规的规定及基金合同的约定，</w:t>
      </w:r>
      <w:bookmarkEnd w:id="9"/>
      <w:r w:rsidRPr="008909CD">
        <w:rPr>
          <w:rFonts w:hAnsi="宋体" w:cs="Arial" w:hint="eastAsia"/>
          <w:szCs w:val="21"/>
        </w:rPr>
        <w:t>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9F1343" w:rsidRPr="008909CD">
      <w:pPr>
        <w:adjustRightInd w:val="0"/>
        <w:snapToGrid w:val="0"/>
        <w:spacing w:line="360" w:lineRule="auto"/>
        <w:ind w:firstLine="420" w:firstLineChars="200"/>
        <w:rPr>
          <w:rFonts w:cs="Arial"/>
          <w:szCs w:val="21"/>
        </w:rPr>
      </w:pPr>
      <w:bookmarkStart w:id="10" w:name="OLE_LINK2"/>
      <w:r w:rsidRPr="008909CD">
        <w:rPr>
          <w:rFonts w:hAnsi="宋体" w:cs="Arial" w:hint="eastAsia"/>
          <w:szCs w:val="21"/>
        </w:rPr>
        <w:t>若基金托管人发现基金管理人与关联交易名单中列示的关联方进行法律法规禁止基金从事的关联交易时，基金托管人应及时提醒基金管理人采取必要措施阻止该关联交易的发生</w:t>
      </w:r>
      <w:bookmarkEnd w:id="10"/>
      <w:r w:rsidRPr="008909CD">
        <w:rPr>
          <w:rFonts w:hAnsi="宋体" w:cs="Arial" w:hint="eastAsia"/>
          <w:szCs w:val="21"/>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（四）基金托管人根据有关法律法规的规定及基金合同的约定，对基金管理人参与银行</w:t>
      </w:r>
      <w:r w:rsidRPr="008909CD">
        <w:rPr>
          <w:rFonts w:hAnsi="宋体" w:cs="Arial" w:hint="eastAsia"/>
          <w:szCs w:val="21"/>
        </w:rPr>
        <w:t>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w:t>
      </w:r>
      <w:r w:rsidRPr="008909CD">
        <w:rPr>
          <w:rFonts w:cs="Arial" w:hint="eastAsia"/>
          <w:szCs w:val="21"/>
        </w:rPr>
        <w:t>3</w:t>
      </w:r>
      <w:r w:rsidRPr="008909CD">
        <w:rPr>
          <w:rFonts w:hAnsi="宋体" w:cs="Arial" w:hint="eastAsia"/>
          <w:szCs w:val="21"/>
        </w:rPr>
        <w:t>个工作日内与基金托管人协商解决。</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基金管理人负责对交易对手的资信控制，按银行间债券市场的交易规则进行交易，并</w:t>
      </w:r>
      <w:r w:rsidRPr="008909CD">
        <w:rPr>
          <w:rFonts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8909CD">
        <w:rPr>
          <w:rFonts w:hAnsi="宋体" w:cs="Arial" w:hint="eastAsia"/>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（八）若基金托管人发现基金管理人依据交易程序已经生效的指令违反法律、行政法规和其他有关规定，或者违反基金合同约定的，应当立即通知基金管理人，由此造成的损失由基金管理人承担。</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（九）基金托管人发现基金管理人有重大违规行为，应及时报告中国证监会，同时通知</w:t>
      </w:r>
      <w:r w:rsidRPr="008909CD">
        <w:rPr>
          <w:rFonts w:hAnsi="宋体" w:cs="Arial" w:hint="eastAsia"/>
          <w:szCs w:val="21"/>
        </w:rPr>
        <w:t>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F1343" w:rsidRPr="008909CD">
      <w:pPr>
        <w:adjustRightInd w:val="0"/>
        <w:snapToGrid w:val="0"/>
        <w:spacing w:line="360" w:lineRule="auto"/>
        <w:ind w:firstLine="420" w:firstLineChars="200"/>
        <w:rPr>
          <w:sz w:val="24"/>
        </w:rPr>
      </w:pPr>
      <w:r w:rsidRPr="008909CD">
        <w:rPr>
          <w:rFonts w:cs="Arial"/>
          <w:szCs w:val="21"/>
        </w:rPr>
        <w:br w:type="page"/>
      </w:r>
    </w:p>
    <w:p w:rsidR="009F1343" w:rsidRPr="008909CD">
      <w:pPr>
        <w:pStyle w:val="Heading2"/>
        <w:jc w:val="center"/>
        <w:rPr>
          <w:rFonts w:ascii="Times New Roman" w:eastAsia="宋体" w:hAnsi="Times New Roman"/>
          <w:sz w:val="30"/>
        </w:rPr>
      </w:pPr>
      <w:bookmarkStart w:id="11" w:name="_Toc86223242"/>
      <w:bookmarkStart w:id="12" w:name="_Toc86225291"/>
      <w:bookmarkStart w:id="13" w:name="_Toc108512358"/>
      <w:bookmarkStart w:id="14" w:name="_Toc110761796"/>
      <w:bookmarkStart w:id="15" w:name="_Toc110765660"/>
      <w:bookmarkStart w:id="16" w:name="_Toc110830492"/>
      <w:bookmarkStart w:id="17" w:name="_Toc89163368"/>
      <w:bookmarkStart w:id="18" w:name="_Toc118212950"/>
      <w:bookmarkStart w:id="19" w:name="_Toc118774803"/>
      <w:bookmarkStart w:id="20" w:name="_Toc118972648"/>
      <w:bookmarkStart w:id="21" w:name="_Toc119402710"/>
      <w:bookmarkStart w:id="22" w:name="_Toc120435783"/>
      <w:bookmarkStart w:id="23" w:name="_Toc124325888"/>
      <w:bookmarkStart w:id="24" w:name="_Toc86649722"/>
      <w:bookmarkStart w:id="25" w:name="_Toc86726439"/>
      <w:bookmarkStart w:id="26" w:name="_Toc86727355"/>
      <w:bookmarkStart w:id="27" w:name="_Toc86737929"/>
      <w:r w:rsidRPr="008909CD">
        <w:rPr>
          <w:rFonts w:ascii="Times New Roman" w:eastAsia="宋体" w:hint="eastAsia"/>
          <w:sz w:val="30"/>
        </w:rPr>
        <w:t>四、基金管理人对基金托管人的业务核查</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r w:rsidRPr="008909CD">
        <w:rPr>
          <w:kern w:val="0"/>
          <w:sz w:val="24"/>
        </w:rPr>
        <w:t>、</w:t>
      </w:r>
      <w:r w:rsidRPr="008909CD">
        <w:rPr>
          <w:rFonts w:hAnsi="宋体" w:cs="Arial"/>
          <w:szCs w:val="21"/>
        </w:rPr>
        <w:t>就基金管理人的疑义进行解释或举证</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F1343" w:rsidRPr="008909CD">
      <w:pPr>
        <w:adjustRightInd w:val="0"/>
        <w:snapToGrid w:val="0"/>
        <w:spacing w:line="360" w:lineRule="auto"/>
        <w:ind w:firstLine="480"/>
        <w:rPr>
          <w:rFonts w:cs="Arial"/>
          <w:szCs w:val="21"/>
        </w:rPr>
      </w:pPr>
      <w:r w:rsidRPr="008909CD">
        <w:rPr>
          <w:rFonts w:cs="Arial"/>
          <w:szCs w:val="21"/>
        </w:rPr>
        <w:br w:type="page"/>
      </w:r>
    </w:p>
    <w:p w:rsidR="009F1343" w:rsidRPr="008909CD">
      <w:pPr>
        <w:rPr>
          <w:sz w:val="24"/>
        </w:rPr>
      </w:pPr>
    </w:p>
    <w:p w:rsidR="009F1343" w:rsidRPr="008909CD">
      <w:pPr>
        <w:pStyle w:val="Heading2"/>
        <w:jc w:val="center"/>
        <w:rPr>
          <w:rFonts w:ascii="Times New Roman" w:eastAsia="宋体" w:hAnsi="Times New Roman"/>
          <w:sz w:val="30"/>
        </w:rPr>
      </w:pPr>
      <w:bookmarkStart w:id="28" w:name="_Toc118972649"/>
      <w:bookmarkStart w:id="29" w:name="_Toc84234435"/>
      <w:bookmarkStart w:id="30" w:name="_Toc118212951"/>
      <w:bookmarkStart w:id="31" w:name="_Toc124325889"/>
      <w:bookmarkStart w:id="32" w:name="_Toc84133786"/>
      <w:bookmarkStart w:id="33" w:name="_Toc118774804"/>
      <w:bookmarkStart w:id="34" w:name="_Toc120435784"/>
      <w:bookmarkStart w:id="35" w:name="_Toc86225292"/>
      <w:bookmarkStart w:id="36" w:name="_Toc86204789"/>
      <w:bookmarkStart w:id="37" w:name="_Toc119402711"/>
      <w:bookmarkStart w:id="38" w:name="_Toc86649723"/>
      <w:bookmarkStart w:id="39" w:name="_Toc84234388"/>
      <w:bookmarkStart w:id="40" w:name="_Toc86223243"/>
      <w:bookmarkStart w:id="41" w:name="_Toc86726440"/>
      <w:bookmarkStart w:id="42" w:name="_Toc86727356"/>
      <w:bookmarkStart w:id="43" w:name="_Toc86737930"/>
      <w:bookmarkStart w:id="44" w:name="_Toc89163369"/>
      <w:bookmarkStart w:id="45" w:name="_Toc108512359"/>
      <w:bookmarkStart w:id="46" w:name="_Toc110761797"/>
      <w:bookmarkStart w:id="47" w:name="_Toc110765661"/>
      <w:bookmarkStart w:id="48" w:name="_Toc110830493"/>
      <w:r w:rsidRPr="008909CD">
        <w:rPr>
          <w:rFonts w:ascii="Times New Roman" w:eastAsia="宋体" w:hint="eastAsia"/>
          <w:sz w:val="30"/>
        </w:rPr>
        <w:t>五、基金财产的保管</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（一）基金财产保管的原则</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基金财产应独立于基金管理人、基金托管人的固有财产。</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基金托管人应安全保管基金财产。</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基金托管人按照规定开设基金财产的资金账户和证券账户。</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基金托管人对所托管的不同基金财产分别设置账户，确保基金财产的完整与独立。</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5.</w:t>
      </w:r>
      <w:r w:rsidRPr="008909CD">
        <w:rPr>
          <w:rFonts w:hAnsi="宋体" w:cs="Arial" w:hint="eastAsia"/>
          <w:szCs w:val="21"/>
        </w:rPr>
        <w:t>基金托管人按照基金合同和本协议的约定保管基金财产，如有特殊情况双方可另行协商解决。</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6.</w:t>
      </w:r>
      <w:r w:rsidRPr="008909CD">
        <w:rPr>
          <w:rFonts w:hAnsi="宋体" w:cs="Arial" w:hint="eastAsia"/>
          <w:szCs w:val="21"/>
        </w:rPr>
        <w:t>对于因为基金投资产生的应收资产，</w:t>
      </w:r>
      <w:r w:rsidRPr="008909CD">
        <w:rPr>
          <w:rFonts w:hAnsi="宋体" w:cs="Arial"/>
          <w:szCs w:val="21"/>
        </w:rPr>
        <w:t>如基金托管人无法从公开信息或基金管理人提供的书面资料中获取到账日期信息的，</w:t>
      </w:r>
      <w:r w:rsidRPr="008909CD">
        <w:rPr>
          <w:rFonts w:hAnsi="宋体" w:cs="Arial" w:hint="eastAsia"/>
          <w:szCs w:val="21"/>
        </w:rPr>
        <w:t>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7.</w:t>
      </w:r>
      <w:r w:rsidRPr="008909CD">
        <w:rPr>
          <w:rFonts w:hAnsi="宋体" w:cs="Arial" w:hint="eastAsia"/>
          <w:szCs w:val="21"/>
        </w:rPr>
        <w:t>除依据法律法规和基金合同的规定外，基金托管人不得委托第三人托管基金财产。</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（二）基金募集期间及募集资金的验资</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基金募集期间募集的资金应存于基金管理人开设的基金募集专户，在基金募集行为结束前，任何人不得动用。</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募集期满或基金停止募集时，募集的基金份额总额、基金募集金额、基金份额持有人人数符合《基金法》、《运作办法》等有关规定后，基金管理人应将属于基金财产的全部资金划入基金托管人以本基金的名义开立的基金银行账户；同时在规定时间内，由基金管理人聘请具有从事证券相关业务资格的会计师事务所进行验资，出具验资报告，验资报告中需对基金募集的资金进行确认。出具的验资报告由参加验资的</w:t>
      </w:r>
      <w:r w:rsidRPr="008909CD">
        <w:rPr>
          <w:rFonts w:cs="Arial" w:hint="eastAsia"/>
          <w:szCs w:val="21"/>
        </w:rPr>
        <w:t>2</w:t>
      </w:r>
      <w:r w:rsidRPr="008909CD">
        <w:rPr>
          <w:rFonts w:hAnsi="宋体" w:cs="Arial" w:hint="eastAsia"/>
          <w:szCs w:val="21"/>
        </w:rPr>
        <w:t>名或</w:t>
      </w:r>
      <w:r w:rsidRPr="008909CD">
        <w:rPr>
          <w:rFonts w:cs="Arial" w:hint="eastAsia"/>
          <w:szCs w:val="21"/>
        </w:rPr>
        <w:t>2</w:t>
      </w:r>
      <w:r w:rsidRPr="008909CD">
        <w:rPr>
          <w:rFonts w:hAnsi="宋体" w:cs="Arial" w:hint="eastAsia"/>
          <w:szCs w:val="21"/>
        </w:rPr>
        <w:t>名以上中国注册会计师签字方为有效。</w:t>
      </w:r>
    </w:p>
    <w:p w:rsidR="009F1343" w:rsidRPr="008909CD">
      <w:pPr>
        <w:widowControl/>
        <w:adjustRightInd w:val="0"/>
        <w:snapToGrid w:val="0"/>
        <w:spacing w:line="360" w:lineRule="auto"/>
        <w:ind w:firstLine="420" w:firstLineChars="200"/>
        <w:rPr>
          <w:rFonts w:cs="Arial"/>
          <w:kern w:val="0"/>
          <w:szCs w:val="21"/>
        </w:rPr>
      </w:pPr>
      <w:r w:rsidRPr="008909CD">
        <w:rPr>
          <w:rFonts w:cs="Arial" w:hint="eastAsia"/>
          <w:szCs w:val="21"/>
        </w:rPr>
        <w:t>3.</w:t>
      </w:r>
      <w:r w:rsidRPr="008909CD">
        <w:rPr>
          <w:rFonts w:hAnsi="宋体" w:cs="Arial" w:hint="eastAsia"/>
          <w:szCs w:val="21"/>
        </w:rPr>
        <w:t>若基金募集期限届满，未能达到基金合同生效的条件，由基金管理人按规定办理退款事宜，</w:t>
      </w:r>
      <w:r w:rsidRPr="008909CD">
        <w:rPr>
          <w:rFonts w:hAnsi="宋体" w:cs="Arial"/>
          <w:szCs w:val="21"/>
        </w:rPr>
        <w:t>基金托管人应提供充分协助</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（三）基金银行账户的开立和管理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基金托管人应当以本基金的名义在其营业机构开立基金的银行账户，并根据基金管理人合法合规的指令办理资金收付。本基金的银行预留印鉴由基金托管人保管和使用。</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基金银行账户的开立和使用，限于满足开展本基金业务的需要。基金托管人和基金管理人不得假借本基金的名义开立任何其他银行账户；亦不得使用基金的任何账户进行本基金业务以外的活动。</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基金银行账户的开立和管理应符合银行业监督管理机构的有关规定。</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在符合法律法规规定的条件下，基金托管人可以通过基金托管人专用账户办理基金资产的支付。</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（四）基金证券账户和结算备付金账户的开立和管理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基金托管人在中国证券登记结算有限责任公司为基金开立基金托管人与基金联名的证券账户。</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基金证券账户的开立和使用，仅限于满足开展本基金业务的需要。基金托管人和基金管理人不得出借或未经对方同意擅自转让基金的任何证券账户，亦不得使用基金的任何账户进行本基金业务以外的活动。</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基金证券账户的开立和证券账户卡的保管由基金托管人负责，账户资产的管理和运用由基金管理人负责。</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5.</w:t>
      </w:r>
      <w:r w:rsidRPr="008909CD">
        <w:rPr>
          <w:rFonts w:hAnsi="宋体" w:cs="Arial" w:hint="eastAsia"/>
          <w:szCs w:val="21"/>
        </w:rPr>
        <w:t>若中国证监会或其他监管机构在本托管协议订立日之后允许基金从事其他投资品种的投资业务，涉及相关账户的开立、使用的，若无相关规定，则基金托管人比照上述关于账户开立、使用的规定执行。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（五）债券托管专户的开设和管理</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合同生效后，基金托管人根据中国人民银行、中央国债登记结算有限责任公司的有关规定，在中央国债登记结算有限责任公司以本基金的名义开立债券托管账户，并代表基金进行银行间市场债券的结算。基金管理人和基金托管人共同代表基金签订全国银行间债券市场债券回购主协议。</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（六）其他账户的开立和管理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因业务发展需要而开立的其他账户，可以根据法律法规和基金合同的规定，由基金托管人负责开立。新账户按有关规定使用并管理。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法律法规等有关规定对相关账户的开立和管理另有规定的，从其规定办理。</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（七）基金财产投资的有关有价凭证等的保管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基金财产投资的有关实物证券、银行定期存款</w:t>
      </w:r>
      <w:r w:rsidRPr="008909CD">
        <w:rPr>
          <w:rFonts w:hAnsi="宋体" w:cs="Arial"/>
          <w:szCs w:val="21"/>
        </w:rPr>
        <w:t>证实书</w:t>
      </w:r>
      <w:r w:rsidRPr="008909CD">
        <w:rPr>
          <w:rFonts w:hAnsi="宋体" w:cs="Arial" w:hint="eastAsia"/>
          <w:szCs w:val="21"/>
        </w:rPr>
        <w:t>等有价凭证由基金托管人存放于基金托管人的保管库，也可存入中央国债登记结算有限责任公司、中国证券登记结算有限责任公司或票据营业中心的代保管库，保管凭证由基金托管人持有。实物证券、</w:t>
      </w:r>
      <w:r w:rsidRPr="008909CD">
        <w:rPr>
          <w:rFonts w:hAnsi="宋体" w:cs="Arial"/>
          <w:szCs w:val="21"/>
        </w:rPr>
        <w:t>银行定期存款证实书</w:t>
      </w:r>
      <w:r w:rsidRPr="008909CD">
        <w:rPr>
          <w:rFonts w:hAnsi="宋体" w:cs="Arial" w:hint="eastAsia"/>
          <w:szCs w:val="21"/>
        </w:rPr>
        <w:t>等有价凭证的购买和转让，</w:t>
      </w:r>
      <w:r w:rsidRPr="008909CD">
        <w:rPr>
          <w:rFonts w:hAnsi="宋体" w:cs="Arial"/>
          <w:szCs w:val="21"/>
        </w:rPr>
        <w:t>按基金管理人和基金托管人双方约定办理</w:t>
      </w:r>
      <w:r w:rsidRPr="008909CD">
        <w:rPr>
          <w:rFonts w:hAnsi="宋体" w:cs="Arial" w:hint="eastAsia"/>
          <w:szCs w:val="21"/>
        </w:rPr>
        <w:t>。基金托管人对由基金托管人以外机构</w:t>
      </w:r>
      <w:r w:rsidRPr="008909CD">
        <w:rPr>
          <w:rFonts w:hAnsi="宋体" w:cs="Arial"/>
          <w:szCs w:val="21"/>
        </w:rPr>
        <w:t>（基金托管人的代理人除外）</w:t>
      </w:r>
      <w:r w:rsidRPr="008909CD">
        <w:rPr>
          <w:rFonts w:hAnsi="宋体" w:cs="Arial" w:hint="eastAsia"/>
          <w:szCs w:val="21"/>
        </w:rPr>
        <w:t>实际有效控制的证券</w:t>
      </w:r>
      <w:r w:rsidRPr="008909CD">
        <w:rPr>
          <w:rFonts w:hAnsi="宋体" w:cs="Arial"/>
          <w:szCs w:val="21"/>
        </w:rPr>
        <w:t>、存款</w:t>
      </w:r>
      <w:r w:rsidRPr="008909CD">
        <w:rPr>
          <w:rFonts w:hAnsi="宋体" w:cs="Arial" w:hint="eastAsia"/>
          <w:szCs w:val="21"/>
        </w:rPr>
        <w:t>不承担保管责任。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（八）与基金财产有关的重大合同的保管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与基金财产有关的重大合同的签署，由基金管理人负责。由基金管理人代表基金签署的、与基金财产有关的重大合同的原件分别由基金管理人、基金托管人保管。</w:t>
      </w:r>
      <w:r w:rsidRPr="008909CD">
        <w:rPr>
          <w:rFonts w:hAnsi="宋体" w:cs="Arial"/>
          <w:szCs w:val="21"/>
        </w:rPr>
        <w:t>除协议另有规定、受限于第三方机构业务规则、监管机构或行业协会发布的格式合同等基金管理人不可控制的情形外，</w:t>
      </w:r>
      <w:r w:rsidRPr="008909CD">
        <w:rPr>
          <w:rFonts w:hAnsi="宋体" w:cs="Arial" w:hint="eastAsia"/>
          <w:szCs w:val="21"/>
        </w:rPr>
        <w:t>基金管理人应保证基金管理人和基金托管人至少各持有一份正本的原件。基金管理人应在重大合同签署后及时以加密方式或双方同意的其他方式将重大合同传真给基金托管人，并在三十个工作日内将正本送达基金托管人处。重大合同的保管期限为基金合同终止后</w:t>
      </w:r>
      <w:r w:rsidRPr="008909CD">
        <w:rPr>
          <w:rFonts w:cs="Arial"/>
          <w:szCs w:val="21"/>
        </w:rPr>
        <w:t>20</w:t>
      </w:r>
      <w:r w:rsidRPr="008909CD">
        <w:rPr>
          <w:rFonts w:hAnsi="宋体" w:cs="Arial" w:hint="eastAsia"/>
          <w:szCs w:val="21"/>
        </w:rPr>
        <w:t>年。</w:t>
      </w:r>
    </w:p>
    <w:p w:rsidR="009F1343" w:rsidRPr="008909CD">
      <w:pPr>
        <w:adjustRightInd w:val="0"/>
        <w:snapToGrid w:val="0"/>
        <w:spacing w:line="360" w:lineRule="auto"/>
        <w:ind w:firstLine="420" w:firstLineChars="200"/>
        <w:rPr>
          <w:sz w:val="24"/>
        </w:rPr>
      </w:pPr>
      <w:r w:rsidRPr="008909CD">
        <w:rPr>
          <w:rFonts w:cs="Arial"/>
          <w:szCs w:val="21"/>
        </w:rPr>
        <w:br w:type="page"/>
      </w:r>
    </w:p>
    <w:p w:rsidR="009F1343" w:rsidRPr="008909CD">
      <w:pPr>
        <w:pStyle w:val="Heading2"/>
        <w:jc w:val="center"/>
        <w:rPr>
          <w:rFonts w:ascii="Times New Roman" w:eastAsia="宋体" w:hAnsi="Times New Roman"/>
          <w:sz w:val="30"/>
        </w:rPr>
      </w:pPr>
      <w:bookmarkStart w:id="49" w:name="_Toc110761798"/>
      <w:bookmarkStart w:id="50" w:name="_Toc118212952"/>
      <w:bookmarkStart w:id="51" w:name="_Toc110765662"/>
      <w:bookmarkStart w:id="52" w:name="_Toc119402712"/>
      <w:bookmarkStart w:id="53" w:name="_Toc108512360"/>
      <w:bookmarkStart w:id="54" w:name="_Toc124325890"/>
      <w:bookmarkStart w:id="55" w:name="_Toc118774805"/>
      <w:bookmarkStart w:id="56" w:name="_Toc120435785"/>
      <w:bookmarkStart w:id="57" w:name="_Toc84133787"/>
      <w:bookmarkStart w:id="58" w:name="_Toc118972650"/>
      <w:bookmarkStart w:id="59" w:name="_Toc86223244"/>
      <w:bookmarkStart w:id="60" w:name="_Toc86204790"/>
      <w:bookmarkStart w:id="61" w:name="_Toc84234389"/>
      <w:bookmarkStart w:id="62" w:name="_Toc86225293"/>
      <w:bookmarkStart w:id="63" w:name="_Toc84234436"/>
      <w:bookmarkStart w:id="64" w:name="_Toc86737931"/>
      <w:bookmarkStart w:id="65" w:name="_Toc86727357"/>
      <w:bookmarkStart w:id="66" w:name="_Toc86649724"/>
      <w:bookmarkStart w:id="67" w:name="_Toc89163370"/>
      <w:bookmarkStart w:id="68" w:name="_Toc86726441"/>
      <w:bookmarkStart w:id="69" w:name="_Toc110830494"/>
      <w:r w:rsidRPr="008909CD">
        <w:rPr>
          <w:rFonts w:ascii="Times New Roman" w:eastAsia="宋体" w:hint="eastAsia"/>
          <w:sz w:val="30"/>
        </w:rPr>
        <w:t>六、指令的发送、确认及执行</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基金管理人在运用基金财产时向基金托管人发送资金划拨及其他款项付款指令，基金托管人执行基金管理人的指令、办理基金名下的资金往来等有关事项。</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（一）基金管理人对发送指令人员的书面授权</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基金管理人应指定专人向基金托管人发送指令。</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基金管理人应向基金托管人提供书面授权文件，内容包括被授权人名单、预留印鉴及被授权人签字样本，授权文件应注明被授权人相应的权限。</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基金托管人在收到授权文件原件并经</w:t>
      </w:r>
      <w:r w:rsidRPr="008909CD">
        <w:rPr>
          <w:rFonts w:hAnsi="宋体" w:cs="Arial"/>
          <w:szCs w:val="21"/>
        </w:rPr>
        <w:t>基金管理人</w:t>
      </w:r>
      <w:r w:rsidRPr="008909CD">
        <w:rPr>
          <w:rFonts w:hAnsi="宋体" w:cs="Arial" w:hint="eastAsia"/>
          <w:szCs w:val="21"/>
        </w:rPr>
        <w:t>电话确认后，授权文件即生效。</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基金管理人和基金托管人对授权文件负有保密义务，其内容不得向被授权人及相关操作人员以外的任何人泄漏。但法律法规规定或有权机关要求的除外。</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（二）指令的内容</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指令包括分红付款指令、回购到期付款指令、与投资有关的付款指令、实物债券出入库指令以及其他资金划拨指令等。</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基金管理人发给基金托管人的指令应写明款项事由、支付时间、到账时间、金额、账户等，加盖预留印鉴并由被授权人签字。</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（三）指令的发送、确认及执行的时间和程序</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指令的发送</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基金管理人发送指令应采用传真方式或双方认可的其他方式。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交易指令发送人员无权发送的指令，或超权限发送的指令，基金管理人不承担责任，授权已更改但未经基金托管人确认的情况除外。</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指令发出后，基金管理人应及时以电话方式向基金托管人确认。</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基金管理人应于划款前</w:t>
      </w:r>
      <w:r w:rsidRPr="008909CD">
        <w:rPr>
          <w:rFonts w:cs="Arial" w:hint="eastAsia"/>
          <w:szCs w:val="21"/>
        </w:rPr>
        <w:t>1</w:t>
      </w:r>
      <w:r w:rsidRPr="008909CD">
        <w:rPr>
          <w:rFonts w:hAnsi="宋体" w:cs="Arial" w:hint="eastAsia"/>
          <w:szCs w:val="21"/>
        </w:rPr>
        <w:t>个工作日向托管人发送指令并确认。对于要求当天到账的指令，必须在当天</w:t>
      </w:r>
      <w:r w:rsidRPr="008909CD">
        <w:rPr>
          <w:rFonts w:cs="Arial" w:hint="eastAsia"/>
          <w:szCs w:val="21"/>
        </w:rPr>
        <w:t>15</w:t>
      </w:r>
      <w:r w:rsidRPr="008909CD">
        <w:rPr>
          <w:rFonts w:hAnsi="宋体" w:cs="Arial" w:hint="eastAsia"/>
          <w:szCs w:val="21"/>
        </w:rPr>
        <w:t>：</w:t>
      </w:r>
      <w:r w:rsidRPr="008909CD">
        <w:rPr>
          <w:rFonts w:cs="Arial" w:hint="eastAsia"/>
          <w:szCs w:val="21"/>
        </w:rPr>
        <w:t>30</w:t>
      </w:r>
      <w:r w:rsidRPr="008909CD">
        <w:rPr>
          <w:rFonts w:hAnsi="宋体" w:cs="Arial" w:hint="eastAsia"/>
          <w:szCs w:val="21"/>
        </w:rPr>
        <w:t>前向托管人发送，</w:t>
      </w:r>
      <w:r w:rsidRPr="008909CD">
        <w:rPr>
          <w:rFonts w:cs="Arial" w:hint="eastAsia"/>
          <w:szCs w:val="21"/>
        </w:rPr>
        <w:t>15</w:t>
      </w:r>
      <w:r w:rsidRPr="008909CD">
        <w:rPr>
          <w:rFonts w:hAnsi="宋体" w:cs="Arial" w:hint="eastAsia"/>
          <w:szCs w:val="21"/>
        </w:rPr>
        <w:t>：</w:t>
      </w:r>
      <w:r w:rsidRPr="008909CD">
        <w:rPr>
          <w:rFonts w:cs="Arial" w:hint="eastAsia"/>
          <w:szCs w:val="21"/>
        </w:rPr>
        <w:t>30</w:t>
      </w:r>
      <w:r w:rsidRPr="008909CD">
        <w:rPr>
          <w:rFonts w:hAnsi="宋体" w:cs="Arial" w:hint="eastAsia"/>
          <w:szCs w:val="21"/>
        </w:rPr>
        <w:t>之后发送的，托管人尽力执行，但不能保证划账成功。如果要求当天某一时点到账的指令，则指令需要提前</w:t>
      </w:r>
      <w:r w:rsidRPr="008909CD">
        <w:rPr>
          <w:rFonts w:cs="Arial" w:hint="eastAsia"/>
          <w:szCs w:val="21"/>
        </w:rPr>
        <w:t>2</w:t>
      </w:r>
      <w:r w:rsidRPr="008909CD">
        <w:rPr>
          <w:rFonts w:hAnsi="宋体" w:cs="Arial" w:hint="eastAsia"/>
          <w:szCs w:val="21"/>
        </w:rPr>
        <w:t>个工作小时发送，并相关付款条件已经具备。托管人将视付款条件具备时为指令送达时间。</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指令的确认</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基金托管人应指定专人接收基金管理人的指令，预先通知基金管理人其名单，并与基金管理人商定指令发送和接收方式。指令到达基金托管人后，基金托管人应指定专人立即审慎验证有关内容及印鉴和签名，</w:t>
      </w:r>
      <w:r w:rsidRPr="008909CD">
        <w:rPr>
          <w:rFonts w:hAnsi="宋体" w:cs="Arial"/>
          <w:szCs w:val="21"/>
        </w:rPr>
        <w:t>审验无误后方可执行。</w:t>
      </w:r>
      <w:r w:rsidRPr="008909CD">
        <w:rPr>
          <w:rFonts w:hAnsi="宋体" w:cs="Arial" w:hint="eastAsia"/>
          <w:szCs w:val="21"/>
        </w:rPr>
        <w:t>如有疑问必须及时通知基金管理人。</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指令的时间和执行</w:t>
      </w:r>
    </w:p>
    <w:p w:rsidR="009F1343" w:rsidRPr="008909CD">
      <w:pPr>
        <w:pStyle w:val="BodyTextIndent"/>
        <w:spacing w:line="360" w:lineRule="auto"/>
        <w:ind w:firstLine="420"/>
        <w:rPr>
          <w:rFonts w:eastAsia="宋体" w:cs="Arial"/>
          <w:sz w:val="21"/>
          <w:szCs w:val="21"/>
        </w:rPr>
      </w:pPr>
      <w:r w:rsidRPr="008909CD">
        <w:rPr>
          <w:rFonts w:eastAsia="宋体" w:hAnsi="宋体" w:cs="Arial" w:hint="eastAsia"/>
          <w:sz w:val="21"/>
          <w:szCs w:val="21"/>
        </w:rPr>
        <w:t>基金托管人对指令验证后，应及时办理。指令执行完毕后，基金托管人应及时通知基金管理人。</w:t>
      </w:r>
    </w:p>
    <w:p w:rsidR="009F1343" w:rsidRPr="008909CD">
      <w:pPr>
        <w:pStyle w:val="BodyTextIndent"/>
        <w:spacing w:line="360" w:lineRule="auto"/>
        <w:ind w:firstLine="420"/>
        <w:rPr>
          <w:rFonts w:eastAsia="宋体" w:cs="Arial"/>
          <w:sz w:val="21"/>
          <w:szCs w:val="21"/>
        </w:rPr>
      </w:pPr>
      <w:r w:rsidRPr="008909CD">
        <w:rPr>
          <w:rFonts w:eastAsia="宋体" w:hAnsi="宋体" w:cs="Arial" w:hint="eastAsia"/>
          <w:sz w:val="21"/>
          <w:szCs w:val="21"/>
        </w:rPr>
        <w:t>基金管理人</w:t>
      </w:r>
      <w:r w:rsidRPr="008909CD">
        <w:rPr>
          <w:rFonts w:eastAsia="宋体" w:hAnsi="宋体" w:cs="Arial"/>
          <w:sz w:val="21"/>
          <w:szCs w:val="21"/>
        </w:rPr>
        <w:t>应确保</w:t>
      </w:r>
      <w:r w:rsidRPr="008909CD">
        <w:rPr>
          <w:rFonts w:eastAsia="宋体" w:hAnsi="宋体" w:cs="Arial" w:hint="eastAsia"/>
          <w:sz w:val="21"/>
          <w:szCs w:val="21"/>
        </w:rPr>
        <w:t>基金托管人在执行指令时基金资金账户有足够的资金余额，在没有充足资金情况下的指令，基金托管人可不予执行，但应立即通知基金管理人，</w:t>
      </w:r>
      <w:r w:rsidRPr="008909CD">
        <w:rPr>
          <w:rFonts w:eastAsia="宋体" w:hAnsi="宋体" w:cs="Arial"/>
          <w:sz w:val="21"/>
          <w:szCs w:val="21"/>
        </w:rPr>
        <w:t>并视银行账户资金余额足够时为指令送达时间，</w:t>
      </w:r>
      <w:r w:rsidRPr="008909CD">
        <w:rPr>
          <w:rFonts w:eastAsia="宋体" w:hAnsi="宋体" w:cs="Arial" w:hint="eastAsia"/>
          <w:sz w:val="21"/>
          <w:szCs w:val="21"/>
        </w:rPr>
        <w:t>基金托管人不承担因未执行该指令造成损失的责任。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（四）基金管理人发送错误指令的情形和处理程序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基金管理人发送错误指令的情形包括指令违反法律法规和基金合同，指令发送人员无权或超越权限发送指令，</w:t>
      </w:r>
      <w:r w:rsidRPr="008909CD">
        <w:rPr>
          <w:rFonts w:hAnsi="宋体" w:cs="Arial"/>
          <w:szCs w:val="21"/>
        </w:rPr>
        <w:t>指令中重要信息模糊不清或不全等</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基金托管人在履行监督职能时，发现基金管理人的指令错误时，有权拒绝执行，并及时通知基金管理人改正。如需撤销指令，基金管理人应出具书面说明，并加盖业务用章。</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（五）基金托管人依照法律法规暂缓、拒绝执行指令的情形和处理程序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若基金托管人发现基金管理人的指令违反法律法规，或者违反基金合同约定的，应当拒绝执行，立即通知基金管理人。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（六）基金托管人未按照基金管理人指令执行的处理方法</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基金托管人由于自身原因，未按照基金管理人发送的指令执行并对基金财产或投资人造成的直接损失，由基金托管人</w:t>
      </w:r>
      <w:r w:rsidRPr="008909CD">
        <w:rPr>
          <w:rFonts w:hAnsi="宋体" w:hint="eastAsia"/>
          <w:szCs w:val="21"/>
        </w:rPr>
        <w:t>赔偿由此造成的直接损失。</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（七）更换被授权人员的程序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更换被授权人、更改或终止对被授权人的授权，应提前通知基金托管人，同时基金管理人向基金托管人提供新的被授权人的姓名、权限、预留印鉴和签字样本。基金托管人在收到授权文件原件并经电话向基金管理人确认后，授权文件即生效。被授权人变更通知生效前，基金托管人仍应按原约定执行指令，基金管理人不得否认其效力。</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基金托管人更换接受基金管理人指令的人员，应提前通过录音电话通知基金管理人。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（八）其他事项</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基金参与认购未上市债券时，基金管理人应代表本基金与对手方签署相关合同或协议，明确约定债券过户具体事宜。否则，基金管理人需对所认购债券的过户事宜承担相应责任。</w:t>
      </w:r>
    </w:p>
    <w:p w:rsidR="009F1343" w:rsidRPr="008909CD">
      <w:pPr>
        <w:adjustRightInd w:val="0"/>
        <w:snapToGrid w:val="0"/>
        <w:spacing w:line="360" w:lineRule="auto"/>
        <w:ind w:firstLine="480"/>
        <w:rPr>
          <w:rFonts w:cs="Arial"/>
          <w:szCs w:val="21"/>
        </w:rPr>
      </w:pPr>
      <w:r w:rsidRPr="008909CD">
        <w:rPr>
          <w:rFonts w:cs="Arial"/>
          <w:szCs w:val="21"/>
        </w:rPr>
        <w:br w:type="page"/>
      </w:r>
    </w:p>
    <w:p w:rsidR="009F1343" w:rsidRPr="008909CD">
      <w:pPr>
        <w:pStyle w:val="Heading2"/>
        <w:jc w:val="center"/>
        <w:rPr>
          <w:rFonts w:ascii="Times New Roman" w:eastAsia="宋体" w:hAnsi="Times New Roman"/>
          <w:sz w:val="30"/>
        </w:rPr>
      </w:pPr>
      <w:bookmarkStart w:id="70" w:name="_Toc84133788"/>
      <w:bookmarkStart w:id="71" w:name="_Toc84234390"/>
      <w:bookmarkStart w:id="72" w:name="_Toc84234437"/>
      <w:bookmarkStart w:id="73" w:name="_Toc86204791"/>
      <w:bookmarkStart w:id="74" w:name="_Toc86223245"/>
      <w:bookmarkStart w:id="75" w:name="_Toc86225294"/>
      <w:bookmarkStart w:id="76" w:name="_Toc86649725"/>
      <w:bookmarkStart w:id="77" w:name="_Toc86726442"/>
      <w:bookmarkStart w:id="78" w:name="_Toc86727358"/>
      <w:bookmarkStart w:id="79" w:name="_Toc86737932"/>
      <w:bookmarkStart w:id="80" w:name="_Toc89163371"/>
      <w:bookmarkStart w:id="81" w:name="_Toc108512361"/>
      <w:bookmarkStart w:id="82" w:name="_Toc110761799"/>
      <w:bookmarkStart w:id="83" w:name="_Toc110765663"/>
      <w:bookmarkStart w:id="84" w:name="_Toc110830495"/>
      <w:bookmarkStart w:id="85" w:name="_Toc118212953"/>
      <w:bookmarkStart w:id="86" w:name="_Toc118774806"/>
      <w:bookmarkStart w:id="87" w:name="_Toc118972651"/>
      <w:bookmarkStart w:id="88" w:name="_Toc119402713"/>
      <w:bookmarkStart w:id="89" w:name="_Toc120435786"/>
      <w:bookmarkStart w:id="90" w:name="_Toc124325891"/>
      <w:r w:rsidRPr="008909CD">
        <w:rPr>
          <w:rFonts w:ascii="Times New Roman" w:eastAsia="宋体" w:hint="eastAsia"/>
          <w:sz w:val="30"/>
        </w:rPr>
        <w:t>七、交易及清算交收安排</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（一）选择代理证券买卖的证券经营机构</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设计选择代理证券买卖的证券经营机构的标准和程序。基金管理人负责选择代理本基金证券买卖的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基金管理人应根据有关规定，在基金的中期报告和年度报告中将所选证券经营机构的有关情况及交易信息等予以披露，并将该等情况及基金交易单元号、佣金费率等基本信息以及变更情况及时以书面形式通知基金托管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（二）基金投资证券后的清算交收安排</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清算与交割</w:t>
      </w:r>
    </w:p>
    <w:p w:rsidR="009F1343" w:rsidRPr="008909CD">
      <w:pPr>
        <w:adjustRightInd w:val="0"/>
        <w:snapToGrid w:val="0"/>
        <w:spacing w:line="360" w:lineRule="auto"/>
        <w:ind w:firstLine="420" w:firstLineChars="200"/>
        <w:rPr>
          <w:rFonts w:cs="Arial"/>
          <w:szCs w:val="21"/>
        </w:rPr>
      </w:pPr>
      <w:r w:rsidRPr="008909CD">
        <w:rPr>
          <w:rFonts w:hint="eastAsia"/>
        </w:rPr>
        <w:t>根据《中国证券登记结算有限责任公司结算备付金管理办法》，在每月前</w:t>
      </w:r>
      <w:r w:rsidRPr="008909CD">
        <w:rPr>
          <w:rFonts w:hint="eastAsia"/>
        </w:rPr>
        <w:t>3</w:t>
      </w:r>
      <w:r w:rsidRPr="008909CD">
        <w:rPr>
          <w:rFonts w:hint="eastAsia"/>
        </w:rPr>
        <w:t>个工作日内，中国证券登记结算公司对结算参与人的最低结算备付金、结算保证金限额进行重新核算、调整。托管人在中国证券登记结算公司调整最低结算备付金、结算保证金当日，在资金调节表中反映调整后的最低备付金和结算保证金。管理人应预留最低备付金和结算保证金，并根据中国证券登记结算公司确定的实际最低备付金、结算保证金数据为依据安排资金运作，调整所需的现金头寸</w:t>
      </w:r>
      <w:r w:rsidRPr="008909CD">
        <w:rPr>
          <w:rFonts w:hAnsi="宋体" w:hint="eastAsia"/>
          <w:szCs w:val="21"/>
        </w:rPr>
        <w:t>。</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中小企业私募债等实行场内</w:t>
      </w:r>
      <w:r w:rsidRPr="008909CD">
        <w:rPr>
          <w:rFonts w:cs="Arial"/>
          <w:szCs w:val="21"/>
        </w:rPr>
        <w:t>T+0</w:t>
      </w:r>
      <w:r w:rsidRPr="008909CD">
        <w:rPr>
          <w:rFonts w:hAnsi="宋体" w:cs="Arial" w:hint="eastAsia"/>
          <w:szCs w:val="21"/>
        </w:rPr>
        <w:t>结算的相关事宜按照托管人的相关规定流程执行。</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w:t>
      </w:r>
      <w:r w:rsidRPr="008909CD">
        <w:rPr>
          <w:rFonts w:hAnsi="宋体" w:cs="Arial"/>
          <w:szCs w:val="21"/>
        </w:rPr>
        <w:t>基金托管人应给予必要的配合</w:t>
      </w:r>
      <w:r w:rsidRPr="008909CD">
        <w:rPr>
          <w:rFonts w:hAnsi="宋体" w:cs="Arial" w:hint="eastAsia"/>
          <w:szCs w:val="21"/>
        </w:rPr>
        <w:t>，由此给本基金和基金托管人造成的损失由基金管理人承担；据此引发的任何证券、资金交收违约事件，由责任方按照监管部门的有关规定、要求承担相应赔偿责任。</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kern w:val="0"/>
          <w:szCs w:val="21"/>
        </w:rPr>
        <w:t>基金管理人应采取合理、必要措施，确保</w:t>
      </w:r>
      <w:r w:rsidRPr="008909CD">
        <w:rPr>
          <w:rFonts w:cs="Arial" w:hint="eastAsia"/>
          <w:kern w:val="0"/>
          <w:szCs w:val="21"/>
        </w:rPr>
        <w:t>T</w:t>
      </w:r>
      <w:r w:rsidRPr="008909CD">
        <w:rPr>
          <w:rFonts w:hAnsi="宋体" w:cs="Arial" w:hint="eastAsia"/>
          <w:kern w:val="0"/>
          <w:szCs w:val="21"/>
        </w:rPr>
        <w:t>日日终有足够的资金头寸用于</w:t>
      </w:r>
      <w:r w:rsidRPr="008909CD">
        <w:rPr>
          <w:rFonts w:cs="Arial" w:hint="eastAsia"/>
          <w:kern w:val="0"/>
          <w:szCs w:val="21"/>
        </w:rPr>
        <w:t>T+1</w:t>
      </w:r>
      <w:r w:rsidRPr="008909CD">
        <w:rPr>
          <w:rFonts w:hAnsi="宋体" w:cs="Arial" w:hint="eastAsia"/>
          <w:kern w:val="0"/>
          <w:szCs w:val="21"/>
        </w:rPr>
        <w:t>日的投资交易资金结算；</w:t>
      </w:r>
      <w:r w:rsidRPr="008909CD">
        <w:rPr>
          <w:rFonts w:hAnsi="宋体" w:cs="Arial" w:hint="eastAsia"/>
          <w:szCs w:val="21"/>
        </w:rPr>
        <w:t>如因基金管理人原因导致资金头寸不足，基金管理人应在</w:t>
      </w:r>
      <w:r w:rsidRPr="008909CD">
        <w:rPr>
          <w:rFonts w:cs="Arial" w:hint="eastAsia"/>
          <w:szCs w:val="21"/>
        </w:rPr>
        <w:t>T+1</w:t>
      </w:r>
      <w:r w:rsidRPr="008909CD">
        <w:rPr>
          <w:rFonts w:hAnsi="宋体" w:cs="Arial" w:hint="eastAsia"/>
          <w:kern w:val="0"/>
          <w:szCs w:val="21"/>
        </w:rPr>
        <w:t>日上午</w:t>
      </w:r>
      <w:r w:rsidRPr="008909CD">
        <w:rPr>
          <w:rFonts w:cs="Arial" w:hint="eastAsia"/>
          <w:kern w:val="0"/>
          <w:szCs w:val="21"/>
        </w:rPr>
        <w:t>12</w:t>
      </w:r>
      <w:r w:rsidRPr="008909CD">
        <w:rPr>
          <w:rFonts w:hAnsi="宋体" w:cs="Arial" w:hint="eastAsia"/>
          <w:kern w:val="0"/>
          <w:szCs w:val="21"/>
        </w:rPr>
        <w:t>：</w:t>
      </w:r>
      <w:r w:rsidRPr="008909CD">
        <w:rPr>
          <w:rFonts w:cs="Arial" w:hint="eastAsia"/>
          <w:kern w:val="0"/>
          <w:szCs w:val="21"/>
        </w:rPr>
        <w:t>00</w:t>
      </w:r>
      <w:r w:rsidRPr="008909CD">
        <w:rPr>
          <w:rFonts w:hAnsi="宋体" w:cs="Arial" w:hint="eastAsia"/>
          <w:szCs w:val="21"/>
        </w:rPr>
        <w:t>前补足透支款项，确保资金清算。如果未遵循上述规定备足资金头寸，影响基金资产的清算交收及基金托管人与中国证券登记结算有限公司之间的一级清算交收，由此给本基金和基金托管人造成的损失由基金管理人承担；据此引发的任何证券、资金交收违约事件，由责任方按照监管部门的有关规定、要求承担相应赔偿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基金管理人应保证基金托管人在执行基金管理人发送的划款指令时，基金银行账户或资金交收账户</w:t>
      </w:r>
      <w:r w:rsidRPr="008909CD">
        <w:rPr>
          <w:rFonts w:cs="Arial" w:hint="eastAsia"/>
          <w:szCs w:val="21"/>
        </w:rPr>
        <w:t>(</w:t>
      </w:r>
      <w:r w:rsidRPr="008909CD">
        <w:rPr>
          <w:rFonts w:hAnsi="宋体" w:cs="Arial" w:hint="eastAsia"/>
          <w:szCs w:val="21"/>
        </w:rPr>
        <w:t>除登记公司收保或冻结资金外</w:t>
      </w:r>
      <w:r w:rsidRPr="008909CD">
        <w:rPr>
          <w:rFonts w:cs="Arial" w:hint="eastAsia"/>
          <w:szCs w:val="21"/>
        </w:rPr>
        <w:t>)</w:t>
      </w:r>
      <w:r w:rsidRPr="008909CD">
        <w:rPr>
          <w:rFonts w:hAnsi="宋体" w:cs="Arial" w:hint="eastAsia"/>
          <w:szCs w:val="21"/>
        </w:rPr>
        <w:t>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交易记录、资金和证券账目核对的时间和方式</w:t>
      </w:r>
    </w:p>
    <w:p w:rsidR="009F1343" w:rsidRPr="008909CD">
      <w:pPr>
        <w:adjustRightInd w:val="0"/>
        <w:snapToGrid w:val="0"/>
        <w:spacing w:line="360" w:lineRule="auto"/>
        <w:ind w:firstLine="420" w:firstLineChars="200"/>
        <w:rPr>
          <w:kern w:val="0"/>
          <w:szCs w:val="21"/>
        </w:rPr>
      </w:pPr>
      <w:r w:rsidRPr="008909CD">
        <w:rPr>
          <w:rFonts w:hAnsi="宋体" w:hint="eastAsia"/>
          <w:kern w:val="0"/>
          <w:szCs w:val="21"/>
        </w:rPr>
        <w:t>（</w:t>
      </w:r>
      <w:r w:rsidRPr="008909CD">
        <w:rPr>
          <w:rFonts w:hint="eastAsia"/>
          <w:kern w:val="0"/>
          <w:szCs w:val="21"/>
        </w:rPr>
        <w:t>1</w:t>
      </w:r>
      <w:r w:rsidRPr="008909CD">
        <w:rPr>
          <w:rFonts w:hAnsi="宋体" w:hint="eastAsia"/>
          <w:kern w:val="0"/>
          <w:szCs w:val="21"/>
        </w:rPr>
        <w:t>）交易记录的核对</w:t>
      </w:r>
    </w:p>
    <w:p w:rsidR="009F1343" w:rsidRPr="008909CD">
      <w:pPr>
        <w:adjustRightInd w:val="0"/>
        <w:snapToGrid w:val="0"/>
        <w:spacing w:line="360" w:lineRule="auto"/>
        <w:ind w:firstLine="420" w:firstLineChars="200"/>
        <w:rPr>
          <w:rFonts w:cs="Arial"/>
          <w:szCs w:val="21"/>
        </w:rPr>
      </w:pPr>
      <w:r w:rsidRPr="008909CD">
        <w:rPr>
          <w:rFonts w:hAnsi="宋体"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hint="eastAsia"/>
          <w:szCs w:val="21"/>
        </w:rPr>
        <w:t>2</w:t>
      </w:r>
      <w:r w:rsidRPr="008909CD">
        <w:rPr>
          <w:rFonts w:hAnsi="宋体" w:cs="Arial" w:hint="eastAsia"/>
          <w:szCs w:val="21"/>
        </w:rPr>
        <w:t>）资金账目的核对</w:t>
      </w:r>
    </w:p>
    <w:p w:rsidR="009F1343" w:rsidRPr="008909CD">
      <w:pPr>
        <w:widowControl/>
        <w:adjustRightInd w:val="0"/>
        <w:snapToGrid w:val="0"/>
        <w:spacing w:line="360" w:lineRule="auto"/>
        <w:ind w:firstLine="420" w:firstLineChars="200"/>
        <w:rPr>
          <w:rFonts w:cs="Arial"/>
          <w:kern w:val="0"/>
          <w:szCs w:val="21"/>
        </w:rPr>
      </w:pPr>
      <w:r w:rsidRPr="008909CD">
        <w:rPr>
          <w:rFonts w:hAnsi="宋体" w:cs="Arial" w:hint="eastAsia"/>
          <w:kern w:val="0"/>
          <w:szCs w:val="21"/>
        </w:rPr>
        <w:t>资金账目按日核实。</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hint="eastAsia"/>
          <w:szCs w:val="21"/>
        </w:rPr>
        <w:t>3</w:t>
      </w:r>
      <w:r w:rsidRPr="008909CD">
        <w:rPr>
          <w:rFonts w:hAnsi="宋体" w:cs="Arial" w:hint="eastAsia"/>
          <w:szCs w:val="21"/>
        </w:rPr>
        <w:t>）证券账目的核对</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基金管理人和基金托管人每交易日结束后核对基金证券账目，确保双方账目相符。基金管理人和基金托管人每月月末核对实物证券账目。</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（三）基金申购和赎回业务处理的基本规定</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基金份额申购、赎回的确认、清算由基金管理人或其委托的登记机构负责。</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基金管理人应保证本基金（或本基金管理人委托）的登记机构每个工作日</w:t>
      </w:r>
      <w:r w:rsidRPr="008909CD">
        <w:rPr>
          <w:rFonts w:cs="Arial" w:hint="eastAsia"/>
          <w:szCs w:val="21"/>
        </w:rPr>
        <w:t>15:00</w:t>
      </w:r>
      <w:r w:rsidRPr="008909CD">
        <w:rPr>
          <w:rFonts w:hAnsi="宋体" w:cs="Arial" w:hint="eastAsia"/>
          <w:szCs w:val="21"/>
        </w:rPr>
        <w:t>前向基金托管人发送前一开放日上述有关数据，并保证相关数据的准确、完整。</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登记机构应通过与基金托管人建立的加密系统发送有关数据，如因各种原因，该系统无法正常发送，双方可协商解决处理方式。基金管理人向基金托管人发送的数据，双方各自按有关规定保存。</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5.</w:t>
      </w:r>
      <w:r w:rsidRPr="008909CD">
        <w:rPr>
          <w:rFonts w:hAnsi="宋体" w:cs="Arial" w:hint="eastAsia"/>
          <w:szCs w:val="21"/>
        </w:rPr>
        <w:t>如基金管理人委托其他机构办理本基金的登记业务，应保证上述相关事宜按时进行。否则，由基金管理人承担相应的责任。</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6.</w:t>
      </w:r>
      <w:r w:rsidRPr="008909CD">
        <w:rPr>
          <w:rFonts w:hAnsi="宋体" w:cs="Arial" w:hint="eastAsia"/>
          <w:szCs w:val="21"/>
        </w:rPr>
        <w:t>关于清算专用账户的设立和管理</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为满足申购、赎回及分红资金汇划的需要，由基金管理人开立资金清算的专用账户，该账户由登记机构管理。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7.</w:t>
      </w:r>
      <w:r w:rsidRPr="008909CD">
        <w:rPr>
          <w:rFonts w:hAnsi="宋体" w:cs="Arial" w:hint="eastAsia"/>
          <w:szCs w:val="21"/>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8.</w:t>
      </w:r>
      <w:r w:rsidRPr="008909CD">
        <w:rPr>
          <w:rFonts w:hAnsi="宋体" w:cs="Arial" w:hint="eastAsia"/>
          <w:szCs w:val="21"/>
        </w:rPr>
        <w:t>赎回和分红资金划拨规定</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9.</w:t>
      </w:r>
      <w:r w:rsidRPr="008909CD">
        <w:rPr>
          <w:rFonts w:hAnsi="宋体" w:cs="Arial" w:hint="eastAsia"/>
          <w:szCs w:val="21"/>
        </w:rPr>
        <w:t>资金指令</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申赎净额资金指令的格式、内容、发送、接收和确认方式等与投资指令相同。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（四）申赎净额结算</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基金托管账户与</w:t>
      </w:r>
      <w:r w:rsidRPr="008909CD">
        <w:rPr>
          <w:rFonts w:cs="Arial" w:hint="eastAsia"/>
          <w:szCs w:val="21"/>
        </w:rPr>
        <w:t>“</w:t>
      </w:r>
      <w:r w:rsidRPr="008909CD">
        <w:rPr>
          <w:rFonts w:hAnsi="宋体" w:cs="Arial" w:hint="eastAsia"/>
          <w:szCs w:val="21"/>
        </w:rPr>
        <w:t>基金清算账户</w:t>
      </w:r>
      <w:r w:rsidRPr="008909CD">
        <w:rPr>
          <w:rFonts w:cs="Arial" w:hint="eastAsia"/>
          <w:szCs w:val="21"/>
        </w:rPr>
        <w:t>”</w:t>
      </w:r>
      <w:r w:rsidRPr="008909CD">
        <w:rPr>
          <w:rFonts w:hAnsi="宋体" w:cs="Arial" w:hint="eastAsia"/>
          <w:szCs w:val="21"/>
        </w:rPr>
        <w:t>间的资金结算遵循</w:t>
      </w:r>
      <w:r w:rsidRPr="008909CD">
        <w:rPr>
          <w:rFonts w:cs="Arial" w:hint="eastAsia"/>
          <w:szCs w:val="21"/>
        </w:rPr>
        <w:t>“</w:t>
      </w:r>
      <w:r w:rsidRPr="008909CD">
        <w:rPr>
          <w:rFonts w:hAnsi="宋体" w:cs="Arial" w:hint="eastAsia"/>
          <w:szCs w:val="21"/>
        </w:rPr>
        <w:t>全额清算、净额交收</w:t>
      </w:r>
      <w:r w:rsidRPr="008909CD">
        <w:rPr>
          <w:rFonts w:cs="Arial" w:hint="eastAsia"/>
          <w:szCs w:val="21"/>
        </w:rPr>
        <w:t>”</w:t>
      </w:r>
      <w:r w:rsidRPr="008909CD">
        <w:rPr>
          <w:rFonts w:hAnsi="宋体" w:cs="Arial" w:hint="eastAsia"/>
          <w:szCs w:val="21"/>
        </w:rPr>
        <w:t>的原则，每日按照托管账户应收资金与应付资金的差额来确定托管账户净应收额或净应付额，以此确定资金交收额。当存在托管账户净应收额时，基金管理人应在</w:t>
      </w:r>
      <w:r w:rsidRPr="008909CD">
        <w:rPr>
          <w:rFonts w:cs="Arial" w:hint="eastAsia"/>
          <w:szCs w:val="21"/>
        </w:rPr>
        <w:t>T+2</w:t>
      </w:r>
      <w:r w:rsidRPr="008909CD">
        <w:rPr>
          <w:rFonts w:hAnsi="宋体" w:cs="Arial" w:hint="eastAsia"/>
          <w:szCs w:val="21"/>
        </w:rPr>
        <w:t>日</w:t>
      </w:r>
      <w:r w:rsidRPr="008909CD">
        <w:rPr>
          <w:rFonts w:cs="Arial" w:hint="eastAsia"/>
          <w:szCs w:val="21"/>
        </w:rPr>
        <w:t>15:00</w:t>
      </w:r>
      <w:r w:rsidRPr="008909CD">
        <w:rPr>
          <w:rFonts w:hAnsi="宋体" w:cs="Arial" w:hint="eastAsia"/>
          <w:szCs w:val="21"/>
        </w:rPr>
        <w:t>之前及时划付，基金托管人在资金到账后应立即通知基金管理人，并将有关书面凭证传真给基金管理人进行账务处理；当存在托管账户净应付额时，基金管理人应在</w:t>
      </w:r>
      <w:r w:rsidRPr="008909CD">
        <w:rPr>
          <w:rFonts w:cs="Arial" w:hint="eastAsia"/>
          <w:szCs w:val="21"/>
        </w:rPr>
        <w:t>T+2</w:t>
      </w:r>
      <w:r w:rsidRPr="008909CD">
        <w:rPr>
          <w:rFonts w:hAnsi="宋体" w:cs="Arial" w:hint="eastAsia"/>
          <w:szCs w:val="21"/>
        </w:rPr>
        <w:t>日内将划款指令发送给基金托管人，基金托管人按基金管理人的划款指令将托管账户净应付额在</w:t>
      </w:r>
      <w:r w:rsidRPr="008909CD">
        <w:rPr>
          <w:rFonts w:cs="Arial" w:hint="eastAsia"/>
          <w:szCs w:val="21"/>
        </w:rPr>
        <w:t>T+3</w:t>
      </w:r>
      <w:r w:rsidRPr="008909CD">
        <w:rPr>
          <w:rFonts w:hAnsi="宋体" w:cs="Arial" w:hint="eastAsia"/>
          <w:szCs w:val="21"/>
        </w:rPr>
        <w:t>日</w:t>
      </w:r>
      <w:r w:rsidRPr="008909CD">
        <w:rPr>
          <w:rFonts w:cs="Arial" w:hint="eastAsia"/>
          <w:szCs w:val="21"/>
        </w:rPr>
        <w:t>12:00</w:t>
      </w:r>
      <w:r w:rsidRPr="008909CD">
        <w:rPr>
          <w:rFonts w:hAnsi="宋体" w:cs="Arial" w:hint="eastAsia"/>
          <w:szCs w:val="21"/>
        </w:rPr>
        <w:t>之前及时划付，基金托管人在资金划出后立即通知基金管理人，并将有关书面凭证交给基金管理人进行账务处理。</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在发生巨额赎回或《基金合同》载明的其他暂停赎回或延缓支付赎回款项的情形时，款项的支付办法按照《基金合同》有关条款处理。</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（五）基金转换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在本基金与基金管理人管理的其它基金开展转换业务之前，基金管理人应函告基金托管人并就相关事宜进行协商。</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2.</w:t>
      </w:r>
      <w:r w:rsidRPr="008909CD">
        <w:rPr>
          <w:rFonts w:hAnsi="宋体" w:cs="Arial" w:hint="eastAsia"/>
          <w:szCs w:val="21"/>
        </w:rPr>
        <w:t>基金托管人将根据基金管理人传送的基金转换数据进行账务处理，具体资金清算和数据传递的时间、程序及托管协议当事人承担的权责按基金管理人届时的公告执行。</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3.</w:t>
      </w:r>
      <w:r w:rsidRPr="008909CD">
        <w:rPr>
          <w:rFonts w:hAnsi="宋体" w:cs="Arial" w:hint="eastAsia"/>
          <w:szCs w:val="21"/>
        </w:rPr>
        <w:t>本基金开展基金转换业务应按相关法律法规规定及基金合同的约定进行公告。</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（六）基金现金分红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基金管理人确定分红方案通知基金托管人，双方核定后</w:t>
      </w:r>
      <w:r w:rsidRPr="008909CD">
        <w:rPr>
          <w:rFonts w:hAnsi="宋体" w:hint="eastAsia"/>
          <w:szCs w:val="21"/>
        </w:rPr>
        <w:t>依照《信息披露办法》的有关规定在中国证监会规定媒体上公告</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基金托管人和基金管理人对基金分红进行账务处理并核对后，基金管理人向基金托管人发送现金红利的划款指令，基金托管人应及时将资金划入专用账户。</w:t>
      </w:r>
    </w:p>
    <w:p w:rsidR="009F1343" w:rsidRPr="008909CD">
      <w:pPr>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基金管理人在下达指令时，应给基金托管人留出必需的划款时间。</w:t>
      </w:r>
    </w:p>
    <w:p w:rsidR="009F1343" w:rsidRPr="008909CD">
      <w:pPr>
        <w:spacing w:line="360" w:lineRule="auto"/>
        <w:ind w:firstLine="480"/>
        <w:rPr>
          <w:szCs w:val="21"/>
        </w:rPr>
      </w:pPr>
      <w:r w:rsidRPr="008909CD">
        <w:rPr>
          <w:rFonts w:cs="Arial"/>
          <w:szCs w:val="21"/>
        </w:rPr>
        <w:br w:type="page"/>
      </w:r>
    </w:p>
    <w:p w:rsidR="009F1343" w:rsidRPr="008909CD">
      <w:pPr>
        <w:adjustRightInd w:val="0"/>
        <w:snapToGrid w:val="0"/>
        <w:rPr>
          <w:rFonts w:cs="Arial"/>
          <w:sz w:val="24"/>
        </w:rPr>
      </w:pPr>
    </w:p>
    <w:p w:rsidR="009F1343" w:rsidRPr="008909CD">
      <w:pPr>
        <w:pStyle w:val="Heading2"/>
        <w:jc w:val="center"/>
        <w:rPr>
          <w:rFonts w:ascii="Times New Roman" w:eastAsia="宋体" w:hAnsi="Times New Roman"/>
          <w:sz w:val="30"/>
        </w:rPr>
      </w:pPr>
      <w:bookmarkStart w:id="91" w:name="_Toc124325892"/>
      <w:r w:rsidRPr="008909CD">
        <w:rPr>
          <w:rFonts w:ascii="Times New Roman" w:eastAsia="宋体" w:hint="eastAsia"/>
          <w:sz w:val="30"/>
        </w:rPr>
        <w:t>八、基金资产净值计算和会计核算</w:t>
      </w:r>
      <w:bookmarkEnd w:id="91"/>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w:t>
      </w:r>
      <w:r w:rsidRPr="008909CD">
        <w:rPr>
          <w:rFonts w:hAnsi="宋体" w:cs="Arial" w:hint="eastAsia"/>
          <w:szCs w:val="21"/>
        </w:rPr>
        <w:t>一</w:t>
      </w:r>
      <w:r w:rsidRPr="008909CD">
        <w:rPr>
          <w:rFonts w:cs="Arial" w:hint="eastAsia"/>
          <w:szCs w:val="21"/>
        </w:rPr>
        <w:t>)</w:t>
      </w:r>
      <w:r w:rsidRPr="008909CD">
        <w:rPr>
          <w:rFonts w:hAnsi="宋体" w:cs="Arial" w:hint="eastAsia"/>
          <w:szCs w:val="21"/>
        </w:rPr>
        <w:t>估值日</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本基金的估值日为本基金相关的证券交易场所的交易日以及国家法律法规规定需要对外披露基金净值的非交易日。</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（二）基金资产净值的计算、复核与完成的时间及程序</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基金资产净值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基金资产净值是指基金资产总值减去负债后的金额。</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基金份额净值</w:t>
      </w:r>
      <w:r w:rsidRPr="008909CD">
        <w:rPr>
          <w:rFonts w:hAnsi="宋体" w:cs="Arial"/>
          <w:szCs w:val="21"/>
        </w:rPr>
        <w:t>是按照每个</w:t>
      </w:r>
      <w:r w:rsidRPr="008909CD">
        <w:rPr>
          <w:rFonts w:hAnsi="宋体" w:cs="Arial" w:hint="eastAsia"/>
          <w:szCs w:val="21"/>
        </w:rPr>
        <w:t>工作</w:t>
      </w:r>
      <w:r w:rsidRPr="008909CD">
        <w:rPr>
          <w:rFonts w:hAnsi="宋体" w:cs="Arial"/>
          <w:szCs w:val="21"/>
        </w:rPr>
        <w:t>日闭市后，</w:t>
      </w:r>
      <w:r w:rsidRPr="008909CD">
        <w:rPr>
          <w:rFonts w:hAnsi="宋体" w:cs="Arial" w:hint="eastAsia"/>
          <w:szCs w:val="21"/>
        </w:rPr>
        <w:t>基金资产净值除以基金份额总数，基金份额净值的计算，精确到</w:t>
      </w:r>
      <w:r w:rsidRPr="008909CD">
        <w:rPr>
          <w:rFonts w:cs="Arial" w:hint="eastAsia"/>
          <w:szCs w:val="21"/>
        </w:rPr>
        <w:t>0.0</w:t>
      </w:r>
      <w:r w:rsidRPr="008909CD">
        <w:rPr>
          <w:rFonts w:cs="Arial"/>
          <w:szCs w:val="21"/>
        </w:rPr>
        <w:t>0</w:t>
      </w:r>
      <w:r w:rsidRPr="008909CD">
        <w:rPr>
          <w:rFonts w:cs="Arial" w:hint="eastAsia"/>
          <w:szCs w:val="21"/>
        </w:rPr>
        <w:t>01</w:t>
      </w:r>
      <w:r w:rsidRPr="008909CD">
        <w:rPr>
          <w:rFonts w:hAnsi="宋体" w:cs="Arial" w:hint="eastAsia"/>
          <w:szCs w:val="21"/>
        </w:rPr>
        <w:t>元，小数点后第五位四舍五入，国家另有规定的，从其规定。</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基金管理人每个工作日计算基金资产净值及基金份额净值，经基金托管人复核，按规定公告。</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复核程序</w:t>
      </w:r>
    </w:p>
    <w:p w:rsidR="009F1343" w:rsidRPr="008909CD">
      <w:pPr>
        <w:widowControl/>
        <w:adjustRightInd w:val="0"/>
        <w:snapToGrid w:val="0"/>
        <w:spacing w:line="360" w:lineRule="auto"/>
        <w:ind w:firstLine="420" w:firstLineChars="200"/>
        <w:rPr>
          <w:rFonts w:cs="Arial"/>
          <w:szCs w:val="21"/>
        </w:rPr>
      </w:pPr>
      <w:r w:rsidRPr="008909CD">
        <w:rPr>
          <w:rFonts w:hAnsi="宋体" w:cs="Arial" w:hint="eastAsia"/>
          <w:szCs w:val="21"/>
        </w:rPr>
        <w:t>基金管理人每个工作日对基金资产进行估值后，将基金份额净值结果发送基金托管人，经基金托管人复核无误后，由基金管理人对外公布。</w:t>
      </w:r>
      <w:r w:rsidRPr="008909CD">
        <w:rPr>
          <w:rFonts w:hAnsi="宋体" w:cs="Arial"/>
          <w:szCs w:val="21"/>
        </w:rPr>
        <w:t>月末、年中和年末估值复核与基金会计账目的核对同时进行。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（三）基金资产估值方法和特殊情形的处理</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估值对象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基金所拥有的债券和银行存款本息、应收款项、其它投资等资产和负债。</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估值方法</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a</w:t>
      </w:r>
      <w:r w:rsidRPr="008909CD">
        <w:rPr>
          <w:rFonts w:hAnsi="宋体" w:cs="Arial" w:hint="eastAsia"/>
          <w:szCs w:val="21"/>
        </w:rPr>
        <w:t>、证券交易所上市的有价证券的估值</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1</w:t>
      </w:r>
      <w:r w:rsidRPr="008909CD">
        <w:rPr>
          <w:rFonts w:hAnsi="宋体" w:cs="Arial"/>
          <w:szCs w:val="21"/>
        </w:rPr>
        <w:t>）交易所上市的有价证券，以其估值日在证券交易所挂牌的市价（收盘价）估值；估值日无交易的，且最近交易日后经济环境未发生重大变化</w:t>
      </w:r>
      <w:r w:rsidRPr="008909CD">
        <w:rPr>
          <w:rFonts w:hAnsi="宋体" w:cs="Arial" w:hint="eastAsia"/>
          <w:szCs w:val="21"/>
        </w:rPr>
        <w:t>或</w:t>
      </w:r>
      <w:r w:rsidRPr="008909CD">
        <w:rPr>
          <w:rFonts w:hAnsi="宋体" w:cs="Arial"/>
          <w:szCs w:val="21"/>
        </w:rPr>
        <w:t>证券发行机构未发生影响证券价格的重大事件的，以最近交易日的市价（收盘价）估值；如最近交易日后经济环境发生了重大变化</w:t>
      </w:r>
      <w:r w:rsidRPr="008909CD">
        <w:rPr>
          <w:rFonts w:hAnsi="宋体" w:cs="Arial" w:hint="eastAsia"/>
          <w:szCs w:val="21"/>
        </w:rPr>
        <w:t>或</w:t>
      </w:r>
      <w:r w:rsidRPr="008909CD">
        <w:rPr>
          <w:rFonts w:hAnsi="宋体" w:cs="Arial"/>
          <w:szCs w:val="21"/>
        </w:rPr>
        <w:t>证券发行机构发生影响证券价格的重大事件的，可参考类似投资品种的现行市价及重大变化因素，调整最近交易市价，确定公允价格</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2</w:t>
      </w:r>
      <w:r w:rsidRPr="008909CD">
        <w:rPr>
          <w:rFonts w:hAnsi="宋体" w:cs="Arial"/>
          <w:szCs w:val="21"/>
        </w:rPr>
        <w:t>）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3</w:t>
      </w:r>
      <w:r w:rsidRPr="008909CD">
        <w:rPr>
          <w:rFonts w:hAnsi="宋体" w:cs="Arial"/>
          <w:szCs w:val="21"/>
        </w:rPr>
        <w:t>）交易所上市未实行净价交易的债券按估值日收盘价减去债券收盘价中所含的债券应</w:t>
      </w:r>
      <w:r w:rsidRPr="008909CD">
        <w:rPr>
          <w:rFonts w:hAnsi="宋体" w:cs="Arial"/>
          <w:szCs w:val="21"/>
        </w:rPr>
        <w:t>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hint="eastAsia"/>
          <w:szCs w:val="21"/>
        </w:rPr>
        <w:t>4</w:t>
      </w:r>
      <w:r w:rsidRPr="008909CD">
        <w:rPr>
          <w:rFonts w:hAnsi="宋体" w:cs="Arial" w:hint="eastAsia"/>
          <w:szCs w:val="21"/>
        </w:rPr>
        <w:t>）交易所上市不存在活跃市场的有价证券，采用估值技术确定公允价值。交易所上市的资产支持证券，采用估值技术确定公允价值，在估值技术难以可靠计量公允价值的情况下，按成本估值。</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b</w:t>
      </w:r>
      <w:r w:rsidRPr="008909CD">
        <w:rPr>
          <w:rFonts w:hAnsi="宋体" w:cs="Arial" w:hint="eastAsia"/>
          <w:szCs w:val="21"/>
        </w:rPr>
        <w:t>、首次公开发行未上市的债券，采用估值技术确定公允价值，在估值技术难以可靠计量公允价值的情况下，按成本估值。</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c</w:t>
      </w:r>
      <w:r w:rsidRPr="008909CD">
        <w:rPr>
          <w:rFonts w:hAnsi="宋体" w:cs="Arial" w:hint="eastAsia"/>
          <w:szCs w:val="21"/>
        </w:rPr>
        <w:t>、全国银行间债券市场交易的债券、资产支持证券等固定收益品种，采用估值技术确定公允价值。</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d</w:t>
      </w:r>
      <w:r w:rsidRPr="008909CD">
        <w:rPr>
          <w:rFonts w:hAnsi="宋体" w:cs="Arial" w:hint="eastAsia"/>
          <w:szCs w:val="21"/>
        </w:rPr>
        <w:t>、如有充足理由认为按上述方法进行估值不能客观反映其公允价值的，基金管理人可根据具体情况与基金托管人商定后，按最能反映公允价值的价格估值。</w:t>
      </w:r>
    </w:p>
    <w:p w:rsidR="009F1343" w:rsidRPr="008909CD">
      <w:pPr>
        <w:adjustRightInd w:val="0"/>
        <w:snapToGrid w:val="0"/>
        <w:spacing w:line="360" w:lineRule="auto"/>
        <w:ind w:firstLine="420" w:firstLineChars="200"/>
        <w:rPr>
          <w:rFonts w:hAnsi="宋体" w:cs="Arial"/>
          <w:szCs w:val="21"/>
        </w:rPr>
      </w:pPr>
      <w:r w:rsidRPr="008909CD">
        <w:rPr>
          <w:rFonts w:cs="Arial" w:hint="eastAsia"/>
          <w:szCs w:val="21"/>
        </w:rPr>
        <w:t>e</w:t>
      </w:r>
      <w:r w:rsidRPr="008909CD">
        <w:rPr>
          <w:rFonts w:hAnsi="宋体" w:cs="Arial" w:hint="eastAsia"/>
          <w:szCs w:val="21"/>
        </w:rPr>
        <w:t>、相关法律法规以及监管部门有强制规定的，从其规定。如有新增事项，按国家最新规定估值。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9F1343" w:rsidRPr="008909CD">
      <w:pPr>
        <w:adjustRightInd w:val="0"/>
        <w:snapToGrid w:val="0"/>
        <w:spacing w:line="360" w:lineRule="auto"/>
        <w:ind w:firstLine="420" w:firstLineChars="200"/>
        <w:rPr>
          <w:rFonts w:cs="Arial"/>
          <w:szCs w:val="21"/>
        </w:rPr>
      </w:pPr>
      <w:r w:rsidRPr="008909CD">
        <w:rPr>
          <w:rFonts w:hAnsi="宋体" w:cs="Arial"/>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特殊情形的处理</w:t>
      </w:r>
    </w:p>
    <w:p w:rsidR="009F1343" w:rsidRPr="008909CD">
      <w:pPr>
        <w:adjustRightInd w:val="0"/>
        <w:snapToGrid w:val="0"/>
        <w:spacing w:line="360" w:lineRule="auto"/>
        <w:ind w:firstLine="420" w:firstLineChars="200"/>
        <w:rPr>
          <w:rStyle w:val="read"/>
          <w:szCs w:val="21"/>
        </w:rPr>
      </w:pPr>
      <w:r w:rsidRPr="008909CD">
        <w:rPr>
          <w:rStyle w:val="read"/>
          <w:rFonts w:hAnsi="宋体" w:cs="Arial" w:hint="eastAsia"/>
          <w:szCs w:val="21"/>
        </w:rPr>
        <w:t>基金管理人、基金托管人按估值方法的第</w:t>
      </w:r>
      <w:r w:rsidRPr="008909CD">
        <w:rPr>
          <w:rStyle w:val="read"/>
          <w:rFonts w:cs="Arial" w:hint="eastAsia"/>
          <w:szCs w:val="21"/>
        </w:rPr>
        <w:t>d</w:t>
      </w:r>
      <w:r w:rsidRPr="008909CD">
        <w:rPr>
          <w:rStyle w:val="read"/>
          <w:rFonts w:hAnsi="宋体" w:cs="Arial" w:hint="eastAsia"/>
          <w:szCs w:val="21"/>
        </w:rPr>
        <w:t>项进行估值时，所造成的误差不作为基金份</w:t>
      </w:r>
      <w:r w:rsidRPr="008909CD">
        <w:rPr>
          <w:rStyle w:val="read"/>
          <w:rFonts w:hAnsi="宋体" w:hint="eastAsia"/>
          <w:szCs w:val="21"/>
        </w:rPr>
        <w:t>额净值错误处理。</w:t>
      </w:r>
    </w:p>
    <w:p w:rsidR="009F1343" w:rsidRPr="008909CD">
      <w:pPr>
        <w:adjustRightInd w:val="0"/>
        <w:snapToGrid w:val="0"/>
        <w:spacing w:line="360" w:lineRule="auto"/>
        <w:ind w:firstLine="420" w:firstLineChars="200"/>
        <w:rPr>
          <w:rStyle w:val="read"/>
          <w:rFonts w:cs="Arial"/>
          <w:szCs w:val="21"/>
        </w:rPr>
      </w:pPr>
      <w:r w:rsidRPr="008909CD">
        <w:rPr>
          <w:rStyle w:val="read"/>
          <w:rFonts w:hAnsi="宋体" w:cs="Arial" w:hint="eastAsia"/>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rsidR="009F1343" w:rsidRPr="008909CD">
      <w:pPr>
        <w:adjustRightInd w:val="0"/>
        <w:snapToGrid w:val="0"/>
        <w:spacing w:line="360" w:lineRule="auto"/>
        <w:ind w:firstLine="420" w:firstLineChars="200"/>
        <w:rPr>
          <w:rStyle w:val="read"/>
          <w:szCs w:val="21"/>
        </w:rPr>
      </w:pPr>
      <w:r w:rsidRPr="008909CD">
        <w:rPr>
          <w:rStyle w:val="read"/>
          <w:rFonts w:hAnsi="宋体" w:hint="eastAsia"/>
          <w:szCs w:val="21"/>
        </w:rPr>
        <w:t>（四）基金份额净值错误的处理方式</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1.</w:t>
      </w:r>
      <w:r w:rsidRPr="008909CD">
        <w:rPr>
          <w:rStyle w:val="read"/>
          <w:rFonts w:hint="eastAsia"/>
          <w:szCs w:val="21"/>
        </w:rPr>
        <w:t>当基金份额净值小数点后</w:t>
      </w:r>
      <w:r w:rsidRPr="008909CD">
        <w:rPr>
          <w:rStyle w:val="read"/>
          <w:szCs w:val="21"/>
        </w:rPr>
        <w:t>4</w:t>
      </w:r>
      <w:r w:rsidRPr="008909CD">
        <w:rPr>
          <w:rStyle w:val="read"/>
          <w:rFonts w:hint="eastAsia"/>
          <w:szCs w:val="21"/>
        </w:rPr>
        <w:t>位以内</w:t>
      </w:r>
      <w:r w:rsidRPr="008909CD">
        <w:rPr>
          <w:rStyle w:val="read"/>
          <w:rFonts w:hint="eastAsia"/>
          <w:szCs w:val="21"/>
        </w:rPr>
        <w:t>(</w:t>
      </w:r>
      <w:r w:rsidRPr="008909CD">
        <w:rPr>
          <w:rStyle w:val="read"/>
          <w:rFonts w:hint="eastAsia"/>
          <w:szCs w:val="21"/>
        </w:rPr>
        <w:t>含第</w:t>
      </w:r>
      <w:r w:rsidRPr="008909CD">
        <w:rPr>
          <w:rStyle w:val="read"/>
          <w:szCs w:val="21"/>
        </w:rPr>
        <w:t>4</w:t>
      </w:r>
      <w:r w:rsidRPr="008909CD">
        <w:rPr>
          <w:rStyle w:val="read"/>
          <w:rFonts w:hint="eastAsia"/>
          <w:szCs w:val="21"/>
        </w:rPr>
        <w:t>位</w:t>
      </w:r>
      <w:r w:rsidRPr="008909CD">
        <w:rPr>
          <w:rStyle w:val="read"/>
          <w:rFonts w:hint="eastAsia"/>
          <w:szCs w:val="21"/>
        </w:rPr>
        <w:t>)</w:t>
      </w:r>
      <w:r w:rsidRPr="008909CD">
        <w:rPr>
          <w:rStyle w:val="read"/>
          <w:rFonts w:hint="eastAsia"/>
          <w:szCs w:val="21"/>
        </w:rPr>
        <w:t>发生差错时，视为基金份额净值错误；基金份额净值出现错误时，基金管理人应当立即予以纠正，通报基金托管人，并采取合理的措施防止损失进一步扩大；错误偏差达到基金份额净值的</w:t>
      </w:r>
      <w:r w:rsidRPr="008909CD">
        <w:rPr>
          <w:rStyle w:val="read"/>
          <w:rFonts w:hint="eastAsia"/>
          <w:szCs w:val="21"/>
        </w:rPr>
        <w:t>0.25%</w:t>
      </w:r>
      <w:r w:rsidRPr="008909CD">
        <w:rPr>
          <w:rStyle w:val="read"/>
          <w:rFonts w:hint="eastAsia"/>
          <w:szCs w:val="21"/>
        </w:rPr>
        <w:t>时，基金管理人应当通报基金托</w:t>
      </w:r>
      <w:r w:rsidRPr="008909CD">
        <w:rPr>
          <w:rStyle w:val="read"/>
          <w:rFonts w:hint="eastAsia"/>
          <w:szCs w:val="21"/>
        </w:rPr>
        <w:t>管人并报中国证监会备案；错误偏差达到基金份额净值的</w:t>
      </w:r>
      <w:r w:rsidRPr="008909CD">
        <w:rPr>
          <w:rStyle w:val="read"/>
          <w:rFonts w:hint="eastAsia"/>
          <w:szCs w:val="21"/>
        </w:rPr>
        <w:t>0.5%</w:t>
      </w:r>
      <w:r w:rsidRPr="008909CD">
        <w:rPr>
          <w:rStyle w:val="read"/>
          <w:rFonts w:hint="eastAsia"/>
          <w:szCs w:val="21"/>
        </w:rPr>
        <w:t>时，基金管理人应当公告；当发生净值计算错误时，由基金管理人负责处理，由此给基金份额持有人和基金造成损失的，应由基金管理人先行赔付，基金管理人按差错情形，有权向其他当事人追偿。</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2.</w:t>
      </w:r>
      <w:r w:rsidRPr="008909CD">
        <w:rPr>
          <w:rStyle w:val="read"/>
          <w:rFonts w:hint="eastAsia"/>
          <w:szCs w:val="21"/>
        </w:rPr>
        <w:t>当因基金管理人和基金托管人原因基金份额净值计算差错给基金和基金份额持有人造成损失需要进行赔偿时，基金管理人和基金托管人应根据实际情况界定双方承担的责任，经确认后按以下条款进行赔偿：</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(1)</w:t>
      </w:r>
      <w:r w:rsidRPr="008909CD">
        <w:rPr>
          <w:rStyle w:val="read"/>
          <w:szCs w:val="21"/>
        </w:rPr>
        <w:t>本基金的基金会计责任方由基金管理人担任</w:t>
      </w:r>
      <w:r w:rsidRPr="008909CD">
        <w:rPr>
          <w:rStyle w:val="read"/>
          <w:rFonts w:hint="eastAsia"/>
          <w:szCs w:val="21"/>
        </w:rPr>
        <w:t>，</w:t>
      </w:r>
      <w:r w:rsidRPr="008909CD">
        <w:rPr>
          <w:rStyle w:val="read"/>
          <w:szCs w:val="21"/>
        </w:rPr>
        <w:t>与本基金有关的会计问题，如经双方在平等基础上充分讨论后，</w:t>
      </w:r>
      <w:r w:rsidRPr="008909CD">
        <w:rPr>
          <w:rStyle w:val="read"/>
          <w:rFonts w:hint="eastAsia"/>
          <w:szCs w:val="21"/>
        </w:rPr>
        <w:t>尚不能达成一致时，</w:t>
      </w:r>
      <w:r w:rsidRPr="008909CD">
        <w:rPr>
          <w:rStyle w:val="read"/>
          <w:szCs w:val="21"/>
        </w:rPr>
        <w:t>按基金</w:t>
      </w:r>
      <w:r w:rsidRPr="008909CD">
        <w:rPr>
          <w:rStyle w:val="read"/>
          <w:rFonts w:hint="eastAsia"/>
          <w:szCs w:val="21"/>
        </w:rPr>
        <w:t>管理人</w:t>
      </w:r>
      <w:r w:rsidRPr="008909CD">
        <w:rPr>
          <w:rStyle w:val="read"/>
          <w:szCs w:val="21"/>
        </w:rPr>
        <w:t>的建议执行</w:t>
      </w:r>
      <w:r w:rsidRPr="008909CD">
        <w:rPr>
          <w:rStyle w:val="read"/>
          <w:rFonts w:hint="eastAsia"/>
          <w:szCs w:val="21"/>
        </w:rPr>
        <w:t>，若基金托管人已提出合理意见而基金管理人未采纳的，由此给基金份额持有人和基金财产造成的直接损失，由基金管理人负责赔付。</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(2)</w:t>
      </w:r>
      <w:r w:rsidRPr="008909CD">
        <w:rPr>
          <w:rStyle w:val="read"/>
          <w:rFonts w:hint="eastAsia"/>
          <w:szCs w:val="21"/>
        </w:rPr>
        <w:t>若基金管理人计算的基金份额净值已由基金托管人复核确认后公告，而且基金托管人未对计算过程提出疑义或要求基金管理人书面说明，基金份额净值出错且造成基金份额持有人直接损失的，应根据法律法规的规定对投资者或基金支付赔偿金，就实际向投资者或基金支付的赔偿金额，基金管理人与基金托管人按照管理费和托管费的比例各自承担相应的责任。</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(3)</w:t>
      </w:r>
      <w:r w:rsidRPr="008909CD">
        <w:rPr>
          <w:rStyle w:val="read"/>
          <w:rFonts w:hint="eastAsia"/>
          <w:szCs w:val="21"/>
        </w:rPr>
        <w:t>如基金管理人和基金托管人对基金份额净值的计算结果，虽然多次重新计算和核对，尚不能达成一致时，为避免不能按时公布基金份额净值的情形，以基金管理人的计算结果对外公布，若基金托管人已提出合理意见而基金管理人未采纳的，由此给基金份额持有人和基金造成的直接损失，由基金管理人负责赔付。</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(4)</w:t>
      </w:r>
      <w:r w:rsidRPr="008909CD">
        <w:rPr>
          <w:rStyle w:val="read"/>
          <w:rFonts w:hint="eastAsia"/>
          <w:szCs w:val="21"/>
        </w:rPr>
        <w:t>由于基金管理人提供的信息错误（包括但不限于基金申购或赎回金额等），进而导致基金份额净值计算错误而引起的基金份额持有人和基金财产的损失，由基金管理人负责赔付。</w:t>
      </w:r>
    </w:p>
    <w:p w:rsidR="009F1343" w:rsidRPr="008909CD">
      <w:pPr>
        <w:adjustRightInd w:val="0"/>
        <w:snapToGrid w:val="0"/>
        <w:spacing w:line="360" w:lineRule="auto"/>
        <w:ind w:firstLine="420" w:firstLineChars="200"/>
        <w:rPr>
          <w:rStyle w:val="read"/>
          <w:szCs w:val="21"/>
        </w:rPr>
      </w:pPr>
      <w:r w:rsidRPr="008909CD">
        <w:rPr>
          <w:rStyle w:val="read"/>
          <w:rFonts w:hint="eastAsia"/>
          <w:szCs w:val="21"/>
        </w:rPr>
        <w:t>3.</w:t>
      </w:r>
      <w:r w:rsidRPr="008909CD">
        <w:rPr>
          <w:rStyle w:val="read"/>
          <w:rFonts w:hint="eastAsia"/>
          <w:szCs w:val="21"/>
        </w:rPr>
        <w:t>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9F1343" w:rsidRPr="008909CD">
      <w:pPr>
        <w:adjustRightInd w:val="0"/>
        <w:snapToGrid w:val="0"/>
        <w:spacing w:line="360" w:lineRule="auto"/>
        <w:ind w:firstLine="420" w:firstLineChars="200"/>
        <w:rPr>
          <w:rStyle w:val="read"/>
        </w:rPr>
      </w:pPr>
      <w:r w:rsidRPr="008909CD">
        <w:rPr>
          <w:rStyle w:val="read"/>
          <w:rFonts w:hint="eastAsia"/>
        </w:rPr>
        <w:t>4.</w:t>
      </w:r>
      <w:r w:rsidRPr="008909CD">
        <w:rPr>
          <w:rStyle w:val="read"/>
          <w:rFonts w:hint="eastAsia"/>
        </w:rPr>
        <w:t>基金管理人和基金托管人由于各自技术系统设置而产生的净值计算尾差，以基金管理人计算结果为准。</w:t>
      </w:r>
    </w:p>
    <w:p w:rsidR="009F1343" w:rsidRPr="008909CD">
      <w:pPr>
        <w:adjustRightInd w:val="0"/>
        <w:snapToGrid w:val="0"/>
        <w:spacing w:line="360" w:lineRule="auto"/>
        <w:ind w:firstLine="420" w:firstLineChars="200"/>
        <w:rPr>
          <w:rStyle w:val="read"/>
        </w:rPr>
      </w:pPr>
      <w:r w:rsidRPr="008909CD">
        <w:rPr>
          <w:rStyle w:val="read"/>
          <w:rFonts w:hint="eastAsia"/>
        </w:rPr>
        <w:t>5.</w:t>
      </w:r>
      <w:r w:rsidRPr="008909CD">
        <w:rPr>
          <w:rStyle w:val="read"/>
          <w:rFonts w:hint="eastAsia"/>
        </w:rPr>
        <w:t>前述内容如法律法规或者监管部门另有规定的，从其规定。如果行业另有通行做法，双方当事人应本着平等和保护基金份额持有人利益的原则进行协商。</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（五）暂停估值与公告基金份额净值的情形</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1.</w:t>
      </w:r>
      <w:r w:rsidRPr="008909CD">
        <w:rPr>
          <w:rFonts w:hAnsi="宋体" w:cs="Arial" w:hint="eastAsia"/>
          <w:szCs w:val="21"/>
        </w:rPr>
        <w:t>基金投资所涉及的证券交易市场遇法定节假日或因其他原因暂停营业时；</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2.</w:t>
      </w:r>
      <w:r w:rsidRPr="008909CD">
        <w:rPr>
          <w:rFonts w:hAnsi="宋体" w:cs="Arial" w:hint="eastAsia"/>
          <w:szCs w:val="21"/>
        </w:rPr>
        <w:t>因不可抗力致使基金管理人、基金托管人无法准确评估基金资产价值时；</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3.</w:t>
      </w:r>
      <w:r w:rsidRPr="008909CD">
        <w:rPr>
          <w:rFonts w:hint="eastAsia"/>
        </w:rPr>
        <w:t xml:space="preserve"> </w:t>
      </w:r>
      <w:r w:rsidRPr="008909CD">
        <w:rPr>
          <w:rFonts w:cs="Arial" w:hint="eastAsia"/>
          <w:szCs w:val="21"/>
        </w:rPr>
        <w:t>当特定资产占前一估值日基金资产净值</w:t>
      </w:r>
      <w:r w:rsidRPr="008909CD">
        <w:rPr>
          <w:rFonts w:cs="Arial" w:hint="eastAsia"/>
          <w:szCs w:val="21"/>
        </w:rPr>
        <w:t>50%</w:t>
      </w:r>
      <w:r w:rsidRPr="008909CD">
        <w:rPr>
          <w:rFonts w:cs="Arial" w:hint="eastAsia"/>
          <w:szCs w:val="21"/>
        </w:rPr>
        <w:t>以上的，经与基金托管人协商确认后，基金管理人应当暂停估值；</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4</w:t>
      </w:r>
      <w:r w:rsidRPr="008909CD">
        <w:rPr>
          <w:rFonts w:cs="Arial" w:hint="eastAsia"/>
          <w:szCs w:val="21"/>
        </w:rPr>
        <w:t>、</w:t>
      </w:r>
      <w:r w:rsidRPr="008909CD">
        <w:rPr>
          <w:rFonts w:hAnsi="宋体" w:cs="Arial" w:hint="eastAsia"/>
          <w:szCs w:val="21"/>
        </w:rPr>
        <w:t>中国证监会和基金合同认定的其他情形。</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（六）基金会计制度</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按国家有关部门规定的会计制度执行。</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（七）基金账册的建立</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进行基金会计核算并编制基金财务会计报告。基金管理人和基金托管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（八）基金财务报表与报告的编制和复核</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财务报表的编制</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基金财务报表由基金管理人编制，基金托管人复核。</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报表复核</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基金托管人在收到基金管理人编制的基金财务报表后，进行独立的复核。核对不符时，应及时通知基金管理人共同查出原因，进行调整，直至双方数据完全一致。</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财务报表的编制与复核时间安排</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hint="eastAsia"/>
          <w:szCs w:val="21"/>
        </w:rPr>
        <w:t>1</w:t>
      </w:r>
      <w:r w:rsidRPr="008909CD">
        <w:rPr>
          <w:rFonts w:hAnsi="宋体" w:cs="Arial" w:hint="eastAsia"/>
          <w:szCs w:val="21"/>
        </w:rPr>
        <w:t>）报表的编制</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基金管理人应当在每月结束后</w:t>
      </w:r>
      <w:r w:rsidRPr="008909CD">
        <w:rPr>
          <w:rFonts w:hAnsi="宋体" w:cs="Arial" w:hint="eastAsia"/>
          <w:szCs w:val="21"/>
        </w:rPr>
        <w:t>5</w:t>
      </w:r>
      <w:r w:rsidRPr="008909CD">
        <w:rPr>
          <w:rFonts w:hAnsi="宋体" w:cs="Arial" w:hint="eastAsia"/>
          <w:szCs w:val="21"/>
        </w:rPr>
        <w:t>个工作日内完成月度报表的编制；在每个季度结束之日起</w:t>
      </w:r>
      <w:r w:rsidRPr="008909CD">
        <w:rPr>
          <w:rFonts w:hAnsi="宋体" w:cs="Arial" w:hint="eastAsia"/>
          <w:szCs w:val="21"/>
        </w:rPr>
        <w:t>15</w:t>
      </w:r>
      <w:r w:rsidRPr="008909CD">
        <w:rPr>
          <w:rFonts w:hAnsi="宋体" w:cs="Arial" w:hint="eastAsia"/>
          <w:szCs w:val="21"/>
        </w:rPr>
        <w:t>个工作日内完成基金季度报告的编制；在上半年结束之日起两个月内完成基金中期报告的编制；在每年结束之日起三个月内完成基金年度报告的编制。基金年度报告的财务会计报告应当经具有证券、期货相关业务资格的会计师事务所审计。《基金合同》生效不足两个月的，基金管理人可以不编制当期季度报告、中期报告或者年度报告。</w:t>
      </w:r>
    </w:p>
    <w:p w:rsidR="009F1343" w:rsidRPr="008909CD">
      <w:pPr>
        <w:pStyle w:val="NormalIndent"/>
        <w:adjustRightInd w:val="0"/>
        <w:snapToGrid w:val="0"/>
        <w:spacing w:line="360" w:lineRule="auto"/>
        <w:rPr>
          <w:rFonts w:cs="Arial"/>
          <w:szCs w:val="21"/>
        </w:rPr>
      </w:pPr>
      <w:r w:rsidRPr="008909CD">
        <w:rPr>
          <w:rFonts w:hAnsi="宋体" w:cs="Arial" w:hint="eastAsia"/>
          <w:szCs w:val="21"/>
        </w:rPr>
        <w:t>（</w:t>
      </w:r>
      <w:r w:rsidRPr="008909CD">
        <w:rPr>
          <w:rFonts w:cs="Arial" w:hint="eastAsia"/>
          <w:szCs w:val="21"/>
        </w:rPr>
        <w:t>2</w:t>
      </w:r>
      <w:r w:rsidRPr="008909CD">
        <w:rPr>
          <w:rFonts w:hAnsi="宋体" w:cs="Arial" w:hint="eastAsia"/>
          <w:szCs w:val="21"/>
        </w:rPr>
        <w:t>）报表的复核</w:t>
      </w:r>
    </w:p>
    <w:p w:rsidR="009F1343" w:rsidRPr="008909CD">
      <w:pPr>
        <w:pStyle w:val="NormalIndent"/>
        <w:adjustRightInd w:val="0"/>
        <w:snapToGrid w:val="0"/>
        <w:spacing w:line="360" w:lineRule="auto"/>
        <w:rPr>
          <w:rFonts w:cs="Arial"/>
          <w:szCs w:val="21"/>
        </w:rPr>
      </w:pPr>
      <w:r w:rsidRPr="008909CD">
        <w:rPr>
          <w:rFonts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9F1343" w:rsidRPr="008909CD">
      <w:pPr>
        <w:pStyle w:val="NormalIndent"/>
        <w:adjustRightInd w:val="0"/>
        <w:snapToGrid w:val="0"/>
        <w:spacing w:line="360" w:lineRule="auto"/>
        <w:rPr>
          <w:rFonts w:cs="Arial"/>
          <w:szCs w:val="21"/>
        </w:rPr>
      </w:pPr>
      <w:r w:rsidRPr="008909CD">
        <w:rPr>
          <w:rFonts w:hAnsi="宋体" w:cs="Arial" w:hint="eastAsia"/>
          <w:szCs w:val="21"/>
        </w:rPr>
        <w:t>基金管理人应留足充分的时间，便于基金托管人复核相关报表及报告。</w:t>
      </w:r>
    </w:p>
    <w:p w:rsidR="009F1343" w:rsidRPr="008909CD">
      <w:pPr>
        <w:pStyle w:val="NormalIndent"/>
        <w:adjustRightInd w:val="0"/>
        <w:snapToGrid w:val="0"/>
        <w:spacing w:line="360" w:lineRule="auto"/>
        <w:rPr>
          <w:rFonts w:hAnsi="宋体" w:cs="Arial"/>
          <w:szCs w:val="21"/>
        </w:rPr>
      </w:pPr>
      <w:r w:rsidRPr="008909CD">
        <w:rPr>
          <w:rFonts w:hAnsi="宋体" w:cs="Arial" w:hint="eastAsia"/>
          <w:szCs w:val="21"/>
        </w:rPr>
        <w:t>（九）基金管理人应在编制季度报告、中期报告或者年度报告之前及时向基金托管人提供基金业绩比较基准的基础数据和编制结果。</w:t>
      </w:r>
    </w:p>
    <w:p w:rsidR="009F1343" w:rsidRPr="008909CD">
      <w:pPr>
        <w:pStyle w:val="NormalIndent"/>
        <w:adjustRightInd w:val="0"/>
        <w:snapToGrid w:val="0"/>
        <w:spacing w:line="360" w:lineRule="auto"/>
        <w:rPr>
          <w:rFonts w:cs="Arial"/>
          <w:szCs w:val="21"/>
        </w:rPr>
      </w:pPr>
      <w:r w:rsidRPr="008909CD">
        <w:rPr>
          <w:rFonts w:cs="Arial" w:hint="eastAsia"/>
          <w:szCs w:val="21"/>
        </w:rPr>
        <w:t>（十）实施侧袋机制期间的基金资产估值</w:t>
      </w:r>
      <w:r w:rsidRPr="008909CD">
        <w:rPr>
          <w:rFonts w:cs="Arial" w:hint="eastAsia"/>
          <w:szCs w:val="21"/>
        </w:rPr>
        <w:tab/>
      </w:r>
    </w:p>
    <w:p w:rsidR="009F1343" w:rsidRPr="008909CD">
      <w:pPr>
        <w:pStyle w:val="NormalIndent"/>
        <w:adjustRightInd w:val="0"/>
        <w:snapToGrid w:val="0"/>
        <w:spacing w:line="360" w:lineRule="auto"/>
        <w:rPr>
          <w:rFonts w:cs="Arial"/>
          <w:szCs w:val="21"/>
        </w:rPr>
      </w:pPr>
      <w:r w:rsidRPr="008909CD">
        <w:rPr>
          <w:rFonts w:cs="Arial" w:hint="eastAsia"/>
          <w:szCs w:val="21"/>
        </w:rPr>
        <w:t>本基金实施侧袋机制的，应根据本部分的约定对主袋账户资产进行估值并披露主袋账户的基金资产净值和份额净值，暂停披露侧袋账户份额净值。</w:t>
      </w:r>
    </w:p>
    <w:p w:rsidR="009F1343" w:rsidRPr="008909CD">
      <w:pPr>
        <w:pStyle w:val="NormalIndent"/>
        <w:adjustRightInd w:val="0"/>
        <w:snapToGrid w:val="0"/>
        <w:spacing w:line="360" w:lineRule="auto"/>
        <w:rPr>
          <w:rFonts w:cs="Arial"/>
          <w:szCs w:val="21"/>
        </w:rPr>
      </w:pPr>
      <w:r w:rsidRPr="008909CD">
        <w:rPr>
          <w:rFonts w:cs="Arial"/>
          <w:szCs w:val="21"/>
        </w:rPr>
        <w:br w:type="page"/>
      </w:r>
    </w:p>
    <w:p w:rsidR="009F1343" w:rsidRPr="008909CD">
      <w:pPr>
        <w:pStyle w:val="NormalIndent"/>
        <w:adjustRightInd w:val="0"/>
        <w:snapToGrid w:val="0"/>
        <w:ind w:firstLine="0" w:firstLineChars="0"/>
        <w:rPr>
          <w:rFonts w:cs="Arial"/>
          <w:sz w:val="24"/>
        </w:rPr>
      </w:pPr>
    </w:p>
    <w:p w:rsidR="009F1343" w:rsidRPr="008909CD">
      <w:pPr>
        <w:pStyle w:val="Heading2"/>
        <w:jc w:val="center"/>
        <w:rPr>
          <w:rFonts w:ascii="Times New Roman" w:eastAsia="宋体" w:hAnsi="Times New Roman"/>
          <w:sz w:val="30"/>
        </w:rPr>
      </w:pPr>
      <w:bookmarkStart w:id="92" w:name="_Toc124325893"/>
      <w:r w:rsidRPr="008909CD">
        <w:rPr>
          <w:rFonts w:ascii="Times New Roman" w:eastAsia="宋体" w:hint="eastAsia"/>
          <w:sz w:val="30"/>
        </w:rPr>
        <w:t>九、基金收益分配</w:t>
      </w:r>
      <w:bookmarkEnd w:id="92"/>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基金收益分配是指按规定将基金的可分配收益按基金份额进行比例分配。</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（一）基金收益分配的原则</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基金收益分配应遵循下列原则：</w:t>
      </w:r>
    </w:p>
    <w:p w:rsidR="009F1343" w:rsidRPr="008909CD">
      <w:pPr>
        <w:adjustRightInd w:val="0"/>
        <w:snapToGrid w:val="0"/>
        <w:spacing w:line="360" w:lineRule="auto"/>
        <w:ind w:firstLine="420" w:firstLineChars="200"/>
        <w:rPr>
          <w:rFonts w:cs="Arial"/>
          <w:szCs w:val="21"/>
        </w:rPr>
      </w:pPr>
      <w:r w:rsidRPr="008909CD">
        <w:rPr>
          <w:rFonts w:cs="Arial"/>
          <w:szCs w:val="21"/>
        </w:rPr>
        <w:t>1</w:t>
      </w:r>
      <w:r w:rsidRPr="008909CD">
        <w:rPr>
          <w:rFonts w:hAnsi="宋体" w:cs="Arial" w:hint="eastAsia"/>
          <w:szCs w:val="21"/>
        </w:rPr>
        <w:t>．本基金各基金份额类别在费用收取上不同，其对应的可分配收益可能有所不同。本基金同一类别的每一基金份额享有同等收益分配权；</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w:t>
      </w:r>
      <w:r w:rsidRPr="008909CD">
        <w:rPr>
          <w:rFonts w:hAnsi="宋体" w:cs="Arial"/>
          <w:szCs w:val="21"/>
        </w:rPr>
        <w:t>在符合有关基金分红条件的前提下，本基金每年收益分配次数最多为</w:t>
      </w:r>
      <w:r w:rsidRPr="008909CD">
        <w:rPr>
          <w:rFonts w:cs="Arial" w:hint="eastAsia"/>
          <w:szCs w:val="21"/>
        </w:rPr>
        <w:t>4</w:t>
      </w:r>
      <w:r w:rsidRPr="008909CD">
        <w:rPr>
          <w:rFonts w:hAnsi="宋体" w:cs="Arial"/>
          <w:szCs w:val="21"/>
        </w:rPr>
        <w:t>次，</w:t>
      </w:r>
      <w:r w:rsidRPr="008909CD">
        <w:rPr>
          <w:rFonts w:hAnsi="宋体" w:cs="Arial" w:hint="eastAsia"/>
          <w:szCs w:val="21"/>
        </w:rPr>
        <w:t>每份基金份额</w:t>
      </w:r>
      <w:r w:rsidRPr="008909CD">
        <w:rPr>
          <w:rFonts w:hAnsi="宋体" w:cs="Arial"/>
          <w:szCs w:val="21"/>
        </w:rPr>
        <w:t>每次分配比例不得低于</w:t>
      </w:r>
      <w:r w:rsidRPr="008909CD">
        <w:rPr>
          <w:rFonts w:hAnsi="宋体" w:cs="Arial" w:hint="eastAsia"/>
          <w:szCs w:val="21"/>
        </w:rPr>
        <w:t>收益分配基准日每份基金份额</w:t>
      </w:r>
      <w:r w:rsidRPr="008909CD">
        <w:rPr>
          <w:rFonts w:hAnsi="宋体" w:cs="Arial"/>
          <w:szCs w:val="21"/>
        </w:rPr>
        <w:t>可供分配利润的</w:t>
      </w:r>
      <w:r w:rsidRPr="008909CD">
        <w:rPr>
          <w:rFonts w:cs="Arial" w:hint="eastAsia"/>
          <w:szCs w:val="21"/>
        </w:rPr>
        <w:t>60</w:t>
      </w:r>
      <w:r w:rsidRPr="008909CD">
        <w:rPr>
          <w:rFonts w:cs="Arial"/>
          <w:szCs w:val="21"/>
        </w:rPr>
        <w:t>%</w:t>
      </w:r>
      <w:r w:rsidRPr="008909CD">
        <w:rPr>
          <w:rFonts w:hAnsi="宋体" w:cs="Arial"/>
          <w:szCs w:val="21"/>
        </w:rPr>
        <w:t>，若《基金合同》生效不满</w:t>
      </w:r>
      <w:r w:rsidRPr="008909CD">
        <w:rPr>
          <w:rFonts w:cs="Arial"/>
          <w:szCs w:val="21"/>
        </w:rPr>
        <w:t>3</w:t>
      </w:r>
      <w:r w:rsidRPr="008909CD">
        <w:rPr>
          <w:rFonts w:hAnsi="宋体" w:cs="Arial"/>
          <w:szCs w:val="21"/>
        </w:rPr>
        <w:t>个月可不进行收益分配；</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w:t>
      </w:r>
      <w:r w:rsidRPr="008909CD">
        <w:rPr>
          <w:rFonts w:hAnsi="宋体" w:cs="Arial"/>
          <w:szCs w:val="21"/>
        </w:rPr>
        <w:t>本基金收益分配方式分两种：现金分红与红利再投资，投资者可选择现金红利或将现金红利自动转为基金份额进行再投资；若投资者不选择，本基金默认的收益分配方式是现金分红；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w:t>
      </w:r>
      <w:r w:rsidRPr="008909CD">
        <w:rPr>
          <w:rFonts w:hAnsi="宋体" w:cs="Arial"/>
          <w:szCs w:val="21"/>
        </w:rPr>
        <w:t>基金收益分配后基金份额净值不能低于面值；即基金收益分配基准日的基金份额净值减去每单位基金份额收益分配金额后不能低于面值</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5</w:t>
      </w:r>
      <w:r w:rsidRPr="008909CD">
        <w:rPr>
          <w:rFonts w:hAnsi="宋体" w:cs="Arial" w:hint="eastAsia"/>
          <w:szCs w:val="21"/>
        </w:rPr>
        <w:t>．</w:t>
      </w:r>
      <w:r w:rsidRPr="008909CD">
        <w:rPr>
          <w:rFonts w:hAnsi="宋体" w:cs="Arial"/>
          <w:szCs w:val="21"/>
        </w:rPr>
        <w:t>法律法规或监管机关另有规定的，从其规定。</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（二）基金收益分配的时间和程序</w:t>
      </w:r>
    </w:p>
    <w:p w:rsidR="009F1343" w:rsidRPr="008909CD">
      <w:pPr>
        <w:adjustRightInd w:val="0"/>
        <w:snapToGrid w:val="0"/>
        <w:spacing w:line="360" w:lineRule="auto"/>
        <w:ind w:firstLine="420" w:firstLineChars="200"/>
        <w:outlineLvl w:val="0"/>
        <w:rPr>
          <w:rFonts w:hAnsi="宋体" w:cs="Arial"/>
          <w:szCs w:val="21"/>
        </w:rPr>
      </w:pPr>
      <w:r w:rsidRPr="008909CD">
        <w:rPr>
          <w:rFonts w:hAnsi="宋体" w:cs="Arial" w:hint="eastAsia"/>
          <w:szCs w:val="21"/>
        </w:rPr>
        <w:t>本基金收益分配方案由基金管理人拟定、基金托管人复核，依照《信息披露办法》的有关规定在规定媒介上公告。基金收益分配方案公告后（依据具体方案的规定），基金管理人依据</w:t>
      </w:r>
      <w:r w:rsidRPr="008909CD">
        <w:rPr>
          <w:rFonts w:hAnsi="宋体" w:cs="Arial"/>
          <w:szCs w:val="21"/>
        </w:rPr>
        <w:t>具体方案的规定</w:t>
      </w:r>
      <w:r w:rsidRPr="008909CD">
        <w:rPr>
          <w:rFonts w:hAnsi="宋体" w:cs="Arial" w:hint="eastAsia"/>
          <w:szCs w:val="21"/>
        </w:rPr>
        <w:t>就支付的现金红利向基金托管人发送划款指令，基金托管人按照基金管理人的指令及时进行分红资金的划付。</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（三）实施侧袋机制期间的收益分配</w:t>
      </w:r>
    </w:p>
    <w:p w:rsidR="009F1343" w:rsidRPr="008909CD">
      <w:pPr>
        <w:adjustRightInd w:val="0"/>
        <w:snapToGrid w:val="0"/>
        <w:spacing w:line="360" w:lineRule="auto"/>
        <w:ind w:firstLine="420" w:firstLineChars="200"/>
        <w:outlineLvl w:val="0"/>
        <w:rPr>
          <w:rFonts w:cs="Arial"/>
          <w:szCs w:val="21"/>
        </w:rPr>
      </w:pPr>
      <w:r w:rsidRPr="008909CD">
        <w:rPr>
          <w:rFonts w:cs="Arial" w:hint="eastAsia"/>
          <w:szCs w:val="21"/>
        </w:rPr>
        <w:t>本基金实施侧袋机制的，侧袋账户不进行收益分配，详见招募说明书的规定。</w:t>
      </w:r>
    </w:p>
    <w:p w:rsidR="009F1343" w:rsidRPr="008909CD">
      <w:pPr>
        <w:adjustRightInd w:val="0"/>
        <w:snapToGrid w:val="0"/>
        <w:spacing w:line="360" w:lineRule="auto"/>
        <w:ind w:firstLine="420" w:firstLineChars="200"/>
        <w:outlineLvl w:val="0"/>
        <w:rPr>
          <w:rFonts w:cs="Arial"/>
          <w:sz w:val="24"/>
        </w:rPr>
      </w:pPr>
      <w:r w:rsidRPr="008909CD">
        <w:rPr>
          <w:rFonts w:cs="Arial"/>
          <w:szCs w:val="21"/>
        </w:rPr>
        <w:br w:type="page"/>
      </w:r>
    </w:p>
    <w:p w:rsidR="009F1343" w:rsidRPr="008909CD">
      <w:pPr>
        <w:pStyle w:val="Heading2"/>
        <w:jc w:val="center"/>
        <w:rPr>
          <w:rFonts w:ascii="Times New Roman" w:eastAsia="宋体" w:hAnsi="Times New Roman"/>
          <w:sz w:val="30"/>
        </w:rPr>
      </w:pPr>
      <w:bookmarkStart w:id="93" w:name="_Toc124325894"/>
      <w:r w:rsidRPr="008909CD">
        <w:rPr>
          <w:rFonts w:ascii="Times New Roman" w:eastAsia="宋体" w:hint="eastAsia"/>
          <w:sz w:val="30"/>
        </w:rPr>
        <w:t>十、基金信息披露</w:t>
      </w:r>
      <w:bookmarkEnd w:id="93"/>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（一）保密义务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非因基金管理人和基金托管人的原因导致保密信息被披露、泄露或公开；</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基金管理人和基金托管人为遵守和服从法院判决或裁定、仲裁裁决或中国证监会等监管机构的命令、决定所做出的信息披露或公开。</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（二）信息披露的内容</w:t>
      </w:r>
    </w:p>
    <w:p w:rsidR="009F1343" w:rsidRPr="008909CD">
      <w:pPr>
        <w:spacing w:line="360" w:lineRule="auto"/>
        <w:ind w:firstLine="420" w:firstLineChars="200"/>
        <w:rPr>
          <w:rFonts w:cs="Arial"/>
          <w:szCs w:val="21"/>
        </w:rPr>
      </w:pPr>
      <w:r w:rsidRPr="008909CD">
        <w:rPr>
          <w:rFonts w:hAnsi="宋体" w:cs="Arial" w:hint="eastAsia"/>
          <w:szCs w:val="21"/>
        </w:rPr>
        <w:t>基金的信息披露内容主要包括基金招募说明书、基金合同、托管协议、</w:t>
      </w:r>
      <w:r w:rsidRPr="008909CD">
        <w:rPr>
          <w:rFonts w:hAnsi="宋体" w:cs="Arial" w:hint="eastAsia"/>
          <w:bCs/>
          <w:szCs w:val="21"/>
        </w:rPr>
        <w:t>基金产品资料概要、</w:t>
      </w:r>
      <w:r w:rsidRPr="008909CD">
        <w:rPr>
          <w:rFonts w:hAnsi="宋体" w:cs="Arial" w:hint="eastAsia"/>
          <w:szCs w:val="21"/>
        </w:rPr>
        <w:t>基金份额发售公告、基金合同生效公告、基金开始申购和赎回公告、</w:t>
      </w:r>
      <w:r w:rsidRPr="008909CD">
        <w:rPr>
          <w:rFonts w:hAnsi="宋体" w:cs="Arial"/>
          <w:bCs/>
          <w:szCs w:val="21"/>
        </w:rPr>
        <w:t>基金净值信息</w:t>
      </w:r>
      <w:r w:rsidRPr="008909CD">
        <w:rPr>
          <w:rFonts w:hAnsi="宋体" w:cs="Arial" w:hint="eastAsia"/>
          <w:szCs w:val="21"/>
        </w:rPr>
        <w:t>、基金份额申购、赎回价格、基金定期报告（包括基金年度报告、基金中期报告和基金季度报告）、临时报告、澄清公告、基金清算报告、基金份额持有人大会决议、中国证监会规定的其他信息。基金年度报告需经</w:t>
      </w:r>
      <w:r w:rsidRPr="008909CD" w:rsidR="00782E72">
        <w:rPr>
          <w:rFonts w:hAnsi="宋体" w:cs="Arial" w:hint="eastAsia"/>
          <w:szCs w:val="21"/>
        </w:rPr>
        <w:t>符合《证券法》规定的</w:t>
      </w:r>
      <w:r w:rsidRPr="008909CD">
        <w:rPr>
          <w:rFonts w:hAnsi="宋体" w:cs="Arial" w:hint="eastAsia"/>
          <w:szCs w:val="21"/>
        </w:rPr>
        <w:t>会计师事务所审计后，方可披露。</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（三）基金托管人和基金管理人在信息披露中的职责和信息披露程序</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职责</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的规定和基金合同的约定，对于本章第（二）条规定的应由基金托管人复核的事项进行复核，基金托管人复核无误后，由基金管理人予以公布。</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对于不需要基金托管人</w:t>
      </w:r>
      <w:r w:rsidRPr="008909CD">
        <w:rPr>
          <w:rFonts w:cs="Arial" w:hint="eastAsia"/>
          <w:szCs w:val="21"/>
        </w:rPr>
        <w:t>(</w:t>
      </w:r>
      <w:r w:rsidRPr="008909CD">
        <w:rPr>
          <w:rFonts w:hAnsi="宋体" w:cs="Arial" w:hint="eastAsia"/>
          <w:szCs w:val="21"/>
        </w:rPr>
        <w:t>或基金管理人</w:t>
      </w:r>
      <w:r w:rsidRPr="008909CD">
        <w:rPr>
          <w:rFonts w:cs="Arial" w:hint="eastAsia"/>
          <w:szCs w:val="21"/>
        </w:rPr>
        <w:t>)</w:t>
      </w:r>
      <w:r w:rsidRPr="008909CD">
        <w:rPr>
          <w:rFonts w:hAnsi="宋体" w:cs="Arial" w:hint="eastAsia"/>
          <w:szCs w:val="21"/>
        </w:rPr>
        <w:t>复核的信息，基金管理人</w:t>
      </w:r>
      <w:r w:rsidRPr="008909CD">
        <w:rPr>
          <w:rFonts w:cs="Arial" w:hint="eastAsia"/>
          <w:szCs w:val="21"/>
        </w:rPr>
        <w:t>(</w:t>
      </w:r>
      <w:r w:rsidRPr="008909CD">
        <w:rPr>
          <w:rFonts w:hAnsi="宋体" w:cs="Arial" w:hint="eastAsia"/>
          <w:szCs w:val="21"/>
        </w:rPr>
        <w:t>或基金托管人</w:t>
      </w:r>
      <w:r w:rsidRPr="008909CD">
        <w:rPr>
          <w:rFonts w:cs="Arial" w:hint="eastAsia"/>
          <w:szCs w:val="21"/>
        </w:rPr>
        <w:t>)</w:t>
      </w:r>
      <w:r w:rsidRPr="008909CD">
        <w:rPr>
          <w:rFonts w:hAnsi="宋体" w:cs="Arial" w:hint="eastAsia"/>
          <w:szCs w:val="21"/>
        </w:rPr>
        <w:t>在公告前应告知基金托管人</w:t>
      </w:r>
      <w:r w:rsidRPr="008909CD">
        <w:rPr>
          <w:rFonts w:cs="Arial" w:hint="eastAsia"/>
          <w:szCs w:val="21"/>
        </w:rPr>
        <w:t>(</w:t>
      </w:r>
      <w:r w:rsidRPr="008909CD">
        <w:rPr>
          <w:rFonts w:hAnsi="宋体" w:cs="Arial" w:hint="eastAsia"/>
          <w:szCs w:val="21"/>
        </w:rPr>
        <w:t>或基金管理人</w:t>
      </w:r>
      <w:r w:rsidRPr="008909CD">
        <w:rPr>
          <w:rFonts w:cs="Arial" w:hint="eastAsia"/>
          <w:szCs w:val="21"/>
        </w:rPr>
        <w:t>)</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基金管理人和基金托管人应积极配合、互相监督，保证其履行按照法定方式和限时披露的义务。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基金管理人和基金托管人应当在中国证监会规定时间内，将应予披露的基金信息通过中国证监会</w:t>
      </w:r>
      <w:r w:rsidRPr="008909CD">
        <w:rPr>
          <w:rFonts w:hAnsi="宋体" w:cs="Arial"/>
          <w:szCs w:val="21"/>
        </w:rPr>
        <w:t>规定</w:t>
      </w:r>
      <w:r w:rsidRPr="008909CD">
        <w:rPr>
          <w:rFonts w:hAnsi="宋体" w:cs="Arial" w:hint="eastAsia"/>
          <w:szCs w:val="21"/>
        </w:rPr>
        <w:t>的媒介披露。</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当出现下述情况时，基金管理人和基金托管人可暂停或延迟披露基金相关信息：</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不可抗力</w:t>
      </w:r>
      <w:r w:rsidRPr="008909CD">
        <w:rPr>
          <w:rFonts w:hAnsi="宋体" w:cs="Arial"/>
          <w:szCs w:val="21"/>
        </w:rPr>
        <w:t>；</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基金投资所涉及的证券交易市场遇法定节假日或因其他原因暂停营业时；</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法律法规、基金合同或中国证监会规定的情况。</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程序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信息文本的存放</w:t>
      </w:r>
    </w:p>
    <w:p w:rsidR="009F1343" w:rsidRPr="008909CD">
      <w:pPr>
        <w:pStyle w:val="NormalIndent"/>
        <w:spacing w:line="360" w:lineRule="auto"/>
        <w:rPr>
          <w:rFonts w:cs="Arial"/>
          <w:szCs w:val="21"/>
        </w:rPr>
      </w:pPr>
      <w:r w:rsidRPr="008909CD">
        <w:rPr>
          <w:rFonts w:hAnsi="宋体" w:cs="Arial" w:hint="eastAsia"/>
          <w:bCs/>
          <w:szCs w:val="21"/>
        </w:rPr>
        <w:t>予以披露的信息文本，存放在基金管理人</w:t>
      </w:r>
      <w:r w:rsidRPr="008909CD">
        <w:rPr>
          <w:rFonts w:hAnsi="宋体" w:cs="Arial" w:hint="eastAsia"/>
          <w:bCs/>
          <w:szCs w:val="21"/>
        </w:rPr>
        <w:t>/</w:t>
      </w:r>
      <w:r w:rsidRPr="008909CD">
        <w:rPr>
          <w:rFonts w:hAnsi="宋体" w:cs="Arial" w:hint="eastAsia"/>
          <w:bCs/>
          <w:szCs w:val="21"/>
        </w:rPr>
        <w:t>基金托管人办公场所，投资者可以免费查阅。在支付工本费后可在合理时间获得上述文件的复制件或复印件。基金管理人和基金托管人应保证文本的内容与所公告的内容完全一致。</w:t>
      </w:r>
    </w:p>
    <w:p w:rsidR="009F1343" w:rsidRPr="008909CD">
      <w:pPr>
        <w:widowControl/>
        <w:adjustRightInd w:val="0"/>
        <w:snapToGrid w:val="0"/>
        <w:spacing w:line="360" w:lineRule="auto"/>
        <w:ind w:firstLine="420" w:firstLineChars="200"/>
        <w:rPr>
          <w:rFonts w:cs="Arial"/>
          <w:kern w:val="0"/>
          <w:szCs w:val="21"/>
        </w:rPr>
      </w:pPr>
      <w:r w:rsidRPr="008909CD">
        <w:rPr>
          <w:rFonts w:hAnsi="宋体" w:cs="Arial" w:hint="eastAsia"/>
          <w:kern w:val="0"/>
          <w:szCs w:val="21"/>
        </w:rPr>
        <w:t>相关法律法规关于信息披露的规定发生变化时，本基金从其最新规定。</w:t>
      </w:r>
    </w:p>
    <w:p w:rsidR="009F1343" w:rsidRPr="008909CD">
      <w:pPr>
        <w:adjustRightInd w:val="0"/>
        <w:snapToGrid w:val="0"/>
        <w:spacing w:line="360" w:lineRule="auto"/>
        <w:ind w:firstLine="420" w:firstLineChars="200"/>
        <w:outlineLvl w:val="0"/>
        <w:rPr>
          <w:rFonts w:hAnsi="宋体" w:cs="Arial"/>
          <w:szCs w:val="21"/>
        </w:rPr>
      </w:pPr>
      <w:r w:rsidRPr="008909CD">
        <w:rPr>
          <w:rFonts w:hAnsi="宋体" w:cs="Arial" w:hint="eastAsia"/>
          <w:szCs w:val="21"/>
        </w:rPr>
        <w:t>（四）实施侧袋机制期间的信息披露</w:t>
      </w:r>
    </w:p>
    <w:p w:rsidR="009F1343" w:rsidRPr="008909CD">
      <w:pPr>
        <w:adjustRightInd w:val="0"/>
        <w:snapToGrid w:val="0"/>
        <w:spacing w:line="360" w:lineRule="auto"/>
        <w:ind w:firstLine="420" w:firstLineChars="200"/>
        <w:outlineLvl w:val="0"/>
        <w:rPr>
          <w:rFonts w:hAnsi="宋体" w:cs="Arial"/>
          <w:szCs w:val="21"/>
        </w:rPr>
      </w:pPr>
      <w:r w:rsidRPr="008909CD">
        <w:rPr>
          <w:rFonts w:hAnsi="宋体" w:cs="Arial" w:hint="eastAsia"/>
          <w:szCs w:val="21"/>
        </w:rPr>
        <w:t>本基金实施侧袋机制的，相关信息披露义务人应当根据法律法规、基金合同和招募说明书的规定进行信息披露，详见招募说明书的规定。</w:t>
      </w:r>
    </w:p>
    <w:p w:rsidR="009F1343" w:rsidRPr="008909CD">
      <w:pPr>
        <w:pStyle w:val="NormalIndent"/>
        <w:spacing w:line="360" w:lineRule="auto"/>
        <w:rPr>
          <w:rFonts w:cs="Arial"/>
          <w:szCs w:val="21"/>
        </w:rPr>
      </w:pPr>
      <w:r w:rsidRPr="008909CD">
        <w:rPr>
          <w:rFonts w:cs="Arial"/>
          <w:szCs w:val="21"/>
        </w:rPr>
        <w:br w:type="page"/>
      </w:r>
    </w:p>
    <w:p w:rsidR="009F1343" w:rsidRPr="008909CD">
      <w:pPr>
        <w:pStyle w:val="NormalIndent"/>
        <w:ind w:firstLine="0" w:firstLineChars="0"/>
        <w:rPr>
          <w:rFonts w:cs="Arial"/>
          <w:sz w:val="24"/>
        </w:rPr>
      </w:pPr>
    </w:p>
    <w:p w:rsidR="009F1343" w:rsidRPr="008909CD">
      <w:pPr>
        <w:pStyle w:val="Heading2"/>
        <w:jc w:val="center"/>
        <w:rPr>
          <w:rFonts w:ascii="Times New Roman" w:eastAsia="宋体" w:hAnsi="Times New Roman"/>
          <w:sz w:val="30"/>
        </w:rPr>
      </w:pPr>
      <w:bookmarkStart w:id="94" w:name="_Toc124325895"/>
      <w:r w:rsidRPr="008909CD">
        <w:rPr>
          <w:rFonts w:ascii="Times New Roman" w:eastAsia="宋体" w:hint="eastAsia"/>
          <w:sz w:val="30"/>
        </w:rPr>
        <w:t>十一、基金费用</w:t>
      </w:r>
      <w:bookmarkEnd w:id="94"/>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（一）基金管理费的计提比例和计提方法</w:t>
      </w:r>
    </w:p>
    <w:p w:rsidR="009F1343" w:rsidRPr="008909CD">
      <w:pPr>
        <w:spacing w:line="360" w:lineRule="auto"/>
        <w:ind w:firstLine="420" w:firstLineChars="200"/>
        <w:rPr>
          <w:szCs w:val="21"/>
        </w:rPr>
      </w:pPr>
      <w:r w:rsidRPr="008909CD">
        <w:rPr>
          <w:rFonts w:hAnsi="宋体" w:hint="eastAsia"/>
          <w:szCs w:val="21"/>
        </w:rPr>
        <w:t>在通常情况下，基金管理费按前一日基金资产净值的</w:t>
      </w:r>
      <w:r w:rsidRPr="008909CD">
        <w:rPr>
          <w:rFonts w:hint="eastAsia"/>
          <w:szCs w:val="21"/>
        </w:rPr>
        <w:t>0.</w:t>
      </w:r>
      <w:r w:rsidRPr="008909CD">
        <w:rPr>
          <w:szCs w:val="21"/>
        </w:rPr>
        <w:t>4</w:t>
      </w:r>
      <w:r w:rsidRPr="008909CD">
        <w:rPr>
          <w:rFonts w:hint="eastAsia"/>
          <w:szCs w:val="21"/>
        </w:rPr>
        <w:t>%</w:t>
      </w:r>
      <w:r w:rsidRPr="008909CD">
        <w:rPr>
          <w:rFonts w:hAnsi="宋体" w:hint="eastAsia"/>
          <w:szCs w:val="21"/>
        </w:rPr>
        <w:t>年费率计提。计算方法如下：</w:t>
      </w:r>
    </w:p>
    <w:p w:rsidR="009F1343" w:rsidRPr="008909CD">
      <w:pPr>
        <w:spacing w:line="360" w:lineRule="auto"/>
        <w:ind w:firstLine="420" w:firstLineChars="200"/>
        <w:rPr>
          <w:szCs w:val="21"/>
        </w:rPr>
      </w:pPr>
      <w:r w:rsidRPr="008909CD">
        <w:rPr>
          <w:szCs w:val="21"/>
        </w:rPr>
        <w:t>H</w:t>
      </w:r>
      <w:r w:rsidRPr="008909CD">
        <w:rPr>
          <w:rFonts w:hAnsi="宋体" w:hint="eastAsia"/>
          <w:szCs w:val="21"/>
        </w:rPr>
        <w:t>＝</w:t>
      </w:r>
      <w:r w:rsidRPr="008909CD">
        <w:rPr>
          <w:szCs w:val="21"/>
        </w:rPr>
        <w:t>E</w:t>
      </w:r>
      <w:r w:rsidRPr="008909CD">
        <w:rPr>
          <w:rFonts w:hint="eastAsia"/>
          <w:szCs w:val="21"/>
        </w:rPr>
        <w:t>×</w:t>
      </w:r>
      <w:r w:rsidRPr="008909CD">
        <w:rPr>
          <w:rFonts w:hAnsi="宋体" w:hint="eastAsia"/>
          <w:szCs w:val="21"/>
        </w:rPr>
        <w:t>年管理费率</w:t>
      </w:r>
      <w:r w:rsidRPr="008909CD">
        <w:rPr>
          <w:rFonts w:hint="eastAsia"/>
          <w:szCs w:val="21"/>
        </w:rPr>
        <w:t>÷</w:t>
      </w:r>
      <w:r w:rsidRPr="008909CD">
        <w:rPr>
          <w:rFonts w:hAnsi="宋体" w:hint="eastAsia"/>
          <w:szCs w:val="21"/>
        </w:rPr>
        <w:t>当年天数</w:t>
      </w:r>
    </w:p>
    <w:p w:rsidR="009F1343" w:rsidRPr="008909CD">
      <w:pPr>
        <w:spacing w:line="360" w:lineRule="auto"/>
        <w:ind w:firstLine="420" w:firstLineChars="200"/>
        <w:rPr>
          <w:sz w:val="24"/>
        </w:rPr>
      </w:pPr>
      <w:r w:rsidRPr="008909CD">
        <w:rPr>
          <w:szCs w:val="21"/>
        </w:rPr>
        <w:t>H</w:t>
      </w:r>
      <w:r w:rsidRPr="008909CD">
        <w:rPr>
          <w:rFonts w:hAnsi="宋体" w:hint="eastAsia"/>
          <w:szCs w:val="21"/>
        </w:rPr>
        <w:t>为每日应计提的基金管理费</w:t>
      </w:r>
    </w:p>
    <w:p w:rsidR="009F1343" w:rsidRPr="008909CD">
      <w:pPr>
        <w:spacing w:line="360" w:lineRule="auto"/>
        <w:ind w:firstLine="420" w:firstLineChars="200"/>
        <w:rPr>
          <w:sz w:val="24"/>
        </w:rPr>
      </w:pPr>
      <w:r w:rsidRPr="008909CD">
        <w:rPr>
          <w:rFonts w:hint="eastAsia"/>
          <w:szCs w:val="21"/>
        </w:rPr>
        <w:t>E</w:t>
      </w:r>
      <w:r w:rsidRPr="008909CD">
        <w:rPr>
          <w:rFonts w:hAnsi="宋体" w:hint="eastAsia"/>
          <w:szCs w:val="21"/>
        </w:rPr>
        <w:t>为前一日基金资产净值</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（二）基金托管费的计提比例和计提方法</w:t>
      </w:r>
    </w:p>
    <w:p w:rsidR="009F1343" w:rsidRPr="008909CD">
      <w:pPr>
        <w:spacing w:line="360" w:lineRule="auto"/>
        <w:ind w:firstLine="420" w:firstLineChars="200"/>
        <w:rPr>
          <w:szCs w:val="21"/>
        </w:rPr>
      </w:pPr>
      <w:r w:rsidRPr="008909CD">
        <w:rPr>
          <w:rFonts w:hAnsi="宋体" w:hint="eastAsia"/>
          <w:szCs w:val="21"/>
        </w:rPr>
        <w:t>在通常情况下，基金托管费按前一日基金资产净值的</w:t>
      </w:r>
      <w:r w:rsidRPr="008909CD">
        <w:rPr>
          <w:rFonts w:hint="eastAsia"/>
          <w:szCs w:val="21"/>
        </w:rPr>
        <w:t>0.1%</w:t>
      </w:r>
      <w:r w:rsidRPr="008909CD">
        <w:rPr>
          <w:rFonts w:hAnsi="宋体" w:hint="eastAsia"/>
          <w:szCs w:val="21"/>
        </w:rPr>
        <w:t>年费率计提。计算方法如下：</w:t>
      </w:r>
    </w:p>
    <w:p w:rsidR="009F1343" w:rsidRPr="008909CD">
      <w:pPr>
        <w:spacing w:line="360" w:lineRule="auto"/>
        <w:ind w:firstLine="420" w:firstLineChars="200"/>
        <w:rPr>
          <w:szCs w:val="21"/>
        </w:rPr>
      </w:pPr>
      <w:r w:rsidRPr="008909CD">
        <w:rPr>
          <w:szCs w:val="21"/>
        </w:rPr>
        <w:t>H</w:t>
      </w:r>
      <w:r w:rsidRPr="008909CD">
        <w:rPr>
          <w:rFonts w:hAnsi="宋体" w:hint="eastAsia"/>
          <w:szCs w:val="21"/>
        </w:rPr>
        <w:t>＝</w:t>
      </w:r>
      <w:r w:rsidRPr="008909CD">
        <w:rPr>
          <w:szCs w:val="21"/>
        </w:rPr>
        <w:t>E</w:t>
      </w:r>
      <w:r w:rsidRPr="008909CD">
        <w:rPr>
          <w:rFonts w:hint="eastAsia"/>
          <w:szCs w:val="21"/>
        </w:rPr>
        <w:t>×</w:t>
      </w:r>
      <w:r w:rsidRPr="008909CD">
        <w:rPr>
          <w:rFonts w:hAnsi="宋体" w:hint="eastAsia"/>
          <w:szCs w:val="21"/>
        </w:rPr>
        <w:t>年托管费率</w:t>
      </w:r>
      <w:r w:rsidRPr="008909CD">
        <w:rPr>
          <w:rFonts w:hint="eastAsia"/>
          <w:szCs w:val="21"/>
        </w:rPr>
        <w:t>÷</w:t>
      </w:r>
      <w:r w:rsidRPr="008909CD">
        <w:rPr>
          <w:rFonts w:hAnsi="宋体" w:hint="eastAsia"/>
          <w:szCs w:val="21"/>
        </w:rPr>
        <w:t>当年天数</w:t>
      </w:r>
    </w:p>
    <w:p w:rsidR="009F1343" w:rsidRPr="008909CD">
      <w:pPr>
        <w:spacing w:line="360" w:lineRule="auto"/>
        <w:ind w:firstLine="420" w:firstLineChars="200"/>
        <w:rPr>
          <w:szCs w:val="21"/>
        </w:rPr>
      </w:pPr>
      <w:r w:rsidRPr="008909CD">
        <w:rPr>
          <w:szCs w:val="21"/>
        </w:rPr>
        <w:t>H</w:t>
      </w:r>
      <w:r w:rsidRPr="008909CD">
        <w:rPr>
          <w:rFonts w:hAnsi="宋体" w:hint="eastAsia"/>
          <w:szCs w:val="21"/>
        </w:rPr>
        <w:t>为每日应计提的基金托管费</w:t>
      </w:r>
    </w:p>
    <w:p w:rsidR="009F1343" w:rsidRPr="008909CD">
      <w:pPr>
        <w:spacing w:line="360" w:lineRule="auto"/>
        <w:ind w:firstLine="420" w:firstLineChars="200"/>
        <w:rPr>
          <w:szCs w:val="21"/>
        </w:rPr>
      </w:pPr>
      <w:r w:rsidRPr="008909CD">
        <w:rPr>
          <w:szCs w:val="21"/>
        </w:rPr>
        <w:t>E</w:t>
      </w:r>
      <w:r w:rsidRPr="008909CD">
        <w:rPr>
          <w:rFonts w:hAnsi="宋体" w:hint="eastAsia"/>
          <w:szCs w:val="21"/>
        </w:rPr>
        <w:t>为前一日基金资产净值</w:t>
      </w:r>
    </w:p>
    <w:p w:rsidR="009F1343" w:rsidRPr="008909CD">
      <w:pPr>
        <w:adjustRightInd w:val="0"/>
        <w:snapToGrid w:val="0"/>
        <w:spacing w:line="360" w:lineRule="auto"/>
        <w:ind w:firstLine="420" w:firstLineChars="200"/>
        <w:outlineLvl w:val="0"/>
        <w:rPr>
          <w:rFonts w:cs="Arial"/>
          <w:szCs w:val="21"/>
        </w:rPr>
      </w:pPr>
      <w:r w:rsidRPr="008909CD">
        <w:rPr>
          <w:rFonts w:hAnsi="宋体" w:cs="Arial"/>
          <w:szCs w:val="21"/>
        </w:rPr>
        <w:t>（三）</w:t>
      </w:r>
      <w:r w:rsidRPr="008909CD">
        <w:rPr>
          <w:rFonts w:hAnsi="宋体" w:cs="Arial" w:hint="eastAsia"/>
          <w:szCs w:val="21"/>
        </w:rPr>
        <w:t>销售服务费</w:t>
      </w:r>
    </w:p>
    <w:p w:rsidR="009F1343" w:rsidRPr="008909CD">
      <w:pPr>
        <w:spacing w:line="360" w:lineRule="auto"/>
        <w:ind w:firstLine="420" w:firstLineChars="200"/>
        <w:rPr>
          <w:szCs w:val="21"/>
        </w:rPr>
      </w:pPr>
      <w:r w:rsidRPr="008909CD">
        <w:rPr>
          <w:rFonts w:hAnsi="宋体" w:hint="eastAsia"/>
          <w:szCs w:val="21"/>
        </w:rPr>
        <w:t>本基金</w:t>
      </w:r>
      <w:r w:rsidRPr="008909CD">
        <w:rPr>
          <w:rFonts w:hint="eastAsia"/>
          <w:szCs w:val="21"/>
        </w:rPr>
        <w:t>A</w:t>
      </w:r>
      <w:r w:rsidRPr="008909CD">
        <w:rPr>
          <w:rFonts w:hAnsi="宋体" w:hint="eastAsia"/>
          <w:szCs w:val="21"/>
        </w:rPr>
        <w:t>类、</w:t>
      </w:r>
      <w:r w:rsidRPr="008909CD">
        <w:rPr>
          <w:rFonts w:hAnsi="宋体" w:hint="eastAsia"/>
          <w:szCs w:val="21"/>
        </w:rPr>
        <w:t>D</w:t>
      </w:r>
      <w:r w:rsidRPr="008909CD">
        <w:rPr>
          <w:rFonts w:hAnsi="宋体" w:hint="eastAsia"/>
          <w:szCs w:val="21"/>
        </w:rPr>
        <w:t>类基金份额不收取销售服务费，</w:t>
      </w:r>
      <w:r w:rsidRPr="008909CD">
        <w:rPr>
          <w:rFonts w:hint="eastAsia"/>
          <w:szCs w:val="21"/>
        </w:rPr>
        <w:t>C</w:t>
      </w:r>
      <w:r w:rsidRPr="008909CD">
        <w:rPr>
          <w:rFonts w:hAnsi="宋体" w:hint="eastAsia"/>
          <w:szCs w:val="21"/>
        </w:rPr>
        <w:t>类基金份额的销售服务费年费率为</w:t>
      </w:r>
      <w:r w:rsidRPr="008909CD">
        <w:rPr>
          <w:rFonts w:hint="eastAsia"/>
          <w:szCs w:val="21"/>
        </w:rPr>
        <w:t>0.4%</w:t>
      </w:r>
      <w:r w:rsidRPr="008909CD">
        <w:rPr>
          <w:rFonts w:hAnsi="宋体" w:hint="eastAsia"/>
          <w:szCs w:val="21"/>
        </w:rPr>
        <w:t>。</w:t>
      </w:r>
    </w:p>
    <w:p w:rsidR="009F1343" w:rsidRPr="008909CD">
      <w:pPr>
        <w:spacing w:line="360" w:lineRule="auto"/>
        <w:ind w:firstLine="420" w:firstLineChars="200"/>
        <w:rPr>
          <w:szCs w:val="21"/>
        </w:rPr>
      </w:pPr>
      <w:r w:rsidRPr="008909CD">
        <w:rPr>
          <w:rFonts w:hAnsi="宋体" w:hint="eastAsia"/>
          <w:szCs w:val="21"/>
        </w:rPr>
        <w:t>本基金销售服务费按前一日</w:t>
      </w:r>
      <w:r w:rsidRPr="008909CD">
        <w:rPr>
          <w:rFonts w:hint="eastAsia"/>
          <w:szCs w:val="21"/>
        </w:rPr>
        <w:t>C</w:t>
      </w:r>
      <w:r w:rsidRPr="008909CD">
        <w:rPr>
          <w:rFonts w:hAnsi="宋体" w:hint="eastAsia"/>
          <w:szCs w:val="21"/>
        </w:rPr>
        <w:t>类基金资产净值的</w:t>
      </w:r>
      <w:r w:rsidRPr="008909CD">
        <w:rPr>
          <w:rFonts w:hint="eastAsia"/>
          <w:szCs w:val="21"/>
        </w:rPr>
        <w:t>0.4%</w:t>
      </w:r>
      <w:r w:rsidRPr="008909CD">
        <w:rPr>
          <w:rFonts w:hAnsi="宋体" w:hint="eastAsia"/>
          <w:szCs w:val="21"/>
        </w:rPr>
        <w:t>的年费率计提。销售服务费的计算方法如下：</w:t>
      </w:r>
    </w:p>
    <w:p w:rsidR="009F1343" w:rsidRPr="008909CD">
      <w:pPr>
        <w:spacing w:line="360" w:lineRule="auto"/>
        <w:ind w:firstLine="420" w:firstLineChars="200"/>
        <w:rPr>
          <w:szCs w:val="21"/>
        </w:rPr>
      </w:pPr>
      <w:r w:rsidRPr="008909CD">
        <w:rPr>
          <w:rFonts w:hint="eastAsia"/>
          <w:szCs w:val="21"/>
        </w:rPr>
        <w:t>H</w:t>
      </w:r>
      <w:r w:rsidRPr="008909CD">
        <w:rPr>
          <w:rFonts w:hAnsi="宋体" w:hint="eastAsia"/>
          <w:szCs w:val="21"/>
        </w:rPr>
        <w:t>＝</w:t>
      </w:r>
      <w:r w:rsidRPr="008909CD">
        <w:rPr>
          <w:rFonts w:hint="eastAsia"/>
          <w:szCs w:val="21"/>
        </w:rPr>
        <w:t>E</w:t>
      </w:r>
      <w:r w:rsidRPr="008909CD">
        <w:rPr>
          <w:rFonts w:hint="eastAsia"/>
          <w:szCs w:val="21"/>
        </w:rPr>
        <w:t>×</w:t>
      </w:r>
      <w:r w:rsidRPr="008909CD">
        <w:rPr>
          <w:rFonts w:hint="eastAsia"/>
          <w:szCs w:val="21"/>
        </w:rPr>
        <w:t>0.4%</w:t>
      </w:r>
      <w:r w:rsidRPr="008909CD">
        <w:rPr>
          <w:rFonts w:hint="eastAsia"/>
          <w:szCs w:val="21"/>
        </w:rPr>
        <w:t>÷</w:t>
      </w:r>
      <w:r w:rsidRPr="008909CD">
        <w:rPr>
          <w:rFonts w:hAnsi="宋体" w:hint="eastAsia"/>
          <w:szCs w:val="21"/>
        </w:rPr>
        <w:t>当年天数</w:t>
      </w:r>
    </w:p>
    <w:p w:rsidR="009F1343" w:rsidRPr="008909CD">
      <w:pPr>
        <w:spacing w:line="360" w:lineRule="auto"/>
        <w:ind w:firstLine="420" w:firstLineChars="200"/>
        <w:rPr>
          <w:szCs w:val="21"/>
        </w:rPr>
      </w:pPr>
      <w:r w:rsidRPr="008909CD">
        <w:rPr>
          <w:rFonts w:hint="eastAsia"/>
          <w:szCs w:val="21"/>
        </w:rPr>
        <w:t xml:space="preserve">H </w:t>
      </w:r>
      <w:r w:rsidRPr="008909CD">
        <w:rPr>
          <w:rFonts w:hAnsi="宋体" w:hint="eastAsia"/>
          <w:szCs w:val="21"/>
        </w:rPr>
        <w:t>为</w:t>
      </w:r>
      <w:r w:rsidRPr="008909CD">
        <w:rPr>
          <w:rFonts w:hint="eastAsia"/>
          <w:szCs w:val="21"/>
        </w:rPr>
        <w:t>C</w:t>
      </w:r>
      <w:r w:rsidRPr="008909CD">
        <w:rPr>
          <w:rFonts w:hAnsi="宋体" w:hint="eastAsia"/>
          <w:szCs w:val="21"/>
        </w:rPr>
        <w:t>类基金份额每日应计提的销售服务费</w:t>
      </w:r>
    </w:p>
    <w:p w:rsidR="009F1343" w:rsidRPr="008909CD">
      <w:pPr>
        <w:spacing w:line="360" w:lineRule="auto"/>
        <w:ind w:firstLine="420" w:firstLineChars="200"/>
        <w:rPr>
          <w:szCs w:val="21"/>
        </w:rPr>
      </w:pPr>
      <w:r w:rsidRPr="008909CD">
        <w:rPr>
          <w:rFonts w:hint="eastAsia"/>
          <w:szCs w:val="21"/>
        </w:rPr>
        <w:t xml:space="preserve">E </w:t>
      </w:r>
      <w:r w:rsidRPr="008909CD">
        <w:rPr>
          <w:rFonts w:hAnsi="宋体" w:hint="eastAsia"/>
          <w:szCs w:val="21"/>
        </w:rPr>
        <w:t>为</w:t>
      </w:r>
      <w:r w:rsidRPr="008909CD">
        <w:rPr>
          <w:rFonts w:hint="eastAsia"/>
          <w:szCs w:val="21"/>
        </w:rPr>
        <w:t>C</w:t>
      </w:r>
      <w:r w:rsidRPr="008909CD">
        <w:rPr>
          <w:rFonts w:hAnsi="宋体" w:hint="eastAsia"/>
          <w:szCs w:val="21"/>
        </w:rPr>
        <w:t>类基金份额前一日的基金资产净值</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四）证券账户开户费用、证券交易费用、基金财产划拨支付的银行费用、银行账户维护费、基金合同生效后的信息披露费用、基金份额持有人大会费用、基金合同生效后与基金有关的会计师费、律师费、仲裁费和诉讼费等根据有关法律法规、基金合同及相应协议的规定，列入当期基金费用。</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（五）不列入基金费用的项目</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合同生效前的律师费、会计师费和信息披露费用以及其他费用不得从基金财产中列支。基金管理人与基金托管人因未履行或未完全履行义务导致的费用支出或基金财产的损失，以及处理与基金运作无关的事项发生的费用等不列入基金费用。</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（六）基金管理费、基金托管费以及销售服务费的调整</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基金管理人和基金托管人可协商酌情降低基金管理费、基金托管费以及销售服务费，此</w:t>
      </w:r>
      <w:r w:rsidRPr="008909CD">
        <w:rPr>
          <w:rFonts w:hAnsi="宋体" w:cs="Arial" w:hint="eastAsia"/>
          <w:szCs w:val="21"/>
        </w:rPr>
        <w:t>项调整不需要基金份额持有人大会决议通过。基金管理人必须于新的费率实施日前按照法律法规规定在规定媒体上刊登公告。</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（七）基金管理费、基金托管费和销售服务费的复核程序、支付方式和时间</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复核程序</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基金托管人对基金管理人计提的基金管理费、基金托管费和销售服务费等，根据本托管协议和基金合同的有关规定进行复核。</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支付方式和时间</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基金管理费、基金托管费和销售服务费每日计提，按月支付。</w:t>
      </w:r>
      <w:r w:rsidRPr="008909CD">
        <w:rPr>
          <w:rFonts w:hAnsi="宋体" w:cs="Arial"/>
          <w:szCs w:val="21"/>
        </w:rPr>
        <w:t>由托管人根据与管理人核对一致的财务数据，自动在月初五个工作日内、按照指定的帐户路径进行资金支付，管理人无需再出具资金划拨指令。若遇法定节假日、休息日等，支付日期顺延。费用自动扣划后，管理人如发现数据不符，及时联系托管人协商解决。</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（八）违规处理方式</w:t>
      </w:r>
    </w:p>
    <w:p w:rsidR="009F1343" w:rsidRPr="008909CD">
      <w:pPr>
        <w:adjustRightInd w:val="0"/>
        <w:snapToGrid w:val="0"/>
        <w:spacing w:line="360" w:lineRule="auto"/>
        <w:ind w:firstLine="420" w:firstLineChars="200"/>
        <w:rPr>
          <w:rFonts w:hAnsi="宋体" w:cs="Arial"/>
          <w:szCs w:val="21"/>
        </w:rPr>
      </w:pPr>
      <w:r w:rsidRPr="008909CD">
        <w:rPr>
          <w:rFonts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（九）实施侧袋机制期间的基金费用</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本基金实施侧袋机制的，与侧袋账户有关的费用可以从侧袋账户中列支，但应待侧袋账户资产变现后方可列支，有关费用可酌情收取或减免，但不得收取管理费，详见招募说明书的规定。</w:t>
      </w:r>
    </w:p>
    <w:p w:rsidR="009F1343" w:rsidRPr="008909CD">
      <w:pPr>
        <w:adjustRightInd w:val="0"/>
        <w:snapToGrid w:val="0"/>
        <w:spacing w:line="360" w:lineRule="auto"/>
        <w:ind w:firstLine="420" w:firstLineChars="200"/>
        <w:rPr>
          <w:rFonts w:cs="Arial"/>
          <w:szCs w:val="21"/>
        </w:rPr>
      </w:pPr>
      <w:r w:rsidRPr="008909CD">
        <w:rPr>
          <w:rFonts w:cs="Arial"/>
          <w:szCs w:val="21"/>
        </w:rPr>
        <w:br w:type="page"/>
      </w:r>
    </w:p>
    <w:p w:rsidR="009F1343" w:rsidRPr="008909CD">
      <w:pPr>
        <w:adjustRightInd w:val="0"/>
        <w:snapToGrid w:val="0"/>
        <w:rPr>
          <w:rFonts w:cs="Arial"/>
          <w:sz w:val="24"/>
        </w:rPr>
      </w:pPr>
    </w:p>
    <w:p w:rsidR="009F1343" w:rsidRPr="008909CD">
      <w:pPr>
        <w:pStyle w:val="Heading2"/>
        <w:jc w:val="center"/>
        <w:rPr>
          <w:rFonts w:ascii="Times New Roman" w:eastAsia="宋体" w:hAnsi="Times New Roman"/>
          <w:sz w:val="30"/>
        </w:rPr>
      </w:pPr>
      <w:bookmarkStart w:id="95" w:name="_Toc124325896"/>
      <w:r w:rsidRPr="008909CD">
        <w:rPr>
          <w:rFonts w:ascii="Times New Roman" w:eastAsia="宋体" w:hint="eastAsia"/>
          <w:sz w:val="30"/>
        </w:rPr>
        <w:t>十二、基金份额持有人名册的保管</w:t>
      </w:r>
      <w:bookmarkEnd w:id="95"/>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不少于</w:t>
      </w:r>
      <w:r w:rsidRPr="008909CD">
        <w:rPr>
          <w:rFonts w:cs="Arial" w:hint="eastAsia"/>
          <w:szCs w:val="21"/>
        </w:rPr>
        <w:t>2</w:t>
      </w:r>
      <w:r w:rsidRPr="008909CD">
        <w:rPr>
          <w:rFonts w:cs="Arial"/>
          <w:szCs w:val="21"/>
        </w:rPr>
        <w:t>0</w:t>
      </w:r>
      <w:r w:rsidRPr="008909CD">
        <w:rPr>
          <w:rFonts w:hAnsi="宋体" w:cs="Arial" w:hint="eastAsia"/>
          <w:szCs w:val="21"/>
        </w:rPr>
        <w:t>年。如不能妥善保管，则按相关法规承担责任。</w:t>
      </w:r>
    </w:p>
    <w:p w:rsidR="009F1343" w:rsidRPr="008909CD">
      <w:pPr>
        <w:adjustRightInd w:val="0"/>
        <w:snapToGrid w:val="0"/>
        <w:spacing w:line="360" w:lineRule="auto"/>
        <w:ind w:firstLine="420" w:firstLineChars="200"/>
        <w:rPr>
          <w:kern w:val="0"/>
          <w:szCs w:val="21"/>
        </w:rPr>
      </w:pPr>
      <w:r w:rsidRPr="008909CD">
        <w:rPr>
          <w:rFonts w:hAnsi="宋体" w:cs="Arial" w:hint="eastAsia"/>
          <w:szCs w:val="21"/>
        </w:rPr>
        <w:t>在基金托管人要求或编制中期报告和</w:t>
      </w:r>
      <w:r w:rsidRPr="008909CD">
        <w:rPr>
          <w:rFonts w:hAnsi="宋体" w:cs="Arial"/>
          <w:szCs w:val="21"/>
        </w:rPr>
        <w:t>年度报告</w:t>
      </w:r>
      <w:r w:rsidRPr="008909CD">
        <w:rPr>
          <w:rFonts w:hAnsi="宋体" w:cs="Arial" w:hint="eastAsia"/>
          <w:szCs w:val="21"/>
        </w:rPr>
        <w:t>前，基金管理人应将有关资料送交基金托管人，不得无故拒绝或延误提供，并保证其的真实性、准确性和完整性。</w:t>
      </w:r>
      <w:r w:rsidRPr="008909CD">
        <w:rPr>
          <w:rFonts w:hAnsi="宋体" w:hint="eastAsia"/>
          <w:kern w:val="0"/>
          <w:szCs w:val="21"/>
        </w:rPr>
        <w:t>基金托管人不得将所保管的基金份额持有人名册用于基金托管业务以外的其他用途，并应遵守保密义务。法律法规另有规定或有权机关另有要求的除外。</w:t>
      </w:r>
    </w:p>
    <w:p w:rsidR="009F1343" w:rsidRPr="008909CD">
      <w:pPr>
        <w:adjustRightInd w:val="0"/>
        <w:snapToGrid w:val="0"/>
        <w:spacing w:line="360" w:lineRule="auto"/>
        <w:ind w:firstLine="420" w:firstLineChars="200"/>
        <w:rPr>
          <w:kern w:val="0"/>
          <w:szCs w:val="21"/>
        </w:rPr>
      </w:pPr>
      <w:r w:rsidRPr="008909CD">
        <w:rPr>
          <w:kern w:val="0"/>
          <w:szCs w:val="21"/>
        </w:rPr>
        <w:br w:type="page"/>
      </w:r>
    </w:p>
    <w:p w:rsidR="009F1343" w:rsidRPr="008909CD">
      <w:pPr>
        <w:adjustRightInd w:val="0"/>
        <w:snapToGrid w:val="0"/>
        <w:spacing w:line="360" w:lineRule="auto"/>
        <w:rPr>
          <w:rFonts w:cs="Arial"/>
          <w:szCs w:val="21"/>
        </w:rPr>
      </w:pPr>
    </w:p>
    <w:p w:rsidR="009F1343" w:rsidRPr="008909CD">
      <w:pPr>
        <w:pStyle w:val="Heading2"/>
        <w:jc w:val="center"/>
        <w:rPr>
          <w:rFonts w:ascii="Times New Roman" w:eastAsia="宋体" w:hAnsi="Times New Roman"/>
          <w:sz w:val="30"/>
        </w:rPr>
      </w:pPr>
      <w:bookmarkStart w:id="96" w:name="_Toc124325897"/>
      <w:r w:rsidRPr="008909CD">
        <w:rPr>
          <w:rFonts w:ascii="Times New Roman" w:eastAsia="宋体" w:hint="eastAsia"/>
          <w:sz w:val="30"/>
        </w:rPr>
        <w:t>十三、基金有关文件档案的保存</w:t>
      </w:r>
      <w:bookmarkEnd w:id="96"/>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（一）档案保存</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8909CD">
        <w:rPr>
          <w:rFonts w:hAnsi="宋体" w:cs="Arial" w:hint="eastAsia"/>
          <w:szCs w:val="21"/>
        </w:rPr>
        <w:t>2</w:t>
      </w:r>
      <w:r w:rsidRPr="008909CD">
        <w:rPr>
          <w:rFonts w:hAnsi="宋体" w:cs="Arial"/>
          <w:szCs w:val="21"/>
        </w:rPr>
        <w:t>0</w:t>
      </w:r>
      <w:r w:rsidRPr="008909CD">
        <w:rPr>
          <w:rFonts w:hAnsi="宋体" w:cs="Arial" w:hint="eastAsia"/>
          <w:szCs w:val="21"/>
        </w:rPr>
        <w:t>年。</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（二）合同档案的建立</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基金管理人签署重大合同文本后，应及时将合同文本正本送达基金托管人处。</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基金管理人应及时将与本基金账务处理、资金划拨等有关的合同、协议传真基金托管人。</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（三）变更与协助</w:t>
      </w:r>
    </w:p>
    <w:p w:rsidR="009F1343" w:rsidRPr="008909CD">
      <w:pPr>
        <w:adjustRightInd w:val="0"/>
        <w:snapToGrid w:val="0"/>
        <w:spacing w:line="360" w:lineRule="auto"/>
        <w:ind w:firstLine="420" w:firstLineChars="200"/>
        <w:rPr>
          <w:b/>
          <w:bCs/>
          <w:szCs w:val="21"/>
        </w:rPr>
      </w:pPr>
      <w:r w:rsidRPr="008909CD">
        <w:rPr>
          <w:rFonts w:hAnsi="宋体" w:cs="Arial" w:hint="eastAsia"/>
          <w:szCs w:val="21"/>
        </w:rPr>
        <w:t>若基金管理人</w:t>
      </w:r>
      <w:r w:rsidRPr="008909CD">
        <w:rPr>
          <w:rFonts w:cs="Arial" w:hint="eastAsia"/>
          <w:szCs w:val="21"/>
        </w:rPr>
        <w:t>/</w:t>
      </w:r>
      <w:r w:rsidRPr="008909CD">
        <w:rPr>
          <w:rFonts w:hAnsi="宋体" w:cs="Arial" w:hint="eastAsia"/>
          <w:szCs w:val="21"/>
        </w:rPr>
        <w:t>基金托管人发生变更，未变更的一方有义务协助变更后的接任人接收相应文件。</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（四）基金管理人和基金托管人应按各自职责完整保存原始凭证、记账凭证、基金账册、交易记录和重要合同等，承担保密义务并保存至少十五年以上。法律法规另有规定或有权机关另有要求的除外。</w:t>
      </w:r>
    </w:p>
    <w:p w:rsidR="009F1343" w:rsidRPr="008909CD">
      <w:pPr>
        <w:pStyle w:val="Heading2"/>
        <w:jc w:val="center"/>
        <w:rPr>
          <w:rFonts w:ascii="Times New Roman" w:eastAsia="宋体" w:hAnsi="Times New Roman"/>
          <w:sz w:val="30"/>
        </w:rPr>
      </w:pPr>
      <w:r w:rsidRPr="008909CD">
        <w:rPr>
          <w:rFonts w:ascii="Times New Roman" w:eastAsia="宋体" w:hAnsi="Times New Roman" w:cs="Arial"/>
          <w:szCs w:val="21"/>
        </w:rPr>
        <w:br w:type="page"/>
      </w:r>
      <w:bookmarkStart w:id="97" w:name="_Toc124325898"/>
      <w:r w:rsidRPr="008909CD">
        <w:rPr>
          <w:rFonts w:ascii="Times New Roman" w:eastAsia="宋体" w:hint="eastAsia"/>
          <w:sz w:val="30"/>
        </w:rPr>
        <w:t>十四、基金管理人和基金托管人的更换</w:t>
      </w:r>
      <w:bookmarkEnd w:id="97"/>
    </w:p>
    <w:p w:rsidR="009F1343" w:rsidRPr="008909CD">
      <w:pPr>
        <w:spacing w:line="360" w:lineRule="auto"/>
        <w:ind w:firstLine="420" w:firstLineChars="200"/>
        <w:rPr>
          <w:bCs/>
          <w:sz w:val="24"/>
        </w:rPr>
      </w:pPr>
      <w:r w:rsidRPr="008909CD">
        <w:rPr>
          <w:rFonts w:hAnsi="宋体" w:cs="Arial" w:hint="eastAsia"/>
          <w:szCs w:val="21"/>
        </w:rPr>
        <w:t>（</w:t>
      </w:r>
      <w:r w:rsidRPr="008909CD">
        <w:rPr>
          <w:bCs/>
          <w:sz w:val="24"/>
        </w:rPr>
        <w:t>一</w:t>
      </w:r>
      <w:r w:rsidRPr="008909CD">
        <w:rPr>
          <w:rFonts w:hAnsi="宋体" w:cs="Arial" w:hint="eastAsia"/>
          <w:szCs w:val="21"/>
        </w:rPr>
        <w:t>）</w:t>
      </w:r>
      <w:r w:rsidRPr="008909CD">
        <w:rPr>
          <w:bCs/>
          <w:sz w:val="24"/>
        </w:rPr>
        <w:t>基金管理人和基金托管人职责终止的情形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szCs w:val="21"/>
        </w:rPr>
        <w:t>基金管理人职责终止的情形</w:t>
      </w:r>
    </w:p>
    <w:p w:rsidR="009F1343" w:rsidRPr="008909CD">
      <w:pPr>
        <w:adjustRightInd w:val="0"/>
        <w:snapToGrid w:val="0"/>
        <w:spacing w:line="360" w:lineRule="auto"/>
        <w:ind w:firstLine="420" w:firstLineChars="200"/>
        <w:rPr>
          <w:rFonts w:cs="Arial"/>
          <w:szCs w:val="21"/>
        </w:rPr>
      </w:pPr>
      <w:r w:rsidRPr="008909CD">
        <w:rPr>
          <w:rFonts w:hAnsi="宋体" w:cs="Arial"/>
          <w:szCs w:val="21"/>
        </w:rPr>
        <w:t>有下列情形之一的，基金管理人职责终止：</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1</w:t>
      </w:r>
      <w:r w:rsidRPr="008909CD">
        <w:rPr>
          <w:rFonts w:hAnsi="宋体" w:cs="Arial" w:hint="eastAsia"/>
          <w:szCs w:val="21"/>
        </w:rPr>
        <w:t>）</w:t>
      </w:r>
      <w:r w:rsidRPr="008909CD">
        <w:rPr>
          <w:rFonts w:hAnsi="宋体" w:cs="Arial"/>
          <w:szCs w:val="21"/>
        </w:rPr>
        <w:t>被依法取消基金管理资格；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2</w:t>
      </w:r>
      <w:r w:rsidRPr="008909CD">
        <w:rPr>
          <w:rFonts w:hAnsi="宋体" w:cs="Arial" w:hint="eastAsia"/>
          <w:szCs w:val="21"/>
        </w:rPr>
        <w:t>）</w:t>
      </w:r>
      <w:r w:rsidRPr="008909CD">
        <w:rPr>
          <w:rFonts w:hAnsi="宋体" w:cs="Arial"/>
          <w:szCs w:val="21"/>
        </w:rPr>
        <w:t>被基金份额持有人大会解任；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3</w:t>
      </w:r>
      <w:r w:rsidRPr="008909CD">
        <w:rPr>
          <w:rFonts w:hAnsi="宋体" w:cs="Arial" w:hint="eastAsia"/>
          <w:szCs w:val="21"/>
        </w:rPr>
        <w:t>）</w:t>
      </w:r>
      <w:r w:rsidRPr="008909CD">
        <w:rPr>
          <w:rFonts w:hAnsi="宋体" w:cs="Arial"/>
          <w:szCs w:val="21"/>
        </w:rPr>
        <w:t>依法解散、被依法撤销或被依法宣告破产；</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4</w:t>
      </w:r>
      <w:r w:rsidRPr="008909CD">
        <w:rPr>
          <w:rFonts w:hAnsi="宋体" w:cs="Arial" w:hint="eastAsia"/>
          <w:szCs w:val="21"/>
        </w:rPr>
        <w:t>）法律法规及中国证监会规定的和《基金合同》约定的其他</w:t>
      </w:r>
      <w:r w:rsidRPr="008909CD">
        <w:rPr>
          <w:rFonts w:hAnsi="宋体" w:cs="Arial"/>
          <w:szCs w:val="21"/>
        </w:rPr>
        <w:t>情形。</w:t>
      </w:r>
    </w:p>
    <w:p w:rsidR="009F1343" w:rsidRPr="008909CD">
      <w:pPr>
        <w:adjustRightInd w:val="0"/>
        <w:snapToGrid w:val="0"/>
        <w:spacing w:line="360" w:lineRule="auto"/>
        <w:ind w:firstLine="420" w:firstLineChars="200"/>
        <w:rPr>
          <w:rFonts w:cs="Arial"/>
          <w:szCs w:val="21"/>
        </w:rPr>
      </w:pPr>
      <w:bookmarkStart w:id="98" w:name="_Toc22005972"/>
      <w:r w:rsidRPr="008909CD">
        <w:rPr>
          <w:rFonts w:cs="Arial" w:hint="eastAsia"/>
          <w:szCs w:val="21"/>
        </w:rPr>
        <w:t>2.</w:t>
      </w:r>
      <w:r w:rsidRPr="008909CD">
        <w:rPr>
          <w:rFonts w:hAnsi="宋体" w:cs="Arial"/>
          <w:szCs w:val="21"/>
        </w:rPr>
        <w:t>基金托管人职责终止的情形</w:t>
      </w:r>
      <w:bookmarkEnd w:id="98"/>
    </w:p>
    <w:p w:rsidR="009F1343" w:rsidRPr="008909CD">
      <w:pPr>
        <w:adjustRightInd w:val="0"/>
        <w:snapToGrid w:val="0"/>
        <w:spacing w:line="360" w:lineRule="auto"/>
        <w:ind w:firstLine="420" w:firstLineChars="200"/>
        <w:rPr>
          <w:rFonts w:cs="Arial"/>
          <w:szCs w:val="21"/>
        </w:rPr>
      </w:pPr>
      <w:r w:rsidRPr="008909CD">
        <w:rPr>
          <w:rFonts w:hAnsi="宋体" w:cs="Arial"/>
          <w:szCs w:val="21"/>
        </w:rPr>
        <w:t>有下列情形之一的，基金托管人职责终止：</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1</w:t>
      </w:r>
      <w:r w:rsidRPr="008909CD">
        <w:rPr>
          <w:rFonts w:hAnsi="宋体" w:cs="Arial" w:hint="eastAsia"/>
          <w:szCs w:val="21"/>
        </w:rPr>
        <w:t>）</w:t>
      </w:r>
      <w:r w:rsidRPr="008909CD">
        <w:rPr>
          <w:rFonts w:hAnsi="宋体" w:cs="Arial"/>
          <w:szCs w:val="21"/>
        </w:rPr>
        <w:t>被依法取消基金托管资格；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2</w:t>
      </w:r>
      <w:r w:rsidRPr="008909CD">
        <w:rPr>
          <w:rFonts w:hAnsi="宋体" w:cs="Arial" w:hint="eastAsia"/>
          <w:szCs w:val="21"/>
        </w:rPr>
        <w:t>）</w:t>
      </w:r>
      <w:r w:rsidRPr="008909CD">
        <w:rPr>
          <w:rFonts w:hAnsi="宋体" w:cs="Arial"/>
          <w:szCs w:val="21"/>
        </w:rPr>
        <w:t>被基金份额持有人大会解任；</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3</w:t>
      </w:r>
      <w:r w:rsidRPr="008909CD">
        <w:rPr>
          <w:rFonts w:hAnsi="宋体" w:cs="Arial" w:hint="eastAsia"/>
          <w:szCs w:val="21"/>
        </w:rPr>
        <w:t>）</w:t>
      </w:r>
      <w:r w:rsidRPr="008909CD">
        <w:rPr>
          <w:rFonts w:hAnsi="宋体" w:cs="Arial"/>
          <w:szCs w:val="21"/>
        </w:rPr>
        <w:t>依法解散、被依法撤销或被依法宣告破产；</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4</w:t>
      </w:r>
      <w:r w:rsidRPr="008909CD">
        <w:rPr>
          <w:rFonts w:hAnsi="宋体" w:cs="Arial" w:hint="eastAsia"/>
          <w:szCs w:val="21"/>
        </w:rPr>
        <w:t>）法律法规及中国证监会规定的和《基金合同》约定的其他</w:t>
      </w:r>
      <w:r w:rsidRPr="008909CD">
        <w:rPr>
          <w:rFonts w:hAnsi="宋体" w:cs="Arial"/>
          <w:szCs w:val="21"/>
        </w:rPr>
        <w:t>情形。</w:t>
      </w:r>
    </w:p>
    <w:p w:rsidR="009F1343" w:rsidRPr="008909CD">
      <w:pPr>
        <w:adjustRightInd w:val="0"/>
        <w:snapToGrid w:val="0"/>
        <w:spacing w:line="360" w:lineRule="auto"/>
        <w:ind w:firstLine="420" w:firstLineChars="200"/>
        <w:rPr>
          <w:rFonts w:cs="Arial"/>
          <w:szCs w:val="21"/>
        </w:rPr>
      </w:pPr>
      <w:bookmarkStart w:id="99" w:name="_Toc15118246"/>
      <w:bookmarkStart w:id="100" w:name="_Toc57530253"/>
      <w:bookmarkStart w:id="101" w:name="_Toc79392594"/>
      <w:r w:rsidRPr="008909CD">
        <w:rPr>
          <w:rFonts w:hAnsi="宋体" w:cs="Arial" w:hint="eastAsia"/>
          <w:szCs w:val="21"/>
        </w:rPr>
        <w:t>（</w:t>
      </w:r>
      <w:r w:rsidRPr="008909CD">
        <w:rPr>
          <w:rFonts w:hAnsi="宋体" w:cs="Arial"/>
          <w:szCs w:val="21"/>
        </w:rPr>
        <w:t>二</w:t>
      </w:r>
      <w:r w:rsidRPr="008909CD">
        <w:rPr>
          <w:rFonts w:hAnsi="宋体" w:cs="Arial" w:hint="eastAsia"/>
          <w:szCs w:val="21"/>
        </w:rPr>
        <w:t>）</w:t>
      </w:r>
      <w:r w:rsidRPr="008909CD">
        <w:rPr>
          <w:rFonts w:hAnsi="宋体" w:cs="Arial"/>
          <w:szCs w:val="21"/>
        </w:rPr>
        <w:t>基金管理人和基金托管人的更换程序</w:t>
      </w:r>
      <w:bookmarkEnd w:id="99"/>
      <w:bookmarkEnd w:id="100"/>
      <w:bookmarkEnd w:id="101"/>
    </w:p>
    <w:p w:rsidR="009F1343" w:rsidRPr="008909CD">
      <w:pPr>
        <w:adjustRightInd w:val="0"/>
        <w:snapToGrid w:val="0"/>
        <w:spacing w:line="360" w:lineRule="auto"/>
        <w:ind w:firstLine="420" w:firstLineChars="200"/>
        <w:rPr>
          <w:rFonts w:cs="Arial"/>
          <w:szCs w:val="21"/>
        </w:rPr>
      </w:pPr>
      <w:bookmarkStart w:id="102" w:name="_Toc22005974"/>
      <w:r w:rsidRPr="008909CD">
        <w:rPr>
          <w:rFonts w:cs="Arial" w:hint="eastAsia"/>
          <w:szCs w:val="21"/>
        </w:rPr>
        <w:t>1.</w:t>
      </w:r>
      <w:r w:rsidRPr="008909CD">
        <w:rPr>
          <w:rFonts w:hAnsi="宋体" w:cs="Arial"/>
          <w:szCs w:val="21"/>
        </w:rPr>
        <w:t>基金管理人的更换程序</w:t>
      </w:r>
      <w:bookmarkEnd w:id="102"/>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1</w:t>
      </w:r>
      <w:r w:rsidRPr="008909CD">
        <w:rPr>
          <w:rFonts w:hAnsi="宋体" w:cs="Arial" w:hint="eastAsia"/>
          <w:szCs w:val="21"/>
        </w:rPr>
        <w:t>）</w:t>
      </w:r>
      <w:r w:rsidRPr="008909CD">
        <w:rPr>
          <w:rFonts w:hAnsi="宋体" w:cs="Arial"/>
          <w:szCs w:val="21"/>
        </w:rPr>
        <w:t>提名：新任基金管理人由基金托管人或由单独或合计持有</w:t>
      </w:r>
      <w:r w:rsidRPr="008909CD">
        <w:rPr>
          <w:rFonts w:cs="Arial" w:hint="eastAsia"/>
          <w:szCs w:val="21"/>
        </w:rPr>
        <w:t>10%</w:t>
      </w:r>
      <w:r w:rsidRPr="008909CD">
        <w:rPr>
          <w:rFonts w:hAnsi="宋体" w:cs="Arial"/>
          <w:szCs w:val="21"/>
        </w:rPr>
        <w:t>以上（含</w:t>
      </w:r>
      <w:r w:rsidRPr="008909CD">
        <w:rPr>
          <w:rFonts w:cs="Arial" w:hint="eastAsia"/>
          <w:szCs w:val="21"/>
        </w:rPr>
        <w:t>10%</w:t>
      </w:r>
      <w:r w:rsidRPr="008909CD">
        <w:rPr>
          <w:rFonts w:hAnsi="宋体" w:cs="Arial"/>
          <w:szCs w:val="21"/>
        </w:rPr>
        <w:t>）基金份额的基金份额持有人提名；</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2</w:t>
      </w:r>
      <w:r w:rsidRPr="008909CD">
        <w:rPr>
          <w:rFonts w:hAnsi="宋体" w:cs="Arial" w:hint="eastAsia"/>
          <w:szCs w:val="21"/>
        </w:rPr>
        <w:t>）</w:t>
      </w:r>
      <w:r w:rsidRPr="008909CD">
        <w:rPr>
          <w:rFonts w:hAnsi="宋体" w:cs="Arial"/>
          <w:szCs w:val="21"/>
        </w:rPr>
        <w:t>决议：基金份额持有人大会在基金管理人职责终止后</w:t>
      </w:r>
      <w:r w:rsidRPr="008909CD">
        <w:rPr>
          <w:rFonts w:cs="Arial" w:hint="eastAsia"/>
          <w:szCs w:val="21"/>
        </w:rPr>
        <w:t>6</w:t>
      </w:r>
      <w:r w:rsidRPr="008909CD">
        <w:rPr>
          <w:rFonts w:hAnsi="宋体" w:cs="Arial"/>
          <w:szCs w:val="21"/>
        </w:rPr>
        <w:t>个月内对被提名的基金管理人形成决议，该决议需经参加大会的基金份额持有人所持表决权的</w:t>
      </w:r>
      <w:r w:rsidRPr="008909CD">
        <w:rPr>
          <w:rFonts w:hAnsi="宋体" w:cs="Arial" w:hint="eastAsia"/>
          <w:szCs w:val="21"/>
        </w:rPr>
        <w:t>三分之二</w:t>
      </w:r>
      <w:r w:rsidRPr="008909CD">
        <w:rPr>
          <w:rFonts w:hAnsi="宋体" w:cs="Arial"/>
          <w:szCs w:val="21"/>
        </w:rPr>
        <w:t>以上（含</w:t>
      </w:r>
      <w:r w:rsidRPr="008909CD">
        <w:rPr>
          <w:rFonts w:hAnsi="宋体" w:cs="Arial" w:hint="eastAsia"/>
          <w:szCs w:val="21"/>
        </w:rPr>
        <w:t>三分之二，如将来法律法规修改，规定此比例下限低于三分之二的，从其规定</w:t>
      </w:r>
      <w:r w:rsidRPr="008909CD">
        <w:rPr>
          <w:rFonts w:hAnsi="宋体" w:cs="Arial"/>
          <w:szCs w:val="21"/>
        </w:rPr>
        <w:t>）表决通过；</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3</w:t>
      </w:r>
      <w:r w:rsidRPr="008909CD">
        <w:rPr>
          <w:rFonts w:hAnsi="宋体" w:cs="Arial" w:hint="eastAsia"/>
          <w:szCs w:val="21"/>
        </w:rPr>
        <w:t>）</w:t>
      </w:r>
      <w:r w:rsidRPr="008909CD">
        <w:rPr>
          <w:rFonts w:hAnsi="宋体" w:cs="Arial"/>
          <w:szCs w:val="21"/>
        </w:rPr>
        <w:t>临时基金管理人：新任基金管理人产生之前，由中国证监会指定临时基金管理人；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4</w:t>
      </w:r>
      <w:r w:rsidRPr="008909CD">
        <w:rPr>
          <w:rFonts w:hAnsi="宋体" w:cs="Arial" w:hint="eastAsia"/>
          <w:szCs w:val="21"/>
        </w:rPr>
        <w:t>）</w:t>
      </w:r>
      <w:r w:rsidRPr="008909CD">
        <w:rPr>
          <w:rFonts w:hAnsi="宋体" w:cs="Arial"/>
          <w:szCs w:val="21"/>
        </w:rPr>
        <w:t>核准：基金份额持有人大会选任基金管理人的决议须经中国证监会核准生效后方可执行；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5</w:t>
      </w:r>
      <w:r w:rsidRPr="008909CD">
        <w:rPr>
          <w:rFonts w:hAnsi="宋体" w:cs="Arial" w:hint="eastAsia"/>
          <w:szCs w:val="21"/>
        </w:rPr>
        <w:t>）</w:t>
      </w:r>
      <w:r w:rsidRPr="008909CD">
        <w:rPr>
          <w:rFonts w:hAnsi="宋体" w:cs="Arial"/>
          <w:szCs w:val="21"/>
        </w:rPr>
        <w:t>公告：基金管理人更换后，由基金托管人在中国证监会核准后</w:t>
      </w:r>
      <w:r w:rsidRPr="008909CD">
        <w:rPr>
          <w:rFonts w:cs="Arial"/>
          <w:szCs w:val="21"/>
        </w:rPr>
        <w:t>2</w:t>
      </w:r>
      <w:r w:rsidRPr="008909CD">
        <w:rPr>
          <w:rFonts w:hAnsi="宋体" w:cs="Arial"/>
          <w:szCs w:val="21"/>
        </w:rPr>
        <w:t>日内在</w:t>
      </w:r>
      <w:r w:rsidRPr="008909CD">
        <w:rPr>
          <w:rFonts w:hAnsi="宋体" w:cs="Arial" w:hint="eastAsia"/>
          <w:szCs w:val="21"/>
        </w:rPr>
        <w:t>规定媒介</w:t>
      </w:r>
      <w:r w:rsidRPr="008909CD">
        <w:rPr>
          <w:rFonts w:hAnsi="宋体" w:cs="Arial"/>
          <w:szCs w:val="21"/>
        </w:rPr>
        <w:t>公告</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6</w:t>
      </w:r>
      <w:r w:rsidRPr="008909CD">
        <w:rPr>
          <w:rFonts w:hAnsi="宋体" w:cs="Arial" w:hint="eastAsia"/>
          <w:szCs w:val="21"/>
        </w:rPr>
        <w:t>）</w:t>
      </w:r>
      <w:r w:rsidRPr="008909CD">
        <w:rPr>
          <w:rFonts w:hAnsi="宋体" w:cs="Arial"/>
          <w:szCs w:val="21"/>
        </w:rPr>
        <w:t>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7</w:t>
      </w:r>
      <w:r w:rsidRPr="008909CD">
        <w:rPr>
          <w:rFonts w:hAnsi="宋体" w:cs="Arial" w:hint="eastAsia"/>
          <w:szCs w:val="21"/>
        </w:rPr>
        <w:t>）</w:t>
      </w:r>
      <w:r w:rsidRPr="008909CD">
        <w:rPr>
          <w:rFonts w:hAnsi="宋体" w:cs="Arial"/>
          <w:szCs w:val="21"/>
        </w:rPr>
        <w:t>审计：基金管理人职责终止的，应当按照法律法规规定聘请会计师事务所对基金财产进行审计，并将审计结果予以公告，同时报中国证监会备案；</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8</w:t>
      </w:r>
      <w:r w:rsidRPr="008909CD">
        <w:rPr>
          <w:rFonts w:hAnsi="宋体" w:cs="Arial" w:hint="eastAsia"/>
          <w:szCs w:val="21"/>
        </w:rPr>
        <w:t>）</w:t>
      </w:r>
      <w:r w:rsidRPr="008909CD">
        <w:rPr>
          <w:rFonts w:hAnsi="宋体" w:cs="Arial"/>
          <w:szCs w:val="21"/>
        </w:rPr>
        <w:t>基金名称变更：基金管理人更换后，如果原任或新任基金管理人要求，应按其要求</w:t>
      </w:r>
      <w:r w:rsidRPr="008909CD">
        <w:rPr>
          <w:rFonts w:hAnsi="宋体" w:cs="Arial"/>
          <w:szCs w:val="21"/>
        </w:rPr>
        <w:t>替换或删除基金名称中与原基金管理人有关的名称字样。</w:t>
      </w:r>
    </w:p>
    <w:p w:rsidR="009F1343" w:rsidRPr="008909CD">
      <w:pPr>
        <w:adjustRightInd w:val="0"/>
        <w:snapToGrid w:val="0"/>
        <w:spacing w:line="360" w:lineRule="auto"/>
        <w:ind w:firstLine="420" w:firstLineChars="200"/>
        <w:rPr>
          <w:rFonts w:cs="Arial"/>
          <w:szCs w:val="21"/>
        </w:rPr>
      </w:pPr>
      <w:bookmarkStart w:id="103" w:name="_Toc22005975"/>
      <w:r w:rsidRPr="008909CD">
        <w:rPr>
          <w:rFonts w:cs="Arial" w:hint="eastAsia"/>
          <w:szCs w:val="21"/>
        </w:rPr>
        <w:t>2.</w:t>
      </w:r>
      <w:r w:rsidRPr="008909CD">
        <w:rPr>
          <w:rFonts w:hAnsi="宋体" w:cs="Arial"/>
          <w:szCs w:val="21"/>
        </w:rPr>
        <w:t>基金托管人的更换程序</w:t>
      </w:r>
      <w:bookmarkEnd w:id="103"/>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1</w:t>
      </w:r>
      <w:r w:rsidRPr="008909CD">
        <w:rPr>
          <w:rFonts w:hAnsi="宋体" w:cs="Arial" w:hint="eastAsia"/>
          <w:szCs w:val="21"/>
        </w:rPr>
        <w:t>）</w:t>
      </w:r>
      <w:r w:rsidRPr="008909CD">
        <w:rPr>
          <w:rFonts w:hAnsi="宋体" w:cs="Arial"/>
          <w:szCs w:val="21"/>
        </w:rPr>
        <w:t>提名：新任基金托管人由基金管理人或由单独或合计持有</w:t>
      </w:r>
      <w:r w:rsidRPr="008909CD">
        <w:rPr>
          <w:rFonts w:cs="Arial" w:hint="eastAsia"/>
          <w:szCs w:val="21"/>
        </w:rPr>
        <w:t>10%</w:t>
      </w:r>
      <w:r w:rsidRPr="008909CD">
        <w:rPr>
          <w:rFonts w:hAnsi="宋体" w:cs="Arial"/>
          <w:szCs w:val="21"/>
        </w:rPr>
        <w:t>以上（含</w:t>
      </w:r>
      <w:r w:rsidRPr="008909CD">
        <w:rPr>
          <w:rFonts w:cs="Arial" w:hint="eastAsia"/>
          <w:szCs w:val="21"/>
        </w:rPr>
        <w:t>10%</w:t>
      </w:r>
      <w:r w:rsidRPr="008909CD">
        <w:rPr>
          <w:rFonts w:hAnsi="宋体" w:cs="Arial"/>
          <w:szCs w:val="21"/>
        </w:rPr>
        <w:t>）基金份额的基金持有人提名；</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2</w:t>
      </w:r>
      <w:r w:rsidRPr="008909CD">
        <w:rPr>
          <w:rFonts w:hAnsi="宋体" w:cs="Arial" w:hint="eastAsia"/>
          <w:szCs w:val="21"/>
        </w:rPr>
        <w:t>）</w:t>
      </w:r>
      <w:r w:rsidRPr="008909CD">
        <w:rPr>
          <w:rFonts w:hAnsi="宋体" w:cs="Arial"/>
          <w:szCs w:val="21"/>
        </w:rPr>
        <w:t>决议：基金份额持有人大会在基金托管人职责终止后</w:t>
      </w:r>
      <w:r w:rsidRPr="008909CD">
        <w:rPr>
          <w:rFonts w:cs="Arial" w:hint="eastAsia"/>
          <w:szCs w:val="21"/>
        </w:rPr>
        <w:t>6</w:t>
      </w:r>
      <w:r w:rsidRPr="008909CD">
        <w:rPr>
          <w:rFonts w:hAnsi="宋体" w:cs="Arial"/>
          <w:szCs w:val="21"/>
        </w:rPr>
        <w:t>个月内对被提名的基金托管人形成决议，该决议需经参加大会的基金份额持有人所持表决权的</w:t>
      </w:r>
      <w:r w:rsidRPr="008909CD">
        <w:rPr>
          <w:rFonts w:hAnsi="宋体" w:cs="Arial" w:hint="eastAsia"/>
          <w:szCs w:val="21"/>
        </w:rPr>
        <w:t>三分之二</w:t>
      </w:r>
      <w:r w:rsidRPr="008909CD">
        <w:rPr>
          <w:rFonts w:hAnsi="宋体" w:cs="Arial"/>
          <w:szCs w:val="21"/>
        </w:rPr>
        <w:t>以上（含</w:t>
      </w:r>
      <w:r w:rsidRPr="008909CD">
        <w:rPr>
          <w:rFonts w:hAnsi="宋体" w:cs="Arial" w:hint="eastAsia"/>
          <w:szCs w:val="21"/>
        </w:rPr>
        <w:t>三分之二，如将来法律法规修改，规定此比例下限低于三分之二的，从其规定</w:t>
      </w:r>
      <w:r w:rsidRPr="008909CD">
        <w:rPr>
          <w:rFonts w:hAnsi="宋体" w:cs="Arial"/>
          <w:szCs w:val="21"/>
        </w:rPr>
        <w:t>）表决通过；</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3</w:t>
      </w:r>
      <w:r w:rsidRPr="008909CD">
        <w:rPr>
          <w:rFonts w:hAnsi="宋体" w:cs="Arial" w:hint="eastAsia"/>
          <w:szCs w:val="21"/>
        </w:rPr>
        <w:t>）</w:t>
      </w:r>
      <w:r w:rsidRPr="008909CD">
        <w:rPr>
          <w:rFonts w:hAnsi="宋体" w:cs="Arial"/>
          <w:szCs w:val="21"/>
        </w:rPr>
        <w:t>临时基金托管人：新任基金托管人产生之前，由中国证监会指定临时基金托管人；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4</w:t>
      </w:r>
      <w:r w:rsidRPr="008909CD">
        <w:rPr>
          <w:rFonts w:hAnsi="宋体" w:cs="Arial" w:hint="eastAsia"/>
          <w:szCs w:val="21"/>
        </w:rPr>
        <w:t>）</w:t>
      </w:r>
      <w:r w:rsidRPr="008909CD">
        <w:rPr>
          <w:rFonts w:hAnsi="宋体" w:cs="Arial"/>
          <w:szCs w:val="21"/>
        </w:rPr>
        <w:t>核准：基金份额持有人大会更换基金托管人的决议须经中国证监会核准生效后方可执行；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5</w:t>
      </w:r>
      <w:r w:rsidRPr="008909CD">
        <w:rPr>
          <w:rFonts w:hAnsi="宋体" w:cs="Arial" w:hint="eastAsia"/>
          <w:szCs w:val="21"/>
        </w:rPr>
        <w:t>）</w:t>
      </w:r>
      <w:r w:rsidRPr="008909CD">
        <w:rPr>
          <w:rFonts w:hAnsi="宋体" w:cs="Arial"/>
          <w:szCs w:val="21"/>
        </w:rPr>
        <w:t>公告：基金托管人更换后，由基金管理人在中国证监会核准后</w:t>
      </w:r>
      <w:r w:rsidRPr="008909CD">
        <w:rPr>
          <w:rFonts w:cs="Arial" w:hint="eastAsia"/>
          <w:szCs w:val="21"/>
        </w:rPr>
        <w:t>2</w:t>
      </w:r>
      <w:r w:rsidRPr="008909CD">
        <w:rPr>
          <w:rFonts w:hAnsi="宋体" w:cs="Arial"/>
          <w:szCs w:val="21"/>
        </w:rPr>
        <w:t>日内在</w:t>
      </w:r>
      <w:r w:rsidRPr="008909CD">
        <w:rPr>
          <w:rFonts w:hAnsi="宋体" w:cs="Arial" w:hint="eastAsia"/>
          <w:szCs w:val="21"/>
        </w:rPr>
        <w:t>规定媒介</w:t>
      </w:r>
      <w:r w:rsidRPr="008909CD">
        <w:rPr>
          <w:rFonts w:hAnsi="宋体" w:cs="Arial"/>
          <w:szCs w:val="21"/>
        </w:rPr>
        <w:t>公告</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6</w:t>
      </w:r>
      <w:r w:rsidRPr="008909CD">
        <w:rPr>
          <w:rFonts w:hAnsi="宋体" w:cs="Arial" w:hint="eastAsia"/>
          <w:szCs w:val="21"/>
        </w:rPr>
        <w:t>）</w:t>
      </w:r>
      <w:r w:rsidRPr="008909CD">
        <w:rPr>
          <w:rFonts w:hAnsi="宋体" w:cs="Arial"/>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r w:rsidRPr="008909CD">
        <w:rPr>
          <w:rFonts w:cs="Arial"/>
          <w:szCs w:val="21"/>
        </w:rPr>
        <w:t xml:space="preserve"> </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7</w:t>
      </w:r>
      <w:r w:rsidRPr="008909CD">
        <w:rPr>
          <w:rFonts w:hAnsi="宋体" w:cs="Arial" w:hint="eastAsia"/>
          <w:szCs w:val="21"/>
        </w:rPr>
        <w:t>）</w:t>
      </w:r>
      <w:r w:rsidRPr="008909CD">
        <w:rPr>
          <w:rFonts w:hAnsi="宋体" w:cs="Arial"/>
          <w:szCs w:val="21"/>
        </w:rPr>
        <w:t>审计：基金托管人职责终止的，应当按照法律法规规定聘请会计师事务所对基金财产进行审计，并将审计结果予以公告，同时报中国证监会备案。</w:t>
      </w:r>
    </w:p>
    <w:p w:rsidR="009F1343" w:rsidRPr="008909CD">
      <w:pPr>
        <w:adjustRightInd w:val="0"/>
        <w:snapToGrid w:val="0"/>
        <w:spacing w:line="360" w:lineRule="auto"/>
        <w:ind w:firstLine="420" w:firstLineChars="200"/>
        <w:rPr>
          <w:rFonts w:cs="Arial"/>
          <w:szCs w:val="21"/>
        </w:rPr>
      </w:pPr>
      <w:bookmarkStart w:id="104" w:name="_Toc1357"/>
      <w:r w:rsidRPr="008909CD">
        <w:rPr>
          <w:rFonts w:cs="Arial" w:hint="eastAsia"/>
          <w:szCs w:val="21"/>
        </w:rPr>
        <w:t>3.</w:t>
      </w:r>
      <w:r w:rsidRPr="008909CD">
        <w:rPr>
          <w:rFonts w:hAnsi="宋体" w:cs="Arial"/>
          <w:szCs w:val="21"/>
        </w:rPr>
        <w:t>基金管理人与基金托管人同时更换的条件和程序。</w:t>
      </w:r>
      <w:bookmarkEnd w:id="104"/>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1</w:t>
      </w:r>
      <w:r w:rsidRPr="008909CD">
        <w:rPr>
          <w:rFonts w:hAnsi="宋体" w:cs="Arial" w:hint="eastAsia"/>
          <w:szCs w:val="21"/>
        </w:rPr>
        <w:t>）</w:t>
      </w:r>
      <w:r w:rsidRPr="008909CD">
        <w:rPr>
          <w:rFonts w:hAnsi="宋体" w:cs="Arial"/>
          <w:szCs w:val="21"/>
        </w:rPr>
        <w:t>提名：如果基金管理人和基金托管人同时更换，由单独或合计持有基金总份额</w:t>
      </w:r>
      <w:r w:rsidRPr="008909CD">
        <w:rPr>
          <w:rFonts w:cs="Arial" w:hint="eastAsia"/>
          <w:szCs w:val="21"/>
        </w:rPr>
        <w:t>10%</w:t>
      </w:r>
      <w:r w:rsidRPr="008909CD">
        <w:rPr>
          <w:rFonts w:hAnsi="宋体" w:cs="Arial"/>
          <w:szCs w:val="21"/>
        </w:rPr>
        <w:t>以上（含</w:t>
      </w:r>
      <w:r w:rsidRPr="008909CD">
        <w:rPr>
          <w:rFonts w:cs="Arial" w:hint="eastAsia"/>
          <w:szCs w:val="21"/>
        </w:rPr>
        <w:t>10%</w:t>
      </w:r>
      <w:r w:rsidRPr="008909CD">
        <w:rPr>
          <w:rFonts w:hAnsi="宋体" w:cs="Arial"/>
          <w:szCs w:val="21"/>
        </w:rPr>
        <w:t>）的基金份额持有人提名新的基金管理人和基金托管人；</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2</w:t>
      </w:r>
      <w:r w:rsidRPr="008909CD">
        <w:rPr>
          <w:rFonts w:hAnsi="宋体" w:cs="Arial" w:hint="eastAsia"/>
          <w:szCs w:val="21"/>
        </w:rPr>
        <w:t>）</w:t>
      </w:r>
      <w:r w:rsidRPr="008909CD">
        <w:rPr>
          <w:rFonts w:hAnsi="宋体" w:cs="Arial"/>
          <w:szCs w:val="21"/>
        </w:rPr>
        <w:t>基金管理人和基金托管人的更换分别按上述程序进行；</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cs="Arial"/>
          <w:szCs w:val="21"/>
        </w:rPr>
        <w:t>3</w:t>
      </w:r>
      <w:r w:rsidRPr="008909CD">
        <w:rPr>
          <w:rFonts w:hAnsi="宋体" w:cs="Arial" w:hint="eastAsia"/>
          <w:szCs w:val="21"/>
        </w:rPr>
        <w:t>）</w:t>
      </w:r>
      <w:r w:rsidRPr="008909CD">
        <w:rPr>
          <w:rFonts w:hAnsi="宋体" w:cs="Arial"/>
          <w:szCs w:val="21"/>
        </w:rPr>
        <w:t>公告：新任基金管理人和新任基金托管人应在更换基金管理人和基金托管人的基金份额持有人大会决议获得中国证监会核准后</w:t>
      </w:r>
      <w:r w:rsidRPr="008909CD">
        <w:rPr>
          <w:rFonts w:cs="Arial"/>
          <w:szCs w:val="21"/>
        </w:rPr>
        <w:t>2</w:t>
      </w:r>
      <w:r w:rsidRPr="008909CD">
        <w:rPr>
          <w:rFonts w:hAnsi="宋体" w:cs="Arial"/>
          <w:szCs w:val="21"/>
        </w:rPr>
        <w:t>日内在规定媒介上联合公告。</w:t>
      </w:r>
    </w:p>
    <w:p w:rsidR="009F1343" w:rsidRPr="008909CD">
      <w:pPr>
        <w:adjustRightInd w:val="0"/>
        <w:snapToGrid w:val="0"/>
        <w:spacing w:line="360" w:lineRule="auto"/>
        <w:ind w:firstLine="420" w:firstLineChars="200"/>
        <w:rPr>
          <w:rFonts w:cs="Arial"/>
          <w:szCs w:val="21"/>
        </w:rPr>
      </w:pPr>
      <w:r w:rsidRPr="008909CD">
        <w:rPr>
          <w:rFonts w:cs="Arial"/>
          <w:szCs w:val="21"/>
        </w:rPr>
        <w:br w:type="page"/>
      </w:r>
    </w:p>
    <w:p w:rsidR="009F1343" w:rsidRPr="008909CD">
      <w:pPr>
        <w:adjustRightInd w:val="0"/>
        <w:snapToGrid w:val="0"/>
        <w:spacing w:line="360" w:lineRule="auto"/>
        <w:rPr>
          <w:rFonts w:cs="Arial"/>
          <w:szCs w:val="21"/>
        </w:rPr>
      </w:pPr>
    </w:p>
    <w:p w:rsidR="009F1343" w:rsidRPr="008909CD">
      <w:pPr>
        <w:pStyle w:val="Heading2"/>
        <w:jc w:val="center"/>
        <w:rPr>
          <w:rFonts w:ascii="Times New Roman" w:eastAsia="宋体" w:hAnsi="Times New Roman"/>
          <w:sz w:val="30"/>
        </w:rPr>
      </w:pPr>
      <w:bookmarkStart w:id="105" w:name="_Toc124325899"/>
      <w:r w:rsidRPr="008909CD">
        <w:rPr>
          <w:rFonts w:ascii="Times New Roman" w:eastAsia="宋体" w:hint="eastAsia"/>
          <w:sz w:val="30"/>
        </w:rPr>
        <w:t>十五、禁止行为</w:t>
      </w:r>
      <w:bookmarkEnd w:id="105"/>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本协议当事人禁止从事的行为，包括但不限于：</w:t>
      </w:r>
    </w:p>
    <w:p w:rsidR="009F1343" w:rsidRPr="008909CD">
      <w:pPr>
        <w:spacing w:line="360" w:lineRule="auto"/>
        <w:ind w:firstLine="420" w:firstLineChars="200"/>
        <w:rPr>
          <w:szCs w:val="21"/>
        </w:rPr>
      </w:pPr>
      <w:r w:rsidRPr="008909CD">
        <w:rPr>
          <w:rFonts w:hAnsi="宋体" w:hint="eastAsia"/>
          <w:szCs w:val="21"/>
        </w:rPr>
        <w:t>（一）基金管理人、基金托管人将其固有财产或者他人财产混同于基金财产从事证券投资。</w:t>
      </w:r>
    </w:p>
    <w:p w:rsidR="009F1343" w:rsidRPr="008909CD">
      <w:pPr>
        <w:spacing w:line="360" w:lineRule="auto"/>
        <w:ind w:firstLine="420" w:firstLineChars="200"/>
        <w:rPr>
          <w:szCs w:val="21"/>
        </w:rPr>
      </w:pPr>
      <w:r w:rsidRPr="008909CD">
        <w:rPr>
          <w:rFonts w:hAnsi="宋体" w:hint="eastAsia"/>
          <w:szCs w:val="21"/>
        </w:rPr>
        <w:t>（二）基金管理人不公平地对待其管理的不同基金财产，基金托管人不公平地对待其托管的不同基金财产。</w:t>
      </w:r>
    </w:p>
    <w:p w:rsidR="009F1343" w:rsidRPr="008909CD">
      <w:pPr>
        <w:spacing w:line="360" w:lineRule="auto"/>
        <w:ind w:firstLine="420" w:firstLineChars="200"/>
        <w:rPr>
          <w:szCs w:val="21"/>
        </w:rPr>
      </w:pPr>
      <w:r w:rsidRPr="008909CD">
        <w:rPr>
          <w:rFonts w:hAnsi="宋体" w:hint="eastAsia"/>
          <w:szCs w:val="21"/>
        </w:rPr>
        <w:t>（三）基金管理人、基金托管人利用基金财产为基金份额持有人以外的第三人牟取利益。</w:t>
      </w:r>
    </w:p>
    <w:p w:rsidR="009F1343" w:rsidRPr="008909CD">
      <w:pPr>
        <w:spacing w:line="360" w:lineRule="auto"/>
        <w:ind w:firstLine="420" w:firstLineChars="200"/>
        <w:rPr>
          <w:szCs w:val="21"/>
        </w:rPr>
      </w:pPr>
      <w:r w:rsidRPr="008909CD">
        <w:rPr>
          <w:rFonts w:hAnsi="宋体" w:hint="eastAsia"/>
          <w:szCs w:val="21"/>
        </w:rPr>
        <w:t>（四）基金管理人、基金托管人向基金份额持有人违规承诺收益或者承担损失。</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（五）基金管理人、基金托管人对他人泄漏基金运作和管理过程中任何尚未按法律法规规定的方式公开披露的信息。</w:t>
      </w:r>
    </w:p>
    <w:p w:rsidR="009F1343" w:rsidRPr="008909CD">
      <w:pPr>
        <w:pStyle w:val="BodyTextIndent"/>
        <w:spacing w:line="360" w:lineRule="auto"/>
        <w:ind w:firstLine="420"/>
        <w:outlineLvl w:val="0"/>
        <w:rPr>
          <w:rFonts w:eastAsia="宋体" w:cs="Arial"/>
          <w:sz w:val="21"/>
          <w:szCs w:val="21"/>
        </w:rPr>
      </w:pPr>
      <w:r w:rsidRPr="008909CD">
        <w:rPr>
          <w:rFonts w:eastAsia="宋体" w:hAnsi="宋体" w:cs="Arial" w:hint="eastAsia"/>
          <w:sz w:val="21"/>
          <w:szCs w:val="21"/>
        </w:rPr>
        <w:t>（六）基金管理人在没有充足资金的情况下向基金托管人发出投资指令和赎回、分红资金的划拨指令，或违规向基金托管人发出指令。</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（七）基金管理人、基金托管人在行政上、财务上不独立</w:t>
      </w:r>
      <w:r w:rsidRPr="008909CD">
        <w:rPr>
          <w:rFonts w:cs="Arial" w:hint="eastAsia"/>
          <w:szCs w:val="21"/>
        </w:rPr>
        <w:t xml:space="preserve">, </w:t>
      </w:r>
      <w:r w:rsidRPr="008909CD">
        <w:rPr>
          <w:rFonts w:hAnsi="宋体" w:cs="Arial" w:hint="eastAsia"/>
          <w:szCs w:val="21"/>
        </w:rPr>
        <w:t>其高级管理人员和其他从业人员相互兼职。</w:t>
      </w:r>
    </w:p>
    <w:p w:rsidR="009F1343" w:rsidRPr="008909CD">
      <w:pPr>
        <w:spacing w:line="360" w:lineRule="auto"/>
        <w:ind w:firstLine="420" w:firstLineChars="200"/>
        <w:rPr>
          <w:rFonts w:cs="Arial"/>
          <w:szCs w:val="21"/>
        </w:rPr>
      </w:pPr>
      <w:r w:rsidRPr="008909CD">
        <w:rPr>
          <w:rFonts w:hAnsi="宋体" w:cs="Arial" w:hint="eastAsia"/>
          <w:szCs w:val="21"/>
        </w:rPr>
        <w:t>（八）基金托管人私自动用或处分基金财产，根据基金管理人的合法指令、基金合同或托管协议的规定进行处分的除外。</w:t>
      </w:r>
    </w:p>
    <w:p w:rsidR="009F1343" w:rsidRPr="008909CD">
      <w:pPr>
        <w:spacing w:line="360" w:lineRule="auto"/>
        <w:ind w:firstLine="420" w:firstLineChars="200"/>
        <w:rPr>
          <w:rFonts w:cs="Arial"/>
          <w:szCs w:val="21"/>
        </w:rPr>
      </w:pPr>
      <w:r w:rsidRPr="008909CD">
        <w:rPr>
          <w:rFonts w:hAnsi="宋体" w:hint="eastAsia"/>
          <w:szCs w:val="21"/>
        </w:rPr>
        <w:t>（九）</w:t>
      </w:r>
      <w:r w:rsidRPr="008909CD">
        <w:rPr>
          <w:rFonts w:hAnsi="宋体" w:cs="Arial" w:hint="eastAsia"/>
          <w:szCs w:val="21"/>
        </w:rPr>
        <w:t>基金财产</w:t>
      </w:r>
      <w:r w:rsidRPr="008909CD">
        <w:rPr>
          <w:rFonts w:hAnsi="宋体" w:hint="eastAsia"/>
          <w:szCs w:val="21"/>
        </w:rPr>
        <w:t>用于下列投资或者活动：（</w:t>
      </w:r>
      <w:r w:rsidRPr="008909CD">
        <w:rPr>
          <w:rFonts w:hint="eastAsia"/>
          <w:szCs w:val="21"/>
        </w:rPr>
        <w:t>1</w:t>
      </w:r>
      <w:r w:rsidRPr="008909CD">
        <w:rPr>
          <w:rFonts w:hAnsi="宋体" w:hint="eastAsia"/>
          <w:szCs w:val="21"/>
        </w:rPr>
        <w:t>）承销证券；（</w:t>
      </w:r>
      <w:r w:rsidRPr="008909CD">
        <w:rPr>
          <w:rFonts w:hint="eastAsia"/>
          <w:szCs w:val="21"/>
        </w:rPr>
        <w:t>2</w:t>
      </w:r>
      <w:r w:rsidRPr="008909CD">
        <w:rPr>
          <w:rFonts w:hAnsi="宋体" w:hint="eastAsia"/>
          <w:szCs w:val="21"/>
        </w:rPr>
        <w:t>）向他人贷款或者提供担保；（</w:t>
      </w:r>
      <w:r w:rsidRPr="008909CD">
        <w:rPr>
          <w:rFonts w:hint="eastAsia"/>
          <w:szCs w:val="21"/>
        </w:rPr>
        <w:t>3</w:t>
      </w:r>
      <w:r w:rsidRPr="008909CD">
        <w:rPr>
          <w:rFonts w:hAnsi="宋体" w:hint="eastAsia"/>
          <w:szCs w:val="21"/>
        </w:rPr>
        <w:t>）从事承担无限责任的投资；（</w:t>
      </w:r>
      <w:r w:rsidRPr="008909CD">
        <w:rPr>
          <w:rFonts w:hint="eastAsia"/>
          <w:szCs w:val="21"/>
        </w:rPr>
        <w:t>4</w:t>
      </w:r>
      <w:r w:rsidRPr="008909CD">
        <w:rPr>
          <w:rFonts w:hAnsi="宋体" w:hint="eastAsia"/>
          <w:szCs w:val="21"/>
        </w:rPr>
        <w:t>）买卖其他基金份额，但是法律法规或中国证监会另有规定的除外；（</w:t>
      </w:r>
      <w:r w:rsidRPr="008909CD">
        <w:rPr>
          <w:rFonts w:hint="eastAsia"/>
          <w:szCs w:val="21"/>
        </w:rPr>
        <w:t>5</w:t>
      </w:r>
      <w:r w:rsidRPr="008909CD">
        <w:rPr>
          <w:rFonts w:hAnsi="宋体" w:hint="eastAsia"/>
          <w:szCs w:val="21"/>
        </w:rPr>
        <w:t>）向其基金管理人、基金托管人出资或者买卖其基金管理人、基金托管人发行的股票或者债券；（</w:t>
      </w:r>
      <w:r w:rsidRPr="008909CD">
        <w:rPr>
          <w:rFonts w:hint="eastAsia"/>
          <w:szCs w:val="21"/>
        </w:rPr>
        <w:t>6</w:t>
      </w:r>
      <w:r w:rsidRPr="008909CD">
        <w:rPr>
          <w:rFonts w:hAnsi="宋体" w:hint="eastAsia"/>
          <w:szCs w:val="21"/>
        </w:rPr>
        <w:t>）买卖与其基金管理人、基金托管人有控股关系的股东或者与其基金管理人、基金托管人有其他重大利害关系的公司发行的证券或者承销期内承销的证券；（</w:t>
      </w:r>
      <w:r w:rsidRPr="008909CD">
        <w:rPr>
          <w:rFonts w:hint="eastAsia"/>
          <w:szCs w:val="21"/>
        </w:rPr>
        <w:t>7</w:t>
      </w:r>
      <w:r w:rsidRPr="008909CD">
        <w:rPr>
          <w:rFonts w:hAnsi="宋体" w:hint="eastAsia"/>
          <w:szCs w:val="21"/>
        </w:rPr>
        <w:t>）从事内幕交易、操纵证券交易价格及其他不正当的证券交易活动；（</w:t>
      </w:r>
      <w:r w:rsidRPr="008909CD">
        <w:rPr>
          <w:rFonts w:hint="eastAsia"/>
          <w:szCs w:val="21"/>
        </w:rPr>
        <w:t>8</w:t>
      </w:r>
      <w:r w:rsidRPr="008909CD">
        <w:rPr>
          <w:rFonts w:hAnsi="宋体" w:hint="eastAsia"/>
          <w:szCs w:val="21"/>
        </w:rPr>
        <w:t>）依照法律、行政法规有关规定，由中国证监会规定禁止的其他活动。</w:t>
      </w:r>
      <w:r w:rsidRPr="008909CD">
        <w:rPr>
          <w:rFonts w:hAnsi="宋体" w:cs="Arial"/>
          <w:szCs w:val="21"/>
        </w:rPr>
        <w:t>法律法规或</w:t>
      </w:r>
      <w:r w:rsidRPr="008909CD">
        <w:rPr>
          <w:rFonts w:hAnsi="宋体" w:cs="Arial" w:hint="eastAsia"/>
          <w:szCs w:val="21"/>
        </w:rPr>
        <w:t>监管部门取消</w:t>
      </w:r>
      <w:r w:rsidRPr="008909CD">
        <w:rPr>
          <w:rFonts w:hAnsi="宋体" w:cs="Arial"/>
          <w:szCs w:val="21"/>
        </w:rPr>
        <w:t>上述限制，</w:t>
      </w:r>
      <w:r w:rsidRPr="008909CD">
        <w:rPr>
          <w:rFonts w:hAnsi="宋体" w:cs="Arial" w:hint="eastAsia"/>
          <w:szCs w:val="21"/>
        </w:rPr>
        <w:t>如适用于本基金，则本基金投资不再受相关限制</w:t>
      </w:r>
      <w:r w:rsidRPr="008909CD">
        <w:rPr>
          <w:rFonts w:hAnsi="宋体" w:hint="eastAsia"/>
          <w:szCs w:val="21"/>
        </w:rPr>
        <w:t>。</w:t>
      </w:r>
    </w:p>
    <w:p w:rsidR="009F1343" w:rsidRPr="008909CD">
      <w:pPr>
        <w:adjustRightInd w:val="0"/>
        <w:snapToGrid w:val="0"/>
        <w:spacing w:line="360" w:lineRule="auto"/>
        <w:ind w:firstLine="420" w:firstLineChars="200"/>
        <w:outlineLvl w:val="0"/>
        <w:rPr>
          <w:szCs w:val="21"/>
        </w:rPr>
      </w:pPr>
      <w:r w:rsidRPr="008909CD">
        <w:rPr>
          <w:rFonts w:hAnsi="宋体" w:cs="Arial" w:hint="eastAsia"/>
          <w:szCs w:val="21"/>
        </w:rPr>
        <w:t>（十）法律法规和基金合同禁止的其他行为，以及</w:t>
      </w:r>
      <w:r w:rsidRPr="008909CD">
        <w:rPr>
          <w:rFonts w:hAnsi="宋体" w:hint="eastAsia"/>
          <w:szCs w:val="21"/>
        </w:rPr>
        <w:t>依照法律、行政法规有关规定，由中国证监会规定禁止基金管理人、基金托管人从事的其他行为。</w:t>
      </w:r>
    </w:p>
    <w:p w:rsidR="009F1343" w:rsidRPr="008909CD">
      <w:pPr>
        <w:adjustRightInd w:val="0"/>
        <w:snapToGrid w:val="0"/>
        <w:spacing w:line="360" w:lineRule="auto"/>
        <w:ind w:firstLine="420" w:firstLineChars="200"/>
        <w:outlineLvl w:val="0"/>
        <w:rPr>
          <w:rFonts w:cs="Arial"/>
          <w:szCs w:val="21"/>
        </w:rPr>
      </w:pPr>
      <w:r w:rsidRPr="008909CD">
        <w:rPr>
          <w:szCs w:val="21"/>
        </w:rPr>
        <w:br w:type="page"/>
      </w:r>
    </w:p>
    <w:p w:rsidR="009F1343" w:rsidRPr="008909CD">
      <w:pPr>
        <w:adjustRightInd w:val="0"/>
        <w:snapToGrid w:val="0"/>
        <w:rPr>
          <w:sz w:val="30"/>
          <w:szCs w:val="30"/>
        </w:rPr>
      </w:pPr>
    </w:p>
    <w:p w:rsidR="009F1343" w:rsidRPr="008909CD">
      <w:pPr>
        <w:pStyle w:val="Heading2"/>
        <w:jc w:val="center"/>
        <w:rPr>
          <w:rFonts w:ascii="Times New Roman" w:eastAsia="宋体" w:hAnsi="Times New Roman"/>
          <w:sz w:val="30"/>
        </w:rPr>
      </w:pPr>
      <w:bookmarkStart w:id="106" w:name="_Toc124325900"/>
      <w:r w:rsidRPr="008909CD">
        <w:rPr>
          <w:rFonts w:ascii="Times New Roman" w:eastAsia="宋体" w:hint="eastAsia"/>
          <w:sz w:val="30"/>
        </w:rPr>
        <w:t>十六、托管协议的变更、终止与基金财产的清算</w:t>
      </w:r>
      <w:bookmarkEnd w:id="106"/>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（一）托管协议的变更程序</w:t>
      </w:r>
    </w:p>
    <w:p w:rsidR="009F1343" w:rsidRPr="008909CD">
      <w:pPr>
        <w:adjustRightInd w:val="0"/>
        <w:snapToGrid w:val="0"/>
        <w:spacing w:line="360" w:lineRule="auto"/>
        <w:ind w:firstLine="420" w:firstLineChars="200"/>
        <w:rPr>
          <w:szCs w:val="21"/>
        </w:rPr>
      </w:pPr>
      <w:r w:rsidRPr="008909CD">
        <w:rPr>
          <w:rFonts w:hAnsi="宋体" w:cs="Arial" w:hint="eastAsia"/>
          <w:szCs w:val="21"/>
        </w:rPr>
        <w:t>本协议双方当事人经协商一致，可以对协议进行修改。修改后的新协议，其内容不得与基金合同的规定有任何冲突。基金托管协议的变更报中国证监会核准</w:t>
      </w:r>
      <w:r w:rsidRPr="008909CD">
        <w:rPr>
          <w:rFonts w:hAnsi="宋体" w:cs="Arial"/>
          <w:szCs w:val="21"/>
        </w:rPr>
        <w:t>或备案</w:t>
      </w:r>
      <w:r w:rsidRPr="008909CD">
        <w:rPr>
          <w:rFonts w:hAnsi="宋体" w:cs="Arial" w:hint="eastAsia"/>
          <w:szCs w:val="21"/>
        </w:rPr>
        <w:t>后生</w:t>
      </w:r>
      <w:r w:rsidRPr="008909CD">
        <w:rPr>
          <w:rFonts w:hint="eastAsia"/>
          <w:kern w:val="0"/>
          <w:sz w:val="24"/>
        </w:rPr>
        <w:t>效。</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（二）基金托管协议终止出现的情形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基金合同终止；</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szCs w:val="21"/>
        </w:rPr>
        <w:t>基金托管人</w:t>
      </w:r>
      <w:r w:rsidRPr="008909CD">
        <w:rPr>
          <w:rFonts w:hAnsi="宋体" w:cs="Arial" w:hint="eastAsia"/>
          <w:szCs w:val="21"/>
        </w:rPr>
        <w:t>解散、依法被撤销、破产或由其他基金托管人接管基金资产；</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szCs w:val="21"/>
        </w:rPr>
        <w:t>基金管理人</w:t>
      </w:r>
      <w:r w:rsidRPr="008909CD">
        <w:rPr>
          <w:rFonts w:hAnsi="宋体" w:cs="Arial" w:hint="eastAsia"/>
          <w:szCs w:val="21"/>
        </w:rPr>
        <w:t>解散、依法被撤销、破产或由其他基金管理人接管基金管理权；</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4.</w:t>
      </w:r>
      <w:r w:rsidRPr="008909CD">
        <w:rPr>
          <w:rFonts w:hAnsi="宋体" w:cs="Arial" w:hint="eastAsia"/>
          <w:szCs w:val="21"/>
        </w:rPr>
        <w:t>发生法律法规规定或基金合同约定的终止事项。</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hAnsi="宋体" w:cs="Arial"/>
          <w:szCs w:val="21"/>
        </w:rPr>
        <w:t>三</w:t>
      </w:r>
      <w:r w:rsidRPr="008909CD">
        <w:rPr>
          <w:rFonts w:hAnsi="宋体" w:cs="Arial" w:hint="eastAsia"/>
          <w:szCs w:val="21"/>
        </w:rPr>
        <w:t>）</w:t>
      </w:r>
      <w:r w:rsidRPr="008909CD">
        <w:rPr>
          <w:rFonts w:hAnsi="宋体" w:cs="Arial"/>
          <w:szCs w:val="21"/>
        </w:rPr>
        <w:t>基金财产的清算</w:t>
      </w:r>
    </w:p>
    <w:p w:rsidR="009F1343" w:rsidRPr="008909CD">
      <w:pPr>
        <w:adjustRightInd w:val="0"/>
        <w:snapToGrid w:val="0"/>
        <w:spacing w:line="360" w:lineRule="auto"/>
        <w:ind w:firstLine="420" w:firstLineChars="200"/>
        <w:rPr>
          <w:rFonts w:cs="Arial"/>
          <w:szCs w:val="21"/>
        </w:rPr>
      </w:pPr>
      <w:r w:rsidRPr="008909CD">
        <w:rPr>
          <w:rFonts w:cs="Arial"/>
          <w:szCs w:val="21"/>
        </w:rPr>
        <w:t>1</w:t>
      </w:r>
      <w:r w:rsidRPr="008909CD">
        <w:rPr>
          <w:rFonts w:hAnsi="宋体" w:cs="Arial" w:hint="eastAsia"/>
          <w:szCs w:val="21"/>
        </w:rPr>
        <w:t>．</w:t>
      </w:r>
      <w:r w:rsidRPr="008909CD">
        <w:rPr>
          <w:rFonts w:hAnsi="宋体" w:cs="Arial"/>
          <w:szCs w:val="21"/>
        </w:rPr>
        <w:t>基金财产清算小组：自出现《基金合同》终止事由之日起</w:t>
      </w:r>
      <w:r w:rsidRPr="008909CD">
        <w:rPr>
          <w:rFonts w:cs="Arial"/>
          <w:szCs w:val="21"/>
        </w:rPr>
        <w:t>30</w:t>
      </w:r>
      <w:r w:rsidRPr="008909CD">
        <w:rPr>
          <w:rFonts w:hAnsi="宋体" w:cs="Arial"/>
          <w:szCs w:val="21"/>
        </w:rPr>
        <w:t>个工作日内成立清算小组，基金管理人组织基金财产清算小组并在中国证监会的监督下进行基金清算。</w:t>
      </w:r>
    </w:p>
    <w:p w:rsidR="009F1343" w:rsidRPr="008909CD">
      <w:pPr>
        <w:adjustRightInd w:val="0"/>
        <w:snapToGrid w:val="0"/>
        <w:spacing w:line="360" w:lineRule="auto"/>
        <w:ind w:firstLine="420" w:firstLineChars="200"/>
        <w:rPr>
          <w:rFonts w:cs="Arial"/>
          <w:szCs w:val="21"/>
        </w:rPr>
      </w:pPr>
      <w:r w:rsidRPr="008909CD">
        <w:rPr>
          <w:rFonts w:cs="Arial"/>
          <w:szCs w:val="21"/>
        </w:rPr>
        <w:t>2</w:t>
      </w:r>
      <w:r w:rsidRPr="008909CD">
        <w:rPr>
          <w:rFonts w:hAnsi="宋体" w:cs="Arial" w:hint="eastAsia"/>
          <w:szCs w:val="21"/>
        </w:rPr>
        <w:t>．</w:t>
      </w:r>
      <w:r w:rsidRPr="008909CD">
        <w:rPr>
          <w:rFonts w:hAnsi="宋体" w:cs="Arial"/>
          <w:szCs w:val="21"/>
        </w:rPr>
        <w:t>基金财产清算小组组成：基金财产清算小组成员由基金管理人、基金托管人、注册会计师、律师以及中国证监会指定的人员组成。基金财产清算小组可以聘用必要的工作人员。</w:t>
      </w:r>
    </w:p>
    <w:p w:rsidR="009F1343" w:rsidRPr="008909CD">
      <w:pPr>
        <w:adjustRightInd w:val="0"/>
        <w:snapToGrid w:val="0"/>
        <w:spacing w:line="360" w:lineRule="auto"/>
        <w:ind w:firstLine="420" w:firstLineChars="200"/>
        <w:rPr>
          <w:rFonts w:cs="Arial"/>
          <w:szCs w:val="21"/>
        </w:rPr>
      </w:pPr>
      <w:r w:rsidRPr="008909CD">
        <w:rPr>
          <w:rFonts w:cs="Arial"/>
          <w:szCs w:val="21"/>
        </w:rPr>
        <w:t>3</w:t>
      </w:r>
      <w:r w:rsidRPr="008909CD">
        <w:rPr>
          <w:rFonts w:hAnsi="宋体" w:cs="Arial" w:hint="eastAsia"/>
          <w:szCs w:val="21"/>
        </w:rPr>
        <w:t>．</w:t>
      </w:r>
      <w:r w:rsidRPr="008909CD">
        <w:rPr>
          <w:rFonts w:hAnsi="宋体" w:cs="Arial"/>
          <w:szCs w:val="21"/>
        </w:rPr>
        <w:t>基金财产清算小组职责：基金财产清算小组负责基金财产的保管、清理、估价、变现和分配。基金财产清算小组可以依法进行必要的民事活动。</w:t>
      </w:r>
    </w:p>
    <w:p w:rsidR="009F1343" w:rsidRPr="008909CD">
      <w:pPr>
        <w:adjustRightInd w:val="0"/>
        <w:snapToGrid w:val="0"/>
        <w:spacing w:line="360" w:lineRule="auto"/>
        <w:ind w:firstLine="420" w:firstLineChars="200"/>
        <w:rPr>
          <w:rFonts w:cs="Arial"/>
          <w:szCs w:val="21"/>
        </w:rPr>
      </w:pPr>
      <w:r w:rsidRPr="008909CD">
        <w:rPr>
          <w:rFonts w:cs="Arial"/>
          <w:szCs w:val="21"/>
        </w:rPr>
        <w:t>4</w:t>
      </w:r>
      <w:r w:rsidRPr="008909CD">
        <w:rPr>
          <w:rFonts w:hAnsi="宋体" w:cs="Arial" w:hint="eastAsia"/>
          <w:szCs w:val="21"/>
        </w:rPr>
        <w:t>．</w:t>
      </w:r>
      <w:r w:rsidRPr="008909CD">
        <w:rPr>
          <w:rFonts w:hAnsi="宋体" w:cs="Arial"/>
          <w:szCs w:val="21"/>
        </w:rPr>
        <w:t>基金财产清算程序：</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1</w:t>
      </w:r>
      <w:r w:rsidRPr="008909CD">
        <w:rPr>
          <w:rFonts w:hAnsi="宋体" w:cs="Arial"/>
          <w:szCs w:val="21"/>
        </w:rPr>
        <w:t>）《基金合同》终止情形出现时，由基金财产清算小组统一接管基金；</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2</w:t>
      </w:r>
      <w:r w:rsidRPr="008909CD">
        <w:rPr>
          <w:rFonts w:hAnsi="宋体" w:cs="Arial"/>
          <w:szCs w:val="21"/>
        </w:rPr>
        <w:t>）对基金财产和债权债务进行清理和确认；</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3</w:t>
      </w:r>
      <w:r w:rsidRPr="008909CD">
        <w:rPr>
          <w:rFonts w:hAnsi="宋体" w:cs="Arial"/>
          <w:szCs w:val="21"/>
        </w:rPr>
        <w:t>）对基金财产进行估值和变现；</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4</w:t>
      </w:r>
      <w:r w:rsidRPr="008909CD">
        <w:rPr>
          <w:rFonts w:hAnsi="宋体" w:cs="Arial"/>
          <w:szCs w:val="21"/>
        </w:rPr>
        <w:t>）制作清算报告；</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5</w:t>
      </w:r>
      <w:r w:rsidRPr="008909CD">
        <w:rPr>
          <w:rFonts w:hAnsi="宋体" w:cs="Arial"/>
          <w:szCs w:val="21"/>
        </w:rPr>
        <w:t>）聘请会计师事务所对清算报告进行外部审计，聘请律师事务所对清算报告出具法律意见书；</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6</w:t>
      </w:r>
      <w:r w:rsidRPr="008909CD">
        <w:rPr>
          <w:rFonts w:hAnsi="宋体" w:cs="Arial"/>
          <w:szCs w:val="21"/>
        </w:rPr>
        <w:t>）将清算报告报中国证监会备案并公告</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szCs w:val="21"/>
        </w:rPr>
        <w:t>（</w:t>
      </w:r>
      <w:r w:rsidRPr="008909CD">
        <w:rPr>
          <w:rFonts w:cs="Arial"/>
          <w:szCs w:val="21"/>
        </w:rPr>
        <w:t>7</w:t>
      </w:r>
      <w:r w:rsidRPr="008909CD">
        <w:rPr>
          <w:rFonts w:hAnsi="宋体" w:cs="Arial"/>
          <w:szCs w:val="21"/>
        </w:rPr>
        <w:t>）对基金财产进行分配</w:t>
      </w:r>
      <w:r w:rsidRPr="008909CD">
        <w:rPr>
          <w:rFonts w:hAnsi="宋体" w:cs="Arial" w:hint="eastAsia"/>
          <w:szCs w:val="21"/>
        </w:rPr>
        <w:t>。</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hAnsi="宋体" w:cs="Arial"/>
          <w:szCs w:val="21"/>
        </w:rPr>
        <w:t>四</w:t>
      </w:r>
      <w:r w:rsidRPr="008909CD">
        <w:rPr>
          <w:rFonts w:hAnsi="宋体" w:cs="Arial" w:hint="eastAsia"/>
          <w:szCs w:val="21"/>
        </w:rPr>
        <w:t>）</w:t>
      </w:r>
      <w:r w:rsidRPr="008909CD">
        <w:rPr>
          <w:rFonts w:hAnsi="宋体" w:cs="Arial"/>
          <w:szCs w:val="21"/>
        </w:rPr>
        <w:t>清算费用</w:t>
      </w:r>
    </w:p>
    <w:p w:rsidR="009F1343" w:rsidRPr="008909CD">
      <w:pPr>
        <w:adjustRightInd w:val="0"/>
        <w:snapToGrid w:val="0"/>
        <w:spacing w:line="360" w:lineRule="auto"/>
        <w:ind w:firstLine="420" w:firstLineChars="200"/>
        <w:rPr>
          <w:rFonts w:cs="Arial"/>
          <w:szCs w:val="21"/>
        </w:rPr>
      </w:pPr>
      <w:r w:rsidRPr="008909CD">
        <w:rPr>
          <w:rFonts w:hAnsi="宋体" w:cs="Arial"/>
          <w:szCs w:val="21"/>
        </w:rPr>
        <w:t>清算费用是指基金财产清算小组在进行基金清算过程中发生的所有合理费用，清算费用由基金财产清算小组优先从基金财产中支付。</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hAnsi="宋体" w:cs="Arial"/>
          <w:szCs w:val="21"/>
        </w:rPr>
        <w:t>五</w:t>
      </w:r>
      <w:r w:rsidRPr="008909CD">
        <w:rPr>
          <w:rFonts w:hAnsi="宋体" w:cs="Arial" w:hint="eastAsia"/>
          <w:szCs w:val="21"/>
        </w:rPr>
        <w:t>）</w:t>
      </w:r>
      <w:r w:rsidRPr="008909CD">
        <w:rPr>
          <w:rFonts w:hAnsi="宋体" w:cs="Arial"/>
          <w:szCs w:val="21"/>
        </w:rPr>
        <w:t>基金财产清算剩余资产的分配</w:t>
      </w:r>
    </w:p>
    <w:p w:rsidR="009F1343" w:rsidRPr="008909CD">
      <w:pPr>
        <w:adjustRightInd w:val="0"/>
        <w:snapToGrid w:val="0"/>
        <w:spacing w:line="360" w:lineRule="auto"/>
        <w:ind w:firstLine="420" w:firstLineChars="200"/>
        <w:rPr>
          <w:rFonts w:cs="Arial"/>
          <w:szCs w:val="21"/>
        </w:rPr>
      </w:pPr>
      <w:r w:rsidRPr="008909CD">
        <w:rPr>
          <w:rFonts w:hAnsi="宋体" w:cs="Arial"/>
          <w:szCs w:val="21"/>
        </w:rPr>
        <w:t>依据基金财产清算的分配方案，将基金财产清算后的全部剩余资产扣除基金财产清算费</w:t>
      </w:r>
      <w:r w:rsidRPr="008909CD">
        <w:rPr>
          <w:rFonts w:hAnsi="宋体" w:cs="Arial"/>
          <w:szCs w:val="21"/>
        </w:rPr>
        <w:t>用、交纳所欠税款并清偿基金债务后，按基金份额持有人持有的基金份额比例进行分配。</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hAnsi="宋体" w:cs="Arial"/>
          <w:szCs w:val="21"/>
        </w:rPr>
        <w:t>六</w:t>
      </w:r>
      <w:r w:rsidRPr="008909CD">
        <w:rPr>
          <w:rFonts w:hAnsi="宋体" w:cs="Arial" w:hint="eastAsia"/>
          <w:szCs w:val="21"/>
        </w:rPr>
        <w:t>）</w:t>
      </w:r>
      <w:r w:rsidRPr="008909CD">
        <w:rPr>
          <w:rFonts w:hAnsi="宋体" w:cs="Arial"/>
          <w:szCs w:val="21"/>
        </w:rPr>
        <w:t>基金财产清算的公告</w:t>
      </w:r>
    </w:p>
    <w:p w:rsidR="009F1343" w:rsidRPr="008909CD">
      <w:pPr>
        <w:adjustRightInd w:val="0"/>
        <w:snapToGrid w:val="0"/>
        <w:spacing w:line="360" w:lineRule="auto"/>
        <w:ind w:firstLine="420" w:firstLineChars="200"/>
        <w:rPr>
          <w:rFonts w:cs="Arial"/>
          <w:szCs w:val="21"/>
        </w:rPr>
      </w:pPr>
      <w:r w:rsidRPr="008909CD">
        <w:rPr>
          <w:rFonts w:hAnsi="宋体" w:cs="Arial"/>
          <w:szCs w:val="21"/>
        </w:rPr>
        <w:t>清算过程中的有关重大事项须及时公告；基金财产清算报告经</w:t>
      </w:r>
      <w:r w:rsidRPr="008909CD" w:rsidR="00782E72">
        <w:rPr>
          <w:rFonts w:hAnsi="宋体" w:cs="Arial" w:hint="eastAsia"/>
          <w:szCs w:val="21"/>
        </w:rPr>
        <w:t>符合《证券法》规定的</w:t>
      </w:r>
      <w:r w:rsidRPr="008909CD">
        <w:rPr>
          <w:rFonts w:hAnsi="宋体" w:cs="Arial"/>
          <w:szCs w:val="21"/>
        </w:rPr>
        <w:t>会计师事务所审计并由律师事务所出具法律意见书后报中国证监会备案并公告。基金财产清算公告于基金财产清算报告报中国证监会备案后</w:t>
      </w:r>
      <w:r w:rsidRPr="008909CD">
        <w:rPr>
          <w:rFonts w:cs="Arial" w:hint="eastAsia"/>
          <w:szCs w:val="21"/>
        </w:rPr>
        <w:t>5</w:t>
      </w:r>
      <w:r w:rsidRPr="008909CD">
        <w:rPr>
          <w:rFonts w:hAnsi="宋体" w:cs="Arial"/>
          <w:szCs w:val="21"/>
        </w:rPr>
        <w:t>个工作日内由基金财产清算小组进行公告。</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w:t>
      </w:r>
      <w:r w:rsidRPr="008909CD">
        <w:rPr>
          <w:rFonts w:hAnsi="宋体" w:cs="Arial"/>
          <w:szCs w:val="21"/>
        </w:rPr>
        <w:t>七</w:t>
      </w:r>
      <w:r w:rsidRPr="008909CD">
        <w:rPr>
          <w:rFonts w:hAnsi="宋体" w:cs="Arial" w:hint="eastAsia"/>
          <w:szCs w:val="21"/>
        </w:rPr>
        <w:t>）</w:t>
      </w:r>
      <w:r w:rsidRPr="008909CD">
        <w:rPr>
          <w:rFonts w:hAnsi="宋体" w:cs="Arial"/>
          <w:szCs w:val="21"/>
        </w:rPr>
        <w:t>基金财产清算账册及文件的保存</w:t>
      </w:r>
    </w:p>
    <w:p w:rsidR="009F1343" w:rsidRPr="008909CD">
      <w:pPr>
        <w:adjustRightInd w:val="0"/>
        <w:snapToGrid w:val="0"/>
        <w:spacing w:line="360" w:lineRule="auto"/>
        <w:ind w:firstLine="420" w:firstLineChars="200"/>
        <w:rPr>
          <w:rFonts w:cs="Arial"/>
          <w:szCs w:val="21"/>
        </w:rPr>
      </w:pPr>
      <w:r w:rsidRPr="008909CD">
        <w:rPr>
          <w:rFonts w:hAnsi="宋体" w:cs="Arial"/>
          <w:szCs w:val="21"/>
        </w:rPr>
        <w:t>基金财产清算账册及有关文件由基金托管人保存</w:t>
      </w:r>
      <w:r w:rsidRPr="008909CD">
        <w:rPr>
          <w:rFonts w:cs="Arial"/>
          <w:szCs w:val="21"/>
        </w:rPr>
        <w:t>20</w:t>
      </w:r>
      <w:r w:rsidRPr="008909CD">
        <w:rPr>
          <w:rFonts w:hAnsi="宋体" w:cs="Arial"/>
          <w:szCs w:val="21"/>
        </w:rPr>
        <w:t>年以上。</w:t>
      </w:r>
    </w:p>
    <w:p w:rsidR="009F1343" w:rsidRPr="008909CD">
      <w:pPr>
        <w:adjustRightInd w:val="0"/>
        <w:snapToGrid w:val="0"/>
        <w:spacing w:line="360" w:lineRule="auto"/>
        <w:ind w:firstLine="420" w:firstLineChars="200"/>
        <w:rPr>
          <w:rFonts w:cs="Arial"/>
          <w:szCs w:val="21"/>
        </w:rPr>
      </w:pPr>
      <w:r w:rsidRPr="008909CD">
        <w:rPr>
          <w:rFonts w:cs="Arial"/>
          <w:szCs w:val="21"/>
        </w:rPr>
        <w:br w:type="page"/>
      </w:r>
    </w:p>
    <w:p w:rsidR="009F1343" w:rsidRPr="008909CD">
      <w:pPr>
        <w:adjustRightInd w:val="0"/>
        <w:snapToGrid w:val="0"/>
        <w:rPr>
          <w:rFonts w:cs="Arial"/>
          <w:sz w:val="24"/>
        </w:rPr>
      </w:pPr>
    </w:p>
    <w:p w:rsidR="009F1343" w:rsidRPr="008909CD">
      <w:pPr>
        <w:pStyle w:val="Heading2"/>
        <w:jc w:val="center"/>
        <w:rPr>
          <w:rFonts w:ascii="Times New Roman" w:eastAsia="宋体" w:hAnsi="Times New Roman"/>
          <w:sz w:val="30"/>
        </w:rPr>
      </w:pPr>
      <w:bookmarkStart w:id="107" w:name="_Toc124325901"/>
      <w:r w:rsidRPr="008909CD">
        <w:rPr>
          <w:rFonts w:ascii="Times New Roman" w:eastAsia="宋体" w:hint="eastAsia"/>
          <w:sz w:val="30"/>
        </w:rPr>
        <w:t>十七、违约责任</w:t>
      </w:r>
      <w:bookmarkEnd w:id="107"/>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（一）</w:t>
      </w:r>
      <w:r w:rsidRPr="008909CD">
        <w:rPr>
          <w:rFonts w:hAnsi="宋体" w:cs="Arial"/>
          <w:szCs w:val="21"/>
        </w:rPr>
        <w:t>基金管理人、基金托管人</w:t>
      </w:r>
      <w:r w:rsidRPr="008909CD">
        <w:rPr>
          <w:rFonts w:hAnsi="宋体" w:cs="Arial" w:hint="eastAsia"/>
          <w:szCs w:val="21"/>
        </w:rPr>
        <w:t>不</w:t>
      </w:r>
      <w:r w:rsidRPr="008909CD">
        <w:rPr>
          <w:rFonts w:hAnsi="宋体" w:cs="Arial"/>
          <w:szCs w:val="21"/>
        </w:rPr>
        <w:t>履行</w:t>
      </w:r>
      <w:r w:rsidRPr="008909CD">
        <w:rPr>
          <w:rFonts w:hAnsi="宋体" w:cs="Arial" w:hint="eastAsia"/>
          <w:szCs w:val="21"/>
        </w:rPr>
        <w:t>本协议或履行本协议不符合约定的，应当承担违约责任。</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（二）</w:t>
      </w:r>
      <w:r w:rsidRPr="008909CD">
        <w:rPr>
          <w:rFonts w:hAnsi="宋体" w:cs="Arial"/>
          <w:szCs w:val="21"/>
        </w:rPr>
        <w:t>基金管理人、基金托管人在履行各自职责的过程中，违反</w:t>
      </w:r>
      <w:r w:rsidRPr="008909CD">
        <w:rPr>
          <w:rFonts w:hAnsi="宋体" w:cs="Arial" w:hint="eastAsia"/>
          <w:szCs w:val="21"/>
        </w:rPr>
        <w:t>《基金法》</w:t>
      </w:r>
      <w:r w:rsidRPr="008909CD">
        <w:rPr>
          <w:rFonts w:hAnsi="宋体" w:cs="Arial"/>
          <w:szCs w:val="21"/>
        </w:rPr>
        <w:t>或者</w:t>
      </w:r>
      <w:r w:rsidRPr="008909CD">
        <w:rPr>
          <w:rFonts w:hAnsi="宋体" w:cs="Arial" w:hint="eastAsia"/>
          <w:szCs w:val="21"/>
        </w:rPr>
        <w:t>基金合同和本托管协议</w:t>
      </w:r>
      <w:r w:rsidRPr="008909CD">
        <w:rPr>
          <w:rFonts w:hAnsi="宋体" w:cs="Arial"/>
          <w:szCs w:val="21"/>
        </w:rPr>
        <w:t>约定，给基金财产或者基金份额持有人造成损害的，应当分别对各自的行为依法承担赔偿责任；因共同行为给基金财产或者基金份额持有人造成损害的，应当承担连带赔偿责任。</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三）一方当事人违约，给另一方当事人造成损失的，应就直接损失进行赔偿；给基金财产或者基金份额持有人造成损失的，应就直接损失进行赔偿，另一方当事人有权利及义务代表基金向违约方追偿。但是如发生下列情况，当事人免责：</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1.</w:t>
      </w:r>
      <w:r w:rsidRPr="008909CD">
        <w:rPr>
          <w:rFonts w:hAnsi="宋体" w:cs="Arial" w:hint="eastAsia"/>
          <w:szCs w:val="21"/>
        </w:rPr>
        <w:t>不可抗力；</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2.</w:t>
      </w:r>
      <w:r w:rsidRPr="008909CD">
        <w:rPr>
          <w:rFonts w:hAnsi="宋体" w:cs="Arial" w:hint="eastAsia"/>
          <w:szCs w:val="21"/>
        </w:rPr>
        <w:t>基金管理人、基金托管人按照当时有效的法律法规或中国证监会的规定作为或不作为而造成的损失等；</w:t>
      </w:r>
    </w:p>
    <w:p w:rsidR="009F1343" w:rsidRPr="008909CD">
      <w:pPr>
        <w:adjustRightInd w:val="0"/>
        <w:snapToGrid w:val="0"/>
        <w:spacing w:line="360" w:lineRule="auto"/>
        <w:ind w:firstLine="420" w:firstLineChars="200"/>
        <w:rPr>
          <w:rFonts w:cs="Arial"/>
          <w:szCs w:val="21"/>
        </w:rPr>
      </w:pPr>
      <w:r w:rsidRPr="008909CD">
        <w:rPr>
          <w:rFonts w:cs="Arial" w:hint="eastAsia"/>
          <w:szCs w:val="21"/>
        </w:rPr>
        <w:t>3.</w:t>
      </w:r>
      <w:r w:rsidRPr="008909CD">
        <w:rPr>
          <w:rFonts w:hAnsi="宋体" w:cs="Arial" w:hint="eastAsia"/>
          <w:szCs w:val="21"/>
        </w:rPr>
        <w:t>基金管理人由于按照基金合同规定的投资原则投资或不投资造成的直接损失或潜在损失等；</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（四）一方当事人违约，另一方当事人在职责范围内有义务及时采取必要的措施，尽力防止损失的扩大。</w:t>
      </w:r>
      <w:r w:rsidRPr="008909CD">
        <w:rPr>
          <w:rFonts w:hAnsi="宋体" w:cs="Arial"/>
          <w:szCs w:val="21"/>
        </w:rPr>
        <w:t>没有采取适当措施致使损失进一步扩大的，不得就扩大的损失要求赔偿。非违约方因防止损失扩大而支出的合理费用由违约方承担。</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（五）违约行为虽已发生，但本托管协议能够继续履行的，在最大限度地保护基金份额持有人利益的前提下，基金管理人和基金托管人应当继续履行本协议。</w:t>
      </w:r>
    </w:p>
    <w:p w:rsidR="009F1343" w:rsidRPr="008909CD">
      <w:pPr>
        <w:adjustRightInd w:val="0"/>
        <w:snapToGrid w:val="0"/>
        <w:spacing w:line="360" w:lineRule="auto"/>
        <w:ind w:firstLine="420" w:firstLineChars="200"/>
        <w:outlineLvl w:val="0"/>
        <w:rPr>
          <w:rFonts w:cs="Arial"/>
          <w:szCs w:val="21"/>
        </w:rPr>
      </w:pPr>
      <w:r w:rsidRPr="008909CD">
        <w:rPr>
          <w:rFonts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9F1343" w:rsidRPr="008909CD">
      <w:pPr>
        <w:adjustRightInd w:val="0"/>
        <w:snapToGrid w:val="0"/>
        <w:spacing w:line="360" w:lineRule="auto"/>
        <w:ind w:firstLine="420" w:firstLineChars="200"/>
        <w:outlineLvl w:val="0"/>
        <w:rPr>
          <w:rFonts w:cs="Arial"/>
          <w:szCs w:val="21"/>
        </w:rPr>
      </w:pPr>
      <w:r w:rsidRPr="008909CD">
        <w:rPr>
          <w:rFonts w:cs="Arial"/>
          <w:szCs w:val="21"/>
        </w:rPr>
        <w:br w:type="page"/>
      </w:r>
    </w:p>
    <w:p w:rsidR="009F1343" w:rsidRPr="008909CD">
      <w:pPr>
        <w:adjustRightInd w:val="0"/>
        <w:snapToGrid w:val="0"/>
        <w:outlineLvl w:val="0"/>
        <w:rPr>
          <w:rFonts w:cs="Arial"/>
          <w:sz w:val="24"/>
        </w:rPr>
      </w:pPr>
    </w:p>
    <w:p w:rsidR="009F1343" w:rsidRPr="008909CD">
      <w:pPr>
        <w:pStyle w:val="Heading2"/>
        <w:jc w:val="center"/>
        <w:rPr>
          <w:rFonts w:ascii="Times New Roman" w:eastAsia="宋体" w:hAnsi="Times New Roman"/>
          <w:sz w:val="30"/>
        </w:rPr>
      </w:pPr>
      <w:bookmarkStart w:id="108" w:name="_Toc124325902"/>
      <w:r w:rsidRPr="008909CD">
        <w:rPr>
          <w:rFonts w:ascii="Times New Roman" w:eastAsia="宋体" w:hint="eastAsia"/>
          <w:sz w:val="30"/>
        </w:rPr>
        <w:t>十八、争议解决方式</w:t>
      </w:r>
      <w:bookmarkEnd w:id="108"/>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因本协议产生或与之相关的争议，双方当事人应通过协商、调解解决，当事人不愿通过协商、调解解决或者协商、调解不成的，任何一方均有权将争议提交中国国际经济贸易仲裁委员会，仲裁地点为北京市，按照中国国际经济贸易仲裁委员会届时有效的仲裁规则进行仲裁。仲裁裁决是终局的，对当事人均有约束力，仲裁费用由败诉方承担，除非仲裁裁决另有决定。</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本协议受中国法律管辖。</w:t>
      </w:r>
    </w:p>
    <w:p w:rsidR="009F1343" w:rsidRPr="008909CD">
      <w:pPr>
        <w:adjustRightInd w:val="0"/>
        <w:snapToGrid w:val="0"/>
        <w:spacing w:line="360" w:lineRule="auto"/>
        <w:ind w:firstLine="420" w:firstLineChars="200"/>
        <w:rPr>
          <w:rFonts w:cs="Arial"/>
          <w:szCs w:val="21"/>
        </w:rPr>
      </w:pPr>
      <w:r w:rsidRPr="008909CD">
        <w:rPr>
          <w:rFonts w:cs="Arial"/>
          <w:szCs w:val="21"/>
        </w:rPr>
        <w:br w:type="page"/>
      </w:r>
    </w:p>
    <w:p w:rsidR="009F1343" w:rsidRPr="008909CD">
      <w:pPr>
        <w:adjustRightInd w:val="0"/>
        <w:snapToGrid w:val="0"/>
        <w:rPr>
          <w:rFonts w:cs="Arial"/>
          <w:sz w:val="24"/>
        </w:rPr>
      </w:pPr>
    </w:p>
    <w:p w:rsidR="009F1343" w:rsidRPr="008909CD">
      <w:pPr>
        <w:pStyle w:val="Heading2"/>
        <w:jc w:val="center"/>
        <w:rPr>
          <w:rFonts w:ascii="Times New Roman" w:eastAsia="宋体" w:hAnsi="Times New Roman"/>
          <w:sz w:val="30"/>
        </w:rPr>
      </w:pPr>
      <w:bookmarkStart w:id="109" w:name="_Toc124325903"/>
      <w:r w:rsidRPr="008909CD">
        <w:rPr>
          <w:rFonts w:ascii="Times New Roman" w:eastAsia="宋体" w:hint="eastAsia"/>
          <w:sz w:val="30"/>
        </w:rPr>
        <w:t>十九、托管协议的效力</w:t>
      </w:r>
      <w:bookmarkEnd w:id="109"/>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双方对托管协议的效力约定如下：</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一）基金管理人在向中国证监会申请发售基金份额时提交的托管协议草案，应经托管协议当事人双方盖章以及双方法定代表人或授权代理人签字，协议当事人双方根据中国证监会的意见修改托管协议草案。托管协议以中国证监会核准的文本为正式文本。</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（二）托管协议自基金合同成立之日起成立，自基金合同生效之日起生效。托管协议的有效期自其生效之日起至基金财产清算结果报中国证监会备案并公告之日止。</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（三）托管协议自生效之日起对托管协议当事人具有同等的法律约束力。</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（四）本协议一式八份，协议双方各持二份，备存二份，上报中国证监会和银行业监督管理机构各一份，每份具有同等法律效力。</w:t>
      </w:r>
    </w:p>
    <w:p w:rsidR="009F1343" w:rsidRPr="008909CD">
      <w:pPr>
        <w:adjustRightInd w:val="0"/>
        <w:snapToGrid w:val="0"/>
        <w:spacing w:line="360" w:lineRule="auto"/>
        <w:ind w:firstLine="420" w:firstLineChars="200"/>
        <w:rPr>
          <w:szCs w:val="21"/>
        </w:rPr>
      </w:pPr>
      <w:r w:rsidRPr="008909CD">
        <w:rPr>
          <w:rFonts w:cs="Arial"/>
          <w:szCs w:val="21"/>
        </w:rPr>
        <w:br w:type="page"/>
      </w:r>
    </w:p>
    <w:p w:rsidR="009F1343" w:rsidRPr="008909CD">
      <w:pPr>
        <w:adjustRightInd w:val="0"/>
        <w:snapToGrid w:val="0"/>
        <w:rPr>
          <w:rFonts w:cs="Arial"/>
          <w:sz w:val="24"/>
        </w:rPr>
      </w:pPr>
    </w:p>
    <w:p w:rsidR="009F1343" w:rsidRPr="008909CD">
      <w:pPr>
        <w:pStyle w:val="Heading2"/>
        <w:jc w:val="center"/>
        <w:rPr>
          <w:rFonts w:ascii="Times New Roman" w:eastAsia="宋体" w:hAnsi="Times New Roman"/>
          <w:sz w:val="30"/>
        </w:rPr>
      </w:pPr>
      <w:bookmarkStart w:id="110" w:name="_Toc124325904"/>
      <w:r w:rsidRPr="008909CD">
        <w:rPr>
          <w:rFonts w:ascii="Times New Roman" w:eastAsia="宋体" w:hint="eastAsia"/>
          <w:sz w:val="30"/>
        </w:rPr>
        <w:t>二十、其他事项</w:t>
      </w:r>
      <w:bookmarkEnd w:id="110"/>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如发生有权司法机关依法冻结基金份额持有人的基金份额时，基金管理人应予以配合，承担司法协助义务。</w:t>
      </w:r>
    </w:p>
    <w:p w:rsidR="009F1343" w:rsidRPr="008909CD">
      <w:pPr>
        <w:adjustRightInd w:val="0"/>
        <w:snapToGrid w:val="0"/>
        <w:spacing w:line="360" w:lineRule="auto"/>
        <w:ind w:firstLine="420" w:firstLineChars="200"/>
        <w:rPr>
          <w:rFonts w:cs="Arial"/>
          <w:szCs w:val="21"/>
        </w:rPr>
      </w:pPr>
      <w:r w:rsidRPr="008909CD">
        <w:rPr>
          <w:rFonts w:hAnsi="宋体" w:cs="Arial" w:hint="eastAsia"/>
          <w:szCs w:val="21"/>
        </w:rPr>
        <w:t>除本协议有明确定义外，本协议的用语定义适用基金合同的约定。本协议未尽事宜，当事人依据基金合同、有关法律法规等规定协商办理。</w:t>
      </w:r>
    </w:p>
    <w:p w:rsidR="009F1343" w:rsidRPr="008909CD">
      <w:pPr>
        <w:adjustRightInd w:val="0"/>
        <w:snapToGrid w:val="0"/>
        <w:spacing w:line="360" w:lineRule="auto"/>
        <w:ind w:firstLine="420" w:firstLineChars="200"/>
        <w:rPr>
          <w:rFonts w:cs="Arial"/>
          <w:szCs w:val="21"/>
        </w:rPr>
      </w:pPr>
      <w:r w:rsidRPr="008909CD">
        <w:rPr>
          <w:rFonts w:cs="Arial"/>
          <w:szCs w:val="21"/>
        </w:rPr>
        <w:br w:type="page"/>
      </w:r>
    </w:p>
    <w:p w:rsidR="009F1343" w:rsidRPr="008909CD">
      <w:pPr>
        <w:adjustRightInd w:val="0"/>
        <w:snapToGrid w:val="0"/>
        <w:rPr>
          <w:b/>
          <w:bCs/>
        </w:rPr>
      </w:pPr>
    </w:p>
    <w:p w:rsidR="009F1343" w:rsidRPr="008909CD">
      <w:pPr>
        <w:pStyle w:val="Heading2"/>
        <w:jc w:val="center"/>
        <w:rPr>
          <w:rFonts w:ascii="Times New Roman" w:eastAsia="宋体" w:hAnsi="Times New Roman"/>
          <w:sz w:val="30"/>
        </w:rPr>
      </w:pPr>
      <w:bookmarkStart w:id="111" w:name="_Toc124325905"/>
      <w:r w:rsidRPr="008909CD">
        <w:rPr>
          <w:rFonts w:ascii="Times New Roman" w:eastAsia="宋体" w:hint="eastAsia"/>
          <w:sz w:val="30"/>
        </w:rPr>
        <w:t>二十一、托管协议的签订</w:t>
      </w:r>
      <w:bookmarkEnd w:id="111"/>
    </w:p>
    <w:p w:rsidR="009F1343" w:rsidRPr="008909CD">
      <w:pPr>
        <w:adjustRightInd w:val="0"/>
        <w:snapToGrid w:val="0"/>
        <w:ind w:firstLine="420" w:firstLineChars="200"/>
        <w:rPr>
          <w:rFonts w:cs="Arial"/>
          <w:szCs w:val="21"/>
        </w:rPr>
      </w:pPr>
      <w:r w:rsidRPr="008909CD">
        <w:rPr>
          <w:rFonts w:hAnsi="宋体" w:cs="Arial" w:hint="eastAsia"/>
          <w:szCs w:val="21"/>
        </w:rPr>
        <w:t>本协议双方法定代表人或授权代理人签章、签订地、签订日</w:t>
      </w:r>
    </w:p>
    <w:p w:rsidR="009F1343" w:rsidRPr="008909CD">
      <w:pPr>
        <w:adjustRightInd w:val="0"/>
        <w:snapToGrid w:val="0"/>
        <w:ind w:firstLine="480" w:firstLineChars="200"/>
        <w:rPr>
          <w:rFonts w:cs="Arial"/>
          <w:sz w:val="24"/>
        </w:rPr>
        <w:sectPr>
          <w:headerReference w:type="default" r:id="rId5"/>
          <w:footerReference w:type="even" r:id="rId6"/>
          <w:footerReference w:type="default" r:id="rId7"/>
          <w:pgSz w:w="11906" w:h="16838"/>
          <w:pgMar w:top="1418" w:right="1701" w:bottom="1418" w:left="1701" w:header="851" w:footer="992" w:gutter="0"/>
          <w:pgNumType w:start="1"/>
          <w:cols w:space="425"/>
          <w:docGrid w:type="lines" w:linePitch="312"/>
        </w:sectPr>
      </w:pPr>
    </w:p>
    <w:p w:rsidR="009F1343" w:rsidRPr="008909CD">
      <w:pPr>
        <w:adjustRightInd w:val="0"/>
        <w:snapToGrid w:val="0"/>
        <w:jc w:val="center"/>
        <w:rPr>
          <w:szCs w:val="21"/>
        </w:rPr>
      </w:pPr>
      <w:r w:rsidRPr="008909CD">
        <w:rPr>
          <w:rFonts w:hAnsi="宋体" w:hint="eastAsia"/>
          <w:szCs w:val="21"/>
        </w:rPr>
        <w:t>本页无正文，为《易方达高等级信用债债券型证券投资基金托管协议》的签字盖章页。</w:t>
      </w:r>
    </w:p>
    <w:p w:rsidR="009F1343" w:rsidRPr="008909CD">
      <w:pPr>
        <w:spacing w:line="360" w:lineRule="auto"/>
        <w:rPr>
          <w:szCs w:val="21"/>
        </w:rPr>
      </w:pPr>
    </w:p>
    <w:p w:rsidR="009F1343" w:rsidRPr="008909CD">
      <w:pPr>
        <w:spacing w:line="360" w:lineRule="auto"/>
        <w:rPr>
          <w:szCs w:val="21"/>
        </w:rPr>
      </w:pPr>
    </w:p>
    <w:p w:rsidR="009F1343" w:rsidRPr="008909CD">
      <w:pPr>
        <w:spacing w:line="360" w:lineRule="auto"/>
        <w:rPr>
          <w:szCs w:val="21"/>
        </w:rPr>
      </w:pPr>
    </w:p>
    <w:p w:rsidR="009F1343" w:rsidRPr="008909CD">
      <w:pPr>
        <w:spacing w:line="360" w:lineRule="auto"/>
        <w:ind w:right="26"/>
        <w:rPr>
          <w:szCs w:val="21"/>
        </w:rPr>
      </w:pPr>
      <w:r w:rsidRPr="008909CD">
        <w:rPr>
          <w:rFonts w:hAnsi="宋体" w:hint="eastAsia"/>
          <w:szCs w:val="21"/>
        </w:rPr>
        <w:t>基金管理人：易方达基金管理有限公司（公章）</w:t>
      </w: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r w:rsidRPr="008909CD">
        <w:rPr>
          <w:rFonts w:hAnsi="宋体" w:hint="eastAsia"/>
          <w:szCs w:val="21"/>
        </w:rPr>
        <w:t>法定代表人或授权代理人：</w:t>
      </w:r>
      <w:r w:rsidRPr="008909CD">
        <w:rPr>
          <w:rFonts w:hint="eastAsia"/>
          <w:szCs w:val="21"/>
        </w:rPr>
        <w:t xml:space="preserve">                   </w:t>
      </w: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r w:rsidRPr="008909CD">
        <w:rPr>
          <w:rFonts w:hAnsi="宋体" w:hint="eastAsia"/>
          <w:szCs w:val="21"/>
        </w:rPr>
        <w:t>基金托管人：中国建设银行股份有限公司（公章）</w:t>
      </w: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p>
    <w:p w:rsidR="009F1343" w:rsidRPr="008909CD">
      <w:pPr>
        <w:spacing w:line="360" w:lineRule="auto"/>
        <w:ind w:right="26"/>
        <w:rPr>
          <w:szCs w:val="21"/>
        </w:rPr>
      </w:pPr>
      <w:r w:rsidRPr="008909CD">
        <w:rPr>
          <w:rFonts w:hAnsi="宋体" w:hint="eastAsia"/>
          <w:szCs w:val="21"/>
        </w:rPr>
        <w:t>法定代表人或授权代理人：</w:t>
      </w:r>
      <w:r w:rsidRPr="008909CD">
        <w:rPr>
          <w:rFonts w:hint="eastAsia"/>
          <w:szCs w:val="21"/>
        </w:rPr>
        <w:t xml:space="preserve">                   </w:t>
      </w:r>
    </w:p>
    <w:p w:rsidR="009F1343" w:rsidRPr="008909CD">
      <w:pPr>
        <w:spacing w:line="360" w:lineRule="auto"/>
        <w:ind w:right="26"/>
        <w:rPr>
          <w:b/>
          <w:szCs w:val="21"/>
        </w:rPr>
      </w:pPr>
    </w:p>
    <w:p w:rsidR="009F1343" w:rsidRPr="008909CD">
      <w:pPr>
        <w:spacing w:line="360" w:lineRule="auto"/>
        <w:ind w:right="26"/>
        <w:rPr>
          <w:b/>
          <w:szCs w:val="21"/>
        </w:rPr>
      </w:pPr>
    </w:p>
    <w:p w:rsidR="009F1343" w:rsidRPr="008909CD">
      <w:pPr>
        <w:spacing w:line="360" w:lineRule="auto"/>
        <w:ind w:right="26"/>
        <w:rPr>
          <w:b/>
          <w:szCs w:val="21"/>
        </w:rPr>
      </w:pPr>
    </w:p>
    <w:p w:rsidR="009F1343" w:rsidRPr="008909CD">
      <w:pPr>
        <w:spacing w:line="360" w:lineRule="auto"/>
        <w:ind w:right="26"/>
        <w:rPr>
          <w:b/>
          <w:szCs w:val="21"/>
        </w:rPr>
      </w:pPr>
      <w:r w:rsidRPr="008909CD">
        <w:rPr>
          <w:rFonts w:hAnsi="宋体" w:hint="eastAsia"/>
          <w:b/>
          <w:szCs w:val="21"/>
        </w:rPr>
        <w:t>签订地点：北京</w:t>
      </w:r>
    </w:p>
    <w:p w:rsidR="009F1343">
      <w:pPr>
        <w:spacing w:line="360" w:lineRule="auto"/>
        <w:ind w:right="26"/>
        <w:rPr>
          <w:b/>
          <w:szCs w:val="21"/>
        </w:rPr>
      </w:pPr>
      <w:r w:rsidRPr="008909CD">
        <w:rPr>
          <w:rFonts w:hAnsi="宋体" w:hint="eastAsia"/>
          <w:b/>
          <w:szCs w:val="21"/>
        </w:rPr>
        <w:t>签</w:t>
      </w:r>
      <w:r w:rsidRPr="008909CD">
        <w:rPr>
          <w:rFonts w:hint="eastAsia"/>
          <w:b/>
          <w:szCs w:val="21"/>
        </w:rPr>
        <w:t xml:space="preserve"> </w:t>
      </w:r>
      <w:r w:rsidRPr="008909CD">
        <w:rPr>
          <w:rFonts w:hAnsi="宋体" w:hint="eastAsia"/>
          <w:b/>
          <w:szCs w:val="21"/>
        </w:rPr>
        <w:t>订</w:t>
      </w:r>
      <w:r w:rsidRPr="008909CD">
        <w:rPr>
          <w:rFonts w:hint="eastAsia"/>
          <w:b/>
          <w:szCs w:val="21"/>
        </w:rPr>
        <w:t xml:space="preserve"> </w:t>
      </w:r>
      <w:r w:rsidRPr="008909CD">
        <w:rPr>
          <w:rFonts w:hAnsi="宋体" w:hint="eastAsia"/>
          <w:b/>
          <w:szCs w:val="21"/>
        </w:rPr>
        <w:t>日：</w:t>
      </w:r>
      <w:r w:rsidRPr="008909CD">
        <w:rPr>
          <w:rFonts w:hAnsi="宋体" w:hint="eastAsia"/>
          <w:b/>
          <w:szCs w:val="21"/>
        </w:rPr>
        <w:t xml:space="preserve"> </w:t>
      </w:r>
      <w:r w:rsidRPr="008909CD">
        <w:rPr>
          <w:rFonts w:hAnsi="宋体"/>
          <w:b/>
          <w:szCs w:val="21"/>
        </w:rPr>
        <w:t xml:space="preserve">   </w:t>
      </w:r>
      <w:r w:rsidRPr="008909CD">
        <w:rPr>
          <w:rFonts w:hAnsi="宋体" w:hint="eastAsia"/>
          <w:b/>
          <w:szCs w:val="21"/>
        </w:rPr>
        <w:t>年</w:t>
      </w:r>
      <w:r w:rsidRPr="008909CD">
        <w:rPr>
          <w:rFonts w:hint="eastAsia"/>
          <w:b/>
          <w:szCs w:val="21"/>
        </w:rPr>
        <w:t xml:space="preserve">   </w:t>
      </w:r>
      <w:r w:rsidRPr="008909CD">
        <w:rPr>
          <w:rFonts w:hAnsi="宋体" w:hint="eastAsia"/>
          <w:b/>
          <w:szCs w:val="21"/>
        </w:rPr>
        <w:t>月</w:t>
      </w:r>
      <w:r w:rsidRPr="008909CD">
        <w:rPr>
          <w:rFonts w:hint="eastAsia"/>
          <w:b/>
          <w:szCs w:val="21"/>
        </w:rPr>
        <w:t xml:space="preserve">   </w:t>
      </w:r>
      <w:r w:rsidRPr="008909CD">
        <w:rPr>
          <w:rFonts w:hAnsi="宋体" w:hint="eastAsia"/>
          <w:b/>
          <w:szCs w:val="21"/>
        </w:rPr>
        <w:t>日</w:t>
      </w:r>
    </w:p>
    <w:p w:rsidR="009F1343">
      <w:pPr>
        <w:adjustRightInd w:val="0"/>
        <w:snapToGrid w:val="0"/>
        <w:rPr>
          <w:rFonts w:cs="Arial"/>
          <w:sz w:val="24"/>
        </w:rPr>
      </w:pPr>
    </w:p>
    <w:p w:rsidR="009F1343"/>
    <w:sectPr>
      <w:headerReference w:type="default" r:id="rId8"/>
      <w:footerReference w:type="default" r:id="rId9"/>
      <w:pgSz w:w="11906" w:h="16838"/>
      <w:pgMar w:top="1418" w:right="1701" w:bottom="1418"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宋体"/>
    <w:charset w:val="00"/>
    <w:family w:val="auto"/>
    <w:pitch w:val="default"/>
  </w:font>
  <w:font w:name="Arial Unicode MS">
    <w:panose1 w:val="020B0604020202020204"/>
    <w:charset w:val="86"/>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9F1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40</w:t>
    </w:r>
    <w:r>
      <w:rPr>
        <w:rStyle w:val="PageNumber"/>
      </w:rPr>
      <w:fldChar w:fldCharType="end"/>
    </w:r>
  </w:p>
  <w:p w:rsidR="009F1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4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43">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343">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7F"/>
    <w:rsid w:val="C5B7E185"/>
    <w:rsid w:val="DF3FE738"/>
    <w:rsid w:val="F4FFD05E"/>
    <w:rsid w:val="0001278B"/>
    <w:rsid w:val="000735AB"/>
    <w:rsid w:val="00092B8E"/>
    <w:rsid w:val="000A251E"/>
    <w:rsid w:val="000D2FA8"/>
    <w:rsid w:val="00150FAC"/>
    <w:rsid w:val="00157623"/>
    <w:rsid w:val="00157639"/>
    <w:rsid w:val="00157885"/>
    <w:rsid w:val="0018281A"/>
    <w:rsid w:val="001939DE"/>
    <w:rsid w:val="001C108D"/>
    <w:rsid w:val="001D79E5"/>
    <w:rsid w:val="0021299D"/>
    <w:rsid w:val="002439F7"/>
    <w:rsid w:val="00277E4D"/>
    <w:rsid w:val="00291B00"/>
    <w:rsid w:val="00294480"/>
    <w:rsid w:val="002B7AFF"/>
    <w:rsid w:val="002C0266"/>
    <w:rsid w:val="002E1830"/>
    <w:rsid w:val="002E3CAE"/>
    <w:rsid w:val="002E4C40"/>
    <w:rsid w:val="002F40CF"/>
    <w:rsid w:val="00301A29"/>
    <w:rsid w:val="003175EA"/>
    <w:rsid w:val="00324795"/>
    <w:rsid w:val="0032497B"/>
    <w:rsid w:val="0033223D"/>
    <w:rsid w:val="00334D4F"/>
    <w:rsid w:val="00353717"/>
    <w:rsid w:val="003548C9"/>
    <w:rsid w:val="003A1A61"/>
    <w:rsid w:val="003E6612"/>
    <w:rsid w:val="00455D53"/>
    <w:rsid w:val="004731F6"/>
    <w:rsid w:val="00497E40"/>
    <w:rsid w:val="00523FAD"/>
    <w:rsid w:val="0052597E"/>
    <w:rsid w:val="005314A3"/>
    <w:rsid w:val="005B54BE"/>
    <w:rsid w:val="005D616F"/>
    <w:rsid w:val="0060460E"/>
    <w:rsid w:val="00615786"/>
    <w:rsid w:val="00657E40"/>
    <w:rsid w:val="00666156"/>
    <w:rsid w:val="00666534"/>
    <w:rsid w:val="006A3C37"/>
    <w:rsid w:val="006B2159"/>
    <w:rsid w:val="006C2A6E"/>
    <w:rsid w:val="006D2F12"/>
    <w:rsid w:val="006D37E4"/>
    <w:rsid w:val="007352BC"/>
    <w:rsid w:val="007579FA"/>
    <w:rsid w:val="0076368D"/>
    <w:rsid w:val="00771FB2"/>
    <w:rsid w:val="00782E72"/>
    <w:rsid w:val="00797575"/>
    <w:rsid w:val="007B2D6A"/>
    <w:rsid w:val="0080138F"/>
    <w:rsid w:val="0081306F"/>
    <w:rsid w:val="00815081"/>
    <w:rsid w:val="00825C6A"/>
    <w:rsid w:val="00861B63"/>
    <w:rsid w:val="008909CD"/>
    <w:rsid w:val="008A4EB4"/>
    <w:rsid w:val="008B59A2"/>
    <w:rsid w:val="00906A0E"/>
    <w:rsid w:val="00945C0A"/>
    <w:rsid w:val="009A1053"/>
    <w:rsid w:val="009F1343"/>
    <w:rsid w:val="00A03D61"/>
    <w:rsid w:val="00A210DE"/>
    <w:rsid w:val="00A2318A"/>
    <w:rsid w:val="00A534DF"/>
    <w:rsid w:val="00A8475F"/>
    <w:rsid w:val="00AA3E36"/>
    <w:rsid w:val="00AC31BE"/>
    <w:rsid w:val="00AD7503"/>
    <w:rsid w:val="00AF637F"/>
    <w:rsid w:val="00B32822"/>
    <w:rsid w:val="00B521B4"/>
    <w:rsid w:val="00B64752"/>
    <w:rsid w:val="00BF382C"/>
    <w:rsid w:val="00C33954"/>
    <w:rsid w:val="00C652CC"/>
    <w:rsid w:val="00C97DC3"/>
    <w:rsid w:val="00CB5A5E"/>
    <w:rsid w:val="00CD7DE1"/>
    <w:rsid w:val="00D0064B"/>
    <w:rsid w:val="00D01354"/>
    <w:rsid w:val="00D20EF9"/>
    <w:rsid w:val="00D25D1A"/>
    <w:rsid w:val="00DB7BDA"/>
    <w:rsid w:val="00DD4E4E"/>
    <w:rsid w:val="00DF0235"/>
    <w:rsid w:val="00DF7945"/>
    <w:rsid w:val="00E23666"/>
    <w:rsid w:val="00E23C78"/>
    <w:rsid w:val="00E655DE"/>
    <w:rsid w:val="00E773B9"/>
    <w:rsid w:val="00F30255"/>
    <w:rsid w:val="00F45B05"/>
    <w:rsid w:val="00FB52A8"/>
    <w:rsid w:val="00FE4C27"/>
    <w:rsid w:val="6BDE8BC1"/>
    <w:rsid w:val="77277B3D"/>
    <w:rsid w:val="7DF62757"/>
  </w:rsids>
  <w:docVars>
    <w:docVar w:name="KGWebUrl" w:val="http://idp.efunds.com.cn/api/v1/backend/docSyncController/downloadAnnFile.json?force=true&amp;fileName=%E6%98%93%E6%96%B9%E8%BE%BE%E9%AB%98%E7%AD%89%E7%BA%A7%E4%BF%A1%E7%94%A8%E5%80%BA%E5%80%BA%E5%88%B8%E5%9E%8B%E8%AF%81%E5%88%B8%E6%8A%95%E8%B5%84%E5%9F%BA%E9%87%91%E6%89%98%E7%AE%A1%E5%8D%8F%E8%AE%AE.doc&amp;fileId=ANN_DOC_15316&amp;t=1648725012335"/>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15:docId w15:val="{334D059B-00F3-43ED-A09B-E74C5189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uiPriority="0"/>
    <w:lsdException w:name="footnote text" w:semiHidden="1" w:unhideWhenUsed="1"/>
    <w:lsdException w:name="annotation text" w:uiPriority="0"/>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lsdException w:name="Block Text" w:semiHidden="1" w:unhideWhenUsed="1"/>
    <w:lsdException w:name="Hyperlink" w:uiPriority="0"/>
    <w:lsdException w:name="FollowedHyperlink" w:uiPriority="0"/>
    <w:lsdException w:name="Strong" w:uiPriority="0"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hAnsi="Times New Roman"/>
      <w:kern w:val="2"/>
      <w:sz w:val="21"/>
      <w:szCs w:val="24"/>
    </w:rPr>
  </w:style>
  <w:style w:type="paragraph" w:styleId="Heading2">
    <w:name w:val="heading 2"/>
    <w:basedOn w:val="Normal"/>
    <w:next w:val="NormalIndent"/>
    <w:link w:val="2"/>
    <w:qFormat/>
    <w:pPr>
      <w:keepNext/>
      <w:keepLines/>
      <w:spacing w:before="260" w:after="260" w:line="416" w:lineRule="auto"/>
      <w:outlineLvl w:val="1"/>
    </w:pPr>
    <w:rPr>
      <w:rFonts w:ascii="Arial" w:eastAsia="黑体"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firstLine="420" w:firstLineChars="200"/>
    </w:pPr>
  </w:style>
  <w:style w:type="paragraph" w:styleId="DocumentMap">
    <w:name w:val="Document Map"/>
    <w:basedOn w:val="Normal"/>
    <w:link w:val="a6"/>
    <w:qFormat/>
    <w:rPr>
      <w:rFonts w:ascii="宋体"/>
      <w:sz w:val="18"/>
      <w:szCs w:val="18"/>
    </w:rPr>
  </w:style>
  <w:style w:type="paragraph" w:styleId="CommentText">
    <w:name w:val="annotation text"/>
    <w:basedOn w:val="Normal"/>
    <w:link w:val="a4"/>
    <w:pPr>
      <w:jc w:val="left"/>
    </w:pPr>
  </w:style>
  <w:style w:type="paragraph" w:styleId="BodyText">
    <w:name w:val="Body Text"/>
    <w:basedOn w:val="Normal"/>
    <w:link w:val="a1"/>
    <w:pPr>
      <w:spacing w:line="360" w:lineRule="auto"/>
    </w:pPr>
    <w:rPr>
      <w:rFonts w:ascii="仿宋_GB2312" w:eastAsia="仿宋_GB2312"/>
      <w:color w:val="000000"/>
      <w:kern w:val="0"/>
      <w:sz w:val="24"/>
      <w:szCs w:val="28"/>
    </w:rPr>
  </w:style>
  <w:style w:type="paragraph" w:styleId="BodyTextIndent">
    <w:name w:val="Body Text Indent"/>
    <w:basedOn w:val="Normal"/>
    <w:link w:val="a2"/>
    <w:pPr>
      <w:adjustRightInd w:val="0"/>
      <w:snapToGrid w:val="0"/>
      <w:spacing w:line="560" w:lineRule="exact"/>
      <w:ind w:firstLine="480" w:firstLineChars="200"/>
    </w:pPr>
    <w:rPr>
      <w:rFonts w:eastAsia="方正仿宋简体"/>
      <w:sz w:val="24"/>
      <w:szCs w:val="30"/>
    </w:rPr>
  </w:style>
  <w:style w:type="paragraph" w:styleId="BodyTextIndent2">
    <w:name w:val="Body Text Indent 2"/>
    <w:basedOn w:val="Normal"/>
    <w:link w:val="20"/>
    <w:qFormat/>
    <w:pPr>
      <w:spacing w:line="360" w:lineRule="auto"/>
      <w:ind w:firstLine="525"/>
    </w:pPr>
    <w:rPr>
      <w:rFonts w:ascii="宋体" w:hAnsi="宋体"/>
      <w:sz w:val="28"/>
      <w:szCs w:val="20"/>
    </w:rPr>
  </w:style>
  <w:style w:type="paragraph" w:styleId="BalloonText">
    <w:name w:val="Balloon Text"/>
    <w:basedOn w:val="Normal"/>
    <w:link w:val="a3"/>
    <w:semiHidden/>
    <w:rPr>
      <w:sz w:val="18"/>
      <w:szCs w:val="18"/>
    </w:rPr>
  </w:style>
  <w:style w:type="paragraph" w:styleId="Footer">
    <w:name w:val="footer"/>
    <w:basedOn w:val="Normal"/>
    <w:link w:val="a0"/>
    <w:unhideWhenUsed/>
    <w:pPr>
      <w:tabs>
        <w:tab w:val="center" w:pos="4153"/>
        <w:tab w:val="right" w:pos="8306"/>
      </w:tabs>
      <w:snapToGrid w:val="0"/>
      <w:jc w:val="left"/>
    </w:pPr>
    <w:rPr>
      <w:sz w:val="18"/>
      <w:szCs w:val="18"/>
    </w:rPr>
  </w:style>
  <w:style w:type="paragraph" w:styleId="Header">
    <w:name w:val="header"/>
    <w:basedOn w:val="Normal"/>
    <w:link w:val="a"/>
    <w:unhideWhenUsed/>
    <w:pPr>
      <w:pBdr>
        <w:bottom w:val="single" w:sz="6" w:space="1" w:color="auto"/>
      </w:pBdr>
      <w:tabs>
        <w:tab w:val="center" w:pos="4153"/>
        <w:tab w:val="right" w:pos="8306"/>
      </w:tabs>
      <w:snapToGrid w:val="0"/>
      <w:jc w:val="center"/>
    </w:pPr>
    <w:rPr>
      <w:sz w:val="18"/>
      <w:szCs w:val="18"/>
    </w:rPr>
  </w:style>
  <w:style w:type="paragraph" w:styleId="BodyTextIndent3">
    <w:name w:val="Body Text Indent 3"/>
    <w:basedOn w:val="Normal"/>
    <w:link w:val="3"/>
    <w:pPr>
      <w:adjustRightInd w:val="0"/>
      <w:snapToGrid w:val="0"/>
      <w:ind w:firstLine="480" w:firstLineChars="200"/>
    </w:pPr>
    <w:rPr>
      <w:rFonts w:ascii="仿宋_GB2312" w:eastAsia="仿宋_GB2312" w:hAnsi="宋体" w:cs="Arial"/>
      <w:color w:val="000000"/>
      <w:sz w:val="24"/>
    </w:rPr>
  </w:style>
  <w:style w:type="paragraph" w:styleId="TOC2">
    <w:name w:val="toc 2"/>
    <w:basedOn w:val="Normal"/>
    <w:next w:val="Normal"/>
    <w:semiHidden/>
    <w:pPr>
      <w:ind w:left="420" w:leftChars="200"/>
    </w:pPr>
  </w:style>
  <w:style w:type="paragraph" w:styleId="NormalWeb">
    <w:name w:val="Normal (Web)"/>
    <w:basedOn w:val="Normal"/>
    <w:pPr>
      <w:widowControl/>
      <w:spacing w:before="100" w:beforeAutospacing="1" w:after="100" w:afterAutospacing="1"/>
      <w:jc w:val="left"/>
    </w:pPr>
    <w:rPr>
      <w:rFonts w:ascii="Arial Unicode MS" w:eastAsia="Arial Unicode MS" w:hAnsi="Arial Unicode MS" w:cs="Arial Unicode MS"/>
      <w:kern w:val="0"/>
      <w:sz w:val="24"/>
    </w:rPr>
  </w:style>
  <w:style w:type="paragraph" w:styleId="CommentSubject">
    <w:name w:val="annotation subject"/>
    <w:basedOn w:val="CommentText"/>
    <w:next w:val="CommentText"/>
    <w:link w:val="a5"/>
    <w:semiHidden/>
    <w:rPr>
      <w:b/>
      <w:bCs/>
    </w:rPr>
  </w:style>
  <w:style w:type="character" w:styleId="Strong">
    <w:name w:val="Strong"/>
    <w:qFormat/>
    <w:rPr>
      <w:b/>
      <w:bCs/>
    </w:rPr>
  </w:style>
  <w:style w:type="character" w:styleId="PageNumber">
    <w:name w:val="page number"/>
    <w:basedOn w:val="DefaultParagraphFont"/>
  </w:style>
  <w:style w:type="character" w:styleId="FollowedHyperlink">
    <w:name w:val="FollowedHyperlink"/>
    <w:rPr>
      <w:color w:val="800080"/>
      <w:u w:val="single"/>
    </w:rPr>
  </w:style>
  <w:style w:type="character" w:styleId="Hyperlink">
    <w:name w:val="Hyperlink"/>
    <w:rPr>
      <w:color w:val="0000FF"/>
      <w:u w:val="single"/>
    </w:rPr>
  </w:style>
  <w:style w:type="character" w:styleId="CommentReference">
    <w:name w:val="annotation reference"/>
    <w:rPr>
      <w:sz w:val="21"/>
      <w:szCs w:val="21"/>
    </w:rPr>
  </w:style>
  <w:style w:type="character" w:customStyle="1" w:styleId="2">
    <w:name w:val="标题 2 字符"/>
    <w:link w:val="Heading2"/>
    <w:rPr>
      <w:rFonts w:ascii="Arial" w:eastAsia="黑体" w:hAnsi="Arial" w:cs="Times New Roman"/>
      <w:b/>
      <w:sz w:val="32"/>
      <w:szCs w:val="20"/>
    </w:rPr>
  </w:style>
  <w:style w:type="character" w:customStyle="1" w:styleId="a">
    <w:name w:val="页眉 字符"/>
    <w:link w:val="Header"/>
    <w:uiPriority w:val="99"/>
    <w:semiHidden/>
    <w:rPr>
      <w:sz w:val="18"/>
      <w:szCs w:val="18"/>
    </w:rPr>
  </w:style>
  <w:style w:type="character" w:customStyle="1" w:styleId="a0">
    <w:name w:val="页脚 字符"/>
    <w:link w:val="Footer"/>
    <w:uiPriority w:val="99"/>
    <w:semiHidden/>
    <w:rPr>
      <w:sz w:val="18"/>
      <w:szCs w:val="18"/>
    </w:rPr>
  </w:style>
  <w:style w:type="character" w:customStyle="1" w:styleId="a1">
    <w:name w:val="正文文本 字符"/>
    <w:link w:val="BodyText"/>
    <w:rPr>
      <w:rFonts w:ascii="仿宋_GB2312" w:eastAsia="仿宋_GB2312" w:hAnsi="Times New Roman" w:cs="Times New Roman"/>
      <w:color w:val="000000"/>
      <w:kern w:val="0"/>
      <w:sz w:val="24"/>
      <w:szCs w:val="28"/>
    </w:rPr>
  </w:style>
  <w:style w:type="character" w:customStyle="1" w:styleId="read">
    <w:name w:val="read"/>
    <w:basedOn w:val="DefaultParagraphFont"/>
  </w:style>
  <w:style w:type="character" w:customStyle="1" w:styleId="a2">
    <w:name w:val="正文文本缩进 字符"/>
    <w:link w:val="BodyTextIndent"/>
    <w:rPr>
      <w:rFonts w:ascii="Times New Roman" w:eastAsia="方正仿宋简体" w:hAnsi="Times New Roman" w:cs="Times New Roman"/>
      <w:sz w:val="24"/>
      <w:szCs w:val="30"/>
    </w:rPr>
  </w:style>
  <w:style w:type="character" w:customStyle="1" w:styleId="20">
    <w:name w:val="正文文本缩进 2 字符"/>
    <w:link w:val="BodyTextIndent2"/>
    <w:rPr>
      <w:rFonts w:ascii="宋体" w:eastAsia="宋体" w:hAnsi="宋体" w:cs="Times New Roman"/>
      <w:sz w:val="28"/>
      <w:szCs w:val="20"/>
    </w:rPr>
  </w:style>
  <w:style w:type="character" w:customStyle="1" w:styleId="3">
    <w:name w:val="正文文本缩进 3 字符"/>
    <w:link w:val="BodyTextIndent3"/>
    <w:rPr>
      <w:rFonts w:ascii="仿宋_GB2312" w:eastAsia="仿宋_GB2312" w:hAnsi="宋体" w:cs="Arial"/>
      <w:color w:val="000000"/>
      <w:sz w:val="24"/>
      <w:szCs w:val="24"/>
    </w:rPr>
  </w:style>
  <w:style w:type="character" w:customStyle="1" w:styleId="a3">
    <w:name w:val="批注框文本 字符"/>
    <w:link w:val="BalloonText"/>
    <w:semiHidden/>
    <w:qFormat/>
    <w:rPr>
      <w:rFonts w:ascii="Times New Roman" w:eastAsia="宋体" w:hAnsi="Times New Roman" w:cs="Times New Roman"/>
      <w:sz w:val="18"/>
      <w:szCs w:val="18"/>
    </w:rPr>
  </w:style>
  <w:style w:type="character" w:customStyle="1" w:styleId="a4">
    <w:name w:val="批注文字 字符"/>
    <w:link w:val="CommentText"/>
    <w:qFormat/>
    <w:rPr>
      <w:rFonts w:ascii="Times New Roman" w:eastAsia="宋体" w:hAnsi="Times New Roman" w:cs="Times New Roman"/>
      <w:szCs w:val="24"/>
    </w:rPr>
  </w:style>
  <w:style w:type="character" w:customStyle="1" w:styleId="a5">
    <w:name w:val="批注主题 字符"/>
    <w:link w:val="CommentSubject"/>
    <w:semiHidden/>
    <w:rPr>
      <w:rFonts w:ascii="Times New Roman" w:eastAsia="宋体" w:hAnsi="Times New Roman" w:cs="Times New Roman"/>
      <w:b/>
      <w:bCs/>
      <w:szCs w:val="24"/>
    </w:rPr>
  </w:style>
  <w:style w:type="character" w:customStyle="1" w:styleId="a6">
    <w:name w:val="文档结构图 字符"/>
    <w:link w:val="DocumentMap"/>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41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