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F0B40">
      <w:pPr>
        <w:widowControl/>
        <w:jc w:val="center"/>
        <w:rPr>
          <w:rFonts w:eastAsiaTheme="minorEastAsia"/>
          <w:b/>
          <w:kern w:val="0"/>
          <w:sz w:val="30"/>
          <w:szCs w:val="30"/>
        </w:rPr>
      </w:pPr>
      <w:r>
        <w:rPr>
          <w:rFonts w:eastAsiaTheme="minorEastAsia"/>
          <w:b/>
          <w:kern w:val="0"/>
          <w:sz w:val="30"/>
          <w:szCs w:val="30"/>
        </w:rPr>
        <w:t>易方达安和中短债债券型证券投资基金分红公告</w:t>
      </w:r>
    </w:p>
    <w:p w:rsidR="003F0B40">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17</w:t>
      </w:r>
      <w:r>
        <w:rPr>
          <w:rFonts w:eastAsiaTheme="minorEastAsia"/>
          <w:b/>
          <w:color w:val="000000"/>
          <w:sz w:val="24"/>
          <w:szCs w:val="24"/>
        </w:rPr>
        <w:t>日</w:t>
      </w:r>
    </w:p>
    <w:p w:rsidR="003F0B40">
      <w:pPr>
        <w:spacing w:line="360" w:lineRule="auto"/>
        <w:jc w:val="center"/>
        <w:rPr>
          <w:rFonts w:eastAsiaTheme="minorEastAsia"/>
          <w:color w:val="000000"/>
          <w:sz w:val="24"/>
        </w:rPr>
      </w:pPr>
    </w:p>
    <w:p w:rsidR="003F0B40">
      <w:pPr>
        <w:pStyle w:val="Heading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基金名称</w:t>
            </w:r>
          </w:p>
        </w:tc>
        <w:tc>
          <w:tcPr>
            <w:tcW w:w="5412" w:type="dxa"/>
            <w:gridSpan w:val="2"/>
            <w:vAlign w:val="center"/>
          </w:tcPr>
          <w:p w:rsidR="003F0B40">
            <w:pPr>
              <w:rPr>
                <w:rFonts w:eastAsiaTheme="minorEastAsia"/>
                <w:sz w:val="24"/>
                <w:szCs w:val="24"/>
              </w:rPr>
            </w:pPr>
            <w:r>
              <w:rPr>
                <w:rFonts w:eastAsiaTheme="minorEastAsia"/>
                <w:sz w:val="24"/>
                <w:szCs w:val="24"/>
              </w:rPr>
              <w:t>易方达安和中短债债券型证券投资基金</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基金简称</w:t>
            </w:r>
          </w:p>
        </w:tc>
        <w:tc>
          <w:tcPr>
            <w:tcW w:w="5412" w:type="dxa"/>
            <w:gridSpan w:val="2"/>
            <w:vAlign w:val="center"/>
          </w:tcPr>
          <w:p w:rsidR="003F0B40">
            <w:pPr>
              <w:rPr>
                <w:rFonts w:eastAsiaTheme="minorEastAsia"/>
                <w:sz w:val="24"/>
                <w:szCs w:val="24"/>
              </w:rPr>
            </w:pPr>
            <w:r>
              <w:rPr>
                <w:rFonts w:eastAsiaTheme="minorEastAsia"/>
                <w:sz w:val="24"/>
                <w:szCs w:val="24"/>
              </w:rPr>
              <w:t>易方达安和中短债债券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基金主代码</w:t>
            </w:r>
          </w:p>
        </w:tc>
        <w:tc>
          <w:tcPr>
            <w:tcW w:w="5412" w:type="dxa"/>
            <w:gridSpan w:val="2"/>
            <w:vAlign w:val="center"/>
          </w:tcPr>
          <w:p w:rsidR="003F0B40">
            <w:pPr>
              <w:rPr>
                <w:rFonts w:eastAsiaTheme="minorEastAsia"/>
                <w:sz w:val="24"/>
                <w:szCs w:val="24"/>
              </w:rPr>
            </w:pPr>
            <w:r>
              <w:rPr>
                <w:rFonts w:eastAsiaTheme="minorEastAsia"/>
                <w:sz w:val="24"/>
                <w:szCs w:val="24"/>
              </w:rPr>
              <w:t>110050</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pPr>
              <w:rPr>
                <w:rFonts w:eastAsiaTheme="minorEastAsia"/>
                <w:sz w:val="24"/>
                <w:szCs w:val="24"/>
              </w:rPr>
            </w:pPr>
            <w:r>
              <w:rPr>
                <w:rFonts w:eastAsiaTheme="minorEastAsia"/>
                <w:sz w:val="24"/>
                <w:szCs w:val="24"/>
              </w:rPr>
              <w:t>2020</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7</w:t>
            </w:r>
            <w:r>
              <w:rPr>
                <w:rFonts w:eastAsiaTheme="minorEastAsia"/>
                <w:sz w:val="24"/>
                <w:szCs w:val="24"/>
              </w:rPr>
              <w:t>日</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pPr>
              <w:rPr>
                <w:rFonts w:eastAsiaTheme="minorEastAsia"/>
                <w:sz w:val="24"/>
                <w:szCs w:val="24"/>
              </w:rPr>
            </w:pPr>
            <w:r>
              <w:rPr>
                <w:rFonts w:eastAsiaTheme="minorEastAsia"/>
                <w:sz w:val="24"/>
                <w:szCs w:val="24"/>
              </w:rPr>
              <w:t>易方达基金管理有限公司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pPr>
              <w:rPr>
                <w:rFonts w:eastAsiaTheme="minorEastAsia"/>
                <w:sz w:val="24"/>
                <w:szCs w:val="24"/>
              </w:rPr>
            </w:pPr>
            <w:r>
              <w:rPr>
                <w:rFonts w:eastAsiaTheme="minorEastAsia"/>
                <w:sz w:val="24"/>
                <w:szCs w:val="24"/>
              </w:rPr>
              <w:t>中国农业银行股份有限公司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公告依据</w:t>
            </w:r>
          </w:p>
        </w:tc>
        <w:tc>
          <w:tcPr>
            <w:tcW w:w="5412" w:type="dxa"/>
            <w:gridSpan w:val="2"/>
            <w:vAlign w:val="center"/>
          </w:tcPr>
          <w:p w:rsidR="003F0B40">
            <w:pPr>
              <w:rPr>
                <w:rFonts w:eastAsiaTheme="minorEastAsia"/>
                <w:sz w:val="24"/>
                <w:szCs w:val="24"/>
              </w:rPr>
            </w:pPr>
            <w:r>
              <w:rPr>
                <w:rFonts w:eastAsiaTheme="minorEastAsia"/>
                <w:sz w:val="24"/>
                <w:szCs w:val="24"/>
              </w:rPr>
              <w:t>《公开募集证券投资基金信息披露管理办法》、《易方达安和中短债债券型证券投资基金基金合同》、《易方达安和中短债债券型证券投资基金更新的招募说明书》</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收益分配基准日</w:t>
            </w:r>
          </w:p>
        </w:tc>
        <w:tc>
          <w:tcPr>
            <w:tcW w:w="5412" w:type="dxa"/>
            <w:gridSpan w:val="2"/>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11</w:t>
            </w:r>
            <w:r>
              <w:rPr>
                <w:rFonts w:eastAsiaTheme="minorEastAsia"/>
                <w:sz w:val="24"/>
                <w:szCs w:val="24"/>
              </w:rPr>
              <w:t>日</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pPr>
              <w:rPr>
                <w:rFonts w:eastAsiaTheme="minorEastAsia"/>
                <w:sz w:val="24"/>
                <w:szCs w:val="24"/>
              </w:rPr>
            </w:pPr>
            <w:r>
              <w:rPr>
                <w:rFonts w:eastAsiaTheme="minorEastAsia"/>
                <w:sz w:val="24"/>
                <w:szCs w:val="24"/>
              </w:rPr>
              <w:t>本次分红为</w:t>
            </w:r>
            <w:r>
              <w:rPr>
                <w:rFonts w:eastAsiaTheme="minorEastAsia"/>
                <w:sz w:val="24"/>
                <w:szCs w:val="24"/>
              </w:rPr>
              <w:t>2024</w:t>
            </w:r>
            <w:r>
              <w:rPr>
                <w:rFonts w:eastAsiaTheme="minorEastAsia"/>
                <w:sz w:val="24"/>
                <w:szCs w:val="24"/>
              </w:rPr>
              <w:t>年度的第</w:t>
            </w:r>
            <w:r>
              <w:rPr>
                <w:rFonts w:eastAsiaTheme="minorEastAsia"/>
                <w:sz w:val="24"/>
                <w:szCs w:val="24"/>
              </w:rPr>
              <w:t>2</w:t>
            </w:r>
            <w:r>
              <w:rPr>
                <w:rFonts w:eastAsiaTheme="minorEastAsia"/>
                <w:sz w:val="24"/>
                <w:szCs w:val="24"/>
              </w:rPr>
              <w:t>次分红</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下属分级基金的基金简称</w:t>
            </w:r>
          </w:p>
        </w:tc>
        <w:tc>
          <w:tcPr>
            <w:tcW w:w="2706" w:type="dxa"/>
          </w:tcPr>
          <w:p w:rsidR="003F0B40">
            <w:pPr>
              <w:rPr>
                <w:rFonts w:eastAsiaTheme="minorEastAsia"/>
                <w:sz w:val="24"/>
                <w:szCs w:val="24"/>
              </w:rPr>
            </w:pPr>
            <w:r>
              <w:rPr>
                <w:rFonts w:eastAsiaTheme="minorEastAsia"/>
                <w:sz w:val="24"/>
                <w:szCs w:val="24"/>
              </w:rPr>
              <w:t>易方达安和中短债债券</w:t>
            </w:r>
            <w:r>
              <w:rPr>
                <w:rFonts w:eastAsiaTheme="minorEastAsia"/>
                <w:sz w:val="24"/>
                <w:szCs w:val="24"/>
              </w:rPr>
              <w:t>C</w:t>
            </w:r>
          </w:p>
        </w:tc>
        <w:tc>
          <w:tcPr>
            <w:tcW w:w="2706" w:type="dxa"/>
          </w:tcPr>
          <w:p w:rsidR="003F0B40">
            <w:pPr>
              <w:rPr>
                <w:rFonts w:eastAsiaTheme="minorEastAsia"/>
                <w:sz w:val="24"/>
                <w:szCs w:val="24"/>
              </w:rPr>
            </w:pPr>
            <w:r>
              <w:rPr>
                <w:rFonts w:eastAsiaTheme="minorEastAsia"/>
                <w:sz w:val="24"/>
                <w:szCs w:val="24"/>
              </w:rPr>
              <w:t>易方达安和中短债债券</w:t>
            </w:r>
            <w:r>
              <w:rPr>
                <w:rFonts w:eastAsiaTheme="minorEastAsia"/>
                <w:sz w:val="24"/>
                <w:szCs w:val="24"/>
              </w:rPr>
              <w:t>A</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下属分级基金的交易代码</w:t>
            </w:r>
          </w:p>
        </w:tc>
        <w:tc>
          <w:tcPr>
            <w:tcW w:w="2706" w:type="dxa"/>
          </w:tcPr>
          <w:p w:rsidR="003F0B40">
            <w:pPr>
              <w:rPr>
                <w:rFonts w:eastAsiaTheme="minorEastAsia"/>
                <w:sz w:val="24"/>
                <w:szCs w:val="24"/>
              </w:rPr>
            </w:pPr>
            <w:r>
              <w:rPr>
                <w:rFonts w:eastAsiaTheme="minorEastAsia"/>
                <w:sz w:val="24"/>
                <w:szCs w:val="24"/>
              </w:rPr>
              <w:t>110050</w:t>
            </w:r>
          </w:p>
        </w:tc>
        <w:tc>
          <w:tcPr>
            <w:tcW w:w="2706" w:type="dxa"/>
          </w:tcPr>
          <w:p w:rsidR="003F0B40">
            <w:pPr>
              <w:rPr>
                <w:rFonts w:eastAsiaTheme="minorEastAsia"/>
                <w:sz w:val="24"/>
                <w:szCs w:val="24"/>
              </w:rPr>
            </w:pPr>
            <w:r>
              <w:rPr>
                <w:rFonts w:eastAsiaTheme="minorEastAsia"/>
                <w:sz w:val="24"/>
                <w:szCs w:val="24"/>
              </w:rPr>
              <w:t>110051</w:t>
            </w:r>
          </w:p>
        </w:tc>
      </w:tr>
      <w:tr>
        <w:tblPrEx>
          <w:tblW w:w="9606" w:type="dxa"/>
          <w:jc w:val="center"/>
          <w:tblLayout w:type="fixed"/>
          <w:tblLook w:val="04A0"/>
        </w:tblPrEx>
        <w:trPr>
          <w:jc w:val="center"/>
        </w:trPr>
        <w:tc>
          <w:tcPr>
            <w:tcW w:w="1980" w:type="dxa"/>
            <w:vMerge w:val="restart"/>
            <w:vAlign w:val="center"/>
          </w:tcPr>
          <w:p w:rsidR="003F0B40">
            <w:pPr>
              <w:rPr>
                <w:rFonts w:eastAsiaTheme="minorEastAsia"/>
                <w:sz w:val="24"/>
                <w:szCs w:val="24"/>
              </w:rPr>
            </w:pPr>
            <w:r>
              <w:rPr>
                <w:rFonts w:eastAsiaTheme="minorEastAsia"/>
                <w:sz w:val="24"/>
                <w:szCs w:val="24"/>
              </w:rPr>
              <w:t>截止基准日下属分级基金的相关指标</w:t>
            </w:r>
          </w:p>
        </w:tc>
        <w:tc>
          <w:tcPr>
            <w:tcW w:w="2214" w:type="dxa"/>
          </w:tcPr>
          <w:p w:rsidR="003F0B40">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1.0775</w:t>
            </w:r>
          </w:p>
        </w:tc>
        <w:tc>
          <w:tcPr>
            <w:tcW w:w="2706" w:type="dxa"/>
          </w:tcPr>
          <w:p w:rsidR="003F0B40">
            <w:pPr>
              <w:rPr>
                <w:rFonts w:eastAsiaTheme="minorEastAsia"/>
                <w:sz w:val="24"/>
                <w:szCs w:val="24"/>
              </w:rPr>
            </w:pPr>
            <w:r>
              <w:rPr>
                <w:rFonts w:eastAsiaTheme="minorEastAsia"/>
                <w:sz w:val="24"/>
                <w:szCs w:val="24"/>
              </w:rPr>
              <w:t>1.0865</w:t>
            </w:r>
          </w:p>
        </w:tc>
      </w:tr>
      <w:tr>
        <w:tblPrEx>
          <w:tblW w:w="9606" w:type="dxa"/>
          <w:jc w:val="center"/>
          <w:tblLayout w:type="fixed"/>
          <w:tblLook w:val="04A0"/>
        </w:tblPrEx>
        <w:trPr>
          <w:trHeight w:val="405"/>
          <w:jc w:val="center"/>
        </w:trPr>
        <w:tc>
          <w:tcPr>
            <w:tcW w:w="1980" w:type="dxa"/>
            <w:vMerge/>
          </w:tcPr>
          <w:p w:rsidR="003F0B40">
            <w:pPr>
              <w:rPr>
                <w:rFonts w:eastAsiaTheme="minorEastAsia"/>
                <w:sz w:val="24"/>
                <w:szCs w:val="24"/>
              </w:rPr>
            </w:pPr>
          </w:p>
        </w:tc>
        <w:tc>
          <w:tcPr>
            <w:tcW w:w="2214" w:type="dxa"/>
            <w:vAlign w:val="center"/>
          </w:tcPr>
          <w:p w:rsidR="003F0B40">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213,682,439.81</w:t>
            </w:r>
          </w:p>
        </w:tc>
        <w:tc>
          <w:tcPr>
            <w:tcW w:w="2706" w:type="dxa"/>
          </w:tcPr>
          <w:p w:rsidR="003F0B40">
            <w:pPr>
              <w:rPr>
                <w:rFonts w:eastAsiaTheme="minorEastAsia"/>
                <w:sz w:val="24"/>
                <w:szCs w:val="24"/>
              </w:rPr>
            </w:pPr>
            <w:r>
              <w:rPr>
                <w:rFonts w:eastAsiaTheme="minorEastAsia"/>
                <w:sz w:val="24"/>
                <w:szCs w:val="24"/>
              </w:rPr>
              <w:t>458,657,016.22</w:t>
            </w:r>
          </w:p>
        </w:tc>
      </w:tr>
      <w:tr>
        <w:tblPrEx>
          <w:tblW w:w="9606" w:type="dxa"/>
          <w:jc w:val="center"/>
          <w:tblLayout w:type="fixed"/>
          <w:tblLook w:val="04A0"/>
        </w:tblPrEx>
        <w:trPr>
          <w:jc w:val="center"/>
        </w:trPr>
        <w:tc>
          <w:tcPr>
            <w:tcW w:w="1980" w:type="dxa"/>
            <w:vMerge/>
          </w:tcPr>
          <w:p w:rsidR="000522D4"/>
        </w:tc>
        <w:tc>
          <w:tcPr>
            <w:tcW w:w="2214" w:type="dxa"/>
            <w:vAlign w:val="center"/>
          </w:tcPr>
          <w:p w:rsidR="000522D4">
            <w:pPr>
              <w:jc w:val="left"/>
            </w:pPr>
            <w:r>
              <w:rPr>
                <w:rFonts w:eastAsiaTheme="minorEastAsia"/>
                <w:sz w:val="24"/>
                <w:szCs w:val="24"/>
              </w:rPr>
              <w:t>截止基准日按照基金合同约定的分红比例计算的应分配金额（单位：人民币元）</w:t>
            </w:r>
          </w:p>
        </w:tc>
        <w:tc>
          <w:tcPr>
            <w:tcW w:w="2706" w:type="dxa"/>
            <w:vAlign w:val="center"/>
          </w:tcPr>
          <w:p w:rsidR="000522D4">
            <w:pPr>
              <w:jc w:val="left"/>
            </w:pPr>
            <w:r>
              <w:rPr>
                <w:rFonts w:eastAsiaTheme="minorEastAsia"/>
                <w:sz w:val="24"/>
                <w:szCs w:val="24"/>
              </w:rPr>
              <w:t>-</w:t>
            </w:r>
          </w:p>
        </w:tc>
        <w:tc>
          <w:tcPr>
            <w:tcW w:w="2706" w:type="dxa"/>
            <w:vAlign w:val="center"/>
          </w:tcPr>
          <w:p w:rsidR="000522D4">
            <w:pPr>
              <w:jc w:val="left"/>
            </w:pPr>
            <w:r>
              <w:rPr>
                <w:rFonts w:eastAsiaTheme="minorEastAsia"/>
                <w:sz w:val="24"/>
                <w:szCs w:val="24"/>
              </w:rPr>
              <w:t>-</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pPr>
              <w:rPr>
                <w:rFonts w:eastAsiaTheme="minorEastAsia"/>
                <w:sz w:val="24"/>
                <w:szCs w:val="24"/>
              </w:rPr>
            </w:pPr>
            <w:r>
              <w:rPr>
                <w:rFonts w:eastAsiaTheme="minorEastAsia"/>
                <w:sz w:val="24"/>
                <w:szCs w:val="24"/>
              </w:rPr>
              <w:t>0.100</w:t>
            </w:r>
          </w:p>
        </w:tc>
        <w:tc>
          <w:tcPr>
            <w:tcW w:w="2706" w:type="dxa"/>
          </w:tcPr>
          <w:p w:rsidR="003F0B40">
            <w:pPr>
              <w:rPr>
                <w:rFonts w:eastAsiaTheme="minorEastAsia"/>
                <w:sz w:val="24"/>
                <w:szCs w:val="24"/>
              </w:rPr>
            </w:pPr>
            <w:r>
              <w:rPr>
                <w:rFonts w:eastAsiaTheme="minorEastAsia"/>
                <w:sz w:val="24"/>
                <w:szCs w:val="24"/>
              </w:rPr>
              <w:t>0.100</w:t>
            </w:r>
          </w:p>
        </w:tc>
      </w:tr>
    </w:tbl>
    <w:p w:rsidR="003F0B40">
      <w:pPr>
        <w:spacing w:line="360" w:lineRule="auto"/>
        <w:rPr>
          <w:rFonts w:eastAsiaTheme="minorEastAsia"/>
          <w:sz w:val="24"/>
          <w:szCs w:val="24"/>
        </w:rPr>
      </w:pPr>
    </w:p>
    <w:p w:rsidR="003F0B40">
      <w:pPr>
        <w:pStyle w:val="Heading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权益登记日</w:t>
            </w:r>
          </w:p>
        </w:tc>
        <w:tc>
          <w:tcPr>
            <w:tcW w:w="5978"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18</w:t>
            </w:r>
            <w:r>
              <w:rPr>
                <w:rFonts w:eastAsiaTheme="minorEastAsia"/>
                <w:sz w:val="24"/>
                <w:szCs w:val="24"/>
              </w:rPr>
              <w:t>日</w:t>
            </w:r>
          </w:p>
        </w:tc>
      </w:tr>
      <w:tr w:rsidTr="00A516D9">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除息日</w:t>
            </w:r>
          </w:p>
        </w:tc>
        <w:tc>
          <w:tcPr>
            <w:tcW w:w="2989" w:type="dxa"/>
          </w:tcPr>
          <w:p w:rsidR="003F0B40" w:rsidP="00A516D9">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18</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现金红利发放日</w:t>
            </w:r>
          </w:p>
        </w:tc>
        <w:tc>
          <w:tcPr>
            <w:tcW w:w="5978" w:type="dxa"/>
          </w:tcPr>
          <w:p w:rsidR="003F0B40">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19</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分红对象</w:t>
            </w:r>
          </w:p>
        </w:tc>
        <w:tc>
          <w:tcPr>
            <w:tcW w:w="5978" w:type="dxa"/>
            <w:shd w:val="clear" w:color="auto" w:fill="auto"/>
          </w:tcPr>
          <w:p w:rsidR="003F0B40">
            <w:pPr>
              <w:rPr>
                <w:rFonts w:eastAsiaTheme="minorEastAsia"/>
                <w:sz w:val="24"/>
                <w:szCs w:val="24"/>
              </w:rPr>
            </w:pPr>
            <w:r>
              <w:rPr>
                <w:rFonts w:eastAsiaTheme="minorEastAsia"/>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342" w:type="dxa"/>
            <w:shd w:val="clear" w:color="auto" w:fill="auto"/>
            <w:vAlign w:val="center"/>
          </w:tcPr>
          <w:p w:rsidR="003F0B40">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选择红利再投资方式的投资者红利再投资所得的基金份</w:t>
            </w:r>
            <w:r>
              <w:rPr>
                <w:rFonts w:eastAsiaTheme="minorEastAsia"/>
                <w:sz w:val="24"/>
                <w:szCs w:val="24"/>
              </w:rPr>
              <w:t>额将按</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18</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22</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0522D4">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19</w:t>
      </w:r>
      <w:r>
        <w:rPr>
          <w:rFonts w:eastAsiaTheme="minorEastAsia"/>
          <w:color w:val="000000"/>
          <w:sz w:val="24"/>
          <w:szCs w:val="24"/>
        </w:rPr>
        <w:t>日自基金托管账户划出。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pPr>
        <w:spacing w:line="360" w:lineRule="auto"/>
        <w:rPr>
          <w:rFonts w:eastAsiaTheme="minorEastAsia"/>
          <w:color w:val="000000"/>
          <w:sz w:val="24"/>
          <w:szCs w:val="24"/>
        </w:rPr>
      </w:pPr>
    </w:p>
    <w:p w:rsidR="003F0B40">
      <w:pPr>
        <w:pStyle w:val="Heading3"/>
        <w:keepNext w:val="0"/>
        <w:keepLines w:val="0"/>
        <w:spacing w:before="0" w:after="0" w:line="360" w:lineRule="auto"/>
        <w:rPr>
          <w:rFonts w:eastAsiaTheme="minorEastAsia"/>
          <w:bCs w:val="0"/>
          <w:sz w:val="24"/>
          <w:szCs w:val="24"/>
        </w:rPr>
      </w:pPr>
      <w:bookmarkStart w:id="2" w:name="_Toc275961420"/>
      <w:r>
        <w:rPr>
          <w:rFonts w:eastAsiaTheme="minorEastAsia"/>
          <w:bCs w:val="0"/>
          <w:sz w:val="24"/>
          <w:szCs w:val="24"/>
        </w:rPr>
        <w:t>3.</w:t>
      </w:r>
      <w:r>
        <w:rPr>
          <w:rFonts w:eastAsiaTheme="minorEastAsia"/>
          <w:bCs w:val="0"/>
          <w:sz w:val="24"/>
          <w:szCs w:val="24"/>
        </w:rPr>
        <w:t>其他需要提示的事项</w:t>
      </w:r>
      <w:bookmarkEnd w:id="2"/>
    </w:p>
    <w:p w:rsidR="000522D4">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0522D4">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0522D4">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rsidRPr="00C31B9B" w:rsidP="00C31B9B">
      <w:pPr>
        <w:spacing w:line="360" w:lineRule="auto"/>
        <w:ind w:firstLine="480" w:firstLineChars="200"/>
        <w:rPr>
          <w:rFonts w:eastAsiaTheme="minorEastAsia" w:hint="eastAsia"/>
          <w:color w:val="000000"/>
          <w:sz w:val="24"/>
          <w:szCs w:val="24"/>
        </w:rPr>
      </w:pPr>
      <w:r>
        <w:rPr>
          <w:rFonts w:eastAsiaTheme="minorEastAsia"/>
          <w:color w:val="000000"/>
          <w:sz w:val="24"/>
          <w:szCs w:val="24"/>
        </w:rPr>
        <w:t>特此公告。</w:t>
      </w:r>
      <w:bookmarkStart w:id="3" w:name="_GoBack"/>
      <w:bookmarkEnd w:id="3"/>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易方达基金管理有限公司</w:t>
      </w: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17</w:t>
      </w:r>
      <w:r>
        <w:rPr>
          <w:rFonts w:eastAsia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22D4"/>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516D9"/>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1B9B"/>
    <w:rsid w:val="00C33DDD"/>
    <w:rsid w:val="00C72C47"/>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8BDB604-9272-4A7B-A7CF-2DB838B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qFormat/>
    <w:rPr>
      <w:rFonts w:ascii="宋体" w:eastAsia="宋体"/>
      <w:sz w:val="18"/>
      <w:szCs w:val="18"/>
    </w:rPr>
  </w:style>
  <w:style w:type="paragraph" w:styleId="BalloonText">
    <w:name w:val="Balloon Text"/>
    <w:basedOn w:val="Normal"/>
    <w:link w:val="Char3"/>
    <w:uiPriority w:val="99"/>
    <w:semiHidden/>
    <w:unhideWhenUsed/>
    <w:qFormat/>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qFormat/>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qFormat/>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qFormat/>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