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656EB8" w:rsidRPr="000A6074" w:rsidP="008472DB">
      <w:pPr>
        <w:spacing w:line="560" w:lineRule="exact"/>
        <w:jc w:val="center"/>
        <w:rPr>
          <w:rFonts w:asciiTheme="minorEastAsia" w:eastAsiaTheme="minorEastAsia" w:hAnsiTheme="minorEastAsia" w:cs="宋体"/>
          <w:b/>
          <w:kern w:val="0"/>
          <w:sz w:val="30"/>
          <w:szCs w:val="30"/>
        </w:rPr>
      </w:pPr>
      <w:r w:rsidRPr="000A6074">
        <w:rPr>
          <w:rFonts w:asciiTheme="minorEastAsia" w:eastAsiaTheme="minorEastAsia" w:hAnsiTheme="minorEastAsia" w:cs="宋体" w:hint="eastAsia"/>
          <w:b/>
          <w:kern w:val="0"/>
          <w:sz w:val="30"/>
          <w:szCs w:val="30"/>
        </w:rPr>
        <w:t>易方达富财纯债债券型证券投资基金恢复机构客户大额申购及大额转换转入业务的公告</w:t>
      </w:r>
    </w:p>
    <w:p w:rsidR="00D327FA" w:rsidRPr="000A6074" w:rsidP="008472DB">
      <w:pPr>
        <w:spacing w:line="560" w:lineRule="exact"/>
        <w:jc w:val="center"/>
        <w:rPr>
          <w:rFonts w:asciiTheme="minorEastAsia" w:eastAsiaTheme="minorEastAsia" w:hAnsiTheme="minorEastAsia"/>
          <w:b/>
          <w:color w:val="000000"/>
          <w:sz w:val="24"/>
          <w:szCs w:val="24"/>
        </w:rPr>
      </w:pPr>
      <w:r w:rsidRPr="000A6074">
        <w:rPr>
          <w:rFonts w:asciiTheme="minorEastAsia" w:eastAsiaTheme="minorEastAsia" w:hAnsiTheme="minorEastAsia"/>
          <w:b/>
          <w:color w:val="000000"/>
          <w:sz w:val="24"/>
          <w:szCs w:val="24"/>
        </w:rPr>
        <w:t>公告送出日期：</w:t>
      </w:r>
      <w:r w:rsidRPr="00082596">
        <w:rPr>
          <w:rFonts w:asciiTheme="minorEastAsia" w:eastAsiaTheme="minorEastAsia" w:hAnsiTheme="minorEastAsia" w:hint="eastAsia"/>
          <w:b/>
          <w:color w:val="000000"/>
          <w:sz w:val="24"/>
          <w:szCs w:val="24"/>
        </w:rPr>
        <w:t>2024</w:t>
      </w:r>
      <w:r w:rsidRPr="00082596">
        <w:rPr>
          <w:rFonts w:asciiTheme="minorEastAsia" w:eastAsiaTheme="minorEastAsia" w:hAnsiTheme="minorEastAsia" w:hint="eastAsia"/>
          <w:b/>
          <w:color w:val="000000"/>
          <w:sz w:val="24"/>
          <w:szCs w:val="24"/>
        </w:rPr>
        <w:t>年</w:t>
      </w:r>
      <w:r w:rsidRPr="00082596">
        <w:rPr>
          <w:rFonts w:asciiTheme="minorEastAsia" w:eastAsiaTheme="minorEastAsia" w:hAnsiTheme="minorEastAsia" w:hint="eastAsia"/>
          <w:b/>
          <w:color w:val="000000"/>
          <w:sz w:val="24"/>
          <w:szCs w:val="24"/>
        </w:rPr>
        <w:t>4</w:t>
      </w:r>
      <w:r w:rsidRPr="00082596">
        <w:rPr>
          <w:rFonts w:asciiTheme="minorEastAsia" w:eastAsiaTheme="minorEastAsia" w:hAnsiTheme="minorEastAsia" w:hint="eastAsia"/>
          <w:b/>
          <w:color w:val="000000"/>
          <w:sz w:val="24"/>
          <w:szCs w:val="24"/>
        </w:rPr>
        <w:t>月</w:t>
      </w:r>
      <w:r w:rsidRPr="00082596">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7</w:t>
      </w:r>
      <w:r w:rsidRPr="00082596">
        <w:rPr>
          <w:rFonts w:asciiTheme="minorEastAsia" w:eastAsiaTheme="minorEastAsia" w:hAnsiTheme="minorEastAsia" w:hint="eastAsia"/>
          <w:b/>
          <w:color w:val="000000"/>
          <w:sz w:val="24"/>
          <w:szCs w:val="24"/>
        </w:rPr>
        <w:t>日</w:t>
      </w:r>
    </w:p>
    <w:p w:rsidR="000F7509" w:rsidRPr="000A6074" w:rsidP="008472DB">
      <w:pPr>
        <w:spacing w:line="560" w:lineRule="exact"/>
        <w:jc w:val="center"/>
        <w:rPr>
          <w:rFonts w:asciiTheme="minorEastAsia" w:eastAsiaTheme="minorEastAsia" w:hAnsiTheme="minorEastAsia"/>
          <w:b/>
          <w:color w:val="000000"/>
          <w:sz w:val="24"/>
          <w:szCs w:val="24"/>
        </w:rPr>
      </w:pPr>
    </w:p>
    <w:p w:rsidR="00D327FA" w:rsidRPr="000A6074" w:rsidP="000F7509">
      <w:pPr>
        <w:pStyle w:val="Heading3"/>
        <w:keepNext w:val="0"/>
        <w:keepLines w:val="0"/>
        <w:spacing w:before="0" w:after="0" w:line="360" w:lineRule="auto"/>
        <w:rPr>
          <w:rFonts w:asciiTheme="minorEastAsia" w:eastAsiaTheme="minorEastAsia" w:hAnsiTheme="minorEastAsia"/>
          <w:bCs w:val="0"/>
          <w:sz w:val="24"/>
          <w:szCs w:val="24"/>
        </w:rPr>
      </w:pPr>
      <w:bookmarkStart w:id="0" w:name="_Toc275961405"/>
      <w:r w:rsidRPr="000A6074">
        <w:rPr>
          <w:rFonts w:asciiTheme="minorEastAsia" w:eastAsiaTheme="minorEastAsia" w:hAnsiTheme="minorEastAsia"/>
          <w:bCs w:val="0"/>
          <w:sz w:val="24"/>
          <w:szCs w:val="24"/>
        </w:rPr>
        <w:t>1</w:t>
      </w:r>
      <w:r w:rsidRPr="000A6074">
        <w:rPr>
          <w:rFonts w:asciiTheme="minorEastAsia" w:eastAsiaTheme="minorEastAsia" w:hAnsiTheme="minorEastAsia" w:hint="eastAsia"/>
          <w:bCs w:val="0"/>
          <w:sz w:val="24"/>
          <w:szCs w:val="24"/>
        </w:rPr>
        <w:t>.</w:t>
      </w:r>
      <w:r w:rsidRPr="000A6074">
        <w:rPr>
          <w:rFonts w:asciiTheme="minorEastAsia" w:eastAsiaTheme="minorEastAsia" w:hAnsiTheme="minorEastAsia"/>
          <w:bCs w:val="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2571"/>
        <w:gridCol w:w="4293"/>
      </w:tblGrid>
      <w:tr w:rsidTr="00763886">
        <w:tblPrEx>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2244" w:type="dxa"/>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基金名称</w:t>
            </w:r>
          </w:p>
        </w:tc>
        <w:tc>
          <w:tcPr>
            <w:tcW w:w="6864" w:type="dxa"/>
            <w:gridSpan w:val="2"/>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易方达富财纯债债券型证券投资基金</w:t>
            </w:r>
          </w:p>
        </w:tc>
      </w:tr>
      <w:tr w:rsidTr="00B34509">
        <w:tblPrEx>
          <w:tblW w:w="9108" w:type="dxa"/>
          <w:jc w:val="center"/>
          <w:tblLayout w:type="fixed"/>
          <w:tblLook w:val="0000"/>
        </w:tblPrEx>
        <w:trPr>
          <w:jc w:val="center"/>
        </w:trPr>
        <w:tc>
          <w:tcPr>
            <w:tcW w:w="2244" w:type="dxa"/>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基金简称</w:t>
            </w:r>
          </w:p>
        </w:tc>
        <w:tc>
          <w:tcPr>
            <w:tcW w:w="6864" w:type="dxa"/>
            <w:gridSpan w:val="2"/>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易方达富财纯债债券</w:t>
            </w:r>
          </w:p>
        </w:tc>
      </w:tr>
      <w:tr w:rsidTr="0021790E">
        <w:tblPrEx>
          <w:tblW w:w="9108" w:type="dxa"/>
          <w:jc w:val="center"/>
          <w:tblLayout w:type="fixed"/>
          <w:tblLook w:val="0000"/>
        </w:tblPrEx>
        <w:trPr>
          <w:jc w:val="center"/>
        </w:trPr>
        <w:tc>
          <w:tcPr>
            <w:tcW w:w="2244" w:type="dxa"/>
            <w:vAlign w:val="center"/>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基金主代码</w:t>
            </w:r>
          </w:p>
        </w:tc>
        <w:tc>
          <w:tcPr>
            <w:tcW w:w="6864" w:type="dxa"/>
            <w:gridSpan w:val="2"/>
            <w:vAlign w:val="center"/>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005667</w:t>
            </w:r>
          </w:p>
        </w:tc>
      </w:tr>
      <w:tr w:rsidTr="007F38CD">
        <w:tblPrEx>
          <w:tblW w:w="9108" w:type="dxa"/>
          <w:jc w:val="center"/>
          <w:tblLayout w:type="fixed"/>
          <w:tblLook w:val="0000"/>
        </w:tblPrEx>
        <w:trPr>
          <w:jc w:val="center"/>
        </w:trPr>
        <w:tc>
          <w:tcPr>
            <w:tcW w:w="2244" w:type="dxa"/>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基金管理人名称</w:t>
            </w:r>
          </w:p>
        </w:tc>
        <w:tc>
          <w:tcPr>
            <w:tcW w:w="6864" w:type="dxa"/>
            <w:gridSpan w:val="2"/>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易方达基金管理有限公司</w:t>
            </w:r>
          </w:p>
        </w:tc>
      </w:tr>
      <w:tr w:rsidTr="00F63BCA">
        <w:tblPrEx>
          <w:tblW w:w="9108" w:type="dxa"/>
          <w:jc w:val="center"/>
          <w:tblLayout w:type="fixed"/>
          <w:tblLook w:val="0000"/>
        </w:tblPrEx>
        <w:trPr>
          <w:jc w:val="center"/>
        </w:trPr>
        <w:tc>
          <w:tcPr>
            <w:tcW w:w="2244" w:type="dxa"/>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sz w:val="24"/>
                <w:szCs w:val="24"/>
              </w:rPr>
              <w:t>公告依据</w:t>
            </w:r>
          </w:p>
        </w:tc>
        <w:tc>
          <w:tcPr>
            <w:tcW w:w="6864" w:type="dxa"/>
            <w:gridSpan w:val="2"/>
          </w:tcPr>
          <w:p w:rsidR="00656EB8" w:rsidRPr="000A6074" w:rsidP="00656EB8">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《易方达富财纯债债券型证券投资基金基金合同》《易方达富财纯债债券型证券投资基金更新的招募说明书》</w:t>
            </w:r>
          </w:p>
        </w:tc>
      </w:tr>
      <w:tr w:rsidTr="002112FA">
        <w:tblPrEx>
          <w:tblW w:w="9108" w:type="dxa"/>
          <w:jc w:val="center"/>
          <w:tblLayout w:type="fixed"/>
          <w:tblLook w:val="0000"/>
        </w:tblPrEx>
        <w:trPr>
          <w:jc w:val="center"/>
        </w:trPr>
        <w:tc>
          <w:tcPr>
            <w:tcW w:w="2244" w:type="dxa"/>
            <w:vMerge w:val="restart"/>
            <w:vAlign w:val="center"/>
          </w:tcPr>
          <w:p w:rsidR="00CA14B0" w:rsidRPr="000A6074" w:rsidP="00CA14B0">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恢复相关业务的日期及原因说明</w:t>
            </w:r>
          </w:p>
        </w:tc>
        <w:tc>
          <w:tcPr>
            <w:tcW w:w="2571" w:type="dxa"/>
          </w:tcPr>
          <w:p w:rsidR="00CA14B0" w:rsidRPr="000A6074" w:rsidP="00CA14B0">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恢复大额申购日</w:t>
            </w:r>
          </w:p>
        </w:tc>
        <w:tc>
          <w:tcPr>
            <w:tcW w:w="4293" w:type="dxa"/>
            <w:vAlign w:val="center"/>
          </w:tcPr>
          <w:p w:rsidR="00CA14B0" w:rsidRPr="000A6074" w:rsidP="00357400">
            <w:pPr>
              <w:rPr>
                <w:rFonts w:asciiTheme="minorEastAsia" w:eastAsiaTheme="minorEastAsia" w:hAnsiTheme="minorEastAsia"/>
                <w:sz w:val="24"/>
                <w:szCs w:val="24"/>
              </w:rPr>
            </w:pPr>
            <w:r w:rsidRPr="00082596">
              <w:rPr>
                <w:rFonts w:asciiTheme="minorEastAsia" w:eastAsiaTheme="minorEastAsia" w:hAnsiTheme="minorEastAsia" w:hint="eastAsia"/>
                <w:sz w:val="24"/>
                <w:szCs w:val="24"/>
              </w:rPr>
              <w:t>2024</w:t>
            </w:r>
            <w:r w:rsidRPr="00082596">
              <w:rPr>
                <w:rFonts w:asciiTheme="minorEastAsia" w:eastAsiaTheme="minorEastAsia" w:hAnsiTheme="minorEastAsia" w:hint="eastAsia"/>
                <w:sz w:val="24"/>
                <w:szCs w:val="24"/>
              </w:rPr>
              <w:t>年</w:t>
            </w:r>
            <w:r w:rsidRPr="00082596">
              <w:rPr>
                <w:rFonts w:asciiTheme="minorEastAsia" w:eastAsiaTheme="minorEastAsia" w:hAnsiTheme="minorEastAsia" w:hint="eastAsia"/>
                <w:sz w:val="24"/>
                <w:szCs w:val="24"/>
              </w:rPr>
              <w:t>4</w:t>
            </w:r>
            <w:r w:rsidRPr="0008259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sidRPr="00082596">
              <w:rPr>
                <w:rFonts w:asciiTheme="minorEastAsia" w:eastAsiaTheme="minorEastAsia" w:hAnsiTheme="minorEastAsia" w:hint="eastAsia"/>
                <w:sz w:val="24"/>
                <w:szCs w:val="24"/>
              </w:rPr>
              <w:t>日</w:t>
            </w:r>
          </w:p>
        </w:tc>
      </w:tr>
      <w:tr w:rsidTr="002112FA">
        <w:tblPrEx>
          <w:tblW w:w="9108" w:type="dxa"/>
          <w:jc w:val="center"/>
          <w:tblLayout w:type="fixed"/>
          <w:tblLook w:val="0000"/>
        </w:tblPrEx>
        <w:trPr>
          <w:jc w:val="center"/>
        </w:trPr>
        <w:tc>
          <w:tcPr>
            <w:tcW w:w="2244" w:type="dxa"/>
            <w:vMerge/>
          </w:tcPr>
          <w:p w:rsidR="0042294D" w:rsidRPr="000A6074" w:rsidP="0042294D">
            <w:pPr>
              <w:rPr>
                <w:rFonts w:asciiTheme="minorEastAsia" w:eastAsiaTheme="minorEastAsia" w:hAnsiTheme="minorEastAsia"/>
                <w:sz w:val="24"/>
                <w:szCs w:val="24"/>
              </w:rPr>
            </w:pPr>
          </w:p>
        </w:tc>
        <w:tc>
          <w:tcPr>
            <w:tcW w:w="2571" w:type="dxa"/>
          </w:tcPr>
          <w:p w:rsidR="0042294D" w:rsidRPr="000A6074" w:rsidP="0042294D">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恢复大额转换转入日</w:t>
            </w:r>
          </w:p>
        </w:tc>
        <w:tc>
          <w:tcPr>
            <w:tcW w:w="4293" w:type="dxa"/>
            <w:vAlign w:val="center"/>
          </w:tcPr>
          <w:p w:rsidR="0042294D" w:rsidRPr="000A6074" w:rsidP="00357400">
            <w:pPr>
              <w:rPr>
                <w:rFonts w:asciiTheme="minorEastAsia" w:eastAsiaTheme="minorEastAsia" w:hAnsiTheme="minorEastAsia"/>
                <w:sz w:val="24"/>
                <w:szCs w:val="24"/>
              </w:rPr>
            </w:pPr>
            <w:r w:rsidRPr="00082596">
              <w:rPr>
                <w:rFonts w:asciiTheme="minorEastAsia" w:eastAsiaTheme="minorEastAsia" w:hAnsiTheme="minorEastAsia" w:hint="eastAsia"/>
                <w:sz w:val="24"/>
                <w:szCs w:val="24"/>
              </w:rPr>
              <w:t>2024</w:t>
            </w:r>
            <w:r w:rsidRPr="00082596">
              <w:rPr>
                <w:rFonts w:asciiTheme="minorEastAsia" w:eastAsiaTheme="minorEastAsia" w:hAnsiTheme="minorEastAsia" w:hint="eastAsia"/>
                <w:sz w:val="24"/>
                <w:szCs w:val="24"/>
              </w:rPr>
              <w:t>年</w:t>
            </w:r>
            <w:r w:rsidRPr="00082596">
              <w:rPr>
                <w:rFonts w:asciiTheme="minorEastAsia" w:eastAsiaTheme="minorEastAsia" w:hAnsiTheme="minorEastAsia" w:hint="eastAsia"/>
                <w:sz w:val="24"/>
                <w:szCs w:val="24"/>
              </w:rPr>
              <w:t>4</w:t>
            </w:r>
            <w:r w:rsidRPr="0008259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sidRPr="00082596">
              <w:rPr>
                <w:rFonts w:asciiTheme="minorEastAsia" w:eastAsiaTheme="minorEastAsia" w:hAnsiTheme="minorEastAsia" w:hint="eastAsia"/>
                <w:sz w:val="24"/>
                <w:szCs w:val="24"/>
              </w:rPr>
              <w:t>日</w:t>
            </w:r>
          </w:p>
        </w:tc>
      </w:tr>
      <w:tr w:rsidTr="002112FA">
        <w:tblPrEx>
          <w:tblW w:w="9108" w:type="dxa"/>
          <w:jc w:val="center"/>
          <w:tblLayout w:type="fixed"/>
          <w:tblLook w:val="0000"/>
        </w:tblPrEx>
        <w:trPr>
          <w:jc w:val="center"/>
        </w:trPr>
        <w:tc>
          <w:tcPr>
            <w:tcW w:w="2244" w:type="dxa"/>
            <w:vMerge/>
          </w:tcPr>
          <w:p w:rsidR="00CA14B0" w:rsidRPr="000A6074" w:rsidP="00CA14B0">
            <w:pPr>
              <w:rPr>
                <w:rFonts w:asciiTheme="minorEastAsia" w:eastAsiaTheme="minorEastAsia" w:hAnsiTheme="minorEastAsia"/>
                <w:sz w:val="24"/>
                <w:szCs w:val="24"/>
              </w:rPr>
            </w:pPr>
          </w:p>
        </w:tc>
        <w:tc>
          <w:tcPr>
            <w:tcW w:w="2571" w:type="dxa"/>
          </w:tcPr>
          <w:p w:rsidR="00CA14B0" w:rsidRPr="000A6074" w:rsidP="00CA14B0">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恢复大额申购、大额转换转入的原因说明</w:t>
            </w:r>
          </w:p>
        </w:tc>
        <w:tc>
          <w:tcPr>
            <w:tcW w:w="4293" w:type="dxa"/>
          </w:tcPr>
          <w:p w:rsidR="00CA14B0" w:rsidRPr="000A6074" w:rsidP="00CA14B0">
            <w:pPr>
              <w:rPr>
                <w:rFonts w:asciiTheme="minorEastAsia" w:eastAsiaTheme="minorEastAsia" w:hAnsiTheme="minorEastAsia"/>
                <w:sz w:val="24"/>
                <w:szCs w:val="24"/>
              </w:rPr>
            </w:pPr>
            <w:r w:rsidRPr="000A6074">
              <w:rPr>
                <w:rFonts w:asciiTheme="minorEastAsia" w:eastAsiaTheme="minorEastAsia" w:hAnsiTheme="minorEastAsia" w:hint="eastAsia"/>
                <w:sz w:val="24"/>
                <w:szCs w:val="24"/>
              </w:rPr>
              <w:t>为了满足投资者的需求</w:t>
            </w:r>
          </w:p>
        </w:tc>
      </w:tr>
    </w:tbl>
    <w:p w:rsidR="00656EB8" w:rsidRPr="000A6074" w:rsidP="00656EB8">
      <w:pPr>
        <w:spacing w:line="360" w:lineRule="auto"/>
        <w:ind w:firstLine="420"/>
        <w:rPr>
          <w:rFonts w:asciiTheme="minorEastAsia" w:eastAsiaTheme="minorEastAsia" w:hAnsiTheme="minorEastAsia"/>
          <w:color w:val="000000"/>
          <w:sz w:val="24"/>
          <w:szCs w:val="24"/>
        </w:rPr>
      </w:pPr>
      <w:r w:rsidRPr="000A6074">
        <w:rPr>
          <w:rFonts w:asciiTheme="minorEastAsia" w:eastAsiaTheme="minorEastAsia" w:hAnsiTheme="minorEastAsia"/>
          <w:color w:val="000000"/>
          <w:sz w:val="24"/>
          <w:szCs w:val="24"/>
        </w:rPr>
        <w:t>注：（</w:t>
      </w:r>
      <w:r w:rsidRPr="000A6074">
        <w:rPr>
          <w:rFonts w:asciiTheme="minorEastAsia" w:eastAsiaTheme="minorEastAsia" w:hAnsiTheme="minorEastAsia"/>
          <w:color w:val="000000"/>
          <w:sz w:val="24"/>
          <w:szCs w:val="24"/>
        </w:rPr>
        <w:t>1</w:t>
      </w:r>
      <w:r w:rsidRPr="000A6074">
        <w:rPr>
          <w:rFonts w:asciiTheme="minorEastAsia" w:eastAsiaTheme="minorEastAsia" w:hAnsiTheme="minorEastAsia"/>
          <w:color w:val="000000"/>
          <w:sz w:val="24"/>
          <w:szCs w:val="24"/>
        </w:rPr>
        <w:t>）</w:t>
      </w:r>
      <w:r w:rsidRPr="000A6074">
        <w:rPr>
          <w:rFonts w:asciiTheme="minorEastAsia" w:eastAsiaTheme="minorEastAsia" w:hAnsiTheme="minorEastAsia" w:hint="eastAsia"/>
          <w:color w:val="000000"/>
          <w:sz w:val="24"/>
          <w:szCs w:val="24"/>
        </w:rPr>
        <w:t>根据法律法规和基金合同的相关规定，易方达基金管理有限公司（以下简称</w:t>
      </w:r>
      <w:r w:rsidRPr="000A6074">
        <w:rPr>
          <w:rFonts w:asciiTheme="minorEastAsia" w:eastAsiaTheme="minorEastAsia" w:hAnsiTheme="minorEastAsia"/>
          <w:color w:val="000000"/>
          <w:sz w:val="24"/>
          <w:szCs w:val="24"/>
        </w:rPr>
        <w:t>“</w:t>
      </w:r>
      <w:r w:rsidRPr="000A6074">
        <w:rPr>
          <w:rFonts w:asciiTheme="minorEastAsia" w:eastAsiaTheme="minorEastAsia" w:hAnsiTheme="minorEastAsia" w:hint="eastAsia"/>
          <w:color w:val="000000"/>
          <w:sz w:val="24"/>
          <w:szCs w:val="24"/>
        </w:rPr>
        <w:t>本公司</w:t>
      </w:r>
      <w:r w:rsidRPr="000A6074">
        <w:rPr>
          <w:rFonts w:asciiTheme="minorEastAsia" w:eastAsiaTheme="minorEastAsia" w:hAnsiTheme="minorEastAsia"/>
          <w:color w:val="000000"/>
          <w:sz w:val="24"/>
          <w:szCs w:val="24"/>
        </w:rPr>
        <w:t>”</w:t>
      </w:r>
      <w:r w:rsidRPr="000A6074">
        <w:rPr>
          <w:rFonts w:asciiTheme="minorEastAsia" w:eastAsiaTheme="minorEastAsia" w:hAnsiTheme="minorEastAsia" w:hint="eastAsia"/>
          <w:color w:val="000000"/>
          <w:sz w:val="24"/>
          <w:szCs w:val="24"/>
        </w:rPr>
        <w:t>）决定从</w:t>
      </w:r>
      <w:r w:rsidRPr="00082596">
        <w:rPr>
          <w:rFonts w:asciiTheme="minorEastAsia" w:eastAsiaTheme="minorEastAsia" w:hAnsiTheme="minorEastAsia" w:hint="eastAsia"/>
          <w:color w:val="000000"/>
          <w:sz w:val="24"/>
          <w:szCs w:val="24"/>
        </w:rPr>
        <w:t>2024</w:t>
      </w:r>
      <w:r w:rsidRPr="00082596">
        <w:rPr>
          <w:rFonts w:asciiTheme="minorEastAsia" w:eastAsiaTheme="minorEastAsia" w:hAnsiTheme="minorEastAsia" w:hint="eastAsia"/>
          <w:color w:val="000000"/>
          <w:sz w:val="24"/>
          <w:szCs w:val="24"/>
        </w:rPr>
        <w:t>年</w:t>
      </w:r>
      <w:r w:rsidRPr="00082596">
        <w:rPr>
          <w:rFonts w:asciiTheme="minorEastAsia" w:eastAsiaTheme="minorEastAsia" w:hAnsiTheme="minorEastAsia" w:hint="eastAsia"/>
          <w:color w:val="000000"/>
          <w:sz w:val="24"/>
          <w:szCs w:val="24"/>
        </w:rPr>
        <w:t>4</w:t>
      </w:r>
      <w:r w:rsidRPr="00082596">
        <w:rPr>
          <w:rFonts w:asciiTheme="minorEastAsia" w:eastAsiaTheme="minorEastAsia" w:hAnsiTheme="minorEastAsia" w:hint="eastAsia"/>
          <w:color w:val="000000"/>
          <w:sz w:val="24"/>
          <w:szCs w:val="24"/>
        </w:rPr>
        <w:t>月</w:t>
      </w:r>
      <w:r w:rsidRPr="00082596">
        <w:rPr>
          <w:rFonts w:asciiTheme="minorEastAsia" w:eastAsiaTheme="minorEastAsia" w:hAnsiTheme="minorEastAsia" w:hint="eastAsia"/>
          <w:color w:val="000000"/>
          <w:sz w:val="24"/>
          <w:szCs w:val="24"/>
        </w:rPr>
        <w:t>18</w:t>
      </w:r>
      <w:r w:rsidRPr="00082596">
        <w:rPr>
          <w:rFonts w:asciiTheme="minorEastAsia" w:eastAsiaTheme="minorEastAsia" w:hAnsiTheme="minorEastAsia" w:hint="eastAsia"/>
          <w:color w:val="000000"/>
          <w:sz w:val="24"/>
          <w:szCs w:val="24"/>
        </w:rPr>
        <w:t>日</w:t>
      </w:r>
      <w:r w:rsidRPr="000A6074">
        <w:rPr>
          <w:rFonts w:asciiTheme="minorEastAsia" w:eastAsiaTheme="minorEastAsia" w:hAnsiTheme="minorEastAsia" w:hint="eastAsia"/>
          <w:color w:val="000000"/>
          <w:sz w:val="24"/>
          <w:szCs w:val="24"/>
        </w:rPr>
        <w:t>起恢复易方达富财纯债债券型证券投资基金（以下简称</w:t>
      </w:r>
      <w:r w:rsidRPr="000A6074">
        <w:rPr>
          <w:rFonts w:asciiTheme="minorEastAsia" w:eastAsiaTheme="minorEastAsia" w:hAnsiTheme="minorEastAsia"/>
          <w:color w:val="000000"/>
          <w:sz w:val="24"/>
          <w:szCs w:val="24"/>
        </w:rPr>
        <w:t>“</w:t>
      </w:r>
      <w:r w:rsidRPr="000A6074">
        <w:rPr>
          <w:rFonts w:asciiTheme="minorEastAsia" w:eastAsiaTheme="minorEastAsia" w:hAnsiTheme="minorEastAsia" w:hint="eastAsia"/>
          <w:color w:val="000000"/>
          <w:sz w:val="24"/>
          <w:szCs w:val="24"/>
        </w:rPr>
        <w:t>本基金</w:t>
      </w:r>
      <w:r w:rsidRPr="000A6074">
        <w:rPr>
          <w:rFonts w:asciiTheme="minorEastAsia" w:eastAsiaTheme="minorEastAsia" w:hAnsiTheme="minorEastAsia"/>
          <w:color w:val="000000"/>
          <w:sz w:val="24"/>
          <w:szCs w:val="24"/>
        </w:rPr>
        <w:t>”</w:t>
      </w:r>
      <w:r w:rsidRPr="000A6074">
        <w:rPr>
          <w:rFonts w:asciiTheme="minorEastAsia" w:eastAsiaTheme="minorEastAsia" w:hAnsiTheme="minorEastAsia" w:hint="eastAsia"/>
          <w:color w:val="000000"/>
          <w:sz w:val="24"/>
          <w:szCs w:val="24"/>
        </w:rPr>
        <w:t>）机构客户在全部销售机构的大额申购、大额转换转入业务，取消单日</w:t>
      </w:r>
      <w:r w:rsidRPr="000A6074" w:rsidR="008D51D2">
        <w:rPr>
          <w:rFonts w:asciiTheme="minorEastAsia" w:eastAsiaTheme="minorEastAsia" w:hAnsiTheme="minorEastAsia" w:hint="eastAsia"/>
          <w:color w:val="000000"/>
          <w:sz w:val="24"/>
          <w:szCs w:val="24"/>
        </w:rPr>
        <w:t>单个基金账户</w:t>
      </w:r>
      <w:r w:rsidRPr="000A6074" w:rsidR="007E4E2C">
        <w:rPr>
          <w:rFonts w:asciiTheme="minorEastAsia" w:eastAsiaTheme="minorEastAsia" w:hAnsiTheme="minorEastAsia" w:hint="eastAsia"/>
          <w:color w:val="000000"/>
          <w:sz w:val="24"/>
          <w:szCs w:val="24"/>
        </w:rPr>
        <w:t>在全部销售机构</w:t>
      </w:r>
      <w:r w:rsidRPr="000A6074" w:rsidR="008D51D2">
        <w:rPr>
          <w:rFonts w:asciiTheme="minorEastAsia" w:eastAsiaTheme="minorEastAsia" w:hAnsiTheme="minorEastAsia" w:hint="eastAsia"/>
          <w:color w:val="000000"/>
          <w:sz w:val="24"/>
          <w:szCs w:val="24"/>
        </w:rPr>
        <w:t>累计申购（含定期定额投资、转换转入）本基金的金额不</w:t>
      </w:r>
      <w:r w:rsidRPr="000A6074">
        <w:rPr>
          <w:rFonts w:asciiTheme="minorEastAsia" w:eastAsiaTheme="minorEastAsia" w:hAnsiTheme="minorEastAsia" w:hint="eastAsia"/>
          <w:color w:val="000000"/>
          <w:sz w:val="24"/>
          <w:szCs w:val="24"/>
        </w:rPr>
        <w:t>超过</w:t>
      </w:r>
      <w:r w:rsidRPr="000A6074" w:rsidR="007E4E2C">
        <w:rPr>
          <w:rFonts w:asciiTheme="minorEastAsia" w:eastAsiaTheme="minorEastAsia" w:hAnsiTheme="minorEastAsia"/>
          <w:color w:val="000000"/>
          <w:sz w:val="24"/>
          <w:szCs w:val="24"/>
        </w:rPr>
        <w:t>4</w:t>
      </w:r>
      <w:r w:rsidRPr="000A6074">
        <w:rPr>
          <w:rFonts w:asciiTheme="minorEastAsia" w:eastAsiaTheme="minorEastAsia" w:hAnsiTheme="minorEastAsia"/>
          <w:color w:val="000000"/>
          <w:sz w:val="24"/>
          <w:szCs w:val="24"/>
        </w:rPr>
        <w:t>00</w:t>
      </w:r>
      <w:r w:rsidRPr="000A6074">
        <w:rPr>
          <w:rFonts w:asciiTheme="minorEastAsia" w:eastAsiaTheme="minorEastAsia" w:hAnsiTheme="minorEastAsia" w:hint="eastAsia"/>
          <w:color w:val="000000"/>
          <w:sz w:val="24"/>
          <w:szCs w:val="24"/>
        </w:rPr>
        <w:t>万元</w:t>
      </w:r>
      <w:r w:rsidRPr="000A6074" w:rsidR="007E4E2C">
        <w:rPr>
          <w:rFonts w:asciiTheme="minorEastAsia" w:eastAsiaTheme="minorEastAsia" w:hAnsiTheme="minorEastAsia" w:hint="eastAsia"/>
          <w:color w:val="000000"/>
          <w:sz w:val="24"/>
          <w:szCs w:val="24"/>
        </w:rPr>
        <w:t>（含）</w:t>
      </w:r>
      <w:r w:rsidRPr="000A6074">
        <w:rPr>
          <w:rFonts w:asciiTheme="minorEastAsia" w:eastAsiaTheme="minorEastAsia" w:hAnsiTheme="minorEastAsia" w:hint="eastAsia"/>
          <w:color w:val="000000"/>
          <w:sz w:val="24"/>
          <w:szCs w:val="24"/>
        </w:rPr>
        <w:t>的限制。</w:t>
      </w:r>
    </w:p>
    <w:p w:rsidR="00CA14B0" w:rsidRPr="000A6074" w:rsidP="00CA14B0">
      <w:pPr>
        <w:spacing w:line="360" w:lineRule="auto"/>
        <w:ind w:firstLine="420"/>
        <w:rPr>
          <w:rFonts w:asciiTheme="minorEastAsia" w:eastAsiaTheme="minorEastAsia" w:hAnsiTheme="minorEastAsia"/>
          <w:color w:val="000000"/>
          <w:sz w:val="24"/>
          <w:szCs w:val="24"/>
        </w:rPr>
      </w:pPr>
      <w:r w:rsidRPr="000A6074">
        <w:rPr>
          <w:rFonts w:asciiTheme="minorEastAsia" w:eastAsiaTheme="minorEastAsia" w:hAnsiTheme="minorEastAsia" w:hint="eastAsia"/>
          <w:color w:val="000000"/>
          <w:sz w:val="24"/>
          <w:szCs w:val="24"/>
        </w:rPr>
        <w:t>（</w:t>
      </w:r>
      <w:r w:rsidRPr="000A6074">
        <w:rPr>
          <w:rFonts w:asciiTheme="minorEastAsia" w:eastAsiaTheme="minorEastAsia" w:hAnsiTheme="minorEastAsia"/>
          <w:color w:val="000000"/>
          <w:sz w:val="24"/>
          <w:szCs w:val="24"/>
        </w:rPr>
        <w:t>2</w:t>
      </w:r>
      <w:r w:rsidRPr="000A6074">
        <w:rPr>
          <w:rFonts w:asciiTheme="minorEastAsia" w:eastAsiaTheme="minorEastAsia" w:hAnsiTheme="minorEastAsia" w:hint="eastAsia"/>
          <w:color w:val="000000"/>
          <w:sz w:val="24"/>
          <w:szCs w:val="24"/>
        </w:rPr>
        <w:t>）本基金仍暂停个人客户的申购、转换转入及定期定额投资业务，恢复办理时间将另行公告。</w:t>
      </w:r>
    </w:p>
    <w:p w:rsidR="00CA14B0" w:rsidRPr="000A6074" w:rsidP="000F7509">
      <w:pPr>
        <w:spacing w:line="360" w:lineRule="auto"/>
        <w:ind w:firstLine="480" w:firstLineChars="200"/>
        <w:rPr>
          <w:rFonts w:asciiTheme="minorEastAsia" w:eastAsiaTheme="minorEastAsia" w:hAnsiTheme="minorEastAsia"/>
          <w:color w:val="000000"/>
          <w:sz w:val="24"/>
          <w:szCs w:val="24"/>
        </w:rPr>
      </w:pPr>
    </w:p>
    <w:p w:rsidR="00D327FA" w:rsidRPr="000A6074" w:rsidP="000F7509">
      <w:pPr>
        <w:pStyle w:val="Heading3"/>
        <w:keepNext w:val="0"/>
        <w:keepLines w:val="0"/>
        <w:spacing w:before="0" w:after="0" w:line="360" w:lineRule="auto"/>
        <w:rPr>
          <w:rFonts w:asciiTheme="minorEastAsia" w:eastAsiaTheme="minorEastAsia" w:hAnsiTheme="minorEastAsia"/>
          <w:bCs w:val="0"/>
          <w:sz w:val="24"/>
          <w:szCs w:val="24"/>
        </w:rPr>
      </w:pPr>
      <w:bookmarkStart w:id="1" w:name="_Toc275961406"/>
      <w:r w:rsidRPr="000A6074">
        <w:rPr>
          <w:rFonts w:asciiTheme="minorEastAsia" w:eastAsiaTheme="minorEastAsia" w:hAnsiTheme="minorEastAsia"/>
          <w:bCs w:val="0"/>
          <w:sz w:val="24"/>
          <w:szCs w:val="24"/>
        </w:rPr>
        <w:t>2</w:t>
      </w:r>
      <w:r w:rsidRPr="000A6074" w:rsidR="000F7509">
        <w:rPr>
          <w:rFonts w:asciiTheme="minorEastAsia" w:eastAsiaTheme="minorEastAsia" w:hAnsiTheme="minorEastAsia" w:hint="eastAsia"/>
          <w:bCs w:val="0"/>
          <w:sz w:val="24"/>
          <w:szCs w:val="24"/>
        </w:rPr>
        <w:t>.</w:t>
      </w:r>
      <w:r w:rsidRPr="000A6074">
        <w:rPr>
          <w:rFonts w:asciiTheme="minorEastAsia" w:eastAsiaTheme="minorEastAsia" w:hAnsiTheme="minorEastAsia"/>
          <w:bCs w:val="0"/>
          <w:sz w:val="24"/>
          <w:szCs w:val="24"/>
        </w:rPr>
        <w:t>其他需要提示的事项</w:t>
      </w:r>
      <w:bookmarkEnd w:id="1"/>
    </w:p>
    <w:p w:rsidR="00176149" w:rsidP="00176149">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投资者可通过本基金各销售机构及以下途径咨询有关详情：</w:t>
      </w:r>
    </w:p>
    <w:p w:rsidR="00176149" w:rsidP="00176149">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w:t>
      </w:r>
      <w:r w:rsidRPr="00354C85">
        <w:rPr>
          <w:rFonts w:ascii="宋体" w:eastAsia="宋体" w:hAnsi="宋体" w:cs="宋体"/>
          <w:kern w:val="0"/>
          <w:sz w:val="24"/>
          <w:szCs w:val="24"/>
        </w:rPr>
        <w:t>1</w:t>
      </w:r>
      <w:r w:rsidRPr="00354C85">
        <w:rPr>
          <w:rFonts w:ascii="宋体" w:eastAsia="宋体" w:hAnsi="宋体" w:cs="宋体"/>
          <w:kern w:val="0"/>
          <w:sz w:val="24"/>
          <w:szCs w:val="24"/>
        </w:rPr>
        <w:t>）易方达基金管理有限公司网站：</w:t>
      </w:r>
      <w:bookmarkStart w:id="2" w:name="_GoBack"/>
      <w:bookmarkEnd w:id="2"/>
      <w:r w:rsidRPr="00354C85">
        <w:rPr>
          <w:rFonts w:ascii="宋体" w:eastAsia="宋体" w:hAnsi="宋体" w:cs="宋体"/>
          <w:color w:val="0000FF"/>
          <w:kern w:val="0"/>
          <w:sz w:val="24"/>
          <w:szCs w:val="24"/>
          <w:u w:val="single"/>
        </w:rPr>
        <w:t>www.efunds.com.cn</w:t>
      </w:r>
      <w:r w:rsidRPr="00354C85">
        <w:rPr>
          <w:rFonts w:ascii="宋体" w:eastAsia="宋体" w:hAnsi="宋体" w:cs="宋体"/>
          <w:kern w:val="0"/>
          <w:sz w:val="24"/>
          <w:szCs w:val="24"/>
        </w:rPr>
        <w:t>；</w:t>
      </w:r>
    </w:p>
    <w:p w:rsidR="00176149" w:rsidP="00176149">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w:t>
      </w:r>
      <w:r w:rsidRPr="00354C85">
        <w:rPr>
          <w:rFonts w:ascii="宋体" w:eastAsia="宋体" w:hAnsi="宋体" w:cs="宋体"/>
          <w:kern w:val="0"/>
          <w:sz w:val="24"/>
          <w:szCs w:val="24"/>
        </w:rPr>
        <w:t>2</w:t>
      </w:r>
      <w:r w:rsidRPr="00354C85">
        <w:rPr>
          <w:rFonts w:ascii="宋体" w:eastAsia="宋体" w:hAnsi="宋体" w:cs="宋体"/>
          <w:kern w:val="0"/>
          <w:sz w:val="24"/>
          <w:szCs w:val="24"/>
        </w:rPr>
        <w:t>）易方达基金管理有限公司客户服务热线：</w:t>
      </w:r>
      <w:r w:rsidRPr="00354C85">
        <w:rPr>
          <w:rFonts w:ascii="宋体" w:eastAsia="宋体" w:hAnsi="宋体" w:cs="宋体"/>
          <w:kern w:val="0"/>
          <w:sz w:val="24"/>
          <w:szCs w:val="24"/>
        </w:rPr>
        <w:t>400 881 8088</w:t>
      </w:r>
      <w:r w:rsidRPr="00354C85">
        <w:rPr>
          <w:rFonts w:ascii="宋体" w:eastAsia="宋体" w:hAnsi="宋体" w:cs="宋体"/>
          <w:kern w:val="0"/>
          <w:sz w:val="24"/>
          <w:szCs w:val="24"/>
        </w:rPr>
        <w:t>。</w:t>
      </w:r>
    </w:p>
    <w:p w:rsidR="00176149" w:rsidRPr="00CF66E9" w:rsidP="00176149">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特此公告。</w:t>
      </w:r>
    </w:p>
    <w:p w:rsidR="00176149" w:rsidRPr="000A6074">
      <w:pPr>
        <w:spacing w:line="360" w:lineRule="auto"/>
        <w:ind w:firstLine="480" w:firstLineChars="200"/>
        <w:rPr>
          <w:rFonts w:asciiTheme="minorEastAsia" w:eastAsiaTheme="minorEastAsia" w:hAnsiTheme="minorEastAsia"/>
          <w:color w:val="000000"/>
          <w:sz w:val="24"/>
          <w:szCs w:val="24"/>
        </w:rPr>
      </w:pPr>
    </w:p>
    <w:p w:rsidR="00385C33" w:rsidRPr="000A6074">
      <w:pPr>
        <w:spacing w:line="360" w:lineRule="auto"/>
        <w:ind w:firstLine="480" w:firstLineChars="200"/>
        <w:rPr>
          <w:rFonts w:asciiTheme="minorEastAsia" w:eastAsiaTheme="minorEastAsia" w:hAnsiTheme="minorEastAsia"/>
          <w:color w:val="000000"/>
          <w:sz w:val="24"/>
          <w:szCs w:val="24"/>
        </w:rPr>
      </w:pPr>
      <w:r w:rsidRPr="000A6074">
        <w:rPr>
          <w:rFonts w:asciiTheme="minorEastAsia" w:eastAsiaTheme="minorEastAsia" w:hAnsiTheme="minorEastAsia"/>
          <w:color w:val="000000"/>
          <w:sz w:val="24"/>
          <w:szCs w:val="24"/>
        </w:rPr>
        <w:t xml:space="preserve">                                          </w:t>
      </w:r>
      <w:r w:rsidRPr="000A6074">
        <w:rPr>
          <w:rFonts w:asciiTheme="minorEastAsia" w:eastAsiaTheme="minorEastAsia" w:hAnsiTheme="minorEastAsia"/>
          <w:color w:val="000000"/>
          <w:sz w:val="24"/>
          <w:szCs w:val="24"/>
        </w:rPr>
        <w:t>易方达基金管理有限公司</w:t>
      </w:r>
    </w:p>
    <w:p w:rsidR="00364C2A" w:rsidRPr="000A6074" w:rsidP="00CA14B0">
      <w:pPr>
        <w:spacing w:line="360" w:lineRule="auto"/>
        <w:ind w:firstLine="480" w:firstLineChars="200"/>
        <w:rPr>
          <w:rFonts w:asciiTheme="minorEastAsia" w:eastAsiaTheme="minorEastAsia" w:hAnsiTheme="minorEastAsia"/>
        </w:rPr>
      </w:pPr>
      <w:r w:rsidRPr="000A6074">
        <w:rPr>
          <w:rFonts w:asciiTheme="minorEastAsia" w:eastAsiaTheme="minorEastAsia" w:hAnsiTheme="minorEastAsia"/>
          <w:color w:val="000000"/>
          <w:sz w:val="24"/>
          <w:szCs w:val="24"/>
        </w:rPr>
        <w:t xml:space="preserve">                    </w:t>
      </w:r>
      <w:r w:rsidRPr="000A6074" w:rsidR="00A53731">
        <w:rPr>
          <w:rFonts w:asciiTheme="minorEastAsia" w:eastAsiaTheme="minorEastAsia" w:hAnsiTheme="minorEastAsia"/>
          <w:color w:val="000000"/>
          <w:sz w:val="24"/>
          <w:szCs w:val="24"/>
        </w:rPr>
        <w:t xml:space="preserve">                           </w:t>
      </w:r>
      <w:r w:rsidRPr="00082596">
        <w:rPr>
          <w:rFonts w:asciiTheme="minorEastAsia" w:eastAsiaTheme="minorEastAsia" w:hAnsiTheme="minorEastAsia" w:hint="eastAsia"/>
          <w:color w:val="000000"/>
          <w:sz w:val="24"/>
          <w:szCs w:val="24"/>
        </w:rPr>
        <w:t>2024</w:t>
      </w:r>
      <w:r w:rsidRPr="00082596">
        <w:rPr>
          <w:rFonts w:asciiTheme="minorEastAsia" w:eastAsiaTheme="minorEastAsia" w:hAnsiTheme="minorEastAsia" w:hint="eastAsia"/>
          <w:color w:val="000000"/>
          <w:sz w:val="24"/>
          <w:szCs w:val="24"/>
        </w:rPr>
        <w:t>年</w:t>
      </w:r>
      <w:r w:rsidRPr="00082596">
        <w:rPr>
          <w:rFonts w:asciiTheme="minorEastAsia" w:eastAsiaTheme="minorEastAsia" w:hAnsiTheme="minorEastAsia" w:hint="eastAsia"/>
          <w:color w:val="000000"/>
          <w:sz w:val="24"/>
          <w:szCs w:val="24"/>
        </w:rPr>
        <w:t>4</w:t>
      </w:r>
      <w:r w:rsidRPr="00082596">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7</w:t>
      </w:r>
      <w:r w:rsidRPr="00082596">
        <w:rPr>
          <w:rFonts w:asciiTheme="minorEastAsia" w:eastAsiaTheme="minorEastAsia" w:hAnsiTheme="minorEastAsia" w:hint="eastAsia"/>
          <w:color w:val="000000"/>
          <w:sz w:val="24"/>
          <w:szCs w:val="24"/>
        </w:rPr>
        <w:t>日</w:t>
      </w: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康睿">
    <w15:presenceInfo w15:providerId="None" w15:userId="王康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1C4C"/>
    <w:rsid w:val="000105FF"/>
    <w:rsid w:val="00020378"/>
    <w:rsid w:val="00041353"/>
    <w:rsid w:val="00082596"/>
    <w:rsid w:val="000912A5"/>
    <w:rsid w:val="000A45DA"/>
    <w:rsid w:val="000A6074"/>
    <w:rsid w:val="000B00CF"/>
    <w:rsid w:val="000D6593"/>
    <w:rsid w:val="000E14BF"/>
    <w:rsid w:val="000E4CBF"/>
    <w:rsid w:val="000F7509"/>
    <w:rsid w:val="00102456"/>
    <w:rsid w:val="001169BB"/>
    <w:rsid w:val="001416E5"/>
    <w:rsid w:val="001429E3"/>
    <w:rsid w:val="00143976"/>
    <w:rsid w:val="00152E51"/>
    <w:rsid w:val="00176149"/>
    <w:rsid w:val="00180DA3"/>
    <w:rsid w:val="00186B57"/>
    <w:rsid w:val="001B4F9F"/>
    <w:rsid w:val="001B75D8"/>
    <w:rsid w:val="001C6835"/>
    <w:rsid w:val="001F67B4"/>
    <w:rsid w:val="002112FA"/>
    <w:rsid w:val="00211C07"/>
    <w:rsid w:val="00230F2F"/>
    <w:rsid w:val="00245724"/>
    <w:rsid w:val="00284B61"/>
    <w:rsid w:val="002935EF"/>
    <w:rsid w:val="00297148"/>
    <w:rsid w:val="002D0F4E"/>
    <w:rsid w:val="002D1DDF"/>
    <w:rsid w:val="002F7241"/>
    <w:rsid w:val="00303CDB"/>
    <w:rsid w:val="00327DA7"/>
    <w:rsid w:val="0033513C"/>
    <w:rsid w:val="00343071"/>
    <w:rsid w:val="00354C85"/>
    <w:rsid w:val="003554B3"/>
    <w:rsid w:val="0035567C"/>
    <w:rsid w:val="00357400"/>
    <w:rsid w:val="00364C2A"/>
    <w:rsid w:val="0036784E"/>
    <w:rsid w:val="00385C33"/>
    <w:rsid w:val="00387AB8"/>
    <w:rsid w:val="003B5276"/>
    <w:rsid w:val="004160CF"/>
    <w:rsid w:val="0042294D"/>
    <w:rsid w:val="004966BA"/>
    <w:rsid w:val="004A1EE7"/>
    <w:rsid w:val="004B2CF4"/>
    <w:rsid w:val="004D6346"/>
    <w:rsid w:val="004D7E55"/>
    <w:rsid w:val="004E4ED5"/>
    <w:rsid w:val="004F0521"/>
    <w:rsid w:val="004F51E8"/>
    <w:rsid w:val="004F6E39"/>
    <w:rsid w:val="00505286"/>
    <w:rsid w:val="00524B75"/>
    <w:rsid w:val="00564298"/>
    <w:rsid w:val="005A4F66"/>
    <w:rsid w:val="005B490D"/>
    <w:rsid w:val="005B7F1C"/>
    <w:rsid w:val="005D09DC"/>
    <w:rsid w:val="005D6C89"/>
    <w:rsid w:val="00600CE8"/>
    <w:rsid w:val="00622E21"/>
    <w:rsid w:val="00646522"/>
    <w:rsid w:val="00656EB8"/>
    <w:rsid w:val="006B5C76"/>
    <w:rsid w:val="006C1E48"/>
    <w:rsid w:val="006F4A12"/>
    <w:rsid w:val="007301D2"/>
    <w:rsid w:val="00770DB7"/>
    <w:rsid w:val="00777839"/>
    <w:rsid w:val="00797CEA"/>
    <w:rsid w:val="007A340F"/>
    <w:rsid w:val="007B1D31"/>
    <w:rsid w:val="007C30E6"/>
    <w:rsid w:val="007D2965"/>
    <w:rsid w:val="007E4E2C"/>
    <w:rsid w:val="008131D3"/>
    <w:rsid w:val="00827D4A"/>
    <w:rsid w:val="0083445C"/>
    <w:rsid w:val="00841AFE"/>
    <w:rsid w:val="00844AD4"/>
    <w:rsid w:val="008472DB"/>
    <w:rsid w:val="00850AF8"/>
    <w:rsid w:val="00864C8C"/>
    <w:rsid w:val="008B1C38"/>
    <w:rsid w:val="008C76AA"/>
    <w:rsid w:val="008D3261"/>
    <w:rsid w:val="008D51D2"/>
    <w:rsid w:val="008E13A2"/>
    <w:rsid w:val="008F225D"/>
    <w:rsid w:val="008F47E1"/>
    <w:rsid w:val="00934D7A"/>
    <w:rsid w:val="0094654A"/>
    <w:rsid w:val="00955F07"/>
    <w:rsid w:val="00956B0F"/>
    <w:rsid w:val="009741B1"/>
    <w:rsid w:val="009C5858"/>
    <w:rsid w:val="00A00078"/>
    <w:rsid w:val="00A02884"/>
    <w:rsid w:val="00A24CDD"/>
    <w:rsid w:val="00A516C4"/>
    <w:rsid w:val="00A51E41"/>
    <w:rsid w:val="00A53731"/>
    <w:rsid w:val="00AE2D03"/>
    <w:rsid w:val="00AF37A3"/>
    <w:rsid w:val="00B101F7"/>
    <w:rsid w:val="00B43B90"/>
    <w:rsid w:val="00B5053A"/>
    <w:rsid w:val="00B83E13"/>
    <w:rsid w:val="00BA6967"/>
    <w:rsid w:val="00BD601B"/>
    <w:rsid w:val="00BD6D93"/>
    <w:rsid w:val="00C046E8"/>
    <w:rsid w:val="00C147CA"/>
    <w:rsid w:val="00C771E5"/>
    <w:rsid w:val="00C93A8D"/>
    <w:rsid w:val="00C93BC4"/>
    <w:rsid w:val="00CA14B0"/>
    <w:rsid w:val="00CC5463"/>
    <w:rsid w:val="00CE4972"/>
    <w:rsid w:val="00CF4AD9"/>
    <w:rsid w:val="00CF66E9"/>
    <w:rsid w:val="00D114B7"/>
    <w:rsid w:val="00D30755"/>
    <w:rsid w:val="00D321BF"/>
    <w:rsid w:val="00D327FA"/>
    <w:rsid w:val="00D33E60"/>
    <w:rsid w:val="00D76316"/>
    <w:rsid w:val="00DA1037"/>
    <w:rsid w:val="00DD7C4B"/>
    <w:rsid w:val="00DF0D96"/>
    <w:rsid w:val="00DF13A1"/>
    <w:rsid w:val="00E72255"/>
    <w:rsid w:val="00ED60EA"/>
    <w:rsid w:val="00EE1823"/>
    <w:rsid w:val="00F274DE"/>
    <w:rsid w:val="00F5252D"/>
    <w:rsid w:val="00F64447"/>
    <w:rsid w:val="00F95610"/>
    <w:rsid w:val="00FA1E5C"/>
    <w:rsid w:val="00FA3344"/>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705D033A-6455-4804-94E3-E24CCB8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rsid w:val="00D327FA"/>
    <w:rPr>
      <w:rFonts w:ascii="Times New Roman" w:eastAsia="宋体" w:hAnsi="Times New Roman" w:cs="Times New Roman"/>
      <w:b/>
      <w:bCs/>
      <w:kern w:val="44"/>
      <w:sz w:val="44"/>
      <w:szCs w:val="44"/>
    </w:rPr>
  </w:style>
  <w:style w:type="character" w:customStyle="1" w:styleId="2">
    <w:name w:val="标题 2 字符"/>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a"/>
    <w:rsid w:val="00D327FA"/>
    <w:pPr>
      <w:snapToGrid w:val="0"/>
      <w:jc w:val="left"/>
    </w:pPr>
    <w:rPr>
      <w:rFonts w:eastAsia="宋体"/>
      <w:sz w:val="18"/>
    </w:rPr>
  </w:style>
  <w:style w:type="character" w:customStyle="1" w:styleId="a">
    <w:name w:val="脚注文本 字符"/>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a0"/>
    <w:uiPriority w:val="99"/>
    <w:semiHidden/>
    <w:unhideWhenUsed/>
    <w:rsid w:val="00F64447"/>
    <w:rPr>
      <w:sz w:val="18"/>
      <w:szCs w:val="18"/>
    </w:rPr>
  </w:style>
  <w:style w:type="character" w:customStyle="1" w:styleId="a0">
    <w:name w:val="批注框文本 字符"/>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a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1">
    <w:name w:val="页眉 字符"/>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a2"/>
    <w:uiPriority w:val="99"/>
    <w:unhideWhenUsed/>
    <w:rsid w:val="00B101F7"/>
    <w:pPr>
      <w:tabs>
        <w:tab w:val="center" w:pos="4153"/>
        <w:tab w:val="right" w:pos="8306"/>
      </w:tabs>
      <w:snapToGrid w:val="0"/>
      <w:jc w:val="left"/>
    </w:pPr>
    <w:rPr>
      <w:sz w:val="18"/>
      <w:szCs w:val="18"/>
    </w:rPr>
  </w:style>
  <w:style w:type="character" w:customStyle="1" w:styleId="a2">
    <w:name w:val="页脚 字符"/>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a3"/>
    <w:uiPriority w:val="99"/>
    <w:semiHidden/>
    <w:unhideWhenUsed/>
    <w:rsid w:val="000F7509"/>
    <w:rPr>
      <w:rFonts w:ascii="宋体" w:eastAsia="宋体"/>
      <w:sz w:val="18"/>
      <w:szCs w:val="18"/>
    </w:rPr>
  </w:style>
  <w:style w:type="character" w:customStyle="1" w:styleId="a3">
    <w:name w:val="文档结构图 字符"/>
    <w:basedOn w:val="DefaultParagraphFont"/>
    <w:link w:val="DocumentMap"/>
    <w:uiPriority w:val="99"/>
    <w:semiHidden/>
    <w:rsid w:val="000F7509"/>
    <w:rPr>
      <w:rFonts w:ascii="宋体" w:eastAsia="宋体" w:hAnsi="Times New Roman" w:cs="Times New Roman"/>
      <w:sz w:val="18"/>
      <w:szCs w:val="18"/>
    </w:rPr>
  </w:style>
  <w:style w:type="character" w:customStyle="1" w:styleId="3">
    <w:name w:val="标题 3 字符"/>
    <w:basedOn w:val="DefaultParagraphFont"/>
    <w:link w:val="Heading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