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Pr>
          <w:rFonts w:ascii="Times New Roman" w:eastAsia="宋体" w:hAnsi="Times New Roman" w:cs="Times New Roman" w:hint="eastAsia"/>
          <w:b/>
          <w:spacing w:val="-5"/>
          <w:kern w:val="0"/>
          <w:sz w:val="28"/>
          <w:szCs w:val="28"/>
        </w:rPr>
        <w:t>易方达原油</w:t>
      </w:r>
      <w:r w:rsidRPr="00771C21">
        <w:rPr>
          <w:rFonts w:ascii="Times New Roman" w:eastAsia="宋体" w:hAnsi="Times New Roman" w:cs="Times New Roman"/>
          <w:b/>
          <w:spacing w:val="-5"/>
          <w:kern w:val="0"/>
          <w:sz w:val="28"/>
          <w:szCs w:val="28"/>
        </w:rPr>
        <w:t>证券投资基金</w:t>
      </w:r>
      <w:r w:rsidRPr="007D61E2">
        <w:rPr>
          <w:rFonts w:ascii="Times New Roman" w:eastAsia="宋体" w:hAnsi="Times New Roman" w:cs="Times New Roman" w:hint="eastAsia"/>
          <w:b/>
          <w:spacing w:val="-5"/>
          <w:kern w:val="0"/>
          <w:sz w:val="28"/>
          <w:szCs w:val="28"/>
        </w:rPr>
        <w:t>（</w:t>
      </w:r>
      <w:r w:rsidRPr="007D61E2">
        <w:rPr>
          <w:rFonts w:ascii="Times New Roman" w:eastAsia="宋体" w:hAnsi="Times New Roman" w:cs="Times New Roman" w:hint="eastAsia"/>
          <w:b/>
          <w:spacing w:val="-5"/>
          <w:kern w:val="0"/>
          <w:sz w:val="28"/>
          <w:szCs w:val="28"/>
        </w:rPr>
        <w:t>QDII</w:t>
      </w:r>
      <w:r w:rsidRPr="007D61E2">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75075C">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Pr>
          <w:rFonts w:ascii="宋体" w:hAnsi="宋体" w:cs="Arial" w:hint="eastAsia"/>
          <w:color w:val="000000"/>
          <w:szCs w:val="21"/>
        </w:rPr>
        <w:t>易方达原油</w:t>
      </w:r>
      <w:r w:rsidRPr="007D61E2">
        <w:rPr>
          <w:rFonts w:ascii="宋体" w:hAnsi="宋体" w:cs="Arial" w:hint="eastAsia"/>
          <w:color w:val="000000"/>
          <w:szCs w:val="21"/>
        </w:rPr>
        <w:t>证券投资基金（QDI</w:t>
      </w:r>
      <w:r w:rsidRPr="00842A72">
        <w:rPr>
          <w:rFonts w:ascii="宋体" w:hAnsi="宋体" w:cs="Arial" w:hint="eastAsia"/>
          <w:color w:val="000000"/>
          <w:szCs w:val="21"/>
        </w:rPr>
        <w:t>I）</w:t>
      </w:r>
      <w:r w:rsidRPr="00842A72">
        <w:rPr>
          <w:rFonts w:ascii="宋体" w:hAnsi="宋体" w:cs="Arial"/>
          <w:color w:val="000000"/>
          <w:szCs w:val="21"/>
        </w:rPr>
        <w:t>A</w:t>
      </w:r>
      <w:r w:rsidRPr="00842A72">
        <w:rPr>
          <w:rFonts w:ascii="宋体" w:hAnsi="宋体" w:cs="Arial" w:hint="eastAsia"/>
          <w:color w:val="000000"/>
          <w:szCs w:val="21"/>
        </w:rPr>
        <w:t>类人民币份额（基金代码：161129，场内简称：</w:t>
      </w:r>
      <w:r w:rsidRPr="00842A72" w:rsidR="0067348F">
        <w:rPr>
          <w:rFonts w:ascii="宋体" w:hAnsi="宋体" w:cs="Arial" w:hint="eastAsia"/>
          <w:color w:val="000000"/>
          <w:szCs w:val="21"/>
        </w:rPr>
        <w:t>原油</w:t>
      </w:r>
      <w:r w:rsidR="0067348F">
        <w:rPr>
          <w:rFonts w:ascii="宋体" w:hAnsi="宋体" w:cs="Arial" w:hint="eastAsia"/>
          <w:color w:val="000000"/>
          <w:szCs w:val="21"/>
        </w:rPr>
        <w:t>L</w:t>
      </w:r>
      <w:r w:rsidR="0067348F">
        <w:rPr>
          <w:rFonts w:ascii="宋体" w:hAnsi="宋体" w:cs="Arial"/>
          <w:color w:val="000000"/>
          <w:szCs w:val="21"/>
        </w:rPr>
        <w:t>OF</w:t>
      </w:r>
      <w:r w:rsidR="0067348F">
        <w:rPr>
          <w:rFonts w:ascii="宋体" w:hAnsi="宋体" w:cs="Arial" w:hint="eastAsia"/>
          <w:color w:val="000000"/>
          <w:szCs w:val="21"/>
        </w:rPr>
        <w:t>易方达</w:t>
      </w:r>
      <w:r w:rsidRPr="00842A72">
        <w:rPr>
          <w:rFonts w:ascii="宋体" w:hAnsi="宋体" w:cs="Arial" w:hint="eastAsia"/>
          <w:color w:val="000000"/>
          <w:szCs w:val="21"/>
        </w:rPr>
        <w:t>，以下简称“本基金”）二级市场交易价格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842A72" w:rsidR="00953C13">
        <w:rPr>
          <w:rFonts w:ascii="宋体" w:hAnsi="宋体" w:cs="Arial" w:hint="eastAsia"/>
          <w:color w:val="000000"/>
          <w:szCs w:val="21"/>
        </w:rPr>
        <w:t>202</w:t>
      </w:r>
      <w:r w:rsidR="00953C13">
        <w:rPr>
          <w:rFonts w:ascii="宋体" w:hAnsi="宋体" w:cs="Arial"/>
          <w:color w:val="000000"/>
          <w:szCs w:val="21"/>
        </w:rPr>
        <w:t>4</w:t>
      </w:r>
      <w:r w:rsidRPr="00842A72" w:rsidR="00953C13">
        <w:rPr>
          <w:rFonts w:ascii="宋体" w:hAnsi="宋体" w:cs="Arial" w:hint="eastAsia"/>
          <w:color w:val="000000"/>
          <w:szCs w:val="21"/>
        </w:rPr>
        <w:t>年</w:t>
      </w:r>
      <w:r w:rsidR="00D01D8D">
        <w:rPr>
          <w:rFonts w:ascii="宋体" w:hAnsi="宋体" w:cs="Arial" w:hint="eastAsia"/>
          <w:color w:val="000000"/>
          <w:szCs w:val="21"/>
        </w:rPr>
        <w:t>4</w:t>
      </w:r>
      <w:r w:rsidRPr="00842A72" w:rsidR="00953C13">
        <w:rPr>
          <w:rFonts w:ascii="宋体" w:hAnsi="宋体" w:cs="Arial" w:hint="eastAsia"/>
          <w:color w:val="000000"/>
          <w:szCs w:val="21"/>
        </w:rPr>
        <w:t>月</w:t>
      </w:r>
      <w:r w:rsidR="00D01D8D">
        <w:rPr>
          <w:rFonts w:ascii="宋体" w:hAnsi="宋体" w:cs="Arial"/>
          <w:color w:val="000000"/>
          <w:szCs w:val="21"/>
        </w:rPr>
        <w:t>1</w:t>
      </w:r>
      <w:r w:rsidR="007F3C48">
        <w:rPr>
          <w:rFonts w:ascii="宋体" w:hAnsi="宋体" w:cs="Arial"/>
          <w:color w:val="000000"/>
          <w:szCs w:val="21"/>
        </w:rPr>
        <w:t>5</w:t>
      </w:r>
      <w:r w:rsidRPr="00842A72">
        <w:rPr>
          <w:rFonts w:ascii="宋体" w:hAnsi="宋体" w:cs="Arial" w:hint="eastAsia"/>
          <w:color w:val="000000"/>
          <w:szCs w:val="21"/>
        </w:rPr>
        <w:t>日，本基金</w:t>
      </w:r>
      <w:r w:rsidR="002D39B1">
        <w:rPr>
          <w:rFonts w:ascii="宋体" w:hAnsi="宋体" w:cs="Arial" w:hint="eastAsia"/>
          <w:color w:val="000000"/>
          <w:szCs w:val="21"/>
        </w:rPr>
        <w:t>基金份额净值为</w:t>
      </w:r>
      <w:r w:rsidR="007F3C48">
        <w:rPr>
          <w:rFonts w:ascii="宋体" w:hAnsi="宋体" w:cs="Arial"/>
          <w:color w:val="000000"/>
          <w:szCs w:val="21"/>
        </w:rPr>
        <w:t>1.3464</w:t>
      </w:r>
      <w:r w:rsidRPr="00842A72">
        <w:rPr>
          <w:rFonts w:ascii="宋体" w:hAnsi="宋体" w:cs="Arial" w:hint="eastAsia"/>
          <w:color w:val="000000"/>
          <w:szCs w:val="21"/>
        </w:rPr>
        <w:t>元</w:t>
      </w:r>
      <w:r w:rsidR="002D39B1">
        <w:rPr>
          <w:rFonts w:ascii="宋体" w:hAnsi="宋体" w:cs="Arial" w:hint="eastAsia"/>
          <w:color w:val="000000"/>
          <w:szCs w:val="21"/>
        </w:rPr>
        <w:t>，</w:t>
      </w:r>
      <w:r w:rsidRPr="00842A72">
        <w:rPr>
          <w:rFonts w:ascii="宋体" w:hAnsi="宋体" w:cs="Arial" w:hint="eastAsia"/>
          <w:color w:val="000000"/>
          <w:szCs w:val="21"/>
        </w:rPr>
        <w:t>截</w:t>
      </w:r>
      <w:r w:rsidR="00A21735">
        <w:rPr>
          <w:rFonts w:ascii="宋体" w:hAnsi="宋体" w:cs="Arial" w:hint="eastAsia"/>
          <w:color w:val="000000"/>
          <w:szCs w:val="21"/>
        </w:rPr>
        <w:t>至</w:t>
      </w:r>
      <w:r w:rsidRPr="00842A72">
        <w:rPr>
          <w:rFonts w:ascii="宋体" w:hAnsi="宋体" w:cs="Arial" w:hint="eastAsia"/>
          <w:color w:val="000000"/>
          <w:szCs w:val="21"/>
        </w:rPr>
        <w:t>202</w:t>
      </w:r>
      <w:r w:rsidR="0020055F">
        <w:rPr>
          <w:rFonts w:ascii="宋体" w:hAnsi="宋体" w:cs="Arial"/>
          <w:color w:val="000000"/>
          <w:szCs w:val="21"/>
        </w:rPr>
        <w:t>4</w:t>
      </w:r>
      <w:r w:rsidRPr="00842A72">
        <w:rPr>
          <w:rFonts w:ascii="宋体" w:hAnsi="宋体" w:cs="Arial" w:hint="eastAsia"/>
          <w:color w:val="000000"/>
          <w:szCs w:val="21"/>
        </w:rPr>
        <w:t>年</w:t>
      </w:r>
      <w:r w:rsidR="00D01D8D">
        <w:rPr>
          <w:rFonts w:ascii="宋体" w:hAnsi="宋体" w:cs="Arial"/>
          <w:color w:val="000000"/>
          <w:szCs w:val="21"/>
        </w:rPr>
        <w:t>4</w:t>
      </w:r>
      <w:r w:rsidRPr="00842A72">
        <w:rPr>
          <w:rFonts w:ascii="宋体" w:hAnsi="宋体" w:cs="Arial" w:hint="eastAsia"/>
          <w:color w:val="000000"/>
          <w:szCs w:val="21"/>
        </w:rPr>
        <w:t>月</w:t>
      </w:r>
      <w:r w:rsidR="00D01D8D">
        <w:rPr>
          <w:rFonts w:ascii="宋体" w:hAnsi="宋体" w:cs="Arial" w:hint="eastAsia"/>
          <w:color w:val="000000"/>
          <w:szCs w:val="21"/>
        </w:rPr>
        <w:t>1</w:t>
      </w:r>
      <w:r w:rsidR="007F3C48">
        <w:rPr>
          <w:rFonts w:ascii="宋体" w:hAnsi="宋体" w:cs="Arial"/>
          <w:color w:val="000000"/>
          <w:szCs w:val="21"/>
        </w:rPr>
        <w:t>7</w:t>
      </w:r>
      <w:r w:rsidRPr="00842A72">
        <w:rPr>
          <w:rFonts w:ascii="宋体" w:hAnsi="宋体" w:cs="Arial" w:hint="eastAsia"/>
          <w:color w:val="000000"/>
          <w:szCs w:val="21"/>
        </w:rPr>
        <w:t>日，本基金在二级市场的收盘价</w:t>
      </w:r>
      <w:r w:rsidRPr="00CA4F08">
        <w:rPr>
          <w:rFonts w:ascii="宋体" w:hAnsi="宋体" w:cs="Arial" w:hint="eastAsia"/>
          <w:color w:val="000000"/>
          <w:szCs w:val="21"/>
        </w:rPr>
        <w:t>为</w:t>
      </w:r>
      <w:r w:rsidR="00D01D8D">
        <w:rPr>
          <w:rFonts w:ascii="宋体" w:hAnsi="宋体" w:cs="Arial"/>
          <w:color w:val="000000"/>
          <w:szCs w:val="21"/>
        </w:rPr>
        <w:t>1.</w:t>
      </w:r>
      <w:r w:rsidR="007F3C48">
        <w:rPr>
          <w:rFonts w:ascii="宋体" w:hAnsi="宋体" w:cs="Arial"/>
          <w:color w:val="000000"/>
          <w:szCs w:val="21"/>
        </w:rPr>
        <w:t>575</w:t>
      </w:r>
      <w:r w:rsidRPr="00842A72">
        <w:rPr>
          <w:rFonts w:ascii="宋体" w:hAnsi="宋体" w:cs="Arial" w:hint="eastAsia"/>
          <w:color w:val="000000"/>
          <w:szCs w:val="21"/>
        </w:rPr>
        <w:t>元，</w:t>
      </w:r>
      <w:r w:rsidR="00967756">
        <w:rPr>
          <w:rFonts w:asciiTheme="minorEastAsia" w:hAnsiTheme="minorEastAsia" w:hint="eastAsia"/>
          <w:b/>
          <w:kern w:val="0"/>
          <w:szCs w:val="21"/>
        </w:rPr>
        <w:t>特此提示投资者关注二级市场交易价格溢价风险，投资者如果高溢</w:t>
      </w:r>
      <w:bookmarkStart w:id="0" w:name="_GoBack"/>
      <w:bookmarkEnd w:id="0"/>
      <w:r w:rsidR="00967756">
        <w:rPr>
          <w:rFonts w:asciiTheme="minorEastAsia" w:hAnsiTheme="minorEastAsia" w:hint="eastAsia"/>
          <w:b/>
          <w:kern w:val="0"/>
          <w:szCs w:val="21"/>
        </w:rPr>
        <w:t>价买入，可能面临较大损失</w:t>
      </w:r>
      <w:r w:rsidRPr="00842A72">
        <w:rPr>
          <w:rFonts w:ascii="宋体" w:hAnsi="宋体" w:cs="Arial" w:hint="eastAsia"/>
          <w:color w:val="000000"/>
          <w:szCs w:val="21"/>
        </w:rPr>
        <w:t>。</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根据法律法规及基金法律文件的相关规定，为了基金的平稳运作，保护基金份额持有人利益，</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2020</w:t>
      </w:r>
      <w:r w:rsidRPr="008A46AF">
        <w:rPr>
          <w:rFonts w:ascii="宋体" w:hAnsi="宋体" w:cs="Arial" w:hint="eastAsia"/>
          <w:color w:val="000000"/>
          <w:szCs w:val="21"/>
        </w:rPr>
        <w:t>年3月25日起暂停申购及定期定额投资业务，本基金恢复办理申购及定期定额投资业务的时间将另行公告。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Pr="00203705">
        <w:rPr>
          <w:rFonts w:ascii="宋体" w:hAnsi="宋体" w:cs="Arial" w:hint="eastAsia"/>
          <w:color w:val="000000"/>
          <w:szCs w:val="21"/>
        </w:rPr>
        <w:t>可能使投资人面临损失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Pr>
          <w:rFonts w:ascii="宋体" w:hAnsi="宋体" w:cs="Arial" w:hint="eastAsia"/>
          <w:color w:val="000000"/>
          <w:szCs w:val="21"/>
        </w:rPr>
        <w:t>202</w:t>
      </w:r>
      <w:r>
        <w:rPr>
          <w:rFonts w:ascii="宋体" w:hAnsi="宋体" w:cs="Arial"/>
          <w:color w:val="000000"/>
          <w:szCs w:val="21"/>
        </w:rPr>
        <w:t>4</w:t>
      </w:r>
      <w:r w:rsidRPr="00BF4C31">
        <w:rPr>
          <w:rFonts w:ascii="宋体" w:hAnsi="宋体" w:cs="Arial" w:hint="eastAsia"/>
          <w:color w:val="000000"/>
          <w:szCs w:val="21"/>
        </w:rPr>
        <w:t>年</w:t>
      </w:r>
      <w:r w:rsidR="00D01D8D">
        <w:rPr>
          <w:rFonts w:ascii="宋体" w:hAnsi="宋体" w:cs="Arial"/>
          <w:color w:val="000000"/>
          <w:szCs w:val="21"/>
        </w:rPr>
        <w:t>4</w:t>
      </w:r>
      <w:r w:rsidRPr="00BF4C31" w:rsidR="00E815B3">
        <w:rPr>
          <w:rFonts w:ascii="宋体" w:hAnsi="宋体" w:cs="Arial" w:hint="eastAsia"/>
          <w:color w:val="000000"/>
          <w:szCs w:val="21"/>
        </w:rPr>
        <w:t>月</w:t>
      </w:r>
      <w:r w:rsidR="00D01D8D">
        <w:rPr>
          <w:rFonts w:ascii="宋体" w:hAnsi="宋体" w:cs="Arial"/>
          <w:color w:val="000000"/>
          <w:szCs w:val="21"/>
        </w:rPr>
        <w:t>1</w:t>
      </w:r>
      <w:r w:rsidR="007F3C48">
        <w:rPr>
          <w:rFonts w:ascii="宋体" w:hAnsi="宋体" w:cs="Arial"/>
          <w:color w:val="000000"/>
          <w:szCs w:val="21"/>
        </w:rPr>
        <w:t>8</w:t>
      </w:r>
      <w:r w:rsidRPr="00BF4C31" w:rsidR="00DC2D96">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05AD8"/>
    <w:rsid w:val="00031995"/>
    <w:rsid w:val="0004132A"/>
    <w:rsid w:val="00044BD5"/>
    <w:rsid w:val="00047009"/>
    <w:rsid w:val="000607FC"/>
    <w:rsid w:val="000639F3"/>
    <w:rsid w:val="000A6481"/>
    <w:rsid w:val="000B1C54"/>
    <w:rsid w:val="000B26BF"/>
    <w:rsid w:val="000B5E55"/>
    <w:rsid w:val="000C6D4F"/>
    <w:rsid w:val="000E7CC8"/>
    <w:rsid w:val="000F00C7"/>
    <w:rsid w:val="00113236"/>
    <w:rsid w:val="00115F10"/>
    <w:rsid w:val="00116EC3"/>
    <w:rsid w:val="00117E38"/>
    <w:rsid w:val="001223BF"/>
    <w:rsid w:val="0015545A"/>
    <w:rsid w:val="00161B97"/>
    <w:rsid w:val="001A2B7A"/>
    <w:rsid w:val="001A35FA"/>
    <w:rsid w:val="001A7CA6"/>
    <w:rsid w:val="001B4EBD"/>
    <w:rsid w:val="001C1181"/>
    <w:rsid w:val="001D2022"/>
    <w:rsid w:val="001E72CB"/>
    <w:rsid w:val="0020055F"/>
    <w:rsid w:val="00203705"/>
    <w:rsid w:val="00206C81"/>
    <w:rsid w:val="0023132A"/>
    <w:rsid w:val="00243315"/>
    <w:rsid w:val="00244B90"/>
    <w:rsid w:val="0026126A"/>
    <w:rsid w:val="00282A2A"/>
    <w:rsid w:val="002B6A00"/>
    <w:rsid w:val="002C535B"/>
    <w:rsid w:val="002D39B1"/>
    <w:rsid w:val="002E7149"/>
    <w:rsid w:val="0030405D"/>
    <w:rsid w:val="00310F62"/>
    <w:rsid w:val="00315254"/>
    <w:rsid w:val="003316C3"/>
    <w:rsid w:val="00345635"/>
    <w:rsid w:val="0035769F"/>
    <w:rsid w:val="0036112C"/>
    <w:rsid w:val="00361C73"/>
    <w:rsid w:val="003765A7"/>
    <w:rsid w:val="003A6652"/>
    <w:rsid w:val="003B04EB"/>
    <w:rsid w:val="003D33D0"/>
    <w:rsid w:val="003D428E"/>
    <w:rsid w:val="003E5A45"/>
    <w:rsid w:val="003F0A23"/>
    <w:rsid w:val="00403481"/>
    <w:rsid w:val="00405F1E"/>
    <w:rsid w:val="00410A3E"/>
    <w:rsid w:val="004151B2"/>
    <w:rsid w:val="004168F4"/>
    <w:rsid w:val="00447C0C"/>
    <w:rsid w:val="00462997"/>
    <w:rsid w:val="00471B51"/>
    <w:rsid w:val="004964EB"/>
    <w:rsid w:val="004A00E2"/>
    <w:rsid w:val="004B4B53"/>
    <w:rsid w:val="004C2A77"/>
    <w:rsid w:val="004C4272"/>
    <w:rsid w:val="004D0F2F"/>
    <w:rsid w:val="004D2C00"/>
    <w:rsid w:val="005019ED"/>
    <w:rsid w:val="00507044"/>
    <w:rsid w:val="00507DC2"/>
    <w:rsid w:val="005125D9"/>
    <w:rsid w:val="0055038A"/>
    <w:rsid w:val="0057598D"/>
    <w:rsid w:val="0059554A"/>
    <w:rsid w:val="005B5070"/>
    <w:rsid w:val="005C30B7"/>
    <w:rsid w:val="005C7BFC"/>
    <w:rsid w:val="005D6A06"/>
    <w:rsid w:val="005E147F"/>
    <w:rsid w:val="005E7342"/>
    <w:rsid w:val="005F4B09"/>
    <w:rsid w:val="00624CBC"/>
    <w:rsid w:val="00626839"/>
    <w:rsid w:val="006309B6"/>
    <w:rsid w:val="006349C8"/>
    <w:rsid w:val="0064211B"/>
    <w:rsid w:val="00645D2B"/>
    <w:rsid w:val="00660C3D"/>
    <w:rsid w:val="0067348F"/>
    <w:rsid w:val="00673A78"/>
    <w:rsid w:val="00694B12"/>
    <w:rsid w:val="006A0C30"/>
    <w:rsid w:val="006A3768"/>
    <w:rsid w:val="006C28D8"/>
    <w:rsid w:val="006C6E05"/>
    <w:rsid w:val="006D2798"/>
    <w:rsid w:val="006E4CD4"/>
    <w:rsid w:val="00704B24"/>
    <w:rsid w:val="00715C88"/>
    <w:rsid w:val="007353BA"/>
    <w:rsid w:val="0075075C"/>
    <w:rsid w:val="00754B6A"/>
    <w:rsid w:val="00754CB7"/>
    <w:rsid w:val="00757E05"/>
    <w:rsid w:val="00770C12"/>
    <w:rsid w:val="00771C21"/>
    <w:rsid w:val="00776776"/>
    <w:rsid w:val="0078179D"/>
    <w:rsid w:val="007C016A"/>
    <w:rsid w:val="007C4308"/>
    <w:rsid w:val="007D61E2"/>
    <w:rsid w:val="007D764A"/>
    <w:rsid w:val="007D7880"/>
    <w:rsid w:val="007F3C48"/>
    <w:rsid w:val="007F4114"/>
    <w:rsid w:val="008132B1"/>
    <w:rsid w:val="00814219"/>
    <w:rsid w:val="008271F6"/>
    <w:rsid w:val="00842A72"/>
    <w:rsid w:val="0084557C"/>
    <w:rsid w:val="00856628"/>
    <w:rsid w:val="00882A7A"/>
    <w:rsid w:val="00896972"/>
    <w:rsid w:val="008A1FB8"/>
    <w:rsid w:val="008A46AF"/>
    <w:rsid w:val="008B35C7"/>
    <w:rsid w:val="008B478F"/>
    <w:rsid w:val="008B5B47"/>
    <w:rsid w:val="008C06FF"/>
    <w:rsid w:val="008C0E99"/>
    <w:rsid w:val="008C3F88"/>
    <w:rsid w:val="008E2E76"/>
    <w:rsid w:val="008E4652"/>
    <w:rsid w:val="008F5319"/>
    <w:rsid w:val="00920E4C"/>
    <w:rsid w:val="00924E25"/>
    <w:rsid w:val="00953C13"/>
    <w:rsid w:val="0096326D"/>
    <w:rsid w:val="00966F7D"/>
    <w:rsid w:val="00967756"/>
    <w:rsid w:val="00993FEA"/>
    <w:rsid w:val="009944E3"/>
    <w:rsid w:val="009A744E"/>
    <w:rsid w:val="009B63A4"/>
    <w:rsid w:val="009C1CA4"/>
    <w:rsid w:val="009D14F7"/>
    <w:rsid w:val="00A03522"/>
    <w:rsid w:val="00A03846"/>
    <w:rsid w:val="00A125DE"/>
    <w:rsid w:val="00A151E9"/>
    <w:rsid w:val="00A21735"/>
    <w:rsid w:val="00A236C6"/>
    <w:rsid w:val="00A454E1"/>
    <w:rsid w:val="00A662F7"/>
    <w:rsid w:val="00A8615F"/>
    <w:rsid w:val="00A91540"/>
    <w:rsid w:val="00A95BA3"/>
    <w:rsid w:val="00AB39EA"/>
    <w:rsid w:val="00AB4DA8"/>
    <w:rsid w:val="00AC41A5"/>
    <w:rsid w:val="00AD5170"/>
    <w:rsid w:val="00AE5265"/>
    <w:rsid w:val="00AE787B"/>
    <w:rsid w:val="00AF4C0D"/>
    <w:rsid w:val="00B0361B"/>
    <w:rsid w:val="00B07DE4"/>
    <w:rsid w:val="00B17AE1"/>
    <w:rsid w:val="00B21D2E"/>
    <w:rsid w:val="00B224FE"/>
    <w:rsid w:val="00B30381"/>
    <w:rsid w:val="00B324B6"/>
    <w:rsid w:val="00B32E8F"/>
    <w:rsid w:val="00B434BC"/>
    <w:rsid w:val="00B45761"/>
    <w:rsid w:val="00B62AF6"/>
    <w:rsid w:val="00B82BE3"/>
    <w:rsid w:val="00B877C2"/>
    <w:rsid w:val="00B917EE"/>
    <w:rsid w:val="00B92031"/>
    <w:rsid w:val="00B9638D"/>
    <w:rsid w:val="00B97EE3"/>
    <w:rsid w:val="00BA798A"/>
    <w:rsid w:val="00BB46D7"/>
    <w:rsid w:val="00BB56B7"/>
    <w:rsid w:val="00BC128C"/>
    <w:rsid w:val="00BD1028"/>
    <w:rsid w:val="00BD44C3"/>
    <w:rsid w:val="00BF4C31"/>
    <w:rsid w:val="00BF625A"/>
    <w:rsid w:val="00C021DB"/>
    <w:rsid w:val="00C037B2"/>
    <w:rsid w:val="00C05E6D"/>
    <w:rsid w:val="00C25B80"/>
    <w:rsid w:val="00C32720"/>
    <w:rsid w:val="00C46AD4"/>
    <w:rsid w:val="00C63053"/>
    <w:rsid w:val="00C72CB2"/>
    <w:rsid w:val="00C81842"/>
    <w:rsid w:val="00C81CDF"/>
    <w:rsid w:val="00C81D66"/>
    <w:rsid w:val="00CA4F08"/>
    <w:rsid w:val="00CB0AC1"/>
    <w:rsid w:val="00CB78B6"/>
    <w:rsid w:val="00CD3BCB"/>
    <w:rsid w:val="00CD6F00"/>
    <w:rsid w:val="00CE3149"/>
    <w:rsid w:val="00CF1BBA"/>
    <w:rsid w:val="00CF60FE"/>
    <w:rsid w:val="00D01D8D"/>
    <w:rsid w:val="00D12796"/>
    <w:rsid w:val="00D129A6"/>
    <w:rsid w:val="00D13283"/>
    <w:rsid w:val="00D14F57"/>
    <w:rsid w:val="00D519D4"/>
    <w:rsid w:val="00D541E3"/>
    <w:rsid w:val="00D561EF"/>
    <w:rsid w:val="00D66C66"/>
    <w:rsid w:val="00D77253"/>
    <w:rsid w:val="00D83047"/>
    <w:rsid w:val="00D83610"/>
    <w:rsid w:val="00D86251"/>
    <w:rsid w:val="00D93EA3"/>
    <w:rsid w:val="00DB45F6"/>
    <w:rsid w:val="00DB5883"/>
    <w:rsid w:val="00DC2D96"/>
    <w:rsid w:val="00DC433B"/>
    <w:rsid w:val="00DF0E67"/>
    <w:rsid w:val="00DF3E64"/>
    <w:rsid w:val="00E06763"/>
    <w:rsid w:val="00E10D83"/>
    <w:rsid w:val="00E20EB7"/>
    <w:rsid w:val="00E272A5"/>
    <w:rsid w:val="00E308EC"/>
    <w:rsid w:val="00E37C4F"/>
    <w:rsid w:val="00E4186E"/>
    <w:rsid w:val="00E54B86"/>
    <w:rsid w:val="00E60AB4"/>
    <w:rsid w:val="00E639A6"/>
    <w:rsid w:val="00E63F50"/>
    <w:rsid w:val="00E70928"/>
    <w:rsid w:val="00E815B3"/>
    <w:rsid w:val="00E81A0D"/>
    <w:rsid w:val="00E9459C"/>
    <w:rsid w:val="00E95848"/>
    <w:rsid w:val="00EA1215"/>
    <w:rsid w:val="00EC1019"/>
    <w:rsid w:val="00ED04CA"/>
    <w:rsid w:val="00EE1388"/>
    <w:rsid w:val="00F02A13"/>
    <w:rsid w:val="00F03029"/>
    <w:rsid w:val="00F32797"/>
    <w:rsid w:val="00FA11A7"/>
    <w:rsid w:val="00FC02AE"/>
    <w:rsid w:val="00FD4FC6"/>
    <w:rsid w:val="00FE793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64C6-C70E-4AFE-8F00-D0027DE6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