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1 -->
  <w:body>
    <w:p w:rsidR="007371E2" w:rsidRPr="002066FC" w:rsidP="007371E2">
      <w:pPr>
        <w:spacing w:line="360" w:lineRule="auto"/>
        <w:jc w:val="center"/>
        <w:rPr>
          <w:rFonts w:asciiTheme="minorEastAsia" w:hAnsiTheme="minorEastAsia" w:cs="方正黑体简体"/>
          <w:b/>
          <w:iCs/>
          <w:sz w:val="28"/>
          <w:szCs w:val="28"/>
        </w:rPr>
      </w:pPr>
      <w:r w:rsidRPr="002066FC">
        <w:rPr>
          <w:rFonts w:asciiTheme="minorEastAsia" w:hAnsiTheme="minorEastAsia" w:cs="方正黑体简体"/>
          <w:b/>
          <w:iCs/>
          <w:sz w:val="28"/>
          <w:szCs w:val="28"/>
        </w:rPr>
        <w:t>汇添富香港优势精选混合型证券投资基金C类份额更新基金产品资料概要(2024年04月18日更新)</w:t>
      </w:r>
    </w:p>
    <w:p w:rsidR="007371E2" w:rsidRPr="00D775F8" w:rsidP="00D775F8">
      <w:pPr>
        <w:spacing w:line="360" w:lineRule="auto"/>
        <w:jc w:val="right"/>
        <w:rPr>
          <w:rFonts w:asciiTheme="minorEastAsia" w:hAnsiTheme="minorEastAsia" w:cs="Times New Roman"/>
          <w:szCs w:val="21"/>
        </w:rPr>
      </w:pPr>
      <w:r w:rsidRPr="00D775F8">
        <w:rPr>
          <w:rFonts w:asciiTheme="minorEastAsia" w:hAnsiTheme="minorEastAsia" w:cs="方正仿宋简体"/>
          <w:iCs/>
          <w:szCs w:val="21"/>
        </w:rPr>
        <w:t xml:space="preserve">                     </w:t>
      </w:r>
      <w:r w:rsidRPr="00D775F8">
        <w:rPr>
          <w:rFonts w:asciiTheme="minorEastAsia" w:hAnsiTheme="minorEastAsia" w:cs="方正仿宋简体"/>
          <w:iCs/>
          <w:color w:val="000000" w:themeColor="text1"/>
          <w:szCs w:val="21"/>
        </w:rPr>
        <w:t xml:space="preserve">  </w:t>
      </w:r>
      <w:r w:rsidRPr="00D775F8">
        <w:rPr>
          <w:rFonts w:asciiTheme="minorEastAsia" w:hAnsiTheme="minorEastAsia" w:cs="方正仿宋简体"/>
          <w:iCs/>
          <w:szCs w:val="21"/>
        </w:rPr>
        <w:t xml:space="preserve">  </w:t>
      </w:r>
      <w:r w:rsidRPr="00D775F8">
        <w:rPr>
          <w:rFonts w:asciiTheme="minorEastAsia" w:hAnsiTheme="minorEastAsia" w:cs="方正仿宋简体" w:hint="eastAsia"/>
          <w:bCs/>
          <w:iCs/>
          <w:szCs w:val="21"/>
        </w:rPr>
        <w:t>编制日期：</w:t>
      </w:r>
      <w:r w:rsidRPr="00D775F8">
        <w:rPr>
          <w:rFonts w:asciiTheme="minorEastAsia" w:hAnsiTheme="minorEastAsia" w:cs="Times New Roman"/>
          <w:szCs w:val="21"/>
        </w:rPr>
        <w:t>2024年04月17日</w:t>
      </w:r>
    </w:p>
    <w:p w:rsidR="002066FC" w:rsidRPr="00D775F8" w:rsidP="0043717A">
      <w:pPr>
        <w:spacing w:line="360" w:lineRule="auto"/>
        <w:jc w:val="center"/>
        <w:rPr>
          <w:rFonts w:asciiTheme="minorEastAsia" w:hAnsiTheme="minorEastAsia" w:cs="方正仿宋简体" w:hint="eastAsia"/>
          <w:iCs/>
          <w:szCs w:val="21"/>
        </w:rPr>
      </w:pPr>
      <w:r w:rsidRPr="00D775F8">
        <w:rPr>
          <w:rFonts w:asciiTheme="minorEastAsia" w:hAnsiTheme="minorEastAsia" w:cs="Times New Roman" w:hint="eastAsia"/>
          <w:bCs/>
          <w:szCs w:val="21"/>
        </w:rPr>
        <w:t>送出日</w:t>
      </w:r>
      <w:bookmarkStart w:id="0" w:name="_GoBack"/>
      <w:r w:rsidRPr="00D775F8">
        <w:rPr>
          <w:rFonts w:asciiTheme="minorEastAsia" w:hAnsiTheme="minorEastAsia" w:cs="Times New Roman" w:hint="eastAsia"/>
          <w:bCs/>
          <w:szCs w:val="21"/>
        </w:rPr>
        <w:t>期：</w:t>
      </w:r>
      <w:r w:rsidRPr="00D775F8">
        <w:rPr>
          <w:rFonts w:asciiTheme="minorEastAsia" w:hAnsiTheme="minorEastAsia" w:cs="Times New Roman"/>
          <w:szCs w:val="21"/>
        </w:rPr>
        <w:t>2024年04月18日</w:t>
      </w:r>
      <w:bookmarkEnd w:id="0"/>
      <w:r w:rsidRPr="00D775F8">
        <w:rPr>
          <w:rFonts w:asciiTheme="minorEastAsia" w:hAnsiTheme="minorEastAsia" w:cs="方正仿宋简体"/>
          <w:iCs/>
          <w:szCs w:val="21"/>
        </w:rPr>
        <w:t xml:space="preserve"> </w:t>
      </w:r>
    </w:p>
    <w:p w:rsidR="00D775F8" w:rsidRPr="0043717A" w:rsidP="00D775F8">
      <w:pPr>
        <w:tabs>
          <w:tab w:val="left" w:pos="7770"/>
        </w:tabs>
        <w:spacing w:line="360" w:lineRule="auto"/>
        <w:jc w:val="center"/>
        <w:rPr>
          <w:rFonts w:asciiTheme="minorEastAsia" w:hAnsiTheme="minorEastAsia" w:cs="方正黑体简体"/>
          <w:bCs/>
          <w:iCs/>
          <w:szCs w:val="21"/>
        </w:rPr>
      </w:pPr>
      <w:r w:rsidRPr="0043717A">
        <w:rPr>
          <w:rFonts w:asciiTheme="minorEastAsia" w:hAnsiTheme="minorEastAsia" w:cs="方正黑体简体" w:hint="eastAsia"/>
          <w:bCs/>
          <w:iCs/>
          <w:szCs w:val="21"/>
        </w:rPr>
        <w:t>本概要提供本基金的重要信息，是招募说明书的一部分。</w:t>
      </w:r>
    </w:p>
    <w:p w:rsidR="00D775F8" w:rsidRPr="0043717A" w:rsidP="00D775F8">
      <w:pPr>
        <w:spacing w:line="360" w:lineRule="auto"/>
        <w:jc w:val="center"/>
        <w:rPr>
          <w:rFonts w:asciiTheme="minorEastAsia" w:hAnsiTheme="minorEastAsia" w:cs="方正仿宋简体"/>
          <w:iCs/>
          <w:szCs w:val="21"/>
        </w:rPr>
        <w:sectPr w:rsidSect="009107D8">
          <w:pgSz w:w="12240" w:h="15840"/>
          <w:pgMar w:top="1440" w:right="1800" w:bottom="1440" w:left="1800" w:header="720" w:footer="720" w:gutter="0"/>
          <w:cols w:space="720"/>
        </w:sectPr>
      </w:pPr>
      <w:r w:rsidRPr="0043717A">
        <w:rPr>
          <w:rFonts w:asciiTheme="minorEastAsia" w:hAnsiTheme="minorEastAsia" w:cs="方正黑体简体" w:hint="eastAsia"/>
          <w:bCs/>
          <w:iCs/>
          <w:szCs w:val="21"/>
        </w:rPr>
        <w:t>作出</w:t>
      </w:r>
      <w:r w:rsidRPr="0043717A">
        <w:rPr>
          <w:rFonts w:asciiTheme="minorEastAsia" w:hAnsiTheme="minorEastAsia" w:cs="方正黑体简体" w:hint="eastAsia"/>
          <w:bCs/>
          <w:iCs/>
          <w:szCs w:val="21"/>
        </w:rPr>
        <w:t>投资决定前，请阅读完整的招募说明书等销售文件。</w:t>
      </w:r>
    </w:p>
    <w:p w:rsidR="00834E25" w:rsidP="00213261">
      <w:pPr>
        <w:pStyle w:val="ListParagraph"/>
        <w:numPr>
          <w:ilvl w:val="0"/>
          <w:numId w:val="1"/>
        </w:numPr>
        <w:spacing w:line="360" w:lineRule="auto"/>
        <w:ind w:left="447" w:hanging="447" w:hangingChars="213"/>
        <w:rPr>
          <w:rFonts w:ascii="宋体" w:eastAsia="宋体" w:hAnsi="宋体" w:cs="方正仿宋简体"/>
          <w:b/>
          <w:bCs/>
          <w:iCs/>
          <w:szCs w:val="21"/>
        </w:rPr>
      </w:pPr>
      <w:r w:rsidRPr="00213261">
        <w:rPr>
          <w:rFonts w:ascii="宋体" w:eastAsia="宋体" w:hAnsi="宋体" w:cs="方正仿宋简体" w:hint="eastAsia"/>
          <w:b/>
          <w:bCs/>
          <w:iCs/>
          <w:szCs w:val="21"/>
        </w:rPr>
        <w:t>产品概况</w:t>
      </w:r>
    </w:p>
    <w:p w:rsidR="00DF6E25" w:rsidRPr="0074720D" w:rsidP="0074720D">
      <w:pPr>
        <w:rPr>
          <w:rFonts w:ascii="宋体" w:eastAsia="宋体" w:hAnsi="宋体" w:cs="方正仿宋简体"/>
          <w:bCs/>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汇添富香港优势精选混合(QDII)</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470888</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下属基金简称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汇添富香港优势精选混合(QDII)C</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下属基金代码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017873</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基金管理人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汇添富基金管理股份有限公司</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基金托管人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中国工商银行股份有限公司</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境外投资顾问</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境外托管人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布朗兄弟哈里曼银行</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基金合同生效日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2014年01月17日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上市交易所</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基金类型</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混合型</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交易币种</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人民币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运作方式</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普通开放式</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开放频率</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每个开放日</w:t>
            </w:r>
          </w:p>
        </w:tc>
      </w:tr>
      <w:tr>
        <w:tblPrEx>
          <w:tblW w:w="5000" w:type="pct"/>
          <w:tblCellMar>
            <w:left w:w="108" w:type="dxa"/>
            <w:right w:w="108" w:type="dxa"/>
          </w:tblCellMar>
        </w:tblPrEx>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基金经理</w:t>
            </w:r>
          </w:p>
        </w:tc>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张韡</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开始担任本基金基金经理的日期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2021年09月29日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证券从业日期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2014年03月25日</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其他</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自2023年2月7日起，汇添富香港优势精选混合型证券投资基金增设C类基金份额。</w:t>
            </w:r>
          </w:p>
        </w:tc>
      </w:tr>
    </w:tbl>
    <w:p w:rsidR="00DF6E25" w:rsidRPr="0074720D" w:rsidP="0074720D">
      <w:pPr>
        <w:rPr>
          <w:rFonts w:ascii="宋体" w:eastAsia="宋体" w:hAnsi="宋体" w:cs="方正仿宋简体"/>
          <w:bCs/>
          <w:iCs/>
          <w:szCs w:val="21"/>
        </w:rPr>
      </w:pPr>
    </w:p>
    <w:p w:rsidR="00025EAC" w:rsidRPr="0074720D" w:rsidP="0074720D">
      <w:pPr>
        <w:rPr>
          <w:rFonts w:ascii="宋体" w:eastAsia="宋体" w:hAnsi="宋体" w:cs="方正仿宋简体"/>
          <w:iCs/>
          <w:szCs w:val="21"/>
        </w:rPr>
        <w:sectPr w:rsidSect="00FE250C">
          <w:type w:val="continuous"/>
          <w:pgSz w:w="12240" w:h="15840"/>
          <w:pgMar w:top="1440" w:right="1800" w:bottom="1440" w:left="1800" w:header="720" w:footer="720" w:gutter="0"/>
          <w:cols w:space="720"/>
        </w:sectPr>
      </w:pPr>
    </w:p>
    <w:p w:rsidR="00834E25" w:rsidRPr="00124F47" w:rsidP="00D32707">
      <w:pPr>
        <w:spacing w:line="360" w:lineRule="auto"/>
        <w:rPr>
          <w:rFonts w:ascii="宋体" w:eastAsia="宋体" w:hAnsi="宋体" w:cs="方正仿宋简体"/>
          <w:b/>
          <w:bCs/>
          <w:iCs/>
          <w:szCs w:val="21"/>
        </w:rPr>
      </w:pPr>
      <w:r w:rsidRPr="00124F47">
        <w:rPr>
          <w:rFonts w:ascii="宋体" w:eastAsia="宋体" w:hAnsi="宋体" w:cs="方正仿宋简体" w:hint="eastAsia"/>
          <w:b/>
          <w:bCs/>
          <w:iCs/>
          <w:szCs w:val="21"/>
        </w:rPr>
        <w:t>二、</w:t>
      </w:r>
      <w:r w:rsidRPr="00124F47">
        <w:rPr>
          <w:rFonts w:ascii="宋体" w:eastAsia="宋体" w:hAnsi="宋体" w:cs="方正仿宋简体"/>
          <w:b/>
          <w:bCs/>
          <w:iCs/>
          <w:szCs w:val="21"/>
        </w:rPr>
        <w:t xml:space="preserve"> </w:t>
      </w:r>
      <w:r w:rsidRPr="00124F47">
        <w:rPr>
          <w:rFonts w:ascii="宋体" w:eastAsia="宋体" w:hAnsi="宋体" w:cs="方正仿宋简体"/>
          <w:b/>
          <w:bCs/>
          <w:iCs/>
          <w:szCs w:val="21"/>
        </w:rPr>
        <w:t>基金投资与净值表现</w:t>
      </w:r>
    </w:p>
    <w:p w:rsidR="00834E25" w:rsidRPr="00124F47" w:rsidP="00D32707">
      <w:pPr>
        <w:spacing w:line="360" w:lineRule="auto"/>
        <w:rPr>
          <w:rFonts w:ascii="宋体" w:eastAsia="宋体" w:hAnsi="宋体" w:cs="方正仿宋简体"/>
          <w:b/>
          <w:bCs/>
          <w:iCs/>
          <w:szCs w:val="21"/>
        </w:rPr>
        <w:sectPr w:rsidSect="00512717">
          <w:type w:val="continuous"/>
          <w:pgSz w:w="12240" w:h="15840"/>
          <w:pgMar w:top="1440" w:right="1800" w:bottom="1440" w:left="1800" w:header="720" w:footer="720" w:gutter="0"/>
          <w:cols w:space="720"/>
        </w:sectPr>
      </w:pPr>
    </w:p>
    <w:p w:rsidR="00EB4244" w:rsidRPr="006E61A9" w:rsidP="00EB4244">
      <w:pPr>
        <w:spacing w:line="360" w:lineRule="auto"/>
        <w:rPr>
          <w:rFonts w:ascii="宋体" w:eastAsia="宋体" w:hAnsi="宋体" w:cs="方正仿宋简体"/>
          <w:b/>
          <w:bCs/>
          <w:iCs/>
          <w:szCs w:val="21"/>
        </w:rPr>
      </w:pPr>
      <w:r w:rsidRPr="00EB4244">
        <w:rPr>
          <w:rFonts w:ascii="宋体" w:eastAsia="宋体" w:hAnsi="宋体" w:cs="方正仿宋简体" w:hint="eastAsia"/>
          <w:b/>
          <w:bCs/>
          <w:iCs/>
          <w:szCs w:val="21"/>
        </w:rPr>
        <w:t>（一）</w:t>
      </w:r>
      <w:r w:rsidRPr="006E61A9">
        <w:rPr>
          <w:rFonts w:ascii="宋体" w:eastAsia="宋体" w:hAnsi="宋体" w:cs="方正仿宋简体"/>
          <w:b/>
          <w:bCs/>
          <w:iCs/>
          <w:szCs w:val="21"/>
        </w:rPr>
        <w:t>投资目标与投资策略</w:t>
      </w:r>
    </w:p>
    <w:tbl>
      <w:tblPr>
        <w:tblStyle w:val="TableNormal"/>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3"/>
        <w:gridCol w:w="6946"/>
      </w:tblGrid>
      <w:tr w:rsidTr="00EB4244">
        <w:tblPrEx>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38"/>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投资目标</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在香港证券市场精选具有持续竞争优势且估值有吸引力的公司股票等证券，通过有效的资产配置和组合管理，进行中长期投资布局，在有效管理风险的前提下，追求持续稳健的较高投资回报。</w:t>
            </w:r>
          </w:p>
        </w:tc>
      </w:tr>
      <w:tr w:rsidTr="00EB4244">
        <w:tblPrEx>
          <w:tblW w:w="8789" w:type="dxa"/>
          <w:tblInd w:w="27" w:type="dxa"/>
          <w:tblLook w:val="0000"/>
        </w:tblPrEx>
        <w:trPr>
          <w:trHeight w:val="416"/>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投资范围</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投资范围为香港证券市场公开上市的股票、固定收益产品、基金、货币市场工具以及相关法律法规和中国证监会允许本基金投资的其他金融工具。如法律法规或监管机构以后允许基金投资其他品种，本基金管理人在履行适当程序后，可以将其纳入投资范围。本基金的投资组合比例为：投资于股票的基金资产占基金资产总值的比例为60%-95%；其余基金资产投资于固定收益产品、基金、货币市场工具以及相关法律法规和中国证监会允许本基金投资的其他金融工具，其占基金资产总值的比例为5%-40%，其中基金持有的现金和到期日在一年以内的政府债券不低于基金资产净值的5%，本基金所指的现金不包括结算备付金、存出保证金、应收申购款等。在有关法律法规发生变动时，本基金资产配置比例等应作相应调整。</w:t>
            </w:r>
          </w:p>
        </w:tc>
      </w:tr>
      <w:tr w:rsidTr="00EB4244">
        <w:tblPrEx>
          <w:tblW w:w="8789" w:type="dxa"/>
          <w:tblInd w:w="27" w:type="dxa"/>
          <w:tblLook w:val="0000"/>
        </w:tblPrEx>
        <w:trPr>
          <w:trHeight w:val="407"/>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主要投资策略</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主要采用稳健的资产配置和积极的股票投资策略。在资产配置中，根据宏观经济和证券市场状况，通过分析股票市场、固定收益产品及货币市场工具等的预期风险收益特征，确定投资组合的投资范围和比例。在股票投资中，采用“自下而上”的策略，精选出具有持续竞争优势，且估值有吸引力的股票，精心科学构建股票投资组合，并辅以严格的投资组合风险控制，以获得中长期的较高投资收益。本基金投资策略的重点是精选股票策略。本基金的投资策略主要包括：资产配置策略、股票投资策略、基金投资策略、固定收益产品投资策略、衍生工具投资策略。</w:t>
            </w:r>
          </w:p>
        </w:tc>
      </w:tr>
      <w:tr w:rsidTr="00EB4244">
        <w:tblPrEx>
          <w:tblW w:w="8789" w:type="dxa"/>
          <w:tblInd w:w="27" w:type="dxa"/>
          <w:tblLook w:val="0000"/>
        </w:tblPrEx>
        <w:trPr>
          <w:trHeight w:val="412"/>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业绩比较基准</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MSCI中华指数(MSCI ZhongHua Index)</w:t>
            </w:r>
          </w:p>
        </w:tc>
      </w:tr>
      <w:tr w:rsidTr="00EB4244">
        <w:tblPrEx>
          <w:tblW w:w="8789" w:type="dxa"/>
          <w:tblInd w:w="27" w:type="dxa"/>
          <w:tblLook w:val="0000"/>
        </w:tblPrEx>
        <w:trPr>
          <w:trHeight w:val="419"/>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风险收益特征</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本基金为投资于香港证券市场的主动混合型基金，其预期收益及风险水平低于股票型基金，高于债券型基金及货币市场基金，属于中高收益/风险特征的基金。</w:t>
            </w:r>
          </w:p>
        </w:tc>
      </w:tr>
    </w:tbl>
    <w:p w:rsidR="0051145B" w:rsidRPr="00EB4244" w:rsidP="00EB4244">
      <w:pPr>
        <w:rPr>
          <w:rFonts w:ascii="宋体" w:eastAsia="宋体" w:hAnsi="宋体" w:cs="方正仿宋简体"/>
          <w:iCs/>
          <w:szCs w:val="21"/>
        </w:rPr>
        <w:sectPr w:rsidSect="00F576B5">
          <w:type w:val="continuous"/>
          <w:pgSz w:w="12240" w:h="15840"/>
          <w:pgMar w:top="1440" w:right="1800" w:bottom="1440" w:left="1800" w:header="720" w:footer="720" w:gutter="0"/>
          <w:cols w:space="720"/>
        </w:sectPr>
      </w:pPr>
      <w:r w:rsidRPr="00EB4244">
        <w:rPr>
          <w:rFonts w:ascii="宋体" w:eastAsia="宋体" w:hAnsi="宋体" w:cs="方正仿宋简体"/>
          <w:iCs/>
          <w:szCs w:val="21"/>
        </w:rPr>
        <w:t>注：投资者欲了解本基金的详细情况，请仔细阅读本基金的《招募说明书》。本基金产品有风险，投资需谨慎。</w:t>
      </w:r>
    </w:p>
    <w:p w:rsidR="00D76FFC" w:rsidRPr="00D76FFC" w:rsidP="00D76FFC">
      <w:pPr>
        <w:spacing w:line="360" w:lineRule="auto"/>
        <w:rPr>
          <w:rFonts w:ascii="宋体" w:eastAsia="宋体" w:hAnsi="宋体" w:cs="方正仿宋简体"/>
          <w:b/>
          <w:bCs/>
          <w:iCs/>
          <w:szCs w:val="21"/>
        </w:rPr>
      </w:pPr>
      <w:r w:rsidRPr="00D76FFC">
        <w:rPr>
          <w:rFonts w:ascii="宋体" w:eastAsia="宋体" w:hAnsi="宋体" w:cs="方正仿宋简体" w:hint="eastAsia"/>
          <w:b/>
          <w:bCs/>
          <w:iCs/>
          <w:szCs w:val="21"/>
        </w:rPr>
        <w:t>（二）</w:t>
      </w:r>
      <w:r w:rsidRPr="00D76FFC">
        <w:rPr>
          <w:rFonts w:ascii="宋体" w:eastAsia="宋体" w:hAnsi="宋体" w:cs="方正仿宋简体"/>
          <w:b/>
          <w:bCs/>
          <w:iCs/>
          <w:szCs w:val="21"/>
        </w:rPr>
        <w:t>投资组合资产配置图表和区域配置图表</w:t>
      </w:r>
      <w:r w:rsidRPr="00D76FFC">
        <w:rPr>
          <w:rFonts w:ascii="宋体" w:eastAsia="宋体" w:hAnsi="宋体" w:cs="方正仿宋简体"/>
          <w:b/>
          <w:bCs/>
          <w:iCs/>
          <w:szCs w:val="21"/>
        </w:rPr>
        <w:t xml:space="preserve">  </w:t>
      </w:r>
    </w:p>
    <w:p w:rsidR="00AC240E" w:rsidP="00D76FFC">
      <w:pPr>
        <w:spacing w:line="360" w:lineRule="auto"/>
        <w:rPr>
          <w:rFonts w:ascii="宋体" w:eastAsia="宋体" w:hAnsi="宋体" w:cs="宋体"/>
          <w:iCs/>
          <w:sz w:val="24"/>
          <w:szCs w:val="21"/>
        </w:rPr>
      </w:pPr>
      <w:r>
        <w:rPr>
          <w:rFonts w:ascii="宋体" w:eastAsia="宋体" w:hAnsi="宋体" w:cs="宋体"/>
          <w:iCs/>
          <w:sz w:val="24"/>
          <w:szCs w:val="21"/>
        </w:rPr>
        <w:drawing>
          <wp:inline>
            <wp:extent cx="5486400" cy="3657600"/>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xmlns:r="http://schemas.openxmlformats.org/officeDocument/2006/relationships" r:embed="rId4"/>
                    <a:stretch>
                      <a:fillRect/>
                    </a:stretch>
                  </pic:blipFill>
                  <pic:spPr>
                    <a:xfrm>
                      <a:off x="0" y="0"/>
                      <a:ext cx="5486400" cy="3657600"/>
                    </a:xfrm>
                    <a:prstGeom prst="rect">
                      <a:avLst/>
                    </a:prstGeom>
                  </pic:spPr>
                </pic:pic>
              </a:graphicData>
            </a:graphic>
          </wp:inline>
        </w:drawing>
      </w:r>
    </w:p>
    <w:p w:rsidR="002712C4" w:rsidRPr="00292ED2" w:rsidP="00D76FFC">
      <w:pPr>
        <w:spacing w:line="360" w:lineRule="auto"/>
        <w:rPr>
          <w:rFonts w:ascii="宋体" w:eastAsia="宋体" w:hAnsi="宋体" w:cs="宋体"/>
          <w:iCs/>
          <w:sz w:val="24"/>
          <w:szCs w:val="21"/>
        </w:rPr>
        <w:sectPr w:rsidSect="0087548F">
          <w:type w:val="continuous"/>
          <w:pgSz w:w="12240" w:h="15840"/>
          <w:pgMar w:top="1440" w:right="1800" w:bottom="1440" w:left="1800" w:header="720" w:footer="720" w:gutter="0"/>
          <w:cols w:space="720"/>
        </w:sectPr>
      </w:pPr>
      <w:r w:rsidRPr="00292ED2">
        <w:rPr>
          <w:rFonts w:ascii="宋体" w:eastAsia="宋体" w:hAnsi="宋体" w:cs="宋体"/>
          <w:iCs/>
          <w:sz w:val="24"/>
          <w:szCs w:val="21"/>
        </w:rPr>
        <w:drawing>
          <wp:inline>
            <wp:extent cx="5486400" cy="3657600"/>
            <wp:docPr id="10000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4" name=""/>
                    <pic:cNvPicPr>
                      <a:picLocks noChangeAspect="1"/>
                    </pic:cNvPicPr>
                  </pic:nvPicPr>
                  <pic:blipFill>
                    <a:blip xmlns:r="http://schemas.openxmlformats.org/officeDocument/2006/relationships" r:embed="rId5"/>
                    <a:stretch>
                      <a:fillRect/>
                    </a:stretch>
                  </pic:blipFill>
                  <pic:spPr>
                    <a:xfrm>
                      <a:off x="0" y="0"/>
                      <a:ext cx="5486400" cy="3657600"/>
                    </a:xfrm>
                    <a:prstGeom prst="rect">
                      <a:avLst/>
                    </a:prstGeom>
                  </pic:spPr>
                </pic:pic>
              </a:graphicData>
            </a:graphic>
          </wp:inline>
        </w:drawing>
      </w:r>
    </w:p>
    <w:p w:rsidR="00A02F78" w:rsidRPr="00A02F78" w:rsidP="00A02F78">
      <w:pPr>
        <w:spacing w:line="360" w:lineRule="auto"/>
        <w:rPr>
          <w:rFonts w:ascii="宋体" w:eastAsia="宋体" w:hAnsi="宋体" w:cs="方正仿宋简体"/>
          <w:b/>
          <w:bCs/>
          <w:iCs/>
          <w:szCs w:val="21"/>
        </w:rPr>
      </w:pPr>
      <w:r w:rsidRPr="00A02F78">
        <w:rPr>
          <w:rFonts w:ascii="宋体" w:eastAsia="宋体" w:hAnsi="宋体" w:cs="方正仿宋简体" w:hint="eastAsia"/>
          <w:b/>
          <w:bCs/>
          <w:iCs/>
          <w:szCs w:val="21"/>
        </w:rPr>
        <w:t>（三）</w:t>
      </w:r>
      <w:r w:rsidRPr="00A02F78">
        <w:rPr>
          <w:rFonts w:ascii="宋体" w:eastAsia="宋体" w:hAnsi="宋体" w:cs="方正仿宋简体"/>
          <w:b/>
          <w:bCs/>
          <w:iCs/>
          <w:szCs w:val="21"/>
        </w:rPr>
        <w:t>自基金合同生效以来基金每年的净值增长率及与同期业绩比较基准的比较图</w:t>
      </w:r>
    </w:p>
    <w:p w:rsidR="00834E25" w:rsidRPr="00A02F78" w:rsidP="00A02F78">
      <w:pPr>
        <w:spacing w:line="360" w:lineRule="auto"/>
        <w:rPr>
          <w:rFonts w:ascii="宋体" w:eastAsia="宋体" w:hAnsi="宋体" w:cs="方正仿宋简体"/>
          <w:iCs/>
          <w:szCs w:val="21"/>
        </w:rPr>
        <w:sectPr w:rsidSect="008D2884">
          <w:type w:val="continuous"/>
          <w:pgSz w:w="12240" w:h="15840"/>
          <w:pgMar w:top="1440" w:right="1800" w:bottom="1440" w:left="1800" w:header="720" w:footer="720" w:gutter="0"/>
          <w:cols w:space="720"/>
        </w:sectPr>
      </w:pPr>
      <w:r w:rsidRPr="00A02F78">
        <w:rPr>
          <w:rFonts w:ascii="宋体" w:eastAsia="宋体" w:hAnsi="宋体" w:cs="方正仿宋简体"/>
          <w:iCs/>
          <w:szCs w:val="21"/>
        </w:rPr>
        <w:t>无</w:t>
      </w:r>
    </w:p>
    <w:p w:rsidR="00834E25" w:rsidRPr="00340931" w:rsidP="00340931">
      <w:pPr>
        <w:spacing w:line="360" w:lineRule="auto"/>
        <w:rPr>
          <w:rFonts w:ascii="宋体" w:eastAsia="宋体" w:hAnsi="宋体" w:cs="方正仿宋简体"/>
          <w:b/>
          <w:bCs/>
          <w:iCs/>
          <w:szCs w:val="21"/>
        </w:rPr>
        <w:sectPr w:rsidSect="00F34BD9">
          <w:type w:val="continuous"/>
          <w:pgSz w:w="12240" w:h="15840"/>
          <w:pgMar w:top="1440" w:right="1800" w:bottom="1440" w:left="1800" w:header="720" w:footer="720" w:gutter="0"/>
          <w:cols w:space="720"/>
        </w:sectPr>
      </w:pPr>
      <w:r w:rsidRPr="00340931">
        <w:rPr>
          <w:rFonts w:ascii="宋体" w:eastAsia="宋体" w:hAnsi="宋体" w:cs="方正仿宋简体" w:hint="eastAsia"/>
          <w:b/>
          <w:bCs/>
          <w:iCs/>
          <w:szCs w:val="21"/>
        </w:rPr>
        <w:t>三、投资本基金涉及的费用</w:t>
      </w:r>
    </w:p>
    <w:p w:rsidR="00263627" w:rsidRPr="00B4654F" w:rsidP="00263627">
      <w:pPr>
        <w:spacing w:line="360" w:lineRule="auto"/>
        <w:rPr>
          <w:rFonts w:ascii="宋体" w:eastAsia="宋体" w:hAnsi="宋体"/>
          <w:b/>
        </w:rPr>
      </w:pPr>
      <w:r w:rsidRPr="00B4654F">
        <w:rPr>
          <w:rFonts w:ascii="宋体" w:eastAsia="宋体" w:hAnsi="宋体" w:hint="eastAsia"/>
          <w:b/>
        </w:rPr>
        <w:t>（一）基金销售相关费用</w:t>
      </w:r>
    </w:p>
    <w:p w:rsidR="00F66C8F" w:rsidRPr="00263627" w:rsidP="00F66C8F">
      <w:pPr>
        <w:spacing w:line="240" w:lineRule="atLeast"/>
        <w:rPr>
          <w:rFonts w:ascii="宋体" w:eastAsia="宋体" w:hAnsi="宋体"/>
        </w:rPr>
      </w:pPr>
      <w:r w:rsidRPr="00263627">
        <w:rPr>
          <w:rFonts w:ascii="宋体" w:eastAsia="宋体" w:hAnsi="宋体"/>
        </w:rPr>
        <w:t>以下费用在申购/赎回基金过程中收取：</w:t>
      </w:r>
    </w:p>
    <w:p w:rsidR="00834E25" w:rsidRPr="00263627" w:rsidP="00BC38BD">
      <w:pPr>
        <w:spacing w:line="240" w:lineRule="atLeast"/>
        <w:rPr>
          <w:rFonts w:ascii="宋体" w:eastAsia="宋体" w:hAnsi="宋体"/>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费用类型</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份额（S）或金额（M）/持有期限（N）</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费率/收费方式</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备注</w:t>
            </w:r>
          </w:p>
        </w:tc>
      </w:tr>
      <w:tr>
        <w:tblPrEx>
          <w:tblW w:w="5000" w:type="pct"/>
          <w:tblCellMar>
            <w:left w:w="108" w:type="dxa"/>
            <w:right w:w="108" w:type="dxa"/>
          </w:tblCellMar>
        </w:tblPrEx>
        <w:tc>
          <w:tcPr>
            <w:tcW w:w="20000" w:type="dxa"/>
            <w:vMerge w:val="restart"/>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 xml:space="preserve">赎回费 </w:t>
            </w:r>
          </w:p>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0天≤N&lt;7天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1.50%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7天≤N&lt;30天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0.50%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N≥30天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0.00%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申购费</w:t>
            </w:r>
          </w:p>
        </w:tc>
        <w:tc>
          <w:tcPr>
            <w:tcW w:w="20000" w:type="dxa"/>
            <w:gridSpan w:val="3"/>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本基金C类基金份额不收取申购费用。</w:t>
            </w:r>
          </w:p>
        </w:tc>
      </w:tr>
    </w:tbl>
    <w:p w:rsidR="00834E25" w:rsidRPr="00263627" w:rsidP="00BC38BD">
      <w:pPr>
        <w:spacing w:line="240" w:lineRule="atLeast"/>
        <w:rPr>
          <w:rFonts w:ascii="宋体" w:eastAsia="宋体" w:hAnsi="宋体"/>
        </w:rPr>
      </w:pPr>
    </w:p>
    <w:p w:rsidR="00263627" w:rsidRPr="00263627" w:rsidP="00BC38BD">
      <w:pPr>
        <w:spacing w:line="240" w:lineRule="atLeast"/>
        <w:rPr>
          <w:rFonts w:ascii="宋体" w:eastAsia="宋体" w:hAnsi="宋体"/>
        </w:rPr>
        <w:sectPr w:rsidSect="006A06BB">
          <w:type w:val="continuous"/>
          <w:pgSz w:w="12240" w:h="15840"/>
          <w:pgMar w:top="1440" w:right="1800" w:bottom="1440" w:left="1800" w:header="720" w:footer="720" w:gutter="0"/>
          <w:cols w:space="720"/>
        </w:sectPr>
      </w:pPr>
      <w:r w:rsidRPr="00263627">
        <w:rPr>
          <w:rFonts w:ascii="宋体" w:eastAsia="宋体" w:hAnsi="宋体"/>
        </w:rPr>
        <w:t>注：本基金已成立，投资本基金不涉及认购费。</w:t>
      </w:r>
    </w:p>
    <w:p w:rsidR="004118E0" w:rsidRPr="004118E0" w:rsidP="004118E0">
      <w:pPr>
        <w:spacing w:line="360" w:lineRule="auto"/>
        <w:rPr>
          <w:rFonts w:ascii="宋体" w:eastAsia="宋体" w:hAnsi="宋体" w:cs="方正仿宋简体"/>
          <w:b/>
          <w:bCs/>
          <w:iCs/>
          <w:szCs w:val="21"/>
        </w:rPr>
      </w:pPr>
      <w:r w:rsidRPr="004118E0">
        <w:rPr>
          <w:rFonts w:ascii="宋体" w:eastAsia="宋体" w:hAnsi="宋体" w:cs="方正仿宋简体" w:hint="eastAsia"/>
          <w:b/>
          <w:bCs/>
          <w:iCs/>
          <w:szCs w:val="21"/>
        </w:rPr>
        <w:t>（二）</w:t>
      </w:r>
      <w:r w:rsidRPr="004118E0">
        <w:rPr>
          <w:rFonts w:ascii="宋体" w:eastAsia="宋体" w:hAnsi="宋体" w:cs="方正仿宋简体"/>
          <w:b/>
          <w:bCs/>
          <w:iCs/>
          <w:szCs w:val="21"/>
        </w:rPr>
        <w:t>基金运作相关费用</w:t>
      </w:r>
    </w:p>
    <w:p w:rsidR="004118E0" w:rsidP="004118E0">
      <w:pPr>
        <w:spacing w:line="360" w:lineRule="auto"/>
        <w:rPr>
          <w:rFonts w:ascii="宋体" w:eastAsia="宋体" w:hAnsi="宋体" w:cs="方正仿宋简体"/>
          <w:iCs/>
          <w:szCs w:val="21"/>
        </w:rPr>
      </w:pPr>
      <w:r w:rsidRPr="004118E0">
        <w:rPr>
          <w:rFonts w:ascii="宋体" w:eastAsia="宋体" w:hAnsi="宋体" w:cs="方正仿宋简体" w:hint="eastAsia"/>
          <w:iCs/>
          <w:szCs w:val="21"/>
        </w:rPr>
        <w:t>以下费用将从基金资产中扣除：</w:t>
      </w:r>
    </w:p>
    <w:p w:rsidR="004118E0" w:rsidRPr="004118E0" w:rsidP="004118E0">
      <w:pPr>
        <w:rPr>
          <w:rFonts w:ascii="宋体" w:eastAsia="宋体" w:hAnsi="宋体" w:cs="方正仿宋简体"/>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877"/>
        <w:gridCol w:w="2877"/>
        <w:gridCol w:w="287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费用类别</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年费率</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收费方式</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管理费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1.6%</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托管费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0.3%</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销售服务费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0.6%</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其他费用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合同》生效后与基金相关的信息披露费用/会计师费和律师费/基金份额持有人大会费用/基金的证券交易费用/基金的证券结算费用/代表基金投票或其他与基金投资活动有关的费用/基金的银行汇划费用以及按照国家有关规定和《基金合同》约定，可以在基金财产中列支的其他费用。本基金终止清算时所发生费用，按实际支出额从基金财产总值中扣除。</w:t>
            </w:r>
          </w:p>
        </w:tc>
      </w:tr>
    </w:tbl>
    <w:p w:rsidR="004118E0" w:rsidRPr="004118E0" w:rsidP="004118E0">
      <w:pPr>
        <w:rPr>
          <w:rFonts w:ascii="宋体" w:eastAsia="宋体" w:hAnsi="宋体" w:cs="方正仿宋简体"/>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注：本基金费用的计算方法和支付方式详见本基金的《招募说明书》。本基金交易证券、基金等产生的费用和税负，按实际发生额从基金资产扣除。</w:t>
      </w:r>
    </w:p>
    <w:p w:rsidR="00834E25" w:rsidRPr="00C2264A" w:rsidP="00C2264A">
      <w:pPr>
        <w:spacing w:line="360" w:lineRule="auto"/>
        <w:rPr>
          <w:rFonts w:ascii="宋体" w:eastAsia="宋体" w:hAnsi="宋体" w:cs="方正仿宋简体"/>
          <w:b/>
          <w:bCs/>
          <w:iCs/>
          <w:szCs w:val="21"/>
        </w:rPr>
        <w:sectPr w:rsidSect="000666D8">
          <w:type w:val="continuous"/>
          <w:pgSz w:w="12240" w:h="15840"/>
          <w:pgMar w:top="1440" w:right="1800" w:bottom="1440" w:left="1800" w:header="720" w:footer="720" w:gutter="0"/>
          <w:cols w:space="720"/>
        </w:sectPr>
      </w:pPr>
      <w:r w:rsidRPr="00C2264A">
        <w:rPr>
          <w:rFonts w:ascii="宋体" w:eastAsia="宋体" w:hAnsi="宋体" w:cs="方正仿宋简体" w:hint="eastAsia"/>
          <w:b/>
          <w:bCs/>
          <w:iCs/>
          <w:szCs w:val="21"/>
        </w:rPr>
        <w:t>四、</w:t>
      </w:r>
      <w:r w:rsidRPr="00C2264A">
        <w:rPr>
          <w:rFonts w:ascii="宋体" w:eastAsia="宋体" w:hAnsi="宋体" w:cs="方正仿宋简体"/>
          <w:b/>
          <w:bCs/>
          <w:iCs/>
          <w:szCs w:val="21"/>
        </w:rPr>
        <w:t>风险揭示与重要提示</w:t>
      </w:r>
    </w:p>
    <w:p w:rsidR="008C558C" w:rsidRPr="008C558C" w:rsidP="008C558C">
      <w:pPr>
        <w:spacing w:line="360" w:lineRule="auto"/>
        <w:rPr>
          <w:rFonts w:ascii="宋体" w:eastAsia="宋体" w:hAnsi="宋体" w:cs="方正仿宋简体"/>
          <w:b/>
          <w:bCs/>
          <w:iCs/>
          <w:szCs w:val="21"/>
        </w:rPr>
      </w:pPr>
      <w:r w:rsidRPr="008C558C">
        <w:rPr>
          <w:rFonts w:ascii="宋体" w:eastAsia="宋体" w:hAnsi="宋体" w:cs="方正仿宋简体" w:hint="eastAsia"/>
          <w:b/>
          <w:bCs/>
          <w:iCs/>
          <w:szCs w:val="21"/>
        </w:rPr>
        <w:t>（一）</w:t>
      </w:r>
      <w:r w:rsidRPr="008C558C">
        <w:rPr>
          <w:rFonts w:ascii="宋体" w:eastAsia="宋体" w:hAnsi="宋体" w:cs="方正仿宋简体"/>
          <w:b/>
          <w:bCs/>
          <w:iCs/>
          <w:szCs w:val="21"/>
        </w:rPr>
        <w:t>风险揭示</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本基金不提供任何保证。投资者可能损失投资本金。</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投资有风险，投资者购买基金时应认真阅读本基金的《招募说明书》等销售文件。</w:t>
      </w:r>
    </w:p>
    <w:p w:rsidR="00834E25" w:rsidRPr="008C558C" w:rsidP="008C558C">
      <w:pPr>
        <w:spacing w:line="360" w:lineRule="auto"/>
        <w:ind w:firstLine="420" w:firstLineChars="200"/>
        <w:rPr>
          <w:rFonts w:ascii="宋体" w:eastAsia="宋体" w:hAnsi="宋体" w:cs="方正仿宋简体"/>
          <w:iCs/>
          <w:szCs w:val="21"/>
        </w:rPr>
        <w:sectPr w:rsidSect="00730C3D">
          <w:type w:val="continuous"/>
          <w:pgSz w:w="12240" w:h="15840"/>
          <w:pgMar w:top="1440" w:right="1800" w:bottom="1440" w:left="1800" w:header="720" w:footer="720" w:gutter="0"/>
          <w:cols w:space="720"/>
        </w:sectPr>
      </w:pPr>
      <w:r w:rsidRPr="008C558C">
        <w:rPr>
          <w:rFonts w:ascii="宋体" w:eastAsia="宋体" w:hAnsi="宋体" w:cs="方正仿宋简体"/>
          <w:iCs/>
          <w:szCs w:val="21"/>
        </w:rPr>
        <w:t>本基金主要投资于香港证券市场，基金净值会因为香港证券市场波动等因素产生波动。基金投资中出现的风险分为如下两类，一是境外投资产品风险，包括市场风险、汇率风险、政治风险等；二是开放式基金风险，包括利率风险、信用风险、流动性风险、操作风险、会计核算风险、税务风险、交易结算风险、法律风险、衍生品风险等。本基金还可能面临启用侧袋机制的风险。</w:t>
      </w:r>
    </w:p>
    <w:p w:rsidR="005468DA" w:rsidRPr="005468DA" w:rsidP="005468DA">
      <w:pPr>
        <w:spacing w:line="360" w:lineRule="auto"/>
        <w:rPr>
          <w:rFonts w:ascii="宋体" w:eastAsia="宋体" w:hAnsi="宋体" w:cs="方正仿宋简体"/>
          <w:b/>
          <w:bCs/>
          <w:iCs/>
          <w:szCs w:val="21"/>
        </w:rPr>
      </w:pPr>
      <w:r w:rsidRPr="005468DA">
        <w:rPr>
          <w:rFonts w:ascii="宋体" w:eastAsia="宋体" w:hAnsi="宋体" w:cs="方正仿宋简体" w:hint="eastAsia"/>
          <w:b/>
          <w:bCs/>
          <w:iCs/>
          <w:szCs w:val="21"/>
        </w:rPr>
        <w:t>（二）</w:t>
      </w:r>
      <w:r w:rsidRPr="005468DA">
        <w:rPr>
          <w:rFonts w:ascii="宋体" w:eastAsia="宋体" w:hAnsi="宋体" w:cs="方正仿宋简体"/>
          <w:b/>
          <w:bCs/>
          <w:iCs/>
          <w:szCs w:val="21"/>
        </w:rPr>
        <w:t>重要提示</w:t>
      </w:r>
    </w:p>
    <w:p w:rsidR="00727A53"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汇添富香港优势精选混合型证券投资基金由汇添富亚洲澳洲成熟市场（除日本外）优势精选股票型证券投资基金更名而来。2014年1月17日，原《汇添富亚洲澳洲成熟市场（除日本外）优势精选股票型证券投资基金基金合同》失效，《汇添富香港优势精选股票型证券投资基金基金合同》生效，基金更名为“汇添富香港优势精选股票型证券投资基金”。2015年8月5日，基金管理人刊登《汇添富基金管理股份有限公司关于变更旗下“股票型证券投资基金”的基金名称并相应修订基金合同部分条款的公告》，汇添富香港优势精选股票型证券投资基金自2015年8月5日起更名为汇添富香港优势精选混合型证券投资基金。</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中国证监会对本基金募集的核准，并不表明其对本基金的价值和收益作出实质性判断或保证，也不表明投资于本基金没有风险。</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基金管理人依照恪尽职守、诚实信用、谨慎勤勉的原则管理和运用基金财产，但不保证基金一定盈利，也不保证最低收益。</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基金投资者自依基金合同取得基金份额，即成为基金份额持有人和基金合同的当事人。</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本基金的争议解决处理方式为仲裁。具体仲裁机构和仲裁地点详见基金合同的具体约定。</w:t>
      </w:r>
    </w:p>
    <w:p w:rsidRPr="001E2FEA" w:rsidP="00C50D7E">
      <w:pPr>
        <w:spacing w:line="360" w:lineRule="auto"/>
        <w:ind w:firstLine="420" w:firstLineChars="200"/>
        <w:jc w:val="left"/>
        <w:rPr>
          <w:rFonts w:ascii="宋体" w:eastAsia="宋体" w:hAnsi="宋体" w:cs="方正仿宋简体"/>
          <w:iCs/>
          <w:szCs w:val="21"/>
        </w:rPr>
        <w:sectPr w:rsidSect="005F782C">
          <w:type w:val="continuous"/>
          <w:pgSz w:w="12240" w:h="15840"/>
          <w:pgMar w:top="1440" w:right="1800" w:bottom="1440" w:left="1800" w:header="720" w:footer="720" w:gutter="0"/>
          <w:cols w:space="720"/>
        </w:sectPr>
      </w:pPr>
      <w:r w:rsidRPr="001E2FEA">
        <w:rPr>
          <w:rFonts w:ascii="宋体" w:eastAsia="宋体" w:hAnsi="宋体" w:cs="方正仿宋简体"/>
          <w:iCs/>
          <w:szCs w:val="21"/>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575F21" w:rsidRPr="00575F21" w:rsidP="00575F21">
      <w:pPr>
        <w:spacing w:line="360" w:lineRule="auto"/>
        <w:rPr>
          <w:rFonts w:ascii="宋体" w:eastAsia="宋体" w:hAnsi="宋体" w:cs="方正仿宋简体"/>
          <w:b/>
          <w:bCs/>
          <w:iCs/>
          <w:szCs w:val="21"/>
        </w:rPr>
      </w:pPr>
      <w:r w:rsidRPr="00575F21">
        <w:rPr>
          <w:rFonts w:ascii="宋体" w:eastAsia="宋体" w:hAnsi="宋体" w:cs="方正仿宋简体" w:hint="eastAsia"/>
          <w:b/>
          <w:bCs/>
          <w:iCs/>
          <w:szCs w:val="21"/>
        </w:rPr>
        <w:t>五、</w:t>
      </w:r>
      <w:r w:rsidRPr="00575F21">
        <w:rPr>
          <w:rFonts w:ascii="宋体" w:eastAsia="宋体" w:hAnsi="宋体" w:cs="方正仿宋简体"/>
          <w:b/>
          <w:bCs/>
          <w:iCs/>
          <w:szCs w:val="21"/>
        </w:rPr>
        <w:t>其他资料查询方式</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以下资料详见基金管理人网站：www.99fund.com、电话：400-888-9918</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1. 基金合同、托管协议、招募说明书</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2. 定期报告，包括基金季度报告、中期报告和年度报告</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3. 基金份额净值</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4. 基金销售机构及联系方式</w:t>
      </w:r>
    </w:p>
    <w:p w:rsidR="00834E25" w:rsidRPr="00575F21" w:rsidP="00575F21">
      <w:pPr>
        <w:spacing w:line="360" w:lineRule="auto"/>
        <w:ind w:firstLine="420" w:firstLineChars="200"/>
        <w:rPr>
          <w:rFonts w:ascii="宋体" w:eastAsia="宋体" w:hAnsi="宋体" w:cs="方正仿宋简体"/>
          <w:iCs/>
          <w:szCs w:val="21"/>
        </w:rPr>
        <w:sectPr w:rsidSect="0097619B">
          <w:type w:val="continuous"/>
          <w:pgSz w:w="12240" w:h="15840"/>
          <w:pgMar w:top="1440" w:right="1800" w:bottom="1440" w:left="1800" w:header="720" w:footer="720" w:gutter="0"/>
          <w:cols w:space="720"/>
        </w:sectPr>
      </w:pPr>
      <w:r w:rsidRPr="00575F21">
        <w:rPr>
          <w:rFonts w:ascii="宋体" w:eastAsia="宋体" w:hAnsi="宋体" w:cs="方正仿宋简体"/>
          <w:iCs/>
          <w:szCs w:val="21"/>
        </w:rPr>
        <w:t>5. 其他重要资料</w:t>
      </w:r>
    </w:p>
    <w:p w:rsidR="00834E25" w:rsidP="00C723AC">
      <w:pPr>
        <w:spacing w:line="360" w:lineRule="auto"/>
        <w:rPr>
          <w:rFonts w:ascii="宋体" w:eastAsia="宋体" w:hAnsi="宋体" w:cs="方正仿宋简体"/>
          <w:b/>
          <w:bCs/>
          <w:iCs/>
          <w:szCs w:val="21"/>
        </w:rPr>
      </w:pPr>
      <w:r>
        <w:rPr>
          <w:rFonts w:ascii="宋体" w:eastAsia="宋体" w:hAnsi="宋体" w:cs="方正仿宋简体" w:hint="eastAsia"/>
          <w:b/>
          <w:bCs/>
          <w:iCs/>
          <w:szCs w:val="21"/>
        </w:rPr>
        <w:t>六</w:t>
      </w:r>
      <w:r w:rsidRPr="00575F21" w:rsidR="00575F21">
        <w:rPr>
          <w:rFonts w:ascii="宋体" w:eastAsia="宋体" w:hAnsi="宋体" w:cs="方正仿宋简体" w:hint="eastAsia"/>
          <w:b/>
          <w:bCs/>
          <w:iCs/>
          <w:szCs w:val="21"/>
        </w:rPr>
        <w:t>、</w:t>
      </w:r>
      <w:r>
        <w:rPr>
          <w:rFonts w:ascii="宋体" w:eastAsia="宋体" w:hAnsi="宋体" w:cs="方正仿宋简体"/>
          <w:b/>
          <w:bCs/>
          <w:iCs/>
          <w:szCs w:val="21"/>
        </w:rPr>
        <w:t>其他情况说明</w:t>
      </w:r>
    </w:p>
    <w:p w:rsidR="00C723AC" w:rsidRPr="00C723AC" w:rsidP="00C723AC">
      <w:pPr>
        <w:spacing w:line="360" w:lineRule="auto"/>
        <w:ind w:firstLine="420" w:firstLineChars="200"/>
        <w:rPr>
          <w:rFonts w:ascii="宋体" w:eastAsia="宋体" w:hAnsi="宋体" w:cs="方正仿宋简体"/>
          <w:iCs/>
          <w:szCs w:val="21"/>
        </w:rPr>
      </w:pPr>
      <w:r w:rsidRPr="00C723AC">
        <w:rPr>
          <w:rFonts w:ascii="宋体" w:eastAsia="宋体" w:hAnsi="宋体" w:cs="方正仿宋简体"/>
          <w:iCs/>
          <w:szCs w:val="21"/>
        </w:rPr>
        <w:t>本次更新因基金经理变更。</w:t>
      </w:r>
    </w:p>
    <w:sectPr w:rsidSect="0097619B">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简体">
    <w:altName w:val="微软雅黑"/>
    <w:panose1 w:val="00000000000000000000"/>
    <w:charset w:val="86"/>
    <w:family w:val="auto"/>
    <w:notTrueType/>
    <w:pitch w:val="default"/>
    <w:sig w:usb0="00000001" w:usb1="080E0000" w:usb2="00000010" w:usb3="00000000" w:csb0="00040000" w:csb1="00000000"/>
  </w:font>
  <w:font w:name="方正仿宋简体">
    <w:altName w:val="微软雅黑"/>
    <w:panose1 w:val="00000000000000000000"/>
    <w:charset w:val="86"/>
    <w:family w:val="auto"/>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D1C76CB"/>
    <w:multiLevelType w:val="hybridMultilevel"/>
    <w:tmpl w:val="3AA41978"/>
    <w:lvl w:ilvl="0">
      <w:start w:val="1"/>
      <w:numFmt w:val="japaneseCounting"/>
      <w:lvlText w:val="%1、"/>
      <w:lvlJc w:val="left"/>
      <w:pPr>
        <w:ind w:left="450" w:hanging="45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revisionView w:comments="1" w:formatting="1" w:inkAnnotations="1" w:insDel="1" w:markup="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9BE"/>
    <w:rsid w:val="00025EAC"/>
    <w:rsid w:val="00036BDF"/>
    <w:rsid w:val="00124F47"/>
    <w:rsid w:val="001E2FEA"/>
    <w:rsid w:val="002066FC"/>
    <w:rsid w:val="00213261"/>
    <w:rsid w:val="00233040"/>
    <w:rsid w:val="00263627"/>
    <w:rsid w:val="002712C4"/>
    <w:rsid w:val="00292ED2"/>
    <w:rsid w:val="002948F0"/>
    <w:rsid w:val="00331AA2"/>
    <w:rsid w:val="00340931"/>
    <w:rsid w:val="003E0F5A"/>
    <w:rsid w:val="004051D1"/>
    <w:rsid w:val="004118E0"/>
    <w:rsid w:val="0043717A"/>
    <w:rsid w:val="00486D7F"/>
    <w:rsid w:val="004F0A6C"/>
    <w:rsid w:val="0051145B"/>
    <w:rsid w:val="005468DA"/>
    <w:rsid w:val="00575F21"/>
    <w:rsid w:val="006E61A9"/>
    <w:rsid w:val="006F6BAE"/>
    <w:rsid w:val="00724EC9"/>
    <w:rsid w:val="00727A53"/>
    <w:rsid w:val="007371E2"/>
    <w:rsid w:val="0074720D"/>
    <w:rsid w:val="00834E25"/>
    <w:rsid w:val="00837612"/>
    <w:rsid w:val="008466B3"/>
    <w:rsid w:val="008A0B11"/>
    <w:rsid w:val="008C558C"/>
    <w:rsid w:val="008C59BE"/>
    <w:rsid w:val="009E1D5A"/>
    <w:rsid w:val="00A02F78"/>
    <w:rsid w:val="00AC240E"/>
    <w:rsid w:val="00AF19F0"/>
    <w:rsid w:val="00B4654F"/>
    <w:rsid w:val="00BC38BD"/>
    <w:rsid w:val="00C2264A"/>
    <w:rsid w:val="00C50D7E"/>
    <w:rsid w:val="00C723AC"/>
    <w:rsid w:val="00D32707"/>
    <w:rsid w:val="00D76FFC"/>
    <w:rsid w:val="00D775F8"/>
    <w:rsid w:val="00DA3E8D"/>
    <w:rsid w:val="00DF6E25"/>
    <w:rsid w:val="00E01551"/>
    <w:rsid w:val="00E2656A"/>
    <w:rsid w:val="00EA2C49"/>
    <w:rsid w:val="00EB4244"/>
    <w:rsid w:val="00F66C8F"/>
  </w:rsids>
  <w:docVars>
    <w:docVar w:name="KGWebUrl" w:val="http://www.htfreportsit.com/RepTemplateManager//OfficeServer.aspx"/>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10106679-B46B-4B58-9AB5-D7054B881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261"/>
    <w:pPr>
      <w:ind w:firstLine="420" w:firstLineChars="20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image" Target="media/image2.jpeg"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Pages>
  <Words>20</Words>
  <Characters>116</Characters>
  <Application>Microsoft Office Word</Application>
  <DocSecurity>0</DocSecurity>
  <Lines>1</Lines>
  <Paragraphs>1</Paragraphs>
  <ScaleCrop>false</ScaleCrop>
  <Company/>
  <LinksUpToDate>false</LinksUpToDate>
  <CharactersWithSpaces>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演示人</dc:creator>
  <cp:lastModifiedBy>66.67</cp:lastModifiedBy>
  <cp:revision>2</cp:revision>
  <dcterms:created xsi:type="dcterms:W3CDTF">2020-08-14T05:50:00Z</dcterms:created>
  <dcterms:modified xsi:type="dcterms:W3CDTF">2020-08-14T05:50:00Z</dcterms:modified>
</cp:coreProperties>
</file>