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D73D3F"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招商研究优选股票型证券投资基金（</w:t>
      </w:r>
      <w:r>
        <w:rPr>
          <w:rFonts w:ascii="宋体" w:hAnsi="方正黑体简体" w:cs="方正黑体简体"/>
          <w:b/>
          <w:bCs/>
          <w:iCs/>
          <w:sz w:val="31"/>
          <w:szCs w:val="36"/>
        </w:rPr>
        <w:t>C类份额）基金产品资料概要更新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D73D3F">
        <w:rPr>
          <w:rFonts w:ascii="仿宋" w:hAnsi="仿宋"/>
          <w:color w:val="000000" w:themeColor="text1"/>
          <w:sz w:val="24"/>
          <w:szCs w:val="24"/>
        </w:rPr>
        <w:t>2024年4月9日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D73D3F">
        <w:rPr>
          <w:rFonts w:ascii="仿宋" w:hAnsi="仿宋"/>
          <w:color w:val="000000" w:themeColor="text1"/>
          <w:sz w:val="24"/>
          <w:szCs w:val="24"/>
        </w:rPr>
        <w:t>2024年4月19日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D73D3F" w:rsidRDefault="00D73D3F" w:rsidP="00D73D3F">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D73D3F" w:rsidTr="00D73D3F">
        <w:tc>
          <w:tcPr>
            <w:tcW w:w="2076" w:type="dxa"/>
          </w:tcPr>
          <w:p w:rsidR="00D73D3F" w:rsidRDefault="00D73D3F" w:rsidP="00D73D3F">
            <w:pPr>
              <w:jc w:val="left"/>
            </w:pPr>
            <w:r>
              <w:rPr>
                <w:rFonts w:hint="eastAsia"/>
              </w:rPr>
              <w:t>基金简称</w:t>
            </w:r>
          </w:p>
        </w:tc>
        <w:tc>
          <w:tcPr>
            <w:tcW w:w="2076" w:type="dxa"/>
          </w:tcPr>
          <w:p w:rsidR="00D73D3F" w:rsidRDefault="00D73D3F" w:rsidP="00D73D3F">
            <w:pPr>
              <w:jc w:val="left"/>
            </w:pPr>
            <w:r>
              <w:rPr>
                <w:rFonts w:hint="eastAsia"/>
              </w:rPr>
              <w:t>招商研究优选股票</w:t>
            </w:r>
          </w:p>
        </w:tc>
        <w:tc>
          <w:tcPr>
            <w:tcW w:w="2077" w:type="dxa"/>
          </w:tcPr>
          <w:p w:rsidR="00D73D3F" w:rsidRDefault="00D73D3F" w:rsidP="00D73D3F">
            <w:pPr>
              <w:jc w:val="left"/>
            </w:pPr>
            <w:r>
              <w:rPr>
                <w:rFonts w:hint="eastAsia"/>
              </w:rPr>
              <w:t>基金代码</w:t>
            </w:r>
          </w:p>
        </w:tc>
        <w:tc>
          <w:tcPr>
            <w:tcW w:w="2077" w:type="dxa"/>
          </w:tcPr>
          <w:p w:rsidR="00D73D3F" w:rsidRDefault="00D73D3F" w:rsidP="00D73D3F">
            <w:pPr>
              <w:jc w:val="left"/>
            </w:pPr>
            <w:r>
              <w:t>008261</w:t>
            </w:r>
          </w:p>
        </w:tc>
      </w:tr>
      <w:tr w:rsidR="00D73D3F" w:rsidTr="00D73D3F">
        <w:tc>
          <w:tcPr>
            <w:tcW w:w="2076" w:type="dxa"/>
          </w:tcPr>
          <w:p w:rsidR="00D73D3F" w:rsidRDefault="00D73D3F" w:rsidP="00D73D3F">
            <w:pPr>
              <w:jc w:val="left"/>
            </w:pPr>
            <w:r>
              <w:rPr>
                <w:rFonts w:hint="eastAsia"/>
              </w:rPr>
              <w:t>下属基金简称</w:t>
            </w:r>
          </w:p>
        </w:tc>
        <w:tc>
          <w:tcPr>
            <w:tcW w:w="2076" w:type="dxa"/>
          </w:tcPr>
          <w:p w:rsidR="00D73D3F" w:rsidRDefault="00D73D3F" w:rsidP="00D73D3F">
            <w:pPr>
              <w:jc w:val="left"/>
            </w:pPr>
            <w:r>
              <w:rPr>
                <w:rFonts w:hint="eastAsia"/>
              </w:rPr>
              <w:t>招商研究优选股票</w:t>
            </w:r>
            <w:r>
              <w:rPr>
                <w:rFonts w:hint="eastAsia"/>
              </w:rPr>
              <w:t>C</w:t>
            </w:r>
          </w:p>
        </w:tc>
        <w:tc>
          <w:tcPr>
            <w:tcW w:w="2077" w:type="dxa"/>
          </w:tcPr>
          <w:p w:rsidR="00D73D3F" w:rsidRDefault="00D73D3F" w:rsidP="00D73D3F">
            <w:pPr>
              <w:jc w:val="left"/>
            </w:pPr>
            <w:r>
              <w:rPr>
                <w:rFonts w:hint="eastAsia"/>
              </w:rPr>
              <w:t>下属基金代码</w:t>
            </w:r>
          </w:p>
        </w:tc>
        <w:tc>
          <w:tcPr>
            <w:tcW w:w="2077" w:type="dxa"/>
          </w:tcPr>
          <w:p w:rsidR="00D73D3F" w:rsidRDefault="00D73D3F" w:rsidP="00D73D3F">
            <w:pPr>
              <w:jc w:val="left"/>
            </w:pPr>
            <w:r>
              <w:t>008262</w:t>
            </w:r>
          </w:p>
        </w:tc>
      </w:tr>
      <w:tr w:rsidR="00D73D3F" w:rsidTr="00D73D3F">
        <w:tc>
          <w:tcPr>
            <w:tcW w:w="2076" w:type="dxa"/>
          </w:tcPr>
          <w:p w:rsidR="00D73D3F" w:rsidRDefault="00D73D3F" w:rsidP="00D73D3F">
            <w:pPr>
              <w:jc w:val="left"/>
            </w:pPr>
            <w:r>
              <w:rPr>
                <w:rFonts w:hint="eastAsia"/>
              </w:rPr>
              <w:t>基金管理人</w:t>
            </w:r>
          </w:p>
        </w:tc>
        <w:tc>
          <w:tcPr>
            <w:tcW w:w="2076" w:type="dxa"/>
          </w:tcPr>
          <w:p w:rsidR="00D73D3F" w:rsidRDefault="00D73D3F" w:rsidP="00D73D3F">
            <w:pPr>
              <w:jc w:val="left"/>
            </w:pPr>
            <w:r>
              <w:rPr>
                <w:rFonts w:hint="eastAsia"/>
              </w:rPr>
              <w:t>招商基金管理有限公司</w:t>
            </w:r>
          </w:p>
        </w:tc>
        <w:tc>
          <w:tcPr>
            <w:tcW w:w="2077" w:type="dxa"/>
          </w:tcPr>
          <w:p w:rsidR="00D73D3F" w:rsidRDefault="00D73D3F" w:rsidP="00D73D3F">
            <w:pPr>
              <w:jc w:val="left"/>
            </w:pPr>
            <w:r>
              <w:rPr>
                <w:rFonts w:hint="eastAsia"/>
              </w:rPr>
              <w:t>基金托管人</w:t>
            </w:r>
          </w:p>
        </w:tc>
        <w:tc>
          <w:tcPr>
            <w:tcW w:w="2077" w:type="dxa"/>
          </w:tcPr>
          <w:p w:rsidR="00D73D3F" w:rsidRDefault="00D73D3F" w:rsidP="00D73D3F">
            <w:pPr>
              <w:jc w:val="left"/>
            </w:pPr>
            <w:r>
              <w:rPr>
                <w:rFonts w:hint="eastAsia"/>
              </w:rPr>
              <w:t>中国工商银行股份有限公司</w:t>
            </w:r>
          </w:p>
        </w:tc>
      </w:tr>
      <w:tr w:rsidR="00D73D3F" w:rsidTr="00545BA0">
        <w:tc>
          <w:tcPr>
            <w:tcW w:w="2076" w:type="dxa"/>
          </w:tcPr>
          <w:p w:rsidR="00D73D3F" w:rsidRDefault="00D73D3F" w:rsidP="00D73D3F">
            <w:pPr>
              <w:jc w:val="left"/>
            </w:pPr>
            <w:r>
              <w:rPr>
                <w:rFonts w:hint="eastAsia"/>
              </w:rPr>
              <w:t>基金合同生效日</w:t>
            </w:r>
          </w:p>
        </w:tc>
        <w:tc>
          <w:tcPr>
            <w:tcW w:w="6230" w:type="dxa"/>
            <w:gridSpan w:val="3"/>
          </w:tcPr>
          <w:p w:rsidR="00D73D3F" w:rsidRDefault="00D73D3F" w:rsidP="00D73D3F">
            <w:pPr>
              <w:jc w:val="left"/>
            </w:pPr>
            <w:r>
              <w:rPr>
                <w:rFonts w:hint="eastAsia"/>
              </w:rPr>
              <w:t>2020</w:t>
            </w:r>
            <w:r>
              <w:rPr>
                <w:rFonts w:hint="eastAsia"/>
              </w:rPr>
              <w:t>年</w:t>
            </w:r>
            <w:r>
              <w:rPr>
                <w:rFonts w:hint="eastAsia"/>
              </w:rPr>
              <w:t>4</w:t>
            </w:r>
            <w:r>
              <w:rPr>
                <w:rFonts w:hint="eastAsia"/>
              </w:rPr>
              <w:t>月</w:t>
            </w:r>
            <w:r>
              <w:rPr>
                <w:rFonts w:hint="eastAsia"/>
              </w:rPr>
              <w:t>21</w:t>
            </w:r>
            <w:r>
              <w:rPr>
                <w:rFonts w:hint="eastAsia"/>
              </w:rPr>
              <w:t>日</w:t>
            </w:r>
          </w:p>
        </w:tc>
      </w:tr>
      <w:tr w:rsidR="00D73D3F" w:rsidTr="00D73D3F">
        <w:tc>
          <w:tcPr>
            <w:tcW w:w="2076" w:type="dxa"/>
          </w:tcPr>
          <w:p w:rsidR="00D73D3F" w:rsidRDefault="00D73D3F" w:rsidP="00D73D3F">
            <w:pPr>
              <w:jc w:val="left"/>
            </w:pPr>
            <w:r>
              <w:rPr>
                <w:rFonts w:hint="eastAsia"/>
              </w:rPr>
              <w:t>基金类型</w:t>
            </w:r>
          </w:p>
        </w:tc>
        <w:tc>
          <w:tcPr>
            <w:tcW w:w="2076" w:type="dxa"/>
          </w:tcPr>
          <w:p w:rsidR="00D73D3F" w:rsidRDefault="00D73D3F" w:rsidP="00D73D3F">
            <w:pPr>
              <w:jc w:val="left"/>
            </w:pPr>
            <w:r>
              <w:rPr>
                <w:rFonts w:hint="eastAsia"/>
              </w:rPr>
              <w:t>股票型</w:t>
            </w:r>
          </w:p>
        </w:tc>
        <w:tc>
          <w:tcPr>
            <w:tcW w:w="2077" w:type="dxa"/>
          </w:tcPr>
          <w:p w:rsidR="00D73D3F" w:rsidRDefault="00D73D3F" w:rsidP="00D73D3F">
            <w:pPr>
              <w:jc w:val="left"/>
            </w:pPr>
            <w:r>
              <w:rPr>
                <w:rFonts w:hint="eastAsia"/>
              </w:rPr>
              <w:t>交易币种</w:t>
            </w:r>
          </w:p>
        </w:tc>
        <w:tc>
          <w:tcPr>
            <w:tcW w:w="2077" w:type="dxa"/>
          </w:tcPr>
          <w:p w:rsidR="00D73D3F" w:rsidRDefault="00D73D3F" w:rsidP="00D73D3F">
            <w:pPr>
              <w:jc w:val="left"/>
            </w:pPr>
            <w:r>
              <w:rPr>
                <w:rFonts w:hint="eastAsia"/>
              </w:rPr>
              <w:t>人民币</w:t>
            </w:r>
          </w:p>
        </w:tc>
      </w:tr>
      <w:tr w:rsidR="00D73D3F" w:rsidTr="00F24287">
        <w:tc>
          <w:tcPr>
            <w:tcW w:w="2076" w:type="dxa"/>
          </w:tcPr>
          <w:p w:rsidR="00D73D3F" w:rsidRDefault="00D73D3F" w:rsidP="00D73D3F">
            <w:pPr>
              <w:jc w:val="left"/>
            </w:pPr>
            <w:r>
              <w:rPr>
                <w:rFonts w:hint="eastAsia"/>
              </w:rPr>
              <w:t>运作方式</w:t>
            </w:r>
          </w:p>
        </w:tc>
        <w:tc>
          <w:tcPr>
            <w:tcW w:w="6230" w:type="dxa"/>
            <w:gridSpan w:val="3"/>
          </w:tcPr>
          <w:p w:rsidR="00D73D3F" w:rsidRDefault="00D73D3F" w:rsidP="00D73D3F">
            <w:pPr>
              <w:jc w:val="left"/>
            </w:pPr>
            <w:r>
              <w:rPr>
                <w:rFonts w:hint="eastAsia"/>
              </w:rPr>
              <w:t>普通开放式</w:t>
            </w:r>
          </w:p>
        </w:tc>
      </w:tr>
      <w:tr w:rsidR="00D73D3F" w:rsidTr="00741800">
        <w:tc>
          <w:tcPr>
            <w:tcW w:w="2076" w:type="dxa"/>
          </w:tcPr>
          <w:p w:rsidR="00D73D3F" w:rsidRDefault="00D73D3F" w:rsidP="00D73D3F">
            <w:pPr>
              <w:jc w:val="left"/>
            </w:pPr>
            <w:r>
              <w:rPr>
                <w:rFonts w:hint="eastAsia"/>
              </w:rPr>
              <w:t>开放频率</w:t>
            </w:r>
          </w:p>
        </w:tc>
        <w:tc>
          <w:tcPr>
            <w:tcW w:w="6230" w:type="dxa"/>
            <w:gridSpan w:val="3"/>
          </w:tcPr>
          <w:p w:rsidR="00D73D3F" w:rsidRDefault="00D73D3F" w:rsidP="00D73D3F">
            <w:pPr>
              <w:jc w:val="left"/>
            </w:pPr>
            <w:r>
              <w:rPr>
                <w:rFonts w:hint="eastAsia"/>
              </w:rPr>
              <w:t>每个开放日</w:t>
            </w:r>
          </w:p>
        </w:tc>
      </w:tr>
      <w:tr w:rsidR="00D73D3F" w:rsidTr="00D73D3F">
        <w:tc>
          <w:tcPr>
            <w:tcW w:w="2076" w:type="dxa"/>
            <w:vMerge w:val="restart"/>
          </w:tcPr>
          <w:p w:rsidR="00D73D3F" w:rsidRDefault="00D73D3F" w:rsidP="00D73D3F">
            <w:pPr>
              <w:jc w:val="left"/>
            </w:pPr>
            <w:r>
              <w:rPr>
                <w:rFonts w:hint="eastAsia"/>
              </w:rPr>
              <w:t>基金经理</w:t>
            </w:r>
          </w:p>
        </w:tc>
        <w:tc>
          <w:tcPr>
            <w:tcW w:w="2076" w:type="dxa"/>
            <w:vMerge w:val="restart"/>
          </w:tcPr>
          <w:p w:rsidR="00D73D3F" w:rsidRDefault="00D73D3F" w:rsidP="00D73D3F">
            <w:pPr>
              <w:jc w:val="left"/>
            </w:pPr>
            <w:r>
              <w:rPr>
                <w:rFonts w:hint="eastAsia"/>
              </w:rPr>
              <w:t>梁辰</w:t>
            </w:r>
          </w:p>
        </w:tc>
        <w:tc>
          <w:tcPr>
            <w:tcW w:w="2077" w:type="dxa"/>
          </w:tcPr>
          <w:p w:rsidR="00D73D3F" w:rsidRDefault="00D73D3F" w:rsidP="00D73D3F">
            <w:pPr>
              <w:jc w:val="left"/>
            </w:pPr>
            <w:r>
              <w:rPr>
                <w:rFonts w:hint="eastAsia"/>
              </w:rPr>
              <w:t>开始担任本基金基金经理的日期</w:t>
            </w:r>
          </w:p>
        </w:tc>
        <w:tc>
          <w:tcPr>
            <w:tcW w:w="2077" w:type="dxa"/>
          </w:tcPr>
          <w:p w:rsidR="00D73D3F" w:rsidRDefault="00D73D3F" w:rsidP="00D73D3F">
            <w:pPr>
              <w:jc w:val="left"/>
            </w:pPr>
            <w:r>
              <w:rPr>
                <w:rFonts w:hint="eastAsia"/>
              </w:rPr>
              <w:t>2022</w:t>
            </w:r>
            <w:r>
              <w:rPr>
                <w:rFonts w:hint="eastAsia"/>
              </w:rPr>
              <w:t>年</w:t>
            </w:r>
            <w:r>
              <w:rPr>
                <w:rFonts w:hint="eastAsia"/>
              </w:rPr>
              <w:t>11</w:t>
            </w:r>
            <w:r>
              <w:rPr>
                <w:rFonts w:hint="eastAsia"/>
              </w:rPr>
              <w:t>月</w:t>
            </w:r>
            <w:r>
              <w:rPr>
                <w:rFonts w:hint="eastAsia"/>
              </w:rPr>
              <w:t>18</w:t>
            </w:r>
            <w:r>
              <w:rPr>
                <w:rFonts w:hint="eastAsia"/>
              </w:rPr>
              <w:t>日</w:t>
            </w:r>
          </w:p>
        </w:tc>
      </w:tr>
      <w:tr w:rsidR="00D73D3F" w:rsidTr="00D73D3F">
        <w:tc>
          <w:tcPr>
            <w:tcW w:w="2076" w:type="dxa"/>
            <w:vMerge/>
          </w:tcPr>
          <w:p w:rsidR="00D73D3F" w:rsidRDefault="00D73D3F" w:rsidP="00D73D3F">
            <w:pPr>
              <w:jc w:val="left"/>
            </w:pPr>
          </w:p>
        </w:tc>
        <w:tc>
          <w:tcPr>
            <w:tcW w:w="2076" w:type="dxa"/>
            <w:vMerge/>
          </w:tcPr>
          <w:p w:rsidR="00D73D3F" w:rsidRDefault="00D73D3F" w:rsidP="00D73D3F">
            <w:pPr>
              <w:jc w:val="left"/>
            </w:pPr>
          </w:p>
        </w:tc>
        <w:tc>
          <w:tcPr>
            <w:tcW w:w="2077" w:type="dxa"/>
          </w:tcPr>
          <w:p w:rsidR="00D73D3F" w:rsidRDefault="00D73D3F" w:rsidP="00D73D3F">
            <w:pPr>
              <w:jc w:val="left"/>
            </w:pPr>
            <w:r>
              <w:rPr>
                <w:rFonts w:hint="eastAsia"/>
              </w:rPr>
              <w:t>证券从业日期</w:t>
            </w:r>
          </w:p>
        </w:tc>
        <w:tc>
          <w:tcPr>
            <w:tcW w:w="2077" w:type="dxa"/>
          </w:tcPr>
          <w:p w:rsidR="00D73D3F" w:rsidRDefault="00D73D3F" w:rsidP="00D73D3F">
            <w:pPr>
              <w:jc w:val="left"/>
            </w:pPr>
            <w:r>
              <w:rPr>
                <w:rFonts w:hint="eastAsia"/>
              </w:rPr>
              <w:t>2014</w:t>
            </w:r>
            <w:r>
              <w:rPr>
                <w:rFonts w:hint="eastAsia"/>
              </w:rPr>
              <w:t>年</w:t>
            </w:r>
            <w:r>
              <w:rPr>
                <w:rFonts w:hint="eastAsia"/>
              </w:rPr>
              <w:t>7</w:t>
            </w:r>
            <w:r>
              <w:rPr>
                <w:rFonts w:hint="eastAsia"/>
              </w:rPr>
              <w:t>月</w:t>
            </w:r>
            <w:r>
              <w:rPr>
                <w:rFonts w:hint="eastAsia"/>
              </w:rPr>
              <w:t>7</w:t>
            </w:r>
            <w:r>
              <w:rPr>
                <w:rFonts w:hint="eastAsia"/>
              </w:rPr>
              <w:t>日</w:t>
            </w:r>
          </w:p>
        </w:tc>
      </w:tr>
      <w:tr w:rsidR="00D73D3F" w:rsidTr="00D4365B">
        <w:tc>
          <w:tcPr>
            <w:tcW w:w="2076" w:type="dxa"/>
          </w:tcPr>
          <w:p w:rsidR="00D73D3F" w:rsidRDefault="00D73D3F" w:rsidP="00D73D3F">
            <w:pPr>
              <w:jc w:val="left"/>
            </w:pPr>
            <w:r>
              <w:rPr>
                <w:rFonts w:hint="eastAsia"/>
              </w:rPr>
              <w:t>其他</w:t>
            </w:r>
          </w:p>
        </w:tc>
        <w:tc>
          <w:tcPr>
            <w:tcW w:w="6230" w:type="dxa"/>
            <w:gridSpan w:val="3"/>
          </w:tcPr>
          <w:p w:rsidR="00D73D3F" w:rsidRDefault="00D73D3F" w:rsidP="00D73D3F">
            <w:pPr>
              <w:jc w:val="right"/>
            </w:pPr>
            <w:r>
              <w:t>-</w:t>
            </w:r>
          </w:p>
        </w:tc>
      </w:tr>
    </w:tbl>
    <w:p w:rsidR="00D73D3F" w:rsidRDefault="00D73D3F" w:rsidP="00D73D3F">
      <w:pPr>
        <w:pStyle w:val="-1"/>
        <w:spacing w:before="156" w:after="156"/>
        <w:rPr>
          <w:rFonts w:hint="eastAsia"/>
        </w:rPr>
      </w:pPr>
      <w:r>
        <w:rPr>
          <w:rFonts w:hint="eastAsia"/>
        </w:rPr>
        <w:t>二、基金投资与净值表现</w:t>
      </w:r>
    </w:p>
    <w:p w:rsidR="00D73D3F" w:rsidRDefault="00D73D3F" w:rsidP="00D73D3F">
      <w:pPr>
        <w:pStyle w:val="-2"/>
        <w:spacing w:before="156" w:after="156"/>
        <w:rPr>
          <w:rFonts w:hint="eastAsia"/>
        </w:rPr>
      </w:pPr>
      <w:r>
        <w:rPr>
          <w:rFonts w:hint="eastAsia"/>
        </w:rPr>
        <w:t>（一）</w:t>
      </w:r>
      <w:r>
        <w:rPr>
          <w:rFonts w:hint="eastAsia"/>
        </w:rPr>
        <w:t xml:space="preserve"> </w:t>
      </w:r>
      <w:r>
        <w:rPr>
          <w:rFonts w:hint="eastAsia"/>
        </w:rPr>
        <w:t>投资目标与投资策略</w:t>
      </w:r>
    </w:p>
    <w:p w:rsidR="00D73D3F" w:rsidRDefault="00D73D3F" w:rsidP="00D73D3F">
      <w:pPr>
        <w:pStyle w:val="-"/>
        <w:ind w:firstLine="420"/>
        <w:rPr>
          <w:rFonts w:hint="eastAsia"/>
        </w:rPr>
      </w:pPr>
      <w:r>
        <w:rPr>
          <w:rFonts w:hint="eastAsia"/>
        </w:rPr>
        <w:t>投资者可阅读本基金《招募说明书》“基金的投资”章节了解详细情况。</w:t>
      </w:r>
    </w:p>
    <w:tbl>
      <w:tblPr>
        <w:tblStyle w:val="-noheader"/>
        <w:tblW w:w="8505" w:type="dxa"/>
        <w:tblLayout w:type="fixed"/>
        <w:tblLook w:val="04A0" w:firstRow="1" w:lastRow="0" w:firstColumn="1" w:lastColumn="0" w:noHBand="0" w:noVBand="1"/>
      </w:tblPr>
      <w:tblGrid>
        <w:gridCol w:w="1701"/>
        <w:gridCol w:w="6804"/>
      </w:tblGrid>
      <w:tr w:rsidR="00D73D3F" w:rsidTr="00D73D3F">
        <w:tc>
          <w:tcPr>
            <w:tcW w:w="1701" w:type="dxa"/>
          </w:tcPr>
          <w:p w:rsidR="00D73D3F" w:rsidRDefault="00D73D3F" w:rsidP="00D73D3F">
            <w:pPr>
              <w:jc w:val="left"/>
            </w:pPr>
            <w:r>
              <w:rPr>
                <w:rFonts w:hint="eastAsia"/>
              </w:rPr>
              <w:t>投资目标</w:t>
            </w:r>
          </w:p>
        </w:tc>
        <w:tc>
          <w:tcPr>
            <w:tcW w:w="6804" w:type="dxa"/>
          </w:tcPr>
          <w:p w:rsidR="00D73D3F" w:rsidRDefault="00D73D3F" w:rsidP="00D73D3F">
            <w:r>
              <w:rPr>
                <w:rFonts w:hint="eastAsia"/>
              </w:rPr>
              <w:t>本基金在严格控制投资风险、保持基金资产流动性的前提下，利用基金管理人投研团队在不同领域的研究优势，通过对企业基本面的深入研究，挖掘优选出具有长期发展潜力的上市公司，在有效控制风险的基础上实现基金资产的长期稳定增值。</w:t>
            </w:r>
          </w:p>
        </w:tc>
      </w:tr>
      <w:tr w:rsidR="00D73D3F" w:rsidTr="00D73D3F">
        <w:tc>
          <w:tcPr>
            <w:tcW w:w="1701" w:type="dxa"/>
          </w:tcPr>
          <w:p w:rsidR="00D73D3F" w:rsidRDefault="00D73D3F" w:rsidP="00D73D3F">
            <w:pPr>
              <w:jc w:val="left"/>
            </w:pPr>
            <w:r>
              <w:rPr>
                <w:rFonts w:hint="eastAsia"/>
              </w:rPr>
              <w:t>投资范围</w:t>
            </w:r>
          </w:p>
        </w:tc>
        <w:tc>
          <w:tcPr>
            <w:tcW w:w="6804" w:type="dxa"/>
          </w:tcPr>
          <w:p w:rsidR="00D73D3F" w:rsidRDefault="00D73D3F" w:rsidP="00D73D3F">
            <w:pPr>
              <w:rPr>
                <w:rFonts w:hint="eastAsia"/>
              </w:rPr>
            </w:pPr>
            <w:r>
              <w:rPr>
                <w:rFonts w:hint="eastAsia"/>
              </w:rPr>
              <w:t>本基金的投资范围为具有良好流动性的金融工具，包括国内依法发行上市的股票和存托凭证（包括主板、中小板、创业板及其他中国证监会允许基金投资的股票和存托凭证）、内地与香港股票市场交易互联互通机制下允许投资的规定范围内的香港联合交易所上市的股票（简称“港股通标的股票”）、债券（包括国债、央行票据、金融债券、企业债券、公司债券、中期票据、短期融资券、超短期融资券、次级债券、政府支持机构债、政府支持债券、地方政府债、可转换债券、可分离交易可转债、可交换债券及其他经中国证监会允许投资的债券）、资产支持证券、债券回购、同业存单、银行存款（包括协议存款、定期存款及其他银行存款）、货币市场工具、股指期货、国债期货，以及法律法规或中国证监会允许基金投资的</w:t>
            </w:r>
            <w:r>
              <w:rPr>
                <w:rFonts w:hint="eastAsia"/>
              </w:rPr>
              <w:lastRenderedPageBreak/>
              <w:t>其他金融工具，但须符合中国证监会的相关规定。</w:t>
            </w:r>
          </w:p>
          <w:p w:rsidR="00D73D3F" w:rsidRDefault="00D73D3F" w:rsidP="00D73D3F">
            <w:pPr>
              <w:rPr>
                <w:rFonts w:hint="eastAsia"/>
              </w:rPr>
            </w:pPr>
            <w:r>
              <w:rPr>
                <w:rFonts w:hint="eastAsia"/>
              </w:rPr>
              <w:t>如法律法规或监管机构以后允许基金投资其他品种，基金管理人在履行适当程序后，可以将其纳入投资范围。</w:t>
            </w:r>
          </w:p>
          <w:p w:rsidR="00D73D3F" w:rsidRDefault="00D73D3F" w:rsidP="00D73D3F">
            <w:pPr>
              <w:rPr>
                <w:rFonts w:hint="eastAsia"/>
              </w:rPr>
            </w:pPr>
            <w:r>
              <w:rPr>
                <w:rFonts w:hint="eastAsia"/>
              </w:rPr>
              <w:t>本基金为股票型基金，基金投资组合中股票和存托凭证资产占基金资产的比例不低于</w:t>
            </w:r>
            <w:r>
              <w:rPr>
                <w:rFonts w:hint="eastAsia"/>
              </w:rPr>
              <w:t>80%</w:t>
            </w:r>
            <w:r>
              <w:rPr>
                <w:rFonts w:hint="eastAsia"/>
              </w:rPr>
              <w:t>，其中港股通标的股票投资比例不超过本基金股票资产的</w:t>
            </w:r>
            <w:r>
              <w:rPr>
                <w:rFonts w:hint="eastAsia"/>
              </w:rPr>
              <w:t>50%</w:t>
            </w:r>
            <w:r>
              <w:rPr>
                <w:rFonts w:hint="eastAsia"/>
              </w:rPr>
              <w:t>；任何交易日日终在扣除股指期货合约和国债期货合约需缴纳的交易保证金后，基金保留的现金或者投资于到期日在一年以内的政府债券的比例不低于基金资产净值的</w:t>
            </w:r>
            <w:r>
              <w:rPr>
                <w:rFonts w:hint="eastAsia"/>
              </w:rPr>
              <w:t>5%</w:t>
            </w:r>
            <w:r>
              <w:rPr>
                <w:rFonts w:hint="eastAsia"/>
              </w:rPr>
              <w:t>，其中，现金不包括结算备付金、存出保证金、应收申购款等。股指期货、国债期货的投资比例遵循国家相关法律法规。</w:t>
            </w:r>
          </w:p>
          <w:p w:rsidR="00D73D3F" w:rsidRDefault="00D73D3F" w:rsidP="00D73D3F">
            <w:r>
              <w:rPr>
                <w:rFonts w:hint="eastAsia"/>
              </w:rPr>
              <w:t>本基金可根据投资策略需要或不同配置地市场环境的变化，选择将部分基金资产投资于港股通标的股票或选择不将基金资产投资于港股通标的股票，基金资产并非必然投资港股通标的股票。</w:t>
            </w:r>
          </w:p>
        </w:tc>
      </w:tr>
      <w:tr w:rsidR="00D73D3F" w:rsidTr="00D73D3F">
        <w:tc>
          <w:tcPr>
            <w:tcW w:w="1701" w:type="dxa"/>
          </w:tcPr>
          <w:p w:rsidR="00D73D3F" w:rsidRDefault="00D73D3F" w:rsidP="00D73D3F">
            <w:pPr>
              <w:jc w:val="left"/>
            </w:pPr>
            <w:r>
              <w:rPr>
                <w:rFonts w:hint="eastAsia"/>
              </w:rPr>
              <w:lastRenderedPageBreak/>
              <w:t>主要投资策略</w:t>
            </w:r>
          </w:p>
        </w:tc>
        <w:tc>
          <w:tcPr>
            <w:tcW w:w="6804" w:type="dxa"/>
          </w:tcPr>
          <w:p w:rsidR="00D73D3F" w:rsidRDefault="00D73D3F" w:rsidP="00D73D3F">
            <w:r>
              <w:rPr>
                <w:rFonts w:hint="eastAsia"/>
              </w:rPr>
              <w:t>本基金根据对宏观经济环境、经济增长前景及证券市场发展状况的综合分析，深度挖掘在中国经济发展新阶段中具备增长潜力的产业和受益上市公司进行投资。各个行业研究员以深入基本面研究为前提，挖掘具有增长潜力且价格合理或价值被低估的股票，基金经理根据对宏观经济和市场风险特征变化的判断，在深入研究的基础上进行行业和个股的精选，定期对行业配置进行动态优化，从而形成对各大类资产收益风险水平的前瞻性预测，以此确定股票、固定收益证券和现金等大类资产及中国证监会允许基金投资的其他金融工具在给定区间内的动态配置。本基金其他主要投资策略包括：股票投资策略、债券投资策略、股指期货投资策略、国债期货投资策略</w:t>
            </w:r>
            <w:r>
              <w:rPr>
                <w:rFonts w:hint="eastAsia"/>
              </w:rPr>
              <w:t xml:space="preserve"> </w:t>
            </w:r>
            <w:r>
              <w:rPr>
                <w:rFonts w:hint="eastAsia"/>
              </w:rPr>
              <w:t>、资产支持证券投资策略、存托凭证投资策略。</w:t>
            </w:r>
          </w:p>
        </w:tc>
      </w:tr>
      <w:tr w:rsidR="00D73D3F" w:rsidTr="00D73D3F">
        <w:tc>
          <w:tcPr>
            <w:tcW w:w="1701" w:type="dxa"/>
          </w:tcPr>
          <w:p w:rsidR="00D73D3F" w:rsidRDefault="00D73D3F" w:rsidP="00D73D3F">
            <w:pPr>
              <w:jc w:val="left"/>
            </w:pPr>
            <w:r>
              <w:rPr>
                <w:rFonts w:hint="eastAsia"/>
              </w:rPr>
              <w:t>业绩比较基准</w:t>
            </w:r>
          </w:p>
        </w:tc>
        <w:tc>
          <w:tcPr>
            <w:tcW w:w="6804" w:type="dxa"/>
          </w:tcPr>
          <w:p w:rsidR="00D73D3F" w:rsidRDefault="00D73D3F" w:rsidP="00D73D3F">
            <w:pPr>
              <w:jc w:val="left"/>
            </w:pPr>
            <w:r>
              <w:rPr>
                <w:rFonts w:hint="eastAsia"/>
              </w:rPr>
              <w:t>沪深</w:t>
            </w:r>
            <w:r>
              <w:rPr>
                <w:rFonts w:hint="eastAsia"/>
              </w:rPr>
              <w:t>300</w:t>
            </w:r>
            <w:r>
              <w:rPr>
                <w:rFonts w:hint="eastAsia"/>
              </w:rPr>
              <w:t>指数收益率×</w:t>
            </w:r>
            <w:r>
              <w:rPr>
                <w:rFonts w:hint="eastAsia"/>
              </w:rPr>
              <w:t>75%</w:t>
            </w:r>
            <w:r>
              <w:rPr>
                <w:rFonts w:hint="eastAsia"/>
              </w:rPr>
              <w:t>＋恒生指数收益率×</w:t>
            </w:r>
            <w:r>
              <w:rPr>
                <w:rFonts w:hint="eastAsia"/>
              </w:rPr>
              <w:t>10%</w:t>
            </w:r>
            <w:r>
              <w:rPr>
                <w:rFonts w:hint="eastAsia"/>
              </w:rPr>
              <w:t>＋中债综合指数收益率×</w:t>
            </w:r>
            <w:r>
              <w:rPr>
                <w:rFonts w:hint="eastAsia"/>
              </w:rPr>
              <w:t>15%</w:t>
            </w:r>
          </w:p>
        </w:tc>
      </w:tr>
      <w:tr w:rsidR="00D73D3F" w:rsidTr="00D73D3F">
        <w:tc>
          <w:tcPr>
            <w:tcW w:w="1701" w:type="dxa"/>
          </w:tcPr>
          <w:p w:rsidR="00D73D3F" w:rsidRDefault="00D73D3F" w:rsidP="00D73D3F">
            <w:pPr>
              <w:jc w:val="left"/>
            </w:pPr>
            <w:r>
              <w:rPr>
                <w:rFonts w:hint="eastAsia"/>
              </w:rPr>
              <w:t>风险收益特征</w:t>
            </w:r>
          </w:p>
        </w:tc>
        <w:tc>
          <w:tcPr>
            <w:tcW w:w="6804" w:type="dxa"/>
          </w:tcPr>
          <w:p w:rsidR="00D73D3F" w:rsidRDefault="00D73D3F" w:rsidP="00D73D3F">
            <w:pPr>
              <w:jc w:val="left"/>
            </w:pPr>
            <w:r>
              <w:rPr>
                <w:rFonts w:hint="eastAsia"/>
              </w:rPr>
              <w:t>本基金是股票型基金，其预期风险收益水平高于混合型基金、债券型基金及货币市场基金。</w:t>
            </w:r>
          </w:p>
        </w:tc>
      </w:tr>
    </w:tbl>
    <w:p w:rsidR="00D73D3F" w:rsidRDefault="00D73D3F" w:rsidP="00D73D3F">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D73D3F" w:rsidRDefault="00D73D3F" w:rsidP="00D73D3F">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D73D3F" w:rsidRDefault="00D73D3F" w:rsidP="00D73D3F">
      <w:pPr>
        <w:pStyle w:val="-2"/>
        <w:spacing w:before="156" w:after="156"/>
        <w:rPr>
          <w:rFonts w:hint="eastAsia"/>
        </w:rPr>
      </w:pPr>
      <w:r>
        <w:rPr>
          <w:rFonts w:hint="eastAsia"/>
        </w:rPr>
        <w:lastRenderedPageBreak/>
        <w:t>（三）</w:t>
      </w:r>
      <w:r>
        <w:rPr>
          <w:rFonts w:hint="eastAsia"/>
        </w:rPr>
        <w:t xml:space="preserve"> </w:t>
      </w:r>
      <w:r>
        <w:rPr>
          <w:rFonts w:hint="eastAsia"/>
        </w:rPr>
        <w:t>自基金合同生效以来</w:t>
      </w:r>
      <w:r>
        <w:rPr>
          <w:rFonts w:hint="eastAsia"/>
        </w:rPr>
        <w:t>/</w:t>
      </w:r>
      <w:r>
        <w:rPr>
          <w:rFonts w:hint="eastAsia"/>
        </w:rPr>
        <w:t>最近十年（孰短）基金每年的净值增长率及与同期业绩比较基准的比较图</w:t>
      </w:r>
    </w:p>
    <w:p w:rsidR="00D73D3F" w:rsidRDefault="00D73D3F" w:rsidP="00D73D3F">
      <w:r>
        <w:rPr>
          <w:noProof/>
        </w:rPr>
        <w:drawing>
          <wp:inline distT="0" distB="0" distL="0" distR="0">
            <wp:extent cx="5274310" cy="442087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4420870"/>
                    </a:xfrm>
                    <a:prstGeom prst="rect">
                      <a:avLst/>
                    </a:prstGeom>
                  </pic:spPr>
                </pic:pic>
              </a:graphicData>
            </a:graphic>
          </wp:inline>
        </w:drawing>
      </w:r>
    </w:p>
    <w:p w:rsidR="00D73D3F" w:rsidRDefault="00D73D3F" w:rsidP="00D73D3F">
      <w:pPr>
        <w:pStyle w:val="-7"/>
        <w:ind w:firstLine="420"/>
        <w:rPr>
          <w:rFonts w:hint="eastAsia"/>
        </w:rPr>
      </w:pPr>
      <w:r>
        <w:rPr>
          <w:rFonts w:hint="eastAsia"/>
        </w:rPr>
        <w:t>注：</w:t>
      </w:r>
      <w:r>
        <w:rPr>
          <w:rFonts w:hint="eastAsia"/>
        </w:rPr>
        <w:t>1.</w:t>
      </w:r>
      <w:r>
        <w:rPr>
          <w:rFonts w:hint="eastAsia"/>
        </w:rPr>
        <w:t>基金合同生效当年按实际期限计算，不按整个自然年度进行折算。</w:t>
      </w:r>
    </w:p>
    <w:p w:rsidR="00D73D3F" w:rsidRDefault="00D73D3F" w:rsidP="00D73D3F">
      <w:pPr>
        <w:pStyle w:val="-"/>
        <w:ind w:firstLine="420"/>
        <w:rPr>
          <w:rFonts w:hint="eastAsia"/>
        </w:rPr>
      </w:pPr>
      <w:r>
        <w:rPr>
          <w:rFonts w:hint="eastAsia"/>
        </w:rPr>
        <w:t>2.</w:t>
      </w:r>
      <w:r>
        <w:rPr>
          <w:rFonts w:hint="eastAsia"/>
        </w:rPr>
        <w:t>基金的过往业绩不代表未来表现。</w:t>
      </w:r>
    </w:p>
    <w:p w:rsidR="00D73D3F" w:rsidRDefault="00D73D3F" w:rsidP="00D73D3F">
      <w:pPr>
        <w:pStyle w:val="-1"/>
        <w:spacing w:before="156" w:after="156"/>
        <w:rPr>
          <w:rFonts w:hint="eastAsia"/>
        </w:rPr>
      </w:pPr>
      <w:r>
        <w:rPr>
          <w:rFonts w:hint="eastAsia"/>
        </w:rPr>
        <w:t>三、投资本基金涉及的费用</w:t>
      </w:r>
    </w:p>
    <w:p w:rsidR="00D73D3F" w:rsidRDefault="00D73D3F" w:rsidP="00D73D3F">
      <w:pPr>
        <w:pStyle w:val="-2"/>
        <w:spacing w:before="156" w:after="156"/>
        <w:rPr>
          <w:rFonts w:hint="eastAsia"/>
        </w:rPr>
      </w:pPr>
      <w:r>
        <w:rPr>
          <w:rFonts w:hint="eastAsia"/>
        </w:rPr>
        <w:t>（一）</w:t>
      </w:r>
      <w:r>
        <w:rPr>
          <w:rFonts w:hint="eastAsia"/>
        </w:rPr>
        <w:t xml:space="preserve"> </w:t>
      </w:r>
      <w:r>
        <w:rPr>
          <w:rFonts w:hint="eastAsia"/>
        </w:rPr>
        <w:t>基金销售相关费用</w:t>
      </w:r>
    </w:p>
    <w:p w:rsidR="00D73D3F" w:rsidRDefault="00D73D3F" w:rsidP="00D73D3F">
      <w:pPr>
        <w:pStyle w:val="-"/>
        <w:ind w:firstLine="420"/>
        <w:rPr>
          <w:rFonts w:hint="eastAsia"/>
        </w:rPr>
      </w:pPr>
      <w:r>
        <w:rPr>
          <w:rFonts w:hint="eastAsia"/>
        </w:rPr>
        <w:t>以下费用在申购</w:t>
      </w:r>
      <w:r>
        <w:rPr>
          <w:rFonts w:hint="eastAsia"/>
        </w:rPr>
        <w:t>/</w:t>
      </w:r>
      <w:r>
        <w:rPr>
          <w:rFonts w:hint="eastAsia"/>
        </w:rPr>
        <w:t>赎回基金过程中收取：</w:t>
      </w:r>
    </w:p>
    <w:tbl>
      <w:tblPr>
        <w:tblStyle w:val="-noheader"/>
        <w:tblW w:w="0" w:type="nil"/>
        <w:tblLayout w:type="fixed"/>
        <w:tblLook w:val="04A0" w:firstRow="1" w:lastRow="0" w:firstColumn="1" w:lastColumn="0" w:noHBand="0" w:noVBand="1"/>
      </w:tblPr>
      <w:tblGrid>
        <w:gridCol w:w="2076"/>
        <w:gridCol w:w="2076"/>
        <w:gridCol w:w="2077"/>
        <w:gridCol w:w="2077"/>
      </w:tblGrid>
      <w:tr w:rsidR="00D73D3F" w:rsidTr="00D73D3F">
        <w:tc>
          <w:p w:rsidR="00D73D3F" w:rsidRDefault="00D73D3F" w:rsidP="00D73D3F">
            <w:pPr>
              <w:jc w:val="center"/>
            </w:pPr>
            <w:r>
              <w:rPr>
                <w:rFonts w:hint="eastAsia"/>
              </w:rPr>
              <w:t>费用类型</w:t>
            </w:r>
          </w:p>
        </w:tc>
        <w:tc>
          <w:p w:rsidR="00D73D3F" w:rsidRDefault="00D73D3F" w:rsidP="00D73D3F">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D73D3F" w:rsidRDefault="00D73D3F" w:rsidP="00D73D3F">
            <w:pPr>
              <w:jc w:val="center"/>
            </w:pPr>
            <w:r>
              <w:rPr>
                <w:rFonts w:hint="eastAsia"/>
              </w:rPr>
              <w:t>收费方式</w:t>
            </w:r>
            <w:r>
              <w:rPr>
                <w:rFonts w:hint="eastAsia"/>
              </w:rPr>
              <w:t>/</w:t>
            </w:r>
            <w:r>
              <w:rPr>
                <w:rFonts w:hint="eastAsia"/>
              </w:rPr>
              <w:t>费率</w:t>
            </w:r>
          </w:p>
        </w:tc>
        <w:tc>
          <w:p w:rsidR="00D73D3F" w:rsidRDefault="00D73D3F" w:rsidP="00D73D3F">
            <w:pPr>
              <w:jc w:val="center"/>
            </w:pPr>
            <w:r>
              <w:rPr>
                <w:rFonts w:hint="eastAsia"/>
              </w:rPr>
              <w:t>备注</w:t>
            </w:r>
          </w:p>
        </w:tc>
      </w:tr>
      <w:tr w:rsidR="00D73D3F" w:rsidTr="00D73D3F">
        <w:tc>
          <w:tcPr>
            <w:vMerge w:val="restart"/>
          </w:tcPr>
          <w:p w:rsidR="00D73D3F" w:rsidRDefault="00D73D3F" w:rsidP="00D73D3F">
            <w:pPr>
              <w:jc w:val="center"/>
            </w:pPr>
            <w:r>
              <w:rPr>
                <w:rFonts w:hint="eastAsia"/>
              </w:rPr>
              <w:t>赎回费</w:t>
            </w:r>
          </w:p>
        </w:tc>
        <w:tc>
          <w:p w:rsidR="00D73D3F" w:rsidRDefault="00D73D3F" w:rsidP="00D73D3F">
            <w:pPr>
              <w:jc w:val="center"/>
            </w:pPr>
            <w:r>
              <w:rPr>
                <w:rFonts w:hint="eastAsia"/>
              </w:rPr>
              <w:t>N&lt; 7</w:t>
            </w:r>
            <w:r>
              <w:rPr>
                <w:rFonts w:hint="eastAsia"/>
              </w:rPr>
              <w:t>天</w:t>
            </w:r>
          </w:p>
        </w:tc>
        <w:tc>
          <w:p w:rsidR="00D73D3F" w:rsidRDefault="00D73D3F" w:rsidP="00D73D3F">
            <w:pPr>
              <w:jc w:val="center"/>
            </w:pPr>
            <w:r>
              <w:t>1.5%</w:t>
            </w:r>
          </w:p>
        </w:tc>
        <w:tc>
          <w:p w:rsidR="00D73D3F" w:rsidRDefault="00D73D3F" w:rsidP="00D73D3F">
            <w:pPr>
              <w:jc w:val="center"/>
            </w:pPr>
            <w:r>
              <w:t>-</w:t>
            </w:r>
          </w:p>
        </w:tc>
      </w:tr>
      <w:tr w:rsidR="00D73D3F" w:rsidTr="00D73D3F">
        <w:tc>
          <w:tcPr>
            <w:vMerge/>
          </w:tcPr>
          <w:p w:rsidR="00D73D3F" w:rsidRDefault="00D73D3F" w:rsidP="00D73D3F">
            <w:pPr>
              <w:jc w:val="left"/>
            </w:pPr>
          </w:p>
        </w:tc>
        <w:tc>
          <w:p w:rsidR="00D73D3F" w:rsidRDefault="00D73D3F" w:rsidP="00D73D3F">
            <w:pPr>
              <w:jc w:val="center"/>
            </w:pPr>
            <w:r>
              <w:rPr>
                <w:rFonts w:hint="eastAsia"/>
              </w:rPr>
              <w:t>7</w:t>
            </w:r>
            <w:r>
              <w:rPr>
                <w:rFonts w:hint="eastAsia"/>
              </w:rPr>
              <w:t>天≤</w:t>
            </w:r>
            <w:r>
              <w:rPr>
                <w:rFonts w:hint="eastAsia"/>
              </w:rPr>
              <w:t xml:space="preserve"> N&lt; 30</w:t>
            </w:r>
            <w:r>
              <w:rPr>
                <w:rFonts w:hint="eastAsia"/>
              </w:rPr>
              <w:t>天</w:t>
            </w:r>
          </w:p>
        </w:tc>
        <w:tc>
          <w:p w:rsidR="00D73D3F" w:rsidRDefault="00D73D3F" w:rsidP="00D73D3F">
            <w:pPr>
              <w:jc w:val="center"/>
            </w:pPr>
            <w:r>
              <w:t>0.5%</w:t>
            </w:r>
          </w:p>
        </w:tc>
        <w:tc>
          <w:p w:rsidR="00D73D3F" w:rsidRDefault="00D73D3F" w:rsidP="00D73D3F">
            <w:pPr>
              <w:jc w:val="center"/>
            </w:pPr>
            <w:r>
              <w:t>-</w:t>
            </w:r>
          </w:p>
        </w:tc>
      </w:tr>
      <w:tr w:rsidR="00D73D3F" w:rsidTr="00D73D3F">
        <w:tc>
          <w:tcPr>
            <w:vMerge/>
          </w:tcPr>
          <w:p w:rsidR="00D73D3F" w:rsidRDefault="00D73D3F" w:rsidP="00D73D3F">
            <w:pPr>
              <w:jc w:val="left"/>
            </w:pPr>
          </w:p>
        </w:tc>
        <w:tc>
          <w:p w:rsidR="00D73D3F" w:rsidRDefault="00D73D3F" w:rsidP="00D73D3F">
            <w:pPr>
              <w:jc w:val="center"/>
            </w:pPr>
            <w:r>
              <w:rPr>
                <w:rFonts w:hint="eastAsia"/>
              </w:rPr>
              <w:t>30</w:t>
            </w:r>
            <w:r>
              <w:rPr>
                <w:rFonts w:hint="eastAsia"/>
              </w:rPr>
              <w:t>天≤</w:t>
            </w:r>
            <w:r>
              <w:rPr>
                <w:rFonts w:hint="eastAsia"/>
              </w:rPr>
              <w:t xml:space="preserve"> N</w:t>
            </w:r>
          </w:p>
        </w:tc>
        <w:tc>
          <w:p w:rsidR="00D73D3F" w:rsidRDefault="00D73D3F" w:rsidP="00D73D3F">
            <w:pPr>
              <w:jc w:val="center"/>
            </w:pPr>
            <w:r>
              <w:t>0%</w:t>
            </w:r>
          </w:p>
        </w:tc>
        <w:tc>
          <w:p w:rsidR="00D73D3F" w:rsidRDefault="00D73D3F" w:rsidP="00D73D3F">
            <w:pPr>
              <w:jc w:val="center"/>
            </w:pPr>
            <w:r>
              <w:t>-</w:t>
            </w:r>
          </w:p>
        </w:tc>
      </w:tr>
    </w:tbl>
    <w:p w:rsidR="00D73D3F" w:rsidRDefault="00D73D3F" w:rsidP="00D73D3F">
      <w:pPr>
        <w:pStyle w:val="-7"/>
        <w:ind w:firstLine="420"/>
        <w:rPr>
          <w:rFonts w:hint="eastAsia"/>
        </w:rPr>
      </w:pPr>
      <w:r>
        <w:rPr>
          <w:rFonts w:hint="eastAsia"/>
        </w:rPr>
        <w:t>注：本基金</w:t>
      </w:r>
      <w:r>
        <w:rPr>
          <w:rFonts w:hint="eastAsia"/>
        </w:rPr>
        <w:t>C</w:t>
      </w:r>
      <w:r>
        <w:rPr>
          <w:rFonts w:hint="eastAsia"/>
        </w:rPr>
        <w:t>类基金份额不收取申购费用。</w:t>
      </w:r>
    </w:p>
    <w:p w:rsidR="00D73D3F" w:rsidRDefault="00D73D3F" w:rsidP="00D73D3F">
      <w:pPr>
        <w:pStyle w:val="-2"/>
        <w:spacing w:before="156" w:after="156"/>
        <w:rPr>
          <w:rFonts w:hint="eastAsia"/>
        </w:rPr>
      </w:pPr>
      <w:r>
        <w:rPr>
          <w:rFonts w:hint="eastAsia"/>
        </w:rPr>
        <w:t>（二）</w:t>
      </w:r>
      <w:r>
        <w:rPr>
          <w:rFonts w:hint="eastAsia"/>
        </w:rPr>
        <w:t xml:space="preserve"> </w:t>
      </w:r>
      <w:r>
        <w:rPr>
          <w:rFonts w:hint="eastAsia"/>
        </w:rPr>
        <w:t>基金运作相关费用</w:t>
      </w:r>
    </w:p>
    <w:p w:rsidR="00D73D3F" w:rsidRDefault="00D73D3F" w:rsidP="00D73D3F">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4153"/>
        <w:gridCol w:w="4153"/>
      </w:tblGrid>
      <w:tr w:rsidR="00D73D3F" w:rsidTr="00D73D3F">
        <w:tc>
          <w:tcPr>
            <w:tcW w:w="4153" w:type="dxa"/>
          </w:tcPr>
          <w:p w:rsidR="00D73D3F" w:rsidRDefault="00D73D3F" w:rsidP="00D73D3F">
            <w:pPr>
              <w:jc w:val="left"/>
            </w:pPr>
            <w:r>
              <w:rPr>
                <w:rFonts w:hint="eastAsia"/>
              </w:rPr>
              <w:t>费用类别</w:t>
            </w:r>
          </w:p>
        </w:tc>
        <w:tc>
          <w:tcPr>
            <w:tcW w:w="4153" w:type="dxa"/>
          </w:tcPr>
          <w:p w:rsidR="00D73D3F" w:rsidRDefault="00D73D3F" w:rsidP="00D73D3F">
            <w:pPr>
              <w:jc w:val="left"/>
            </w:pPr>
            <w:r>
              <w:rPr>
                <w:rFonts w:hint="eastAsia"/>
              </w:rPr>
              <w:t>收费方式</w:t>
            </w:r>
            <w:r>
              <w:rPr>
                <w:rFonts w:hint="eastAsia"/>
              </w:rPr>
              <w:t>/</w:t>
            </w:r>
            <w:r>
              <w:rPr>
                <w:rFonts w:hint="eastAsia"/>
              </w:rPr>
              <w:t>年费率</w:t>
            </w:r>
          </w:p>
        </w:tc>
      </w:tr>
      <w:tr w:rsidR="00D73D3F" w:rsidTr="00D73D3F">
        <w:tc>
          <w:tcPr>
            <w:tcW w:w="4153" w:type="dxa"/>
          </w:tcPr>
          <w:p w:rsidR="00D73D3F" w:rsidRDefault="00D73D3F" w:rsidP="00D73D3F">
            <w:pPr>
              <w:jc w:val="left"/>
            </w:pPr>
            <w:r>
              <w:rPr>
                <w:rFonts w:hint="eastAsia"/>
              </w:rPr>
              <w:t>管理费</w:t>
            </w:r>
          </w:p>
        </w:tc>
        <w:tc>
          <w:tcPr>
            <w:tcW w:w="4153" w:type="dxa"/>
          </w:tcPr>
          <w:p w:rsidR="00D73D3F" w:rsidRDefault="00D73D3F" w:rsidP="00D73D3F">
            <w:pPr>
              <w:jc w:val="left"/>
            </w:pPr>
            <w:r>
              <w:t>1.20%</w:t>
            </w:r>
          </w:p>
        </w:tc>
      </w:tr>
      <w:tr w:rsidR="00D73D3F" w:rsidTr="00D73D3F">
        <w:tc>
          <w:tcPr>
            <w:tcW w:w="4153" w:type="dxa"/>
          </w:tcPr>
          <w:p w:rsidR="00D73D3F" w:rsidRDefault="00D73D3F" w:rsidP="00D73D3F">
            <w:pPr>
              <w:jc w:val="left"/>
            </w:pPr>
            <w:r>
              <w:rPr>
                <w:rFonts w:hint="eastAsia"/>
              </w:rPr>
              <w:lastRenderedPageBreak/>
              <w:t>托管费</w:t>
            </w:r>
          </w:p>
        </w:tc>
        <w:tc>
          <w:tcPr>
            <w:tcW w:w="4153" w:type="dxa"/>
          </w:tcPr>
          <w:p w:rsidR="00D73D3F" w:rsidRDefault="00D73D3F" w:rsidP="00D73D3F">
            <w:pPr>
              <w:jc w:val="left"/>
            </w:pPr>
            <w:r>
              <w:t>0.20%</w:t>
            </w:r>
          </w:p>
        </w:tc>
      </w:tr>
      <w:tr w:rsidR="00D73D3F" w:rsidTr="00D73D3F">
        <w:tc>
          <w:tcPr>
            <w:tcW w:w="4153" w:type="dxa"/>
          </w:tcPr>
          <w:p w:rsidR="00D73D3F" w:rsidRDefault="00D73D3F" w:rsidP="00D73D3F">
            <w:pPr>
              <w:jc w:val="left"/>
            </w:pPr>
            <w:r>
              <w:rPr>
                <w:rFonts w:hint="eastAsia"/>
              </w:rPr>
              <w:t>销售服务费</w:t>
            </w:r>
          </w:p>
        </w:tc>
        <w:tc>
          <w:tcPr>
            <w:tcW w:w="4153" w:type="dxa"/>
          </w:tcPr>
          <w:p w:rsidR="00D73D3F" w:rsidRDefault="00D73D3F" w:rsidP="00D73D3F">
            <w:pPr>
              <w:jc w:val="left"/>
            </w:pPr>
            <w:r>
              <w:t>0.80%</w:t>
            </w:r>
          </w:p>
        </w:tc>
      </w:tr>
      <w:tr w:rsidR="00D73D3F" w:rsidTr="00D73D3F">
        <w:tc>
          <w:tcPr>
            <w:tcW w:w="4153" w:type="dxa"/>
          </w:tcPr>
          <w:p w:rsidR="00D73D3F" w:rsidRDefault="00D73D3F" w:rsidP="00D73D3F">
            <w:pPr>
              <w:jc w:val="left"/>
            </w:pPr>
            <w:r>
              <w:rPr>
                <w:rFonts w:hint="eastAsia"/>
              </w:rPr>
              <w:t>其他费用</w:t>
            </w:r>
          </w:p>
        </w:tc>
        <w:tc>
          <w:tcPr>
            <w:tcW w:w="4153" w:type="dxa"/>
          </w:tcPr>
          <w:p w:rsidR="00D73D3F" w:rsidRDefault="00D73D3F" w:rsidP="00D73D3F">
            <w:pPr>
              <w:jc w:val="left"/>
              <w:rPr>
                <w:rFonts w:hint="eastAsia"/>
              </w:rPr>
            </w:pPr>
            <w:r>
              <w:rPr>
                <w:rFonts w:hint="eastAsia"/>
              </w:rPr>
              <w:t>1</w:t>
            </w:r>
            <w:r>
              <w:rPr>
                <w:rFonts w:hint="eastAsia"/>
              </w:rPr>
              <w:t>、《基金合同》生效后与基金相关的信息披露费用；</w:t>
            </w:r>
          </w:p>
          <w:p w:rsidR="00D73D3F" w:rsidRDefault="00D73D3F" w:rsidP="00D73D3F">
            <w:pPr>
              <w:jc w:val="left"/>
              <w:rPr>
                <w:rFonts w:hint="eastAsia"/>
              </w:rPr>
            </w:pPr>
            <w:r>
              <w:rPr>
                <w:rFonts w:hint="eastAsia"/>
              </w:rPr>
              <w:t>2</w:t>
            </w:r>
            <w:r>
              <w:rPr>
                <w:rFonts w:hint="eastAsia"/>
              </w:rPr>
              <w:t>、《基金合同》生效后与基金相关的会计师费、律师费、诉讼费和仲裁费；</w:t>
            </w:r>
          </w:p>
          <w:p w:rsidR="00D73D3F" w:rsidRDefault="00D73D3F" w:rsidP="00D73D3F">
            <w:pPr>
              <w:jc w:val="left"/>
              <w:rPr>
                <w:rFonts w:hint="eastAsia"/>
              </w:rPr>
            </w:pPr>
            <w:r>
              <w:rPr>
                <w:rFonts w:hint="eastAsia"/>
              </w:rPr>
              <w:t>3</w:t>
            </w:r>
            <w:r>
              <w:rPr>
                <w:rFonts w:hint="eastAsia"/>
              </w:rPr>
              <w:t>、基金份额持有人大会费用；</w:t>
            </w:r>
          </w:p>
          <w:p w:rsidR="00D73D3F" w:rsidRDefault="00D73D3F" w:rsidP="00D73D3F">
            <w:pPr>
              <w:jc w:val="left"/>
              <w:rPr>
                <w:rFonts w:hint="eastAsia"/>
              </w:rPr>
            </w:pPr>
            <w:r>
              <w:rPr>
                <w:rFonts w:hint="eastAsia"/>
              </w:rPr>
              <w:t>4</w:t>
            </w:r>
            <w:r>
              <w:rPr>
                <w:rFonts w:hint="eastAsia"/>
              </w:rPr>
              <w:t>、基金的证券、期货交易费用；</w:t>
            </w:r>
          </w:p>
          <w:p w:rsidR="00D73D3F" w:rsidRDefault="00D73D3F" w:rsidP="00D73D3F">
            <w:pPr>
              <w:jc w:val="left"/>
              <w:rPr>
                <w:rFonts w:hint="eastAsia"/>
              </w:rPr>
            </w:pPr>
            <w:r>
              <w:rPr>
                <w:rFonts w:hint="eastAsia"/>
              </w:rPr>
              <w:t>5</w:t>
            </w:r>
            <w:r>
              <w:rPr>
                <w:rFonts w:hint="eastAsia"/>
              </w:rPr>
              <w:t>、基金的银行汇划费用；</w:t>
            </w:r>
          </w:p>
          <w:p w:rsidR="00D73D3F" w:rsidRDefault="00D73D3F" w:rsidP="00D73D3F">
            <w:pPr>
              <w:jc w:val="left"/>
              <w:rPr>
                <w:rFonts w:hint="eastAsia"/>
              </w:rPr>
            </w:pPr>
            <w:r>
              <w:rPr>
                <w:rFonts w:hint="eastAsia"/>
              </w:rPr>
              <w:t>6</w:t>
            </w:r>
            <w:r>
              <w:rPr>
                <w:rFonts w:hint="eastAsia"/>
              </w:rPr>
              <w:t>、基金相关账户的开户及维护费用；</w:t>
            </w:r>
          </w:p>
          <w:p w:rsidR="00D73D3F" w:rsidRDefault="00D73D3F" w:rsidP="00D73D3F">
            <w:pPr>
              <w:jc w:val="left"/>
              <w:rPr>
                <w:rFonts w:hint="eastAsia"/>
              </w:rPr>
            </w:pPr>
            <w:r>
              <w:rPr>
                <w:rFonts w:hint="eastAsia"/>
              </w:rPr>
              <w:t>7</w:t>
            </w:r>
            <w:r>
              <w:rPr>
                <w:rFonts w:hint="eastAsia"/>
              </w:rPr>
              <w:t>、因投资港股通标的股票而产生的各项合理费用；</w:t>
            </w:r>
          </w:p>
          <w:p w:rsidR="00D73D3F" w:rsidRDefault="00D73D3F" w:rsidP="00D73D3F">
            <w:pPr>
              <w:jc w:val="left"/>
            </w:pPr>
            <w:r>
              <w:rPr>
                <w:rFonts w:hint="eastAsia"/>
              </w:rPr>
              <w:t>8</w:t>
            </w:r>
            <w:r>
              <w:rPr>
                <w:rFonts w:hint="eastAsia"/>
              </w:rPr>
              <w:t>、按照国家有关规定和《基金合同》约定，可以在基金财产中列支的其他费用。</w:t>
            </w:r>
          </w:p>
        </w:tc>
      </w:tr>
    </w:tbl>
    <w:p w:rsidR="00D73D3F" w:rsidRDefault="00D73D3F" w:rsidP="00D73D3F">
      <w:pPr>
        <w:pStyle w:val="-7"/>
        <w:ind w:firstLine="420"/>
        <w:rPr>
          <w:rFonts w:hint="eastAsia"/>
        </w:rPr>
      </w:pPr>
      <w:r>
        <w:rPr>
          <w:rFonts w:hint="eastAsia"/>
        </w:rPr>
        <w:t>注：本基金交易证券、基金等产生的费用和税负，按实际发生额从基金资产扣除。</w:t>
      </w:r>
    </w:p>
    <w:p w:rsidR="00D73D3F" w:rsidRDefault="00D73D3F" w:rsidP="00D73D3F">
      <w:pPr>
        <w:pStyle w:val="-1"/>
        <w:spacing w:before="156" w:after="156"/>
        <w:rPr>
          <w:rFonts w:hint="eastAsia"/>
        </w:rPr>
      </w:pPr>
      <w:r>
        <w:rPr>
          <w:rFonts w:hint="eastAsia"/>
        </w:rPr>
        <w:t>四、风险揭示与重要提示</w:t>
      </w:r>
    </w:p>
    <w:p w:rsidR="00D73D3F" w:rsidRDefault="00D73D3F" w:rsidP="00D73D3F">
      <w:pPr>
        <w:pStyle w:val="-2"/>
        <w:spacing w:before="156" w:after="156"/>
        <w:rPr>
          <w:rFonts w:hint="eastAsia"/>
        </w:rPr>
      </w:pPr>
      <w:r>
        <w:rPr>
          <w:rFonts w:hint="eastAsia"/>
        </w:rPr>
        <w:t>（一）</w:t>
      </w:r>
      <w:r>
        <w:rPr>
          <w:rFonts w:hint="eastAsia"/>
        </w:rPr>
        <w:t xml:space="preserve"> </w:t>
      </w:r>
      <w:r>
        <w:rPr>
          <w:rFonts w:hint="eastAsia"/>
        </w:rPr>
        <w:t>风险揭示</w:t>
      </w:r>
    </w:p>
    <w:p w:rsidR="00D73D3F" w:rsidRDefault="00D73D3F" w:rsidP="00D73D3F">
      <w:pPr>
        <w:pStyle w:val="-"/>
        <w:ind w:firstLine="420"/>
        <w:rPr>
          <w:rFonts w:hint="eastAsia"/>
        </w:rPr>
      </w:pPr>
      <w:r>
        <w:rPr>
          <w:rFonts w:hint="eastAsia"/>
        </w:rPr>
        <w:t>本基金不提供任何保证。投资者可能损失投资本金。</w:t>
      </w:r>
    </w:p>
    <w:p w:rsidR="00D73D3F" w:rsidRDefault="00D73D3F" w:rsidP="00D73D3F">
      <w:pPr>
        <w:pStyle w:val="-"/>
        <w:ind w:firstLine="420"/>
        <w:rPr>
          <w:rFonts w:hint="eastAsia"/>
        </w:rPr>
      </w:pPr>
      <w:r>
        <w:rPr>
          <w:rFonts w:hint="eastAsia"/>
        </w:rPr>
        <w:t>投资有风险，投资者购买基金时应认真阅读本基金的《招募说明书》等销售文件。</w:t>
      </w:r>
    </w:p>
    <w:p w:rsidR="00D73D3F" w:rsidRDefault="00D73D3F" w:rsidP="00D73D3F">
      <w:pPr>
        <w:pStyle w:val="-"/>
        <w:ind w:firstLine="420"/>
        <w:rPr>
          <w:rFonts w:hint="eastAsia"/>
        </w:rPr>
      </w:pPr>
      <w:r>
        <w:rPr>
          <w:rFonts w:hint="eastAsia"/>
        </w:rPr>
        <w:t>一）本基金特定风险如下：</w:t>
      </w:r>
    </w:p>
    <w:p w:rsidR="00D73D3F" w:rsidRDefault="00D73D3F" w:rsidP="00D73D3F">
      <w:pPr>
        <w:pStyle w:val="-"/>
        <w:ind w:firstLine="420"/>
        <w:rPr>
          <w:rFonts w:hint="eastAsia"/>
        </w:rPr>
      </w:pPr>
      <w:r>
        <w:rPr>
          <w:rFonts w:hint="eastAsia"/>
        </w:rPr>
        <w:t>1</w:t>
      </w:r>
      <w:r>
        <w:rPr>
          <w:rFonts w:hint="eastAsia"/>
        </w:rPr>
        <w:t>、本基金作为股票型基金，在投资管理中会至少维持</w:t>
      </w:r>
      <w:r>
        <w:rPr>
          <w:rFonts w:hint="eastAsia"/>
        </w:rPr>
        <w:t>80%</w:t>
      </w:r>
      <w:r>
        <w:rPr>
          <w:rFonts w:hint="eastAsia"/>
        </w:rPr>
        <w:t>的股票和存托凭证投资比例，具有对股票市场的系统性风险，不能完全规避市场下跌的风险，在市场大幅上涨时也不能保证基金净值能够完全跟随或超越市场上涨幅度。</w:t>
      </w:r>
    </w:p>
    <w:p w:rsidR="00D73D3F" w:rsidRDefault="00D73D3F" w:rsidP="00D73D3F">
      <w:pPr>
        <w:pStyle w:val="-"/>
        <w:ind w:firstLine="420"/>
        <w:rPr>
          <w:rFonts w:hint="eastAsia"/>
        </w:rPr>
      </w:pPr>
      <w:r>
        <w:rPr>
          <w:rFonts w:hint="eastAsia"/>
        </w:rPr>
        <w:t>2</w:t>
      </w:r>
      <w:r>
        <w:rPr>
          <w:rFonts w:hint="eastAsia"/>
        </w:rPr>
        <w:t>、本基金将股指期货、国债期货纳入到投资范围中，股指期货、国债期货采用保证金交易制度，由于保证金交易具有杠杆性，当出现不利行情时，微小的变动就可能会使投资人权益遭受较大损失。同时，股指期货采用每日无负债结算制度，如果没有在规定的时间内补足保证金，按规定将被强制平仓，可能给基金净值带来重大损失。</w:t>
      </w:r>
    </w:p>
    <w:p w:rsidR="00D73D3F" w:rsidRDefault="00D73D3F" w:rsidP="00D73D3F">
      <w:pPr>
        <w:pStyle w:val="-"/>
        <w:ind w:firstLine="420"/>
        <w:rPr>
          <w:rFonts w:hint="eastAsia"/>
        </w:rPr>
      </w:pPr>
      <w:r>
        <w:rPr>
          <w:rFonts w:hint="eastAsia"/>
        </w:rPr>
        <w:t>3</w:t>
      </w:r>
      <w:r>
        <w:rPr>
          <w:rFonts w:hint="eastAsia"/>
        </w:rPr>
        <w:t>、本基金的投资范围包含资产支持证券，可能带来以下风险：</w:t>
      </w:r>
    </w:p>
    <w:p w:rsidR="00D73D3F" w:rsidRDefault="00D73D3F" w:rsidP="00D73D3F">
      <w:pPr>
        <w:pStyle w:val="-"/>
        <w:ind w:firstLine="420"/>
        <w:rPr>
          <w:rFonts w:hint="eastAsia"/>
        </w:rPr>
      </w:pPr>
      <w:r>
        <w:rPr>
          <w:rFonts w:hint="eastAsia"/>
        </w:rPr>
        <w:t>（</w:t>
      </w:r>
      <w:r>
        <w:rPr>
          <w:rFonts w:hint="eastAsia"/>
        </w:rPr>
        <w:t>1</w:t>
      </w:r>
      <w:r>
        <w:rPr>
          <w:rFonts w:hint="eastAsia"/>
        </w:rPr>
        <w:t>）信用风险：基金所投资的资产支持证券之债务人出现违约，或在交易过程中发生交收违约，或由于资产支持证券信用质量降低导致证券价格下降，造成基金财产损失。</w:t>
      </w:r>
    </w:p>
    <w:p w:rsidR="00D73D3F" w:rsidRDefault="00D73D3F" w:rsidP="00D73D3F">
      <w:pPr>
        <w:pStyle w:val="-"/>
        <w:ind w:firstLine="420"/>
        <w:rPr>
          <w:rFonts w:hint="eastAsia"/>
        </w:rPr>
      </w:pPr>
      <w:r>
        <w:rPr>
          <w:rFonts w:hint="eastAsia"/>
        </w:rPr>
        <w:t>（</w:t>
      </w:r>
      <w:r>
        <w:rPr>
          <w:rFonts w:hint="eastAsia"/>
        </w:rPr>
        <w:t>2</w:t>
      </w:r>
      <w:r>
        <w:rPr>
          <w:rFonts w:hint="eastAsia"/>
        </w:rPr>
        <w:t>）利率风险：市场利率波动会导致资产支持证券的收益率和价格的变动，一般而言，如果市场利率上升，本基金持有资产支持证券将面临价格下降、本金损失的风险，而如果市场利率下降，资产支持证券利息的再投资收益将面临下降的风险。</w:t>
      </w:r>
    </w:p>
    <w:p w:rsidR="00D73D3F" w:rsidRDefault="00D73D3F" w:rsidP="00D73D3F">
      <w:pPr>
        <w:pStyle w:val="-"/>
        <w:ind w:firstLine="420"/>
        <w:rPr>
          <w:rFonts w:hint="eastAsia"/>
        </w:rPr>
      </w:pPr>
      <w:r>
        <w:rPr>
          <w:rFonts w:hint="eastAsia"/>
        </w:rPr>
        <w:t>（</w:t>
      </w:r>
      <w:r>
        <w:rPr>
          <w:rFonts w:hint="eastAsia"/>
        </w:rPr>
        <w:t>3</w:t>
      </w:r>
      <w:r>
        <w:rPr>
          <w:rFonts w:hint="eastAsia"/>
        </w:rPr>
        <w:t>）流动性风险：受资产支持证券市场规模及交易活跃程度的影响，资产支持证券可能无法在同一价格水平上进行较大数量的买入或卖出，存在一定的流动性风险。</w:t>
      </w:r>
    </w:p>
    <w:p w:rsidR="00D73D3F" w:rsidRDefault="00D73D3F" w:rsidP="00D73D3F">
      <w:pPr>
        <w:pStyle w:val="-"/>
        <w:ind w:firstLine="420"/>
        <w:rPr>
          <w:rFonts w:hint="eastAsia"/>
        </w:rPr>
      </w:pPr>
      <w:r>
        <w:rPr>
          <w:rFonts w:hint="eastAsia"/>
        </w:rPr>
        <w:t>（</w:t>
      </w:r>
      <w:r>
        <w:rPr>
          <w:rFonts w:hint="eastAsia"/>
        </w:rPr>
        <w:t>4</w:t>
      </w:r>
      <w:r>
        <w:rPr>
          <w:rFonts w:hint="eastAsia"/>
        </w:rPr>
        <w:t>）提前偿付风险：债务人可能会由于利率变化等原因进行提前偿付，从而使基金资产面临再投资风险。</w:t>
      </w:r>
    </w:p>
    <w:p w:rsidR="00D73D3F" w:rsidRDefault="00D73D3F" w:rsidP="00D73D3F">
      <w:pPr>
        <w:pStyle w:val="-"/>
        <w:ind w:firstLine="420"/>
        <w:rPr>
          <w:rFonts w:hint="eastAsia"/>
        </w:rPr>
      </w:pPr>
      <w:r>
        <w:rPr>
          <w:rFonts w:hint="eastAsia"/>
        </w:rPr>
        <w:t>4</w:t>
      </w:r>
      <w:r>
        <w:rPr>
          <w:rFonts w:hint="eastAsia"/>
        </w:rPr>
        <w:t>、汇率风险</w:t>
      </w:r>
    </w:p>
    <w:p w:rsidR="00D73D3F" w:rsidRDefault="00D73D3F" w:rsidP="00D73D3F">
      <w:pPr>
        <w:pStyle w:val="-"/>
        <w:ind w:firstLine="420"/>
        <w:rPr>
          <w:rFonts w:hint="eastAsia"/>
        </w:rPr>
      </w:pPr>
      <w:r>
        <w:rPr>
          <w:rFonts w:hint="eastAsia"/>
        </w:rPr>
        <w:t>本基金可投资港股通标的股票，在交易时间内提交订单依据的港币买入参考汇率和卖出参考汇率，并不等于最终结算汇率。港股通交易日日终，中国证券登记结算有限责任公司进行净额换汇，将换汇成本按成交金额分摊至每笔交易，确定交易实际使用的结算汇率。故本基金投资面临汇率风险。</w:t>
      </w:r>
    </w:p>
    <w:p w:rsidR="00D73D3F" w:rsidRDefault="00D73D3F" w:rsidP="00D73D3F">
      <w:pPr>
        <w:pStyle w:val="-"/>
        <w:ind w:firstLine="420"/>
        <w:rPr>
          <w:rFonts w:hint="eastAsia"/>
        </w:rPr>
      </w:pPr>
      <w:r>
        <w:rPr>
          <w:rFonts w:hint="eastAsia"/>
        </w:rPr>
        <w:t>5</w:t>
      </w:r>
      <w:r>
        <w:rPr>
          <w:rFonts w:hint="eastAsia"/>
        </w:rPr>
        <w:t>、境外市场风险</w:t>
      </w:r>
    </w:p>
    <w:p w:rsidR="00D73D3F" w:rsidRDefault="00D73D3F" w:rsidP="00D73D3F">
      <w:pPr>
        <w:pStyle w:val="-"/>
        <w:ind w:firstLine="420"/>
        <w:rPr>
          <w:rFonts w:hint="eastAsia"/>
        </w:rPr>
      </w:pPr>
      <w:r>
        <w:rPr>
          <w:rFonts w:hint="eastAsia"/>
        </w:rPr>
        <w:lastRenderedPageBreak/>
        <w:t>（</w:t>
      </w:r>
      <w:r>
        <w:rPr>
          <w:rFonts w:hint="eastAsia"/>
        </w:rPr>
        <w:t>1</w:t>
      </w:r>
      <w:r>
        <w:rPr>
          <w:rFonts w:hint="eastAsia"/>
        </w:rPr>
        <w:t>）本基金将通过内地与香港股票市场交易互联互通机制投资于香港市场，在市场进入、投资额度、可投资对象、交易规则、税务政策等方面都有一定的限制，而且此类限制可能会不断调整，这些限制因素的变化可能对本基金进入或退出当地市场造成障碍，从而对投资收益以及正常的申购赎回产生直接或间接的影响。</w:t>
      </w:r>
    </w:p>
    <w:p w:rsidR="00D73D3F" w:rsidRDefault="00D73D3F" w:rsidP="00D73D3F">
      <w:pPr>
        <w:pStyle w:val="-"/>
        <w:ind w:firstLine="420"/>
        <w:rPr>
          <w:rFonts w:hint="eastAsia"/>
        </w:rPr>
      </w:pPr>
      <w:r>
        <w:rPr>
          <w:rFonts w:hint="eastAsia"/>
        </w:rPr>
        <w:t>（</w:t>
      </w:r>
      <w:r>
        <w:rPr>
          <w:rFonts w:hint="eastAsia"/>
        </w:rPr>
        <w:t>2</w:t>
      </w:r>
      <w:r>
        <w:rPr>
          <w:rFonts w:hint="eastAsia"/>
        </w:rPr>
        <w:t>）香港市场交易规则有别于内地</w:t>
      </w:r>
      <w:r>
        <w:rPr>
          <w:rFonts w:hint="eastAsia"/>
        </w:rPr>
        <w:t>A</w:t>
      </w:r>
      <w:r>
        <w:rPr>
          <w:rFonts w:hint="eastAsia"/>
        </w:rPr>
        <w:t>股市场规则，此外，在互联互通机制下参与香港股票投资还将面临包括但不限于如下特殊风险：</w:t>
      </w:r>
    </w:p>
    <w:p w:rsidR="00D73D3F" w:rsidRDefault="00D73D3F" w:rsidP="00D73D3F">
      <w:pPr>
        <w:pStyle w:val="-"/>
        <w:ind w:firstLine="420"/>
        <w:rPr>
          <w:rFonts w:hint="eastAsia"/>
        </w:rPr>
      </w:pPr>
      <w:r>
        <w:rPr>
          <w:rFonts w:hint="eastAsia"/>
        </w:rPr>
        <w:t>1</w:t>
      </w:r>
      <w:r>
        <w:rPr>
          <w:rFonts w:hint="eastAsia"/>
        </w:rPr>
        <w:t>）香港市场证券交易价格并无涨跌幅上下限的规定，因此每日涨跌幅空间相对较大。</w:t>
      </w:r>
    </w:p>
    <w:p w:rsidR="00D73D3F" w:rsidRDefault="00D73D3F" w:rsidP="00D73D3F">
      <w:pPr>
        <w:pStyle w:val="-"/>
        <w:ind w:firstLine="420"/>
        <w:rPr>
          <w:rFonts w:hint="eastAsia"/>
        </w:rPr>
      </w:pPr>
      <w:r>
        <w:rPr>
          <w:rFonts w:hint="eastAsia"/>
        </w:rPr>
        <w:t>2</w:t>
      </w:r>
      <w:r>
        <w:rPr>
          <w:rFonts w:hint="eastAsia"/>
        </w:rPr>
        <w:t>）只有内地和香港两地均为交易日且能够满足结算安排的交易日才为港股通交易日。</w:t>
      </w:r>
    </w:p>
    <w:p w:rsidR="00D73D3F" w:rsidRDefault="00D73D3F" w:rsidP="00D73D3F">
      <w:pPr>
        <w:pStyle w:val="-"/>
        <w:ind w:firstLine="420"/>
        <w:rPr>
          <w:rFonts w:hint="eastAsia"/>
        </w:rPr>
      </w:pPr>
      <w:r>
        <w:rPr>
          <w:rFonts w:hint="eastAsia"/>
        </w:rPr>
        <w:t>3</w:t>
      </w:r>
      <w:r>
        <w:rPr>
          <w:rFonts w:hint="eastAsia"/>
        </w:rPr>
        <w:t>）香港出现台风、黑色暴雨或者联交所规定的其他情形时，联交所将可能停市，投资者将面临在停市期间无法进行港股通交易的风险；出现交易所证券交易服务公司认定的交易异常情况时，交易所证券交易服务公司将可能暂停提供部分或者全部港股通服务，投资者将面临在暂停服务期间无法进行港股通交易的风险。</w:t>
      </w:r>
    </w:p>
    <w:p w:rsidR="00D73D3F" w:rsidRDefault="00D73D3F" w:rsidP="00D73D3F">
      <w:pPr>
        <w:pStyle w:val="-"/>
        <w:ind w:firstLine="420"/>
        <w:rPr>
          <w:rFonts w:hint="eastAsia"/>
        </w:rPr>
      </w:pPr>
      <w:r>
        <w:rPr>
          <w:rFonts w:hint="eastAsia"/>
        </w:rPr>
        <w:t>4</w:t>
      </w:r>
      <w:r>
        <w:rPr>
          <w:rFonts w:hint="eastAsia"/>
        </w:rPr>
        <w:t>）投资者因港股通股票权益分派、转换、上市公司被收购等情形或者异常情况，所取得的港股通股票以外的联交所上市证券，只能通过港股通卖出，但不得买入，交易所另有规定的除外；因港股通股票权益分配或者转换等情形取得的联交所上市股票的认购权利在联交所上市的，可以通过港股通卖出，但不得行权；因港股通股票权益分派、转换或者上市公司被收购等所取得的非联交所上市证券，可以享有相关权益，但不得通过港股通买入或卖出。</w:t>
      </w:r>
    </w:p>
    <w:p w:rsidR="00D73D3F" w:rsidRDefault="00D73D3F" w:rsidP="00D73D3F">
      <w:pPr>
        <w:pStyle w:val="-"/>
        <w:ind w:firstLine="420"/>
        <w:rPr>
          <w:rFonts w:hint="eastAsia"/>
        </w:rPr>
      </w:pPr>
      <w:r>
        <w:rPr>
          <w:rFonts w:hint="eastAsia"/>
        </w:rPr>
        <w:t>5</w:t>
      </w:r>
      <w:r>
        <w:rPr>
          <w:rFonts w:hint="eastAsia"/>
        </w:rPr>
        <w:t>）代理投票。由于中国结算是在汇总投资者意愿后再向香港结算提交投票意愿，中国结算对投资者设定的意愿征集期比香港结算的征集期稍早结束；投票没有权益登记日的，以投票截止日的持有作为计算基准；投票数量超出持有数量的，按照比例分配持有基数。以上所述因素可能会给本基金投资带来特殊交易风险。</w:t>
      </w:r>
    </w:p>
    <w:p w:rsidR="00D73D3F" w:rsidRDefault="00D73D3F" w:rsidP="00D73D3F">
      <w:pPr>
        <w:pStyle w:val="-"/>
        <w:ind w:firstLine="420"/>
        <w:rPr>
          <w:rFonts w:hint="eastAsia"/>
        </w:rPr>
      </w:pPr>
      <w:r>
        <w:rPr>
          <w:rFonts w:hint="eastAsia"/>
        </w:rPr>
        <w:t>6</w:t>
      </w:r>
      <w:r>
        <w:rPr>
          <w:rFonts w:hint="eastAsia"/>
        </w:rPr>
        <w:t>、存托凭证的投资风险</w:t>
      </w:r>
    </w:p>
    <w:p w:rsidR="00D73D3F" w:rsidRDefault="00D73D3F" w:rsidP="00D73D3F">
      <w:pPr>
        <w:pStyle w:val="-"/>
        <w:ind w:firstLine="420"/>
        <w:rPr>
          <w:rFonts w:hint="eastAsia"/>
        </w:rPr>
      </w:pPr>
      <w:r>
        <w:rPr>
          <w:rFonts w:hint="eastAsia"/>
        </w:rPr>
        <w:t>本基金的投资范围包括存托凭证，可能面临存托凭证价格大幅波动甚至出现较大亏损的风险，以及与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D73D3F" w:rsidRDefault="00D73D3F" w:rsidP="00D73D3F">
      <w:pPr>
        <w:pStyle w:val="-"/>
        <w:ind w:firstLine="420"/>
        <w:rPr>
          <w:rFonts w:hint="eastAsia"/>
        </w:rPr>
      </w:pPr>
      <w:r>
        <w:rPr>
          <w:rFonts w:hint="eastAsia"/>
        </w:rPr>
        <w:t>7</w:t>
      </w:r>
      <w:r>
        <w:rPr>
          <w:rFonts w:hint="eastAsia"/>
        </w:rPr>
        <w:t>、债券回购风险</w:t>
      </w:r>
    </w:p>
    <w:p w:rsidR="00D73D3F" w:rsidRDefault="00D73D3F" w:rsidP="00D73D3F">
      <w:pPr>
        <w:pStyle w:val="-"/>
        <w:ind w:firstLine="420"/>
        <w:rPr>
          <w:rFonts w:hint="eastAsia"/>
        </w:rPr>
      </w:pPr>
      <w:r>
        <w:rPr>
          <w:rFonts w:hint="eastAsia"/>
        </w:rPr>
        <w:t>债券回购为提升基金组合收益提供了可能，但也存在一定的风险。例如：回购交易中，交易对手在回购到期时不能偿还全部或部分证券或价款，造成基金资产损失的风险；回购利率大于债券投资收益而导致的风险；由于回购操作导致投资总量放大，进而放大基金组合风险的风险；债券回购在对基金组合收益进行放大的同时，也放大了基金组合的波动性（标准差），基金组合的风险将会加大；回购比例越高，风险暴露程度也就越高，对基金净值造成损失的可能性也就越大。如发生债券回购交收违约，质押券可能面临被处置的风险，因处置价格、数量、时间等的不确定，可能会给基金资产造成损失。</w:t>
      </w:r>
    </w:p>
    <w:p w:rsidR="00D73D3F" w:rsidRDefault="00D73D3F" w:rsidP="00D73D3F">
      <w:pPr>
        <w:pStyle w:val="-"/>
        <w:ind w:firstLine="420"/>
        <w:rPr>
          <w:rFonts w:hint="eastAsia"/>
        </w:rPr>
      </w:pPr>
      <w:r>
        <w:rPr>
          <w:rFonts w:hint="eastAsia"/>
        </w:rPr>
        <w:t>二）本基金面临的其他风险如下：</w:t>
      </w:r>
    </w:p>
    <w:p w:rsidR="00D73D3F" w:rsidRDefault="00D73D3F" w:rsidP="00D73D3F">
      <w:pPr>
        <w:pStyle w:val="-"/>
        <w:ind w:firstLine="420"/>
        <w:rPr>
          <w:rFonts w:hint="eastAsia"/>
        </w:rPr>
      </w:pPr>
      <w:r>
        <w:rPr>
          <w:rFonts w:hint="eastAsia"/>
        </w:rPr>
        <w:t>1</w:t>
      </w:r>
      <w:r>
        <w:rPr>
          <w:rFonts w:hint="eastAsia"/>
        </w:rPr>
        <w:t>、证券市场风险，主要包括：（</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p>
    <w:p w:rsidR="00D73D3F" w:rsidRDefault="00D73D3F" w:rsidP="00D73D3F">
      <w:pPr>
        <w:pStyle w:val="-"/>
        <w:ind w:firstLine="420"/>
        <w:rPr>
          <w:rFonts w:hint="eastAsia"/>
        </w:rPr>
      </w:pPr>
      <w:r>
        <w:rPr>
          <w:rFonts w:hint="eastAsia"/>
        </w:rPr>
        <w:t>2</w:t>
      </w:r>
      <w:r>
        <w:rPr>
          <w:rFonts w:hint="eastAsia"/>
        </w:rPr>
        <w:t>、流动性风险，主要包括：（</w:t>
      </w:r>
      <w:r>
        <w:rPr>
          <w:rFonts w:hint="eastAsia"/>
        </w:rPr>
        <w:t>1</w:t>
      </w:r>
      <w:r>
        <w:rPr>
          <w:rFonts w:hint="eastAsia"/>
        </w:rPr>
        <w:t>）基金申购、赎回安排；（</w:t>
      </w:r>
      <w:r>
        <w:rPr>
          <w:rFonts w:hint="eastAsia"/>
        </w:rPr>
        <w:t>2</w:t>
      </w:r>
      <w:r>
        <w:rPr>
          <w:rFonts w:hint="eastAsia"/>
        </w:rPr>
        <w:t>）拟投资市场、行业及资产的流动性风险评估；（</w:t>
      </w:r>
      <w:r>
        <w:rPr>
          <w:rFonts w:hint="eastAsia"/>
        </w:rPr>
        <w:t>3</w:t>
      </w:r>
      <w:r>
        <w:rPr>
          <w:rFonts w:hint="eastAsia"/>
        </w:rPr>
        <w:t>）巨额赎回情形下的流动性风险管理措施；（</w:t>
      </w:r>
      <w:r>
        <w:rPr>
          <w:rFonts w:hint="eastAsia"/>
        </w:rPr>
        <w:t>4</w:t>
      </w:r>
      <w:r>
        <w:rPr>
          <w:rFonts w:hint="eastAsia"/>
        </w:rPr>
        <w:t>）实施备用的流动性风险管理工具的情形、程序及对投资者的潜在影响；</w:t>
      </w:r>
    </w:p>
    <w:p w:rsidR="00D73D3F" w:rsidRDefault="00D73D3F" w:rsidP="00D73D3F">
      <w:pPr>
        <w:pStyle w:val="-"/>
        <w:ind w:firstLine="420"/>
        <w:rPr>
          <w:rFonts w:hint="eastAsia"/>
        </w:rPr>
      </w:pPr>
      <w:r>
        <w:rPr>
          <w:rFonts w:hint="eastAsia"/>
        </w:rPr>
        <w:lastRenderedPageBreak/>
        <w:t>3</w:t>
      </w:r>
      <w:r>
        <w:rPr>
          <w:rFonts w:hint="eastAsia"/>
        </w:rPr>
        <w:t>、信用风险；</w:t>
      </w:r>
    </w:p>
    <w:p w:rsidR="00D73D3F" w:rsidRDefault="00D73D3F" w:rsidP="00D73D3F">
      <w:pPr>
        <w:pStyle w:val="-"/>
        <w:ind w:firstLine="420"/>
        <w:rPr>
          <w:rFonts w:hint="eastAsia"/>
        </w:rPr>
      </w:pPr>
      <w:r>
        <w:rPr>
          <w:rFonts w:hint="eastAsia"/>
        </w:rPr>
        <w:t>4</w:t>
      </w:r>
      <w:r>
        <w:rPr>
          <w:rFonts w:hint="eastAsia"/>
        </w:rPr>
        <w:t>、管理风险；</w:t>
      </w:r>
    </w:p>
    <w:p w:rsidR="00D73D3F" w:rsidRDefault="00D73D3F" w:rsidP="00D73D3F">
      <w:pPr>
        <w:pStyle w:val="-"/>
        <w:ind w:firstLine="420"/>
        <w:rPr>
          <w:rFonts w:hint="eastAsia"/>
        </w:rPr>
      </w:pPr>
      <w:r>
        <w:rPr>
          <w:rFonts w:hint="eastAsia"/>
        </w:rPr>
        <w:t>5</w:t>
      </w:r>
      <w:r>
        <w:rPr>
          <w:rFonts w:hint="eastAsia"/>
        </w:rPr>
        <w:t>、本基金法律文件风险收益特征表述与销售机构基金风险评价可能不一致的风险；</w:t>
      </w:r>
    </w:p>
    <w:p w:rsidR="00D73D3F" w:rsidRDefault="00D73D3F" w:rsidP="00D73D3F">
      <w:pPr>
        <w:pStyle w:val="-"/>
        <w:ind w:firstLine="420"/>
        <w:rPr>
          <w:rFonts w:hint="eastAsia"/>
        </w:rPr>
      </w:pPr>
      <w:r>
        <w:rPr>
          <w:rFonts w:hint="eastAsia"/>
        </w:rPr>
        <w:t>6</w:t>
      </w:r>
      <w:r>
        <w:rPr>
          <w:rFonts w:hint="eastAsia"/>
        </w:rPr>
        <w:t>、其他风险，主要包括：（</w:t>
      </w:r>
      <w:r>
        <w:rPr>
          <w:rFonts w:hint="eastAsia"/>
        </w:rPr>
        <w:t>1</w:t>
      </w:r>
      <w:r>
        <w:rPr>
          <w:rFonts w:hint="eastAsia"/>
        </w:rPr>
        <w:t>）操作风险；（</w:t>
      </w:r>
      <w:r>
        <w:rPr>
          <w:rFonts w:hint="eastAsia"/>
        </w:rPr>
        <w:t>2</w:t>
      </w:r>
      <w:r>
        <w:rPr>
          <w:rFonts w:hint="eastAsia"/>
        </w:rPr>
        <w:t>）技术风险；（</w:t>
      </w:r>
      <w:r>
        <w:rPr>
          <w:rFonts w:hint="eastAsia"/>
        </w:rPr>
        <w:t>3</w:t>
      </w:r>
      <w:r>
        <w:rPr>
          <w:rFonts w:hint="eastAsia"/>
        </w:rPr>
        <w:t>）法律风险；（</w:t>
      </w:r>
      <w:r>
        <w:rPr>
          <w:rFonts w:hint="eastAsia"/>
        </w:rPr>
        <w:t>4</w:t>
      </w:r>
      <w:r>
        <w:rPr>
          <w:rFonts w:hint="eastAsia"/>
        </w:rPr>
        <w:t>）其他风险。</w:t>
      </w:r>
    </w:p>
    <w:p w:rsidR="00D73D3F" w:rsidRDefault="00D73D3F" w:rsidP="00D73D3F">
      <w:pPr>
        <w:pStyle w:val="-"/>
        <w:ind w:firstLine="420"/>
        <w:rPr>
          <w:rFonts w:hint="eastAsia"/>
        </w:rPr>
      </w:pPr>
      <w:r>
        <w:rPr>
          <w:rFonts w:hint="eastAsia"/>
        </w:rPr>
        <w:t>具体内容详见本基金《招募说明书》。</w:t>
      </w:r>
    </w:p>
    <w:p w:rsidR="00D73D3F" w:rsidRDefault="00D73D3F" w:rsidP="00D73D3F">
      <w:pPr>
        <w:pStyle w:val="-2"/>
        <w:spacing w:before="156" w:after="156"/>
        <w:rPr>
          <w:rFonts w:hint="eastAsia"/>
        </w:rPr>
      </w:pPr>
      <w:r>
        <w:rPr>
          <w:rFonts w:hint="eastAsia"/>
        </w:rPr>
        <w:t>（二）</w:t>
      </w:r>
      <w:r>
        <w:rPr>
          <w:rFonts w:hint="eastAsia"/>
        </w:rPr>
        <w:t xml:space="preserve"> </w:t>
      </w:r>
      <w:r>
        <w:rPr>
          <w:rFonts w:hint="eastAsia"/>
        </w:rPr>
        <w:t>重要提示</w:t>
      </w:r>
    </w:p>
    <w:p w:rsidR="00D73D3F" w:rsidRDefault="00D73D3F" w:rsidP="00D73D3F">
      <w:pPr>
        <w:pStyle w:val="-"/>
        <w:ind w:firstLine="420"/>
        <w:rPr>
          <w:rFonts w:hint="eastAsia"/>
        </w:rPr>
      </w:pPr>
      <w:r>
        <w:rPr>
          <w:rFonts w:hint="eastAsia"/>
        </w:rPr>
        <w:t>中国证监会对本基金募集的注册，并不表明其对本基金的价值和收益作出实质性判断或保证，也不表明投资于本基金没有风险。</w:t>
      </w:r>
    </w:p>
    <w:p w:rsidR="00D73D3F" w:rsidRDefault="00D73D3F" w:rsidP="00D73D3F">
      <w:pPr>
        <w:pStyle w:val="-"/>
        <w:ind w:firstLine="420"/>
        <w:rPr>
          <w:rFonts w:hint="eastAsia"/>
        </w:rPr>
      </w:pPr>
      <w:r>
        <w:rPr>
          <w:rFonts w:hint="eastAsia"/>
        </w:rPr>
        <w:t>基金管理人依照恪尽职守、诚实信用、谨慎勤勉的原则管理和运用基金财产，但不保证基金一定盈利，也不保证最低收益。</w:t>
      </w:r>
    </w:p>
    <w:p w:rsidR="00D73D3F" w:rsidRDefault="00D73D3F" w:rsidP="00D73D3F">
      <w:pPr>
        <w:pStyle w:val="-"/>
        <w:ind w:firstLine="420"/>
        <w:rPr>
          <w:rFonts w:hint="eastAsia"/>
        </w:rPr>
      </w:pPr>
      <w:r>
        <w:rPr>
          <w:rFonts w:hint="eastAsia"/>
        </w:rPr>
        <w:t>基金投资者自依基金合同取得基金份额，即成为基金份额持有人和基金合同的当事人。</w:t>
      </w:r>
    </w:p>
    <w:p w:rsidR="00D73D3F" w:rsidRDefault="00D73D3F" w:rsidP="00D73D3F">
      <w:pPr>
        <w:pStyle w:val="-9"/>
        <w:ind w:firstLine="422"/>
        <w:rPr>
          <w:rFonts w:hint="eastAsia"/>
        </w:rPr>
      </w:pPr>
      <w:r>
        <w:rPr>
          <w:rFonts w:hint="eastAsia"/>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rsidR="00D73D3F" w:rsidRDefault="00D73D3F" w:rsidP="00D73D3F">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D73D3F" w:rsidRDefault="00D73D3F" w:rsidP="00D73D3F">
      <w:pPr>
        <w:pStyle w:val="-1"/>
        <w:spacing w:before="156" w:after="156"/>
        <w:rPr>
          <w:rFonts w:hint="eastAsia"/>
        </w:rPr>
      </w:pPr>
      <w:r>
        <w:rPr>
          <w:rFonts w:hint="eastAsia"/>
        </w:rPr>
        <w:t>五、其他资料查询方式</w:t>
      </w:r>
    </w:p>
    <w:p w:rsidR="00D73D3F" w:rsidRDefault="00D73D3F" w:rsidP="00D73D3F">
      <w:pPr>
        <w:pStyle w:val="-"/>
        <w:ind w:firstLine="420"/>
        <w:rPr>
          <w:rFonts w:hint="eastAsia"/>
        </w:rPr>
      </w:pPr>
      <w:r>
        <w:rPr>
          <w:rFonts w:hint="eastAsia"/>
        </w:rPr>
        <w:t>以下资料详见基金管理人网站</w:t>
      </w:r>
      <w:r>
        <w:rPr>
          <w:rFonts w:hint="eastAsia"/>
        </w:rPr>
        <w:t>www.cmfchina.com</w:t>
      </w:r>
      <w:r>
        <w:rPr>
          <w:rFonts w:hint="eastAsia"/>
        </w:rPr>
        <w:t>客服电话：</w:t>
      </w:r>
      <w:r>
        <w:rPr>
          <w:rFonts w:hint="eastAsia"/>
        </w:rPr>
        <w:t>400-887-9555</w:t>
      </w:r>
    </w:p>
    <w:p w:rsidR="00D73D3F" w:rsidRDefault="00D73D3F" w:rsidP="00D73D3F">
      <w:pPr>
        <w:pStyle w:val="-"/>
        <w:ind w:firstLine="420"/>
        <w:rPr>
          <w:rFonts w:hint="eastAsia"/>
        </w:rPr>
      </w:pPr>
      <w:r>
        <w:rPr>
          <w:rFonts w:hint="eastAsia"/>
        </w:rPr>
        <w:t>●</w:t>
      </w:r>
      <w:r>
        <w:rPr>
          <w:rFonts w:hint="eastAsia"/>
        </w:rPr>
        <w:t xml:space="preserve"> </w:t>
      </w:r>
      <w:r>
        <w:rPr>
          <w:rFonts w:hint="eastAsia"/>
        </w:rPr>
        <w:t>《招商研究优选股票型证券投资基金基金合同》、</w:t>
      </w:r>
    </w:p>
    <w:p w:rsidR="00D73D3F" w:rsidRDefault="00D73D3F" w:rsidP="00D73D3F">
      <w:pPr>
        <w:pStyle w:val="-"/>
        <w:ind w:firstLine="420"/>
        <w:rPr>
          <w:rFonts w:hint="eastAsia"/>
        </w:rPr>
      </w:pPr>
      <w:r>
        <w:rPr>
          <w:rFonts w:hint="eastAsia"/>
        </w:rPr>
        <w:t>《招商研究优选股票型证券投资基金托管协议》、</w:t>
      </w:r>
    </w:p>
    <w:p w:rsidR="00D73D3F" w:rsidRDefault="00D73D3F" w:rsidP="00D73D3F">
      <w:pPr>
        <w:pStyle w:val="-"/>
        <w:ind w:firstLine="420"/>
        <w:rPr>
          <w:rFonts w:hint="eastAsia"/>
        </w:rPr>
      </w:pPr>
      <w:r>
        <w:rPr>
          <w:rFonts w:hint="eastAsia"/>
        </w:rPr>
        <w:t>《招商研究优选股票型证券投资基金招募说明书》</w:t>
      </w:r>
    </w:p>
    <w:p w:rsidR="00D73D3F" w:rsidRDefault="00D73D3F" w:rsidP="00D73D3F">
      <w:pPr>
        <w:pStyle w:val="-"/>
        <w:ind w:firstLine="420"/>
        <w:rPr>
          <w:rFonts w:hint="eastAsia"/>
        </w:rPr>
      </w:pPr>
      <w:r>
        <w:rPr>
          <w:rFonts w:hint="eastAsia"/>
        </w:rPr>
        <w:t>●</w:t>
      </w:r>
      <w:r>
        <w:rPr>
          <w:rFonts w:hint="eastAsia"/>
        </w:rPr>
        <w:t xml:space="preserve"> </w:t>
      </w:r>
      <w:r>
        <w:rPr>
          <w:rFonts w:hint="eastAsia"/>
        </w:rPr>
        <w:t>定期报告，包括基金季度报告、中期报告和年度报告</w:t>
      </w:r>
    </w:p>
    <w:p w:rsidR="00D73D3F" w:rsidRDefault="00D73D3F" w:rsidP="00D73D3F">
      <w:pPr>
        <w:pStyle w:val="-"/>
        <w:ind w:firstLine="420"/>
        <w:rPr>
          <w:rFonts w:hint="eastAsia"/>
        </w:rPr>
      </w:pPr>
      <w:r>
        <w:rPr>
          <w:rFonts w:hint="eastAsia"/>
        </w:rPr>
        <w:t>●</w:t>
      </w:r>
      <w:r>
        <w:rPr>
          <w:rFonts w:hint="eastAsia"/>
        </w:rPr>
        <w:t xml:space="preserve"> </w:t>
      </w:r>
      <w:r>
        <w:rPr>
          <w:rFonts w:hint="eastAsia"/>
        </w:rPr>
        <w:t>基金份额净值</w:t>
      </w:r>
    </w:p>
    <w:p w:rsidR="00D73D3F" w:rsidRDefault="00D73D3F" w:rsidP="00D73D3F">
      <w:pPr>
        <w:pStyle w:val="-"/>
        <w:ind w:firstLine="420"/>
        <w:rPr>
          <w:rFonts w:hint="eastAsia"/>
        </w:rPr>
      </w:pPr>
      <w:r>
        <w:rPr>
          <w:rFonts w:hint="eastAsia"/>
        </w:rPr>
        <w:t>●</w:t>
      </w:r>
      <w:r>
        <w:rPr>
          <w:rFonts w:hint="eastAsia"/>
        </w:rPr>
        <w:t xml:space="preserve"> </w:t>
      </w:r>
      <w:r>
        <w:rPr>
          <w:rFonts w:hint="eastAsia"/>
        </w:rPr>
        <w:t>基金销售机构及联系方式</w:t>
      </w:r>
    </w:p>
    <w:p w:rsidR="00D73D3F" w:rsidRDefault="00D73D3F" w:rsidP="00D73D3F">
      <w:pPr>
        <w:pStyle w:val="-"/>
        <w:ind w:firstLine="420"/>
        <w:rPr>
          <w:rFonts w:hint="eastAsia"/>
        </w:rPr>
      </w:pPr>
      <w:r>
        <w:rPr>
          <w:rFonts w:hint="eastAsia"/>
        </w:rPr>
        <w:t>●</w:t>
      </w:r>
      <w:r>
        <w:rPr>
          <w:rFonts w:hint="eastAsia"/>
        </w:rPr>
        <w:t xml:space="preserve"> </w:t>
      </w:r>
      <w:r>
        <w:rPr>
          <w:rFonts w:hint="eastAsia"/>
        </w:rPr>
        <w:t>其他重要资料</w:t>
      </w:r>
    </w:p>
    <w:p w:rsidR="00D73D3F" w:rsidRDefault="00D73D3F" w:rsidP="00D73D3F">
      <w:pPr>
        <w:pStyle w:val="-1"/>
        <w:spacing w:before="156" w:after="156"/>
        <w:rPr>
          <w:rFonts w:hint="eastAsia"/>
        </w:rPr>
      </w:pPr>
      <w:r>
        <w:rPr>
          <w:rFonts w:hint="eastAsia"/>
        </w:rPr>
        <w:t>六、其他情况说明</w:t>
      </w:r>
    </w:p>
    <w:p w:rsidR="00D73D3F" w:rsidRDefault="00D73D3F" w:rsidP="00D73D3F">
      <w:pPr>
        <w:pStyle w:val="-"/>
        <w:ind w:firstLine="420"/>
        <w:rPr>
          <w:rFonts w:hint="eastAsia"/>
        </w:rPr>
      </w:pPr>
      <w:r>
        <w:rPr>
          <w:rFonts w:hint="eastAsia"/>
        </w:rPr>
        <w:t>无</w:t>
      </w:r>
    </w:p>
    <w:p w:rsidR="00E67375" w:rsidRPr="00ED7F31" w:rsidRDefault="00D73D3F" w:rsidP="00D73D3F">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7C4" w:rsidRDefault="001D17C4" w:rsidP="00C06F04">
      <w:r>
        <w:separator/>
      </w:r>
    </w:p>
  </w:endnote>
  <w:endnote w:type="continuationSeparator" w:id="0">
    <w:p w:rsidR="001D17C4" w:rsidRDefault="001D17C4"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3F" w:rsidRDefault="00D73D3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D73D3F" w:rsidRPr="00D73D3F">
      <w:rPr>
        <w:noProof/>
        <w:lang w:val="zh-CN"/>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3F" w:rsidRDefault="00D73D3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7C4" w:rsidRDefault="001D17C4" w:rsidP="00C06F04">
      <w:r>
        <w:separator/>
      </w:r>
    </w:p>
  </w:footnote>
  <w:footnote w:type="continuationSeparator" w:id="0">
    <w:p w:rsidR="001D17C4" w:rsidRDefault="001D17C4" w:rsidP="00C06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3F" w:rsidRDefault="00D73D3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D73D3F" w:rsidP="00CE07B7">
    <w:pPr>
      <w:pStyle w:val="a7"/>
      <w:jc w:val="right"/>
    </w:pPr>
    <w:r>
      <w:rPr>
        <w:rFonts w:hint="eastAsia"/>
      </w:rPr>
      <w:t>招商研究优选股票型证券投资基金（</w:t>
    </w:r>
    <w:r>
      <w:rPr>
        <w:rFonts w:hint="eastAsia"/>
      </w:rPr>
      <w:t>C</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3F" w:rsidRDefault="00D73D3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1D17C4"/>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77423"/>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73D3F"/>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9D9EA0"/>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B77423"/>
    <w:pPr>
      <w:spacing w:line="312" w:lineRule="exact"/>
    </w:pPr>
    <w:rPr>
      <w:b/>
      <w:u w:val="single"/>
    </w:rPr>
  </w:style>
  <w:style w:type="character" w:customStyle="1" w:styleId="-a">
    <w:name w:val="模板-正文下划线 字符"/>
    <w:basedOn w:val="-Char"/>
    <w:link w:val="-9"/>
    <w:rsid w:val="00B77423"/>
    <w:rPr>
      <w:rFonts w:ascii="宋体" w:eastAsia="仿宋" w:hAnsi="宋体"/>
      <w:b/>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115B4-D3DA-4628-AEA2-BF5FB8177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783</Words>
  <Characters>4467</Characters>
  <Application>Microsoft Office Word</Application>
  <DocSecurity>0</DocSecurity>
  <Lines>37</Lines>
  <Paragraphs>10</Paragraphs>
  <ScaleCrop>false</ScaleCrop>
  <Company>MC SYSTEM</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Administrator</cp:lastModifiedBy>
  <cp:revision>2</cp:revision>
  <dcterms:created xsi:type="dcterms:W3CDTF">2024-04-16T07:58:00Z</dcterms:created>
  <dcterms:modified xsi:type="dcterms:W3CDTF">2024-04-16T07:58:00Z</dcterms:modified>
</cp:coreProperties>
</file>