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浦银理财悦盈利之6个月定开型A款理财产品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2301220681(销售代码:2301193011/2301220713/2301220714/2301220715/2301220716/2301220717/2301220718)</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Z7006922000133</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2019-04-04</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762,181,999.00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100.05%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2301193011 : 2.70%-3.40%</w:t>
              <w:br/>
              <w:t>2301220713 : 2.75%-3.45%</w:t>
              <w:br/>
              <w:t>2301220714 : 2.80%-3.50%</w:t>
              <w:br/>
              <w:t>2301220715 : 2.80%-3.50%</w:t>
              <w:br/>
              <w:t>2301220716 : 2.70%-3.40%</w:t>
              <w:br/>
              <w:t>2301220717 : 2.80%-4.10%</w:t>
              <w:br/>
              <w:t>2301220718 : 2.75%-3.45%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2301220681 : 886,643,948.34</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2301193011 : 1.1826</w:t>
              <w:br/>
              <w:t>2301220713 : 1.0354</w:t>
              <w:br/>
              <w:t>2301220714 : 1.0361</w:t>
              <w:br/>
              <w:t>2301220715 : 1.0359</w:t>
              <w:br/>
              <w:t>2301220716 : 1.0346</w:t>
              <w:br/>
              <w:t>2301220717 : 1.0317</w:t>
              <w:br/>
              <w:t>2301220718 : 1.0353</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2301193011 : 1.1826</w:t>
              <w:br/>
              <w:t>2301220713 : 1.0354</w:t>
              <w:br/>
              <w:t>2301220714 : 1.0361</w:t>
              <w:br/>
              <w:t>2301220715 : 1.0359</w:t>
              <w:br/>
              <w:t>2301220716 : 1.0346</w:t>
              <w:br/>
              <w:t>2301220717 : 1.0317</w:t>
              <w:br/>
              <w:t>2301220718 : 1.0353</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13,717,878.83</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1.55%</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15,412,801.91</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1.74%</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416,871,052.60</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47.02%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689,582,509.61</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77.77%</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19,960,364.48</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2.25%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19,960,364.48</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2.25%</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30,247,868.30</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3.41%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30,247,868.30</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3.41%</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275,668,592.45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31.09%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60,022,356.16</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6.77%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61,284,568.52</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6.91%</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70,561,786.53</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7.96%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70,561,786.53</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7.96%</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887,049,899.35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887,049,899.35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100.05%</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产品主要采用票息+杠杆策略，在严控信用风险前提下买入高票息债券，通过适度杠杆增厚组合收益。同时搭配保险协存、非标等稳定类资产，降低组合整体波动率。作为一款定开产品，将严格保证开放期前7日现金比例要求，可随时变现资产占比较高，组合流动性风险较低。
</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长城基金管理有限公司、广东粤财信托有限公司、华润深国投信托有限公司、嘉实基金管理有限公司、民生通惠资产管理有限公司、浦银安盛基金管理有限公司、申万菱信基金管理有限公司、中国对外经济贸易信托有限公司、中国人寿资产管理有限公司、中航信托股份有限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外贸信托-睿富14号证券投资集合资金信托计划</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170,114,119.54</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19.19%</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华润信托盈亨3号集合资金信托计划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105,026,400.21</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11.85%</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待清算款项</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70,561,786.53</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7.96%</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7日质押式回购</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60,022,356.16</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6.77%</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19民生银行永续债</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52,203,444.52</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5.89%</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20民生银行二级</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52,180,508.22</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5.89%</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22滁州同创MTN001</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51,156,832.79</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5.77%</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23鹰潭文旅PPN002</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42,436,986.23</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4.79%</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15南京地铁PRN001</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33,478,786.27</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3.78%</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22泰交通PPN004</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30,549,217.87</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3.45%</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1500"/>
          </w:tcPr>
          <w:tcPr>
            <w:vAlign w:val="center"/>
          </w:tcPr>
          <w:p>
            <w:pPr>
              <w:jc w:val="center"/>
            </w:pPr>
            <w:r>
              <w:rPr>
                <w:rFonts w:ascii="仿宋_GB2312" w:hAnsi="仿宋_GB2312" w:cs="仿宋_GB2312" w:eastAsia="仿宋_GB2312"/>
                <w:sz w:val="24"/>
              </w:rPr>
              <w:t>2024-03-18</w:t>
            </w:r>
          </w:p>
        </w:tc>
        <w:tc>
          <w:tcPr>
            <w:tcW w:type="dxa" w:w="5000"/>
          </w:tcPr>
          <w:tcPr>
            <w:vAlign w:val="center"/>
          </w:tcPr>
          <w:p>
            <w:pPr>
              <w:jc w:val="center"/>
            </w:pPr>
            <w:r>
              <w:rPr>
                <w:rFonts w:ascii="仿宋_GB2312" w:hAnsi="仿宋_GB2312" w:cs="仿宋_GB2312" w:eastAsia="仿宋_GB2312"/>
                <w:sz w:val="24"/>
              </w:rPr>
              <w:t>24农行永续债01</w:t>
            </w:r>
          </w:p>
        </w:tc>
        <w:tc>
          <w:tcPr>
            <w:tcW w:type="dxa" w:w="2000"/>
          </w:tcPr>
          <w:tcPr>
            <w:vAlign w:val="center"/>
          </w:tcPr>
          <w:p>
            <w:pPr>
              <w:jc w:val="center"/>
            </w:pPr>
            <w:r>
              <w:rPr>
                <w:rFonts w:ascii="仿宋_GB2312" w:hAnsi="仿宋_GB2312" w:cs="仿宋_GB2312" w:eastAsia="仿宋_GB2312"/>
                <w:sz w:val="24"/>
              </w:rPr>
              <w:t>40008975.34</w:t>
            </w:r>
          </w:p>
        </w:tc>
        <w:tc>
          <w:tcPr>
            <w:tcW w:type="dxa" w:w="4000"/>
          </w:tcPr>
          <w:tcPr>
            <w:vAlign w:val="center"/>
          </w:tcPr>
          <w:p>
            <w:pPr>
              <w:jc w:val="center"/>
            </w:pPr>
            <w:r>
              <w:rPr>
                <w:rFonts w:ascii="仿宋_GB2312" w:hAnsi="仿宋_GB2312" w:cs="仿宋_GB2312" w:eastAsia="仿宋_GB2312"/>
                <w:sz w:val="24"/>
              </w:rPr>
              <w:t>国泰君安证券股份有限公司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1500"/>
          </w:tcPr>
          <w:tcPr>
            <w:vAlign w:val="center"/>
          </w:tcPr>
          <w:p>
            <w:pPr>
              <w:jc w:val="center"/>
            </w:pPr>
            <w:r>
              <w:rPr>
                <w:rFonts w:ascii="仿宋_GB2312" w:hAnsi="仿宋_GB2312" w:cs="仿宋_GB2312" w:eastAsia="仿宋_GB2312"/>
                <w:sz w:val="24"/>
              </w:rPr>
              <w:t>2024-03-18</w:t>
            </w:r>
          </w:p>
        </w:tc>
        <w:tc>
          <w:tcPr>
            <w:tcW w:type="dxa" w:w="5000"/>
          </w:tcPr>
          <w:tcPr>
            <w:vAlign w:val="center"/>
          </w:tcPr>
          <w:p>
            <w:pPr>
              <w:jc w:val="center"/>
            </w:pPr>
            <w:r>
              <w:rPr>
                <w:rFonts w:ascii="仿宋_GB2312" w:hAnsi="仿宋_GB2312" w:cs="仿宋_GB2312" w:eastAsia="仿宋_GB2312"/>
                <w:sz w:val="24"/>
              </w:rPr>
              <w:t>23中原发展MTN002</w:t>
            </w:r>
          </w:p>
        </w:tc>
        <w:tc>
          <w:tcPr>
            <w:tcW w:type="dxa" w:w="2000"/>
          </w:tcPr>
          <w:tcPr>
            <w:vAlign w:val="center"/>
          </w:tcPr>
          <w:p>
            <w:pPr>
              <w:jc w:val="center"/>
            </w:pPr>
            <w:r>
              <w:rPr>
                <w:rFonts w:ascii="仿宋_GB2312" w:hAnsi="仿宋_GB2312" w:cs="仿宋_GB2312" w:eastAsia="仿宋_GB2312"/>
                <w:sz w:val="24"/>
              </w:rPr>
              <w:t>10765736.83</w:t>
            </w:r>
          </w:p>
        </w:tc>
        <w:tc>
          <w:tcPr>
            <w:tcW w:type="dxa" w:w="4000"/>
          </w:tcPr>
          <w:tcPr>
            <w:vAlign w:val="center"/>
          </w:tcPr>
          <w:p>
            <w:pPr>
              <w:jc w:val="center"/>
            </w:pPr>
            <w:r>
              <w:rPr>
                <w:rFonts w:ascii="仿宋_GB2312" w:hAnsi="仿宋_GB2312" w:cs="仿宋_GB2312" w:eastAsia="仿宋_GB2312"/>
                <w:sz w:val="24"/>
              </w:rPr>
              <w:t>东方证券股份有限公司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1500"/>
          </w:tcPr>
          <w:tcPr>
            <w:vAlign w:val="center"/>
          </w:tcPr>
          <w:p>
            <w:pPr>
              <w:jc w:val="center"/>
            </w:pPr>
            <w:r>
              <w:rPr>
                <w:rFonts w:ascii="仿宋_GB2312" w:hAnsi="仿宋_GB2312" w:cs="仿宋_GB2312" w:eastAsia="仿宋_GB2312"/>
                <w:sz w:val="24"/>
              </w:rPr>
              <w:t>2024-01-15</w:t>
            </w:r>
          </w:p>
        </w:tc>
        <w:tc>
          <w:tcPr>
            <w:tcW w:type="dxa" w:w="5000"/>
          </w:tcPr>
          <w:tcPr>
            <w:vAlign w:val="center"/>
          </w:tcPr>
          <w:p>
            <w:pPr>
              <w:jc w:val="center"/>
            </w:pPr>
            <w:r>
              <w:rPr>
                <w:rFonts w:ascii="仿宋_GB2312" w:hAnsi="仿宋_GB2312" w:cs="仿宋_GB2312" w:eastAsia="仿宋_GB2312"/>
                <w:sz w:val="24"/>
              </w:rPr>
              <w:t>24宜春城投MTN001</w:t>
            </w:r>
          </w:p>
        </w:tc>
        <w:tc>
          <w:tcPr>
            <w:tcW w:type="dxa" w:w="2000"/>
          </w:tcPr>
          <w:tcPr>
            <w:vAlign w:val="center"/>
          </w:tcPr>
          <w:p>
            <w:pPr>
              <w:jc w:val="center"/>
            </w:pPr>
            <w:r>
              <w:rPr>
                <w:rFonts w:ascii="仿宋_GB2312" w:hAnsi="仿宋_GB2312" w:cs="仿宋_GB2312" w:eastAsia="仿宋_GB2312"/>
                <w:sz w:val="24"/>
              </w:rPr>
              <w:t>13003388.52</w:t>
            </w:r>
          </w:p>
        </w:tc>
        <w:tc>
          <w:tcPr>
            <w:tcW w:type="dxa" w:w="4000"/>
          </w:tcPr>
          <w:tcPr>
            <w:vAlign w:val="center"/>
          </w:tcPr>
          <w:p>
            <w:pPr>
              <w:jc w:val="center"/>
            </w:pPr>
            <w:r>
              <w:rPr>
                <w:rFonts w:ascii="仿宋_GB2312" w:hAnsi="仿宋_GB2312" w:cs="仿宋_GB2312" w:eastAsia="仿宋_GB2312"/>
                <w:sz w:val="24"/>
              </w:rPr>
              <w:t>国泰君安证券股份有限公司</w:t>
            </w:r>
          </w:p>
        </w:tc>
      </w:tr>
      <w:tr>
        <w:tc>
          <w:tcPr>
            <w:tcW w:type="dxa" w:w="1000"/>
          </w:tcPr>
          <w:tcPr>
            <w:vAlign w:val="center"/>
          </w:tcPr>
          <w:p>
            <w:pPr>
              <w:jc w:val="center"/>
            </w:pPr>
            <w:r>
              <w:rPr>
                <w:rFonts w:ascii="仿宋_GB2312" w:hAnsi="仿宋_GB2312" w:cs="仿宋_GB2312" w:eastAsia="仿宋_GB2312"/>
                <w:sz w:val="24"/>
              </w:rPr>
              <w:t>4</w:t>
            </w:r>
          </w:p>
        </w:tc>
        <w:tc>
          <w:tcPr>
            <w:tcW w:type="dxa" w:w="1500"/>
          </w:tcPr>
          <w:tcPr>
            <w:vAlign w:val="center"/>
          </w:tcPr>
          <w:p>
            <w:pPr>
              <w:jc w:val="center"/>
            </w:pPr>
            <w:r>
              <w:rPr>
                <w:rFonts w:ascii="仿宋_GB2312" w:hAnsi="仿宋_GB2312" w:cs="仿宋_GB2312" w:eastAsia="仿宋_GB2312"/>
                <w:sz w:val="24"/>
              </w:rPr>
              <w:t>2024-01-04</w:t>
            </w:r>
          </w:p>
        </w:tc>
        <w:tc>
          <w:tcPr>
            <w:tcW w:type="dxa" w:w="5000"/>
          </w:tcPr>
          <w:tcPr>
            <w:vAlign w:val="center"/>
          </w:tcPr>
          <w:p>
            <w:pPr>
              <w:jc w:val="center"/>
            </w:pPr>
            <w:r>
              <w:rPr>
                <w:rFonts w:ascii="仿宋_GB2312" w:hAnsi="仿宋_GB2312" w:cs="仿宋_GB2312" w:eastAsia="仿宋_GB2312"/>
                <w:sz w:val="24"/>
              </w:rPr>
              <w:t>20民生银行二级</w:t>
            </w:r>
          </w:p>
        </w:tc>
        <w:tc>
          <w:tcPr>
            <w:tcW w:type="dxa" w:w="2000"/>
          </w:tcPr>
          <w:tcPr>
            <w:vAlign w:val="center"/>
          </w:tcPr>
          <w:p>
            <w:pPr>
              <w:jc w:val="center"/>
            </w:pPr>
            <w:r>
              <w:rPr>
                <w:rFonts w:ascii="仿宋_GB2312" w:hAnsi="仿宋_GB2312" w:cs="仿宋_GB2312" w:eastAsia="仿宋_GB2312"/>
                <w:sz w:val="24"/>
              </w:rPr>
              <w:t>51434790.41</w:t>
            </w:r>
          </w:p>
        </w:tc>
        <w:tc>
          <w:tcPr>
            <w:tcW w:type="dxa" w:w="4000"/>
          </w:tcPr>
          <w:tcPr>
            <w:vAlign w:val="center"/>
          </w:tcPr>
          <w:p>
            <w:pPr>
              <w:jc w:val="center"/>
            </w:pPr>
            <w:r>
              <w:rPr>
                <w:rFonts w:ascii="仿宋_GB2312" w:hAnsi="仿宋_GB2312" w:cs="仿宋_GB2312" w:eastAsia="仿宋_GB2312"/>
                <w:sz w:val="24"/>
              </w:rPr>
              <w:t>海通证券股份有限公司</w:t>
            </w:r>
          </w:p>
        </w:tc>
      </w:tr>
      <w:tr>
        <w:tc>
          <w:tcPr>
            <w:tcW w:type="dxa" w:w="1000"/>
          </w:tcPr>
          <w:tcPr>
            <w:vAlign w:val="center"/>
          </w:tcPr>
          <w:p>
            <w:pPr>
              <w:jc w:val="center"/>
            </w:pPr>
            <w:r>
              <w:rPr>
                <w:rFonts w:ascii="仿宋_GB2312" w:hAnsi="仿宋_GB2312" w:cs="仿宋_GB2312" w:eastAsia="仿宋_GB2312"/>
                <w:sz w:val="24"/>
              </w:rPr>
              <w:t>5</w:t>
            </w:r>
          </w:p>
        </w:tc>
        <w:tc>
          <w:tcPr>
            <w:tcW w:type="dxa" w:w="1500"/>
          </w:tcPr>
          <w:tcPr>
            <w:vAlign w:val="center"/>
          </w:tcPr>
          <w:p>
            <w:pPr>
              <w:jc w:val="center"/>
            </w:pPr>
            <w:r>
              <w:rPr>
                <w:rFonts w:ascii="仿宋_GB2312" w:hAnsi="仿宋_GB2312" w:cs="仿宋_GB2312" w:eastAsia="仿宋_GB2312"/>
                <w:sz w:val="24"/>
              </w:rPr>
              <w:t>2024-01-04</w:t>
            </w:r>
          </w:p>
        </w:tc>
        <w:tc>
          <w:tcPr>
            <w:tcW w:type="dxa" w:w="5000"/>
          </w:tcPr>
          <w:tcPr>
            <w:vAlign w:val="center"/>
          </w:tcPr>
          <w:p>
            <w:pPr>
              <w:jc w:val="center"/>
            </w:pPr>
            <w:r>
              <w:rPr>
                <w:rFonts w:ascii="仿宋_GB2312" w:hAnsi="仿宋_GB2312" w:cs="仿宋_GB2312" w:eastAsia="仿宋_GB2312"/>
                <w:sz w:val="24"/>
              </w:rPr>
              <w:t>21中信银行永续债</w:t>
            </w:r>
          </w:p>
        </w:tc>
        <w:tc>
          <w:tcPr>
            <w:tcW w:type="dxa" w:w="2000"/>
          </w:tcPr>
          <w:tcPr>
            <w:vAlign w:val="center"/>
          </w:tcPr>
          <w:p>
            <w:pPr>
              <w:jc w:val="center"/>
            </w:pPr>
            <w:r>
              <w:rPr>
                <w:rFonts w:ascii="仿宋_GB2312" w:hAnsi="仿宋_GB2312" w:cs="仿宋_GB2312" w:eastAsia="仿宋_GB2312"/>
                <w:sz w:val="24"/>
              </w:rPr>
              <w:t>10579867.87</w:t>
            </w:r>
          </w:p>
        </w:tc>
        <w:tc>
          <w:tcPr>
            <w:tcW w:type="dxa" w:w="4000"/>
          </w:tcPr>
          <w:tcPr>
            <w:vAlign w:val="center"/>
          </w:tcPr>
          <w:p>
            <w:pPr>
              <w:jc w:val="center"/>
            </w:pPr>
            <w:r>
              <w:rPr>
                <w:rFonts w:ascii="仿宋_GB2312" w:hAnsi="仿宋_GB2312" w:cs="仿宋_GB2312" w:eastAsia="仿宋_GB2312"/>
                <w:sz w:val="24"/>
              </w:rPr>
              <w:t>国泰君安证券股份有限公司</w:t>
            </w:r>
          </w:p>
        </w:tc>
      </w:tr>
      <w:tr>
        <w:tc>
          <w:tcPr>
            <w:tcW w:type="dxa" w:w="1000"/>
          </w:tcPr>
          <w:tcPr>
            <w:vAlign w:val="center"/>
          </w:tcPr>
          <w:p>
            <w:pPr>
              <w:jc w:val="center"/>
            </w:pPr>
            <w:r>
              <w:rPr>
                <w:rFonts w:ascii="仿宋_GB2312" w:hAnsi="仿宋_GB2312" w:cs="仿宋_GB2312" w:eastAsia="仿宋_GB2312"/>
                <w:sz w:val="24"/>
              </w:rPr>
              <w:t>6</w:t>
            </w:r>
          </w:p>
        </w:tc>
        <w:tc>
          <w:tcPr>
            <w:tcW w:type="dxa" w:w="1500"/>
          </w:tcPr>
          <w:tcPr>
            <w:vAlign w:val="center"/>
          </w:tcPr>
          <w:p>
            <w:pPr>
              <w:jc w:val="center"/>
            </w:pPr>
            <w:r>
              <w:rPr>
                <w:rFonts w:ascii="仿宋_GB2312" w:hAnsi="仿宋_GB2312" w:cs="仿宋_GB2312" w:eastAsia="仿宋_GB2312"/>
                <w:sz w:val="24"/>
              </w:rPr>
              <w:t>2024-01-04</w:t>
            </w:r>
          </w:p>
        </w:tc>
        <w:tc>
          <w:tcPr>
            <w:tcW w:type="dxa" w:w="5000"/>
          </w:tcPr>
          <w:tcPr>
            <w:vAlign w:val="center"/>
          </w:tcPr>
          <w:p>
            <w:pPr>
              <w:jc w:val="center"/>
            </w:pPr>
            <w:r>
              <w:rPr>
                <w:rFonts w:ascii="仿宋_GB2312" w:hAnsi="仿宋_GB2312" w:cs="仿宋_GB2312" w:eastAsia="仿宋_GB2312"/>
                <w:sz w:val="24"/>
              </w:rPr>
              <w:t>21中信银行永续债</w:t>
            </w:r>
          </w:p>
        </w:tc>
        <w:tc>
          <w:tcPr>
            <w:tcW w:type="dxa" w:w="2000"/>
          </w:tcPr>
          <w:tcPr>
            <w:vAlign w:val="center"/>
          </w:tcPr>
          <w:p>
            <w:pPr>
              <w:jc w:val="center"/>
            </w:pPr>
            <w:r>
              <w:rPr>
                <w:rFonts w:ascii="仿宋_GB2312" w:hAnsi="仿宋_GB2312" w:cs="仿宋_GB2312" w:eastAsia="仿宋_GB2312"/>
                <w:sz w:val="24"/>
              </w:rPr>
              <w:t>10579867.87</w:t>
            </w:r>
          </w:p>
        </w:tc>
        <w:tc>
          <w:tcPr>
            <w:tcW w:type="dxa" w:w="4000"/>
          </w:tcPr>
          <w:tcPr>
            <w:vAlign w:val="center"/>
          </w:tcPr>
          <w:p>
            <w:pPr>
              <w:jc w:val="center"/>
            </w:pPr>
            <w:r>
              <w:rPr>
                <w:rFonts w:ascii="仿宋_GB2312" w:hAnsi="仿宋_GB2312" w:cs="仿宋_GB2312" w:eastAsia="仿宋_GB2312"/>
                <w:sz w:val="24"/>
              </w:rPr>
              <w:t>国泰君安证券股份有限公司</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5000"/>
          </w:tcPr>
          <w:tcPr>
            <w:vAlign w:val="center"/>
          </w:tcPr>
          <w:p>
            <w:pPr>
              <w:jc w:val="center"/>
            </w:pPr>
            <w:r>
              <w:rPr>
                <w:rFonts w:ascii="仿宋_GB2312" w:hAnsi="仿宋_GB2312" w:cs="仿宋_GB2312" w:eastAsia="仿宋_GB2312"/>
                <w:sz w:val="24"/>
              </w:rPr>
              <w:t>浦银安盛基金固收委外专户（安诚16号）</w:t>
            </w:r>
          </w:p>
        </w:tc>
        <w:tc>
          <w:tcPr>
            <w:tcW w:type="dxa" w:w="2000"/>
          </w:tcPr>
          <w:tcPr>
            <w:vAlign w:val="center"/>
          </w:tcPr>
          <w:p>
            <w:pPr>
              <w:jc w:val="center"/>
            </w:pPr>
            <w:r>
              <w:rPr>
                <w:rFonts w:ascii="仿宋_GB2312" w:hAnsi="仿宋_GB2312" w:cs="仿宋_GB2312" w:eastAsia="仿宋_GB2312"/>
                <w:sz w:val="24"/>
              </w:rPr>
              <w:t>0.325</w:t>
            </w:r>
          </w:p>
        </w:tc>
        <w:tc>
          <w:tcPr>
            <w:tcW w:type="dxa" w:w="4000"/>
          </w:tcPr>
          <w:tcPr>
            <w:vAlign w:val="center"/>
          </w:tcPr>
          <w:p>
            <w:pPr>
              <w:jc w:val="center"/>
            </w:pPr>
            <w:r>
              <w:rPr>
                <w:rFonts w:ascii="仿宋_GB2312" w:hAnsi="仿宋_GB2312" w:cs="仿宋_GB2312" w:eastAsia="仿宋_GB2312"/>
                <w:sz w:val="24"/>
              </w:rPr>
              <w:t>浦银安盛基金管理有限公司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5000"/>
          </w:tcPr>
          <w:tcPr>
            <w:vAlign w:val="center"/>
          </w:tcPr>
          <w:p>
            <w:pPr>
              <w:jc w:val="center"/>
            </w:pPr>
            <w:r>
              <w:rPr>
                <w:rFonts w:ascii="仿宋_GB2312" w:hAnsi="仿宋_GB2312" w:cs="仿宋_GB2312" w:eastAsia="仿宋_GB2312"/>
                <w:sz w:val="24"/>
              </w:rPr>
              <w:t>浦银安盛基金固收委外专户（安诚18号）</w:t>
            </w:r>
          </w:p>
        </w:tc>
        <w:tc>
          <w:tcPr>
            <w:tcW w:type="dxa" w:w="2000"/>
          </w:tcPr>
          <w:tcPr>
            <w:vAlign w:val="center"/>
          </w:tcPr>
          <w:p>
            <w:pPr>
              <w:jc w:val="center"/>
            </w:pPr>
            <w:r>
              <w:rPr>
                <w:rFonts w:ascii="仿宋_GB2312" w:hAnsi="仿宋_GB2312" w:cs="仿宋_GB2312" w:eastAsia="仿宋_GB2312"/>
                <w:sz w:val="24"/>
              </w:rPr>
              <w:t>0.685</w:t>
            </w:r>
          </w:p>
        </w:tc>
        <w:tc>
          <w:tcPr>
            <w:tcW w:type="dxa" w:w="4000"/>
          </w:tcPr>
          <w:tcPr>
            <w:vAlign w:val="center"/>
          </w:tcPr>
          <w:p>
            <w:pPr>
              <w:jc w:val="center"/>
            </w:pPr>
            <w:r>
              <w:rPr>
                <w:rFonts w:ascii="仿宋_GB2312" w:hAnsi="仿宋_GB2312" w:cs="仿宋_GB2312" w:eastAsia="仿宋_GB2312"/>
                <w:sz w:val="24"/>
              </w:rPr>
              <w:t>浦银安盛基金管理有限公司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5000"/>
          </w:tcPr>
          <w:tcPr>
            <w:vAlign w:val="center"/>
          </w:tcPr>
          <w:p>
            <w:pPr>
              <w:jc w:val="center"/>
            </w:pPr>
            <w:r>
              <w:rPr>
                <w:rFonts w:ascii="仿宋_GB2312" w:hAnsi="仿宋_GB2312" w:cs="仿宋_GB2312" w:eastAsia="仿宋_GB2312"/>
                <w:sz w:val="24"/>
              </w:rPr>
              <w:t>长城短债D</w:t>
            </w:r>
          </w:p>
        </w:tc>
        <w:tc>
          <w:tcPr>
            <w:tcW w:type="dxa" w:w="2000"/>
          </w:tcPr>
          <w:tcPr>
            <w:vAlign w:val="center"/>
          </w:tcPr>
          <w:p>
            <w:pPr>
              <w:jc w:val="center"/>
            </w:pPr>
            <w:r>
              <w:rPr>
                <w:rFonts w:ascii="仿宋_GB2312" w:hAnsi="仿宋_GB2312" w:cs="仿宋_GB2312" w:eastAsia="仿宋_GB2312"/>
                <w:sz w:val="24"/>
              </w:rPr>
              <w:t>14458.2789</w:t>
            </w:r>
          </w:p>
        </w:tc>
        <w:tc>
          <w:tcPr>
            <w:tcW w:type="dxa" w:w="4000"/>
          </w:tcPr>
          <w:tcPr>
            <w:vAlign w:val="center"/>
          </w:tcPr>
          <w:p>
            <w:pPr>
              <w:jc w:val="center"/>
            </w:pPr>
            <w:r>
              <w:rPr>
                <w:rFonts w:ascii="仿宋_GB2312" w:hAnsi="仿宋_GB2312" w:cs="仿宋_GB2312" w:eastAsia="仿宋_GB2312"/>
                <w:sz w:val="24"/>
              </w:rPr>
              <w:t>长城基金管理有限公司</w:t>
            </w:r>
          </w:p>
        </w:tc>
      </w:tr>
      <w:tr>
        <w:tc>
          <w:tcPr>
            <w:tcW w:type="dxa" w:w="1000"/>
          </w:tcPr>
          <w:tcPr>
            <w:vAlign w:val="center"/>
          </w:tcPr>
          <w:p>
            <w:pPr>
              <w:jc w:val="center"/>
            </w:pPr>
            <w:r>
              <w:rPr>
                <w:rFonts w:ascii="仿宋_GB2312" w:hAnsi="仿宋_GB2312" w:cs="仿宋_GB2312" w:eastAsia="仿宋_GB2312"/>
                <w:sz w:val="24"/>
              </w:rPr>
              <w:t>4</w:t>
            </w:r>
          </w:p>
        </w:tc>
        <w:tc>
          <w:tcPr>
            <w:tcW w:type="dxa" w:w="5000"/>
          </w:tcPr>
          <w:tcPr>
            <w:vAlign w:val="center"/>
          </w:tcPr>
          <w:p>
            <w:pPr>
              <w:jc w:val="center"/>
            </w:pPr>
            <w:r>
              <w:rPr>
                <w:rFonts w:ascii="仿宋_GB2312" w:hAnsi="仿宋_GB2312" w:cs="仿宋_GB2312" w:eastAsia="仿宋_GB2312"/>
                <w:sz w:val="24"/>
              </w:rPr>
              <w:t>浦银安盛基金固收委外专户</w:t>
            </w:r>
          </w:p>
        </w:tc>
        <w:tc>
          <w:tcPr>
            <w:tcW w:type="dxa" w:w="2000"/>
          </w:tcPr>
          <w:tcPr>
            <w:vAlign w:val="center"/>
          </w:tcPr>
          <w:p>
            <w:pPr>
              <w:jc w:val="center"/>
            </w:pPr>
            <w:r>
              <w:rPr>
                <w:rFonts w:ascii="仿宋_GB2312" w:hAnsi="仿宋_GB2312" w:cs="仿宋_GB2312" w:eastAsia="仿宋_GB2312"/>
                <w:sz w:val="24"/>
              </w:rPr>
              <w:t>221.9906</w:t>
            </w:r>
          </w:p>
        </w:tc>
        <w:tc>
          <w:tcPr>
            <w:tcW w:type="dxa" w:w="4000"/>
          </w:tcPr>
          <w:tcPr>
            <w:vAlign w:val="center"/>
          </w:tcPr>
          <w:p>
            <w:pPr>
              <w:jc w:val="center"/>
            </w:pPr>
            <w:r>
              <w:rPr>
                <w:rFonts w:ascii="仿宋_GB2312" w:hAnsi="仿宋_GB2312" w:cs="仿宋_GB2312" w:eastAsia="仿宋_GB2312"/>
                <w:sz w:val="24"/>
              </w:rPr>
              <w:t>浦银安盛基金管理有限公司</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1500"/>
          </w:tcPr>
          <w:tcPr>
            <w:vAlign w:val="center"/>
          </w:tcPr>
          <w:p>
            <w:pPr>
              <w:jc w:val="center"/>
            </w:pPr>
            <w:r>
              <w:rPr>
                <w:rFonts w:ascii="仿宋_GB2312" w:hAnsi="仿宋_GB2312" w:cs="仿宋_GB2312" w:eastAsia="仿宋_GB2312"/>
                <w:sz w:val="24"/>
              </w:rPr>
              <w:t>2024-02-01</w:t>
            </w:r>
          </w:p>
        </w:tc>
        <w:tc>
          <w:tcPr>
            <w:tcW w:type="dxa" w:w="5000"/>
          </w:tcPr>
          <w:tcPr>
            <w:vAlign w:val="center"/>
          </w:tcPr>
          <w:p>
            <w:pPr>
              <w:jc w:val="center"/>
            </w:pPr>
            <w:r>
              <w:rPr>
                <w:rFonts w:ascii="仿宋_GB2312" w:hAnsi="仿宋_GB2312" w:cs="仿宋_GB2312" w:eastAsia="仿宋_GB2312"/>
                <w:sz w:val="24"/>
              </w:rPr>
              <w:t>23中信银行CD179</w:t>
            </w:r>
          </w:p>
        </w:tc>
        <w:tc>
          <w:tcPr>
            <w:tcW w:type="dxa" w:w="2000"/>
          </w:tcPr>
          <w:tcPr>
            <w:vAlign w:val="center"/>
          </w:tcPr>
          <w:p>
            <w:pPr>
              <w:jc w:val="center"/>
            </w:pPr>
            <w:r>
              <w:rPr>
                <w:rFonts w:ascii="仿宋_GB2312" w:hAnsi="仿宋_GB2312" w:cs="仿宋_GB2312" w:eastAsia="仿宋_GB2312"/>
                <w:sz w:val="24"/>
              </w:rPr>
              <w:t>19859358.39</w:t>
            </w:r>
          </w:p>
        </w:tc>
        <w:tc>
          <w:tcPr>
            <w:tcW w:type="dxa" w:w="4000"/>
          </w:tcPr>
          <w:tcPr>
            <w:vAlign w:val="center"/>
          </w:tcPr>
          <w:p>
            <w:pPr>
              <w:jc w:val="center"/>
            </w:pPr>
            <w:r>
              <w:rPr>
                <w:rFonts w:ascii="仿宋_GB2312" w:hAnsi="仿宋_GB2312" w:cs="仿宋_GB2312" w:eastAsia="仿宋_GB2312"/>
                <w:sz w:val="24"/>
              </w:rPr>
              <w:t>东方证券股份有限公司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1500"/>
          </w:tcPr>
          <w:tcPr>
            <w:vAlign w:val="center"/>
          </w:tcPr>
          <w:p>
            <w:pPr>
              <w:jc w:val="center"/>
            </w:pPr>
            <w:r>
              <w:rPr>
                <w:rFonts w:ascii="仿宋_GB2312" w:hAnsi="仿宋_GB2312" w:cs="仿宋_GB2312" w:eastAsia="仿宋_GB2312"/>
                <w:sz w:val="24"/>
              </w:rPr>
              <w:t>2024-01-24</w:t>
            </w:r>
          </w:p>
        </w:tc>
        <w:tc>
          <w:tcPr>
            <w:tcW w:type="dxa" w:w="5000"/>
          </w:tcPr>
          <w:tcPr>
            <w:vAlign w:val="center"/>
          </w:tcPr>
          <w:p>
            <w:pPr>
              <w:jc w:val="center"/>
            </w:pPr>
            <w:r>
              <w:rPr>
                <w:rFonts w:ascii="仿宋_GB2312" w:hAnsi="仿宋_GB2312" w:cs="仿宋_GB2312" w:eastAsia="仿宋_GB2312"/>
                <w:sz w:val="24"/>
              </w:rPr>
              <w:t>21中信银行永续债</w:t>
            </w:r>
          </w:p>
        </w:tc>
        <w:tc>
          <w:tcPr>
            <w:tcW w:type="dxa" w:w="2000"/>
          </w:tcPr>
          <w:tcPr>
            <w:vAlign w:val="center"/>
          </w:tcPr>
          <w:p>
            <w:pPr>
              <w:jc w:val="center"/>
            </w:pPr>
            <w:r>
              <w:rPr>
                <w:rFonts w:ascii="仿宋_GB2312" w:hAnsi="仿宋_GB2312" w:cs="仿宋_GB2312" w:eastAsia="仿宋_GB2312"/>
                <w:sz w:val="24"/>
              </w:rPr>
              <w:t>21241097.38</w:t>
            </w:r>
          </w:p>
        </w:tc>
        <w:tc>
          <w:tcPr>
            <w:tcW w:type="dxa" w:w="4000"/>
          </w:tcPr>
          <w:tcPr>
            <w:vAlign w:val="center"/>
          </w:tcPr>
          <w:p>
            <w:pPr>
              <w:jc w:val="center"/>
            </w:pPr>
            <w:r>
              <w:rPr>
                <w:rFonts w:ascii="仿宋_GB2312" w:hAnsi="仿宋_GB2312" w:cs="仿宋_GB2312" w:eastAsia="仿宋_GB2312"/>
                <w:sz w:val="24"/>
              </w:rPr>
              <w:t>申港证券股份有限公司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1500"/>
          </w:tcPr>
          <w:tcPr>
            <w:vAlign w:val="center"/>
          </w:tcPr>
          <w:p>
            <w:pPr>
              <w:jc w:val="center"/>
            </w:pPr>
            <w:r>
              <w:rPr>
                <w:rFonts w:ascii="仿宋_GB2312" w:hAnsi="仿宋_GB2312" w:cs="仿宋_GB2312" w:eastAsia="仿宋_GB2312"/>
                <w:sz w:val="24"/>
              </w:rPr>
              <w:t>2024-01-15</w:t>
            </w:r>
          </w:p>
        </w:tc>
        <w:tc>
          <w:tcPr>
            <w:tcW w:type="dxa" w:w="5000"/>
          </w:tcPr>
          <w:tcPr>
            <w:vAlign w:val="center"/>
          </w:tcPr>
          <w:p>
            <w:pPr>
              <w:jc w:val="center"/>
            </w:pPr>
            <w:r>
              <w:rPr>
                <w:rFonts w:ascii="仿宋_GB2312" w:hAnsi="仿宋_GB2312" w:cs="仿宋_GB2312" w:eastAsia="仿宋_GB2312"/>
                <w:sz w:val="24"/>
              </w:rPr>
              <w:t>23滨建投SCP023</w:t>
            </w:r>
          </w:p>
        </w:tc>
        <w:tc>
          <w:tcPr>
            <w:tcW w:type="dxa" w:w="2000"/>
          </w:tcPr>
          <w:tcPr>
            <w:vAlign w:val="center"/>
          </w:tcPr>
          <w:p>
            <w:pPr>
              <w:jc w:val="center"/>
            </w:pPr>
            <w:r>
              <w:rPr>
                <w:rFonts w:ascii="仿宋_GB2312" w:hAnsi="仿宋_GB2312" w:cs="仿宋_GB2312" w:eastAsia="仿宋_GB2312"/>
                <w:sz w:val="24"/>
              </w:rPr>
              <w:t>1016275.12</w:t>
            </w:r>
          </w:p>
        </w:tc>
        <w:tc>
          <w:tcPr>
            <w:tcW w:type="dxa" w:w="4000"/>
          </w:tcPr>
          <w:tcPr>
            <w:vAlign w:val="center"/>
          </w:tcPr>
          <w:p>
            <w:pPr>
              <w:jc w:val="center"/>
            </w:pPr>
            <w:r>
              <w:rPr>
                <w:rFonts w:ascii="仿宋_GB2312" w:hAnsi="仿宋_GB2312" w:cs="仿宋_GB2312" w:eastAsia="仿宋_GB2312"/>
                <w:sz w:val="24"/>
              </w:rPr>
              <w:t>东方证券股份有限公司</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499421.53</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7.28</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77691.83</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