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浦银理财悦盈利之6个月定开型F款理财产品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2301220662(销售代码:2301193027/2301220983/2301220984/2301220985/2301220986/2301220987/2301220988)</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Z7006922000076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2019-08-08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810,729,682.28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118.99%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2301193027 : 2.70%-3.50%</w:t>
              <w:br/>
              <w:t>2301220983 : 2.75%-3.55%</w:t>
              <w:br/>
              <w:t>2301220984 : 2.80%-3.60%</w:t>
              <w:br/>
              <w:t>2301220985 : 2.80%-3.60%</w:t>
              <w:br/>
              <w:t>2301220986 : 2.70%-3.50%</w:t>
              <w:br/>
              <w:t>2301220987 : 2.60%-3.40%</w:t>
              <w:br/>
              <w:t>2301220988 : 2.75%-3.55%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2301220662 : 950,079,507.98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2301193027 : 1.1773</w:t>
              <w:br/>
              <w:t>2301220983 : 1.0382</w:t>
              <w:br/>
              <w:t>2301220984 : 1.0390</w:t>
              <w:br/>
              <w:t>2301220985 : 1.0388</w:t>
              <w:br/>
              <w:t>2301220986 : 1.0376</w:t>
              <w:br/>
              <w:t>2301220987 : 1.0356</w:t>
              <w:br/>
              <w:t>2301220988 : 1.0383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2301193027 : 1.1773</w:t>
              <w:br/>
              <w:t>2301220983 : 1.0382</w:t>
              <w:br/>
              <w:t>2301220984 : 1.0390</w:t>
              <w:br/>
              <w:t>2301220985 : 1.0388</w:t>
              <w:br/>
              <w:t>2301220986 : 1.0376</w:t>
              <w:br/>
              <w:t>2301220987 : 1.0356</w:t>
              <w:br/>
              <w:t>2301220988 : 1.0383</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1,212,355.76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0.13%</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8,171,008.55</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0.86%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527,103,678.28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55.48%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547,939,196.74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57.67%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123,170,938.32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12.96%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123,170,938.32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12.96%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27,794,171.25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451,244,166.67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47.50%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451,244,166.67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47.50%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1,130,525,310.28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118.99%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1,130,525,310.28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118.99%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投资策略以配置估值稳定资产为主，适当配置短期限信用债，同时适当通过杠杆等方式增厚收益，相机通过久期调整获取超额收益。报告期内组合流动性资产比例维持在较高水准，未有流动性风险情况。</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附：本报告期内，本产品理财投资合作机构为“广东粤财信托有限公司、华润深国投信托有限公司、嘉实基金管理有限公司、民生通惠资产管理有限公司、上海国际信托有限公司　　、申万菱信基金管理有限公司、太平资产管理有限公司、新华资产管理股份有限公司、中国对外经济贸易信托有限公司、中航信托股份有限公司、鑫元基金管理有限公司”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长城资产_JK2023017-040_悦盈利6F</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300,934,166.67</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31.67%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中信金融资产_JK2024013-001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100,206,666.67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10.55%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19民生银行永续债</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52,203,444.52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5.49%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中信金融资产_JK2024013-012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50,103,333.33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申万菱信安泰瑞利中短债A</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50,077,037.37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嘉实汇鑫中短债A</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50,064,702.68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5.27%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21苏沙钢MTN003</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46,459,039.92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4.89%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22西安浐灞MTN001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41,319,378.08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4.35%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21广州环保MTN001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41,275,492.46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4.34%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21华靖资产PPN001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36,631,954.75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3.86%</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中国长城资产管理股份有限公司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长城资产_JK2023017-040_悦盈利6F</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131</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同业借款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31.67%</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中国中信金融资产管理股份有限公司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中信金融资产_JK2024013-001</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131</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同业借款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10.55%</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中国中信金融资产管理股份有限公司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中信金融资产_JK2024013-012</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131</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同业借款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5.27%</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2024-03-25</w:t>
            </w:r>
          </w:p>
        </w:tc>
        <w:tc>
          <w:tcPr>
            <w:tcW w:type="dxa" w:w="5000"/>
          </w:tcPr>
          <w:tcPr>
            <w:vAlign w:val="center"/>
          </w:tcPr>
          <w:p>
            <w:pPr>
              <w:jc w:val="center"/>
            </w:pPr>
            <w:r>
              <w:rPr>
                <w:rFonts w:ascii="仿宋_GB2312" w:hAnsi="仿宋_GB2312" w:cs="仿宋_GB2312" w:eastAsia="仿宋_GB2312"/>
                <w:sz w:val="24"/>
              </w:rPr>
              <w:t>24南京新港MTN002</w:t>
            </w:r>
          </w:p>
        </w:tc>
        <w:tc>
          <w:tcPr>
            <w:tcW w:type="dxa" w:w="2000"/>
          </w:tcPr>
          <w:tcPr>
            <w:vAlign w:val="center"/>
          </w:tcPr>
          <w:p>
            <w:pPr>
              <w:jc w:val="center"/>
            </w:pPr>
            <w:r>
              <w:rPr>
                <w:rFonts w:ascii="仿宋_GB2312" w:hAnsi="仿宋_GB2312" w:cs="仿宋_GB2312" w:eastAsia="仿宋_GB2312"/>
                <w:sz w:val="24"/>
              </w:rPr>
              <w:t>20137273.55</w:t>
            </w:r>
          </w:p>
        </w:tc>
        <w:tc>
          <w:tcPr>
            <w:tcW w:type="dxa" w:w="4000"/>
          </w:tcPr>
          <w:tcPr>
            <w:vAlign w:val="center"/>
          </w:tcPr>
          <w:p>
            <w:pPr>
              <w:jc w:val="center"/>
            </w:pPr>
            <w:r>
              <w:rPr>
                <w:rFonts w:ascii="仿宋_GB2312" w:hAnsi="仿宋_GB2312" w:cs="仿宋_GB2312" w:eastAsia="仿宋_GB2312"/>
                <w:sz w:val="24"/>
              </w:rPr>
              <w:t>南京银行股份有限公司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1500"/>
          </w:tcPr>
          <w:tcPr>
            <w:vAlign w:val="center"/>
          </w:tcPr>
          <w:p>
            <w:pPr>
              <w:jc w:val="center"/>
            </w:pPr>
            <w:r>
              <w:rPr>
                <w:rFonts w:ascii="仿宋_GB2312" w:hAnsi="仿宋_GB2312" w:cs="仿宋_GB2312" w:eastAsia="仿宋_GB2312"/>
                <w:sz w:val="24"/>
              </w:rPr>
              <w:t>2024-03-25</w:t>
            </w:r>
          </w:p>
        </w:tc>
        <w:tc>
          <w:tcPr>
            <w:tcW w:type="dxa" w:w="5000"/>
          </w:tcPr>
          <w:tcPr>
            <w:vAlign w:val="center"/>
          </w:tcPr>
          <w:p>
            <w:pPr>
              <w:jc w:val="center"/>
            </w:pPr>
            <w:r>
              <w:rPr>
                <w:rFonts w:ascii="仿宋_GB2312" w:hAnsi="仿宋_GB2312" w:cs="仿宋_GB2312" w:eastAsia="仿宋_GB2312"/>
                <w:sz w:val="24"/>
              </w:rPr>
              <w:t>24中交三航MTN001</w:t>
            </w:r>
          </w:p>
        </w:tc>
        <w:tc>
          <w:tcPr>
            <w:tcW w:type="dxa" w:w="2000"/>
          </w:tcPr>
          <w:tcPr>
            <w:vAlign w:val="center"/>
          </w:tcPr>
          <w:p>
            <w:pPr>
              <w:jc w:val="center"/>
            </w:pPr>
            <w:r>
              <w:rPr>
                <w:rFonts w:ascii="仿宋_GB2312" w:hAnsi="仿宋_GB2312" w:cs="仿宋_GB2312" w:eastAsia="仿宋_GB2312"/>
                <w:sz w:val="24"/>
              </w:rPr>
              <w:t>2000443.84</w:t>
            </w:r>
          </w:p>
        </w:tc>
        <w:tc>
          <w:tcPr>
            <w:tcW w:type="dxa" w:w="4000"/>
          </w:tcPr>
          <w:tcPr>
            <w:vAlign w:val="center"/>
          </w:tcPr>
          <w:p>
            <w:pPr>
              <w:jc w:val="center"/>
            </w:pPr>
            <w:r>
              <w:rPr>
                <w:rFonts w:ascii="仿宋_GB2312" w:hAnsi="仿宋_GB2312" w:cs="仿宋_GB2312" w:eastAsia="仿宋_GB2312"/>
                <w:sz w:val="24"/>
              </w:rPr>
              <w:t>上海浦东发展银行股份有限公司,上海浦东发展银行股份有限公司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1500"/>
          </w:tcPr>
          <w:tcPr>
            <w:vAlign w:val="center"/>
          </w:tcPr>
          <w:p>
            <w:pPr>
              <w:jc w:val="center"/>
            </w:pPr>
            <w:r>
              <w:rPr>
                <w:rFonts w:ascii="仿宋_GB2312" w:hAnsi="仿宋_GB2312" w:cs="仿宋_GB2312" w:eastAsia="仿宋_GB2312"/>
                <w:sz w:val="24"/>
              </w:rPr>
              <w:t>2024-03-25</w:t>
            </w:r>
          </w:p>
        </w:tc>
        <w:tc>
          <w:tcPr>
            <w:tcW w:type="dxa" w:w="5000"/>
          </w:tcPr>
          <w:tcPr>
            <w:vAlign w:val="center"/>
          </w:tcPr>
          <w:p>
            <w:pPr>
              <w:jc w:val="center"/>
            </w:pPr>
            <w:r>
              <w:rPr>
                <w:rFonts w:ascii="仿宋_GB2312" w:hAnsi="仿宋_GB2312" w:cs="仿宋_GB2312" w:eastAsia="仿宋_GB2312"/>
                <w:sz w:val="24"/>
              </w:rPr>
              <w:t>24海奕控股PPN001</w:t>
            </w:r>
          </w:p>
        </w:tc>
        <w:tc>
          <w:tcPr>
            <w:tcW w:type="dxa" w:w="2000"/>
          </w:tcPr>
          <w:tcPr>
            <w:vAlign w:val="center"/>
          </w:tcPr>
          <w:p>
            <w:pPr>
              <w:jc w:val="center"/>
            </w:pPr>
            <w:r>
              <w:rPr>
                <w:rFonts w:ascii="仿宋_GB2312" w:hAnsi="仿宋_GB2312" w:cs="仿宋_GB2312" w:eastAsia="仿宋_GB2312"/>
                <w:sz w:val="24"/>
              </w:rPr>
              <w:t>7001668.49</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4</w:t>
            </w:r>
          </w:p>
        </w:tc>
        <w:tc>
          <w:tcPr>
            <w:tcW w:type="dxa" w:w="1500"/>
          </w:tcPr>
          <w:tcPr>
            <w:vAlign w:val="center"/>
          </w:tcPr>
          <w:p>
            <w:pPr>
              <w:jc w:val="center"/>
            </w:pPr>
            <w:r>
              <w:rPr>
                <w:rFonts w:ascii="仿宋_GB2312" w:hAnsi="仿宋_GB2312" w:cs="仿宋_GB2312" w:eastAsia="仿宋_GB2312"/>
                <w:sz w:val="24"/>
              </w:rPr>
              <w:t>2024-02-06</w:t>
            </w:r>
          </w:p>
        </w:tc>
        <w:tc>
          <w:tcPr>
            <w:tcW w:type="dxa" w:w="5000"/>
          </w:tcPr>
          <w:tcPr>
            <w:vAlign w:val="center"/>
          </w:tcPr>
          <w:p>
            <w:pPr>
              <w:jc w:val="center"/>
            </w:pPr>
            <w:r>
              <w:rPr>
                <w:rFonts w:ascii="仿宋_GB2312" w:hAnsi="仿宋_GB2312" w:cs="仿宋_GB2312" w:eastAsia="仿宋_GB2312"/>
                <w:sz w:val="24"/>
              </w:rPr>
              <w:t>22宁经开MTN002</w:t>
            </w:r>
          </w:p>
        </w:tc>
        <w:tc>
          <w:tcPr>
            <w:tcW w:type="dxa" w:w="2000"/>
          </w:tcPr>
          <w:tcPr>
            <w:vAlign w:val="center"/>
          </w:tcPr>
          <w:p>
            <w:pPr>
              <w:jc w:val="center"/>
            </w:pPr>
            <w:r>
              <w:rPr>
                <w:rFonts w:ascii="仿宋_GB2312" w:hAnsi="仿宋_GB2312" w:cs="仿宋_GB2312" w:eastAsia="仿宋_GB2312"/>
                <w:sz w:val="24"/>
              </w:rPr>
              <w:t>81483822.51</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5</w:t>
            </w:r>
          </w:p>
        </w:tc>
        <w:tc>
          <w:tcPr>
            <w:tcW w:type="dxa" w:w="1500"/>
          </w:tcPr>
          <w:tcPr>
            <w:vAlign w:val="center"/>
          </w:tcPr>
          <w:p>
            <w:pPr>
              <w:jc w:val="center"/>
            </w:pPr>
            <w:r>
              <w:rPr>
                <w:rFonts w:ascii="仿宋_GB2312" w:hAnsi="仿宋_GB2312" w:cs="仿宋_GB2312" w:eastAsia="仿宋_GB2312"/>
                <w:sz w:val="24"/>
              </w:rPr>
              <w:t>2024-02-01</w:t>
            </w:r>
          </w:p>
        </w:tc>
        <w:tc>
          <w:tcPr>
            <w:tcW w:type="dxa" w:w="5000"/>
          </w:tcPr>
          <w:tcPr>
            <w:vAlign w:val="center"/>
          </w:tcPr>
          <w:p>
            <w:pPr>
              <w:jc w:val="center"/>
            </w:pPr>
            <w:r>
              <w:rPr>
                <w:rFonts w:ascii="仿宋_GB2312" w:hAnsi="仿宋_GB2312" w:cs="仿宋_GB2312" w:eastAsia="仿宋_GB2312"/>
                <w:sz w:val="24"/>
              </w:rPr>
              <w:t>22枣新01</w:t>
            </w:r>
          </w:p>
        </w:tc>
        <w:tc>
          <w:tcPr>
            <w:tcW w:type="dxa" w:w="2000"/>
          </w:tcPr>
          <w:tcPr>
            <w:vAlign w:val="center"/>
          </w:tcPr>
          <w:p>
            <w:pPr>
              <w:jc w:val="center"/>
            </w:pPr>
            <w:r>
              <w:rPr>
                <w:rFonts w:ascii="仿宋_GB2312" w:hAnsi="仿宋_GB2312" w:cs="仿宋_GB2312" w:eastAsia="仿宋_GB2312"/>
                <w:sz w:val="24"/>
              </w:rPr>
              <w:t>25861643.84</w:t>
            </w:r>
          </w:p>
        </w:tc>
        <w:tc>
          <w:tcPr>
            <w:tcW w:type="dxa" w:w="4000"/>
          </w:tcPr>
          <w:tcPr>
            <w:vAlign w:val="center"/>
          </w:tcPr>
          <w:p>
            <w:pPr>
              <w:jc w:val="center"/>
            </w:pPr>
            <w:r>
              <w:rPr>
                <w:rFonts w:ascii="仿宋_GB2312" w:hAnsi="仿宋_GB2312" w:cs="仿宋_GB2312" w:eastAsia="仿宋_GB2312"/>
                <w:sz w:val="24"/>
              </w:rPr>
              <w:t>申港证券股份有限公司</w:t>
            </w:r>
          </w:p>
        </w:tc>
      </w:tr>
      <w:tr>
        <w:tc>
          <w:tcPr>
            <w:tcW w:type="dxa" w:w="1000"/>
          </w:tcPr>
          <w:tcPr>
            <w:vAlign w:val="center"/>
          </w:tcPr>
          <w:p>
            <w:pPr>
              <w:jc w:val="center"/>
            </w:pPr>
            <w:r>
              <w:rPr>
                <w:rFonts w:ascii="仿宋_GB2312" w:hAnsi="仿宋_GB2312" w:cs="仿宋_GB2312" w:eastAsia="仿宋_GB2312"/>
                <w:sz w:val="24"/>
              </w:rPr>
              <w:t>6</w:t>
            </w:r>
          </w:p>
        </w:tc>
        <w:tc>
          <w:tcPr>
            <w:tcW w:type="dxa" w:w="1500"/>
          </w:tcPr>
          <w:tcPr>
            <w:vAlign w:val="center"/>
          </w:tcPr>
          <w:p>
            <w:pPr>
              <w:jc w:val="center"/>
            </w:pPr>
            <w:r>
              <w:rPr>
                <w:rFonts w:ascii="仿宋_GB2312" w:hAnsi="仿宋_GB2312" w:cs="仿宋_GB2312" w:eastAsia="仿宋_GB2312"/>
                <w:sz w:val="24"/>
              </w:rPr>
              <w:t>2024-01-31</w:t>
            </w:r>
          </w:p>
        </w:tc>
        <w:tc>
          <w:tcPr>
            <w:tcW w:type="dxa" w:w="5000"/>
          </w:tcPr>
          <w:tcPr>
            <w:vAlign w:val="center"/>
          </w:tcPr>
          <w:p>
            <w:pPr>
              <w:jc w:val="center"/>
            </w:pPr>
            <w:r>
              <w:rPr>
                <w:rFonts w:ascii="仿宋_GB2312" w:hAnsi="仿宋_GB2312" w:cs="仿宋_GB2312" w:eastAsia="仿宋_GB2312"/>
                <w:sz w:val="24"/>
              </w:rPr>
              <w:t>21滨州城投PPN001</w:t>
            </w:r>
          </w:p>
        </w:tc>
        <w:tc>
          <w:tcPr>
            <w:tcW w:type="dxa" w:w="2000"/>
          </w:tcPr>
          <w:tcPr>
            <w:vAlign w:val="center"/>
          </w:tcPr>
          <w:p>
            <w:pPr>
              <w:jc w:val="center"/>
            </w:pPr>
            <w:r>
              <w:rPr>
                <w:rFonts w:ascii="仿宋_GB2312" w:hAnsi="仿宋_GB2312" w:cs="仿宋_GB2312" w:eastAsia="仿宋_GB2312"/>
                <w:sz w:val="24"/>
              </w:rPr>
              <w:t>20251903.72</w:t>
            </w:r>
          </w:p>
        </w:tc>
        <w:tc>
          <w:tcPr>
            <w:tcW w:type="dxa" w:w="4000"/>
          </w:tcPr>
          <w:tcPr>
            <w:vAlign w:val="center"/>
          </w:tcPr>
          <w:p>
            <w:pPr>
              <w:jc w:val="center"/>
            </w:pPr>
            <w:r>
              <w:rPr>
                <w:rFonts w:ascii="仿宋_GB2312" w:hAnsi="仿宋_GB2312" w:cs="仿宋_GB2312" w:eastAsia="仿宋_GB2312"/>
                <w:sz w:val="24"/>
              </w:rPr>
              <w:t>海通证券股份有限公司</w:t>
            </w:r>
          </w:p>
        </w:tc>
      </w:tr>
      <w:tr>
        <w:tc>
          <w:tcPr>
            <w:tcW w:type="dxa" w:w="1000"/>
          </w:tcPr>
          <w:tcPr>
            <w:vAlign w:val="center"/>
          </w:tcPr>
          <w:p>
            <w:pPr>
              <w:jc w:val="center"/>
            </w:pPr>
            <w:r>
              <w:rPr>
                <w:rFonts w:ascii="仿宋_GB2312" w:hAnsi="仿宋_GB2312" w:cs="仿宋_GB2312" w:eastAsia="仿宋_GB2312"/>
                <w:sz w:val="24"/>
              </w:rPr>
              <w:t>7</w:t>
            </w:r>
          </w:p>
        </w:tc>
        <w:tc>
          <w:tcPr>
            <w:tcW w:type="dxa" w:w="1500"/>
          </w:tcPr>
          <w:tcPr>
            <w:vAlign w:val="center"/>
          </w:tcPr>
          <w:p>
            <w:pPr>
              <w:jc w:val="center"/>
            </w:pPr>
            <w:r>
              <w:rPr>
                <w:rFonts w:ascii="仿宋_GB2312" w:hAnsi="仿宋_GB2312" w:cs="仿宋_GB2312" w:eastAsia="仿宋_GB2312"/>
                <w:sz w:val="24"/>
              </w:rPr>
              <w:t>2024-01-31</w:t>
            </w:r>
          </w:p>
        </w:tc>
        <w:tc>
          <w:tcPr>
            <w:tcW w:type="dxa" w:w="5000"/>
          </w:tcPr>
          <w:tcPr>
            <w:vAlign w:val="center"/>
          </w:tcPr>
          <w:p>
            <w:pPr>
              <w:jc w:val="center"/>
            </w:pPr>
            <w:r>
              <w:rPr>
                <w:rFonts w:ascii="仿宋_GB2312" w:hAnsi="仿宋_GB2312" w:cs="仿宋_GB2312" w:eastAsia="仿宋_GB2312"/>
                <w:sz w:val="24"/>
              </w:rPr>
              <w:t>21滨州城投PPN001</w:t>
            </w:r>
          </w:p>
        </w:tc>
        <w:tc>
          <w:tcPr>
            <w:tcW w:type="dxa" w:w="2000"/>
          </w:tcPr>
          <w:tcPr>
            <w:vAlign w:val="center"/>
          </w:tcPr>
          <w:p>
            <w:pPr>
              <w:jc w:val="center"/>
            </w:pPr>
            <w:r>
              <w:rPr>
                <w:rFonts w:ascii="仿宋_GB2312" w:hAnsi="仿宋_GB2312" w:cs="仿宋_GB2312" w:eastAsia="仿宋_GB2312"/>
                <w:sz w:val="24"/>
              </w:rPr>
              <w:t>20251903.72</w:t>
            </w:r>
          </w:p>
        </w:tc>
        <w:tc>
          <w:tcPr>
            <w:tcW w:type="dxa" w:w="4000"/>
          </w:tcPr>
          <w:tcPr>
            <w:vAlign w:val="center"/>
          </w:tcPr>
          <w:p>
            <w:pPr>
              <w:jc w:val="center"/>
            </w:pPr>
            <w:r>
              <w:rPr>
                <w:rFonts w:ascii="仿宋_GB2312" w:hAnsi="仿宋_GB2312" w:cs="仿宋_GB2312" w:eastAsia="仿宋_GB2312"/>
                <w:sz w:val="24"/>
              </w:rPr>
              <w:t>海通证券股份有限公司</w:t>
            </w:r>
          </w:p>
        </w:tc>
      </w:tr>
      <w:tr>
        <w:tc>
          <w:tcPr>
            <w:tcW w:type="dxa" w:w="1000"/>
          </w:tcPr>
          <w:tcPr>
            <w:vAlign w:val="center"/>
          </w:tcPr>
          <w:p>
            <w:pPr>
              <w:jc w:val="center"/>
            </w:pPr>
            <w:r>
              <w:rPr>
                <w:rFonts w:ascii="仿宋_GB2312" w:hAnsi="仿宋_GB2312" w:cs="仿宋_GB2312" w:eastAsia="仿宋_GB2312"/>
                <w:sz w:val="24"/>
              </w:rPr>
              <w:t>8</w:t>
            </w:r>
          </w:p>
        </w:tc>
        <w:tc>
          <w:tcPr>
            <w:tcW w:type="dxa" w:w="1500"/>
          </w:tcPr>
          <w:tcPr>
            <w:vAlign w:val="center"/>
          </w:tcPr>
          <w:p>
            <w:pPr>
              <w:jc w:val="center"/>
            </w:pPr>
            <w:r>
              <w:rPr>
                <w:rFonts w:ascii="仿宋_GB2312" w:hAnsi="仿宋_GB2312" w:cs="仿宋_GB2312" w:eastAsia="仿宋_GB2312"/>
                <w:sz w:val="24"/>
              </w:rPr>
              <w:t>2024-01-30</w:t>
            </w:r>
          </w:p>
        </w:tc>
        <w:tc>
          <w:tcPr>
            <w:tcW w:type="dxa" w:w="5000"/>
          </w:tcPr>
          <w:tcPr>
            <w:vAlign w:val="center"/>
          </w:tcPr>
          <w:p>
            <w:pPr>
              <w:jc w:val="center"/>
            </w:pPr>
            <w:r>
              <w:rPr>
                <w:rFonts w:ascii="仿宋_GB2312" w:hAnsi="仿宋_GB2312" w:cs="仿宋_GB2312" w:eastAsia="仿宋_GB2312"/>
                <w:sz w:val="24"/>
              </w:rPr>
              <w:t>24青岛军民MTN001</w:t>
            </w:r>
          </w:p>
        </w:tc>
        <w:tc>
          <w:tcPr>
            <w:tcW w:type="dxa" w:w="2000"/>
          </w:tcPr>
          <w:tcPr>
            <w:vAlign w:val="center"/>
          </w:tcPr>
          <w:p>
            <w:pPr>
              <w:jc w:val="center"/>
            </w:pPr>
            <w:r>
              <w:rPr>
                <w:rFonts w:ascii="仿宋_GB2312" w:hAnsi="仿宋_GB2312" w:cs="仿宋_GB2312" w:eastAsia="仿宋_GB2312"/>
                <w:sz w:val="24"/>
              </w:rPr>
              <w:t>15001286.89</w:t>
            </w:r>
          </w:p>
        </w:tc>
        <w:tc>
          <w:tcPr>
            <w:tcW w:type="dxa" w:w="4000"/>
          </w:tcPr>
          <w:tcPr>
            <w:vAlign w:val="center"/>
          </w:tcPr>
          <w:p>
            <w:pPr>
              <w:jc w:val="center"/>
            </w:pPr>
            <w:r>
              <w:rPr>
                <w:rFonts w:ascii="仿宋_GB2312" w:hAnsi="仿宋_GB2312" w:cs="仿宋_GB2312" w:eastAsia="仿宋_GB2312"/>
                <w:sz w:val="24"/>
              </w:rPr>
              <w:t>海通证券股份有限公司</w:t>
            </w:r>
          </w:p>
        </w:tc>
      </w:tr>
      <w:tr>
        <w:tc>
          <w:tcPr>
            <w:tcW w:type="dxa" w:w="1000"/>
          </w:tcPr>
          <w:tcPr>
            <w:vAlign w:val="center"/>
          </w:tcPr>
          <w:p>
            <w:pPr>
              <w:jc w:val="center"/>
            </w:pPr>
            <w:r>
              <w:rPr>
                <w:rFonts w:ascii="仿宋_GB2312" w:hAnsi="仿宋_GB2312" w:cs="仿宋_GB2312" w:eastAsia="仿宋_GB2312"/>
                <w:sz w:val="24"/>
              </w:rPr>
              <w:t>9</w:t>
            </w:r>
          </w:p>
        </w:tc>
        <w:tc>
          <w:tcPr>
            <w:tcW w:type="dxa" w:w="1500"/>
          </w:tcPr>
          <w:tcPr>
            <w:vAlign w:val="center"/>
          </w:tcPr>
          <w:p>
            <w:pPr>
              <w:jc w:val="center"/>
            </w:pPr>
            <w:r>
              <w:rPr>
                <w:rFonts w:ascii="仿宋_GB2312" w:hAnsi="仿宋_GB2312" w:cs="仿宋_GB2312" w:eastAsia="仿宋_GB2312"/>
                <w:sz w:val="24"/>
              </w:rPr>
              <w:t>2024-01-03</w:t>
            </w:r>
          </w:p>
        </w:tc>
        <w:tc>
          <w:tcPr>
            <w:tcW w:type="dxa" w:w="5000"/>
          </w:tcPr>
          <w:tcPr>
            <w:vAlign w:val="center"/>
          </w:tcPr>
          <w:p>
            <w:pPr>
              <w:jc w:val="center"/>
            </w:pPr>
            <w:r>
              <w:rPr>
                <w:rFonts w:ascii="仿宋_GB2312" w:hAnsi="仿宋_GB2312" w:cs="仿宋_GB2312" w:eastAsia="仿宋_GB2312"/>
                <w:sz w:val="24"/>
              </w:rPr>
              <w:t>20民生银行二级</w:t>
            </w:r>
          </w:p>
        </w:tc>
        <w:tc>
          <w:tcPr>
            <w:tcW w:type="dxa" w:w="2000"/>
          </w:tcPr>
          <w:tcPr>
            <w:vAlign w:val="center"/>
          </w:tcPr>
          <w:p>
            <w:pPr>
              <w:jc w:val="center"/>
            </w:pPr>
            <w:r>
              <w:rPr>
                <w:rFonts w:ascii="仿宋_GB2312" w:hAnsi="仿宋_GB2312" w:cs="仿宋_GB2312" w:eastAsia="仿宋_GB2312"/>
                <w:sz w:val="24"/>
              </w:rPr>
              <w:t>20576541.37</w:t>
            </w:r>
          </w:p>
        </w:tc>
        <w:tc>
          <w:tcPr>
            <w:tcW w:type="dxa" w:w="4000"/>
          </w:tcPr>
          <w:tcPr>
            <w:vAlign w:val="center"/>
          </w:tcPr>
          <w:p>
            <w:pPr>
              <w:jc w:val="center"/>
            </w:pPr>
            <w:r>
              <w:rPr>
                <w:rFonts w:ascii="仿宋_GB2312" w:hAnsi="仿宋_GB2312" w:cs="仿宋_GB2312" w:eastAsia="仿宋_GB2312"/>
                <w:sz w:val="24"/>
              </w:rPr>
              <w:t>海通证券股份有限公司</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5000"/>
          </w:tcPr>
          <w:tcPr>
            <w:vAlign w:val="center"/>
          </w:tcPr>
          <w:p>
            <w:pPr>
              <w:jc w:val="center"/>
            </w:pPr>
            <w:r>
              <w:rPr>
                <w:rFonts w:ascii="仿宋_GB2312" w:hAnsi="仿宋_GB2312" w:cs="仿宋_GB2312" w:eastAsia="仿宋_GB2312"/>
                <w:sz w:val="24"/>
              </w:rPr>
              <w:t>上海信托信越2号证券投资集合资金信托计划</w:t>
            </w:r>
          </w:p>
        </w:tc>
        <w:tc>
          <w:tcPr>
            <w:tcW w:type="dxa" w:w="2000"/>
          </w:tcPr>
          <w:tcPr>
            <w:vAlign w:val="center"/>
          </w:tcPr>
          <w:p>
            <w:pPr>
              <w:jc w:val="center"/>
            </w:pPr>
            <w:r>
              <w:rPr>
                <w:rFonts w:ascii="仿宋_GB2312" w:hAnsi="仿宋_GB2312" w:cs="仿宋_GB2312" w:eastAsia="仿宋_GB2312"/>
                <w:sz w:val="24"/>
              </w:rPr>
              <w:t>2.1372</w:t>
            </w:r>
          </w:p>
        </w:tc>
        <w:tc>
          <w:tcPr>
            <w:tcW w:type="dxa" w:w="4000"/>
          </w:tcPr>
          <w:tcPr>
            <w:vAlign w:val="center"/>
          </w:tcPr>
          <w:p>
            <w:pPr>
              <w:jc w:val="center"/>
            </w:pPr>
            <w:r>
              <w:rPr>
                <w:rFonts w:ascii="仿宋_GB2312" w:hAnsi="仿宋_GB2312" w:cs="仿宋_GB2312" w:eastAsia="仿宋_GB2312"/>
                <w:sz w:val="24"/>
              </w:rPr>
              <w:t>上海国际信托有限公司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5000"/>
          </w:tcPr>
          <w:tcPr>
            <w:vAlign w:val="center"/>
          </w:tcPr>
          <w:p>
            <w:pPr>
              <w:jc w:val="center"/>
            </w:pPr>
            <w:r>
              <w:rPr>
                <w:rFonts w:ascii="仿宋_GB2312" w:hAnsi="仿宋_GB2312" w:cs="仿宋_GB2312" w:eastAsia="仿宋_GB2312"/>
                <w:sz w:val="24"/>
              </w:rPr>
              <w:t>上海信托信越1号证券投资集合资金信托计划</w:t>
            </w:r>
          </w:p>
        </w:tc>
        <w:tc>
          <w:tcPr>
            <w:tcW w:type="dxa" w:w="2000"/>
          </w:tcPr>
          <w:tcPr>
            <w:vAlign w:val="center"/>
          </w:tcPr>
          <w:p>
            <w:pPr>
              <w:jc w:val="center"/>
            </w:pPr>
            <w:r>
              <w:rPr>
                <w:rFonts w:ascii="仿宋_GB2312" w:hAnsi="仿宋_GB2312" w:cs="仿宋_GB2312" w:eastAsia="仿宋_GB2312"/>
                <w:sz w:val="24"/>
              </w:rPr>
              <w:t>2.1372</w:t>
            </w:r>
          </w:p>
        </w:tc>
        <w:tc>
          <w:tcPr>
            <w:tcW w:type="dxa" w:w="4000"/>
          </w:tcPr>
          <w:tcPr>
            <w:vAlign w:val="center"/>
          </w:tcPr>
          <w:p>
            <w:pPr>
              <w:jc w:val="center"/>
            </w:pPr>
            <w:r>
              <w:rPr>
                <w:rFonts w:ascii="仿宋_GB2312" w:hAnsi="仿宋_GB2312" w:cs="仿宋_GB2312" w:eastAsia="仿宋_GB2312"/>
                <w:sz w:val="24"/>
              </w:rPr>
              <w:t>上海国际信托有限公司</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2024-01-31</w:t>
            </w:r>
          </w:p>
        </w:tc>
        <w:tc>
          <w:tcPr>
            <w:tcW w:type="dxa" w:w="5000"/>
          </w:tcPr>
          <w:tcPr>
            <w:vAlign w:val="center"/>
          </w:tcPr>
          <w:p>
            <w:pPr>
              <w:jc w:val="center"/>
            </w:pPr>
            <w:r>
              <w:rPr>
                <w:rFonts w:ascii="仿宋_GB2312" w:hAnsi="仿宋_GB2312" w:cs="仿宋_GB2312" w:eastAsia="仿宋_GB2312"/>
                <w:sz w:val="24"/>
              </w:rPr>
              <w:t>23宁乡国资PPN002</w:t>
            </w:r>
          </w:p>
        </w:tc>
        <w:tc>
          <w:tcPr>
            <w:tcW w:type="dxa" w:w="2000"/>
          </w:tcPr>
          <w:tcPr>
            <w:vAlign w:val="center"/>
          </w:tcPr>
          <w:p>
            <w:pPr>
              <w:jc w:val="center"/>
            </w:pPr>
            <w:r>
              <w:rPr>
                <w:rFonts w:ascii="仿宋_GB2312" w:hAnsi="仿宋_GB2312" w:cs="仿宋_GB2312" w:eastAsia="仿宋_GB2312"/>
                <w:sz w:val="24"/>
              </w:rPr>
              <w:t>10629422.73</w:t>
            </w:r>
          </w:p>
        </w:tc>
        <w:tc>
          <w:tcPr>
            <w:tcW w:type="dxa" w:w="4000"/>
          </w:tcPr>
          <w:tcPr>
            <w:vAlign w:val="center"/>
          </w:tcPr>
          <w:p>
            <w:pPr>
              <w:jc w:val="center"/>
            </w:pPr>
            <w:r>
              <w:rPr>
                <w:rFonts w:ascii="仿宋_GB2312" w:hAnsi="仿宋_GB2312" w:cs="仿宋_GB2312" w:eastAsia="仿宋_GB2312"/>
                <w:sz w:val="24"/>
              </w:rPr>
              <w:t>申港证券股份有限公司</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586773.58</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7.57</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98421.80</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