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673698" w:rsidRDefault="00E61C1A" w:rsidP="00E61C1A">
      <w:pPr>
        <w:snapToGrid w:val="0"/>
        <w:spacing w:line="360" w:lineRule="auto"/>
        <w:jc w:val="center"/>
        <w:rPr>
          <w:rFonts w:asciiTheme="majorEastAsia" w:eastAsiaTheme="majorEastAsia" w:hAnsiTheme="majorEastAsia"/>
          <w:b/>
          <w:bCs/>
          <w:szCs w:val="24"/>
          <w:vertAlign w:val="superscript"/>
        </w:rPr>
      </w:pPr>
      <w:r w:rsidRPr="00673698">
        <w:rPr>
          <w:rFonts w:asciiTheme="majorEastAsia" w:eastAsiaTheme="majorEastAsia" w:hAnsiTheme="majorEastAsia" w:hint="eastAsia"/>
          <w:b/>
          <w:bCs/>
          <w:color w:val="000000"/>
          <w:szCs w:val="24"/>
        </w:rPr>
        <w:t>公募理财产品定期</w:t>
      </w:r>
      <w:r w:rsidRPr="00673698">
        <w:rPr>
          <w:rFonts w:asciiTheme="majorEastAsia" w:eastAsiaTheme="majorEastAsia" w:hAnsiTheme="majorEastAsia" w:hint="eastAsia"/>
          <w:b/>
          <w:bCs/>
          <w:szCs w:val="24"/>
        </w:rPr>
        <w:t>报告</w:t>
      </w:r>
    </w:p>
    <w:p w:rsidR="00E61C1A" w:rsidRPr="00673698" w:rsidRDefault="00E61C1A" w:rsidP="00E61C1A">
      <w:pPr>
        <w:snapToGrid w:val="0"/>
        <w:spacing w:line="360" w:lineRule="auto"/>
        <w:rPr>
          <w:rFonts w:ascii="仿宋_GB2312" w:eastAsia="仿宋_GB2312"/>
          <w:b/>
          <w:bCs/>
          <w:sz w:val="28"/>
          <w:szCs w:val="24"/>
          <w:vertAlign w:val="superscript"/>
        </w:rPr>
      </w:pPr>
      <w:r w:rsidRPr="00673698">
        <w:rPr>
          <w:rFonts w:ascii="仿宋_GB2312" w:eastAsia="仿宋_GB2312" w:hint="eastAsia"/>
          <w:b/>
          <w:sz w:val="28"/>
          <w:szCs w:val="24"/>
        </w:rPr>
        <w:t>1</w:t>
      </w:r>
      <w:r w:rsidRPr="00673698">
        <w:rPr>
          <w:rFonts w:hint="eastAsia"/>
          <w:b/>
          <w:sz w:val="28"/>
          <w:szCs w:val="24"/>
        </w:rPr>
        <w:t> </w:t>
      </w:r>
      <w:r w:rsidRPr="00673698">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本报告中财务资料未经审计。</w:t>
            </w:r>
          </w:p>
          <w:p w:rsidR="00E61C1A" w:rsidRDefault="00F63FAF" w:rsidP="00F63FA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000000"/>
                <w:sz w:val="24"/>
                <w:szCs w:val="24"/>
              </w:rPr>
              <w:t>产品管理人保留对本报告随时补充、更正和修订的权利，以及对所有文字说明的最终解释权。</w:t>
            </w:r>
          </w:p>
        </w:tc>
      </w:tr>
    </w:tbl>
    <w:p w:rsidR="00E61C1A" w:rsidRPr="00673698" w:rsidRDefault="00E61C1A" w:rsidP="00E61C1A">
      <w:pPr>
        <w:snapToGrid w:val="0"/>
        <w:spacing w:line="360" w:lineRule="auto"/>
        <w:rPr>
          <w:rFonts w:ascii="仿宋_GB2312" w:eastAsia="仿宋_GB2312"/>
          <w:b/>
          <w:sz w:val="28"/>
          <w:szCs w:val="24"/>
        </w:rPr>
      </w:pPr>
      <w:r w:rsidRPr="00673698">
        <w:rPr>
          <w:rFonts w:ascii="仿宋_GB2312" w:eastAsia="仿宋_GB2312" w:hint="eastAsia"/>
          <w:b/>
          <w:sz w:val="28"/>
          <w:szCs w:val="24"/>
        </w:rPr>
        <w:t>2.</w:t>
      </w:r>
      <w:r w:rsidRPr="00673698">
        <w:rPr>
          <w:rFonts w:ascii="仿宋_GB2312" w:eastAsia="仿宋_GB2312" w:hint="eastAsia"/>
          <w:b/>
          <w:sz w:val="28"/>
          <w:szCs w:val="24"/>
        </w:rPr>
        <w:t> </w:t>
      </w:r>
      <w:r w:rsidRPr="00673698">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浦银理财浦天同盈1号现金管理产品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2301182210(销售代码:2301192007/2301231962/2301231968/2301231961/2301231998/2301231653/2301239318/2301239412/2301239428/2301241739/2301241740)</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Z7006922000214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10,115,459,167.63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117.</w:t>
            </w:r>
            <w:r w:rsidR="009F015E">
              <w:rPr>
                <w:rFonts w:ascii="仿宋_GB2312" w:eastAsia="仿宋_GB2312" w:hAnsiTheme="minorEastAsia" w:cs="宋体" w:hint="eastAsia"/>
                <w:color w:val="000000"/>
                <w:sz w:val="24"/>
                <w:szCs w:val="24"/>
              </w:rPr>
              <w:t>8</w:t>
            </w:r>
            <w:r>
              <w:rPr>
                <w:rFonts w:ascii="仿宋_GB2312" w:eastAsia="仿宋_GB2312" w:hAnsiTheme="minorEastAsia" w:cs="宋体"/>
                <w:color w:val="000000"/>
                <w:sz w:val="24"/>
                <w:szCs w:val="24"/>
              </w:rPr>
              <w:t>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F63FAF">
              <w:rPr>
                <w:rStyle w:val="a9"/>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2301192007-A : 人民银行7天通知存款利率</w:t>
            </w:r>
            <w:r>
              <w:rPr>
                <w:rFonts w:ascii="仿宋_GB2312" w:eastAsia="仿宋_GB2312" w:hAnsi="Calibri" w:cs="宋体"/>
                <w:color w:val="000000"/>
                <w:sz w:val="24"/>
                <w:szCs w:val="24"/>
              </w:rPr>
              <w:br/>
              <w:t>2301231968-A : 人民银行7天通知存款利</w:t>
            </w:r>
            <w:r>
              <w:rPr>
                <w:rFonts w:ascii="仿宋_GB2312" w:eastAsia="仿宋_GB2312" w:hAnsi="Calibri" w:cs="宋体"/>
                <w:color w:val="000000"/>
                <w:sz w:val="24"/>
                <w:szCs w:val="24"/>
              </w:rPr>
              <w:lastRenderedPageBreak/>
              <w:t>率</w:t>
            </w:r>
            <w:r>
              <w:rPr>
                <w:rFonts w:ascii="仿宋_GB2312" w:eastAsia="仿宋_GB2312" w:hAnsi="Calibri" w:cs="宋体"/>
                <w:color w:val="000000"/>
                <w:sz w:val="24"/>
                <w:szCs w:val="24"/>
              </w:rPr>
              <w:br/>
              <w:t>2301231961-A : 人民银行7天通知存款利率</w:t>
            </w:r>
            <w:r>
              <w:rPr>
                <w:rFonts w:ascii="仿宋_GB2312" w:eastAsia="仿宋_GB2312" w:hAnsi="Calibri" w:cs="宋体"/>
                <w:color w:val="000000"/>
                <w:sz w:val="24"/>
                <w:szCs w:val="24"/>
              </w:rPr>
              <w:br/>
              <w:t>2301231962-A : 人民银行7天通知存款利率</w:t>
            </w:r>
            <w:r>
              <w:rPr>
                <w:rFonts w:ascii="仿宋_GB2312" w:eastAsia="仿宋_GB2312" w:hAnsi="Calibri" w:cs="宋体"/>
                <w:color w:val="000000"/>
                <w:sz w:val="24"/>
                <w:szCs w:val="24"/>
              </w:rPr>
              <w:br/>
              <w:t>2301231998-A : 人民银行7天通知存款利率</w:t>
            </w:r>
            <w:r>
              <w:rPr>
                <w:rFonts w:ascii="仿宋_GB2312" w:eastAsia="仿宋_GB2312" w:hAnsi="Calibri" w:cs="宋体"/>
                <w:color w:val="000000"/>
                <w:sz w:val="24"/>
                <w:szCs w:val="24"/>
              </w:rPr>
              <w:br/>
              <w:t>2301231653-A : 人民银行7天通知存款利率</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lastRenderedPageBreak/>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164A4" w:rsidP="00E164A4">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673698" w:rsidRDefault="004E272F" w:rsidP="004E272F">
      <w:pPr>
        <w:snapToGrid w:val="0"/>
        <w:spacing w:line="360" w:lineRule="auto"/>
        <w:rPr>
          <w:rFonts w:ascii="仿宋_GB2312" w:eastAsia="仿宋_GB2312"/>
          <w:b/>
          <w:sz w:val="28"/>
          <w:szCs w:val="24"/>
        </w:rPr>
      </w:pPr>
      <w:r w:rsidRPr="00673698">
        <w:rPr>
          <w:rFonts w:ascii="仿宋_GB2312" w:eastAsia="仿宋_GB2312" w:hint="eastAsia"/>
          <w:b/>
          <w:sz w:val="28"/>
          <w:szCs w:val="24"/>
        </w:rPr>
        <w:t>3</w:t>
      </w:r>
      <w:r w:rsidRPr="00673698">
        <w:rPr>
          <w:rFonts w:ascii="仿宋_GB2312" w:eastAsia="仿宋_GB2312"/>
          <w:b/>
          <w:sz w:val="28"/>
          <w:szCs w:val="24"/>
        </w:rPr>
        <w:t>.</w:t>
      </w:r>
      <w:r w:rsidRPr="00673698">
        <w:rPr>
          <w:rFonts w:ascii="仿宋_GB2312" w:eastAsia="仿宋_GB2312" w:hint="eastAsia"/>
          <w:b/>
          <w:sz w:val="28"/>
          <w:szCs w:val="24"/>
        </w:rPr>
        <w:t>产品净值表现</w:t>
      </w:r>
    </w:p>
    <w:p w:rsidR="004E272F" w:rsidRPr="00673698" w:rsidRDefault="004E272F" w:rsidP="004E272F">
      <w:pPr>
        <w:snapToGrid w:val="0"/>
        <w:spacing w:line="360" w:lineRule="auto"/>
        <w:ind w:firstLine="482"/>
        <w:rPr>
          <w:rFonts w:ascii="仿宋_GB2312" w:eastAsia="仿宋_GB2312"/>
          <w:b/>
          <w:bCs/>
          <w:sz w:val="28"/>
          <w:szCs w:val="24"/>
        </w:rPr>
      </w:pPr>
      <w:r w:rsidRPr="00673698">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2301182210 : 10,115,459,167.63</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2301192007-A : 1.0000</w:t>
            </w:r>
            <w:r>
              <w:rPr>
                <w:rFonts w:ascii="仿宋_GB2312" w:eastAsia="仿宋_GB2312" w:hAnsi="Calibri" w:cs="宋体"/>
                <w:color w:val="000000"/>
                <w:sz w:val="24"/>
                <w:szCs w:val="24"/>
              </w:rPr>
              <w:br/>
              <w:t>2301231653-A : 1.0000</w:t>
            </w:r>
            <w:r>
              <w:rPr>
                <w:rFonts w:ascii="仿宋_GB2312" w:eastAsia="仿宋_GB2312" w:hAnsi="Calibri" w:cs="宋体"/>
                <w:color w:val="000000"/>
                <w:sz w:val="24"/>
                <w:szCs w:val="24"/>
              </w:rPr>
              <w:br/>
              <w:t>2301231961-A : 1.0000</w:t>
            </w:r>
            <w:r>
              <w:rPr>
                <w:rFonts w:ascii="仿宋_GB2312" w:eastAsia="仿宋_GB2312" w:hAnsi="Calibri" w:cs="宋体"/>
                <w:color w:val="000000"/>
                <w:sz w:val="24"/>
                <w:szCs w:val="24"/>
              </w:rPr>
              <w:br/>
              <w:t>2301231962-A : 1.0000</w:t>
            </w:r>
            <w:r>
              <w:rPr>
                <w:rFonts w:ascii="仿宋_GB2312" w:eastAsia="仿宋_GB2312" w:hAnsi="Calibri" w:cs="宋体"/>
                <w:color w:val="000000"/>
                <w:sz w:val="24"/>
                <w:szCs w:val="24"/>
              </w:rPr>
              <w:br/>
              <w:t>2301231968-A : 1.0000</w:t>
            </w:r>
            <w:r>
              <w:rPr>
                <w:rFonts w:ascii="仿宋_GB2312" w:eastAsia="仿宋_GB2312" w:hAnsi="Calibri" w:cs="宋体"/>
                <w:color w:val="000000"/>
                <w:sz w:val="24"/>
                <w:szCs w:val="24"/>
              </w:rPr>
              <w:br/>
              <w:t>2301231998-A : 1.0000</w:t>
            </w:r>
            <w:r>
              <w:rPr>
                <w:rFonts w:ascii="仿宋_GB2312" w:eastAsia="仿宋_GB2312" w:hAnsi="Calibri" w:cs="宋体"/>
                <w:color w:val="000000"/>
                <w:sz w:val="24"/>
                <w:szCs w:val="24"/>
              </w:rPr>
              <w:br/>
              <w:t>2301239318-A : 1.0000</w:t>
            </w:r>
            <w:r>
              <w:rPr>
                <w:rFonts w:ascii="仿宋_GB2312" w:eastAsia="仿宋_GB2312" w:hAnsi="Calibri" w:cs="宋体"/>
                <w:color w:val="000000"/>
                <w:sz w:val="24"/>
                <w:szCs w:val="24"/>
              </w:rPr>
              <w:br/>
              <w:t>2301239412-A : 1.0000</w:t>
            </w:r>
            <w:r>
              <w:rPr>
                <w:rFonts w:ascii="仿宋_GB2312" w:eastAsia="仿宋_GB2312" w:hAnsi="Calibri" w:cs="宋体"/>
                <w:color w:val="000000"/>
                <w:sz w:val="24"/>
                <w:szCs w:val="24"/>
              </w:rPr>
              <w:br/>
              <w:t>2301239428-A : 1.0000</w:t>
            </w:r>
            <w:r>
              <w:rPr>
                <w:rFonts w:ascii="仿宋_GB2312" w:eastAsia="仿宋_GB2312" w:hAnsi="Calibri" w:cs="宋体"/>
                <w:color w:val="000000"/>
                <w:sz w:val="24"/>
                <w:szCs w:val="24"/>
              </w:rPr>
              <w:br/>
              <w:t>2301241739-A : 1.0000</w:t>
            </w:r>
            <w:r>
              <w:rPr>
                <w:rFonts w:ascii="仿宋_GB2312" w:eastAsia="仿宋_GB2312" w:hAnsi="Calibri" w:cs="宋体"/>
                <w:color w:val="000000"/>
                <w:sz w:val="24"/>
                <w:szCs w:val="24"/>
              </w:rPr>
              <w:br/>
              <w:t>2301241740-A : 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lastRenderedPageBreak/>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2301192007-A : -</w:t>
            </w:r>
            <w:r>
              <w:rPr>
                <w:rFonts w:ascii="仿宋_GB2312" w:eastAsia="仿宋_GB2312" w:hAnsi="Calibri" w:cs="宋体"/>
                <w:color w:val="000000"/>
                <w:sz w:val="24"/>
                <w:szCs w:val="24"/>
              </w:rPr>
              <w:br/>
              <w:t>2301231653-A : -</w:t>
            </w:r>
            <w:r>
              <w:rPr>
                <w:rFonts w:ascii="仿宋_GB2312" w:eastAsia="仿宋_GB2312" w:hAnsi="Calibri" w:cs="宋体"/>
                <w:color w:val="000000"/>
                <w:sz w:val="24"/>
                <w:szCs w:val="24"/>
              </w:rPr>
              <w:br/>
              <w:t>2301231961-A : -</w:t>
            </w:r>
            <w:r>
              <w:rPr>
                <w:rFonts w:ascii="仿宋_GB2312" w:eastAsia="仿宋_GB2312" w:hAnsi="Calibri" w:cs="宋体"/>
                <w:color w:val="000000"/>
                <w:sz w:val="24"/>
                <w:szCs w:val="24"/>
              </w:rPr>
              <w:br/>
              <w:t>2301231962-A : -</w:t>
            </w:r>
            <w:r>
              <w:rPr>
                <w:rFonts w:ascii="仿宋_GB2312" w:eastAsia="仿宋_GB2312" w:hAnsi="Calibri" w:cs="宋体"/>
                <w:color w:val="000000"/>
                <w:sz w:val="24"/>
                <w:szCs w:val="24"/>
              </w:rPr>
              <w:br/>
              <w:t>2301231968-A : -</w:t>
            </w:r>
            <w:r>
              <w:rPr>
                <w:rFonts w:ascii="仿宋_GB2312" w:eastAsia="仿宋_GB2312" w:hAnsi="Calibri" w:cs="宋体"/>
                <w:color w:val="000000"/>
                <w:sz w:val="24"/>
                <w:szCs w:val="24"/>
              </w:rPr>
              <w:br/>
              <w:t>2301231998-A : -</w:t>
            </w:r>
            <w:r>
              <w:rPr>
                <w:rFonts w:ascii="仿宋_GB2312" w:eastAsia="仿宋_GB2312" w:hAnsi="Calibri" w:cs="宋体"/>
                <w:color w:val="000000"/>
                <w:sz w:val="24"/>
                <w:szCs w:val="24"/>
              </w:rPr>
              <w:br/>
              <w:t>2301239318-A : -</w:t>
            </w:r>
            <w:r>
              <w:rPr>
                <w:rFonts w:ascii="仿宋_GB2312" w:eastAsia="仿宋_GB2312" w:hAnsi="Calibri" w:cs="宋体"/>
                <w:color w:val="000000"/>
                <w:sz w:val="24"/>
                <w:szCs w:val="24"/>
              </w:rPr>
              <w:br/>
              <w:t>2301239412-A : -</w:t>
            </w:r>
            <w:r>
              <w:rPr>
                <w:rFonts w:ascii="仿宋_GB2312" w:eastAsia="仿宋_GB2312" w:hAnsi="Calibri" w:cs="宋体"/>
                <w:color w:val="000000"/>
                <w:sz w:val="24"/>
                <w:szCs w:val="24"/>
              </w:rPr>
              <w:br/>
              <w:t>2301239428-A : -</w:t>
            </w:r>
            <w:r>
              <w:rPr>
                <w:rFonts w:ascii="仿宋_GB2312" w:eastAsia="仿宋_GB2312" w:hAnsi="Calibri" w:cs="宋体"/>
                <w:color w:val="000000"/>
                <w:sz w:val="24"/>
                <w:szCs w:val="24"/>
              </w:rPr>
              <w:br/>
              <w:t>2301241739-A : -</w:t>
            </w:r>
            <w:r>
              <w:rPr>
                <w:rFonts w:ascii="仿宋_GB2312" w:eastAsia="仿宋_GB2312" w:hAnsi="Calibri" w:cs="宋体"/>
                <w:color w:val="000000"/>
                <w:sz w:val="24"/>
                <w:szCs w:val="24"/>
              </w:rPr>
              <w:br/>
              <w:t>2301241740-A : -</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0.6213</w:t>
            </w:r>
            <w:r>
              <w:rPr>
                <w:rFonts w:ascii="仿宋_GB2312" w:eastAsia="仿宋_GB2312" w:hAnsi="Calibri" w:cs="宋体"/>
                <w:color w:val="000000"/>
                <w:sz w:val="24"/>
                <w:szCs w:val="24"/>
              </w:rPr>
              <w:br/>
              <w:t>2301231653-A : 0.6596</w:t>
            </w:r>
            <w:r>
              <w:rPr>
                <w:rFonts w:ascii="仿宋_GB2312" w:eastAsia="仿宋_GB2312" w:hAnsi="Calibri" w:cs="宋体"/>
                <w:color w:val="000000"/>
                <w:sz w:val="24"/>
                <w:szCs w:val="24"/>
              </w:rPr>
              <w:br/>
              <w:t>2301231961-A : 0.6487</w:t>
            </w:r>
            <w:r>
              <w:rPr>
                <w:rFonts w:ascii="仿宋_GB2312" w:eastAsia="仿宋_GB2312" w:hAnsi="Calibri" w:cs="宋体"/>
                <w:color w:val="000000"/>
                <w:sz w:val="24"/>
                <w:szCs w:val="24"/>
              </w:rPr>
              <w:br/>
              <w:t>2301231962-A : 0.6733</w:t>
            </w:r>
            <w:r>
              <w:rPr>
                <w:rFonts w:ascii="仿宋_GB2312" w:eastAsia="仿宋_GB2312" w:hAnsi="Calibri" w:cs="宋体"/>
                <w:color w:val="000000"/>
                <w:sz w:val="24"/>
                <w:szCs w:val="24"/>
              </w:rPr>
              <w:br/>
              <w:t>2301231968-A : 0.6761</w:t>
            </w:r>
            <w:r>
              <w:rPr>
                <w:rFonts w:ascii="仿宋_GB2312" w:eastAsia="仿宋_GB2312" w:hAnsi="Calibri" w:cs="宋体"/>
                <w:color w:val="000000"/>
                <w:sz w:val="24"/>
                <w:szCs w:val="24"/>
              </w:rPr>
              <w:br/>
              <w:t>2301231998-A : 0.6213</w:t>
            </w:r>
            <w:r>
              <w:rPr>
                <w:rFonts w:ascii="仿宋_GB2312" w:eastAsia="仿宋_GB2312" w:hAnsi="Calibri" w:cs="宋体"/>
                <w:color w:val="000000"/>
                <w:sz w:val="24"/>
                <w:szCs w:val="24"/>
              </w:rPr>
              <w:br/>
              <w:t>2301239318-A : 0.6432</w:t>
            </w:r>
            <w:r>
              <w:rPr>
                <w:rFonts w:ascii="仿宋_GB2312" w:eastAsia="仿宋_GB2312" w:hAnsi="Calibri" w:cs="宋体"/>
                <w:color w:val="000000"/>
                <w:sz w:val="24"/>
                <w:szCs w:val="24"/>
              </w:rPr>
              <w:br/>
              <w:t>2301239412-A : 0.6706</w:t>
            </w:r>
            <w:r>
              <w:rPr>
                <w:rFonts w:ascii="仿宋_GB2312" w:eastAsia="仿宋_GB2312" w:hAnsi="Calibri" w:cs="宋体"/>
                <w:color w:val="000000"/>
                <w:sz w:val="24"/>
                <w:szCs w:val="24"/>
              </w:rPr>
              <w:br/>
              <w:t>2301239428-A : 0.6624</w:t>
            </w:r>
            <w:r>
              <w:rPr>
                <w:rFonts w:ascii="仿宋_GB2312" w:eastAsia="仿宋_GB2312" w:hAnsi="Calibri" w:cs="宋体"/>
                <w:color w:val="000000"/>
                <w:sz w:val="24"/>
                <w:szCs w:val="24"/>
              </w:rPr>
              <w:br/>
              <w:t>2301241739-A : 0.6350</w:t>
            </w:r>
            <w:r>
              <w:rPr>
                <w:rFonts w:ascii="仿宋_GB2312" w:eastAsia="仿宋_GB2312" w:hAnsi="Calibri" w:cs="宋体"/>
                <w:color w:val="000000"/>
                <w:sz w:val="24"/>
                <w:szCs w:val="24"/>
              </w:rPr>
              <w:br/>
              <w:t>2301241740-A : 0.6350</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0.0227</w:t>
            </w:r>
            <w:r>
              <w:rPr>
                <w:rFonts w:ascii="仿宋_GB2312" w:eastAsia="仿宋_GB2312" w:hAnsi="Calibri" w:cs="宋体"/>
                <w:color w:val="000000"/>
                <w:sz w:val="24"/>
                <w:szCs w:val="24"/>
              </w:rPr>
              <w:br/>
              <w:t>2301231653-A : 0.0243</w:t>
            </w:r>
            <w:r>
              <w:rPr>
                <w:rFonts w:ascii="仿宋_GB2312" w:eastAsia="仿宋_GB2312" w:hAnsi="Calibri" w:cs="宋体"/>
                <w:color w:val="000000"/>
                <w:sz w:val="24"/>
                <w:szCs w:val="24"/>
              </w:rPr>
              <w:br/>
              <w:t>2301231961-A : 0.0239</w:t>
            </w:r>
            <w:r>
              <w:rPr>
                <w:rFonts w:ascii="仿宋_GB2312" w:eastAsia="仿宋_GB2312" w:hAnsi="Calibri" w:cs="宋体"/>
                <w:color w:val="000000"/>
                <w:sz w:val="24"/>
                <w:szCs w:val="24"/>
              </w:rPr>
              <w:br/>
              <w:t>2301231962-A : 0.0248</w:t>
            </w:r>
            <w:r>
              <w:rPr>
                <w:rFonts w:ascii="仿宋_GB2312" w:eastAsia="仿宋_GB2312" w:hAnsi="Calibri" w:cs="宋体"/>
                <w:color w:val="000000"/>
                <w:sz w:val="24"/>
                <w:szCs w:val="24"/>
              </w:rPr>
              <w:br/>
              <w:t>2301231968-A : 0.0249</w:t>
            </w:r>
            <w:r>
              <w:rPr>
                <w:rFonts w:ascii="仿宋_GB2312" w:eastAsia="仿宋_GB2312" w:hAnsi="Calibri" w:cs="宋体"/>
                <w:color w:val="000000"/>
                <w:sz w:val="24"/>
                <w:szCs w:val="24"/>
              </w:rPr>
              <w:br/>
              <w:t>2301231998-A : 0.0226</w:t>
            </w:r>
            <w:r>
              <w:rPr>
                <w:rFonts w:ascii="仿宋_GB2312" w:eastAsia="仿宋_GB2312" w:hAnsi="Calibri" w:cs="宋体"/>
                <w:color w:val="000000"/>
                <w:sz w:val="24"/>
                <w:szCs w:val="24"/>
              </w:rPr>
              <w:br/>
              <w:t>2301239318-A : 0.0236</w:t>
            </w:r>
            <w:r>
              <w:rPr>
                <w:rFonts w:ascii="仿宋_GB2312" w:eastAsia="仿宋_GB2312" w:hAnsi="Calibri" w:cs="宋体"/>
                <w:color w:val="000000"/>
                <w:sz w:val="24"/>
                <w:szCs w:val="24"/>
              </w:rPr>
              <w:br/>
            </w:r>
            <w:r>
              <w:rPr>
                <w:rFonts w:ascii="仿宋_GB2312" w:eastAsia="仿宋_GB2312" w:hAnsi="Calibri" w:cs="宋体"/>
                <w:color w:val="000000"/>
                <w:sz w:val="24"/>
                <w:szCs w:val="24"/>
              </w:rPr>
              <w:lastRenderedPageBreak/>
              <w:t>2301239412-A : 0.0247</w:t>
            </w:r>
            <w:r>
              <w:rPr>
                <w:rFonts w:ascii="仿宋_GB2312" w:eastAsia="仿宋_GB2312" w:hAnsi="Calibri" w:cs="宋体"/>
                <w:color w:val="000000"/>
                <w:sz w:val="24"/>
                <w:szCs w:val="24"/>
              </w:rPr>
              <w:br/>
              <w:t>2301239428-A : 0.0244</w:t>
            </w:r>
            <w:r>
              <w:rPr>
                <w:rFonts w:ascii="仿宋_GB2312" w:eastAsia="仿宋_GB2312" w:hAnsi="Calibri" w:cs="宋体"/>
                <w:color w:val="000000"/>
                <w:sz w:val="24"/>
                <w:szCs w:val="24"/>
              </w:rPr>
              <w:br/>
              <w:t>2301241739-A : 0.0233</w:t>
            </w:r>
            <w:r>
              <w:rPr>
                <w:rFonts w:ascii="仿宋_GB2312" w:eastAsia="仿宋_GB2312" w:hAnsi="Calibri" w:cs="宋体"/>
                <w:color w:val="000000"/>
                <w:sz w:val="24"/>
                <w:szCs w:val="24"/>
              </w:rPr>
              <w:br/>
              <w:t>2301241740-A : 0.0234</w:t>
            </w:r>
          </w:p>
        </w:tc>
      </w:tr>
    </w:tbl>
    <w:p w:rsidR="00564E1C" w:rsidRPr="00673698" w:rsidRDefault="00564E1C" w:rsidP="00564E1C">
      <w:pPr>
        <w:snapToGrid w:val="0"/>
        <w:spacing w:line="360" w:lineRule="auto"/>
        <w:rPr>
          <w:rFonts w:ascii="仿宋_GB2312" w:eastAsia="仿宋_GB2312"/>
          <w:b/>
          <w:sz w:val="28"/>
          <w:szCs w:val="24"/>
        </w:rPr>
      </w:pPr>
      <w:r w:rsidRPr="00673698">
        <w:rPr>
          <w:rFonts w:ascii="仿宋_GB2312" w:eastAsia="仿宋_GB2312" w:hint="eastAsia"/>
          <w:b/>
          <w:sz w:val="28"/>
          <w:szCs w:val="24"/>
        </w:rPr>
        <w:lastRenderedPageBreak/>
        <w:t>4.投资组合报告</w:t>
      </w:r>
    </w:p>
    <w:p w:rsidR="00564E1C" w:rsidRPr="00673698" w:rsidRDefault="00564E1C" w:rsidP="00564E1C">
      <w:pPr>
        <w:spacing w:line="360" w:lineRule="auto"/>
        <w:ind w:firstLine="482"/>
        <w:rPr>
          <w:rFonts w:ascii="仿宋_GB2312" w:eastAsia="仿宋_GB2312"/>
          <w:b/>
          <w:bCs/>
          <w:sz w:val="28"/>
          <w:szCs w:val="24"/>
        </w:rPr>
      </w:pPr>
      <w:r w:rsidRPr="00673698">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57"/>
        <w:gridCol w:w="1518"/>
        <w:gridCol w:w="1517"/>
        <w:gridCol w:w="1795"/>
        <w:gridCol w:w="1517"/>
        <w:gridCol w:w="1795"/>
      </w:tblGrid>
      <w:tr w:rsidR="000E6BAE" w:rsidRPr="004567B4" w:rsidTr="00E35E1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0E6BAE" w:rsidRPr="004567B4" w:rsidTr="00E35E1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r>
      <w:tr w:rsidR="000E6BAE" w:rsidRPr="004567B4" w:rsidTr="00EE13AE">
        <w:tc>
          <w:tcPr>
            <w:tcW w:w="373" w:type="pct"/>
            <w:tcBorders>
              <w:top w:val="nil"/>
              <w:left w:val="single" w:sz="4" w:space="0" w:color="auto"/>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1,340,784,188.70</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13.25%</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5,606,557,378.82</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55.43%</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2</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3,074,594,617.53</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30.40%</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4,509,708,386.70</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44.58%</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3</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同业存单</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1,603,238,943.33</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15.85%</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1,603,238,943.33</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15.85%</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4</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公募基金</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5</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私募基金</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6</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权益类资产</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7</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资产管理产品</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8</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5,701,499,266.41</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56.36%</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9</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200,047,671.23</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1.98%</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200,659,978.35</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1.98%</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10</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11</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12</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其他资产</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w:t>
            </w:r>
          </w:p>
        </w:tc>
      </w:tr>
      <w:tr w:rsidR="007D22A9">
        <w:tc>
          <w:tcPr>
            <w:tcW w:w="373" w:type="pct"/>
            <w:tcBorders>
              <w:top w:val="nil"/>
              <w:left w:val="single" w:sz="4" w:space="0" w:color="auto"/>
              <w:bottom w:val="single" w:sz="4" w:space="0" w:color="auto"/>
              <w:right w:val="single" w:sz="4" w:space="0" w:color="auto"/>
            </w:tcBorders>
            <w:shd w:val="clear" w:color="auto" w:fill="auto"/>
            <w:vAlign w:val="center"/>
            <w:hideMark/>
          </w:tcPr>
          <w:p w:rsidR="007D22A9" w:rsidRDefault="007D22A9">
            <w:pPr>
              <w:jc w:val="center"/>
            </w:pP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合计</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11,920,164,687.20</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117.84%</w:t>
            </w:r>
          </w:p>
        </w:tc>
        <w:tc>
          <w:tcPr>
            <w:tcW w:w="862"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11,920,164,687.20</w:t>
            </w:r>
          </w:p>
        </w:tc>
        <w:tc>
          <w:tcPr>
            <w:tcW w:w="1020" w:type="pct"/>
            <w:tcBorders>
              <w:top w:val="nil"/>
              <w:left w:val="nil"/>
              <w:bottom w:val="single" w:sz="4" w:space="0" w:color="auto"/>
              <w:right w:val="single" w:sz="4" w:space="0" w:color="auto"/>
            </w:tcBorders>
            <w:shd w:val="clear" w:color="auto" w:fill="auto"/>
            <w:vAlign w:val="center"/>
            <w:hideMark/>
          </w:tcPr>
          <w:p w:rsidR="007D22A9" w:rsidRDefault="00DF5831">
            <w:pPr>
              <w:jc w:val="center"/>
            </w:pPr>
            <w:r>
              <w:rPr>
                <w:rFonts w:ascii="仿宋_GB2312" w:eastAsia="仿宋_GB2312" w:hAnsi="Calibri" w:cs="宋体"/>
                <w:color w:val="000000"/>
                <w:sz w:val="24"/>
              </w:rPr>
              <w:t>117.84%</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F63FAF" w:rsidRDefault="00564E1C" w:rsidP="00564E1C">
      <w:pPr>
        <w:rPr>
          <w:rFonts w:ascii="仿宋_GB2312" w:eastAsia="仿宋_GB2312" w:hAnsi="Calibri"/>
          <w:sz w:val="24"/>
          <w:szCs w:val="24"/>
        </w:rPr>
      </w:pPr>
    </w:p>
    <w:p w:rsidR="00DE496A" w:rsidRPr="00673698" w:rsidRDefault="00DE496A" w:rsidP="00DE496A">
      <w:pPr>
        <w:spacing w:line="360" w:lineRule="auto"/>
        <w:ind w:firstLine="482"/>
        <w:rPr>
          <w:rFonts w:ascii="仿宋_GB2312" w:eastAsia="仿宋_GB2312" w:hAnsi="Calibri"/>
          <w:sz w:val="28"/>
          <w:szCs w:val="24"/>
        </w:rPr>
      </w:pPr>
      <w:r w:rsidRPr="00673698">
        <w:rPr>
          <w:rFonts w:ascii="仿宋_GB2312" w:eastAsia="仿宋_GB2312" w:hint="eastAsia"/>
          <w:b/>
          <w:bCs/>
          <w:sz w:val="28"/>
          <w:szCs w:val="24"/>
        </w:rPr>
        <w:t>4.2 报告期内产品投资策略和组合流动性风险分析</w:t>
      </w:r>
    </w:p>
    <w:p w:rsidR="004F4999" w:rsidRDefault="004F4999" w:rsidP="004F4999">
      <w:pPr>
        <w:snapToGrid w:val="0"/>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投资策略以配置短久期的银行同业存单以及中短久期的高等级信用债为主,政策金融债为辅,严格控制组合久期及杠杆率,保持产品中高流动性资产占比不低于40%,“资管新规”要求“现金类资产”保持在5%以上。</w:t>
      </w:r>
    </w:p>
    <w:p w:rsidR="007901AB" w:rsidRPr="007901AB" w:rsidRDefault="007901AB" w:rsidP="007901AB">
      <w:pPr>
        <w:snapToGrid w:val="0"/>
        <w:spacing w:line="360" w:lineRule="auto"/>
        <w:ind w:firstLine="480"/>
        <w:rPr>
          <w:rFonts w:ascii="仿宋_GB2312" w:eastAsia="仿宋_GB2312"/>
          <w:color w:val="000000"/>
          <w:sz w:val="24"/>
          <w:szCs w:val="24"/>
        </w:rPr>
      </w:pPr>
      <w:r>
        <w:rPr>
          <w:rFonts w:ascii="仿宋_GB2312" w:eastAsia="仿宋_GB2312" w:hint="eastAsia"/>
          <w:b/>
          <w:sz w:val="28"/>
          <w:szCs w:val="24"/>
        </w:rPr>
        <w:lastRenderedPageBreak/>
        <w:t>附：本报告期内，本产品理财投资合作机构为“百年保险资产管理有限责任公司、长城财富保险资产管理股份有限公司、广东粤财信托有限公司、国华兴益保险资产管理有限公司、华润深国投信托有限公司、建信信托有限责任公司、五矿国际信托有限公司、中诚信托有限责任公司” 。</w:t>
      </w:r>
    </w:p>
    <w:p w:rsidR="00DE496A" w:rsidRPr="00673698" w:rsidRDefault="00DE496A" w:rsidP="00DE496A">
      <w:pPr>
        <w:spacing w:line="360" w:lineRule="auto"/>
        <w:ind w:firstLineChars="200" w:firstLine="562"/>
        <w:rPr>
          <w:rFonts w:ascii="仿宋_GB2312" w:eastAsia="仿宋_GB2312" w:hAnsiTheme="minorEastAsia"/>
          <w:b/>
          <w:bCs/>
          <w:sz w:val="28"/>
          <w:szCs w:val="24"/>
        </w:rPr>
      </w:pPr>
      <w:r w:rsidRPr="00673698">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177133">
              <w:rPr>
                <w:rFonts w:ascii="仿宋_GB2312" w:eastAsia="仿宋_GB2312" w:hAnsiTheme="minorEastAsia" w:hint="eastAsia"/>
                <w:color w:val="000000"/>
                <w:sz w:val="24"/>
                <w:szCs w:val="24"/>
              </w:rPr>
              <w:t>（元</w:t>
            </w:r>
            <w:r w:rsidR="00177133">
              <w:rPr>
                <w:rFonts w:ascii="仿宋_GB2312" w:eastAsia="仿宋_GB2312" w:hAnsiTheme="minorEastAsia"/>
                <w:color w:val="000000"/>
                <w:sz w:val="24"/>
                <w:szCs w:val="24"/>
              </w:rPr>
              <w:t>）</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百年资管弘远33号资产管理产品</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2,629,560,242.52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26.00%</w:t>
            </w:r>
          </w:p>
        </w:tc>
      </w:tr>
      <w:tr w:rsidR="007D22A9">
        <w:tc>
          <w:tcPr>
            <w:tcW w:w="1139" w:type="dxa"/>
          </w:tcPr>
          <w:p w:rsidR="007D22A9" w:rsidRDefault="00DF5831">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银行存款</w:t>
            </w:r>
          </w:p>
        </w:tc>
        <w:tc>
          <w:tcPr>
            <w:tcW w:w="2835" w:type="dxa"/>
          </w:tcPr>
          <w:p w:rsidR="007D22A9" w:rsidRDefault="00DF5831">
            <w:pPr>
              <w:jc w:val="center"/>
            </w:pPr>
            <w:r>
              <w:rPr>
                <w:rFonts w:ascii="仿宋_GB2312" w:eastAsia="仿宋_GB2312" w:hAnsi="Calibri" w:cs="宋体"/>
                <w:color w:val="000000"/>
                <w:sz w:val="24"/>
              </w:rPr>
              <w:t>1,340,784,188.56</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13.25%</w:t>
            </w:r>
          </w:p>
        </w:tc>
      </w:tr>
      <w:tr w:rsidR="007D22A9">
        <w:tc>
          <w:tcPr>
            <w:tcW w:w="1139" w:type="dxa"/>
          </w:tcPr>
          <w:p w:rsidR="007D22A9" w:rsidRDefault="00DF5831">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国华兴益资管日馨月益5号资产管理产品</w:t>
            </w:r>
          </w:p>
        </w:tc>
        <w:tc>
          <w:tcPr>
            <w:tcW w:w="2835" w:type="dxa"/>
          </w:tcPr>
          <w:p w:rsidR="007D22A9" w:rsidRDefault="00DF5831">
            <w:pPr>
              <w:jc w:val="center"/>
            </w:pPr>
            <w:r>
              <w:rPr>
                <w:rFonts w:ascii="仿宋_GB2312" w:eastAsia="仿宋_GB2312" w:hAnsi="Calibri" w:cs="宋体"/>
                <w:color w:val="000000"/>
                <w:sz w:val="24"/>
              </w:rPr>
              <w:t>1,040,427,001.87</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10.29%</w:t>
            </w:r>
          </w:p>
        </w:tc>
      </w:tr>
      <w:tr w:rsidR="007D22A9">
        <w:tc>
          <w:tcPr>
            <w:tcW w:w="1139" w:type="dxa"/>
          </w:tcPr>
          <w:p w:rsidR="007D22A9" w:rsidRDefault="00DF5831">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粤财信托-天盈增利1号集合资金信托计划</w:t>
            </w:r>
          </w:p>
        </w:tc>
        <w:tc>
          <w:tcPr>
            <w:tcW w:w="2835" w:type="dxa"/>
          </w:tcPr>
          <w:p w:rsidR="007D22A9" w:rsidRDefault="00DF5831">
            <w:pPr>
              <w:jc w:val="center"/>
            </w:pPr>
            <w:r>
              <w:rPr>
                <w:rFonts w:ascii="仿宋_GB2312" w:eastAsia="仿宋_GB2312" w:hAnsi="Calibri" w:cs="宋体"/>
                <w:color w:val="000000"/>
                <w:sz w:val="24"/>
              </w:rPr>
              <w:t>899,792,709.80</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8.90%</w:t>
            </w:r>
          </w:p>
        </w:tc>
      </w:tr>
      <w:tr w:rsidR="007D22A9">
        <w:tc>
          <w:tcPr>
            <w:tcW w:w="1139" w:type="dxa"/>
          </w:tcPr>
          <w:p w:rsidR="007D22A9" w:rsidRDefault="00DF5831">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长城财富玄武多资产固收十号资产管理产品</w:t>
            </w:r>
          </w:p>
        </w:tc>
        <w:tc>
          <w:tcPr>
            <w:tcW w:w="2835" w:type="dxa"/>
          </w:tcPr>
          <w:p w:rsidR="007D22A9" w:rsidRDefault="00DF5831">
            <w:pPr>
              <w:jc w:val="center"/>
            </w:pPr>
            <w:r>
              <w:rPr>
                <w:rFonts w:ascii="仿宋_GB2312" w:eastAsia="仿宋_GB2312" w:hAnsi="Calibri" w:cs="宋体"/>
                <w:color w:val="000000"/>
                <w:sz w:val="24"/>
              </w:rPr>
              <w:t>289,759,028.51</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2.86%</w:t>
            </w:r>
          </w:p>
        </w:tc>
      </w:tr>
      <w:tr w:rsidR="007D22A9">
        <w:tc>
          <w:tcPr>
            <w:tcW w:w="1139" w:type="dxa"/>
          </w:tcPr>
          <w:p w:rsidR="007D22A9" w:rsidRDefault="00DF5831">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中诚信托-安泰2号集合资金信托计划</w:t>
            </w:r>
          </w:p>
        </w:tc>
        <w:tc>
          <w:tcPr>
            <w:tcW w:w="2835" w:type="dxa"/>
          </w:tcPr>
          <w:p w:rsidR="007D22A9" w:rsidRDefault="00DF5831">
            <w:pPr>
              <w:jc w:val="center"/>
            </w:pPr>
            <w:r>
              <w:rPr>
                <w:rFonts w:ascii="仿宋_GB2312" w:eastAsia="仿宋_GB2312" w:hAnsi="Calibri" w:cs="宋体"/>
                <w:color w:val="000000"/>
                <w:sz w:val="24"/>
              </w:rPr>
              <w:t>247,095,367.03</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2.44%</w:t>
            </w:r>
          </w:p>
        </w:tc>
      </w:tr>
      <w:tr w:rsidR="007D22A9">
        <w:tc>
          <w:tcPr>
            <w:tcW w:w="1139" w:type="dxa"/>
          </w:tcPr>
          <w:p w:rsidR="007D22A9" w:rsidRDefault="00DF5831">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百年资管弘远37号资产管理产品</w:t>
            </w:r>
          </w:p>
        </w:tc>
        <w:tc>
          <w:tcPr>
            <w:tcW w:w="2835" w:type="dxa"/>
          </w:tcPr>
          <w:p w:rsidR="007D22A9" w:rsidRDefault="00DF5831">
            <w:pPr>
              <w:jc w:val="center"/>
            </w:pPr>
            <w:r>
              <w:rPr>
                <w:rFonts w:ascii="仿宋_GB2312" w:eastAsia="仿宋_GB2312" w:hAnsi="Calibri" w:cs="宋体"/>
                <w:color w:val="000000"/>
                <w:sz w:val="24"/>
              </w:rPr>
              <w:t>200,817,375.23</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1.99%</w:t>
            </w:r>
          </w:p>
        </w:tc>
      </w:tr>
      <w:tr w:rsidR="007D22A9">
        <w:tc>
          <w:tcPr>
            <w:tcW w:w="1139" w:type="dxa"/>
          </w:tcPr>
          <w:p w:rsidR="007D22A9" w:rsidRDefault="00DF5831">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1日质押式回购</w:t>
            </w:r>
          </w:p>
        </w:tc>
        <w:tc>
          <w:tcPr>
            <w:tcW w:w="2835" w:type="dxa"/>
          </w:tcPr>
          <w:p w:rsidR="007D22A9" w:rsidRDefault="00DF5831">
            <w:pPr>
              <w:jc w:val="center"/>
            </w:pPr>
            <w:r>
              <w:rPr>
                <w:rFonts w:ascii="仿宋_GB2312" w:eastAsia="仿宋_GB2312" w:hAnsi="Calibri" w:cs="宋体"/>
                <w:color w:val="000000"/>
                <w:sz w:val="24"/>
              </w:rPr>
              <w:t>200,047,671.23</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1.98%</w:t>
            </w:r>
          </w:p>
        </w:tc>
      </w:tr>
      <w:tr w:rsidR="007D22A9">
        <w:tc>
          <w:tcPr>
            <w:tcW w:w="1139" w:type="dxa"/>
          </w:tcPr>
          <w:p w:rsidR="007D22A9" w:rsidRDefault="00DF5831">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24中信银行CD099</w:t>
            </w:r>
          </w:p>
        </w:tc>
        <w:tc>
          <w:tcPr>
            <w:tcW w:w="2835" w:type="dxa"/>
          </w:tcPr>
          <w:p w:rsidR="007D22A9" w:rsidRDefault="00DF5831">
            <w:pPr>
              <w:jc w:val="center"/>
            </w:pPr>
            <w:r>
              <w:rPr>
                <w:rFonts w:ascii="仿宋_GB2312" w:eastAsia="仿宋_GB2312" w:hAnsi="Calibri" w:cs="宋体"/>
                <w:color w:val="000000"/>
                <w:sz w:val="24"/>
              </w:rPr>
              <w:t>199,148,501.30</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1.97%</w:t>
            </w:r>
          </w:p>
        </w:tc>
      </w:tr>
      <w:tr w:rsidR="007D22A9">
        <w:tc>
          <w:tcPr>
            <w:tcW w:w="1139" w:type="dxa"/>
          </w:tcPr>
          <w:p w:rsidR="007D22A9" w:rsidRDefault="00DF5831">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23民生银行CD519</w:t>
            </w:r>
          </w:p>
        </w:tc>
        <w:tc>
          <w:tcPr>
            <w:tcW w:w="2835" w:type="dxa"/>
          </w:tcPr>
          <w:p w:rsidR="007D22A9" w:rsidRDefault="00DF5831">
            <w:pPr>
              <w:jc w:val="center"/>
            </w:pPr>
            <w:r>
              <w:rPr>
                <w:rFonts w:ascii="仿宋_GB2312" w:eastAsia="仿宋_GB2312" w:hAnsi="Calibri" w:cs="宋体"/>
                <w:color w:val="000000"/>
                <w:sz w:val="24"/>
              </w:rPr>
              <w:t>198,856,785.53</w:t>
            </w:r>
          </w:p>
        </w:tc>
        <w:tc>
          <w:tcPr>
            <w:tcW w:w="2835" w:type="dxa"/>
            <w:tcMar>
              <w:top w:w="15" w:type="dxa"/>
              <w:left w:w="15" w:type="dxa"/>
              <w:bottom w:w="0" w:type="dxa"/>
              <w:right w:w="15" w:type="dxa"/>
            </w:tcMar>
          </w:tcPr>
          <w:p w:rsidR="007D22A9" w:rsidRDefault="00DF5831">
            <w:pPr>
              <w:jc w:val="center"/>
            </w:pPr>
            <w:r>
              <w:rPr>
                <w:rFonts w:ascii="仿宋_GB2312" w:eastAsia="仿宋_GB2312" w:hAnsi="Calibri" w:cs="宋体"/>
                <w:color w:val="000000"/>
                <w:sz w:val="24"/>
              </w:rPr>
              <w:t>1.97%</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F63FAF" w:rsidRDefault="00DE496A" w:rsidP="00DE496A">
      <w:pPr>
        <w:rPr>
          <w:rFonts w:ascii="仿宋_GB2312" w:eastAsia="仿宋_GB2312" w:hAnsi="Calibri"/>
          <w:sz w:val="24"/>
          <w:szCs w:val="24"/>
        </w:rPr>
      </w:pPr>
    </w:p>
    <w:p w:rsidR="00DE496A" w:rsidRPr="00673698"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673698">
        <w:rPr>
          <w:rFonts w:ascii="仿宋_GB2312" w:eastAsia="仿宋_GB2312"/>
          <w:b/>
          <w:bCs/>
          <w:sz w:val="28"/>
          <w:szCs w:val="24"/>
        </w:rPr>
        <w:t xml:space="preserve"> </w:t>
      </w:r>
      <w:r w:rsidRPr="00673698">
        <w:rPr>
          <w:rFonts w:ascii="仿宋_GB2312" w:eastAsia="仿宋_GB2312" w:hAnsiTheme="minorEastAsia"/>
          <w:b/>
          <w:bCs/>
          <w:sz w:val="28"/>
          <w:szCs w:val="24"/>
        </w:rPr>
        <w:t>4.4报告期末非标准化债权</w:t>
      </w:r>
      <w:r w:rsidRPr="00673698">
        <w:rPr>
          <w:rStyle w:val="a9"/>
          <w:rFonts w:ascii="仿宋_GB2312" w:eastAsia="仿宋_GB2312" w:hAnsiTheme="minorEastAsia"/>
          <w:b/>
          <w:bCs/>
          <w:sz w:val="28"/>
          <w:szCs w:val="24"/>
        </w:rPr>
        <w:footnoteReference w:id="3"/>
      </w:r>
      <w:r w:rsidRPr="00673698">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177133">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177133">
              <w:rPr>
                <w:rFonts w:ascii="仿宋_GB2312" w:eastAsia="仿宋_GB2312" w:hAnsiTheme="minorEastAsia" w:hint="eastAsia"/>
                <w:bCs/>
                <w:sz w:val="24"/>
                <w:szCs w:val="24"/>
              </w:rPr>
              <w:t>（天</w:t>
            </w:r>
            <w:r w:rsidR="00177133">
              <w:rPr>
                <w:rFonts w:ascii="仿宋_GB2312" w:eastAsia="仿宋_GB2312" w:hAnsiTheme="minorEastAsia"/>
                <w:bCs/>
                <w:sz w:val="24"/>
                <w:szCs w:val="24"/>
              </w:rPr>
              <w:t>）</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177133">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lastRenderedPageBreak/>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r w:rsidR="008D2272">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F63FAF" w:rsidRPr="00792F91"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F63FAF"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F63FAF" w:rsidRPr="006508A1" w:rsidRDefault="00F63FAF" w:rsidP="00F63FAF">
      <w:pPr>
        <w:snapToGrid w:val="0"/>
        <w:spacing w:line="360" w:lineRule="auto"/>
        <w:ind w:firstLine="480"/>
        <w:rPr>
          <w:rFonts w:ascii="仿宋_GB2312" w:eastAsia="仿宋_GB2312" w:hAnsiTheme="minorEastAsia"/>
          <w:bCs/>
          <w:sz w:val="24"/>
          <w:szCs w:val="24"/>
        </w:rPr>
      </w:pPr>
    </w:p>
    <w:p w:rsidR="00310434" w:rsidRPr="00673698" w:rsidRDefault="00310434" w:rsidP="00310434">
      <w:pPr>
        <w:snapToGrid w:val="0"/>
        <w:spacing w:line="360" w:lineRule="auto"/>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5. 投资者信息</w:t>
      </w:r>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5.1 </w:t>
      </w:r>
      <w:r w:rsidR="00CC27D0" w:rsidRPr="00CC27D0">
        <w:rPr>
          <w:rFonts w:ascii="仿宋_GB2312" w:eastAsia="仿宋_GB2312" w:hAnsi="宋体" w:hint="eastAsia"/>
          <w:b/>
          <w:color w:val="000000" w:themeColor="text1"/>
          <w:sz w:val="28"/>
          <w:szCs w:val="24"/>
        </w:rPr>
        <w:t>报告期末产品</w:t>
      </w:r>
      <w:r w:rsidRPr="00673698">
        <w:rPr>
          <w:rFonts w:ascii="仿宋_GB2312" w:eastAsia="仿宋_GB2312" w:hAnsi="宋体" w:hint="eastAsia"/>
          <w:b/>
          <w:color w:val="000000" w:themeColor="text1"/>
          <w:sz w:val="28"/>
          <w:szCs w:val="24"/>
        </w:rPr>
        <w:t>前十大投资者</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119"/>
        <w:gridCol w:w="1843"/>
        <w:gridCol w:w="2976"/>
      </w:tblGrid>
      <w:tr w:rsidR="006C486F" w:rsidTr="006C486F">
        <w:trPr>
          <w:trHeight w:val="334"/>
        </w:trPr>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投资者类别</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金额（元）</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占产品规模比例</w:t>
            </w:r>
          </w:p>
        </w:tc>
      </w:tr>
      <w:tr w:rsidR="006C486F" w:rsidTr="006C486F">
        <w:trPr>
          <w:trHeight w:val="16"/>
        </w:trPr>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170308832.98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1.68%</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rPr>
                <w:rFonts w:hint="eastAsia"/>
              </w:rPr>
            </w:pPr>
            <w:r>
              <w:rPr>
                <w:rFonts w:ascii="仿宋_GB2312" w:eastAsia="仿宋_GB2312" w:hAnsi="Calibri" w:cs="宋体" w:hint="eastAsia"/>
                <w:color w:val="000000"/>
                <w:sz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162899899.89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1.61%</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142030959.50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1.40%</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80259339.58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0.79%</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78605152.80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0.78%</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71428634.47</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0.71%</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65178590.56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0.64%</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57478386.95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0.57%</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机构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56020986.14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0.55%</w:t>
            </w:r>
          </w:p>
        </w:tc>
      </w:tr>
      <w:tr w:rsidR="006C486F" w:rsidTr="006C486F">
        <w:tc>
          <w:tcPr>
            <w:tcW w:w="112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55054882.10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486F" w:rsidRDefault="006C486F">
            <w:pPr>
              <w:jc w:val="center"/>
            </w:pPr>
            <w:r>
              <w:rPr>
                <w:rFonts w:ascii="仿宋_GB2312" w:eastAsia="仿宋_GB2312" w:hAnsi="Calibri" w:cs="宋体" w:hint="eastAsia"/>
                <w:color w:val="000000"/>
                <w:sz w:val="24"/>
              </w:rPr>
              <w:t>0.54%</w:t>
            </w:r>
          </w:p>
        </w:tc>
      </w:tr>
    </w:tbl>
    <w:p w:rsidR="00310434" w:rsidRPr="006C486F" w:rsidRDefault="00310434" w:rsidP="00310434">
      <w:pPr>
        <w:snapToGrid w:val="0"/>
        <w:spacing w:line="360" w:lineRule="auto"/>
        <w:ind w:firstLineChars="200" w:firstLine="482"/>
        <w:rPr>
          <w:rFonts w:ascii="仿宋_GB2312" w:eastAsia="仿宋_GB2312" w:hAnsi="宋体"/>
          <w:b/>
          <w:color w:val="000000" w:themeColor="text1"/>
          <w:sz w:val="24"/>
          <w:szCs w:val="24"/>
        </w:rPr>
      </w:pPr>
      <w:bookmarkStart w:id="0" w:name="_GoBack"/>
      <w:bookmarkEnd w:id="0"/>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5.2 </w:t>
      </w:r>
      <w:r w:rsidR="00CC27D0" w:rsidRPr="00CC27D0">
        <w:rPr>
          <w:rFonts w:ascii="仿宋_GB2312" w:eastAsia="仿宋_GB2312" w:hAnsi="宋体" w:hint="eastAsia"/>
          <w:b/>
          <w:color w:val="000000" w:themeColor="text1"/>
          <w:sz w:val="28"/>
          <w:szCs w:val="24"/>
        </w:rPr>
        <w:t>报告期内</w:t>
      </w:r>
      <w:r w:rsidRPr="00673698">
        <w:rPr>
          <w:rFonts w:ascii="仿宋_GB2312" w:eastAsia="仿宋_GB2312" w:hAnsi="宋体" w:hint="eastAsia"/>
          <w:b/>
          <w:color w:val="000000" w:themeColor="text1"/>
          <w:sz w:val="28"/>
          <w:szCs w:val="24"/>
        </w:rPr>
        <w:t>持有份额达到或者超过20%的单一投资者</w:t>
      </w:r>
    </w:p>
    <w:tbl>
      <w:tblPr>
        <w:tblStyle w:val="ab"/>
        <w:tblpPr w:leftFromText="189" w:rightFromText="189" w:vertAnchor="text"/>
        <w:tblW w:w="9606" w:type="dxa"/>
        <w:tblLayout w:type="fixed"/>
        <w:tblLook w:val="04A0" w:firstRow="1" w:lastRow="0" w:firstColumn="1" w:lastColumn="0" w:noHBand="0" w:noVBand="1"/>
      </w:tblPr>
      <w:tblGrid>
        <w:gridCol w:w="736"/>
        <w:gridCol w:w="1640"/>
        <w:gridCol w:w="993"/>
        <w:gridCol w:w="1701"/>
        <w:gridCol w:w="1559"/>
        <w:gridCol w:w="1701"/>
        <w:gridCol w:w="1276"/>
      </w:tblGrid>
      <w:tr w:rsidR="0016364F" w:rsidRPr="00105BC9" w:rsidTr="002A3E7B">
        <w:trPr>
          <w:trHeight w:val="224"/>
        </w:trPr>
        <w:tc>
          <w:tcPr>
            <w:tcW w:w="736" w:type="dxa"/>
            <w:vAlign w:val="center"/>
            <w:hideMark/>
          </w:tcPr>
          <w:p w:rsidR="0016364F" w:rsidRPr="00105BC9" w:rsidRDefault="0016364F" w:rsidP="002A3E7B">
            <w:pPr>
              <w:snapToGrid w:val="0"/>
              <w:spacing w:line="360" w:lineRule="auto"/>
              <w:jc w:val="center"/>
              <w:textAlignment w:val="center"/>
              <w:rPr>
                <w:rFonts w:ascii="仿宋_GB2312" w:eastAsia="仿宋_GB2312" w:hAnsi="宋体"/>
                <w:sz w:val="24"/>
              </w:rPr>
            </w:pPr>
            <w:r w:rsidRPr="00105BC9">
              <w:rPr>
                <w:rFonts w:ascii="仿宋_GB2312" w:eastAsia="仿宋_GB2312" w:hAnsi="宋体" w:hint="eastAsia"/>
                <w:sz w:val="24"/>
              </w:rPr>
              <w:t>序号</w:t>
            </w:r>
          </w:p>
        </w:tc>
        <w:tc>
          <w:tcPr>
            <w:tcW w:w="1640" w:type="dxa"/>
            <w:vAlign w:val="center"/>
          </w:tcPr>
          <w:p w:rsidR="0016364F" w:rsidRPr="00105BC9" w:rsidRDefault="0016364F" w:rsidP="002A3E7B">
            <w:pPr>
              <w:snapToGrid w:val="0"/>
              <w:spacing w:line="360" w:lineRule="auto"/>
              <w:jc w:val="center"/>
              <w:textAlignment w:val="center"/>
              <w:rPr>
                <w:rFonts w:ascii="仿宋_GB2312" w:eastAsia="仿宋_GB2312" w:hAnsi="宋体"/>
                <w:sz w:val="24"/>
              </w:rPr>
            </w:pPr>
            <w:r>
              <w:rPr>
                <w:rFonts w:ascii="仿宋_GB2312" w:eastAsia="仿宋_GB2312" w:hAnsi="宋体" w:hint="eastAsia"/>
                <w:sz w:val="24"/>
              </w:rPr>
              <w:t>日期</w:t>
            </w: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color w:val="000000"/>
                <w:sz w:val="24"/>
              </w:rPr>
            </w:pPr>
            <w:r w:rsidRPr="00105BC9">
              <w:rPr>
                <w:rFonts w:ascii="仿宋_GB2312" w:eastAsia="仿宋_GB2312" w:hAnsi="宋体" w:hint="eastAsia"/>
                <w:sz w:val="24"/>
              </w:rPr>
              <w:t>投资者类别</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w:t>
            </w:r>
          </w:p>
        </w:tc>
        <w:tc>
          <w:tcPr>
            <w:tcW w:w="1559"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持有份额占总份额比例</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持有份额变化情况</w:t>
            </w:r>
          </w:p>
        </w:tc>
        <w:tc>
          <w:tcPr>
            <w:tcW w:w="127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产品风险信息</w:t>
            </w:r>
          </w:p>
        </w:tc>
      </w:tr>
      <w:tr w:rsidR="0016364F" w:rsidRPr="00105BC9" w:rsidTr="002A3E7B">
        <w:trPr>
          <w:trHeight w:val="10"/>
        </w:trPr>
        <w:tc>
          <w:tcPr>
            <w:tcW w:w="73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Calibri" w:cs="宋体"/>
                <w:color w:val="000000"/>
                <w:sz w:val="24"/>
                <w:szCs w:val="24"/>
              </w:rPr>
              <w:t>-</w:t>
            </w:r>
          </w:p>
        </w:tc>
        <w:tc>
          <w:tcPr>
            <w:tcW w:w="1640" w:type="dxa"/>
            <w:vAlign w:val="center"/>
          </w:tcPr>
          <w:p w:rsidR="0016364F" w:rsidRPr="00DD7BD2" w:rsidRDefault="0016364F" w:rsidP="002A3E7B">
            <w:pPr>
              <w:snapToGrid w:val="0"/>
              <w:spacing w:line="360" w:lineRule="auto"/>
              <w:jc w:val="center"/>
              <w:rPr>
                <w:rFonts w:ascii="仿宋_GB2312" w:eastAsia="仿宋_GB2312" w:hAnsi="宋体"/>
                <w:sz w:val="24"/>
              </w:rPr>
            </w:pP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hideMark/>
          </w:tcPr>
          <w:p w:rsidR="0016364F" w:rsidRPr="005A4690"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559" w:type="dxa"/>
            <w:vAlign w:val="center"/>
            <w:hideMark/>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tcPr>
          <w:p w:rsidR="0016364F" w:rsidRPr="00105BC9" w:rsidRDefault="0016364F" w:rsidP="002A3E7B">
            <w:pPr>
              <w:spacing w:line="360" w:lineRule="auto"/>
              <w:jc w:val="center"/>
              <w:rPr>
                <w:rFonts w:ascii="仿宋_GB2312" w:eastAsia="仿宋_GB2312" w:hAnsi="宋体" w:cs="宋体"/>
                <w:sz w:val="24"/>
              </w:rPr>
            </w:pPr>
            <w:r>
              <w:rPr>
                <w:rFonts w:ascii="仿宋_GB2312" w:eastAsia="仿宋_GB2312" w:hAnsi="宋体"/>
                <w:sz w:val="24"/>
              </w:rPr>
              <w:t>-</w:t>
            </w:r>
          </w:p>
        </w:tc>
        <w:tc>
          <w:tcPr>
            <w:tcW w:w="1276" w:type="dxa"/>
            <w:vAlign w:val="center"/>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r>
    </w:tbl>
    <w:p w:rsidR="00310434" w:rsidRPr="0016364F" w:rsidRDefault="00310434" w:rsidP="009D54D8">
      <w:pPr>
        <w:snapToGrid w:val="0"/>
        <w:spacing w:line="360" w:lineRule="auto"/>
        <w:rPr>
          <w:rFonts w:ascii="仿宋_GB2312" w:eastAsia="仿宋_GB2312"/>
          <w:b/>
          <w:sz w:val="24"/>
          <w:szCs w:val="24"/>
        </w:rPr>
      </w:pPr>
    </w:p>
    <w:p w:rsidR="009D54D8" w:rsidRPr="00673698" w:rsidRDefault="00A71EBD"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6.</w:t>
      </w:r>
      <w:r w:rsidR="009D54D8" w:rsidRPr="00673698">
        <w:rPr>
          <w:rFonts w:ascii="仿宋_GB2312" w:eastAsia="仿宋_GB2312" w:hint="eastAsia"/>
          <w:b/>
          <w:sz w:val="28"/>
          <w:szCs w:val="24"/>
        </w:rPr>
        <w:t>关联交易</w:t>
      </w:r>
    </w:p>
    <w:p w:rsidR="00F63FAF" w:rsidRPr="00C53238" w:rsidRDefault="00F63FAF" w:rsidP="00F63FAF">
      <w:pPr>
        <w:rPr>
          <w:rFonts w:ascii="仿宋_GB2312" w:eastAsia="仿宋_GB2312" w:hAnsi="仿宋_GB2312" w:cs="仿宋_GB2312"/>
          <w:b/>
          <w:sz w:val="28"/>
        </w:rPr>
      </w:pPr>
      <w:r>
        <w:rPr>
          <w:rFonts w:ascii="仿宋_GB2312" w:eastAsia="仿宋_GB2312" w:hAnsi="仿宋_GB2312" w:cs="仿宋_GB2312"/>
          <w:b/>
          <w:sz w:val="28"/>
        </w:rPr>
        <w:t>6.1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2"/>
        <w:gridCol w:w="1113"/>
        <w:gridCol w:w="2701"/>
        <w:gridCol w:w="1737"/>
        <w:gridCol w:w="2063"/>
      </w:tblGrid>
      <w:tr w:rsidR="00725E96">
        <w:tc>
          <w:tcPr>
            <w:tcW w:w="1000" w:type="dxa"/>
            <w:vAlign w:val="center"/>
          </w:tcPr>
          <w:p w:rsidR="00725E96" w:rsidRDefault="006B596B">
            <w:pPr>
              <w:jc w:val="center"/>
            </w:pPr>
            <w:r>
              <w:rPr>
                <w:rFonts w:ascii="仿宋_GB2312" w:eastAsia="仿宋_GB2312" w:hAnsi="仿宋_GB2312" w:cs="仿宋_GB2312"/>
                <w:sz w:val="24"/>
              </w:rPr>
              <w:t>序号</w:t>
            </w:r>
          </w:p>
        </w:tc>
        <w:tc>
          <w:tcPr>
            <w:tcW w:w="1500" w:type="dxa"/>
            <w:vAlign w:val="center"/>
          </w:tcPr>
          <w:p w:rsidR="00725E96" w:rsidRDefault="006B596B">
            <w:pPr>
              <w:jc w:val="center"/>
            </w:pPr>
            <w:r>
              <w:rPr>
                <w:rFonts w:ascii="仿宋_GB2312" w:eastAsia="仿宋_GB2312" w:hAnsi="仿宋_GB2312" w:cs="仿宋_GB2312"/>
                <w:sz w:val="24"/>
              </w:rPr>
              <w:t>交易日期</w:t>
            </w:r>
          </w:p>
        </w:tc>
        <w:tc>
          <w:tcPr>
            <w:tcW w:w="5000" w:type="dxa"/>
            <w:vAlign w:val="center"/>
          </w:tcPr>
          <w:p w:rsidR="00725E96" w:rsidRDefault="006B596B">
            <w:pPr>
              <w:jc w:val="center"/>
            </w:pPr>
            <w:r>
              <w:rPr>
                <w:rFonts w:ascii="仿宋_GB2312" w:eastAsia="仿宋_GB2312" w:hAnsi="仿宋_GB2312" w:cs="仿宋_GB2312"/>
                <w:sz w:val="24"/>
              </w:rPr>
              <w:t>资产名称</w:t>
            </w:r>
          </w:p>
        </w:tc>
        <w:tc>
          <w:tcPr>
            <w:tcW w:w="2000" w:type="dxa"/>
            <w:vAlign w:val="center"/>
          </w:tcPr>
          <w:p w:rsidR="00725E96" w:rsidRDefault="006B596B">
            <w:pPr>
              <w:jc w:val="center"/>
            </w:pPr>
            <w:r>
              <w:rPr>
                <w:rFonts w:ascii="仿宋_GB2312" w:eastAsia="仿宋_GB2312" w:hAnsi="仿宋_GB2312" w:cs="仿宋_GB2312"/>
                <w:sz w:val="24"/>
              </w:rPr>
              <w:t>交易金额（元）</w:t>
            </w:r>
          </w:p>
        </w:tc>
        <w:tc>
          <w:tcPr>
            <w:tcW w:w="4000" w:type="dxa"/>
            <w:vAlign w:val="center"/>
          </w:tcPr>
          <w:p w:rsidR="00725E96" w:rsidRDefault="006B596B">
            <w:pPr>
              <w:jc w:val="center"/>
            </w:pPr>
            <w:r>
              <w:rPr>
                <w:rFonts w:ascii="仿宋_GB2312" w:eastAsia="仿宋_GB2312" w:hAnsi="仿宋_GB2312" w:cs="仿宋_GB2312"/>
                <w:sz w:val="24"/>
              </w:rPr>
              <w:t>关联方名称</w:t>
            </w:r>
          </w:p>
        </w:tc>
      </w:tr>
      <w:tr w:rsidR="00725E96">
        <w:tc>
          <w:tcPr>
            <w:tcW w:w="1000" w:type="dxa"/>
            <w:vAlign w:val="center"/>
          </w:tcPr>
          <w:p w:rsidR="00725E96" w:rsidRDefault="006B596B">
            <w:pPr>
              <w:jc w:val="center"/>
            </w:pPr>
            <w:r>
              <w:rPr>
                <w:rFonts w:ascii="仿宋_GB2312" w:eastAsia="仿宋_GB2312" w:hAnsi="仿宋_GB2312" w:cs="仿宋_GB2312"/>
                <w:sz w:val="24"/>
              </w:rPr>
              <w:t>1</w:t>
            </w:r>
          </w:p>
        </w:tc>
        <w:tc>
          <w:tcPr>
            <w:tcW w:w="1500" w:type="dxa"/>
            <w:vAlign w:val="center"/>
          </w:tcPr>
          <w:p w:rsidR="00725E96" w:rsidRDefault="006B596B">
            <w:pPr>
              <w:jc w:val="center"/>
            </w:pPr>
            <w:r>
              <w:rPr>
                <w:rFonts w:ascii="仿宋_GB2312" w:eastAsia="仿宋_GB2312" w:hAnsi="仿宋_GB2312" w:cs="仿宋_GB2312"/>
                <w:sz w:val="24"/>
              </w:rPr>
              <w:t>2024-03-28</w:t>
            </w:r>
          </w:p>
        </w:tc>
        <w:tc>
          <w:tcPr>
            <w:tcW w:w="5000" w:type="dxa"/>
            <w:vAlign w:val="center"/>
          </w:tcPr>
          <w:p w:rsidR="00725E96" w:rsidRDefault="006B596B">
            <w:pPr>
              <w:jc w:val="center"/>
            </w:pPr>
            <w:r>
              <w:rPr>
                <w:rFonts w:ascii="仿宋_GB2312" w:eastAsia="仿宋_GB2312" w:hAnsi="仿宋_GB2312" w:cs="仿宋_GB2312"/>
                <w:sz w:val="24"/>
              </w:rPr>
              <w:t>招实</w:t>
            </w:r>
            <w:r>
              <w:rPr>
                <w:rFonts w:ascii="仿宋_GB2312" w:eastAsia="仿宋_GB2312" w:hAnsi="仿宋_GB2312" w:cs="仿宋_GB2312"/>
                <w:sz w:val="24"/>
              </w:rPr>
              <w:t>03</w:t>
            </w:r>
            <w:r>
              <w:rPr>
                <w:rFonts w:ascii="仿宋_GB2312" w:eastAsia="仿宋_GB2312" w:hAnsi="仿宋_GB2312" w:cs="仿宋_GB2312"/>
                <w:sz w:val="24"/>
              </w:rPr>
              <w:t>优</w:t>
            </w:r>
          </w:p>
        </w:tc>
        <w:tc>
          <w:tcPr>
            <w:tcW w:w="2000" w:type="dxa"/>
            <w:vAlign w:val="center"/>
          </w:tcPr>
          <w:p w:rsidR="00725E96" w:rsidRDefault="006B596B">
            <w:pPr>
              <w:jc w:val="center"/>
            </w:pPr>
            <w:r>
              <w:rPr>
                <w:rFonts w:ascii="仿宋_GB2312" w:eastAsia="仿宋_GB2312" w:hAnsi="仿宋_GB2312" w:cs="仿宋_GB2312"/>
                <w:sz w:val="24"/>
              </w:rPr>
              <w:t>7000000.0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2</w:t>
            </w:r>
          </w:p>
        </w:tc>
        <w:tc>
          <w:tcPr>
            <w:tcW w:w="1500" w:type="dxa"/>
            <w:vAlign w:val="center"/>
          </w:tcPr>
          <w:p w:rsidR="00725E96" w:rsidRDefault="006B596B">
            <w:pPr>
              <w:jc w:val="center"/>
            </w:pPr>
            <w:r>
              <w:rPr>
                <w:rFonts w:ascii="仿宋_GB2312" w:eastAsia="仿宋_GB2312" w:hAnsi="仿宋_GB2312" w:cs="仿宋_GB2312"/>
                <w:sz w:val="24"/>
              </w:rPr>
              <w:t>2024-</w:t>
            </w:r>
            <w:r>
              <w:rPr>
                <w:rFonts w:ascii="仿宋_GB2312" w:eastAsia="仿宋_GB2312" w:hAnsi="仿宋_GB2312" w:cs="仿宋_GB2312"/>
                <w:sz w:val="24"/>
              </w:rPr>
              <w:lastRenderedPageBreak/>
              <w:t>03-21</w:t>
            </w:r>
          </w:p>
        </w:tc>
        <w:tc>
          <w:tcPr>
            <w:tcW w:w="5000" w:type="dxa"/>
            <w:vAlign w:val="center"/>
          </w:tcPr>
          <w:p w:rsidR="00725E96" w:rsidRDefault="006B596B">
            <w:pPr>
              <w:jc w:val="center"/>
            </w:pPr>
            <w:r>
              <w:rPr>
                <w:rFonts w:ascii="仿宋_GB2312" w:eastAsia="仿宋_GB2312" w:hAnsi="仿宋_GB2312" w:cs="仿宋_GB2312"/>
                <w:sz w:val="24"/>
              </w:rPr>
              <w:lastRenderedPageBreak/>
              <w:t>36</w:t>
            </w:r>
            <w:r>
              <w:rPr>
                <w:rFonts w:ascii="仿宋_GB2312" w:eastAsia="仿宋_GB2312" w:hAnsi="仿宋_GB2312" w:cs="仿宋_GB2312"/>
                <w:sz w:val="24"/>
              </w:rPr>
              <w:t>欲晓</w:t>
            </w:r>
            <w:r>
              <w:rPr>
                <w:rFonts w:ascii="仿宋_GB2312" w:eastAsia="仿宋_GB2312" w:hAnsi="仿宋_GB2312" w:cs="仿宋_GB2312"/>
                <w:sz w:val="24"/>
              </w:rPr>
              <w:t>A2</w:t>
            </w:r>
          </w:p>
        </w:tc>
        <w:tc>
          <w:tcPr>
            <w:tcW w:w="2000" w:type="dxa"/>
            <w:vAlign w:val="center"/>
          </w:tcPr>
          <w:p w:rsidR="00725E96" w:rsidRDefault="006B596B">
            <w:pPr>
              <w:jc w:val="center"/>
            </w:pPr>
            <w:r>
              <w:rPr>
                <w:rFonts w:ascii="仿宋_GB2312" w:eastAsia="仿宋_GB2312" w:hAnsi="仿宋_GB2312" w:cs="仿宋_GB2312"/>
                <w:sz w:val="24"/>
              </w:rPr>
              <w:t>64858906.3</w:t>
            </w:r>
          </w:p>
        </w:tc>
        <w:tc>
          <w:tcPr>
            <w:tcW w:w="4000" w:type="dxa"/>
            <w:vAlign w:val="center"/>
          </w:tcPr>
          <w:p w:rsidR="00725E96" w:rsidRDefault="006B596B">
            <w:pPr>
              <w:jc w:val="center"/>
            </w:pPr>
            <w:r>
              <w:rPr>
                <w:rFonts w:ascii="仿宋_GB2312" w:eastAsia="仿宋_GB2312" w:hAnsi="仿宋_GB2312" w:cs="仿宋_GB2312"/>
                <w:sz w:val="24"/>
              </w:rPr>
              <w:t>国泰君安证券股</w:t>
            </w:r>
            <w:r>
              <w:rPr>
                <w:rFonts w:ascii="仿宋_GB2312" w:eastAsia="仿宋_GB2312" w:hAnsi="仿宋_GB2312" w:cs="仿宋_GB2312"/>
                <w:sz w:val="24"/>
              </w:rPr>
              <w:lastRenderedPageBreak/>
              <w:t>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lastRenderedPageBreak/>
              <w:t>3</w:t>
            </w:r>
          </w:p>
        </w:tc>
        <w:tc>
          <w:tcPr>
            <w:tcW w:w="1500" w:type="dxa"/>
            <w:vAlign w:val="center"/>
          </w:tcPr>
          <w:p w:rsidR="00725E96" w:rsidRDefault="006B596B">
            <w:pPr>
              <w:jc w:val="center"/>
            </w:pPr>
            <w:r>
              <w:rPr>
                <w:rFonts w:ascii="仿宋_GB2312" w:eastAsia="仿宋_GB2312" w:hAnsi="仿宋_GB2312" w:cs="仿宋_GB2312"/>
                <w:sz w:val="24"/>
              </w:rPr>
              <w:t>2024-03-21</w:t>
            </w:r>
          </w:p>
        </w:tc>
        <w:tc>
          <w:tcPr>
            <w:tcW w:w="5000" w:type="dxa"/>
            <w:vAlign w:val="center"/>
          </w:tcPr>
          <w:p w:rsidR="00725E96" w:rsidRDefault="006B596B">
            <w:pPr>
              <w:jc w:val="center"/>
            </w:pPr>
            <w:r>
              <w:rPr>
                <w:rFonts w:ascii="仿宋_GB2312" w:eastAsia="仿宋_GB2312" w:hAnsi="仿宋_GB2312" w:cs="仿宋_GB2312"/>
                <w:sz w:val="24"/>
              </w:rPr>
              <w:t>36</w:t>
            </w:r>
            <w:r>
              <w:rPr>
                <w:rFonts w:ascii="仿宋_GB2312" w:eastAsia="仿宋_GB2312" w:hAnsi="仿宋_GB2312" w:cs="仿宋_GB2312"/>
                <w:sz w:val="24"/>
              </w:rPr>
              <w:t>欲晓</w:t>
            </w:r>
            <w:r>
              <w:rPr>
                <w:rFonts w:ascii="仿宋_GB2312" w:eastAsia="仿宋_GB2312" w:hAnsi="仿宋_GB2312" w:cs="仿宋_GB2312"/>
                <w:sz w:val="24"/>
              </w:rPr>
              <w:t>A2</w:t>
            </w:r>
          </w:p>
        </w:tc>
        <w:tc>
          <w:tcPr>
            <w:tcW w:w="2000" w:type="dxa"/>
            <w:vAlign w:val="center"/>
          </w:tcPr>
          <w:p w:rsidR="00725E96" w:rsidRDefault="006B596B">
            <w:pPr>
              <w:jc w:val="center"/>
            </w:pPr>
            <w:r>
              <w:rPr>
                <w:rFonts w:ascii="仿宋_GB2312" w:eastAsia="仿宋_GB2312" w:hAnsi="仿宋_GB2312" w:cs="仿宋_GB2312"/>
                <w:sz w:val="24"/>
              </w:rPr>
              <w:t>50671020.55</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4</w:t>
            </w:r>
          </w:p>
        </w:tc>
        <w:tc>
          <w:tcPr>
            <w:tcW w:w="1500" w:type="dxa"/>
            <w:vAlign w:val="center"/>
          </w:tcPr>
          <w:p w:rsidR="00725E96" w:rsidRDefault="006B596B">
            <w:pPr>
              <w:jc w:val="center"/>
            </w:pPr>
            <w:r>
              <w:rPr>
                <w:rFonts w:ascii="仿宋_GB2312" w:eastAsia="仿宋_GB2312" w:hAnsi="仿宋_GB2312" w:cs="仿宋_GB2312"/>
                <w:sz w:val="24"/>
              </w:rPr>
              <w:t>2024-03-20</w:t>
            </w:r>
          </w:p>
        </w:tc>
        <w:tc>
          <w:tcPr>
            <w:tcW w:w="5000" w:type="dxa"/>
            <w:vAlign w:val="center"/>
          </w:tcPr>
          <w:p w:rsidR="00725E96" w:rsidRDefault="006B596B">
            <w:pPr>
              <w:jc w:val="center"/>
            </w:pPr>
            <w:r>
              <w:rPr>
                <w:rFonts w:ascii="仿宋_GB2312" w:eastAsia="仿宋_GB2312" w:hAnsi="仿宋_GB2312" w:cs="仿宋_GB2312"/>
                <w:sz w:val="24"/>
              </w:rPr>
              <w:t>36</w:t>
            </w:r>
            <w:r>
              <w:rPr>
                <w:rFonts w:ascii="仿宋_GB2312" w:eastAsia="仿宋_GB2312" w:hAnsi="仿宋_GB2312" w:cs="仿宋_GB2312"/>
                <w:sz w:val="24"/>
              </w:rPr>
              <w:t>欲晓</w:t>
            </w:r>
            <w:r>
              <w:rPr>
                <w:rFonts w:ascii="仿宋_GB2312" w:eastAsia="仿宋_GB2312" w:hAnsi="仿宋_GB2312" w:cs="仿宋_GB2312"/>
                <w:sz w:val="24"/>
              </w:rPr>
              <w:t>A2</w:t>
            </w:r>
          </w:p>
        </w:tc>
        <w:tc>
          <w:tcPr>
            <w:tcW w:w="2000" w:type="dxa"/>
            <w:vAlign w:val="center"/>
          </w:tcPr>
          <w:p w:rsidR="00725E96" w:rsidRDefault="006B596B">
            <w:pPr>
              <w:jc w:val="center"/>
            </w:pPr>
            <w:r>
              <w:rPr>
                <w:rFonts w:ascii="仿宋_GB2312" w:eastAsia="仿宋_GB2312" w:hAnsi="仿宋_GB2312" w:cs="仿宋_GB2312"/>
                <w:sz w:val="24"/>
              </w:rPr>
              <w:t>20266473.97</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5</w:t>
            </w:r>
          </w:p>
        </w:tc>
        <w:tc>
          <w:tcPr>
            <w:tcW w:w="1500" w:type="dxa"/>
            <w:vAlign w:val="center"/>
          </w:tcPr>
          <w:p w:rsidR="00725E96" w:rsidRDefault="006B596B">
            <w:pPr>
              <w:jc w:val="center"/>
            </w:pPr>
            <w:r>
              <w:rPr>
                <w:rFonts w:ascii="仿宋_GB2312" w:eastAsia="仿宋_GB2312" w:hAnsi="仿宋_GB2312" w:cs="仿宋_GB2312"/>
                <w:sz w:val="24"/>
              </w:rPr>
              <w:t>2024-03-06</w:t>
            </w:r>
          </w:p>
        </w:tc>
        <w:tc>
          <w:tcPr>
            <w:tcW w:w="5000" w:type="dxa"/>
            <w:vAlign w:val="center"/>
          </w:tcPr>
          <w:p w:rsidR="00725E96" w:rsidRDefault="006B596B">
            <w:pPr>
              <w:jc w:val="center"/>
            </w:pPr>
            <w:r>
              <w:rPr>
                <w:rFonts w:ascii="仿宋_GB2312" w:eastAsia="仿宋_GB2312" w:hAnsi="仿宋_GB2312" w:cs="仿宋_GB2312"/>
                <w:sz w:val="24"/>
              </w:rPr>
              <w:t>21</w:t>
            </w:r>
            <w:r>
              <w:rPr>
                <w:rFonts w:ascii="仿宋_GB2312" w:eastAsia="仿宋_GB2312" w:hAnsi="仿宋_GB2312" w:cs="仿宋_GB2312"/>
                <w:sz w:val="24"/>
              </w:rPr>
              <w:t>陆集</w:t>
            </w:r>
            <w:r>
              <w:rPr>
                <w:rFonts w:ascii="仿宋_GB2312" w:eastAsia="仿宋_GB2312" w:hAnsi="仿宋_GB2312" w:cs="仿宋_GB2312"/>
                <w:sz w:val="24"/>
              </w:rPr>
              <w:t>02</w:t>
            </w:r>
          </w:p>
        </w:tc>
        <w:tc>
          <w:tcPr>
            <w:tcW w:w="2000" w:type="dxa"/>
            <w:vAlign w:val="center"/>
          </w:tcPr>
          <w:p w:rsidR="00725E96" w:rsidRDefault="006B596B">
            <w:pPr>
              <w:jc w:val="center"/>
            </w:pPr>
            <w:r>
              <w:rPr>
                <w:rFonts w:ascii="仿宋_GB2312" w:eastAsia="仿宋_GB2312" w:hAnsi="仿宋_GB2312" w:cs="仿宋_GB2312"/>
                <w:sz w:val="24"/>
              </w:rPr>
              <w:t>41133063.01</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6</w:t>
            </w:r>
          </w:p>
        </w:tc>
        <w:tc>
          <w:tcPr>
            <w:tcW w:w="1500" w:type="dxa"/>
            <w:vAlign w:val="center"/>
          </w:tcPr>
          <w:p w:rsidR="00725E96" w:rsidRDefault="006B596B">
            <w:pPr>
              <w:jc w:val="center"/>
            </w:pPr>
            <w:r>
              <w:rPr>
                <w:rFonts w:ascii="仿宋_GB2312" w:eastAsia="仿宋_GB2312" w:hAnsi="仿宋_GB2312" w:cs="仿宋_GB2312"/>
                <w:sz w:val="24"/>
              </w:rPr>
              <w:t>2024-02-29</w:t>
            </w:r>
          </w:p>
        </w:tc>
        <w:tc>
          <w:tcPr>
            <w:tcW w:w="5000" w:type="dxa"/>
            <w:vAlign w:val="center"/>
          </w:tcPr>
          <w:p w:rsidR="00725E96" w:rsidRDefault="006B596B">
            <w:pPr>
              <w:jc w:val="center"/>
            </w:pPr>
            <w:r>
              <w:rPr>
                <w:rFonts w:ascii="仿宋_GB2312" w:eastAsia="仿宋_GB2312" w:hAnsi="仿宋_GB2312" w:cs="仿宋_GB2312"/>
                <w:sz w:val="24"/>
              </w:rPr>
              <w:t>22</w:t>
            </w:r>
            <w:r>
              <w:rPr>
                <w:rFonts w:ascii="仿宋_GB2312" w:eastAsia="仿宋_GB2312" w:hAnsi="仿宋_GB2312" w:cs="仿宋_GB2312"/>
                <w:sz w:val="24"/>
              </w:rPr>
              <w:t>蓝天</w:t>
            </w:r>
            <w:r>
              <w:rPr>
                <w:rFonts w:ascii="仿宋_GB2312" w:eastAsia="仿宋_GB2312" w:hAnsi="仿宋_GB2312" w:cs="仿宋_GB2312"/>
                <w:sz w:val="24"/>
              </w:rPr>
              <w:t>01</w:t>
            </w:r>
          </w:p>
        </w:tc>
        <w:tc>
          <w:tcPr>
            <w:tcW w:w="2000" w:type="dxa"/>
            <w:vAlign w:val="center"/>
          </w:tcPr>
          <w:p w:rsidR="00725E96" w:rsidRDefault="006B596B">
            <w:pPr>
              <w:jc w:val="center"/>
            </w:pPr>
            <w:r>
              <w:rPr>
                <w:rFonts w:ascii="仿宋_GB2312" w:eastAsia="仿宋_GB2312" w:hAnsi="仿宋_GB2312" w:cs="仿宋_GB2312"/>
                <w:sz w:val="24"/>
              </w:rPr>
              <w:t>10434898.63</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7</w:t>
            </w:r>
          </w:p>
        </w:tc>
        <w:tc>
          <w:tcPr>
            <w:tcW w:w="1500" w:type="dxa"/>
            <w:vAlign w:val="center"/>
          </w:tcPr>
          <w:p w:rsidR="00725E96" w:rsidRDefault="006B596B">
            <w:pPr>
              <w:jc w:val="center"/>
            </w:pPr>
            <w:r>
              <w:rPr>
                <w:rFonts w:ascii="仿宋_GB2312" w:eastAsia="仿宋_GB2312" w:hAnsi="仿宋_GB2312" w:cs="仿宋_GB2312"/>
                <w:sz w:val="24"/>
              </w:rPr>
              <w:t>2024-02-29</w:t>
            </w:r>
          </w:p>
        </w:tc>
        <w:tc>
          <w:tcPr>
            <w:tcW w:w="5000" w:type="dxa"/>
            <w:vAlign w:val="center"/>
          </w:tcPr>
          <w:p w:rsidR="00725E96" w:rsidRDefault="006B596B">
            <w:pPr>
              <w:jc w:val="center"/>
            </w:pPr>
            <w:r>
              <w:rPr>
                <w:rFonts w:ascii="仿宋_GB2312" w:eastAsia="仿宋_GB2312" w:hAnsi="仿宋_GB2312" w:cs="仿宋_GB2312"/>
                <w:sz w:val="24"/>
              </w:rPr>
              <w:t>21</w:t>
            </w:r>
            <w:r>
              <w:rPr>
                <w:rFonts w:ascii="仿宋_GB2312" w:eastAsia="仿宋_GB2312" w:hAnsi="仿宋_GB2312" w:cs="仿宋_GB2312"/>
                <w:sz w:val="24"/>
              </w:rPr>
              <w:t>宜控</w:t>
            </w:r>
            <w:r>
              <w:rPr>
                <w:rFonts w:ascii="仿宋_GB2312" w:eastAsia="仿宋_GB2312" w:hAnsi="仿宋_GB2312" w:cs="仿宋_GB2312"/>
                <w:sz w:val="24"/>
              </w:rPr>
              <w:t>01</w:t>
            </w:r>
          </w:p>
        </w:tc>
        <w:tc>
          <w:tcPr>
            <w:tcW w:w="2000" w:type="dxa"/>
            <w:vAlign w:val="center"/>
          </w:tcPr>
          <w:p w:rsidR="00725E96" w:rsidRDefault="006B596B">
            <w:pPr>
              <w:jc w:val="center"/>
            </w:pPr>
            <w:r>
              <w:rPr>
                <w:rFonts w:ascii="仿宋_GB2312" w:eastAsia="仿宋_GB2312" w:hAnsi="仿宋_GB2312" w:cs="仿宋_GB2312"/>
                <w:sz w:val="24"/>
              </w:rPr>
              <w:t>10294204.11</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8</w:t>
            </w:r>
          </w:p>
        </w:tc>
        <w:tc>
          <w:tcPr>
            <w:tcW w:w="1500" w:type="dxa"/>
            <w:vAlign w:val="center"/>
          </w:tcPr>
          <w:p w:rsidR="00725E96" w:rsidRDefault="006B596B">
            <w:pPr>
              <w:jc w:val="center"/>
            </w:pPr>
            <w:r>
              <w:rPr>
                <w:rFonts w:ascii="仿宋_GB2312" w:eastAsia="仿宋_GB2312" w:hAnsi="仿宋_GB2312" w:cs="仿宋_GB2312"/>
                <w:sz w:val="24"/>
              </w:rPr>
              <w:t>2024-02-22</w:t>
            </w:r>
          </w:p>
        </w:tc>
        <w:tc>
          <w:tcPr>
            <w:tcW w:w="5000" w:type="dxa"/>
            <w:vAlign w:val="center"/>
          </w:tcPr>
          <w:p w:rsidR="00725E96" w:rsidRDefault="006B596B">
            <w:pPr>
              <w:jc w:val="center"/>
            </w:pPr>
            <w:r>
              <w:rPr>
                <w:rFonts w:ascii="仿宋_GB2312" w:eastAsia="仿宋_GB2312" w:hAnsi="仿宋_GB2312" w:cs="仿宋_GB2312"/>
                <w:sz w:val="24"/>
              </w:rPr>
              <w:t>惠智</w:t>
            </w:r>
            <w:r>
              <w:rPr>
                <w:rFonts w:ascii="仿宋_GB2312" w:eastAsia="仿宋_GB2312" w:hAnsi="仿宋_GB2312" w:cs="仿宋_GB2312"/>
                <w:sz w:val="24"/>
              </w:rPr>
              <w:t>3A1</w:t>
            </w:r>
          </w:p>
        </w:tc>
        <w:tc>
          <w:tcPr>
            <w:tcW w:w="2000" w:type="dxa"/>
            <w:vAlign w:val="center"/>
          </w:tcPr>
          <w:p w:rsidR="00725E96" w:rsidRDefault="006B596B">
            <w:pPr>
              <w:jc w:val="center"/>
            </w:pPr>
            <w:r>
              <w:rPr>
                <w:rFonts w:ascii="仿宋_GB2312" w:eastAsia="仿宋_GB2312" w:hAnsi="仿宋_GB2312" w:cs="仿宋_GB2312"/>
                <w:sz w:val="24"/>
              </w:rPr>
              <w:t>4000000.0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r>
              <w:rPr>
                <w:rFonts w:ascii="仿宋_GB2312" w:eastAsia="仿宋_GB2312" w:hAnsi="仿宋_GB2312" w:cs="仿宋_GB2312"/>
                <w:sz w:val="24"/>
              </w:rPr>
              <w:t>,</w:t>
            </w:r>
            <w:r>
              <w:rPr>
                <w:rFonts w:ascii="仿宋_GB2312" w:eastAsia="仿宋_GB2312" w:hAnsi="仿宋_GB2312" w:cs="仿宋_GB2312"/>
                <w:sz w:val="24"/>
              </w:rPr>
              <w:t>海通证券股份有限公司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9</w:t>
            </w:r>
          </w:p>
        </w:tc>
        <w:tc>
          <w:tcPr>
            <w:tcW w:w="1500" w:type="dxa"/>
            <w:vAlign w:val="center"/>
          </w:tcPr>
          <w:p w:rsidR="00725E96" w:rsidRDefault="006B596B">
            <w:pPr>
              <w:jc w:val="center"/>
            </w:pPr>
            <w:r>
              <w:rPr>
                <w:rFonts w:ascii="仿宋_GB2312" w:eastAsia="仿宋_GB2312" w:hAnsi="仿宋_GB2312" w:cs="仿宋_GB2312"/>
                <w:sz w:val="24"/>
              </w:rPr>
              <w:t>2024-02-21</w:t>
            </w:r>
          </w:p>
        </w:tc>
        <w:tc>
          <w:tcPr>
            <w:tcW w:w="5000" w:type="dxa"/>
            <w:vAlign w:val="center"/>
          </w:tcPr>
          <w:p w:rsidR="00725E96" w:rsidRDefault="006B596B">
            <w:pPr>
              <w:jc w:val="center"/>
            </w:pPr>
            <w:r>
              <w:rPr>
                <w:rFonts w:ascii="仿宋_GB2312" w:eastAsia="仿宋_GB2312" w:hAnsi="仿宋_GB2312" w:cs="仿宋_GB2312"/>
                <w:sz w:val="24"/>
              </w:rPr>
              <w:t>21</w:t>
            </w:r>
            <w:r>
              <w:rPr>
                <w:rFonts w:ascii="仿宋_GB2312" w:eastAsia="仿宋_GB2312" w:hAnsi="仿宋_GB2312" w:cs="仿宋_GB2312"/>
                <w:sz w:val="24"/>
              </w:rPr>
              <w:t>冀交</w:t>
            </w:r>
            <w:r>
              <w:rPr>
                <w:rFonts w:ascii="仿宋_GB2312" w:eastAsia="仿宋_GB2312" w:hAnsi="仿宋_GB2312" w:cs="仿宋_GB2312"/>
                <w:sz w:val="24"/>
              </w:rPr>
              <w:t>04</w:t>
            </w:r>
          </w:p>
        </w:tc>
        <w:tc>
          <w:tcPr>
            <w:tcW w:w="2000" w:type="dxa"/>
            <w:vAlign w:val="center"/>
          </w:tcPr>
          <w:p w:rsidR="00725E96" w:rsidRDefault="006B596B">
            <w:pPr>
              <w:jc w:val="center"/>
            </w:pPr>
            <w:r>
              <w:rPr>
                <w:rFonts w:ascii="仿宋_GB2312" w:eastAsia="仿宋_GB2312" w:hAnsi="仿宋_GB2312" w:cs="仿宋_GB2312"/>
                <w:sz w:val="24"/>
              </w:rPr>
              <w:t>20443326.03</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10</w:t>
            </w:r>
          </w:p>
        </w:tc>
        <w:tc>
          <w:tcPr>
            <w:tcW w:w="1500" w:type="dxa"/>
            <w:vAlign w:val="center"/>
          </w:tcPr>
          <w:p w:rsidR="00725E96" w:rsidRDefault="006B596B">
            <w:pPr>
              <w:jc w:val="center"/>
            </w:pPr>
            <w:r>
              <w:rPr>
                <w:rFonts w:ascii="仿宋_GB2312" w:eastAsia="仿宋_GB2312" w:hAnsi="仿宋_GB2312" w:cs="仿宋_GB2312"/>
                <w:sz w:val="24"/>
              </w:rPr>
              <w:t>2024-02-02</w:t>
            </w:r>
          </w:p>
        </w:tc>
        <w:tc>
          <w:tcPr>
            <w:tcW w:w="5000" w:type="dxa"/>
            <w:vAlign w:val="center"/>
          </w:tcPr>
          <w:p w:rsidR="00725E96" w:rsidRDefault="006B596B">
            <w:pPr>
              <w:jc w:val="center"/>
            </w:pPr>
            <w:r>
              <w:rPr>
                <w:rFonts w:ascii="仿宋_GB2312" w:eastAsia="仿宋_GB2312" w:hAnsi="仿宋_GB2312" w:cs="仿宋_GB2312"/>
                <w:sz w:val="24"/>
              </w:rPr>
              <w:t>23</w:t>
            </w:r>
            <w:r>
              <w:rPr>
                <w:rFonts w:ascii="仿宋_GB2312" w:eastAsia="仿宋_GB2312" w:hAnsi="仿宋_GB2312" w:cs="仿宋_GB2312"/>
                <w:sz w:val="24"/>
              </w:rPr>
              <w:t>华润置地</w:t>
            </w:r>
            <w:r>
              <w:rPr>
                <w:rFonts w:ascii="仿宋_GB2312" w:eastAsia="仿宋_GB2312" w:hAnsi="仿宋_GB2312" w:cs="仿宋_GB2312"/>
                <w:sz w:val="24"/>
              </w:rPr>
              <w:t>SCP003</w:t>
            </w:r>
          </w:p>
        </w:tc>
        <w:tc>
          <w:tcPr>
            <w:tcW w:w="2000" w:type="dxa"/>
            <w:vAlign w:val="center"/>
          </w:tcPr>
          <w:p w:rsidR="00725E96" w:rsidRDefault="006B596B">
            <w:pPr>
              <w:jc w:val="center"/>
            </w:pPr>
            <w:r>
              <w:rPr>
                <w:rFonts w:ascii="仿宋_GB2312" w:eastAsia="仿宋_GB2312" w:hAnsi="仿宋_GB2312" w:cs="仿宋_GB2312"/>
                <w:sz w:val="24"/>
              </w:rPr>
              <w:t>10133519.18</w:t>
            </w:r>
          </w:p>
        </w:tc>
        <w:tc>
          <w:tcPr>
            <w:tcW w:w="4000" w:type="dxa"/>
            <w:vAlign w:val="center"/>
          </w:tcPr>
          <w:p w:rsidR="00725E96" w:rsidRDefault="006B596B">
            <w:pPr>
              <w:jc w:val="center"/>
            </w:pPr>
            <w:r>
              <w:rPr>
                <w:rFonts w:ascii="仿宋_GB2312" w:eastAsia="仿宋_GB2312" w:hAnsi="仿宋_GB2312" w:cs="仿宋_GB2312"/>
                <w:sz w:val="24"/>
              </w:rPr>
              <w:t>上海浦东发展银行股份有限公司</w:t>
            </w:r>
            <w:r>
              <w:rPr>
                <w:rFonts w:ascii="仿宋_GB2312" w:eastAsia="仿宋_GB2312" w:hAnsi="仿宋_GB2312" w:cs="仿宋_GB2312"/>
                <w:sz w:val="24"/>
              </w:rPr>
              <w:t>,</w:t>
            </w:r>
            <w:r>
              <w:rPr>
                <w:rFonts w:ascii="仿宋_GB2312" w:eastAsia="仿宋_GB2312" w:hAnsi="仿宋_GB2312" w:cs="仿宋_GB2312"/>
                <w:sz w:val="24"/>
              </w:rPr>
              <w:t>上海浦东发展银行股份有限公司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11</w:t>
            </w:r>
          </w:p>
        </w:tc>
        <w:tc>
          <w:tcPr>
            <w:tcW w:w="1500" w:type="dxa"/>
            <w:vAlign w:val="center"/>
          </w:tcPr>
          <w:p w:rsidR="00725E96" w:rsidRDefault="006B596B">
            <w:pPr>
              <w:jc w:val="center"/>
            </w:pPr>
            <w:r>
              <w:rPr>
                <w:rFonts w:ascii="仿宋_GB2312" w:eastAsia="仿宋_GB2312" w:hAnsi="仿宋_GB2312" w:cs="仿宋_GB2312"/>
                <w:sz w:val="24"/>
              </w:rPr>
              <w:t>2024-01-31</w:t>
            </w:r>
          </w:p>
        </w:tc>
        <w:tc>
          <w:tcPr>
            <w:tcW w:w="5000" w:type="dxa"/>
            <w:vAlign w:val="center"/>
          </w:tcPr>
          <w:p w:rsidR="00725E96" w:rsidRDefault="006B596B">
            <w:pPr>
              <w:jc w:val="center"/>
            </w:pPr>
            <w:r>
              <w:rPr>
                <w:rFonts w:ascii="仿宋_GB2312" w:eastAsia="仿宋_GB2312" w:hAnsi="仿宋_GB2312" w:cs="仿宋_GB2312"/>
                <w:sz w:val="24"/>
              </w:rPr>
              <w:t>24</w:t>
            </w:r>
            <w:r>
              <w:rPr>
                <w:rFonts w:ascii="仿宋_GB2312" w:eastAsia="仿宋_GB2312" w:hAnsi="仿宋_GB2312" w:cs="仿宋_GB2312"/>
                <w:sz w:val="24"/>
              </w:rPr>
              <w:t>兴化国投</w:t>
            </w:r>
            <w:r>
              <w:rPr>
                <w:rFonts w:ascii="仿宋_GB2312" w:eastAsia="仿宋_GB2312" w:hAnsi="仿宋_GB2312" w:cs="仿宋_GB2312"/>
                <w:sz w:val="24"/>
              </w:rPr>
              <w:t>PPN001</w:t>
            </w:r>
          </w:p>
        </w:tc>
        <w:tc>
          <w:tcPr>
            <w:tcW w:w="2000" w:type="dxa"/>
            <w:vAlign w:val="center"/>
          </w:tcPr>
          <w:p w:rsidR="00725E96" w:rsidRDefault="006B596B">
            <w:pPr>
              <w:jc w:val="center"/>
            </w:pPr>
            <w:r>
              <w:rPr>
                <w:rFonts w:ascii="仿宋_GB2312" w:eastAsia="仿宋_GB2312" w:hAnsi="仿宋_GB2312" w:cs="仿宋_GB2312"/>
                <w:sz w:val="24"/>
              </w:rPr>
              <w:t>8019672.7</w:t>
            </w:r>
          </w:p>
        </w:tc>
        <w:tc>
          <w:tcPr>
            <w:tcW w:w="4000" w:type="dxa"/>
            <w:vAlign w:val="center"/>
          </w:tcPr>
          <w:p w:rsidR="00725E96" w:rsidRDefault="006B596B">
            <w:pPr>
              <w:jc w:val="center"/>
            </w:pPr>
            <w:r>
              <w:rPr>
                <w:rFonts w:ascii="仿宋_GB2312" w:eastAsia="仿宋_GB2312" w:hAnsi="仿宋_GB2312" w:cs="仿宋_GB2312"/>
                <w:sz w:val="24"/>
              </w:rPr>
              <w:t>南京银行股份有限公司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12</w:t>
            </w:r>
          </w:p>
        </w:tc>
        <w:tc>
          <w:tcPr>
            <w:tcW w:w="1500" w:type="dxa"/>
            <w:vAlign w:val="center"/>
          </w:tcPr>
          <w:p w:rsidR="00725E96" w:rsidRDefault="006B596B">
            <w:pPr>
              <w:jc w:val="center"/>
            </w:pPr>
            <w:r>
              <w:rPr>
                <w:rFonts w:ascii="仿宋_GB2312" w:eastAsia="仿宋_GB2312" w:hAnsi="仿宋_GB2312" w:cs="仿宋_GB2312"/>
                <w:sz w:val="24"/>
              </w:rPr>
              <w:t>2024-01-26</w:t>
            </w:r>
          </w:p>
        </w:tc>
        <w:tc>
          <w:tcPr>
            <w:tcW w:w="5000" w:type="dxa"/>
            <w:vAlign w:val="center"/>
          </w:tcPr>
          <w:p w:rsidR="00725E96" w:rsidRDefault="006B596B">
            <w:pPr>
              <w:jc w:val="center"/>
            </w:pPr>
            <w:r>
              <w:rPr>
                <w:rFonts w:ascii="仿宋_GB2312" w:eastAsia="仿宋_GB2312" w:hAnsi="仿宋_GB2312" w:cs="仿宋_GB2312"/>
                <w:sz w:val="24"/>
              </w:rPr>
              <w:t>24</w:t>
            </w:r>
            <w:r>
              <w:rPr>
                <w:rFonts w:ascii="仿宋_GB2312" w:eastAsia="仿宋_GB2312" w:hAnsi="仿宋_GB2312" w:cs="仿宋_GB2312"/>
                <w:sz w:val="24"/>
              </w:rPr>
              <w:t>胶州</w:t>
            </w:r>
            <w:r>
              <w:rPr>
                <w:rFonts w:ascii="仿宋_GB2312" w:eastAsia="仿宋_GB2312" w:hAnsi="仿宋_GB2312" w:cs="仿宋_GB2312"/>
                <w:sz w:val="24"/>
              </w:rPr>
              <w:t>D1</w:t>
            </w:r>
          </w:p>
        </w:tc>
        <w:tc>
          <w:tcPr>
            <w:tcW w:w="2000" w:type="dxa"/>
            <w:vAlign w:val="center"/>
          </w:tcPr>
          <w:p w:rsidR="00725E96" w:rsidRDefault="006B596B">
            <w:pPr>
              <w:jc w:val="center"/>
            </w:pPr>
            <w:r>
              <w:rPr>
                <w:rFonts w:ascii="仿宋_GB2312" w:eastAsia="仿宋_GB2312" w:hAnsi="仿宋_GB2312" w:cs="仿宋_GB2312"/>
                <w:sz w:val="24"/>
              </w:rPr>
              <w:t>5000000.0</w:t>
            </w:r>
          </w:p>
        </w:tc>
        <w:tc>
          <w:tcPr>
            <w:tcW w:w="4000" w:type="dxa"/>
            <w:vAlign w:val="center"/>
          </w:tcPr>
          <w:p w:rsidR="00725E96" w:rsidRDefault="006B596B">
            <w:pPr>
              <w:jc w:val="center"/>
            </w:pPr>
            <w:r>
              <w:rPr>
                <w:rFonts w:ascii="仿宋_GB2312" w:eastAsia="仿宋_GB2312" w:hAnsi="仿宋_GB2312" w:cs="仿宋_GB2312"/>
                <w:sz w:val="24"/>
              </w:rPr>
              <w:t>海通证券股份有限公司</w:t>
            </w:r>
          </w:p>
        </w:tc>
      </w:tr>
    </w:tbl>
    <w:p w:rsidR="00F63FAF" w:rsidRDefault="00F63FAF" w:rsidP="00F63FAF">
      <w:r>
        <w:rPr>
          <w:rFonts w:ascii="仿宋_GB2312" w:eastAsia="仿宋_GB2312" w:hAnsi="仿宋_GB2312" w:cs="仿宋_GB2312"/>
          <w:b/>
          <w:sz w:val="28"/>
        </w:rPr>
        <w:t>6.2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269"/>
        <w:gridCol w:w="1595"/>
        <w:gridCol w:w="2650"/>
      </w:tblGrid>
      <w:tr w:rsidR="00725E96">
        <w:tc>
          <w:tcPr>
            <w:tcW w:w="1000" w:type="dxa"/>
            <w:vAlign w:val="center"/>
          </w:tcPr>
          <w:p w:rsidR="00725E96" w:rsidRDefault="006B596B">
            <w:pPr>
              <w:jc w:val="center"/>
            </w:pPr>
            <w:r>
              <w:rPr>
                <w:rFonts w:ascii="仿宋_GB2312" w:eastAsia="仿宋_GB2312" w:hAnsi="仿宋_GB2312" w:cs="仿宋_GB2312"/>
                <w:sz w:val="24"/>
              </w:rPr>
              <w:t>序号</w:t>
            </w:r>
          </w:p>
        </w:tc>
        <w:tc>
          <w:tcPr>
            <w:tcW w:w="5000" w:type="dxa"/>
            <w:vAlign w:val="center"/>
          </w:tcPr>
          <w:p w:rsidR="00725E96" w:rsidRDefault="006B596B">
            <w:pPr>
              <w:jc w:val="center"/>
            </w:pPr>
            <w:r>
              <w:rPr>
                <w:rFonts w:ascii="仿宋_GB2312" w:eastAsia="仿宋_GB2312" w:hAnsi="仿宋_GB2312" w:cs="仿宋_GB2312"/>
                <w:sz w:val="24"/>
              </w:rPr>
              <w:t>资产名称</w:t>
            </w:r>
          </w:p>
        </w:tc>
        <w:tc>
          <w:tcPr>
            <w:tcW w:w="2000" w:type="dxa"/>
            <w:vAlign w:val="center"/>
          </w:tcPr>
          <w:p w:rsidR="00725E96" w:rsidRDefault="006B596B">
            <w:pPr>
              <w:jc w:val="center"/>
            </w:pPr>
            <w:r>
              <w:rPr>
                <w:rFonts w:ascii="仿宋_GB2312" w:eastAsia="仿宋_GB2312" w:hAnsi="仿宋_GB2312" w:cs="仿宋_GB2312"/>
                <w:sz w:val="24"/>
              </w:rPr>
              <w:t>报告期内应付管理费金额（元）</w:t>
            </w:r>
          </w:p>
        </w:tc>
        <w:tc>
          <w:tcPr>
            <w:tcW w:w="4000" w:type="dxa"/>
            <w:vAlign w:val="center"/>
          </w:tcPr>
          <w:p w:rsidR="00725E96" w:rsidRDefault="006B596B">
            <w:pPr>
              <w:jc w:val="center"/>
            </w:pPr>
            <w:r>
              <w:rPr>
                <w:rFonts w:ascii="仿宋_GB2312" w:eastAsia="仿宋_GB2312" w:hAnsi="仿宋_GB2312" w:cs="仿宋_GB2312"/>
                <w:sz w:val="24"/>
              </w:rPr>
              <w:t>关联方名称</w:t>
            </w:r>
          </w:p>
        </w:tc>
      </w:tr>
      <w:tr w:rsidR="00725E96">
        <w:tc>
          <w:tcPr>
            <w:tcW w:w="1000" w:type="dxa"/>
            <w:vAlign w:val="center"/>
          </w:tcPr>
          <w:p w:rsidR="00725E96" w:rsidRDefault="006B596B">
            <w:pPr>
              <w:jc w:val="center"/>
            </w:pPr>
            <w:r>
              <w:rPr>
                <w:rFonts w:ascii="仿宋_GB2312" w:eastAsia="仿宋_GB2312" w:hAnsi="仿宋_GB2312" w:cs="仿宋_GB2312"/>
                <w:sz w:val="24"/>
              </w:rPr>
              <w:t>-</w:t>
            </w:r>
          </w:p>
        </w:tc>
        <w:tc>
          <w:tcPr>
            <w:tcW w:w="5000" w:type="dxa"/>
            <w:vAlign w:val="center"/>
          </w:tcPr>
          <w:p w:rsidR="00725E96" w:rsidRDefault="006B596B">
            <w:pPr>
              <w:jc w:val="center"/>
            </w:pPr>
            <w:r>
              <w:rPr>
                <w:rFonts w:ascii="仿宋_GB2312" w:eastAsia="仿宋_GB2312" w:hAnsi="仿宋_GB2312" w:cs="仿宋_GB2312"/>
                <w:sz w:val="24"/>
              </w:rPr>
              <w:t>-</w:t>
            </w:r>
          </w:p>
        </w:tc>
        <w:tc>
          <w:tcPr>
            <w:tcW w:w="2000" w:type="dxa"/>
            <w:vAlign w:val="center"/>
          </w:tcPr>
          <w:p w:rsidR="00725E96" w:rsidRDefault="006B596B">
            <w:pPr>
              <w:jc w:val="center"/>
            </w:pPr>
            <w:r>
              <w:rPr>
                <w:rFonts w:ascii="仿宋_GB2312" w:eastAsia="仿宋_GB2312" w:hAnsi="仿宋_GB2312" w:cs="仿宋_GB2312"/>
                <w:sz w:val="24"/>
              </w:rPr>
              <w:t>-</w:t>
            </w:r>
          </w:p>
        </w:tc>
        <w:tc>
          <w:tcPr>
            <w:tcW w:w="4000" w:type="dxa"/>
            <w:vAlign w:val="center"/>
          </w:tcPr>
          <w:p w:rsidR="00725E96" w:rsidRDefault="006B596B">
            <w:pPr>
              <w:jc w:val="center"/>
            </w:pPr>
            <w:r>
              <w:rPr>
                <w:rFonts w:ascii="仿宋_GB2312" w:eastAsia="仿宋_GB2312" w:hAnsi="仿宋_GB2312" w:cs="仿宋_GB2312"/>
                <w:sz w:val="24"/>
              </w:rPr>
              <w:t>-</w:t>
            </w:r>
          </w:p>
        </w:tc>
      </w:tr>
    </w:tbl>
    <w:p w:rsidR="00F63FAF" w:rsidRDefault="00F63FAF" w:rsidP="00F63FA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F63FAF" w:rsidRDefault="00F63FAF" w:rsidP="00F63FAF">
      <w:r>
        <w:rPr>
          <w:rFonts w:ascii="仿宋_GB2312" w:eastAsia="仿宋_GB2312" w:hAnsi="仿宋_GB2312" w:cs="仿宋_GB2312"/>
          <w:b/>
          <w:sz w:val="28"/>
        </w:rPr>
        <w:t>6.3 理财产品在报告期内的其他关联交易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1132"/>
        <w:gridCol w:w="2557"/>
        <w:gridCol w:w="1815"/>
        <w:gridCol w:w="2094"/>
      </w:tblGrid>
      <w:tr w:rsidR="00725E96">
        <w:tc>
          <w:tcPr>
            <w:tcW w:w="1000" w:type="dxa"/>
            <w:vAlign w:val="center"/>
          </w:tcPr>
          <w:p w:rsidR="00725E96" w:rsidRDefault="006B596B">
            <w:pPr>
              <w:jc w:val="center"/>
            </w:pPr>
            <w:r>
              <w:rPr>
                <w:rFonts w:ascii="仿宋_GB2312" w:eastAsia="仿宋_GB2312" w:hAnsi="仿宋_GB2312" w:cs="仿宋_GB2312"/>
                <w:sz w:val="24"/>
              </w:rPr>
              <w:t>序号</w:t>
            </w:r>
          </w:p>
        </w:tc>
        <w:tc>
          <w:tcPr>
            <w:tcW w:w="1500" w:type="dxa"/>
            <w:vAlign w:val="center"/>
          </w:tcPr>
          <w:p w:rsidR="00725E96" w:rsidRDefault="006B596B">
            <w:pPr>
              <w:jc w:val="center"/>
            </w:pPr>
            <w:r>
              <w:rPr>
                <w:rFonts w:ascii="仿宋_GB2312" w:eastAsia="仿宋_GB2312" w:hAnsi="仿宋_GB2312" w:cs="仿宋_GB2312"/>
                <w:sz w:val="24"/>
              </w:rPr>
              <w:t>交易日期</w:t>
            </w:r>
          </w:p>
        </w:tc>
        <w:tc>
          <w:tcPr>
            <w:tcW w:w="5000" w:type="dxa"/>
            <w:vAlign w:val="center"/>
          </w:tcPr>
          <w:p w:rsidR="00725E96" w:rsidRDefault="006B596B">
            <w:pPr>
              <w:jc w:val="center"/>
            </w:pPr>
            <w:r>
              <w:rPr>
                <w:rFonts w:ascii="仿宋_GB2312" w:eastAsia="仿宋_GB2312" w:hAnsi="仿宋_GB2312" w:cs="仿宋_GB2312"/>
                <w:sz w:val="24"/>
              </w:rPr>
              <w:t>资产名称</w:t>
            </w:r>
          </w:p>
        </w:tc>
        <w:tc>
          <w:tcPr>
            <w:tcW w:w="2000" w:type="dxa"/>
            <w:vAlign w:val="center"/>
          </w:tcPr>
          <w:p w:rsidR="00725E96" w:rsidRDefault="006B596B">
            <w:pPr>
              <w:jc w:val="center"/>
            </w:pPr>
            <w:r>
              <w:rPr>
                <w:rFonts w:ascii="仿宋_GB2312" w:eastAsia="仿宋_GB2312" w:hAnsi="仿宋_GB2312" w:cs="仿宋_GB2312"/>
                <w:sz w:val="24"/>
              </w:rPr>
              <w:t>交易金额（元）</w:t>
            </w:r>
          </w:p>
        </w:tc>
        <w:tc>
          <w:tcPr>
            <w:tcW w:w="4000" w:type="dxa"/>
            <w:vAlign w:val="center"/>
          </w:tcPr>
          <w:p w:rsidR="00725E96" w:rsidRDefault="006B596B">
            <w:pPr>
              <w:jc w:val="center"/>
            </w:pPr>
            <w:r>
              <w:rPr>
                <w:rFonts w:ascii="仿宋_GB2312" w:eastAsia="仿宋_GB2312" w:hAnsi="仿宋_GB2312" w:cs="仿宋_GB2312"/>
                <w:sz w:val="24"/>
              </w:rPr>
              <w:t>关联方名称</w:t>
            </w:r>
          </w:p>
        </w:tc>
      </w:tr>
      <w:tr w:rsidR="00725E96">
        <w:tc>
          <w:tcPr>
            <w:tcW w:w="1000" w:type="dxa"/>
            <w:vAlign w:val="center"/>
          </w:tcPr>
          <w:p w:rsidR="00725E96" w:rsidRDefault="006B596B">
            <w:pPr>
              <w:jc w:val="center"/>
            </w:pPr>
            <w:r>
              <w:rPr>
                <w:rFonts w:ascii="仿宋_GB2312" w:eastAsia="仿宋_GB2312" w:hAnsi="仿宋_GB2312" w:cs="仿宋_GB2312"/>
                <w:sz w:val="24"/>
              </w:rPr>
              <w:t>1</w:t>
            </w:r>
          </w:p>
        </w:tc>
        <w:tc>
          <w:tcPr>
            <w:tcW w:w="1500" w:type="dxa"/>
            <w:vAlign w:val="center"/>
          </w:tcPr>
          <w:p w:rsidR="00725E96" w:rsidRDefault="006B596B">
            <w:pPr>
              <w:jc w:val="center"/>
            </w:pPr>
            <w:r>
              <w:rPr>
                <w:rFonts w:ascii="仿宋_GB2312" w:eastAsia="仿宋_GB2312" w:hAnsi="仿宋_GB2312" w:cs="仿宋_GB2312"/>
                <w:sz w:val="24"/>
              </w:rPr>
              <w:t>2024-03-25</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2</w:t>
            </w:r>
          </w:p>
        </w:tc>
        <w:tc>
          <w:tcPr>
            <w:tcW w:w="1500" w:type="dxa"/>
            <w:vAlign w:val="center"/>
          </w:tcPr>
          <w:p w:rsidR="00725E96" w:rsidRDefault="006B596B">
            <w:pPr>
              <w:jc w:val="center"/>
            </w:pPr>
            <w:r>
              <w:rPr>
                <w:rFonts w:ascii="仿宋_GB2312" w:eastAsia="仿宋_GB2312" w:hAnsi="仿宋_GB2312" w:cs="仿宋_GB2312"/>
                <w:sz w:val="24"/>
              </w:rPr>
              <w:t>2024-03-21</w:t>
            </w:r>
          </w:p>
        </w:tc>
        <w:tc>
          <w:tcPr>
            <w:tcW w:w="5000" w:type="dxa"/>
            <w:vAlign w:val="center"/>
          </w:tcPr>
          <w:p w:rsidR="00725E96" w:rsidRDefault="006B596B">
            <w:pPr>
              <w:jc w:val="center"/>
            </w:pPr>
            <w:r>
              <w:rPr>
                <w:rFonts w:ascii="仿宋_GB2312" w:eastAsia="仿宋_GB2312" w:hAnsi="仿宋_GB2312" w:cs="仿宋_GB2312"/>
                <w:sz w:val="24"/>
              </w:rPr>
              <w:t>23</w:t>
            </w:r>
            <w:r>
              <w:rPr>
                <w:rFonts w:ascii="仿宋_GB2312" w:eastAsia="仿宋_GB2312" w:hAnsi="仿宋_GB2312" w:cs="仿宋_GB2312"/>
                <w:sz w:val="24"/>
              </w:rPr>
              <w:t>保控</w:t>
            </w:r>
            <w:r>
              <w:rPr>
                <w:rFonts w:ascii="仿宋_GB2312" w:eastAsia="仿宋_GB2312" w:hAnsi="仿宋_GB2312" w:cs="仿宋_GB2312"/>
                <w:sz w:val="24"/>
              </w:rPr>
              <w:t>D1</w:t>
            </w:r>
          </w:p>
        </w:tc>
        <w:tc>
          <w:tcPr>
            <w:tcW w:w="2000" w:type="dxa"/>
            <w:vAlign w:val="center"/>
          </w:tcPr>
          <w:p w:rsidR="00725E96" w:rsidRDefault="006B596B">
            <w:pPr>
              <w:jc w:val="center"/>
            </w:pPr>
            <w:r>
              <w:rPr>
                <w:rFonts w:ascii="仿宋_GB2312" w:eastAsia="仿宋_GB2312" w:hAnsi="仿宋_GB2312" w:cs="仿宋_GB2312"/>
                <w:sz w:val="24"/>
              </w:rPr>
              <w:t>10190868.49</w:t>
            </w:r>
          </w:p>
        </w:tc>
        <w:tc>
          <w:tcPr>
            <w:tcW w:w="4000" w:type="dxa"/>
            <w:vAlign w:val="center"/>
          </w:tcPr>
          <w:p w:rsidR="00725E96" w:rsidRDefault="006B596B">
            <w:pPr>
              <w:jc w:val="center"/>
            </w:pPr>
            <w:r>
              <w:rPr>
                <w:rFonts w:ascii="仿宋_GB2312" w:eastAsia="仿宋_GB2312" w:hAnsi="仿宋_GB2312" w:cs="仿宋_GB2312"/>
                <w:sz w:val="24"/>
              </w:rPr>
              <w:t>申港证券股份有限公司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3</w:t>
            </w:r>
          </w:p>
        </w:tc>
        <w:tc>
          <w:tcPr>
            <w:tcW w:w="1500" w:type="dxa"/>
            <w:vAlign w:val="center"/>
          </w:tcPr>
          <w:p w:rsidR="00725E96" w:rsidRDefault="006B596B">
            <w:pPr>
              <w:jc w:val="center"/>
            </w:pPr>
            <w:r>
              <w:rPr>
                <w:rFonts w:ascii="仿宋_GB2312" w:eastAsia="仿宋_GB2312" w:hAnsi="仿宋_GB2312" w:cs="仿宋_GB2312"/>
                <w:sz w:val="24"/>
              </w:rPr>
              <w:t>2024-02-27</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4</w:t>
            </w:r>
          </w:p>
        </w:tc>
        <w:tc>
          <w:tcPr>
            <w:tcW w:w="1500" w:type="dxa"/>
            <w:vAlign w:val="center"/>
          </w:tcPr>
          <w:p w:rsidR="00725E96" w:rsidRDefault="006B596B">
            <w:pPr>
              <w:jc w:val="center"/>
            </w:pPr>
            <w:r>
              <w:rPr>
                <w:rFonts w:ascii="仿宋_GB2312" w:eastAsia="仿宋_GB2312" w:hAnsi="仿宋_GB2312" w:cs="仿宋_GB2312"/>
                <w:sz w:val="24"/>
              </w:rPr>
              <w:t>2024-</w:t>
            </w:r>
            <w:r>
              <w:rPr>
                <w:rFonts w:ascii="仿宋_GB2312" w:eastAsia="仿宋_GB2312" w:hAnsi="仿宋_GB2312" w:cs="仿宋_GB2312"/>
                <w:sz w:val="24"/>
              </w:rPr>
              <w:lastRenderedPageBreak/>
              <w:t>02-26</w:t>
            </w:r>
          </w:p>
        </w:tc>
        <w:tc>
          <w:tcPr>
            <w:tcW w:w="5000" w:type="dxa"/>
            <w:vAlign w:val="center"/>
          </w:tcPr>
          <w:p w:rsidR="00725E96" w:rsidRDefault="006B596B">
            <w:pPr>
              <w:jc w:val="center"/>
            </w:pPr>
            <w:r>
              <w:rPr>
                <w:rFonts w:ascii="仿宋_GB2312" w:eastAsia="仿宋_GB2312" w:hAnsi="仿宋_GB2312" w:cs="仿宋_GB2312"/>
                <w:sz w:val="24"/>
              </w:rPr>
              <w:lastRenderedPageBreak/>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420000000.00</w:t>
            </w:r>
          </w:p>
        </w:tc>
        <w:tc>
          <w:tcPr>
            <w:tcW w:w="4000" w:type="dxa"/>
            <w:vAlign w:val="center"/>
          </w:tcPr>
          <w:p w:rsidR="00725E96" w:rsidRDefault="006B596B">
            <w:pPr>
              <w:jc w:val="center"/>
            </w:pPr>
            <w:r>
              <w:rPr>
                <w:rFonts w:ascii="仿宋_GB2312" w:eastAsia="仿宋_GB2312" w:hAnsi="仿宋_GB2312" w:cs="仿宋_GB2312"/>
                <w:sz w:val="24"/>
              </w:rPr>
              <w:t>南京银行股份有</w:t>
            </w:r>
            <w:r>
              <w:rPr>
                <w:rFonts w:ascii="仿宋_GB2312" w:eastAsia="仿宋_GB2312" w:hAnsi="仿宋_GB2312" w:cs="仿宋_GB2312"/>
                <w:sz w:val="24"/>
              </w:rPr>
              <w:lastRenderedPageBreak/>
              <w:t>限公司</w:t>
            </w:r>
          </w:p>
        </w:tc>
      </w:tr>
      <w:tr w:rsidR="00725E96">
        <w:tc>
          <w:tcPr>
            <w:tcW w:w="1000" w:type="dxa"/>
            <w:vAlign w:val="center"/>
          </w:tcPr>
          <w:p w:rsidR="00725E96" w:rsidRDefault="006B596B">
            <w:pPr>
              <w:jc w:val="center"/>
            </w:pPr>
            <w:r>
              <w:rPr>
                <w:rFonts w:ascii="仿宋_GB2312" w:eastAsia="仿宋_GB2312" w:hAnsi="仿宋_GB2312" w:cs="仿宋_GB2312"/>
                <w:sz w:val="24"/>
              </w:rPr>
              <w:lastRenderedPageBreak/>
              <w:t>5</w:t>
            </w:r>
          </w:p>
        </w:tc>
        <w:tc>
          <w:tcPr>
            <w:tcW w:w="1500" w:type="dxa"/>
            <w:vAlign w:val="center"/>
          </w:tcPr>
          <w:p w:rsidR="00725E96" w:rsidRDefault="006B596B">
            <w:pPr>
              <w:jc w:val="center"/>
            </w:pPr>
            <w:r>
              <w:rPr>
                <w:rFonts w:ascii="仿宋_GB2312" w:eastAsia="仿宋_GB2312" w:hAnsi="仿宋_GB2312" w:cs="仿宋_GB2312"/>
                <w:sz w:val="24"/>
              </w:rPr>
              <w:t>2024-02-21</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6</w:t>
            </w:r>
          </w:p>
        </w:tc>
        <w:tc>
          <w:tcPr>
            <w:tcW w:w="1500" w:type="dxa"/>
            <w:vAlign w:val="center"/>
          </w:tcPr>
          <w:p w:rsidR="00725E96" w:rsidRDefault="006B596B">
            <w:pPr>
              <w:jc w:val="center"/>
            </w:pPr>
            <w:r>
              <w:rPr>
                <w:rFonts w:ascii="仿宋_GB2312" w:eastAsia="仿宋_GB2312" w:hAnsi="仿宋_GB2312" w:cs="仿宋_GB2312"/>
                <w:sz w:val="24"/>
              </w:rPr>
              <w:t>2024-02-20</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7</w:t>
            </w:r>
          </w:p>
        </w:tc>
        <w:tc>
          <w:tcPr>
            <w:tcW w:w="1500" w:type="dxa"/>
            <w:vAlign w:val="center"/>
          </w:tcPr>
          <w:p w:rsidR="00725E96" w:rsidRDefault="006B596B">
            <w:pPr>
              <w:jc w:val="center"/>
            </w:pPr>
            <w:r>
              <w:rPr>
                <w:rFonts w:ascii="仿宋_GB2312" w:eastAsia="仿宋_GB2312" w:hAnsi="仿宋_GB2312" w:cs="仿宋_GB2312"/>
                <w:sz w:val="24"/>
              </w:rPr>
              <w:t>2024-02-02</w:t>
            </w:r>
          </w:p>
        </w:tc>
        <w:tc>
          <w:tcPr>
            <w:tcW w:w="5000" w:type="dxa"/>
            <w:vAlign w:val="center"/>
          </w:tcPr>
          <w:p w:rsidR="00725E96" w:rsidRDefault="006B596B">
            <w:pPr>
              <w:jc w:val="center"/>
            </w:pPr>
            <w:r>
              <w:rPr>
                <w:rFonts w:ascii="仿宋_GB2312" w:eastAsia="仿宋_GB2312" w:hAnsi="仿宋_GB2312" w:cs="仿宋_GB2312"/>
                <w:sz w:val="24"/>
              </w:rPr>
              <w:t>3</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8</w:t>
            </w:r>
          </w:p>
        </w:tc>
        <w:tc>
          <w:tcPr>
            <w:tcW w:w="1500" w:type="dxa"/>
            <w:vAlign w:val="center"/>
          </w:tcPr>
          <w:p w:rsidR="00725E96" w:rsidRDefault="006B596B">
            <w:pPr>
              <w:jc w:val="center"/>
            </w:pPr>
            <w:r>
              <w:rPr>
                <w:rFonts w:ascii="仿宋_GB2312" w:eastAsia="仿宋_GB2312" w:hAnsi="仿宋_GB2312" w:cs="仿宋_GB2312"/>
                <w:sz w:val="24"/>
              </w:rPr>
              <w:t>2024-01-26</w:t>
            </w:r>
          </w:p>
        </w:tc>
        <w:tc>
          <w:tcPr>
            <w:tcW w:w="5000" w:type="dxa"/>
            <w:vAlign w:val="center"/>
          </w:tcPr>
          <w:p w:rsidR="00725E96" w:rsidRDefault="006B596B">
            <w:pPr>
              <w:jc w:val="center"/>
            </w:pPr>
            <w:r>
              <w:rPr>
                <w:rFonts w:ascii="仿宋_GB2312" w:eastAsia="仿宋_GB2312" w:hAnsi="仿宋_GB2312" w:cs="仿宋_GB2312"/>
                <w:sz w:val="24"/>
              </w:rPr>
              <w:t>19</w:t>
            </w:r>
            <w:r>
              <w:rPr>
                <w:rFonts w:ascii="仿宋_GB2312" w:eastAsia="仿宋_GB2312" w:hAnsi="仿宋_GB2312" w:cs="仿宋_GB2312"/>
                <w:sz w:val="24"/>
              </w:rPr>
              <w:t>国开</w:t>
            </w:r>
            <w:r>
              <w:rPr>
                <w:rFonts w:ascii="仿宋_GB2312" w:eastAsia="仿宋_GB2312" w:hAnsi="仿宋_GB2312" w:cs="仿宋_GB2312"/>
                <w:sz w:val="24"/>
              </w:rPr>
              <w:t>03</w:t>
            </w:r>
          </w:p>
        </w:tc>
        <w:tc>
          <w:tcPr>
            <w:tcW w:w="2000" w:type="dxa"/>
            <w:vAlign w:val="center"/>
          </w:tcPr>
          <w:p w:rsidR="00725E96" w:rsidRDefault="006B596B">
            <w:pPr>
              <w:jc w:val="center"/>
            </w:pPr>
            <w:r>
              <w:rPr>
                <w:rFonts w:ascii="仿宋_GB2312" w:eastAsia="仿宋_GB2312" w:hAnsi="仿宋_GB2312" w:cs="仿宋_GB2312"/>
                <w:sz w:val="24"/>
              </w:rPr>
              <w:t>51632176.71</w:t>
            </w:r>
          </w:p>
        </w:tc>
        <w:tc>
          <w:tcPr>
            <w:tcW w:w="4000" w:type="dxa"/>
            <w:vAlign w:val="center"/>
          </w:tcPr>
          <w:p w:rsidR="00725E96" w:rsidRDefault="006B596B">
            <w:pPr>
              <w:jc w:val="center"/>
            </w:pPr>
            <w:r>
              <w:rPr>
                <w:rFonts w:ascii="仿宋_GB2312" w:eastAsia="仿宋_GB2312" w:hAnsi="仿宋_GB2312" w:cs="仿宋_GB2312"/>
                <w:sz w:val="24"/>
              </w:rPr>
              <w:t>东方证券股份有限公司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9</w:t>
            </w:r>
          </w:p>
        </w:tc>
        <w:tc>
          <w:tcPr>
            <w:tcW w:w="1500" w:type="dxa"/>
            <w:vAlign w:val="center"/>
          </w:tcPr>
          <w:p w:rsidR="00725E96" w:rsidRDefault="006B596B">
            <w:pPr>
              <w:jc w:val="center"/>
            </w:pPr>
            <w:r>
              <w:rPr>
                <w:rFonts w:ascii="仿宋_GB2312" w:eastAsia="仿宋_GB2312" w:hAnsi="仿宋_GB2312" w:cs="仿宋_GB2312"/>
                <w:sz w:val="24"/>
              </w:rPr>
              <w:t>2024-01-12</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10</w:t>
            </w:r>
          </w:p>
        </w:tc>
        <w:tc>
          <w:tcPr>
            <w:tcW w:w="1500" w:type="dxa"/>
            <w:vAlign w:val="center"/>
          </w:tcPr>
          <w:p w:rsidR="00725E96" w:rsidRDefault="006B596B">
            <w:pPr>
              <w:jc w:val="center"/>
            </w:pPr>
            <w:r>
              <w:rPr>
                <w:rFonts w:ascii="仿宋_GB2312" w:eastAsia="仿宋_GB2312" w:hAnsi="仿宋_GB2312" w:cs="仿宋_GB2312"/>
                <w:sz w:val="24"/>
              </w:rPr>
              <w:t>2024-01-09</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11</w:t>
            </w:r>
          </w:p>
        </w:tc>
        <w:tc>
          <w:tcPr>
            <w:tcW w:w="1500" w:type="dxa"/>
            <w:vAlign w:val="center"/>
          </w:tcPr>
          <w:p w:rsidR="00725E96" w:rsidRDefault="006B596B">
            <w:pPr>
              <w:jc w:val="center"/>
            </w:pPr>
            <w:r>
              <w:rPr>
                <w:rFonts w:ascii="仿宋_GB2312" w:eastAsia="仿宋_GB2312" w:hAnsi="仿宋_GB2312" w:cs="仿宋_GB2312"/>
                <w:sz w:val="24"/>
              </w:rPr>
              <w:t>2024-01-03</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12</w:t>
            </w:r>
          </w:p>
        </w:tc>
        <w:tc>
          <w:tcPr>
            <w:tcW w:w="1500" w:type="dxa"/>
            <w:vAlign w:val="center"/>
          </w:tcPr>
          <w:p w:rsidR="00725E96" w:rsidRDefault="006B596B">
            <w:pPr>
              <w:jc w:val="center"/>
            </w:pPr>
            <w:r>
              <w:rPr>
                <w:rFonts w:ascii="仿宋_GB2312" w:eastAsia="仿宋_GB2312" w:hAnsi="仿宋_GB2312" w:cs="仿宋_GB2312"/>
                <w:sz w:val="24"/>
              </w:rPr>
              <w:t>2024-01-02</w:t>
            </w:r>
          </w:p>
        </w:tc>
        <w:tc>
          <w:tcPr>
            <w:tcW w:w="5000" w:type="dxa"/>
            <w:vAlign w:val="center"/>
          </w:tcPr>
          <w:p w:rsidR="00725E96" w:rsidRDefault="006B596B">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25E96" w:rsidRDefault="006B596B">
            <w:pPr>
              <w:jc w:val="center"/>
            </w:pPr>
            <w:r>
              <w:rPr>
                <w:rFonts w:ascii="仿宋_GB2312" w:eastAsia="仿宋_GB2312" w:hAnsi="仿宋_GB2312" w:cs="仿宋_GB2312"/>
                <w:sz w:val="24"/>
              </w:rPr>
              <w:t>100000000.00</w:t>
            </w:r>
          </w:p>
        </w:tc>
        <w:tc>
          <w:tcPr>
            <w:tcW w:w="4000" w:type="dxa"/>
            <w:vAlign w:val="center"/>
          </w:tcPr>
          <w:p w:rsidR="00725E96" w:rsidRDefault="006B596B">
            <w:pPr>
              <w:jc w:val="center"/>
            </w:pPr>
            <w:r>
              <w:rPr>
                <w:rFonts w:ascii="仿宋_GB2312" w:eastAsia="仿宋_GB2312" w:hAnsi="仿宋_GB2312" w:cs="仿宋_GB2312"/>
                <w:sz w:val="24"/>
              </w:rPr>
              <w:t>国泰君安证券股份有限公司</w:t>
            </w:r>
          </w:p>
        </w:tc>
      </w:tr>
    </w:tbl>
    <w:p w:rsidR="00F63FAF" w:rsidRDefault="00F63FAF" w:rsidP="00F63FAF">
      <w:r>
        <w:rPr>
          <w:rFonts w:ascii="仿宋_GB2312" w:eastAsia="仿宋_GB2312" w:hAnsi="仿宋_GB2312" w:cs="仿宋_GB2312"/>
          <w:b/>
          <w:sz w:val="28"/>
        </w:rPr>
        <w:t>6.4 理财产品在报告期内向关联方支付的费用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1828"/>
        <w:gridCol w:w="1935"/>
        <w:gridCol w:w="3604"/>
      </w:tblGrid>
      <w:tr w:rsidR="00725E96">
        <w:tc>
          <w:tcPr>
            <w:tcW w:w="1000" w:type="dxa"/>
            <w:vAlign w:val="center"/>
          </w:tcPr>
          <w:p w:rsidR="00725E96" w:rsidRDefault="006B596B">
            <w:pPr>
              <w:jc w:val="center"/>
            </w:pPr>
            <w:r>
              <w:rPr>
                <w:rFonts w:ascii="仿宋_GB2312" w:eastAsia="仿宋_GB2312" w:hAnsi="仿宋_GB2312" w:cs="仿宋_GB2312"/>
                <w:sz w:val="24"/>
              </w:rPr>
              <w:t>序号</w:t>
            </w:r>
          </w:p>
        </w:tc>
        <w:tc>
          <w:tcPr>
            <w:tcW w:w="2000" w:type="dxa"/>
            <w:vAlign w:val="center"/>
          </w:tcPr>
          <w:p w:rsidR="00725E96" w:rsidRDefault="006B596B">
            <w:pPr>
              <w:jc w:val="center"/>
            </w:pPr>
            <w:r>
              <w:rPr>
                <w:rFonts w:ascii="仿宋_GB2312" w:eastAsia="仿宋_GB2312" w:hAnsi="仿宋_GB2312" w:cs="仿宋_GB2312"/>
                <w:sz w:val="24"/>
              </w:rPr>
              <w:t>费用类型</w:t>
            </w:r>
          </w:p>
        </w:tc>
        <w:tc>
          <w:tcPr>
            <w:tcW w:w="2000" w:type="dxa"/>
            <w:vAlign w:val="center"/>
          </w:tcPr>
          <w:p w:rsidR="00725E96" w:rsidRDefault="006B596B">
            <w:pPr>
              <w:jc w:val="center"/>
            </w:pPr>
            <w:r>
              <w:rPr>
                <w:rFonts w:ascii="仿宋_GB2312" w:eastAsia="仿宋_GB2312" w:hAnsi="仿宋_GB2312" w:cs="仿宋_GB2312"/>
                <w:sz w:val="24"/>
              </w:rPr>
              <w:t>报告期内支付金额（元）</w:t>
            </w:r>
          </w:p>
        </w:tc>
        <w:tc>
          <w:tcPr>
            <w:tcW w:w="4000" w:type="dxa"/>
            <w:vAlign w:val="center"/>
          </w:tcPr>
          <w:p w:rsidR="00725E96" w:rsidRDefault="006B596B">
            <w:pPr>
              <w:jc w:val="center"/>
            </w:pPr>
            <w:r>
              <w:rPr>
                <w:rFonts w:ascii="仿宋_GB2312" w:eastAsia="仿宋_GB2312" w:hAnsi="仿宋_GB2312" w:cs="仿宋_GB2312"/>
                <w:sz w:val="24"/>
              </w:rPr>
              <w:t>关联方名称</w:t>
            </w:r>
          </w:p>
        </w:tc>
      </w:tr>
      <w:tr w:rsidR="00725E96">
        <w:tc>
          <w:tcPr>
            <w:tcW w:w="1000" w:type="dxa"/>
            <w:vAlign w:val="center"/>
          </w:tcPr>
          <w:p w:rsidR="00725E96" w:rsidRDefault="006B596B">
            <w:pPr>
              <w:jc w:val="center"/>
            </w:pPr>
            <w:r>
              <w:rPr>
                <w:rFonts w:ascii="仿宋_GB2312" w:eastAsia="仿宋_GB2312" w:hAnsi="仿宋_GB2312" w:cs="仿宋_GB2312"/>
                <w:sz w:val="24"/>
              </w:rPr>
              <w:t>1</w:t>
            </w:r>
          </w:p>
        </w:tc>
        <w:tc>
          <w:tcPr>
            <w:tcW w:w="2000" w:type="dxa"/>
            <w:vAlign w:val="center"/>
          </w:tcPr>
          <w:p w:rsidR="00725E96" w:rsidRDefault="006B596B">
            <w:pPr>
              <w:jc w:val="center"/>
            </w:pPr>
            <w:r>
              <w:rPr>
                <w:rFonts w:ascii="仿宋_GB2312" w:eastAsia="仿宋_GB2312" w:hAnsi="仿宋_GB2312" w:cs="仿宋_GB2312"/>
                <w:sz w:val="24"/>
              </w:rPr>
              <w:t>代销费</w:t>
            </w:r>
          </w:p>
        </w:tc>
        <w:tc>
          <w:tcPr>
            <w:tcW w:w="2000" w:type="dxa"/>
            <w:vAlign w:val="center"/>
          </w:tcPr>
          <w:p w:rsidR="00725E96" w:rsidRDefault="006B596B">
            <w:pPr>
              <w:jc w:val="center"/>
            </w:pPr>
            <w:r>
              <w:rPr>
                <w:rFonts w:ascii="仿宋_GB2312" w:eastAsia="仿宋_GB2312" w:hAnsi="仿宋_GB2312" w:cs="仿宋_GB2312"/>
                <w:sz w:val="24"/>
              </w:rPr>
              <w:t>3280931.34</w:t>
            </w:r>
          </w:p>
        </w:tc>
        <w:tc>
          <w:tcPr>
            <w:tcW w:w="4000" w:type="dxa"/>
            <w:vAlign w:val="center"/>
          </w:tcPr>
          <w:p w:rsidR="00725E96" w:rsidRDefault="006B596B">
            <w:pPr>
              <w:jc w:val="center"/>
            </w:pPr>
            <w:r>
              <w:rPr>
                <w:rFonts w:ascii="仿宋_GB2312" w:eastAsia="仿宋_GB2312" w:hAnsi="仿宋_GB2312" w:cs="仿宋_GB2312"/>
                <w:sz w:val="24"/>
              </w:rPr>
              <w:t>上海浦东发展银行股份有限公司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2</w:t>
            </w:r>
          </w:p>
        </w:tc>
        <w:tc>
          <w:tcPr>
            <w:tcW w:w="2000" w:type="dxa"/>
            <w:vAlign w:val="center"/>
          </w:tcPr>
          <w:p w:rsidR="00725E96" w:rsidRDefault="006B596B">
            <w:pPr>
              <w:jc w:val="center"/>
            </w:pPr>
            <w:r>
              <w:rPr>
                <w:rFonts w:ascii="仿宋_GB2312" w:eastAsia="仿宋_GB2312" w:hAnsi="仿宋_GB2312" w:cs="仿宋_GB2312"/>
                <w:sz w:val="24"/>
              </w:rPr>
              <w:t>代销费</w:t>
            </w:r>
          </w:p>
        </w:tc>
        <w:tc>
          <w:tcPr>
            <w:tcW w:w="2000" w:type="dxa"/>
            <w:vAlign w:val="center"/>
          </w:tcPr>
          <w:p w:rsidR="00725E96" w:rsidRDefault="006B596B">
            <w:pPr>
              <w:jc w:val="center"/>
            </w:pPr>
            <w:r>
              <w:rPr>
                <w:rFonts w:ascii="仿宋_GB2312" w:eastAsia="仿宋_GB2312" w:hAnsi="仿宋_GB2312" w:cs="仿宋_GB2312"/>
                <w:sz w:val="24"/>
              </w:rPr>
              <w:t>48836.40</w:t>
            </w:r>
          </w:p>
        </w:tc>
        <w:tc>
          <w:tcPr>
            <w:tcW w:w="4000" w:type="dxa"/>
            <w:vAlign w:val="center"/>
          </w:tcPr>
          <w:p w:rsidR="00725E96" w:rsidRDefault="006B596B">
            <w:pPr>
              <w:jc w:val="center"/>
            </w:pPr>
            <w:r>
              <w:rPr>
                <w:rFonts w:ascii="仿宋_GB2312" w:eastAsia="仿宋_GB2312" w:hAnsi="仿宋_GB2312" w:cs="仿宋_GB2312"/>
                <w:sz w:val="24"/>
              </w:rPr>
              <w:t>苏州银行股份有限公司</w:t>
            </w:r>
          </w:p>
        </w:tc>
      </w:tr>
      <w:tr w:rsidR="00725E96">
        <w:tc>
          <w:tcPr>
            <w:tcW w:w="1000" w:type="dxa"/>
            <w:vAlign w:val="center"/>
          </w:tcPr>
          <w:p w:rsidR="00725E96" w:rsidRDefault="006B596B">
            <w:pPr>
              <w:jc w:val="center"/>
            </w:pPr>
            <w:r>
              <w:rPr>
                <w:rFonts w:ascii="仿宋_GB2312" w:eastAsia="仿宋_GB2312" w:hAnsi="仿宋_GB2312" w:cs="仿宋_GB2312"/>
                <w:sz w:val="24"/>
              </w:rPr>
              <w:t>3</w:t>
            </w:r>
          </w:p>
        </w:tc>
        <w:tc>
          <w:tcPr>
            <w:tcW w:w="2000" w:type="dxa"/>
            <w:vAlign w:val="center"/>
          </w:tcPr>
          <w:p w:rsidR="00725E96" w:rsidRDefault="006B596B">
            <w:pPr>
              <w:jc w:val="center"/>
            </w:pPr>
            <w:r>
              <w:rPr>
                <w:rFonts w:ascii="仿宋_GB2312" w:eastAsia="仿宋_GB2312" w:hAnsi="仿宋_GB2312" w:cs="仿宋_GB2312"/>
                <w:sz w:val="24"/>
              </w:rPr>
              <w:t>托管费</w:t>
            </w:r>
          </w:p>
        </w:tc>
        <w:tc>
          <w:tcPr>
            <w:tcW w:w="2000" w:type="dxa"/>
            <w:vAlign w:val="center"/>
          </w:tcPr>
          <w:p w:rsidR="00725E96" w:rsidRDefault="006B596B">
            <w:pPr>
              <w:jc w:val="center"/>
            </w:pPr>
            <w:r>
              <w:rPr>
                <w:rFonts w:ascii="仿宋_GB2312" w:eastAsia="仿宋_GB2312" w:hAnsi="仿宋_GB2312" w:cs="仿宋_GB2312"/>
                <w:sz w:val="24"/>
              </w:rPr>
              <w:t>747212.75</w:t>
            </w:r>
          </w:p>
        </w:tc>
        <w:tc>
          <w:tcPr>
            <w:tcW w:w="4000" w:type="dxa"/>
            <w:vAlign w:val="center"/>
          </w:tcPr>
          <w:p w:rsidR="00725E96" w:rsidRDefault="006B596B">
            <w:pPr>
              <w:jc w:val="center"/>
            </w:pPr>
            <w:r>
              <w:rPr>
                <w:rFonts w:ascii="仿宋_GB2312" w:eastAsia="仿宋_GB2312" w:hAnsi="仿宋_GB2312" w:cs="仿宋_GB2312"/>
                <w:sz w:val="24"/>
              </w:rPr>
              <w:t>上海浦东发展银行股份有限公司</w:t>
            </w:r>
          </w:p>
        </w:tc>
      </w:tr>
    </w:tbl>
    <w:p w:rsidR="009D54D8" w:rsidRDefault="009D54D8" w:rsidP="009D54D8">
      <w:pPr>
        <w:snapToGrid w:val="0"/>
        <w:spacing w:line="360" w:lineRule="auto"/>
        <w:rPr>
          <w:rFonts w:ascii="仿宋_GB2312" w:eastAsia="仿宋_GB2312"/>
          <w:b/>
          <w:color w:val="000000" w:themeColor="text1"/>
          <w:sz w:val="17"/>
          <w:szCs w:val="17"/>
        </w:rPr>
      </w:pPr>
    </w:p>
    <w:p w:rsidR="009D54D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7</w:t>
      </w:r>
      <w:r w:rsidR="009D54D8" w:rsidRPr="00673698">
        <w:rPr>
          <w:rFonts w:ascii="仿宋_GB2312" w:eastAsia="仿宋_GB2312" w:hint="eastAsia"/>
          <w:b/>
          <w:sz w:val="28"/>
          <w:szCs w:val="24"/>
        </w:rPr>
        <w:t> </w:t>
      </w:r>
      <w:r w:rsidR="009D54D8" w:rsidRPr="00673698">
        <w:rPr>
          <w:rFonts w:ascii="仿宋_GB2312" w:eastAsia="仿宋_GB2312" w:hint="eastAsia"/>
          <w:b/>
          <w:sz w:val="28"/>
          <w:szCs w:val="24"/>
        </w:rPr>
        <w:t>.影响投资者决策的其他重要信息</w:t>
      </w:r>
    </w:p>
    <w:p w:rsidR="009D54D8" w:rsidRPr="0087105A" w:rsidRDefault="0041186D" w:rsidP="0087105A">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无</w:t>
      </w:r>
    </w:p>
    <w:p w:rsidR="009F0B9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8</w:t>
      </w:r>
      <w:r w:rsidR="009F0B98" w:rsidRPr="00673698">
        <w:rPr>
          <w:rFonts w:ascii="仿宋_GB2312" w:eastAsia="仿宋_GB2312" w:hint="eastAsia"/>
          <w:b/>
          <w:sz w:val="28"/>
          <w:szCs w:val="24"/>
        </w:rPr>
        <w:t>.托管机构报告</w:t>
      </w:r>
    </w:p>
    <w:p w:rsidR="00F63FAF" w:rsidRPr="00190127"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D742F1"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D74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6B" w:rsidRDefault="006B596B" w:rsidP="00E61C1A">
      <w:r>
        <w:separator/>
      </w:r>
    </w:p>
  </w:endnote>
  <w:endnote w:type="continuationSeparator" w:id="0">
    <w:p w:rsidR="006B596B" w:rsidRDefault="006B596B"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6B" w:rsidRDefault="006B596B" w:rsidP="00E61C1A">
      <w:r>
        <w:separator/>
      </w:r>
    </w:p>
  </w:footnote>
  <w:footnote w:type="continuationSeparator" w:id="0">
    <w:p w:rsidR="006B596B" w:rsidRDefault="006B596B"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F63FAF" w:rsidRDefault="00F63FAF" w:rsidP="00F63FAF">
      <w:pPr>
        <w:pStyle w:val="a7"/>
      </w:pPr>
      <w:r>
        <w:rPr>
          <w:rStyle w:val="a9"/>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w:t>
      </w:r>
      <w:r w:rsidR="00045E04">
        <w:rPr>
          <w:rFonts w:hint="eastAsia"/>
          <w:kern w:val="0"/>
          <w:sz w:val="15"/>
          <w:szCs w:val="15"/>
        </w:rPr>
        <w:t>所称非标准化债权资产，指根据《关于规范金融机构资产管理业务的指导意见》规定，标准化债权类资产之外的债权类资产，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4385D"/>
    <w:rsid w:val="00045E04"/>
    <w:rsid w:val="00064FD2"/>
    <w:rsid w:val="00077F23"/>
    <w:rsid w:val="000868F8"/>
    <w:rsid w:val="000A1BF7"/>
    <w:rsid w:val="000D03B4"/>
    <w:rsid w:val="000E6BAE"/>
    <w:rsid w:val="00104F7B"/>
    <w:rsid w:val="00105597"/>
    <w:rsid w:val="00130728"/>
    <w:rsid w:val="00151E2B"/>
    <w:rsid w:val="00161C31"/>
    <w:rsid w:val="0016364F"/>
    <w:rsid w:val="001665C9"/>
    <w:rsid w:val="00177133"/>
    <w:rsid w:val="001814DB"/>
    <w:rsid w:val="00185B93"/>
    <w:rsid w:val="001C7832"/>
    <w:rsid w:val="002029ED"/>
    <w:rsid w:val="00211495"/>
    <w:rsid w:val="00213ECF"/>
    <w:rsid w:val="00241453"/>
    <w:rsid w:val="00274D37"/>
    <w:rsid w:val="00310434"/>
    <w:rsid w:val="00353B5D"/>
    <w:rsid w:val="00355741"/>
    <w:rsid w:val="00367DBF"/>
    <w:rsid w:val="00380BE2"/>
    <w:rsid w:val="003C2427"/>
    <w:rsid w:val="003F480F"/>
    <w:rsid w:val="00400A77"/>
    <w:rsid w:val="0041011E"/>
    <w:rsid w:val="0041186D"/>
    <w:rsid w:val="0041666B"/>
    <w:rsid w:val="0042245C"/>
    <w:rsid w:val="00424DA4"/>
    <w:rsid w:val="00442040"/>
    <w:rsid w:val="0047376E"/>
    <w:rsid w:val="00476B87"/>
    <w:rsid w:val="0048092C"/>
    <w:rsid w:val="004B16AF"/>
    <w:rsid w:val="004D1F35"/>
    <w:rsid w:val="004E272F"/>
    <w:rsid w:val="004F4999"/>
    <w:rsid w:val="0050062C"/>
    <w:rsid w:val="00532B3C"/>
    <w:rsid w:val="00542257"/>
    <w:rsid w:val="00564E1C"/>
    <w:rsid w:val="0058623B"/>
    <w:rsid w:val="005A4690"/>
    <w:rsid w:val="005B0E63"/>
    <w:rsid w:val="006304A5"/>
    <w:rsid w:val="006508A1"/>
    <w:rsid w:val="00673698"/>
    <w:rsid w:val="00683E6A"/>
    <w:rsid w:val="006B596B"/>
    <w:rsid w:val="006C486F"/>
    <w:rsid w:val="006D009D"/>
    <w:rsid w:val="006E00B8"/>
    <w:rsid w:val="006E467D"/>
    <w:rsid w:val="00711809"/>
    <w:rsid w:val="007167B6"/>
    <w:rsid w:val="00725E96"/>
    <w:rsid w:val="00765827"/>
    <w:rsid w:val="007661A0"/>
    <w:rsid w:val="00781652"/>
    <w:rsid w:val="007901AB"/>
    <w:rsid w:val="007D042E"/>
    <w:rsid w:val="007D22A9"/>
    <w:rsid w:val="007E2254"/>
    <w:rsid w:val="00870520"/>
    <w:rsid w:val="0087105A"/>
    <w:rsid w:val="008A1CCB"/>
    <w:rsid w:val="008D2272"/>
    <w:rsid w:val="008D4921"/>
    <w:rsid w:val="009027FB"/>
    <w:rsid w:val="0093653B"/>
    <w:rsid w:val="00973891"/>
    <w:rsid w:val="009917B4"/>
    <w:rsid w:val="009B6B6E"/>
    <w:rsid w:val="009D54D8"/>
    <w:rsid w:val="009F015E"/>
    <w:rsid w:val="009F0B98"/>
    <w:rsid w:val="00A03BE7"/>
    <w:rsid w:val="00A24325"/>
    <w:rsid w:val="00A25200"/>
    <w:rsid w:val="00A71EBD"/>
    <w:rsid w:val="00A7331C"/>
    <w:rsid w:val="00A768E1"/>
    <w:rsid w:val="00A94BBD"/>
    <w:rsid w:val="00B101C9"/>
    <w:rsid w:val="00B2798E"/>
    <w:rsid w:val="00B9403A"/>
    <w:rsid w:val="00B946A3"/>
    <w:rsid w:val="00BB17CD"/>
    <w:rsid w:val="00BC4844"/>
    <w:rsid w:val="00C2222B"/>
    <w:rsid w:val="00C72442"/>
    <w:rsid w:val="00C734DA"/>
    <w:rsid w:val="00CA6A9F"/>
    <w:rsid w:val="00CC27D0"/>
    <w:rsid w:val="00CF313D"/>
    <w:rsid w:val="00D170C5"/>
    <w:rsid w:val="00D37F3B"/>
    <w:rsid w:val="00D45CCD"/>
    <w:rsid w:val="00D601E1"/>
    <w:rsid w:val="00D742F1"/>
    <w:rsid w:val="00DC25F6"/>
    <w:rsid w:val="00DC4049"/>
    <w:rsid w:val="00DD7BD2"/>
    <w:rsid w:val="00DE1F30"/>
    <w:rsid w:val="00DE496A"/>
    <w:rsid w:val="00DF5831"/>
    <w:rsid w:val="00E164A4"/>
    <w:rsid w:val="00E61C1A"/>
    <w:rsid w:val="00E63347"/>
    <w:rsid w:val="00E927F9"/>
    <w:rsid w:val="00EE13AE"/>
    <w:rsid w:val="00F1679D"/>
    <w:rsid w:val="00F40369"/>
    <w:rsid w:val="00F44DBD"/>
    <w:rsid w:val="00F5007B"/>
    <w:rsid w:val="00F63FAF"/>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A7AB"/>
  <w15:docId w15:val="{7B0497A1-628E-4B2B-8874-7E655DB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3091">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791020845">
      <w:bodyDiv w:val="1"/>
      <w:marLeft w:val="0"/>
      <w:marRight w:val="0"/>
      <w:marTop w:val="0"/>
      <w:marBottom w:val="0"/>
      <w:divBdr>
        <w:top w:val="none" w:sz="0" w:space="0" w:color="auto"/>
        <w:left w:val="none" w:sz="0" w:space="0" w:color="auto"/>
        <w:bottom w:val="none" w:sz="0" w:space="0" w:color="auto"/>
        <w:right w:val="none" w:sz="0" w:space="0" w:color="auto"/>
      </w:divBdr>
    </w:div>
    <w:div w:id="1064178069">
      <w:bodyDiv w:val="1"/>
      <w:marLeft w:val="0"/>
      <w:marRight w:val="0"/>
      <w:marTop w:val="0"/>
      <w:marBottom w:val="0"/>
      <w:divBdr>
        <w:top w:val="none" w:sz="0" w:space="0" w:color="auto"/>
        <w:left w:val="none" w:sz="0" w:space="0" w:color="auto"/>
        <w:bottom w:val="none" w:sz="0" w:space="0" w:color="auto"/>
        <w:right w:val="none" w:sz="0" w:space="0" w:color="auto"/>
      </w:divBdr>
    </w:div>
    <w:div w:id="1349141903">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4</cp:revision>
  <dcterms:created xsi:type="dcterms:W3CDTF">2024-04-10T01:04:00Z</dcterms:created>
  <dcterms:modified xsi:type="dcterms:W3CDTF">2024-04-18T05:16:00Z</dcterms:modified>
</cp:coreProperties>
</file>