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浦银理财悦丰利添盈16号理财产品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2301230580(销售代码:2301231762/2301231766/2301231767/2301231765)</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Z7006923000547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2023-12-12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269,762,999.00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2301231762 : 3.05%-3.45%</w:t>
              <w:br/>
              <w:t>2301231766 : 2.95%-3.35%</w:t>
              <w:br/>
              <w:t>2301231767 : 3.25%-3.65%</w:t>
              <w:br/>
              <w:t>2301231765 : 3.15%-3.55%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2301230580 : 272,393,910.26</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2301231762 : 1.0096</w:t>
              <w:br/>
              <w:t>2301231765 : 1.0099</w:t>
              <w:br/>
              <w:t>2301231766 : 1.0093</w:t>
              <w:br/>
              <w:t>2301231767 : 1.0102</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2301231762 : 1.0096</w:t>
              <w:br/>
              <w:t>2301231765 : 1.0099</w:t>
              <w:br/>
              <w:t>2301231766 : 1.0093</w:t>
              <w:br/>
              <w:t>2301231767 : 1.0102</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90,767.04</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0.03%</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1,578,607.23</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0.58%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140,566,309.96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51.60%</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142,054,150.15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52.15%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130,389,900.42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47.87%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130,389,900.42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47.87%</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272,534,817.61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272,534,817.61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100.05%</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本产品通过分散化投资构建具有较好流动性、风险可控的优质资产组合。本产品杠杆率控制在合理水平，不存在流动性风险。</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附：本报告期内，本产品理财投资合作机构为“华润深国投信托有限公司、中国对外经济贸易信托有限公司”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外贸信托-睿富12号证券投资集合资金信托计划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121,828,404.74</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44.73%</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中交第三航务工程局有限公司应收账款业务-3</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69,771,700.05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25.61%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同业借款_奇瑞徽银_JK2023025-004（0.6亿）</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60,618,200.37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22.25%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华润信托盈亨12号集合资金信托计划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20,225,745.41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7.43%</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90,767.04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0.03%</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中交第三航务工程局有限公司</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中交第三航务工程局有限公司应收账款业务-3</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107</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应收账款(无合作机构)</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25.61%</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奇瑞徽银汽车金融股份有限公司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同业借款_奇瑞徽银_JK2023025-004（0.6亿）</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107</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同业借款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22.25%</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118968.95</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265.14</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2810.11</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