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浦银理财悦享利封闭式60号理财产品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2301230568(销售代码:2301231742/2301231743/2301231744/2301231745)</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Z7006923000593</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2023-12-05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206,681,656.00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100.12%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2301231742 : 3.50%-4.00%</w:t>
              <w:br/>
              <w:t>2301231743 : 3.55%-4.05%</w:t>
              <w:br/>
              <w:t>2301231744 : 3.70%-4.20%</w:t>
              <w:br/>
              <w:t>2301231745 : 3.40%-3.90%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2301230568 : 209,542,997.72</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2301231742 : 1.0136</w:t>
              <w:br/>
              <w:t>2301231743 : 1.0138</w:t>
              <w:br/>
              <w:t>2301231744 : 1.0143</w:t>
              <w:br/>
              <w:t>2301231745 : 1.0133</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2301231742 : 1.0136</w:t>
              <w:br/>
              <w:t>2301231743 : 1.0138</w:t>
              <w:br/>
              <w:t>2301231744 : 1.0143</w:t>
              <w:br/>
              <w:t>2301231745 : 1.0133</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1,476,482.46</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0.70%</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2,316,141.84</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1.11%</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108,977,568.55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52.01%</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98,501,813.70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47.01%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109,817,227.93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52.41%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98,501,813.70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47.01%</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209,795,524.09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209,795,524.09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100.12%</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投资策略以配置短久期的利率品、中短久期的高等级信用债为主，并用资产管理计划、信托计划增厚收益，严格控制组合久期及杠杆率。控制产品中中高流动性资产占比不低于40%，杠杆保持在140%以内。本产品固收资产配置以中短期限为主，产品杠杆较低，流动性风险极低。</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附：本报告期内，本产品理财投资合作机构为“华润深国投信托有限公司、建信信托有限责任公司、上海国际信托有限公司　　、中国对外经济贸易信托有限公司”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马上消费金融股份有限公司信贷资产收益权集合资金信托计划-外贸信托玉诚17期</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98,501,813.70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47.01%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建信信托-尊鑫12号集合资金信托计划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70,436,418.41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33.61%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上海信托浦赢2号集合资金信托计划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37,377,395.33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17.84%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华润信托浦江添盈10号集合资金信托计划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2,003,414.19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0.96%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1,476,482.46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0.70%</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小贷分散贷款业务借款人</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马上消费金融股份有限公司信贷资产收益权集合资金信托计划-外贸信托玉诚17期</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272</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信贷资产流转(无重要债务人)</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47.01%</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5000"/>
          </w:tcPr>
          <w:tcPr>
            <w:vAlign w:val="center"/>
          </w:tcPr>
          <w:p>
            <w:pPr>
              <w:jc w:val="center"/>
            </w:pPr>
            <w:r>
              <w:rPr>
                <w:rFonts w:ascii="仿宋_GB2312" w:hAnsi="仿宋_GB2312" w:cs="仿宋_GB2312" w:eastAsia="仿宋_GB2312"/>
                <w:sz w:val="24"/>
              </w:rPr>
              <w:t>上海信托浦赢2号集合资金信托计划</w:t>
            </w:r>
          </w:p>
        </w:tc>
        <w:tc>
          <w:tcPr>
            <w:tcW w:type="dxa" w:w="2000"/>
          </w:tcPr>
          <w:tcPr>
            <w:vAlign w:val="center"/>
          </w:tcPr>
          <w:p>
            <w:pPr>
              <w:jc w:val="center"/>
            </w:pPr>
            <w:r>
              <w:rPr>
                <w:rFonts w:ascii="仿宋_GB2312" w:hAnsi="仿宋_GB2312" w:cs="仿宋_GB2312" w:eastAsia="仿宋_GB2312"/>
                <w:sz w:val="24"/>
              </w:rPr>
              <w:t>342.3813</w:t>
            </w:r>
          </w:p>
        </w:tc>
        <w:tc>
          <w:tcPr>
            <w:tcW w:type="dxa" w:w="4000"/>
          </w:tcPr>
          <w:tcPr>
            <w:vAlign w:val="center"/>
          </w:tcPr>
          <w:p>
            <w:pPr>
              <w:jc w:val="center"/>
            </w:pPr>
            <w:r>
              <w:rPr>
                <w:rFonts w:ascii="仿宋_GB2312" w:hAnsi="仿宋_GB2312" w:cs="仿宋_GB2312" w:eastAsia="仿宋_GB2312"/>
                <w:sz w:val="24"/>
              </w:rPr>
              <w:t>上海国际信托有限公司</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83657.66</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1651.23</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2948.89</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