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Pr="00673698" w:rsidRDefault="00E61C1A" w:rsidP="00E61C1A">
      <w:pPr>
        <w:snapToGrid w:val="0"/>
        <w:spacing w:line="360" w:lineRule="auto"/>
        <w:jc w:val="center"/>
        <w:rPr>
          <w:rFonts w:asciiTheme="majorEastAsia" w:eastAsiaTheme="majorEastAsia" w:hAnsiTheme="majorEastAsia"/>
          <w:b/>
          <w:bCs/>
          <w:szCs w:val="24"/>
          <w:vertAlign w:val="superscript"/>
        </w:rPr>
      </w:pPr>
      <w:r w:rsidRPr="00673698">
        <w:rPr>
          <w:rFonts w:asciiTheme="majorEastAsia" w:eastAsiaTheme="majorEastAsia" w:hAnsiTheme="majorEastAsia" w:hint="eastAsia"/>
          <w:b/>
          <w:bCs/>
          <w:color w:val="000000"/>
          <w:szCs w:val="24"/>
        </w:rPr>
        <w:t>公募理财产品定期</w:t>
      </w:r>
      <w:r w:rsidRPr="00673698">
        <w:rPr>
          <w:rFonts w:asciiTheme="majorEastAsia" w:eastAsiaTheme="majorEastAsia" w:hAnsiTheme="majorEastAsia" w:hint="eastAsia"/>
          <w:b/>
          <w:bCs/>
          <w:szCs w:val="24"/>
        </w:rPr>
        <w:t>报告</w:t>
      </w:r>
    </w:p>
    <w:p w:rsidR="00E61C1A" w:rsidRPr="00673698" w:rsidRDefault="00E61C1A" w:rsidP="00E61C1A">
      <w:pPr>
        <w:snapToGrid w:val="0"/>
        <w:spacing w:line="360" w:lineRule="auto"/>
        <w:rPr>
          <w:rFonts w:ascii="仿宋_GB2312" w:eastAsia="仿宋_GB2312"/>
          <w:b/>
          <w:bCs/>
          <w:sz w:val="28"/>
          <w:szCs w:val="24"/>
          <w:vertAlign w:val="superscript"/>
        </w:rPr>
      </w:pPr>
      <w:r w:rsidRPr="00673698">
        <w:rPr>
          <w:rFonts w:ascii="仿宋_GB2312" w:eastAsia="仿宋_GB2312" w:hint="eastAsia"/>
          <w:b/>
          <w:sz w:val="28"/>
          <w:szCs w:val="24"/>
        </w:rPr>
        <w:t>1</w:t>
      </w:r>
      <w:r w:rsidRPr="00673698">
        <w:rPr>
          <w:rFonts w:hint="eastAsia"/>
          <w:b/>
          <w:sz w:val="28"/>
          <w:szCs w:val="24"/>
        </w:rPr>
        <w:t> </w:t>
      </w:r>
      <w:r w:rsidRPr="00673698">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本报告中财务资料未经审计。</w:t>
            </w:r>
          </w:p>
          <w:p w:rsidR="00E61C1A" w:rsidRDefault="00F63FAF" w:rsidP="00F63FAF">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000000"/>
                <w:sz w:val="24"/>
                <w:szCs w:val="24"/>
              </w:rPr>
              <w:t>产品管理人保留对本报告随时补充、更正和修订的权利，以及对所有文字说明的最终解释权。</w:t>
            </w:r>
          </w:p>
        </w:tc>
      </w:tr>
    </w:tbl>
    <w:p w:rsidR="00E61C1A" w:rsidRPr="00673698" w:rsidRDefault="00E61C1A" w:rsidP="00E61C1A">
      <w:pPr>
        <w:snapToGrid w:val="0"/>
        <w:spacing w:line="360" w:lineRule="auto"/>
        <w:rPr>
          <w:rFonts w:ascii="仿宋_GB2312" w:eastAsia="仿宋_GB2312"/>
          <w:b/>
          <w:sz w:val="28"/>
          <w:szCs w:val="24"/>
        </w:rPr>
      </w:pPr>
      <w:r w:rsidRPr="00673698">
        <w:rPr>
          <w:rFonts w:ascii="仿宋_GB2312" w:eastAsia="仿宋_GB2312" w:hint="eastAsia"/>
          <w:b/>
          <w:sz w:val="28"/>
          <w:szCs w:val="24"/>
        </w:rPr>
        <w:t>2.</w:t>
      </w:r>
      <w:r w:rsidRPr="00673698">
        <w:rPr>
          <w:rFonts w:ascii="仿宋_GB2312" w:eastAsia="仿宋_GB2312" w:hint="eastAsia"/>
          <w:b/>
          <w:sz w:val="28"/>
          <w:szCs w:val="24"/>
        </w:rPr>
        <w:t> </w:t>
      </w:r>
      <w:r w:rsidRPr="00673698">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浦银理财天添利现金宝</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2301231900(销售代码:2301231957/2301231905/2301231956/2301239319/2301239317/2301239419)</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Z7006923000070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2023-03-28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9,030,998,760.59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106.24%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F63FAF">
              <w:rPr>
                <w:rStyle w:val="a9"/>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2301231957-A : 人民银行7天通知存款利率</w:t>
            </w:r>
            <w:r>
              <w:rPr>
                <w:rFonts w:ascii="仿宋_GB2312" w:eastAsia="仿宋_GB2312" w:hAnsi="Calibri" w:cs="宋体"/>
                <w:color w:val="000000"/>
                <w:sz w:val="24"/>
                <w:szCs w:val="24"/>
              </w:rPr>
              <w:br/>
              <w:t>2301231905-A : 人民银行7天通知存款利率</w:t>
            </w:r>
            <w:r>
              <w:rPr>
                <w:rFonts w:ascii="仿宋_GB2312" w:eastAsia="仿宋_GB2312" w:hAnsi="Calibri" w:cs="宋体"/>
                <w:color w:val="000000"/>
                <w:sz w:val="24"/>
                <w:szCs w:val="24"/>
              </w:rPr>
              <w:br/>
              <w:t>2301231956-A : 人民银行7天通知存款利</w:t>
            </w:r>
            <w:r>
              <w:rPr>
                <w:rFonts w:ascii="仿宋_GB2312" w:eastAsia="仿宋_GB2312" w:hAnsi="Calibri" w:cs="宋体"/>
                <w:color w:val="000000"/>
                <w:sz w:val="24"/>
                <w:szCs w:val="24"/>
              </w:rPr>
              <w:lastRenderedPageBreak/>
              <w:t>率</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lastRenderedPageBreak/>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E61C1A" w:rsidRDefault="00E164A4" w:rsidP="00E164A4">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673698" w:rsidRDefault="004E272F" w:rsidP="004E272F">
      <w:pPr>
        <w:snapToGrid w:val="0"/>
        <w:spacing w:line="360" w:lineRule="auto"/>
        <w:rPr>
          <w:rFonts w:ascii="仿宋_GB2312" w:eastAsia="仿宋_GB2312"/>
          <w:b/>
          <w:sz w:val="28"/>
          <w:szCs w:val="24"/>
        </w:rPr>
      </w:pPr>
      <w:r w:rsidRPr="00673698">
        <w:rPr>
          <w:rFonts w:ascii="仿宋_GB2312" w:eastAsia="仿宋_GB2312" w:hint="eastAsia"/>
          <w:b/>
          <w:sz w:val="28"/>
          <w:szCs w:val="24"/>
        </w:rPr>
        <w:t>3</w:t>
      </w:r>
      <w:r w:rsidRPr="00673698">
        <w:rPr>
          <w:rFonts w:ascii="仿宋_GB2312" w:eastAsia="仿宋_GB2312"/>
          <w:b/>
          <w:sz w:val="28"/>
          <w:szCs w:val="24"/>
        </w:rPr>
        <w:t>.</w:t>
      </w:r>
      <w:r w:rsidRPr="00673698">
        <w:rPr>
          <w:rFonts w:ascii="仿宋_GB2312" w:eastAsia="仿宋_GB2312" w:hint="eastAsia"/>
          <w:b/>
          <w:sz w:val="28"/>
          <w:szCs w:val="24"/>
        </w:rPr>
        <w:t>产品净值表现</w:t>
      </w:r>
    </w:p>
    <w:p w:rsidR="004E272F" w:rsidRPr="00673698" w:rsidRDefault="004E272F" w:rsidP="004E272F">
      <w:pPr>
        <w:snapToGrid w:val="0"/>
        <w:spacing w:line="360" w:lineRule="auto"/>
        <w:ind w:firstLine="482"/>
        <w:rPr>
          <w:rFonts w:ascii="仿宋_GB2312" w:eastAsia="仿宋_GB2312"/>
          <w:b/>
          <w:bCs/>
          <w:sz w:val="28"/>
          <w:szCs w:val="24"/>
        </w:rPr>
      </w:pPr>
      <w:r w:rsidRPr="00673698">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2301231900 : 9,030,998,760.59</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2301231905-A : 1.0000</w:t>
            </w:r>
            <w:r>
              <w:rPr>
                <w:rFonts w:ascii="仿宋_GB2312" w:eastAsia="仿宋_GB2312" w:hAnsi="Calibri" w:cs="宋体"/>
                <w:color w:val="000000"/>
                <w:sz w:val="24"/>
                <w:szCs w:val="24"/>
              </w:rPr>
              <w:br/>
              <w:t>2301231956-A : 1.0000</w:t>
            </w:r>
            <w:r>
              <w:rPr>
                <w:rFonts w:ascii="仿宋_GB2312" w:eastAsia="仿宋_GB2312" w:hAnsi="Calibri" w:cs="宋体"/>
                <w:color w:val="000000"/>
                <w:sz w:val="24"/>
                <w:szCs w:val="24"/>
              </w:rPr>
              <w:br/>
              <w:t>2301231957-A : 1.0000</w:t>
            </w:r>
            <w:r>
              <w:rPr>
                <w:rFonts w:ascii="仿宋_GB2312" w:eastAsia="仿宋_GB2312" w:hAnsi="Calibri" w:cs="宋体"/>
                <w:color w:val="000000"/>
                <w:sz w:val="24"/>
                <w:szCs w:val="24"/>
              </w:rPr>
              <w:br/>
              <w:t>2301239319-A : 1.0000</w:t>
            </w:r>
            <w:r>
              <w:rPr>
                <w:rFonts w:ascii="仿宋_GB2312" w:eastAsia="仿宋_GB2312" w:hAnsi="Calibri" w:cs="宋体"/>
                <w:color w:val="000000"/>
                <w:sz w:val="24"/>
                <w:szCs w:val="24"/>
              </w:rPr>
              <w:br/>
              <w:t>2301239419-A : 1.0000</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2301231905-A : -</w:t>
            </w:r>
            <w:r>
              <w:rPr>
                <w:rFonts w:ascii="仿宋_GB2312" w:eastAsia="仿宋_GB2312" w:hAnsi="Calibri" w:cs="宋体"/>
                <w:color w:val="000000"/>
                <w:sz w:val="24"/>
                <w:szCs w:val="24"/>
              </w:rPr>
              <w:br/>
              <w:t>2301231956-A : -</w:t>
            </w:r>
            <w:r>
              <w:rPr>
                <w:rFonts w:ascii="仿宋_GB2312" w:eastAsia="仿宋_GB2312" w:hAnsi="Calibri" w:cs="宋体"/>
                <w:color w:val="000000"/>
                <w:sz w:val="24"/>
                <w:szCs w:val="24"/>
              </w:rPr>
              <w:br/>
              <w:t>2301231957-A : -</w:t>
            </w:r>
            <w:r>
              <w:rPr>
                <w:rFonts w:ascii="仿宋_GB2312" w:eastAsia="仿宋_GB2312" w:hAnsi="Calibri" w:cs="宋体"/>
                <w:color w:val="000000"/>
                <w:sz w:val="24"/>
                <w:szCs w:val="24"/>
              </w:rPr>
              <w:br/>
              <w:t>2301239319-A : -</w:t>
            </w:r>
            <w:r>
              <w:rPr>
                <w:rFonts w:ascii="仿宋_GB2312" w:eastAsia="仿宋_GB2312" w:hAnsi="Calibri" w:cs="宋体"/>
                <w:color w:val="000000"/>
                <w:sz w:val="24"/>
                <w:szCs w:val="24"/>
              </w:rPr>
              <w:br/>
              <w:t>2301239419-A : -</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2301231905-A : 0.6359</w:t>
            </w:r>
            <w:r>
              <w:rPr>
                <w:rFonts w:ascii="仿宋_GB2312" w:eastAsia="仿宋_GB2312" w:hAnsi="Calibri" w:cs="宋体"/>
                <w:color w:val="000000"/>
                <w:sz w:val="24"/>
                <w:szCs w:val="24"/>
              </w:rPr>
              <w:br/>
              <w:t>2301231956-A : 0.5948</w:t>
            </w:r>
            <w:r>
              <w:rPr>
                <w:rFonts w:ascii="仿宋_GB2312" w:eastAsia="仿宋_GB2312" w:hAnsi="Calibri" w:cs="宋体"/>
                <w:color w:val="000000"/>
                <w:sz w:val="24"/>
                <w:szCs w:val="24"/>
              </w:rPr>
              <w:br/>
              <w:t>2301231957-A : 0.6359</w:t>
            </w:r>
            <w:r>
              <w:rPr>
                <w:rFonts w:ascii="仿宋_GB2312" w:eastAsia="仿宋_GB2312" w:hAnsi="Calibri" w:cs="宋体"/>
                <w:color w:val="000000"/>
                <w:sz w:val="24"/>
                <w:szCs w:val="24"/>
              </w:rPr>
              <w:br/>
              <w:t>2301239319-A : 0.6359</w:t>
            </w:r>
            <w:r>
              <w:rPr>
                <w:rFonts w:ascii="仿宋_GB2312" w:eastAsia="仿宋_GB2312" w:hAnsi="Calibri" w:cs="宋体"/>
                <w:color w:val="000000"/>
                <w:sz w:val="24"/>
                <w:szCs w:val="24"/>
              </w:rPr>
              <w:br/>
              <w:t>2301239419-A : 0.6496</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2301239419-A : 0.0237</w:t>
            </w:r>
            <w:r>
              <w:rPr>
                <w:rFonts w:ascii="仿宋_GB2312" w:eastAsia="仿宋_GB2312" w:hAnsi="Calibri" w:cs="宋体"/>
                <w:color w:val="000000"/>
                <w:sz w:val="24"/>
                <w:szCs w:val="24"/>
              </w:rPr>
              <w:br/>
              <w:t>2301239319-A : 0.0232</w:t>
            </w:r>
            <w:r>
              <w:rPr>
                <w:rFonts w:ascii="仿宋_GB2312" w:eastAsia="仿宋_GB2312" w:hAnsi="Calibri" w:cs="宋体"/>
                <w:color w:val="000000"/>
                <w:sz w:val="24"/>
                <w:szCs w:val="24"/>
              </w:rPr>
              <w:br/>
              <w:t>2301231957-A : 0.0232</w:t>
            </w:r>
            <w:r>
              <w:rPr>
                <w:rFonts w:ascii="仿宋_GB2312" w:eastAsia="仿宋_GB2312" w:hAnsi="Calibri" w:cs="宋体"/>
                <w:color w:val="000000"/>
                <w:sz w:val="24"/>
                <w:szCs w:val="24"/>
              </w:rPr>
              <w:br/>
              <w:t>2301231956-A : 0.0216</w:t>
            </w:r>
            <w:r>
              <w:rPr>
                <w:rFonts w:ascii="仿宋_GB2312" w:eastAsia="仿宋_GB2312" w:hAnsi="Calibri" w:cs="宋体"/>
                <w:color w:val="000000"/>
                <w:sz w:val="24"/>
                <w:szCs w:val="24"/>
              </w:rPr>
              <w:br/>
            </w:r>
            <w:r>
              <w:rPr>
                <w:rFonts w:ascii="仿宋_GB2312" w:eastAsia="仿宋_GB2312" w:hAnsi="Calibri" w:cs="宋体"/>
                <w:color w:val="000000"/>
                <w:sz w:val="24"/>
                <w:szCs w:val="24"/>
              </w:rPr>
              <w:lastRenderedPageBreak/>
              <w:t>2301231905-A : 0.0232</w:t>
            </w:r>
          </w:p>
        </w:tc>
      </w:tr>
    </w:tbl>
    <w:p w:rsidR="00564E1C" w:rsidRPr="00673698" w:rsidRDefault="00564E1C" w:rsidP="00564E1C">
      <w:pPr>
        <w:snapToGrid w:val="0"/>
        <w:spacing w:line="360" w:lineRule="auto"/>
        <w:rPr>
          <w:rFonts w:ascii="仿宋_GB2312" w:eastAsia="仿宋_GB2312"/>
          <w:b/>
          <w:sz w:val="28"/>
          <w:szCs w:val="24"/>
        </w:rPr>
      </w:pPr>
      <w:r w:rsidRPr="00673698">
        <w:rPr>
          <w:rFonts w:ascii="仿宋_GB2312" w:eastAsia="仿宋_GB2312" w:hint="eastAsia"/>
          <w:b/>
          <w:sz w:val="28"/>
          <w:szCs w:val="24"/>
        </w:rPr>
        <w:lastRenderedPageBreak/>
        <w:t>4.投资组合报告</w:t>
      </w:r>
    </w:p>
    <w:p w:rsidR="00564E1C" w:rsidRPr="00673698" w:rsidRDefault="00564E1C" w:rsidP="00564E1C">
      <w:pPr>
        <w:spacing w:line="360" w:lineRule="auto"/>
        <w:ind w:firstLine="482"/>
        <w:rPr>
          <w:rFonts w:ascii="仿宋_GB2312" w:eastAsia="仿宋_GB2312"/>
          <w:b/>
          <w:bCs/>
          <w:sz w:val="28"/>
          <w:szCs w:val="24"/>
        </w:rPr>
      </w:pPr>
      <w:r w:rsidRPr="00673698">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57"/>
        <w:gridCol w:w="1518"/>
        <w:gridCol w:w="1517"/>
        <w:gridCol w:w="1795"/>
        <w:gridCol w:w="1517"/>
        <w:gridCol w:w="1795"/>
      </w:tblGrid>
      <w:tr w:rsidR="000E6BAE" w:rsidRPr="004567B4" w:rsidTr="00E35E1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0E6BAE" w:rsidRPr="004567B4" w:rsidTr="00E35E1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0E6BAE" w:rsidRPr="00E706B1" w:rsidRDefault="000E6BAE" w:rsidP="00E35E11">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0E6BAE" w:rsidRPr="00E706B1" w:rsidRDefault="000E6BAE" w:rsidP="00E35E11">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净值的比例</w:t>
            </w:r>
          </w:p>
        </w:tc>
        <w:tc>
          <w:tcPr>
            <w:tcW w:w="862" w:type="pct"/>
            <w:tcBorders>
              <w:top w:val="nil"/>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净值的比例</w:t>
            </w:r>
          </w:p>
        </w:tc>
      </w:tr>
      <w:tr w:rsidR="000E6BAE" w:rsidRPr="004567B4" w:rsidTr="00EE13AE">
        <w:tc>
          <w:tcPr>
            <w:tcW w:w="373" w:type="pct"/>
            <w:tcBorders>
              <w:top w:val="nil"/>
              <w:left w:val="single" w:sz="4" w:space="0" w:color="auto"/>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1,101,848,982.29</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D03B4"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12.20%</w:t>
            </w:r>
          </w:p>
        </w:tc>
        <w:tc>
          <w:tcPr>
            <w:tcW w:w="862"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6,092,602,990.99</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D03B4"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67.46%</w:t>
            </w:r>
          </w:p>
        </w:tc>
      </w:tr>
      <w:tr w:rsidR="00DB1A6C">
        <w:tc>
          <w:tcPr>
            <w:tcW w:w="373" w:type="pct"/>
            <w:tcBorders>
              <w:top w:val="nil"/>
              <w:left w:val="single" w:sz="4" w:space="0" w:color="auto"/>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2</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1,774,732,690.78</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19.65%</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2,821,301,788.10</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31.24%</w:t>
            </w:r>
          </w:p>
        </w:tc>
      </w:tr>
      <w:tr w:rsidR="00DB1A6C">
        <w:tc>
          <w:tcPr>
            <w:tcW w:w="373" w:type="pct"/>
            <w:tcBorders>
              <w:top w:val="nil"/>
              <w:left w:val="single" w:sz="4" w:space="0" w:color="auto"/>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3</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同业存单</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592,078,543.50</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6.56%</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592,078,543.50</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6.56%</w:t>
            </w:r>
          </w:p>
        </w:tc>
      </w:tr>
      <w:tr w:rsidR="00DB1A6C">
        <w:tc>
          <w:tcPr>
            <w:tcW w:w="373" w:type="pct"/>
            <w:tcBorders>
              <w:top w:val="nil"/>
              <w:left w:val="single" w:sz="4" w:space="0" w:color="auto"/>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4</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公募基金</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r>
      <w:tr w:rsidR="00DB1A6C">
        <w:tc>
          <w:tcPr>
            <w:tcW w:w="373" w:type="pct"/>
            <w:tcBorders>
              <w:top w:val="nil"/>
              <w:left w:val="single" w:sz="4" w:space="0" w:color="auto"/>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5</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私募基金</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r>
      <w:tr w:rsidR="00DB1A6C">
        <w:tc>
          <w:tcPr>
            <w:tcW w:w="373" w:type="pct"/>
            <w:tcBorders>
              <w:top w:val="nil"/>
              <w:left w:val="single" w:sz="4" w:space="0" w:color="auto"/>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6</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权益类资产</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r>
      <w:tr w:rsidR="00DB1A6C">
        <w:tc>
          <w:tcPr>
            <w:tcW w:w="373" w:type="pct"/>
            <w:tcBorders>
              <w:top w:val="nil"/>
              <w:left w:val="single" w:sz="4" w:space="0" w:color="auto"/>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7</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资产管理产品</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r>
      <w:tr w:rsidR="00DB1A6C">
        <w:tc>
          <w:tcPr>
            <w:tcW w:w="373" w:type="pct"/>
            <w:tcBorders>
              <w:top w:val="nil"/>
              <w:left w:val="single" w:sz="4" w:space="0" w:color="auto"/>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8</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6,125,828,752.52</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67.83%</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r>
      <w:tr w:rsidR="00DB1A6C">
        <w:tc>
          <w:tcPr>
            <w:tcW w:w="373" w:type="pct"/>
            <w:tcBorders>
              <w:top w:val="nil"/>
              <w:left w:val="single" w:sz="4" w:space="0" w:color="auto"/>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9</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88,505,646.50</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0.98%</w:t>
            </w:r>
          </w:p>
        </w:tc>
      </w:tr>
      <w:tr w:rsidR="00DB1A6C">
        <w:tc>
          <w:tcPr>
            <w:tcW w:w="373" w:type="pct"/>
            <w:tcBorders>
              <w:top w:val="nil"/>
              <w:left w:val="single" w:sz="4" w:space="0" w:color="auto"/>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10</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r>
      <w:tr w:rsidR="00DB1A6C">
        <w:tc>
          <w:tcPr>
            <w:tcW w:w="373" w:type="pct"/>
            <w:tcBorders>
              <w:top w:val="nil"/>
              <w:left w:val="single" w:sz="4" w:space="0" w:color="auto"/>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11</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r>
      <w:tr w:rsidR="00DB1A6C">
        <w:tc>
          <w:tcPr>
            <w:tcW w:w="373" w:type="pct"/>
            <w:tcBorders>
              <w:top w:val="nil"/>
              <w:left w:val="single" w:sz="4" w:space="0" w:color="auto"/>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12</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其他资产</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w:t>
            </w:r>
          </w:p>
        </w:tc>
      </w:tr>
      <w:tr w:rsidR="00DB1A6C">
        <w:tc>
          <w:tcPr>
            <w:tcW w:w="373" w:type="pct"/>
            <w:tcBorders>
              <w:top w:val="nil"/>
              <w:left w:val="single" w:sz="4" w:space="0" w:color="auto"/>
              <w:bottom w:val="single" w:sz="4" w:space="0" w:color="auto"/>
              <w:right w:val="single" w:sz="4" w:space="0" w:color="auto"/>
            </w:tcBorders>
            <w:shd w:val="clear" w:color="auto" w:fill="auto"/>
            <w:vAlign w:val="center"/>
            <w:hideMark/>
          </w:tcPr>
          <w:p w:rsidR="00DB1A6C" w:rsidRDefault="00DB1A6C">
            <w:pPr>
              <w:jc w:val="center"/>
            </w:pP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合计</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9,594,488,969.09</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106.24%</w:t>
            </w:r>
          </w:p>
        </w:tc>
        <w:tc>
          <w:tcPr>
            <w:tcW w:w="862"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9,594,488,969.09</w:t>
            </w:r>
          </w:p>
        </w:tc>
        <w:tc>
          <w:tcPr>
            <w:tcW w:w="1020" w:type="pct"/>
            <w:tcBorders>
              <w:top w:val="nil"/>
              <w:left w:val="nil"/>
              <w:bottom w:val="single" w:sz="4" w:space="0" w:color="auto"/>
              <w:right w:val="single" w:sz="4" w:space="0" w:color="auto"/>
            </w:tcBorders>
            <w:shd w:val="clear" w:color="auto" w:fill="auto"/>
            <w:vAlign w:val="center"/>
            <w:hideMark/>
          </w:tcPr>
          <w:p w:rsidR="00DB1A6C" w:rsidRDefault="005159E7">
            <w:pPr>
              <w:jc w:val="center"/>
            </w:pPr>
            <w:r>
              <w:rPr>
                <w:rFonts w:ascii="仿宋_GB2312" w:eastAsia="仿宋_GB2312" w:hAnsi="Calibri" w:cs="宋体"/>
                <w:color w:val="000000"/>
                <w:sz w:val="24"/>
              </w:rPr>
              <w:t>106.24%</w:t>
            </w:r>
          </w:p>
        </w:tc>
      </w:tr>
    </w:tbl>
    <w:p w:rsidR="00F63FAF" w:rsidRPr="003723EF" w:rsidRDefault="00F63FAF" w:rsidP="00F63FAF">
      <w:pPr>
        <w:rPr>
          <w:rFonts w:ascii="仿宋_GB2312" w:eastAsia="仿宋_GB2312" w:hAnsi="Calibri"/>
          <w:sz w:val="24"/>
          <w:szCs w:val="24"/>
        </w:rPr>
      </w:pPr>
      <w:r>
        <w:rPr>
          <w:rFonts w:ascii="仿宋_GB2312" w:eastAsia="仿宋_GB2312" w:hAnsi="Calibri" w:hint="eastAsia"/>
          <w:sz w:val="24"/>
          <w:szCs w:val="24"/>
        </w:rPr>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F63FAF" w:rsidRDefault="00F63FAF" w:rsidP="00F63FA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F63FAF" w:rsidRDefault="00564E1C" w:rsidP="00564E1C">
      <w:pPr>
        <w:rPr>
          <w:rFonts w:ascii="仿宋_GB2312" w:eastAsia="仿宋_GB2312" w:hAnsi="Calibri"/>
          <w:sz w:val="24"/>
          <w:szCs w:val="24"/>
        </w:rPr>
      </w:pPr>
    </w:p>
    <w:p w:rsidR="00DE496A" w:rsidRPr="00673698" w:rsidRDefault="00DE496A" w:rsidP="00DE496A">
      <w:pPr>
        <w:spacing w:line="360" w:lineRule="auto"/>
        <w:ind w:firstLine="482"/>
        <w:rPr>
          <w:rFonts w:ascii="仿宋_GB2312" w:eastAsia="仿宋_GB2312" w:hAnsi="Calibri"/>
          <w:sz w:val="28"/>
          <w:szCs w:val="24"/>
        </w:rPr>
      </w:pPr>
      <w:r w:rsidRPr="00673698">
        <w:rPr>
          <w:rFonts w:ascii="仿宋_GB2312" w:eastAsia="仿宋_GB2312" w:hint="eastAsia"/>
          <w:b/>
          <w:bCs/>
          <w:sz w:val="28"/>
          <w:szCs w:val="24"/>
        </w:rPr>
        <w:t>4.2 报告期内产品投资策略和组合流动性风险分析</w:t>
      </w:r>
    </w:p>
    <w:p w:rsidR="004F4999" w:rsidRDefault="004F4999" w:rsidP="004F4999">
      <w:pPr>
        <w:snapToGrid w:val="0"/>
        <w:spacing w:line="360" w:lineRule="auto"/>
        <w:ind w:firstLine="480"/>
        <w:rPr>
          <w:rFonts w:ascii="仿宋_GB2312" w:eastAsia="仿宋_GB2312"/>
          <w:color w:val="000000"/>
          <w:sz w:val="24"/>
          <w:szCs w:val="24"/>
        </w:rPr>
      </w:pPr>
      <w:r>
        <w:rPr>
          <w:rFonts w:ascii="仿宋_GB2312" w:eastAsia="仿宋_GB2312" w:hint="eastAsia"/>
          <w:color w:val="000000"/>
          <w:sz w:val="24"/>
          <w:szCs w:val="24"/>
        </w:rPr>
        <w:t>本报告期内，组合积极调整持仓结构，增配流动性优、收益率高的存款类资产；根据资金价格波动灵活调整组合杠杆水平，获取杠杆收益；积极择时，在市场波动的情况下主动调整杠杆和久期予以应对。</w:t>
      </w:r>
    </w:p>
    <w:p w:rsidR="007901AB" w:rsidRPr="007901AB" w:rsidRDefault="007901AB" w:rsidP="007901AB">
      <w:pPr>
        <w:snapToGrid w:val="0"/>
        <w:spacing w:line="360" w:lineRule="auto"/>
        <w:ind w:firstLine="480"/>
        <w:rPr>
          <w:rFonts w:ascii="仿宋_GB2312" w:eastAsia="仿宋_GB2312"/>
          <w:color w:val="000000"/>
          <w:sz w:val="24"/>
          <w:szCs w:val="24"/>
        </w:rPr>
      </w:pPr>
      <w:r>
        <w:rPr>
          <w:rFonts w:ascii="仿宋_GB2312" w:eastAsia="仿宋_GB2312" w:hint="eastAsia"/>
          <w:b/>
          <w:sz w:val="28"/>
          <w:szCs w:val="24"/>
        </w:rPr>
        <w:t>附：本报告期内，本产品理财投资合作机构为“百年保险资产管理有限责任公司、长城财富保险资产管理股份有限公司、创金合信基</w:t>
      </w:r>
      <w:r>
        <w:rPr>
          <w:rFonts w:ascii="仿宋_GB2312" w:eastAsia="仿宋_GB2312" w:hint="eastAsia"/>
          <w:b/>
          <w:sz w:val="28"/>
          <w:szCs w:val="24"/>
        </w:rPr>
        <w:lastRenderedPageBreak/>
        <w:t>金管理有限公司、广东粤财信托有限公司、国华兴益保险资产管理有限公司、华润深国投信托有限公司、建信保险资产管理有限公司、建信信托有限责任公司、五矿国际信托有限公司、中诚信托有限责任公司、中国对外经济贸易信托有限公司” 。</w:t>
      </w:r>
    </w:p>
    <w:p w:rsidR="00DE496A" w:rsidRPr="00673698" w:rsidRDefault="00DE496A" w:rsidP="00DE496A">
      <w:pPr>
        <w:spacing w:line="360" w:lineRule="auto"/>
        <w:ind w:firstLineChars="200" w:firstLine="562"/>
        <w:rPr>
          <w:rFonts w:ascii="仿宋_GB2312" w:eastAsia="仿宋_GB2312" w:hAnsiTheme="minorEastAsia"/>
          <w:b/>
          <w:bCs/>
          <w:sz w:val="28"/>
          <w:szCs w:val="24"/>
        </w:rPr>
      </w:pPr>
      <w:r w:rsidRPr="00673698">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177133">
              <w:rPr>
                <w:rFonts w:ascii="仿宋_GB2312" w:eastAsia="仿宋_GB2312" w:hAnsiTheme="minorEastAsia" w:hint="eastAsia"/>
                <w:color w:val="000000"/>
                <w:sz w:val="24"/>
                <w:szCs w:val="24"/>
              </w:rPr>
              <w:t>（元</w:t>
            </w:r>
            <w:r w:rsidR="00177133">
              <w:rPr>
                <w:rFonts w:ascii="仿宋_GB2312" w:eastAsia="仿宋_GB2312" w:hAnsiTheme="minorEastAsia"/>
                <w:color w:val="000000"/>
                <w:sz w:val="24"/>
                <w:szCs w:val="24"/>
              </w:rPr>
              <w:t>）</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长城财富玄武多资产固收十号资产管理产品</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1,373,383,462.29</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15.21%</w:t>
            </w:r>
          </w:p>
        </w:tc>
      </w:tr>
      <w:tr w:rsidR="00DB1A6C">
        <w:tc>
          <w:tcPr>
            <w:tcW w:w="1139" w:type="dxa"/>
          </w:tcPr>
          <w:p w:rsidR="00DB1A6C" w:rsidRDefault="005159E7">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国华兴益资管日馨月益5号资产管理产品</w:t>
            </w:r>
          </w:p>
        </w:tc>
        <w:tc>
          <w:tcPr>
            <w:tcW w:w="2835" w:type="dxa"/>
          </w:tcPr>
          <w:p w:rsidR="00DB1A6C" w:rsidRDefault="005159E7">
            <w:pPr>
              <w:jc w:val="center"/>
            </w:pPr>
            <w:r>
              <w:rPr>
                <w:rFonts w:ascii="仿宋_GB2312" w:eastAsia="仿宋_GB2312" w:hAnsi="Calibri" w:cs="宋体"/>
                <w:color w:val="000000"/>
                <w:sz w:val="24"/>
              </w:rPr>
              <w:t>1,266,342,363.55</w:t>
            </w:r>
          </w:p>
        </w:tc>
        <w:tc>
          <w:tcPr>
            <w:tcW w:w="2835"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14.02%</w:t>
            </w:r>
          </w:p>
        </w:tc>
      </w:tr>
      <w:tr w:rsidR="00DB1A6C">
        <w:tc>
          <w:tcPr>
            <w:tcW w:w="1139" w:type="dxa"/>
          </w:tcPr>
          <w:p w:rsidR="00DB1A6C" w:rsidRDefault="005159E7">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百年资管弘远40号资产管理产品</w:t>
            </w:r>
          </w:p>
        </w:tc>
        <w:tc>
          <w:tcPr>
            <w:tcW w:w="2835" w:type="dxa"/>
          </w:tcPr>
          <w:p w:rsidR="00DB1A6C" w:rsidRDefault="005159E7">
            <w:pPr>
              <w:jc w:val="center"/>
            </w:pPr>
            <w:r>
              <w:rPr>
                <w:rFonts w:ascii="仿宋_GB2312" w:eastAsia="仿宋_GB2312" w:hAnsi="Calibri" w:cs="宋体"/>
                <w:color w:val="000000"/>
                <w:sz w:val="24"/>
              </w:rPr>
              <w:t>1,137,277,545.33</w:t>
            </w:r>
          </w:p>
        </w:tc>
        <w:tc>
          <w:tcPr>
            <w:tcW w:w="2835"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12.59%</w:t>
            </w:r>
          </w:p>
        </w:tc>
      </w:tr>
      <w:tr w:rsidR="00DB1A6C">
        <w:tc>
          <w:tcPr>
            <w:tcW w:w="1139" w:type="dxa"/>
          </w:tcPr>
          <w:p w:rsidR="00DB1A6C" w:rsidRDefault="005159E7">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银行存款</w:t>
            </w:r>
          </w:p>
        </w:tc>
        <w:tc>
          <w:tcPr>
            <w:tcW w:w="2835" w:type="dxa"/>
          </w:tcPr>
          <w:p w:rsidR="00DB1A6C" w:rsidRDefault="005159E7">
            <w:pPr>
              <w:jc w:val="center"/>
            </w:pPr>
            <w:r>
              <w:rPr>
                <w:rFonts w:ascii="仿宋_GB2312" w:eastAsia="仿宋_GB2312" w:hAnsi="Calibri" w:cs="宋体"/>
                <w:color w:val="000000"/>
                <w:sz w:val="24"/>
              </w:rPr>
              <w:t>1,101,848,981.41</w:t>
            </w:r>
          </w:p>
        </w:tc>
        <w:tc>
          <w:tcPr>
            <w:tcW w:w="2835"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12.20%</w:t>
            </w:r>
          </w:p>
        </w:tc>
      </w:tr>
      <w:tr w:rsidR="00DB1A6C">
        <w:tc>
          <w:tcPr>
            <w:tcW w:w="1139" w:type="dxa"/>
          </w:tcPr>
          <w:p w:rsidR="00DB1A6C" w:rsidRDefault="005159E7">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建信保险资管安鑫纯债8号集合资产管理计划</w:t>
            </w:r>
          </w:p>
        </w:tc>
        <w:tc>
          <w:tcPr>
            <w:tcW w:w="2835" w:type="dxa"/>
          </w:tcPr>
          <w:p w:rsidR="00DB1A6C" w:rsidRDefault="005159E7">
            <w:pPr>
              <w:jc w:val="center"/>
            </w:pPr>
            <w:r>
              <w:rPr>
                <w:rFonts w:ascii="仿宋_GB2312" w:eastAsia="仿宋_GB2312" w:hAnsi="Calibri" w:cs="宋体"/>
                <w:color w:val="000000"/>
                <w:sz w:val="24"/>
              </w:rPr>
              <w:t>842,136,574.70</w:t>
            </w:r>
          </w:p>
        </w:tc>
        <w:tc>
          <w:tcPr>
            <w:tcW w:w="2835"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9.3</w:t>
            </w:r>
            <w:r w:rsidR="008B33C0">
              <w:rPr>
                <w:rFonts w:ascii="仿宋_GB2312" w:eastAsia="仿宋_GB2312" w:hAnsi="Calibri" w:cs="宋体" w:hint="eastAsia"/>
                <w:color w:val="000000"/>
                <w:sz w:val="24"/>
              </w:rPr>
              <w:t>2</w:t>
            </w:r>
            <w:r>
              <w:rPr>
                <w:rFonts w:ascii="仿宋_GB2312" w:eastAsia="仿宋_GB2312" w:hAnsi="Calibri" w:cs="宋体"/>
                <w:color w:val="000000"/>
                <w:sz w:val="24"/>
              </w:rPr>
              <w:t>%</w:t>
            </w:r>
          </w:p>
        </w:tc>
      </w:tr>
      <w:tr w:rsidR="00DB1A6C">
        <w:tc>
          <w:tcPr>
            <w:tcW w:w="1139" w:type="dxa"/>
          </w:tcPr>
          <w:p w:rsidR="00DB1A6C" w:rsidRDefault="005159E7">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外贸信托-永玉债券投资集合资金信托计划</w:t>
            </w:r>
          </w:p>
        </w:tc>
        <w:tc>
          <w:tcPr>
            <w:tcW w:w="2835" w:type="dxa"/>
          </w:tcPr>
          <w:p w:rsidR="00DB1A6C" w:rsidRDefault="005159E7">
            <w:pPr>
              <w:jc w:val="center"/>
            </w:pPr>
            <w:r>
              <w:rPr>
                <w:rFonts w:ascii="仿宋_GB2312" w:eastAsia="仿宋_GB2312" w:hAnsi="Calibri" w:cs="宋体"/>
                <w:color w:val="000000"/>
                <w:sz w:val="24"/>
              </w:rPr>
              <w:t>796,019,207.21</w:t>
            </w:r>
          </w:p>
        </w:tc>
        <w:tc>
          <w:tcPr>
            <w:tcW w:w="2835"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8.81%</w:t>
            </w:r>
          </w:p>
        </w:tc>
      </w:tr>
      <w:tr w:rsidR="00DB1A6C">
        <w:tc>
          <w:tcPr>
            <w:tcW w:w="1139" w:type="dxa"/>
          </w:tcPr>
          <w:p w:rsidR="00DB1A6C" w:rsidRDefault="005159E7">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百年资管弘远35号资产管理产品</w:t>
            </w:r>
          </w:p>
        </w:tc>
        <w:tc>
          <w:tcPr>
            <w:tcW w:w="2835" w:type="dxa"/>
          </w:tcPr>
          <w:p w:rsidR="00DB1A6C" w:rsidRDefault="005159E7">
            <w:pPr>
              <w:jc w:val="center"/>
            </w:pPr>
            <w:r>
              <w:rPr>
                <w:rFonts w:ascii="仿宋_GB2312" w:eastAsia="仿宋_GB2312" w:hAnsi="Calibri" w:cs="宋体"/>
                <w:color w:val="000000"/>
                <w:sz w:val="24"/>
              </w:rPr>
              <w:t>321,748,892.73</w:t>
            </w:r>
          </w:p>
        </w:tc>
        <w:tc>
          <w:tcPr>
            <w:tcW w:w="2835"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3.56%</w:t>
            </w:r>
          </w:p>
        </w:tc>
      </w:tr>
      <w:tr w:rsidR="00DB1A6C">
        <w:tc>
          <w:tcPr>
            <w:tcW w:w="1139" w:type="dxa"/>
          </w:tcPr>
          <w:p w:rsidR="00DB1A6C" w:rsidRDefault="005159E7">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20长控01</w:t>
            </w:r>
          </w:p>
        </w:tc>
        <w:tc>
          <w:tcPr>
            <w:tcW w:w="2835" w:type="dxa"/>
          </w:tcPr>
          <w:p w:rsidR="00DB1A6C" w:rsidRDefault="005159E7">
            <w:pPr>
              <w:jc w:val="center"/>
            </w:pPr>
            <w:r>
              <w:rPr>
                <w:rFonts w:ascii="仿宋_GB2312" w:eastAsia="仿宋_GB2312" w:hAnsi="Calibri" w:cs="宋体"/>
                <w:color w:val="000000"/>
                <w:sz w:val="24"/>
              </w:rPr>
              <w:t>204,599,182.24</w:t>
            </w:r>
          </w:p>
        </w:tc>
        <w:tc>
          <w:tcPr>
            <w:tcW w:w="2835"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2.27%</w:t>
            </w:r>
          </w:p>
        </w:tc>
      </w:tr>
      <w:tr w:rsidR="00DB1A6C">
        <w:tc>
          <w:tcPr>
            <w:tcW w:w="1139" w:type="dxa"/>
          </w:tcPr>
          <w:p w:rsidR="00DB1A6C" w:rsidRDefault="005159E7">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24民生银行CD074</w:t>
            </w:r>
          </w:p>
        </w:tc>
        <w:tc>
          <w:tcPr>
            <w:tcW w:w="2835" w:type="dxa"/>
          </w:tcPr>
          <w:p w:rsidR="00DB1A6C" w:rsidRDefault="005159E7">
            <w:pPr>
              <w:jc w:val="center"/>
            </w:pPr>
            <w:r>
              <w:rPr>
                <w:rFonts w:ascii="仿宋_GB2312" w:eastAsia="仿宋_GB2312" w:hAnsi="Calibri" w:cs="宋体"/>
                <w:color w:val="000000"/>
                <w:sz w:val="24"/>
              </w:rPr>
              <w:t>195,963,791.67</w:t>
            </w:r>
          </w:p>
        </w:tc>
        <w:tc>
          <w:tcPr>
            <w:tcW w:w="2835"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2.17%</w:t>
            </w:r>
          </w:p>
        </w:tc>
      </w:tr>
      <w:tr w:rsidR="00DB1A6C">
        <w:tc>
          <w:tcPr>
            <w:tcW w:w="1139" w:type="dxa"/>
          </w:tcPr>
          <w:p w:rsidR="00DB1A6C" w:rsidRDefault="005159E7">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21桂北01</w:t>
            </w:r>
          </w:p>
        </w:tc>
        <w:tc>
          <w:tcPr>
            <w:tcW w:w="2835" w:type="dxa"/>
          </w:tcPr>
          <w:p w:rsidR="00DB1A6C" w:rsidRDefault="005159E7">
            <w:pPr>
              <w:jc w:val="center"/>
            </w:pPr>
            <w:r>
              <w:rPr>
                <w:rFonts w:ascii="仿宋_GB2312" w:eastAsia="仿宋_GB2312" w:hAnsi="Calibri" w:cs="宋体"/>
                <w:color w:val="000000"/>
                <w:sz w:val="24"/>
              </w:rPr>
              <w:t>114,222,448.17</w:t>
            </w:r>
          </w:p>
        </w:tc>
        <w:tc>
          <w:tcPr>
            <w:tcW w:w="2835" w:type="dxa"/>
            <w:tcMar>
              <w:top w:w="15" w:type="dxa"/>
              <w:left w:w="15" w:type="dxa"/>
              <w:bottom w:w="0" w:type="dxa"/>
              <w:right w:w="15" w:type="dxa"/>
            </w:tcMar>
          </w:tcPr>
          <w:p w:rsidR="00DB1A6C" w:rsidRDefault="005159E7">
            <w:pPr>
              <w:jc w:val="center"/>
            </w:pPr>
            <w:r>
              <w:rPr>
                <w:rFonts w:ascii="仿宋_GB2312" w:eastAsia="仿宋_GB2312" w:hAnsi="Calibri" w:cs="宋体"/>
                <w:color w:val="000000"/>
                <w:sz w:val="24"/>
              </w:rPr>
              <w:t>1.26%</w:t>
            </w:r>
          </w:p>
        </w:tc>
      </w:tr>
    </w:tbl>
    <w:p w:rsidR="00F63FAF" w:rsidRPr="003723EF" w:rsidRDefault="00F63FAF" w:rsidP="00F63FA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F63FAF" w:rsidRDefault="00F63FAF" w:rsidP="00F63FA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F63FAF" w:rsidRDefault="00DE496A" w:rsidP="00DE496A">
      <w:pPr>
        <w:rPr>
          <w:rFonts w:ascii="仿宋_GB2312" w:eastAsia="仿宋_GB2312" w:hAnsi="Calibri"/>
          <w:sz w:val="24"/>
          <w:szCs w:val="24"/>
        </w:rPr>
      </w:pPr>
    </w:p>
    <w:p w:rsidR="00DE496A" w:rsidRPr="00673698"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673698">
        <w:rPr>
          <w:rFonts w:ascii="仿宋_GB2312" w:eastAsia="仿宋_GB2312"/>
          <w:b/>
          <w:bCs/>
          <w:sz w:val="28"/>
          <w:szCs w:val="24"/>
        </w:rPr>
        <w:t xml:space="preserve"> </w:t>
      </w:r>
      <w:r w:rsidRPr="00673698">
        <w:rPr>
          <w:rFonts w:ascii="仿宋_GB2312" w:eastAsia="仿宋_GB2312" w:hAnsiTheme="minorEastAsia"/>
          <w:b/>
          <w:bCs/>
          <w:sz w:val="28"/>
          <w:szCs w:val="24"/>
        </w:rPr>
        <w:t>4.4报告期末非标准化债权</w:t>
      </w:r>
      <w:r w:rsidRPr="00673698">
        <w:rPr>
          <w:rStyle w:val="a9"/>
          <w:rFonts w:ascii="仿宋_GB2312" w:eastAsia="仿宋_GB2312" w:hAnsiTheme="minorEastAsia"/>
          <w:b/>
          <w:bCs/>
          <w:sz w:val="28"/>
          <w:szCs w:val="24"/>
        </w:rPr>
        <w:footnoteReference w:id="3"/>
      </w:r>
      <w:r w:rsidRPr="00673698">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177133">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177133">
              <w:rPr>
                <w:rFonts w:ascii="仿宋_GB2312" w:eastAsia="仿宋_GB2312" w:hAnsiTheme="minorEastAsia" w:hint="eastAsia"/>
                <w:bCs/>
                <w:sz w:val="24"/>
                <w:szCs w:val="24"/>
              </w:rPr>
              <w:t>（天</w:t>
            </w:r>
            <w:r w:rsidR="00177133">
              <w:rPr>
                <w:rFonts w:ascii="仿宋_GB2312" w:eastAsia="仿宋_GB2312" w:hAnsiTheme="minorEastAsia"/>
                <w:bCs/>
                <w:sz w:val="24"/>
                <w:szCs w:val="24"/>
              </w:rPr>
              <w:t>）</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177133">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lastRenderedPageBreak/>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r w:rsidR="008D2272">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F63FAF" w:rsidRPr="00792F91" w:rsidRDefault="00F63FAF" w:rsidP="00F63FA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F63FAF" w:rsidRDefault="00F63FAF" w:rsidP="00F63FA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F63FAF" w:rsidRPr="006508A1" w:rsidRDefault="00F63FAF" w:rsidP="00F63FAF">
      <w:pPr>
        <w:snapToGrid w:val="0"/>
        <w:spacing w:line="360" w:lineRule="auto"/>
        <w:ind w:firstLine="480"/>
        <w:rPr>
          <w:rFonts w:ascii="仿宋_GB2312" w:eastAsia="仿宋_GB2312" w:hAnsiTheme="minorEastAsia"/>
          <w:bCs/>
          <w:sz w:val="24"/>
          <w:szCs w:val="24"/>
        </w:rPr>
      </w:pPr>
    </w:p>
    <w:p w:rsidR="00310434" w:rsidRPr="00673698" w:rsidRDefault="00310434" w:rsidP="00310434">
      <w:pPr>
        <w:snapToGrid w:val="0"/>
        <w:spacing w:line="360" w:lineRule="auto"/>
        <w:rPr>
          <w:rFonts w:ascii="仿宋_GB2312" w:eastAsia="仿宋_GB2312" w:hAnsi="宋体"/>
          <w:b/>
          <w:color w:val="000000" w:themeColor="text1"/>
          <w:sz w:val="28"/>
          <w:szCs w:val="24"/>
        </w:rPr>
      </w:pPr>
      <w:r w:rsidRPr="00673698">
        <w:rPr>
          <w:rFonts w:ascii="仿宋_GB2312" w:eastAsia="仿宋_GB2312" w:hAnsi="宋体" w:hint="eastAsia"/>
          <w:b/>
          <w:color w:val="000000" w:themeColor="text1"/>
          <w:sz w:val="28"/>
          <w:szCs w:val="24"/>
        </w:rPr>
        <w:t>5. 投资者信息</w:t>
      </w:r>
    </w:p>
    <w:p w:rsidR="00310434" w:rsidRPr="00673698" w:rsidRDefault="00310434" w:rsidP="00310434">
      <w:pPr>
        <w:snapToGrid w:val="0"/>
        <w:spacing w:line="360" w:lineRule="auto"/>
        <w:ind w:firstLineChars="200" w:firstLine="562"/>
        <w:rPr>
          <w:rFonts w:ascii="仿宋_GB2312" w:eastAsia="仿宋_GB2312" w:hAnsi="宋体"/>
          <w:b/>
          <w:color w:val="000000" w:themeColor="text1"/>
          <w:sz w:val="28"/>
          <w:szCs w:val="24"/>
        </w:rPr>
      </w:pPr>
      <w:r w:rsidRPr="00673698">
        <w:rPr>
          <w:rFonts w:ascii="仿宋_GB2312" w:eastAsia="仿宋_GB2312" w:hAnsi="宋体" w:hint="eastAsia"/>
          <w:b/>
          <w:color w:val="000000" w:themeColor="text1"/>
          <w:sz w:val="28"/>
          <w:szCs w:val="24"/>
        </w:rPr>
        <w:t xml:space="preserve">5.1 </w:t>
      </w:r>
      <w:r w:rsidR="00CC27D0" w:rsidRPr="00CC27D0">
        <w:rPr>
          <w:rFonts w:ascii="仿宋_GB2312" w:eastAsia="仿宋_GB2312" w:hAnsi="宋体" w:hint="eastAsia"/>
          <w:b/>
          <w:color w:val="000000" w:themeColor="text1"/>
          <w:sz w:val="28"/>
          <w:szCs w:val="24"/>
        </w:rPr>
        <w:t>报告期末产品</w:t>
      </w:r>
      <w:r w:rsidRPr="00673698">
        <w:rPr>
          <w:rFonts w:ascii="仿宋_GB2312" w:eastAsia="仿宋_GB2312" w:hAnsi="宋体" w:hint="eastAsia"/>
          <w:b/>
          <w:color w:val="000000" w:themeColor="text1"/>
          <w:sz w:val="28"/>
          <w:szCs w:val="24"/>
        </w:rPr>
        <w:t>前十大投资者</w:t>
      </w:r>
    </w:p>
    <w:tbl>
      <w:tblPr>
        <w:tblW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3119"/>
        <w:gridCol w:w="1843"/>
        <w:gridCol w:w="2976"/>
      </w:tblGrid>
      <w:tr w:rsidR="004F4628" w:rsidTr="004F4628">
        <w:trPr>
          <w:trHeight w:val="334"/>
        </w:trPr>
        <w:tc>
          <w:tcPr>
            <w:tcW w:w="112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Theme="minorEastAsia" w:hint="eastAsia"/>
                <w:bCs/>
                <w:sz w:val="24"/>
                <w:szCs w:val="24"/>
              </w:rPr>
              <w:t>投资者类别</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628" w:rsidRDefault="004F4628">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Theme="minorEastAsia" w:hint="eastAsia"/>
                <w:bCs/>
                <w:sz w:val="24"/>
                <w:szCs w:val="24"/>
              </w:rPr>
              <w:t>金额（元）</w:t>
            </w:r>
          </w:p>
        </w:tc>
        <w:tc>
          <w:tcPr>
            <w:tcW w:w="2976" w:type="dxa"/>
            <w:tcBorders>
              <w:top w:val="single" w:sz="4" w:space="0" w:color="auto"/>
              <w:left w:val="single" w:sz="4" w:space="0" w:color="auto"/>
              <w:bottom w:val="single" w:sz="4" w:space="0" w:color="auto"/>
              <w:right w:val="single" w:sz="4" w:space="0" w:color="auto"/>
            </w:tcBorders>
            <w:vAlign w:val="center"/>
            <w:hideMark/>
          </w:tcPr>
          <w:p w:rsidR="004F4628" w:rsidRDefault="004F4628">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Theme="minorEastAsia" w:hint="eastAsia"/>
                <w:bCs/>
                <w:sz w:val="24"/>
                <w:szCs w:val="24"/>
              </w:rPr>
              <w:t>占产品规模比例</w:t>
            </w:r>
          </w:p>
        </w:tc>
      </w:tr>
      <w:tr w:rsidR="004F4628" w:rsidTr="004F4628">
        <w:trPr>
          <w:trHeight w:val="16"/>
        </w:trPr>
        <w:tc>
          <w:tcPr>
            <w:tcW w:w="112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628" w:rsidRDefault="004F4628">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50648820.12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F4628" w:rsidRDefault="004F4628">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0.56%</w:t>
            </w:r>
          </w:p>
        </w:tc>
      </w:tr>
      <w:tr w:rsidR="004F4628" w:rsidTr="004F4628">
        <w:tc>
          <w:tcPr>
            <w:tcW w:w="112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rPr>
                <w:rFonts w:hint="eastAsia"/>
              </w:rPr>
            </w:pPr>
            <w:r>
              <w:rPr>
                <w:rFonts w:ascii="仿宋_GB2312" w:eastAsia="仿宋_GB2312" w:hAnsi="Calibri" w:cs="宋体" w:hint="eastAsia"/>
                <w:color w:val="000000"/>
                <w:sz w:val="24"/>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29108745.93</w:t>
            </w:r>
          </w:p>
        </w:tc>
        <w:tc>
          <w:tcPr>
            <w:tcW w:w="2976"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0.32%</w:t>
            </w:r>
          </w:p>
        </w:tc>
      </w:tr>
      <w:tr w:rsidR="004F4628" w:rsidTr="004F4628">
        <w:tc>
          <w:tcPr>
            <w:tcW w:w="112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27347655.17</w:t>
            </w:r>
          </w:p>
        </w:tc>
        <w:tc>
          <w:tcPr>
            <w:tcW w:w="2976"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0.30%</w:t>
            </w:r>
          </w:p>
        </w:tc>
      </w:tr>
      <w:tr w:rsidR="004F4628" w:rsidTr="004F4628">
        <w:tc>
          <w:tcPr>
            <w:tcW w:w="112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26331869.89</w:t>
            </w:r>
          </w:p>
        </w:tc>
        <w:tc>
          <w:tcPr>
            <w:tcW w:w="2976"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0.29%</w:t>
            </w:r>
          </w:p>
        </w:tc>
      </w:tr>
      <w:tr w:rsidR="004F4628" w:rsidTr="004F4628">
        <w:tc>
          <w:tcPr>
            <w:tcW w:w="112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24323406.20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0.27%</w:t>
            </w:r>
          </w:p>
        </w:tc>
      </w:tr>
      <w:tr w:rsidR="004F4628" w:rsidTr="004F4628">
        <w:tc>
          <w:tcPr>
            <w:tcW w:w="112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19545475.24</w:t>
            </w:r>
          </w:p>
        </w:tc>
        <w:tc>
          <w:tcPr>
            <w:tcW w:w="2976"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0.22%</w:t>
            </w:r>
          </w:p>
        </w:tc>
      </w:tr>
      <w:tr w:rsidR="004F4628" w:rsidTr="004F4628">
        <w:tc>
          <w:tcPr>
            <w:tcW w:w="112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17792524.03</w:t>
            </w:r>
          </w:p>
        </w:tc>
        <w:tc>
          <w:tcPr>
            <w:tcW w:w="2976"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0.20%</w:t>
            </w:r>
          </w:p>
        </w:tc>
      </w:tr>
      <w:tr w:rsidR="004F4628" w:rsidTr="004F4628">
        <w:tc>
          <w:tcPr>
            <w:tcW w:w="112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16198041.05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0.18%</w:t>
            </w:r>
          </w:p>
        </w:tc>
      </w:tr>
      <w:tr w:rsidR="004F4628" w:rsidTr="004F4628">
        <w:tc>
          <w:tcPr>
            <w:tcW w:w="112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15584807.58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0.17%</w:t>
            </w:r>
          </w:p>
        </w:tc>
      </w:tr>
      <w:tr w:rsidR="004F4628" w:rsidTr="004F4628">
        <w:tc>
          <w:tcPr>
            <w:tcW w:w="112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15439317.01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F4628" w:rsidRDefault="004F4628">
            <w:pPr>
              <w:jc w:val="center"/>
            </w:pPr>
            <w:r>
              <w:rPr>
                <w:rFonts w:ascii="仿宋_GB2312" w:eastAsia="仿宋_GB2312" w:hAnsi="Calibri" w:cs="宋体" w:hint="eastAsia"/>
                <w:color w:val="000000"/>
                <w:sz w:val="24"/>
              </w:rPr>
              <w:t>0.17%</w:t>
            </w:r>
          </w:p>
        </w:tc>
      </w:tr>
    </w:tbl>
    <w:p w:rsidR="00310434" w:rsidRPr="004F4628" w:rsidRDefault="00310434" w:rsidP="00310434">
      <w:pPr>
        <w:snapToGrid w:val="0"/>
        <w:spacing w:line="360" w:lineRule="auto"/>
        <w:ind w:firstLineChars="200" w:firstLine="482"/>
        <w:rPr>
          <w:rFonts w:ascii="仿宋_GB2312" w:eastAsia="仿宋_GB2312" w:hAnsi="宋体"/>
          <w:b/>
          <w:color w:val="000000" w:themeColor="text1"/>
          <w:sz w:val="24"/>
          <w:szCs w:val="24"/>
        </w:rPr>
      </w:pPr>
      <w:bookmarkStart w:id="0" w:name="_GoBack"/>
      <w:bookmarkEnd w:id="0"/>
    </w:p>
    <w:p w:rsidR="00310434" w:rsidRPr="00673698" w:rsidRDefault="00310434" w:rsidP="00310434">
      <w:pPr>
        <w:snapToGrid w:val="0"/>
        <w:spacing w:line="360" w:lineRule="auto"/>
        <w:ind w:firstLineChars="200" w:firstLine="562"/>
        <w:rPr>
          <w:rFonts w:ascii="仿宋_GB2312" w:eastAsia="仿宋_GB2312" w:hAnsi="宋体"/>
          <w:b/>
          <w:color w:val="000000" w:themeColor="text1"/>
          <w:sz w:val="28"/>
          <w:szCs w:val="24"/>
        </w:rPr>
      </w:pPr>
      <w:r w:rsidRPr="00673698">
        <w:rPr>
          <w:rFonts w:ascii="仿宋_GB2312" w:eastAsia="仿宋_GB2312" w:hAnsi="宋体" w:hint="eastAsia"/>
          <w:b/>
          <w:color w:val="000000" w:themeColor="text1"/>
          <w:sz w:val="28"/>
          <w:szCs w:val="24"/>
        </w:rPr>
        <w:t xml:space="preserve">5.2 </w:t>
      </w:r>
      <w:r w:rsidR="00CC27D0" w:rsidRPr="00CC27D0">
        <w:rPr>
          <w:rFonts w:ascii="仿宋_GB2312" w:eastAsia="仿宋_GB2312" w:hAnsi="宋体" w:hint="eastAsia"/>
          <w:b/>
          <w:color w:val="000000" w:themeColor="text1"/>
          <w:sz w:val="28"/>
          <w:szCs w:val="24"/>
        </w:rPr>
        <w:t>报告期内</w:t>
      </w:r>
      <w:r w:rsidRPr="00673698">
        <w:rPr>
          <w:rFonts w:ascii="仿宋_GB2312" w:eastAsia="仿宋_GB2312" w:hAnsi="宋体" w:hint="eastAsia"/>
          <w:b/>
          <w:color w:val="000000" w:themeColor="text1"/>
          <w:sz w:val="28"/>
          <w:szCs w:val="24"/>
        </w:rPr>
        <w:t>持有份额达到或者超过20%的单一投资者</w:t>
      </w:r>
    </w:p>
    <w:tbl>
      <w:tblPr>
        <w:tblStyle w:val="ab"/>
        <w:tblpPr w:leftFromText="189" w:rightFromText="189" w:vertAnchor="text"/>
        <w:tblW w:w="9606" w:type="dxa"/>
        <w:tblLayout w:type="fixed"/>
        <w:tblLook w:val="04A0" w:firstRow="1" w:lastRow="0" w:firstColumn="1" w:lastColumn="0" w:noHBand="0" w:noVBand="1"/>
      </w:tblPr>
      <w:tblGrid>
        <w:gridCol w:w="736"/>
        <w:gridCol w:w="1640"/>
        <w:gridCol w:w="993"/>
        <w:gridCol w:w="1701"/>
        <w:gridCol w:w="1559"/>
        <w:gridCol w:w="1701"/>
        <w:gridCol w:w="1276"/>
      </w:tblGrid>
      <w:tr w:rsidR="0016364F" w:rsidRPr="00105BC9" w:rsidTr="002A3E7B">
        <w:trPr>
          <w:trHeight w:val="224"/>
        </w:trPr>
        <w:tc>
          <w:tcPr>
            <w:tcW w:w="736" w:type="dxa"/>
            <w:vAlign w:val="center"/>
            <w:hideMark/>
          </w:tcPr>
          <w:p w:rsidR="0016364F" w:rsidRPr="00105BC9" w:rsidRDefault="0016364F" w:rsidP="002A3E7B">
            <w:pPr>
              <w:snapToGrid w:val="0"/>
              <w:spacing w:line="360" w:lineRule="auto"/>
              <w:jc w:val="center"/>
              <w:textAlignment w:val="center"/>
              <w:rPr>
                <w:rFonts w:ascii="仿宋_GB2312" w:eastAsia="仿宋_GB2312" w:hAnsi="宋体"/>
                <w:sz w:val="24"/>
              </w:rPr>
            </w:pPr>
            <w:r w:rsidRPr="00105BC9">
              <w:rPr>
                <w:rFonts w:ascii="仿宋_GB2312" w:eastAsia="仿宋_GB2312" w:hAnsi="宋体" w:hint="eastAsia"/>
                <w:sz w:val="24"/>
              </w:rPr>
              <w:t>序号</w:t>
            </w:r>
          </w:p>
        </w:tc>
        <w:tc>
          <w:tcPr>
            <w:tcW w:w="1640" w:type="dxa"/>
            <w:vAlign w:val="center"/>
          </w:tcPr>
          <w:p w:rsidR="0016364F" w:rsidRPr="00105BC9" w:rsidRDefault="0016364F" w:rsidP="002A3E7B">
            <w:pPr>
              <w:snapToGrid w:val="0"/>
              <w:spacing w:line="360" w:lineRule="auto"/>
              <w:jc w:val="center"/>
              <w:textAlignment w:val="center"/>
              <w:rPr>
                <w:rFonts w:ascii="仿宋_GB2312" w:eastAsia="仿宋_GB2312" w:hAnsi="宋体"/>
                <w:sz w:val="24"/>
              </w:rPr>
            </w:pPr>
            <w:r>
              <w:rPr>
                <w:rFonts w:ascii="仿宋_GB2312" w:eastAsia="仿宋_GB2312" w:hAnsi="宋体" w:hint="eastAsia"/>
                <w:sz w:val="24"/>
              </w:rPr>
              <w:t>日期</w:t>
            </w:r>
          </w:p>
        </w:tc>
        <w:tc>
          <w:tcPr>
            <w:tcW w:w="993" w:type="dxa"/>
            <w:vAlign w:val="center"/>
            <w:hideMark/>
          </w:tcPr>
          <w:p w:rsidR="0016364F" w:rsidRPr="00105BC9" w:rsidRDefault="0016364F" w:rsidP="002A3E7B">
            <w:pPr>
              <w:snapToGrid w:val="0"/>
              <w:spacing w:line="360" w:lineRule="auto"/>
              <w:jc w:val="center"/>
              <w:rPr>
                <w:rFonts w:ascii="仿宋_GB2312" w:eastAsia="仿宋_GB2312" w:hAnsi="宋体"/>
                <w:color w:val="000000"/>
                <w:sz w:val="24"/>
              </w:rPr>
            </w:pPr>
            <w:r w:rsidRPr="00105BC9">
              <w:rPr>
                <w:rFonts w:ascii="仿宋_GB2312" w:eastAsia="仿宋_GB2312" w:hAnsi="宋体" w:hint="eastAsia"/>
                <w:sz w:val="24"/>
              </w:rPr>
              <w:t>投资者类别</w:t>
            </w:r>
          </w:p>
        </w:tc>
        <w:tc>
          <w:tcPr>
            <w:tcW w:w="1701"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持有份额</w:t>
            </w:r>
          </w:p>
        </w:tc>
        <w:tc>
          <w:tcPr>
            <w:tcW w:w="1559"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持有份额占总份额比例</w:t>
            </w:r>
          </w:p>
        </w:tc>
        <w:tc>
          <w:tcPr>
            <w:tcW w:w="1701"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持有份额变化情况</w:t>
            </w:r>
          </w:p>
        </w:tc>
        <w:tc>
          <w:tcPr>
            <w:tcW w:w="1276"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产品风险信息</w:t>
            </w:r>
          </w:p>
        </w:tc>
      </w:tr>
      <w:tr w:rsidR="0016364F" w:rsidRPr="00105BC9" w:rsidTr="002A3E7B">
        <w:trPr>
          <w:trHeight w:val="10"/>
        </w:trPr>
        <w:tc>
          <w:tcPr>
            <w:tcW w:w="736"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Pr>
                <w:rFonts w:ascii="仿宋_GB2312" w:eastAsia="仿宋_GB2312" w:hAnsi="Calibri" w:cs="宋体"/>
                <w:color w:val="000000"/>
                <w:sz w:val="24"/>
                <w:szCs w:val="24"/>
              </w:rPr>
              <w:t>-</w:t>
            </w:r>
          </w:p>
        </w:tc>
        <w:tc>
          <w:tcPr>
            <w:tcW w:w="1640" w:type="dxa"/>
            <w:vAlign w:val="center"/>
          </w:tcPr>
          <w:p w:rsidR="0016364F" w:rsidRPr="00DD7BD2" w:rsidRDefault="0016364F" w:rsidP="002A3E7B">
            <w:pPr>
              <w:snapToGrid w:val="0"/>
              <w:spacing w:line="360" w:lineRule="auto"/>
              <w:jc w:val="center"/>
              <w:rPr>
                <w:rFonts w:ascii="仿宋_GB2312" w:eastAsia="仿宋_GB2312" w:hAnsi="宋体"/>
                <w:sz w:val="24"/>
              </w:rPr>
            </w:pPr>
          </w:p>
        </w:tc>
        <w:tc>
          <w:tcPr>
            <w:tcW w:w="993"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Pr>
                <w:rFonts w:ascii="仿宋_GB2312" w:eastAsia="仿宋_GB2312" w:hAnsi="宋体"/>
                <w:sz w:val="24"/>
              </w:rPr>
              <w:t>-</w:t>
            </w:r>
          </w:p>
        </w:tc>
        <w:tc>
          <w:tcPr>
            <w:tcW w:w="1701" w:type="dxa"/>
            <w:vAlign w:val="center"/>
            <w:hideMark/>
          </w:tcPr>
          <w:p w:rsidR="0016364F" w:rsidRPr="005A4690" w:rsidRDefault="0016364F" w:rsidP="002A3E7B">
            <w:pPr>
              <w:spacing w:line="360" w:lineRule="auto"/>
              <w:jc w:val="center"/>
              <w:rPr>
                <w:rFonts w:ascii="仿宋_GB2312" w:eastAsia="仿宋_GB2312" w:hAnsi="宋体"/>
                <w:sz w:val="24"/>
              </w:rPr>
            </w:pPr>
            <w:r>
              <w:rPr>
                <w:rFonts w:ascii="仿宋_GB2312" w:eastAsia="仿宋_GB2312" w:hAnsi="宋体"/>
                <w:sz w:val="24"/>
              </w:rPr>
              <w:t>-</w:t>
            </w:r>
          </w:p>
        </w:tc>
        <w:tc>
          <w:tcPr>
            <w:tcW w:w="1559" w:type="dxa"/>
            <w:vAlign w:val="center"/>
            <w:hideMark/>
          </w:tcPr>
          <w:p w:rsidR="0016364F" w:rsidRPr="00105BC9" w:rsidRDefault="0016364F" w:rsidP="002A3E7B">
            <w:pPr>
              <w:spacing w:line="360" w:lineRule="auto"/>
              <w:jc w:val="center"/>
              <w:rPr>
                <w:rFonts w:ascii="仿宋_GB2312" w:eastAsia="仿宋_GB2312" w:hAnsi="宋体"/>
                <w:sz w:val="24"/>
              </w:rPr>
            </w:pPr>
            <w:r>
              <w:rPr>
                <w:rFonts w:ascii="仿宋_GB2312" w:eastAsia="仿宋_GB2312" w:hAnsi="宋体"/>
                <w:sz w:val="24"/>
              </w:rPr>
              <w:t>-</w:t>
            </w:r>
          </w:p>
        </w:tc>
        <w:tc>
          <w:tcPr>
            <w:tcW w:w="1701" w:type="dxa"/>
            <w:vAlign w:val="center"/>
          </w:tcPr>
          <w:p w:rsidR="0016364F" w:rsidRPr="00105BC9" w:rsidRDefault="0016364F" w:rsidP="002A3E7B">
            <w:pPr>
              <w:spacing w:line="360" w:lineRule="auto"/>
              <w:jc w:val="center"/>
              <w:rPr>
                <w:rFonts w:ascii="仿宋_GB2312" w:eastAsia="仿宋_GB2312" w:hAnsi="宋体" w:cs="宋体"/>
                <w:sz w:val="24"/>
              </w:rPr>
            </w:pPr>
            <w:r>
              <w:rPr>
                <w:rFonts w:ascii="仿宋_GB2312" w:eastAsia="仿宋_GB2312" w:hAnsi="宋体"/>
                <w:sz w:val="24"/>
              </w:rPr>
              <w:t>-</w:t>
            </w:r>
          </w:p>
        </w:tc>
        <w:tc>
          <w:tcPr>
            <w:tcW w:w="1276" w:type="dxa"/>
            <w:vAlign w:val="center"/>
          </w:tcPr>
          <w:p w:rsidR="0016364F" w:rsidRPr="00105BC9" w:rsidRDefault="0016364F" w:rsidP="002A3E7B">
            <w:pPr>
              <w:spacing w:line="360" w:lineRule="auto"/>
              <w:jc w:val="center"/>
              <w:rPr>
                <w:rFonts w:ascii="仿宋_GB2312" w:eastAsia="仿宋_GB2312" w:hAnsi="宋体"/>
                <w:sz w:val="24"/>
              </w:rPr>
            </w:pPr>
            <w:r>
              <w:rPr>
                <w:rFonts w:ascii="仿宋_GB2312" w:eastAsia="仿宋_GB2312" w:hAnsi="宋体"/>
                <w:sz w:val="24"/>
              </w:rPr>
              <w:t>-</w:t>
            </w:r>
          </w:p>
        </w:tc>
      </w:tr>
    </w:tbl>
    <w:p w:rsidR="00310434" w:rsidRPr="0016364F" w:rsidRDefault="00310434" w:rsidP="009D54D8">
      <w:pPr>
        <w:snapToGrid w:val="0"/>
        <w:spacing w:line="360" w:lineRule="auto"/>
        <w:rPr>
          <w:rFonts w:ascii="仿宋_GB2312" w:eastAsia="仿宋_GB2312"/>
          <w:b/>
          <w:sz w:val="24"/>
          <w:szCs w:val="24"/>
        </w:rPr>
      </w:pPr>
    </w:p>
    <w:p w:rsidR="009D54D8" w:rsidRPr="00673698" w:rsidRDefault="00A71EBD" w:rsidP="009D54D8">
      <w:pPr>
        <w:snapToGrid w:val="0"/>
        <w:spacing w:line="360" w:lineRule="auto"/>
        <w:rPr>
          <w:rFonts w:ascii="仿宋_GB2312" w:eastAsia="仿宋_GB2312"/>
          <w:b/>
          <w:sz w:val="28"/>
          <w:szCs w:val="24"/>
        </w:rPr>
      </w:pPr>
      <w:r w:rsidRPr="00673698">
        <w:rPr>
          <w:rFonts w:ascii="仿宋_GB2312" w:eastAsia="仿宋_GB2312" w:hint="eastAsia"/>
          <w:b/>
          <w:sz w:val="28"/>
          <w:szCs w:val="24"/>
        </w:rPr>
        <w:t>6.</w:t>
      </w:r>
      <w:r w:rsidR="009D54D8" w:rsidRPr="00673698">
        <w:rPr>
          <w:rFonts w:ascii="仿宋_GB2312" w:eastAsia="仿宋_GB2312" w:hint="eastAsia"/>
          <w:b/>
          <w:sz w:val="28"/>
          <w:szCs w:val="24"/>
        </w:rPr>
        <w:t>关联交易</w:t>
      </w:r>
    </w:p>
    <w:p w:rsidR="00F63FAF" w:rsidRPr="00C53238" w:rsidRDefault="00F63FAF" w:rsidP="00F63FAF">
      <w:pPr>
        <w:rPr>
          <w:rFonts w:ascii="仿宋_GB2312" w:eastAsia="仿宋_GB2312" w:hAnsi="仿宋_GB2312" w:cs="仿宋_GB2312"/>
          <w:b/>
          <w:sz w:val="28"/>
        </w:rPr>
      </w:pPr>
      <w:r>
        <w:rPr>
          <w:rFonts w:ascii="仿宋_GB2312" w:eastAsia="仿宋_GB2312" w:hAnsi="仿宋_GB2312" w:cs="仿宋_GB2312"/>
          <w:b/>
          <w:sz w:val="28"/>
        </w:rPr>
        <w:t>6.1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4"/>
        <w:gridCol w:w="1128"/>
        <w:gridCol w:w="2591"/>
        <w:gridCol w:w="1747"/>
        <w:gridCol w:w="2136"/>
      </w:tblGrid>
      <w:tr w:rsidR="00792B1D">
        <w:tc>
          <w:tcPr>
            <w:tcW w:w="1000" w:type="dxa"/>
            <w:vAlign w:val="center"/>
          </w:tcPr>
          <w:p w:rsidR="00792B1D" w:rsidRDefault="001722D5">
            <w:pPr>
              <w:jc w:val="center"/>
            </w:pPr>
            <w:r>
              <w:rPr>
                <w:rFonts w:ascii="仿宋_GB2312" w:eastAsia="仿宋_GB2312" w:hAnsi="仿宋_GB2312" w:cs="仿宋_GB2312"/>
                <w:sz w:val="24"/>
              </w:rPr>
              <w:t>序号</w:t>
            </w:r>
          </w:p>
        </w:tc>
        <w:tc>
          <w:tcPr>
            <w:tcW w:w="1500" w:type="dxa"/>
            <w:vAlign w:val="center"/>
          </w:tcPr>
          <w:p w:rsidR="00792B1D" w:rsidRDefault="001722D5">
            <w:pPr>
              <w:jc w:val="center"/>
            </w:pPr>
            <w:r>
              <w:rPr>
                <w:rFonts w:ascii="仿宋_GB2312" w:eastAsia="仿宋_GB2312" w:hAnsi="仿宋_GB2312" w:cs="仿宋_GB2312"/>
                <w:sz w:val="24"/>
              </w:rPr>
              <w:t>交易日期</w:t>
            </w:r>
          </w:p>
        </w:tc>
        <w:tc>
          <w:tcPr>
            <w:tcW w:w="5000" w:type="dxa"/>
            <w:vAlign w:val="center"/>
          </w:tcPr>
          <w:p w:rsidR="00792B1D" w:rsidRDefault="001722D5">
            <w:pPr>
              <w:jc w:val="center"/>
            </w:pPr>
            <w:r>
              <w:rPr>
                <w:rFonts w:ascii="仿宋_GB2312" w:eastAsia="仿宋_GB2312" w:hAnsi="仿宋_GB2312" w:cs="仿宋_GB2312"/>
                <w:sz w:val="24"/>
              </w:rPr>
              <w:t>资产名称</w:t>
            </w:r>
          </w:p>
        </w:tc>
        <w:tc>
          <w:tcPr>
            <w:tcW w:w="2000" w:type="dxa"/>
            <w:vAlign w:val="center"/>
          </w:tcPr>
          <w:p w:rsidR="00792B1D" w:rsidRDefault="001722D5">
            <w:pPr>
              <w:jc w:val="center"/>
            </w:pPr>
            <w:r>
              <w:rPr>
                <w:rFonts w:ascii="仿宋_GB2312" w:eastAsia="仿宋_GB2312" w:hAnsi="仿宋_GB2312" w:cs="仿宋_GB2312"/>
                <w:sz w:val="24"/>
              </w:rPr>
              <w:t>交易金额（元）</w:t>
            </w:r>
          </w:p>
        </w:tc>
        <w:tc>
          <w:tcPr>
            <w:tcW w:w="4000" w:type="dxa"/>
            <w:vAlign w:val="center"/>
          </w:tcPr>
          <w:p w:rsidR="00792B1D" w:rsidRDefault="001722D5">
            <w:pPr>
              <w:jc w:val="center"/>
            </w:pPr>
            <w:r>
              <w:rPr>
                <w:rFonts w:ascii="仿宋_GB2312" w:eastAsia="仿宋_GB2312" w:hAnsi="仿宋_GB2312" w:cs="仿宋_GB2312"/>
                <w:sz w:val="24"/>
              </w:rPr>
              <w:t>关联方名称</w:t>
            </w:r>
          </w:p>
        </w:tc>
      </w:tr>
      <w:tr w:rsidR="00792B1D">
        <w:tc>
          <w:tcPr>
            <w:tcW w:w="1000" w:type="dxa"/>
            <w:vAlign w:val="center"/>
          </w:tcPr>
          <w:p w:rsidR="00792B1D" w:rsidRDefault="001722D5">
            <w:pPr>
              <w:jc w:val="center"/>
            </w:pPr>
            <w:r>
              <w:rPr>
                <w:rFonts w:ascii="仿宋_GB2312" w:eastAsia="仿宋_GB2312" w:hAnsi="仿宋_GB2312" w:cs="仿宋_GB2312"/>
                <w:sz w:val="24"/>
              </w:rPr>
              <w:t>1</w:t>
            </w:r>
          </w:p>
        </w:tc>
        <w:tc>
          <w:tcPr>
            <w:tcW w:w="1500" w:type="dxa"/>
            <w:vAlign w:val="center"/>
          </w:tcPr>
          <w:p w:rsidR="00792B1D" w:rsidRDefault="001722D5">
            <w:pPr>
              <w:jc w:val="center"/>
            </w:pPr>
            <w:r>
              <w:rPr>
                <w:rFonts w:ascii="仿宋_GB2312" w:eastAsia="仿宋_GB2312" w:hAnsi="仿宋_GB2312" w:cs="仿宋_GB2312"/>
                <w:sz w:val="24"/>
              </w:rPr>
              <w:t>2024-01-18</w:t>
            </w:r>
          </w:p>
        </w:tc>
        <w:tc>
          <w:tcPr>
            <w:tcW w:w="5000" w:type="dxa"/>
            <w:vAlign w:val="center"/>
          </w:tcPr>
          <w:p w:rsidR="00792B1D" w:rsidRDefault="001722D5">
            <w:pPr>
              <w:jc w:val="center"/>
            </w:pPr>
            <w:r>
              <w:rPr>
                <w:rFonts w:ascii="仿宋_GB2312" w:eastAsia="仿宋_GB2312" w:hAnsi="仿宋_GB2312" w:cs="仿宋_GB2312"/>
                <w:sz w:val="24"/>
              </w:rPr>
              <w:t>G22</w:t>
            </w:r>
            <w:r>
              <w:rPr>
                <w:rFonts w:ascii="仿宋_GB2312" w:eastAsia="仿宋_GB2312" w:hAnsi="仿宋_GB2312" w:cs="仿宋_GB2312"/>
                <w:sz w:val="24"/>
              </w:rPr>
              <w:t>浩吉</w:t>
            </w:r>
            <w:r>
              <w:rPr>
                <w:rFonts w:ascii="仿宋_GB2312" w:eastAsia="仿宋_GB2312" w:hAnsi="仿宋_GB2312" w:cs="仿宋_GB2312"/>
                <w:sz w:val="24"/>
              </w:rPr>
              <w:t>V</w:t>
            </w:r>
          </w:p>
        </w:tc>
        <w:tc>
          <w:tcPr>
            <w:tcW w:w="2000" w:type="dxa"/>
            <w:vAlign w:val="center"/>
          </w:tcPr>
          <w:p w:rsidR="00792B1D" w:rsidRDefault="001722D5">
            <w:pPr>
              <w:jc w:val="center"/>
            </w:pPr>
            <w:r>
              <w:rPr>
                <w:rFonts w:ascii="仿宋_GB2312" w:eastAsia="仿宋_GB2312" w:hAnsi="仿宋_GB2312" w:cs="仿宋_GB2312"/>
                <w:sz w:val="24"/>
              </w:rPr>
              <w:t>30382767.12</w:t>
            </w:r>
          </w:p>
        </w:tc>
        <w:tc>
          <w:tcPr>
            <w:tcW w:w="4000" w:type="dxa"/>
            <w:vAlign w:val="center"/>
          </w:tcPr>
          <w:p w:rsidR="00792B1D" w:rsidRDefault="001722D5">
            <w:pPr>
              <w:jc w:val="center"/>
            </w:pPr>
            <w:r>
              <w:rPr>
                <w:rFonts w:ascii="仿宋_GB2312" w:eastAsia="仿宋_GB2312" w:hAnsi="仿宋_GB2312" w:cs="仿宋_GB2312"/>
                <w:sz w:val="24"/>
              </w:rPr>
              <w:t>海通证券股份有限公司</w:t>
            </w:r>
            <w:r>
              <w:rPr>
                <w:rFonts w:ascii="仿宋_GB2312" w:eastAsia="仿宋_GB2312" w:hAnsi="仿宋_GB2312" w:cs="仿宋_GB2312"/>
                <w:sz w:val="24"/>
              </w:rPr>
              <w:t>,</w:t>
            </w:r>
            <w:r>
              <w:rPr>
                <w:rFonts w:ascii="仿宋_GB2312" w:eastAsia="仿宋_GB2312" w:hAnsi="仿宋_GB2312" w:cs="仿宋_GB2312"/>
                <w:sz w:val="24"/>
              </w:rPr>
              <w:t>国泰君安证券股份有限公司</w:t>
            </w:r>
          </w:p>
        </w:tc>
      </w:tr>
      <w:tr w:rsidR="00792B1D">
        <w:tc>
          <w:tcPr>
            <w:tcW w:w="1000" w:type="dxa"/>
            <w:vAlign w:val="center"/>
          </w:tcPr>
          <w:p w:rsidR="00792B1D" w:rsidRDefault="001722D5">
            <w:pPr>
              <w:jc w:val="center"/>
            </w:pPr>
            <w:r>
              <w:rPr>
                <w:rFonts w:ascii="仿宋_GB2312" w:eastAsia="仿宋_GB2312" w:hAnsi="仿宋_GB2312" w:cs="仿宋_GB2312"/>
                <w:sz w:val="24"/>
              </w:rPr>
              <w:lastRenderedPageBreak/>
              <w:t>2</w:t>
            </w:r>
          </w:p>
        </w:tc>
        <w:tc>
          <w:tcPr>
            <w:tcW w:w="1500" w:type="dxa"/>
            <w:vAlign w:val="center"/>
          </w:tcPr>
          <w:p w:rsidR="00792B1D" w:rsidRDefault="001722D5">
            <w:pPr>
              <w:jc w:val="center"/>
            </w:pPr>
            <w:r>
              <w:rPr>
                <w:rFonts w:ascii="仿宋_GB2312" w:eastAsia="仿宋_GB2312" w:hAnsi="仿宋_GB2312" w:cs="仿宋_GB2312"/>
                <w:sz w:val="24"/>
              </w:rPr>
              <w:t>2024-01-18</w:t>
            </w:r>
          </w:p>
        </w:tc>
        <w:tc>
          <w:tcPr>
            <w:tcW w:w="5000" w:type="dxa"/>
            <w:vAlign w:val="center"/>
          </w:tcPr>
          <w:p w:rsidR="00792B1D" w:rsidRDefault="001722D5">
            <w:pPr>
              <w:jc w:val="center"/>
            </w:pPr>
            <w:r>
              <w:rPr>
                <w:rFonts w:ascii="仿宋_GB2312" w:eastAsia="仿宋_GB2312" w:hAnsi="仿宋_GB2312" w:cs="仿宋_GB2312"/>
                <w:sz w:val="24"/>
              </w:rPr>
              <w:t>21</w:t>
            </w:r>
            <w:r>
              <w:rPr>
                <w:rFonts w:ascii="仿宋_GB2312" w:eastAsia="仿宋_GB2312" w:hAnsi="仿宋_GB2312" w:cs="仿宋_GB2312"/>
                <w:sz w:val="24"/>
              </w:rPr>
              <w:t>财金</w:t>
            </w:r>
            <w:r>
              <w:rPr>
                <w:rFonts w:ascii="仿宋_GB2312" w:eastAsia="仿宋_GB2312" w:hAnsi="仿宋_GB2312" w:cs="仿宋_GB2312"/>
                <w:sz w:val="24"/>
              </w:rPr>
              <w:t>03</w:t>
            </w:r>
          </w:p>
        </w:tc>
        <w:tc>
          <w:tcPr>
            <w:tcW w:w="2000" w:type="dxa"/>
            <w:vAlign w:val="center"/>
          </w:tcPr>
          <w:p w:rsidR="00792B1D" w:rsidRDefault="001722D5">
            <w:pPr>
              <w:jc w:val="center"/>
            </w:pPr>
            <w:r>
              <w:rPr>
                <w:rFonts w:ascii="仿宋_GB2312" w:eastAsia="仿宋_GB2312" w:hAnsi="仿宋_GB2312" w:cs="仿宋_GB2312"/>
                <w:sz w:val="24"/>
              </w:rPr>
              <w:t>10199006.85</w:t>
            </w:r>
          </w:p>
        </w:tc>
        <w:tc>
          <w:tcPr>
            <w:tcW w:w="4000" w:type="dxa"/>
            <w:vAlign w:val="center"/>
          </w:tcPr>
          <w:p w:rsidR="00792B1D" w:rsidRDefault="001722D5">
            <w:pPr>
              <w:jc w:val="center"/>
            </w:pPr>
            <w:r>
              <w:rPr>
                <w:rFonts w:ascii="仿宋_GB2312" w:eastAsia="仿宋_GB2312" w:hAnsi="仿宋_GB2312" w:cs="仿宋_GB2312"/>
                <w:sz w:val="24"/>
              </w:rPr>
              <w:t>海通证券股份有限公司</w:t>
            </w:r>
          </w:p>
        </w:tc>
      </w:tr>
      <w:tr w:rsidR="00792B1D">
        <w:tc>
          <w:tcPr>
            <w:tcW w:w="1000" w:type="dxa"/>
            <w:vAlign w:val="center"/>
          </w:tcPr>
          <w:p w:rsidR="00792B1D" w:rsidRDefault="001722D5">
            <w:pPr>
              <w:jc w:val="center"/>
            </w:pPr>
            <w:r>
              <w:rPr>
                <w:rFonts w:ascii="仿宋_GB2312" w:eastAsia="仿宋_GB2312" w:hAnsi="仿宋_GB2312" w:cs="仿宋_GB2312"/>
                <w:sz w:val="24"/>
              </w:rPr>
              <w:t>3</w:t>
            </w:r>
          </w:p>
        </w:tc>
        <w:tc>
          <w:tcPr>
            <w:tcW w:w="1500" w:type="dxa"/>
            <w:vAlign w:val="center"/>
          </w:tcPr>
          <w:p w:rsidR="00792B1D" w:rsidRDefault="001722D5">
            <w:pPr>
              <w:jc w:val="center"/>
            </w:pPr>
            <w:r>
              <w:rPr>
                <w:rFonts w:ascii="仿宋_GB2312" w:eastAsia="仿宋_GB2312" w:hAnsi="仿宋_GB2312" w:cs="仿宋_GB2312"/>
                <w:sz w:val="24"/>
              </w:rPr>
              <w:t>2024-01-17</w:t>
            </w:r>
          </w:p>
        </w:tc>
        <w:tc>
          <w:tcPr>
            <w:tcW w:w="5000" w:type="dxa"/>
            <w:vAlign w:val="center"/>
          </w:tcPr>
          <w:p w:rsidR="00792B1D" w:rsidRDefault="001722D5">
            <w:pPr>
              <w:jc w:val="center"/>
            </w:pPr>
            <w:r>
              <w:rPr>
                <w:rFonts w:ascii="仿宋_GB2312" w:eastAsia="仿宋_GB2312" w:hAnsi="仿宋_GB2312" w:cs="仿宋_GB2312"/>
                <w:sz w:val="24"/>
              </w:rPr>
              <w:t>G22</w:t>
            </w:r>
            <w:r>
              <w:rPr>
                <w:rFonts w:ascii="仿宋_GB2312" w:eastAsia="仿宋_GB2312" w:hAnsi="仿宋_GB2312" w:cs="仿宋_GB2312"/>
                <w:sz w:val="24"/>
              </w:rPr>
              <w:t>浩吉</w:t>
            </w:r>
            <w:r>
              <w:rPr>
                <w:rFonts w:ascii="仿宋_GB2312" w:eastAsia="仿宋_GB2312" w:hAnsi="仿宋_GB2312" w:cs="仿宋_GB2312"/>
                <w:sz w:val="24"/>
              </w:rPr>
              <w:t>V</w:t>
            </w:r>
          </w:p>
        </w:tc>
        <w:tc>
          <w:tcPr>
            <w:tcW w:w="2000" w:type="dxa"/>
            <w:vAlign w:val="center"/>
          </w:tcPr>
          <w:p w:rsidR="00792B1D" w:rsidRDefault="001722D5">
            <w:pPr>
              <w:jc w:val="center"/>
            </w:pPr>
            <w:r>
              <w:rPr>
                <w:rFonts w:ascii="仿宋_GB2312" w:eastAsia="仿宋_GB2312" w:hAnsi="仿宋_GB2312" w:cs="仿宋_GB2312"/>
                <w:sz w:val="24"/>
              </w:rPr>
              <w:t>10126816.44</w:t>
            </w:r>
          </w:p>
        </w:tc>
        <w:tc>
          <w:tcPr>
            <w:tcW w:w="4000" w:type="dxa"/>
            <w:vAlign w:val="center"/>
          </w:tcPr>
          <w:p w:rsidR="00792B1D" w:rsidRDefault="001722D5">
            <w:pPr>
              <w:jc w:val="center"/>
            </w:pPr>
            <w:r>
              <w:rPr>
                <w:rFonts w:ascii="仿宋_GB2312" w:eastAsia="仿宋_GB2312" w:hAnsi="仿宋_GB2312" w:cs="仿宋_GB2312"/>
                <w:sz w:val="24"/>
              </w:rPr>
              <w:t>国泰君安证券股份有限公司</w:t>
            </w:r>
            <w:r>
              <w:rPr>
                <w:rFonts w:ascii="仿宋_GB2312" w:eastAsia="仿宋_GB2312" w:hAnsi="仿宋_GB2312" w:cs="仿宋_GB2312"/>
                <w:sz w:val="24"/>
              </w:rPr>
              <w:t>,</w:t>
            </w:r>
            <w:r>
              <w:rPr>
                <w:rFonts w:ascii="仿宋_GB2312" w:eastAsia="仿宋_GB2312" w:hAnsi="仿宋_GB2312" w:cs="仿宋_GB2312"/>
                <w:sz w:val="24"/>
              </w:rPr>
              <w:t>海通证券股份有限公司</w:t>
            </w:r>
          </w:p>
        </w:tc>
      </w:tr>
    </w:tbl>
    <w:p w:rsidR="00F63FAF" w:rsidRDefault="00F63FAF" w:rsidP="00F63FAF">
      <w:r>
        <w:rPr>
          <w:rFonts w:ascii="仿宋_GB2312" w:eastAsia="仿宋_GB2312" w:hAnsi="仿宋_GB2312" w:cs="仿宋_GB2312"/>
          <w:b/>
          <w:sz w:val="28"/>
        </w:rPr>
        <w:t>6.2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269"/>
        <w:gridCol w:w="1595"/>
        <w:gridCol w:w="2650"/>
      </w:tblGrid>
      <w:tr w:rsidR="00792B1D">
        <w:tc>
          <w:tcPr>
            <w:tcW w:w="1000" w:type="dxa"/>
            <w:vAlign w:val="center"/>
          </w:tcPr>
          <w:p w:rsidR="00792B1D" w:rsidRDefault="001722D5">
            <w:pPr>
              <w:jc w:val="center"/>
            </w:pPr>
            <w:r>
              <w:rPr>
                <w:rFonts w:ascii="仿宋_GB2312" w:eastAsia="仿宋_GB2312" w:hAnsi="仿宋_GB2312" w:cs="仿宋_GB2312"/>
                <w:sz w:val="24"/>
              </w:rPr>
              <w:t>序号</w:t>
            </w:r>
          </w:p>
        </w:tc>
        <w:tc>
          <w:tcPr>
            <w:tcW w:w="5000" w:type="dxa"/>
            <w:vAlign w:val="center"/>
          </w:tcPr>
          <w:p w:rsidR="00792B1D" w:rsidRDefault="001722D5">
            <w:pPr>
              <w:jc w:val="center"/>
            </w:pPr>
            <w:r>
              <w:rPr>
                <w:rFonts w:ascii="仿宋_GB2312" w:eastAsia="仿宋_GB2312" w:hAnsi="仿宋_GB2312" w:cs="仿宋_GB2312"/>
                <w:sz w:val="24"/>
              </w:rPr>
              <w:t>资产名称</w:t>
            </w:r>
          </w:p>
        </w:tc>
        <w:tc>
          <w:tcPr>
            <w:tcW w:w="2000" w:type="dxa"/>
            <w:vAlign w:val="center"/>
          </w:tcPr>
          <w:p w:rsidR="00792B1D" w:rsidRDefault="001722D5">
            <w:pPr>
              <w:jc w:val="center"/>
            </w:pPr>
            <w:r>
              <w:rPr>
                <w:rFonts w:ascii="仿宋_GB2312" w:eastAsia="仿宋_GB2312" w:hAnsi="仿宋_GB2312" w:cs="仿宋_GB2312"/>
                <w:sz w:val="24"/>
              </w:rPr>
              <w:t>报告期内应付管理费金额（元）</w:t>
            </w:r>
          </w:p>
        </w:tc>
        <w:tc>
          <w:tcPr>
            <w:tcW w:w="4000" w:type="dxa"/>
            <w:vAlign w:val="center"/>
          </w:tcPr>
          <w:p w:rsidR="00792B1D" w:rsidRDefault="001722D5">
            <w:pPr>
              <w:jc w:val="center"/>
            </w:pPr>
            <w:r>
              <w:rPr>
                <w:rFonts w:ascii="仿宋_GB2312" w:eastAsia="仿宋_GB2312" w:hAnsi="仿宋_GB2312" w:cs="仿宋_GB2312"/>
                <w:sz w:val="24"/>
              </w:rPr>
              <w:t>关联方名称</w:t>
            </w:r>
          </w:p>
        </w:tc>
      </w:tr>
      <w:tr w:rsidR="00792B1D">
        <w:tc>
          <w:tcPr>
            <w:tcW w:w="1000" w:type="dxa"/>
            <w:vAlign w:val="center"/>
          </w:tcPr>
          <w:p w:rsidR="00792B1D" w:rsidRDefault="001722D5">
            <w:pPr>
              <w:jc w:val="center"/>
            </w:pPr>
            <w:r>
              <w:rPr>
                <w:rFonts w:ascii="仿宋_GB2312" w:eastAsia="仿宋_GB2312" w:hAnsi="仿宋_GB2312" w:cs="仿宋_GB2312"/>
                <w:sz w:val="24"/>
              </w:rPr>
              <w:t>-</w:t>
            </w:r>
          </w:p>
        </w:tc>
        <w:tc>
          <w:tcPr>
            <w:tcW w:w="5000" w:type="dxa"/>
            <w:vAlign w:val="center"/>
          </w:tcPr>
          <w:p w:rsidR="00792B1D" w:rsidRDefault="001722D5">
            <w:pPr>
              <w:jc w:val="center"/>
            </w:pPr>
            <w:r>
              <w:rPr>
                <w:rFonts w:ascii="仿宋_GB2312" w:eastAsia="仿宋_GB2312" w:hAnsi="仿宋_GB2312" w:cs="仿宋_GB2312"/>
                <w:sz w:val="24"/>
              </w:rPr>
              <w:t>-</w:t>
            </w:r>
          </w:p>
        </w:tc>
        <w:tc>
          <w:tcPr>
            <w:tcW w:w="2000" w:type="dxa"/>
            <w:vAlign w:val="center"/>
          </w:tcPr>
          <w:p w:rsidR="00792B1D" w:rsidRDefault="001722D5">
            <w:pPr>
              <w:jc w:val="center"/>
            </w:pPr>
            <w:r>
              <w:rPr>
                <w:rFonts w:ascii="仿宋_GB2312" w:eastAsia="仿宋_GB2312" w:hAnsi="仿宋_GB2312" w:cs="仿宋_GB2312"/>
                <w:sz w:val="24"/>
              </w:rPr>
              <w:t>-</w:t>
            </w:r>
          </w:p>
        </w:tc>
        <w:tc>
          <w:tcPr>
            <w:tcW w:w="4000" w:type="dxa"/>
            <w:vAlign w:val="center"/>
          </w:tcPr>
          <w:p w:rsidR="00792B1D" w:rsidRDefault="001722D5">
            <w:pPr>
              <w:jc w:val="center"/>
            </w:pPr>
            <w:r>
              <w:rPr>
                <w:rFonts w:ascii="仿宋_GB2312" w:eastAsia="仿宋_GB2312" w:hAnsi="仿宋_GB2312" w:cs="仿宋_GB2312"/>
                <w:sz w:val="24"/>
              </w:rPr>
              <w:t>-</w:t>
            </w:r>
          </w:p>
        </w:tc>
      </w:tr>
    </w:tbl>
    <w:p w:rsidR="00F63FAF" w:rsidRDefault="00F63FAF" w:rsidP="00F63FA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F63FAF" w:rsidRDefault="00F63FAF" w:rsidP="00F63FAF">
      <w:r>
        <w:rPr>
          <w:rFonts w:ascii="仿宋_GB2312" w:eastAsia="仿宋_GB2312" w:hAnsi="仿宋_GB2312" w:cs="仿宋_GB2312"/>
          <w:b/>
          <w:sz w:val="28"/>
        </w:rPr>
        <w:t>6.3 理财产品在报告期内的其他关联交易</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1132"/>
        <w:gridCol w:w="2557"/>
        <w:gridCol w:w="1815"/>
        <w:gridCol w:w="2094"/>
      </w:tblGrid>
      <w:tr w:rsidR="00792B1D">
        <w:tc>
          <w:tcPr>
            <w:tcW w:w="1000" w:type="dxa"/>
            <w:vAlign w:val="center"/>
          </w:tcPr>
          <w:p w:rsidR="00792B1D" w:rsidRDefault="001722D5">
            <w:pPr>
              <w:jc w:val="center"/>
            </w:pPr>
            <w:r>
              <w:rPr>
                <w:rFonts w:ascii="仿宋_GB2312" w:eastAsia="仿宋_GB2312" w:hAnsi="仿宋_GB2312" w:cs="仿宋_GB2312"/>
                <w:sz w:val="24"/>
              </w:rPr>
              <w:t>序号</w:t>
            </w:r>
          </w:p>
        </w:tc>
        <w:tc>
          <w:tcPr>
            <w:tcW w:w="1500" w:type="dxa"/>
            <w:vAlign w:val="center"/>
          </w:tcPr>
          <w:p w:rsidR="00792B1D" w:rsidRDefault="001722D5">
            <w:pPr>
              <w:jc w:val="center"/>
            </w:pPr>
            <w:r>
              <w:rPr>
                <w:rFonts w:ascii="仿宋_GB2312" w:eastAsia="仿宋_GB2312" w:hAnsi="仿宋_GB2312" w:cs="仿宋_GB2312"/>
                <w:sz w:val="24"/>
              </w:rPr>
              <w:t>交易日期</w:t>
            </w:r>
          </w:p>
        </w:tc>
        <w:tc>
          <w:tcPr>
            <w:tcW w:w="5000" w:type="dxa"/>
            <w:vAlign w:val="center"/>
          </w:tcPr>
          <w:p w:rsidR="00792B1D" w:rsidRDefault="001722D5">
            <w:pPr>
              <w:jc w:val="center"/>
            </w:pPr>
            <w:r>
              <w:rPr>
                <w:rFonts w:ascii="仿宋_GB2312" w:eastAsia="仿宋_GB2312" w:hAnsi="仿宋_GB2312" w:cs="仿宋_GB2312"/>
                <w:sz w:val="24"/>
              </w:rPr>
              <w:t>资产名称</w:t>
            </w:r>
          </w:p>
        </w:tc>
        <w:tc>
          <w:tcPr>
            <w:tcW w:w="2000" w:type="dxa"/>
            <w:vAlign w:val="center"/>
          </w:tcPr>
          <w:p w:rsidR="00792B1D" w:rsidRDefault="001722D5">
            <w:pPr>
              <w:jc w:val="center"/>
            </w:pPr>
            <w:r>
              <w:rPr>
                <w:rFonts w:ascii="仿宋_GB2312" w:eastAsia="仿宋_GB2312" w:hAnsi="仿宋_GB2312" w:cs="仿宋_GB2312"/>
                <w:sz w:val="24"/>
              </w:rPr>
              <w:t>交易金额（元）</w:t>
            </w:r>
          </w:p>
        </w:tc>
        <w:tc>
          <w:tcPr>
            <w:tcW w:w="4000" w:type="dxa"/>
            <w:vAlign w:val="center"/>
          </w:tcPr>
          <w:p w:rsidR="00792B1D" w:rsidRDefault="001722D5">
            <w:pPr>
              <w:jc w:val="center"/>
            </w:pPr>
            <w:r>
              <w:rPr>
                <w:rFonts w:ascii="仿宋_GB2312" w:eastAsia="仿宋_GB2312" w:hAnsi="仿宋_GB2312" w:cs="仿宋_GB2312"/>
                <w:sz w:val="24"/>
              </w:rPr>
              <w:t>关联方名称</w:t>
            </w:r>
          </w:p>
        </w:tc>
      </w:tr>
      <w:tr w:rsidR="00792B1D">
        <w:tc>
          <w:tcPr>
            <w:tcW w:w="1000" w:type="dxa"/>
            <w:vAlign w:val="center"/>
          </w:tcPr>
          <w:p w:rsidR="00792B1D" w:rsidRDefault="001722D5">
            <w:pPr>
              <w:jc w:val="center"/>
            </w:pPr>
            <w:r>
              <w:rPr>
                <w:rFonts w:ascii="仿宋_GB2312" w:eastAsia="仿宋_GB2312" w:hAnsi="仿宋_GB2312" w:cs="仿宋_GB2312"/>
                <w:sz w:val="24"/>
              </w:rPr>
              <w:t>1</w:t>
            </w:r>
          </w:p>
        </w:tc>
        <w:tc>
          <w:tcPr>
            <w:tcW w:w="1500" w:type="dxa"/>
            <w:vAlign w:val="center"/>
          </w:tcPr>
          <w:p w:rsidR="00792B1D" w:rsidRDefault="001722D5">
            <w:pPr>
              <w:jc w:val="center"/>
            </w:pPr>
            <w:r>
              <w:rPr>
                <w:rFonts w:ascii="仿宋_GB2312" w:eastAsia="仿宋_GB2312" w:hAnsi="仿宋_GB2312" w:cs="仿宋_GB2312"/>
                <w:sz w:val="24"/>
              </w:rPr>
              <w:t>2024-01-26</w:t>
            </w:r>
          </w:p>
        </w:tc>
        <w:tc>
          <w:tcPr>
            <w:tcW w:w="5000" w:type="dxa"/>
            <w:vAlign w:val="center"/>
          </w:tcPr>
          <w:p w:rsidR="00792B1D" w:rsidRDefault="001722D5">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92B1D" w:rsidRDefault="001722D5">
            <w:pPr>
              <w:jc w:val="center"/>
            </w:pPr>
            <w:r>
              <w:rPr>
                <w:rFonts w:ascii="仿宋_GB2312" w:eastAsia="仿宋_GB2312" w:hAnsi="仿宋_GB2312" w:cs="仿宋_GB2312"/>
                <w:sz w:val="24"/>
              </w:rPr>
              <w:t>100000000.00</w:t>
            </w:r>
          </w:p>
        </w:tc>
        <w:tc>
          <w:tcPr>
            <w:tcW w:w="4000" w:type="dxa"/>
            <w:vAlign w:val="center"/>
          </w:tcPr>
          <w:p w:rsidR="00792B1D" w:rsidRDefault="001722D5">
            <w:pPr>
              <w:jc w:val="center"/>
            </w:pPr>
            <w:r>
              <w:rPr>
                <w:rFonts w:ascii="仿宋_GB2312" w:eastAsia="仿宋_GB2312" w:hAnsi="仿宋_GB2312" w:cs="仿宋_GB2312"/>
                <w:sz w:val="24"/>
              </w:rPr>
              <w:t>上海农村商业银行股份有限公司</w:t>
            </w:r>
          </w:p>
        </w:tc>
      </w:tr>
      <w:tr w:rsidR="00792B1D">
        <w:tc>
          <w:tcPr>
            <w:tcW w:w="1000" w:type="dxa"/>
            <w:vAlign w:val="center"/>
          </w:tcPr>
          <w:p w:rsidR="00792B1D" w:rsidRDefault="001722D5">
            <w:pPr>
              <w:jc w:val="center"/>
            </w:pPr>
            <w:r>
              <w:rPr>
                <w:rFonts w:ascii="仿宋_GB2312" w:eastAsia="仿宋_GB2312" w:hAnsi="仿宋_GB2312" w:cs="仿宋_GB2312"/>
                <w:sz w:val="24"/>
              </w:rPr>
              <w:t>2</w:t>
            </w:r>
          </w:p>
        </w:tc>
        <w:tc>
          <w:tcPr>
            <w:tcW w:w="1500" w:type="dxa"/>
            <w:vAlign w:val="center"/>
          </w:tcPr>
          <w:p w:rsidR="00792B1D" w:rsidRDefault="001722D5">
            <w:pPr>
              <w:jc w:val="center"/>
            </w:pPr>
            <w:r>
              <w:rPr>
                <w:rFonts w:ascii="仿宋_GB2312" w:eastAsia="仿宋_GB2312" w:hAnsi="仿宋_GB2312" w:cs="仿宋_GB2312"/>
                <w:sz w:val="24"/>
              </w:rPr>
              <w:t>2024-01-18</w:t>
            </w:r>
          </w:p>
        </w:tc>
        <w:tc>
          <w:tcPr>
            <w:tcW w:w="5000" w:type="dxa"/>
            <w:vAlign w:val="center"/>
          </w:tcPr>
          <w:p w:rsidR="00792B1D" w:rsidRDefault="001722D5">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92B1D" w:rsidRDefault="001722D5">
            <w:pPr>
              <w:jc w:val="center"/>
            </w:pPr>
            <w:r>
              <w:rPr>
                <w:rFonts w:ascii="仿宋_GB2312" w:eastAsia="仿宋_GB2312" w:hAnsi="仿宋_GB2312" w:cs="仿宋_GB2312"/>
                <w:sz w:val="24"/>
              </w:rPr>
              <w:t>100000000.00</w:t>
            </w:r>
          </w:p>
        </w:tc>
        <w:tc>
          <w:tcPr>
            <w:tcW w:w="4000" w:type="dxa"/>
            <w:vAlign w:val="center"/>
          </w:tcPr>
          <w:p w:rsidR="00792B1D" w:rsidRDefault="001722D5">
            <w:pPr>
              <w:jc w:val="center"/>
            </w:pPr>
            <w:r>
              <w:rPr>
                <w:rFonts w:ascii="仿宋_GB2312" w:eastAsia="仿宋_GB2312" w:hAnsi="仿宋_GB2312" w:cs="仿宋_GB2312"/>
                <w:sz w:val="24"/>
              </w:rPr>
              <w:t>上海农村商业银行股份有限公司</w:t>
            </w:r>
          </w:p>
        </w:tc>
      </w:tr>
      <w:tr w:rsidR="00792B1D">
        <w:tc>
          <w:tcPr>
            <w:tcW w:w="1000" w:type="dxa"/>
            <w:vAlign w:val="center"/>
          </w:tcPr>
          <w:p w:rsidR="00792B1D" w:rsidRDefault="001722D5">
            <w:pPr>
              <w:jc w:val="center"/>
            </w:pPr>
            <w:r>
              <w:rPr>
                <w:rFonts w:ascii="仿宋_GB2312" w:eastAsia="仿宋_GB2312" w:hAnsi="仿宋_GB2312" w:cs="仿宋_GB2312"/>
                <w:sz w:val="24"/>
              </w:rPr>
              <w:t>3</w:t>
            </w:r>
          </w:p>
        </w:tc>
        <w:tc>
          <w:tcPr>
            <w:tcW w:w="1500" w:type="dxa"/>
            <w:vAlign w:val="center"/>
          </w:tcPr>
          <w:p w:rsidR="00792B1D" w:rsidRDefault="001722D5">
            <w:pPr>
              <w:jc w:val="center"/>
            </w:pPr>
            <w:r>
              <w:rPr>
                <w:rFonts w:ascii="仿宋_GB2312" w:eastAsia="仿宋_GB2312" w:hAnsi="仿宋_GB2312" w:cs="仿宋_GB2312"/>
                <w:sz w:val="24"/>
              </w:rPr>
              <w:t>2024-01-16</w:t>
            </w:r>
          </w:p>
        </w:tc>
        <w:tc>
          <w:tcPr>
            <w:tcW w:w="5000" w:type="dxa"/>
            <w:vAlign w:val="center"/>
          </w:tcPr>
          <w:p w:rsidR="00792B1D" w:rsidRDefault="001722D5">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92B1D" w:rsidRDefault="001722D5">
            <w:pPr>
              <w:jc w:val="center"/>
            </w:pPr>
            <w:r>
              <w:rPr>
                <w:rFonts w:ascii="仿宋_GB2312" w:eastAsia="仿宋_GB2312" w:hAnsi="仿宋_GB2312" w:cs="仿宋_GB2312"/>
                <w:sz w:val="24"/>
              </w:rPr>
              <w:t>100000000.00</w:t>
            </w:r>
          </w:p>
        </w:tc>
        <w:tc>
          <w:tcPr>
            <w:tcW w:w="4000" w:type="dxa"/>
            <w:vAlign w:val="center"/>
          </w:tcPr>
          <w:p w:rsidR="00792B1D" w:rsidRDefault="001722D5">
            <w:pPr>
              <w:jc w:val="center"/>
            </w:pPr>
            <w:r>
              <w:rPr>
                <w:rFonts w:ascii="仿宋_GB2312" w:eastAsia="仿宋_GB2312" w:hAnsi="仿宋_GB2312" w:cs="仿宋_GB2312"/>
                <w:sz w:val="24"/>
              </w:rPr>
              <w:t>上海农村商业银行股份有限公司</w:t>
            </w:r>
          </w:p>
        </w:tc>
      </w:tr>
      <w:tr w:rsidR="00792B1D">
        <w:tc>
          <w:tcPr>
            <w:tcW w:w="1000" w:type="dxa"/>
            <w:vAlign w:val="center"/>
          </w:tcPr>
          <w:p w:rsidR="00792B1D" w:rsidRDefault="001722D5">
            <w:pPr>
              <w:jc w:val="center"/>
            </w:pPr>
            <w:r>
              <w:rPr>
                <w:rFonts w:ascii="仿宋_GB2312" w:eastAsia="仿宋_GB2312" w:hAnsi="仿宋_GB2312" w:cs="仿宋_GB2312"/>
                <w:sz w:val="24"/>
              </w:rPr>
              <w:t>4</w:t>
            </w:r>
          </w:p>
        </w:tc>
        <w:tc>
          <w:tcPr>
            <w:tcW w:w="1500" w:type="dxa"/>
            <w:vAlign w:val="center"/>
          </w:tcPr>
          <w:p w:rsidR="00792B1D" w:rsidRDefault="001722D5">
            <w:pPr>
              <w:jc w:val="center"/>
            </w:pPr>
            <w:r>
              <w:rPr>
                <w:rFonts w:ascii="仿宋_GB2312" w:eastAsia="仿宋_GB2312" w:hAnsi="仿宋_GB2312" w:cs="仿宋_GB2312"/>
                <w:sz w:val="24"/>
              </w:rPr>
              <w:t>2024-01-12</w:t>
            </w:r>
          </w:p>
        </w:tc>
        <w:tc>
          <w:tcPr>
            <w:tcW w:w="5000" w:type="dxa"/>
            <w:vAlign w:val="center"/>
          </w:tcPr>
          <w:p w:rsidR="00792B1D" w:rsidRDefault="001722D5">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92B1D" w:rsidRDefault="001722D5">
            <w:pPr>
              <w:jc w:val="center"/>
            </w:pPr>
            <w:r>
              <w:rPr>
                <w:rFonts w:ascii="仿宋_GB2312" w:eastAsia="仿宋_GB2312" w:hAnsi="仿宋_GB2312" w:cs="仿宋_GB2312"/>
                <w:sz w:val="24"/>
              </w:rPr>
              <w:t>150000000.00</w:t>
            </w:r>
          </w:p>
        </w:tc>
        <w:tc>
          <w:tcPr>
            <w:tcW w:w="4000" w:type="dxa"/>
            <w:vAlign w:val="center"/>
          </w:tcPr>
          <w:p w:rsidR="00792B1D" w:rsidRDefault="001722D5">
            <w:pPr>
              <w:jc w:val="center"/>
            </w:pPr>
            <w:r>
              <w:rPr>
                <w:rFonts w:ascii="仿宋_GB2312" w:eastAsia="仿宋_GB2312" w:hAnsi="仿宋_GB2312" w:cs="仿宋_GB2312"/>
                <w:sz w:val="24"/>
              </w:rPr>
              <w:t>上海农村商业银行股份有限公司</w:t>
            </w:r>
          </w:p>
        </w:tc>
      </w:tr>
      <w:tr w:rsidR="00792B1D">
        <w:tc>
          <w:tcPr>
            <w:tcW w:w="1000" w:type="dxa"/>
            <w:vAlign w:val="center"/>
          </w:tcPr>
          <w:p w:rsidR="00792B1D" w:rsidRDefault="001722D5">
            <w:pPr>
              <w:jc w:val="center"/>
            </w:pPr>
            <w:r>
              <w:rPr>
                <w:rFonts w:ascii="仿宋_GB2312" w:eastAsia="仿宋_GB2312" w:hAnsi="仿宋_GB2312" w:cs="仿宋_GB2312"/>
                <w:sz w:val="24"/>
              </w:rPr>
              <w:t>5</w:t>
            </w:r>
          </w:p>
        </w:tc>
        <w:tc>
          <w:tcPr>
            <w:tcW w:w="1500" w:type="dxa"/>
            <w:vAlign w:val="center"/>
          </w:tcPr>
          <w:p w:rsidR="00792B1D" w:rsidRDefault="001722D5">
            <w:pPr>
              <w:jc w:val="center"/>
            </w:pPr>
            <w:r>
              <w:rPr>
                <w:rFonts w:ascii="仿宋_GB2312" w:eastAsia="仿宋_GB2312" w:hAnsi="仿宋_GB2312" w:cs="仿宋_GB2312"/>
                <w:sz w:val="24"/>
              </w:rPr>
              <w:t>2024-01-10</w:t>
            </w:r>
          </w:p>
        </w:tc>
        <w:tc>
          <w:tcPr>
            <w:tcW w:w="5000" w:type="dxa"/>
            <w:vAlign w:val="center"/>
          </w:tcPr>
          <w:p w:rsidR="00792B1D" w:rsidRDefault="001722D5">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92B1D" w:rsidRDefault="001722D5">
            <w:pPr>
              <w:jc w:val="center"/>
            </w:pPr>
            <w:r>
              <w:rPr>
                <w:rFonts w:ascii="仿宋_GB2312" w:eastAsia="仿宋_GB2312" w:hAnsi="仿宋_GB2312" w:cs="仿宋_GB2312"/>
                <w:sz w:val="24"/>
              </w:rPr>
              <w:t>50000000.00</w:t>
            </w:r>
          </w:p>
        </w:tc>
        <w:tc>
          <w:tcPr>
            <w:tcW w:w="4000" w:type="dxa"/>
            <w:vAlign w:val="center"/>
          </w:tcPr>
          <w:p w:rsidR="00792B1D" w:rsidRDefault="001722D5">
            <w:pPr>
              <w:jc w:val="center"/>
            </w:pPr>
            <w:r>
              <w:rPr>
                <w:rFonts w:ascii="仿宋_GB2312" w:eastAsia="仿宋_GB2312" w:hAnsi="仿宋_GB2312" w:cs="仿宋_GB2312"/>
                <w:sz w:val="24"/>
              </w:rPr>
              <w:t>上海农村商业银行股份有限公司</w:t>
            </w:r>
          </w:p>
        </w:tc>
      </w:tr>
      <w:tr w:rsidR="00792B1D">
        <w:tc>
          <w:tcPr>
            <w:tcW w:w="1000" w:type="dxa"/>
            <w:vAlign w:val="center"/>
          </w:tcPr>
          <w:p w:rsidR="00792B1D" w:rsidRDefault="001722D5">
            <w:pPr>
              <w:jc w:val="center"/>
            </w:pPr>
            <w:r>
              <w:rPr>
                <w:rFonts w:ascii="仿宋_GB2312" w:eastAsia="仿宋_GB2312" w:hAnsi="仿宋_GB2312" w:cs="仿宋_GB2312"/>
                <w:sz w:val="24"/>
              </w:rPr>
              <w:t>6</w:t>
            </w:r>
          </w:p>
        </w:tc>
        <w:tc>
          <w:tcPr>
            <w:tcW w:w="1500" w:type="dxa"/>
            <w:vAlign w:val="center"/>
          </w:tcPr>
          <w:p w:rsidR="00792B1D" w:rsidRDefault="001722D5">
            <w:pPr>
              <w:jc w:val="center"/>
            </w:pPr>
            <w:r>
              <w:rPr>
                <w:rFonts w:ascii="仿宋_GB2312" w:eastAsia="仿宋_GB2312" w:hAnsi="仿宋_GB2312" w:cs="仿宋_GB2312"/>
                <w:sz w:val="24"/>
              </w:rPr>
              <w:t>2024-01-08</w:t>
            </w:r>
          </w:p>
        </w:tc>
        <w:tc>
          <w:tcPr>
            <w:tcW w:w="5000" w:type="dxa"/>
            <w:vAlign w:val="center"/>
          </w:tcPr>
          <w:p w:rsidR="00792B1D" w:rsidRDefault="001722D5">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92B1D" w:rsidRDefault="001722D5">
            <w:pPr>
              <w:jc w:val="center"/>
            </w:pPr>
            <w:r>
              <w:rPr>
                <w:rFonts w:ascii="仿宋_GB2312" w:eastAsia="仿宋_GB2312" w:hAnsi="仿宋_GB2312" w:cs="仿宋_GB2312"/>
                <w:sz w:val="24"/>
              </w:rPr>
              <w:t>100000000.00</w:t>
            </w:r>
          </w:p>
        </w:tc>
        <w:tc>
          <w:tcPr>
            <w:tcW w:w="4000" w:type="dxa"/>
            <w:vAlign w:val="center"/>
          </w:tcPr>
          <w:p w:rsidR="00792B1D" w:rsidRDefault="001722D5">
            <w:pPr>
              <w:jc w:val="center"/>
            </w:pPr>
            <w:r>
              <w:rPr>
                <w:rFonts w:ascii="仿宋_GB2312" w:eastAsia="仿宋_GB2312" w:hAnsi="仿宋_GB2312" w:cs="仿宋_GB2312"/>
                <w:sz w:val="24"/>
              </w:rPr>
              <w:t>上海农村商业银行股份有限公司</w:t>
            </w:r>
          </w:p>
        </w:tc>
      </w:tr>
      <w:tr w:rsidR="00792B1D">
        <w:tc>
          <w:tcPr>
            <w:tcW w:w="1000" w:type="dxa"/>
            <w:vAlign w:val="center"/>
          </w:tcPr>
          <w:p w:rsidR="00792B1D" w:rsidRDefault="001722D5">
            <w:pPr>
              <w:jc w:val="center"/>
            </w:pPr>
            <w:r>
              <w:rPr>
                <w:rFonts w:ascii="仿宋_GB2312" w:eastAsia="仿宋_GB2312" w:hAnsi="仿宋_GB2312" w:cs="仿宋_GB2312"/>
                <w:sz w:val="24"/>
              </w:rPr>
              <w:t>7</w:t>
            </w:r>
          </w:p>
        </w:tc>
        <w:tc>
          <w:tcPr>
            <w:tcW w:w="1500" w:type="dxa"/>
            <w:vAlign w:val="center"/>
          </w:tcPr>
          <w:p w:rsidR="00792B1D" w:rsidRDefault="001722D5">
            <w:pPr>
              <w:jc w:val="center"/>
            </w:pPr>
            <w:r>
              <w:rPr>
                <w:rFonts w:ascii="仿宋_GB2312" w:eastAsia="仿宋_GB2312" w:hAnsi="仿宋_GB2312" w:cs="仿宋_GB2312"/>
                <w:sz w:val="24"/>
              </w:rPr>
              <w:t>2024-01-05</w:t>
            </w:r>
          </w:p>
        </w:tc>
        <w:tc>
          <w:tcPr>
            <w:tcW w:w="5000" w:type="dxa"/>
            <w:vAlign w:val="center"/>
          </w:tcPr>
          <w:p w:rsidR="00792B1D" w:rsidRDefault="001722D5">
            <w:pPr>
              <w:jc w:val="center"/>
            </w:pPr>
            <w:r>
              <w:rPr>
                <w:rFonts w:ascii="仿宋_GB2312" w:eastAsia="仿宋_GB2312" w:hAnsi="仿宋_GB2312" w:cs="仿宋_GB2312"/>
                <w:sz w:val="24"/>
              </w:rPr>
              <w:t>1</w:t>
            </w:r>
            <w:r>
              <w:rPr>
                <w:rFonts w:ascii="仿宋_GB2312" w:eastAsia="仿宋_GB2312" w:hAnsi="仿宋_GB2312" w:cs="仿宋_GB2312"/>
                <w:sz w:val="24"/>
              </w:rPr>
              <w:t>日质押式正回购</w:t>
            </w:r>
          </w:p>
        </w:tc>
        <w:tc>
          <w:tcPr>
            <w:tcW w:w="2000" w:type="dxa"/>
            <w:vAlign w:val="center"/>
          </w:tcPr>
          <w:p w:rsidR="00792B1D" w:rsidRDefault="001722D5">
            <w:pPr>
              <w:jc w:val="center"/>
            </w:pPr>
            <w:r>
              <w:rPr>
                <w:rFonts w:ascii="仿宋_GB2312" w:eastAsia="仿宋_GB2312" w:hAnsi="仿宋_GB2312" w:cs="仿宋_GB2312"/>
                <w:sz w:val="24"/>
              </w:rPr>
              <w:t>300000000.00</w:t>
            </w:r>
          </w:p>
        </w:tc>
        <w:tc>
          <w:tcPr>
            <w:tcW w:w="4000" w:type="dxa"/>
            <w:vAlign w:val="center"/>
          </w:tcPr>
          <w:p w:rsidR="00792B1D" w:rsidRDefault="001722D5">
            <w:pPr>
              <w:jc w:val="center"/>
            </w:pPr>
            <w:r>
              <w:rPr>
                <w:rFonts w:ascii="仿宋_GB2312" w:eastAsia="仿宋_GB2312" w:hAnsi="仿宋_GB2312" w:cs="仿宋_GB2312"/>
                <w:sz w:val="24"/>
              </w:rPr>
              <w:t>上海农村商业银行股份有限公司</w:t>
            </w:r>
          </w:p>
        </w:tc>
      </w:tr>
    </w:tbl>
    <w:p w:rsidR="00F63FAF" w:rsidRDefault="00F63FAF" w:rsidP="00F63FAF">
      <w:r>
        <w:rPr>
          <w:rFonts w:ascii="仿宋_GB2312" w:eastAsia="仿宋_GB2312" w:hAnsi="仿宋_GB2312" w:cs="仿宋_GB2312"/>
          <w:b/>
          <w:sz w:val="28"/>
        </w:rPr>
        <w:t>6.4 理财产品在报告期内向关联方支付的费用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1828"/>
        <w:gridCol w:w="1935"/>
        <w:gridCol w:w="3604"/>
      </w:tblGrid>
      <w:tr w:rsidR="00792B1D">
        <w:tc>
          <w:tcPr>
            <w:tcW w:w="1000" w:type="dxa"/>
            <w:vAlign w:val="center"/>
          </w:tcPr>
          <w:p w:rsidR="00792B1D" w:rsidRDefault="001722D5">
            <w:pPr>
              <w:jc w:val="center"/>
            </w:pPr>
            <w:r>
              <w:rPr>
                <w:rFonts w:ascii="仿宋_GB2312" w:eastAsia="仿宋_GB2312" w:hAnsi="仿宋_GB2312" w:cs="仿宋_GB2312"/>
                <w:sz w:val="24"/>
              </w:rPr>
              <w:t>序号</w:t>
            </w:r>
          </w:p>
        </w:tc>
        <w:tc>
          <w:tcPr>
            <w:tcW w:w="2000" w:type="dxa"/>
            <w:vAlign w:val="center"/>
          </w:tcPr>
          <w:p w:rsidR="00792B1D" w:rsidRDefault="001722D5">
            <w:pPr>
              <w:jc w:val="center"/>
            </w:pPr>
            <w:r>
              <w:rPr>
                <w:rFonts w:ascii="仿宋_GB2312" w:eastAsia="仿宋_GB2312" w:hAnsi="仿宋_GB2312" w:cs="仿宋_GB2312"/>
                <w:sz w:val="24"/>
              </w:rPr>
              <w:t>费用类型</w:t>
            </w:r>
          </w:p>
        </w:tc>
        <w:tc>
          <w:tcPr>
            <w:tcW w:w="2000" w:type="dxa"/>
            <w:vAlign w:val="center"/>
          </w:tcPr>
          <w:p w:rsidR="00792B1D" w:rsidRDefault="001722D5">
            <w:pPr>
              <w:jc w:val="center"/>
            </w:pPr>
            <w:r>
              <w:rPr>
                <w:rFonts w:ascii="仿宋_GB2312" w:eastAsia="仿宋_GB2312" w:hAnsi="仿宋_GB2312" w:cs="仿宋_GB2312"/>
                <w:sz w:val="24"/>
              </w:rPr>
              <w:t>报告期内支付金额（元）</w:t>
            </w:r>
          </w:p>
        </w:tc>
        <w:tc>
          <w:tcPr>
            <w:tcW w:w="4000" w:type="dxa"/>
            <w:vAlign w:val="center"/>
          </w:tcPr>
          <w:p w:rsidR="00792B1D" w:rsidRDefault="001722D5">
            <w:pPr>
              <w:jc w:val="center"/>
            </w:pPr>
            <w:r>
              <w:rPr>
                <w:rFonts w:ascii="仿宋_GB2312" w:eastAsia="仿宋_GB2312" w:hAnsi="仿宋_GB2312" w:cs="仿宋_GB2312"/>
                <w:sz w:val="24"/>
              </w:rPr>
              <w:t>关联方名称</w:t>
            </w:r>
          </w:p>
        </w:tc>
      </w:tr>
      <w:tr w:rsidR="00792B1D">
        <w:tc>
          <w:tcPr>
            <w:tcW w:w="1000" w:type="dxa"/>
            <w:vAlign w:val="center"/>
          </w:tcPr>
          <w:p w:rsidR="00792B1D" w:rsidRDefault="001722D5">
            <w:pPr>
              <w:jc w:val="center"/>
            </w:pPr>
            <w:r>
              <w:rPr>
                <w:rFonts w:ascii="仿宋_GB2312" w:eastAsia="仿宋_GB2312" w:hAnsi="仿宋_GB2312" w:cs="仿宋_GB2312"/>
                <w:sz w:val="24"/>
              </w:rPr>
              <w:t>1</w:t>
            </w:r>
          </w:p>
        </w:tc>
        <w:tc>
          <w:tcPr>
            <w:tcW w:w="2000" w:type="dxa"/>
            <w:vAlign w:val="center"/>
          </w:tcPr>
          <w:p w:rsidR="00792B1D" w:rsidRDefault="001722D5">
            <w:pPr>
              <w:jc w:val="center"/>
            </w:pPr>
            <w:r>
              <w:rPr>
                <w:rFonts w:ascii="仿宋_GB2312" w:eastAsia="仿宋_GB2312" w:hAnsi="仿宋_GB2312" w:cs="仿宋_GB2312"/>
                <w:sz w:val="24"/>
              </w:rPr>
              <w:t>代销费</w:t>
            </w:r>
          </w:p>
        </w:tc>
        <w:tc>
          <w:tcPr>
            <w:tcW w:w="2000" w:type="dxa"/>
            <w:vAlign w:val="center"/>
          </w:tcPr>
          <w:p w:rsidR="00792B1D" w:rsidRDefault="001722D5">
            <w:pPr>
              <w:jc w:val="center"/>
            </w:pPr>
            <w:r>
              <w:rPr>
                <w:rFonts w:ascii="仿宋_GB2312" w:eastAsia="仿宋_GB2312" w:hAnsi="仿宋_GB2312" w:cs="仿宋_GB2312"/>
                <w:sz w:val="24"/>
              </w:rPr>
              <w:t>109761.74</w:t>
            </w:r>
          </w:p>
        </w:tc>
        <w:tc>
          <w:tcPr>
            <w:tcW w:w="4000" w:type="dxa"/>
            <w:vAlign w:val="center"/>
          </w:tcPr>
          <w:p w:rsidR="00792B1D" w:rsidRDefault="001722D5">
            <w:pPr>
              <w:jc w:val="center"/>
            </w:pPr>
            <w:r>
              <w:rPr>
                <w:rFonts w:ascii="仿宋_GB2312" w:eastAsia="仿宋_GB2312" w:hAnsi="仿宋_GB2312" w:cs="仿宋_GB2312"/>
                <w:sz w:val="24"/>
              </w:rPr>
              <w:t>苏州银行股份有限公司</w:t>
            </w:r>
          </w:p>
        </w:tc>
      </w:tr>
      <w:tr w:rsidR="00792B1D">
        <w:tc>
          <w:tcPr>
            <w:tcW w:w="1000" w:type="dxa"/>
            <w:vAlign w:val="center"/>
          </w:tcPr>
          <w:p w:rsidR="00792B1D" w:rsidRDefault="001722D5">
            <w:pPr>
              <w:jc w:val="center"/>
            </w:pPr>
            <w:r>
              <w:rPr>
                <w:rFonts w:ascii="仿宋_GB2312" w:eastAsia="仿宋_GB2312" w:hAnsi="仿宋_GB2312" w:cs="仿宋_GB2312"/>
                <w:sz w:val="24"/>
              </w:rPr>
              <w:t>2</w:t>
            </w:r>
          </w:p>
        </w:tc>
        <w:tc>
          <w:tcPr>
            <w:tcW w:w="2000" w:type="dxa"/>
            <w:vAlign w:val="center"/>
          </w:tcPr>
          <w:p w:rsidR="00792B1D" w:rsidRDefault="001722D5">
            <w:pPr>
              <w:jc w:val="center"/>
            </w:pPr>
            <w:r>
              <w:rPr>
                <w:rFonts w:ascii="仿宋_GB2312" w:eastAsia="仿宋_GB2312" w:hAnsi="仿宋_GB2312" w:cs="仿宋_GB2312"/>
                <w:sz w:val="24"/>
              </w:rPr>
              <w:t>托管费</w:t>
            </w:r>
          </w:p>
        </w:tc>
        <w:tc>
          <w:tcPr>
            <w:tcW w:w="2000" w:type="dxa"/>
            <w:vAlign w:val="center"/>
          </w:tcPr>
          <w:p w:rsidR="00792B1D" w:rsidRDefault="001722D5">
            <w:pPr>
              <w:jc w:val="center"/>
            </w:pPr>
            <w:r>
              <w:rPr>
                <w:rFonts w:ascii="仿宋_GB2312" w:eastAsia="仿宋_GB2312" w:hAnsi="仿宋_GB2312" w:cs="仿宋_GB2312"/>
                <w:sz w:val="24"/>
              </w:rPr>
              <w:t>1086315.74</w:t>
            </w:r>
          </w:p>
        </w:tc>
        <w:tc>
          <w:tcPr>
            <w:tcW w:w="4000" w:type="dxa"/>
            <w:vAlign w:val="center"/>
          </w:tcPr>
          <w:p w:rsidR="00792B1D" w:rsidRDefault="001722D5">
            <w:pPr>
              <w:jc w:val="center"/>
            </w:pPr>
            <w:r>
              <w:rPr>
                <w:rFonts w:ascii="仿宋_GB2312" w:eastAsia="仿宋_GB2312" w:hAnsi="仿宋_GB2312" w:cs="仿宋_GB2312"/>
                <w:sz w:val="24"/>
              </w:rPr>
              <w:t>上海浦东发展银行股份有限公司</w:t>
            </w:r>
          </w:p>
        </w:tc>
      </w:tr>
    </w:tbl>
    <w:p w:rsidR="009D54D8" w:rsidRDefault="009D54D8" w:rsidP="009D54D8">
      <w:pPr>
        <w:snapToGrid w:val="0"/>
        <w:spacing w:line="360" w:lineRule="auto"/>
        <w:rPr>
          <w:rFonts w:ascii="仿宋_GB2312" w:eastAsia="仿宋_GB2312"/>
          <w:b/>
          <w:color w:val="000000" w:themeColor="text1"/>
          <w:sz w:val="17"/>
          <w:szCs w:val="17"/>
        </w:rPr>
      </w:pPr>
    </w:p>
    <w:p w:rsidR="009D54D8" w:rsidRPr="00673698" w:rsidRDefault="00D742F1" w:rsidP="009D54D8">
      <w:pPr>
        <w:snapToGrid w:val="0"/>
        <w:spacing w:line="360" w:lineRule="auto"/>
        <w:rPr>
          <w:rFonts w:ascii="仿宋_GB2312" w:eastAsia="仿宋_GB2312"/>
          <w:b/>
          <w:sz w:val="28"/>
          <w:szCs w:val="24"/>
        </w:rPr>
      </w:pPr>
      <w:r w:rsidRPr="00673698">
        <w:rPr>
          <w:rFonts w:ascii="仿宋_GB2312" w:eastAsia="仿宋_GB2312" w:hint="eastAsia"/>
          <w:b/>
          <w:sz w:val="28"/>
          <w:szCs w:val="24"/>
        </w:rPr>
        <w:t>7</w:t>
      </w:r>
      <w:r w:rsidR="009D54D8" w:rsidRPr="00673698">
        <w:rPr>
          <w:rFonts w:ascii="仿宋_GB2312" w:eastAsia="仿宋_GB2312" w:hint="eastAsia"/>
          <w:b/>
          <w:sz w:val="28"/>
          <w:szCs w:val="24"/>
        </w:rPr>
        <w:t> </w:t>
      </w:r>
      <w:r w:rsidR="009D54D8" w:rsidRPr="00673698">
        <w:rPr>
          <w:rFonts w:ascii="仿宋_GB2312" w:eastAsia="仿宋_GB2312" w:hint="eastAsia"/>
          <w:b/>
          <w:sz w:val="28"/>
          <w:szCs w:val="24"/>
        </w:rPr>
        <w:t>.影响投资者决策的其他重要信息</w:t>
      </w:r>
    </w:p>
    <w:p w:rsidR="009D54D8" w:rsidRPr="0087105A" w:rsidRDefault="0041186D" w:rsidP="0087105A">
      <w:pPr>
        <w:spacing w:line="360" w:lineRule="auto"/>
        <w:rPr>
          <w:rFonts w:ascii="仿宋_GB2312" w:eastAsia="仿宋_GB2312"/>
          <w:color w:val="000000"/>
          <w:sz w:val="24"/>
          <w:szCs w:val="24"/>
        </w:rPr>
      </w:pPr>
      <w:r>
        <w:rPr>
          <w:rFonts w:ascii="仿宋_GB2312" w:eastAsia="仿宋_GB2312" w:hint="eastAsia"/>
          <w:color w:val="000000"/>
          <w:sz w:val="24"/>
          <w:szCs w:val="24"/>
        </w:rPr>
        <w:t xml:space="preserve"> 无</w:t>
      </w:r>
    </w:p>
    <w:p w:rsidR="009F0B98" w:rsidRPr="00673698" w:rsidRDefault="00D742F1" w:rsidP="009D54D8">
      <w:pPr>
        <w:snapToGrid w:val="0"/>
        <w:spacing w:line="360" w:lineRule="auto"/>
        <w:rPr>
          <w:rFonts w:ascii="仿宋_GB2312" w:eastAsia="仿宋_GB2312"/>
          <w:b/>
          <w:sz w:val="28"/>
          <w:szCs w:val="24"/>
        </w:rPr>
      </w:pPr>
      <w:r w:rsidRPr="00673698">
        <w:rPr>
          <w:rFonts w:ascii="仿宋_GB2312" w:eastAsia="仿宋_GB2312" w:hint="eastAsia"/>
          <w:b/>
          <w:sz w:val="28"/>
          <w:szCs w:val="24"/>
        </w:rPr>
        <w:t>8</w:t>
      </w:r>
      <w:r w:rsidR="009F0B98" w:rsidRPr="00673698">
        <w:rPr>
          <w:rFonts w:ascii="仿宋_GB2312" w:eastAsia="仿宋_GB2312" w:hint="eastAsia"/>
          <w:b/>
          <w:sz w:val="28"/>
          <w:szCs w:val="24"/>
        </w:rPr>
        <w:t>.托管机构报告</w:t>
      </w:r>
    </w:p>
    <w:p w:rsidR="00F63FAF" w:rsidRPr="00190127" w:rsidRDefault="00F63FAF" w:rsidP="00F63FA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w:t>
      </w:r>
      <w:r w:rsidRPr="00353B5D">
        <w:rPr>
          <w:rFonts w:ascii="仿宋_GB2312" w:eastAsia="仿宋_GB2312" w:hint="eastAsia"/>
          <w:color w:val="000000"/>
          <w:sz w:val="24"/>
          <w:szCs w:val="24"/>
        </w:rPr>
        <w:lastRenderedPageBreak/>
        <w:t>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D742F1" w:rsidRDefault="00F63FAF" w:rsidP="00F63FA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D742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D5" w:rsidRDefault="001722D5" w:rsidP="00E61C1A">
      <w:r>
        <w:separator/>
      </w:r>
    </w:p>
  </w:endnote>
  <w:endnote w:type="continuationSeparator" w:id="0">
    <w:p w:rsidR="001722D5" w:rsidRDefault="001722D5"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D5" w:rsidRDefault="001722D5" w:rsidP="00E61C1A">
      <w:r>
        <w:separator/>
      </w:r>
    </w:p>
  </w:footnote>
  <w:footnote w:type="continuationSeparator" w:id="0">
    <w:p w:rsidR="001722D5" w:rsidRDefault="001722D5"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F63FAF" w:rsidRDefault="00F63FAF" w:rsidP="00F63FAF">
      <w:pPr>
        <w:pStyle w:val="a7"/>
      </w:pPr>
      <w:r>
        <w:rPr>
          <w:rStyle w:val="a9"/>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w:t>
      </w:r>
      <w:r w:rsidR="00045E04">
        <w:rPr>
          <w:rFonts w:hint="eastAsia"/>
          <w:kern w:val="0"/>
          <w:sz w:val="15"/>
          <w:szCs w:val="15"/>
        </w:rPr>
        <w:t>所称非标准化债权资产，指根据《关于规范金融机构资产管理业务的指导意见》规定，标准化债权类资产之外的债权类资产，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4385D"/>
    <w:rsid w:val="00045E04"/>
    <w:rsid w:val="00064FD2"/>
    <w:rsid w:val="00077F23"/>
    <w:rsid w:val="000868F8"/>
    <w:rsid w:val="000A1BF7"/>
    <w:rsid w:val="000D03B4"/>
    <w:rsid w:val="000E6BAE"/>
    <w:rsid w:val="00104F7B"/>
    <w:rsid w:val="00105597"/>
    <w:rsid w:val="00130728"/>
    <w:rsid w:val="00151E2B"/>
    <w:rsid w:val="0016364F"/>
    <w:rsid w:val="001665C9"/>
    <w:rsid w:val="001722D5"/>
    <w:rsid w:val="00177133"/>
    <w:rsid w:val="001814DB"/>
    <w:rsid w:val="00185B93"/>
    <w:rsid w:val="001C7832"/>
    <w:rsid w:val="002029ED"/>
    <w:rsid w:val="00211495"/>
    <w:rsid w:val="00213ECF"/>
    <w:rsid w:val="00241453"/>
    <w:rsid w:val="00274D37"/>
    <w:rsid w:val="00310434"/>
    <w:rsid w:val="00353B5D"/>
    <w:rsid w:val="00355741"/>
    <w:rsid w:val="00367DBF"/>
    <w:rsid w:val="00380BE2"/>
    <w:rsid w:val="003C2427"/>
    <w:rsid w:val="003F480F"/>
    <w:rsid w:val="00400A77"/>
    <w:rsid w:val="0041011E"/>
    <w:rsid w:val="0041186D"/>
    <w:rsid w:val="0041666B"/>
    <w:rsid w:val="0042245C"/>
    <w:rsid w:val="00424DA4"/>
    <w:rsid w:val="00442040"/>
    <w:rsid w:val="0047376E"/>
    <w:rsid w:val="00476B87"/>
    <w:rsid w:val="0048092C"/>
    <w:rsid w:val="004B16AF"/>
    <w:rsid w:val="004D1F35"/>
    <w:rsid w:val="004E272F"/>
    <w:rsid w:val="004F4628"/>
    <w:rsid w:val="004F4999"/>
    <w:rsid w:val="0050062C"/>
    <w:rsid w:val="005159E7"/>
    <w:rsid w:val="00532B3C"/>
    <w:rsid w:val="00542257"/>
    <w:rsid w:val="00564E1C"/>
    <w:rsid w:val="0058623B"/>
    <w:rsid w:val="005A4690"/>
    <w:rsid w:val="005B0E63"/>
    <w:rsid w:val="006304A5"/>
    <w:rsid w:val="006508A1"/>
    <w:rsid w:val="00673698"/>
    <w:rsid w:val="00683E6A"/>
    <w:rsid w:val="006B7DB2"/>
    <w:rsid w:val="006D009D"/>
    <w:rsid w:val="006E00B8"/>
    <w:rsid w:val="006E467D"/>
    <w:rsid w:val="00711809"/>
    <w:rsid w:val="007167B6"/>
    <w:rsid w:val="00765827"/>
    <w:rsid w:val="007661A0"/>
    <w:rsid w:val="00781652"/>
    <w:rsid w:val="007901AB"/>
    <w:rsid w:val="00792B1D"/>
    <w:rsid w:val="007D042E"/>
    <w:rsid w:val="007D3B28"/>
    <w:rsid w:val="007E2254"/>
    <w:rsid w:val="00870520"/>
    <w:rsid w:val="0087105A"/>
    <w:rsid w:val="008A1CCB"/>
    <w:rsid w:val="008B33C0"/>
    <w:rsid w:val="008D2272"/>
    <w:rsid w:val="008D4921"/>
    <w:rsid w:val="009027FB"/>
    <w:rsid w:val="0093653B"/>
    <w:rsid w:val="00973891"/>
    <w:rsid w:val="009917B4"/>
    <w:rsid w:val="009B6B6E"/>
    <w:rsid w:val="009D54D8"/>
    <w:rsid w:val="009F0B98"/>
    <w:rsid w:val="00A03BE7"/>
    <w:rsid w:val="00A24325"/>
    <w:rsid w:val="00A25200"/>
    <w:rsid w:val="00A71053"/>
    <w:rsid w:val="00A71EBD"/>
    <w:rsid w:val="00A7331C"/>
    <w:rsid w:val="00A768E1"/>
    <w:rsid w:val="00A94BBD"/>
    <w:rsid w:val="00B101C9"/>
    <w:rsid w:val="00B2798E"/>
    <w:rsid w:val="00B9403A"/>
    <w:rsid w:val="00B946A3"/>
    <w:rsid w:val="00BB17CD"/>
    <w:rsid w:val="00BC4844"/>
    <w:rsid w:val="00C2222B"/>
    <w:rsid w:val="00C72442"/>
    <w:rsid w:val="00C734DA"/>
    <w:rsid w:val="00CA6A9F"/>
    <w:rsid w:val="00CC27D0"/>
    <w:rsid w:val="00CF313D"/>
    <w:rsid w:val="00D170C5"/>
    <w:rsid w:val="00D37F3B"/>
    <w:rsid w:val="00D45CCD"/>
    <w:rsid w:val="00D601E1"/>
    <w:rsid w:val="00D742F1"/>
    <w:rsid w:val="00DB1A6C"/>
    <w:rsid w:val="00DC25F6"/>
    <w:rsid w:val="00DC4049"/>
    <w:rsid w:val="00DD7BD2"/>
    <w:rsid w:val="00DE1F30"/>
    <w:rsid w:val="00DE496A"/>
    <w:rsid w:val="00E164A4"/>
    <w:rsid w:val="00E61C1A"/>
    <w:rsid w:val="00E63347"/>
    <w:rsid w:val="00E927F9"/>
    <w:rsid w:val="00EE13AE"/>
    <w:rsid w:val="00F1679D"/>
    <w:rsid w:val="00F40369"/>
    <w:rsid w:val="00F44DBD"/>
    <w:rsid w:val="00F63FAF"/>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43B9A"/>
  <w15:docId w15:val="{7B0497A1-628E-4B2B-8874-7E655DB2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73091">
      <w:bodyDiv w:val="1"/>
      <w:marLeft w:val="0"/>
      <w:marRight w:val="0"/>
      <w:marTop w:val="0"/>
      <w:marBottom w:val="0"/>
      <w:divBdr>
        <w:top w:val="none" w:sz="0" w:space="0" w:color="auto"/>
        <w:left w:val="none" w:sz="0" w:space="0" w:color="auto"/>
        <w:bottom w:val="none" w:sz="0" w:space="0" w:color="auto"/>
        <w:right w:val="none" w:sz="0" w:space="0" w:color="auto"/>
      </w:divBdr>
    </w:div>
    <w:div w:id="519855840">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791020845">
      <w:bodyDiv w:val="1"/>
      <w:marLeft w:val="0"/>
      <w:marRight w:val="0"/>
      <w:marTop w:val="0"/>
      <w:marBottom w:val="0"/>
      <w:divBdr>
        <w:top w:val="none" w:sz="0" w:space="0" w:color="auto"/>
        <w:left w:val="none" w:sz="0" w:space="0" w:color="auto"/>
        <w:bottom w:val="none" w:sz="0" w:space="0" w:color="auto"/>
        <w:right w:val="none" w:sz="0" w:space="0" w:color="auto"/>
      </w:divBdr>
    </w:div>
    <w:div w:id="1349141903">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92552831">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徐瑞娜</cp:lastModifiedBy>
  <cp:revision>4</cp:revision>
  <dcterms:created xsi:type="dcterms:W3CDTF">2024-04-08T05:41:00Z</dcterms:created>
  <dcterms:modified xsi:type="dcterms:W3CDTF">2024-04-18T05:20:00Z</dcterms:modified>
</cp:coreProperties>
</file>