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浦银理财悦丰利增盈23号理财产品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2301230587(销售代码:2301232692/2301232693/2301232694/2301232695/2301232696)</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Z7006923000616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2023-12-28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295,512,773.00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100.04%</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2301232692 : 3.40%-3.90%</w:t>
              <w:br/>
              <w:t>2301232693 : 3.50%-4.00%</w:t>
              <w:br/>
              <w:t>2301232694 : 3.65%-4.15%</w:t>
              <w:br/>
              <w:t>2301232695 : 3.60%-4.10%</w:t>
              <w:br/>
              <w:t>2301232696 : 3.40%-3.90%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2301230587 : 298,131,988.39</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2301232692 : 1.0087</w:t>
              <w:br/>
              <w:t>2301232693 : 1.0089</w:t>
              <w:br/>
              <w:t>2301232694 : 1.0093</w:t>
              <w:br/>
              <w:t>2301232695 : 1.0092</w:t>
              <w:br/>
              <w:t>2301232696 : 1.0087</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2301232692 : 1.0087</w:t>
              <w:br/>
              <w:t>2301232693 : 1.0089</w:t>
              <w:br/>
              <w:t>2301232694 : 1.0093</w:t>
              <w:br/>
              <w:t>2301232695 : 1.0092</w:t>
              <w:br/>
              <w:t>2301232696 : 1.0087</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468,890.78</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0.16%</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2,706,951.60</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0.91%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149,358,193.61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50.10%</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142,077,583.61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47.66%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155,702,725.06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52.23%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4,106,470.63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1.38%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142,077,583.61</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47.66%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298,249,199.45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298,249,199.45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投资策略以配置估值稳定资产为主，适当配置短期限信用债，同时适当通过杠杆等方式增厚收益，相机通过久期调整获取超额收益。报告期内组合流动性资产比例维持在较高水准，未有流动性风险情况。</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附：本报告期内，本产品理财投资合作机构为“百年保险资产管理有限责任公司、华润深国投信托有限公司、中国对外经济贸易信托有限公司、中信信托有限责任公司”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江苏金坛建设发展有限公司信托贷款－中信信托信浦1号</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142,077,583.61</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47.66%</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外贸信托-睿富4号证券投资集合资金信托计划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103,844,068.07</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34.83%</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华润信托盈亨15号集合资金信托计划</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50,657,812.79</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16.99%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百年资管弘远16号资产管理产品</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1,200,844.20</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0.40%</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468,890.78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0.16%</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江苏金坛建设发展有限公司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江苏金坛建设发展有限公司信托贷款－中信信托信浦1号</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341</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信托贷款</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47.66%</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99301.16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4173.03</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485.81</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