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浦银理财悦丰利增盈19号理财产品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2301230532(销售代码:2301231535/2301231536/2301231537/2301231538)</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Z7006923000473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2023-11-30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374,498,717.00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2301231535 : 3.50%-4.00%</w:t>
              <w:br/>
              <w:t>2301231536 : 3.60%-4.10%</w:t>
              <w:br/>
              <w:t>2301231537 : 3.40%-3.90%</w:t>
              <w:br/>
              <w:t>2301231538 : 3.70%-4.20%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2301230532 : 379,768,043.13</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2301231535 : 1.0139</w:t>
              <w:br/>
              <w:t>2301231536 : 1.0142</w:t>
              <w:br/>
              <w:t>2301231537 : 1.0135</w:t>
              <w:br/>
              <w:t>2301231538 : 1.0145</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2301231537 : 1.0135</w:t>
              <w:br/>
              <w:t>2301231538 : 1.0145</w:t>
              <w:br/>
              <w:t>2301231535 : 1.0139</w:t>
              <w:br/>
              <w:t>2301231536 : 1.0142</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2,750,965.95</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0.72%</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30,974,905.12</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8.16%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163,844,135.28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43.14%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180,809,961.90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47.61%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196,566,236.74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51.76%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4,498,162.29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180,809,961.90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47.61%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380,127,164.59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380,127,164.59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100.09%</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产品主要采用票息+杠杆策略，在严控信用风险前提下买入高票息债券，通过适度杠杆增厚组合收益。同时搭配保险协存、非标等稳定类资产，降低组合整体波动率。作为一款定开产品，将严格保证开放期前7日现金比例要求，可随时变现资产占比较高，组合流动性风险较低。
</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附：本报告期内，本产品理财投资合作机构为“大家资产管理有限责任公司、华润深国投信托有限公司、中国对外经济贸易信托有限公司、中信信托有限责任公司”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马上消费金融股份有限公司信贷资产收益权集合资金信托计划-外贸信托玉诚17期</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150,768,082.19</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39.70%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华润信托盈亨3号集合资金信托计划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104,050,681.20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27.40%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大家资产厚坤67号资产管理产品</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33,821,872.64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8.91%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西安高新控股有限公司信托贷款项目</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30,041,879.71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7.91%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外贸信托-睿富8号证券投资集合资金信托计划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25,285,774.62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6.66%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华润信托盈亨11号集合资金信托计划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19,214,870.52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5.06%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华润信托盈亨4号集合资金信托计划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14,193,037.76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3.74%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2,750,965.95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0.72%</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小贷分散贷款业务借款人</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马上消费金融股份有限公司信贷资产收益权集合资金信托计划-外贸信托玉诚17期</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272</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信贷资产流转(无重要债务人)</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39.70%</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西安高新控股有限公司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西安高新控股有限公司信托贷款项目</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245</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信托贷款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7.91%</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156499.37</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1885.02</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6370.38</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