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浦银理财悦鑫利固收封闭式V款理财产品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2301230640(销售代码:2301230710/2301231809/2301230711)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Z7006923000119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2023-09-27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205,379,385.00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2301230710 : 3.55%-3.95%</w:t>
              <w:br/>
              <w:t>2301231809 : 3.80%-4.20%</w:t>
              <w:br/>
              <w:t>2301230711 : 3.65%-4.05%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2301230640 : 209,510,979.60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2301230710 : 1.0199</w:t>
              <w:br/>
              <w:t>2301230711 : 1.0205</w:t>
              <w:br/>
              <w:t>2301231809 : 1.0212</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2301230710 : 1.0199</w:t>
              <w:br/>
              <w:t>2301230711 : 1.0205</w:t>
              <w:br/>
              <w:t>2301231809 : 1.0212</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177,471.38</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0.08%</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5,895,733.26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2.81%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68,092,032.00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32.50%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107,393,269.22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51.26%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96,407,332.03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46.02%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45,026,754.03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21.49%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7,254.93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96,407,332.03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46.02%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209,703,589.44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209,703,589.44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由于产品为封闭式产品，主要采取票息策略，在严控信用风险前提下，买入高票息债券并配置非标，组合净值波动率低。内部配置的均为期限匹配摊余成本法债券及债券专户，无流动性风险暴露</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附：本报告期内，本产品理财投资合作机构为“国通信托有限责任公司、新华资产管理股份有限公司、中诚信托有限责任公司、中航信托股份有限公司”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花呗平层非标类承接池产品-中诚信托永成521号4期</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51,369,589.04</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24.52%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国通信托国浦1号武汉高科国有控股集团有限公司信托贷款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45,037,742.99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21.50%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中航信托天玑共赢1号证券投资集合资金信托计划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39,966,021.54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19.08%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22咸阳03</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20,699,746.98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9.88%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19即墨01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20,607,554.07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9.84%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21智谷01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19,606,913.10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9.36%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23平度D2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7,177,817.85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3.43%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新华资产-明远九号</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5,060,732.49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177,470.30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其他货币资金</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花呗平层非标类承接池产品-中诚信托永成521号4期</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210</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资产支持债权类产品</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24.52%</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武汉高科国有控股集团有限公司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国通信托国浦1号武汉高科国有控股集团有限公司信托贷款</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229</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21.50%</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86939.34</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1088.32</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10399.25</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