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sidRPr="00C67C77">
        <w:rPr>
          <w:rFonts w:ascii="Times New Roman" w:eastAsia="宋体" w:hAnsi="Times New Roman" w:cs="Times New Roman" w:hint="eastAsia"/>
          <w:b/>
          <w:spacing w:val="-5"/>
          <w:kern w:val="0"/>
          <w:sz w:val="28"/>
          <w:szCs w:val="28"/>
        </w:rPr>
        <w:t>易方达黄金主题证券投资基金（</w:t>
      </w:r>
      <w:r w:rsidRPr="00C67C77">
        <w:rPr>
          <w:rFonts w:ascii="Times New Roman" w:eastAsia="宋体" w:hAnsi="Times New Roman" w:cs="Times New Roman"/>
          <w:b/>
          <w:spacing w:val="-5"/>
          <w:kern w:val="0"/>
          <w:sz w:val="28"/>
          <w:szCs w:val="28"/>
        </w:rPr>
        <w:t>LOF</w:t>
      </w:r>
      <w:r w:rsidRPr="00C67C77">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溢价风险提示及临时停牌</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B07C24">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w:t>
      </w:r>
      <w:r w:rsidRPr="00BF4C31">
        <w:rPr>
          <w:rFonts w:ascii="宋体" w:hAnsi="宋体" w:cs="Arial" w:hint="eastAsia"/>
          <w:color w:val="000000"/>
          <w:szCs w:val="21"/>
        </w:rPr>
        <w:t>(</w:t>
      </w:r>
      <w:r w:rsidRPr="00BF4C31">
        <w:rPr>
          <w:rFonts w:ascii="宋体" w:hAnsi="宋体" w:cs="Arial" w:hint="eastAsia"/>
          <w:color w:val="000000"/>
          <w:szCs w:val="21"/>
        </w:rPr>
        <w:t>以下简称“本基金管理人”</w:t>
      </w:r>
      <w:r w:rsidRPr="00BF4C31">
        <w:rPr>
          <w:rFonts w:ascii="宋体" w:hAnsi="宋体" w:cs="Arial" w:hint="eastAsia"/>
          <w:color w:val="000000"/>
          <w:szCs w:val="21"/>
        </w:rPr>
        <w:t>)</w:t>
      </w:r>
      <w:r w:rsidRPr="00BF4C31">
        <w:rPr>
          <w:rFonts w:ascii="宋体" w:hAnsi="宋体" w:cs="Arial" w:hint="eastAsia"/>
          <w:color w:val="000000"/>
          <w:szCs w:val="21"/>
        </w:rPr>
        <w:t>旗下</w:t>
      </w:r>
      <w:r w:rsidR="006C6A46">
        <w:rPr>
          <w:rFonts w:ascii="宋体" w:hAnsi="宋体" w:cs="Arial" w:hint="eastAsia"/>
          <w:color w:val="000000"/>
          <w:szCs w:val="21"/>
        </w:rPr>
        <w:t>易方达黄金主题证券投资基金（LOF）</w:t>
      </w:r>
      <w:r w:rsidRPr="00842A72">
        <w:rPr>
          <w:rFonts w:ascii="宋体" w:hAnsi="宋体" w:cs="Arial"/>
          <w:color w:val="000000"/>
          <w:szCs w:val="21"/>
        </w:rPr>
        <w:t>A</w:t>
      </w:r>
      <w:r w:rsidRPr="00842A72">
        <w:rPr>
          <w:rFonts w:ascii="宋体" w:hAnsi="宋体" w:cs="Arial" w:hint="eastAsia"/>
          <w:color w:val="000000"/>
          <w:szCs w:val="21"/>
        </w:rPr>
        <w:t>类人民币份额（基金代码：</w:t>
      </w:r>
      <w:r w:rsidRPr="00842A72">
        <w:rPr>
          <w:rFonts w:ascii="宋体" w:hAnsi="宋体" w:cs="Arial" w:hint="eastAsia"/>
          <w:color w:val="000000"/>
          <w:szCs w:val="21"/>
        </w:rPr>
        <w:t>1611</w:t>
      </w:r>
      <w:r w:rsidR="006C6A46">
        <w:rPr>
          <w:rFonts w:ascii="宋体" w:hAnsi="宋体" w:cs="Arial"/>
          <w:color w:val="000000"/>
          <w:szCs w:val="21"/>
        </w:rPr>
        <w:t>16</w:t>
      </w:r>
      <w:r w:rsidRPr="00842A72">
        <w:rPr>
          <w:rFonts w:ascii="宋体" w:hAnsi="宋体" w:cs="Arial" w:hint="eastAsia"/>
          <w:color w:val="000000"/>
          <w:szCs w:val="21"/>
        </w:rPr>
        <w:t>，场内简称：</w:t>
      </w:r>
      <w:r w:rsidRPr="00C67C77" w:rsidR="006C6A46">
        <w:rPr>
          <w:rFonts w:ascii="宋体" w:hAnsi="宋体" w:cs="Arial" w:hint="eastAsia"/>
          <w:color w:val="000000"/>
          <w:szCs w:val="21"/>
        </w:rPr>
        <w:t>黄金主题</w:t>
      </w:r>
      <w:r w:rsidRPr="00C67C77" w:rsidR="006C6A46">
        <w:rPr>
          <w:rFonts w:ascii="宋体" w:hAnsi="宋体" w:cs="Arial"/>
          <w:color w:val="000000"/>
          <w:szCs w:val="21"/>
        </w:rPr>
        <w:t>LOF</w:t>
      </w:r>
      <w:r w:rsidRPr="00842A72">
        <w:rPr>
          <w:rFonts w:ascii="宋体" w:hAnsi="宋体" w:cs="Arial" w:hint="eastAsia"/>
          <w:color w:val="000000"/>
          <w:szCs w:val="21"/>
        </w:rPr>
        <w:t>，以下简称“本基金”）</w:t>
      </w:r>
      <w:r>
        <w:rPr>
          <w:rFonts w:ascii="宋体" w:hAnsi="宋体" w:cs="Arial" w:hint="eastAsia"/>
          <w:color w:val="000000"/>
          <w:kern w:val="0"/>
          <w:szCs w:val="21"/>
        </w:rPr>
        <w:t>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500C19" w:rsidR="00E16D14">
        <w:rPr>
          <w:rFonts w:ascii="宋体" w:hAnsi="宋体" w:cs="Arial"/>
          <w:color w:val="000000"/>
          <w:szCs w:val="21"/>
        </w:rPr>
        <w:t>202</w:t>
      </w:r>
      <w:r w:rsidR="00E16D14">
        <w:rPr>
          <w:rFonts w:ascii="宋体" w:hAnsi="宋体" w:cs="Arial"/>
          <w:color w:val="000000"/>
          <w:szCs w:val="21"/>
        </w:rPr>
        <w:t>4</w:t>
      </w:r>
      <w:r w:rsidRPr="00500C19" w:rsidR="00E16D14">
        <w:rPr>
          <w:rFonts w:ascii="宋体" w:hAnsi="宋体" w:cs="Arial" w:hint="eastAsia"/>
          <w:color w:val="000000"/>
          <w:szCs w:val="21"/>
        </w:rPr>
        <w:t>年</w:t>
      </w:r>
      <w:r w:rsidR="00E16D14">
        <w:rPr>
          <w:rFonts w:ascii="宋体" w:hAnsi="宋体" w:cs="Arial"/>
          <w:color w:val="000000"/>
          <w:szCs w:val="21"/>
        </w:rPr>
        <w:t>4</w:t>
      </w:r>
      <w:r w:rsidRPr="00500C19" w:rsidR="00E16D14">
        <w:rPr>
          <w:rFonts w:ascii="宋体" w:hAnsi="宋体" w:cs="Arial" w:hint="eastAsia"/>
          <w:color w:val="000000"/>
          <w:szCs w:val="21"/>
        </w:rPr>
        <w:t>月</w:t>
      </w:r>
      <w:r w:rsidR="00E16D14">
        <w:rPr>
          <w:rFonts w:ascii="宋体" w:hAnsi="宋体" w:cs="Arial"/>
          <w:color w:val="000000"/>
          <w:szCs w:val="21"/>
        </w:rPr>
        <w:t>1</w:t>
      </w:r>
      <w:r w:rsidR="008C0C15">
        <w:rPr>
          <w:rFonts w:ascii="宋体" w:hAnsi="宋体" w:cs="Arial"/>
          <w:color w:val="000000"/>
          <w:szCs w:val="21"/>
        </w:rPr>
        <w:t>6</w:t>
      </w:r>
      <w:r w:rsidRPr="00500C19">
        <w:rPr>
          <w:rFonts w:ascii="宋体" w:hAnsi="宋体" w:cs="Arial" w:hint="eastAsia"/>
          <w:color w:val="000000"/>
          <w:szCs w:val="21"/>
        </w:rPr>
        <w:t>日，本基金</w:t>
      </w:r>
      <w:r w:rsidRPr="00500C19" w:rsidR="002D39B1">
        <w:rPr>
          <w:rFonts w:ascii="宋体" w:hAnsi="宋体" w:cs="Arial" w:hint="eastAsia"/>
          <w:color w:val="000000"/>
          <w:szCs w:val="21"/>
        </w:rPr>
        <w:t>基金份额净值为</w:t>
      </w:r>
      <w:r w:rsidRPr="008C0C15" w:rsidR="008C0C15">
        <w:rPr>
          <w:rFonts w:ascii="宋体" w:hAnsi="宋体" w:cs="Arial"/>
          <w:color w:val="000000"/>
          <w:szCs w:val="21"/>
        </w:rPr>
        <w:t>0.940</w:t>
      </w:r>
      <w:r w:rsidRPr="00500C19">
        <w:rPr>
          <w:rFonts w:ascii="宋体" w:hAnsi="宋体" w:cs="Arial" w:hint="eastAsia"/>
          <w:color w:val="000000"/>
          <w:szCs w:val="21"/>
        </w:rPr>
        <w:t>元</w:t>
      </w:r>
      <w:r w:rsidRPr="00500C19" w:rsidR="002D39B1">
        <w:rPr>
          <w:rFonts w:ascii="宋体" w:hAnsi="宋体" w:cs="Arial" w:hint="eastAsia"/>
          <w:color w:val="000000"/>
          <w:szCs w:val="21"/>
        </w:rPr>
        <w:t>，</w:t>
      </w:r>
      <w:r w:rsidRPr="00500C19">
        <w:rPr>
          <w:rFonts w:ascii="宋体" w:hAnsi="宋体" w:cs="Arial" w:hint="eastAsia"/>
          <w:color w:val="000000"/>
          <w:szCs w:val="21"/>
        </w:rPr>
        <w:t>截</w:t>
      </w:r>
      <w:r w:rsidRPr="00500C19" w:rsidR="00A21735">
        <w:rPr>
          <w:rFonts w:ascii="宋体" w:hAnsi="宋体" w:cs="Arial" w:hint="eastAsia"/>
          <w:color w:val="000000"/>
          <w:szCs w:val="21"/>
        </w:rPr>
        <w:t>至</w:t>
      </w:r>
      <w:r w:rsidRPr="00500C19" w:rsidR="00191491">
        <w:rPr>
          <w:rFonts w:ascii="宋体" w:hAnsi="宋体" w:cs="Arial"/>
          <w:color w:val="000000"/>
          <w:szCs w:val="21"/>
        </w:rPr>
        <w:t>202</w:t>
      </w:r>
      <w:r w:rsidR="00191491">
        <w:rPr>
          <w:rFonts w:ascii="宋体" w:hAnsi="宋体" w:cs="Arial"/>
          <w:color w:val="000000"/>
          <w:szCs w:val="21"/>
        </w:rPr>
        <w:t>4</w:t>
      </w:r>
      <w:r w:rsidRPr="00500C19" w:rsidR="00191491">
        <w:rPr>
          <w:rFonts w:ascii="宋体" w:hAnsi="宋体" w:cs="Arial" w:hint="eastAsia"/>
          <w:color w:val="000000"/>
          <w:szCs w:val="21"/>
        </w:rPr>
        <w:t>年</w:t>
      </w:r>
      <w:r w:rsidR="00191491">
        <w:rPr>
          <w:rFonts w:ascii="宋体" w:hAnsi="宋体" w:cs="Arial"/>
          <w:color w:val="000000"/>
          <w:szCs w:val="21"/>
        </w:rPr>
        <w:t>4</w:t>
      </w:r>
      <w:r w:rsidRPr="00500C19" w:rsidR="00191491">
        <w:rPr>
          <w:rFonts w:ascii="宋体" w:hAnsi="宋体" w:cs="Arial" w:hint="eastAsia"/>
          <w:color w:val="000000"/>
          <w:szCs w:val="21"/>
        </w:rPr>
        <w:t>月</w:t>
      </w:r>
      <w:r w:rsidR="00E16D14">
        <w:rPr>
          <w:rFonts w:ascii="宋体" w:hAnsi="宋体" w:cs="Arial"/>
          <w:color w:val="000000"/>
          <w:szCs w:val="21"/>
        </w:rPr>
        <w:t>1</w:t>
      </w:r>
      <w:r>
        <w:rPr>
          <w:rFonts w:ascii="宋体" w:hAnsi="宋体" w:cs="Arial"/>
          <w:color w:val="000000"/>
          <w:szCs w:val="21"/>
        </w:rPr>
        <w:t>8</w:t>
      </w:r>
      <w:bookmarkStart w:id="0" w:name="_GoBack"/>
      <w:bookmarkEnd w:id="0"/>
      <w:r w:rsidRPr="00500C19">
        <w:rPr>
          <w:rFonts w:ascii="宋体" w:hAnsi="宋体" w:cs="Arial" w:hint="eastAsia"/>
          <w:color w:val="000000"/>
          <w:szCs w:val="21"/>
        </w:rPr>
        <w:t>日，本基金在二级市场的收盘价为</w:t>
      </w:r>
      <w:r w:rsidRPr="00191491" w:rsidR="00191491">
        <w:rPr>
          <w:rFonts w:ascii="宋体" w:hAnsi="宋体" w:cs="Arial"/>
          <w:color w:val="000000" w:themeColor="text1"/>
          <w:szCs w:val="21"/>
        </w:rPr>
        <w:t>1.</w:t>
      </w:r>
      <w:r w:rsidR="00E16D14">
        <w:rPr>
          <w:rFonts w:ascii="宋体" w:hAnsi="宋体" w:cs="Arial"/>
          <w:color w:val="000000" w:themeColor="text1"/>
          <w:szCs w:val="21"/>
        </w:rPr>
        <w:t>27</w:t>
      </w:r>
      <w:r w:rsidR="008C0C15">
        <w:rPr>
          <w:rFonts w:ascii="宋体" w:hAnsi="宋体" w:cs="Arial"/>
          <w:color w:val="000000" w:themeColor="text1"/>
          <w:szCs w:val="21"/>
        </w:rPr>
        <w:t>6</w:t>
      </w:r>
      <w:r w:rsidRPr="00500C19">
        <w:rPr>
          <w:rFonts w:ascii="宋体" w:hAnsi="宋体" w:cs="Arial" w:hint="eastAsia"/>
          <w:color w:val="000000"/>
          <w:szCs w:val="21"/>
        </w:rPr>
        <w:t>元</w:t>
      </w:r>
      <w:r w:rsidR="00676A7D">
        <w:rPr>
          <w:rFonts w:asciiTheme="minorEastAsia" w:hAnsiTheme="minorEastAsia" w:hint="eastAsia"/>
          <w:kern w:val="0"/>
          <w:szCs w:val="21"/>
        </w:rPr>
        <w:t>。</w:t>
      </w:r>
      <w:r w:rsidR="00676A7D">
        <w:rPr>
          <w:rFonts w:asciiTheme="minorEastAsia" w:hAnsiTheme="minorEastAsia" w:hint="eastAsia"/>
          <w:b/>
          <w:kern w:val="0"/>
          <w:szCs w:val="21"/>
        </w:rPr>
        <w:t>特此提示投资者关注二级市场交易价格溢价风险，投资者如果高溢价买入，可能面临</w:t>
      </w:r>
      <w:r w:rsidR="002E60D4">
        <w:rPr>
          <w:rFonts w:asciiTheme="minorEastAsia" w:hAnsiTheme="minorEastAsia" w:hint="eastAsia"/>
          <w:b/>
          <w:kern w:val="0"/>
          <w:szCs w:val="21"/>
        </w:rPr>
        <w:t>重大</w:t>
      </w:r>
      <w:r w:rsidR="00676A7D">
        <w:rPr>
          <w:rFonts w:asciiTheme="minorEastAsia" w:hAnsiTheme="minorEastAsia" w:hint="eastAsia"/>
          <w:b/>
          <w:kern w:val="0"/>
          <w:szCs w:val="21"/>
        </w:rPr>
        <w:t>损失</w:t>
      </w:r>
      <w:r w:rsidRPr="00842A72">
        <w:rPr>
          <w:rFonts w:ascii="宋体" w:hAnsi="宋体" w:cs="Arial" w:hint="eastAsia"/>
          <w:color w:val="000000"/>
          <w:szCs w:val="21"/>
        </w:rPr>
        <w:t>。</w:t>
      </w:r>
    </w:p>
    <w:p w:rsidR="0004364E" w:rsidRPr="0004364E">
      <w:pPr>
        <w:spacing w:line="360" w:lineRule="auto"/>
        <w:ind w:firstLine="420" w:firstLineChars="200"/>
        <w:rPr>
          <w:rFonts w:ascii="宋体" w:hAnsi="宋体" w:cs="Arial"/>
          <w:b/>
          <w:color w:val="000000"/>
          <w:szCs w:val="21"/>
        </w:rPr>
      </w:pPr>
      <w:r>
        <w:rPr>
          <w:rFonts w:ascii="宋体" w:hAnsi="宋体" w:cs="Arial" w:hint="eastAsia"/>
          <w:b/>
          <w:color w:val="000000"/>
          <w:szCs w:val="21"/>
        </w:rPr>
        <w:t>为了保护投资者的利益，本基金将于</w:t>
      </w:r>
      <w:r>
        <w:rPr>
          <w:rFonts w:ascii="宋体" w:hAnsi="宋体" w:cs="Arial" w:hint="eastAsia"/>
          <w:b/>
          <w:color w:val="000000"/>
          <w:szCs w:val="21"/>
        </w:rPr>
        <w:t>2024</w:t>
      </w:r>
      <w:r>
        <w:rPr>
          <w:rFonts w:ascii="宋体" w:hAnsi="宋体" w:cs="Arial" w:hint="eastAsia"/>
          <w:b/>
          <w:color w:val="000000"/>
          <w:szCs w:val="21"/>
        </w:rPr>
        <w:t>年</w:t>
      </w:r>
      <w:r>
        <w:rPr>
          <w:rFonts w:ascii="宋体" w:hAnsi="宋体" w:cs="Arial"/>
          <w:b/>
          <w:color w:val="000000"/>
          <w:szCs w:val="21"/>
        </w:rPr>
        <w:t>4</w:t>
      </w:r>
      <w:r>
        <w:rPr>
          <w:rFonts w:ascii="宋体" w:hAnsi="宋体" w:cs="Arial" w:hint="eastAsia"/>
          <w:b/>
          <w:color w:val="000000"/>
          <w:szCs w:val="21"/>
        </w:rPr>
        <w:t>月</w:t>
      </w:r>
      <w:r>
        <w:rPr>
          <w:rFonts w:ascii="宋体" w:hAnsi="宋体" w:cs="Arial"/>
          <w:b/>
          <w:color w:val="000000"/>
          <w:szCs w:val="21"/>
        </w:rPr>
        <w:t>1</w:t>
      </w:r>
      <w:r w:rsidR="008C0C15">
        <w:rPr>
          <w:rFonts w:ascii="宋体" w:hAnsi="宋体" w:cs="Arial"/>
          <w:b/>
          <w:color w:val="000000"/>
          <w:szCs w:val="21"/>
        </w:rPr>
        <w:t>9</w:t>
      </w:r>
      <w:r>
        <w:rPr>
          <w:rFonts w:ascii="宋体" w:hAnsi="宋体" w:cs="Arial" w:hint="eastAsia"/>
          <w:b/>
          <w:color w:val="000000"/>
          <w:szCs w:val="21"/>
        </w:rPr>
        <w:t>日开市起至当日</w:t>
      </w:r>
      <w:r>
        <w:rPr>
          <w:rFonts w:ascii="宋体" w:hAnsi="宋体" w:cs="Arial" w:hint="eastAsia"/>
          <w:b/>
          <w:color w:val="000000"/>
          <w:szCs w:val="21"/>
        </w:rPr>
        <w:t>10:30</w:t>
      </w:r>
      <w:r>
        <w:rPr>
          <w:rFonts w:ascii="宋体" w:hAnsi="宋体" w:cs="Arial" w:hint="eastAsia"/>
          <w:b/>
          <w:color w:val="000000"/>
          <w:szCs w:val="21"/>
        </w:rPr>
        <w:t>停牌，自</w:t>
      </w:r>
      <w:r>
        <w:rPr>
          <w:rFonts w:ascii="宋体" w:hAnsi="宋体" w:cs="Arial" w:hint="eastAsia"/>
          <w:b/>
          <w:color w:val="000000"/>
          <w:szCs w:val="21"/>
        </w:rPr>
        <w:t>2024</w:t>
      </w:r>
      <w:r>
        <w:rPr>
          <w:rFonts w:ascii="宋体" w:hAnsi="宋体" w:cs="Arial" w:hint="eastAsia"/>
          <w:b/>
          <w:color w:val="000000"/>
          <w:szCs w:val="21"/>
        </w:rPr>
        <w:t>年</w:t>
      </w:r>
      <w:r>
        <w:rPr>
          <w:rFonts w:ascii="宋体" w:hAnsi="宋体" w:cs="Arial"/>
          <w:b/>
          <w:color w:val="000000"/>
          <w:szCs w:val="21"/>
        </w:rPr>
        <w:t>4</w:t>
      </w:r>
      <w:r>
        <w:rPr>
          <w:rFonts w:ascii="宋体" w:hAnsi="宋体" w:cs="Arial" w:hint="eastAsia"/>
          <w:b/>
          <w:color w:val="000000"/>
          <w:szCs w:val="21"/>
        </w:rPr>
        <w:t>月</w:t>
      </w:r>
      <w:r>
        <w:rPr>
          <w:rFonts w:ascii="宋体" w:hAnsi="宋体" w:cs="Arial"/>
          <w:b/>
          <w:color w:val="000000"/>
          <w:szCs w:val="21"/>
        </w:rPr>
        <w:t>1</w:t>
      </w:r>
      <w:r w:rsidR="008C0C15">
        <w:rPr>
          <w:rFonts w:ascii="宋体" w:hAnsi="宋体" w:cs="Arial"/>
          <w:b/>
          <w:color w:val="000000"/>
          <w:szCs w:val="21"/>
        </w:rPr>
        <w:t>9</w:t>
      </w:r>
      <w:r>
        <w:rPr>
          <w:rFonts w:ascii="宋体" w:hAnsi="宋体" w:cs="Arial" w:hint="eastAsia"/>
          <w:b/>
          <w:color w:val="000000"/>
          <w:szCs w:val="21"/>
        </w:rPr>
        <w:t>日</w:t>
      </w:r>
      <w:r>
        <w:rPr>
          <w:rFonts w:ascii="宋体" w:hAnsi="宋体" w:cs="Arial" w:hint="eastAsia"/>
          <w:b/>
          <w:color w:val="000000"/>
          <w:szCs w:val="21"/>
        </w:rPr>
        <w:t>10:30</w:t>
      </w:r>
      <w:r>
        <w:rPr>
          <w:rFonts w:ascii="宋体" w:hAnsi="宋体" w:cs="Arial" w:hint="eastAsia"/>
          <w:b/>
          <w:color w:val="000000"/>
          <w:szCs w:val="21"/>
        </w:rPr>
        <w:t>复牌。</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w:t>
      </w:r>
      <w:r w:rsidR="006C6A46">
        <w:rPr>
          <w:rFonts w:ascii="宋体" w:hAnsi="宋体" w:cs="Arial" w:hint="eastAsia"/>
          <w:color w:val="000000"/>
          <w:szCs w:val="21"/>
        </w:rPr>
        <w:t>相关公告</w:t>
      </w:r>
      <w:r w:rsidRPr="008A46AF">
        <w:rPr>
          <w:rFonts w:ascii="宋体" w:hAnsi="宋体" w:cs="Arial" w:hint="eastAsia"/>
          <w:color w:val="000000"/>
          <w:szCs w:val="21"/>
        </w:rPr>
        <w:t>，</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w:t>
      </w:r>
      <w:r w:rsidR="006C6A46">
        <w:rPr>
          <w:rFonts w:ascii="宋体" w:hAnsi="宋体" w:cs="Arial"/>
          <w:color w:val="000000"/>
          <w:szCs w:val="21"/>
        </w:rPr>
        <w:t>2</w:t>
      </w:r>
      <w:r w:rsidRPr="008A46AF">
        <w:rPr>
          <w:rFonts w:ascii="宋体" w:hAnsi="宋体" w:cs="Arial" w:hint="eastAsia"/>
          <w:color w:val="000000"/>
          <w:szCs w:val="21"/>
        </w:rPr>
        <w:t>年</w:t>
      </w:r>
      <w:r w:rsidRPr="008A46AF">
        <w:rPr>
          <w:rFonts w:ascii="宋体" w:hAnsi="宋体" w:cs="Arial" w:hint="eastAsia"/>
          <w:color w:val="000000"/>
          <w:szCs w:val="21"/>
        </w:rPr>
        <w:t>3</w:t>
      </w:r>
      <w:r w:rsidRPr="008A46AF">
        <w:rPr>
          <w:rFonts w:ascii="宋体" w:hAnsi="宋体" w:cs="Arial" w:hint="eastAsia"/>
          <w:color w:val="000000"/>
          <w:szCs w:val="21"/>
        </w:rPr>
        <w:t>月</w:t>
      </w:r>
      <w:r w:rsidR="006C6A46">
        <w:rPr>
          <w:rFonts w:ascii="宋体" w:hAnsi="宋体" w:cs="Arial" w:hint="eastAsia"/>
          <w:color w:val="000000"/>
          <w:szCs w:val="21"/>
        </w:rPr>
        <w:t>7</w:t>
      </w:r>
      <w:r w:rsidRPr="008A46AF">
        <w:rPr>
          <w:rFonts w:ascii="宋体" w:hAnsi="宋体" w:cs="Arial" w:hint="eastAsia"/>
          <w:color w:val="000000"/>
          <w:szCs w:val="21"/>
        </w:rPr>
        <w:t>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w:t>
      </w:r>
      <w:r>
        <w:rPr>
          <w:rFonts w:ascii="宋体" w:hAnsi="宋体" w:cs="Arial" w:hint="eastAsia"/>
          <w:color w:val="000000"/>
          <w:szCs w:val="21"/>
        </w:rPr>
        <w:t>、本基金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00676A7D">
        <w:rPr>
          <w:rFonts w:ascii="宋体" w:hAnsi="宋体" w:cs="Arial" w:hint="eastAsia"/>
          <w:color w:val="000000"/>
          <w:szCs w:val="21"/>
        </w:rPr>
        <w:t>可能使投资者</w:t>
      </w:r>
      <w:r w:rsidRPr="00203705">
        <w:rPr>
          <w:rFonts w:ascii="宋体" w:hAnsi="宋体" w:cs="Arial" w:hint="eastAsia"/>
          <w:color w:val="000000"/>
          <w:szCs w:val="21"/>
        </w:rPr>
        <w:t>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w:t>
      </w:r>
      <w:r w:rsidRPr="00243315">
        <w:rPr>
          <w:rFonts w:asciiTheme="minorEastAsia" w:hAnsiTheme="minorEastAsia" w:hint="eastAsia"/>
          <w:szCs w:val="21"/>
        </w:rPr>
        <w:t>，在投资者作出投资决策后，基金运营状况与基金净值变化引致的投资风险，由投资者自行负责。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w:t>
      </w:r>
      <w:r w:rsidRPr="00BF4C31">
        <w:rPr>
          <w:rFonts w:ascii="宋体" w:hAnsi="宋体" w:cs="Arial" w:hint="eastAsia"/>
          <w:color w:val="000000"/>
          <w:szCs w:val="21"/>
        </w:rPr>
        <w:t>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sidRPr="00C67C77">
        <w:rPr>
          <w:rFonts w:ascii="宋体" w:hAnsi="宋体" w:cs="Arial"/>
          <w:color w:val="000000"/>
          <w:szCs w:val="21"/>
        </w:rPr>
        <w:t>202</w:t>
      </w:r>
      <w:r>
        <w:rPr>
          <w:rFonts w:ascii="宋体" w:hAnsi="宋体" w:cs="Arial"/>
          <w:color w:val="000000"/>
          <w:szCs w:val="21"/>
        </w:rPr>
        <w:t>4</w:t>
      </w:r>
      <w:r w:rsidRPr="00C67C77">
        <w:rPr>
          <w:rFonts w:ascii="宋体" w:hAnsi="宋体" w:cs="Arial" w:hint="eastAsia"/>
          <w:color w:val="000000"/>
          <w:szCs w:val="21"/>
        </w:rPr>
        <w:t>年</w:t>
      </w:r>
      <w:r>
        <w:rPr>
          <w:rFonts w:ascii="宋体" w:hAnsi="宋体" w:cs="Arial"/>
          <w:color w:val="000000"/>
          <w:szCs w:val="21"/>
        </w:rPr>
        <w:t>4</w:t>
      </w:r>
      <w:r w:rsidRPr="00C67C77">
        <w:rPr>
          <w:rFonts w:ascii="宋体" w:hAnsi="宋体" w:cs="Arial" w:hint="eastAsia"/>
          <w:color w:val="000000"/>
          <w:szCs w:val="21"/>
        </w:rPr>
        <w:t>月</w:t>
      </w:r>
      <w:r>
        <w:rPr>
          <w:rFonts w:ascii="宋体" w:hAnsi="宋体" w:cs="Arial"/>
          <w:color w:val="000000"/>
          <w:szCs w:val="21"/>
        </w:rPr>
        <w:t>1</w:t>
      </w:r>
      <w:r w:rsidR="008C0C15">
        <w:rPr>
          <w:rFonts w:ascii="宋体" w:hAnsi="宋体" w:cs="Arial"/>
          <w:color w:val="000000"/>
          <w:szCs w:val="21"/>
        </w:rPr>
        <w:t>9</w:t>
      </w:r>
      <w:r w:rsidRPr="00C67C77" w:rsidR="00B07C24">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李彬豪">
    <w15:presenceInfo w15:providerId="None" w15:userId="李彬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27932"/>
    <w:rsid w:val="00031EC3"/>
    <w:rsid w:val="0004364E"/>
    <w:rsid w:val="00047009"/>
    <w:rsid w:val="000639F3"/>
    <w:rsid w:val="000B1C54"/>
    <w:rsid w:val="000B5E55"/>
    <w:rsid w:val="000D4D46"/>
    <w:rsid w:val="000E7CC8"/>
    <w:rsid w:val="000F3434"/>
    <w:rsid w:val="001037EE"/>
    <w:rsid w:val="00111956"/>
    <w:rsid w:val="001223BF"/>
    <w:rsid w:val="00127ADF"/>
    <w:rsid w:val="0015545A"/>
    <w:rsid w:val="00161B97"/>
    <w:rsid w:val="00191491"/>
    <w:rsid w:val="001A317A"/>
    <w:rsid w:val="001A35FA"/>
    <w:rsid w:val="001B3166"/>
    <w:rsid w:val="001E5959"/>
    <w:rsid w:val="001F5C05"/>
    <w:rsid w:val="001F7C88"/>
    <w:rsid w:val="00203705"/>
    <w:rsid w:val="00206C81"/>
    <w:rsid w:val="00217FA6"/>
    <w:rsid w:val="00243315"/>
    <w:rsid w:val="00296748"/>
    <w:rsid w:val="002B0A36"/>
    <w:rsid w:val="002C535B"/>
    <w:rsid w:val="002D39B1"/>
    <w:rsid w:val="002E60D4"/>
    <w:rsid w:val="0030405D"/>
    <w:rsid w:val="00305BDE"/>
    <w:rsid w:val="003235D5"/>
    <w:rsid w:val="00355C86"/>
    <w:rsid w:val="00361C73"/>
    <w:rsid w:val="003A6652"/>
    <w:rsid w:val="003B04EB"/>
    <w:rsid w:val="003C17F2"/>
    <w:rsid w:val="003C3301"/>
    <w:rsid w:val="003D33D0"/>
    <w:rsid w:val="003E2306"/>
    <w:rsid w:val="003F132D"/>
    <w:rsid w:val="00403481"/>
    <w:rsid w:val="00410A3E"/>
    <w:rsid w:val="004151B2"/>
    <w:rsid w:val="004168F4"/>
    <w:rsid w:val="00462997"/>
    <w:rsid w:val="00494435"/>
    <w:rsid w:val="004964EB"/>
    <w:rsid w:val="004A00E2"/>
    <w:rsid w:val="004B0241"/>
    <w:rsid w:val="004B4B53"/>
    <w:rsid w:val="004C4272"/>
    <w:rsid w:val="004D0F2F"/>
    <w:rsid w:val="004E2EEC"/>
    <w:rsid w:val="00500C19"/>
    <w:rsid w:val="00507044"/>
    <w:rsid w:val="00507DC2"/>
    <w:rsid w:val="00520072"/>
    <w:rsid w:val="00563DEA"/>
    <w:rsid w:val="005700BB"/>
    <w:rsid w:val="00596D7B"/>
    <w:rsid w:val="005C7BFC"/>
    <w:rsid w:val="005D6A06"/>
    <w:rsid w:val="005E7342"/>
    <w:rsid w:val="005F4B09"/>
    <w:rsid w:val="00610F05"/>
    <w:rsid w:val="00624CBC"/>
    <w:rsid w:val="00624EA3"/>
    <w:rsid w:val="00637D8D"/>
    <w:rsid w:val="00661546"/>
    <w:rsid w:val="0067348F"/>
    <w:rsid w:val="00676A7D"/>
    <w:rsid w:val="0069636B"/>
    <w:rsid w:val="006A1378"/>
    <w:rsid w:val="006C6A46"/>
    <w:rsid w:val="006D2798"/>
    <w:rsid w:val="006D2B4B"/>
    <w:rsid w:val="007018D4"/>
    <w:rsid w:val="00704B24"/>
    <w:rsid w:val="0071439E"/>
    <w:rsid w:val="0075075C"/>
    <w:rsid w:val="00754CB7"/>
    <w:rsid w:val="00763161"/>
    <w:rsid w:val="00771C21"/>
    <w:rsid w:val="007816B6"/>
    <w:rsid w:val="007B3D07"/>
    <w:rsid w:val="007C4308"/>
    <w:rsid w:val="007E3998"/>
    <w:rsid w:val="007E3C4E"/>
    <w:rsid w:val="00813D48"/>
    <w:rsid w:val="008271F6"/>
    <w:rsid w:val="00842A72"/>
    <w:rsid w:val="00867876"/>
    <w:rsid w:val="008A46AF"/>
    <w:rsid w:val="008B35C7"/>
    <w:rsid w:val="008B478F"/>
    <w:rsid w:val="008C06FF"/>
    <w:rsid w:val="008C0C15"/>
    <w:rsid w:val="008C0E99"/>
    <w:rsid w:val="008C3F88"/>
    <w:rsid w:val="008F33E4"/>
    <w:rsid w:val="00912CB7"/>
    <w:rsid w:val="00920E4C"/>
    <w:rsid w:val="00993FEA"/>
    <w:rsid w:val="009944E3"/>
    <w:rsid w:val="009A744E"/>
    <w:rsid w:val="009A7BD2"/>
    <w:rsid w:val="009B274D"/>
    <w:rsid w:val="009E0C5E"/>
    <w:rsid w:val="009E5BB2"/>
    <w:rsid w:val="009F68B5"/>
    <w:rsid w:val="00A03522"/>
    <w:rsid w:val="00A03846"/>
    <w:rsid w:val="00A21735"/>
    <w:rsid w:val="00A23910"/>
    <w:rsid w:val="00A454E1"/>
    <w:rsid w:val="00A476E4"/>
    <w:rsid w:val="00AB39EA"/>
    <w:rsid w:val="00AD1F91"/>
    <w:rsid w:val="00AD2647"/>
    <w:rsid w:val="00AD5170"/>
    <w:rsid w:val="00AE5265"/>
    <w:rsid w:val="00AF4C0D"/>
    <w:rsid w:val="00B0361B"/>
    <w:rsid w:val="00B044FD"/>
    <w:rsid w:val="00B07C24"/>
    <w:rsid w:val="00B21D2E"/>
    <w:rsid w:val="00B324B6"/>
    <w:rsid w:val="00B32E8F"/>
    <w:rsid w:val="00B434BC"/>
    <w:rsid w:val="00B44F1D"/>
    <w:rsid w:val="00B55272"/>
    <w:rsid w:val="00B709F1"/>
    <w:rsid w:val="00B917EE"/>
    <w:rsid w:val="00B953C4"/>
    <w:rsid w:val="00BB46D7"/>
    <w:rsid w:val="00BB5610"/>
    <w:rsid w:val="00BB56B7"/>
    <w:rsid w:val="00BC128C"/>
    <w:rsid w:val="00BD1028"/>
    <w:rsid w:val="00BD44C3"/>
    <w:rsid w:val="00BF4C31"/>
    <w:rsid w:val="00BF625A"/>
    <w:rsid w:val="00C021DB"/>
    <w:rsid w:val="00C037B2"/>
    <w:rsid w:val="00C05E6D"/>
    <w:rsid w:val="00C06BCB"/>
    <w:rsid w:val="00C67C77"/>
    <w:rsid w:val="00C72CB2"/>
    <w:rsid w:val="00C81842"/>
    <w:rsid w:val="00CA4F08"/>
    <w:rsid w:val="00CA77FD"/>
    <w:rsid w:val="00CB4F02"/>
    <w:rsid w:val="00CD3BCB"/>
    <w:rsid w:val="00CE7F7C"/>
    <w:rsid w:val="00CF0CF1"/>
    <w:rsid w:val="00CF1BBA"/>
    <w:rsid w:val="00D12796"/>
    <w:rsid w:val="00D13283"/>
    <w:rsid w:val="00D14B49"/>
    <w:rsid w:val="00D303D3"/>
    <w:rsid w:val="00D4028A"/>
    <w:rsid w:val="00D561EF"/>
    <w:rsid w:val="00D6528D"/>
    <w:rsid w:val="00D66C66"/>
    <w:rsid w:val="00D70076"/>
    <w:rsid w:val="00DC433B"/>
    <w:rsid w:val="00E005D2"/>
    <w:rsid w:val="00E06763"/>
    <w:rsid w:val="00E12E7C"/>
    <w:rsid w:val="00E13792"/>
    <w:rsid w:val="00E16D14"/>
    <w:rsid w:val="00E20EB7"/>
    <w:rsid w:val="00E23BAE"/>
    <w:rsid w:val="00E272A5"/>
    <w:rsid w:val="00E308EC"/>
    <w:rsid w:val="00E37C4F"/>
    <w:rsid w:val="00E40A11"/>
    <w:rsid w:val="00E4186E"/>
    <w:rsid w:val="00E639A6"/>
    <w:rsid w:val="00E63F50"/>
    <w:rsid w:val="00E70928"/>
    <w:rsid w:val="00EA1215"/>
    <w:rsid w:val="00EB4793"/>
    <w:rsid w:val="00EC1019"/>
    <w:rsid w:val="00ED5DD7"/>
    <w:rsid w:val="00EF4C15"/>
    <w:rsid w:val="00F02A13"/>
    <w:rsid w:val="00F07915"/>
    <w:rsid w:val="00F12CC4"/>
    <w:rsid w:val="00F50E57"/>
    <w:rsid w:val="00F614E1"/>
    <w:rsid w:val="00FB0668"/>
    <w:rsid w:val="00FD4FC6"/>
    <w:rsid w:val="00FE7935"/>
    <w:rsid w:val="00FF3101"/>
  </w:rsids>
  <w:docVars>
    <w:docVar w:name="APWAFVersion" w:val="5.0"/>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semiHidden/>
    <w:unhideWhenUsed/>
    <w:rsid w:val="002D39B1"/>
    <w:rPr>
      <w:sz w:val="18"/>
      <w:szCs w:val="18"/>
    </w:rPr>
  </w:style>
  <w:style w:type="character" w:customStyle="1" w:styleId="Char">
    <w:name w:val="批注框文本 Char"/>
    <w:basedOn w:val="DefaultParagraphFont"/>
    <w:link w:val="BalloonText"/>
    <w:uiPriority w:val="99"/>
    <w:semiHidden/>
    <w:rsid w:val="002D39B1"/>
    <w:rPr>
      <w:sz w:val="18"/>
      <w:szCs w:val="18"/>
    </w:rPr>
  </w:style>
  <w:style w:type="paragraph" w:styleId="Header">
    <w:name w:val="header"/>
    <w:basedOn w:val="Normal"/>
    <w:link w:val="Char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DefaultParagraphFont"/>
    <w:link w:val="Header"/>
    <w:uiPriority w:val="99"/>
    <w:rsid w:val="005E7342"/>
    <w:rPr>
      <w:sz w:val="18"/>
      <w:szCs w:val="18"/>
    </w:rPr>
  </w:style>
  <w:style w:type="paragraph" w:styleId="Footer">
    <w:name w:val="footer"/>
    <w:basedOn w:val="Normal"/>
    <w:link w:val="Char1"/>
    <w:uiPriority w:val="99"/>
    <w:unhideWhenUsed/>
    <w:rsid w:val="005E7342"/>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A865-9517-472F-9986-C7F68B29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