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884" w:rsidRDefault="00C92FE1">
      <w:pPr>
        <w:adjustRightInd w:val="0"/>
        <w:snapToGrid w:val="0"/>
        <w:jc w:val="center"/>
        <w:rPr>
          <w:rFonts w:cs="方正黑体简体"/>
          <w:b/>
          <w:bCs/>
          <w:iCs/>
          <w:sz w:val="30"/>
          <w:szCs w:val="30"/>
        </w:rPr>
      </w:pPr>
      <w:bookmarkStart w:id="0" w:name="_GoBack"/>
      <w:bookmarkEnd w:id="0"/>
      <w:r>
        <w:rPr>
          <w:rFonts w:cs="方正黑体简体"/>
          <w:b/>
          <w:bCs/>
          <w:iCs/>
          <w:sz w:val="30"/>
          <w:szCs w:val="30"/>
        </w:rPr>
        <w:t>富国上证科创板新能源交易型开放式指数证券投资基金发起式联接基金（</w:t>
      </w:r>
      <w:r>
        <w:rPr>
          <w:rFonts w:cs="方正黑体简体"/>
          <w:b/>
          <w:bCs/>
          <w:iCs/>
          <w:sz w:val="30"/>
          <w:szCs w:val="30"/>
        </w:rPr>
        <w:t>A</w:t>
      </w:r>
      <w:r>
        <w:rPr>
          <w:rFonts w:cs="方正黑体简体"/>
          <w:b/>
          <w:bCs/>
          <w:iCs/>
          <w:sz w:val="30"/>
          <w:szCs w:val="30"/>
        </w:rPr>
        <w:t>类份额）基金产品资料概要</w:t>
      </w:r>
    </w:p>
    <w:p w:rsidR="00084FBF" w:rsidRPr="00A14942" w:rsidRDefault="009D4653" w:rsidP="0043556E">
      <w:pPr>
        <w:adjustRightInd w:val="0"/>
        <w:snapToGrid w:val="0"/>
        <w:jc w:val="right"/>
        <w:rPr>
          <w:rFonts w:cs="方正仿宋简体"/>
          <w:iCs/>
          <w:color w:val="FF0000"/>
          <w:szCs w:val="21"/>
        </w:rPr>
      </w:pPr>
      <w:r>
        <w:rPr>
          <w:rFonts w:hint="eastAsia"/>
          <w:szCs w:val="21"/>
        </w:rPr>
        <w:t>2025年04月11日</w:t>
      </w:r>
      <w:r w:rsidR="0043556E" w:rsidRPr="00A14942">
        <w:rPr>
          <w:rFonts w:hint="eastAsia"/>
          <w:szCs w:val="21"/>
        </w:rPr>
        <w:t>（</w:t>
      </w:r>
      <w:r w:rsidR="0043556E" w:rsidRPr="00A14942">
        <w:rPr>
          <w:rFonts w:cs="方正仿宋简体" w:hint="eastAsia"/>
          <w:iCs/>
          <w:szCs w:val="21"/>
        </w:rPr>
        <w:t>信息截至：</w:t>
      </w:r>
      <w:r>
        <w:rPr>
          <w:rFonts w:cs="方正仿宋简体" w:hint="eastAsia"/>
          <w:iCs/>
          <w:szCs w:val="21"/>
        </w:rPr>
        <w:t>2025年04月10日</w:t>
      </w:r>
      <w:r w:rsidR="0043556E" w:rsidRPr="00A14942">
        <w:rPr>
          <w:rFonts w:hint="eastAsia"/>
          <w:szCs w:val="21"/>
        </w:rPr>
        <w:t>）</w:t>
      </w:r>
    </w:p>
    <w:p w:rsidR="00DE25AF" w:rsidRPr="00A14942" w:rsidRDefault="004E7FF3" w:rsidP="00084FBF">
      <w:pPr>
        <w:adjustRightInd w:val="0"/>
        <w:snapToGrid w:val="0"/>
        <w:jc w:val="center"/>
        <w:rPr>
          <w:rFonts w:cs="方正黑体简体"/>
          <w:b/>
          <w:bCs/>
          <w:iCs/>
          <w:sz w:val="24"/>
          <w:szCs w:val="21"/>
        </w:rPr>
      </w:pPr>
      <w:r w:rsidRPr="00A14942">
        <w:rPr>
          <w:rFonts w:cs="方正黑体简体" w:hint="eastAsia"/>
          <w:b/>
          <w:bCs/>
          <w:iCs/>
          <w:sz w:val="24"/>
          <w:szCs w:val="21"/>
        </w:rPr>
        <w:t>本概要提供本基金的重要信息，是招募说明书的一部分。作出投资决定前，请阅读完整的招募说明书等销售文件。</w:t>
      </w:r>
    </w:p>
    <w:p w:rsidR="006F366F" w:rsidRPr="000776C8" w:rsidRDefault="006F366F" w:rsidP="00E31F9B">
      <w:pPr>
        <w:pStyle w:val="1"/>
      </w:pPr>
      <w:r w:rsidRPr="000776C8">
        <w:rPr>
          <w:rFonts w:hint="eastAsia"/>
        </w:rPr>
        <w:t>产品概况</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2887"/>
        <w:gridCol w:w="1701"/>
        <w:gridCol w:w="2835"/>
      </w:tblGrid>
      <w:tr w:rsidR="00E62884">
        <w:trPr>
          <w:trHeight w:val="340"/>
          <w:jc w:val="center"/>
        </w:trPr>
        <w:tc>
          <w:tcPr>
            <w:tcW w:w="1757" w:type="dxa"/>
            <w:shd w:val="clear" w:color="auto" w:fill="auto"/>
            <w:vAlign w:val="center"/>
          </w:tcPr>
          <w:p w:rsidR="00E62884" w:rsidRDefault="00C92FE1">
            <w:pPr>
              <w:adjustRightInd w:val="0"/>
              <w:snapToGrid w:val="0"/>
              <w:rPr>
                <w:rFonts w:cs="方正仿宋简体"/>
                <w:iCs/>
                <w:szCs w:val="21"/>
              </w:rPr>
            </w:pPr>
            <w:r>
              <w:rPr>
                <w:rFonts w:cs="方正仿宋简体" w:hint="eastAsia"/>
                <w:iCs/>
                <w:szCs w:val="21"/>
              </w:rPr>
              <w:t>基金简称</w:t>
            </w:r>
          </w:p>
        </w:tc>
        <w:tc>
          <w:tcPr>
            <w:tcW w:w="2887" w:type="dxa"/>
            <w:shd w:val="clear" w:color="auto" w:fill="auto"/>
            <w:vAlign w:val="center"/>
          </w:tcPr>
          <w:p w:rsidR="00E62884" w:rsidRDefault="00C92FE1">
            <w:pPr>
              <w:adjustRightInd w:val="0"/>
              <w:snapToGrid w:val="0"/>
              <w:rPr>
                <w:rFonts w:cs="方正仿宋简体"/>
                <w:iCs/>
                <w:szCs w:val="21"/>
              </w:rPr>
            </w:pPr>
            <w:r>
              <w:rPr>
                <w:kern w:val="0"/>
                <w:szCs w:val="21"/>
              </w:rPr>
              <w:t>富国上证科创板新能源</w:t>
            </w:r>
            <w:r>
              <w:rPr>
                <w:kern w:val="0"/>
                <w:szCs w:val="21"/>
              </w:rPr>
              <w:t>ETF</w:t>
            </w:r>
            <w:r>
              <w:rPr>
                <w:kern w:val="0"/>
                <w:szCs w:val="21"/>
              </w:rPr>
              <w:t>发起式联接</w:t>
            </w:r>
          </w:p>
        </w:tc>
        <w:tc>
          <w:tcPr>
            <w:tcW w:w="1701" w:type="dxa"/>
            <w:shd w:val="clear" w:color="auto" w:fill="auto"/>
            <w:vAlign w:val="center"/>
          </w:tcPr>
          <w:p w:rsidR="00E62884" w:rsidRDefault="00C92FE1">
            <w:pPr>
              <w:adjustRightInd w:val="0"/>
              <w:snapToGrid w:val="0"/>
              <w:rPr>
                <w:rFonts w:cs="方正仿宋简体"/>
                <w:iCs/>
                <w:szCs w:val="21"/>
              </w:rPr>
            </w:pPr>
            <w:r>
              <w:rPr>
                <w:rFonts w:cs="方正仿宋简体" w:hint="eastAsia"/>
                <w:iCs/>
                <w:szCs w:val="21"/>
              </w:rPr>
              <w:t>基金代码</w:t>
            </w:r>
          </w:p>
        </w:tc>
        <w:tc>
          <w:tcPr>
            <w:tcW w:w="2835" w:type="dxa"/>
            <w:shd w:val="clear" w:color="auto" w:fill="auto"/>
            <w:vAlign w:val="center"/>
          </w:tcPr>
          <w:p w:rsidR="00E62884" w:rsidRDefault="00C92FE1">
            <w:pPr>
              <w:adjustRightInd w:val="0"/>
              <w:snapToGrid w:val="0"/>
              <w:rPr>
                <w:rFonts w:cs="方正仿宋简体"/>
                <w:iCs/>
                <w:szCs w:val="21"/>
              </w:rPr>
            </w:pPr>
            <w:r>
              <w:rPr>
                <w:rFonts w:hint="eastAsia"/>
                <w:kern w:val="0"/>
                <w:szCs w:val="21"/>
              </w:rPr>
              <w:t>023851</w:t>
            </w:r>
          </w:p>
        </w:tc>
      </w:tr>
      <w:tr w:rsidR="00E62884">
        <w:trPr>
          <w:trHeight w:val="340"/>
          <w:jc w:val="center"/>
        </w:trPr>
        <w:tc>
          <w:tcPr>
            <w:tcW w:w="1757" w:type="dxa"/>
            <w:shd w:val="clear" w:color="auto" w:fill="auto"/>
            <w:vAlign w:val="center"/>
          </w:tcPr>
          <w:p w:rsidR="00E62884" w:rsidRDefault="00C92FE1">
            <w:pPr>
              <w:adjustRightInd w:val="0"/>
              <w:snapToGrid w:val="0"/>
              <w:rPr>
                <w:rFonts w:cs="方正仿宋简体"/>
                <w:iCs/>
                <w:szCs w:val="21"/>
              </w:rPr>
            </w:pPr>
            <w:r>
              <w:rPr>
                <w:rFonts w:cs="方正仿宋简体" w:hint="eastAsia"/>
                <w:iCs/>
                <w:szCs w:val="21"/>
              </w:rPr>
              <w:t>份额简称</w:t>
            </w:r>
          </w:p>
        </w:tc>
        <w:tc>
          <w:tcPr>
            <w:tcW w:w="2887" w:type="dxa"/>
            <w:shd w:val="clear" w:color="auto" w:fill="auto"/>
            <w:vAlign w:val="center"/>
          </w:tcPr>
          <w:p w:rsidR="00E62884" w:rsidRDefault="00C92FE1">
            <w:pPr>
              <w:adjustRightInd w:val="0"/>
              <w:snapToGrid w:val="0"/>
              <w:rPr>
                <w:rFonts w:cs="方正仿宋简体"/>
                <w:iCs/>
                <w:szCs w:val="21"/>
              </w:rPr>
            </w:pPr>
            <w:r>
              <w:rPr>
                <w:kern w:val="0"/>
                <w:szCs w:val="21"/>
              </w:rPr>
              <w:t>富国上证科创板新能源</w:t>
            </w:r>
            <w:r>
              <w:rPr>
                <w:kern w:val="0"/>
                <w:szCs w:val="21"/>
              </w:rPr>
              <w:t>ETF</w:t>
            </w:r>
            <w:r>
              <w:rPr>
                <w:kern w:val="0"/>
                <w:szCs w:val="21"/>
              </w:rPr>
              <w:t>发起式联接</w:t>
            </w:r>
            <w:r>
              <w:rPr>
                <w:kern w:val="0"/>
                <w:szCs w:val="21"/>
              </w:rPr>
              <w:t>A</w:t>
            </w:r>
          </w:p>
        </w:tc>
        <w:tc>
          <w:tcPr>
            <w:tcW w:w="1701" w:type="dxa"/>
            <w:shd w:val="clear" w:color="auto" w:fill="auto"/>
            <w:vAlign w:val="center"/>
          </w:tcPr>
          <w:p w:rsidR="00E62884" w:rsidRDefault="00C92FE1">
            <w:pPr>
              <w:adjustRightInd w:val="0"/>
              <w:snapToGrid w:val="0"/>
              <w:rPr>
                <w:rFonts w:cs="方正仿宋简体"/>
                <w:iCs/>
                <w:szCs w:val="21"/>
              </w:rPr>
            </w:pPr>
            <w:r>
              <w:rPr>
                <w:rFonts w:cs="方正仿宋简体"/>
                <w:iCs/>
                <w:szCs w:val="21"/>
              </w:rPr>
              <w:t>份额代码</w:t>
            </w:r>
          </w:p>
        </w:tc>
        <w:tc>
          <w:tcPr>
            <w:tcW w:w="2835" w:type="dxa"/>
            <w:shd w:val="clear" w:color="auto" w:fill="auto"/>
            <w:vAlign w:val="center"/>
          </w:tcPr>
          <w:p w:rsidR="00E62884" w:rsidRDefault="00C92FE1">
            <w:pPr>
              <w:adjustRightInd w:val="0"/>
              <w:snapToGrid w:val="0"/>
              <w:rPr>
                <w:rFonts w:cs="方正仿宋简体"/>
                <w:iCs/>
                <w:szCs w:val="21"/>
              </w:rPr>
            </w:pPr>
            <w:r>
              <w:rPr>
                <w:rFonts w:hint="eastAsia"/>
                <w:kern w:val="0"/>
                <w:szCs w:val="21"/>
              </w:rPr>
              <w:t>023851</w:t>
            </w:r>
          </w:p>
        </w:tc>
      </w:tr>
      <w:tr w:rsidR="00E62884">
        <w:trPr>
          <w:trHeight w:val="340"/>
          <w:jc w:val="center"/>
        </w:trPr>
        <w:tc>
          <w:tcPr>
            <w:tcW w:w="1757" w:type="dxa"/>
            <w:shd w:val="clear" w:color="auto" w:fill="auto"/>
            <w:vAlign w:val="center"/>
          </w:tcPr>
          <w:p w:rsidR="00E62884" w:rsidRDefault="00C92FE1">
            <w:pPr>
              <w:adjustRightInd w:val="0"/>
              <w:snapToGrid w:val="0"/>
              <w:rPr>
                <w:rFonts w:cs="方正仿宋简体"/>
                <w:iCs/>
                <w:szCs w:val="21"/>
              </w:rPr>
            </w:pPr>
            <w:r>
              <w:rPr>
                <w:rFonts w:cs="方正仿宋简体" w:hint="eastAsia"/>
                <w:iCs/>
                <w:szCs w:val="21"/>
              </w:rPr>
              <w:t>基金管理人</w:t>
            </w:r>
          </w:p>
        </w:tc>
        <w:tc>
          <w:tcPr>
            <w:tcW w:w="2887" w:type="dxa"/>
            <w:shd w:val="clear" w:color="auto" w:fill="auto"/>
            <w:vAlign w:val="center"/>
          </w:tcPr>
          <w:p w:rsidR="00E62884" w:rsidRDefault="00C92FE1">
            <w:pPr>
              <w:adjustRightInd w:val="0"/>
              <w:snapToGrid w:val="0"/>
              <w:rPr>
                <w:rFonts w:cs="方正仿宋简体"/>
                <w:iCs/>
                <w:szCs w:val="21"/>
              </w:rPr>
            </w:pPr>
            <w:r>
              <w:rPr>
                <w:rFonts w:hint="eastAsia"/>
                <w:kern w:val="0"/>
                <w:szCs w:val="21"/>
              </w:rPr>
              <w:t>富国基金管理有限公司</w:t>
            </w:r>
          </w:p>
        </w:tc>
        <w:tc>
          <w:tcPr>
            <w:tcW w:w="1701" w:type="dxa"/>
            <w:shd w:val="clear" w:color="auto" w:fill="auto"/>
            <w:vAlign w:val="center"/>
          </w:tcPr>
          <w:p w:rsidR="00E62884" w:rsidRDefault="00C92FE1">
            <w:pPr>
              <w:adjustRightInd w:val="0"/>
              <w:snapToGrid w:val="0"/>
              <w:rPr>
                <w:rFonts w:cs="方正仿宋简体"/>
                <w:iCs/>
                <w:szCs w:val="21"/>
              </w:rPr>
            </w:pPr>
            <w:r>
              <w:rPr>
                <w:rFonts w:cs="方正仿宋简体" w:hint="eastAsia"/>
                <w:iCs/>
                <w:szCs w:val="21"/>
              </w:rPr>
              <w:t>基金托管人</w:t>
            </w:r>
          </w:p>
        </w:tc>
        <w:tc>
          <w:tcPr>
            <w:tcW w:w="2835" w:type="dxa"/>
            <w:shd w:val="clear" w:color="auto" w:fill="auto"/>
            <w:vAlign w:val="center"/>
          </w:tcPr>
          <w:p w:rsidR="00E62884" w:rsidRDefault="00C92FE1">
            <w:pPr>
              <w:adjustRightInd w:val="0"/>
              <w:snapToGrid w:val="0"/>
              <w:rPr>
                <w:rFonts w:cs="方正仿宋简体"/>
                <w:iCs/>
                <w:szCs w:val="21"/>
              </w:rPr>
            </w:pPr>
            <w:r>
              <w:rPr>
                <w:rFonts w:hint="eastAsia"/>
                <w:kern w:val="0"/>
                <w:szCs w:val="21"/>
              </w:rPr>
              <w:t>招商银行股份有限公司</w:t>
            </w:r>
          </w:p>
        </w:tc>
      </w:tr>
      <w:tr w:rsidR="00E62884">
        <w:trPr>
          <w:trHeight w:val="340"/>
          <w:jc w:val="center"/>
        </w:trPr>
        <w:tc>
          <w:tcPr>
            <w:tcW w:w="1757" w:type="dxa"/>
            <w:shd w:val="clear" w:color="auto" w:fill="auto"/>
            <w:vAlign w:val="center"/>
          </w:tcPr>
          <w:p w:rsidR="00E62884" w:rsidRDefault="00C92FE1">
            <w:pPr>
              <w:adjustRightInd w:val="0"/>
              <w:snapToGrid w:val="0"/>
              <w:rPr>
                <w:rFonts w:cs="方正仿宋简体"/>
                <w:iCs/>
                <w:szCs w:val="21"/>
              </w:rPr>
            </w:pPr>
            <w:r>
              <w:rPr>
                <w:rFonts w:cs="方正仿宋简体" w:hint="eastAsia"/>
                <w:iCs/>
                <w:szCs w:val="21"/>
              </w:rPr>
              <w:t>基金合同生效日</w:t>
            </w:r>
          </w:p>
        </w:tc>
        <w:tc>
          <w:tcPr>
            <w:tcW w:w="2887" w:type="dxa"/>
            <w:shd w:val="clear" w:color="auto" w:fill="auto"/>
            <w:vAlign w:val="center"/>
          </w:tcPr>
          <w:p w:rsidR="00E62884" w:rsidRDefault="00C92FE1">
            <w:pPr>
              <w:adjustRightInd w:val="0"/>
              <w:snapToGrid w:val="0"/>
              <w:rPr>
                <w:rFonts w:cs="方正仿宋简体"/>
                <w:iCs/>
                <w:szCs w:val="21"/>
              </w:rPr>
            </w:pPr>
            <w:r>
              <w:rPr>
                <w:kern w:val="0"/>
                <w:szCs w:val="21"/>
              </w:rPr>
              <w:t>－</w:t>
            </w:r>
          </w:p>
        </w:tc>
        <w:tc>
          <w:tcPr>
            <w:tcW w:w="1701" w:type="dxa"/>
            <w:shd w:val="clear" w:color="auto" w:fill="auto"/>
            <w:vAlign w:val="center"/>
          </w:tcPr>
          <w:p w:rsidR="00E62884" w:rsidRDefault="00C92FE1">
            <w:pPr>
              <w:adjustRightInd w:val="0"/>
              <w:snapToGrid w:val="0"/>
              <w:rPr>
                <w:rFonts w:cs="方正仿宋简体"/>
                <w:iCs/>
                <w:szCs w:val="21"/>
              </w:rPr>
            </w:pPr>
            <w:r>
              <w:rPr>
                <w:rFonts w:cs="方正仿宋简体" w:hint="eastAsia"/>
                <w:iCs/>
                <w:szCs w:val="21"/>
              </w:rPr>
              <w:t>基金类型</w:t>
            </w:r>
          </w:p>
        </w:tc>
        <w:tc>
          <w:tcPr>
            <w:tcW w:w="2835" w:type="dxa"/>
            <w:shd w:val="clear" w:color="auto" w:fill="auto"/>
            <w:vAlign w:val="center"/>
          </w:tcPr>
          <w:p w:rsidR="00E62884" w:rsidRDefault="00C92FE1">
            <w:pPr>
              <w:adjustRightInd w:val="0"/>
              <w:snapToGrid w:val="0"/>
              <w:rPr>
                <w:rFonts w:cs="方正仿宋简体"/>
                <w:iCs/>
                <w:szCs w:val="21"/>
              </w:rPr>
            </w:pPr>
            <w:r>
              <w:rPr>
                <w:rFonts w:hint="eastAsia"/>
                <w:kern w:val="0"/>
                <w:szCs w:val="21"/>
              </w:rPr>
              <w:t>基金中基金</w:t>
            </w:r>
          </w:p>
        </w:tc>
      </w:tr>
      <w:tr w:rsidR="00E62884">
        <w:trPr>
          <w:trHeight w:val="340"/>
          <w:jc w:val="center"/>
        </w:trPr>
        <w:tc>
          <w:tcPr>
            <w:tcW w:w="1757" w:type="dxa"/>
            <w:shd w:val="clear" w:color="auto" w:fill="auto"/>
            <w:vAlign w:val="center"/>
          </w:tcPr>
          <w:p w:rsidR="00E62884" w:rsidRDefault="00C92FE1">
            <w:pPr>
              <w:adjustRightInd w:val="0"/>
              <w:snapToGrid w:val="0"/>
              <w:rPr>
                <w:rFonts w:cs="方正仿宋简体"/>
                <w:iCs/>
                <w:szCs w:val="21"/>
              </w:rPr>
            </w:pPr>
            <w:r>
              <w:rPr>
                <w:rFonts w:cs="方正仿宋简体" w:hint="eastAsia"/>
                <w:iCs/>
                <w:szCs w:val="21"/>
              </w:rPr>
              <w:t>运作方式</w:t>
            </w:r>
          </w:p>
        </w:tc>
        <w:tc>
          <w:tcPr>
            <w:tcW w:w="2887" w:type="dxa"/>
            <w:shd w:val="clear" w:color="auto" w:fill="auto"/>
            <w:vAlign w:val="center"/>
          </w:tcPr>
          <w:p w:rsidR="00E62884" w:rsidRDefault="00C92FE1">
            <w:pPr>
              <w:adjustRightInd w:val="0"/>
              <w:snapToGrid w:val="0"/>
              <w:rPr>
                <w:rFonts w:cs="方正仿宋简体"/>
                <w:iCs/>
                <w:szCs w:val="21"/>
              </w:rPr>
            </w:pPr>
            <w:r>
              <w:rPr>
                <w:kern w:val="0"/>
                <w:szCs w:val="21"/>
              </w:rPr>
              <w:t>普通开放式</w:t>
            </w:r>
          </w:p>
        </w:tc>
        <w:tc>
          <w:tcPr>
            <w:tcW w:w="1701" w:type="dxa"/>
            <w:shd w:val="clear" w:color="auto" w:fill="auto"/>
            <w:vAlign w:val="center"/>
          </w:tcPr>
          <w:p w:rsidR="00E62884" w:rsidRDefault="00C92FE1">
            <w:pPr>
              <w:adjustRightInd w:val="0"/>
              <w:snapToGrid w:val="0"/>
              <w:rPr>
                <w:rFonts w:cs="方正仿宋简体"/>
                <w:iCs/>
                <w:szCs w:val="21"/>
              </w:rPr>
            </w:pPr>
            <w:r>
              <w:rPr>
                <w:rFonts w:cs="方正仿宋简体" w:hint="eastAsia"/>
                <w:iCs/>
                <w:szCs w:val="21"/>
              </w:rPr>
              <w:t>开放频率</w:t>
            </w:r>
          </w:p>
        </w:tc>
        <w:tc>
          <w:tcPr>
            <w:tcW w:w="2835" w:type="dxa"/>
            <w:shd w:val="clear" w:color="auto" w:fill="auto"/>
            <w:vAlign w:val="center"/>
          </w:tcPr>
          <w:p w:rsidR="00E62884" w:rsidRDefault="00C92FE1">
            <w:pPr>
              <w:adjustRightInd w:val="0"/>
              <w:snapToGrid w:val="0"/>
              <w:rPr>
                <w:rFonts w:cs="方正仿宋简体"/>
                <w:iCs/>
                <w:szCs w:val="21"/>
              </w:rPr>
            </w:pPr>
            <w:r>
              <w:rPr>
                <w:rFonts w:hint="eastAsia"/>
                <w:kern w:val="0"/>
                <w:szCs w:val="21"/>
              </w:rPr>
              <w:t>每个开放日</w:t>
            </w:r>
          </w:p>
        </w:tc>
      </w:tr>
      <w:tr w:rsidR="00E62884">
        <w:trPr>
          <w:trHeight w:val="340"/>
          <w:jc w:val="center"/>
        </w:trPr>
        <w:tc>
          <w:tcPr>
            <w:tcW w:w="1757" w:type="dxa"/>
            <w:shd w:val="clear" w:color="auto" w:fill="auto"/>
            <w:vAlign w:val="center"/>
          </w:tcPr>
          <w:p w:rsidR="00E62884" w:rsidRDefault="00C92FE1">
            <w:pPr>
              <w:adjustRightInd w:val="0"/>
              <w:snapToGrid w:val="0"/>
              <w:rPr>
                <w:rFonts w:cs="方正仿宋简体"/>
                <w:iCs/>
                <w:szCs w:val="21"/>
              </w:rPr>
            </w:pPr>
            <w:r>
              <w:rPr>
                <w:rFonts w:cs="方正仿宋简体" w:hint="eastAsia"/>
                <w:iCs/>
                <w:szCs w:val="21"/>
              </w:rPr>
              <w:t>交易币种</w:t>
            </w:r>
          </w:p>
        </w:tc>
        <w:tc>
          <w:tcPr>
            <w:tcW w:w="2887" w:type="dxa"/>
            <w:shd w:val="clear" w:color="auto" w:fill="auto"/>
            <w:vAlign w:val="center"/>
          </w:tcPr>
          <w:p w:rsidR="00E62884" w:rsidRDefault="00C92FE1">
            <w:pPr>
              <w:adjustRightInd w:val="0"/>
              <w:snapToGrid w:val="0"/>
              <w:rPr>
                <w:rFonts w:cs="方正仿宋简体"/>
                <w:iCs/>
                <w:szCs w:val="21"/>
              </w:rPr>
            </w:pPr>
            <w:r>
              <w:rPr>
                <w:rFonts w:hint="eastAsia"/>
                <w:kern w:val="0"/>
                <w:szCs w:val="21"/>
              </w:rPr>
              <w:t>人民币</w:t>
            </w:r>
          </w:p>
        </w:tc>
        <w:tc>
          <w:tcPr>
            <w:tcW w:w="1701" w:type="dxa"/>
            <w:shd w:val="clear" w:color="auto" w:fill="auto"/>
            <w:vAlign w:val="center"/>
          </w:tcPr>
          <w:p w:rsidR="004E1601" w:rsidRPr="00315D72" w:rsidRDefault="004E1601" w:rsidP="004E1601">
            <w:pPr>
              <w:adjustRightInd w:val="0"/>
              <w:snapToGrid w:val="0"/>
              <w:rPr>
                <w:rFonts w:cs="方正仿宋简体"/>
                <w:iCs/>
                <w:szCs w:val="21"/>
              </w:rPr>
            </w:pPr>
          </w:p>
        </w:tc>
        <w:tc>
          <w:tcPr>
            <w:tcW w:w="2835" w:type="dxa"/>
            <w:shd w:val="clear" w:color="auto" w:fill="auto"/>
            <w:vAlign w:val="center"/>
          </w:tcPr>
          <w:p w:rsidR="00E62884" w:rsidRDefault="00E62884">
            <w:pPr>
              <w:adjustRightInd w:val="0"/>
              <w:snapToGrid w:val="0"/>
              <w:rPr>
                <w:rFonts w:cs="方正仿宋简体"/>
                <w:iCs/>
                <w:szCs w:val="21"/>
              </w:rPr>
            </w:pPr>
          </w:p>
        </w:tc>
      </w:tr>
      <w:tr w:rsidR="00E62884">
        <w:trPr>
          <w:trHeight w:val="340"/>
          <w:jc w:val="center"/>
        </w:trPr>
        <w:tc>
          <w:tcPr>
            <w:tcW w:w="1757" w:type="dxa"/>
            <w:vMerge w:val="restart"/>
            <w:shd w:val="clear" w:color="auto" w:fill="auto"/>
            <w:vAlign w:val="center"/>
          </w:tcPr>
          <w:p w:rsidR="00E62884" w:rsidRDefault="00C92FE1">
            <w:pPr>
              <w:adjustRightInd w:val="0"/>
              <w:snapToGrid w:val="0"/>
              <w:rPr>
                <w:rFonts w:cs="方正仿宋简体"/>
                <w:iCs/>
                <w:szCs w:val="21"/>
              </w:rPr>
            </w:pPr>
            <w:r>
              <w:rPr>
                <w:rFonts w:cs="方正仿宋简体" w:hint="eastAsia"/>
                <w:iCs/>
                <w:szCs w:val="21"/>
              </w:rPr>
              <w:t>基金经理</w:t>
            </w:r>
          </w:p>
        </w:tc>
        <w:tc>
          <w:tcPr>
            <w:tcW w:w="2887" w:type="dxa"/>
            <w:vMerge w:val="restart"/>
            <w:shd w:val="clear" w:color="auto" w:fill="auto"/>
            <w:vAlign w:val="center"/>
          </w:tcPr>
          <w:p w:rsidR="00E62884" w:rsidRDefault="00C92FE1">
            <w:pPr>
              <w:adjustRightInd w:val="0"/>
              <w:snapToGrid w:val="0"/>
              <w:rPr>
                <w:rFonts w:cs="方正仿宋简体"/>
                <w:iCs/>
                <w:szCs w:val="21"/>
              </w:rPr>
            </w:pPr>
            <w:r>
              <w:rPr>
                <w:rFonts w:cs="方正仿宋简体" w:hint="eastAsia"/>
                <w:iCs/>
                <w:szCs w:val="21"/>
              </w:rPr>
              <w:t>苏华清</w:t>
            </w:r>
          </w:p>
        </w:tc>
        <w:tc>
          <w:tcPr>
            <w:tcW w:w="1701" w:type="dxa"/>
            <w:shd w:val="clear" w:color="auto" w:fill="auto"/>
            <w:vAlign w:val="center"/>
          </w:tcPr>
          <w:p w:rsidR="00E62884" w:rsidRDefault="00C92FE1">
            <w:pPr>
              <w:adjustRightInd w:val="0"/>
              <w:snapToGrid w:val="0"/>
              <w:rPr>
                <w:rFonts w:cs="方正仿宋简体"/>
                <w:iCs/>
                <w:szCs w:val="21"/>
              </w:rPr>
            </w:pPr>
            <w:r>
              <w:rPr>
                <w:rFonts w:cs="方正仿宋简体" w:hint="eastAsia"/>
                <w:iCs/>
                <w:szCs w:val="21"/>
              </w:rPr>
              <w:t>任职日期</w:t>
            </w:r>
          </w:p>
        </w:tc>
        <w:tc>
          <w:tcPr>
            <w:tcW w:w="2835" w:type="dxa"/>
            <w:shd w:val="clear" w:color="auto" w:fill="auto"/>
            <w:vAlign w:val="center"/>
          </w:tcPr>
          <w:p w:rsidR="00E62884" w:rsidRDefault="00C92FE1">
            <w:pPr>
              <w:adjustRightInd w:val="0"/>
              <w:snapToGrid w:val="0"/>
              <w:rPr>
                <w:rFonts w:cs="方正仿宋简体"/>
                <w:iCs/>
                <w:szCs w:val="21"/>
              </w:rPr>
            </w:pPr>
            <w:r>
              <w:rPr>
                <w:rFonts w:cs="方正仿宋简体" w:hint="eastAsia"/>
                <w:iCs/>
                <w:szCs w:val="21"/>
              </w:rPr>
              <w:t>－</w:t>
            </w:r>
          </w:p>
        </w:tc>
      </w:tr>
      <w:tr w:rsidR="00E62884">
        <w:trPr>
          <w:trHeight w:val="340"/>
          <w:jc w:val="center"/>
        </w:trPr>
        <w:tc>
          <w:tcPr>
            <w:tcW w:w="1757" w:type="dxa"/>
            <w:vMerge/>
            <w:shd w:val="clear" w:color="auto" w:fill="auto"/>
            <w:vAlign w:val="center"/>
          </w:tcPr>
          <w:p w:rsidR="004E1601" w:rsidRPr="00315D72" w:rsidRDefault="004E1601" w:rsidP="004E1601">
            <w:pPr>
              <w:adjustRightInd w:val="0"/>
              <w:snapToGrid w:val="0"/>
              <w:rPr>
                <w:rFonts w:cs="方正仿宋简体"/>
                <w:iCs/>
                <w:szCs w:val="21"/>
              </w:rPr>
            </w:pPr>
          </w:p>
        </w:tc>
        <w:tc>
          <w:tcPr>
            <w:tcW w:w="2887" w:type="dxa"/>
            <w:vMerge/>
            <w:shd w:val="clear" w:color="auto" w:fill="auto"/>
            <w:vAlign w:val="center"/>
          </w:tcPr>
          <w:p w:rsidR="004E1601" w:rsidRPr="00315D72" w:rsidRDefault="004E1601" w:rsidP="004E1601">
            <w:pPr>
              <w:adjustRightInd w:val="0"/>
              <w:snapToGrid w:val="0"/>
              <w:rPr>
                <w:rFonts w:cs="方正仿宋简体"/>
                <w:iCs/>
                <w:szCs w:val="21"/>
              </w:rPr>
            </w:pPr>
          </w:p>
        </w:tc>
        <w:tc>
          <w:tcPr>
            <w:tcW w:w="1701" w:type="dxa"/>
            <w:shd w:val="clear" w:color="auto" w:fill="auto"/>
            <w:vAlign w:val="center"/>
          </w:tcPr>
          <w:p w:rsidR="00E62884" w:rsidRDefault="00C92FE1">
            <w:pPr>
              <w:adjustRightInd w:val="0"/>
              <w:snapToGrid w:val="0"/>
              <w:rPr>
                <w:rFonts w:cs="方正仿宋简体"/>
                <w:iCs/>
                <w:szCs w:val="21"/>
              </w:rPr>
            </w:pPr>
            <w:r>
              <w:rPr>
                <w:rFonts w:cs="方正仿宋简体" w:hint="eastAsia"/>
                <w:iCs/>
                <w:szCs w:val="21"/>
              </w:rPr>
              <w:t>证券从业日期</w:t>
            </w:r>
          </w:p>
        </w:tc>
        <w:tc>
          <w:tcPr>
            <w:tcW w:w="2835" w:type="dxa"/>
            <w:shd w:val="clear" w:color="auto" w:fill="auto"/>
            <w:vAlign w:val="center"/>
          </w:tcPr>
          <w:p w:rsidR="00E62884" w:rsidRDefault="00C92FE1">
            <w:pPr>
              <w:adjustRightInd w:val="0"/>
              <w:snapToGrid w:val="0"/>
              <w:rPr>
                <w:rFonts w:cs="方正仿宋简体"/>
                <w:iCs/>
                <w:szCs w:val="21"/>
              </w:rPr>
            </w:pPr>
            <w:r>
              <w:rPr>
                <w:rFonts w:cs="方正仿宋简体" w:hint="eastAsia"/>
                <w:iCs/>
                <w:szCs w:val="21"/>
              </w:rPr>
              <w:t>2018</w:t>
            </w:r>
            <w:r>
              <w:rPr>
                <w:rFonts w:cs="方正仿宋简体" w:hint="eastAsia"/>
                <w:iCs/>
                <w:szCs w:val="21"/>
              </w:rPr>
              <w:t>年</w:t>
            </w:r>
            <w:r>
              <w:rPr>
                <w:rFonts w:cs="方正仿宋简体" w:hint="eastAsia"/>
                <w:iCs/>
                <w:szCs w:val="21"/>
              </w:rPr>
              <w:t>07</w:t>
            </w:r>
            <w:r>
              <w:rPr>
                <w:rFonts w:cs="方正仿宋简体" w:hint="eastAsia"/>
                <w:iCs/>
                <w:szCs w:val="21"/>
              </w:rPr>
              <w:t>月</w:t>
            </w:r>
            <w:r>
              <w:rPr>
                <w:rFonts w:cs="方正仿宋简体" w:hint="eastAsia"/>
                <w:iCs/>
                <w:szCs w:val="21"/>
              </w:rPr>
              <w:t>01</w:t>
            </w:r>
            <w:r>
              <w:rPr>
                <w:rFonts w:cs="方正仿宋简体" w:hint="eastAsia"/>
                <w:iCs/>
                <w:szCs w:val="21"/>
              </w:rPr>
              <w:t>日</w:t>
            </w:r>
          </w:p>
        </w:tc>
      </w:tr>
    </w:tbl>
    <w:p w:rsidR="006F366F" w:rsidRPr="005F6CAD" w:rsidRDefault="006F366F" w:rsidP="000776C8">
      <w:pPr>
        <w:pStyle w:val="1"/>
      </w:pPr>
      <w:r w:rsidRPr="005F6CAD">
        <w:rPr>
          <w:rFonts w:hint="eastAsia"/>
        </w:rPr>
        <w:t>基金投资与净值表现</w:t>
      </w:r>
    </w:p>
    <w:p w:rsidR="00BC4EFB" w:rsidRDefault="00BC4EFB" w:rsidP="000776C8">
      <w:pPr>
        <w:pStyle w:val="2"/>
      </w:pPr>
      <w:r w:rsidRPr="000776C8">
        <w:rPr>
          <w:rFonts w:hint="eastAsia"/>
        </w:rPr>
        <w:t>投资目标与投资策略</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7423"/>
      </w:tblGrid>
      <w:tr w:rsidR="00E62884">
        <w:trPr>
          <w:trHeight w:val="340"/>
          <w:jc w:val="center"/>
        </w:trPr>
        <w:tc>
          <w:tcPr>
            <w:tcW w:w="1757" w:type="dxa"/>
            <w:shd w:val="clear" w:color="auto" w:fill="auto"/>
            <w:vAlign w:val="center"/>
          </w:tcPr>
          <w:p w:rsidR="00E62884" w:rsidRDefault="00C92FE1">
            <w:pPr>
              <w:pStyle w:val="ae"/>
            </w:pPr>
            <w:r>
              <w:rPr>
                <w:rFonts w:hint="eastAsia"/>
              </w:rPr>
              <w:t>投资目标</w:t>
            </w:r>
          </w:p>
        </w:tc>
        <w:tc>
          <w:tcPr>
            <w:tcW w:w="7423" w:type="dxa"/>
            <w:shd w:val="clear" w:color="auto" w:fill="auto"/>
            <w:vAlign w:val="center"/>
          </w:tcPr>
          <w:p w:rsidR="00E62884" w:rsidRDefault="00C92FE1">
            <w:pPr>
              <w:pStyle w:val="ae"/>
            </w:pPr>
            <w:r>
              <w:rPr>
                <w:rFonts w:hint="eastAsia"/>
              </w:rPr>
              <w:t>本基金通过投资于目标</w:t>
            </w:r>
            <w:r>
              <w:rPr>
                <w:rFonts w:hint="eastAsia"/>
              </w:rPr>
              <w:t>ETF</w:t>
            </w:r>
            <w:r>
              <w:rPr>
                <w:rFonts w:hint="eastAsia"/>
              </w:rPr>
              <w:t>，紧密跟踪标的指数，追求与业绩比较基准相似的回报。</w:t>
            </w:r>
          </w:p>
        </w:tc>
      </w:tr>
      <w:tr w:rsidR="00E62884">
        <w:trPr>
          <w:trHeight w:val="340"/>
          <w:jc w:val="center"/>
        </w:trPr>
        <w:tc>
          <w:tcPr>
            <w:tcW w:w="1757" w:type="dxa"/>
            <w:shd w:val="clear" w:color="auto" w:fill="auto"/>
            <w:vAlign w:val="center"/>
          </w:tcPr>
          <w:p w:rsidR="00E62884" w:rsidRDefault="00C92FE1">
            <w:pPr>
              <w:pStyle w:val="ae"/>
            </w:pPr>
            <w:r>
              <w:rPr>
                <w:rFonts w:hint="eastAsia"/>
              </w:rPr>
              <w:t>投资范围</w:t>
            </w:r>
          </w:p>
        </w:tc>
        <w:tc>
          <w:tcPr>
            <w:tcW w:w="7423" w:type="dxa"/>
            <w:shd w:val="clear" w:color="auto" w:fill="auto"/>
            <w:vAlign w:val="center"/>
          </w:tcPr>
          <w:p w:rsidR="00E62884" w:rsidRDefault="00C92FE1">
            <w:pPr>
              <w:pStyle w:val="ae"/>
            </w:pPr>
            <w:r>
              <w:rPr>
                <w:rFonts w:hint="eastAsia"/>
              </w:rPr>
              <w:t>本基金的投资范围主要为目标</w:t>
            </w:r>
            <w:r>
              <w:rPr>
                <w:rFonts w:hint="eastAsia"/>
              </w:rPr>
              <w:t>ETF</w:t>
            </w:r>
            <w:r>
              <w:rPr>
                <w:rFonts w:hint="eastAsia"/>
              </w:rPr>
              <w:t>基金份额、标的指数成份股及备选成份股（均含存托凭证）。为更好地实现投资目标，本基金可少量投资于部分非成份股（包含主板、科创板、创业板及其他经中国证监会允许发行的股票）、存托凭证、债券（包含国债、央行票据、地方政府债券、政府支持机构债券、政府支持债券、金融债券、企业债券、公司债券、次级债券、可转换债券、可交换债券、可分离交易可转债、短期融资券（含超短期融资券）、中期票据等）、资产支持证券、债券回购、银行存款、同业存单、衍生工具（股指期货、国债期货、股票期权等）、货币市场工具以及</w:t>
            </w:r>
            <w:r>
              <w:rPr>
                <w:rFonts w:hint="eastAsia"/>
              </w:rPr>
              <w:t>中国证监会允许基金投资的其他金融工具（但须符合中国证监会相关规定）。</w:t>
            </w:r>
            <w:r>
              <w:rPr>
                <w:rFonts w:hint="eastAsia"/>
              </w:rPr>
              <w:t xml:space="preserve"> </w:t>
            </w:r>
            <w:r>
              <w:rPr>
                <w:rFonts w:hint="eastAsia"/>
              </w:rPr>
              <w:t>本基金可根据法律法规的规定参与融资及转融通证券出借业务。</w:t>
            </w:r>
            <w:r>
              <w:rPr>
                <w:rFonts w:hint="eastAsia"/>
              </w:rPr>
              <w:t xml:space="preserve"> </w:t>
            </w:r>
            <w:r>
              <w:rPr>
                <w:rFonts w:hint="eastAsia"/>
              </w:rPr>
              <w:t>如法律法规或监管机构以后允许基金投资其他品种，基金管理人在履行适当程序后，可以将其纳入投资范围。</w:t>
            </w:r>
          </w:p>
          <w:p w:rsidR="00E62884" w:rsidRDefault="00C92FE1">
            <w:pPr>
              <w:pStyle w:val="ae"/>
            </w:pPr>
            <w:r>
              <w:rPr>
                <w:rFonts w:hint="eastAsia"/>
              </w:rPr>
              <w:t>基金的投资组合比例为：本基金投资于目标</w:t>
            </w:r>
            <w:r>
              <w:rPr>
                <w:rFonts w:hint="eastAsia"/>
              </w:rPr>
              <w:t>ETF</w:t>
            </w:r>
            <w:r>
              <w:rPr>
                <w:rFonts w:hint="eastAsia"/>
              </w:rPr>
              <w:t>的比例不得低于基金资产净值的</w:t>
            </w:r>
            <w:r>
              <w:rPr>
                <w:rFonts w:hint="eastAsia"/>
              </w:rPr>
              <w:t>90%</w:t>
            </w:r>
            <w:r>
              <w:rPr>
                <w:rFonts w:hint="eastAsia"/>
              </w:rPr>
              <w:t>，因法律法规的规定而受限制的情形除外。每个交易日日终，在扣除股指期货合约、国债期货合约和股票期权合约需缴纳的交易保证金后，本基金保留的现金或者到期日在一年以内的政府债券不低于基金资产净值的</w:t>
            </w:r>
            <w:r>
              <w:rPr>
                <w:rFonts w:hint="eastAsia"/>
              </w:rPr>
              <w:t>5%</w:t>
            </w:r>
            <w:r>
              <w:rPr>
                <w:rFonts w:hint="eastAsia"/>
              </w:rPr>
              <w:t>，其中现金不包括</w:t>
            </w:r>
            <w:r>
              <w:rPr>
                <w:rFonts w:hint="eastAsia"/>
              </w:rPr>
              <w:t>结算备付金、存出保证金、应收申购款等。</w:t>
            </w:r>
            <w:r>
              <w:rPr>
                <w:rFonts w:hint="eastAsia"/>
              </w:rPr>
              <w:t xml:space="preserve"> </w:t>
            </w:r>
            <w:r>
              <w:rPr>
                <w:rFonts w:hint="eastAsia"/>
              </w:rPr>
              <w:t>如法律法规或监管机构对该比例要求有变更的，在履行适当程序后，以变更后的比例为准，本基金的投资比例会做相应调整。</w:t>
            </w:r>
          </w:p>
        </w:tc>
      </w:tr>
      <w:tr w:rsidR="00E62884">
        <w:trPr>
          <w:trHeight w:val="340"/>
          <w:jc w:val="center"/>
        </w:trPr>
        <w:tc>
          <w:tcPr>
            <w:tcW w:w="1757" w:type="dxa"/>
            <w:shd w:val="clear" w:color="auto" w:fill="auto"/>
            <w:vAlign w:val="center"/>
          </w:tcPr>
          <w:p w:rsidR="00E62884" w:rsidRDefault="00C92FE1">
            <w:pPr>
              <w:pStyle w:val="ae"/>
            </w:pPr>
            <w:r>
              <w:rPr>
                <w:rFonts w:hint="eastAsia"/>
              </w:rPr>
              <w:t>主要投资策略</w:t>
            </w:r>
          </w:p>
        </w:tc>
        <w:tc>
          <w:tcPr>
            <w:tcW w:w="7423" w:type="dxa"/>
            <w:shd w:val="clear" w:color="auto" w:fill="auto"/>
            <w:vAlign w:val="center"/>
          </w:tcPr>
          <w:p w:rsidR="00E62884" w:rsidRDefault="00C92FE1">
            <w:pPr>
              <w:pStyle w:val="ae"/>
            </w:pPr>
            <w:r>
              <w:rPr>
                <w:rFonts w:hint="eastAsia"/>
              </w:rPr>
              <w:t>本基金以目标</w:t>
            </w:r>
            <w:r>
              <w:rPr>
                <w:rFonts w:hint="eastAsia"/>
              </w:rPr>
              <w:t>ETF</w:t>
            </w:r>
            <w:r>
              <w:rPr>
                <w:rFonts w:hint="eastAsia"/>
              </w:rPr>
              <w:t>为主要投资标的，方便投资者通过本基金投资目标</w:t>
            </w:r>
            <w:r>
              <w:rPr>
                <w:rFonts w:hint="eastAsia"/>
              </w:rPr>
              <w:t>ETF</w:t>
            </w:r>
            <w:r>
              <w:rPr>
                <w:rFonts w:hint="eastAsia"/>
              </w:rPr>
              <w:t>。本基金并不参与目标</w:t>
            </w:r>
            <w:r>
              <w:rPr>
                <w:rFonts w:hint="eastAsia"/>
              </w:rPr>
              <w:t>ETF</w:t>
            </w:r>
            <w:r>
              <w:rPr>
                <w:rFonts w:hint="eastAsia"/>
              </w:rPr>
              <w:t>的管理。在正常市场情况下，本基金力争净值增长率与业绩比较基准之间的日均跟踪偏离度的绝对值不超过</w:t>
            </w:r>
            <w:r>
              <w:rPr>
                <w:rFonts w:hint="eastAsia"/>
              </w:rPr>
              <w:t>0.35%</w:t>
            </w:r>
            <w:r>
              <w:rPr>
                <w:rFonts w:hint="eastAsia"/>
              </w:rPr>
              <w:t>，年跟踪误差不超过</w:t>
            </w:r>
            <w:r>
              <w:rPr>
                <w:rFonts w:hint="eastAsia"/>
              </w:rPr>
              <w:t>4%</w:t>
            </w:r>
            <w:r>
              <w:rPr>
                <w:rFonts w:hint="eastAsia"/>
              </w:rPr>
              <w:t>。如因标的指数编制规则调整或其他因素导致跟踪偏离度和跟踪误差超过正常范围的，基金管理人将采取合理措施避免跟踪偏离度和跟踪误差</w:t>
            </w:r>
            <w:r>
              <w:rPr>
                <w:rFonts w:hint="eastAsia"/>
              </w:rPr>
              <w:t>进一步扩大。</w:t>
            </w:r>
            <w:r>
              <w:rPr>
                <w:rFonts w:hint="eastAsia"/>
              </w:rPr>
              <w:t xml:space="preserve"> </w:t>
            </w:r>
            <w:r>
              <w:rPr>
                <w:rFonts w:hint="eastAsia"/>
              </w:rPr>
              <w:lastRenderedPageBreak/>
              <w:t>当标的指数成份股发生明显负面事件面临退市风险，且指数编制机构暂未作出调整的，基金管理人应当按照持有人利益优先的原则，履行内部决策程序后及时对相关成份股进行调整。本基金的资产配置策略、目标</w:t>
            </w:r>
            <w:r>
              <w:rPr>
                <w:rFonts w:hint="eastAsia"/>
              </w:rPr>
              <w:t>ETF</w:t>
            </w:r>
            <w:r>
              <w:rPr>
                <w:rFonts w:hint="eastAsia"/>
              </w:rPr>
              <w:t>投资策略、成份股、备选成份股（均含存托凭证）投资策略、存托凭证投资策略、债券投资策略、可转换债券（含分离交易可转债）及可交换债券投资策略、资产支持证券投资策略、股指期货投资策略、国债期货投资策略、股票期权投资策略、参与融资及转融通证券出借业务策略详见法律文件。</w:t>
            </w:r>
          </w:p>
        </w:tc>
      </w:tr>
      <w:tr w:rsidR="00E62884">
        <w:trPr>
          <w:trHeight w:val="340"/>
          <w:jc w:val="center"/>
        </w:trPr>
        <w:tc>
          <w:tcPr>
            <w:tcW w:w="1757" w:type="dxa"/>
            <w:shd w:val="clear" w:color="auto" w:fill="auto"/>
            <w:vAlign w:val="center"/>
          </w:tcPr>
          <w:p w:rsidR="00E62884" w:rsidRDefault="00C92FE1">
            <w:pPr>
              <w:pStyle w:val="ae"/>
            </w:pPr>
            <w:r>
              <w:rPr>
                <w:rFonts w:hint="eastAsia"/>
              </w:rPr>
              <w:lastRenderedPageBreak/>
              <w:t>业绩比较基准</w:t>
            </w:r>
          </w:p>
        </w:tc>
        <w:tc>
          <w:tcPr>
            <w:tcW w:w="7423" w:type="dxa"/>
            <w:shd w:val="clear" w:color="auto" w:fill="auto"/>
            <w:vAlign w:val="center"/>
          </w:tcPr>
          <w:p w:rsidR="00E62884" w:rsidRDefault="00C92FE1">
            <w:pPr>
              <w:pStyle w:val="ae"/>
            </w:pPr>
            <w:r>
              <w:rPr>
                <w:rFonts w:hint="eastAsia"/>
              </w:rPr>
              <w:t>上证科创板新能源指数收益率×</w:t>
            </w:r>
            <w:r>
              <w:rPr>
                <w:rFonts w:hint="eastAsia"/>
              </w:rPr>
              <w:t>95%+</w:t>
            </w:r>
            <w:r>
              <w:rPr>
                <w:rFonts w:hint="eastAsia"/>
              </w:rPr>
              <w:t>银行活期存款利率（税后）×</w:t>
            </w:r>
            <w:r>
              <w:rPr>
                <w:rFonts w:hint="eastAsia"/>
              </w:rPr>
              <w:t>5%</w:t>
            </w:r>
          </w:p>
        </w:tc>
      </w:tr>
      <w:tr w:rsidR="00E62884">
        <w:trPr>
          <w:trHeight w:val="340"/>
          <w:jc w:val="center"/>
        </w:trPr>
        <w:tc>
          <w:tcPr>
            <w:tcW w:w="1757" w:type="dxa"/>
            <w:shd w:val="clear" w:color="auto" w:fill="auto"/>
            <w:vAlign w:val="center"/>
          </w:tcPr>
          <w:p w:rsidR="00E62884" w:rsidRDefault="00C92FE1">
            <w:pPr>
              <w:pStyle w:val="ae"/>
            </w:pPr>
            <w:r>
              <w:rPr>
                <w:rFonts w:hint="eastAsia"/>
              </w:rPr>
              <w:t>风险收益特征</w:t>
            </w:r>
          </w:p>
        </w:tc>
        <w:tc>
          <w:tcPr>
            <w:tcW w:w="7423" w:type="dxa"/>
            <w:shd w:val="clear" w:color="auto" w:fill="auto"/>
            <w:vAlign w:val="center"/>
          </w:tcPr>
          <w:p w:rsidR="00E62884" w:rsidRDefault="00C92FE1">
            <w:pPr>
              <w:pStyle w:val="ae"/>
            </w:pPr>
            <w:r>
              <w:rPr>
                <w:rFonts w:hint="eastAsia"/>
              </w:rPr>
              <w:t>本基金为</w:t>
            </w:r>
            <w:r>
              <w:rPr>
                <w:rFonts w:hint="eastAsia"/>
              </w:rPr>
              <w:t>ETF</w:t>
            </w:r>
            <w:r>
              <w:rPr>
                <w:rFonts w:hint="eastAsia"/>
              </w:rPr>
              <w:t>联接基金，预期风险与预期收益高于混合型基金、债券型基金与货币市场基金。本基金为指数基金，具有与标的指数以及标的指数所代表的股票市场相似的风险收益特征。</w:t>
            </w:r>
          </w:p>
        </w:tc>
      </w:tr>
    </w:tbl>
    <w:p w:rsidR="00E10111" w:rsidRPr="00AA62CC" w:rsidRDefault="009D4653" w:rsidP="00E10111">
      <w:pPr>
        <w:adjustRightInd w:val="0"/>
        <w:snapToGrid w:val="0"/>
        <w:spacing w:beforeLines="20" w:before="87" w:line="288" w:lineRule="auto"/>
        <w:rPr>
          <w:rFonts w:cs="方正仿宋简体"/>
          <w:iCs/>
          <w:szCs w:val="21"/>
        </w:rPr>
      </w:pPr>
      <w:r>
        <w:rPr>
          <w:rFonts w:cs="方正仿宋简体" w:hint="eastAsia"/>
          <w:iCs/>
          <w:szCs w:val="21"/>
        </w:rPr>
        <w:t>注：详情请阅读《招募说明书》中“基金的投资”章节的相关内容。</w:t>
      </w:r>
    </w:p>
    <w:p w:rsidR="006F366F" w:rsidRPr="00A14942" w:rsidRDefault="006F366F" w:rsidP="000776C8">
      <w:pPr>
        <w:pStyle w:val="1"/>
      </w:pPr>
      <w:r w:rsidRPr="00A14942">
        <w:rPr>
          <w:rFonts w:hint="eastAsia"/>
        </w:rPr>
        <w:t>投资本基金涉及的费用</w:t>
      </w:r>
    </w:p>
    <w:p w:rsidR="00D5603D" w:rsidRDefault="00A535E9" w:rsidP="000776C8">
      <w:pPr>
        <w:pStyle w:val="2"/>
        <w:numPr>
          <w:ilvl w:val="1"/>
          <w:numId w:val="14"/>
        </w:numPr>
      </w:pPr>
      <w:r w:rsidRPr="00ED3BD1">
        <w:rPr>
          <w:rFonts w:hint="eastAsia"/>
        </w:rPr>
        <w:t>基金销售相关费用</w:t>
      </w:r>
    </w:p>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925"/>
        <w:gridCol w:w="1984"/>
        <w:gridCol w:w="1982"/>
      </w:tblGrid>
      <w:tr w:rsidR="00D97BE2" w:rsidRPr="00165774" w:rsidTr="00B457F0">
        <w:trPr>
          <w:trHeight w:val="340"/>
        </w:trPr>
        <w:tc>
          <w:tcPr>
            <w:tcW w:w="1092" w:type="pct"/>
            <w:shd w:val="clear" w:color="auto" w:fill="auto"/>
            <w:vAlign w:val="center"/>
          </w:tcPr>
          <w:p w:rsidR="009240F7" w:rsidRPr="00BA55B0" w:rsidRDefault="009240F7" w:rsidP="000776C8">
            <w:pPr>
              <w:widowControl w:val="0"/>
              <w:adjustRightInd w:val="0"/>
              <w:snapToGrid w:val="0"/>
              <w:jc w:val="center"/>
            </w:pPr>
            <w:r w:rsidRPr="00BA55B0">
              <w:rPr>
                <w:rFonts w:hint="eastAsia"/>
              </w:rPr>
              <w:t>费用类型</w:t>
            </w:r>
          </w:p>
        </w:tc>
        <w:tc>
          <w:tcPr>
            <w:tcW w:w="1659" w:type="pct"/>
            <w:shd w:val="clear" w:color="auto" w:fill="auto"/>
            <w:vAlign w:val="center"/>
          </w:tcPr>
          <w:p w:rsidR="009240F7" w:rsidRPr="00BA55B0" w:rsidRDefault="009240F7" w:rsidP="000776C8">
            <w:pPr>
              <w:widowControl w:val="0"/>
              <w:adjustRightInd w:val="0"/>
              <w:snapToGrid w:val="0"/>
              <w:jc w:val="center"/>
            </w:pPr>
            <w:r w:rsidRPr="00BA55B0">
              <w:rPr>
                <w:rFonts w:hint="eastAsia"/>
              </w:rPr>
              <w:t>金额（M）</w:t>
            </w:r>
            <w:r w:rsidR="00A7537D" w:rsidRPr="00BA55B0">
              <w:rPr>
                <w:rFonts w:hint="eastAsia"/>
              </w:rPr>
              <w:t>/</w:t>
            </w:r>
            <w:r w:rsidR="003134F0" w:rsidRPr="00BA55B0">
              <w:rPr>
                <w:rFonts w:hint="eastAsia"/>
              </w:rPr>
              <w:t>持有期限（N）</w:t>
            </w:r>
          </w:p>
        </w:tc>
        <w:tc>
          <w:tcPr>
            <w:tcW w:w="1125" w:type="pct"/>
            <w:shd w:val="clear" w:color="auto" w:fill="auto"/>
            <w:vAlign w:val="center"/>
          </w:tcPr>
          <w:p w:rsidR="009240F7" w:rsidRPr="00BA55B0" w:rsidRDefault="009240F7" w:rsidP="000776C8">
            <w:pPr>
              <w:widowControl w:val="0"/>
              <w:adjustRightInd w:val="0"/>
              <w:snapToGrid w:val="0"/>
              <w:jc w:val="center"/>
            </w:pPr>
            <w:r w:rsidRPr="00BA55B0">
              <w:rPr>
                <w:rFonts w:hint="eastAsia"/>
              </w:rPr>
              <w:t>费率（普通客户）</w:t>
            </w:r>
          </w:p>
        </w:tc>
        <w:tc>
          <w:tcPr>
            <w:tcW w:w="1124" w:type="pct"/>
            <w:shd w:val="clear" w:color="auto" w:fill="auto"/>
            <w:vAlign w:val="center"/>
          </w:tcPr>
          <w:p w:rsidR="009240F7" w:rsidRPr="00BA55B0" w:rsidRDefault="009240F7" w:rsidP="000776C8">
            <w:pPr>
              <w:widowControl w:val="0"/>
              <w:adjustRightInd w:val="0"/>
              <w:snapToGrid w:val="0"/>
              <w:jc w:val="center"/>
            </w:pPr>
            <w:r w:rsidRPr="00BA55B0">
              <w:rPr>
                <w:rFonts w:hint="eastAsia"/>
              </w:rPr>
              <w:t>费率（特定客户）</w:t>
            </w:r>
          </w:p>
        </w:tc>
      </w:tr>
      <w:tr w:rsidR="00E62884">
        <w:trPr>
          <w:trHeight w:val="340"/>
        </w:trPr>
        <w:tc>
          <w:tcPr>
            <w:tcW w:w="1092" w:type="pct"/>
            <w:vMerge w:val="restart"/>
            <w:shd w:val="clear" w:color="auto" w:fill="auto"/>
            <w:vAlign w:val="center"/>
          </w:tcPr>
          <w:p w:rsidR="00E62884" w:rsidRDefault="00C92FE1">
            <w:pPr>
              <w:adjustRightInd w:val="0"/>
              <w:snapToGrid w:val="0"/>
              <w:jc w:val="center"/>
              <w:rPr>
                <w:rFonts w:cs="方正仿宋简体"/>
                <w:iCs/>
                <w:szCs w:val="21"/>
              </w:rPr>
            </w:pPr>
            <w:r>
              <w:rPr>
                <w:rFonts w:cs="方正仿宋简体"/>
                <w:iCs/>
                <w:szCs w:val="21"/>
              </w:rPr>
              <w:t>认购费</w:t>
            </w:r>
          </w:p>
        </w:tc>
        <w:tc>
          <w:tcPr>
            <w:tcW w:w="1659" w:type="pct"/>
            <w:shd w:val="clear" w:color="auto" w:fill="FFFFFF"/>
            <w:vAlign w:val="center"/>
          </w:tcPr>
          <w:p w:rsidR="00E62884" w:rsidRDefault="00C92FE1">
            <w:pPr>
              <w:adjustRightInd w:val="0"/>
              <w:snapToGrid w:val="0"/>
              <w:jc w:val="center"/>
              <w:rPr>
                <w:rFonts w:cs="方正仿宋简体"/>
                <w:iCs/>
                <w:szCs w:val="21"/>
              </w:rPr>
            </w:pPr>
            <w:r>
              <w:rPr>
                <w:rFonts w:cs="方正仿宋简体"/>
                <w:iCs/>
                <w:szCs w:val="21"/>
              </w:rPr>
              <w:t>M</w:t>
            </w:r>
            <w:r>
              <w:rPr>
                <w:rFonts w:cs="方正仿宋简体"/>
                <w:iCs/>
                <w:szCs w:val="21"/>
              </w:rPr>
              <w:t>＜</w:t>
            </w:r>
            <w:r>
              <w:rPr>
                <w:rFonts w:cs="方正仿宋简体"/>
                <w:iCs/>
                <w:szCs w:val="21"/>
              </w:rPr>
              <w:t>100</w:t>
            </w:r>
            <w:r>
              <w:rPr>
                <w:rFonts w:cs="方正仿宋简体"/>
                <w:iCs/>
                <w:szCs w:val="21"/>
              </w:rPr>
              <w:t>万</w:t>
            </w:r>
          </w:p>
        </w:tc>
        <w:tc>
          <w:tcPr>
            <w:tcW w:w="1125" w:type="pct"/>
            <w:shd w:val="clear" w:color="auto" w:fill="FFFFFF"/>
            <w:vAlign w:val="center"/>
          </w:tcPr>
          <w:p w:rsidR="00E62884" w:rsidRDefault="00C92FE1">
            <w:pPr>
              <w:adjustRightInd w:val="0"/>
              <w:snapToGrid w:val="0"/>
              <w:jc w:val="center"/>
              <w:rPr>
                <w:rFonts w:cs="方正仿宋简体"/>
                <w:iCs/>
                <w:szCs w:val="21"/>
              </w:rPr>
            </w:pPr>
            <w:r>
              <w:rPr>
                <w:rFonts w:cs="方正仿宋简体"/>
                <w:iCs/>
                <w:szCs w:val="21"/>
              </w:rPr>
              <w:t>1.0%</w:t>
            </w:r>
          </w:p>
        </w:tc>
        <w:tc>
          <w:tcPr>
            <w:tcW w:w="1124" w:type="pct"/>
            <w:shd w:val="clear" w:color="auto" w:fill="auto"/>
            <w:vAlign w:val="center"/>
          </w:tcPr>
          <w:p w:rsidR="00E62884" w:rsidRDefault="00C92FE1">
            <w:pPr>
              <w:adjustRightInd w:val="0"/>
              <w:snapToGrid w:val="0"/>
              <w:jc w:val="center"/>
              <w:rPr>
                <w:rFonts w:cs="方正仿宋简体"/>
                <w:iCs/>
                <w:szCs w:val="21"/>
              </w:rPr>
            </w:pPr>
            <w:r>
              <w:rPr>
                <w:rFonts w:cs="方正仿宋简体"/>
                <w:iCs/>
                <w:szCs w:val="21"/>
              </w:rPr>
              <w:t>0.1%</w:t>
            </w:r>
          </w:p>
        </w:tc>
      </w:tr>
      <w:tr w:rsidR="00E62884">
        <w:trPr>
          <w:trHeight w:val="340"/>
        </w:trPr>
        <w:tc>
          <w:tcPr>
            <w:tcW w:w="1092" w:type="pct"/>
            <w:vMerge/>
            <w:shd w:val="clear" w:color="auto" w:fill="auto"/>
            <w:vAlign w:val="center"/>
          </w:tcPr>
          <w:p w:rsidR="00E62884" w:rsidRDefault="00E62884">
            <w:pPr>
              <w:adjustRightInd w:val="0"/>
              <w:snapToGrid w:val="0"/>
              <w:jc w:val="center"/>
              <w:rPr>
                <w:rFonts w:cs="方正仿宋简体"/>
                <w:iCs/>
                <w:szCs w:val="21"/>
              </w:rPr>
            </w:pPr>
          </w:p>
        </w:tc>
        <w:tc>
          <w:tcPr>
            <w:tcW w:w="1659" w:type="pct"/>
            <w:shd w:val="clear" w:color="auto" w:fill="FFFFFF"/>
            <w:vAlign w:val="center"/>
          </w:tcPr>
          <w:p w:rsidR="00E62884" w:rsidRDefault="00C92FE1">
            <w:pPr>
              <w:adjustRightInd w:val="0"/>
              <w:snapToGrid w:val="0"/>
              <w:jc w:val="center"/>
              <w:rPr>
                <w:rFonts w:cs="方正仿宋简体"/>
                <w:iCs/>
                <w:szCs w:val="21"/>
              </w:rPr>
            </w:pPr>
            <w:r>
              <w:rPr>
                <w:rFonts w:cs="方正仿宋简体"/>
                <w:iCs/>
                <w:szCs w:val="21"/>
              </w:rPr>
              <w:t>100</w:t>
            </w:r>
            <w:r>
              <w:rPr>
                <w:rFonts w:cs="方正仿宋简体"/>
                <w:iCs/>
                <w:szCs w:val="21"/>
              </w:rPr>
              <w:t>万</w:t>
            </w:r>
            <w:r>
              <w:rPr>
                <w:rFonts w:cs="方正仿宋简体"/>
                <w:iCs/>
                <w:szCs w:val="21"/>
              </w:rPr>
              <w:t>≤M</w:t>
            </w:r>
            <w:r>
              <w:rPr>
                <w:rFonts w:cs="方正仿宋简体"/>
                <w:iCs/>
                <w:szCs w:val="21"/>
              </w:rPr>
              <w:t>＜</w:t>
            </w:r>
            <w:r>
              <w:rPr>
                <w:rFonts w:cs="方正仿宋简体"/>
                <w:iCs/>
                <w:szCs w:val="21"/>
              </w:rPr>
              <w:t>500</w:t>
            </w:r>
            <w:r>
              <w:rPr>
                <w:rFonts w:cs="方正仿宋简体"/>
                <w:iCs/>
                <w:szCs w:val="21"/>
              </w:rPr>
              <w:t>万</w:t>
            </w:r>
          </w:p>
        </w:tc>
        <w:tc>
          <w:tcPr>
            <w:tcW w:w="1125" w:type="pct"/>
            <w:shd w:val="clear" w:color="auto" w:fill="FFFFFF"/>
            <w:vAlign w:val="center"/>
          </w:tcPr>
          <w:p w:rsidR="00E62884" w:rsidRDefault="00C92FE1">
            <w:pPr>
              <w:adjustRightInd w:val="0"/>
              <w:snapToGrid w:val="0"/>
              <w:jc w:val="center"/>
              <w:rPr>
                <w:rFonts w:cs="方正仿宋简体"/>
                <w:iCs/>
                <w:szCs w:val="21"/>
              </w:rPr>
            </w:pPr>
            <w:r>
              <w:rPr>
                <w:rFonts w:cs="方正仿宋简体"/>
                <w:iCs/>
                <w:szCs w:val="21"/>
              </w:rPr>
              <w:t>0.6%</w:t>
            </w:r>
          </w:p>
        </w:tc>
        <w:tc>
          <w:tcPr>
            <w:tcW w:w="1124" w:type="pct"/>
            <w:shd w:val="clear" w:color="auto" w:fill="auto"/>
            <w:vAlign w:val="center"/>
          </w:tcPr>
          <w:p w:rsidR="00E62884" w:rsidRDefault="00C92FE1">
            <w:pPr>
              <w:adjustRightInd w:val="0"/>
              <w:snapToGrid w:val="0"/>
              <w:jc w:val="center"/>
              <w:rPr>
                <w:rFonts w:cs="方正仿宋简体"/>
                <w:iCs/>
                <w:szCs w:val="21"/>
              </w:rPr>
            </w:pPr>
            <w:r>
              <w:rPr>
                <w:rFonts w:cs="方正仿宋简体"/>
                <w:iCs/>
                <w:szCs w:val="21"/>
              </w:rPr>
              <w:t>0.06%</w:t>
            </w:r>
          </w:p>
        </w:tc>
      </w:tr>
      <w:tr w:rsidR="00E62884">
        <w:trPr>
          <w:trHeight w:val="340"/>
        </w:trPr>
        <w:tc>
          <w:tcPr>
            <w:tcW w:w="1092" w:type="pct"/>
            <w:vMerge/>
            <w:shd w:val="clear" w:color="auto" w:fill="auto"/>
            <w:vAlign w:val="center"/>
          </w:tcPr>
          <w:p w:rsidR="00E62884" w:rsidRDefault="00E62884">
            <w:pPr>
              <w:adjustRightInd w:val="0"/>
              <w:snapToGrid w:val="0"/>
              <w:jc w:val="center"/>
              <w:rPr>
                <w:rFonts w:cs="方正仿宋简体"/>
                <w:iCs/>
                <w:szCs w:val="21"/>
              </w:rPr>
            </w:pPr>
          </w:p>
        </w:tc>
        <w:tc>
          <w:tcPr>
            <w:tcW w:w="1659" w:type="pct"/>
            <w:shd w:val="clear" w:color="auto" w:fill="FFFFFF"/>
            <w:vAlign w:val="center"/>
          </w:tcPr>
          <w:p w:rsidR="00E62884" w:rsidRDefault="00C92FE1">
            <w:pPr>
              <w:adjustRightInd w:val="0"/>
              <w:snapToGrid w:val="0"/>
              <w:jc w:val="center"/>
              <w:rPr>
                <w:rFonts w:cs="方正仿宋简体"/>
                <w:iCs/>
                <w:szCs w:val="21"/>
              </w:rPr>
            </w:pPr>
            <w:r>
              <w:rPr>
                <w:rFonts w:cs="方正仿宋简体"/>
                <w:iCs/>
                <w:szCs w:val="21"/>
              </w:rPr>
              <w:t>M≥500</w:t>
            </w:r>
            <w:r>
              <w:rPr>
                <w:rFonts w:cs="方正仿宋简体"/>
                <w:iCs/>
                <w:szCs w:val="21"/>
              </w:rPr>
              <w:t>万</w:t>
            </w:r>
          </w:p>
        </w:tc>
        <w:tc>
          <w:tcPr>
            <w:tcW w:w="1125" w:type="pct"/>
            <w:shd w:val="clear" w:color="auto" w:fill="FFFFFF"/>
            <w:vAlign w:val="center"/>
          </w:tcPr>
          <w:p w:rsidR="00E62884" w:rsidRDefault="00C92FE1">
            <w:pPr>
              <w:adjustRightInd w:val="0"/>
              <w:snapToGrid w:val="0"/>
              <w:jc w:val="center"/>
              <w:rPr>
                <w:rFonts w:cs="方正仿宋简体"/>
                <w:iCs/>
                <w:szCs w:val="21"/>
              </w:rPr>
            </w:pPr>
            <w:r>
              <w:rPr>
                <w:rFonts w:cs="方正仿宋简体"/>
                <w:iCs/>
                <w:szCs w:val="21"/>
              </w:rPr>
              <w:t>1000</w:t>
            </w:r>
            <w:r>
              <w:rPr>
                <w:rFonts w:cs="方正仿宋简体"/>
                <w:iCs/>
                <w:szCs w:val="21"/>
              </w:rPr>
              <w:t>元</w:t>
            </w:r>
            <w:r>
              <w:rPr>
                <w:rFonts w:cs="方正仿宋简体"/>
                <w:iCs/>
                <w:szCs w:val="21"/>
              </w:rPr>
              <w:t>/</w:t>
            </w:r>
            <w:r>
              <w:rPr>
                <w:rFonts w:cs="方正仿宋简体"/>
                <w:iCs/>
                <w:szCs w:val="21"/>
              </w:rPr>
              <w:t>笔</w:t>
            </w:r>
          </w:p>
        </w:tc>
        <w:tc>
          <w:tcPr>
            <w:tcW w:w="1124" w:type="pct"/>
            <w:shd w:val="clear" w:color="auto" w:fill="auto"/>
            <w:vAlign w:val="center"/>
          </w:tcPr>
          <w:p w:rsidR="00E62884" w:rsidRDefault="00C92FE1">
            <w:pPr>
              <w:adjustRightInd w:val="0"/>
              <w:snapToGrid w:val="0"/>
              <w:jc w:val="center"/>
              <w:rPr>
                <w:rFonts w:cs="方正仿宋简体"/>
                <w:iCs/>
                <w:szCs w:val="21"/>
              </w:rPr>
            </w:pPr>
            <w:r>
              <w:rPr>
                <w:rFonts w:cs="方正仿宋简体"/>
                <w:iCs/>
                <w:szCs w:val="21"/>
              </w:rPr>
              <w:t>1000</w:t>
            </w:r>
            <w:r>
              <w:rPr>
                <w:rFonts w:cs="方正仿宋简体"/>
                <w:iCs/>
                <w:szCs w:val="21"/>
              </w:rPr>
              <w:t>元</w:t>
            </w:r>
            <w:r>
              <w:rPr>
                <w:rFonts w:cs="方正仿宋简体"/>
                <w:iCs/>
                <w:szCs w:val="21"/>
              </w:rPr>
              <w:t>/</w:t>
            </w:r>
            <w:r>
              <w:rPr>
                <w:rFonts w:cs="方正仿宋简体"/>
                <w:iCs/>
                <w:szCs w:val="21"/>
              </w:rPr>
              <w:t>笔</w:t>
            </w:r>
          </w:p>
        </w:tc>
      </w:tr>
      <w:tr w:rsidR="00E62884">
        <w:trPr>
          <w:trHeight w:val="340"/>
        </w:trPr>
        <w:tc>
          <w:tcPr>
            <w:tcW w:w="1092" w:type="pct"/>
            <w:vMerge w:val="restart"/>
            <w:shd w:val="clear" w:color="auto" w:fill="auto"/>
            <w:vAlign w:val="center"/>
          </w:tcPr>
          <w:p w:rsidR="00E62884" w:rsidRDefault="00C92FE1">
            <w:pPr>
              <w:adjustRightInd w:val="0"/>
              <w:snapToGrid w:val="0"/>
              <w:jc w:val="center"/>
              <w:rPr>
                <w:rFonts w:cs="方正仿宋简体"/>
                <w:iCs/>
                <w:szCs w:val="21"/>
              </w:rPr>
            </w:pPr>
            <w:r>
              <w:rPr>
                <w:rFonts w:cs="方正仿宋简体"/>
                <w:iCs/>
                <w:szCs w:val="21"/>
              </w:rPr>
              <w:t>申购费（前端）</w:t>
            </w:r>
          </w:p>
        </w:tc>
        <w:tc>
          <w:tcPr>
            <w:tcW w:w="1659" w:type="pct"/>
            <w:shd w:val="clear" w:color="auto" w:fill="auto"/>
            <w:vAlign w:val="center"/>
          </w:tcPr>
          <w:p w:rsidR="00E62884" w:rsidRDefault="00C92FE1">
            <w:pPr>
              <w:adjustRightInd w:val="0"/>
              <w:snapToGrid w:val="0"/>
              <w:jc w:val="center"/>
              <w:rPr>
                <w:rFonts w:cs="方正仿宋简体"/>
                <w:iCs/>
                <w:szCs w:val="21"/>
              </w:rPr>
            </w:pPr>
            <w:r>
              <w:rPr>
                <w:rFonts w:cs="方正仿宋简体"/>
                <w:iCs/>
                <w:szCs w:val="21"/>
              </w:rPr>
              <w:t>M</w:t>
            </w:r>
            <w:r>
              <w:rPr>
                <w:rFonts w:cs="方正仿宋简体"/>
                <w:iCs/>
                <w:szCs w:val="21"/>
              </w:rPr>
              <w:t>＜</w:t>
            </w:r>
            <w:r>
              <w:rPr>
                <w:rFonts w:cs="方正仿宋简体"/>
                <w:iCs/>
                <w:szCs w:val="21"/>
              </w:rPr>
              <w:t>100</w:t>
            </w:r>
            <w:r>
              <w:rPr>
                <w:rFonts w:cs="方正仿宋简体"/>
                <w:iCs/>
                <w:szCs w:val="21"/>
              </w:rPr>
              <w:t>万</w:t>
            </w:r>
          </w:p>
        </w:tc>
        <w:tc>
          <w:tcPr>
            <w:tcW w:w="1125" w:type="pct"/>
            <w:shd w:val="clear" w:color="auto" w:fill="auto"/>
            <w:vAlign w:val="center"/>
          </w:tcPr>
          <w:p w:rsidR="00E62884" w:rsidRDefault="00C92FE1">
            <w:pPr>
              <w:adjustRightInd w:val="0"/>
              <w:snapToGrid w:val="0"/>
              <w:jc w:val="center"/>
              <w:rPr>
                <w:rFonts w:cs="方正仿宋简体"/>
                <w:iCs/>
                <w:szCs w:val="21"/>
              </w:rPr>
            </w:pPr>
            <w:r>
              <w:rPr>
                <w:rFonts w:cs="方正仿宋简体"/>
                <w:iCs/>
                <w:szCs w:val="21"/>
              </w:rPr>
              <w:t>1.2%</w:t>
            </w:r>
          </w:p>
        </w:tc>
        <w:tc>
          <w:tcPr>
            <w:tcW w:w="1124" w:type="pct"/>
            <w:shd w:val="clear" w:color="auto" w:fill="auto"/>
            <w:vAlign w:val="center"/>
          </w:tcPr>
          <w:p w:rsidR="00E62884" w:rsidRDefault="00C92FE1">
            <w:pPr>
              <w:adjustRightInd w:val="0"/>
              <w:snapToGrid w:val="0"/>
              <w:jc w:val="center"/>
              <w:rPr>
                <w:rFonts w:cs="方正仿宋简体"/>
                <w:iCs/>
                <w:szCs w:val="21"/>
              </w:rPr>
            </w:pPr>
            <w:r>
              <w:rPr>
                <w:rFonts w:cs="方正仿宋简体"/>
                <w:iCs/>
                <w:szCs w:val="21"/>
              </w:rPr>
              <w:t>0.12%</w:t>
            </w:r>
          </w:p>
        </w:tc>
      </w:tr>
      <w:tr w:rsidR="00E62884">
        <w:trPr>
          <w:trHeight w:val="340"/>
        </w:trPr>
        <w:tc>
          <w:tcPr>
            <w:tcW w:w="1092" w:type="pct"/>
            <w:vMerge/>
            <w:shd w:val="clear" w:color="auto" w:fill="auto"/>
            <w:vAlign w:val="center"/>
          </w:tcPr>
          <w:p w:rsidR="00E62884" w:rsidRDefault="00E62884">
            <w:pPr>
              <w:adjustRightInd w:val="0"/>
              <w:snapToGrid w:val="0"/>
              <w:jc w:val="center"/>
              <w:rPr>
                <w:rFonts w:cs="方正仿宋简体"/>
                <w:iCs/>
                <w:szCs w:val="21"/>
              </w:rPr>
            </w:pPr>
          </w:p>
        </w:tc>
        <w:tc>
          <w:tcPr>
            <w:tcW w:w="1659" w:type="pct"/>
            <w:shd w:val="clear" w:color="auto" w:fill="auto"/>
            <w:vAlign w:val="center"/>
          </w:tcPr>
          <w:p w:rsidR="00E62884" w:rsidRDefault="00C92FE1">
            <w:pPr>
              <w:adjustRightInd w:val="0"/>
              <w:snapToGrid w:val="0"/>
              <w:jc w:val="center"/>
              <w:rPr>
                <w:rFonts w:cs="方正仿宋简体"/>
                <w:iCs/>
                <w:szCs w:val="21"/>
              </w:rPr>
            </w:pPr>
            <w:r>
              <w:rPr>
                <w:rFonts w:cs="方正仿宋简体"/>
                <w:iCs/>
                <w:szCs w:val="21"/>
              </w:rPr>
              <w:t>100</w:t>
            </w:r>
            <w:r>
              <w:rPr>
                <w:rFonts w:cs="方正仿宋简体"/>
                <w:iCs/>
                <w:szCs w:val="21"/>
              </w:rPr>
              <w:t>万</w:t>
            </w:r>
            <w:r>
              <w:rPr>
                <w:rFonts w:cs="方正仿宋简体"/>
                <w:iCs/>
                <w:szCs w:val="21"/>
              </w:rPr>
              <w:t>≤M</w:t>
            </w:r>
            <w:r>
              <w:rPr>
                <w:rFonts w:cs="方正仿宋简体"/>
                <w:iCs/>
                <w:szCs w:val="21"/>
              </w:rPr>
              <w:t>＜</w:t>
            </w:r>
            <w:r>
              <w:rPr>
                <w:rFonts w:cs="方正仿宋简体"/>
                <w:iCs/>
                <w:szCs w:val="21"/>
              </w:rPr>
              <w:t>500</w:t>
            </w:r>
            <w:r>
              <w:rPr>
                <w:rFonts w:cs="方正仿宋简体"/>
                <w:iCs/>
                <w:szCs w:val="21"/>
              </w:rPr>
              <w:t>万</w:t>
            </w:r>
          </w:p>
        </w:tc>
        <w:tc>
          <w:tcPr>
            <w:tcW w:w="1125" w:type="pct"/>
            <w:shd w:val="clear" w:color="auto" w:fill="auto"/>
            <w:vAlign w:val="center"/>
          </w:tcPr>
          <w:p w:rsidR="00E62884" w:rsidRDefault="00C92FE1">
            <w:pPr>
              <w:adjustRightInd w:val="0"/>
              <w:snapToGrid w:val="0"/>
              <w:jc w:val="center"/>
              <w:rPr>
                <w:rFonts w:cs="方正仿宋简体"/>
                <w:iCs/>
                <w:szCs w:val="21"/>
              </w:rPr>
            </w:pPr>
            <w:r>
              <w:rPr>
                <w:rFonts w:cs="方正仿宋简体"/>
                <w:iCs/>
                <w:szCs w:val="21"/>
              </w:rPr>
              <w:t>0.8%</w:t>
            </w:r>
          </w:p>
        </w:tc>
        <w:tc>
          <w:tcPr>
            <w:tcW w:w="1124" w:type="pct"/>
            <w:shd w:val="clear" w:color="auto" w:fill="auto"/>
            <w:vAlign w:val="center"/>
          </w:tcPr>
          <w:p w:rsidR="00E62884" w:rsidRDefault="00C92FE1">
            <w:pPr>
              <w:adjustRightInd w:val="0"/>
              <w:snapToGrid w:val="0"/>
              <w:jc w:val="center"/>
              <w:rPr>
                <w:rFonts w:cs="方正仿宋简体"/>
                <w:iCs/>
                <w:szCs w:val="21"/>
              </w:rPr>
            </w:pPr>
            <w:r>
              <w:rPr>
                <w:rFonts w:cs="方正仿宋简体"/>
                <w:iCs/>
                <w:szCs w:val="21"/>
              </w:rPr>
              <w:t>0.08%</w:t>
            </w:r>
          </w:p>
        </w:tc>
      </w:tr>
      <w:tr w:rsidR="00E62884">
        <w:trPr>
          <w:trHeight w:val="340"/>
        </w:trPr>
        <w:tc>
          <w:tcPr>
            <w:tcW w:w="1092" w:type="pct"/>
            <w:vMerge/>
            <w:shd w:val="clear" w:color="auto" w:fill="auto"/>
            <w:vAlign w:val="center"/>
          </w:tcPr>
          <w:p w:rsidR="00E62884" w:rsidRDefault="00E62884">
            <w:pPr>
              <w:adjustRightInd w:val="0"/>
              <w:snapToGrid w:val="0"/>
              <w:jc w:val="center"/>
              <w:rPr>
                <w:rFonts w:cs="方正仿宋简体"/>
                <w:iCs/>
                <w:szCs w:val="21"/>
              </w:rPr>
            </w:pPr>
          </w:p>
        </w:tc>
        <w:tc>
          <w:tcPr>
            <w:tcW w:w="1659" w:type="pct"/>
            <w:shd w:val="clear" w:color="auto" w:fill="auto"/>
            <w:vAlign w:val="center"/>
          </w:tcPr>
          <w:p w:rsidR="00E62884" w:rsidRDefault="00C92FE1">
            <w:pPr>
              <w:adjustRightInd w:val="0"/>
              <w:snapToGrid w:val="0"/>
              <w:jc w:val="center"/>
              <w:rPr>
                <w:rFonts w:cs="方正仿宋简体"/>
                <w:iCs/>
                <w:szCs w:val="21"/>
              </w:rPr>
            </w:pPr>
            <w:r>
              <w:rPr>
                <w:rFonts w:cs="方正仿宋简体"/>
                <w:iCs/>
                <w:szCs w:val="21"/>
              </w:rPr>
              <w:t>M≥500</w:t>
            </w:r>
            <w:r>
              <w:rPr>
                <w:rFonts w:cs="方正仿宋简体"/>
                <w:iCs/>
                <w:szCs w:val="21"/>
              </w:rPr>
              <w:t>万</w:t>
            </w:r>
          </w:p>
        </w:tc>
        <w:tc>
          <w:tcPr>
            <w:tcW w:w="1125" w:type="pct"/>
            <w:shd w:val="clear" w:color="auto" w:fill="auto"/>
            <w:vAlign w:val="center"/>
          </w:tcPr>
          <w:p w:rsidR="00E62884" w:rsidRDefault="00C92FE1">
            <w:pPr>
              <w:adjustRightInd w:val="0"/>
              <w:snapToGrid w:val="0"/>
              <w:jc w:val="center"/>
              <w:rPr>
                <w:rFonts w:cs="方正仿宋简体"/>
                <w:iCs/>
                <w:szCs w:val="21"/>
              </w:rPr>
            </w:pPr>
            <w:r>
              <w:rPr>
                <w:rFonts w:cs="方正仿宋简体"/>
                <w:iCs/>
                <w:szCs w:val="21"/>
              </w:rPr>
              <w:t>1000</w:t>
            </w:r>
            <w:r>
              <w:rPr>
                <w:rFonts w:cs="方正仿宋简体"/>
                <w:iCs/>
                <w:szCs w:val="21"/>
              </w:rPr>
              <w:t>元</w:t>
            </w:r>
            <w:r>
              <w:rPr>
                <w:rFonts w:cs="方正仿宋简体"/>
                <w:iCs/>
                <w:szCs w:val="21"/>
              </w:rPr>
              <w:t>/</w:t>
            </w:r>
            <w:r>
              <w:rPr>
                <w:rFonts w:cs="方正仿宋简体"/>
                <w:iCs/>
                <w:szCs w:val="21"/>
              </w:rPr>
              <w:t>笔</w:t>
            </w:r>
          </w:p>
        </w:tc>
        <w:tc>
          <w:tcPr>
            <w:tcW w:w="1124" w:type="pct"/>
            <w:shd w:val="clear" w:color="auto" w:fill="auto"/>
            <w:vAlign w:val="center"/>
          </w:tcPr>
          <w:p w:rsidR="00E62884" w:rsidRDefault="00C92FE1">
            <w:pPr>
              <w:adjustRightInd w:val="0"/>
              <w:snapToGrid w:val="0"/>
              <w:jc w:val="center"/>
              <w:rPr>
                <w:rFonts w:cs="方正仿宋简体"/>
                <w:iCs/>
                <w:szCs w:val="21"/>
              </w:rPr>
            </w:pPr>
            <w:r>
              <w:rPr>
                <w:rFonts w:cs="方正仿宋简体"/>
                <w:iCs/>
                <w:szCs w:val="21"/>
              </w:rPr>
              <w:t>1000</w:t>
            </w:r>
            <w:r>
              <w:rPr>
                <w:rFonts w:cs="方正仿宋简体"/>
                <w:iCs/>
                <w:szCs w:val="21"/>
              </w:rPr>
              <w:t>元</w:t>
            </w:r>
            <w:r>
              <w:rPr>
                <w:rFonts w:cs="方正仿宋简体"/>
                <w:iCs/>
                <w:szCs w:val="21"/>
              </w:rPr>
              <w:t>/</w:t>
            </w:r>
            <w:r>
              <w:rPr>
                <w:rFonts w:cs="方正仿宋简体"/>
                <w:iCs/>
                <w:szCs w:val="21"/>
              </w:rPr>
              <w:t>笔</w:t>
            </w:r>
          </w:p>
        </w:tc>
      </w:tr>
      <w:tr w:rsidR="00E62884">
        <w:trPr>
          <w:trHeight w:val="340"/>
        </w:trPr>
        <w:tc>
          <w:tcPr>
            <w:tcW w:w="1092" w:type="pct"/>
            <w:vMerge w:val="restart"/>
            <w:shd w:val="clear" w:color="auto" w:fill="auto"/>
            <w:vAlign w:val="center"/>
          </w:tcPr>
          <w:p w:rsidR="00E62884" w:rsidRDefault="00C92FE1">
            <w:pPr>
              <w:adjustRightInd w:val="0"/>
              <w:snapToGrid w:val="0"/>
              <w:jc w:val="center"/>
              <w:rPr>
                <w:rFonts w:cs="方正仿宋简体"/>
                <w:iCs/>
                <w:szCs w:val="21"/>
              </w:rPr>
            </w:pPr>
            <w:r>
              <w:rPr>
                <w:rFonts w:cs="方正仿宋简体"/>
                <w:iCs/>
                <w:szCs w:val="21"/>
              </w:rPr>
              <w:t>赎回费</w:t>
            </w:r>
          </w:p>
        </w:tc>
        <w:tc>
          <w:tcPr>
            <w:tcW w:w="1659" w:type="pct"/>
            <w:shd w:val="clear" w:color="auto" w:fill="auto"/>
            <w:vAlign w:val="center"/>
          </w:tcPr>
          <w:p w:rsidR="00E62884" w:rsidRDefault="00C92FE1">
            <w:pPr>
              <w:adjustRightInd w:val="0"/>
              <w:snapToGrid w:val="0"/>
              <w:jc w:val="center"/>
              <w:rPr>
                <w:rFonts w:cs="方正仿宋简体"/>
                <w:iCs/>
                <w:szCs w:val="21"/>
              </w:rPr>
            </w:pPr>
            <w:r>
              <w:rPr>
                <w:rFonts w:cs="方正仿宋简体"/>
                <w:iCs/>
                <w:szCs w:val="21"/>
              </w:rPr>
              <w:t>N</w:t>
            </w:r>
            <w:r>
              <w:rPr>
                <w:rFonts w:cs="方正仿宋简体"/>
                <w:iCs/>
                <w:szCs w:val="21"/>
              </w:rPr>
              <w:t>＜</w:t>
            </w:r>
            <w:r>
              <w:rPr>
                <w:rFonts w:cs="方正仿宋简体"/>
                <w:iCs/>
                <w:szCs w:val="21"/>
              </w:rPr>
              <w:t>7</w:t>
            </w:r>
            <w:r>
              <w:rPr>
                <w:rFonts w:cs="方正仿宋简体"/>
                <w:iCs/>
                <w:szCs w:val="21"/>
              </w:rPr>
              <w:t>天</w:t>
            </w:r>
          </w:p>
        </w:tc>
        <w:tc>
          <w:tcPr>
            <w:tcW w:w="2249" w:type="pct"/>
            <w:gridSpan w:val="2"/>
            <w:shd w:val="clear" w:color="auto" w:fill="auto"/>
            <w:vAlign w:val="center"/>
          </w:tcPr>
          <w:p w:rsidR="00E62884" w:rsidRDefault="00C92FE1">
            <w:pPr>
              <w:adjustRightInd w:val="0"/>
              <w:snapToGrid w:val="0"/>
              <w:jc w:val="center"/>
              <w:rPr>
                <w:rFonts w:cs="方正仿宋简体"/>
                <w:iCs/>
                <w:szCs w:val="21"/>
              </w:rPr>
            </w:pPr>
            <w:r>
              <w:rPr>
                <w:rFonts w:cs="方正仿宋简体"/>
                <w:iCs/>
                <w:szCs w:val="21"/>
              </w:rPr>
              <w:t>1.5%</w:t>
            </w:r>
          </w:p>
        </w:tc>
      </w:tr>
      <w:tr w:rsidR="00E62884">
        <w:trPr>
          <w:trHeight w:val="340"/>
        </w:trPr>
        <w:tc>
          <w:tcPr>
            <w:tcW w:w="1092" w:type="pct"/>
            <w:vMerge/>
            <w:shd w:val="clear" w:color="auto" w:fill="auto"/>
            <w:vAlign w:val="center"/>
          </w:tcPr>
          <w:p w:rsidR="00E62884" w:rsidRDefault="00E62884">
            <w:pPr>
              <w:adjustRightInd w:val="0"/>
              <w:snapToGrid w:val="0"/>
              <w:jc w:val="center"/>
              <w:rPr>
                <w:rFonts w:cs="方正仿宋简体"/>
                <w:iCs/>
                <w:szCs w:val="21"/>
              </w:rPr>
            </w:pPr>
          </w:p>
        </w:tc>
        <w:tc>
          <w:tcPr>
            <w:tcW w:w="1659" w:type="pct"/>
            <w:shd w:val="clear" w:color="auto" w:fill="auto"/>
            <w:vAlign w:val="center"/>
          </w:tcPr>
          <w:p w:rsidR="00E62884" w:rsidRDefault="00C92FE1">
            <w:pPr>
              <w:adjustRightInd w:val="0"/>
              <w:snapToGrid w:val="0"/>
              <w:jc w:val="center"/>
              <w:rPr>
                <w:rFonts w:cs="方正仿宋简体"/>
                <w:iCs/>
                <w:szCs w:val="21"/>
              </w:rPr>
            </w:pPr>
            <w:r>
              <w:rPr>
                <w:rFonts w:cs="方正仿宋简体"/>
                <w:iCs/>
                <w:szCs w:val="21"/>
              </w:rPr>
              <w:t>N≥7</w:t>
            </w:r>
            <w:r>
              <w:rPr>
                <w:rFonts w:cs="方正仿宋简体"/>
                <w:iCs/>
                <w:szCs w:val="21"/>
              </w:rPr>
              <w:t>天</w:t>
            </w:r>
          </w:p>
        </w:tc>
        <w:tc>
          <w:tcPr>
            <w:tcW w:w="2249" w:type="pct"/>
            <w:gridSpan w:val="2"/>
            <w:shd w:val="clear" w:color="auto" w:fill="auto"/>
            <w:vAlign w:val="center"/>
          </w:tcPr>
          <w:p w:rsidR="00E62884" w:rsidRDefault="00C92FE1">
            <w:pPr>
              <w:adjustRightInd w:val="0"/>
              <w:snapToGrid w:val="0"/>
              <w:jc w:val="center"/>
              <w:rPr>
                <w:rFonts w:cs="方正仿宋简体"/>
                <w:iCs/>
                <w:szCs w:val="21"/>
              </w:rPr>
            </w:pPr>
            <w:r>
              <w:rPr>
                <w:rFonts w:cs="方正仿宋简体"/>
                <w:iCs/>
                <w:szCs w:val="21"/>
              </w:rPr>
              <w:t>0</w:t>
            </w:r>
          </w:p>
        </w:tc>
      </w:tr>
    </w:tbl>
    <w:p w:rsidR="00E62884" w:rsidRDefault="00C92FE1">
      <w:pPr>
        <w:widowControl w:val="0"/>
        <w:adjustRightInd w:val="0"/>
        <w:snapToGrid w:val="0"/>
        <w:spacing w:beforeLines="20" w:before="87" w:line="288" w:lineRule="auto"/>
        <w:jc w:val="both"/>
        <w:rPr>
          <w:rFonts w:cs="方正仿宋简体"/>
          <w:iCs/>
          <w:szCs w:val="21"/>
        </w:rPr>
      </w:pPr>
      <w:r>
        <w:rPr>
          <w:rFonts w:cs="方正仿宋简体"/>
          <w:iCs/>
          <w:szCs w:val="21"/>
        </w:rPr>
        <w:t>注：以上费用在投资者认购</w:t>
      </w:r>
      <w:r>
        <w:rPr>
          <w:rFonts w:cs="方正仿宋简体"/>
          <w:iCs/>
          <w:szCs w:val="21"/>
        </w:rPr>
        <w:t>/</w:t>
      </w:r>
      <w:r>
        <w:rPr>
          <w:rFonts w:cs="方正仿宋简体"/>
          <w:iCs/>
          <w:szCs w:val="21"/>
        </w:rPr>
        <w:t>申购</w:t>
      </w:r>
      <w:r>
        <w:rPr>
          <w:rFonts w:cs="方正仿宋简体"/>
          <w:iCs/>
          <w:szCs w:val="21"/>
        </w:rPr>
        <w:t>/</w:t>
      </w:r>
      <w:r>
        <w:rPr>
          <w:rFonts w:cs="方正仿宋简体"/>
          <w:iCs/>
          <w:szCs w:val="21"/>
        </w:rPr>
        <w:t>赎回基金过程中收取，特定客户的具体含义请见《招募说明书》相关内容。</w:t>
      </w:r>
    </w:p>
    <w:p w:rsidR="00956AC1" w:rsidRDefault="00A535E9" w:rsidP="000776C8">
      <w:pPr>
        <w:pStyle w:val="2"/>
      </w:pPr>
      <w:r w:rsidRPr="00ED3BD1">
        <w:rPr>
          <w:rFonts w:hint="eastAsia"/>
        </w:rPr>
        <w:t>基金运作相关费用</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4"/>
        <w:gridCol w:w="4728"/>
        <w:gridCol w:w="2318"/>
      </w:tblGrid>
      <w:tr w:rsidR="00E62884">
        <w:trPr>
          <w:jc w:val="center"/>
        </w:trPr>
        <w:tc>
          <w:tcPr>
            <w:tcW w:w="1984" w:type="dxa"/>
            <w:shd w:val="clear" w:color="auto" w:fill="auto"/>
            <w:vAlign w:val="center"/>
          </w:tcPr>
          <w:p w:rsidR="00E62884" w:rsidRDefault="00C92FE1">
            <w:pPr>
              <w:pStyle w:val="ae"/>
              <w:spacing w:beforeLines="10" w:before="43" w:line="264" w:lineRule="auto"/>
              <w:contextualSpacing w:val="0"/>
              <w:jc w:val="center"/>
            </w:pPr>
            <w:r>
              <w:t>费用类别</w:t>
            </w:r>
          </w:p>
        </w:tc>
        <w:tc>
          <w:tcPr>
            <w:tcW w:w="4566" w:type="dxa"/>
            <w:shd w:val="clear" w:color="auto" w:fill="auto"/>
            <w:vAlign w:val="center"/>
          </w:tcPr>
          <w:p w:rsidR="00E62884" w:rsidRDefault="00C92FE1">
            <w:pPr>
              <w:pStyle w:val="ae"/>
              <w:spacing w:beforeLines="10" w:before="43" w:line="264" w:lineRule="auto"/>
              <w:contextualSpacing w:val="0"/>
              <w:jc w:val="center"/>
            </w:pPr>
            <w:r>
              <w:rPr>
                <w:rFonts w:hint="eastAsia"/>
              </w:rPr>
              <w:t>年费率</w:t>
            </w:r>
            <w:r>
              <w:rPr>
                <w:rFonts w:hint="eastAsia"/>
              </w:rPr>
              <w:t>/</w:t>
            </w:r>
            <w:r>
              <w:rPr>
                <w:rFonts w:hint="eastAsia"/>
              </w:rPr>
              <w:t>收费方式</w:t>
            </w:r>
          </w:p>
        </w:tc>
        <w:tc>
          <w:tcPr>
            <w:tcW w:w="2239" w:type="dxa"/>
            <w:shd w:val="clear" w:color="auto" w:fill="auto"/>
            <w:vAlign w:val="center"/>
          </w:tcPr>
          <w:p w:rsidR="00E62884" w:rsidRDefault="00C92FE1">
            <w:pPr>
              <w:pStyle w:val="ae"/>
              <w:spacing w:beforeLines="10" w:before="43" w:line="264" w:lineRule="auto"/>
              <w:contextualSpacing w:val="0"/>
              <w:jc w:val="center"/>
            </w:pPr>
            <w:r>
              <w:rPr>
                <w:rFonts w:hint="eastAsia"/>
              </w:rPr>
              <w:t>收取方</w:t>
            </w:r>
          </w:p>
        </w:tc>
      </w:tr>
      <w:tr w:rsidR="00E62884">
        <w:trPr>
          <w:jc w:val="center"/>
        </w:trPr>
        <w:tc>
          <w:tcPr>
            <w:tcW w:w="1984" w:type="dxa"/>
            <w:shd w:val="clear" w:color="auto" w:fill="auto"/>
            <w:vAlign w:val="center"/>
          </w:tcPr>
          <w:p w:rsidR="00E62884" w:rsidRDefault="00C92FE1">
            <w:pPr>
              <w:pStyle w:val="ae"/>
              <w:spacing w:beforeLines="10" w:before="43" w:line="264" w:lineRule="auto"/>
              <w:contextualSpacing w:val="0"/>
              <w:jc w:val="center"/>
            </w:pPr>
            <w:r>
              <w:t>管理费</w:t>
            </w:r>
          </w:p>
        </w:tc>
        <w:tc>
          <w:tcPr>
            <w:tcW w:w="4566" w:type="dxa"/>
            <w:shd w:val="clear" w:color="auto" w:fill="auto"/>
            <w:vAlign w:val="center"/>
          </w:tcPr>
          <w:p w:rsidR="00E62884" w:rsidRDefault="00C92FE1">
            <w:pPr>
              <w:pStyle w:val="ae"/>
              <w:spacing w:beforeLines="10" w:before="43" w:line="264" w:lineRule="auto"/>
              <w:contextualSpacing w:val="0"/>
            </w:pPr>
            <w:r>
              <w:rPr>
                <w:rFonts w:hint="eastAsia"/>
              </w:rPr>
              <w:t>0.50%</w:t>
            </w:r>
          </w:p>
        </w:tc>
        <w:tc>
          <w:tcPr>
            <w:tcW w:w="2239" w:type="dxa"/>
            <w:shd w:val="clear" w:color="auto" w:fill="auto"/>
            <w:vAlign w:val="center"/>
          </w:tcPr>
          <w:p w:rsidR="00E62884" w:rsidRDefault="00C92FE1">
            <w:pPr>
              <w:pStyle w:val="ae"/>
              <w:spacing w:beforeLines="10" w:before="43" w:line="264" w:lineRule="auto"/>
              <w:contextualSpacing w:val="0"/>
              <w:jc w:val="left"/>
            </w:pPr>
            <w:r>
              <w:rPr>
                <w:rFonts w:hint="eastAsia"/>
              </w:rPr>
              <w:t>基金管理人、销售机构</w:t>
            </w:r>
          </w:p>
        </w:tc>
      </w:tr>
      <w:tr w:rsidR="00E62884">
        <w:trPr>
          <w:jc w:val="center"/>
        </w:trPr>
        <w:tc>
          <w:tcPr>
            <w:tcW w:w="1984" w:type="dxa"/>
            <w:shd w:val="clear" w:color="auto" w:fill="auto"/>
            <w:vAlign w:val="center"/>
          </w:tcPr>
          <w:p w:rsidR="00E62884" w:rsidRDefault="00C92FE1">
            <w:pPr>
              <w:pStyle w:val="ae"/>
              <w:spacing w:beforeLines="10" w:before="43" w:line="264" w:lineRule="auto"/>
              <w:contextualSpacing w:val="0"/>
              <w:jc w:val="center"/>
            </w:pPr>
            <w:r>
              <w:t>托管费</w:t>
            </w:r>
          </w:p>
        </w:tc>
        <w:tc>
          <w:tcPr>
            <w:tcW w:w="4566" w:type="dxa"/>
            <w:shd w:val="clear" w:color="auto" w:fill="auto"/>
            <w:vAlign w:val="center"/>
          </w:tcPr>
          <w:p w:rsidR="00E62884" w:rsidRDefault="00C92FE1">
            <w:pPr>
              <w:pStyle w:val="ae"/>
              <w:spacing w:beforeLines="10" w:before="43" w:line="264" w:lineRule="auto"/>
              <w:contextualSpacing w:val="0"/>
            </w:pPr>
            <w:r>
              <w:rPr>
                <w:rFonts w:hint="eastAsia"/>
              </w:rPr>
              <w:t>0.10%</w:t>
            </w:r>
          </w:p>
        </w:tc>
        <w:tc>
          <w:tcPr>
            <w:tcW w:w="2239" w:type="dxa"/>
            <w:shd w:val="clear" w:color="auto" w:fill="auto"/>
            <w:vAlign w:val="center"/>
          </w:tcPr>
          <w:p w:rsidR="00E62884" w:rsidRDefault="00C92FE1">
            <w:pPr>
              <w:pStyle w:val="ae"/>
              <w:spacing w:beforeLines="10" w:before="43" w:line="264" w:lineRule="auto"/>
              <w:contextualSpacing w:val="0"/>
              <w:jc w:val="left"/>
            </w:pPr>
            <w:r>
              <w:rPr>
                <w:rFonts w:hint="eastAsia"/>
              </w:rPr>
              <w:t>基金托管人</w:t>
            </w:r>
          </w:p>
        </w:tc>
      </w:tr>
    </w:tbl>
    <w:p w:rsidR="00E62884" w:rsidRDefault="00C92FE1">
      <w:pPr>
        <w:adjustRightInd w:val="0"/>
        <w:snapToGrid w:val="0"/>
        <w:spacing w:beforeLines="20" w:before="87" w:line="288" w:lineRule="auto"/>
        <w:rPr>
          <w:rFonts w:cs="方正仿宋简体"/>
          <w:iCs/>
          <w:szCs w:val="21"/>
        </w:rPr>
      </w:pPr>
      <w:r>
        <w:rPr>
          <w:rFonts w:cs="方正仿宋简体"/>
          <w:iCs/>
          <w:szCs w:val="21"/>
        </w:rPr>
        <w:t>注：以上费用将从基金资产中扣除；基金财产中投资于目标</w:t>
      </w:r>
      <w:r>
        <w:rPr>
          <w:rFonts w:cs="方正仿宋简体"/>
          <w:iCs/>
          <w:szCs w:val="21"/>
        </w:rPr>
        <w:t>ETF</w:t>
      </w:r>
      <w:r>
        <w:rPr>
          <w:rFonts w:cs="方正仿宋简体"/>
          <w:iCs/>
          <w:szCs w:val="21"/>
        </w:rPr>
        <w:t>的部分不收取管理费、托管费。本基金交易证券、基金等产生的费用和税负，按实际发生额从基金资产扣除。</w:t>
      </w:r>
    </w:p>
    <w:p w:rsidR="006370B9" w:rsidRPr="00A14942" w:rsidRDefault="006370B9" w:rsidP="006370B9">
      <w:pPr>
        <w:pStyle w:val="1"/>
        <w:ind w:left="425" w:hanging="425"/>
      </w:pPr>
      <w:r w:rsidRPr="00A14942">
        <w:rPr>
          <w:rFonts w:hint="eastAsia"/>
        </w:rPr>
        <w:t>风险揭示与重要提示</w:t>
      </w:r>
    </w:p>
    <w:p w:rsidR="006370B9" w:rsidRPr="00006391" w:rsidRDefault="006370B9" w:rsidP="006370B9">
      <w:pPr>
        <w:pStyle w:val="2"/>
        <w:numPr>
          <w:ilvl w:val="1"/>
          <w:numId w:val="18"/>
        </w:numPr>
      </w:pPr>
      <w:r w:rsidRPr="00006391">
        <w:rPr>
          <w:rFonts w:hint="eastAsia"/>
        </w:rPr>
        <w:t>风险揭示</w:t>
      </w:r>
    </w:p>
    <w:p w:rsidR="00E62884" w:rsidRDefault="00C92FE1">
      <w:pPr>
        <w:adjustRightInd w:val="0"/>
        <w:snapToGrid w:val="0"/>
        <w:spacing w:line="288" w:lineRule="auto"/>
        <w:ind w:firstLineChars="200" w:firstLine="420"/>
        <w:rPr>
          <w:rFonts w:cs="方正仿宋简体"/>
          <w:iCs/>
          <w:szCs w:val="21"/>
        </w:rPr>
      </w:pPr>
      <w:r>
        <w:rPr>
          <w:rFonts w:cs="方正仿宋简体"/>
          <w:iCs/>
          <w:szCs w:val="21"/>
        </w:rPr>
        <w:t>本基金不提供任何保证。投资者可能损失投资本金。投资有风险，投资者购买基金时应认真阅读本基金的《招募说明书》等销售文件。</w:t>
      </w:r>
    </w:p>
    <w:p w:rsidR="00E62884" w:rsidRDefault="00C92FE1">
      <w:pPr>
        <w:adjustRightInd w:val="0"/>
        <w:snapToGrid w:val="0"/>
        <w:spacing w:line="288" w:lineRule="auto"/>
        <w:ind w:firstLineChars="200" w:firstLine="420"/>
        <w:rPr>
          <w:rFonts w:cs="方正仿宋简体"/>
          <w:iCs/>
          <w:szCs w:val="21"/>
        </w:rPr>
      </w:pPr>
      <w:r>
        <w:rPr>
          <w:rFonts w:cs="方正仿宋简体"/>
          <w:iCs/>
          <w:szCs w:val="21"/>
        </w:rPr>
        <w:t>本基金投资中的风险包括：证券市场整体环境引发的系统性风险，个别证券特有的非系统性风险，大量赎回或暴跌导致的流动性风险，基金投资过程中产生的操作风险，因交收违约和投资债券引发的信用风险，指数化投资的风险，投资</w:t>
      </w:r>
      <w:r>
        <w:rPr>
          <w:rFonts w:cs="方正仿宋简体"/>
          <w:iCs/>
          <w:szCs w:val="21"/>
        </w:rPr>
        <w:t>于目标</w:t>
      </w:r>
      <w:r>
        <w:rPr>
          <w:rFonts w:cs="方正仿宋简体"/>
          <w:iCs/>
          <w:szCs w:val="21"/>
        </w:rPr>
        <w:t>ETF</w:t>
      </w:r>
      <w:r>
        <w:rPr>
          <w:rFonts w:cs="方正仿宋简体"/>
          <w:iCs/>
          <w:szCs w:val="21"/>
        </w:rPr>
        <w:t>基金带来的风险，以及基金投资对象与投资策略引致的特有风险等等。</w:t>
      </w:r>
    </w:p>
    <w:p w:rsidR="00E62884" w:rsidRDefault="00C92FE1">
      <w:pPr>
        <w:adjustRightInd w:val="0"/>
        <w:snapToGrid w:val="0"/>
        <w:spacing w:line="288" w:lineRule="auto"/>
        <w:ind w:firstLineChars="200" w:firstLine="420"/>
        <w:rPr>
          <w:rFonts w:cs="方正仿宋简体"/>
          <w:iCs/>
          <w:szCs w:val="21"/>
        </w:rPr>
      </w:pPr>
      <w:r>
        <w:rPr>
          <w:rFonts w:cs="方正仿宋简体"/>
          <w:iCs/>
          <w:szCs w:val="21"/>
        </w:rPr>
        <w:t>本基金的特有风险包括：</w:t>
      </w:r>
      <w:r>
        <w:rPr>
          <w:rFonts w:cs="方正仿宋简体"/>
          <w:iCs/>
          <w:szCs w:val="21"/>
        </w:rPr>
        <w:t>1</w:t>
      </w:r>
      <w:r>
        <w:rPr>
          <w:rFonts w:cs="方正仿宋简体"/>
          <w:iCs/>
          <w:szCs w:val="21"/>
        </w:rPr>
        <w:t>、投资于目标</w:t>
      </w:r>
      <w:r>
        <w:rPr>
          <w:rFonts w:cs="方正仿宋简体"/>
          <w:iCs/>
          <w:szCs w:val="21"/>
        </w:rPr>
        <w:t>ETF</w:t>
      </w:r>
      <w:r>
        <w:rPr>
          <w:rFonts w:cs="方正仿宋简体"/>
          <w:iCs/>
          <w:szCs w:val="21"/>
        </w:rPr>
        <w:t>基金带来的风险</w:t>
      </w:r>
    </w:p>
    <w:p w:rsidR="00E62884" w:rsidRDefault="00C92FE1">
      <w:pPr>
        <w:adjustRightInd w:val="0"/>
        <w:snapToGrid w:val="0"/>
        <w:spacing w:line="288" w:lineRule="auto"/>
        <w:ind w:firstLineChars="200" w:firstLine="420"/>
        <w:rPr>
          <w:rFonts w:cs="方正仿宋简体"/>
          <w:iCs/>
          <w:szCs w:val="21"/>
        </w:rPr>
      </w:pPr>
      <w:r>
        <w:rPr>
          <w:rFonts w:cs="方正仿宋简体"/>
          <w:iCs/>
          <w:szCs w:val="21"/>
        </w:rPr>
        <w:lastRenderedPageBreak/>
        <w:t>本基金为目标</w:t>
      </w:r>
      <w:r>
        <w:rPr>
          <w:rFonts w:cs="方正仿宋简体"/>
          <w:iCs/>
          <w:szCs w:val="21"/>
        </w:rPr>
        <w:t>ETF</w:t>
      </w:r>
      <w:r>
        <w:rPr>
          <w:rFonts w:cs="方正仿宋简体"/>
          <w:iCs/>
          <w:szCs w:val="21"/>
        </w:rPr>
        <w:t>联接基金，投资于目标</w:t>
      </w:r>
      <w:r>
        <w:rPr>
          <w:rFonts w:cs="方正仿宋简体"/>
          <w:iCs/>
          <w:szCs w:val="21"/>
        </w:rPr>
        <w:t>ETF</w:t>
      </w:r>
      <w:r>
        <w:rPr>
          <w:rFonts w:cs="方正仿宋简体"/>
          <w:iCs/>
          <w:szCs w:val="21"/>
        </w:rPr>
        <w:t>的比例不得低于基金资产净值的</w:t>
      </w:r>
      <w:r>
        <w:rPr>
          <w:rFonts w:cs="方正仿宋简体"/>
          <w:iCs/>
          <w:szCs w:val="21"/>
        </w:rPr>
        <w:t>90%</w:t>
      </w:r>
      <w:r>
        <w:rPr>
          <w:rFonts w:cs="方正仿宋简体"/>
          <w:iCs/>
          <w:szCs w:val="21"/>
        </w:rPr>
        <w:t>，因此，本基金将面临例如目标</w:t>
      </w:r>
      <w:r>
        <w:rPr>
          <w:rFonts w:cs="方正仿宋简体"/>
          <w:iCs/>
          <w:szCs w:val="21"/>
        </w:rPr>
        <w:t>ETF</w:t>
      </w:r>
      <w:r>
        <w:rPr>
          <w:rFonts w:cs="方正仿宋简体"/>
          <w:iCs/>
          <w:szCs w:val="21"/>
        </w:rPr>
        <w:t>的管理风险与操作风险、目标</w:t>
      </w:r>
      <w:r>
        <w:rPr>
          <w:rFonts w:cs="方正仿宋简体"/>
          <w:iCs/>
          <w:szCs w:val="21"/>
        </w:rPr>
        <w:t>ETF</w:t>
      </w:r>
      <w:r>
        <w:rPr>
          <w:rFonts w:cs="方正仿宋简体"/>
          <w:iCs/>
          <w:szCs w:val="21"/>
        </w:rPr>
        <w:t>特有风险（包括指数化投资的风险、标的指数的风险、跟踪误差控制未达约定目标的风险、成份股停牌的风险、指数编制机构停止服务的风险、基金份额二级市场交易价格折溢价的风险、套利风险、参考</w:t>
      </w:r>
      <w:r>
        <w:rPr>
          <w:rFonts w:cs="方正仿宋简体"/>
          <w:iCs/>
          <w:szCs w:val="21"/>
        </w:rPr>
        <w:t>IOPV</w:t>
      </w:r>
      <w:r>
        <w:rPr>
          <w:rFonts w:cs="方正仿宋简体"/>
          <w:iCs/>
          <w:szCs w:val="21"/>
        </w:rPr>
        <w:t>决策和</w:t>
      </w:r>
      <w:r>
        <w:rPr>
          <w:rFonts w:cs="方正仿宋简体"/>
          <w:iCs/>
          <w:szCs w:val="21"/>
        </w:rPr>
        <w:t>IOPV</w:t>
      </w:r>
      <w:r>
        <w:rPr>
          <w:rFonts w:cs="方正仿宋简体"/>
          <w:iCs/>
          <w:szCs w:val="21"/>
        </w:rPr>
        <w:t>计算错误的风险、申购赎回清单差错风</w:t>
      </w:r>
      <w:r>
        <w:rPr>
          <w:rFonts w:cs="方正仿宋简体"/>
          <w:iCs/>
          <w:szCs w:val="21"/>
        </w:rPr>
        <w:t>险、申购及赎回风险、退市风险、终止清盘风险、第三方机构服务的风险及投资特定品种的特有风险等）、目标</w:t>
      </w:r>
      <w:r>
        <w:rPr>
          <w:rFonts w:cs="方正仿宋简体"/>
          <w:iCs/>
          <w:szCs w:val="21"/>
        </w:rPr>
        <w:t>ETF</w:t>
      </w:r>
      <w:r>
        <w:rPr>
          <w:rFonts w:cs="方正仿宋简体"/>
          <w:iCs/>
          <w:szCs w:val="21"/>
        </w:rPr>
        <w:t>的技术风险等风险。</w:t>
      </w:r>
    </w:p>
    <w:p w:rsidR="00E62884" w:rsidRDefault="00C92FE1">
      <w:pPr>
        <w:adjustRightInd w:val="0"/>
        <w:snapToGrid w:val="0"/>
        <w:spacing w:line="288" w:lineRule="auto"/>
        <w:ind w:firstLineChars="200" w:firstLine="420"/>
        <w:rPr>
          <w:rFonts w:cs="方正仿宋简体"/>
          <w:iCs/>
          <w:szCs w:val="21"/>
        </w:rPr>
      </w:pPr>
      <w:r>
        <w:rPr>
          <w:rFonts w:cs="方正仿宋简体"/>
          <w:iCs/>
          <w:szCs w:val="21"/>
        </w:rPr>
        <w:t>2</w:t>
      </w:r>
      <w:r>
        <w:rPr>
          <w:rFonts w:cs="方正仿宋简体"/>
          <w:iCs/>
          <w:szCs w:val="21"/>
        </w:rPr>
        <w:t>、指数化投资的风险</w:t>
      </w:r>
    </w:p>
    <w:p w:rsidR="00E62884" w:rsidRDefault="00C92FE1">
      <w:pPr>
        <w:adjustRightInd w:val="0"/>
        <w:snapToGrid w:val="0"/>
        <w:spacing w:line="288" w:lineRule="auto"/>
        <w:ind w:firstLineChars="200" w:firstLine="420"/>
        <w:rPr>
          <w:rFonts w:cs="方正仿宋简体"/>
          <w:iCs/>
          <w:szCs w:val="21"/>
        </w:rPr>
      </w:pPr>
      <w:r>
        <w:rPr>
          <w:rFonts w:cs="方正仿宋简体"/>
          <w:iCs/>
          <w:szCs w:val="21"/>
        </w:rPr>
        <w:t>本基金的指数化投资风险包括标的指数的风险、跟踪误差控制未达约定目标的风险、成份股停牌的风险和指数编制机构停止服务的风险等。</w:t>
      </w:r>
    </w:p>
    <w:p w:rsidR="00E62884" w:rsidRDefault="00C92FE1">
      <w:pPr>
        <w:adjustRightInd w:val="0"/>
        <w:snapToGrid w:val="0"/>
        <w:spacing w:line="288" w:lineRule="auto"/>
        <w:ind w:firstLineChars="200" w:firstLine="420"/>
        <w:rPr>
          <w:rFonts w:cs="方正仿宋简体"/>
          <w:iCs/>
          <w:szCs w:val="21"/>
        </w:rPr>
      </w:pPr>
      <w:r>
        <w:rPr>
          <w:rFonts w:cs="方正仿宋简体"/>
          <w:iCs/>
          <w:szCs w:val="21"/>
        </w:rPr>
        <w:t>3</w:t>
      </w:r>
      <w:r>
        <w:rPr>
          <w:rFonts w:cs="方正仿宋简体"/>
          <w:iCs/>
          <w:szCs w:val="21"/>
        </w:rPr>
        <w:t>、股指期货、国债期货的投资风险</w:t>
      </w:r>
    </w:p>
    <w:p w:rsidR="00E62884" w:rsidRDefault="00C92FE1">
      <w:pPr>
        <w:adjustRightInd w:val="0"/>
        <w:snapToGrid w:val="0"/>
        <w:spacing w:line="288" w:lineRule="auto"/>
        <w:ind w:firstLineChars="200" w:firstLine="420"/>
        <w:rPr>
          <w:rFonts w:cs="方正仿宋简体"/>
          <w:iCs/>
          <w:szCs w:val="21"/>
        </w:rPr>
      </w:pPr>
      <w:r>
        <w:rPr>
          <w:rFonts w:cs="方正仿宋简体"/>
          <w:iCs/>
          <w:szCs w:val="21"/>
        </w:rPr>
        <w:t>本基金可按照基金合同的约定投资股指期货、国债期货。期货市场与现货市场不同，采取保证金交易，风险较现货市场更高。虽然本基金对股指期货、国债期货的投资仅限于现金管理和套期保值等用途，在极端情况下，期货市场波动仍可</w:t>
      </w:r>
      <w:r>
        <w:rPr>
          <w:rFonts w:cs="方正仿宋简体"/>
          <w:iCs/>
          <w:szCs w:val="21"/>
        </w:rPr>
        <w:t>能对基金资产造成不良影响。</w:t>
      </w:r>
    </w:p>
    <w:p w:rsidR="00E62884" w:rsidRDefault="00C92FE1">
      <w:pPr>
        <w:adjustRightInd w:val="0"/>
        <w:snapToGrid w:val="0"/>
        <w:spacing w:line="288" w:lineRule="auto"/>
        <w:ind w:firstLineChars="200" w:firstLine="420"/>
        <w:rPr>
          <w:rFonts w:cs="方正仿宋简体"/>
          <w:iCs/>
          <w:szCs w:val="21"/>
        </w:rPr>
      </w:pPr>
      <w:r>
        <w:rPr>
          <w:rFonts w:cs="方正仿宋简体"/>
          <w:iCs/>
          <w:szCs w:val="21"/>
        </w:rPr>
        <w:t>4</w:t>
      </w:r>
      <w:r>
        <w:rPr>
          <w:rFonts w:cs="方正仿宋简体"/>
          <w:iCs/>
          <w:szCs w:val="21"/>
        </w:rPr>
        <w:t>、股票期权的投资风险</w:t>
      </w:r>
    </w:p>
    <w:p w:rsidR="00E62884" w:rsidRDefault="00C92FE1">
      <w:pPr>
        <w:adjustRightInd w:val="0"/>
        <w:snapToGrid w:val="0"/>
        <w:spacing w:line="288" w:lineRule="auto"/>
        <w:ind w:firstLineChars="200" w:firstLine="420"/>
        <w:rPr>
          <w:rFonts w:cs="方正仿宋简体"/>
          <w:iCs/>
          <w:szCs w:val="21"/>
        </w:rPr>
      </w:pPr>
      <w:r>
        <w:rPr>
          <w:rFonts w:cs="方正仿宋简体"/>
          <w:iCs/>
          <w:szCs w:val="21"/>
        </w:rPr>
        <w:t>本基金可投资股票期权，若投资股票期权所面临的主要风险是衍生品价格波动带来的市场风险；衍生品基础资产交易量大于市场可报价的交易量而产生的流动性风险；衍生品合约价格和标的指数价格之间的价格差的波动所造成基差风险；无法及时筹措资金满足建立或者维持衍生品合约头寸所要求的保证金而带来的保证金风险；交易对手不愿或无法履行契约而产生的信用风险；以及各类操作风险。</w:t>
      </w:r>
    </w:p>
    <w:p w:rsidR="00E62884" w:rsidRDefault="00C92FE1">
      <w:pPr>
        <w:adjustRightInd w:val="0"/>
        <w:snapToGrid w:val="0"/>
        <w:spacing w:line="288" w:lineRule="auto"/>
        <w:ind w:firstLineChars="200" w:firstLine="420"/>
        <w:rPr>
          <w:rFonts w:cs="方正仿宋简体"/>
          <w:iCs/>
          <w:szCs w:val="21"/>
        </w:rPr>
      </w:pPr>
      <w:r>
        <w:rPr>
          <w:rFonts w:cs="方正仿宋简体"/>
          <w:iCs/>
          <w:szCs w:val="21"/>
        </w:rPr>
        <w:t>5</w:t>
      </w:r>
      <w:r>
        <w:rPr>
          <w:rFonts w:cs="方正仿宋简体"/>
          <w:iCs/>
          <w:szCs w:val="21"/>
        </w:rPr>
        <w:t>、资产支持证券的投资风险</w:t>
      </w:r>
    </w:p>
    <w:p w:rsidR="00E62884" w:rsidRDefault="00C92FE1">
      <w:pPr>
        <w:adjustRightInd w:val="0"/>
        <w:snapToGrid w:val="0"/>
        <w:spacing w:line="288" w:lineRule="auto"/>
        <w:ind w:firstLineChars="200" w:firstLine="420"/>
        <w:rPr>
          <w:rFonts w:cs="方正仿宋简体"/>
          <w:iCs/>
          <w:szCs w:val="21"/>
        </w:rPr>
      </w:pPr>
      <w:r>
        <w:rPr>
          <w:rFonts w:cs="方正仿宋简体"/>
          <w:iCs/>
          <w:szCs w:val="21"/>
        </w:rPr>
        <w:t>本基金可投资资产支持证券，存在一定的流动性风险、违约风险、信用风险、现金流预测风</w:t>
      </w:r>
      <w:r>
        <w:rPr>
          <w:rFonts w:cs="方正仿宋简体"/>
          <w:iCs/>
          <w:szCs w:val="21"/>
        </w:rPr>
        <w:t>险、操作风险等。</w:t>
      </w:r>
    </w:p>
    <w:p w:rsidR="00E62884" w:rsidRDefault="00C92FE1">
      <w:pPr>
        <w:adjustRightInd w:val="0"/>
        <w:snapToGrid w:val="0"/>
        <w:spacing w:line="288" w:lineRule="auto"/>
        <w:ind w:firstLineChars="200" w:firstLine="420"/>
        <w:rPr>
          <w:rFonts w:cs="方正仿宋简体"/>
          <w:iCs/>
          <w:szCs w:val="21"/>
        </w:rPr>
      </w:pPr>
      <w:r>
        <w:rPr>
          <w:rFonts w:cs="方正仿宋简体"/>
          <w:iCs/>
          <w:szCs w:val="21"/>
        </w:rPr>
        <w:t>6</w:t>
      </w:r>
      <w:r>
        <w:rPr>
          <w:rFonts w:cs="方正仿宋简体"/>
          <w:iCs/>
          <w:szCs w:val="21"/>
        </w:rPr>
        <w:t>、参与融资业务的特殊风险</w:t>
      </w:r>
    </w:p>
    <w:p w:rsidR="00E62884" w:rsidRDefault="00C92FE1">
      <w:pPr>
        <w:adjustRightInd w:val="0"/>
        <w:snapToGrid w:val="0"/>
        <w:spacing w:line="288" w:lineRule="auto"/>
        <w:ind w:firstLineChars="200" w:firstLine="420"/>
        <w:rPr>
          <w:rFonts w:cs="方正仿宋简体"/>
          <w:iCs/>
          <w:szCs w:val="21"/>
        </w:rPr>
      </w:pPr>
      <w:r>
        <w:rPr>
          <w:rFonts w:cs="方正仿宋简体"/>
          <w:iCs/>
          <w:szCs w:val="21"/>
        </w:rPr>
        <w:t>本基金可根据法律法规的规定参与融资业务，可能面临风险包括杠杆风险、强制平仓风险、授信额度风险、融资成本增加的风险和标的证券暂停交易或终止上市的风险等。</w:t>
      </w:r>
    </w:p>
    <w:p w:rsidR="00E62884" w:rsidRDefault="00C92FE1">
      <w:pPr>
        <w:adjustRightInd w:val="0"/>
        <w:snapToGrid w:val="0"/>
        <w:spacing w:line="288" w:lineRule="auto"/>
        <w:ind w:firstLineChars="200" w:firstLine="420"/>
        <w:rPr>
          <w:rFonts w:cs="方正仿宋简体"/>
          <w:iCs/>
          <w:szCs w:val="21"/>
        </w:rPr>
      </w:pPr>
      <w:r>
        <w:rPr>
          <w:rFonts w:cs="方正仿宋简体"/>
          <w:iCs/>
          <w:szCs w:val="21"/>
        </w:rPr>
        <w:t>7</w:t>
      </w:r>
      <w:r>
        <w:rPr>
          <w:rFonts w:cs="方正仿宋简体"/>
          <w:iCs/>
          <w:szCs w:val="21"/>
        </w:rPr>
        <w:t>、基金参与转融通证券出借业务的风险</w:t>
      </w:r>
    </w:p>
    <w:p w:rsidR="00E62884" w:rsidRDefault="00C92FE1">
      <w:pPr>
        <w:adjustRightInd w:val="0"/>
        <w:snapToGrid w:val="0"/>
        <w:spacing w:line="288" w:lineRule="auto"/>
        <w:ind w:firstLineChars="200" w:firstLine="420"/>
        <w:rPr>
          <w:rFonts w:cs="方正仿宋简体"/>
          <w:iCs/>
          <w:szCs w:val="21"/>
        </w:rPr>
      </w:pPr>
      <w:r>
        <w:rPr>
          <w:rFonts w:cs="方正仿宋简体"/>
          <w:iCs/>
          <w:szCs w:val="21"/>
        </w:rPr>
        <w:t>本基金可参与转融通证券出借业务，可能面临的风险包括但不限于：（</w:t>
      </w:r>
      <w:r>
        <w:rPr>
          <w:rFonts w:cs="方正仿宋简体"/>
          <w:iCs/>
          <w:szCs w:val="21"/>
        </w:rPr>
        <w:t>1</w:t>
      </w:r>
      <w:r>
        <w:rPr>
          <w:rFonts w:cs="方正仿宋简体"/>
          <w:iCs/>
          <w:szCs w:val="21"/>
        </w:rPr>
        <w:t>）流动性风险，指面临大额赎回时，可能因证券出借原因发生无法及时变现支付赎回款项的风险；（</w:t>
      </w:r>
      <w:r>
        <w:rPr>
          <w:rFonts w:cs="方正仿宋简体"/>
          <w:iCs/>
          <w:szCs w:val="21"/>
        </w:rPr>
        <w:t>2</w:t>
      </w:r>
      <w:r>
        <w:rPr>
          <w:rFonts w:cs="方正仿宋简体"/>
          <w:iCs/>
          <w:szCs w:val="21"/>
        </w:rPr>
        <w:t>）信用风险，指证券出借对手方可能无法及时归还证券、无法支付相应权益补偿及借券费用的风险；（</w:t>
      </w:r>
      <w:r>
        <w:rPr>
          <w:rFonts w:cs="方正仿宋简体"/>
          <w:iCs/>
          <w:szCs w:val="21"/>
        </w:rPr>
        <w:t>3</w:t>
      </w:r>
      <w:r>
        <w:rPr>
          <w:rFonts w:cs="方正仿宋简体"/>
          <w:iCs/>
          <w:szCs w:val="21"/>
        </w:rPr>
        <w:t>）市场风险，指证券出借后可能面临出借期间无法及时处置证券的市场风险；（</w:t>
      </w:r>
      <w:r>
        <w:rPr>
          <w:rFonts w:cs="方正仿宋简体"/>
          <w:iCs/>
          <w:szCs w:val="21"/>
        </w:rPr>
        <w:t>4</w:t>
      </w:r>
      <w:r>
        <w:rPr>
          <w:rFonts w:cs="方正仿宋简体"/>
          <w:iCs/>
          <w:szCs w:val="21"/>
        </w:rPr>
        <w:t>）其他风险，如宏观政策变化、证券市场剧烈波动、个别证券出现重大事件、交易对手方违约、业务规则调整、信息技术不能正常运行等风险。</w:t>
      </w:r>
    </w:p>
    <w:p w:rsidR="00E62884" w:rsidRDefault="00C92FE1">
      <w:pPr>
        <w:adjustRightInd w:val="0"/>
        <w:snapToGrid w:val="0"/>
        <w:spacing w:line="288" w:lineRule="auto"/>
        <w:ind w:firstLineChars="200" w:firstLine="420"/>
        <w:rPr>
          <w:rFonts w:cs="方正仿宋简体"/>
          <w:iCs/>
          <w:szCs w:val="21"/>
        </w:rPr>
      </w:pPr>
      <w:r>
        <w:rPr>
          <w:rFonts w:cs="方正仿宋简体"/>
          <w:iCs/>
          <w:szCs w:val="21"/>
        </w:rPr>
        <w:t>8</w:t>
      </w:r>
      <w:r>
        <w:rPr>
          <w:rFonts w:cs="方正仿宋简体"/>
          <w:iCs/>
          <w:szCs w:val="21"/>
        </w:rPr>
        <w:t>、终止清盘风险</w:t>
      </w:r>
    </w:p>
    <w:p w:rsidR="00E62884" w:rsidRDefault="00C92FE1">
      <w:pPr>
        <w:adjustRightInd w:val="0"/>
        <w:snapToGrid w:val="0"/>
        <w:spacing w:line="288" w:lineRule="auto"/>
        <w:ind w:firstLineChars="200" w:firstLine="420"/>
        <w:rPr>
          <w:rFonts w:cs="方正仿宋简体"/>
          <w:iCs/>
          <w:szCs w:val="21"/>
        </w:rPr>
      </w:pPr>
      <w:r>
        <w:rPr>
          <w:rFonts w:cs="方正仿宋简体"/>
          <w:iCs/>
          <w:szCs w:val="21"/>
        </w:rPr>
        <w:t>本基金存在着无法存续的风险。</w:t>
      </w:r>
    </w:p>
    <w:p w:rsidR="00E62884" w:rsidRDefault="00C92FE1">
      <w:pPr>
        <w:adjustRightInd w:val="0"/>
        <w:snapToGrid w:val="0"/>
        <w:spacing w:line="288" w:lineRule="auto"/>
        <w:ind w:firstLineChars="200" w:firstLine="420"/>
        <w:rPr>
          <w:rFonts w:cs="方正仿宋简体"/>
          <w:iCs/>
          <w:szCs w:val="21"/>
        </w:rPr>
      </w:pPr>
      <w:r>
        <w:rPr>
          <w:rFonts w:cs="方正仿宋简体"/>
          <w:iCs/>
          <w:szCs w:val="21"/>
        </w:rPr>
        <w:t>9</w:t>
      </w:r>
      <w:r>
        <w:rPr>
          <w:rFonts w:cs="方正仿宋简体"/>
          <w:iCs/>
          <w:szCs w:val="21"/>
        </w:rPr>
        <w:t>、存托凭证投资风</w:t>
      </w:r>
      <w:r>
        <w:rPr>
          <w:rFonts w:cs="方正仿宋简体"/>
          <w:iCs/>
          <w:szCs w:val="21"/>
        </w:rPr>
        <w:t>险</w:t>
      </w:r>
    </w:p>
    <w:p w:rsidR="00E62884" w:rsidRDefault="00C92FE1">
      <w:pPr>
        <w:adjustRightInd w:val="0"/>
        <w:snapToGrid w:val="0"/>
        <w:spacing w:line="288" w:lineRule="auto"/>
        <w:ind w:firstLineChars="200" w:firstLine="420"/>
        <w:rPr>
          <w:rFonts w:cs="方正仿宋简体"/>
          <w:iCs/>
          <w:szCs w:val="21"/>
        </w:rPr>
      </w:pPr>
      <w:r>
        <w:rPr>
          <w:rFonts w:cs="方正仿宋简体"/>
          <w:iCs/>
          <w:szCs w:val="21"/>
        </w:rPr>
        <w:t>本基金投资存托凭证的，在承担境内上市交易股票投资的共同风险外，还将承担与存托凭证、创新企业发行、境外发行人以及交易机制相关的特有风险。</w:t>
      </w:r>
    </w:p>
    <w:p w:rsidR="00E62884" w:rsidRDefault="00C92FE1">
      <w:pPr>
        <w:adjustRightInd w:val="0"/>
        <w:snapToGrid w:val="0"/>
        <w:spacing w:line="288" w:lineRule="auto"/>
        <w:ind w:firstLineChars="200" w:firstLine="420"/>
        <w:rPr>
          <w:rFonts w:cs="方正仿宋简体"/>
          <w:iCs/>
          <w:szCs w:val="21"/>
        </w:rPr>
      </w:pPr>
      <w:r>
        <w:rPr>
          <w:rFonts w:cs="方正仿宋简体"/>
          <w:iCs/>
          <w:szCs w:val="21"/>
        </w:rPr>
        <w:t>10</w:t>
      </w:r>
      <w:r>
        <w:rPr>
          <w:rFonts w:cs="方正仿宋简体"/>
          <w:iCs/>
          <w:szCs w:val="21"/>
        </w:rPr>
        <w:t>、投资科创板股票的风险</w:t>
      </w:r>
    </w:p>
    <w:p w:rsidR="00E62884" w:rsidRDefault="00C92FE1">
      <w:pPr>
        <w:adjustRightInd w:val="0"/>
        <w:snapToGrid w:val="0"/>
        <w:spacing w:line="288" w:lineRule="auto"/>
        <w:ind w:firstLineChars="200" w:firstLine="420"/>
        <w:rPr>
          <w:rFonts w:cs="方正仿宋简体"/>
          <w:iCs/>
          <w:szCs w:val="21"/>
        </w:rPr>
      </w:pPr>
      <w:r>
        <w:rPr>
          <w:rFonts w:cs="方正仿宋简体"/>
          <w:iCs/>
          <w:szCs w:val="21"/>
        </w:rPr>
        <w:t>基金资产可投资科创板股票，若本基金投资于科创板股票，会面临科创板机制下因投资标的、市场制度以及交易规则等差异带来的特有风险。</w:t>
      </w:r>
    </w:p>
    <w:p w:rsidR="006370B9" w:rsidRPr="00006391" w:rsidRDefault="006370B9" w:rsidP="006370B9">
      <w:pPr>
        <w:pStyle w:val="2"/>
        <w:numPr>
          <w:ilvl w:val="1"/>
          <w:numId w:val="17"/>
        </w:numPr>
      </w:pPr>
      <w:r w:rsidRPr="00006391">
        <w:rPr>
          <w:rFonts w:hint="eastAsia"/>
        </w:rPr>
        <w:t>重要提示</w:t>
      </w:r>
    </w:p>
    <w:p w:rsidR="00E62884" w:rsidRDefault="00C92FE1">
      <w:pPr>
        <w:adjustRightInd w:val="0"/>
        <w:snapToGrid w:val="0"/>
        <w:spacing w:line="288" w:lineRule="auto"/>
        <w:ind w:firstLineChars="200" w:firstLine="420"/>
        <w:rPr>
          <w:rFonts w:cs="方正仿宋简体"/>
          <w:iCs/>
          <w:szCs w:val="21"/>
        </w:rPr>
      </w:pPr>
      <w:r>
        <w:rPr>
          <w:rFonts w:cs="方正仿宋简体"/>
          <w:iCs/>
          <w:szCs w:val="21"/>
        </w:rPr>
        <w:t>中国证监会对本基金募集的注册</w:t>
      </w:r>
      <w:r>
        <w:rPr>
          <w:rFonts w:cs="方正仿宋简体"/>
          <w:iCs/>
          <w:szCs w:val="21"/>
        </w:rPr>
        <w:t>/</w:t>
      </w:r>
      <w:r>
        <w:rPr>
          <w:rFonts w:cs="方正仿宋简体"/>
          <w:iCs/>
          <w:szCs w:val="21"/>
        </w:rPr>
        <w:t>核准，并不表明其对本基金的价值和收益作出实质性判断或保证，也不表明投资于本基金没有风险。基金管理人依照恪尽职守、诚实信用、谨慎勤勉的原则管理和运用基金财产，但不保证基金一定盈利，也不保证最低收益。基金投资者自依基金合同取得基金份额，即成为基金份额持有人和基金合同的当事人。</w:t>
      </w:r>
    </w:p>
    <w:p w:rsidR="00E62884" w:rsidRDefault="00C92FE1">
      <w:pPr>
        <w:adjustRightInd w:val="0"/>
        <w:snapToGrid w:val="0"/>
        <w:spacing w:line="288" w:lineRule="auto"/>
        <w:ind w:firstLineChars="200" w:firstLine="420"/>
        <w:rPr>
          <w:rFonts w:cs="方正仿宋简体"/>
          <w:iCs/>
          <w:szCs w:val="21"/>
        </w:rPr>
      </w:pPr>
      <w:r>
        <w:rPr>
          <w:rFonts w:cs="方正仿宋简体"/>
          <w:iCs/>
          <w:szCs w:val="21"/>
        </w:rPr>
        <w:lastRenderedPageBreak/>
        <w:t>与本基金或基金合同相关的一切争议将提交位于深圳的深圳国际仲裁院仲裁，仲裁裁决是终局的，对仲裁各方当事人均具有约束力。</w:t>
      </w:r>
    </w:p>
    <w:p w:rsidR="00E62884" w:rsidRDefault="00C92FE1">
      <w:pPr>
        <w:adjustRightInd w:val="0"/>
        <w:snapToGrid w:val="0"/>
        <w:spacing w:line="288" w:lineRule="auto"/>
        <w:ind w:firstLineChars="200" w:firstLine="420"/>
        <w:rPr>
          <w:rFonts w:cs="方正仿宋简体"/>
          <w:iCs/>
          <w:szCs w:val="21"/>
        </w:rPr>
      </w:pPr>
      <w:r>
        <w:rPr>
          <w:rFonts w:cs="方正仿宋简体"/>
          <w:iCs/>
          <w:szCs w:val="21"/>
        </w:rPr>
        <w:t>基金产品资料概要信息发生重大变更的，基金管理人将在三个工作日内更新，其他信息发生变更的，基</w:t>
      </w:r>
      <w:r>
        <w:rPr>
          <w:rFonts w:cs="方正仿宋简体"/>
          <w:iCs/>
          <w:szCs w:val="21"/>
        </w:rPr>
        <w:t>金管理人每年更新一次。因此，本文件内容相比基金的实际情况可能存在一定的滞后，如需及时、准确获取基金的相关信息，敬请同时关注基金管理人发布的相关临时公告、定期公告等披露文件。</w:t>
      </w:r>
    </w:p>
    <w:p w:rsidR="006370B9" w:rsidRPr="00A14942" w:rsidRDefault="006370B9" w:rsidP="006370B9">
      <w:pPr>
        <w:pStyle w:val="1"/>
        <w:ind w:left="425" w:hanging="425"/>
      </w:pPr>
      <w:r w:rsidRPr="00A14942">
        <w:rPr>
          <w:rFonts w:hint="eastAsia"/>
        </w:rPr>
        <w:t>其他资料查询方式</w:t>
      </w:r>
    </w:p>
    <w:p w:rsidR="00E62884" w:rsidRDefault="00C92FE1">
      <w:pPr>
        <w:adjustRightInd w:val="0"/>
        <w:snapToGrid w:val="0"/>
        <w:spacing w:line="288" w:lineRule="auto"/>
        <w:ind w:firstLineChars="200" w:firstLine="420"/>
        <w:rPr>
          <w:rFonts w:cs="方正仿宋简体"/>
          <w:iCs/>
          <w:szCs w:val="21"/>
        </w:rPr>
      </w:pPr>
      <w:r>
        <w:rPr>
          <w:rFonts w:cs="方正仿宋简体"/>
          <w:iCs/>
          <w:szCs w:val="21"/>
        </w:rPr>
        <w:t>以下资料详见基金管理人网站（</w:t>
      </w:r>
      <w:r>
        <w:rPr>
          <w:rFonts w:cs="方正仿宋简体"/>
          <w:iCs/>
          <w:szCs w:val="21"/>
        </w:rPr>
        <w:t>www.fullgoal.com.cn</w:t>
      </w:r>
      <w:r>
        <w:rPr>
          <w:rFonts w:cs="方正仿宋简体"/>
          <w:iCs/>
          <w:szCs w:val="21"/>
        </w:rPr>
        <w:t>），客户服务热线：</w:t>
      </w:r>
      <w:r>
        <w:rPr>
          <w:rFonts w:cs="方正仿宋简体"/>
          <w:iCs/>
          <w:szCs w:val="21"/>
        </w:rPr>
        <w:t>95105686</w:t>
      </w:r>
      <w:r>
        <w:rPr>
          <w:rFonts w:cs="方正仿宋简体"/>
          <w:iCs/>
          <w:szCs w:val="21"/>
        </w:rPr>
        <w:t>，</w:t>
      </w:r>
      <w:r>
        <w:rPr>
          <w:rFonts w:cs="方正仿宋简体"/>
          <w:iCs/>
          <w:szCs w:val="21"/>
        </w:rPr>
        <w:t>4008880688</w:t>
      </w:r>
      <w:r>
        <w:rPr>
          <w:rFonts w:cs="方正仿宋简体"/>
          <w:iCs/>
          <w:szCs w:val="21"/>
        </w:rPr>
        <w:t>（全国统一，免长途话费）</w:t>
      </w:r>
    </w:p>
    <w:p w:rsidR="00E62884" w:rsidRDefault="00C92FE1">
      <w:pPr>
        <w:adjustRightInd w:val="0"/>
        <w:snapToGrid w:val="0"/>
        <w:spacing w:line="288" w:lineRule="auto"/>
        <w:ind w:firstLineChars="200" w:firstLine="420"/>
        <w:rPr>
          <w:rFonts w:cs="方正仿宋简体"/>
          <w:iCs/>
          <w:szCs w:val="21"/>
        </w:rPr>
      </w:pPr>
      <w:r>
        <w:rPr>
          <w:rFonts w:cs="方正仿宋简体"/>
          <w:iCs/>
          <w:szCs w:val="21"/>
        </w:rPr>
        <w:t>1</w:t>
      </w:r>
      <w:r>
        <w:rPr>
          <w:rFonts w:cs="方正仿宋简体"/>
          <w:iCs/>
          <w:szCs w:val="21"/>
        </w:rPr>
        <w:t>、基金合同、托管协议、招募说明书</w:t>
      </w:r>
    </w:p>
    <w:p w:rsidR="00E62884" w:rsidRDefault="00C92FE1">
      <w:pPr>
        <w:adjustRightInd w:val="0"/>
        <w:snapToGrid w:val="0"/>
        <w:spacing w:line="288" w:lineRule="auto"/>
        <w:ind w:firstLineChars="200" w:firstLine="420"/>
        <w:rPr>
          <w:rFonts w:cs="方正仿宋简体"/>
          <w:iCs/>
          <w:szCs w:val="21"/>
        </w:rPr>
      </w:pPr>
      <w:r>
        <w:rPr>
          <w:rFonts w:cs="方正仿宋简体"/>
          <w:iCs/>
          <w:szCs w:val="21"/>
        </w:rPr>
        <w:t>2</w:t>
      </w:r>
      <w:r>
        <w:rPr>
          <w:rFonts w:cs="方正仿宋简体"/>
          <w:iCs/>
          <w:szCs w:val="21"/>
        </w:rPr>
        <w:t>、定期报告，包括基金季度报告、中期报告和年度报告</w:t>
      </w:r>
    </w:p>
    <w:p w:rsidR="00E62884" w:rsidRDefault="00C92FE1">
      <w:pPr>
        <w:adjustRightInd w:val="0"/>
        <w:snapToGrid w:val="0"/>
        <w:spacing w:line="288" w:lineRule="auto"/>
        <w:ind w:firstLineChars="200" w:firstLine="420"/>
        <w:rPr>
          <w:rFonts w:cs="方正仿宋简体"/>
          <w:iCs/>
          <w:szCs w:val="21"/>
        </w:rPr>
      </w:pPr>
      <w:r>
        <w:rPr>
          <w:rFonts w:cs="方正仿宋简体"/>
          <w:iCs/>
          <w:szCs w:val="21"/>
        </w:rPr>
        <w:t>3</w:t>
      </w:r>
      <w:r>
        <w:rPr>
          <w:rFonts w:cs="方正仿宋简体"/>
          <w:iCs/>
          <w:szCs w:val="21"/>
        </w:rPr>
        <w:t>、基金份额净值</w:t>
      </w:r>
    </w:p>
    <w:p w:rsidR="00E62884" w:rsidRDefault="00C92FE1">
      <w:pPr>
        <w:adjustRightInd w:val="0"/>
        <w:snapToGrid w:val="0"/>
        <w:spacing w:line="288" w:lineRule="auto"/>
        <w:ind w:firstLineChars="200" w:firstLine="420"/>
        <w:rPr>
          <w:rFonts w:cs="方正仿宋简体"/>
          <w:iCs/>
          <w:szCs w:val="21"/>
        </w:rPr>
      </w:pPr>
      <w:r>
        <w:rPr>
          <w:rFonts w:cs="方正仿宋简体"/>
          <w:iCs/>
          <w:szCs w:val="21"/>
        </w:rPr>
        <w:t>4</w:t>
      </w:r>
      <w:r>
        <w:rPr>
          <w:rFonts w:cs="方正仿宋简体"/>
          <w:iCs/>
          <w:szCs w:val="21"/>
        </w:rPr>
        <w:t>、基金销售机构及联系方式</w:t>
      </w:r>
    </w:p>
    <w:p w:rsidR="00E62884" w:rsidRDefault="00C92FE1">
      <w:pPr>
        <w:adjustRightInd w:val="0"/>
        <w:snapToGrid w:val="0"/>
        <w:spacing w:line="288" w:lineRule="auto"/>
        <w:ind w:firstLineChars="200" w:firstLine="420"/>
        <w:rPr>
          <w:rFonts w:cs="方正仿宋简体"/>
          <w:iCs/>
          <w:szCs w:val="21"/>
        </w:rPr>
      </w:pPr>
      <w:r>
        <w:rPr>
          <w:rFonts w:cs="方正仿宋简体"/>
          <w:iCs/>
          <w:szCs w:val="21"/>
        </w:rPr>
        <w:t>5</w:t>
      </w:r>
      <w:r>
        <w:rPr>
          <w:rFonts w:cs="方正仿宋简体"/>
          <w:iCs/>
          <w:szCs w:val="21"/>
        </w:rPr>
        <w:t>、其他重要资料</w:t>
      </w:r>
    </w:p>
    <w:sectPr w:rsidR="00E62884" w:rsidSect="00AD4857">
      <w:footerReference w:type="default" r:id="rId7"/>
      <w:pgSz w:w="11906" w:h="16838"/>
      <w:pgMar w:top="1021" w:right="1474" w:bottom="1021" w:left="1474" w:header="851" w:footer="454"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FE1" w:rsidRDefault="00C92FE1" w:rsidP="00084FBF">
      <w:r>
        <w:separator/>
      </w:r>
    </w:p>
  </w:endnote>
  <w:endnote w:type="continuationSeparator" w:id="0">
    <w:p w:rsidR="00C92FE1" w:rsidRDefault="00C92FE1" w:rsidP="00084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F87" w:rsidRDefault="00953F87">
    <w:pPr>
      <w:pStyle w:val="ad"/>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835E6">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835E6">
      <w:rPr>
        <w:b/>
        <w:bCs/>
        <w:noProof/>
      </w:rPr>
      <w:t>4</w:t>
    </w:r>
    <w:r>
      <w:rPr>
        <w:b/>
        <w:bCs/>
        <w:sz w:val="24"/>
        <w:szCs w:val="24"/>
      </w:rPr>
      <w:fldChar w:fldCharType="end"/>
    </w:r>
  </w:p>
  <w:p w:rsidR="00953F87" w:rsidRDefault="00953F8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FE1" w:rsidRDefault="00C92FE1" w:rsidP="00084FBF">
      <w:r>
        <w:separator/>
      </w:r>
    </w:p>
  </w:footnote>
  <w:footnote w:type="continuationSeparator" w:id="0">
    <w:p w:rsidR="00C92FE1" w:rsidRDefault="00C92FE1" w:rsidP="00084F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51409CC"/>
    <w:multiLevelType w:val="hybridMultilevel"/>
    <w:tmpl w:val="035A1476"/>
    <w:lvl w:ilvl="0" w:tplc="99480BE8">
      <w:start w:val="1"/>
      <w:numFmt w:val="chineseCountingThousand"/>
      <w:pStyle w:val="3"/>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6213A5"/>
    <w:multiLevelType w:val="hybridMultilevel"/>
    <w:tmpl w:val="A8DC98DE"/>
    <w:lvl w:ilvl="0" w:tplc="67C8E684">
      <w:start w:val="1"/>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1E66571"/>
    <w:multiLevelType w:val="multilevel"/>
    <w:tmpl w:val="D868A662"/>
    <w:lvl w:ilvl="0">
      <w:start w:val="1"/>
      <w:numFmt w:val="chineseCountingThousand"/>
      <w:pStyle w:val="1"/>
      <w:suff w:val="space"/>
      <w:lvlText w:val="%1、"/>
      <w:lvlJc w:val="left"/>
      <w:pPr>
        <w:ind w:left="0" w:firstLine="0"/>
      </w:pPr>
      <w:rPr>
        <w:rFonts w:hint="eastAsia"/>
      </w:rPr>
    </w:lvl>
    <w:lvl w:ilvl="1">
      <w:start w:val="1"/>
      <w:numFmt w:val="japaneseCounting"/>
      <w:lvlText w:val="（%2）"/>
      <w:lvlJc w:val="left"/>
      <w:pPr>
        <w:ind w:left="1140" w:hanging="7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148B39D6"/>
    <w:multiLevelType w:val="hybridMultilevel"/>
    <w:tmpl w:val="E92CCC70"/>
    <w:lvl w:ilvl="0" w:tplc="5C21FE0E">
      <w:start w:val="2"/>
      <w:numFmt w:val="chineseCounting"/>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A76D66"/>
    <w:multiLevelType w:val="multilevel"/>
    <w:tmpl w:val="F000C7D6"/>
    <w:lvl w:ilvl="0">
      <w:start w:val="1"/>
      <w:numFmt w:val="chineseCountingThousand"/>
      <w:suff w:val="space"/>
      <w:lvlText w:val="%1、"/>
      <w:lvlJc w:val="left"/>
      <w:pPr>
        <w:ind w:left="0" w:firstLine="0"/>
      </w:pPr>
      <w:rPr>
        <w:rFonts w:ascii="宋体" w:eastAsia="宋体" w:hAnsi="宋体" w:hint="eastAsia"/>
        <w:b w:val="0"/>
        <w:i w:val="0"/>
        <w:sz w:val="24"/>
      </w:rPr>
    </w:lvl>
    <w:lvl w:ilvl="1">
      <w:start w:val="1"/>
      <w:numFmt w:val="chineseCountingThousand"/>
      <w:suff w:val="space"/>
      <w:lvlText w:val="（%2）"/>
      <w:lvlJc w:val="left"/>
      <w:pPr>
        <w:ind w:left="0" w:firstLine="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307B2E9D"/>
    <w:multiLevelType w:val="multilevel"/>
    <w:tmpl w:val="3E7A3EF0"/>
    <w:lvl w:ilvl="0">
      <w:start w:val="1"/>
      <w:numFmt w:val="chineseCountingThousand"/>
      <w:suff w:val="space"/>
      <w:lvlText w:val="%1、"/>
      <w:lvlJc w:val="left"/>
      <w:pPr>
        <w:ind w:left="0" w:firstLine="0"/>
      </w:pPr>
      <w:rPr>
        <w:rFonts w:ascii="宋体" w:eastAsia="宋体" w:hAnsi="宋体" w:hint="eastAsia"/>
        <w:b w:val="0"/>
        <w:i w:val="0"/>
        <w:sz w:val="24"/>
      </w:rPr>
    </w:lvl>
    <w:lvl w:ilvl="1">
      <w:start w:val="1"/>
      <w:numFmt w:val="chineseCountingThousand"/>
      <w:suff w:val="space"/>
      <w:lvlText w:val="（%2）"/>
      <w:lvlJc w:val="left"/>
      <w:pPr>
        <w:ind w:left="0" w:firstLine="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3D5E12D9"/>
    <w:multiLevelType w:val="hybridMultilevel"/>
    <w:tmpl w:val="8FE843C0"/>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nsid w:val="4F606D61"/>
    <w:multiLevelType w:val="multilevel"/>
    <w:tmpl w:val="811EEC96"/>
    <w:lvl w:ilvl="0">
      <w:start w:val="1"/>
      <w:numFmt w:val="japaneseCounting"/>
      <w:lvlText w:val="（%1）"/>
      <w:lvlJc w:val="left"/>
      <w:pPr>
        <w:ind w:left="420" w:hanging="420"/>
      </w:pPr>
      <w:rPr>
        <w:rFonts w:hint="default"/>
      </w:rPr>
    </w:lvl>
    <w:lvl w:ilvl="1">
      <w:start w:val="1"/>
      <w:numFmt w:val="chineseCountingThousand"/>
      <w:pStyle w:val="2"/>
      <w:lvlText w:val="（%2）"/>
      <w:lvlJc w:val="left"/>
      <w:pPr>
        <w:ind w:left="0" w:firstLine="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5AC33CF0"/>
    <w:multiLevelType w:val="singleLevel"/>
    <w:tmpl w:val="5AC33CF0"/>
    <w:lvl w:ilvl="0">
      <w:start w:val="1"/>
      <w:numFmt w:val="chineseCounting"/>
      <w:suff w:val="nothing"/>
      <w:lvlText w:val="%1、"/>
      <w:lvlJc w:val="left"/>
    </w:lvl>
  </w:abstractNum>
  <w:abstractNum w:abstractNumId="10">
    <w:nsid w:val="5C21FE0E"/>
    <w:multiLevelType w:val="singleLevel"/>
    <w:tmpl w:val="5C21FE0E"/>
    <w:lvl w:ilvl="0">
      <w:start w:val="2"/>
      <w:numFmt w:val="chineseCounting"/>
      <w:suff w:val="nothing"/>
      <w:lvlText w:val="（%1）"/>
      <w:lvlJc w:val="left"/>
    </w:lvl>
  </w:abstractNum>
  <w:abstractNum w:abstractNumId="11">
    <w:nsid w:val="622E5A63"/>
    <w:multiLevelType w:val="hybridMultilevel"/>
    <w:tmpl w:val="3FBC99F8"/>
    <w:lvl w:ilvl="0" w:tplc="5C21FE0E">
      <w:start w:val="2"/>
      <w:numFmt w:val="chineseCounting"/>
      <w:lvlText w:val="（%1）"/>
      <w:lvlJc w:val="left"/>
      <w:pPr>
        <w:ind w:left="420" w:hanging="420"/>
      </w:pPr>
    </w:lvl>
    <w:lvl w:ilvl="1" w:tplc="F9CA7E8C">
      <w:start w:val="1"/>
      <w:numFmt w:val="decimal"/>
      <w:lvlText w:val="（%2）"/>
      <w:lvlJc w:val="left"/>
      <w:pPr>
        <w:ind w:left="704"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1C855BF"/>
    <w:multiLevelType w:val="hybridMultilevel"/>
    <w:tmpl w:val="6C2AEB6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10"/>
  </w:num>
  <w:num w:numId="3">
    <w:abstractNumId w:val="0"/>
  </w:num>
  <w:num w:numId="4">
    <w:abstractNumId w:val="3"/>
  </w:num>
  <w:num w:numId="5">
    <w:abstractNumId w:val="12"/>
  </w:num>
  <w:num w:numId="6">
    <w:abstractNumId w:val="4"/>
  </w:num>
  <w:num w:numId="7">
    <w:abstractNumId w:val="11"/>
  </w:num>
  <w:num w:numId="8">
    <w:abstractNumId w:val="7"/>
  </w:num>
  <w:num w:numId="9">
    <w:abstractNumId w:val="3"/>
  </w:num>
  <w:num w:numId="10">
    <w:abstractNumId w:val="2"/>
  </w:num>
  <w:num w:numId="11">
    <w:abstractNumId w:val="8"/>
  </w:num>
  <w:num w:numId="12">
    <w:abstractNumId w:val="8"/>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0"/>
  <w:drawingGridHorizontalSpacing w:val="105"/>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0CD"/>
    <w:rsid w:val="00005219"/>
    <w:rsid w:val="00011D44"/>
    <w:rsid w:val="00013020"/>
    <w:rsid w:val="00020BC0"/>
    <w:rsid w:val="00022545"/>
    <w:rsid w:val="000232C6"/>
    <w:rsid w:val="00036483"/>
    <w:rsid w:val="00042918"/>
    <w:rsid w:val="000477E3"/>
    <w:rsid w:val="00051C0C"/>
    <w:rsid w:val="00053417"/>
    <w:rsid w:val="00064982"/>
    <w:rsid w:val="000776C8"/>
    <w:rsid w:val="000827C1"/>
    <w:rsid w:val="00084FBF"/>
    <w:rsid w:val="000A7B26"/>
    <w:rsid w:val="000C530A"/>
    <w:rsid w:val="000D10B4"/>
    <w:rsid w:val="000D218F"/>
    <w:rsid w:val="000D57C1"/>
    <w:rsid w:val="001000DB"/>
    <w:rsid w:val="00106AF7"/>
    <w:rsid w:val="00120CE6"/>
    <w:rsid w:val="00124B97"/>
    <w:rsid w:val="0013684A"/>
    <w:rsid w:val="00142362"/>
    <w:rsid w:val="00151E19"/>
    <w:rsid w:val="00154E3B"/>
    <w:rsid w:val="00162B21"/>
    <w:rsid w:val="00165774"/>
    <w:rsid w:val="00186F72"/>
    <w:rsid w:val="00196B69"/>
    <w:rsid w:val="001A1651"/>
    <w:rsid w:val="001A78ED"/>
    <w:rsid w:val="001A7B4D"/>
    <w:rsid w:val="001C35F9"/>
    <w:rsid w:val="001C6EE3"/>
    <w:rsid w:val="001E5192"/>
    <w:rsid w:val="001E7595"/>
    <w:rsid w:val="001F6EBF"/>
    <w:rsid w:val="002060B7"/>
    <w:rsid w:val="00237E86"/>
    <w:rsid w:val="00240B15"/>
    <w:rsid w:val="00257D13"/>
    <w:rsid w:val="00257FDD"/>
    <w:rsid w:val="00275953"/>
    <w:rsid w:val="00286D86"/>
    <w:rsid w:val="00290A40"/>
    <w:rsid w:val="00295B43"/>
    <w:rsid w:val="002C27FD"/>
    <w:rsid w:val="002D0197"/>
    <w:rsid w:val="002D37DC"/>
    <w:rsid w:val="002D42AF"/>
    <w:rsid w:val="002D4A95"/>
    <w:rsid w:val="002D7116"/>
    <w:rsid w:val="0030389D"/>
    <w:rsid w:val="003134F0"/>
    <w:rsid w:val="00315D72"/>
    <w:rsid w:val="00327F91"/>
    <w:rsid w:val="00337FB1"/>
    <w:rsid w:val="00347591"/>
    <w:rsid w:val="003504A0"/>
    <w:rsid w:val="003539CD"/>
    <w:rsid w:val="0035634C"/>
    <w:rsid w:val="00360C64"/>
    <w:rsid w:val="003652C5"/>
    <w:rsid w:val="00373E2A"/>
    <w:rsid w:val="00377863"/>
    <w:rsid w:val="003A5D1B"/>
    <w:rsid w:val="003B35F0"/>
    <w:rsid w:val="003C4AB4"/>
    <w:rsid w:val="003E23FE"/>
    <w:rsid w:val="003E480C"/>
    <w:rsid w:val="003F7FAE"/>
    <w:rsid w:val="004023B8"/>
    <w:rsid w:val="0041084F"/>
    <w:rsid w:val="00417D05"/>
    <w:rsid w:val="004246E6"/>
    <w:rsid w:val="0043556E"/>
    <w:rsid w:val="00455495"/>
    <w:rsid w:val="0046074E"/>
    <w:rsid w:val="00480EB1"/>
    <w:rsid w:val="004A428B"/>
    <w:rsid w:val="004C1AD1"/>
    <w:rsid w:val="004C1DD8"/>
    <w:rsid w:val="004C4CD9"/>
    <w:rsid w:val="004E1601"/>
    <w:rsid w:val="004E7FF3"/>
    <w:rsid w:val="00530C6C"/>
    <w:rsid w:val="005354AA"/>
    <w:rsid w:val="00542A87"/>
    <w:rsid w:val="0055000C"/>
    <w:rsid w:val="00555D8A"/>
    <w:rsid w:val="00556076"/>
    <w:rsid w:val="00561D0D"/>
    <w:rsid w:val="00571244"/>
    <w:rsid w:val="00575E82"/>
    <w:rsid w:val="005856EF"/>
    <w:rsid w:val="005925E3"/>
    <w:rsid w:val="00593075"/>
    <w:rsid w:val="00593E9D"/>
    <w:rsid w:val="005A32CA"/>
    <w:rsid w:val="005A489D"/>
    <w:rsid w:val="005B44EB"/>
    <w:rsid w:val="005C1B06"/>
    <w:rsid w:val="005D1E03"/>
    <w:rsid w:val="005D322F"/>
    <w:rsid w:val="005D415A"/>
    <w:rsid w:val="005D721D"/>
    <w:rsid w:val="005D72AE"/>
    <w:rsid w:val="005E2DF2"/>
    <w:rsid w:val="005E5E27"/>
    <w:rsid w:val="005E71AC"/>
    <w:rsid w:val="005F5DD9"/>
    <w:rsid w:val="005F6CAD"/>
    <w:rsid w:val="00600EBD"/>
    <w:rsid w:val="00620C7A"/>
    <w:rsid w:val="00626941"/>
    <w:rsid w:val="006370B9"/>
    <w:rsid w:val="00641C70"/>
    <w:rsid w:val="00643E4E"/>
    <w:rsid w:val="00645219"/>
    <w:rsid w:val="00653821"/>
    <w:rsid w:val="00663258"/>
    <w:rsid w:val="00664AC2"/>
    <w:rsid w:val="00670ED5"/>
    <w:rsid w:val="00671DFC"/>
    <w:rsid w:val="00687CB7"/>
    <w:rsid w:val="006C2B49"/>
    <w:rsid w:val="006C5632"/>
    <w:rsid w:val="006D2F59"/>
    <w:rsid w:val="006D5811"/>
    <w:rsid w:val="006F1A17"/>
    <w:rsid w:val="006F2A34"/>
    <w:rsid w:val="006F366F"/>
    <w:rsid w:val="006F6CCD"/>
    <w:rsid w:val="007059E2"/>
    <w:rsid w:val="00712140"/>
    <w:rsid w:val="00724683"/>
    <w:rsid w:val="00744E9B"/>
    <w:rsid w:val="00764765"/>
    <w:rsid w:val="00766DB6"/>
    <w:rsid w:val="0077109C"/>
    <w:rsid w:val="00773D1E"/>
    <w:rsid w:val="00780D3C"/>
    <w:rsid w:val="00797D09"/>
    <w:rsid w:val="007F229D"/>
    <w:rsid w:val="007F2FCA"/>
    <w:rsid w:val="007F325A"/>
    <w:rsid w:val="00803F3E"/>
    <w:rsid w:val="00804EB8"/>
    <w:rsid w:val="00820676"/>
    <w:rsid w:val="008215E2"/>
    <w:rsid w:val="00825AC7"/>
    <w:rsid w:val="00861058"/>
    <w:rsid w:val="00861D61"/>
    <w:rsid w:val="008867F2"/>
    <w:rsid w:val="00892D27"/>
    <w:rsid w:val="008B0257"/>
    <w:rsid w:val="008B58DF"/>
    <w:rsid w:val="008C1DCE"/>
    <w:rsid w:val="008C4F6A"/>
    <w:rsid w:val="008D1684"/>
    <w:rsid w:val="008D51DC"/>
    <w:rsid w:val="008D6A76"/>
    <w:rsid w:val="008E5B4E"/>
    <w:rsid w:val="008E5ED8"/>
    <w:rsid w:val="008F56AE"/>
    <w:rsid w:val="009230A7"/>
    <w:rsid w:val="00923525"/>
    <w:rsid w:val="009240F7"/>
    <w:rsid w:val="0095268E"/>
    <w:rsid w:val="00953F87"/>
    <w:rsid w:val="00956AC1"/>
    <w:rsid w:val="00957AF4"/>
    <w:rsid w:val="00996A51"/>
    <w:rsid w:val="009A009A"/>
    <w:rsid w:val="009A3C6C"/>
    <w:rsid w:val="009B06D2"/>
    <w:rsid w:val="009D4653"/>
    <w:rsid w:val="009D7239"/>
    <w:rsid w:val="009E4601"/>
    <w:rsid w:val="009F414C"/>
    <w:rsid w:val="009F438B"/>
    <w:rsid w:val="00A10531"/>
    <w:rsid w:val="00A14942"/>
    <w:rsid w:val="00A21AB8"/>
    <w:rsid w:val="00A35D5E"/>
    <w:rsid w:val="00A379A9"/>
    <w:rsid w:val="00A410CD"/>
    <w:rsid w:val="00A535E9"/>
    <w:rsid w:val="00A7537D"/>
    <w:rsid w:val="00A831DA"/>
    <w:rsid w:val="00A835E6"/>
    <w:rsid w:val="00A90C21"/>
    <w:rsid w:val="00A970AF"/>
    <w:rsid w:val="00AA31CE"/>
    <w:rsid w:val="00AA6735"/>
    <w:rsid w:val="00AC3F57"/>
    <w:rsid w:val="00AD1CF7"/>
    <w:rsid w:val="00AD4857"/>
    <w:rsid w:val="00AE5EB2"/>
    <w:rsid w:val="00AE6F8E"/>
    <w:rsid w:val="00B048B1"/>
    <w:rsid w:val="00B10F72"/>
    <w:rsid w:val="00B40E30"/>
    <w:rsid w:val="00B41430"/>
    <w:rsid w:val="00B457F0"/>
    <w:rsid w:val="00B52380"/>
    <w:rsid w:val="00B73002"/>
    <w:rsid w:val="00BA35E1"/>
    <w:rsid w:val="00BA55B0"/>
    <w:rsid w:val="00BB4F1D"/>
    <w:rsid w:val="00BB6C96"/>
    <w:rsid w:val="00BC2891"/>
    <w:rsid w:val="00BC4EFB"/>
    <w:rsid w:val="00BC6985"/>
    <w:rsid w:val="00BD0E3E"/>
    <w:rsid w:val="00BD240D"/>
    <w:rsid w:val="00BF30B8"/>
    <w:rsid w:val="00C21CFB"/>
    <w:rsid w:val="00C50D1E"/>
    <w:rsid w:val="00C92FE1"/>
    <w:rsid w:val="00C93F0E"/>
    <w:rsid w:val="00CA07A1"/>
    <w:rsid w:val="00CA6633"/>
    <w:rsid w:val="00CE2847"/>
    <w:rsid w:val="00CF7532"/>
    <w:rsid w:val="00CF7ECD"/>
    <w:rsid w:val="00D13550"/>
    <w:rsid w:val="00D3709A"/>
    <w:rsid w:val="00D37428"/>
    <w:rsid w:val="00D41EF3"/>
    <w:rsid w:val="00D52D8E"/>
    <w:rsid w:val="00D5603D"/>
    <w:rsid w:val="00D964EC"/>
    <w:rsid w:val="00D97BE2"/>
    <w:rsid w:val="00DA42C1"/>
    <w:rsid w:val="00DA4545"/>
    <w:rsid w:val="00DA6330"/>
    <w:rsid w:val="00DB07FB"/>
    <w:rsid w:val="00DB5927"/>
    <w:rsid w:val="00DB6C2B"/>
    <w:rsid w:val="00DC28DE"/>
    <w:rsid w:val="00DC4285"/>
    <w:rsid w:val="00DE25AF"/>
    <w:rsid w:val="00E05193"/>
    <w:rsid w:val="00E10111"/>
    <w:rsid w:val="00E12C12"/>
    <w:rsid w:val="00E150B7"/>
    <w:rsid w:val="00E1562C"/>
    <w:rsid w:val="00E16037"/>
    <w:rsid w:val="00E26663"/>
    <w:rsid w:val="00E31F9B"/>
    <w:rsid w:val="00E40601"/>
    <w:rsid w:val="00E54AFC"/>
    <w:rsid w:val="00E62884"/>
    <w:rsid w:val="00E9097A"/>
    <w:rsid w:val="00EA07C2"/>
    <w:rsid w:val="00EC1B37"/>
    <w:rsid w:val="00EC6D81"/>
    <w:rsid w:val="00EC722A"/>
    <w:rsid w:val="00ED3BD1"/>
    <w:rsid w:val="00ED45C6"/>
    <w:rsid w:val="00ED6A6A"/>
    <w:rsid w:val="00EE02CA"/>
    <w:rsid w:val="00EF3E83"/>
    <w:rsid w:val="00EF447B"/>
    <w:rsid w:val="00F0044B"/>
    <w:rsid w:val="00F01742"/>
    <w:rsid w:val="00F01D71"/>
    <w:rsid w:val="00F06C60"/>
    <w:rsid w:val="00F216B8"/>
    <w:rsid w:val="00F24B93"/>
    <w:rsid w:val="00F26678"/>
    <w:rsid w:val="00F376D4"/>
    <w:rsid w:val="00F6203B"/>
    <w:rsid w:val="00F62ED2"/>
    <w:rsid w:val="00F90BB2"/>
    <w:rsid w:val="00F974C8"/>
    <w:rsid w:val="00FD37D2"/>
    <w:rsid w:val="00FF5E45"/>
    <w:rsid w:val="00FF7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831943-CEBA-4F7E-9F74-AF87D6E37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25A"/>
    <w:rPr>
      <w:rFonts w:ascii="宋体" w:hAnsi="宋体"/>
      <w:kern w:val="2"/>
      <w:sz w:val="21"/>
    </w:rPr>
  </w:style>
  <w:style w:type="paragraph" w:styleId="1">
    <w:name w:val="heading 1"/>
    <w:basedOn w:val="a0"/>
    <w:next w:val="a"/>
    <w:link w:val="1Char"/>
    <w:uiPriority w:val="9"/>
    <w:qFormat/>
    <w:rsid w:val="000776C8"/>
    <w:pPr>
      <w:keepNext/>
      <w:keepLines/>
      <w:widowControl w:val="0"/>
      <w:numPr>
        <w:numId w:val="4"/>
      </w:numPr>
      <w:adjustRightInd w:val="0"/>
      <w:snapToGrid w:val="0"/>
      <w:spacing w:beforeLines="30" w:before="130" w:afterLines="30" w:after="130"/>
      <w:ind w:firstLineChars="0"/>
      <w:jc w:val="both"/>
      <w:outlineLvl w:val="0"/>
    </w:pPr>
    <w:rPr>
      <w:b/>
      <w:bCs/>
      <w:kern w:val="44"/>
      <w:sz w:val="24"/>
      <w:szCs w:val="44"/>
    </w:rPr>
  </w:style>
  <w:style w:type="paragraph" w:styleId="2">
    <w:name w:val="heading 2"/>
    <w:basedOn w:val="a"/>
    <w:next w:val="a"/>
    <w:link w:val="2Char"/>
    <w:uiPriority w:val="9"/>
    <w:unhideWhenUsed/>
    <w:qFormat/>
    <w:rsid w:val="000776C8"/>
    <w:pPr>
      <w:widowControl w:val="0"/>
      <w:numPr>
        <w:ilvl w:val="1"/>
        <w:numId w:val="11"/>
      </w:numPr>
      <w:adjustRightInd w:val="0"/>
      <w:snapToGrid w:val="0"/>
      <w:spacing w:beforeLines="20" w:before="87" w:afterLines="20" w:after="87"/>
      <w:jc w:val="both"/>
      <w:outlineLvl w:val="1"/>
    </w:pPr>
    <w:rPr>
      <w:rFonts w:cs="方正仿宋简体"/>
      <w:b/>
      <w:iCs/>
      <w:sz w:val="22"/>
      <w:szCs w:val="24"/>
    </w:rPr>
  </w:style>
  <w:style w:type="paragraph" w:styleId="3">
    <w:name w:val="heading 3"/>
    <w:basedOn w:val="a"/>
    <w:next w:val="a"/>
    <w:link w:val="3Char"/>
    <w:uiPriority w:val="9"/>
    <w:semiHidden/>
    <w:unhideWhenUsed/>
    <w:qFormat/>
    <w:rsid w:val="00561D0D"/>
    <w:pPr>
      <w:keepNext/>
      <w:keepLines/>
      <w:widowControl w:val="0"/>
      <w:numPr>
        <w:numId w:val="19"/>
      </w:numPr>
      <w:spacing w:before="260" w:after="260" w:line="416" w:lineRule="auto"/>
      <w:jc w:val="both"/>
      <w:outlineLvl w:val="2"/>
    </w:pPr>
    <w:rPr>
      <w:b/>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脚注文本 Char"/>
    <w:link w:val="a4"/>
    <w:qFormat/>
    <w:rsid w:val="00084FBF"/>
    <w:rPr>
      <w:sz w:val="18"/>
      <w:szCs w:val="24"/>
    </w:rPr>
  </w:style>
  <w:style w:type="character" w:styleId="a5">
    <w:name w:val="annotation reference"/>
    <w:uiPriority w:val="99"/>
    <w:unhideWhenUsed/>
    <w:rsid w:val="00084FBF"/>
    <w:rPr>
      <w:sz w:val="21"/>
      <w:szCs w:val="21"/>
    </w:rPr>
  </w:style>
  <w:style w:type="character" w:styleId="a6">
    <w:name w:val="footnote reference"/>
    <w:unhideWhenUsed/>
    <w:qFormat/>
    <w:rsid w:val="00084FBF"/>
    <w:rPr>
      <w:rFonts w:ascii="Times New Roman" w:eastAsia="宋体" w:hAnsi="Times New Roman" w:cs="Times New Roman"/>
      <w:vertAlign w:val="superscript"/>
    </w:rPr>
  </w:style>
  <w:style w:type="character" w:customStyle="1" w:styleId="Char0">
    <w:name w:val="批注文字 Char"/>
    <w:link w:val="a7"/>
    <w:uiPriority w:val="99"/>
    <w:rsid w:val="00084FBF"/>
    <w:rPr>
      <w:rFonts w:ascii="Times New Roman" w:eastAsia="方正仿宋简体" w:hAnsi="Times New Roman"/>
      <w:sz w:val="32"/>
    </w:rPr>
  </w:style>
  <w:style w:type="paragraph" w:styleId="a4">
    <w:name w:val="footnote text"/>
    <w:basedOn w:val="a"/>
    <w:link w:val="Char"/>
    <w:unhideWhenUsed/>
    <w:qFormat/>
    <w:rsid w:val="00084FBF"/>
    <w:pPr>
      <w:snapToGrid w:val="0"/>
    </w:pPr>
    <w:rPr>
      <w:rFonts w:ascii="Calibri" w:hAnsi="Calibri"/>
      <w:sz w:val="18"/>
      <w:szCs w:val="24"/>
    </w:rPr>
  </w:style>
  <w:style w:type="character" w:customStyle="1" w:styleId="Char1">
    <w:name w:val="脚注文本 Char1"/>
    <w:uiPriority w:val="99"/>
    <w:semiHidden/>
    <w:rsid w:val="00084FBF"/>
    <w:rPr>
      <w:rFonts w:ascii="Times New Roman" w:eastAsia="方正仿宋简体" w:hAnsi="Times New Roman" w:cs="Times New Roman"/>
      <w:sz w:val="18"/>
      <w:szCs w:val="18"/>
    </w:rPr>
  </w:style>
  <w:style w:type="paragraph" w:styleId="a7">
    <w:name w:val="annotation text"/>
    <w:basedOn w:val="a"/>
    <w:link w:val="Char0"/>
    <w:uiPriority w:val="99"/>
    <w:unhideWhenUsed/>
    <w:rsid w:val="00084FBF"/>
    <w:rPr>
      <w:szCs w:val="22"/>
    </w:rPr>
  </w:style>
  <w:style w:type="character" w:customStyle="1" w:styleId="Char10">
    <w:name w:val="批注文字 Char1"/>
    <w:uiPriority w:val="99"/>
    <w:semiHidden/>
    <w:rsid w:val="00084FBF"/>
    <w:rPr>
      <w:rFonts w:ascii="Times New Roman" w:eastAsia="方正仿宋简体" w:hAnsi="Times New Roman" w:cs="Times New Roman"/>
      <w:sz w:val="32"/>
      <w:szCs w:val="20"/>
    </w:rPr>
  </w:style>
  <w:style w:type="paragraph" w:styleId="a8">
    <w:name w:val="Balloon Text"/>
    <w:link w:val="Char11"/>
    <w:uiPriority w:val="99"/>
    <w:semiHidden/>
    <w:unhideWhenUsed/>
    <w:rPr>
      <w:rFonts w:ascii="Tahoma" w:hAnsi="Tahoma" w:cs="Tahoma"/>
      <w:sz w:val="16"/>
      <w:szCs w:val="16"/>
    </w:rPr>
  </w:style>
  <w:style w:type="character" w:customStyle="1" w:styleId="Char2">
    <w:name w:val="批注框文本 Char"/>
    <w:uiPriority w:val="99"/>
    <w:semiHidden/>
    <w:rsid w:val="00084FBF"/>
    <w:rPr>
      <w:rFonts w:ascii="Times New Roman" w:eastAsia="方正仿宋简体" w:hAnsi="Times New Roman" w:cs="Times New Roman"/>
      <w:sz w:val="18"/>
      <w:szCs w:val="18"/>
    </w:rPr>
  </w:style>
  <w:style w:type="paragraph" w:styleId="a0">
    <w:name w:val="List Paragraph"/>
    <w:basedOn w:val="a"/>
    <w:uiPriority w:val="34"/>
    <w:qFormat/>
    <w:rsid w:val="006F366F"/>
    <w:pPr>
      <w:ind w:firstLineChars="200" w:firstLine="420"/>
    </w:pPr>
  </w:style>
  <w:style w:type="table" w:styleId="a9">
    <w:name w:val="Table Grid"/>
    <w:basedOn w:val="a2"/>
    <w:uiPriority w:val="39"/>
    <w:rsid w:val="00803F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semiHidden/>
    <w:unhideWhenUsed/>
    <w:rsid w:val="00641C70"/>
    <w:pPr>
      <w:spacing w:before="100" w:beforeAutospacing="1" w:after="100" w:afterAutospacing="1"/>
    </w:pPr>
    <w:rPr>
      <w:rFonts w:cs="宋体"/>
      <w:kern w:val="0"/>
      <w:sz w:val="24"/>
      <w:szCs w:val="24"/>
    </w:rPr>
  </w:style>
  <w:style w:type="paragraph" w:styleId="ab">
    <w:name w:val="annotation subject"/>
    <w:basedOn w:val="a7"/>
    <w:next w:val="a7"/>
    <w:link w:val="Char3"/>
    <w:uiPriority w:val="99"/>
    <w:semiHidden/>
    <w:unhideWhenUsed/>
    <w:rsid w:val="00DC28DE"/>
    <w:rPr>
      <w:b/>
      <w:bCs/>
      <w:szCs w:val="20"/>
    </w:rPr>
  </w:style>
  <w:style w:type="character" w:customStyle="1" w:styleId="Char3">
    <w:name w:val="批注主题 Char"/>
    <w:link w:val="ab"/>
    <w:uiPriority w:val="99"/>
    <w:semiHidden/>
    <w:rsid w:val="00DC28DE"/>
    <w:rPr>
      <w:rFonts w:ascii="Times New Roman" w:eastAsia="方正仿宋简体" w:hAnsi="Times New Roman" w:cs="Times New Roman"/>
      <w:b/>
      <w:bCs/>
      <w:sz w:val="32"/>
      <w:szCs w:val="20"/>
    </w:rPr>
  </w:style>
  <w:style w:type="paragraph" w:styleId="ac">
    <w:name w:val="header"/>
    <w:basedOn w:val="a"/>
    <w:link w:val="Char4"/>
    <w:uiPriority w:val="99"/>
    <w:unhideWhenUsed/>
    <w:rsid w:val="00953F87"/>
    <w:pPr>
      <w:pBdr>
        <w:bottom w:val="single" w:sz="6" w:space="1" w:color="auto"/>
      </w:pBdr>
      <w:tabs>
        <w:tab w:val="center" w:pos="4153"/>
        <w:tab w:val="right" w:pos="8306"/>
      </w:tabs>
      <w:snapToGrid w:val="0"/>
      <w:jc w:val="center"/>
    </w:pPr>
    <w:rPr>
      <w:sz w:val="18"/>
      <w:szCs w:val="18"/>
    </w:rPr>
  </w:style>
  <w:style w:type="character" w:customStyle="1" w:styleId="Char4">
    <w:name w:val="页眉 Char"/>
    <w:link w:val="ac"/>
    <w:uiPriority w:val="99"/>
    <w:rsid w:val="00953F87"/>
    <w:rPr>
      <w:rFonts w:ascii="Times New Roman" w:eastAsia="方正仿宋简体" w:hAnsi="Times New Roman" w:cs="Times New Roman"/>
      <w:sz w:val="18"/>
      <w:szCs w:val="18"/>
    </w:rPr>
  </w:style>
  <w:style w:type="paragraph" w:styleId="ad">
    <w:name w:val="footer"/>
    <w:basedOn w:val="a"/>
    <w:link w:val="Char5"/>
    <w:uiPriority w:val="99"/>
    <w:unhideWhenUsed/>
    <w:rsid w:val="00953F87"/>
    <w:pPr>
      <w:tabs>
        <w:tab w:val="center" w:pos="4153"/>
        <w:tab w:val="right" w:pos="8306"/>
      </w:tabs>
      <w:snapToGrid w:val="0"/>
    </w:pPr>
    <w:rPr>
      <w:sz w:val="18"/>
      <w:szCs w:val="18"/>
    </w:rPr>
  </w:style>
  <w:style w:type="character" w:customStyle="1" w:styleId="Char5">
    <w:name w:val="页脚 Char"/>
    <w:link w:val="ad"/>
    <w:uiPriority w:val="99"/>
    <w:rsid w:val="00953F87"/>
    <w:rPr>
      <w:rFonts w:ascii="Times New Roman" w:eastAsia="方正仿宋简体" w:hAnsi="Times New Roman" w:cs="Times New Roman"/>
      <w:sz w:val="18"/>
      <w:szCs w:val="18"/>
    </w:rPr>
  </w:style>
  <w:style w:type="character" w:customStyle="1" w:styleId="1Char">
    <w:name w:val="标题 1 Char"/>
    <w:link w:val="1"/>
    <w:uiPriority w:val="9"/>
    <w:rsid w:val="000776C8"/>
    <w:rPr>
      <w:rFonts w:ascii="宋体" w:hAnsi="宋体"/>
      <w:b/>
      <w:bCs/>
      <w:kern w:val="44"/>
      <w:sz w:val="24"/>
      <w:szCs w:val="44"/>
    </w:rPr>
  </w:style>
  <w:style w:type="character" w:customStyle="1" w:styleId="2Char">
    <w:name w:val="标题 2 Char"/>
    <w:link w:val="2"/>
    <w:uiPriority w:val="9"/>
    <w:rsid w:val="000776C8"/>
    <w:rPr>
      <w:rFonts w:ascii="宋体" w:hAnsi="宋体" w:cs="方正仿宋简体"/>
      <w:b/>
      <w:iCs/>
      <w:kern w:val="2"/>
      <w:sz w:val="22"/>
      <w:szCs w:val="24"/>
    </w:rPr>
  </w:style>
  <w:style w:type="paragraph" w:styleId="ae">
    <w:name w:val="No Spacing"/>
    <w:basedOn w:val="a"/>
    <w:uiPriority w:val="1"/>
    <w:qFormat/>
    <w:rsid w:val="00ED3BD1"/>
    <w:pPr>
      <w:widowControl w:val="0"/>
      <w:adjustRightInd w:val="0"/>
      <w:snapToGrid w:val="0"/>
      <w:spacing w:beforeLines="20" w:before="87" w:line="288" w:lineRule="auto"/>
      <w:contextualSpacing/>
      <w:jc w:val="both"/>
    </w:pPr>
  </w:style>
  <w:style w:type="character" w:styleId="af">
    <w:name w:val="Placeholder Text"/>
    <w:basedOn w:val="a1"/>
    <w:uiPriority w:val="99"/>
    <w:semiHidden/>
    <w:rsid w:val="005D1E03"/>
    <w:rPr>
      <w:color w:val="808080"/>
    </w:rPr>
  </w:style>
  <w:style w:type="character" w:customStyle="1" w:styleId="3Char">
    <w:name w:val="标题 3 Char"/>
    <w:basedOn w:val="a1"/>
    <w:link w:val="3"/>
    <w:uiPriority w:val="9"/>
    <w:semiHidden/>
    <w:rsid w:val="00561D0D"/>
    <w:rPr>
      <w:rFonts w:ascii="宋体" w:hAnsi="宋体"/>
      <w:b/>
      <w:bCs/>
      <w:kern w:val="2"/>
      <w:sz w:val="24"/>
      <w:szCs w:val="32"/>
    </w:rPr>
  </w:style>
  <w:style w:type="paragraph" w:styleId="TOC">
    <w:name w:val="TOC Heading"/>
    <w:uiPriority w:val="39"/>
    <w:semiHidden/>
    <w:unhideWhenUsed/>
    <w:qFormat/>
    <w:rPr>
      <w:lang w:eastAsia="ja-JP"/>
    </w:rPr>
  </w:style>
  <w:style w:type="paragraph" w:styleId="10">
    <w:name w:val="toc 1"/>
    <w:autoRedefine/>
    <w:uiPriority w:val="39"/>
    <w:unhideWhenUsed/>
    <w:pPr>
      <w:spacing w:after="100"/>
    </w:pPr>
  </w:style>
  <w:style w:type="paragraph" w:styleId="20">
    <w:name w:val="toc 2"/>
    <w:autoRedefine/>
    <w:uiPriority w:val="39"/>
    <w:unhideWhenUsed/>
    <w:pPr>
      <w:spacing w:after="100"/>
      <w:ind w:left="220"/>
    </w:pPr>
  </w:style>
  <w:style w:type="paragraph" w:styleId="30">
    <w:name w:val="toc 3"/>
    <w:autoRedefine/>
    <w:uiPriority w:val="39"/>
    <w:unhideWhenUsed/>
    <w:pPr>
      <w:spacing w:after="100"/>
      <w:ind w:left="440"/>
    </w:pPr>
  </w:style>
  <w:style w:type="paragraph" w:styleId="4">
    <w:name w:val="toc 4"/>
    <w:autoRedefine/>
    <w:uiPriority w:val="39"/>
    <w:unhideWhenUsed/>
    <w:pPr>
      <w:spacing w:after="100"/>
      <w:ind w:left="660"/>
    </w:pPr>
  </w:style>
  <w:style w:type="character" w:styleId="af0">
    <w:name w:val="Hyperlink"/>
    <w:uiPriority w:val="99"/>
    <w:unhideWhenUsed/>
    <w:rPr>
      <w:color w:val="0563C1" w:themeColor="hyperlink"/>
      <w:u w:val="single"/>
    </w:rPr>
  </w:style>
  <w:style w:type="character" w:customStyle="1" w:styleId="Char11">
    <w:name w:val="批注框文本 Char1"/>
    <w:link w:val="a8"/>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700016">
      <w:bodyDiv w:val="1"/>
      <w:marLeft w:val="0"/>
      <w:marRight w:val="0"/>
      <w:marTop w:val="0"/>
      <w:marBottom w:val="0"/>
      <w:divBdr>
        <w:top w:val="none" w:sz="0" w:space="0" w:color="auto"/>
        <w:left w:val="none" w:sz="0" w:space="0" w:color="auto"/>
        <w:bottom w:val="none" w:sz="0" w:space="0" w:color="auto"/>
        <w:right w:val="none" w:sz="0" w:space="0" w:color="auto"/>
      </w:divBdr>
    </w:div>
    <w:div w:id="155349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tNetWorkSpace\smartdoc\&#22522;&#37329;&#20135;&#21697;&#36164;&#26009;&#27010;&#35201;&#27169;&#26495;_A.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基金产品资料概要模板_A</Template>
  <TotalTime>0</TotalTime>
  <Pages>4</Pages>
  <Words>593</Words>
  <Characters>3382</Characters>
  <Application>Microsoft Office Word</Application>
  <DocSecurity>0</DocSecurity>
  <Lines>28</Lines>
  <Paragraphs>7</Paragraphs>
  <ScaleCrop>false</ScaleCrop>
  <Company/>
  <LinksUpToDate>false</LinksUpToDate>
  <CharactersWithSpaces>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马维娜</dc:creator>
  <cp:keywords/>
  <dc:description/>
  <cp:lastModifiedBy>马天蕊</cp:lastModifiedBy>
  <cp:revision>2</cp:revision>
  <dcterms:created xsi:type="dcterms:W3CDTF">2025-04-10T08:53:00Z</dcterms:created>
  <dcterms:modified xsi:type="dcterms:W3CDTF">2025-04-10T08:53:00Z</dcterms:modified>
</cp:coreProperties>
</file>