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2E9" w:rsidRDefault="00CA15B8">
      <w:pPr>
        <w:adjustRightInd w:val="0"/>
        <w:snapToGrid w:val="0"/>
        <w:jc w:val="center"/>
        <w:rPr>
          <w:rFonts w:cs="方正黑体简体"/>
          <w:b/>
          <w:bCs/>
          <w:iCs/>
          <w:sz w:val="30"/>
          <w:szCs w:val="30"/>
        </w:rPr>
      </w:pPr>
      <w:bookmarkStart w:id="0" w:name="_GoBack"/>
      <w:bookmarkEnd w:id="0"/>
      <w:r>
        <w:rPr>
          <w:rFonts w:cs="方正黑体简体"/>
          <w:b/>
          <w:bCs/>
          <w:iCs/>
          <w:sz w:val="30"/>
          <w:szCs w:val="30"/>
        </w:rPr>
        <w:t>富国上证科创板综合价格指数增强型证券投资基金（</w:t>
      </w:r>
      <w:r>
        <w:rPr>
          <w:rFonts w:cs="方正黑体简体"/>
          <w:b/>
          <w:bCs/>
          <w:iCs/>
          <w:sz w:val="30"/>
          <w:szCs w:val="30"/>
        </w:rPr>
        <w:t>A</w:t>
      </w:r>
      <w:r>
        <w:rPr>
          <w:rFonts w:cs="方正黑体简体"/>
          <w:b/>
          <w:bCs/>
          <w:iCs/>
          <w:sz w:val="30"/>
          <w:szCs w:val="30"/>
        </w:rPr>
        <w:t>类份额）基金产品资料概要</w:t>
      </w:r>
    </w:p>
    <w:p w:rsidR="00084FBF" w:rsidRPr="00A14942" w:rsidRDefault="009D4653" w:rsidP="0043556E">
      <w:pPr>
        <w:adjustRightInd w:val="0"/>
        <w:snapToGrid w:val="0"/>
        <w:jc w:val="right"/>
        <w:rPr>
          <w:rFonts w:cs="方正仿宋简体"/>
          <w:iCs/>
          <w:color w:val="FF0000"/>
          <w:szCs w:val="21"/>
        </w:rPr>
      </w:pPr>
      <w:r>
        <w:rPr>
          <w:rFonts w:hint="eastAsia"/>
          <w:szCs w:val="21"/>
        </w:rPr>
        <w:t>2025年04月10日</w:t>
      </w:r>
      <w:r w:rsidR="0043556E" w:rsidRPr="00A14942">
        <w:rPr>
          <w:rFonts w:hint="eastAsia"/>
          <w:szCs w:val="21"/>
        </w:rPr>
        <w:t>（</w:t>
      </w:r>
      <w:r w:rsidR="0043556E" w:rsidRPr="00A14942">
        <w:rPr>
          <w:rFonts w:cs="方正仿宋简体" w:hint="eastAsia"/>
          <w:iCs/>
          <w:szCs w:val="21"/>
        </w:rPr>
        <w:t>信息截至：</w:t>
      </w:r>
      <w:r>
        <w:rPr>
          <w:rFonts w:cs="方正仿宋简体" w:hint="eastAsia"/>
          <w:iCs/>
          <w:szCs w:val="21"/>
        </w:rPr>
        <w:t>2025年04月09日</w:t>
      </w:r>
      <w:r w:rsidR="0043556E" w:rsidRPr="00A14942">
        <w:rPr>
          <w:rFonts w:hint="eastAsia"/>
          <w:szCs w:val="21"/>
        </w:rPr>
        <w:t>）</w:t>
      </w:r>
    </w:p>
    <w:p w:rsidR="00DE25AF" w:rsidRPr="00A14942" w:rsidRDefault="004E7FF3" w:rsidP="00084FBF">
      <w:pPr>
        <w:adjustRightInd w:val="0"/>
        <w:snapToGrid w:val="0"/>
        <w:jc w:val="center"/>
        <w:rPr>
          <w:rFonts w:cs="方正黑体简体"/>
          <w:b/>
          <w:bCs/>
          <w:iCs/>
          <w:sz w:val="24"/>
          <w:szCs w:val="21"/>
        </w:rPr>
      </w:pPr>
      <w:r w:rsidRPr="00A14942">
        <w:rPr>
          <w:rFonts w:cs="方正黑体简体" w:hint="eastAsia"/>
          <w:b/>
          <w:bCs/>
          <w:iCs/>
          <w:sz w:val="24"/>
          <w:szCs w:val="21"/>
        </w:rPr>
        <w:t>本概要提供本基金的重要信息，是招募说明书的一部分。作出投资决定前，请阅读完整的招募说明书等销售文件。</w:t>
      </w:r>
    </w:p>
    <w:p w:rsidR="006F366F" w:rsidRPr="000776C8" w:rsidRDefault="006F366F" w:rsidP="00E31F9B">
      <w:pPr>
        <w:pStyle w:val="1"/>
      </w:pPr>
      <w:r w:rsidRPr="000776C8">
        <w:rPr>
          <w:rFonts w:hint="eastAsia"/>
        </w:rPr>
        <w:t>产品概况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2887"/>
        <w:gridCol w:w="1701"/>
        <w:gridCol w:w="2835"/>
      </w:tblGrid>
      <w:tr w:rsidR="00D962E9">
        <w:trPr>
          <w:trHeight w:val="340"/>
          <w:jc w:val="center"/>
        </w:trPr>
        <w:tc>
          <w:tcPr>
            <w:tcW w:w="1757"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基金简称</w:t>
            </w:r>
          </w:p>
        </w:tc>
        <w:tc>
          <w:tcPr>
            <w:tcW w:w="2887" w:type="dxa"/>
            <w:shd w:val="clear" w:color="auto" w:fill="auto"/>
            <w:vAlign w:val="center"/>
          </w:tcPr>
          <w:p w:rsidR="00D962E9" w:rsidRDefault="00CA15B8">
            <w:pPr>
              <w:adjustRightInd w:val="0"/>
              <w:snapToGrid w:val="0"/>
              <w:rPr>
                <w:rFonts w:cs="方正仿宋简体"/>
                <w:iCs/>
                <w:szCs w:val="21"/>
              </w:rPr>
            </w:pPr>
            <w:r>
              <w:rPr>
                <w:kern w:val="0"/>
                <w:szCs w:val="21"/>
              </w:rPr>
              <w:t>富国上证科创板综合价格指数增强</w:t>
            </w:r>
          </w:p>
        </w:tc>
        <w:tc>
          <w:tcPr>
            <w:tcW w:w="1701"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基金代码</w:t>
            </w:r>
          </w:p>
        </w:tc>
        <w:tc>
          <w:tcPr>
            <w:tcW w:w="2835" w:type="dxa"/>
            <w:shd w:val="clear" w:color="auto" w:fill="auto"/>
            <w:vAlign w:val="center"/>
          </w:tcPr>
          <w:p w:rsidR="00D962E9" w:rsidRDefault="00CA15B8">
            <w:pPr>
              <w:adjustRightInd w:val="0"/>
              <w:snapToGrid w:val="0"/>
              <w:rPr>
                <w:rFonts w:cs="方正仿宋简体"/>
                <w:iCs/>
                <w:szCs w:val="21"/>
              </w:rPr>
            </w:pPr>
            <w:r>
              <w:rPr>
                <w:rFonts w:hint="eastAsia"/>
                <w:kern w:val="0"/>
                <w:szCs w:val="21"/>
              </w:rPr>
              <w:t>023913</w:t>
            </w:r>
          </w:p>
        </w:tc>
      </w:tr>
      <w:tr w:rsidR="00D962E9">
        <w:trPr>
          <w:trHeight w:val="340"/>
          <w:jc w:val="center"/>
        </w:trPr>
        <w:tc>
          <w:tcPr>
            <w:tcW w:w="1757"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份额简称</w:t>
            </w:r>
          </w:p>
        </w:tc>
        <w:tc>
          <w:tcPr>
            <w:tcW w:w="2887" w:type="dxa"/>
            <w:shd w:val="clear" w:color="auto" w:fill="auto"/>
            <w:vAlign w:val="center"/>
          </w:tcPr>
          <w:p w:rsidR="00D962E9" w:rsidRDefault="00CA15B8">
            <w:pPr>
              <w:adjustRightInd w:val="0"/>
              <w:snapToGrid w:val="0"/>
              <w:rPr>
                <w:rFonts w:cs="方正仿宋简体"/>
                <w:iCs/>
                <w:szCs w:val="21"/>
              </w:rPr>
            </w:pPr>
            <w:r>
              <w:rPr>
                <w:kern w:val="0"/>
                <w:szCs w:val="21"/>
              </w:rPr>
              <w:t>富国上证科创板综合价格指数增强</w:t>
            </w:r>
            <w:r>
              <w:rPr>
                <w:kern w:val="0"/>
                <w:szCs w:val="21"/>
              </w:rPr>
              <w:t>A</w:t>
            </w:r>
          </w:p>
        </w:tc>
        <w:tc>
          <w:tcPr>
            <w:tcW w:w="1701" w:type="dxa"/>
            <w:shd w:val="clear" w:color="auto" w:fill="auto"/>
            <w:vAlign w:val="center"/>
          </w:tcPr>
          <w:p w:rsidR="00D962E9" w:rsidRDefault="00CA15B8">
            <w:pPr>
              <w:adjustRightInd w:val="0"/>
              <w:snapToGrid w:val="0"/>
              <w:rPr>
                <w:rFonts w:cs="方正仿宋简体"/>
                <w:iCs/>
                <w:szCs w:val="21"/>
              </w:rPr>
            </w:pPr>
            <w:r>
              <w:rPr>
                <w:rFonts w:cs="方正仿宋简体"/>
                <w:iCs/>
                <w:szCs w:val="21"/>
              </w:rPr>
              <w:t>份额代码</w:t>
            </w:r>
          </w:p>
        </w:tc>
        <w:tc>
          <w:tcPr>
            <w:tcW w:w="2835" w:type="dxa"/>
            <w:shd w:val="clear" w:color="auto" w:fill="auto"/>
            <w:vAlign w:val="center"/>
          </w:tcPr>
          <w:p w:rsidR="00D962E9" w:rsidRDefault="00CA15B8">
            <w:pPr>
              <w:adjustRightInd w:val="0"/>
              <w:snapToGrid w:val="0"/>
              <w:rPr>
                <w:rFonts w:cs="方正仿宋简体"/>
                <w:iCs/>
                <w:szCs w:val="21"/>
              </w:rPr>
            </w:pPr>
            <w:r>
              <w:rPr>
                <w:rFonts w:hint="eastAsia"/>
                <w:kern w:val="0"/>
                <w:szCs w:val="21"/>
              </w:rPr>
              <w:t>023913</w:t>
            </w:r>
          </w:p>
        </w:tc>
      </w:tr>
      <w:tr w:rsidR="00D962E9">
        <w:trPr>
          <w:trHeight w:val="340"/>
          <w:jc w:val="center"/>
        </w:trPr>
        <w:tc>
          <w:tcPr>
            <w:tcW w:w="1757"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基金管理人</w:t>
            </w:r>
          </w:p>
        </w:tc>
        <w:tc>
          <w:tcPr>
            <w:tcW w:w="2887" w:type="dxa"/>
            <w:shd w:val="clear" w:color="auto" w:fill="auto"/>
            <w:vAlign w:val="center"/>
          </w:tcPr>
          <w:p w:rsidR="00D962E9" w:rsidRDefault="00CA15B8">
            <w:pPr>
              <w:adjustRightInd w:val="0"/>
              <w:snapToGrid w:val="0"/>
              <w:rPr>
                <w:rFonts w:cs="方正仿宋简体"/>
                <w:iCs/>
                <w:szCs w:val="21"/>
              </w:rPr>
            </w:pPr>
            <w:r>
              <w:rPr>
                <w:rFonts w:hint="eastAsia"/>
                <w:kern w:val="0"/>
                <w:szCs w:val="21"/>
              </w:rPr>
              <w:t>富国基金管理有限公司</w:t>
            </w:r>
          </w:p>
        </w:tc>
        <w:tc>
          <w:tcPr>
            <w:tcW w:w="1701"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基金托管人</w:t>
            </w:r>
          </w:p>
        </w:tc>
        <w:tc>
          <w:tcPr>
            <w:tcW w:w="2835" w:type="dxa"/>
            <w:shd w:val="clear" w:color="auto" w:fill="auto"/>
            <w:vAlign w:val="center"/>
          </w:tcPr>
          <w:p w:rsidR="00D962E9" w:rsidRDefault="00CA15B8">
            <w:pPr>
              <w:adjustRightInd w:val="0"/>
              <w:snapToGrid w:val="0"/>
              <w:rPr>
                <w:rFonts w:cs="方正仿宋简体"/>
                <w:iCs/>
                <w:szCs w:val="21"/>
              </w:rPr>
            </w:pPr>
            <w:r>
              <w:rPr>
                <w:rFonts w:hint="eastAsia"/>
                <w:kern w:val="0"/>
                <w:szCs w:val="21"/>
              </w:rPr>
              <w:t>中国建设银行股份有限公司</w:t>
            </w:r>
          </w:p>
        </w:tc>
      </w:tr>
      <w:tr w:rsidR="00D962E9">
        <w:trPr>
          <w:trHeight w:val="340"/>
          <w:jc w:val="center"/>
        </w:trPr>
        <w:tc>
          <w:tcPr>
            <w:tcW w:w="1757"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基金合同生效日</w:t>
            </w:r>
          </w:p>
        </w:tc>
        <w:tc>
          <w:tcPr>
            <w:tcW w:w="2887" w:type="dxa"/>
            <w:shd w:val="clear" w:color="auto" w:fill="auto"/>
            <w:vAlign w:val="center"/>
          </w:tcPr>
          <w:p w:rsidR="00D962E9" w:rsidRDefault="00CA15B8">
            <w:pPr>
              <w:adjustRightInd w:val="0"/>
              <w:snapToGrid w:val="0"/>
              <w:rPr>
                <w:rFonts w:cs="方正仿宋简体"/>
                <w:iCs/>
                <w:szCs w:val="21"/>
              </w:rPr>
            </w:pPr>
            <w:r>
              <w:rPr>
                <w:kern w:val="0"/>
                <w:szCs w:val="21"/>
              </w:rPr>
              <w:t>－</w:t>
            </w:r>
          </w:p>
        </w:tc>
        <w:tc>
          <w:tcPr>
            <w:tcW w:w="1701"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基金类型</w:t>
            </w:r>
          </w:p>
        </w:tc>
        <w:tc>
          <w:tcPr>
            <w:tcW w:w="2835" w:type="dxa"/>
            <w:shd w:val="clear" w:color="auto" w:fill="auto"/>
            <w:vAlign w:val="center"/>
          </w:tcPr>
          <w:p w:rsidR="00D962E9" w:rsidRDefault="00CA15B8">
            <w:pPr>
              <w:adjustRightInd w:val="0"/>
              <w:snapToGrid w:val="0"/>
              <w:rPr>
                <w:rFonts w:cs="方正仿宋简体"/>
                <w:iCs/>
                <w:szCs w:val="21"/>
              </w:rPr>
            </w:pPr>
            <w:r>
              <w:rPr>
                <w:rFonts w:hint="eastAsia"/>
                <w:kern w:val="0"/>
                <w:szCs w:val="21"/>
              </w:rPr>
              <w:t>股票型</w:t>
            </w:r>
          </w:p>
        </w:tc>
      </w:tr>
      <w:tr w:rsidR="00D962E9">
        <w:trPr>
          <w:trHeight w:val="340"/>
          <w:jc w:val="center"/>
        </w:trPr>
        <w:tc>
          <w:tcPr>
            <w:tcW w:w="1757"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运作方式</w:t>
            </w:r>
          </w:p>
        </w:tc>
        <w:tc>
          <w:tcPr>
            <w:tcW w:w="2887" w:type="dxa"/>
            <w:shd w:val="clear" w:color="auto" w:fill="auto"/>
            <w:vAlign w:val="center"/>
          </w:tcPr>
          <w:p w:rsidR="00D962E9" w:rsidRDefault="00CA15B8">
            <w:pPr>
              <w:adjustRightInd w:val="0"/>
              <w:snapToGrid w:val="0"/>
              <w:rPr>
                <w:rFonts w:cs="方正仿宋简体"/>
                <w:iCs/>
                <w:szCs w:val="21"/>
              </w:rPr>
            </w:pPr>
            <w:r>
              <w:rPr>
                <w:kern w:val="0"/>
                <w:szCs w:val="21"/>
              </w:rPr>
              <w:t>普通开放式</w:t>
            </w:r>
          </w:p>
        </w:tc>
        <w:tc>
          <w:tcPr>
            <w:tcW w:w="1701"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开放频率</w:t>
            </w:r>
          </w:p>
        </w:tc>
        <w:tc>
          <w:tcPr>
            <w:tcW w:w="2835" w:type="dxa"/>
            <w:shd w:val="clear" w:color="auto" w:fill="auto"/>
            <w:vAlign w:val="center"/>
          </w:tcPr>
          <w:p w:rsidR="00D962E9" w:rsidRDefault="00CA15B8">
            <w:pPr>
              <w:adjustRightInd w:val="0"/>
              <w:snapToGrid w:val="0"/>
              <w:rPr>
                <w:rFonts w:cs="方正仿宋简体"/>
                <w:iCs/>
                <w:szCs w:val="21"/>
              </w:rPr>
            </w:pPr>
            <w:r>
              <w:rPr>
                <w:rFonts w:hint="eastAsia"/>
                <w:kern w:val="0"/>
                <w:szCs w:val="21"/>
              </w:rPr>
              <w:t>每个开放日</w:t>
            </w:r>
          </w:p>
        </w:tc>
      </w:tr>
      <w:tr w:rsidR="00D962E9">
        <w:trPr>
          <w:trHeight w:val="340"/>
          <w:jc w:val="center"/>
        </w:trPr>
        <w:tc>
          <w:tcPr>
            <w:tcW w:w="1757"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交易币种</w:t>
            </w:r>
          </w:p>
        </w:tc>
        <w:tc>
          <w:tcPr>
            <w:tcW w:w="2887" w:type="dxa"/>
            <w:shd w:val="clear" w:color="auto" w:fill="auto"/>
            <w:vAlign w:val="center"/>
          </w:tcPr>
          <w:p w:rsidR="00D962E9" w:rsidRDefault="00CA15B8">
            <w:pPr>
              <w:adjustRightInd w:val="0"/>
              <w:snapToGrid w:val="0"/>
              <w:rPr>
                <w:rFonts w:cs="方正仿宋简体"/>
                <w:iCs/>
                <w:szCs w:val="21"/>
              </w:rPr>
            </w:pPr>
            <w:r>
              <w:rPr>
                <w:rFonts w:hint="eastAsia"/>
                <w:kern w:val="0"/>
                <w:szCs w:val="21"/>
              </w:rPr>
              <w:t>人民币</w:t>
            </w:r>
          </w:p>
        </w:tc>
        <w:tc>
          <w:tcPr>
            <w:tcW w:w="1701" w:type="dxa"/>
            <w:shd w:val="clear" w:color="auto" w:fill="auto"/>
            <w:vAlign w:val="center"/>
          </w:tcPr>
          <w:p w:rsidR="004E1601" w:rsidRPr="00315D72" w:rsidRDefault="004E1601" w:rsidP="004E1601">
            <w:pPr>
              <w:adjustRightInd w:val="0"/>
              <w:snapToGrid w:val="0"/>
              <w:rPr>
                <w:rFonts w:cs="方正仿宋简体"/>
                <w:iCs/>
                <w:szCs w:val="21"/>
              </w:rPr>
            </w:pPr>
          </w:p>
        </w:tc>
        <w:tc>
          <w:tcPr>
            <w:tcW w:w="2835" w:type="dxa"/>
            <w:shd w:val="clear" w:color="auto" w:fill="auto"/>
            <w:vAlign w:val="center"/>
          </w:tcPr>
          <w:p w:rsidR="00D962E9" w:rsidRDefault="00D962E9">
            <w:pPr>
              <w:adjustRightInd w:val="0"/>
              <w:snapToGrid w:val="0"/>
              <w:rPr>
                <w:rFonts w:cs="方正仿宋简体"/>
                <w:iCs/>
                <w:szCs w:val="21"/>
              </w:rPr>
            </w:pPr>
          </w:p>
        </w:tc>
      </w:tr>
      <w:tr w:rsidR="00D962E9">
        <w:trPr>
          <w:trHeight w:val="340"/>
          <w:jc w:val="center"/>
        </w:trPr>
        <w:tc>
          <w:tcPr>
            <w:tcW w:w="1757" w:type="dxa"/>
            <w:vMerge w:val="restart"/>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基金经理</w:t>
            </w:r>
          </w:p>
        </w:tc>
        <w:tc>
          <w:tcPr>
            <w:tcW w:w="2887" w:type="dxa"/>
            <w:vMerge w:val="restart"/>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方旻</w:t>
            </w:r>
          </w:p>
        </w:tc>
        <w:tc>
          <w:tcPr>
            <w:tcW w:w="1701"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任职日期</w:t>
            </w:r>
          </w:p>
        </w:tc>
        <w:tc>
          <w:tcPr>
            <w:tcW w:w="2835"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w:t>
            </w:r>
          </w:p>
        </w:tc>
      </w:tr>
      <w:tr w:rsidR="00D962E9">
        <w:trPr>
          <w:trHeight w:val="340"/>
          <w:jc w:val="center"/>
        </w:trPr>
        <w:tc>
          <w:tcPr>
            <w:tcW w:w="175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2887" w:type="dxa"/>
            <w:vMerge/>
            <w:shd w:val="clear" w:color="auto" w:fill="auto"/>
            <w:vAlign w:val="center"/>
          </w:tcPr>
          <w:p w:rsidR="004E1601" w:rsidRPr="00315D72" w:rsidRDefault="004E1601" w:rsidP="004E1601">
            <w:pPr>
              <w:adjustRightInd w:val="0"/>
              <w:snapToGrid w:val="0"/>
              <w:rPr>
                <w:rFonts w:cs="方正仿宋简体"/>
                <w:iCs/>
                <w:szCs w:val="21"/>
              </w:rPr>
            </w:pPr>
          </w:p>
        </w:tc>
        <w:tc>
          <w:tcPr>
            <w:tcW w:w="1701"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证券从业日期</w:t>
            </w:r>
          </w:p>
        </w:tc>
        <w:tc>
          <w:tcPr>
            <w:tcW w:w="2835" w:type="dxa"/>
            <w:shd w:val="clear" w:color="auto" w:fill="auto"/>
            <w:vAlign w:val="center"/>
          </w:tcPr>
          <w:p w:rsidR="00D962E9" w:rsidRDefault="00CA15B8">
            <w:pPr>
              <w:adjustRightInd w:val="0"/>
              <w:snapToGrid w:val="0"/>
              <w:rPr>
                <w:rFonts w:cs="方正仿宋简体"/>
                <w:iCs/>
                <w:szCs w:val="21"/>
              </w:rPr>
            </w:pPr>
            <w:r>
              <w:rPr>
                <w:rFonts w:cs="方正仿宋简体" w:hint="eastAsia"/>
                <w:iCs/>
                <w:szCs w:val="21"/>
              </w:rPr>
              <w:t>2010</w:t>
            </w:r>
            <w:r>
              <w:rPr>
                <w:rFonts w:cs="方正仿宋简体" w:hint="eastAsia"/>
                <w:iCs/>
                <w:szCs w:val="21"/>
              </w:rPr>
              <w:t>年</w:t>
            </w:r>
            <w:r>
              <w:rPr>
                <w:rFonts w:cs="方正仿宋简体" w:hint="eastAsia"/>
                <w:iCs/>
                <w:szCs w:val="21"/>
              </w:rPr>
              <w:t>02</w:t>
            </w:r>
            <w:r>
              <w:rPr>
                <w:rFonts w:cs="方正仿宋简体" w:hint="eastAsia"/>
                <w:iCs/>
                <w:szCs w:val="21"/>
              </w:rPr>
              <w:t>月</w:t>
            </w:r>
            <w:r>
              <w:rPr>
                <w:rFonts w:cs="方正仿宋简体" w:hint="eastAsia"/>
                <w:iCs/>
                <w:szCs w:val="21"/>
              </w:rPr>
              <w:t>10</w:t>
            </w:r>
            <w:r>
              <w:rPr>
                <w:rFonts w:cs="方正仿宋简体" w:hint="eastAsia"/>
                <w:iCs/>
                <w:szCs w:val="21"/>
              </w:rPr>
              <w:t>日</w:t>
            </w:r>
          </w:p>
        </w:tc>
      </w:tr>
    </w:tbl>
    <w:p w:rsidR="006F366F" w:rsidRPr="005F6CAD" w:rsidRDefault="006F366F" w:rsidP="000776C8">
      <w:pPr>
        <w:pStyle w:val="1"/>
      </w:pPr>
      <w:r w:rsidRPr="005F6CAD">
        <w:rPr>
          <w:rFonts w:hint="eastAsia"/>
        </w:rPr>
        <w:t>基金投资与净值表现</w:t>
      </w:r>
    </w:p>
    <w:p w:rsidR="00BC4EFB" w:rsidRDefault="00BC4EFB" w:rsidP="000776C8">
      <w:pPr>
        <w:pStyle w:val="2"/>
      </w:pPr>
      <w:r w:rsidRPr="000776C8">
        <w:rPr>
          <w:rFonts w:hint="eastAsia"/>
        </w:rPr>
        <w:t>投资目标与投资策略</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7423"/>
      </w:tblGrid>
      <w:tr w:rsidR="00D962E9">
        <w:trPr>
          <w:trHeight w:val="340"/>
          <w:jc w:val="center"/>
        </w:trPr>
        <w:tc>
          <w:tcPr>
            <w:tcW w:w="1757" w:type="dxa"/>
            <w:shd w:val="clear" w:color="auto" w:fill="auto"/>
            <w:vAlign w:val="center"/>
          </w:tcPr>
          <w:p w:rsidR="00D962E9" w:rsidRDefault="00CA15B8">
            <w:pPr>
              <w:pStyle w:val="ae"/>
            </w:pPr>
            <w:r>
              <w:rPr>
                <w:rFonts w:hint="eastAsia"/>
              </w:rPr>
              <w:t>投资目标</w:t>
            </w:r>
          </w:p>
        </w:tc>
        <w:tc>
          <w:tcPr>
            <w:tcW w:w="7423" w:type="dxa"/>
            <w:shd w:val="clear" w:color="auto" w:fill="auto"/>
            <w:vAlign w:val="center"/>
          </w:tcPr>
          <w:p w:rsidR="00D962E9" w:rsidRDefault="00CA15B8">
            <w:pPr>
              <w:pStyle w:val="ae"/>
            </w:pPr>
            <w:r>
              <w:rPr>
                <w:rFonts w:hint="eastAsia"/>
              </w:rPr>
              <w:t>本基金为指数增强型基金，在力求对上证科创板综合价格指数进行有效跟踪的基础上，通过数量化的方法进行积极的指数组合管理与风险控制，力争实现超越目标指数的投资收益，谋求基金资产的长期增值。</w:t>
            </w:r>
          </w:p>
        </w:tc>
      </w:tr>
      <w:tr w:rsidR="00D962E9">
        <w:trPr>
          <w:trHeight w:val="340"/>
          <w:jc w:val="center"/>
        </w:trPr>
        <w:tc>
          <w:tcPr>
            <w:tcW w:w="1757" w:type="dxa"/>
            <w:shd w:val="clear" w:color="auto" w:fill="auto"/>
            <w:vAlign w:val="center"/>
          </w:tcPr>
          <w:p w:rsidR="00D962E9" w:rsidRDefault="00CA15B8">
            <w:pPr>
              <w:pStyle w:val="ae"/>
            </w:pPr>
            <w:r>
              <w:rPr>
                <w:rFonts w:hint="eastAsia"/>
              </w:rPr>
              <w:t>投资范围</w:t>
            </w:r>
          </w:p>
        </w:tc>
        <w:tc>
          <w:tcPr>
            <w:tcW w:w="7423" w:type="dxa"/>
            <w:shd w:val="clear" w:color="auto" w:fill="auto"/>
            <w:vAlign w:val="center"/>
          </w:tcPr>
          <w:p w:rsidR="00D962E9" w:rsidRDefault="00CA15B8">
            <w:pPr>
              <w:pStyle w:val="ae"/>
            </w:pPr>
            <w:r>
              <w:rPr>
                <w:rFonts w:hint="eastAsia"/>
              </w:rPr>
              <w:t>本基金投资于具有良好流动性的金融工具，包括标的指数的成份股、备选成份股（均含存托凭证）、港股通标的股票、其他股票（包括主板、科创板、创业板及其他经中国证监会允许发行的股票）、存托凭证、债券（国债、央行票据、地方政府债券、政府支持机构债券、政府支持债券、金融债券、企业债券、公司债券、次级债券、可转换债券、可交换债券、可分离交易可转债、短期融资券（含超短期融资券）、中期票据等）、资产支持证券、债券回购、银行存款、同业存单、股指期货、国债期货、股票期权、信用衍生品及法律法规或中国证监会允许基金投资的其他</w:t>
            </w:r>
            <w:r>
              <w:rPr>
                <w:rFonts w:hint="eastAsia"/>
              </w:rPr>
              <w:t>金融工具（但须符合中国证监会的相关规定）。</w:t>
            </w:r>
          </w:p>
          <w:p w:rsidR="00D962E9" w:rsidRDefault="00CA15B8">
            <w:pPr>
              <w:pStyle w:val="ae"/>
            </w:pPr>
            <w:r>
              <w:rPr>
                <w:rFonts w:hint="eastAsia"/>
              </w:rPr>
              <w:t>本基金可根据法律法规的规定参与融资及转融通证券出借业务。</w:t>
            </w:r>
          </w:p>
          <w:p w:rsidR="00D962E9" w:rsidRDefault="00CA15B8">
            <w:pPr>
              <w:pStyle w:val="ae"/>
            </w:pPr>
            <w:r>
              <w:rPr>
                <w:rFonts w:hint="eastAsia"/>
              </w:rPr>
              <w:t>如法律法规或监管机构以后允许基金投资其他品种，基金管理人在履行适当程序后，可以将其纳入投资范围。</w:t>
            </w:r>
          </w:p>
        </w:tc>
      </w:tr>
      <w:tr w:rsidR="00D962E9">
        <w:trPr>
          <w:trHeight w:val="340"/>
          <w:jc w:val="center"/>
        </w:trPr>
        <w:tc>
          <w:tcPr>
            <w:tcW w:w="1757" w:type="dxa"/>
            <w:shd w:val="clear" w:color="auto" w:fill="auto"/>
            <w:vAlign w:val="center"/>
          </w:tcPr>
          <w:p w:rsidR="00D962E9" w:rsidRDefault="00CA15B8">
            <w:pPr>
              <w:pStyle w:val="ae"/>
            </w:pPr>
            <w:r>
              <w:rPr>
                <w:rFonts w:hint="eastAsia"/>
              </w:rPr>
              <w:t>主要投资策略</w:t>
            </w:r>
          </w:p>
        </w:tc>
        <w:tc>
          <w:tcPr>
            <w:tcW w:w="7423" w:type="dxa"/>
            <w:shd w:val="clear" w:color="auto" w:fill="auto"/>
            <w:vAlign w:val="center"/>
          </w:tcPr>
          <w:p w:rsidR="00D962E9" w:rsidRDefault="00CA15B8">
            <w:pPr>
              <w:pStyle w:val="ae"/>
            </w:pPr>
            <w:r>
              <w:rPr>
                <w:rFonts w:hint="eastAsia"/>
              </w:rPr>
              <w:t>本基金以“指数化投资为主、主动性投资为辅”，在复制标的指数的基础上一定程度地调整个股，力求投资收益能够跟踪并适度超越标的指数。</w:t>
            </w:r>
          </w:p>
          <w:p w:rsidR="00D962E9" w:rsidRDefault="00CA15B8">
            <w:pPr>
              <w:pStyle w:val="ae"/>
            </w:pPr>
            <w:r>
              <w:rPr>
                <w:rFonts w:hint="eastAsia"/>
              </w:rPr>
              <w:t>本基金力争使日均跟踪偏离度的绝对值不超过</w:t>
            </w:r>
            <w:r>
              <w:rPr>
                <w:rFonts w:hint="eastAsia"/>
              </w:rPr>
              <w:t>0.50%</w:t>
            </w:r>
            <w:r>
              <w:rPr>
                <w:rFonts w:hint="eastAsia"/>
              </w:rPr>
              <w:t>，年化跟踪误差不超过</w:t>
            </w:r>
            <w:r>
              <w:rPr>
                <w:rFonts w:hint="eastAsia"/>
              </w:rPr>
              <w:t>7.75%</w:t>
            </w:r>
            <w:r>
              <w:rPr>
                <w:rFonts w:hint="eastAsia"/>
              </w:rPr>
              <w:t>。如因标的指数编制规则调整或其他因素导致跟踪偏离度和跟踪误差超过正常范围的，基金管理人将采取合理措施避免跟踪偏离度和跟踪误差进一步扩大。本基金的股票投资策略、港股通标的股票投资策略、存托凭证投资策略、债券投资策略、可转换债券（含可分离交易可转债）及可交换债券投资策略、资产支持证券投资策略、股指期货投资策略、国债期货投资策略、股票期权投资策略、信用衍生品投资策略、参与融资及转融通证券出借业务策略详见法律文件。</w:t>
            </w:r>
          </w:p>
        </w:tc>
      </w:tr>
      <w:tr w:rsidR="00D962E9">
        <w:trPr>
          <w:trHeight w:val="340"/>
          <w:jc w:val="center"/>
        </w:trPr>
        <w:tc>
          <w:tcPr>
            <w:tcW w:w="1757" w:type="dxa"/>
            <w:shd w:val="clear" w:color="auto" w:fill="auto"/>
            <w:vAlign w:val="center"/>
          </w:tcPr>
          <w:p w:rsidR="00D962E9" w:rsidRDefault="00CA15B8">
            <w:pPr>
              <w:pStyle w:val="ae"/>
            </w:pPr>
            <w:r>
              <w:rPr>
                <w:rFonts w:hint="eastAsia"/>
              </w:rPr>
              <w:t>业绩比较基准</w:t>
            </w:r>
          </w:p>
        </w:tc>
        <w:tc>
          <w:tcPr>
            <w:tcW w:w="7423" w:type="dxa"/>
            <w:shd w:val="clear" w:color="auto" w:fill="auto"/>
            <w:vAlign w:val="center"/>
          </w:tcPr>
          <w:p w:rsidR="00D962E9" w:rsidRDefault="00CA15B8">
            <w:pPr>
              <w:pStyle w:val="ae"/>
            </w:pPr>
            <w:r>
              <w:rPr>
                <w:rFonts w:hint="eastAsia"/>
              </w:rPr>
              <w:t>上证</w:t>
            </w:r>
            <w:r>
              <w:rPr>
                <w:rFonts w:hint="eastAsia"/>
              </w:rPr>
              <w:t>科创板综合价格指数收益率×</w:t>
            </w:r>
            <w:r>
              <w:rPr>
                <w:rFonts w:hint="eastAsia"/>
              </w:rPr>
              <w:t>95%</w:t>
            </w:r>
            <w:r>
              <w:rPr>
                <w:rFonts w:hint="eastAsia"/>
              </w:rPr>
              <w:t>＋银行人民币活期存款利率（税后）×</w:t>
            </w:r>
            <w:r>
              <w:rPr>
                <w:rFonts w:hint="eastAsia"/>
              </w:rPr>
              <w:t>5%</w:t>
            </w:r>
          </w:p>
        </w:tc>
      </w:tr>
      <w:tr w:rsidR="00D962E9">
        <w:trPr>
          <w:trHeight w:val="340"/>
          <w:jc w:val="center"/>
        </w:trPr>
        <w:tc>
          <w:tcPr>
            <w:tcW w:w="1757" w:type="dxa"/>
            <w:shd w:val="clear" w:color="auto" w:fill="auto"/>
            <w:vAlign w:val="center"/>
          </w:tcPr>
          <w:p w:rsidR="00D962E9" w:rsidRDefault="00CA15B8">
            <w:pPr>
              <w:pStyle w:val="ae"/>
            </w:pPr>
            <w:r>
              <w:rPr>
                <w:rFonts w:hint="eastAsia"/>
              </w:rPr>
              <w:lastRenderedPageBreak/>
              <w:t>风险收益特征</w:t>
            </w:r>
          </w:p>
        </w:tc>
        <w:tc>
          <w:tcPr>
            <w:tcW w:w="7423" w:type="dxa"/>
            <w:shd w:val="clear" w:color="auto" w:fill="auto"/>
            <w:vAlign w:val="center"/>
          </w:tcPr>
          <w:p w:rsidR="00D962E9" w:rsidRDefault="00CA15B8">
            <w:pPr>
              <w:pStyle w:val="ae"/>
            </w:pPr>
            <w:r>
              <w:rPr>
                <w:rFonts w:hint="eastAsia"/>
              </w:rPr>
              <w:t>本基金为股票型基金，其预期收益及预期风险水平高于混合型基金、债券型基金与货币市场基金。本基金为指数基金，具有与标的指数、以及标的指数所代表的股票市场相似的风险收益特征。本基金投资港股通标的股票的，需承担港股通机制下因投资环境、投资标的、市场制度以及交易规则等差异带来的特有风险。</w:t>
            </w:r>
          </w:p>
        </w:tc>
      </w:tr>
    </w:tbl>
    <w:p w:rsidR="00E10111" w:rsidRPr="00AA62CC" w:rsidRDefault="009D4653" w:rsidP="00E10111">
      <w:pPr>
        <w:adjustRightInd w:val="0"/>
        <w:snapToGrid w:val="0"/>
        <w:spacing w:beforeLines="20" w:before="87" w:line="288" w:lineRule="auto"/>
        <w:rPr>
          <w:rFonts w:cs="方正仿宋简体"/>
          <w:iCs/>
          <w:szCs w:val="21"/>
        </w:rPr>
      </w:pPr>
      <w:r>
        <w:rPr>
          <w:rFonts w:cs="方正仿宋简体" w:hint="eastAsia"/>
          <w:iCs/>
          <w:szCs w:val="21"/>
        </w:rPr>
        <w:t>注：详情请阅读《招募说明书》中“基金的投资”章节的相关内容。</w:t>
      </w:r>
    </w:p>
    <w:p w:rsidR="006F366F" w:rsidRPr="00A14942" w:rsidRDefault="006F366F" w:rsidP="000776C8">
      <w:pPr>
        <w:pStyle w:val="1"/>
      </w:pPr>
      <w:r w:rsidRPr="00A14942">
        <w:rPr>
          <w:rFonts w:hint="eastAsia"/>
        </w:rPr>
        <w:t>投资本基金涉及的费用</w:t>
      </w:r>
    </w:p>
    <w:p w:rsidR="00D5603D" w:rsidRDefault="00A535E9" w:rsidP="000776C8">
      <w:pPr>
        <w:pStyle w:val="2"/>
        <w:numPr>
          <w:ilvl w:val="1"/>
          <w:numId w:val="14"/>
        </w:numPr>
      </w:pPr>
      <w:r w:rsidRPr="00ED3BD1">
        <w:rPr>
          <w:rFonts w:hint="eastAsia"/>
        </w:rPr>
        <w:t>基金销售相关费用</w:t>
      </w:r>
    </w:p>
    <w:tbl>
      <w:tblPr>
        <w:tblW w:w="492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2925"/>
        <w:gridCol w:w="1984"/>
        <w:gridCol w:w="1982"/>
      </w:tblGrid>
      <w:tr w:rsidR="00D97BE2" w:rsidRPr="00165774" w:rsidTr="00B457F0">
        <w:trPr>
          <w:trHeight w:val="340"/>
        </w:trPr>
        <w:tc>
          <w:tcPr>
            <w:tcW w:w="1092"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费用类型</w:t>
            </w:r>
          </w:p>
        </w:tc>
        <w:tc>
          <w:tcPr>
            <w:tcW w:w="1659"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金额（M）</w:t>
            </w:r>
            <w:r w:rsidR="00A7537D" w:rsidRPr="00BA55B0">
              <w:rPr>
                <w:rFonts w:hint="eastAsia"/>
              </w:rPr>
              <w:t>/</w:t>
            </w:r>
            <w:r w:rsidR="003134F0" w:rsidRPr="00BA55B0">
              <w:rPr>
                <w:rFonts w:hint="eastAsia"/>
              </w:rPr>
              <w:t>持有期限（N）</w:t>
            </w:r>
          </w:p>
        </w:tc>
        <w:tc>
          <w:tcPr>
            <w:tcW w:w="1125"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费率（普通客户）</w:t>
            </w:r>
          </w:p>
        </w:tc>
        <w:tc>
          <w:tcPr>
            <w:tcW w:w="1124" w:type="pct"/>
            <w:shd w:val="clear" w:color="auto" w:fill="auto"/>
            <w:vAlign w:val="center"/>
          </w:tcPr>
          <w:p w:rsidR="009240F7" w:rsidRPr="00BA55B0" w:rsidRDefault="009240F7" w:rsidP="000776C8">
            <w:pPr>
              <w:widowControl w:val="0"/>
              <w:adjustRightInd w:val="0"/>
              <w:snapToGrid w:val="0"/>
              <w:jc w:val="center"/>
            </w:pPr>
            <w:r w:rsidRPr="00BA55B0">
              <w:rPr>
                <w:rFonts w:hint="eastAsia"/>
              </w:rPr>
              <w:t>费率（特定客户）</w:t>
            </w:r>
          </w:p>
        </w:tc>
      </w:tr>
      <w:tr w:rsidR="00D962E9">
        <w:trPr>
          <w:trHeight w:val="340"/>
        </w:trPr>
        <w:tc>
          <w:tcPr>
            <w:tcW w:w="1092" w:type="pct"/>
            <w:vMerge w:val="restar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认购费</w:t>
            </w:r>
          </w:p>
        </w:tc>
        <w:tc>
          <w:tcPr>
            <w:tcW w:w="1659" w:type="pct"/>
            <w:shd w:val="clear" w:color="auto" w:fill="FFFFFF"/>
            <w:vAlign w:val="center"/>
          </w:tcPr>
          <w:p w:rsidR="00D962E9" w:rsidRDefault="00CA15B8">
            <w:pPr>
              <w:adjustRightInd w:val="0"/>
              <w:snapToGrid w:val="0"/>
              <w:jc w:val="center"/>
              <w:rPr>
                <w:rFonts w:cs="方正仿宋简体"/>
                <w:iCs/>
                <w:szCs w:val="21"/>
              </w:rPr>
            </w:pPr>
            <w:r>
              <w:rPr>
                <w:rFonts w:cs="方正仿宋简体"/>
                <w:iCs/>
                <w:szCs w:val="21"/>
              </w:rPr>
              <w:t>M</w:t>
            </w:r>
            <w:r>
              <w:rPr>
                <w:rFonts w:cs="方正仿宋简体"/>
                <w:iCs/>
                <w:szCs w:val="21"/>
              </w:rPr>
              <w:t>＜</w:t>
            </w:r>
            <w:r>
              <w:rPr>
                <w:rFonts w:cs="方正仿宋简体"/>
                <w:iCs/>
                <w:szCs w:val="21"/>
              </w:rPr>
              <w:t>100</w:t>
            </w:r>
            <w:r>
              <w:rPr>
                <w:rFonts w:cs="方正仿宋简体"/>
                <w:iCs/>
                <w:szCs w:val="21"/>
              </w:rPr>
              <w:t>万</w:t>
            </w:r>
          </w:p>
        </w:tc>
        <w:tc>
          <w:tcPr>
            <w:tcW w:w="1125" w:type="pct"/>
            <w:shd w:val="clear" w:color="auto" w:fill="FFFFFF"/>
            <w:vAlign w:val="center"/>
          </w:tcPr>
          <w:p w:rsidR="00D962E9" w:rsidRDefault="00CA15B8">
            <w:pPr>
              <w:adjustRightInd w:val="0"/>
              <w:snapToGrid w:val="0"/>
              <w:jc w:val="center"/>
              <w:rPr>
                <w:rFonts w:cs="方正仿宋简体"/>
                <w:iCs/>
                <w:szCs w:val="21"/>
              </w:rPr>
            </w:pPr>
            <w:r>
              <w:rPr>
                <w:rFonts w:cs="方正仿宋简体"/>
                <w:iCs/>
                <w:szCs w:val="21"/>
              </w:rPr>
              <w:t>1.0%</w:t>
            </w:r>
          </w:p>
        </w:tc>
        <w:tc>
          <w:tcPr>
            <w:tcW w:w="1124"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0.1%</w:t>
            </w:r>
          </w:p>
        </w:tc>
      </w:tr>
      <w:tr w:rsidR="00D962E9">
        <w:trPr>
          <w:trHeight w:val="340"/>
        </w:trPr>
        <w:tc>
          <w:tcPr>
            <w:tcW w:w="1092" w:type="pct"/>
            <w:vMerge/>
            <w:shd w:val="clear" w:color="auto" w:fill="auto"/>
            <w:vAlign w:val="center"/>
          </w:tcPr>
          <w:p w:rsidR="00D962E9" w:rsidRDefault="00D962E9">
            <w:pPr>
              <w:adjustRightInd w:val="0"/>
              <w:snapToGrid w:val="0"/>
              <w:jc w:val="center"/>
              <w:rPr>
                <w:rFonts w:cs="方正仿宋简体"/>
                <w:iCs/>
                <w:szCs w:val="21"/>
              </w:rPr>
            </w:pPr>
          </w:p>
        </w:tc>
        <w:tc>
          <w:tcPr>
            <w:tcW w:w="1659" w:type="pct"/>
            <w:shd w:val="clear" w:color="auto" w:fill="FFFFFF"/>
            <w:vAlign w:val="center"/>
          </w:tcPr>
          <w:p w:rsidR="00D962E9" w:rsidRDefault="00CA15B8">
            <w:pPr>
              <w:adjustRightInd w:val="0"/>
              <w:snapToGrid w:val="0"/>
              <w:jc w:val="center"/>
              <w:rPr>
                <w:rFonts w:cs="方正仿宋简体"/>
                <w:iCs/>
                <w:szCs w:val="21"/>
              </w:rPr>
            </w:pPr>
            <w:r>
              <w:rPr>
                <w:rFonts w:cs="方正仿宋简体"/>
                <w:iCs/>
                <w:szCs w:val="21"/>
              </w:rPr>
              <w:t>100</w:t>
            </w:r>
            <w:r>
              <w:rPr>
                <w:rFonts w:cs="方正仿宋简体"/>
                <w:iCs/>
                <w:szCs w:val="21"/>
              </w:rPr>
              <w:t>万</w:t>
            </w:r>
            <w:r>
              <w:rPr>
                <w:rFonts w:cs="方正仿宋简体"/>
                <w:iCs/>
                <w:szCs w:val="21"/>
              </w:rPr>
              <w:t>≤M</w:t>
            </w:r>
            <w:r>
              <w:rPr>
                <w:rFonts w:cs="方正仿宋简体"/>
                <w:iCs/>
                <w:szCs w:val="21"/>
              </w:rPr>
              <w:t>＜</w:t>
            </w:r>
            <w:r>
              <w:rPr>
                <w:rFonts w:cs="方正仿宋简体"/>
                <w:iCs/>
                <w:szCs w:val="21"/>
              </w:rPr>
              <w:t>500</w:t>
            </w:r>
            <w:r>
              <w:rPr>
                <w:rFonts w:cs="方正仿宋简体"/>
                <w:iCs/>
                <w:szCs w:val="21"/>
              </w:rPr>
              <w:t>万</w:t>
            </w:r>
          </w:p>
        </w:tc>
        <w:tc>
          <w:tcPr>
            <w:tcW w:w="1125" w:type="pct"/>
            <w:shd w:val="clear" w:color="auto" w:fill="FFFFFF"/>
            <w:vAlign w:val="center"/>
          </w:tcPr>
          <w:p w:rsidR="00D962E9" w:rsidRDefault="00CA15B8">
            <w:pPr>
              <w:adjustRightInd w:val="0"/>
              <w:snapToGrid w:val="0"/>
              <w:jc w:val="center"/>
              <w:rPr>
                <w:rFonts w:cs="方正仿宋简体"/>
                <w:iCs/>
                <w:szCs w:val="21"/>
              </w:rPr>
            </w:pPr>
            <w:r>
              <w:rPr>
                <w:rFonts w:cs="方正仿宋简体"/>
                <w:iCs/>
                <w:szCs w:val="21"/>
              </w:rPr>
              <w:t>0.6%</w:t>
            </w:r>
          </w:p>
        </w:tc>
        <w:tc>
          <w:tcPr>
            <w:tcW w:w="1124"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0.06%</w:t>
            </w:r>
          </w:p>
        </w:tc>
      </w:tr>
      <w:tr w:rsidR="00D962E9">
        <w:trPr>
          <w:trHeight w:val="340"/>
        </w:trPr>
        <w:tc>
          <w:tcPr>
            <w:tcW w:w="1092" w:type="pct"/>
            <w:vMerge/>
            <w:shd w:val="clear" w:color="auto" w:fill="auto"/>
            <w:vAlign w:val="center"/>
          </w:tcPr>
          <w:p w:rsidR="00D962E9" w:rsidRDefault="00D962E9">
            <w:pPr>
              <w:adjustRightInd w:val="0"/>
              <w:snapToGrid w:val="0"/>
              <w:jc w:val="center"/>
              <w:rPr>
                <w:rFonts w:cs="方正仿宋简体"/>
                <w:iCs/>
                <w:szCs w:val="21"/>
              </w:rPr>
            </w:pPr>
          </w:p>
        </w:tc>
        <w:tc>
          <w:tcPr>
            <w:tcW w:w="1659" w:type="pct"/>
            <w:shd w:val="clear" w:color="auto" w:fill="FFFFFF"/>
            <w:vAlign w:val="center"/>
          </w:tcPr>
          <w:p w:rsidR="00D962E9" w:rsidRDefault="00CA15B8">
            <w:pPr>
              <w:adjustRightInd w:val="0"/>
              <w:snapToGrid w:val="0"/>
              <w:jc w:val="center"/>
              <w:rPr>
                <w:rFonts w:cs="方正仿宋简体"/>
                <w:iCs/>
                <w:szCs w:val="21"/>
              </w:rPr>
            </w:pPr>
            <w:r>
              <w:rPr>
                <w:rFonts w:cs="方正仿宋简体"/>
                <w:iCs/>
                <w:szCs w:val="21"/>
              </w:rPr>
              <w:t>M≥500</w:t>
            </w:r>
            <w:r>
              <w:rPr>
                <w:rFonts w:cs="方正仿宋简体"/>
                <w:iCs/>
                <w:szCs w:val="21"/>
              </w:rPr>
              <w:t>万</w:t>
            </w:r>
          </w:p>
        </w:tc>
        <w:tc>
          <w:tcPr>
            <w:tcW w:w="1125" w:type="pct"/>
            <w:shd w:val="clear" w:color="auto" w:fill="FFFFFF"/>
            <w:vAlign w:val="center"/>
          </w:tcPr>
          <w:p w:rsidR="00D962E9" w:rsidRDefault="00CA15B8">
            <w:pPr>
              <w:adjustRightInd w:val="0"/>
              <w:snapToGrid w:val="0"/>
              <w:jc w:val="center"/>
              <w:rPr>
                <w:rFonts w:cs="方正仿宋简体"/>
                <w:iCs/>
                <w:szCs w:val="21"/>
              </w:rPr>
            </w:pPr>
            <w:r>
              <w:rPr>
                <w:rFonts w:cs="方正仿宋简体"/>
                <w:iCs/>
                <w:szCs w:val="21"/>
              </w:rPr>
              <w:t>1000</w:t>
            </w:r>
            <w:r>
              <w:rPr>
                <w:rFonts w:cs="方正仿宋简体"/>
                <w:iCs/>
                <w:szCs w:val="21"/>
              </w:rPr>
              <w:t>元</w:t>
            </w:r>
            <w:r>
              <w:rPr>
                <w:rFonts w:cs="方正仿宋简体"/>
                <w:iCs/>
                <w:szCs w:val="21"/>
              </w:rPr>
              <w:t>/</w:t>
            </w:r>
            <w:r>
              <w:rPr>
                <w:rFonts w:cs="方正仿宋简体"/>
                <w:iCs/>
                <w:szCs w:val="21"/>
              </w:rPr>
              <w:t>笔</w:t>
            </w:r>
          </w:p>
        </w:tc>
        <w:tc>
          <w:tcPr>
            <w:tcW w:w="1124"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1000</w:t>
            </w:r>
            <w:r>
              <w:rPr>
                <w:rFonts w:cs="方正仿宋简体"/>
                <w:iCs/>
                <w:szCs w:val="21"/>
              </w:rPr>
              <w:t>元</w:t>
            </w:r>
            <w:r>
              <w:rPr>
                <w:rFonts w:cs="方正仿宋简体"/>
                <w:iCs/>
                <w:szCs w:val="21"/>
              </w:rPr>
              <w:t>/</w:t>
            </w:r>
            <w:r>
              <w:rPr>
                <w:rFonts w:cs="方正仿宋简体"/>
                <w:iCs/>
                <w:szCs w:val="21"/>
              </w:rPr>
              <w:t>笔</w:t>
            </w:r>
          </w:p>
        </w:tc>
      </w:tr>
      <w:tr w:rsidR="00D962E9">
        <w:trPr>
          <w:trHeight w:val="340"/>
        </w:trPr>
        <w:tc>
          <w:tcPr>
            <w:tcW w:w="1092" w:type="pct"/>
            <w:vMerge w:val="restar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申购费（前端）</w:t>
            </w:r>
          </w:p>
        </w:tc>
        <w:tc>
          <w:tcPr>
            <w:tcW w:w="1659"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M</w:t>
            </w:r>
            <w:r>
              <w:rPr>
                <w:rFonts w:cs="方正仿宋简体"/>
                <w:iCs/>
                <w:szCs w:val="21"/>
              </w:rPr>
              <w:t>＜</w:t>
            </w:r>
            <w:r>
              <w:rPr>
                <w:rFonts w:cs="方正仿宋简体"/>
                <w:iCs/>
                <w:szCs w:val="21"/>
              </w:rPr>
              <w:t>100</w:t>
            </w:r>
            <w:r>
              <w:rPr>
                <w:rFonts w:cs="方正仿宋简体"/>
                <w:iCs/>
                <w:szCs w:val="21"/>
              </w:rPr>
              <w:t>万</w:t>
            </w:r>
          </w:p>
        </w:tc>
        <w:tc>
          <w:tcPr>
            <w:tcW w:w="1125"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1.2%</w:t>
            </w:r>
          </w:p>
        </w:tc>
        <w:tc>
          <w:tcPr>
            <w:tcW w:w="1124"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0.12%</w:t>
            </w:r>
          </w:p>
        </w:tc>
      </w:tr>
      <w:tr w:rsidR="00D962E9">
        <w:trPr>
          <w:trHeight w:val="340"/>
        </w:trPr>
        <w:tc>
          <w:tcPr>
            <w:tcW w:w="1092" w:type="pct"/>
            <w:vMerge/>
            <w:shd w:val="clear" w:color="auto" w:fill="auto"/>
            <w:vAlign w:val="center"/>
          </w:tcPr>
          <w:p w:rsidR="00D962E9" w:rsidRDefault="00D962E9">
            <w:pPr>
              <w:adjustRightInd w:val="0"/>
              <w:snapToGrid w:val="0"/>
              <w:jc w:val="center"/>
              <w:rPr>
                <w:rFonts w:cs="方正仿宋简体"/>
                <w:iCs/>
                <w:szCs w:val="21"/>
              </w:rPr>
            </w:pPr>
          </w:p>
        </w:tc>
        <w:tc>
          <w:tcPr>
            <w:tcW w:w="1659"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100</w:t>
            </w:r>
            <w:r>
              <w:rPr>
                <w:rFonts w:cs="方正仿宋简体"/>
                <w:iCs/>
                <w:szCs w:val="21"/>
              </w:rPr>
              <w:t>万</w:t>
            </w:r>
            <w:r>
              <w:rPr>
                <w:rFonts w:cs="方正仿宋简体"/>
                <w:iCs/>
                <w:szCs w:val="21"/>
              </w:rPr>
              <w:t>≤M</w:t>
            </w:r>
            <w:r>
              <w:rPr>
                <w:rFonts w:cs="方正仿宋简体"/>
                <w:iCs/>
                <w:szCs w:val="21"/>
              </w:rPr>
              <w:t>＜</w:t>
            </w:r>
            <w:r>
              <w:rPr>
                <w:rFonts w:cs="方正仿宋简体"/>
                <w:iCs/>
                <w:szCs w:val="21"/>
              </w:rPr>
              <w:t>500</w:t>
            </w:r>
            <w:r>
              <w:rPr>
                <w:rFonts w:cs="方正仿宋简体"/>
                <w:iCs/>
                <w:szCs w:val="21"/>
              </w:rPr>
              <w:t>万</w:t>
            </w:r>
          </w:p>
        </w:tc>
        <w:tc>
          <w:tcPr>
            <w:tcW w:w="1125"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0.8%</w:t>
            </w:r>
          </w:p>
        </w:tc>
        <w:tc>
          <w:tcPr>
            <w:tcW w:w="1124"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0.08%</w:t>
            </w:r>
          </w:p>
        </w:tc>
      </w:tr>
      <w:tr w:rsidR="00D962E9">
        <w:trPr>
          <w:trHeight w:val="340"/>
        </w:trPr>
        <w:tc>
          <w:tcPr>
            <w:tcW w:w="1092" w:type="pct"/>
            <w:vMerge/>
            <w:shd w:val="clear" w:color="auto" w:fill="auto"/>
            <w:vAlign w:val="center"/>
          </w:tcPr>
          <w:p w:rsidR="00D962E9" w:rsidRDefault="00D962E9">
            <w:pPr>
              <w:adjustRightInd w:val="0"/>
              <w:snapToGrid w:val="0"/>
              <w:jc w:val="center"/>
              <w:rPr>
                <w:rFonts w:cs="方正仿宋简体"/>
                <w:iCs/>
                <w:szCs w:val="21"/>
              </w:rPr>
            </w:pPr>
          </w:p>
        </w:tc>
        <w:tc>
          <w:tcPr>
            <w:tcW w:w="1659"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M≥500</w:t>
            </w:r>
            <w:r>
              <w:rPr>
                <w:rFonts w:cs="方正仿宋简体"/>
                <w:iCs/>
                <w:szCs w:val="21"/>
              </w:rPr>
              <w:t>万</w:t>
            </w:r>
          </w:p>
        </w:tc>
        <w:tc>
          <w:tcPr>
            <w:tcW w:w="1125"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1000</w:t>
            </w:r>
            <w:r>
              <w:rPr>
                <w:rFonts w:cs="方正仿宋简体"/>
                <w:iCs/>
                <w:szCs w:val="21"/>
              </w:rPr>
              <w:t>元</w:t>
            </w:r>
            <w:r>
              <w:rPr>
                <w:rFonts w:cs="方正仿宋简体"/>
                <w:iCs/>
                <w:szCs w:val="21"/>
              </w:rPr>
              <w:t>/</w:t>
            </w:r>
            <w:r>
              <w:rPr>
                <w:rFonts w:cs="方正仿宋简体"/>
                <w:iCs/>
                <w:szCs w:val="21"/>
              </w:rPr>
              <w:t>笔</w:t>
            </w:r>
          </w:p>
        </w:tc>
        <w:tc>
          <w:tcPr>
            <w:tcW w:w="1124"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1000</w:t>
            </w:r>
            <w:r>
              <w:rPr>
                <w:rFonts w:cs="方正仿宋简体"/>
                <w:iCs/>
                <w:szCs w:val="21"/>
              </w:rPr>
              <w:t>元</w:t>
            </w:r>
            <w:r>
              <w:rPr>
                <w:rFonts w:cs="方正仿宋简体"/>
                <w:iCs/>
                <w:szCs w:val="21"/>
              </w:rPr>
              <w:t>/</w:t>
            </w:r>
            <w:r>
              <w:rPr>
                <w:rFonts w:cs="方正仿宋简体"/>
                <w:iCs/>
                <w:szCs w:val="21"/>
              </w:rPr>
              <w:t>笔</w:t>
            </w:r>
          </w:p>
        </w:tc>
      </w:tr>
      <w:tr w:rsidR="00D962E9">
        <w:trPr>
          <w:trHeight w:val="340"/>
        </w:trPr>
        <w:tc>
          <w:tcPr>
            <w:tcW w:w="1092" w:type="pct"/>
            <w:vMerge w:val="restar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赎回费</w:t>
            </w:r>
          </w:p>
        </w:tc>
        <w:tc>
          <w:tcPr>
            <w:tcW w:w="1659"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N</w:t>
            </w:r>
            <w:r>
              <w:rPr>
                <w:rFonts w:cs="方正仿宋简体"/>
                <w:iCs/>
                <w:szCs w:val="21"/>
              </w:rPr>
              <w:t>＜</w:t>
            </w:r>
            <w:r>
              <w:rPr>
                <w:rFonts w:cs="方正仿宋简体"/>
                <w:iCs/>
                <w:szCs w:val="21"/>
              </w:rPr>
              <w:t>7</w:t>
            </w:r>
            <w:r>
              <w:rPr>
                <w:rFonts w:cs="方正仿宋简体"/>
                <w:iCs/>
                <w:szCs w:val="21"/>
              </w:rPr>
              <w:t>天</w:t>
            </w:r>
          </w:p>
        </w:tc>
        <w:tc>
          <w:tcPr>
            <w:tcW w:w="2249" w:type="pct"/>
            <w:gridSpan w:val="2"/>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1.5%</w:t>
            </w:r>
          </w:p>
        </w:tc>
      </w:tr>
      <w:tr w:rsidR="00D962E9">
        <w:trPr>
          <w:trHeight w:val="340"/>
        </w:trPr>
        <w:tc>
          <w:tcPr>
            <w:tcW w:w="1092" w:type="pct"/>
            <w:vMerge/>
            <w:shd w:val="clear" w:color="auto" w:fill="auto"/>
            <w:vAlign w:val="center"/>
          </w:tcPr>
          <w:p w:rsidR="00D962E9" w:rsidRDefault="00D962E9">
            <w:pPr>
              <w:adjustRightInd w:val="0"/>
              <w:snapToGrid w:val="0"/>
              <w:jc w:val="center"/>
              <w:rPr>
                <w:rFonts w:cs="方正仿宋简体"/>
                <w:iCs/>
                <w:szCs w:val="21"/>
              </w:rPr>
            </w:pPr>
          </w:p>
        </w:tc>
        <w:tc>
          <w:tcPr>
            <w:tcW w:w="1659" w:type="pct"/>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N≥7</w:t>
            </w:r>
            <w:r>
              <w:rPr>
                <w:rFonts w:cs="方正仿宋简体"/>
                <w:iCs/>
                <w:szCs w:val="21"/>
              </w:rPr>
              <w:t>天</w:t>
            </w:r>
          </w:p>
        </w:tc>
        <w:tc>
          <w:tcPr>
            <w:tcW w:w="2249" w:type="pct"/>
            <w:gridSpan w:val="2"/>
            <w:shd w:val="clear" w:color="auto" w:fill="auto"/>
            <w:vAlign w:val="center"/>
          </w:tcPr>
          <w:p w:rsidR="00D962E9" w:rsidRDefault="00CA15B8">
            <w:pPr>
              <w:adjustRightInd w:val="0"/>
              <w:snapToGrid w:val="0"/>
              <w:jc w:val="center"/>
              <w:rPr>
                <w:rFonts w:cs="方正仿宋简体"/>
                <w:iCs/>
                <w:szCs w:val="21"/>
              </w:rPr>
            </w:pPr>
            <w:r>
              <w:rPr>
                <w:rFonts w:cs="方正仿宋简体"/>
                <w:iCs/>
                <w:szCs w:val="21"/>
              </w:rPr>
              <w:t>0</w:t>
            </w:r>
          </w:p>
        </w:tc>
      </w:tr>
    </w:tbl>
    <w:p w:rsidR="00D962E9" w:rsidRDefault="00CA15B8">
      <w:pPr>
        <w:widowControl w:val="0"/>
        <w:adjustRightInd w:val="0"/>
        <w:snapToGrid w:val="0"/>
        <w:spacing w:beforeLines="20" w:before="87" w:line="288" w:lineRule="auto"/>
        <w:jc w:val="both"/>
        <w:rPr>
          <w:rFonts w:cs="方正仿宋简体"/>
          <w:iCs/>
          <w:szCs w:val="21"/>
        </w:rPr>
      </w:pPr>
      <w:r>
        <w:rPr>
          <w:rFonts w:cs="方正仿宋简体"/>
          <w:iCs/>
          <w:szCs w:val="21"/>
        </w:rPr>
        <w:t>注：以上费用在投资者认购</w:t>
      </w:r>
      <w:r>
        <w:rPr>
          <w:rFonts w:cs="方正仿宋简体"/>
          <w:iCs/>
          <w:szCs w:val="21"/>
        </w:rPr>
        <w:t>/</w:t>
      </w:r>
      <w:r>
        <w:rPr>
          <w:rFonts w:cs="方正仿宋简体"/>
          <w:iCs/>
          <w:szCs w:val="21"/>
        </w:rPr>
        <w:t>申购</w:t>
      </w:r>
      <w:r>
        <w:rPr>
          <w:rFonts w:cs="方正仿宋简体"/>
          <w:iCs/>
          <w:szCs w:val="21"/>
        </w:rPr>
        <w:t>/</w:t>
      </w:r>
      <w:r>
        <w:rPr>
          <w:rFonts w:cs="方正仿宋简体"/>
          <w:iCs/>
          <w:szCs w:val="21"/>
        </w:rPr>
        <w:t>赎回基金过程中收取，特定客户的具体含义请见《招募说明书》相关内容。</w:t>
      </w:r>
    </w:p>
    <w:p w:rsidR="00956AC1" w:rsidRDefault="00A535E9" w:rsidP="000776C8">
      <w:pPr>
        <w:pStyle w:val="2"/>
      </w:pPr>
      <w:r w:rsidRPr="00ED3BD1">
        <w:rPr>
          <w:rFonts w:hint="eastAsia"/>
        </w:rPr>
        <w:t>基金运作相关费用</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4728"/>
        <w:gridCol w:w="2318"/>
      </w:tblGrid>
      <w:tr w:rsidR="00D962E9">
        <w:trPr>
          <w:jc w:val="center"/>
        </w:trPr>
        <w:tc>
          <w:tcPr>
            <w:tcW w:w="1984" w:type="dxa"/>
            <w:shd w:val="clear" w:color="auto" w:fill="auto"/>
            <w:vAlign w:val="center"/>
          </w:tcPr>
          <w:p w:rsidR="00D962E9" w:rsidRDefault="00CA15B8">
            <w:pPr>
              <w:pStyle w:val="ae"/>
              <w:spacing w:beforeLines="10" w:before="43" w:line="264" w:lineRule="auto"/>
              <w:contextualSpacing w:val="0"/>
              <w:jc w:val="center"/>
            </w:pPr>
            <w:r>
              <w:t>费用类别</w:t>
            </w:r>
          </w:p>
        </w:tc>
        <w:tc>
          <w:tcPr>
            <w:tcW w:w="4566" w:type="dxa"/>
            <w:shd w:val="clear" w:color="auto" w:fill="auto"/>
            <w:vAlign w:val="center"/>
          </w:tcPr>
          <w:p w:rsidR="00D962E9" w:rsidRDefault="00CA15B8">
            <w:pPr>
              <w:pStyle w:val="ae"/>
              <w:spacing w:beforeLines="10" w:before="43" w:line="264" w:lineRule="auto"/>
              <w:contextualSpacing w:val="0"/>
              <w:jc w:val="center"/>
            </w:pPr>
            <w:r>
              <w:rPr>
                <w:rFonts w:hint="eastAsia"/>
              </w:rPr>
              <w:t>年费率</w:t>
            </w:r>
            <w:r>
              <w:rPr>
                <w:rFonts w:hint="eastAsia"/>
              </w:rPr>
              <w:t>/</w:t>
            </w:r>
            <w:r>
              <w:rPr>
                <w:rFonts w:hint="eastAsia"/>
              </w:rPr>
              <w:t>收费方式</w:t>
            </w:r>
          </w:p>
        </w:tc>
        <w:tc>
          <w:tcPr>
            <w:tcW w:w="2239" w:type="dxa"/>
            <w:shd w:val="clear" w:color="auto" w:fill="auto"/>
            <w:vAlign w:val="center"/>
          </w:tcPr>
          <w:p w:rsidR="00D962E9" w:rsidRDefault="00CA15B8">
            <w:pPr>
              <w:pStyle w:val="ae"/>
              <w:spacing w:beforeLines="10" w:before="43" w:line="264" w:lineRule="auto"/>
              <w:contextualSpacing w:val="0"/>
              <w:jc w:val="center"/>
            </w:pPr>
            <w:r>
              <w:rPr>
                <w:rFonts w:hint="eastAsia"/>
              </w:rPr>
              <w:t>收取方</w:t>
            </w:r>
          </w:p>
        </w:tc>
      </w:tr>
      <w:tr w:rsidR="00D962E9">
        <w:trPr>
          <w:jc w:val="center"/>
        </w:trPr>
        <w:tc>
          <w:tcPr>
            <w:tcW w:w="1984" w:type="dxa"/>
            <w:shd w:val="clear" w:color="auto" w:fill="auto"/>
            <w:vAlign w:val="center"/>
          </w:tcPr>
          <w:p w:rsidR="00D962E9" w:rsidRDefault="00CA15B8">
            <w:pPr>
              <w:pStyle w:val="ae"/>
              <w:spacing w:beforeLines="10" w:before="43" w:line="264" w:lineRule="auto"/>
              <w:contextualSpacing w:val="0"/>
              <w:jc w:val="center"/>
            </w:pPr>
            <w:r>
              <w:t>管理费</w:t>
            </w:r>
          </w:p>
        </w:tc>
        <w:tc>
          <w:tcPr>
            <w:tcW w:w="4566" w:type="dxa"/>
            <w:shd w:val="clear" w:color="auto" w:fill="auto"/>
            <w:vAlign w:val="center"/>
          </w:tcPr>
          <w:p w:rsidR="00D962E9" w:rsidRDefault="00CA15B8">
            <w:pPr>
              <w:pStyle w:val="ae"/>
              <w:spacing w:beforeLines="10" w:before="43" w:line="264" w:lineRule="auto"/>
              <w:contextualSpacing w:val="0"/>
            </w:pPr>
            <w:r>
              <w:rPr>
                <w:rFonts w:hint="eastAsia"/>
              </w:rPr>
              <w:t>0.80%</w:t>
            </w:r>
          </w:p>
        </w:tc>
        <w:tc>
          <w:tcPr>
            <w:tcW w:w="2239" w:type="dxa"/>
            <w:shd w:val="clear" w:color="auto" w:fill="auto"/>
            <w:vAlign w:val="center"/>
          </w:tcPr>
          <w:p w:rsidR="00D962E9" w:rsidRDefault="00CA15B8">
            <w:pPr>
              <w:pStyle w:val="ae"/>
              <w:spacing w:beforeLines="10" w:before="43" w:line="264" w:lineRule="auto"/>
              <w:contextualSpacing w:val="0"/>
              <w:jc w:val="left"/>
            </w:pPr>
            <w:r>
              <w:rPr>
                <w:rFonts w:hint="eastAsia"/>
              </w:rPr>
              <w:t>基金管理人、销售机构</w:t>
            </w:r>
          </w:p>
        </w:tc>
      </w:tr>
      <w:tr w:rsidR="00D962E9">
        <w:trPr>
          <w:jc w:val="center"/>
        </w:trPr>
        <w:tc>
          <w:tcPr>
            <w:tcW w:w="1984" w:type="dxa"/>
            <w:shd w:val="clear" w:color="auto" w:fill="auto"/>
            <w:vAlign w:val="center"/>
          </w:tcPr>
          <w:p w:rsidR="00D962E9" w:rsidRDefault="00CA15B8">
            <w:pPr>
              <w:pStyle w:val="ae"/>
              <w:spacing w:beforeLines="10" w:before="43" w:line="264" w:lineRule="auto"/>
              <w:contextualSpacing w:val="0"/>
              <w:jc w:val="center"/>
            </w:pPr>
            <w:r>
              <w:t>托管费</w:t>
            </w:r>
          </w:p>
        </w:tc>
        <w:tc>
          <w:tcPr>
            <w:tcW w:w="4566" w:type="dxa"/>
            <w:shd w:val="clear" w:color="auto" w:fill="auto"/>
            <w:vAlign w:val="center"/>
          </w:tcPr>
          <w:p w:rsidR="00D962E9" w:rsidRDefault="00CA15B8">
            <w:pPr>
              <w:pStyle w:val="ae"/>
              <w:spacing w:beforeLines="10" w:before="43" w:line="264" w:lineRule="auto"/>
              <w:contextualSpacing w:val="0"/>
            </w:pPr>
            <w:r>
              <w:rPr>
                <w:rFonts w:hint="eastAsia"/>
              </w:rPr>
              <w:t>0.15%</w:t>
            </w:r>
          </w:p>
        </w:tc>
        <w:tc>
          <w:tcPr>
            <w:tcW w:w="2239" w:type="dxa"/>
            <w:shd w:val="clear" w:color="auto" w:fill="auto"/>
            <w:vAlign w:val="center"/>
          </w:tcPr>
          <w:p w:rsidR="00D962E9" w:rsidRDefault="00CA15B8">
            <w:pPr>
              <w:pStyle w:val="ae"/>
              <w:spacing w:beforeLines="10" w:before="43" w:line="264" w:lineRule="auto"/>
              <w:contextualSpacing w:val="0"/>
              <w:jc w:val="left"/>
            </w:pPr>
            <w:r>
              <w:rPr>
                <w:rFonts w:hint="eastAsia"/>
              </w:rPr>
              <w:t>基金托管人</w:t>
            </w:r>
          </w:p>
        </w:tc>
      </w:tr>
    </w:tbl>
    <w:p w:rsidR="00D962E9" w:rsidRDefault="00CA15B8">
      <w:pPr>
        <w:adjustRightInd w:val="0"/>
        <w:snapToGrid w:val="0"/>
        <w:spacing w:beforeLines="20" w:before="87" w:line="288" w:lineRule="auto"/>
        <w:rPr>
          <w:rFonts w:cs="方正仿宋简体"/>
          <w:iCs/>
          <w:szCs w:val="21"/>
        </w:rPr>
      </w:pPr>
      <w:r>
        <w:rPr>
          <w:rFonts w:cs="方正仿宋简体"/>
          <w:iCs/>
          <w:szCs w:val="21"/>
        </w:rPr>
        <w:t>注：以上费用将从基金资产中扣除。本基金交易证券等产生的费用和税负，按实际发生额从基金资产扣除。</w:t>
      </w:r>
    </w:p>
    <w:p w:rsidR="006370B9" w:rsidRPr="00A14942" w:rsidRDefault="006370B9" w:rsidP="006370B9">
      <w:pPr>
        <w:pStyle w:val="1"/>
        <w:ind w:left="425" w:hanging="425"/>
      </w:pPr>
      <w:r w:rsidRPr="00A14942">
        <w:rPr>
          <w:rFonts w:hint="eastAsia"/>
        </w:rPr>
        <w:t>风险揭示与重要提示</w:t>
      </w:r>
    </w:p>
    <w:p w:rsidR="006370B9" w:rsidRPr="00006391" w:rsidRDefault="006370B9" w:rsidP="006370B9">
      <w:pPr>
        <w:pStyle w:val="2"/>
        <w:numPr>
          <w:ilvl w:val="1"/>
          <w:numId w:val="18"/>
        </w:numPr>
      </w:pPr>
      <w:r w:rsidRPr="00006391">
        <w:rPr>
          <w:rFonts w:hint="eastAsia"/>
        </w:rPr>
        <w:t>风险揭示</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本基金不提供任何保证。投资者可能损失投资本金。投资有风险，投资者购买基金时应认真阅读本基金的《招募说明书》等销售文件。</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投资中的风险包括：证券市场整体环境引发的系统性风险，个别证券特有的非系统性风险，大量赎回或暴跌导致的流动性风险，基金投资过程中产生的操作风险，因交收违约和投资债券引发的信用风险，指数化投资的风险，基金投资对象与投资策略引致的特有风险等等。</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本基金的特有风险包括：</w:t>
      </w:r>
      <w:r>
        <w:rPr>
          <w:rFonts w:cs="方正仿宋简体"/>
          <w:iCs/>
          <w:szCs w:val="21"/>
        </w:rPr>
        <w:t>1</w:t>
      </w:r>
      <w:r>
        <w:rPr>
          <w:rFonts w:cs="方正仿宋简体"/>
          <w:iCs/>
          <w:szCs w:val="21"/>
        </w:rPr>
        <w:t>、指数化投资的风险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本基金的股票及存托凭证资产投资比例不低于基金资产的</w:t>
      </w:r>
      <w:r>
        <w:rPr>
          <w:rFonts w:cs="方正仿宋简体"/>
          <w:iCs/>
          <w:szCs w:val="21"/>
        </w:rPr>
        <w:t>80%</w:t>
      </w:r>
      <w:r>
        <w:rPr>
          <w:rFonts w:cs="方正仿宋简体"/>
          <w:iCs/>
          <w:szCs w:val="21"/>
        </w:rPr>
        <w:t>（其中港股通标的股票不超过股票资产的</w:t>
      </w:r>
      <w:r>
        <w:rPr>
          <w:rFonts w:cs="方正仿宋简体"/>
          <w:iCs/>
          <w:szCs w:val="21"/>
        </w:rPr>
        <w:t>20%</w:t>
      </w:r>
      <w:r>
        <w:rPr>
          <w:rFonts w:cs="方正仿宋简体"/>
          <w:iCs/>
          <w:szCs w:val="21"/>
        </w:rPr>
        <w:t>），投资于标的指数成份股及其备选成份股（均含存托凭证）的资产不低于非现金基金资产的</w:t>
      </w:r>
      <w:r>
        <w:rPr>
          <w:rFonts w:cs="方正仿宋简体"/>
          <w:iCs/>
          <w:szCs w:val="21"/>
        </w:rPr>
        <w:t>80%</w:t>
      </w:r>
      <w:r>
        <w:rPr>
          <w:rFonts w:cs="方正仿宋简体"/>
          <w:iCs/>
          <w:szCs w:val="21"/>
        </w:rPr>
        <w:t>，业绩表现将会随着标的指数的波动而波</w:t>
      </w:r>
      <w:r>
        <w:rPr>
          <w:rFonts w:cs="方正仿宋简体"/>
          <w:iCs/>
          <w:szCs w:val="21"/>
        </w:rPr>
        <w:t>动。</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2</w:t>
      </w:r>
      <w:r>
        <w:rPr>
          <w:rFonts w:cs="方正仿宋简体"/>
          <w:iCs/>
          <w:szCs w:val="21"/>
        </w:rPr>
        <w:t>、投资科创板股票的风险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本基金主要投资于科创板股票，会面临科创板机制下因投资标的、市场制度以及交易规则等差异带来的特有风险。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3</w:t>
      </w:r>
      <w:r>
        <w:rPr>
          <w:rFonts w:cs="方正仿宋简体"/>
          <w:iCs/>
          <w:szCs w:val="21"/>
        </w:rPr>
        <w:t>、股指期货、国债期货的投资风险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lastRenderedPageBreak/>
        <w:t>本基金可按照基金合同的约定投资股指期货、国债期货。期货市场与现货市场不同，采取保证金交易，风险较现货市场更高。</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4</w:t>
      </w:r>
      <w:r>
        <w:rPr>
          <w:rFonts w:cs="方正仿宋简体"/>
          <w:iCs/>
          <w:szCs w:val="21"/>
        </w:rPr>
        <w:t>、股票期权的投资风险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本基金可投资股票期权，若投资股票期权所面临的主要风险是衍生品价格波动带来的市场风险。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5</w:t>
      </w:r>
      <w:r>
        <w:rPr>
          <w:rFonts w:cs="方正仿宋简体"/>
          <w:iCs/>
          <w:szCs w:val="21"/>
        </w:rPr>
        <w:t>、资产支持证券的投资风险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可投资资产支持证券，资产支持证券是由受托机构发行的、代表特定目的信托的信托受益权份额。受托机构以信托财产为限向投资机构承担支付资产支持证券收益的义务，其支付主要来源于支持证券的资产池产生的现金流。资产支持证券在二级市场的成交流动性情况差异较大，投资者可能面临资产支持证券难以以合理价格变现进而遭受损失的情况。</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6</w:t>
      </w:r>
      <w:r>
        <w:rPr>
          <w:rFonts w:cs="方正仿宋简体"/>
          <w:iCs/>
          <w:szCs w:val="21"/>
        </w:rPr>
        <w:t>、参与融资业务的特殊风险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本基金可根据法律法规的规定参与融资业务，可能面临的风险包括杠杆风险、强制平仓风险、授信额度风险、融资成本增加的风险以及标的证券暂停交易或终止上市的风险等。</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7</w:t>
      </w:r>
      <w:r>
        <w:rPr>
          <w:rFonts w:cs="方正仿宋简体"/>
          <w:iCs/>
          <w:szCs w:val="21"/>
        </w:rPr>
        <w:t>、参与转融</w:t>
      </w:r>
      <w:r>
        <w:rPr>
          <w:rFonts w:cs="方正仿宋简体"/>
          <w:iCs/>
          <w:szCs w:val="21"/>
        </w:rPr>
        <w:t>通证券出借业务的风险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本基金可参与转融通证券出借业务，可能面临的风险包括但不限于流动性风险、信用风险、市场风险以及其他风险。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8</w:t>
      </w:r>
      <w:r>
        <w:rPr>
          <w:rFonts w:cs="方正仿宋简体"/>
          <w:iCs/>
          <w:szCs w:val="21"/>
        </w:rPr>
        <w:t>、信用衍生品的投资风险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为对冲信用风险，本基金可能投资于信用衍生品，信用衍生品的投资可能面临流动性风险、偿付风险以及价格波动风险等。</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9</w:t>
      </w:r>
      <w:r>
        <w:rPr>
          <w:rFonts w:cs="方正仿宋简体"/>
          <w:iCs/>
          <w:szCs w:val="21"/>
        </w:rPr>
        <w:t>、存托凭证投资风险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本基金如投资存托凭证的，在承担境内上市交易股票投资的共同风险外，还将承担与存托凭证、创新企业发行、境外发行人以及交易机制相关的特有风险。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10</w:t>
      </w:r>
      <w:r>
        <w:rPr>
          <w:rFonts w:cs="方正仿宋简体"/>
          <w:iCs/>
          <w:szCs w:val="21"/>
        </w:rPr>
        <w:t>、北京证券交易所股票投资风险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本基金如投资于北京证券交易所股票，可能面临的风险包括经营风险、股价波动风险、退市风险、流动性风险、由于存在表决权差异安排可能引发的风险。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11</w:t>
      </w:r>
      <w:r>
        <w:rPr>
          <w:rFonts w:cs="方正仿宋简体"/>
          <w:iCs/>
          <w:szCs w:val="21"/>
        </w:rPr>
        <w:t>、港股通标的股票投资风险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本基金投资于港股通标的股票，会面临港股通机制下因投资环境、投资标的、市场制度以及交易规则等差异带来的特有风险。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12</w:t>
      </w:r>
      <w:r>
        <w:rPr>
          <w:rFonts w:cs="方正仿宋简体"/>
          <w:iCs/>
          <w:szCs w:val="21"/>
        </w:rPr>
        <w:t>、终止清盘风险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本基金存在着无法存续的风险。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13</w:t>
      </w:r>
      <w:r>
        <w:rPr>
          <w:rFonts w:cs="方正仿宋简体"/>
          <w:iCs/>
          <w:szCs w:val="21"/>
        </w:rPr>
        <w:t>、本基金采用增强策略的风险</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本基金为增强型的指数基金，以</w:t>
      </w:r>
      <w:r>
        <w:rPr>
          <w:rFonts w:cs="方正仿宋简体"/>
          <w:iCs/>
          <w:szCs w:val="21"/>
        </w:rPr>
        <w:t>“</w:t>
      </w:r>
      <w:r>
        <w:rPr>
          <w:rFonts w:cs="方正仿宋简体"/>
          <w:iCs/>
          <w:szCs w:val="21"/>
        </w:rPr>
        <w:t>指数化投资为主、主动性投资为辅</w:t>
      </w:r>
      <w:r>
        <w:rPr>
          <w:rFonts w:cs="方正仿宋简体"/>
          <w:iCs/>
          <w:szCs w:val="21"/>
        </w:rPr>
        <w:t>”</w:t>
      </w:r>
      <w:r>
        <w:rPr>
          <w:rFonts w:cs="方正仿宋简体"/>
          <w:iCs/>
          <w:szCs w:val="21"/>
        </w:rPr>
        <w:t>，采用主动管理策略选股，可能存在策略失效，无法战胜指数收益的风险。</w:t>
      </w:r>
    </w:p>
    <w:p w:rsidR="006370B9" w:rsidRPr="00006391" w:rsidRDefault="006370B9" w:rsidP="006370B9">
      <w:pPr>
        <w:pStyle w:val="2"/>
        <w:numPr>
          <w:ilvl w:val="1"/>
          <w:numId w:val="17"/>
        </w:numPr>
      </w:pPr>
      <w:r w:rsidRPr="00006391">
        <w:rPr>
          <w:rFonts w:hint="eastAsia"/>
        </w:rPr>
        <w:t>重要提示</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中国证监会</w:t>
      </w:r>
      <w:r>
        <w:rPr>
          <w:rFonts w:cs="方正仿宋简体"/>
          <w:iCs/>
          <w:szCs w:val="21"/>
        </w:rPr>
        <w:t>对本基金募集的注册</w:t>
      </w:r>
      <w:r>
        <w:rPr>
          <w:rFonts w:cs="方正仿宋简体"/>
          <w:iCs/>
          <w:szCs w:val="21"/>
        </w:rPr>
        <w:t>/</w:t>
      </w:r>
      <w:r>
        <w:rPr>
          <w:rFonts w:cs="方正仿宋简体"/>
          <w:iCs/>
          <w:szCs w:val="21"/>
        </w:rPr>
        <w:t>核准，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与本基金或基金合同相关的一切争议，如经友好协商未能解决的，均应提交中国国际经济贸易仲裁委员会，根据该院届时有效的仲裁规则进行仲裁，仲裁地点为北京市。仲裁裁决是终局的，并对各方当事人均有约束力，仲裁费用由败诉方承担。</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基</w:t>
      </w:r>
      <w:r>
        <w:rPr>
          <w:rFonts w:cs="方正仿宋简体"/>
          <w:iCs/>
          <w:szCs w:val="21"/>
        </w:rPr>
        <w:t>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定期公告等披露文件。</w:t>
      </w:r>
    </w:p>
    <w:p w:rsidR="006370B9" w:rsidRPr="00A14942" w:rsidRDefault="006370B9" w:rsidP="006370B9">
      <w:pPr>
        <w:pStyle w:val="1"/>
        <w:ind w:left="425" w:hanging="425"/>
      </w:pPr>
      <w:r w:rsidRPr="00A14942">
        <w:rPr>
          <w:rFonts w:hint="eastAsia"/>
        </w:rPr>
        <w:lastRenderedPageBreak/>
        <w:t>其他资料查询方式</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以下资料详见基金管理人网站（</w:t>
      </w:r>
      <w:r>
        <w:rPr>
          <w:rFonts w:cs="方正仿宋简体"/>
          <w:iCs/>
          <w:szCs w:val="21"/>
        </w:rPr>
        <w:t>www.fullgoal.com.cn</w:t>
      </w:r>
      <w:r>
        <w:rPr>
          <w:rFonts w:cs="方正仿宋简体"/>
          <w:iCs/>
          <w:szCs w:val="21"/>
        </w:rPr>
        <w:t>），客户服务热线：</w:t>
      </w:r>
      <w:r>
        <w:rPr>
          <w:rFonts w:cs="方正仿宋简体"/>
          <w:iCs/>
          <w:szCs w:val="21"/>
        </w:rPr>
        <w:t>95105686</w:t>
      </w:r>
      <w:r>
        <w:rPr>
          <w:rFonts w:cs="方正仿宋简体"/>
          <w:iCs/>
          <w:szCs w:val="21"/>
        </w:rPr>
        <w:t>，</w:t>
      </w:r>
      <w:r>
        <w:rPr>
          <w:rFonts w:cs="方正仿宋简体"/>
          <w:iCs/>
          <w:szCs w:val="21"/>
        </w:rPr>
        <w:t>4008880688</w:t>
      </w:r>
      <w:r>
        <w:rPr>
          <w:rFonts w:cs="方正仿宋简体"/>
          <w:iCs/>
          <w:szCs w:val="21"/>
        </w:rPr>
        <w:t>（全国统一，免长途话费）</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1.</w:t>
      </w:r>
      <w:r>
        <w:rPr>
          <w:rFonts w:cs="方正仿宋简体"/>
          <w:iCs/>
          <w:szCs w:val="21"/>
        </w:rPr>
        <w:t>基金合同、托管协议、招募说明书</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2.</w:t>
      </w:r>
      <w:r>
        <w:rPr>
          <w:rFonts w:cs="方正仿宋简体"/>
          <w:iCs/>
          <w:szCs w:val="21"/>
        </w:rPr>
        <w:t>定期报告，包括基金季度报告、中期报告和年度报</w:t>
      </w:r>
      <w:r>
        <w:rPr>
          <w:rFonts w:cs="方正仿宋简体"/>
          <w:iCs/>
          <w:szCs w:val="21"/>
        </w:rPr>
        <w:t>告</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3.</w:t>
      </w:r>
      <w:r>
        <w:rPr>
          <w:rFonts w:cs="方正仿宋简体"/>
          <w:iCs/>
          <w:szCs w:val="21"/>
        </w:rPr>
        <w:t>基金份额净值</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4.</w:t>
      </w:r>
      <w:r>
        <w:rPr>
          <w:rFonts w:cs="方正仿宋简体"/>
          <w:iCs/>
          <w:szCs w:val="21"/>
        </w:rPr>
        <w:t>基金销售机构及联系方式</w:t>
      </w:r>
    </w:p>
    <w:p w:rsidR="00D962E9" w:rsidRDefault="00CA15B8">
      <w:pPr>
        <w:adjustRightInd w:val="0"/>
        <w:snapToGrid w:val="0"/>
        <w:spacing w:line="288" w:lineRule="auto"/>
        <w:ind w:firstLineChars="200" w:firstLine="420"/>
        <w:rPr>
          <w:rFonts w:cs="方正仿宋简体"/>
          <w:iCs/>
          <w:szCs w:val="21"/>
        </w:rPr>
      </w:pPr>
      <w:r>
        <w:rPr>
          <w:rFonts w:cs="方正仿宋简体"/>
          <w:iCs/>
          <w:szCs w:val="21"/>
        </w:rPr>
        <w:t>5.</w:t>
      </w:r>
      <w:r>
        <w:rPr>
          <w:rFonts w:cs="方正仿宋简体"/>
          <w:iCs/>
          <w:szCs w:val="21"/>
        </w:rPr>
        <w:t>其他重要资料</w:t>
      </w:r>
    </w:p>
    <w:sectPr w:rsidR="00D962E9" w:rsidSect="00AD4857">
      <w:footerReference w:type="default" r:id="rId7"/>
      <w:pgSz w:w="11906" w:h="16838"/>
      <w:pgMar w:top="1021" w:right="1474" w:bottom="1021" w:left="1474" w:header="851" w:footer="454"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15B8" w:rsidRDefault="00CA15B8" w:rsidP="00084FBF">
      <w:r>
        <w:separator/>
      </w:r>
    </w:p>
  </w:endnote>
  <w:endnote w:type="continuationSeparator" w:id="0">
    <w:p w:rsidR="00CA15B8" w:rsidRDefault="00CA15B8" w:rsidP="00084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F87" w:rsidRDefault="00953F87">
    <w:pPr>
      <w:pStyle w:val="ad"/>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D7433C">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7433C">
      <w:rPr>
        <w:b/>
        <w:bCs/>
        <w:noProof/>
      </w:rPr>
      <w:t>4</w:t>
    </w:r>
    <w:r>
      <w:rPr>
        <w:b/>
        <w:bCs/>
        <w:sz w:val="24"/>
        <w:szCs w:val="24"/>
      </w:rPr>
      <w:fldChar w:fldCharType="end"/>
    </w:r>
  </w:p>
  <w:p w:rsidR="00953F87" w:rsidRDefault="00953F87">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15B8" w:rsidRDefault="00CA15B8" w:rsidP="00084FBF">
      <w:r>
        <w:separator/>
      </w:r>
    </w:p>
  </w:footnote>
  <w:footnote w:type="continuationSeparator" w:id="0">
    <w:p w:rsidR="00CA15B8" w:rsidRDefault="00CA15B8" w:rsidP="00084F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51409CC"/>
    <w:multiLevelType w:val="hybridMultilevel"/>
    <w:tmpl w:val="035A1476"/>
    <w:lvl w:ilvl="0" w:tplc="99480BE8">
      <w:start w:val="1"/>
      <w:numFmt w:val="chineseCountingThousand"/>
      <w:pStyle w:val="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6213A5"/>
    <w:multiLevelType w:val="hybridMultilevel"/>
    <w:tmpl w:val="A8DC98DE"/>
    <w:lvl w:ilvl="0" w:tplc="67C8E684">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E66571"/>
    <w:multiLevelType w:val="multilevel"/>
    <w:tmpl w:val="D868A662"/>
    <w:lvl w:ilvl="0">
      <w:start w:val="1"/>
      <w:numFmt w:val="chineseCountingThousand"/>
      <w:pStyle w:val="1"/>
      <w:suff w:val="space"/>
      <w:lvlText w:val="%1、"/>
      <w:lvlJc w:val="left"/>
      <w:pPr>
        <w:ind w:left="0" w:firstLine="0"/>
      </w:pPr>
      <w:rPr>
        <w:rFonts w:hint="eastAsia"/>
      </w:rPr>
    </w:lvl>
    <w:lvl w:ilvl="1">
      <w:start w:val="1"/>
      <w:numFmt w:val="japaneseCounting"/>
      <w:lvlText w:val="（%2）"/>
      <w:lvlJc w:val="left"/>
      <w:pPr>
        <w:ind w:left="1140" w:hanging="72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48B39D6"/>
    <w:multiLevelType w:val="hybridMultilevel"/>
    <w:tmpl w:val="E92CCC70"/>
    <w:lvl w:ilvl="0" w:tplc="5C21FE0E">
      <w:start w:val="2"/>
      <w:numFmt w:val="chineseCounting"/>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A76D66"/>
    <w:multiLevelType w:val="multilevel"/>
    <w:tmpl w:val="F000C7D6"/>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307B2E9D"/>
    <w:multiLevelType w:val="multilevel"/>
    <w:tmpl w:val="3E7A3EF0"/>
    <w:lvl w:ilvl="0">
      <w:start w:val="1"/>
      <w:numFmt w:val="chineseCountingThousand"/>
      <w:suff w:val="space"/>
      <w:lvlText w:val="%1、"/>
      <w:lvlJc w:val="left"/>
      <w:pPr>
        <w:ind w:left="0" w:firstLine="0"/>
      </w:pPr>
      <w:rPr>
        <w:rFonts w:ascii="宋体" w:eastAsia="宋体" w:hAnsi="宋体" w:hint="eastAsia"/>
        <w:b w:val="0"/>
        <w:i w:val="0"/>
        <w:sz w:val="24"/>
      </w:rPr>
    </w:lvl>
    <w:lvl w:ilvl="1">
      <w:start w:val="1"/>
      <w:numFmt w:val="chineseCountingThousand"/>
      <w:suff w:val="space"/>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D5E12D9"/>
    <w:multiLevelType w:val="hybridMultilevel"/>
    <w:tmpl w:val="8FE843C0"/>
    <w:lvl w:ilvl="0" w:tplc="04090001">
      <w:start w:val="1"/>
      <w:numFmt w:val="bullet"/>
      <w:lvlText w:val=""/>
      <w:lvlJc w:val="left"/>
      <w:pPr>
        <w:ind w:left="704" w:hanging="420"/>
      </w:pPr>
      <w:rPr>
        <w:rFonts w:ascii="Wingdings" w:hAnsi="Wingdings"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4F606D61"/>
    <w:multiLevelType w:val="multilevel"/>
    <w:tmpl w:val="811EEC96"/>
    <w:lvl w:ilvl="0">
      <w:start w:val="1"/>
      <w:numFmt w:val="japaneseCounting"/>
      <w:lvlText w:val="（%1）"/>
      <w:lvlJc w:val="left"/>
      <w:pPr>
        <w:ind w:left="420" w:hanging="420"/>
      </w:pPr>
      <w:rPr>
        <w:rFonts w:hint="default"/>
      </w:rPr>
    </w:lvl>
    <w:lvl w:ilvl="1">
      <w:start w:val="1"/>
      <w:numFmt w:val="chineseCountingThousand"/>
      <w:pStyle w:val="2"/>
      <w:lvlText w:val="（%2）"/>
      <w:lvlJc w:val="left"/>
      <w:pPr>
        <w:ind w:left="0" w:firstLine="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5AC33CF0"/>
    <w:multiLevelType w:val="singleLevel"/>
    <w:tmpl w:val="5AC33CF0"/>
    <w:lvl w:ilvl="0">
      <w:start w:val="1"/>
      <w:numFmt w:val="chineseCounting"/>
      <w:suff w:val="nothing"/>
      <w:lvlText w:val="%1、"/>
      <w:lvlJc w:val="left"/>
    </w:lvl>
  </w:abstractNum>
  <w:abstractNum w:abstractNumId="10">
    <w:nsid w:val="5C21FE0E"/>
    <w:multiLevelType w:val="singleLevel"/>
    <w:tmpl w:val="5C21FE0E"/>
    <w:lvl w:ilvl="0">
      <w:start w:val="2"/>
      <w:numFmt w:val="chineseCounting"/>
      <w:suff w:val="nothing"/>
      <w:lvlText w:val="（%1）"/>
      <w:lvlJc w:val="left"/>
    </w:lvl>
  </w:abstractNum>
  <w:abstractNum w:abstractNumId="11">
    <w:nsid w:val="622E5A63"/>
    <w:multiLevelType w:val="hybridMultilevel"/>
    <w:tmpl w:val="3FBC99F8"/>
    <w:lvl w:ilvl="0" w:tplc="5C21FE0E">
      <w:start w:val="2"/>
      <w:numFmt w:val="chineseCounting"/>
      <w:lvlText w:val="（%1）"/>
      <w:lvlJc w:val="left"/>
      <w:pPr>
        <w:ind w:left="420" w:hanging="420"/>
      </w:pPr>
    </w:lvl>
    <w:lvl w:ilvl="1" w:tplc="F9CA7E8C">
      <w:start w:val="1"/>
      <w:numFmt w:val="decimal"/>
      <w:lvlText w:val="（%2）"/>
      <w:lvlJc w:val="left"/>
      <w:pPr>
        <w:ind w:left="704"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C855BF"/>
    <w:multiLevelType w:val="hybridMultilevel"/>
    <w:tmpl w:val="6C2AEB6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0"/>
  </w:num>
  <w:num w:numId="3">
    <w:abstractNumId w:val="0"/>
  </w:num>
  <w:num w:numId="4">
    <w:abstractNumId w:val="3"/>
  </w:num>
  <w:num w:numId="5">
    <w:abstractNumId w:val="12"/>
  </w:num>
  <w:num w:numId="6">
    <w:abstractNumId w:val="4"/>
  </w:num>
  <w:num w:numId="7">
    <w:abstractNumId w:val="11"/>
  </w:num>
  <w:num w:numId="8">
    <w:abstractNumId w:val="7"/>
  </w:num>
  <w:num w:numId="9">
    <w:abstractNumId w:val="3"/>
  </w:num>
  <w:num w:numId="10">
    <w:abstractNumId w:val="2"/>
  </w:num>
  <w:num w:numId="11">
    <w:abstractNumId w:val="8"/>
  </w:num>
  <w:num w:numId="12">
    <w:abstractNumId w:val="8"/>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05"/>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CD"/>
    <w:rsid w:val="00005219"/>
    <w:rsid w:val="00011D44"/>
    <w:rsid w:val="00013020"/>
    <w:rsid w:val="00020BC0"/>
    <w:rsid w:val="00022545"/>
    <w:rsid w:val="000232C6"/>
    <w:rsid w:val="00036483"/>
    <w:rsid w:val="00042918"/>
    <w:rsid w:val="000477E3"/>
    <w:rsid w:val="00051C0C"/>
    <w:rsid w:val="00053417"/>
    <w:rsid w:val="00064982"/>
    <w:rsid w:val="000776C8"/>
    <w:rsid w:val="000827C1"/>
    <w:rsid w:val="00084FBF"/>
    <w:rsid w:val="000A7B26"/>
    <w:rsid w:val="000C530A"/>
    <w:rsid w:val="000D10B4"/>
    <w:rsid w:val="000D218F"/>
    <w:rsid w:val="000D57C1"/>
    <w:rsid w:val="001000DB"/>
    <w:rsid w:val="00106AF7"/>
    <w:rsid w:val="00120CE6"/>
    <w:rsid w:val="00124B97"/>
    <w:rsid w:val="0013684A"/>
    <w:rsid w:val="00142362"/>
    <w:rsid w:val="00151E19"/>
    <w:rsid w:val="00154E3B"/>
    <w:rsid w:val="00162B21"/>
    <w:rsid w:val="00165774"/>
    <w:rsid w:val="00186F72"/>
    <w:rsid w:val="00196B69"/>
    <w:rsid w:val="001A1651"/>
    <w:rsid w:val="001A78ED"/>
    <w:rsid w:val="001A7B4D"/>
    <w:rsid w:val="001C35F9"/>
    <w:rsid w:val="001C6EE3"/>
    <w:rsid w:val="001E5192"/>
    <w:rsid w:val="001E7595"/>
    <w:rsid w:val="001F6EBF"/>
    <w:rsid w:val="002060B7"/>
    <w:rsid w:val="00237E86"/>
    <w:rsid w:val="00240B15"/>
    <w:rsid w:val="00257D13"/>
    <w:rsid w:val="00257FDD"/>
    <w:rsid w:val="00275953"/>
    <w:rsid w:val="00286D86"/>
    <w:rsid w:val="00290A40"/>
    <w:rsid w:val="00295B43"/>
    <w:rsid w:val="002C27FD"/>
    <w:rsid w:val="002D0197"/>
    <w:rsid w:val="002D37DC"/>
    <w:rsid w:val="002D42AF"/>
    <w:rsid w:val="002D4A95"/>
    <w:rsid w:val="002D7116"/>
    <w:rsid w:val="0030389D"/>
    <w:rsid w:val="003134F0"/>
    <w:rsid w:val="00315D72"/>
    <w:rsid w:val="00327F91"/>
    <w:rsid w:val="00337FB1"/>
    <w:rsid w:val="00347591"/>
    <w:rsid w:val="003504A0"/>
    <w:rsid w:val="003539CD"/>
    <w:rsid w:val="0035634C"/>
    <w:rsid w:val="00360C64"/>
    <w:rsid w:val="003652C5"/>
    <w:rsid w:val="00373E2A"/>
    <w:rsid w:val="00377863"/>
    <w:rsid w:val="003A5D1B"/>
    <w:rsid w:val="003B35F0"/>
    <w:rsid w:val="003C4AB4"/>
    <w:rsid w:val="003E23FE"/>
    <w:rsid w:val="003E480C"/>
    <w:rsid w:val="003F7FAE"/>
    <w:rsid w:val="004023B8"/>
    <w:rsid w:val="0041084F"/>
    <w:rsid w:val="00417D05"/>
    <w:rsid w:val="004246E6"/>
    <w:rsid w:val="0043556E"/>
    <w:rsid w:val="00455495"/>
    <w:rsid w:val="0046074E"/>
    <w:rsid w:val="00480EB1"/>
    <w:rsid w:val="004A428B"/>
    <w:rsid w:val="004C1AD1"/>
    <w:rsid w:val="004C1DD8"/>
    <w:rsid w:val="004C4CD9"/>
    <w:rsid w:val="004E1601"/>
    <w:rsid w:val="004E7FF3"/>
    <w:rsid w:val="00530C6C"/>
    <w:rsid w:val="005354AA"/>
    <w:rsid w:val="00542A87"/>
    <w:rsid w:val="0055000C"/>
    <w:rsid w:val="00555D8A"/>
    <w:rsid w:val="00556076"/>
    <w:rsid w:val="00561D0D"/>
    <w:rsid w:val="00571244"/>
    <w:rsid w:val="00575E82"/>
    <w:rsid w:val="005856EF"/>
    <w:rsid w:val="005925E3"/>
    <w:rsid w:val="00593075"/>
    <w:rsid w:val="00593E9D"/>
    <w:rsid w:val="005A32CA"/>
    <w:rsid w:val="005A489D"/>
    <w:rsid w:val="005B44EB"/>
    <w:rsid w:val="005C1B06"/>
    <w:rsid w:val="005D1E03"/>
    <w:rsid w:val="005D322F"/>
    <w:rsid w:val="005D415A"/>
    <w:rsid w:val="005D721D"/>
    <w:rsid w:val="005D72AE"/>
    <w:rsid w:val="005E2DF2"/>
    <w:rsid w:val="005E5E27"/>
    <w:rsid w:val="005E71AC"/>
    <w:rsid w:val="005F5DD9"/>
    <w:rsid w:val="005F6CAD"/>
    <w:rsid w:val="00600EBD"/>
    <w:rsid w:val="00620C7A"/>
    <w:rsid w:val="00626941"/>
    <w:rsid w:val="006370B9"/>
    <w:rsid w:val="00641C70"/>
    <w:rsid w:val="00643E4E"/>
    <w:rsid w:val="00645219"/>
    <w:rsid w:val="00653821"/>
    <w:rsid w:val="00663258"/>
    <w:rsid w:val="00664AC2"/>
    <w:rsid w:val="00670ED5"/>
    <w:rsid w:val="00671DFC"/>
    <w:rsid w:val="00687CB7"/>
    <w:rsid w:val="006C2B49"/>
    <w:rsid w:val="006C5632"/>
    <w:rsid w:val="006D2F59"/>
    <w:rsid w:val="006D5811"/>
    <w:rsid w:val="006F1A17"/>
    <w:rsid w:val="006F2A34"/>
    <w:rsid w:val="006F366F"/>
    <w:rsid w:val="006F6CCD"/>
    <w:rsid w:val="007059E2"/>
    <w:rsid w:val="00712140"/>
    <w:rsid w:val="00724683"/>
    <w:rsid w:val="00744E9B"/>
    <w:rsid w:val="00764765"/>
    <w:rsid w:val="00766DB6"/>
    <w:rsid w:val="0077109C"/>
    <w:rsid w:val="00773D1E"/>
    <w:rsid w:val="00780D3C"/>
    <w:rsid w:val="00797D09"/>
    <w:rsid w:val="007F229D"/>
    <w:rsid w:val="007F2FCA"/>
    <w:rsid w:val="007F325A"/>
    <w:rsid w:val="00803F3E"/>
    <w:rsid w:val="00804EB8"/>
    <w:rsid w:val="00820676"/>
    <w:rsid w:val="008215E2"/>
    <w:rsid w:val="00825AC7"/>
    <w:rsid w:val="00861058"/>
    <w:rsid w:val="00861D61"/>
    <w:rsid w:val="008867F2"/>
    <w:rsid w:val="00892D27"/>
    <w:rsid w:val="008B0257"/>
    <w:rsid w:val="008B58DF"/>
    <w:rsid w:val="008C1DCE"/>
    <w:rsid w:val="008C4F6A"/>
    <w:rsid w:val="008D1684"/>
    <w:rsid w:val="008D51DC"/>
    <w:rsid w:val="008D6A76"/>
    <w:rsid w:val="008E5B4E"/>
    <w:rsid w:val="008E5ED8"/>
    <w:rsid w:val="008F56AE"/>
    <w:rsid w:val="009230A7"/>
    <w:rsid w:val="00923525"/>
    <w:rsid w:val="009240F7"/>
    <w:rsid w:val="0095268E"/>
    <w:rsid w:val="00953F87"/>
    <w:rsid w:val="00956AC1"/>
    <w:rsid w:val="00957AF4"/>
    <w:rsid w:val="00996A51"/>
    <w:rsid w:val="009A009A"/>
    <w:rsid w:val="009A3C6C"/>
    <w:rsid w:val="009B06D2"/>
    <w:rsid w:val="009D4653"/>
    <w:rsid w:val="009D7239"/>
    <w:rsid w:val="009E4601"/>
    <w:rsid w:val="009F414C"/>
    <w:rsid w:val="009F438B"/>
    <w:rsid w:val="00A10531"/>
    <w:rsid w:val="00A14942"/>
    <w:rsid w:val="00A21AB8"/>
    <w:rsid w:val="00A35D5E"/>
    <w:rsid w:val="00A379A9"/>
    <w:rsid w:val="00A410CD"/>
    <w:rsid w:val="00A535E9"/>
    <w:rsid w:val="00A7537D"/>
    <w:rsid w:val="00A831DA"/>
    <w:rsid w:val="00A90C21"/>
    <w:rsid w:val="00A970AF"/>
    <w:rsid w:val="00AA31CE"/>
    <w:rsid w:val="00AA6735"/>
    <w:rsid w:val="00AC3F57"/>
    <w:rsid w:val="00AD1CF7"/>
    <w:rsid w:val="00AD4857"/>
    <w:rsid w:val="00AE5EB2"/>
    <w:rsid w:val="00AE6F8E"/>
    <w:rsid w:val="00B048B1"/>
    <w:rsid w:val="00B10F72"/>
    <w:rsid w:val="00B40E30"/>
    <w:rsid w:val="00B41430"/>
    <w:rsid w:val="00B457F0"/>
    <w:rsid w:val="00B52380"/>
    <w:rsid w:val="00B73002"/>
    <w:rsid w:val="00BA35E1"/>
    <w:rsid w:val="00BA55B0"/>
    <w:rsid w:val="00BB4F1D"/>
    <w:rsid w:val="00BB6C96"/>
    <w:rsid w:val="00BC2891"/>
    <w:rsid w:val="00BC4EFB"/>
    <w:rsid w:val="00BC6985"/>
    <w:rsid w:val="00BD0E3E"/>
    <w:rsid w:val="00BD240D"/>
    <w:rsid w:val="00BF30B8"/>
    <w:rsid w:val="00C21CFB"/>
    <w:rsid w:val="00C50D1E"/>
    <w:rsid w:val="00C93F0E"/>
    <w:rsid w:val="00CA07A1"/>
    <w:rsid w:val="00CA15B8"/>
    <w:rsid w:val="00CA6633"/>
    <w:rsid w:val="00CE2847"/>
    <w:rsid w:val="00CF7532"/>
    <w:rsid w:val="00CF7ECD"/>
    <w:rsid w:val="00D13550"/>
    <w:rsid w:val="00D3709A"/>
    <w:rsid w:val="00D37428"/>
    <w:rsid w:val="00D41EF3"/>
    <w:rsid w:val="00D52D8E"/>
    <w:rsid w:val="00D5603D"/>
    <w:rsid w:val="00D7433C"/>
    <w:rsid w:val="00D962E9"/>
    <w:rsid w:val="00D964EC"/>
    <w:rsid w:val="00D97BE2"/>
    <w:rsid w:val="00DA42C1"/>
    <w:rsid w:val="00DA4545"/>
    <w:rsid w:val="00DA6330"/>
    <w:rsid w:val="00DB07FB"/>
    <w:rsid w:val="00DB5927"/>
    <w:rsid w:val="00DB6C2B"/>
    <w:rsid w:val="00DC28DE"/>
    <w:rsid w:val="00DC4285"/>
    <w:rsid w:val="00DE25AF"/>
    <w:rsid w:val="00E05193"/>
    <w:rsid w:val="00E10111"/>
    <w:rsid w:val="00E12C12"/>
    <w:rsid w:val="00E150B7"/>
    <w:rsid w:val="00E1562C"/>
    <w:rsid w:val="00E16037"/>
    <w:rsid w:val="00E26663"/>
    <w:rsid w:val="00E31F9B"/>
    <w:rsid w:val="00E40601"/>
    <w:rsid w:val="00E54AFC"/>
    <w:rsid w:val="00E9097A"/>
    <w:rsid w:val="00EA07C2"/>
    <w:rsid w:val="00EC1B37"/>
    <w:rsid w:val="00EC6D81"/>
    <w:rsid w:val="00EC722A"/>
    <w:rsid w:val="00ED3BD1"/>
    <w:rsid w:val="00ED45C6"/>
    <w:rsid w:val="00ED6A6A"/>
    <w:rsid w:val="00EE02CA"/>
    <w:rsid w:val="00EF3E83"/>
    <w:rsid w:val="00EF447B"/>
    <w:rsid w:val="00F0044B"/>
    <w:rsid w:val="00F01742"/>
    <w:rsid w:val="00F01D71"/>
    <w:rsid w:val="00F06C60"/>
    <w:rsid w:val="00F216B8"/>
    <w:rsid w:val="00F24B93"/>
    <w:rsid w:val="00F26678"/>
    <w:rsid w:val="00F376D4"/>
    <w:rsid w:val="00F6203B"/>
    <w:rsid w:val="00F62ED2"/>
    <w:rsid w:val="00F90BB2"/>
    <w:rsid w:val="00F974C8"/>
    <w:rsid w:val="00FD37D2"/>
    <w:rsid w:val="00FF5E45"/>
    <w:rsid w:val="00FF7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C0707E-4CF5-4122-BEA8-72F53EDB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325A"/>
    <w:rPr>
      <w:rFonts w:ascii="宋体" w:hAnsi="宋体"/>
      <w:kern w:val="2"/>
      <w:sz w:val="21"/>
    </w:rPr>
  </w:style>
  <w:style w:type="paragraph" w:styleId="1">
    <w:name w:val="heading 1"/>
    <w:basedOn w:val="a0"/>
    <w:next w:val="a"/>
    <w:link w:val="1Char"/>
    <w:uiPriority w:val="9"/>
    <w:qFormat/>
    <w:rsid w:val="000776C8"/>
    <w:pPr>
      <w:keepNext/>
      <w:keepLines/>
      <w:widowControl w:val="0"/>
      <w:numPr>
        <w:numId w:val="4"/>
      </w:numPr>
      <w:adjustRightInd w:val="0"/>
      <w:snapToGrid w:val="0"/>
      <w:spacing w:beforeLines="30" w:before="130" w:afterLines="30" w:after="130"/>
      <w:ind w:firstLineChars="0"/>
      <w:jc w:val="both"/>
      <w:outlineLvl w:val="0"/>
    </w:pPr>
    <w:rPr>
      <w:b/>
      <w:bCs/>
      <w:kern w:val="44"/>
      <w:sz w:val="24"/>
      <w:szCs w:val="44"/>
    </w:rPr>
  </w:style>
  <w:style w:type="paragraph" w:styleId="2">
    <w:name w:val="heading 2"/>
    <w:basedOn w:val="a"/>
    <w:next w:val="a"/>
    <w:link w:val="2Char"/>
    <w:uiPriority w:val="9"/>
    <w:unhideWhenUsed/>
    <w:qFormat/>
    <w:rsid w:val="000776C8"/>
    <w:pPr>
      <w:widowControl w:val="0"/>
      <w:numPr>
        <w:ilvl w:val="1"/>
        <w:numId w:val="11"/>
      </w:numPr>
      <w:adjustRightInd w:val="0"/>
      <w:snapToGrid w:val="0"/>
      <w:spacing w:beforeLines="20" w:before="87" w:afterLines="20" w:after="87"/>
      <w:jc w:val="both"/>
      <w:outlineLvl w:val="1"/>
    </w:pPr>
    <w:rPr>
      <w:rFonts w:cs="方正仿宋简体"/>
      <w:b/>
      <w:iCs/>
      <w:sz w:val="22"/>
      <w:szCs w:val="24"/>
    </w:rPr>
  </w:style>
  <w:style w:type="paragraph" w:styleId="3">
    <w:name w:val="heading 3"/>
    <w:basedOn w:val="a"/>
    <w:next w:val="a"/>
    <w:link w:val="3Char"/>
    <w:uiPriority w:val="9"/>
    <w:semiHidden/>
    <w:unhideWhenUsed/>
    <w:qFormat/>
    <w:rsid w:val="00561D0D"/>
    <w:pPr>
      <w:keepNext/>
      <w:keepLines/>
      <w:widowControl w:val="0"/>
      <w:numPr>
        <w:numId w:val="19"/>
      </w:numPr>
      <w:spacing w:before="260" w:after="260" w:line="416" w:lineRule="auto"/>
      <w:jc w:val="both"/>
      <w:outlineLvl w:val="2"/>
    </w:pPr>
    <w:rPr>
      <w:b/>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Char">
    <w:name w:val="脚注文本 Char"/>
    <w:link w:val="a4"/>
    <w:qFormat/>
    <w:rsid w:val="00084FBF"/>
    <w:rPr>
      <w:sz w:val="18"/>
      <w:szCs w:val="24"/>
    </w:rPr>
  </w:style>
  <w:style w:type="character" w:styleId="a5">
    <w:name w:val="annotation reference"/>
    <w:uiPriority w:val="99"/>
    <w:unhideWhenUsed/>
    <w:rsid w:val="00084FBF"/>
    <w:rPr>
      <w:sz w:val="21"/>
      <w:szCs w:val="21"/>
    </w:rPr>
  </w:style>
  <w:style w:type="character" w:styleId="a6">
    <w:name w:val="footnote reference"/>
    <w:unhideWhenUsed/>
    <w:qFormat/>
    <w:rsid w:val="00084FBF"/>
    <w:rPr>
      <w:rFonts w:ascii="Times New Roman" w:eastAsia="宋体" w:hAnsi="Times New Roman" w:cs="Times New Roman"/>
      <w:vertAlign w:val="superscript"/>
    </w:rPr>
  </w:style>
  <w:style w:type="character" w:customStyle="1" w:styleId="Char0">
    <w:name w:val="批注文字 Char"/>
    <w:link w:val="a7"/>
    <w:uiPriority w:val="99"/>
    <w:rsid w:val="00084FBF"/>
    <w:rPr>
      <w:rFonts w:ascii="Times New Roman" w:eastAsia="方正仿宋简体" w:hAnsi="Times New Roman"/>
      <w:sz w:val="32"/>
    </w:rPr>
  </w:style>
  <w:style w:type="paragraph" w:styleId="a4">
    <w:name w:val="footnote text"/>
    <w:basedOn w:val="a"/>
    <w:link w:val="Char"/>
    <w:unhideWhenUsed/>
    <w:qFormat/>
    <w:rsid w:val="00084FBF"/>
    <w:pPr>
      <w:snapToGrid w:val="0"/>
    </w:pPr>
    <w:rPr>
      <w:rFonts w:ascii="Calibri" w:hAnsi="Calibri"/>
      <w:sz w:val="18"/>
      <w:szCs w:val="24"/>
    </w:rPr>
  </w:style>
  <w:style w:type="character" w:customStyle="1" w:styleId="Char1">
    <w:name w:val="脚注文本 Char1"/>
    <w:uiPriority w:val="99"/>
    <w:semiHidden/>
    <w:rsid w:val="00084FBF"/>
    <w:rPr>
      <w:rFonts w:ascii="Times New Roman" w:eastAsia="方正仿宋简体" w:hAnsi="Times New Roman" w:cs="Times New Roman"/>
      <w:sz w:val="18"/>
      <w:szCs w:val="18"/>
    </w:rPr>
  </w:style>
  <w:style w:type="paragraph" w:styleId="a7">
    <w:name w:val="annotation text"/>
    <w:basedOn w:val="a"/>
    <w:link w:val="Char0"/>
    <w:uiPriority w:val="99"/>
    <w:unhideWhenUsed/>
    <w:rsid w:val="00084FBF"/>
    <w:rPr>
      <w:szCs w:val="22"/>
    </w:rPr>
  </w:style>
  <w:style w:type="character" w:customStyle="1" w:styleId="Char10">
    <w:name w:val="批注文字 Char1"/>
    <w:uiPriority w:val="99"/>
    <w:semiHidden/>
    <w:rsid w:val="00084FBF"/>
    <w:rPr>
      <w:rFonts w:ascii="Times New Roman" w:eastAsia="方正仿宋简体" w:hAnsi="Times New Roman" w:cs="Times New Roman"/>
      <w:sz w:val="32"/>
      <w:szCs w:val="20"/>
    </w:rPr>
  </w:style>
  <w:style w:type="paragraph" w:styleId="a8">
    <w:name w:val="Balloon Text"/>
    <w:link w:val="Char11"/>
    <w:uiPriority w:val="99"/>
    <w:semiHidden/>
    <w:unhideWhenUsed/>
    <w:rPr>
      <w:rFonts w:ascii="Tahoma" w:hAnsi="Tahoma" w:cs="Tahoma"/>
      <w:sz w:val="16"/>
      <w:szCs w:val="16"/>
    </w:rPr>
  </w:style>
  <w:style w:type="character" w:customStyle="1" w:styleId="Char2">
    <w:name w:val="批注框文本 Char"/>
    <w:uiPriority w:val="99"/>
    <w:semiHidden/>
    <w:rsid w:val="00084FBF"/>
    <w:rPr>
      <w:rFonts w:ascii="Times New Roman" w:eastAsia="方正仿宋简体" w:hAnsi="Times New Roman" w:cs="Times New Roman"/>
      <w:sz w:val="18"/>
      <w:szCs w:val="18"/>
    </w:rPr>
  </w:style>
  <w:style w:type="paragraph" w:styleId="a0">
    <w:name w:val="List Paragraph"/>
    <w:basedOn w:val="a"/>
    <w:uiPriority w:val="34"/>
    <w:qFormat/>
    <w:rsid w:val="006F366F"/>
    <w:pPr>
      <w:ind w:firstLineChars="200" w:firstLine="420"/>
    </w:pPr>
  </w:style>
  <w:style w:type="table" w:styleId="a9">
    <w:name w:val="Table Grid"/>
    <w:basedOn w:val="a2"/>
    <w:uiPriority w:val="39"/>
    <w:rsid w:val="0080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semiHidden/>
    <w:unhideWhenUsed/>
    <w:rsid w:val="00641C70"/>
    <w:pPr>
      <w:spacing w:before="100" w:beforeAutospacing="1" w:after="100" w:afterAutospacing="1"/>
    </w:pPr>
    <w:rPr>
      <w:rFonts w:cs="宋体"/>
      <w:kern w:val="0"/>
      <w:sz w:val="24"/>
      <w:szCs w:val="24"/>
    </w:rPr>
  </w:style>
  <w:style w:type="paragraph" w:styleId="ab">
    <w:name w:val="annotation subject"/>
    <w:basedOn w:val="a7"/>
    <w:next w:val="a7"/>
    <w:link w:val="Char3"/>
    <w:uiPriority w:val="99"/>
    <w:semiHidden/>
    <w:unhideWhenUsed/>
    <w:rsid w:val="00DC28DE"/>
    <w:rPr>
      <w:b/>
      <w:bCs/>
      <w:szCs w:val="20"/>
    </w:rPr>
  </w:style>
  <w:style w:type="character" w:customStyle="1" w:styleId="Char3">
    <w:name w:val="批注主题 Char"/>
    <w:link w:val="ab"/>
    <w:uiPriority w:val="99"/>
    <w:semiHidden/>
    <w:rsid w:val="00DC28DE"/>
    <w:rPr>
      <w:rFonts w:ascii="Times New Roman" w:eastAsia="方正仿宋简体" w:hAnsi="Times New Roman" w:cs="Times New Roman"/>
      <w:b/>
      <w:bCs/>
      <w:sz w:val="32"/>
      <w:szCs w:val="20"/>
    </w:rPr>
  </w:style>
  <w:style w:type="paragraph" w:styleId="ac">
    <w:name w:val="header"/>
    <w:basedOn w:val="a"/>
    <w:link w:val="Char4"/>
    <w:uiPriority w:val="99"/>
    <w:unhideWhenUsed/>
    <w:rsid w:val="00953F87"/>
    <w:pPr>
      <w:pBdr>
        <w:bottom w:val="single" w:sz="6" w:space="1" w:color="auto"/>
      </w:pBdr>
      <w:tabs>
        <w:tab w:val="center" w:pos="4153"/>
        <w:tab w:val="right" w:pos="8306"/>
      </w:tabs>
      <w:snapToGrid w:val="0"/>
      <w:jc w:val="center"/>
    </w:pPr>
    <w:rPr>
      <w:sz w:val="18"/>
      <w:szCs w:val="18"/>
    </w:rPr>
  </w:style>
  <w:style w:type="character" w:customStyle="1" w:styleId="Char4">
    <w:name w:val="页眉 Char"/>
    <w:link w:val="ac"/>
    <w:uiPriority w:val="99"/>
    <w:rsid w:val="00953F87"/>
    <w:rPr>
      <w:rFonts w:ascii="Times New Roman" w:eastAsia="方正仿宋简体" w:hAnsi="Times New Roman" w:cs="Times New Roman"/>
      <w:sz w:val="18"/>
      <w:szCs w:val="18"/>
    </w:rPr>
  </w:style>
  <w:style w:type="paragraph" w:styleId="ad">
    <w:name w:val="footer"/>
    <w:basedOn w:val="a"/>
    <w:link w:val="Char5"/>
    <w:uiPriority w:val="99"/>
    <w:unhideWhenUsed/>
    <w:rsid w:val="00953F87"/>
    <w:pPr>
      <w:tabs>
        <w:tab w:val="center" w:pos="4153"/>
        <w:tab w:val="right" w:pos="8306"/>
      </w:tabs>
      <w:snapToGrid w:val="0"/>
    </w:pPr>
    <w:rPr>
      <w:sz w:val="18"/>
      <w:szCs w:val="18"/>
    </w:rPr>
  </w:style>
  <w:style w:type="character" w:customStyle="1" w:styleId="Char5">
    <w:name w:val="页脚 Char"/>
    <w:link w:val="ad"/>
    <w:uiPriority w:val="99"/>
    <w:rsid w:val="00953F87"/>
    <w:rPr>
      <w:rFonts w:ascii="Times New Roman" w:eastAsia="方正仿宋简体" w:hAnsi="Times New Roman" w:cs="Times New Roman"/>
      <w:sz w:val="18"/>
      <w:szCs w:val="18"/>
    </w:rPr>
  </w:style>
  <w:style w:type="character" w:customStyle="1" w:styleId="1Char">
    <w:name w:val="标题 1 Char"/>
    <w:link w:val="1"/>
    <w:uiPriority w:val="9"/>
    <w:rsid w:val="000776C8"/>
    <w:rPr>
      <w:rFonts w:ascii="宋体" w:hAnsi="宋体"/>
      <w:b/>
      <w:bCs/>
      <w:kern w:val="44"/>
      <w:sz w:val="24"/>
      <w:szCs w:val="44"/>
    </w:rPr>
  </w:style>
  <w:style w:type="character" w:customStyle="1" w:styleId="2Char">
    <w:name w:val="标题 2 Char"/>
    <w:link w:val="2"/>
    <w:uiPriority w:val="9"/>
    <w:rsid w:val="000776C8"/>
    <w:rPr>
      <w:rFonts w:ascii="宋体" w:hAnsi="宋体" w:cs="方正仿宋简体"/>
      <w:b/>
      <w:iCs/>
      <w:kern w:val="2"/>
      <w:sz w:val="22"/>
      <w:szCs w:val="24"/>
    </w:rPr>
  </w:style>
  <w:style w:type="paragraph" w:styleId="ae">
    <w:name w:val="No Spacing"/>
    <w:basedOn w:val="a"/>
    <w:uiPriority w:val="1"/>
    <w:qFormat/>
    <w:rsid w:val="00ED3BD1"/>
    <w:pPr>
      <w:widowControl w:val="0"/>
      <w:adjustRightInd w:val="0"/>
      <w:snapToGrid w:val="0"/>
      <w:spacing w:beforeLines="20" w:before="87" w:line="288" w:lineRule="auto"/>
      <w:contextualSpacing/>
      <w:jc w:val="both"/>
    </w:pPr>
  </w:style>
  <w:style w:type="character" w:styleId="af">
    <w:name w:val="Placeholder Text"/>
    <w:basedOn w:val="a1"/>
    <w:uiPriority w:val="99"/>
    <w:semiHidden/>
    <w:rsid w:val="005D1E03"/>
    <w:rPr>
      <w:color w:val="808080"/>
    </w:rPr>
  </w:style>
  <w:style w:type="character" w:customStyle="1" w:styleId="3Char">
    <w:name w:val="标题 3 Char"/>
    <w:basedOn w:val="a1"/>
    <w:link w:val="3"/>
    <w:uiPriority w:val="9"/>
    <w:semiHidden/>
    <w:rsid w:val="00561D0D"/>
    <w:rPr>
      <w:rFonts w:ascii="宋体" w:hAnsi="宋体"/>
      <w:b/>
      <w:bCs/>
      <w:kern w:val="2"/>
      <w:sz w:val="24"/>
      <w:szCs w:val="32"/>
    </w:rPr>
  </w:style>
  <w:style w:type="paragraph" w:styleId="TOC">
    <w:name w:val="TOC Heading"/>
    <w:uiPriority w:val="39"/>
    <w:semiHidden/>
    <w:unhideWhenUsed/>
    <w:qFormat/>
    <w:rPr>
      <w:lang w:eastAsia="ja-JP"/>
    </w:rPr>
  </w:style>
  <w:style w:type="paragraph" w:styleId="10">
    <w:name w:val="toc 1"/>
    <w:autoRedefine/>
    <w:uiPriority w:val="39"/>
    <w:unhideWhenUsed/>
    <w:pPr>
      <w:spacing w:after="100"/>
    </w:pPr>
  </w:style>
  <w:style w:type="paragraph" w:styleId="20">
    <w:name w:val="toc 2"/>
    <w:autoRedefine/>
    <w:uiPriority w:val="39"/>
    <w:unhideWhenUsed/>
    <w:pPr>
      <w:spacing w:after="100"/>
      <w:ind w:left="220"/>
    </w:pPr>
  </w:style>
  <w:style w:type="paragraph" w:styleId="30">
    <w:name w:val="toc 3"/>
    <w:autoRedefine/>
    <w:uiPriority w:val="39"/>
    <w:unhideWhenUsed/>
    <w:pPr>
      <w:spacing w:after="100"/>
      <w:ind w:left="440"/>
    </w:pPr>
  </w:style>
  <w:style w:type="paragraph" w:styleId="4">
    <w:name w:val="toc 4"/>
    <w:autoRedefine/>
    <w:uiPriority w:val="39"/>
    <w:unhideWhenUsed/>
    <w:pPr>
      <w:spacing w:after="100"/>
      <w:ind w:left="660"/>
    </w:pPr>
  </w:style>
  <w:style w:type="character" w:styleId="af0">
    <w:name w:val="Hyperlink"/>
    <w:uiPriority w:val="99"/>
    <w:unhideWhenUsed/>
    <w:rPr>
      <w:color w:val="0563C1" w:themeColor="hyperlink"/>
      <w:u w:val="single"/>
    </w:rPr>
  </w:style>
  <w:style w:type="character" w:customStyle="1" w:styleId="Char11">
    <w:name w:val="批注框文本 Char1"/>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700016">
      <w:bodyDiv w:val="1"/>
      <w:marLeft w:val="0"/>
      <w:marRight w:val="0"/>
      <w:marTop w:val="0"/>
      <w:marBottom w:val="0"/>
      <w:divBdr>
        <w:top w:val="none" w:sz="0" w:space="0" w:color="auto"/>
        <w:left w:val="none" w:sz="0" w:space="0" w:color="auto"/>
        <w:bottom w:val="none" w:sz="0" w:space="0" w:color="auto"/>
        <w:right w:val="none" w:sz="0" w:space="0" w:color="auto"/>
      </w:divBdr>
    </w:div>
    <w:div w:id="15534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tNetWorkSpace\smartdoc\&#22522;&#37329;&#20135;&#21697;&#36164;&#26009;&#27010;&#35201;&#27169;&#26495;_A.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基金产品资料概要模板_A</Template>
  <TotalTime>0</TotalTime>
  <Pages>4</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马维娜</dc:creator>
  <cp:keywords/>
  <dc:description/>
  <cp:lastModifiedBy>马天蕊</cp:lastModifiedBy>
  <cp:revision>2</cp:revision>
  <dcterms:created xsi:type="dcterms:W3CDTF">2025-04-17T03:15:00Z</dcterms:created>
  <dcterms:modified xsi:type="dcterms:W3CDTF">2025-04-17T03:15:00Z</dcterms:modified>
</cp:coreProperties>
</file>