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C44" w:rsidRPr="00EF7C44" w:rsidRDefault="0098188B" w:rsidP="004B6D0B">
      <w:pPr>
        <w:pStyle w:val="a5"/>
        <w:spacing w:line="360" w:lineRule="auto"/>
        <w:ind w:firstLineChars="0" w:firstLine="0"/>
        <w:jc w:val="center"/>
        <w:rPr>
          <w:rFonts w:ascii="微软雅黑" w:eastAsia="微软雅黑" w:hAnsi="微软雅黑"/>
          <w:b/>
          <w:sz w:val="24"/>
          <w:szCs w:val="21"/>
          <w:lang w:val="en-GB"/>
        </w:rPr>
      </w:pPr>
      <w:r>
        <w:rPr>
          <w:rFonts w:ascii="微软雅黑" w:eastAsia="微软雅黑" w:hAnsi="微软雅黑" w:hint="eastAsia"/>
          <w:b/>
          <w:bCs/>
          <w:sz w:val="24"/>
          <w:szCs w:val="21"/>
        </w:rPr>
        <w:t>富国上证科创板综合价格指数增强型证券投资基金</w:t>
      </w:r>
    </w:p>
    <w:p w:rsidR="004B6D0B" w:rsidRPr="00EF7C44" w:rsidRDefault="004B6D0B" w:rsidP="004B6D0B">
      <w:pPr>
        <w:pStyle w:val="a5"/>
        <w:spacing w:line="360" w:lineRule="auto"/>
        <w:ind w:firstLineChars="0" w:firstLine="0"/>
        <w:jc w:val="center"/>
        <w:rPr>
          <w:rFonts w:ascii="微软雅黑" w:eastAsia="微软雅黑" w:hAnsi="微软雅黑"/>
          <w:b/>
          <w:sz w:val="24"/>
          <w:szCs w:val="21"/>
          <w:lang w:val="en-GB"/>
        </w:rPr>
      </w:pPr>
      <w:r w:rsidRPr="00EF7C44">
        <w:rPr>
          <w:rFonts w:ascii="微软雅黑" w:eastAsia="微软雅黑" w:hAnsi="微软雅黑" w:hint="eastAsia"/>
          <w:b/>
          <w:sz w:val="24"/>
          <w:szCs w:val="21"/>
          <w:lang w:val="en-GB"/>
        </w:rPr>
        <w:t>基金风险揭示书</w:t>
      </w:r>
    </w:p>
    <w:p w:rsidR="004B6D0B" w:rsidRDefault="004B6D0B" w:rsidP="004B6D0B">
      <w:pPr>
        <w:adjustRightInd w:val="0"/>
        <w:snapToGrid w:val="0"/>
        <w:rPr>
          <w:rFonts w:ascii="微软雅黑" w:eastAsia="微软雅黑" w:hAnsi="微软雅黑"/>
          <w:szCs w:val="21"/>
        </w:rPr>
      </w:pPr>
      <w:r>
        <w:rPr>
          <w:rFonts w:ascii="微软雅黑" w:eastAsia="微软雅黑" w:hAnsi="微软雅黑" w:hint="eastAsia"/>
          <w:szCs w:val="21"/>
        </w:rPr>
        <w:t>尊敬的投资者：</w:t>
      </w:r>
    </w:p>
    <w:p w:rsidR="004B6D0B" w:rsidRDefault="004B6D0B" w:rsidP="004B6D0B">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投资有风险，投资需谨慎。公开募集证券投资基金（以下简称“基金”）是一种长期投资工具，其主要功能是分散投资，降低投资单一证券所带来的个别风险。</w:t>
      </w:r>
      <w:r>
        <w:rPr>
          <w:rFonts w:ascii="微软雅黑" w:eastAsia="微软雅黑" w:hAnsi="微软雅黑" w:hint="eastAsia"/>
          <w:b/>
          <w:bCs/>
          <w:szCs w:val="21"/>
        </w:rPr>
        <w:t>基金不同于银行储蓄等能够提供固定收益预期的金融工具，当投资者购买基金产品时，既可能按持有份额分享基金投资所产生的收益，也可能承担基金投资所带来的损失</w:t>
      </w:r>
      <w:r>
        <w:rPr>
          <w:rFonts w:ascii="微软雅黑" w:eastAsia="微软雅黑" w:hAnsi="微软雅黑" w:hint="eastAsia"/>
          <w:szCs w:val="21"/>
        </w:rPr>
        <w:t>。</w:t>
      </w:r>
    </w:p>
    <w:p w:rsidR="004B6D0B" w:rsidRDefault="004B6D0B" w:rsidP="004B6D0B">
      <w:pPr>
        <w:adjustRightInd w:val="0"/>
        <w:snapToGrid w:val="0"/>
        <w:ind w:firstLineChars="200" w:firstLine="420"/>
        <w:rPr>
          <w:rFonts w:ascii="微软雅黑" w:eastAsia="微软雅黑" w:hAnsi="微软雅黑"/>
          <w:szCs w:val="21"/>
        </w:rPr>
      </w:pPr>
      <w:r>
        <w:rPr>
          <w:rFonts w:ascii="微软雅黑" w:eastAsia="微软雅黑" w:hAnsi="微软雅黑" w:hint="eastAsia"/>
          <w:b/>
          <w:bCs/>
          <w:szCs w:val="21"/>
        </w:rPr>
        <w:t>投资者在做出投资决策之前，请仔细阅读基金合同、基金招募说明书和基金产品资料概要等产品法律文件和本风险揭示书，充分认识本基金的风险收益特征和产品特性</w:t>
      </w:r>
      <w:r>
        <w:rPr>
          <w:rFonts w:ascii="微软雅黑" w:eastAsia="微软雅黑" w:hAnsi="微软雅黑" w:hint="eastAsia"/>
          <w:szCs w:val="21"/>
        </w:rPr>
        <w:t>，认真考虑本基金存在的各项风险因素，并根据自身的投资目的、投资期限、投资经验、资产状况等因素充分考虑自身的风险承受能力，在了解产品情况及销售适当性意见的基础上，理性判断并谨慎做出投资决策。</w:t>
      </w:r>
    </w:p>
    <w:p w:rsidR="004B6D0B" w:rsidRDefault="004B6D0B" w:rsidP="004B6D0B">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根据有关法律法规，基金管理人富国基金管理有限公司做出如下风险揭示：</w:t>
      </w:r>
    </w:p>
    <w:p w:rsidR="004B6D0B" w:rsidRDefault="004B6D0B" w:rsidP="004B6D0B">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一、依据投资对象的不同，基金分为股票基金、混合基金、债券基金、货币市场基金、基金中基金、商品基金等不同类型，投资者投资不同类型的基金将获得不同的收益预期，也将承担不同程度的风险。一般来说，基金的收益预期越高，投资者承担的风险也越大。</w:t>
      </w:r>
      <w:r>
        <w:rPr>
          <w:rFonts w:ascii="微软雅黑" w:eastAsia="微软雅黑" w:hAnsi="微软雅黑" w:hint="eastAsia"/>
          <w:b/>
          <w:szCs w:val="21"/>
        </w:rPr>
        <w:t>本基金属于股票型基金，预期风险与预期收益高于混合型基金、债券型基金与货币市场基金。本基金主要投资于标的指数成份股及备选成份股，具有与标的指数相似的风险收益特征。</w:t>
      </w:r>
    </w:p>
    <w:p w:rsidR="004B6D0B" w:rsidRDefault="004B6D0B" w:rsidP="004B6D0B">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二、基金在投资运作过程中可能面临各种风险，既包括市场风险，也包括基金自身的管理风险、技术风险和合规风险等，详阅基金招募说明书“风险揭示”章节。</w:t>
      </w:r>
    </w:p>
    <w:p w:rsidR="004B6D0B" w:rsidRDefault="004B6D0B" w:rsidP="004B6D0B">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三、本基金的募集初始面值为1元，</w:t>
      </w:r>
      <w:r>
        <w:rPr>
          <w:rFonts w:ascii="微软雅黑" w:eastAsia="微软雅黑" w:hAnsi="微软雅黑" w:hint="eastAsia"/>
          <w:b/>
          <w:bCs/>
          <w:szCs w:val="21"/>
        </w:rPr>
        <w:t>在市场波动等因素的影响下，本基金净值可能低于初始面值，本基金投资者有可能出现亏损。</w:t>
      </w:r>
    </w:p>
    <w:p w:rsidR="004B6D0B" w:rsidRDefault="004B6D0B" w:rsidP="004B6D0B">
      <w:pPr>
        <w:adjustRightInd w:val="0"/>
        <w:snapToGrid w:val="0"/>
        <w:ind w:firstLineChars="200" w:firstLine="420"/>
        <w:rPr>
          <w:rFonts w:ascii="微软雅黑" w:eastAsia="微软雅黑" w:hAnsi="微软雅黑"/>
          <w:szCs w:val="21"/>
        </w:rPr>
      </w:pPr>
      <w:r>
        <w:rPr>
          <w:rFonts w:ascii="微软雅黑" w:eastAsia="微软雅黑" w:hAnsi="微软雅黑" w:hint="eastAsia"/>
          <w:b/>
          <w:bCs/>
          <w:szCs w:val="21"/>
        </w:rPr>
        <w:t>四、特殊风险揭示：</w:t>
      </w:r>
    </w:p>
    <w:p w:rsidR="004B6D0B" w:rsidRDefault="004B6D0B" w:rsidP="004B6D0B">
      <w:pPr>
        <w:adjustRightInd w:val="0"/>
        <w:snapToGrid w:val="0"/>
        <w:ind w:firstLineChars="200" w:firstLine="420"/>
        <w:rPr>
          <w:rFonts w:ascii="微软雅黑" w:eastAsia="微软雅黑" w:hAnsi="微软雅黑"/>
          <w:szCs w:val="21"/>
        </w:rPr>
      </w:pPr>
      <w:r>
        <w:rPr>
          <w:rFonts w:ascii="微软雅黑" w:eastAsia="微软雅黑" w:hAnsi="微软雅黑" w:hint="eastAsia"/>
          <w:bCs/>
          <w:szCs w:val="21"/>
        </w:rPr>
        <w:t>（</w:t>
      </w:r>
      <w:r>
        <w:rPr>
          <w:rFonts w:ascii="微软雅黑" w:eastAsia="微软雅黑" w:hAnsi="微软雅黑"/>
          <w:bCs/>
          <w:szCs w:val="21"/>
        </w:rPr>
        <w:t>1）</w:t>
      </w:r>
      <w:r>
        <w:rPr>
          <w:rFonts w:ascii="微软雅黑" w:eastAsia="微软雅黑" w:hAnsi="微软雅黑" w:hint="eastAsia"/>
          <w:b/>
          <w:bCs/>
          <w:szCs w:val="21"/>
        </w:rPr>
        <w:t>本基金为指数基金，基金所跟踪标的指数的历史表现不预示其未来表现，不构成对基金业绩表现的保证</w:t>
      </w:r>
      <w:r>
        <w:rPr>
          <w:rFonts w:ascii="微软雅黑" w:eastAsia="微软雅黑" w:hAnsi="微软雅黑" w:hint="eastAsia"/>
          <w:szCs w:val="21"/>
        </w:rPr>
        <w:t>，请投资者关注指数基金的投资风险，本基金主要投资于标的指数成份股及备选成份股，具有与标的指数相似的风险收益特征，业绩表现将会随着标的指数的波动而波动；同时本基金在多数情况下将维持较高的股票仓位，在股票市场下跌的过程中，可能面临基金净值与标的指数同步下跌的风险。</w:t>
      </w:r>
    </w:p>
    <w:p w:rsidR="004B6D0B" w:rsidRDefault="004B6D0B" w:rsidP="004B6D0B">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szCs w:val="21"/>
        </w:rPr>
        <w:t>2</w:t>
      </w:r>
      <w:r>
        <w:rPr>
          <w:rFonts w:ascii="微软雅黑" w:eastAsia="微软雅黑" w:hAnsi="微软雅黑" w:hint="eastAsia"/>
          <w:szCs w:val="21"/>
        </w:rPr>
        <w:t>）本基金标的指数的编制机构为中证指数有限公司。标的指数由指数公司编制和计算，其所有权归属指数公司。</w:t>
      </w:r>
      <w:r>
        <w:rPr>
          <w:rFonts w:ascii="微软雅黑" w:eastAsia="微软雅黑" w:hAnsi="微软雅黑" w:hint="eastAsia"/>
          <w:b/>
          <w:bCs/>
          <w:szCs w:val="21"/>
        </w:rPr>
        <w:t>指数公司将采取一切必要措施以确保指数的准确性，但不对此作任何保证，亦不因指数的任何错误对任何人负责。</w:t>
      </w:r>
      <w:r>
        <w:rPr>
          <w:rFonts w:ascii="微软雅黑" w:eastAsia="微软雅黑" w:hAnsi="微软雅黑" w:hint="eastAsia"/>
          <w:szCs w:val="21"/>
        </w:rPr>
        <w:t>有关标的指数具体编制方案及成份股信息详见中证指数有限公司网站</w:t>
      </w:r>
      <w:hyperlink r:id="rId6" w:history="1">
        <w:r w:rsidRPr="008A4EBE">
          <w:rPr>
            <w:rStyle w:val="a6"/>
            <w:rFonts w:ascii="微软雅黑" w:eastAsia="微软雅黑" w:hAnsi="微软雅黑"/>
            <w:szCs w:val="21"/>
          </w:rPr>
          <w:t>http://www.csindex.com.cn</w:t>
        </w:r>
      </w:hyperlink>
      <w:r>
        <w:rPr>
          <w:rFonts w:ascii="微软雅黑" w:eastAsia="微软雅黑" w:hAnsi="微软雅黑" w:hint="eastAsia"/>
          <w:szCs w:val="21"/>
        </w:rPr>
        <w:t>。</w:t>
      </w:r>
    </w:p>
    <w:p w:rsidR="0098188B" w:rsidRPr="0098188B" w:rsidRDefault="0098188B" w:rsidP="0098188B">
      <w:pPr>
        <w:adjustRightInd w:val="0"/>
        <w:snapToGrid w:val="0"/>
        <w:ind w:firstLineChars="200" w:firstLine="420"/>
        <w:rPr>
          <w:rFonts w:ascii="微软雅黑" w:eastAsia="微软雅黑" w:hAnsi="微软雅黑" w:hint="eastAsia"/>
          <w:b/>
          <w:szCs w:val="21"/>
        </w:rPr>
      </w:pPr>
      <w:r w:rsidRPr="0098188B">
        <w:rPr>
          <w:rFonts w:ascii="微软雅黑" w:eastAsia="微软雅黑" w:hAnsi="微软雅黑" w:hint="eastAsia"/>
          <w:b/>
          <w:szCs w:val="21"/>
        </w:rPr>
        <w:t>（3）</w:t>
      </w:r>
      <w:r w:rsidRPr="0098188B">
        <w:rPr>
          <w:rFonts w:ascii="微软雅黑" w:eastAsia="微软雅黑" w:hAnsi="微软雅黑" w:hint="eastAsia"/>
          <w:b/>
          <w:szCs w:val="21"/>
        </w:rPr>
        <w:t>本基金主要投资于科创板股票，会面临科创板机制下因投资标的、市场制度以及交易规则等差异带来的特有风险。</w:t>
      </w:r>
    </w:p>
    <w:p w:rsidR="004B6D0B" w:rsidRPr="004A6804" w:rsidRDefault="004B6D0B" w:rsidP="004B6D0B">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w:t>
      </w:r>
      <w:r w:rsidR="0098188B">
        <w:rPr>
          <w:rFonts w:ascii="微软雅黑" w:eastAsia="微软雅黑" w:hAnsi="微软雅黑"/>
          <w:szCs w:val="21"/>
        </w:rPr>
        <w:t>4</w:t>
      </w:r>
      <w:r>
        <w:rPr>
          <w:rFonts w:ascii="微软雅黑" w:eastAsia="微软雅黑" w:hAnsi="微软雅黑" w:hint="eastAsia"/>
          <w:szCs w:val="21"/>
        </w:rPr>
        <w:t>）</w:t>
      </w:r>
      <w:r w:rsidRPr="004A6804">
        <w:rPr>
          <w:rFonts w:ascii="微软雅黑" w:eastAsia="微软雅黑" w:hAnsi="微软雅黑" w:hint="eastAsia"/>
          <w:szCs w:val="21"/>
        </w:rPr>
        <w:t>本基金可以投资于港股通标的股票，将承担港股通机制下因投资环境、投资标的、市场制度以及交易规则等差异带来的特有风险。本基金可根据投资策略需要或不同配置地市场环境的变化，选择将部分基金资产投资于港股或选择不将基金资产投资于港股，基金资产</w:t>
      </w:r>
      <w:r w:rsidRPr="004A6804">
        <w:rPr>
          <w:rFonts w:ascii="微软雅黑" w:eastAsia="微软雅黑" w:hAnsi="微软雅黑" w:hint="eastAsia"/>
          <w:szCs w:val="21"/>
        </w:rPr>
        <w:lastRenderedPageBreak/>
        <w:t xml:space="preserve">并非必然投资港股。  </w:t>
      </w:r>
    </w:p>
    <w:p w:rsidR="004B6D0B" w:rsidRPr="0098188B" w:rsidRDefault="004B6D0B" w:rsidP="004B6D0B">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w:t>
      </w:r>
      <w:r w:rsidR="0098188B">
        <w:rPr>
          <w:rFonts w:ascii="微软雅黑" w:eastAsia="微软雅黑" w:hAnsi="微软雅黑"/>
          <w:szCs w:val="21"/>
        </w:rPr>
        <w:t>5</w:t>
      </w:r>
      <w:r>
        <w:rPr>
          <w:rFonts w:ascii="微软雅黑" w:eastAsia="微软雅黑" w:hAnsi="微软雅黑" w:hint="eastAsia"/>
          <w:szCs w:val="21"/>
        </w:rPr>
        <w:t>）</w:t>
      </w:r>
      <w:r w:rsidRPr="0098188B">
        <w:rPr>
          <w:rFonts w:ascii="微软雅黑" w:eastAsia="微软雅黑" w:hAnsi="微软雅黑" w:hint="eastAsia"/>
          <w:bCs/>
          <w:szCs w:val="21"/>
        </w:rPr>
        <w:t>本基金可投资股指期货、国债期货、股票期权、资产支持证券、存托凭证、科创板股票等品种，可参与融资与转融通证券出借业务，将面临相关投资品种和业务的特有风险。</w:t>
      </w:r>
    </w:p>
    <w:p w:rsidR="004B6D0B" w:rsidRDefault="004B6D0B" w:rsidP="004B6D0B">
      <w:pPr>
        <w:adjustRightInd w:val="0"/>
        <w:snapToGrid w:val="0"/>
        <w:ind w:firstLineChars="200" w:firstLine="420"/>
        <w:rPr>
          <w:rFonts w:ascii="微软雅黑" w:eastAsia="微软雅黑" w:hAnsi="微软雅黑"/>
          <w:szCs w:val="21"/>
        </w:rPr>
      </w:pPr>
      <w:r w:rsidRPr="0098188B">
        <w:rPr>
          <w:rFonts w:ascii="微软雅黑" w:eastAsia="微软雅黑" w:hAnsi="微软雅黑" w:hint="eastAsia"/>
          <w:szCs w:val="21"/>
        </w:rPr>
        <w:t>（</w:t>
      </w:r>
      <w:r w:rsidR="0098188B" w:rsidRPr="0098188B">
        <w:rPr>
          <w:rFonts w:ascii="微软雅黑" w:eastAsia="微软雅黑" w:hAnsi="微软雅黑"/>
          <w:szCs w:val="21"/>
        </w:rPr>
        <w:t>6</w:t>
      </w:r>
      <w:r w:rsidRPr="0098188B">
        <w:rPr>
          <w:rFonts w:ascii="微软雅黑" w:eastAsia="微软雅黑" w:hAnsi="微软雅黑" w:hint="eastAsia"/>
          <w:szCs w:val="21"/>
        </w:rPr>
        <w:t>）</w:t>
      </w:r>
      <w:r w:rsidRPr="0098188B">
        <w:rPr>
          <w:rFonts w:ascii="微软雅黑" w:eastAsia="微软雅黑" w:hAnsi="微软雅黑" w:hint="eastAsia"/>
          <w:bCs/>
          <w:szCs w:val="21"/>
        </w:rPr>
        <w:t>基金终止清盘风险</w:t>
      </w:r>
      <w:r>
        <w:rPr>
          <w:rFonts w:ascii="微软雅黑" w:eastAsia="微软雅黑" w:hAnsi="微软雅黑" w:hint="eastAsia"/>
          <w:b/>
          <w:bCs/>
          <w:szCs w:val="21"/>
        </w:rPr>
        <w:t>。</w:t>
      </w:r>
      <w:r>
        <w:rPr>
          <w:rFonts w:ascii="微软雅黑" w:eastAsia="微软雅黑" w:hAnsi="微软雅黑" w:hint="eastAsia"/>
          <w:szCs w:val="21"/>
        </w:rPr>
        <w:t>基金合同生效后，连续60个工作日出现基金份额持有人数量不满200人或者基金资产净值低于</w:t>
      </w:r>
      <w:bookmarkStart w:id="0" w:name="_GoBack"/>
      <w:r>
        <w:rPr>
          <w:rFonts w:ascii="微软雅黑" w:eastAsia="微软雅黑" w:hAnsi="微软雅黑" w:hint="eastAsia"/>
          <w:szCs w:val="21"/>
        </w:rPr>
        <w:t>500</w:t>
      </w:r>
      <w:bookmarkEnd w:id="0"/>
      <w:r>
        <w:rPr>
          <w:rFonts w:ascii="微软雅黑" w:eastAsia="微软雅黑" w:hAnsi="微软雅黑" w:hint="eastAsia"/>
          <w:szCs w:val="21"/>
        </w:rPr>
        <w:t>0万元情形的，如基金管理人提议终止基金合同并经基金份额持有人大会表决通过的，基金合同终止；若出现标的指数不符合要求、指数编制机构退出等情形，基金管理人将提出转换运作方式、与其他基金合并、或者终止基金合同等解决方式并在6个月内召集持有人大会进行表决，大会未成功召开或就上述事项表决未通过的，基金合同终止。</w:t>
      </w:r>
    </w:p>
    <w:p w:rsidR="004B6D0B" w:rsidRDefault="004B6D0B" w:rsidP="004B6D0B">
      <w:pPr>
        <w:adjustRightInd w:val="0"/>
        <w:snapToGrid w:val="0"/>
        <w:ind w:firstLineChars="200" w:firstLine="420"/>
        <w:rPr>
          <w:rFonts w:ascii="微软雅黑" w:eastAsia="微软雅黑" w:hAnsi="微软雅黑"/>
          <w:szCs w:val="21"/>
        </w:rPr>
      </w:pPr>
      <w:r>
        <w:rPr>
          <w:rFonts w:ascii="微软雅黑" w:eastAsia="微软雅黑" w:hAnsi="微软雅黑"/>
          <w:szCs w:val="21"/>
        </w:rPr>
        <w:t>（</w:t>
      </w:r>
      <w:r w:rsidR="0098188B">
        <w:rPr>
          <w:rFonts w:ascii="微软雅黑" w:eastAsia="微软雅黑" w:hAnsi="微软雅黑"/>
          <w:szCs w:val="21"/>
        </w:rPr>
        <w:t>7</w:t>
      </w:r>
      <w:r>
        <w:rPr>
          <w:rFonts w:ascii="微软雅黑" w:eastAsia="微软雅黑" w:hAnsi="微软雅黑"/>
          <w:szCs w:val="21"/>
        </w:rPr>
        <w:t>）</w:t>
      </w:r>
      <w:r w:rsidRPr="00A22DD5">
        <w:rPr>
          <w:rFonts w:ascii="微软雅黑" w:eastAsia="微软雅黑" w:hAnsi="微软雅黑" w:hint="eastAsia"/>
          <w:b/>
          <w:szCs w:val="21"/>
        </w:rPr>
        <w:t>本基金采用增强策略的风险</w:t>
      </w:r>
      <w:r w:rsidR="009579E6" w:rsidRPr="00A22DD5">
        <w:rPr>
          <w:rFonts w:ascii="微软雅黑" w:eastAsia="微软雅黑" w:hAnsi="微软雅黑" w:hint="eastAsia"/>
          <w:b/>
          <w:szCs w:val="21"/>
        </w:rPr>
        <w:t>。</w:t>
      </w:r>
      <w:r w:rsidRPr="00BF3ED5">
        <w:rPr>
          <w:rFonts w:ascii="微软雅黑" w:eastAsia="微软雅黑" w:hAnsi="微软雅黑" w:hint="eastAsia"/>
          <w:szCs w:val="21"/>
        </w:rPr>
        <w:t>本基金为增强型的指数基金，以“指数化投资为主、主动性投资为辅”，采用主动管理策略选股，可能存在策略失效，无法战胜指数收益的风险。</w:t>
      </w:r>
    </w:p>
    <w:p w:rsidR="004B6D0B" w:rsidRDefault="004B6D0B" w:rsidP="004B6D0B">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五、</w:t>
      </w:r>
      <w:r>
        <w:rPr>
          <w:rFonts w:ascii="微软雅黑" w:eastAsia="微软雅黑" w:hAnsi="微软雅黑" w:hint="eastAsia"/>
          <w:b/>
          <w:bCs/>
          <w:szCs w:val="21"/>
        </w:rPr>
        <w:t>基金管理人承诺以诚实信用、勤勉尽责的原则管理和运用基金资产，但不保证本基金一定盈利，也不保证最低收益</w:t>
      </w:r>
      <w:r>
        <w:rPr>
          <w:rFonts w:ascii="微软雅黑" w:eastAsia="微软雅黑" w:hAnsi="微软雅黑" w:hint="eastAsia"/>
          <w:szCs w:val="21"/>
        </w:rPr>
        <w:t>。本基金的过往业绩及其净值高低并不预示其未来业绩表现，基金管理人管理的其他基金的业绩并不构成对本基金业绩表现的保证。</w:t>
      </w:r>
      <w:r>
        <w:rPr>
          <w:rFonts w:ascii="微软雅黑" w:eastAsia="微软雅黑" w:hAnsi="微软雅黑" w:hint="eastAsia"/>
          <w:b/>
          <w:bCs/>
          <w:szCs w:val="21"/>
        </w:rPr>
        <w:t>基金管理人提醒投资者基金投资的“买者自负”原则，在做出投资决策后，基金运营状况与基金净值变化引致的投资风险，由投资者自行负担。基金管理人、基金托管人、基金销售机构及相关机构不对基金投资收益做出任何承诺或保证。</w:t>
      </w:r>
    </w:p>
    <w:p w:rsidR="004B6D0B" w:rsidRDefault="004B6D0B" w:rsidP="004B6D0B">
      <w:pPr>
        <w:adjustRightInd w:val="0"/>
        <w:snapToGrid w:val="0"/>
        <w:ind w:firstLineChars="200" w:firstLine="420"/>
        <w:rPr>
          <w:rFonts w:ascii="微软雅黑" w:eastAsia="微软雅黑" w:hAnsi="微软雅黑"/>
          <w:szCs w:val="21"/>
        </w:rPr>
      </w:pPr>
      <w:r>
        <w:rPr>
          <w:rFonts w:ascii="微软雅黑" w:eastAsia="微软雅黑" w:hAnsi="微软雅黑" w:hint="eastAsia"/>
          <w:szCs w:val="21"/>
        </w:rPr>
        <w:t>六、</w:t>
      </w:r>
      <w:r w:rsidR="0098188B">
        <w:rPr>
          <w:rFonts w:ascii="微软雅黑" w:eastAsia="微软雅黑" w:hAnsi="微软雅黑" w:hint="eastAsia"/>
          <w:b/>
          <w:bCs/>
          <w:szCs w:val="21"/>
        </w:rPr>
        <w:t>富国上证科创板综合价格指数增强型证券投资基金</w:t>
      </w:r>
      <w:r>
        <w:rPr>
          <w:rFonts w:ascii="微软雅黑" w:eastAsia="微软雅黑" w:hAnsi="微软雅黑" w:hint="eastAsia"/>
          <w:szCs w:val="21"/>
        </w:rPr>
        <w:t>（以下简称“本基金”）由富国基金管理有限公司（以下简称“基金管理人”）依照有关法律法规及约定申请募集，并经中国证券监督管理委员会（以下简称“中国证监会”）许可注册。本基金的基金合同、基金招募说明书和基金产品资料概要已通过中国证监会基金电子披露网站http://eid.csrc.gov.cn/fund和基金管理人网站www.fullgoal.com.cn进行了公开披露。</w:t>
      </w:r>
      <w:r>
        <w:rPr>
          <w:rFonts w:ascii="微软雅黑" w:eastAsia="微软雅黑" w:hAnsi="微软雅黑" w:hint="eastAsia"/>
          <w:b/>
          <w:bCs/>
          <w:szCs w:val="21"/>
        </w:rPr>
        <w:t>中国证监会对本基金的注册，并不表明其对本基金的投资价值、市场前景和收益作出实质性判断或保证，也不表明投资于本基金没有风险。</w:t>
      </w:r>
    </w:p>
    <w:p w:rsidR="004B6D0B" w:rsidRPr="007D578A" w:rsidRDefault="004B6D0B" w:rsidP="004B6D0B">
      <w:pPr>
        <w:adjustRightInd w:val="0"/>
        <w:snapToGrid w:val="0"/>
        <w:ind w:firstLineChars="200" w:firstLine="420"/>
        <w:rPr>
          <w:rFonts w:ascii="微软雅黑" w:eastAsia="微软雅黑" w:hAnsi="微软雅黑"/>
          <w:b/>
          <w:szCs w:val="21"/>
        </w:rPr>
      </w:pPr>
      <w:r>
        <w:rPr>
          <w:rFonts w:ascii="微软雅黑" w:eastAsia="微软雅黑" w:hAnsi="微软雅黑" w:hint="eastAsia"/>
          <w:szCs w:val="21"/>
        </w:rPr>
        <w:t>七、投资者应当通过基金管理人或具有基金销售业务资格的其他机构</w:t>
      </w:r>
      <w:r w:rsidR="00BF3ED5">
        <w:rPr>
          <w:rFonts w:ascii="微软雅黑" w:eastAsia="微软雅黑" w:hAnsi="微软雅黑" w:hint="eastAsia"/>
          <w:szCs w:val="21"/>
        </w:rPr>
        <w:t>认</w:t>
      </w:r>
      <w:r w:rsidR="00BF3ED5">
        <w:rPr>
          <w:rFonts w:ascii="微软雅黑" w:eastAsia="微软雅黑" w:hAnsi="微软雅黑" w:hint="eastAsia"/>
          <w:szCs w:val="21"/>
        </w:rPr>
        <w:t>购</w:t>
      </w:r>
      <w:r w:rsidR="00BF3ED5">
        <w:rPr>
          <w:rFonts w:ascii="微软雅黑" w:eastAsia="微软雅黑" w:hAnsi="微软雅黑" w:hint="eastAsia"/>
          <w:szCs w:val="21"/>
        </w:rPr>
        <w:t>/</w:t>
      </w:r>
      <w:r>
        <w:rPr>
          <w:rFonts w:ascii="微软雅黑" w:eastAsia="微软雅黑" w:hAnsi="微软雅黑" w:hint="eastAsia"/>
          <w:szCs w:val="21"/>
        </w:rPr>
        <w:t>申购和赎回基金。基金销售机构名单详见《招募说明书》以及相关公示信息。</w:t>
      </w:r>
      <w:r>
        <w:rPr>
          <w:rFonts w:ascii="微软雅黑" w:eastAsia="微软雅黑" w:hAnsi="微软雅黑" w:hint="eastAsia"/>
          <w:b/>
          <w:bCs/>
          <w:szCs w:val="21"/>
        </w:rPr>
        <w:t>基金管理人/基金销售机构根据相关法律法规对本基金进行风险评价，不同销售机构采用的评价方法和风险等级评价结果可能存在不同，投资者在购买本基金时需按照销售机构的要求完成风险承受能力与产品风险之间的匹配检验。经富国基金评定，</w:t>
      </w:r>
      <w:r w:rsidR="0098188B">
        <w:rPr>
          <w:rFonts w:ascii="微软雅黑" w:eastAsia="微软雅黑" w:hAnsi="微软雅黑" w:hint="eastAsia"/>
          <w:b/>
          <w:bCs/>
          <w:szCs w:val="21"/>
        </w:rPr>
        <w:t>富国上证科创板综合价格指数增强型证券投资基金</w:t>
      </w:r>
      <w:r>
        <w:rPr>
          <w:rFonts w:ascii="微软雅黑" w:eastAsia="微软雅黑" w:hAnsi="微软雅黑" w:hint="eastAsia"/>
          <w:b/>
          <w:bCs/>
          <w:szCs w:val="21"/>
        </w:rPr>
        <w:t>的</w:t>
      </w:r>
      <w:r w:rsidRPr="009810C0">
        <w:rPr>
          <w:rFonts w:ascii="微软雅黑" w:eastAsia="微软雅黑" w:hAnsi="微软雅黑" w:hint="eastAsia"/>
          <w:b/>
          <w:bCs/>
          <w:szCs w:val="21"/>
        </w:rPr>
        <w:t>风险等级为R</w:t>
      </w:r>
      <w:r w:rsidR="00BF3ED5">
        <w:rPr>
          <w:rFonts w:ascii="微软雅黑" w:eastAsia="微软雅黑" w:hAnsi="微软雅黑"/>
          <w:b/>
          <w:bCs/>
          <w:szCs w:val="21"/>
        </w:rPr>
        <w:t>4</w:t>
      </w:r>
      <w:r w:rsidRPr="009810C0">
        <w:rPr>
          <w:rFonts w:ascii="微软雅黑" w:eastAsia="微软雅黑" w:hAnsi="微软雅黑" w:hint="eastAsia"/>
          <w:b/>
          <w:bCs/>
          <w:szCs w:val="21"/>
        </w:rPr>
        <w:t>中风险，适合风险承受能力为C</w:t>
      </w:r>
      <w:r w:rsidR="00BF3ED5">
        <w:rPr>
          <w:rFonts w:ascii="微软雅黑" w:eastAsia="微软雅黑" w:hAnsi="微软雅黑"/>
          <w:b/>
          <w:bCs/>
          <w:szCs w:val="21"/>
        </w:rPr>
        <w:t>4</w:t>
      </w:r>
      <w:r w:rsidRPr="009810C0">
        <w:rPr>
          <w:rFonts w:ascii="微软雅黑" w:eastAsia="微软雅黑" w:hAnsi="微软雅黑" w:hint="eastAsia"/>
          <w:b/>
          <w:bCs/>
          <w:szCs w:val="21"/>
        </w:rPr>
        <w:t>及以上的投资者。产品风险等级及适配投资者等级以销售机构评定结果为准。</w:t>
      </w:r>
    </w:p>
    <w:p w:rsidR="00E0597D" w:rsidRPr="004B6D0B" w:rsidRDefault="00E0597D"/>
    <w:sectPr w:rsidR="00E0597D" w:rsidRPr="004B6D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DA5" w:rsidRDefault="00104DA5" w:rsidP="004B6D0B">
      <w:r>
        <w:separator/>
      </w:r>
    </w:p>
  </w:endnote>
  <w:endnote w:type="continuationSeparator" w:id="0">
    <w:p w:rsidR="00104DA5" w:rsidRDefault="00104DA5" w:rsidP="004B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DA5" w:rsidRDefault="00104DA5" w:rsidP="004B6D0B">
      <w:r>
        <w:separator/>
      </w:r>
    </w:p>
  </w:footnote>
  <w:footnote w:type="continuationSeparator" w:id="0">
    <w:p w:rsidR="00104DA5" w:rsidRDefault="00104DA5" w:rsidP="004B6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3C5"/>
    <w:rsid w:val="00104DA5"/>
    <w:rsid w:val="002223C5"/>
    <w:rsid w:val="004B6D0B"/>
    <w:rsid w:val="008C2D50"/>
    <w:rsid w:val="009579E6"/>
    <w:rsid w:val="0098188B"/>
    <w:rsid w:val="00A22DD5"/>
    <w:rsid w:val="00BA7C88"/>
    <w:rsid w:val="00BF3ED5"/>
    <w:rsid w:val="00E0597D"/>
    <w:rsid w:val="00EF7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543BBD-4553-479B-B33D-18290C99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D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6D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6D0B"/>
    <w:rPr>
      <w:sz w:val="18"/>
      <w:szCs w:val="18"/>
    </w:rPr>
  </w:style>
  <w:style w:type="paragraph" w:styleId="a4">
    <w:name w:val="footer"/>
    <w:basedOn w:val="a"/>
    <w:link w:val="Char0"/>
    <w:uiPriority w:val="99"/>
    <w:unhideWhenUsed/>
    <w:rsid w:val="004B6D0B"/>
    <w:pPr>
      <w:tabs>
        <w:tab w:val="center" w:pos="4153"/>
        <w:tab w:val="right" w:pos="8306"/>
      </w:tabs>
      <w:snapToGrid w:val="0"/>
      <w:jc w:val="left"/>
    </w:pPr>
    <w:rPr>
      <w:sz w:val="18"/>
      <w:szCs w:val="18"/>
    </w:rPr>
  </w:style>
  <w:style w:type="character" w:customStyle="1" w:styleId="Char0">
    <w:name w:val="页脚 Char"/>
    <w:basedOn w:val="a0"/>
    <w:link w:val="a4"/>
    <w:uiPriority w:val="99"/>
    <w:rsid w:val="004B6D0B"/>
    <w:rPr>
      <w:sz w:val="18"/>
      <w:szCs w:val="18"/>
    </w:rPr>
  </w:style>
  <w:style w:type="paragraph" w:styleId="a5">
    <w:name w:val="List Paragraph"/>
    <w:basedOn w:val="a"/>
    <w:uiPriority w:val="34"/>
    <w:qFormat/>
    <w:rsid w:val="004B6D0B"/>
    <w:pPr>
      <w:ind w:firstLineChars="200" w:firstLine="420"/>
    </w:pPr>
    <w:rPr>
      <w:rFonts w:ascii="Calibri" w:eastAsia="宋体" w:hAnsi="Calibri" w:cs="Times New Roman"/>
    </w:rPr>
  </w:style>
  <w:style w:type="character" w:styleId="a6">
    <w:name w:val="Hyperlink"/>
    <w:basedOn w:val="a0"/>
    <w:uiPriority w:val="99"/>
    <w:unhideWhenUsed/>
    <w:rsid w:val="004B6D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index.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邱舸航</dc:creator>
  <cp:keywords/>
  <dc:description/>
  <cp:lastModifiedBy>邱舸航</cp:lastModifiedBy>
  <cp:revision>8</cp:revision>
  <dcterms:created xsi:type="dcterms:W3CDTF">2024-12-11T08:21:00Z</dcterms:created>
  <dcterms:modified xsi:type="dcterms:W3CDTF">2025-04-10T01:37:00Z</dcterms:modified>
</cp:coreProperties>
</file>