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9C72F0" w14:paraId="1438A6F1" w14:textId="77777777">
      <w:pPr>
        <w:widowControl/>
        <w:jc w:val="center"/>
        <w:rPr>
          <w:rFonts w:cs="宋体"/>
          <w:color w:val="000000"/>
          <w:szCs w:val="21"/>
        </w:rPr>
      </w:pPr>
    </w:p>
    <w:p w:rsidR="009C72F0" w14:paraId="5C69307C" w14:textId="77777777">
      <w:pPr>
        <w:widowControl/>
        <w:jc w:val="center"/>
        <w:rPr>
          <w:rFonts w:cs="宋体"/>
          <w:color w:val="000000"/>
          <w:szCs w:val="21"/>
        </w:rPr>
      </w:pPr>
    </w:p>
    <w:p w:rsidR="009C72F0" w14:paraId="4A75E315" w14:textId="77777777">
      <w:pPr>
        <w:widowControl/>
        <w:jc w:val="center"/>
        <w:rPr>
          <w:rFonts w:cs="宋体"/>
          <w:color w:val="000000"/>
          <w:szCs w:val="21"/>
        </w:rPr>
      </w:pPr>
    </w:p>
    <w:p w:rsidR="009C72F0" w14:paraId="279574E5" w14:textId="77777777">
      <w:pPr>
        <w:widowControl/>
        <w:jc w:val="center"/>
        <w:rPr>
          <w:rFonts w:cs="宋体"/>
          <w:color w:val="000000"/>
          <w:szCs w:val="21"/>
        </w:rPr>
      </w:pPr>
    </w:p>
    <w:p w:rsidR="009C72F0" w14:paraId="2BB24DFC" w14:textId="77777777">
      <w:pPr>
        <w:widowControl/>
        <w:jc w:val="center"/>
        <w:rPr>
          <w:rFonts w:cs="宋体"/>
          <w:color w:val="000000"/>
          <w:szCs w:val="21"/>
        </w:rPr>
      </w:pPr>
    </w:p>
    <w:p w:rsidR="009C72F0" w14:paraId="72667963" w14:textId="77777777">
      <w:pPr>
        <w:widowControl/>
        <w:jc w:val="center"/>
        <w:rPr>
          <w:rFonts w:cs="宋体"/>
          <w:color w:val="000000"/>
          <w:szCs w:val="21"/>
        </w:rPr>
      </w:pPr>
    </w:p>
    <w:p w:rsidR="009C72F0" w14:paraId="604BB7AF" w14:textId="77777777">
      <w:pPr>
        <w:widowControl/>
        <w:jc w:val="center"/>
        <w:rPr>
          <w:rFonts w:cs="宋体"/>
          <w:color w:val="000000"/>
          <w:szCs w:val="21"/>
        </w:rPr>
      </w:pPr>
    </w:p>
    <w:p w:rsidR="009C72F0" w14:paraId="53D2A3FE" w14:textId="77777777">
      <w:pPr>
        <w:widowControl/>
        <w:jc w:val="center"/>
        <w:rPr>
          <w:rFonts w:cs="宋体"/>
          <w:color w:val="000000"/>
          <w:szCs w:val="21"/>
        </w:rPr>
      </w:pPr>
    </w:p>
    <w:p w:rsidR="009C72F0" w14:paraId="52EA24EF" w14:textId="77777777">
      <w:pPr>
        <w:jc w:val="center"/>
        <w:rPr>
          <w:rFonts w:ascii="宋体" w:hAnsi="宋体"/>
          <w:b/>
          <w:bCs/>
          <w:color w:val="000000"/>
          <w:sz w:val="36"/>
          <w:szCs w:val="36"/>
          <w:lang w:eastAsia="zh-CN"/>
        </w:rPr>
      </w:pPr>
      <w:r>
        <w:rPr>
          <w:rFonts w:ascii="宋体" w:hAnsi="宋体" w:hint="eastAsia"/>
          <w:b/>
          <w:bCs/>
          <w:color w:val="000000"/>
          <w:sz w:val="36"/>
          <w:szCs w:val="36"/>
          <w:lang w:eastAsia="zh-CN"/>
        </w:rPr>
        <w:t>易方达安旭90天持有期债券型证券投资基金</w:t>
      </w:r>
    </w:p>
    <w:p w:rsidR="009C72F0" w14:paraId="7B97C09C" w14:textId="77777777">
      <w:pPr>
        <w:jc w:val="center"/>
        <w:rPr>
          <w:rFonts w:ascii="Times New Roman" w:eastAsia="微软雅黑" w:hAnsi="Times New Roman"/>
          <w:b/>
          <w:bCs/>
          <w:color w:val="000000"/>
          <w:sz w:val="28"/>
          <w:szCs w:val="28"/>
          <w:lang w:eastAsia="zh-CN"/>
        </w:rPr>
      </w:pPr>
      <w:r>
        <w:rPr>
          <w:rFonts w:ascii="宋体" w:hAnsi="宋体" w:hint="eastAsia"/>
          <w:b/>
          <w:bCs/>
          <w:color w:val="000000"/>
          <w:sz w:val="36"/>
          <w:szCs w:val="36"/>
          <w:highlight w:val="white"/>
          <w:lang w:eastAsia="zh-CN"/>
        </w:rPr>
        <w:t>托管协议</w:t>
      </w:r>
    </w:p>
    <w:p w:rsidR="009C72F0" w14:paraId="07C50E12" w14:textId="77777777">
      <w:pPr>
        <w:widowControl/>
        <w:jc w:val="center"/>
        <w:rPr>
          <w:rFonts w:ascii="宋体" w:hAnsi="宋体" w:cs="宋体"/>
          <w:b/>
          <w:bCs/>
          <w:color w:val="000000"/>
          <w:sz w:val="30"/>
          <w:szCs w:val="30"/>
          <w:lang w:eastAsia="zh-CN"/>
        </w:rPr>
      </w:pPr>
    </w:p>
    <w:p w:rsidR="009C72F0" w14:paraId="2DB98382" w14:textId="77777777">
      <w:pPr>
        <w:widowControl/>
        <w:jc w:val="center"/>
        <w:rPr>
          <w:rFonts w:cs="宋体"/>
          <w:color w:val="000000"/>
          <w:szCs w:val="21"/>
          <w:lang w:eastAsia="zh-CN"/>
        </w:rPr>
      </w:pPr>
    </w:p>
    <w:p w:rsidR="009C72F0" w14:paraId="40F6EA31" w14:textId="77777777">
      <w:pPr>
        <w:widowControl/>
        <w:jc w:val="center"/>
        <w:rPr>
          <w:rFonts w:cs="宋体"/>
          <w:color w:val="000000"/>
          <w:szCs w:val="21"/>
          <w:lang w:eastAsia="zh-CN"/>
        </w:rPr>
      </w:pPr>
    </w:p>
    <w:p w:rsidR="009C72F0" w14:paraId="5B833D14" w14:textId="77777777">
      <w:pPr>
        <w:widowControl/>
        <w:jc w:val="center"/>
        <w:rPr>
          <w:rFonts w:cs="宋体"/>
          <w:color w:val="000000"/>
          <w:szCs w:val="21"/>
          <w:lang w:eastAsia="zh-CN"/>
        </w:rPr>
      </w:pPr>
    </w:p>
    <w:p w:rsidR="009C72F0" w14:paraId="54CB1BF4" w14:textId="77777777">
      <w:pPr>
        <w:widowControl/>
        <w:jc w:val="center"/>
        <w:rPr>
          <w:rFonts w:cs="宋体"/>
          <w:color w:val="000000"/>
          <w:szCs w:val="21"/>
          <w:lang w:eastAsia="zh-CN"/>
        </w:rPr>
      </w:pPr>
    </w:p>
    <w:p w:rsidR="009C72F0" w14:paraId="0EFC4ADE" w14:textId="77777777">
      <w:pPr>
        <w:widowControl/>
        <w:jc w:val="center"/>
        <w:rPr>
          <w:rFonts w:cs="宋体"/>
          <w:color w:val="000000"/>
          <w:szCs w:val="21"/>
          <w:lang w:eastAsia="zh-CN"/>
        </w:rPr>
      </w:pPr>
    </w:p>
    <w:p w:rsidR="009C72F0" w14:paraId="7FD0D759" w14:textId="77777777">
      <w:pPr>
        <w:widowControl/>
        <w:jc w:val="center"/>
        <w:rPr>
          <w:rFonts w:cs="宋体"/>
          <w:color w:val="000000"/>
          <w:szCs w:val="21"/>
          <w:lang w:eastAsia="zh-CN"/>
        </w:rPr>
      </w:pPr>
    </w:p>
    <w:p w:rsidR="009C72F0" w14:paraId="09E27416" w14:textId="77777777">
      <w:pPr>
        <w:widowControl/>
        <w:jc w:val="center"/>
        <w:rPr>
          <w:rFonts w:cs="宋体"/>
          <w:color w:val="000000"/>
          <w:szCs w:val="21"/>
          <w:lang w:eastAsia="zh-CN"/>
        </w:rPr>
      </w:pPr>
    </w:p>
    <w:p w:rsidR="009C72F0" w14:paraId="4F8C221E" w14:textId="77777777">
      <w:pPr>
        <w:widowControl/>
        <w:jc w:val="center"/>
        <w:rPr>
          <w:rFonts w:cs="宋体"/>
          <w:color w:val="000000"/>
          <w:szCs w:val="21"/>
          <w:lang w:eastAsia="zh-CN"/>
        </w:rPr>
      </w:pPr>
    </w:p>
    <w:p w:rsidR="009C72F0" w14:paraId="4E05C698" w14:textId="77777777">
      <w:pPr>
        <w:widowControl/>
        <w:jc w:val="center"/>
        <w:rPr>
          <w:rFonts w:cs="宋体"/>
          <w:color w:val="000000"/>
          <w:szCs w:val="21"/>
          <w:lang w:eastAsia="zh-CN"/>
        </w:rPr>
      </w:pPr>
    </w:p>
    <w:p w:rsidR="009C72F0" w14:paraId="4EA08C0F" w14:textId="77777777">
      <w:pPr>
        <w:widowControl/>
        <w:jc w:val="center"/>
        <w:rPr>
          <w:rFonts w:cs="宋体"/>
          <w:color w:val="000000"/>
          <w:szCs w:val="21"/>
          <w:lang w:eastAsia="zh-CN"/>
        </w:rPr>
      </w:pPr>
    </w:p>
    <w:p w:rsidR="009C72F0" w14:paraId="002A094C" w14:textId="77777777">
      <w:pPr>
        <w:widowControl/>
        <w:jc w:val="center"/>
        <w:rPr>
          <w:rFonts w:cs="宋体"/>
          <w:color w:val="000000"/>
          <w:szCs w:val="21"/>
          <w:lang w:eastAsia="zh-CN"/>
        </w:rPr>
      </w:pPr>
    </w:p>
    <w:p w:rsidR="009C72F0" w14:paraId="67B36706" w14:textId="77777777">
      <w:pPr>
        <w:widowControl/>
        <w:jc w:val="center"/>
        <w:rPr>
          <w:rFonts w:cs="宋体"/>
          <w:color w:val="000000"/>
          <w:szCs w:val="21"/>
          <w:lang w:eastAsia="zh-CN"/>
        </w:rPr>
      </w:pPr>
    </w:p>
    <w:p w:rsidR="009C72F0" w14:paraId="688436C8" w14:textId="77777777">
      <w:pPr>
        <w:widowControl/>
        <w:jc w:val="center"/>
        <w:rPr>
          <w:rFonts w:cs="宋体"/>
          <w:color w:val="000000"/>
          <w:szCs w:val="21"/>
          <w:lang w:eastAsia="zh-CN"/>
        </w:rPr>
      </w:pPr>
    </w:p>
    <w:p w:rsidR="009C72F0" w14:paraId="33368A92" w14:textId="77777777">
      <w:pPr>
        <w:widowControl/>
        <w:jc w:val="center"/>
        <w:rPr>
          <w:rFonts w:cs="宋体"/>
          <w:color w:val="000000"/>
          <w:szCs w:val="21"/>
          <w:lang w:eastAsia="zh-CN"/>
        </w:rPr>
      </w:pPr>
      <w:bookmarkStart w:id="0" w:name="_Toc375229542"/>
      <w:bookmarkStart w:id="1" w:name="_Toc125361069"/>
      <w:bookmarkStart w:id="2" w:name="_Toc296429141"/>
      <w:bookmarkStart w:id="3" w:name="_Toc296428028"/>
      <w:bookmarkStart w:id="4" w:name="_Toc140002332"/>
      <w:bookmarkStart w:id="5" w:name="_Toc375230473"/>
      <w:bookmarkEnd w:id="0"/>
      <w:bookmarkEnd w:id="1"/>
      <w:bookmarkEnd w:id="2"/>
      <w:bookmarkEnd w:id="3"/>
      <w:bookmarkEnd w:id="4"/>
      <w:bookmarkEnd w:id="5"/>
      <w:r>
        <w:rPr>
          <w:rFonts w:ascii="宋体" w:hAnsi="宋体" w:cs="宋体" w:hint="eastAsia"/>
          <w:b/>
          <w:bCs/>
          <w:color w:val="000000"/>
          <w:sz w:val="30"/>
          <w:szCs w:val="30"/>
          <w:highlight w:val="white"/>
          <w:lang w:eastAsia="zh-CN"/>
        </w:rPr>
        <w:t>基金管理人：</w:t>
      </w:r>
      <w:bookmarkStart w:id="6" w:name="_Toc296428029"/>
      <w:bookmarkStart w:id="7" w:name="_Toc140002333"/>
      <w:bookmarkStart w:id="8" w:name="_Toc125361070"/>
      <w:bookmarkEnd w:id="6"/>
      <w:bookmarkEnd w:id="7"/>
      <w:bookmarkEnd w:id="8"/>
      <w:r>
        <w:rPr>
          <w:rFonts w:ascii="宋体" w:hAnsi="宋体" w:cs="宋体" w:hint="eastAsia"/>
          <w:b/>
          <w:bCs/>
          <w:color w:val="000000"/>
          <w:sz w:val="30"/>
          <w:szCs w:val="30"/>
          <w:highlight w:val="white"/>
          <w:lang w:eastAsia="zh-CN"/>
        </w:rPr>
        <w:t>易方达基金管理有限公司</w:t>
      </w:r>
    </w:p>
    <w:p w:rsidR="009C72F0" w14:paraId="4E6EDCCD" w14:textId="77777777">
      <w:pPr>
        <w:widowControl/>
        <w:jc w:val="center"/>
        <w:rPr>
          <w:rFonts w:ascii="宋体" w:hAnsi="宋体" w:cs="宋体"/>
          <w:b/>
          <w:bCs/>
          <w:color w:val="000000"/>
          <w:sz w:val="30"/>
          <w:szCs w:val="30"/>
          <w:lang w:eastAsia="zh-CN"/>
        </w:rPr>
      </w:pPr>
      <w:bookmarkStart w:id="9" w:name="_Toc375229543"/>
      <w:bookmarkStart w:id="10" w:name="_Toc375230474"/>
      <w:bookmarkEnd w:id="9"/>
      <w:bookmarkEnd w:id="10"/>
      <w:r>
        <w:rPr>
          <w:rFonts w:ascii="宋体" w:hAnsi="宋体" w:cs="宋体" w:hint="eastAsia"/>
          <w:b/>
          <w:bCs/>
          <w:color w:val="000000"/>
          <w:sz w:val="30"/>
          <w:szCs w:val="30"/>
          <w:highlight w:val="white"/>
          <w:lang w:eastAsia="zh-CN"/>
        </w:rPr>
        <w:t>基金托管人：国信证券股份有限公司</w:t>
      </w:r>
    </w:p>
    <w:p w:rsidR="009C72F0" w14:paraId="0E19958B" w14:textId="19800C49">
      <w:pPr>
        <w:widowControl/>
        <w:jc w:val="center"/>
        <w:rPr>
          <w:rFonts w:ascii="宋体" w:hAnsi="宋体" w:cs="宋体"/>
          <w:b/>
          <w:bCs/>
          <w:color w:val="000000"/>
          <w:sz w:val="30"/>
          <w:szCs w:val="30"/>
        </w:rPr>
      </w:pPr>
      <w:r>
        <w:rPr>
          <w:rFonts w:ascii="宋体" w:hAnsi="宋体" w:cs="宋体" w:hint="eastAsia"/>
          <w:b/>
          <w:bCs/>
          <w:color w:val="000000"/>
          <w:sz w:val="30"/>
          <w:szCs w:val="30"/>
          <w:highlight w:val="white"/>
        </w:rPr>
        <w:t>二零二</w:t>
      </w:r>
      <w:r w:rsidR="004A7DAC">
        <w:rPr>
          <w:rFonts w:ascii="宋体" w:hAnsi="宋体" w:cs="宋体" w:hint="eastAsia"/>
          <w:b/>
          <w:bCs/>
          <w:color w:val="000000"/>
          <w:sz w:val="30"/>
          <w:szCs w:val="30"/>
          <w:highlight w:val="white"/>
          <w:lang w:eastAsia="zh-CN"/>
        </w:rPr>
        <w:t>五</w:t>
      </w:r>
      <w:r>
        <w:rPr>
          <w:rFonts w:ascii="宋体" w:hAnsi="宋体" w:cs="宋体" w:hint="eastAsia"/>
          <w:b/>
          <w:bCs/>
          <w:color w:val="000000"/>
          <w:sz w:val="30"/>
          <w:szCs w:val="30"/>
          <w:highlight w:val="white"/>
        </w:rPr>
        <w:t>年</w:t>
      </w:r>
      <w:r w:rsidR="00F31AD8">
        <w:rPr>
          <w:rFonts w:ascii="宋体" w:hAnsi="宋体" w:cs="宋体" w:hint="eastAsia"/>
          <w:b/>
          <w:bCs/>
          <w:color w:val="000000"/>
          <w:sz w:val="30"/>
          <w:szCs w:val="30"/>
          <w:highlight w:val="white"/>
          <w:lang w:eastAsia="zh-CN"/>
        </w:rPr>
        <w:t>四</w:t>
      </w:r>
      <w:r>
        <w:rPr>
          <w:rFonts w:ascii="宋体" w:hAnsi="宋体" w:cs="宋体" w:hint="eastAsia"/>
          <w:b/>
          <w:bCs/>
          <w:color w:val="000000"/>
          <w:sz w:val="30"/>
          <w:szCs w:val="30"/>
          <w:highlight w:val="white"/>
        </w:rPr>
        <w:t>月</w:t>
      </w:r>
    </w:p>
    <w:p w:rsidR="009C72F0" w14:paraId="068AACA6" w14:textId="77777777">
      <w:pPr>
        <w:widowControl/>
        <w:jc w:val="left"/>
        <w:rPr>
          <w:rFonts w:ascii="宋体" w:hAnsi="宋体" w:cs="宋体"/>
          <w:b/>
          <w:bCs/>
          <w:color w:val="000000"/>
          <w:sz w:val="30"/>
          <w:szCs w:val="30"/>
        </w:rPr>
      </w:pPr>
      <w:r>
        <w:rPr>
          <w:rFonts w:ascii="宋体" w:hAnsi="宋体" w:cs="宋体"/>
          <w:b/>
          <w:bCs/>
          <w:color w:val="000000"/>
          <w:sz w:val="30"/>
          <w:szCs w:val="30"/>
          <w:highlight w:val="white"/>
        </w:rPr>
        <w:br w:type="page"/>
      </w:r>
    </w:p>
    <w:p w:rsidR="009C72F0" w14:paraId="110E03CC" w14:textId="77777777">
      <w:pPr>
        <w:pStyle w:val="TOC10"/>
        <w:jc w:val="center"/>
        <w:rPr>
          <w:color w:val="auto"/>
          <w:lang w:val="zh-CN"/>
        </w:rPr>
      </w:pPr>
      <w:bookmarkStart w:id="11" w:name="_Toc296428030"/>
      <w:bookmarkStart w:id="12" w:name="_Toc296429142"/>
      <w:bookmarkStart w:id="13" w:name="_Toc140002335"/>
      <w:bookmarkStart w:id="14" w:name="_Toc125361072"/>
      <w:bookmarkStart w:id="15" w:name="_Toc375229544"/>
      <w:bookmarkStart w:id="16" w:name="_Toc375230475"/>
      <w:bookmarkEnd w:id="11"/>
      <w:bookmarkEnd w:id="12"/>
      <w:bookmarkEnd w:id="13"/>
      <w:bookmarkEnd w:id="14"/>
      <w:bookmarkEnd w:id="15"/>
      <w:bookmarkEnd w:id="16"/>
      <w:r>
        <w:rPr>
          <w:rFonts w:hint="eastAsia"/>
          <w:color w:val="auto"/>
          <w:highlight w:val="white"/>
          <w:lang w:val="zh-CN"/>
        </w:rPr>
        <w:t>目</w:t>
      </w:r>
      <w:r>
        <w:rPr>
          <w:rFonts w:hint="eastAsia"/>
          <w:color w:val="auto"/>
          <w:highlight w:val="white"/>
          <w:lang w:val="zh-CN"/>
        </w:rPr>
        <w:t xml:space="preserve">    </w:t>
      </w:r>
      <w:r>
        <w:rPr>
          <w:rFonts w:hint="eastAsia"/>
          <w:color w:val="auto"/>
          <w:highlight w:val="white"/>
          <w:lang w:val="zh-CN"/>
        </w:rPr>
        <w:t>录</w:t>
      </w:r>
    </w:p>
    <w:p w:rsidR="009C72F0" w14:paraId="61B45205" w14:textId="77777777">
      <w:pPr>
        <w:rPr>
          <w:lang w:val="zh-CN"/>
        </w:rPr>
      </w:pPr>
    </w:p>
    <w:p w:rsidR="009C72F0" w14:paraId="5DBB6A66" w14:textId="77777777">
      <w:pPr>
        <w:pStyle w:val="TOC1"/>
        <w:tabs>
          <w:tab w:val="right" w:leader="dot" w:pos="8296"/>
        </w:tabs>
        <w:spacing w:before="0" w:beforeAutospacing="0" w:after="0" w:afterAutospacing="0"/>
        <w:rPr>
          <w:rFonts w:ascii="Calibri" w:hAnsi="Calibri" w:cs="Times New Roman"/>
          <w:noProof/>
          <w:sz w:val="21"/>
          <w:szCs w:val="22"/>
        </w:rPr>
      </w:pPr>
      <w:r>
        <w:fldChar w:fldCharType="begin"/>
      </w:r>
      <w:r>
        <w:rPr>
          <w:highlight w:val="white"/>
        </w:rPr>
        <w:instrText xml:space="preserve"> TOC \o "1-3" \h \z \u </w:instrText>
      </w:r>
      <w:r>
        <w:fldChar w:fldCharType="separate"/>
      </w:r>
      <w:hyperlink w:anchor="_Toc4491302" w:tooltip="Current Document" w:history="1">
        <w:r>
          <w:rPr>
            <w:rStyle w:val="Hyperlink"/>
            <w:rFonts w:hint="eastAsia"/>
            <w:noProof/>
            <w:highlight w:val="white"/>
          </w:rPr>
          <w:t>一、基金托管协议当事人</w:t>
        </w:r>
        <w:r>
          <w:rPr>
            <w:noProof/>
            <w:highlight w:val="white"/>
          </w:rPr>
          <w:tab/>
        </w:r>
        <w:r>
          <w:rPr>
            <w:noProof/>
          </w:rPr>
          <w:fldChar w:fldCharType="begin"/>
        </w:r>
        <w:r>
          <w:rPr>
            <w:noProof/>
            <w:highlight w:val="white"/>
          </w:rPr>
          <w:instrText xml:space="preserve"> PAGEREF _Toc4491302 \h </w:instrText>
        </w:r>
        <w:r>
          <w:rPr>
            <w:noProof/>
          </w:rPr>
          <w:fldChar w:fldCharType="separate"/>
        </w:r>
        <w:r w:rsidR="003A2474">
          <w:rPr>
            <w:noProof/>
            <w:highlight w:val="white"/>
          </w:rPr>
          <w:t>1</w:t>
        </w:r>
        <w:r>
          <w:rPr>
            <w:noProof/>
          </w:rPr>
          <w:fldChar w:fldCharType="end"/>
        </w:r>
      </w:hyperlink>
    </w:p>
    <w:p w:rsidR="009C72F0" w14:paraId="79EDAA10"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03" w:tooltip="Current Document" w:history="1">
        <w:r w:rsidR="00331E90">
          <w:rPr>
            <w:rStyle w:val="Hyperlink"/>
            <w:rFonts w:hint="eastAsia"/>
            <w:noProof/>
            <w:highlight w:val="white"/>
          </w:rPr>
          <w:t>二、基金托管协议的依据、目的和原则</w:t>
        </w:r>
        <w:r w:rsidR="00331E90">
          <w:rPr>
            <w:noProof/>
            <w:highlight w:val="white"/>
          </w:rPr>
          <w:tab/>
        </w:r>
        <w:r w:rsidR="00331E90">
          <w:rPr>
            <w:noProof/>
          </w:rPr>
          <w:fldChar w:fldCharType="begin"/>
        </w:r>
        <w:r w:rsidR="00331E90">
          <w:rPr>
            <w:noProof/>
            <w:highlight w:val="white"/>
          </w:rPr>
          <w:instrText xml:space="preserve"> PAGEREF _Toc4491303 \h </w:instrText>
        </w:r>
        <w:r w:rsidR="00331E90">
          <w:rPr>
            <w:noProof/>
          </w:rPr>
          <w:fldChar w:fldCharType="separate"/>
        </w:r>
        <w:r w:rsidR="003A2474">
          <w:rPr>
            <w:noProof/>
            <w:highlight w:val="white"/>
          </w:rPr>
          <w:t>2</w:t>
        </w:r>
        <w:r w:rsidR="00331E90">
          <w:rPr>
            <w:noProof/>
          </w:rPr>
          <w:fldChar w:fldCharType="end"/>
        </w:r>
      </w:hyperlink>
    </w:p>
    <w:p w:rsidR="009C72F0" w14:paraId="2DA20DF1"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04" w:tooltip="Current Document" w:history="1">
        <w:r w:rsidR="00331E90">
          <w:rPr>
            <w:rStyle w:val="Hyperlink"/>
            <w:rFonts w:hint="eastAsia"/>
            <w:noProof/>
            <w:highlight w:val="white"/>
          </w:rPr>
          <w:t>三、基金托管人对基金管理人的业务监督和核查</w:t>
        </w:r>
        <w:r w:rsidR="00331E90">
          <w:rPr>
            <w:noProof/>
            <w:highlight w:val="white"/>
          </w:rPr>
          <w:tab/>
        </w:r>
        <w:r w:rsidR="00331E90">
          <w:rPr>
            <w:noProof/>
          </w:rPr>
          <w:fldChar w:fldCharType="begin"/>
        </w:r>
        <w:r w:rsidR="00331E90">
          <w:rPr>
            <w:noProof/>
            <w:highlight w:val="white"/>
          </w:rPr>
          <w:instrText xml:space="preserve"> PAGEREF _Toc4491304 \h </w:instrText>
        </w:r>
        <w:r w:rsidR="00331E90">
          <w:rPr>
            <w:noProof/>
          </w:rPr>
          <w:fldChar w:fldCharType="separate"/>
        </w:r>
        <w:r w:rsidR="003A2474">
          <w:rPr>
            <w:noProof/>
            <w:highlight w:val="white"/>
          </w:rPr>
          <w:t>3</w:t>
        </w:r>
        <w:r w:rsidR="00331E90">
          <w:rPr>
            <w:noProof/>
          </w:rPr>
          <w:fldChar w:fldCharType="end"/>
        </w:r>
      </w:hyperlink>
    </w:p>
    <w:p w:rsidR="009C72F0" w14:paraId="3CFDA035"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05" w:tooltip="Current Document" w:history="1">
        <w:r w:rsidR="00331E90">
          <w:rPr>
            <w:rStyle w:val="Hyperlink"/>
            <w:rFonts w:hint="eastAsia"/>
            <w:noProof/>
            <w:highlight w:val="white"/>
          </w:rPr>
          <w:t>四、基金管理人对基金托管人的业务核查</w:t>
        </w:r>
        <w:r w:rsidR="00331E90">
          <w:rPr>
            <w:noProof/>
            <w:highlight w:val="white"/>
          </w:rPr>
          <w:tab/>
        </w:r>
        <w:r w:rsidR="00331E90">
          <w:rPr>
            <w:noProof/>
          </w:rPr>
          <w:fldChar w:fldCharType="begin"/>
        </w:r>
        <w:r w:rsidR="00331E90">
          <w:rPr>
            <w:noProof/>
            <w:highlight w:val="white"/>
          </w:rPr>
          <w:instrText xml:space="preserve"> PAGEREF _Toc4491305 \h </w:instrText>
        </w:r>
        <w:r w:rsidR="00331E90">
          <w:rPr>
            <w:noProof/>
          </w:rPr>
          <w:fldChar w:fldCharType="separate"/>
        </w:r>
        <w:r w:rsidR="003A2474">
          <w:rPr>
            <w:noProof/>
            <w:highlight w:val="white"/>
          </w:rPr>
          <w:t>7</w:t>
        </w:r>
        <w:r w:rsidR="00331E90">
          <w:rPr>
            <w:noProof/>
          </w:rPr>
          <w:fldChar w:fldCharType="end"/>
        </w:r>
      </w:hyperlink>
    </w:p>
    <w:p w:rsidR="009C72F0" w14:paraId="68F7D9EF"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06" w:tooltip="Current Document" w:history="1">
        <w:r w:rsidR="00331E90">
          <w:rPr>
            <w:rStyle w:val="Hyperlink"/>
            <w:rFonts w:hint="eastAsia"/>
            <w:noProof/>
            <w:highlight w:val="white"/>
          </w:rPr>
          <w:t>五、基金财产保管</w:t>
        </w:r>
        <w:r w:rsidR="00331E90">
          <w:rPr>
            <w:noProof/>
            <w:highlight w:val="white"/>
          </w:rPr>
          <w:tab/>
        </w:r>
        <w:r w:rsidR="00331E90">
          <w:rPr>
            <w:noProof/>
          </w:rPr>
          <w:fldChar w:fldCharType="begin"/>
        </w:r>
        <w:r w:rsidR="00331E90">
          <w:rPr>
            <w:noProof/>
            <w:highlight w:val="white"/>
          </w:rPr>
          <w:instrText xml:space="preserve"> PAGEREF _Toc4491306 \h </w:instrText>
        </w:r>
        <w:r w:rsidR="00331E90">
          <w:rPr>
            <w:noProof/>
          </w:rPr>
          <w:fldChar w:fldCharType="separate"/>
        </w:r>
        <w:r w:rsidR="003A2474">
          <w:rPr>
            <w:noProof/>
            <w:highlight w:val="white"/>
          </w:rPr>
          <w:t>8</w:t>
        </w:r>
        <w:r w:rsidR="00331E90">
          <w:rPr>
            <w:noProof/>
          </w:rPr>
          <w:fldChar w:fldCharType="end"/>
        </w:r>
      </w:hyperlink>
    </w:p>
    <w:p w:rsidR="009C72F0" w14:paraId="07708703"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07" w:tooltip="Current Document" w:history="1">
        <w:r w:rsidR="00331E90">
          <w:rPr>
            <w:rStyle w:val="Hyperlink"/>
            <w:rFonts w:hint="eastAsia"/>
            <w:noProof/>
            <w:highlight w:val="white"/>
          </w:rPr>
          <w:t>六、指令的发送、确认和执行</w:t>
        </w:r>
        <w:r w:rsidR="00331E90">
          <w:rPr>
            <w:noProof/>
            <w:highlight w:val="white"/>
          </w:rPr>
          <w:tab/>
        </w:r>
        <w:r w:rsidR="00331E90">
          <w:rPr>
            <w:noProof/>
          </w:rPr>
          <w:fldChar w:fldCharType="begin"/>
        </w:r>
        <w:r w:rsidR="00331E90">
          <w:rPr>
            <w:noProof/>
            <w:highlight w:val="white"/>
          </w:rPr>
          <w:instrText xml:space="preserve"> PAGEREF _Toc4491307 \h </w:instrText>
        </w:r>
        <w:r w:rsidR="00331E90">
          <w:rPr>
            <w:noProof/>
          </w:rPr>
          <w:fldChar w:fldCharType="separate"/>
        </w:r>
        <w:r w:rsidR="003A2474">
          <w:rPr>
            <w:noProof/>
            <w:highlight w:val="white"/>
          </w:rPr>
          <w:t>11</w:t>
        </w:r>
        <w:r w:rsidR="00331E90">
          <w:rPr>
            <w:noProof/>
          </w:rPr>
          <w:fldChar w:fldCharType="end"/>
        </w:r>
      </w:hyperlink>
    </w:p>
    <w:p w:rsidR="009C72F0" w14:paraId="02F821C3"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08" w:tooltip="Current Document" w:history="1">
        <w:r w:rsidR="00331E90">
          <w:rPr>
            <w:rStyle w:val="Hyperlink"/>
            <w:rFonts w:hint="eastAsia"/>
            <w:noProof/>
            <w:highlight w:val="white"/>
          </w:rPr>
          <w:t>七、交易及清算交收安排</w:t>
        </w:r>
        <w:r w:rsidR="00331E90">
          <w:rPr>
            <w:noProof/>
            <w:highlight w:val="white"/>
          </w:rPr>
          <w:tab/>
        </w:r>
        <w:r w:rsidR="00331E90">
          <w:rPr>
            <w:noProof/>
          </w:rPr>
          <w:fldChar w:fldCharType="begin"/>
        </w:r>
        <w:r w:rsidR="00331E90">
          <w:rPr>
            <w:noProof/>
            <w:highlight w:val="white"/>
          </w:rPr>
          <w:instrText xml:space="preserve"> PAGEREF _Toc4491308 \h </w:instrText>
        </w:r>
        <w:r w:rsidR="00331E90">
          <w:rPr>
            <w:noProof/>
          </w:rPr>
          <w:fldChar w:fldCharType="separate"/>
        </w:r>
        <w:r w:rsidR="003A2474">
          <w:rPr>
            <w:noProof/>
            <w:highlight w:val="white"/>
          </w:rPr>
          <w:t>14</w:t>
        </w:r>
        <w:r w:rsidR="00331E90">
          <w:rPr>
            <w:noProof/>
          </w:rPr>
          <w:fldChar w:fldCharType="end"/>
        </w:r>
      </w:hyperlink>
    </w:p>
    <w:p w:rsidR="009C72F0" w14:paraId="0433D4A4"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09" w:tooltip="Current Document" w:history="1">
        <w:r w:rsidR="00331E90">
          <w:rPr>
            <w:rStyle w:val="Hyperlink"/>
            <w:rFonts w:hint="eastAsia"/>
            <w:noProof/>
            <w:highlight w:val="white"/>
          </w:rPr>
          <w:t>八、基金资产净值计算和会计核算</w:t>
        </w:r>
        <w:r w:rsidR="00331E90">
          <w:rPr>
            <w:noProof/>
            <w:highlight w:val="white"/>
          </w:rPr>
          <w:tab/>
        </w:r>
        <w:r w:rsidR="00331E90">
          <w:rPr>
            <w:noProof/>
          </w:rPr>
          <w:fldChar w:fldCharType="begin"/>
        </w:r>
        <w:r w:rsidR="00331E90">
          <w:rPr>
            <w:noProof/>
            <w:highlight w:val="white"/>
          </w:rPr>
          <w:instrText xml:space="preserve"> PAGEREF _Toc4491309 \h </w:instrText>
        </w:r>
        <w:r w:rsidR="00331E90">
          <w:rPr>
            <w:noProof/>
          </w:rPr>
          <w:fldChar w:fldCharType="separate"/>
        </w:r>
        <w:r w:rsidR="003A2474">
          <w:rPr>
            <w:noProof/>
            <w:highlight w:val="white"/>
          </w:rPr>
          <w:t>17</w:t>
        </w:r>
        <w:r w:rsidR="00331E90">
          <w:rPr>
            <w:noProof/>
          </w:rPr>
          <w:fldChar w:fldCharType="end"/>
        </w:r>
      </w:hyperlink>
    </w:p>
    <w:p w:rsidR="009C72F0" w14:paraId="53713DCB"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10" w:tooltip="Current Document" w:history="1">
        <w:r w:rsidR="00331E90">
          <w:rPr>
            <w:rStyle w:val="Hyperlink"/>
            <w:rFonts w:hint="eastAsia"/>
            <w:noProof/>
            <w:highlight w:val="white"/>
          </w:rPr>
          <w:t>九、基金收益分配</w:t>
        </w:r>
        <w:r w:rsidR="00331E90">
          <w:rPr>
            <w:noProof/>
            <w:highlight w:val="white"/>
          </w:rPr>
          <w:tab/>
        </w:r>
        <w:r w:rsidR="00331E90">
          <w:rPr>
            <w:noProof/>
          </w:rPr>
          <w:fldChar w:fldCharType="begin"/>
        </w:r>
        <w:r w:rsidR="00331E90">
          <w:rPr>
            <w:noProof/>
            <w:highlight w:val="white"/>
          </w:rPr>
          <w:instrText xml:space="preserve"> PAGEREF _Toc4491310 \h </w:instrText>
        </w:r>
        <w:r w:rsidR="00331E90">
          <w:rPr>
            <w:noProof/>
          </w:rPr>
          <w:fldChar w:fldCharType="separate"/>
        </w:r>
        <w:r w:rsidR="003A2474">
          <w:rPr>
            <w:noProof/>
            <w:highlight w:val="white"/>
          </w:rPr>
          <w:t>22</w:t>
        </w:r>
        <w:r w:rsidR="00331E90">
          <w:rPr>
            <w:noProof/>
          </w:rPr>
          <w:fldChar w:fldCharType="end"/>
        </w:r>
      </w:hyperlink>
    </w:p>
    <w:p w:rsidR="009C72F0" w14:paraId="3A5C77A5"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11" w:tooltip="Current Document" w:history="1">
        <w:r w:rsidR="00331E90">
          <w:rPr>
            <w:rStyle w:val="Hyperlink"/>
            <w:rFonts w:hint="eastAsia"/>
            <w:noProof/>
            <w:highlight w:val="white"/>
          </w:rPr>
          <w:t>十、信息披露</w:t>
        </w:r>
        <w:r w:rsidR="00331E90">
          <w:rPr>
            <w:noProof/>
            <w:highlight w:val="white"/>
          </w:rPr>
          <w:tab/>
        </w:r>
        <w:r w:rsidR="00331E90">
          <w:rPr>
            <w:noProof/>
          </w:rPr>
          <w:fldChar w:fldCharType="begin"/>
        </w:r>
        <w:r w:rsidR="00331E90">
          <w:rPr>
            <w:noProof/>
            <w:highlight w:val="white"/>
          </w:rPr>
          <w:instrText xml:space="preserve"> PAGEREF _Toc4491311 \h </w:instrText>
        </w:r>
        <w:r w:rsidR="00331E90">
          <w:rPr>
            <w:noProof/>
          </w:rPr>
          <w:fldChar w:fldCharType="separate"/>
        </w:r>
        <w:r w:rsidR="003A2474">
          <w:rPr>
            <w:noProof/>
            <w:highlight w:val="white"/>
          </w:rPr>
          <w:t>23</w:t>
        </w:r>
        <w:r w:rsidR="00331E90">
          <w:rPr>
            <w:noProof/>
          </w:rPr>
          <w:fldChar w:fldCharType="end"/>
        </w:r>
      </w:hyperlink>
    </w:p>
    <w:p w:rsidR="009C72F0" w14:paraId="0866B682"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12" w:tooltip="Current Document" w:history="1">
        <w:r w:rsidR="00331E90">
          <w:rPr>
            <w:rStyle w:val="Hyperlink"/>
            <w:rFonts w:hint="eastAsia"/>
            <w:noProof/>
            <w:highlight w:val="white"/>
          </w:rPr>
          <w:t>十一、基金费用</w:t>
        </w:r>
        <w:r w:rsidR="00331E90">
          <w:rPr>
            <w:noProof/>
            <w:highlight w:val="white"/>
          </w:rPr>
          <w:tab/>
        </w:r>
        <w:r w:rsidR="00331E90">
          <w:rPr>
            <w:noProof/>
          </w:rPr>
          <w:fldChar w:fldCharType="begin"/>
        </w:r>
        <w:r w:rsidR="00331E90">
          <w:rPr>
            <w:noProof/>
            <w:highlight w:val="white"/>
          </w:rPr>
          <w:instrText xml:space="preserve"> PAGEREF _Toc4491312 \h </w:instrText>
        </w:r>
        <w:r w:rsidR="00331E90">
          <w:rPr>
            <w:noProof/>
          </w:rPr>
          <w:fldChar w:fldCharType="separate"/>
        </w:r>
        <w:r w:rsidR="003A2474">
          <w:rPr>
            <w:noProof/>
            <w:highlight w:val="white"/>
          </w:rPr>
          <w:t>25</w:t>
        </w:r>
        <w:r w:rsidR="00331E90">
          <w:rPr>
            <w:noProof/>
          </w:rPr>
          <w:fldChar w:fldCharType="end"/>
        </w:r>
      </w:hyperlink>
    </w:p>
    <w:p w:rsidR="009C72F0" w14:paraId="67744A3A"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13" w:tooltip="Current Document" w:history="1">
        <w:r w:rsidR="00331E90">
          <w:rPr>
            <w:rStyle w:val="Hyperlink"/>
            <w:rFonts w:hint="eastAsia"/>
            <w:noProof/>
            <w:highlight w:val="white"/>
          </w:rPr>
          <w:t>十二、基金份额持有人名册的保管</w:t>
        </w:r>
        <w:r w:rsidR="00331E90">
          <w:rPr>
            <w:noProof/>
            <w:highlight w:val="white"/>
          </w:rPr>
          <w:tab/>
        </w:r>
        <w:r w:rsidR="00331E90">
          <w:rPr>
            <w:noProof/>
          </w:rPr>
          <w:fldChar w:fldCharType="begin"/>
        </w:r>
        <w:r w:rsidR="00331E90">
          <w:rPr>
            <w:noProof/>
            <w:highlight w:val="white"/>
          </w:rPr>
          <w:instrText xml:space="preserve"> PAGEREF _Toc4491313 \h </w:instrText>
        </w:r>
        <w:r w:rsidR="00331E90">
          <w:rPr>
            <w:noProof/>
          </w:rPr>
          <w:fldChar w:fldCharType="separate"/>
        </w:r>
        <w:r w:rsidR="003A2474">
          <w:rPr>
            <w:noProof/>
            <w:highlight w:val="white"/>
          </w:rPr>
          <w:t>27</w:t>
        </w:r>
        <w:r w:rsidR="00331E90">
          <w:rPr>
            <w:noProof/>
          </w:rPr>
          <w:fldChar w:fldCharType="end"/>
        </w:r>
      </w:hyperlink>
    </w:p>
    <w:p w:rsidR="009C72F0" w14:paraId="73508B54"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14" w:tooltip="Current Document" w:history="1">
        <w:r w:rsidR="00331E90">
          <w:rPr>
            <w:rStyle w:val="Hyperlink"/>
            <w:rFonts w:hint="eastAsia"/>
            <w:noProof/>
            <w:highlight w:val="white"/>
          </w:rPr>
          <w:t>十三、基金有关文件和档案的保存</w:t>
        </w:r>
        <w:r w:rsidR="00331E90">
          <w:rPr>
            <w:noProof/>
            <w:highlight w:val="white"/>
          </w:rPr>
          <w:tab/>
        </w:r>
        <w:r w:rsidR="00331E90">
          <w:rPr>
            <w:noProof/>
          </w:rPr>
          <w:fldChar w:fldCharType="begin"/>
        </w:r>
        <w:r w:rsidR="00331E90">
          <w:rPr>
            <w:noProof/>
            <w:highlight w:val="white"/>
          </w:rPr>
          <w:instrText xml:space="preserve"> PAGEREF _Toc4491314 \h </w:instrText>
        </w:r>
        <w:r w:rsidR="00331E90">
          <w:rPr>
            <w:noProof/>
          </w:rPr>
          <w:fldChar w:fldCharType="separate"/>
        </w:r>
        <w:r w:rsidR="003A2474">
          <w:rPr>
            <w:noProof/>
            <w:highlight w:val="white"/>
          </w:rPr>
          <w:t>28</w:t>
        </w:r>
        <w:r w:rsidR="00331E90">
          <w:rPr>
            <w:noProof/>
          </w:rPr>
          <w:fldChar w:fldCharType="end"/>
        </w:r>
      </w:hyperlink>
    </w:p>
    <w:p w:rsidR="009C72F0" w14:paraId="73FE03CF"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15" w:tooltip="Current Document" w:history="1">
        <w:r w:rsidR="00331E90">
          <w:rPr>
            <w:rStyle w:val="Hyperlink"/>
            <w:rFonts w:hint="eastAsia"/>
            <w:noProof/>
            <w:highlight w:val="white"/>
          </w:rPr>
          <w:t>十四、基金管理人和基金托管人的更换</w:t>
        </w:r>
        <w:r w:rsidR="00331E90">
          <w:rPr>
            <w:noProof/>
            <w:highlight w:val="white"/>
          </w:rPr>
          <w:tab/>
        </w:r>
        <w:r w:rsidR="00331E90">
          <w:rPr>
            <w:noProof/>
          </w:rPr>
          <w:fldChar w:fldCharType="begin"/>
        </w:r>
        <w:r w:rsidR="00331E90">
          <w:rPr>
            <w:noProof/>
            <w:highlight w:val="white"/>
          </w:rPr>
          <w:instrText xml:space="preserve"> PAGEREF _Toc4491315 \h </w:instrText>
        </w:r>
        <w:r w:rsidR="00331E90">
          <w:rPr>
            <w:noProof/>
          </w:rPr>
          <w:fldChar w:fldCharType="separate"/>
        </w:r>
        <w:r w:rsidR="003A2474">
          <w:rPr>
            <w:noProof/>
            <w:highlight w:val="white"/>
          </w:rPr>
          <w:t>29</w:t>
        </w:r>
        <w:r w:rsidR="00331E90">
          <w:rPr>
            <w:noProof/>
          </w:rPr>
          <w:fldChar w:fldCharType="end"/>
        </w:r>
      </w:hyperlink>
    </w:p>
    <w:p w:rsidR="009C72F0" w14:paraId="72E5046C"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16" w:tooltip="Current Document" w:history="1">
        <w:r w:rsidR="00331E90">
          <w:rPr>
            <w:rStyle w:val="Hyperlink"/>
            <w:rFonts w:hint="eastAsia"/>
            <w:noProof/>
            <w:highlight w:val="white"/>
          </w:rPr>
          <w:t>十五、禁止行为</w:t>
        </w:r>
        <w:r w:rsidR="00331E90">
          <w:rPr>
            <w:noProof/>
            <w:highlight w:val="white"/>
          </w:rPr>
          <w:tab/>
        </w:r>
        <w:r w:rsidR="00331E90">
          <w:rPr>
            <w:noProof/>
          </w:rPr>
          <w:fldChar w:fldCharType="begin"/>
        </w:r>
        <w:r w:rsidR="00331E90">
          <w:rPr>
            <w:noProof/>
            <w:highlight w:val="white"/>
          </w:rPr>
          <w:instrText xml:space="preserve"> PAGEREF _Toc4491316 \h </w:instrText>
        </w:r>
        <w:r w:rsidR="00331E90">
          <w:rPr>
            <w:noProof/>
          </w:rPr>
          <w:fldChar w:fldCharType="separate"/>
        </w:r>
        <w:r w:rsidR="003A2474">
          <w:rPr>
            <w:noProof/>
            <w:highlight w:val="white"/>
          </w:rPr>
          <w:t>31</w:t>
        </w:r>
        <w:r w:rsidR="00331E90">
          <w:rPr>
            <w:noProof/>
          </w:rPr>
          <w:fldChar w:fldCharType="end"/>
        </w:r>
      </w:hyperlink>
    </w:p>
    <w:p w:rsidR="009C72F0" w14:paraId="56E7968C"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17" w:tooltip="Current Document" w:history="1">
        <w:r w:rsidR="00331E90">
          <w:rPr>
            <w:rStyle w:val="Hyperlink"/>
            <w:rFonts w:hint="eastAsia"/>
            <w:noProof/>
            <w:highlight w:val="white"/>
          </w:rPr>
          <w:t>十六、基金托管协议的变更、终止与基金财产的清算</w:t>
        </w:r>
        <w:r w:rsidR="00331E90">
          <w:rPr>
            <w:noProof/>
            <w:highlight w:val="white"/>
          </w:rPr>
          <w:tab/>
        </w:r>
        <w:r w:rsidR="00331E90">
          <w:rPr>
            <w:noProof/>
          </w:rPr>
          <w:fldChar w:fldCharType="begin"/>
        </w:r>
        <w:r w:rsidR="00331E90">
          <w:rPr>
            <w:noProof/>
            <w:highlight w:val="white"/>
          </w:rPr>
          <w:instrText xml:space="preserve"> PAGEREF _Toc4491317 \h </w:instrText>
        </w:r>
        <w:r w:rsidR="00331E90">
          <w:rPr>
            <w:noProof/>
          </w:rPr>
          <w:fldChar w:fldCharType="separate"/>
        </w:r>
        <w:r w:rsidR="003A2474">
          <w:rPr>
            <w:noProof/>
            <w:highlight w:val="white"/>
          </w:rPr>
          <w:t>32</w:t>
        </w:r>
        <w:r w:rsidR="00331E90">
          <w:rPr>
            <w:noProof/>
          </w:rPr>
          <w:fldChar w:fldCharType="end"/>
        </w:r>
      </w:hyperlink>
    </w:p>
    <w:p w:rsidR="009C72F0" w14:paraId="0D8767AF"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18" w:tooltip="Current Document" w:history="1">
        <w:r w:rsidR="00331E90">
          <w:rPr>
            <w:rStyle w:val="Hyperlink"/>
            <w:rFonts w:hint="eastAsia"/>
            <w:noProof/>
            <w:highlight w:val="white"/>
          </w:rPr>
          <w:t>十七、违约责任</w:t>
        </w:r>
        <w:r w:rsidR="00331E90">
          <w:rPr>
            <w:noProof/>
            <w:highlight w:val="white"/>
          </w:rPr>
          <w:tab/>
        </w:r>
        <w:r w:rsidR="00331E90">
          <w:rPr>
            <w:noProof/>
          </w:rPr>
          <w:fldChar w:fldCharType="begin"/>
        </w:r>
        <w:r w:rsidR="00331E90">
          <w:rPr>
            <w:noProof/>
            <w:highlight w:val="white"/>
          </w:rPr>
          <w:instrText xml:space="preserve"> PAGEREF _Toc4491318 \h </w:instrText>
        </w:r>
        <w:r w:rsidR="00331E90">
          <w:rPr>
            <w:noProof/>
          </w:rPr>
          <w:fldChar w:fldCharType="separate"/>
        </w:r>
        <w:r w:rsidR="003A2474">
          <w:rPr>
            <w:noProof/>
            <w:highlight w:val="white"/>
          </w:rPr>
          <w:t>34</w:t>
        </w:r>
        <w:r w:rsidR="00331E90">
          <w:rPr>
            <w:noProof/>
          </w:rPr>
          <w:fldChar w:fldCharType="end"/>
        </w:r>
      </w:hyperlink>
    </w:p>
    <w:p w:rsidR="009C72F0" w14:paraId="1EA14A7E"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19" w:tooltip="Current Document" w:history="1">
        <w:r w:rsidR="00331E90">
          <w:rPr>
            <w:rStyle w:val="Hyperlink"/>
            <w:rFonts w:hint="eastAsia"/>
            <w:noProof/>
            <w:highlight w:val="white"/>
          </w:rPr>
          <w:t>十八、争议解决方式</w:t>
        </w:r>
        <w:r w:rsidR="00331E90">
          <w:rPr>
            <w:noProof/>
            <w:highlight w:val="white"/>
          </w:rPr>
          <w:tab/>
        </w:r>
        <w:r w:rsidR="00331E90">
          <w:rPr>
            <w:noProof/>
          </w:rPr>
          <w:fldChar w:fldCharType="begin"/>
        </w:r>
        <w:r w:rsidR="00331E90">
          <w:rPr>
            <w:noProof/>
            <w:highlight w:val="white"/>
          </w:rPr>
          <w:instrText xml:space="preserve"> PAGEREF _Toc4491319 \h </w:instrText>
        </w:r>
        <w:r w:rsidR="00331E90">
          <w:rPr>
            <w:noProof/>
          </w:rPr>
          <w:fldChar w:fldCharType="separate"/>
        </w:r>
        <w:r w:rsidR="003A2474">
          <w:rPr>
            <w:noProof/>
            <w:highlight w:val="white"/>
          </w:rPr>
          <w:t>36</w:t>
        </w:r>
        <w:r w:rsidR="00331E90">
          <w:rPr>
            <w:noProof/>
          </w:rPr>
          <w:fldChar w:fldCharType="end"/>
        </w:r>
      </w:hyperlink>
    </w:p>
    <w:p w:rsidR="009C72F0" w14:paraId="2CB373CE"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20" w:tooltip="Current Document" w:history="1">
        <w:r w:rsidR="00331E90">
          <w:rPr>
            <w:rStyle w:val="Hyperlink"/>
            <w:rFonts w:hint="eastAsia"/>
            <w:noProof/>
            <w:highlight w:val="white"/>
          </w:rPr>
          <w:t>十九、基金托管协议的效力</w:t>
        </w:r>
        <w:r w:rsidR="00331E90">
          <w:rPr>
            <w:noProof/>
            <w:highlight w:val="white"/>
          </w:rPr>
          <w:tab/>
        </w:r>
        <w:r w:rsidR="00331E90">
          <w:rPr>
            <w:noProof/>
          </w:rPr>
          <w:fldChar w:fldCharType="begin"/>
        </w:r>
        <w:r w:rsidR="00331E90">
          <w:rPr>
            <w:noProof/>
            <w:highlight w:val="white"/>
          </w:rPr>
          <w:instrText xml:space="preserve"> PAGEREF _Toc4491320 \h </w:instrText>
        </w:r>
        <w:r w:rsidR="00331E90">
          <w:rPr>
            <w:noProof/>
          </w:rPr>
          <w:fldChar w:fldCharType="separate"/>
        </w:r>
        <w:r w:rsidR="003A2474">
          <w:rPr>
            <w:noProof/>
            <w:highlight w:val="white"/>
          </w:rPr>
          <w:t>37</w:t>
        </w:r>
        <w:r w:rsidR="00331E90">
          <w:rPr>
            <w:noProof/>
          </w:rPr>
          <w:fldChar w:fldCharType="end"/>
        </w:r>
      </w:hyperlink>
    </w:p>
    <w:p w:rsidR="009C72F0" w14:paraId="7B6E69DE"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21" w:tooltip="Current Document" w:history="1">
        <w:r w:rsidR="00331E90">
          <w:rPr>
            <w:rStyle w:val="Hyperlink"/>
            <w:rFonts w:hint="eastAsia"/>
            <w:noProof/>
            <w:highlight w:val="white"/>
          </w:rPr>
          <w:t>二十、其他事项</w:t>
        </w:r>
        <w:r w:rsidR="00331E90">
          <w:rPr>
            <w:noProof/>
            <w:highlight w:val="white"/>
          </w:rPr>
          <w:tab/>
        </w:r>
        <w:r w:rsidR="00331E90">
          <w:rPr>
            <w:noProof/>
          </w:rPr>
          <w:fldChar w:fldCharType="begin"/>
        </w:r>
        <w:r w:rsidR="00331E90">
          <w:rPr>
            <w:noProof/>
            <w:highlight w:val="white"/>
          </w:rPr>
          <w:instrText xml:space="preserve"> PAGEREF _Toc4491321 \h </w:instrText>
        </w:r>
        <w:r w:rsidR="00331E90">
          <w:rPr>
            <w:noProof/>
          </w:rPr>
          <w:fldChar w:fldCharType="separate"/>
        </w:r>
        <w:r w:rsidR="003A2474">
          <w:rPr>
            <w:noProof/>
            <w:highlight w:val="white"/>
          </w:rPr>
          <w:t>38</w:t>
        </w:r>
        <w:r w:rsidR="00331E90">
          <w:rPr>
            <w:noProof/>
          </w:rPr>
          <w:fldChar w:fldCharType="end"/>
        </w:r>
      </w:hyperlink>
    </w:p>
    <w:p w:rsidR="009C72F0" w14:paraId="55E06727" w14:textId="77777777">
      <w:pPr>
        <w:pStyle w:val="TOC1"/>
        <w:tabs>
          <w:tab w:val="right" w:leader="dot" w:pos="8296"/>
        </w:tabs>
        <w:spacing w:before="0" w:beforeAutospacing="0" w:after="0" w:afterAutospacing="0"/>
        <w:rPr>
          <w:rFonts w:ascii="Calibri" w:hAnsi="Calibri" w:cs="Times New Roman"/>
          <w:noProof/>
          <w:sz w:val="21"/>
          <w:szCs w:val="22"/>
        </w:rPr>
      </w:pPr>
      <w:hyperlink w:anchor="_Toc4491322" w:tooltip="Current Document" w:history="1">
        <w:r w:rsidR="00331E90">
          <w:rPr>
            <w:rStyle w:val="Hyperlink"/>
            <w:rFonts w:hint="eastAsia"/>
            <w:noProof/>
            <w:highlight w:val="white"/>
          </w:rPr>
          <w:t>二十一、基金托管协议的签订</w:t>
        </w:r>
        <w:r w:rsidR="00331E90">
          <w:rPr>
            <w:noProof/>
            <w:highlight w:val="white"/>
          </w:rPr>
          <w:tab/>
        </w:r>
        <w:r w:rsidR="00331E90">
          <w:rPr>
            <w:noProof/>
          </w:rPr>
          <w:fldChar w:fldCharType="begin"/>
        </w:r>
        <w:r w:rsidR="00331E90">
          <w:rPr>
            <w:noProof/>
            <w:highlight w:val="white"/>
          </w:rPr>
          <w:instrText xml:space="preserve"> PAGEREF _Toc4491322 \h </w:instrText>
        </w:r>
        <w:r w:rsidR="00331E90">
          <w:rPr>
            <w:noProof/>
          </w:rPr>
          <w:fldChar w:fldCharType="separate"/>
        </w:r>
        <w:r w:rsidR="003A2474">
          <w:rPr>
            <w:noProof/>
            <w:highlight w:val="white"/>
          </w:rPr>
          <w:t>39</w:t>
        </w:r>
        <w:r w:rsidR="00331E90">
          <w:rPr>
            <w:noProof/>
          </w:rPr>
          <w:fldChar w:fldCharType="end"/>
        </w:r>
      </w:hyperlink>
    </w:p>
    <w:p w:rsidR="009C72F0" w14:paraId="1CE2269A" w14:textId="77777777">
      <w:r>
        <w:rPr>
          <w:b/>
          <w:bCs/>
          <w:lang w:val="zh-CN"/>
        </w:rPr>
        <w:fldChar w:fldCharType="end"/>
      </w:r>
    </w:p>
    <w:p w:rsidR="009C72F0" w14:paraId="2AEF96D9" w14:textId="77777777">
      <w:pPr>
        <w:widowControl/>
        <w:spacing w:line="315" w:lineRule="atLeast"/>
        <w:ind w:firstLine="420"/>
        <w:rPr>
          <w:rFonts w:ascii="Times New Roman" w:hAnsi="Times New Roman"/>
          <w:b/>
          <w:bCs/>
          <w:color w:val="000000"/>
          <w:sz w:val="28"/>
          <w:szCs w:val="28"/>
        </w:rPr>
        <w:sectPr>
          <w:headerReference w:type="default" r:id="rId5"/>
          <w:footerReference w:type="default" r:id="rId6"/>
          <w:footerReference w:type="first" r:id="rId7"/>
          <w:pgSz w:w="11906" w:h="16838"/>
          <w:pgMar w:top="1440" w:right="1800" w:bottom="1440" w:left="1800" w:header="851" w:footer="992" w:gutter="0"/>
          <w:cols w:space="720"/>
          <w:titlePg/>
          <w:docGrid w:type="lines" w:linePitch="312"/>
        </w:sectPr>
      </w:pPr>
    </w:p>
    <w:p w:rsidR="009C72F0" w14:paraId="447ABF73" w14:textId="77777777">
      <w:pPr>
        <w:pStyle w:val="11"/>
        <w:jc w:val="center"/>
        <w:rPr>
          <w:rFonts w:ascii="Calibri" w:hAnsi="Calibri"/>
          <w:color w:val="000000"/>
          <w:sz w:val="21"/>
          <w:szCs w:val="21"/>
          <w:lang w:eastAsia="zh-CN"/>
        </w:rPr>
      </w:pPr>
      <w:bookmarkStart w:id="17" w:name="_Toc123626167"/>
      <w:bookmarkStart w:id="18" w:name="_Toc48703884"/>
      <w:bookmarkStart w:id="19" w:name="_Toc125361073"/>
      <w:bookmarkStart w:id="20" w:name="_Toc375230476"/>
      <w:bookmarkStart w:id="21" w:name="_Toc124749225"/>
      <w:bookmarkStart w:id="22" w:name="_Toc523829992"/>
      <w:bookmarkStart w:id="23" w:name="_Toc124749936"/>
      <w:bookmarkStart w:id="24" w:name="_Toc22454432"/>
      <w:bookmarkStart w:id="25" w:name="_Toc477274810"/>
      <w:bookmarkStart w:id="26" w:name="_Toc4491302"/>
      <w:bookmarkEnd w:id="17"/>
      <w:bookmarkEnd w:id="18"/>
      <w:bookmarkEnd w:id="19"/>
      <w:bookmarkEnd w:id="20"/>
      <w:bookmarkEnd w:id="21"/>
      <w:bookmarkEnd w:id="22"/>
      <w:bookmarkEnd w:id="23"/>
      <w:bookmarkEnd w:id="24"/>
      <w:r>
        <w:rPr>
          <w:rFonts w:hint="eastAsia"/>
          <w:color w:val="000000"/>
          <w:sz w:val="30"/>
          <w:szCs w:val="30"/>
          <w:highlight w:val="white"/>
          <w:lang w:eastAsia="zh-CN"/>
        </w:rPr>
        <w:t>一、基金托管协议当事人</w:t>
      </w:r>
      <w:bookmarkEnd w:id="25"/>
      <w:bookmarkEnd w:id="26"/>
    </w:p>
    <w:p w:rsidR="009C72F0" w:rsidRPr="006F4582" w14:paraId="340F7698" w14:textId="77777777">
      <w:pPr>
        <w:widowControl/>
        <w:spacing w:before="156" w:beforeLines="50" w:after="156" w:afterLines="50"/>
        <w:ind w:firstLine="480"/>
        <w:rPr>
          <w:rFonts w:ascii="宋体" w:hAnsi="宋体" w:cs="宋体"/>
          <w:b w:val="0"/>
          <w:bCs/>
          <w:color w:val="000000"/>
          <w:sz w:val="24"/>
          <w:szCs w:val="24"/>
          <w:lang w:eastAsia="zh-CN"/>
        </w:rPr>
      </w:pPr>
      <w:bookmarkStart w:id="27" w:name="_Toc477272399"/>
      <w:bookmarkStart w:id="28" w:name="_Toc48703885"/>
      <w:bookmarkStart w:id="29" w:name="_Toc22454433"/>
      <w:bookmarkStart w:id="30" w:name="_Toc477270354"/>
      <w:bookmarkEnd w:id="27"/>
      <w:bookmarkEnd w:id="28"/>
      <w:bookmarkEnd w:id="29"/>
      <w:bookmarkEnd w:id="30"/>
      <w:r w:rsidRPr="006F4582">
        <w:rPr>
          <w:rFonts w:ascii="宋体" w:hAnsi="宋体" w:cs="宋体" w:hint="eastAsia"/>
          <w:b w:val="0"/>
          <w:bCs/>
          <w:color w:val="000000"/>
          <w:sz w:val="24"/>
          <w:szCs w:val="24"/>
          <w:highlight w:val="white"/>
          <w:lang w:eastAsia="zh-CN"/>
        </w:rPr>
        <w:t>（一）基金管理人（或称“管理人”）</w:t>
      </w:r>
    </w:p>
    <w:p w:rsidR="009C72F0" w14:paraId="50457A9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名称：易方达基金管理有限公司</w:t>
      </w:r>
    </w:p>
    <w:p w:rsidR="009C72F0" w14:paraId="147BBBE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住所：广东省珠海市横琴新区荣粤道188号6层</w:t>
      </w:r>
    </w:p>
    <w:p w:rsidR="009C72F0" w14:paraId="69E39136" w14:textId="1CB180DC">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法定代表人：</w:t>
      </w:r>
      <w:r w:rsidR="004F7A08">
        <w:rPr>
          <w:rFonts w:ascii="宋体" w:hAnsi="宋体" w:cs="宋体" w:hint="eastAsia"/>
          <w:color w:val="000000"/>
          <w:sz w:val="24"/>
          <w:szCs w:val="24"/>
          <w:highlight w:val="white"/>
          <w:lang w:eastAsia="zh-CN"/>
        </w:rPr>
        <w:t>吴欣荣</w:t>
      </w:r>
      <w:r>
        <w:rPr>
          <w:rFonts w:ascii="宋体" w:hAnsi="宋体" w:cs="宋体" w:hint="eastAsia"/>
          <w:color w:val="000000"/>
          <w:sz w:val="24"/>
          <w:szCs w:val="24"/>
          <w:highlight w:val="white"/>
          <w:lang w:eastAsia="zh-CN"/>
        </w:rPr>
        <w:t xml:space="preserve"> </w:t>
      </w:r>
    </w:p>
    <w:p w:rsidR="009C72F0" w14:paraId="5A46A2B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设立日期：2001年4月17日</w:t>
      </w:r>
    </w:p>
    <w:p w:rsidR="009C72F0" w14:paraId="62DD98CD"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批准设立机关及批准设立文号：中国证券监督管理委员会，证监基金字[2001]4号</w:t>
      </w:r>
    </w:p>
    <w:p w:rsidR="009C72F0" w14:paraId="6A3BEB8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组织形式：有限责任公司</w:t>
      </w:r>
    </w:p>
    <w:p w:rsidR="009C72F0" w14:paraId="17C6977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注册资本：13,244.2万元人民币</w:t>
      </w:r>
    </w:p>
    <w:p w:rsidR="009C72F0" w14:paraId="38ACB34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存续期限：持续经营</w:t>
      </w:r>
    </w:p>
    <w:p w:rsidR="009C72F0" w14:paraId="546578FD"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联系电话：4008818088</w:t>
      </w:r>
    </w:p>
    <w:p w:rsidR="009C72F0" w:rsidRPr="006F4582" w14:paraId="53DF5A79" w14:textId="77777777">
      <w:pPr>
        <w:widowControl/>
        <w:spacing w:before="156" w:beforeLines="50" w:after="156" w:afterLines="50"/>
        <w:ind w:firstLine="480"/>
        <w:rPr>
          <w:rFonts w:ascii="宋体" w:hAnsi="宋体" w:cs="宋体"/>
          <w:b w:val="0"/>
          <w:bCs/>
          <w:color w:val="000000"/>
          <w:sz w:val="24"/>
          <w:szCs w:val="24"/>
          <w:lang w:eastAsia="zh-CN"/>
        </w:rPr>
      </w:pPr>
      <w:bookmarkStart w:id="31" w:name="_Toc48703886"/>
      <w:bookmarkStart w:id="32" w:name="_Toc22454434"/>
      <w:bookmarkStart w:id="33" w:name="_Toc477270355"/>
      <w:bookmarkStart w:id="34" w:name="_Toc477272400"/>
      <w:bookmarkEnd w:id="31"/>
      <w:bookmarkEnd w:id="32"/>
      <w:bookmarkEnd w:id="33"/>
      <w:bookmarkEnd w:id="34"/>
      <w:r w:rsidRPr="006F4582">
        <w:rPr>
          <w:rFonts w:ascii="宋体" w:hAnsi="宋体" w:cs="宋体" w:hint="eastAsia"/>
          <w:b w:val="0"/>
          <w:bCs/>
          <w:color w:val="000000"/>
          <w:sz w:val="24"/>
          <w:szCs w:val="24"/>
          <w:highlight w:val="white"/>
          <w:lang w:eastAsia="zh-CN"/>
        </w:rPr>
        <w:t>（二）基金托管人（或称“托管人”）</w:t>
      </w:r>
    </w:p>
    <w:p w:rsidR="009C72F0" w14:paraId="3A9EC89F"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名称：国信证券股份有限公司</w:t>
      </w:r>
    </w:p>
    <w:p w:rsidR="009C72F0" w14:paraId="78834E7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注册地址：深圳市罗湖区红岭中路</w:t>
      </w:r>
      <w:r>
        <w:rPr>
          <w:rFonts w:ascii="宋体" w:hAnsi="宋体" w:cs="宋体"/>
          <w:color w:val="000000"/>
          <w:sz w:val="24"/>
          <w:szCs w:val="24"/>
          <w:highlight w:val="white"/>
          <w:lang w:eastAsia="zh-CN"/>
        </w:rPr>
        <w:t>1012号国信证券大厦</w:t>
      </w:r>
      <w:r>
        <w:rPr>
          <w:rFonts w:ascii="宋体" w:hAnsi="宋体" w:cs="宋体" w:hint="eastAsia"/>
          <w:color w:val="000000"/>
          <w:sz w:val="24"/>
          <w:szCs w:val="24"/>
          <w:highlight w:val="white"/>
          <w:lang w:eastAsia="zh-CN"/>
        </w:rPr>
        <w:t>十六至二十六层</w:t>
      </w:r>
    </w:p>
    <w:p w:rsidR="009C72F0" w14:paraId="6066B2E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办公地址：深圳市福田区福华一路125号国信金融大厦19楼</w:t>
      </w:r>
    </w:p>
    <w:p w:rsidR="009C72F0" w14:paraId="5EEA294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邮政编码：</w:t>
      </w:r>
      <w:r>
        <w:rPr>
          <w:rFonts w:ascii="宋体" w:hAnsi="宋体" w:cs="宋体"/>
          <w:color w:val="000000"/>
          <w:sz w:val="24"/>
          <w:szCs w:val="24"/>
          <w:highlight w:val="white"/>
          <w:lang w:eastAsia="zh-CN"/>
        </w:rPr>
        <w:t>518001</w:t>
      </w:r>
    </w:p>
    <w:p w:rsidR="009C72F0" w14:paraId="583D543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法定代表人：张纳沙</w:t>
      </w:r>
    </w:p>
    <w:p w:rsidR="009C72F0" w14:paraId="43D4A543"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成立时间：</w:t>
      </w:r>
      <w:r>
        <w:rPr>
          <w:rFonts w:ascii="宋体" w:hAnsi="宋体" w:cs="宋体"/>
          <w:color w:val="000000"/>
          <w:sz w:val="24"/>
          <w:szCs w:val="24"/>
          <w:highlight w:val="white"/>
          <w:lang w:eastAsia="zh-CN"/>
        </w:rPr>
        <w:t>1994年6月30日</w:t>
      </w:r>
    </w:p>
    <w:p w:rsidR="009C72F0" w14:paraId="4FD4C8A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基金托管业务批准文号：证监许可</w:t>
      </w:r>
      <w:r>
        <w:rPr>
          <w:rFonts w:ascii="宋体" w:hAnsi="宋体" w:cs="宋体"/>
          <w:color w:val="000000"/>
          <w:sz w:val="24"/>
          <w:szCs w:val="24"/>
          <w:highlight w:val="white"/>
          <w:lang w:eastAsia="zh-CN"/>
        </w:rPr>
        <w:t>[2013]1666号</w:t>
      </w:r>
    </w:p>
    <w:p w:rsidR="009C72F0" w14:paraId="31230CF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组织形式：股份有限公司</w:t>
      </w:r>
    </w:p>
    <w:p w:rsidR="009C72F0" w14:paraId="28B5D04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注册资本：人民币96.12</w:t>
      </w:r>
      <w:r>
        <w:rPr>
          <w:rFonts w:ascii="宋体" w:hAnsi="宋体" w:cs="宋体"/>
          <w:color w:val="000000"/>
          <w:sz w:val="24"/>
          <w:szCs w:val="24"/>
          <w:highlight w:val="white"/>
          <w:lang w:eastAsia="zh-CN"/>
        </w:rPr>
        <w:t>亿元</w:t>
      </w:r>
    </w:p>
    <w:p w:rsidR="009C72F0" w14:paraId="620303A3"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存续期间：持续经营</w:t>
      </w:r>
    </w:p>
    <w:p w:rsidR="009C72F0" w14:paraId="28AF5CA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经营范围：证券经纪；证券投资咨询；与证券交易，证券投资活动有关的财务顾问；证券承销与保荐；证券自营；证券资产管理；融资融券；证券投资基金代销；金融产品代销；为期货公司提供中间介绍业务；证券投资基金托管业务；股票期权做市</w:t>
      </w:r>
      <w:r>
        <w:rPr>
          <w:rFonts w:ascii="宋体" w:hAnsi="宋体" w:cs="宋体"/>
          <w:color w:val="000000"/>
          <w:sz w:val="24"/>
          <w:highlight w:val="white"/>
          <w:lang w:eastAsia="zh-CN"/>
        </w:rPr>
        <w:t>；上市证券做市交易</w:t>
      </w:r>
      <w:r>
        <w:rPr>
          <w:rFonts w:ascii="宋体" w:hAnsi="宋体" w:cs="宋体"/>
          <w:color w:val="000000"/>
          <w:sz w:val="24"/>
          <w:szCs w:val="24"/>
          <w:highlight w:val="white"/>
          <w:lang w:eastAsia="zh-CN"/>
        </w:rPr>
        <w:t>。</w:t>
      </w:r>
    </w:p>
    <w:p w:rsidR="009C72F0" w14:paraId="6A817336" w14:textId="77777777">
      <w:pPr>
        <w:widowControl/>
        <w:spacing w:after="120" w:line="300" w:lineRule="atLeast"/>
        <w:ind w:firstLine="480"/>
        <w:rPr>
          <w:rFonts w:cs="宋体"/>
          <w:color w:val="000000"/>
          <w:szCs w:val="21"/>
          <w:lang w:eastAsia="zh-CN"/>
        </w:rPr>
      </w:pPr>
      <w:bookmarkStart w:id="35" w:name="_Toc15118240"/>
      <w:r>
        <w:rPr>
          <w:rFonts w:ascii="宋体" w:hAnsi="宋体" w:cs="宋体" w:hint="eastAsia"/>
          <w:color w:val="000000"/>
          <w:sz w:val="24"/>
          <w:szCs w:val="24"/>
          <w:highlight w:val="white"/>
          <w:lang w:eastAsia="zh-CN"/>
        </w:rPr>
        <w:t xml:space="preserve"> </w:t>
      </w:r>
      <w:bookmarkEnd w:id="35"/>
    </w:p>
    <w:p w:rsidR="009C72F0" w14:paraId="032DDFF3" w14:textId="77777777">
      <w:pPr>
        <w:widowControl/>
        <w:spacing w:after="120" w:line="300" w:lineRule="atLeast"/>
        <w:ind w:firstLine="420"/>
        <w:rPr>
          <w:rFonts w:ascii="Times New Roman" w:hAnsi="Times New Roman"/>
          <w:color w:val="000000"/>
          <w:szCs w:val="21"/>
          <w:lang w:eastAsia="zh-CN"/>
        </w:rPr>
      </w:pPr>
    </w:p>
    <w:p w:rsidR="009C72F0" w14:paraId="11F50E06" w14:textId="77777777">
      <w:pPr>
        <w:widowControl/>
        <w:spacing w:after="120" w:line="300" w:lineRule="atLeast"/>
        <w:ind w:firstLine="420"/>
        <w:rPr>
          <w:rFonts w:ascii="Times New Roman" w:hAnsi="Times New Roman"/>
          <w:color w:val="000000"/>
          <w:szCs w:val="21"/>
          <w:lang w:eastAsia="zh-CN"/>
        </w:rPr>
      </w:pPr>
    </w:p>
    <w:p w:rsidR="009C72F0" w14:paraId="0127BE20" w14:textId="77777777">
      <w:pPr>
        <w:pStyle w:val="11"/>
        <w:jc w:val="center"/>
        <w:rPr>
          <w:rFonts w:ascii="Calibri" w:hAnsi="Calibri"/>
          <w:color w:val="000000"/>
          <w:sz w:val="21"/>
          <w:szCs w:val="21"/>
          <w:lang w:eastAsia="zh-CN"/>
        </w:rPr>
      </w:pPr>
      <w:bookmarkStart w:id="36" w:name="_Toc477274811"/>
      <w:bookmarkStart w:id="37" w:name="_Toc124749937"/>
      <w:bookmarkStart w:id="38" w:name="_Toc22454435"/>
      <w:bookmarkStart w:id="39" w:name="_Toc375230477"/>
      <w:bookmarkStart w:id="40" w:name="_Toc523829993"/>
      <w:bookmarkStart w:id="41" w:name="_Toc125361074"/>
      <w:bookmarkStart w:id="42" w:name="_Toc466788852"/>
      <w:bookmarkStart w:id="43" w:name="_Toc48703887"/>
      <w:bookmarkStart w:id="44" w:name="_Toc124749226"/>
      <w:bookmarkStart w:id="45" w:name="_Toc123626168"/>
      <w:bookmarkStart w:id="46" w:name="_Toc4491303"/>
      <w:bookmarkEnd w:id="36"/>
      <w:bookmarkEnd w:id="37"/>
      <w:bookmarkEnd w:id="38"/>
      <w:bookmarkEnd w:id="39"/>
      <w:bookmarkEnd w:id="40"/>
      <w:bookmarkEnd w:id="41"/>
      <w:bookmarkEnd w:id="42"/>
      <w:bookmarkEnd w:id="43"/>
      <w:bookmarkEnd w:id="44"/>
      <w:bookmarkEnd w:id="45"/>
      <w:r>
        <w:rPr>
          <w:rFonts w:hint="eastAsia"/>
          <w:color w:val="000000"/>
          <w:sz w:val="30"/>
          <w:szCs w:val="30"/>
          <w:highlight w:val="white"/>
          <w:lang w:eastAsia="zh-CN"/>
        </w:rPr>
        <w:t>二、基金托管协议的依据、目的和原则</w:t>
      </w:r>
      <w:bookmarkEnd w:id="46"/>
    </w:p>
    <w:p w:rsidR="009C72F0" w14:paraId="6CB56FBE"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订立本协议的依据是《中华人民共和国证券投资基金法》（以下简称《基金法》）、《公开募集证券投资基金运作管理办法》（以下简称《运作办法》）、《</w:t>
      </w:r>
      <w:r>
        <w:rPr>
          <w:rFonts w:ascii="宋体" w:hAnsi="宋体" w:cs="宋体" w:hint="eastAsia"/>
          <w:bCs/>
          <w:color w:val="000000"/>
          <w:sz w:val="24"/>
          <w:szCs w:val="24"/>
          <w:highlight w:val="white"/>
          <w:lang w:eastAsia="zh-CN"/>
        </w:rPr>
        <w:t>公开募集</w:t>
      </w:r>
      <w:r>
        <w:rPr>
          <w:rFonts w:ascii="宋体" w:hAnsi="宋体" w:cs="宋体"/>
          <w:bCs/>
          <w:color w:val="000000"/>
          <w:sz w:val="24"/>
          <w:szCs w:val="24"/>
          <w:highlight w:val="white"/>
          <w:lang w:eastAsia="zh-CN"/>
        </w:rPr>
        <w:t>证券投资基金销售</w:t>
      </w:r>
      <w:r>
        <w:rPr>
          <w:rFonts w:ascii="宋体" w:hAnsi="宋体" w:cs="宋体" w:hint="eastAsia"/>
          <w:bCs/>
          <w:color w:val="000000"/>
          <w:sz w:val="24"/>
          <w:szCs w:val="24"/>
          <w:highlight w:val="white"/>
          <w:lang w:eastAsia="zh-CN"/>
        </w:rPr>
        <w:t>机构监督</w:t>
      </w:r>
      <w:r>
        <w:rPr>
          <w:rFonts w:ascii="宋体" w:hAnsi="宋体" w:cs="宋体"/>
          <w:bCs/>
          <w:color w:val="000000"/>
          <w:sz w:val="24"/>
          <w:szCs w:val="24"/>
          <w:highlight w:val="white"/>
          <w:lang w:eastAsia="zh-CN"/>
        </w:rPr>
        <w:t>管理办法</w:t>
      </w:r>
      <w:r>
        <w:rPr>
          <w:rFonts w:ascii="宋体" w:hAnsi="宋体" w:cs="宋体" w:hint="eastAsia"/>
          <w:color w:val="000000"/>
          <w:sz w:val="24"/>
          <w:szCs w:val="24"/>
          <w:highlight w:val="white"/>
          <w:lang w:eastAsia="zh-CN"/>
        </w:rPr>
        <w:t>》、《公开募集证券投资基金信息披露管理办法》（以下简称《信息披露办法》）、《公开募集开放式证券投资基金流动性风险管理规定》、《证券投资基金信息披露内容与格式准则第7号〈托管协议的内容与格式〉》、《</w:t>
      </w:r>
      <w:r>
        <w:rPr>
          <w:rFonts w:ascii="宋体" w:hAnsi="宋体" w:cs="宋体" w:hint="eastAsia"/>
          <w:color w:val="000000"/>
          <w:sz w:val="24"/>
          <w:szCs w:val="24"/>
          <w:lang w:eastAsia="zh-CN"/>
        </w:rPr>
        <w:t>易方达安旭90天持有期债券型证券投资基金</w:t>
      </w:r>
      <w:r>
        <w:rPr>
          <w:rFonts w:ascii="宋体" w:hAnsi="宋体" w:cs="宋体" w:hint="eastAsia"/>
          <w:color w:val="000000"/>
          <w:sz w:val="24"/>
          <w:szCs w:val="24"/>
          <w:highlight w:val="white"/>
          <w:lang w:eastAsia="zh-CN"/>
        </w:rPr>
        <w:t>基金合同》（以下简称《基金合同》）及其他有关规定。</w:t>
      </w:r>
    </w:p>
    <w:p w:rsidR="009C72F0" w14:paraId="078CCCF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订立本协议的目的是明确基金托管人与基金管理人之间在基金财产的保管、投资运作、净值计算、收益分配、信息披露及相互监督等有关事宜中的权利、义务及职责，保护基金份额持有人的合法权益。</w:t>
      </w:r>
    </w:p>
    <w:p w:rsidR="009C72F0" w14:paraId="3FA0691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基金管理人和基金托管人本着平等自愿、诚实信用、充分保护基金份额持有人合法权益的原则，经协商一致，签订本协议。</w:t>
      </w:r>
    </w:p>
    <w:p w:rsidR="009C72F0" w14:paraId="07EB674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除非本协议另有约定，本协议所使用的词语或简称与其在《基金合同》的释义部分具有相同含义。若有抵触，应以《基金合同》为准。</w:t>
      </w:r>
    </w:p>
    <w:p w:rsidR="009C72F0" w14:paraId="6CE5C7D0" w14:textId="77777777">
      <w:pPr>
        <w:widowControl/>
        <w:spacing w:after="120" w:line="300" w:lineRule="atLeast"/>
        <w:ind w:firstLine="480"/>
        <w:rPr>
          <w:rFonts w:ascii="宋体" w:hAnsi="宋体" w:cs="宋体"/>
          <w:color w:val="000000"/>
          <w:sz w:val="24"/>
          <w:szCs w:val="24"/>
          <w:lang w:eastAsia="zh-CN"/>
        </w:rPr>
      </w:pPr>
    </w:p>
    <w:p w:rsidR="009C72F0" w14:paraId="462F592B"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217CA1F6" w14:textId="77777777">
      <w:pPr>
        <w:pStyle w:val="11"/>
        <w:jc w:val="center"/>
        <w:rPr>
          <w:rFonts w:ascii="Calibri" w:hAnsi="Calibri"/>
          <w:color w:val="000000"/>
          <w:sz w:val="21"/>
          <w:szCs w:val="21"/>
          <w:lang w:eastAsia="zh-CN"/>
        </w:rPr>
      </w:pPr>
      <w:bookmarkStart w:id="47" w:name="_Toc477274812"/>
      <w:bookmarkStart w:id="48" w:name="_Toc125361075"/>
      <w:bookmarkStart w:id="49" w:name="_Toc375230478"/>
      <w:bookmarkStart w:id="50" w:name="_Toc124749227"/>
      <w:bookmarkStart w:id="51" w:name="_Toc124749938"/>
      <w:bookmarkStart w:id="52" w:name="_Toc4491304"/>
      <w:bookmarkEnd w:id="47"/>
      <w:bookmarkEnd w:id="48"/>
      <w:bookmarkEnd w:id="49"/>
      <w:bookmarkEnd w:id="50"/>
      <w:bookmarkEnd w:id="51"/>
      <w:r>
        <w:rPr>
          <w:rFonts w:hint="eastAsia"/>
          <w:color w:val="000000"/>
          <w:sz w:val="30"/>
          <w:szCs w:val="30"/>
          <w:highlight w:val="white"/>
          <w:lang w:eastAsia="zh-CN"/>
        </w:rPr>
        <w:t>三、基金托管人对基金管理人的业务监督和核查</w:t>
      </w:r>
      <w:bookmarkEnd w:id="52"/>
    </w:p>
    <w:p w:rsidR="009C72F0" w14:paraId="455E1DF4" w14:textId="77777777">
      <w:pPr>
        <w:widowControl/>
        <w:spacing w:after="120" w:line="300" w:lineRule="atLeast"/>
        <w:ind w:firstLine="480"/>
        <w:rPr>
          <w:rFonts w:ascii="宋体" w:hAnsi="宋体" w:cs="宋体"/>
          <w:color w:val="000000"/>
          <w:sz w:val="24"/>
          <w:szCs w:val="24"/>
          <w:lang w:eastAsia="zh-CN"/>
        </w:rPr>
      </w:pPr>
      <w:bookmarkStart w:id="53" w:name="_Toc477272403"/>
      <w:bookmarkStart w:id="54" w:name="_Toc477270358"/>
      <w:bookmarkEnd w:id="53"/>
      <w:r>
        <w:rPr>
          <w:rFonts w:ascii="宋体" w:hAnsi="宋体" w:cs="宋体" w:hint="eastAsia"/>
          <w:color w:val="000000"/>
          <w:sz w:val="24"/>
          <w:szCs w:val="24"/>
          <w:highlight w:val="white"/>
          <w:lang w:eastAsia="zh-CN"/>
        </w:rPr>
        <w:t>（一）基金托管人对基金管理人的投资行为行使监督权</w:t>
      </w:r>
      <w:bookmarkEnd w:id="54"/>
    </w:p>
    <w:p w:rsidR="009C72F0" w14:paraId="46AFED56"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1</w:t>
      </w:r>
      <w:r>
        <w:rPr>
          <w:rFonts w:ascii="宋体" w:hAnsi="宋体" w:cs="宋体" w:hint="eastAsia"/>
          <w:color w:val="000000"/>
          <w:sz w:val="24"/>
          <w:szCs w:val="24"/>
          <w:highlight w:val="white"/>
          <w:lang w:eastAsia="zh-CN"/>
        </w:rPr>
        <w:t>、基金托管人根据有关法律法规的规定和《基金合同》的约定，对下述基金投资范围、投资对象进行监督。</w:t>
      </w:r>
    </w:p>
    <w:p w:rsidR="009C72F0" w14:paraId="6630D1F5" w14:textId="77777777">
      <w:pPr>
        <w:widowControl/>
        <w:spacing w:after="120" w:line="300" w:lineRule="atLeast"/>
        <w:ind w:firstLine="480"/>
        <w:rPr>
          <w:rFonts w:ascii="宋体" w:hAnsi="宋体" w:cs="宋体"/>
          <w:color w:val="000000"/>
          <w:sz w:val="24"/>
          <w:szCs w:val="24"/>
          <w:lang w:eastAsia="zh-CN"/>
        </w:rPr>
      </w:pPr>
      <w:r>
        <w:rPr>
          <w:rFonts w:hint="eastAsia"/>
          <w:sz w:val="24"/>
          <w:lang w:eastAsia="zh-CN"/>
        </w:rPr>
        <w:t>本基金的投资范围包括国内依法发行、上市的债券（包括国债、央行票据、地方政府债、金融债、企业债、公司债、次级债、中期票据、短期融资券、超短期融资券、政府支持机构债券、可转换债券、可交换债券、非金融企业债务融资工具等）、资产支持证券、债券回购、银行存款、同业存单、货币市场工具、国债期货、信用衍生品及法律法规或中国证监会允许基金投资的其他金融工具。</w:t>
      </w:r>
    </w:p>
    <w:p w:rsidR="009C72F0" w14:paraId="79F39C69" w14:textId="77777777">
      <w:pPr>
        <w:widowControl/>
        <w:spacing w:after="120" w:line="300" w:lineRule="atLeast"/>
        <w:ind w:firstLine="480"/>
        <w:rPr>
          <w:rFonts w:ascii="宋体" w:hAnsi="宋体" w:cs="宋体"/>
          <w:color w:val="000000"/>
          <w:sz w:val="24"/>
          <w:szCs w:val="24"/>
          <w:lang w:eastAsia="zh-CN"/>
        </w:rPr>
      </w:pPr>
      <w:r>
        <w:rPr>
          <w:rFonts w:hint="eastAsia"/>
          <w:sz w:val="24"/>
          <w:lang w:eastAsia="zh-CN"/>
        </w:rPr>
        <w:t>本基金不投资于股票。本基金持有因可转换债券或可交换债券转股所形成的股票，将在其可交易之日起的</w:t>
      </w:r>
      <w:r>
        <w:rPr>
          <w:rFonts w:hint="eastAsia"/>
          <w:sz w:val="24"/>
          <w:lang w:eastAsia="zh-CN"/>
        </w:rPr>
        <w:t>10</w:t>
      </w:r>
      <w:r>
        <w:rPr>
          <w:rFonts w:hint="eastAsia"/>
          <w:sz w:val="24"/>
          <w:lang w:eastAsia="zh-CN"/>
        </w:rPr>
        <w:t>个交易日内卖出。</w:t>
      </w:r>
    </w:p>
    <w:p w:rsidR="009C72F0" w14:paraId="11C46461" w14:textId="77777777">
      <w:pPr>
        <w:widowControl/>
        <w:spacing w:after="120" w:line="300" w:lineRule="atLeast"/>
        <w:ind w:firstLine="480"/>
        <w:rPr>
          <w:rFonts w:ascii="宋体" w:hAnsi="宋体" w:cs="宋体"/>
          <w:color w:val="000000"/>
          <w:sz w:val="24"/>
          <w:szCs w:val="24"/>
          <w:lang w:eastAsia="zh-CN"/>
        </w:rPr>
      </w:pPr>
      <w:r>
        <w:rPr>
          <w:rFonts w:hint="eastAsia"/>
          <w:sz w:val="24"/>
          <w:lang w:eastAsia="zh-CN"/>
        </w:rPr>
        <w:t>如法律法规或监管机构以后允许基金投资其他品种，本基金可以将其纳入投资范围。</w:t>
      </w:r>
    </w:p>
    <w:p w:rsidR="009C72F0" w14:paraId="364B9702" w14:textId="77777777">
      <w:pPr>
        <w:widowControl/>
        <w:spacing w:after="120" w:line="300" w:lineRule="atLeast"/>
        <w:ind w:firstLine="480"/>
        <w:rPr>
          <w:rFonts w:ascii="宋体" w:hAnsi="宋体" w:cs="宋体"/>
          <w:color w:val="000000"/>
          <w:sz w:val="24"/>
          <w:szCs w:val="24"/>
          <w:lang w:eastAsia="zh-CN"/>
        </w:rPr>
      </w:pPr>
      <w:r>
        <w:rPr>
          <w:rFonts w:hint="eastAsia"/>
          <w:sz w:val="24"/>
          <w:lang w:eastAsia="zh-CN"/>
        </w:rPr>
        <w:t>本基金投资于债券资产的比例不低于基金资产的</w:t>
      </w:r>
      <w:r>
        <w:rPr>
          <w:rFonts w:hint="eastAsia"/>
          <w:sz w:val="24"/>
          <w:lang w:eastAsia="zh-CN"/>
        </w:rPr>
        <w:t>80%</w:t>
      </w:r>
      <w:r>
        <w:rPr>
          <w:rFonts w:hint="eastAsia"/>
          <w:sz w:val="24"/>
          <w:lang w:eastAsia="zh-CN"/>
        </w:rPr>
        <w:t>；投资于可转换债券（不含分离交易可转债的纯债部分）及可交换债券的比例不高于基金资产的</w:t>
      </w:r>
      <w:r>
        <w:rPr>
          <w:rFonts w:hint="eastAsia"/>
          <w:sz w:val="24"/>
          <w:lang w:eastAsia="zh-CN"/>
        </w:rPr>
        <w:t>20%</w:t>
      </w:r>
      <w:r>
        <w:rPr>
          <w:rFonts w:hint="eastAsia"/>
          <w:sz w:val="24"/>
          <w:lang w:eastAsia="zh-CN"/>
        </w:rPr>
        <w:t>。保持不低于基金资产净值</w:t>
      </w:r>
      <w:r>
        <w:rPr>
          <w:rFonts w:hint="eastAsia"/>
          <w:sz w:val="24"/>
          <w:lang w:eastAsia="zh-CN"/>
        </w:rPr>
        <w:t>5</w:t>
      </w:r>
      <w:r>
        <w:rPr>
          <w:rFonts w:hint="eastAsia"/>
          <w:sz w:val="24"/>
          <w:lang w:eastAsia="zh-CN"/>
        </w:rPr>
        <w:t>％的现金或者到期日在一年以内的政府债券，其中现金不包括结算备付金、存出保证金和应收申购款等。</w:t>
      </w:r>
    </w:p>
    <w:p w:rsidR="009C72F0" w14:paraId="0CED034B"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2</w:t>
      </w:r>
      <w:r>
        <w:rPr>
          <w:rFonts w:ascii="宋体" w:hAnsi="宋体" w:cs="宋体" w:hint="eastAsia"/>
          <w:color w:val="000000"/>
          <w:sz w:val="24"/>
          <w:szCs w:val="24"/>
          <w:highlight w:val="white"/>
          <w:lang w:eastAsia="zh-CN"/>
        </w:rPr>
        <w:t>、基金托管人根据有关法律法规的规定及《基金合同》的约定对下述基金投融资比例进行监督：</w:t>
      </w:r>
    </w:p>
    <w:p w:rsidR="009C72F0" w14:paraId="7BA4065F"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基金管理人运用基金财产进行证券投资，遵守下列限制：</w:t>
      </w:r>
    </w:p>
    <w:p w:rsidR="009C72F0" w14:paraId="5E955835" w14:textId="77777777">
      <w:pPr>
        <w:widowControl/>
        <w:spacing w:after="120" w:line="300" w:lineRule="atLeast"/>
        <w:ind w:firstLine="480"/>
        <w:rPr>
          <w:lang w:eastAsia="zh-CN"/>
        </w:rPr>
      </w:pPr>
      <w:r>
        <w:rPr>
          <w:rFonts w:ascii="宋体" w:hAnsi="宋体" w:cs="宋体"/>
          <w:color w:val="000000"/>
          <w:sz w:val="24"/>
          <w:szCs w:val="24"/>
          <w:highlight w:val="white"/>
          <w:lang w:eastAsia="zh-CN"/>
        </w:rPr>
        <w:t>（1）本基金投资于债券资产的比例不低于基金资产的80%，投资于可转换债券（不含分离交易可转债的纯债部分）及可交换债券的比例不高于基金资产的20%；</w:t>
      </w:r>
    </w:p>
    <w:p w:rsidR="009C72F0" w14:paraId="2265C019" w14:textId="77777777">
      <w:pPr>
        <w:widowControl/>
        <w:spacing w:after="120" w:line="300" w:lineRule="atLeast"/>
        <w:ind w:firstLine="480"/>
        <w:rPr>
          <w:lang w:eastAsia="zh-CN"/>
        </w:rPr>
      </w:pPr>
      <w:r>
        <w:rPr>
          <w:rFonts w:ascii="宋体" w:hAnsi="宋体" w:cs="宋体"/>
          <w:color w:val="000000"/>
          <w:sz w:val="24"/>
          <w:szCs w:val="24"/>
          <w:highlight w:val="white"/>
          <w:lang w:eastAsia="zh-CN"/>
        </w:rPr>
        <w:t>（2）保持不低于基金资产净值5％的现金或者到期日在一年以内的政府债券，其中现金不包括结算备付金、存出保证金和应收申购款等；</w:t>
      </w:r>
    </w:p>
    <w:p w:rsidR="009C72F0" w14:paraId="34874691" w14:textId="77777777">
      <w:pPr>
        <w:widowControl/>
        <w:spacing w:after="120" w:line="300" w:lineRule="atLeast"/>
        <w:ind w:firstLine="480"/>
        <w:rPr>
          <w:lang w:eastAsia="zh-CN"/>
        </w:rPr>
      </w:pPr>
      <w:r>
        <w:rPr>
          <w:rFonts w:ascii="宋体" w:hAnsi="宋体" w:cs="宋体"/>
          <w:color w:val="000000"/>
          <w:sz w:val="24"/>
          <w:szCs w:val="24"/>
          <w:highlight w:val="white"/>
          <w:lang w:eastAsia="zh-CN"/>
        </w:rPr>
        <w:t>（3）本基金持有一家公司发行的证券，其市值不超过基金资产净值的10％；</w:t>
      </w:r>
    </w:p>
    <w:p w:rsidR="009C72F0" w14:paraId="44AAE717" w14:textId="77777777">
      <w:pPr>
        <w:widowControl/>
        <w:spacing w:after="120" w:line="300" w:lineRule="atLeast"/>
        <w:ind w:firstLine="480"/>
        <w:rPr>
          <w:lang w:eastAsia="zh-CN"/>
        </w:rPr>
      </w:pPr>
      <w:r>
        <w:rPr>
          <w:rFonts w:ascii="宋体" w:hAnsi="宋体" w:cs="宋体"/>
          <w:color w:val="000000"/>
          <w:sz w:val="24"/>
          <w:szCs w:val="24"/>
          <w:highlight w:val="white"/>
          <w:lang w:eastAsia="zh-CN"/>
        </w:rPr>
        <w:t>（4）本基金管理人管理的全部基金持有一家公司发行的证券，不超过该证券的10％，完全按照有关指数的构成比例进行证券投资的基金品种可以不受此条款规定的比例限制；</w:t>
      </w:r>
    </w:p>
    <w:p w:rsidR="009C72F0" w14:paraId="6B7042F5" w14:textId="77777777">
      <w:pPr>
        <w:widowControl/>
        <w:spacing w:after="120" w:line="300" w:lineRule="atLeast"/>
        <w:ind w:firstLine="480"/>
        <w:rPr>
          <w:lang w:eastAsia="zh-CN"/>
        </w:rPr>
      </w:pPr>
      <w:r>
        <w:rPr>
          <w:rFonts w:ascii="宋体" w:hAnsi="宋体" w:cs="宋体"/>
          <w:color w:val="000000"/>
          <w:sz w:val="24"/>
          <w:szCs w:val="24"/>
          <w:highlight w:val="white"/>
          <w:lang w:eastAsia="zh-CN"/>
        </w:rPr>
        <w:t>（5）本基金投资于同一原始权益人的各类资产支持证券的比例，不得超过基金资产净值的10％；</w:t>
      </w:r>
    </w:p>
    <w:p w:rsidR="009C72F0" w14:paraId="4CC59688" w14:textId="77777777">
      <w:pPr>
        <w:widowControl/>
        <w:spacing w:after="120" w:line="300" w:lineRule="atLeast"/>
        <w:ind w:firstLine="480"/>
        <w:rPr>
          <w:lang w:eastAsia="zh-CN"/>
        </w:rPr>
      </w:pPr>
      <w:r>
        <w:rPr>
          <w:rFonts w:ascii="宋体" w:hAnsi="宋体" w:cs="宋体"/>
          <w:color w:val="000000"/>
          <w:sz w:val="24"/>
          <w:szCs w:val="24"/>
          <w:highlight w:val="white"/>
          <w:lang w:eastAsia="zh-CN"/>
        </w:rPr>
        <w:t>（6）本基金持有的全部资产支持证券，其市值不得超过基金资产净值的20％；</w:t>
      </w:r>
    </w:p>
    <w:p w:rsidR="009C72F0" w14:paraId="532CBE0A" w14:textId="77777777">
      <w:pPr>
        <w:widowControl/>
        <w:spacing w:after="120" w:line="300" w:lineRule="atLeast"/>
        <w:ind w:firstLine="480"/>
        <w:rPr>
          <w:lang w:eastAsia="zh-CN"/>
        </w:rPr>
      </w:pPr>
      <w:r>
        <w:rPr>
          <w:rFonts w:ascii="宋体" w:hAnsi="宋体" w:cs="宋体"/>
          <w:color w:val="000000"/>
          <w:sz w:val="24"/>
          <w:szCs w:val="24"/>
          <w:highlight w:val="white"/>
          <w:lang w:eastAsia="zh-CN"/>
        </w:rPr>
        <w:t>（7）本基金持有的同一(指同一信用级别)资产支持证券的比例，不得超过该资产支持证券规模的10％；</w:t>
      </w:r>
    </w:p>
    <w:p w:rsidR="009C72F0" w14:paraId="76836F47" w14:textId="77777777">
      <w:pPr>
        <w:widowControl/>
        <w:spacing w:after="120" w:line="300" w:lineRule="atLeast"/>
        <w:ind w:firstLine="480"/>
        <w:rPr>
          <w:lang w:eastAsia="zh-CN"/>
        </w:rPr>
      </w:pPr>
      <w:r>
        <w:rPr>
          <w:rFonts w:ascii="宋体" w:hAnsi="宋体" w:cs="宋体"/>
          <w:color w:val="000000"/>
          <w:sz w:val="24"/>
          <w:szCs w:val="24"/>
          <w:highlight w:val="white"/>
          <w:lang w:eastAsia="zh-CN"/>
        </w:rPr>
        <w:t>（8）本基金管理人管理的全部基金投资于同一原始权益人的各类资产支持证券，不得超过其各类资产支持证券合计规模的10％；</w:t>
      </w:r>
    </w:p>
    <w:p w:rsidR="009C72F0" w14:paraId="2B50FB58" w14:textId="77777777">
      <w:pPr>
        <w:widowControl/>
        <w:spacing w:after="120" w:line="300" w:lineRule="atLeast"/>
        <w:ind w:firstLine="480"/>
        <w:rPr>
          <w:lang w:eastAsia="zh-CN"/>
        </w:rPr>
      </w:pPr>
      <w:r>
        <w:rPr>
          <w:rFonts w:ascii="宋体" w:hAnsi="宋体" w:cs="宋体"/>
          <w:color w:val="000000"/>
          <w:sz w:val="24"/>
          <w:szCs w:val="24"/>
          <w:highlight w:val="white"/>
          <w:lang w:eastAsia="zh-CN"/>
        </w:rPr>
        <w:t>（9）本基金主动投资于流动性受限资产的市值合计不得超过该基金资产净值的15%；因证券市场波动、证券停牌、基金规模变动等基金管理人之外的因素致使基金不符合该比例限制的，基金管理人不得主动新增流动性受限资产的投资；</w:t>
      </w:r>
    </w:p>
    <w:p w:rsidR="009C72F0" w14:paraId="5CC71EE2" w14:textId="77777777">
      <w:pPr>
        <w:widowControl/>
        <w:spacing w:after="120" w:line="300" w:lineRule="atLeast"/>
        <w:ind w:firstLine="480"/>
        <w:rPr>
          <w:lang w:eastAsia="zh-CN"/>
        </w:rPr>
      </w:pPr>
      <w:r>
        <w:rPr>
          <w:rFonts w:ascii="宋体" w:hAnsi="宋体" w:cs="宋体"/>
          <w:color w:val="000000"/>
          <w:sz w:val="24"/>
          <w:szCs w:val="24"/>
          <w:highlight w:val="white"/>
          <w:lang w:eastAsia="zh-CN"/>
        </w:rPr>
        <w:t>（10）本基金与私募类证券资管产品及中国证监会认定的其他主体为交易对手开展逆回购交易的，可接受质押品的资质要求应当与基金合同约定的投资范围保持一致；</w:t>
      </w:r>
    </w:p>
    <w:p w:rsidR="009C72F0" w14:paraId="5DF89B9E" w14:textId="77777777">
      <w:pPr>
        <w:widowControl/>
        <w:spacing w:after="120" w:line="300" w:lineRule="atLeast"/>
        <w:ind w:firstLine="480"/>
        <w:rPr>
          <w:lang w:eastAsia="zh-CN"/>
        </w:rPr>
      </w:pPr>
      <w:r>
        <w:rPr>
          <w:rFonts w:ascii="宋体" w:hAnsi="宋体" w:cs="宋体"/>
          <w:color w:val="000000"/>
          <w:sz w:val="24"/>
          <w:szCs w:val="24"/>
          <w:highlight w:val="white"/>
          <w:lang w:eastAsia="zh-CN"/>
        </w:rPr>
        <w:t>（11）本基金资产总值不超过基金资产净值的140%；</w:t>
      </w:r>
    </w:p>
    <w:p w:rsidR="009C72F0" w14:paraId="2576DC3C" w14:textId="77777777">
      <w:pPr>
        <w:widowControl/>
        <w:spacing w:after="120" w:line="300" w:lineRule="atLeast"/>
        <w:ind w:firstLine="480"/>
        <w:rPr>
          <w:lang w:eastAsia="zh-CN"/>
        </w:rPr>
      </w:pPr>
      <w:r>
        <w:rPr>
          <w:rFonts w:ascii="宋体" w:hAnsi="宋体" w:cs="宋体"/>
          <w:color w:val="000000"/>
          <w:sz w:val="24"/>
          <w:szCs w:val="24"/>
          <w:highlight w:val="white"/>
          <w:lang w:eastAsia="zh-CN"/>
        </w:rPr>
        <w:t>（12）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每个交易日日终，扣除国债期货合约需缴纳的交易保证金后，保持不低于基金资产净值5％的现金或者到期日在一年以内的政府债券，其中现金不包括结算备付金、存出保证金和应收申购款等；</w:t>
      </w:r>
    </w:p>
    <w:p w:rsidR="009C72F0" w14:paraId="5BEBA97C" w14:textId="508ABCAB">
      <w:pPr>
        <w:widowControl/>
        <w:spacing w:after="120" w:line="300" w:lineRule="atLeast"/>
        <w:ind w:firstLine="480"/>
        <w:rPr>
          <w:lang w:eastAsia="zh-CN"/>
        </w:rPr>
      </w:pPr>
      <w:r>
        <w:rPr>
          <w:rFonts w:ascii="宋体" w:hAnsi="宋体" w:cs="宋体"/>
          <w:color w:val="000000"/>
          <w:sz w:val="24"/>
          <w:szCs w:val="24"/>
          <w:highlight w:val="white"/>
          <w:lang w:eastAsia="zh-CN"/>
        </w:rPr>
        <w:t>（13）本基金不得持有信用保护卖方属性的信用衍生品，不持有合约类信用衍生品，持有的信用衍生品的名义本金不得超过本基金对应受保护债券面值的100%；本基金投资于同一信用保护卖方的各类信用衍生品的名义本金合计不得超过基金资产净值的10%。因证券</w:t>
      </w:r>
      <w:r w:rsidR="001B402B">
        <w:rPr>
          <w:rFonts w:ascii="宋体" w:hAnsi="宋体" w:cs="宋体" w:hint="eastAsia"/>
          <w:color w:val="000000"/>
          <w:sz w:val="24"/>
          <w:szCs w:val="24"/>
          <w:highlight w:val="white"/>
          <w:lang w:eastAsia="zh-CN"/>
        </w:rPr>
        <w:t>/</w:t>
      </w:r>
      <w:r>
        <w:rPr>
          <w:rFonts w:ascii="宋体" w:hAnsi="宋体" w:cs="宋体"/>
          <w:color w:val="000000"/>
          <w:sz w:val="24"/>
          <w:szCs w:val="24"/>
          <w:highlight w:val="white"/>
          <w:lang w:eastAsia="zh-CN"/>
        </w:rPr>
        <w:t>期货市场波动、证券发行人合并、基金规模变动等基金管理人之外的因素致使基金不符合前述所规定比例限制的，基金管理人应在3个月之内进行调整；</w:t>
      </w:r>
    </w:p>
    <w:p w:rsidR="009C72F0" w14:paraId="7AD1E305" w14:textId="77777777">
      <w:pPr>
        <w:widowControl/>
        <w:spacing w:after="120" w:line="300" w:lineRule="atLeast"/>
        <w:ind w:firstLine="480"/>
        <w:rPr>
          <w:lang w:eastAsia="zh-CN"/>
        </w:rPr>
      </w:pPr>
      <w:r>
        <w:rPr>
          <w:rFonts w:ascii="宋体" w:hAnsi="宋体" w:cs="宋体"/>
          <w:color w:val="000000"/>
          <w:sz w:val="24"/>
          <w:szCs w:val="24"/>
          <w:highlight w:val="white"/>
          <w:lang w:eastAsia="zh-CN"/>
        </w:rPr>
        <w:t>（14）法律法规及中国证监会规定的和《基金合同》约定的其他投资限制。</w:t>
      </w:r>
    </w:p>
    <w:p w:rsidR="009C72F0" w14:paraId="60FF2303" w14:textId="77777777">
      <w:pPr>
        <w:widowControl/>
        <w:spacing w:after="120" w:line="300" w:lineRule="atLeast"/>
        <w:ind w:firstLine="480"/>
        <w:rPr>
          <w:lang w:eastAsia="zh-CN"/>
        </w:rPr>
      </w:pPr>
      <w:r>
        <w:rPr>
          <w:rFonts w:ascii="宋体" w:hAnsi="宋体" w:cs="宋体"/>
          <w:color w:val="000000"/>
          <w:sz w:val="24"/>
          <w:szCs w:val="24"/>
          <w:highlight w:val="white"/>
          <w:lang w:eastAsia="zh-CN"/>
        </w:rPr>
        <w:t>除上述（2）、（9）、（10）、（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9C72F0" w14:paraId="36EF0F0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9C72F0" w14:paraId="0C1FFFFF"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3</w:t>
      </w:r>
      <w:r>
        <w:rPr>
          <w:rFonts w:ascii="宋体" w:hAnsi="宋体" w:cs="宋体" w:hint="eastAsia"/>
          <w:color w:val="000000"/>
          <w:sz w:val="24"/>
          <w:szCs w:val="24"/>
          <w:highlight w:val="white"/>
          <w:lang w:eastAsia="zh-CN"/>
        </w:rPr>
        <w:t>、基金托管人根据有关法律法规的规定及《基金合同》的约定对下述基金投资禁止行为进行监督：</w:t>
      </w:r>
    </w:p>
    <w:p w:rsidR="009C72F0" w14:paraId="42AC908F"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根据法律法规的规定及《基金合同》的约定，本基金禁止从事下列行为：</w:t>
      </w:r>
    </w:p>
    <w:p w:rsidR="009C72F0" w14:paraId="71329D4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（1）承销证券；</w:t>
      </w:r>
    </w:p>
    <w:p w:rsidR="009C72F0" w14:paraId="3DC7C89D"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（2）违反规定向他人贷款或者提供担保；</w:t>
      </w:r>
    </w:p>
    <w:p w:rsidR="009C72F0" w14:paraId="34680E9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（3）从事承担无限责任的投资；</w:t>
      </w:r>
    </w:p>
    <w:p w:rsidR="009C72F0" w14:paraId="1703C139"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（4）向其基金管理人、基金托管人出资；</w:t>
      </w:r>
    </w:p>
    <w:p w:rsidR="009C72F0" w14:paraId="0618547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（5）从事内幕交易、操纵证券交易价格及其他不正当的证券交易活动；</w:t>
      </w:r>
    </w:p>
    <w:p w:rsidR="009C72F0" w14:paraId="6E6C376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（6）法律、行政法规和中国证监会规定禁止的其他活动。</w:t>
      </w:r>
    </w:p>
    <w:p w:rsidR="009C72F0" w14:paraId="48959D9E" w14:textId="77777777">
      <w:pPr>
        <w:widowControl/>
        <w:spacing w:after="120" w:line="300" w:lineRule="atLeast"/>
        <w:ind w:firstLine="480"/>
        <w:rPr>
          <w:sz w:val="24"/>
          <w:szCs w:val="24"/>
          <w:lang w:eastAsia="zh-CN"/>
        </w:rPr>
      </w:pPr>
      <w:r>
        <w:rPr>
          <w:rFonts w:ascii="宋体" w:hAnsi="宋体" w:cs="宋体" w:hint="eastAsia"/>
          <w:color w:val="000000"/>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C72F0" w:rsidRPr="004A7DAC" w14:paraId="2ECC8958" w14:textId="77777777">
      <w:pPr>
        <w:widowControl/>
        <w:spacing w:after="120" w:line="300" w:lineRule="atLeast"/>
        <w:ind w:firstLine="480"/>
        <w:rPr>
          <w:rFonts w:ascii="宋体" w:hAnsi="宋体" w:cs="宋体"/>
          <w:color w:val="000000"/>
          <w:sz w:val="24"/>
          <w:szCs w:val="24"/>
          <w:highlight w:val="white"/>
          <w:lang w:eastAsia="zh-CN"/>
        </w:rPr>
      </w:pPr>
      <w:r w:rsidRPr="004A7DAC">
        <w:rPr>
          <w:rFonts w:ascii="宋体" w:hAnsi="宋体" w:cs="宋体" w:hint="eastAsia"/>
          <w:color w:val="000000"/>
          <w:sz w:val="24"/>
          <w:szCs w:val="24"/>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9C72F0" w14:paraId="77BDD1B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应事先向托管人提供与本机构有控股关系的股东、与本机构有其他重大利害关系的公司名单及有关关联方发行的证券名单。基金管理人有责任确保关联交易名单的真实性、准确性、完整性，并负责及时将更新后的名单发送给托管人。</w:t>
      </w:r>
    </w:p>
    <w:p w:rsidR="009C72F0" w14:paraId="4823C7D4"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基金托管人履行了监督职责，基金管理人仍违反法律法规规定或基金合同约定的投资禁止行为而造成基金财产损失的，由基金管理人承担责任，基金托管人不承担任何责任。</w:t>
      </w:r>
    </w:p>
    <w:p w:rsidR="009C72F0" w14:paraId="1FB5E23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4、基金托管人依据有关法律法规的规定和《基金合同》的约定对基金管理人参与银行间债券市场进行监督。</w:t>
      </w:r>
    </w:p>
    <w:p w:rsidR="009C72F0" w14:paraId="1FB4156D"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定期更新交易对手名单，但应将调整结果至少提前一个工作日书面通知基金托管人。新名单确定前已与本次剔除的交易对手所进行但尚未结算的交易，仍应按照协议进行结算。如基金管理人根据市场需要临时调整银行间债券交易对手名单及结算方式的，应向基金托管人书面说明理由，并在与交易对手发生交易前1个交易日内与基金托管人协商解决。如基金管理人在基金投资运作之前未向基金托管人提供银行间债券市场交易对手名单的，视为基金管理人认可全市场交易对手。</w:t>
      </w:r>
    </w:p>
    <w:p w:rsidR="009C72F0" w14:paraId="5AA6A7F9"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9C72F0" w14:paraId="4686F03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5、基金托管人对基金管理人选择存款银行进行监督。</w:t>
      </w:r>
    </w:p>
    <w:p w:rsidR="009C72F0" w14:paraId="41B987D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投资银行定期存款的，基金管理人应根据法律法规的规定及基金合同的约定，确定符合条件的所有存款银行的名单，并及时提供给基金托管人，基金托管人应据以对基金投资银行存款的交易对手是否按存款银行名单交易进行监督。如基金管理人未向基金托管人提供符合条件的存款银行名单，基金托管人有权不对基金投资银行存款的交易对手进行监督。</w:t>
      </w:r>
    </w:p>
    <w:p w:rsidR="009C72F0" w14:paraId="059DA04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（二）基金托管人应根据有关法律法规的规定及《基金合同》的约定，对基金资产净值计算、</w:t>
      </w:r>
      <w:r>
        <w:rPr>
          <w:rFonts w:ascii="宋体" w:hAnsi="宋体" w:cs="宋体"/>
          <w:color w:val="000000"/>
          <w:sz w:val="24"/>
          <w:szCs w:val="24"/>
          <w:highlight w:val="white"/>
          <w:lang w:eastAsia="zh-CN"/>
        </w:rPr>
        <w:t>各类基金份额净值计算、应收资金到账、基金费用开支及收入确定、基金收益分配、相关信息披露等进行监督和核查。</w:t>
      </w:r>
    </w:p>
    <w:p w:rsidR="009C72F0" w14:paraId="0B1B3EE2" w14:textId="77777777">
      <w:pPr>
        <w:widowControl/>
        <w:spacing w:after="120" w:line="300" w:lineRule="atLeast"/>
        <w:ind w:firstLine="480"/>
        <w:rPr>
          <w:rFonts w:ascii="宋体" w:hAnsi="宋体" w:cs="宋体"/>
          <w:color w:val="000000"/>
          <w:sz w:val="24"/>
          <w:szCs w:val="24"/>
          <w:lang w:eastAsia="zh-CN"/>
        </w:rPr>
      </w:pPr>
      <w:bookmarkStart w:id="55" w:name="_Toc477270359"/>
      <w:r>
        <w:rPr>
          <w:rFonts w:ascii="宋体" w:hAnsi="宋体" w:cs="宋体" w:hint="eastAsia"/>
          <w:color w:val="000000"/>
          <w:sz w:val="24"/>
          <w:szCs w:val="24"/>
          <w:highlight w:val="white"/>
          <w:lang w:eastAsia="zh-CN"/>
        </w:rPr>
        <w:t>（三）基金托管人发现基金管理人的投资运作及其他运作违反《基金法》、《基金合同》、基金托管协议及其他有关规定时，有权及时以书面形式通知基金管理人限期纠正，基金管理人收到通知后应在下一个工作日及时核对，并以书面形式向基金托管人发出回函，进行解释或举证。</w:t>
      </w:r>
      <w:bookmarkEnd w:id="55"/>
    </w:p>
    <w:p w:rsidR="009C72F0" w14:paraId="2F480B3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基金管理人对基金托管人通知的违规事项未能在限期内纠正的，基金托管人有权报告中国证监会。</w:t>
      </w:r>
    </w:p>
    <w:p w:rsidR="009C72F0" w14:paraId="79E30FC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对于依据交易程序尚未成交的且基金托管人在交易前能够监控的投资指令，基金托管人发现该投资指令违反法律法规规定或者违反《基金合同》约定的，应当拒绝执行，立即通知基金管理人，并有权向中国证监会报告。</w:t>
      </w:r>
    </w:p>
    <w:p w:rsidR="009C72F0" w14:paraId="16E1141F"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对于必须于估值完成后方可获知的监控指标或依据交易程序已经生效的投资指令，基金托管人发现该投资指令违反法律、行政法规和其他有关规定，或者违反《基金合同》约定的，应当立即通知基金管理人，并有权报告中国证监会。</w:t>
      </w:r>
    </w:p>
    <w:p w:rsidR="009C72F0" w14:paraId="53CDA009"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应积极配合和协助基金托管人的监督和核查，必须在规定时间内答复基金托管人并改正，就基金托管人的合理疑义进行解释或举证，对基金托管人按照法律法规要求需向中国证监会报送基金监督报告的，基金管理人应积极配合提供相关数据资料和制度等。</w:t>
      </w:r>
    </w:p>
    <w:p w:rsidR="009C72F0" w14:paraId="12814AA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基金托管人发现基金管理人有重大违规行为，有权立即报告中国证监会，同时通知基金管理人限期纠正。</w:t>
      </w:r>
    </w:p>
    <w:p w:rsidR="009C72F0" w14:paraId="0519597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无正当理由，拒绝、阻挠基金托管人根据本协议规定行使监督权，或采取拖延、欺诈等手段妨碍基金托管人进行有效监督，情节严重或经基金托管人提出书面警告仍不改正的，基金托管人应报告中国证监会。</w:t>
      </w:r>
    </w:p>
    <w:p w:rsidR="009C72F0" w14:paraId="3889BC37"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1706543D" w14:textId="77777777">
      <w:pPr>
        <w:pStyle w:val="11"/>
        <w:jc w:val="center"/>
        <w:rPr>
          <w:rFonts w:ascii="Calibri" w:hAnsi="Calibri"/>
          <w:color w:val="000000"/>
          <w:sz w:val="21"/>
          <w:szCs w:val="21"/>
          <w:lang w:eastAsia="zh-CN"/>
        </w:rPr>
      </w:pPr>
      <w:bookmarkStart w:id="56" w:name="_Toc477274813"/>
      <w:bookmarkStart w:id="57" w:name="_Toc375230479"/>
      <w:bookmarkStart w:id="58" w:name="_Toc4491305"/>
      <w:bookmarkEnd w:id="56"/>
      <w:r>
        <w:rPr>
          <w:rFonts w:hint="eastAsia"/>
          <w:color w:val="000000"/>
          <w:sz w:val="30"/>
          <w:szCs w:val="30"/>
          <w:highlight w:val="white"/>
          <w:lang w:eastAsia="zh-CN"/>
        </w:rPr>
        <w:t>四、</w:t>
      </w:r>
      <w:bookmarkStart w:id="59" w:name="_Toc124749228"/>
      <w:bookmarkStart w:id="60" w:name="_Toc125361076"/>
      <w:bookmarkStart w:id="61" w:name="_Toc124749939"/>
      <w:bookmarkStart w:id="62" w:name="_Toc123705448"/>
      <w:bookmarkStart w:id="63" w:name="_Toc375230480"/>
      <w:bookmarkEnd w:id="57"/>
      <w:bookmarkEnd w:id="59"/>
      <w:bookmarkEnd w:id="60"/>
      <w:bookmarkEnd w:id="61"/>
      <w:bookmarkEnd w:id="62"/>
      <w:bookmarkEnd w:id="63"/>
      <w:r>
        <w:rPr>
          <w:rFonts w:hint="eastAsia"/>
          <w:color w:val="000000"/>
          <w:sz w:val="30"/>
          <w:szCs w:val="30"/>
          <w:highlight w:val="white"/>
          <w:lang w:eastAsia="zh-CN"/>
        </w:rPr>
        <w:t>基金管理人对基金托管人的业务核查</w:t>
      </w:r>
      <w:bookmarkEnd w:id="58"/>
    </w:p>
    <w:p w:rsidR="009C72F0" w14:paraId="68DA5BD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根据有关法律法规、《基金合同》及本协议规定，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9C72F0" w14:paraId="1C02ED8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发现基金托管人擅自挪用基金财产、未对基金财产实行分账管理、无故未执行或无故延迟执行基金管理人的有效资金划拨指令、违反约定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w:t>
      </w:r>
    </w:p>
    <w:p w:rsidR="009C72F0" w14:paraId="375E148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基金管理人发现基金托管人有重大违规行为，应立即报告中国证监会，同时通知基金托管人限期纠正。</w:t>
      </w:r>
    </w:p>
    <w:p w:rsidR="009C72F0" w14:paraId="2F464E6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基金托管人应积极配合基金管理人的核查行为，包括但不限于：提交相关资料以供基金管理人核查托管财产的完整性和真实性，在规定时间内答复基金管理人并改正。</w:t>
      </w:r>
    </w:p>
    <w:p w:rsidR="009C72F0" w14:paraId="373A39E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9C72F0" w14:paraId="4FCB47A0"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4487ABA0" w14:textId="77777777">
      <w:pPr>
        <w:pStyle w:val="11"/>
        <w:jc w:val="center"/>
        <w:rPr>
          <w:rFonts w:ascii="Calibri" w:hAnsi="Calibri"/>
          <w:color w:val="000000"/>
          <w:sz w:val="21"/>
          <w:szCs w:val="21"/>
          <w:lang w:eastAsia="zh-CN"/>
        </w:rPr>
      </w:pPr>
      <w:bookmarkStart w:id="64" w:name="_Toc375230481"/>
      <w:bookmarkStart w:id="65" w:name="_Toc48703889"/>
      <w:bookmarkStart w:id="66" w:name="_Toc22454437"/>
      <w:bookmarkStart w:id="67" w:name="_Toc125361077"/>
      <w:bookmarkStart w:id="68" w:name="_Toc523829995"/>
      <w:bookmarkStart w:id="69" w:name="_Toc124749940"/>
      <w:bookmarkStart w:id="70" w:name="_Toc477274814"/>
      <w:bookmarkStart w:id="71" w:name="_Toc124749229"/>
      <w:bookmarkStart w:id="72" w:name="_Toc466788854"/>
      <w:bookmarkStart w:id="73" w:name="_Hlt88903324"/>
      <w:bookmarkStart w:id="74" w:name="_Toc123626171"/>
      <w:bookmarkStart w:id="75" w:name="_Toc4491306"/>
      <w:bookmarkEnd w:id="64"/>
      <w:bookmarkEnd w:id="65"/>
      <w:bookmarkEnd w:id="66"/>
      <w:bookmarkEnd w:id="67"/>
      <w:bookmarkEnd w:id="68"/>
      <w:bookmarkEnd w:id="69"/>
      <w:bookmarkEnd w:id="70"/>
      <w:bookmarkEnd w:id="71"/>
      <w:bookmarkEnd w:id="72"/>
      <w:bookmarkEnd w:id="73"/>
      <w:bookmarkEnd w:id="74"/>
      <w:r>
        <w:rPr>
          <w:rFonts w:hint="eastAsia"/>
          <w:color w:val="000000"/>
          <w:sz w:val="30"/>
          <w:szCs w:val="30"/>
          <w:highlight w:val="white"/>
          <w:lang w:eastAsia="zh-CN"/>
        </w:rPr>
        <w:t>五、基金财产保管</w:t>
      </w:r>
      <w:bookmarkEnd w:id="75"/>
    </w:p>
    <w:p w:rsidR="009C72F0" w:rsidRPr="006F4582" w14:paraId="23D0058C" w14:textId="77777777">
      <w:pPr>
        <w:widowControl/>
        <w:spacing w:before="156" w:beforeLines="50" w:after="156" w:afterLines="50"/>
        <w:ind w:firstLine="480"/>
        <w:rPr>
          <w:rFonts w:ascii="宋体" w:hAnsi="宋体" w:cs="宋体"/>
          <w:b w:val="0"/>
          <w:bCs/>
          <w:color w:val="000000"/>
          <w:sz w:val="24"/>
          <w:szCs w:val="24"/>
          <w:lang w:eastAsia="zh-CN"/>
        </w:rPr>
      </w:pPr>
      <w:bookmarkStart w:id="76" w:name="_Toc477272406"/>
      <w:bookmarkStart w:id="77" w:name="_Toc477270362"/>
      <w:bookmarkStart w:id="78" w:name="_Toc37159173"/>
      <w:bookmarkEnd w:id="76"/>
      <w:bookmarkEnd w:id="77"/>
      <w:r w:rsidRPr="006F4582">
        <w:rPr>
          <w:rFonts w:ascii="宋体" w:hAnsi="宋体" w:cs="宋体" w:hint="eastAsia"/>
          <w:b w:val="0"/>
          <w:bCs/>
          <w:color w:val="000000"/>
          <w:sz w:val="24"/>
          <w:szCs w:val="24"/>
          <w:highlight w:val="white"/>
          <w:lang w:eastAsia="zh-CN"/>
        </w:rPr>
        <w:t>（一）基金财产保管的原则</w:t>
      </w:r>
      <w:bookmarkStart w:id="79" w:name="_Hlt88903033"/>
      <w:bookmarkEnd w:id="78"/>
      <w:bookmarkEnd w:id="79"/>
    </w:p>
    <w:p w:rsidR="009C72F0" w14:paraId="7E719F53"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1、基金财产应独立于基金管理人、基金托管人的固有财产。</w:t>
      </w:r>
    </w:p>
    <w:p w:rsidR="009C72F0" w14:paraId="67FA40B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2、基金托管人应安全保管基金财产。未经基金管理人的正当指令，不得自行运用、处分、分配基金的任何财产。</w:t>
      </w:r>
    </w:p>
    <w:p w:rsidR="009C72F0" w14:paraId="0690A4C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3、基金托管人按照规定开设基金财产的资金账户、证券账户等投资所需账户。</w:t>
      </w:r>
    </w:p>
    <w:p w:rsidR="009C72F0" w14:paraId="760E8EB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4、基金托管人对所托管的不同基金财产分别设置账户，与基金托管人的其他业务和其他基金的托管业务实行严格的分账管理，确保基金财产的完整与独立。</w:t>
      </w:r>
    </w:p>
    <w:p w:rsidR="009C72F0" w14:paraId="2786825D"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5</w:t>
      </w:r>
      <w:r>
        <w:rPr>
          <w:rFonts w:ascii="宋体" w:hAnsi="宋体" w:cs="宋体" w:hint="eastAsia"/>
          <w:color w:val="000000"/>
          <w:sz w:val="24"/>
          <w:szCs w:val="24"/>
          <w:highlight w:val="white"/>
          <w:lang w:eastAsia="zh-CN"/>
        </w:rPr>
        <w:t>、基金托管人根据基金管理人的指令，按照法律法规的规定、基金合同和本协议的约定保管基金财产。</w:t>
      </w:r>
    </w:p>
    <w:p w:rsidR="009C72F0" w14:paraId="6E43E8F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6、对于因基金认（申）购、基金投资过程中产生的应收财产，</w:t>
      </w:r>
      <w:r>
        <w:rPr>
          <w:rFonts w:ascii="宋体" w:hAnsi="宋体" w:hint="eastAsia"/>
          <w:sz w:val="24"/>
          <w:highlight w:val="white"/>
          <w:lang w:eastAsia="zh-CN"/>
        </w:rPr>
        <w:t>如基金托管人无法从公开信息或基金管理人提供的书面资料中获取到账日期信息的，</w:t>
      </w:r>
      <w:r>
        <w:rPr>
          <w:rFonts w:ascii="宋体" w:hAnsi="宋体" w:cs="宋体" w:hint="eastAsia"/>
          <w:color w:val="000000"/>
          <w:sz w:val="24"/>
          <w:szCs w:val="24"/>
          <w:highlight w:val="white"/>
          <w:lang w:eastAsia="zh-CN"/>
        </w:rPr>
        <w:t>应由基金管理人负责与有关当事人确定到账日期并通知基金托管人，到账日基金财产没有到达基金托管人处的，基金托管人应及时通知基金管理人。由此给基金财产造成损失的，基金管理人应负责向有关当事人追偿基金财产的损失，基金托管人有义务在合理且必要的范围内配合基金管理人进行追偿，但对此不承担责任。</w:t>
      </w:r>
      <w:bookmarkStart w:id="80" w:name="_Hlt88902859"/>
      <w:bookmarkEnd w:id="80"/>
    </w:p>
    <w:p w:rsidR="009C72F0" w:rsidRPr="006F4582" w14:paraId="3E4C90D6" w14:textId="77777777">
      <w:pPr>
        <w:widowControl/>
        <w:spacing w:before="156" w:beforeLines="50" w:after="156" w:afterLines="50"/>
        <w:ind w:firstLine="480"/>
        <w:rPr>
          <w:rFonts w:ascii="宋体" w:hAnsi="宋体" w:cs="宋体"/>
          <w:b w:val="0"/>
          <w:bCs/>
          <w:color w:val="000000"/>
          <w:sz w:val="24"/>
          <w:szCs w:val="24"/>
          <w:lang w:eastAsia="zh-CN"/>
        </w:rPr>
      </w:pPr>
      <w:bookmarkStart w:id="81" w:name="_Toc477272407"/>
      <w:bookmarkStart w:id="82" w:name="_Toc477270363"/>
      <w:bookmarkStart w:id="83" w:name="_Toc37159174"/>
      <w:bookmarkEnd w:id="81"/>
      <w:bookmarkEnd w:id="82"/>
      <w:r w:rsidRPr="006F4582">
        <w:rPr>
          <w:rFonts w:ascii="宋体" w:hAnsi="宋体" w:cs="宋体" w:hint="eastAsia"/>
          <w:b w:val="0"/>
          <w:bCs/>
          <w:color w:val="000000"/>
          <w:sz w:val="24"/>
          <w:szCs w:val="24"/>
          <w:highlight w:val="white"/>
          <w:lang w:eastAsia="zh-CN"/>
        </w:rPr>
        <w:t>（二）募集资金的验证</w:t>
      </w:r>
      <w:bookmarkEnd w:id="83"/>
    </w:p>
    <w:p w:rsidR="009C72F0" w14:paraId="1A5D4493"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募集期的认购资金存入专门账户。基金募集期满或基金停止募集时，募集的基金份额总额、基金募集金额、基金份额持有人人数符合《基金法》、《运作办法》等有关规定后，募集的属于本基金财产的全部资金应划入基金托管人为基金开立的资产托管账户中，基金托管人应予以协助，并在收到资金当日出具确认文件。由基金管理人聘请符合《中华人民共和国证券法》规定的会计师事务所进行验资，出具验资报告，出具的验资报告应由参加验资的2名以上（含2名）中国注册会计师签字有效。</w:t>
      </w:r>
    </w:p>
    <w:p w:rsidR="009C72F0" w14:paraId="071C8549"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若基金募集期限届满，未能达到《基金合同》生效的条件，由基金管理人在</w:t>
      </w:r>
      <w:r>
        <w:rPr>
          <w:rFonts w:hint="eastAsia"/>
          <w:bCs/>
          <w:sz w:val="24"/>
          <w:highlight w:val="white"/>
          <w:lang w:eastAsia="zh-CN"/>
        </w:rPr>
        <w:t>登记机构及托管人的协助下，</w:t>
      </w:r>
      <w:r>
        <w:rPr>
          <w:rFonts w:ascii="宋体" w:hAnsi="宋体" w:cs="宋体" w:hint="eastAsia"/>
          <w:color w:val="000000"/>
          <w:sz w:val="24"/>
          <w:szCs w:val="24"/>
          <w:highlight w:val="white"/>
          <w:lang w:eastAsia="zh-CN"/>
        </w:rPr>
        <w:t>按规定办理退款。</w:t>
      </w:r>
    </w:p>
    <w:p w:rsidR="009C72F0" w:rsidRPr="006F4582" w14:paraId="6C31F8BD" w14:textId="77777777">
      <w:pPr>
        <w:widowControl/>
        <w:spacing w:before="156" w:beforeLines="50" w:after="156" w:afterLines="50"/>
        <w:ind w:firstLine="480"/>
        <w:rPr>
          <w:rFonts w:ascii="宋体" w:hAnsi="宋体" w:cs="宋体"/>
          <w:b w:val="0"/>
          <w:bCs/>
          <w:color w:val="000000"/>
          <w:sz w:val="24"/>
          <w:szCs w:val="24"/>
          <w:lang w:eastAsia="zh-CN"/>
        </w:rPr>
      </w:pPr>
      <w:bookmarkStart w:id="84" w:name="_Toc477272408"/>
      <w:bookmarkStart w:id="85" w:name="_Toc477270364"/>
      <w:bookmarkEnd w:id="84"/>
      <w:r w:rsidRPr="006F4582">
        <w:rPr>
          <w:rFonts w:ascii="宋体" w:hAnsi="宋体" w:cs="宋体" w:hint="eastAsia"/>
          <w:b w:val="0"/>
          <w:bCs/>
          <w:color w:val="000000"/>
          <w:sz w:val="24"/>
          <w:szCs w:val="24"/>
          <w:highlight w:val="white"/>
          <w:lang w:eastAsia="zh-CN"/>
        </w:rPr>
        <w:t>（三）基金资金账户的开立和管理</w:t>
      </w:r>
      <w:bookmarkEnd w:id="85"/>
    </w:p>
    <w:p w:rsidR="009C72F0" w14:paraId="542065D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应以本基金名义在具有托管资格的商业银行开立基金资金账户（托管账户），托管账户名称以实际开立为准，并根据基金管理人合法合规的指令办理资金收付，本基金的银行预留印鉴由托管人保管和使用。</w:t>
      </w:r>
    </w:p>
    <w:p w:rsidR="009C72F0" w14:paraId="79EFDA9E"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基金托管人以基金托管人的名义在具有托管资格的商业银行开设托管结算专户。</w:t>
      </w:r>
    </w:p>
    <w:p w:rsidR="009C72F0" w14:paraId="01A2E6B9"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基金托管人和基金管理人不得假借本基金的名义开立其他任何银行账户；亦不得使用基金的任何银行账户进行本基金业务以外的活动。</w:t>
      </w:r>
    </w:p>
    <w:p w:rsidR="009C72F0" w14:paraId="6179FC7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基金资金账户的管理应符合《人民币银行结算账户管理办法》、《现金管理暂行条例》、《人民币利率管理规定》、《利率管理暂行规定》、《支付结算办法》以及银行业监督管理机构的其他规定。</w:t>
      </w:r>
    </w:p>
    <w:p w:rsidR="009C72F0" w14:paraId="1FD7DA2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基金托管人应严格管理基金在基金托管人处开立的基金资金账户、定时核查基金资金账户余额。</w:t>
      </w:r>
    </w:p>
    <w:p w:rsidR="009C72F0" w:rsidRPr="006F4582" w14:paraId="36D88C1E" w14:textId="77777777">
      <w:pPr>
        <w:widowControl/>
        <w:spacing w:before="156" w:beforeLines="50" w:after="156" w:afterLines="50"/>
        <w:ind w:firstLine="480"/>
        <w:rPr>
          <w:rFonts w:cs="宋体"/>
          <w:color w:val="000000"/>
          <w:szCs w:val="21"/>
          <w:lang w:eastAsia="zh-CN"/>
        </w:rPr>
      </w:pPr>
      <w:bookmarkStart w:id="86" w:name="_Toc477272409"/>
      <w:bookmarkStart w:id="87" w:name="_Toc477270365"/>
      <w:bookmarkEnd w:id="86"/>
      <w:r w:rsidRPr="006F4582">
        <w:rPr>
          <w:rFonts w:ascii="宋体" w:hAnsi="宋体" w:cs="宋体" w:hint="eastAsia"/>
          <w:b w:val="0"/>
          <w:bCs/>
          <w:color w:val="000000"/>
          <w:sz w:val="24"/>
          <w:szCs w:val="24"/>
          <w:highlight w:val="white"/>
          <w:lang w:eastAsia="zh-CN"/>
        </w:rPr>
        <w:t>（四）基金证券账户与结算备付金账户的开设和管理</w:t>
      </w:r>
      <w:bookmarkEnd w:id="87"/>
    </w:p>
    <w:p w:rsidR="009C72F0" w14:paraId="2C842A19"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基金托管人以基金托管人和本基金联名的方式在中国证券登记结算有限责任公司开设证券账户。</w:t>
      </w:r>
    </w:p>
    <w:p w:rsidR="009C72F0" w14:paraId="654FDAB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9C72F0" w14:paraId="4385C1C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基金证券账户的开立和使用，限于满足开展本基金业务的需要。基金托管人和基金管理人不得出借和未经对方书面同意擅自转让基金的任何证券账户；亦不得使用基金的任何证券账户进行本基金业务以外的活动。</w:t>
      </w:r>
    </w:p>
    <w:p w:rsidR="009C72F0" w:rsidRPr="006F4582" w14:paraId="7D686E7F" w14:textId="77777777">
      <w:pPr>
        <w:widowControl/>
        <w:spacing w:before="156" w:beforeLines="50" w:after="156" w:afterLines="50"/>
        <w:ind w:firstLine="480"/>
        <w:rPr>
          <w:rFonts w:ascii="宋体" w:hAnsi="宋体" w:cs="宋体"/>
          <w:b w:val="0"/>
          <w:bCs/>
          <w:color w:val="000000"/>
          <w:sz w:val="24"/>
          <w:szCs w:val="24"/>
          <w:lang w:eastAsia="zh-CN"/>
        </w:rPr>
      </w:pPr>
      <w:bookmarkStart w:id="88" w:name="_Toc477272410"/>
      <w:bookmarkStart w:id="89" w:name="_Toc477270366"/>
      <w:bookmarkEnd w:id="88"/>
      <w:r w:rsidRPr="006F4582">
        <w:rPr>
          <w:rFonts w:ascii="宋体" w:hAnsi="宋体" w:cs="宋体" w:hint="eastAsia"/>
          <w:b w:val="0"/>
          <w:bCs/>
          <w:color w:val="000000"/>
          <w:sz w:val="24"/>
          <w:szCs w:val="24"/>
          <w:highlight w:val="white"/>
          <w:lang w:eastAsia="zh-CN"/>
        </w:rPr>
        <w:t>（五）债券托管账户的开立和管理</w:t>
      </w:r>
      <w:bookmarkEnd w:id="89"/>
    </w:p>
    <w:p w:rsidR="009C72F0" w14:paraId="2A63F19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合同》生效后，基金管理人负责以基金的名义申请并取得进入全国银行间同业拆借市场的交易资格，并代表基金进行交易；基金托管人负责根据中国人民银行、银行间市场登记结算机构的有关规定，在银行间市场登记结算机构开立债券托管账户，持有人账户和资金结算账户，并由基金托管人负责基金的债券的后台确认及资金的清算。</w:t>
      </w:r>
    </w:p>
    <w:p w:rsidR="009C72F0" w:rsidRPr="006F4582" w14:paraId="57387756" w14:textId="77777777">
      <w:pPr>
        <w:widowControl/>
        <w:spacing w:before="156" w:beforeLines="50" w:after="156" w:afterLines="50"/>
        <w:ind w:firstLine="480"/>
        <w:rPr>
          <w:rFonts w:ascii="宋体" w:hAnsi="宋体" w:cs="宋体"/>
          <w:b w:val="0"/>
          <w:bCs/>
          <w:color w:val="000000"/>
          <w:sz w:val="24"/>
          <w:szCs w:val="24"/>
          <w:lang w:eastAsia="zh-CN"/>
        </w:rPr>
      </w:pPr>
      <w:r w:rsidRPr="006F4582">
        <w:rPr>
          <w:rFonts w:ascii="宋体" w:hAnsi="宋体" w:cs="宋体" w:hint="eastAsia"/>
          <w:b w:val="0"/>
          <w:bCs/>
          <w:color w:val="000000"/>
          <w:sz w:val="24"/>
          <w:szCs w:val="24"/>
          <w:highlight w:val="white"/>
          <w:lang w:eastAsia="zh-CN"/>
        </w:rPr>
        <w:t>（六）其他账户的开设和管理</w:t>
      </w:r>
    </w:p>
    <w:p w:rsidR="009C72F0" w14:paraId="2C4708A4"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9C72F0" w14:paraId="3C2352B8"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法律法规等有关规定对相关账户的开立和管理另有规定的，从其规定办理。</w:t>
      </w:r>
    </w:p>
    <w:p w:rsidR="009C72F0" w:rsidRPr="006F4582" w14:paraId="32294033" w14:textId="77777777">
      <w:pPr>
        <w:widowControl/>
        <w:spacing w:before="156" w:beforeLines="50" w:after="156" w:afterLines="50"/>
        <w:ind w:firstLine="480"/>
        <w:rPr>
          <w:rFonts w:ascii="宋体" w:hAnsi="宋体" w:cs="宋体"/>
          <w:b w:val="0"/>
          <w:bCs/>
          <w:color w:val="000000"/>
          <w:sz w:val="24"/>
          <w:szCs w:val="24"/>
          <w:lang w:eastAsia="zh-CN"/>
        </w:rPr>
      </w:pPr>
      <w:bookmarkStart w:id="90" w:name="_Toc477272411"/>
      <w:bookmarkStart w:id="91" w:name="_Toc477270367"/>
      <w:bookmarkEnd w:id="90"/>
      <w:r w:rsidRPr="006F4582">
        <w:rPr>
          <w:rFonts w:ascii="宋体" w:hAnsi="宋体" w:cs="宋体" w:hint="eastAsia"/>
          <w:b w:val="0"/>
          <w:bCs/>
          <w:color w:val="000000"/>
          <w:sz w:val="24"/>
          <w:szCs w:val="24"/>
          <w:highlight w:val="white"/>
          <w:lang w:eastAsia="zh-CN"/>
        </w:rPr>
        <w:t>（七）基金财产投资的有关实物证券、银行定期存款存单等有价凭证的保管</w:t>
      </w:r>
      <w:bookmarkEnd w:id="91"/>
    </w:p>
    <w:p w:rsidR="009C72F0" w14:paraId="7390B8D2" w14:textId="77777777">
      <w:pPr>
        <w:widowControl/>
        <w:spacing w:after="120" w:line="300" w:lineRule="atLeast"/>
        <w:ind w:firstLine="480"/>
        <w:rPr>
          <w:rFonts w:cs="宋体"/>
          <w:color w:val="000000"/>
          <w:szCs w:val="21"/>
          <w:lang w:eastAsia="zh-CN"/>
        </w:rPr>
      </w:pPr>
      <w:r>
        <w:rPr>
          <w:rFonts w:ascii="宋体" w:hAnsi="宋体" w:cs="宋体" w:hint="eastAsia"/>
          <w:color w:val="000000"/>
          <w:sz w:val="24"/>
          <w:szCs w:val="24"/>
          <w:highlight w:val="white"/>
          <w:lang w:eastAsia="zh-CN"/>
        </w:rPr>
        <w:t>基金财产投资的有关实物证券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正当指令办理。属于基金托管人实际有效控制下的实物证券及银行定期存款存单等有价凭证在基金托管人保管期间的损坏、灭失，由此产生的责任应由基金托管人承担。基金托管人对基金托管人以外机构实际有效控制的有价凭证不承担保管责任。</w:t>
      </w:r>
    </w:p>
    <w:p w:rsidR="009C72F0" w:rsidRPr="006F4582" w14:paraId="120F3765" w14:textId="77777777">
      <w:pPr>
        <w:widowControl/>
        <w:spacing w:before="156" w:beforeLines="50" w:after="156" w:afterLines="50"/>
        <w:ind w:firstLine="480"/>
        <w:rPr>
          <w:rFonts w:ascii="宋体" w:hAnsi="宋体" w:cs="宋体"/>
          <w:b w:val="0"/>
          <w:bCs/>
          <w:color w:val="000000"/>
          <w:sz w:val="24"/>
          <w:szCs w:val="24"/>
          <w:lang w:eastAsia="zh-CN"/>
        </w:rPr>
      </w:pPr>
      <w:bookmarkStart w:id="92" w:name="_Toc477272412"/>
      <w:bookmarkStart w:id="93" w:name="_Toc477270368"/>
      <w:bookmarkStart w:id="94" w:name="_Toc37159180"/>
      <w:bookmarkEnd w:id="92"/>
      <w:bookmarkEnd w:id="93"/>
      <w:r w:rsidRPr="006F4582">
        <w:rPr>
          <w:rFonts w:ascii="宋体" w:hAnsi="宋体" w:cs="宋体" w:hint="eastAsia"/>
          <w:b w:val="0"/>
          <w:bCs/>
          <w:color w:val="000000"/>
          <w:sz w:val="24"/>
          <w:szCs w:val="24"/>
          <w:highlight w:val="white"/>
          <w:lang w:eastAsia="zh-CN"/>
        </w:rPr>
        <w:t>（八）与基金财产有关的重大合同的保管</w:t>
      </w:r>
      <w:bookmarkEnd w:id="94"/>
    </w:p>
    <w:p w:rsidR="009C72F0" w14:paraId="6CCCCEC4"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由基金管理人代表基金签署的与基金有关的重大合同的原件分别应由基金托管人、基金管理人保管。除本协议另有约定外，基金管理人在代表基金签署与基金有关的重大合同时应保证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存期限按照法律法规的规定执行。</w:t>
      </w:r>
    </w:p>
    <w:p w:rsidR="009C72F0" w14:paraId="0825346F"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对于无法取得二份以上的正本的，基金管理人应向基金托管人提供加盖授权业务章的合同传真件并保证其真实性及其与原件的完全一致性，未经双方协商或未在合同约定范围内，合同原件不得转移。</w:t>
      </w:r>
    </w:p>
    <w:p w:rsidR="009C72F0" w14:paraId="16594A49"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7A83A2B1" w14:textId="77777777">
      <w:pPr>
        <w:pStyle w:val="11"/>
        <w:jc w:val="center"/>
        <w:rPr>
          <w:rFonts w:ascii="Calibri" w:hAnsi="Calibri"/>
          <w:color w:val="000000"/>
          <w:sz w:val="21"/>
          <w:szCs w:val="21"/>
          <w:lang w:eastAsia="zh-CN"/>
        </w:rPr>
      </w:pPr>
      <w:bookmarkStart w:id="95" w:name="_Toc124749941"/>
      <w:bookmarkStart w:id="96" w:name="_Toc375230482"/>
      <w:bookmarkStart w:id="97" w:name="_Toc477274815"/>
      <w:bookmarkStart w:id="98" w:name="_Toc125361078"/>
      <w:bookmarkStart w:id="99" w:name="_Toc124749230"/>
      <w:bookmarkStart w:id="100" w:name="_Toc4491307"/>
      <w:bookmarkEnd w:id="95"/>
      <w:bookmarkEnd w:id="96"/>
      <w:bookmarkEnd w:id="97"/>
      <w:bookmarkEnd w:id="98"/>
      <w:bookmarkEnd w:id="99"/>
      <w:r>
        <w:rPr>
          <w:rFonts w:hint="eastAsia"/>
          <w:color w:val="000000"/>
          <w:sz w:val="30"/>
          <w:szCs w:val="30"/>
          <w:highlight w:val="white"/>
          <w:lang w:eastAsia="zh-CN"/>
        </w:rPr>
        <w:t>六、指令的发送、确认和执行</w:t>
      </w:r>
      <w:bookmarkEnd w:id="100"/>
    </w:p>
    <w:p w:rsidR="009C72F0" w14:paraId="270547C7" w14:textId="77777777">
      <w:pPr>
        <w:widowControl/>
        <w:spacing w:before="156" w:beforeLines="50" w:after="156" w:afterLines="50"/>
        <w:ind w:firstLine="480"/>
        <w:rPr>
          <w:rFonts w:ascii="宋体" w:hAnsi="宋体"/>
          <w:color w:val="000000"/>
          <w:sz w:val="24"/>
          <w:lang w:eastAsia="zh-CN"/>
        </w:rPr>
      </w:pPr>
      <w:bookmarkStart w:id="101" w:name="_Toc477270370"/>
      <w:bookmarkStart w:id="102" w:name="_Toc477272414"/>
      <w:bookmarkStart w:id="103" w:name="_Toc48703899"/>
      <w:bookmarkEnd w:id="101"/>
      <w:bookmarkEnd w:id="102"/>
      <w:r>
        <w:rPr>
          <w:rFonts w:ascii="宋体" w:hAnsi="宋体" w:hint="eastAsia"/>
          <w:color w:val="000000"/>
          <w:sz w:val="24"/>
          <w:highlight w:val="white"/>
          <w:lang w:eastAsia="zh-CN"/>
        </w:rPr>
        <w:t>（一）</w:t>
      </w:r>
      <w:r>
        <w:rPr>
          <w:rFonts w:ascii="宋体" w:hAnsi="宋体" w:cs="宋体" w:hint="eastAsia"/>
          <w:bCs/>
          <w:color w:val="000000"/>
          <w:sz w:val="24"/>
          <w:szCs w:val="24"/>
          <w:highlight w:val="white"/>
          <w:lang w:eastAsia="zh-CN"/>
        </w:rPr>
        <w:t>划款</w:t>
      </w:r>
      <w:r>
        <w:rPr>
          <w:rFonts w:ascii="宋体" w:hAnsi="宋体" w:hint="eastAsia"/>
          <w:color w:val="000000"/>
          <w:sz w:val="24"/>
          <w:highlight w:val="white"/>
          <w:lang w:eastAsia="zh-CN"/>
        </w:rPr>
        <w:t>指令的授权</w:t>
      </w:r>
    </w:p>
    <w:p w:rsidR="009C72F0" w14:paraId="109F714A" w14:textId="77777777">
      <w:pPr>
        <w:widowControl/>
        <w:spacing w:before="156" w:beforeLines="50" w:after="156" w:afterLines="50"/>
        <w:ind w:firstLine="480"/>
        <w:rPr>
          <w:rFonts w:ascii="宋体" w:hAnsi="宋体" w:cs="宋体"/>
          <w:bCs/>
          <w:color w:val="000000"/>
          <w:sz w:val="24"/>
          <w:szCs w:val="24"/>
          <w:lang w:eastAsia="zh-CN"/>
        </w:rPr>
      </w:pPr>
      <w:r>
        <w:rPr>
          <w:rFonts w:ascii="宋体" w:hAnsi="宋体" w:cs="宋体" w:hint="eastAsia"/>
          <w:color w:val="000000"/>
          <w:sz w:val="24"/>
          <w:szCs w:val="24"/>
          <w:highlight w:val="white"/>
          <w:lang w:eastAsia="zh-CN"/>
        </w:rPr>
        <w:t>管理人应</w:t>
      </w:r>
      <w:r>
        <w:rPr>
          <w:rFonts w:ascii="宋体" w:hAnsi="宋体" w:cs="宋体" w:hint="eastAsia"/>
          <w:bCs/>
          <w:color w:val="000000"/>
          <w:sz w:val="24"/>
          <w:szCs w:val="24"/>
          <w:highlight w:val="white"/>
          <w:lang w:eastAsia="zh-CN"/>
        </w:rPr>
        <w:t>事先</w:t>
      </w:r>
      <w:r>
        <w:rPr>
          <w:rFonts w:ascii="宋体" w:hAnsi="宋体" w:cs="宋体" w:hint="eastAsia"/>
          <w:color w:val="000000"/>
          <w:sz w:val="24"/>
          <w:szCs w:val="24"/>
          <w:highlight w:val="white"/>
          <w:lang w:eastAsia="zh-CN"/>
        </w:rPr>
        <w:t>向托管人</w:t>
      </w:r>
      <w:r>
        <w:rPr>
          <w:rFonts w:ascii="宋体" w:hAnsi="宋体" w:cs="宋体" w:hint="eastAsia"/>
          <w:bCs/>
          <w:color w:val="000000"/>
          <w:sz w:val="24"/>
          <w:szCs w:val="24"/>
          <w:highlight w:val="white"/>
          <w:lang w:eastAsia="zh-CN"/>
        </w:rPr>
        <w:t>发送</w:t>
      </w:r>
      <w:r>
        <w:rPr>
          <w:rFonts w:ascii="宋体" w:hAnsi="宋体" w:cs="宋体" w:hint="eastAsia"/>
          <w:color w:val="000000"/>
          <w:sz w:val="24"/>
          <w:szCs w:val="24"/>
          <w:highlight w:val="white"/>
          <w:lang w:eastAsia="zh-CN"/>
        </w:rPr>
        <w:t>书面</w:t>
      </w:r>
      <w:r>
        <w:rPr>
          <w:rFonts w:ascii="宋体" w:hAnsi="宋体" w:cs="宋体" w:hint="eastAsia"/>
          <w:bCs/>
          <w:color w:val="000000"/>
          <w:sz w:val="24"/>
          <w:szCs w:val="24"/>
          <w:highlight w:val="white"/>
          <w:lang w:eastAsia="zh-CN"/>
        </w:rPr>
        <w:t>授权</w:t>
      </w:r>
      <w:r>
        <w:rPr>
          <w:rFonts w:ascii="宋体" w:hAnsi="宋体" w:cs="宋体" w:hint="eastAsia"/>
          <w:color w:val="000000"/>
          <w:sz w:val="24"/>
          <w:szCs w:val="24"/>
          <w:highlight w:val="white"/>
          <w:lang w:eastAsia="zh-CN"/>
        </w:rPr>
        <w:t>通知（以下称“授权通知”</w:t>
      </w:r>
      <w:r>
        <w:rPr>
          <w:rFonts w:ascii="宋体" w:hAnsi="宋体" w:cs="宋体" w:hint="eastAsia"/>
          <w:bCs/>
          <w:color w:val="000000"/>
          <w:sz w:val="24"/>
          <w:szCs w:val="24"/>
          <w:highlight w:val="white"/>
          <w:lang w:eastAsia="zh-CN"/>
        </w:rPr>
        <w:t>），授权通知应包括预留印鉴，或被授权人的</w:t>
      </w:r>
      <w:r>
        <w:rPr>
          <w:rFonts w:ascii="宋体" w:hAnsi="宋体" w:cs="宋体" w:hint="eastAsia"/>
          <w:color w:val="000000"/>
          <w:sz w:val="24"/>
          <w:szCs w:val="24"/>
          <w:highlight w:val="white"/>
          <w:lang w:eastAsia="zh-CN"/>
        </w:rPr>
        <w:t>名单</w:t>
      </w:r>
      <w:r>
        <w:rPr>
          <w:rFonts w:ascii="宋体" w:hAnsi="宋体" w:cs="宋体" w:hint="eastAsia"/>
          <w:bCs/>
          <w:color w:val="000000"/>
          <w:sz w:val="24"/>
          <w:szCs w:val="24"/>
          <w:highlight w:val="white"/>
          <w:lang w:eastAsia="zh-CN"/>
        </w:rPr>
        <w:t>、签字签章样本。授权通知应加盖</w:t>
      </w:r>
      <w:r>
        <w:rPr>
          <w:rFonts w:ascii="宋体" w:hAnsi="宋体" w:cs="宋体" w:hint="eastAsia"/>
          <w:color w:val="000000"/>
          <w:sz w:val="24"/>
          <w:szCs w:val="24"/>
          <w:highlight w:val="white"/>
          <w:lang w:eastAsia="zh-CN"/>
        </w:rPr>
        <w:t>管理人</w:t>
      </w:r>
      <w:r>
        <w:rPr>
          <w:rFonts w:ascii="宋体" w:hAnsi="宋体" w:cs="宋体" w:hint="eastAsia"/>
          <w:bCs/>
          <w:color w:val="000000"/>
          <w:sz w:val="24"/>
          <w:szCs w:val="24"/>
          <w:highlight w:val="white"/>
          <w:lang w:eastAsia="zh-CN"/>
        </w:rPr>
        <w:t>公章并注明生效时间。</w:t>
      </w:r>
    </w:p>
    <w:p w:rsidR="009C72F0" w14:paraId="4FC9EF1C" w14:textId="77777777">
      <w:pPr>
        <w:widowControl/>
        <w:spacing w:before="156" w:beforeLines="50" w:after="156" w:afterLines="50"/>
        <w:ind w:firstLine="480"/>
        <w:rPr>
          <w:rFonts w:ascii="宋体" w:hAnsi="宋体" w:cs="宋体"/>
          <w:bCs/>
          <w:color w:val="000000"/>
          <w:sz w:val="24"/>
          <w:szCs w:val="24"/>
          <w:lang w:eastAsia="zh-CN"/>
        </w:rPr>
      </w:pPr>
      <w:r>
        <w:rPr>
          <w:rFonts w:ascii="宋体" w:hAnsi="宋体" w:cs="宋体" w:hint="eastAsia"/>
          <w:bCs/>
          <w:color w:val="000000"/>
          <w:sz w:val="24"/>
          <w:szCs w:val="24"/>
          <w:highlight w:val="white"/>
          <w:lang w:eastAsia="zh-CN"/>
        </w:rPr>
        <w:t>管理人可以以传真、电子邮件方式或双方另行约定的其他方式</w:t>
      </w:r>
      <w:r>
        <w:rPr>
          <w:rFonts w:ascii="宋体" w:hAnsi="宋体" w:cs="宋体" w:hint="eastAsia"/>
          <w:color w:val="000000"/>
          <w:sz w:val="24"/>
          <w:szCs w:val="24"/>
          <w:highlight w:val="white"/>
          <w:lang w:eastAsia="zh-CN"/>
        </w:rPr>
        <w:t>向托管人发送</w:t>
      </w:r>
      <w:r>
        <w:rPr>
          <w:rFonts w:ascii="宋体" w:hAnsi="宋体" w:cs="宋体" w:hint="eastAsia"/>
          <w:bCs/>
          <w:color w:val="000000"/>
          <w:sz w:val="24"/>
          <w:szCs w:val="24"/>
          <w:highlight w:val="white"/>
          <w:lang w:eastAsia="zh-CN"/>
        </w:rPr>
        <w:t>授权通知，托管人收到授权书原件后，</w:t>
      </w:r>
      <w:r>
        <w:rPr>
          <w:rFonts w:ascii="宋体" w:hAnsi="宋体" w:cs="宋体" w:hint="eastAsia"/>
          <w:color w:val="000000"/>
          <w:sz w:val="24"/>
          <w:szCs w:val="24"/>
          <w:highlight w:val="white"/>
          <w:lang w:eastAsia="zh-CN"/>
        </w:rPr>
        <w:t>于授权通知载明的生效时间</w:t>
      </w:r>
      <w:r>
        <w:rPr>
          <w:rFonts w:ascii="宋体" w:hAnsi="宋体" w:cs="宋体" w:hint="eastAsia"/>
          <w:bCs/>
          <w:color w:val="000000"/>
          <w:sz w:val="24"/>
          <w:szCs w:val="24"/>
          <w:highlight w:val="white"/>
          <w:lang w:eastAsia="zh-CN"/>
        </w:rPr>
        <w:t>及收到日期孰晚日生效，特殊情形可由双方协商后确认。</w:t>
      </w:r>
    </w:p>
    <w:p w:rsidR="009C72F0" w14:paraId="10E6ED1A"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bCs/>
          <w:color w:val="000000"/>
          <w:sz w:val="24"/>
          <w:szCs w:val="24"/>
          <w:highlight w:val="white"/>
          <w:lang w:eastAsia="zh-CN"/>
        </w:rPr>
        <w:t>管理人应向托管人寄送书面</w:t>
      </w:r>
      <w:r>
        <w:rPr>
          <w:rFonts w:ascii="宋体" w:hAnsi="宋体" w:cs="宋体" w:hint="eastAsia"/>
          <w:color w:val="000000"/>
          <w:sz w:val="24"/>
          <w:szCs w:val="24"/>
          <w:highlight w:val="white"/>
          <w:lang w:eastAsia="zh-CN"/>
        </w:rPr>
        <w:t>授权通知的</w:t>
      </w:r>
      <w:r>
        <w:rPr>
          <w:rFonts w:ascii="宋体" w:hAnsi="宋体" w:cs="宋体" w:hint="eastAsia"/>
          <w:bCs/>
          <w:color w:val="000000"/>
          <w:sz w:val="24"/>
          <w:szCs w:val="24"/>
          <w:highlight w:val="white"/>
          <w:lang w:eastAsia="zh-CN"/>
        </w:rPr>
        <w:t>原件。托管人依据传真件或邮件或双方另行约定的其他方式发送的授权通知进行指令审核视为适当履行了托管人指令审核义务，管理人不得否认其效力；托管人收到的授权通知原件与传真件或邮件或双方另行约定的其他方式发送的</w:t>
      </w:r>
      <w:r>
        <w:rPr>
          <w:rFonts w:ascii="宋体" w:hAnsi="宋体" w:cs="宋体" w:hint="eastAsia"/>
          <w:color w:val="000000"/>
          <w:sz w:val="24"/>
          <w:szCs w:val="24"/>
          <w:highlight w:val="white"/>
          <w:lang w:eastAsia="zh-CN"/>
        </w:rPr>
        <w:t>授权通知</w:t>
      </w:r>
      <w:r>
        <w:rPr>
          <w:rFonts w:ascii="宋体" w:hAnsi="宋体" w:cs="宋体" w:hint="eastAsia"/>
          <w:bCs/>
          <w:color w:val="000000"/>
          <w:sz w:val="24"/>
          <w:szCs w:val="24"/>
          <w:highlight w:val="white"/>
          <w:lang w:eastAsia="zh-CN"/>
        </w:rPr>
        <w:t>不一致时，以双方协商确认生效</w:t>
      </w:r>
      <w:r>
        <w:rPr>
          <w:rFonts w:ascii="宋体" w:hAnsi="宋体" w:cs="宋体" w:hint="eastAsia"/>
          <w:color w:val="000000"/>
          <w:sz w:val="24"/>
          <w:szCs w:val="24"/>
          <w:highlight w:val="white"/>
          <w:lang w:eastAsia="zh-CN"/>
        </w:rPr>
        <w:t>的授权通知</w:t>
      </w:r>
      <w:r>
        <w:rPr>
          <w:rFonts w:ascii="宋体" w:hAnsi="宋体" w:cs="宋体" w:hint="eastAsia"/>
          <w:bCs/>
          <w:color w:val="000000"/>
          <w:sz w:val="24"/>
          <w:szCs w:val="24"/>
          <w:highlight w:val="white"/>
          <w:lang w:eastAsia="zh-CN"/>
        </w:rPr>
        <w:t>文件为准；管理人未能按约定寄回原件</w:t>
      </w:r>
      <w:r>
        <w:rPr>
          <w:rFonts w:ascii="宋体" w:hAnsi="宋体" w:cs="宋体" w:hint="eastAsia"/>
          <w:color w:val="000000"/>
          <w:sz w:val="24"/>
          <w:szCs w:val="24"/>
          <w:highlight w:val="white"/>
          <w:lang w:eastAsia="zh-CN"/>
        </w:rPr>
        <w:t>的</w:t>
      </w:r>
      <w:r>
        <w:rPr>
          <w:rFonts w:ascii="宋体" w:hAnsi="宋体" w:cs="宋体" w:hint="eastAsia"/>
          <w:bCs/>
          <w:color w:val="000000"/>
          <w:sz w:val="24"/>
          <w:szCs w:val="24"/>
          <w:highlight w:val="white"/>
          <w:lang w:eastAsia="zh-CN"/>
        </w:rPr>
        <w:t>，不影响</w:t>
      </w:r>
      <w:r>
        <w:rPr>
          <w:rFonts w:ascii="宋体" w:hAnsi="宋体" w:cs="宋体" w:hint="eastAsia"/>
          <w:color w:val="000000"/>
          <w:sz w:val="24"/>
          <w:szCs w:val="24"/>
          <w:highlight w:val="white"/>
          <w:lang w:eastAsia="zh-CN"/>
        </w:rPr>
        <w:t>托管人</w:t>
      </w:r>
      <w:r>
        <w:rPr>
          <w:rFonts w:ascii="宋体" w:hAnsi="宋体" w:cs="宋体" w:hint="eastAsia"/>
          <w:bCs/>
          <w:color w:val="000000"/>
          <w:sz w:val="24"/>
          <w:szCs w:val="24"/>
          <w:highlight w:val="white"/>
          <w:lang w:eastAsia="zh-CN"/>
        </w:rPr>
        <w:t>的执行效力，但</w:t>
      </w:r>
      <w:r>
        <w:rPr>
          <w:rFonts w:ascii="宋体" w:hAnsi="宋体" w:cs="宋体" w:hint="eastAsia"/>
          <w:color w:val="000000"/>
          <w:sz w:val="24"/>
          <w:szCs w:val="24"/>
          <w:highlight w:val="white"/>
          <w:lang w:eastAsia="zh-CN"/>
        </w:rPr>
        <w:t>管理人</w:t>
      </w:r>
      <w:r>
        <w:rPr>
          <w:rFonts w:ascii="宋体" w:hAnsi="宋体" w:cs="宋体" w:hint="eastAsia"/>
          <w:bCs/>
          <w:color w:val="000000"/>
          <w:sz w:val="24"/>
          <w:szCs w:val="24"/>
          <w:highlight w:val="white"/>
          <w:lang w:eastAsia="zh-CN"/>
        </w:rPr>
        <w:t>不因此免除寄送书面</w:t>
      </w:r>
      <w:r>
        <w:rPr>
          <w:rFonts w:ascii="宋体" w:hAnsi="宋体" w:cs="宋体" w:hint="eastAsia"/>
          <w:color w:val="000000"/>
          <w:sz w:val="24"/>
          <w:szCs w:val="24"/>
          <w:highlight w:val="white"/>
          <w:lang w:eastAsia="zh-CN"/>
        </w:rPr>
        <w:t>授权通知的</w:t>
      </w:r>
      <w:r>
        <w:rPr>
          <w:rFonts w:ascii="宋体" w:hAnsi="宋体" w:cs="宋体" w:hint="eastAsia"/>
          <w:bCs/>
          <w:color w:val="000000"/>
          <w:sz w:val="24"/>
          <w:szCs w:val="24"/>
          <w:highlight w:val="white"/>
          <w:lang w:eastAsia="zh-CN"/>
        </w:rPr>
        <w:t>义务</w:t>
      </w:r>
      <w:r>
        <w:rPr>
          <w:rFonts w:ascii="宋体" w:hAnsi="宋体" w:cs="宋体" w:hint="eastAsia"/>
          <w:color w:val="000000"/>
          <w:sz w:val="24"/>
          <w:szCs w:val="24"/>
          <w:highlight w:val="white"/>
          <w:lang w:eastAsia="zh-CN"/>
        </w:rPr>
        <w:t>。</w:t>
      </w:r>
    </w:p>
    <w:p w:rsidR="009C72F0" w14:paraId="0622AF74" w14:textId="77777777">
      <w:pPr>
        <w:widowControl/>
        <w:spacing w:before="156" w:beforeLines="50" w:after="156" w:afterLines="50"/>
        <w:ind w:firstLine="480"/>
        <w:rPr>
          <w:rFonts w:ascii="宋体" w:hAnsi="宋体"/>
          <w:color w:val="000000"/>
          <w:sz w:val="24"/>
          <w:lang w:eastAsia="zh-CN"/>
        </w:rPr>
      </w:pPr>
      <w:r>
        <w:rPr>
          <w:rFonts w:ascii="宋体" w:hAnsi="宋体" w:hint="eastAsia"/>
          <w:color w:val="000000"/>
          <w:sz w:val="24"/>
          <w:highlight w:val="white"/>
          <w:lang w:eastAsia="zh-CN"/>
        </w:rPr>
        <w:t>（二）</w:t>
      </w:r>
      <w:r>
        <w:rPr>
          <w:rFonts w:ascii="宋体" w:hAnsi="宋体" w:cs="宋体" w:hint="eastAsia"/>
          <w:bCs/>
          <w:color w:val="000000"/>
          <w:sz w:val="24"/>
          <w:szCs w:val="24"/>
          <w:highlight w:val="white"/>
          <w:lang w:eastAsia="zh-CN"/>
        </w:rPr>
        <w:t xml:space="preserve"> 划款</w:t>
      </w:r>
      <w:r>
        <w:rPr>
          <w:rFonts w:ascii="宋体" w:hAnsi="宋体" w:hint="eastAsia"/>
          <w:color w:val="000000"/>
          <w:sz w:val="24"/>
          <w:highlight w:val="white"/>
          <w:lang w:eastAsia="zh-CN"/>
        </w:rPr>
        <w:t>指令的内容</w:t>
      </w:r>
    </w:p>
    <w:p w:rsidR="009C72F0" w14:paraId="7BB1A0AC" w14:textId="77777777">
      <w:pPr>
        <w:widowControl/>
        <w:spacing w:before="156" w:beforeLines="50" w:after="156" w:afterLines="50"/>
        <w:ind w:firstLine="480"/>
        <w:rPr>
          <w:rFonts w:ascii="宋体" w:hAnsi="宋体"/>
          <w:color w:val="000000"/>
          <w:sz w:val="24"/>
          <w:lang w:eastAsia="zh-CN"/>
        </w:rPr>
      </w:pPr>
      <w:r>
        <w:rPr>
          <w:rFonts w:ascii="宋体" w:hAnsi="宋体" w:cs="宋体" w:hint="eastAsia"/>
          <w:bCs/>
          <w:color w:val="000000"/>
          <w:sz w:val="24"/>
          <w:szCs w:val="24"/>
          <w:highlight w:val="white"/>
          <w:lang w:eastAsia="zh-CN"/>
        </w:rPr>
        <w:t>划款</w:t>
      </w:r>
      <w:r>
        <w:rPr>
          <w:rFonts w:ascii="宋体" w:hAnsi="宋体" w:cs="宋体" w:hint="eastAsia"/>
          <w:color w:val="000000"/>
          <w:sz w:val="24"/>
          <w:szCs w:val="24"/>
          <w:highlight w:val="white"/>
          <w:lang w:eastAsia="zh-CN"/>
        </w:rPr>
        <w:t>指令是在</w:t>
      </w:r>
      <w:r>
        <w:rPr>
          <w:rFonts w:ascii="宋体" w:hAnsi="宋体" w:cs="宋体" w:hint="eastAsia"/>
          <w:bCs/>
          <w:color w:val="000000"/>
          <w:sz w:val="24"/>
          <w:szCs w:val="24"/>
          <w:highlight w:val="white"/>
          <w:lang w:eastAsia="zh-CN"/>
        </w:rPr>
        <w:t>管理</w:t>
      </w:r>
      <w:r>
        <w:rPr>
          <w:rFonts w:ascii="宋体" w:hAnsi="宋体" w:cs="宋体" w:hint="eastAsia"/>
          <w:color w:val="000000"/>
          <w:sz w:val="24"/>
          <w:szCs w:val="24"/>
          <w:highlight w:val="white"/>
          <w:lang w:eastAsia="zh-CN"/>
        </w:rPr>
        <w:t>基金财产时，</w:t>
      </w:r>
      <w:r>
        <w:rPr>
          <w:rFonts w:ascii="宋体" w:hAnsi="宋体" w:cs="宋体" w:hint="eastAsia"/>
          <w:bCs/>
          <w:color w:val="000000"/>
          <w:sz w:val="24"/>
          <w:szCs w:val="24"/>
          <w:highlight w:val="white"/>
          <w:lang w:eastAsia="zh-CN"/>
        </w:rPr>
        <w:t>管理人</w:t>
      </w:r>
      <w:r>
        <w:rPr>
          <w:rFonts w:ascii="宋体" w:hAnsi="宋体" w:cs="宋体" w:hint="eastAsia"/>
          <w:color w:val="000000"/>
          <w:sz w:val="24"/>
          <w:szCs w:val="24"/>
          <w:highlight w:val="white"/>
          <w:lang w:eastAsia="zh-CN"/>
        </w:rPr>
        <w:t>向托管人发出的资金划拨及其他款项支付的指令。管理人发给托管人的指令应写</w:t>
      </w:r>
      <w:r>
        <w:rPr>
          <w:rFonts w:ascii="宋体" w:hAnsi="宋体" w:cs="宋体" w:hint="eastAsia"/>
          <w:bCs/>
          <w:color w:val="000000"/>
          <w:sz w:val="24"/>
          <w:szCs w:val="24"/>
          <w:highlight w:val="white"/>
          <w:lang w:eastAsia="zh-CN"/>
        </w:rPr>
        <w:t>明收款方账户信息</w:t>
      </w:r>
      <w:r>
        <w:rPr>
          <w:rFonts w:ascii="宋体" w:hAnsi="宋体" w:cs="宋体" w:hint="eastAsia"/>
          <w:color w:val="000000"/>
          <w:sz w:val="24"/>
          <w:szCs w:val="24"/>
          <w:highlight w:val="white"/>
          <w:lang w:eastAsia="zh-CN"/>
        </w:rPr>
        <w:t>、支付</w:t>
      </w:r>
      <w:r>
        <w:rPr>
          <w:rFonts w:ascii="宋体" w:hAnsi="宋体" w:cs="宋体" w:hint="eastAsia"/>
          <w:bCs/>
          <w:color w:val="000000"/>
          <w:sz w:val="24"/>
          <w:szCs w:val="24"/>
          <w:highlight w:val="white"/>
          <w:lang w:eastAsia="zh-CN"/>
        </w:rPr>
        <w:t>日期、付款</w:t>
      </w:r>
      <w:r>
        <w:rPr>
          <w:rFonts w:ascii="宋体" w:hAnsi="宋体" w:cs="宋体" w:hint="eastAsia"/>
          <w:color w:val="000000"/>
          <w:sz w:val="24"/>
          <w:szCs w:val="24"/>
          <w:highlight w:val="white"/>
          <w:lang w:eastAsia="zh-CN"/>
        </w:rPr>
        <w:t>金额、</w:t>
      </w:r>
      <w:r>
        <w:rPr>
          <w:rFonts w:ascii="宋体" w:hAnsi="宋体" w:cs="宋体" w:hint="eastAsia"/>
          <w:bCs/>
          <w:color w:val="000000"/>
          <w:sz w:val="24"/>
          <w:szCs w:val="24"/>
          <w:highlight w:val="white"/>
          <w:lang w:eastAsia="zh-CN"/>
        </w:rPr>
        <w:t>事由</w:t>
      </w:r>
      <w:r>
        <w:rPr>
          <w:rFonts w:ascii="宋体" w:hAnsi="宋体" w:cs="宋体" w:hint="eastAsia"/>
          <w:color w:val="000000"/>
          <w:sz w:val="24"/>
          <w:szCs w:val="24"/>
          <w:highlight w:val="white"/>
          <w:lang w:eastAsia="zh-CN"/>
        </w:rPr>
        <w:t>等，加盖</w:t>
      </w:r>
      <w:r>
        <w:rPr>
          <w:rFonts w:ascii="宋体" w:hAnsi="宋体" w:cs="宋体" w:hint="eastAsia"/>
          <w:bCs/>
          <w:color w:val="000000"/>
          <w:sz w:val="24"/>
          <w:szCs w:val="24"/>
          <w:highlight w:val="white"/>
          <w:lang w:eastAsia="zh-CN"/>
        </w:rPr>
        <w:t>管理人公章或按授权通知约定加盖</w:t>
      </w:r>
      <w:r>
        <w:rPr>
          <w:rFonts w:ascii="宋体" w:hAnsi="宋体" w:cs="宋体" w:hint="eastAsia"/>
          <w:color w:val="000000"/>
          <w:sz w:val="24"/>
          <w:szCs w:val="24"/>
          <w:highlight w:val="white"/>
          <w:lang w:eastAsia="zh-CN"/>
        </w:rPr>
        <w:t>预留印鉴</w:t>
      </w:r>
      <w:r>
        <w:rPr>
          <w:rFonts w:ascii="宋体" w:hAnsi="宋体" w:cs="宋体" w:hint="eastAsia"/>
          <w:bCs/>
          <w:color w:val="000000"/>
          <w:sz w:val="24"/>
          <w:szCs w:val="24"/>
          <w:highlight w:val="white"/>
          <w:lang w:eastAsia="zh-CN"/>
        </w:rPr>
        <w:t>或</w:t>
      </w:r>
      <w:r>
        <w:rPr>
          <w:rFonts w:ascii="宋体" w:hAnsi="宋体" w:cs="宋体" w:hint="eastAsia"/>
          <w:color w:val="000000"/>
          <w:sz w:val="24"/>
          <w:szCs w:val="24"/>
          <w:highlight w:val="white"/>
          <w:lang w:eastAsia="zh-CN"/>
        </w:rPr>
        <w:t>被授权人签字</w:t>
      </w:r>
      <w:r>
        <w:rPr>
          <w:rFonts w:ascii="宋体" w:hAnsi="宋体" w:cs="宋体" w:hint="eastAsia"/>
          <w:bCs/>
          <w:color w:val="000000"/>
          <w:sz w:val="24"/>
          <w:szCs w:val="24"/>
          <w:highlight w:val="white"/>
          <w:lang w:eastAsia="zh-CN"/>
        </w:rPr>
        <w:t>或签章。采用电子划款指令的，</w:t>
      </w:r>
      <w:r>
        <w:rPr>
          <w:rFonts w:ascii="宋体" w:hAnsi="宋体" w:cs="宋体" w:hint="eastAsia"/>
          <w:color w:val="000000"/>
          <w:sz w:val="24"/>
          <w:szCs w:val="24"/>
          <w:highlight w:val="white"/>
          <w:lang w:eastAsia="zh-CN"/>
        </w:rPr>
        <w:t>管理人</w:t>
      </w:r>
      <w:r>
        <w:rPr>
          <w:rFonts w:ascii="宋体" w:hAnsi="宋体" w:cs="宋体" w:hint="eastAsia"/>
          <w:bCs/>
          <w:color w:val="000000"/>
          <w:sz w:val="24"/>
          <w:szCs w:val="24"/>
          <w:highlight w:val="white"/>
          <w:lang w:eastAsia="zh-CN"/>
        </w:rPr>
        <w:t>应与</w:t>
      </w:r>
      <w:r>
        <w:rPr>
          <w:rFonts w:ascii="宋体" w:hAnsi="宋体" w:cs="宋体" w:hint="eastAsia"/>
          <w:color w:val="000000"/>
          <w:sz w:val="24"/>
          <w:szCs w:val="24"/>
          <w:highlight w:val="white"/>
          <w:lang w:eastAsia="zh-CN"/>
        </w:rPr>
        <w:t>托管人</w:t>
      </w:r>
      <w:r>
        <w:rPr>
          <w:rFonts w:ascii="宋体" w:hAnsi="宋体" w:cs="宋体" w:hint="eastAsia"/>
          <w:bCs/>
          <w:color w:val="000000"/>
          <w:sz w:val="24"/>
          <w:szCs w:val="24"/>
          <w:highlight w:val="white"/>
          <w:lang w:eastAsia="zh-CN"/>
        </w:rPr>
        <w:t>就指令发送的签字、内容、方式、有效性等方面另行签订协议</w:t>
      </w:r>
      <w:r>
        <w:rPr>
          <w:rFonts w:ascii="宋体" w:hAnsi="宋体" w:cs="宋体" w:hint="eastAsia"/>
          <w:color w:val="000000"/>
          <w:sz w:val="24"/>
          <w:szCs w:val="24"/>
          <w:highlight w:val="white"/>
          <w:lang w:eastAsia="zh-CN"/>
        </w:rPr>
        <w:t>。</w:t>
      </w:r>
    </w:p>
    <w:p w:rsidR="009C72F0" w14:paraId="686DD4C7" w14:textId="77777777">
      <w:pPr>
        <w:widowControl/>
        <w:spacing w:before="156" w:beforeLines="50" w:after="156" w:afterLines="50"/>
        <w:ind w:firstLine="480"/>
        <w:rPr>
          <w:rFonts w:ascii="宋体" w:hAnsi="宋体"/>
          <w:color w:val="000000"/>
          <w:sz w:val="24"/>
          <w:lang w:eastAsia="zh-CN"/>
        </w:rPr>
      </w:pPr>
      <w:r>
        <w:rPr>
          <w:rFonts w:ascii="宋体" w:hAnsi="宋体" w:hint="eastAsia"/>
          <w:color w:val="000000"/>
          <w:sz w:val="24"/>
          <w:highlight w:val="white"/>
          <w:lang w:eastAsia="zh-CN"/>
        </w:rPr>
        <w:t>（三）指令的发送、确认和执行</w:t>
      </w:r>
    </w:p>
    <w:p w:rsidR="009C72F0" w14:paraId="5888BE84" w14:textId="77777777">
      <w:pPr>
        <w:widowControl/>
        <w:spacing w:before="156" w:beforeLines="50" w:after="156" w:afterLines="50"/>
        <w:ind w:firstLine="480"/>
        <w:rPr>
          <w:rFonts w:ascii="宋体" w:hAnsi="宋体" w:cs="宋体"/>
          <w:bCs/>
          <w:color w:val="000000"/>
          <w:sz w:val="24"/>
          <w:szCs w:val="24"/>
          <w:lang w:eastAsia="zh-CN"/>
        </w:rPr>
      </w:pPr>
      <w:r>
        <w:rPr>
          <w:rFonts w:ascii="宋体" w:hAnsi="宋体" w:cs="宋体" w:hint="eastAsia"/>
          <w:bCs/>
          <w:color w:val="000000"/>
          <w:sz w:val="24"/>
          <w:szCs w:val="24"/>
          <w:highlight w:val="white"/>
          <w:lang w:eastAsia="zh-CN"/>
        </w:rPr>
        <w:t>划款</w:t>
      </w:r>
      <w:r>
        <w:rPr>
          <w:rFonts w:ascii="宋体" w:hAnsi="宋体" w:cs="宋体" w:hint="eastAsia"/>
          <w:color w:val="000000"/>
          <w:sz w:val="24"/>
          <w:szCs w:val="24"/>
          <w:highlight w:val="white"/>
          <w:lang w:eastAsia="zh-CN"/>
        </w:rPr>
        <w:t>指令由管理人用传真</w:t>
      </w:r>
      <w:r>
        <w:rPr>
          <w:rFonts w:ascii="宋体" w:hAnsi="宋体" w:cs="宋体" w:hint="eastAsia"/>
          <w:bCs/>
          <w:color w:val="000000"/>
          <w:sz w:val="24"/>
          <w:szCs w:val="24"/>
          <w:highlight w:val="white"/>
          <w:lang w:eastAsia="zh-CN"/>
        </w:rPr>
        <w:t>、电子邮件（为免歧义，本章所指“电子邮件方式”均指以电子邮件发送扫描件方式）、</w:t>
      </w:r>
      <w:r>
        <w:rPr>
          <w:rFonts w:ascii="宋体" w:hAnsi="宋体" w:cs="宋体"/>
          <w:bCs/>
          <w:color w:val="000000"/>
          <w:sz w:val="24"/>
          <w:szCs w:val="24"/>
          <w:highlight w:val="white"/>
          <w:lang w:eastAsia="zh-CN"/>
        </w:rPr>
        <w:t>电子直连</w:t>
      </w:r>
      <w:r>
        <w:rPr>
          <w:rFonts w:ascii="宋体" w:hAnsi="宋体" w:cs="宋体" w:hint="eastAsia"/>
          <w:color w:val="000000"/>
          <w:sz w:val="24"/>
          <w:szCs w:val="24"/>
          <w:highlight w:val="white"/>
          <w:lang w:eastAsia="zh-CN"/>
        </w:rPr>
        <w:t>或托管人和管理人</w:t>
      </w:r>
      <w:r>
        <w:rPr>
          <w:rFonts w:ascii="宋体" w:hAnsi="宋体" w:cs="宋体" w:hint="eastAsia"/>
          <w:bCs/>
          <w:color w:val="000000"/>
          <w:sz w:val="24"/>
          <w:szCs w:val="24"/>
          <w:highlight w:val="white"/>
          <w:lang w:eastAsia="zh-CN"/>
        </w:rPr>
        <w:t>另行约定</w:t>
      </w:r>
      <w:r>
        <w:rPr>
          <w:rFonts w:ascii="宋体" w:hAnsi="宋体" w:cs="宋体" w:hint="eastAsia"/>
          <w:color w:val="000000"/>
          <w:sz w:val="24"/>
          <w:szCs w:val="24"/>
          <w:highlight w:val="white"/>
          <w:lang w:eastAsia="zh-CN"/>
        </w:rPr>
        <w:t>的</w:t>
      </w:r>
      <w:r>
        <w:rPr>
          <w:rFonts w:ascii="宋体" w:hAnsi="宋体" w:cs="宋体" w:hint="eastAsia"/>
          <w:bCs/>
          <w:color w:val="000000"/>
          <w:sz w:val="24"/>
          <w:szCs w:val="24"/>
          <w:highlight w:val="white"/>
          <w:lang w:eastAsia="zh-CN"/>
        </w:rPr>
        <w:t>其他</w:t>
      </w:r>
      <w:r>
        <w:rPr>
          <w:rFonts w:ascii="宋体" w:hAnsi="宋体" w:cs="宋体" w:hint="eastAsia"/>
          <w:color w:val="000000"/>
          <w:sz w:val="24"/>
          <w:szCs w:val="24"/>
          <w:highlight w:val="white"/>
          <w:lang w:eastAsia="zh-CN"/>
        </w:rPr>
        <w:t>方式向托管人发送。管理</w:t>
      </w:r>
      <w:r>
        <w:rPr>
          <w:rFonts w:ascii="宋体" w:hAnsi="宋体" w:cs="宋体"/>
          <w:color w:val="000000"/>
          <w:sz w:val="24"/>
          <w:szCs w:val="24"/>
          <w:highlight w:val="white"/>
          <w:lang w:eastAsia="zh-CN"/>
        </w:rPr>
        <w:t>人</w:t>
      </w:r>
      <w:r>
        <w:rPr>
          <w:rFonts w:ascii="宋体" w:hAnsi="宋体" w:cs="宋体" w:hint="eastAsia"/>
          <w:color w:val="000000"/>
          <w:sz w:val="24"/>
          <w:szCs w:val="24"/>
          <w:highlight w:val="white"/>
          <w:lang w:eastAsia="zh-CN"/>
        </w:rPr>
        <w:t>应及时以电话方式或者双方</w:t>
      </w:r>
      <w:r>
        <w:rPr>
          <w:rFonts w:ascii="宋体" w:hAnsi="宋体" w:cs="宋体"/>
          <w:color w:val="000000"/>
          <w:sz w:val="24"/>
          <w:szCs w:val="24"/>
          <w:highlight w:val="white"/>
          <w:lang w:eastAsia="zh-CN"/>
        </w:rPr>
        <w:t>约定</w:t>
      </w:r>
      <w:r>
        <w:rPr>
          <w:rFonts w:ascii="宋体" w:hAnsi="宋体" w:cs="宋体" w:hint="eastAsia"/>
          <w:color w:val="000000"/>
          <w:sz w:val="24"/>
          <w:szCs w:val="24"/>
          <w:highlight w:val="white"/>
          <w:lang w:eastAsia="zh-CN"/>
        </w:rPr>
        <w:t>一致</w:t>
      </w:r>
      <w:r>
        <w:rPr>
          <w:rFonts w:ascii="宋体" w:hAnsi="宋体" w:cs="宋体"/>
          <w:color w:val="000000"/>
          <w:sz w:val="24"/>
          <w:szCs w:val="24"/>
          <w:highlight w:val="white"/>
          <w:lang w:eastAsia="zh-CN"/>
        </w:rPr>
        <w:t>的</w:t>
      </w:r>
      <w:r>
        <w:rPr>
          <w:rFonts w:ascii="宋体" w:hAnsi="宋体" w:cs="宋体" w:hint="eastAsia"/>
          <w:color w:val="000000"/>
          <w:sz w:val="24"/>
          <w:szCs w:val="24"/>
          <w:highlight w:val="white"/>
          <w:lang w:eastAsia="zh-CN"/>
        </w:rPr>
        <w:t>方式向基金托管人确认，基金托管人指定专人接收基金管理人的指令，并答复基金管理人的确认电话。基金托管人应预先通知基金管理人其接收指令的人员名单。</w:t>
      </w:r>
    </w:p>
    <w:p w:rsidR="009C72F0" w14:paraId="1101C132" w14:textId="77777777">
      <w:pPr>
        <w:widowControl/>
        <w:spacing w:before="156" w:beforeLines="50" w:after="156" w:afterLines="50"/>
        <w:ind w:firstLine="480"/>
        <w:rPr>
          <w:rFonts w:ascii="宋体" w:hAnsi="宋体" w:cs="宋体"/>
          <w:bCs/>
          <w:color w:val="000000"/>
          <w:sz w:val="24"/>
          <w:szCs w:val="24"/>
          <w:lang w:eastAsia="zh-CN"/>
        </w:rPr>
      </w:pPr>
      <w:r>
        <w:rPr>
          <w:rFonts w:ascii="宋体" w:hAnsi="宋体" w:cs="宋体" w:hint="eastAsia"/>
          <w:color w:val="000000"/>
          <w:sz w:val="24"/>
          <w:szCs w:val="24"/>
          <w:highlight w:val="white"/>
          <w:lang w:eastAsia="zh-CN"/>
        </w:rPr>
        <w:t>管理人应按照</w:t>
      </w:r>
      <w:r>
        <w:rPr>
          <w:rFonts w:ascii="宋体" w:hAnsi="宋体" w:cs="宋体" w:hint="eastAsia"/>
          <w:bCs/>
          <w:color w:val="000000"/>
          <w:sz w:val="24"/>
          <w:szCs w:val="24"/>
          <w:highlight w:val="white"/>
          <w:lang w:eastAsia="zh-CN"/>
        </w:rPr>
        <w:t>相关</w:t>
      </w:r>
      <w:r>
        <w:rPr>
          <w:rFonts w:ascii="宋体" w:hAnsi="宋体" w:cs="宋体" w:hint="eastAsia"/>
          <w:color w:val="000000"/>
          <w:sz w:val="24"/>
          <w:szCs w:val="24"/>
          <w:highlight w:val="white"/>
          <w:lang w:eastAsia="zh-CN"/>
        </w:rPr>
        <w:t>法律法规</w:t>
      </w:r>
      <w:r>
        <w:rPr>
          <w:rFonts w:ascii="宋体" w:hAnsi="宋体" w:cs="宋体" w:hint="eastAsia"/>
          <w:bCs/>
          <w:color w:val="000000"/>
          <w:sz w:val="24"/>
          <w:szCs w:val="24"/>
          <w:highlight w:val="white"/>
          <w:lang w:eastAsia="zh-CN"/>
        </w:rPr>
        <w:t>以及本协议</w:t>
      </w:r>
      <w:r>
        <w:rPr>
          <w:rFonts w:ascii="宋体" w:hAnsi="宋体" w:cs="宋体" w:hint="eastAsia"/>
          <w:color w:val="000000"/>
          <w:sz w:val="24"/>
          <w:szCs w:val="24"/>
          <w:highlight w:val="white"/>
          <w:lang w:eastAsia="zh-CN"/>
        </w:rPr>
        <w:t>的规定，在其合法的经营权限和交易权限内发送划款指令，管理人</w:t>
      </w:r>
      <w:r>
        <w:rPr>
          <w:rFonts w:ascii="宋体" w:hAnsi="宋体" w:cs="宋体" w:hint="eastAsia"/>
          <w:bCs/>
          <w:color w:val="000000"/>
          <w:sz w:val="24"/>
          <w:szCs w:val="24"/>
          <w:highlight w:val="white"/>
          <w:lang w:eastAsia="zh-CN"/>
        </w:rPr>
        <w:t>应确保划款指令中的被授权人、预留印鉴符合授权通知的约定。对于不符合本协议或授权通知约定的指令，托管人有权拒绝；对于符合授权通知的指令，管理人不得否认其效力。管理人在发送划款</w:t>
      </w:r>
      <w:r>
        <w:rPr>
          <w:rFonts w:ascii="宋体" w:hAnsi="宋体" w:cs="宋体" w:hint="eastAsia"/>
          <w:color w:val="000000"/>
          <w:sz w:val="24"/>
          <w:szCs w:val="24"/>
          <w:highlight w:val="white"/>
          <w:lang w:eastAsia="zh-CN"/>
        </w:rPr>
        <w:t>指令时，应为托管人留出</w:t>
      </w:r>
      <w:r>
        <w:rPr>
          <w:rFonts w:ascii="宋体" w:hAnsi="宋体" w:cs="宋体" w:hint="eastAsia"/>
          <w:bCs/>
          <w:color w:val="000000"/>
          <w:sz w:val="24"/>
          <w:szCs w:val="24"/>
          <w:highlight w:val="white"/>
          <w:lang w:eastAsia="zh-CN"/>
        </w:rPr>
        <w:t>执行划款指令</w:t>
      </w:r>
      <w:r>
        <w:rPr>
          <w:rFonts w:ascii="宋体" w:hAnsi="宋体" w:cs="宋体" w:hint="eastAsia"/>
          <w:color w:val="000000"/>
          <w:sz w:val="24"/>
          <w:szCs w:val="24"/>
          <w:highlight w:val="white"/>
          <w:lang w:eastAsia="zh-CN"/>
        </w:rPr>
        <w:t>所必需的时间。对于要求当天到账的指令，必须在当天15:00前向基金托管人发送，托管人复核无误后应在规定期限内</w:t>
      </w:r>
      <w:r>
        <w:rPr>
          <w:rFonts w:ascii="宋体" w:hAnsi="宋体" w:cs="宋体" w:hint="eastAsia"/>
          <w:bCs/>
          <w:color w:val="000000"/>
          <w:sz w:val="24"/>
          <w:szCs w:val="24"/>
          <w:highlight w:val="white"/>
          <w:lang w:eastAsia="zh-CN"/>
        </w:rPr>
        <w:t>及时</w:t>
      </w:r>
      <w:r>
        <w:rPr>
          <w:rFonts w:ascii="宋体" w:hAnsi="宋体" w:cs="宋体" w:hint="eastAsia"/>
          <w:color w:val="000000"/>
          <w:sz w:val="24"/>
          <w:szCs w:val="24"/>
          <w:highlight w:val="white"/>
          <w:lang w:eastAsia="zh-CN"/>
        </w:rPr>
        <w:t>执行，不得延误。如管理人要求当天某一时点到账，则</w:t>
      </w:r>
      <w:r>
        <w:rPr>
          <w:rFonts w:ascii="宋体" w:hAnsi="宋体" w:cs="宋体" w:hint="eastAsia"/>
          <w:bCs/>
          <w:color w:val="000000"/>
          <w:sz w:val="24"/>
          <w:szCs w:val="24"/>
          <w:highlight w:val="white"/>
          <w:lang w:eastAsia="zh-CN"/>
        </w:rPr>
        <w:t>划款</w:t>
      </w:r>
      <w:r>
        <w:rPr>
          <w:rFonts w:ascii="宋体" w:hAnsi="宋体" w:cs="宋体" w:hint="eastAsia"/>
          <w:color w:val="000000"/>
          <w:sz w:val="24"/>
          <w:szCs w:val="24"/>
          <w:highlight w:val="white"/>
          <w:lang w:eastAsia="zh-CN"/>
        </w:rPr>
        <w:t>指令需提前2个工作小时发送</w:t>
      </w:r>
      <w:r>
        <w:rPr>
          <w:rFonts w:ascii="宋体" w:hAnsi="宋体" w:cs="宋体" w:hint="eastAsia"/>
          <w:bCs/>
          <w:color w:val="000000"/>
          <w:sz w:val="24"/>
          <w:szCs w:val="24"/>
          <w:highlight w:val="white"/>
          <w:lang w:eastAsia="zh-CN"/>
        </w:rPr>
        <w:t>；管理人和托管人可另行书面约定关于某一类划款指令的具体时限要求。管理人发送的划款指令不符合前述时限要求的，托管人尽力配合执行，但不保证划款成功。由</w:t>
      </w:r>
      <w:r>
        <w:rPr>
          <w:rFonts w:ascii="宋体" w:hAnsi="宋体" w:cs="宋体" w:hint="eastAsia"/>
          <w:color w:val="000000"/>
          <w:sz w:val="24"/>
          <w:szCs w:val="24"/>
          <w:highlight w:val="white"/>
          <w:lang w:eastAsia="zh-CN"/>
        </w:rPr>
        <w:t>管理人原因</w:t>
      </w:r>
      <w:r>
        <w:rPr>
          <w:rFonts w:ascii="宋体" w:hAnsi="宋体" w:cs="宋体" w:hint="eastAsia"/>
          <w:bCs/>
          <w:color w:val="000000"/>
          <w:sz w:val="24"/>
          <w:szCs w:val="24"/>
          <w:highlight w:val="white"/>
          <w:lang w:eastAsia="zh-CN"/>
        </w:rPr>
        <w:t>造成</w:t>
      </w:r>
      <w:r>
        <w:rPr>
          <w:rFonts w:ascii="宋体" w:hAnsi="宋体" w:cs="宋体" w:hint="eastAsia"/>
          <w:color w:val="000000"/>
          <w:sz w:val="24"/>
          <w:szCs w:val="24"/>
          <w:highlight w:val="white"/>
          <w:lang w:eastAsia="zh-CN"/>
        </w:rPr>
        <w:t>的指令传输不及时、未能留出足够划款</w:t>
      </w:r>
      <w:r>
        <w:rPr>
          <w:rFonts w:ascii="宋体" w:hAnsi="宋体" w:cs="宋体" w:hint="eastAsia"/>
          <w:bCs/>
          <w:color w:val="000000"/>
          <w:sz w:val="24"/>
          <w:szCs w:val="24"/>
          <w:highlight w:val="white"/>
          <w:lang w:eastAsia="zh-CN"/>
        </w:rPr>
        <w:t>所需</w:t>
      </w:r>
      <w:r>
        <w:rPr>
          <w:rFonts w:ascii="宋体" w:hAnsi="宋体" w:cs="宋体" w:hint="eastAsia"/>
          <w:color w:val="000000"/>
          <w:sz w:val="24"/>
          <w:szCs w:val="24"/>
          <w:highlight w:val="white"/>
          <w:lang w:eastAsia="zh-CN"/>
        </w:rPr>
        <w:t>时间，致使资金未能及时</w:t>
      </w:r>
      <w:r>
        <w:rPr>
          <w:rFonts w:ascii="宋体" w:hAnsi="宋体" w:cs="宋体" w:hint="eastAsia"/>
          <w:bCs/>
          <w:color w:val="000000"/>
          <w:sz w:val="24"/>
          <w:szCs w:val="24"/>
          <w:highlight w:val="white"/>
          <w:lang w:eastAsia="zh-CN"/>
        </w:rPr>
        <w:t>清算</w:t>
      </w:r>
      <w:r>
        <w:rPr>
          <w:rFonts w:ascii="宋体" w:hAnsi="宋体" w:cs="宋体" w:hint="eastAsia"/>
          <w:color w:val="000000"/>
          <w:sz w:val="24"/>
          <w:szCs w:val="24"/>
          <w:highlight w:val="white"/>
          <w:lang w:eastAsia="zh-CN"/>
        </w:rPr>
        <w:t>所造成的损失由管理人承担。</w:t>
      </w:r>
    </w:p>
    <w:p w:rsidR="009C72F0" w14:paraId="0B5D5C94" w14:textId="77777777">
      <w:pPr>
        <w:widowControl/>
        <w:spacing w:before="156" w:beforeLines="50" w:after="156" w:afterLines="50"/>
        <w:ind w:firstLine="480"/>
        <w:rPr>
          <w:rFonts w:ascii="宋体" w:hAnsi="宋体" w:cs="宋体"/>
          <w:bCs/>
          <w:color w:val="000000"/>
          <w:sz w:val="24"/>
          <w:szCs w:val="24"/>
          <w:lang w:eastAsia="zh-CN"/>
        </w:rPr>
      </w:pPr>
      <w:r>
        <w:rPr>
          <w:rFonts w:ascii="宋体" w:hAnsi="宋体" w:cs="宋体" w:hint="eastAsia"/>
          <w:color w:val="000000"/>
          <w:sz w:val="24"/>
          <w:szCs w:val="24"/>
          <w:highlight w:val="white"/>
          <w:lang w:eastAsia="zh-CN"/>
        </w:rPr>
        <w:t>托管人收到管理人发送的</w:t>
      </w:r>
      <w:r>
        <w:rPr>
          <w:rFonts w:ascii="宋体" w:hAnsi="宋体" w:cs="宋体" w:hint="eastAsia"/>
          <w:bCs/>
          <w:color w:val="000000"/>
          <w:sz w:val="24"/>
          <w:szCs w:val="24"/>
          <w:highlight w:val="white"/>
          <w:lang w:eastAsia="zh-CN"/>
        </w:rPr>
        <w:t>划款</w:t>
      </w:r>
      <w:r>
        <w:rPr>
          <w:rFonts w:ascii="宋体" w:hAnsi="宋体" w:cs="宋体" w:hint="eastAsia"/>
          <w:color w:val="000000"/>
          <w:sz w:val="24"/>
          <w:szCs w:val="24"/>
          <w:highlight w:val="white"/>
          <w:lang w:eastAsia="zh-CN"/>
        </w:rPr>
        <w:t>指令后，</w:t>
      </w:r>
      <w:r>
        <w:rPr>
          <w:rFonts w:ascii="宋体" w:hAnsi="宋体" w:cs="宋体" w:hint="eastAsia"/>
          <w:bCs/>
          <w:color w:val="000000"/>
          <w:sz w:val="24"/>
          <w:szCs w:val="24"/>
          <w:highlight w:val="white"/>
          <w:lang w:eastAsia="zh-CN"/>
        </w:rPr>
        <w:t>应对划款指令进行</w:t>
      </w:r>
      <w:r>
        <w:rPr>
          <w:rFonts w:ascii="宋体" w:hAnsi="宋体" w:cs="宋体" w:hint="eastAsia"/>
          <w:color w:val="000000"/>
          <w:sz w:val="24"/>
          <w:szCs w:val="24"/>
          <w:highlight w:val="white"/>
          <w:lang w:eastAsia="zh-CN"/>
        </w:rPr>
        <w:t>表面一致性</w:t>
      </w:r>
      <w:r>
        <w:rPr>
          <w:rFonts w:ascii="宋体" w:hAnsi="宋体" w:cs="宋体" w:hint="eastAsia"/>
          <w:bCs/>
          <w:color w:val="000000"/>
          <w:sz w:val="24"/>
          <w:szCs w:val="24"/>
          <w:highlight w:val="white"/>
          <w:lang w:eastAsia="zh-CN"/>
        </w:rPr>
        <w:t>审查</w:t>
      </w:r>
      <w:r>
        <w:rPr>
          <w:rFonts w:ascii="宋体" w:hAnsi="宋体" w:cs="宋体" w:hint="eastAsia"/>
          <w:color w:val="000000"/>
          <w:sz w:val="24"/>
          <w:szCs w:val="24"/>
          <w:highlight w:val="white"/>
          <w:lang w:eastAsia="zh-CN"/>
        </w:rPr>
        <w:t>，</w:t>
      </w:r>
      <w:r>
        <w:rPr>
          <w:rFonts w:ascii="宋体" w:hAnsi="宋体" w:cs="宋体" w:hint="eastAsia"/>
          <w:bCs/>
          <w:color w:val="000000"/>
          <w:sz w:val="24"/>
          <w:szCs w:val="24"/>
          <w:highlight w:val="white"/>
          <w:lang w:eastAsia="zh-CN"/>
        </w:rPr>
        <w:t>及时审慎验证有关内容及印鉴，</w:t>
      </w:r>
      <w:r>
        <w:rPr>
          <w:rFonts w:ascii="宋体" w:hAnsi="宋体" w:cs="宋体" w:hint="eastAsia"/>
          <w:color w:val="000000"/>
          <w:sz w:val="24"/>
          <w:szCs w:val="24"/>
          <w:highlight w:val="white"/>
          <w:lang w:eastAsia="zh-CN"/>
        </w:rPr>
        <w:t>复核无误后应在规定期限内</w:t>
      </w:r>
      <w:r>
        <w:rPr>
          <w:rFonts w:ascii="宋体" w:hAnsi="宋体" w:cs="宋体" w:hint="eastAsia"/>
          <w:bCs/>
          <w:color w:val="000000"/>
          <w:sz w:val="24"/>
          <w:szCs w:val="24"/>
          <w:highlight w:val="white"/>
          <w:lang w:eastAsia="zh-CN"/>
        </w:rPr>
        <w:t>及时</w:t>
      </w:r>
      <w:r>
        <w:rPr>
          <w:rFonts w:ascii="宋体" w:hAnsi="宋体" w:cs="宋体" w:hint="eastAsia"/>
          <w:color w:val="000000"/>
          <w:sz w:val="24"/>
          <w:szCs w:val="24"/>
          <w:highlight w:val="white"/>
          <w:lang w:eastAsia="zh-CN"/>
        </w:rPr>
        <w:t>执行，不得延误。</w:t>
      </w:r>
      <w:r>
        <w:rPr>
          <w:rFonts w:ascii="宋体" w:hAnsi="宋体" w:cs="宋体" w:hint="eastAsia"/>
          <w:bCs/>
          <w:color w:val="000000"/>
          <w:sz w:val="24"/>
          <w:szCs w:val="24"/>
          <w:highlight w:val="white"/>
          <w:lang w:eastAsia="zh-CN"/>
        </w:rPr>
        <w:t>如有疑问必须及时以电话或邮件形式通知基金管理人。</w:t>
      </w:r>
    </w:p>
    <w:p w:rsidR="009C72F0" w14:paraId="17B56333"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bCs/>
          <w:color w:val="000000"/>
          <w:sz w:val="24"/>
          <w:szCs w:val="24"/>
          <w:highlight w:val="white"/>
          <w:lang w:eastAsia="zh-CN"/>
        </w:rPr>
        <w:t>若存在异议或不符，托管人应与管理人进行电话、邮件或其它约定的方式联系和沟通，暂停划款指令的执行并要求管理人重新发送经修改的划款指令。</w:t>
      </w:r>
      <w:r>
        <w:rPr>
          <w:rFonts w:ascii="宋体" w:hAnsi="宋体" w:cs="宋体" w:hint="eastAsia"/>
          <w:color w:val="000000"/>
          <w:sz w:val="24"/>
          <w:szCs w:val="24"/>
          <w:highlight w:val="white"/>
          <w:lang w:eastAsia="zh-CN"/>
        </w:rPr>
        <w:t>托管人有权要求管理人</w:t>
      </w:r>
      <w:r>
        <w:rPr>
          <w:rFonts w:ascii="宋体" w:hAnsi="宋体" w:cs="宋体" w:hint="eastAsia"/>
          <w:bCs/>
          <w:color w:val="000000"/>
          <w:sz w:val="24"/>
          <w:szCs w:val="24"/>
          <w:highlight w:val="white"/>
          <w:lang w:eastAsia="zh-CN"/>
        </w:rPr>
        <w:t>以传真或电子邮件形式</w:t>
      </w:r>
      <w:r>
        <w:rPr>
          <w:rFonts w:ascii="宋体" w:hAnsi="宋体" w:cs="宋体" w:hint="eastAsia"/>
          <w:color w:val="000000"/>
          <w:sz w:val="24"/>
          <w:szCs w:val="24"/>
          <w:highlight w:val="white"/>
          <w:lang w:eastAsia="zh-CN"/>
        </w:rPr>
        <w:t>提供相关交易凭证、</w:t>
      </w:r>
      <w:r>
        <w:rPr>
          <w:rFonts w:ascii="宋体" w:hAnsi="宋体" w:cs="宋体" w:hint="eastAsia"/>
          <w:bCs/>
          <w:color w:val="000000"/>
          <w:sz w:val="24"/>
          <w:szCs w:val="24"/>
          <w:highlight w:val="white"/>
          <w:lang w:eastAsia="zh-CN"/>
        </w:rPr>
        <w:t>投资协议</w:t>
      </w:r>
      <w:r>
        <w:rPr>
          <w:rFonts w:ascii="宋体" w:hAnsi="宋体" w:cs="宋体" w:hint="eastAsia"/>
          <w:color w:val="000000"/>
          <w:sz w:val="24"/>
          <w:szCs w:val="24"/>
          <w:highlight w:val="white"/>
          <w:lang w:eastAsia="zh-CN"/>
        </w:rPr>
        <w:t>或其他有效会计资料</w:t>
      </w:r>
      <w:r>
        <w:rPr>
          <w:rFonts w:ascii="宋体" w:hAnsi="宋体" w:cs="宋体" w:hint="eastAsia"/>
          <w:bCs/>
          <w:color w:val="000000"/>
          <w:sz w:val="24"/>
          <w:szCs w:val="24"/>
          <w:highlight w:val="white"/>
          <w:lang w:eastAsia="zh-CN"/>
        </w:rPr>
        <w:t>，待收齐相关资料并判断划款指令有效后重新开始执行划款指令。管理人应在合理时间内补充相关资料，并给托管人执行划款指令预留必要的执行时间。管理人应保证其提交的上述</w:t>
      </w:r>
      <w:r>
        <w:rPr>
          <w:rFonts w:ascii="宋体" w:hAnsi="宋体" w:cs="宋体" w:hint="eastAsia"/>
          <w:color w:val="000000"/>
          <w:sz w:val="24"/>
          <w:szCs w:val="24"/>
          <w:highlight w:val="white"/>
          <w:lang w:eastAsia="zh-CN"/>
        </w:rPr>
        <w:t>文件资料的真实、</w:t>
      </w:r>
      <w:r>
        <w:rPr>
          <w:rFonts w:ascii="宋体" w:hAnsi="宋体" w:cs="宋体" w:hint="eastAsia"/>
          <w:bCs/>
          <w:color w:val="000000"/>
          <w:sz w:val="24"/>
          <w:szCs w:val="24"/>
          <w:highlight w:val="white"/>
          <w:lang w:eastAsia="zh-CN"/>
        </w:rPr>
        <w:t>合法</w:t>
      </w:r>
      <w:r>
        <w:rPr>
          <w:rFonts w:ascii="宋体" w:hAnsi="宋体" w:cs="宋体" w:hint="eastAsia"/>
          <w:color w:val="000000"/>
          <w:sz w:val="24"/>
          <w:szCs w:val="24"/>
          <w:highlight w:val="white"/>
          <w:lang w:eastAsia="zh-CN"/>
        </w:rPr>
        <w:t>、完整</w:t>
      </w:r>
      <w:r>
        <w:rPr>
          <w:rFonts w:ascii="宋体" w:hAnsi="宋体" w:cs="宋体" w:hint="eastAsia"/>
          <w:bCs/>
          <w:color w:val="000000"/>
          <w:sz w:val="24"/>
          <w:szCs w:val="24"/>
          <w:highlight w:val="white"/>
          <w:lang w:eastAsia="zh-CN"/>
        </w:rPr>
        <w:t>和有效，</w:t>
      </w:r>
      <w:r>
        <w:rPr>
          <w:rFonts w:ascii="宋体" w:hAnsi="宋体" w:cs="宋体" w:hint="eastAsia"/>
          <w:color w:val="000000"/>
          <w:sz w:val="24"/>
          <w:szCs w:val="24"/>
          <w:highlight w:val="white"/>
          <w:lang w:eastAsia="zh-CN"/>
        </w:rPr>
        <w:t>托管人</w:t>
      </w:r>
      <w:r>
        <w:rPr>
          <w:rFonts w:ascii="宋体" w:hAnsi="宋体" w:cs="宋体" w:hint="eastAsia"/>
          <w:bCs/>
          <w:color w:val="000000"/>
          <w:sz w:val="24"/>
          <w:szCs w:val="24"/>
          <w:highlight w:val="white"/>
          <w:lang w:eastAsia="zh-CN"/>
        </w:rPr>
        <w:t>负责对</w:t>
      </w:r>
      <w:r>
        <w:rPr>
          <w:rFonts w:ascii="宋体" w:hAnsi="宋体" w:cs="宋体" w:hint="eastAsia"/>
          <w:color w:val="000000"/>
          <w:sz w:val="24"/>
          <w:szCs w:val="24"/>
          <w:highlight w:val="white"/>
          <w:lang w:eastAsia="zh-CN"/>
        </w:rPr>
        <w:t>文件资料</w:t>
      </w:r>
      <w:r>
        <w:rPr>
          <w:rFonts w:ascii="宋体" w:hAnsi="宋体" w:cs="宋体" w:hint="eastAsia"/>
          <w:bCs/>
          <w:color w:val="000000"/>
          <w:sz w:val="24"/>
          <w:szCs w:val="24"/>
          <w:highlight w:val="white"/>
          <w:lang w:eastAsia="zh-CN"/>
        </w:rPr>
        <w:t>进行</w:t>
      </w:r>
      <w:r>
        <w:rPr>
          <w:rFonts w:ascii="宋体" w:hAnsi="宋体" w:cs="宋体" w:hint="eastAsia"/>
          <w:color w:val="000000"/>
          <w:sz w:val="24"/>
          <w:szCs w:val="24"/>
          <w:highlight w:val="white"/>
          <w:lang w:eastAsia="zh-CN"/>
        </w:rPr>
        <w:t>表面一致性</w:t>
      </w:r>
      <w:r>
        <w:rPr>
          <w:rFonts w:ascii="宋体" w:hAnsi="宋体" w:cs="宋体" w:hint="eastAsia"/>
          <w:bCs/>
          <w:color w:val="000000"/>
          <w:sz w:val="24"/>
          <w:szCs w:val="24"/>
          <w:highlight w:val="white"/>
          <w:lang w:eastAsia="zh-CN"/>
        </w:rPr>
        <w:t>审查</w:t>
      </w:r>
      <w:r>
        <w:rPr>
          <w:rFonts w:ascii="宋体" w:hAnsi="宋体" w:cs="宋体" w:hint="eastAsia"/>
          <w:color w:val="000000"/>
          <w:sz w:val="24"/>
          <w:szCs w:val="24"/>
          <w:highlight w:val="white"/>
          <w:lang w:eastAsia="zh-CN"/>
        </w:rPr>
        <w:t>。</w:t>
      </w:r>
    </w:p>
    <w:p w:rsidR="009C72F0" w14:paraId="24AB4F4E" w14:textId="77777777">
      <w:pPr>
        <w:widowControl/>
        <w:spacing w:before="156" w:beforeLines="50" w:after="156" w:afterLines="50"/>
        <w:ind w:firstLine="480"/>
        <w:rPr>
          <w:rFonts w:ascii="宋体" w:hAnsi="宋体"/>
          <w:color w:val="000000"/>
          <w:sz w:val="24"/>
          <w:lang w:eastAsia="zh-CN"/>
        </w:rPr>
      </w:pPr>
      <w:r>
        <w:rPr>
          <w:rFonts w:ascii="宋体" w:hAnsi="宋体" w:cs="宋体" w:hint="eastAsia"/>
          <w:color w:val="000000"/>
          <w:sz w:val="24"/>
          <w:szCs w:val="24"/>
          <w:highlight w:val="white"/>
          <w:lang w:eastAsia="zh-CN"/>
        </w:rPr>
        <w:t>管理人向托管人下达</w:t>
      </w:r>
      <w:r>
        <w:rPr>
          <w:rFonts w:ascii="宋体" w:hAnsi="宋体" w:cs="宋体" w:hint="eastAsia"/>
          <w:bCs/>
          <w:color w:val="000000"/>
          <w:sz w:val="24"/>
          <w:szCs w:val="24"/>
          <w:highlight w:val="white"/>
          <w:lang w:eastAsia="zh-CN"/>
        </w:rPr>
        <w:t>划款</w:t>
      </w:r>
      <w:r>
        <w:rPr>
          <w:rFonts w:ascii="宋体" w:hAnsi="宋体" w:cs="宋体" w:hint="eastAsia"/>
          <w:color w:val="000000"/>
          <w:sz w:val="24"/>
          <w:szCs w:val="24"/>
          <w:highlight w:val="white"/>
          <w:lang w:eastAsia="zh-CN"/>
        </w:rPr>
        <w:t>指令时，应确保</w:t>
      </w:r>
      <w:r>
        <w:rPr>
          <w:rFonts w:ascii="宋体" w:hAnsi="宋体" w:cs="宋体" w:hint="eastAsia"/>
          <w:bCs/>
          <w:color w:val="000000"/>
          <w:sz w:val="24"/>
          <w:szCs w:val="24"/>
          <w:highlight w:val="white"/>
          <w:lang w:eastAsia="zh-CN"/>
        </w:rPr>
        <w:t>本</w:t>
      </w:r>
      <w:r>
        <w:rPr>
          <w:rFonts w:ascii="宋体" w:hAnsi="宋体" w:cs="宋体" w:hint="eastAsia"/>
          <w:color w:val="000000"/>
          <w:sz w:val="24"/>
          <w:szCs w:val="24"/>
          <w:highlight w:val="white"/>
          <w:lang w:eastAsia="zh-CN"/>
        </w:rPr>
        <w:t>基金托管账户有足够的资金余额，对管理人在没有充足资金的情况下向托管人发出的</w:t>
      </w:r>
      <w:r>
        <w:rPr>
          <w:rFonts w:ascii="宋体" w:hAnsi="宋体" w:cs="宋体" w:hint="eastAsia"/>
          <w:bCs/>
          <w:color w:val="000000"/>
          <w:sz w:val="24"/>
          <w:szCs w:val="24"/>
          <w:highlight w:val="white"/>
          <w:lang w:eastAsia="zh-CN"/>
        </w:rPr>
        <w:t>划款</w:t>
      </w:r>
      <w:r>
        <w:rPr>
          <w:rFonts w:ascii="宋体" w:hAnsi="宋体" w:cs="宋体" w:hint="eastAsia"/>
          <w:color w:val="000000"/>
          <w:sz w:val="24"/>
          <w:szCs w:val="24"/>
          <w:highlight w:val="white"/>
          <w:lang w:eastAsia="zh-CN"/>
        </w:rPr>
        <w:t>指令，托管人</w:t>
      </w:r>
      <w:r>
        <w:rPr>
          <w:rFonts w:ascii="宋体" w:hAnsi="宋体" w:cs="宋体" w:hint="eastAsia"/>
          <w:bCs/>
          <w:color w:val="000000"/>
          <w:sz w:val="24"/>
          <w:szCs w:val="24"/>
          <w:highlight w:val="white"/>
          <w:lang w:eastAsia="zh-CN"/>
        </w:rPr>
        <w:t>可</w:t>
      </w:r>
      <w:r>
        <w:rPr>
          <w:rFonts w:ascii="宋体" w:hAnsi="宋体" w:cs="宋体" w:hint="eastAsia"/>
          <w:color w:val="000000"/>
          <w:sz w:val="24"/>
          <w:szCs w:val="24"/>
          <w:highlight w:val="white"/>
          <w:lang w:eastAsia="zh-CN"/>
        </w:rPr>
        <w:t>不予执行，并</w:t>
      </w:r>
      <w:r>
        <w:rPr>
          <w:rFonts w:ascii="宋体" w:hAnsi="宋体" w:cs="宋体" w:hint="eastAsia"/>
          <w:bCs/>
          <w:color w:val="000000"/>
          <w:sz w:val="24"/>
          <w:szCs w:val="24"/>
          <w:highlight w:val="white"/>
          <w:lang w:eastAsia="zh-CN"/>
        </w:rPr>
        <w:t>及时</w:t>
      </w:r>
      <w:r>
        <w:rPr>
          <w:rFonts w:ascii="宋体" w:hAnsi="宋体" w:cs="宋体" w:hint="eastAsia"/>
          <w:color w:val="000000"/>
          <w:sz w:val="24"/>
          <w:szCs w:val="24"/>
          <w:highlight w:val="white"/>
          <w:lang w:eastAsia="zh-CN"/>
        </w:rPr>
        <w:t>通知管理人，托管人不承担因为不执行该</w:t>
      </w:r>
      <w:r>
        <w:rPr>
          <w:rFonts w:ascii="宋体" w:hAnsi="宋体" w:cs="宋体" w:hint="eastAsia"/>
          <w:bCs/>
          <w:color w:val="000000"/>
          <w:sz w:val="24"/>
          <w:szCs w:val="24"/>
          <w:highlight w:val="white"/>
          <w:lang w:eastAsia="zh-CN"/>
        </w:rPr>
        <w:t>划款</w:t>
      </w:r>
      <w:r>
        <w:rPr>
          <w:rFonts w:ascii="宋体" w:hAnsi="宋体" w:cs="宋体" w:hint="eastAsia"/>
          <w:color w:val="000000"/>
          <w:sz w:val="24"/>
          <w:szCs w:val="24"/>
          <w:highlight w:val="white"/>
          <w:lang w:eastAsia="zh-CN"/>
        </w:rPr>
        <w:t>指令而造成损失的责任。</w:t>
      </w:r>
    </w:p>
    <w:p w:rsidR="009C72F0" w14:paraId="5B0E2A84" w14:textId="77777777">
      <w:pPr>
        <w:widowControl/>
        <w:spacing w:before="156" w:beforeLines="50" w:after="156" w:afterLines="50"/>
        <w:ind w:firstLine="480"/>
        <w:rPr>
          <w:rFonts w:ascii="宋体" w:hAnsi="宋体"/>
          <w:color w:val="000000"/>
          <w:sz w:val="24"/>
          <w:lang w:eastAsia="zh-CN"/>
        </w:rPr>
      </w:pPr>
      <w:r>
        <w:rPr>
          <w:rFonts w:ascii="宋体" w:hAnsi="宋体" w:hint="eastAsia"/>
          <w:color w:val="000000"/>
          <w:sz w:val="24"/>
          <w:highlight w:val="white"/>
          <w:lang w:eastAsia="zh-CN"/>
        </w:rPr>
        <w:t>（四）</w:t>
      </w:r>
      <w:r>
        <w:rPr>
          <w:rFonts w:ascii="宋体" w:hAnsi="宋体" w:cs="宋体" w:hint="eastAsia"/>
          <w:bCs/>
          <w:color w:val="000000"/>
          <w:sz w:val="24"/>
          <w:szCs w:val="24"/>
          <w:highlight w:val="white"/>
          <w:lang w:eastAsia="zh-CN"/>
        </w:rPr>
        <w:t>基金</w:t>
      </w:r>
      <w:r>
        <w:rPr>
          <w:rFonts w:ascii="宋体" w:hAnsi="宋体" w:hint="eastAsia"/>
          <w:color w:val="000000"/>
          <w:sz w:val="24"/>
          <w:highlight w:val="white"/>
          <w:lang w:eastAsia="zh-CN"/>
        </w:rPr>
        <w:t>托管人依照法律法规暂缓、拒绝执行指令的情形和处理程序</w:t>
      </w:r>
    </w:p>
    <w:p w:rsidR="009C72F0" w14:paraId="4981F939"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托管人发现管理人发送的</w:t>
      </w:r>
      <w:r>
        <w:rPr>
          <w:rFonts w:ascii="宋体" w:hAnsi="宋体" w:cs="宋体" w:hint="eastAsia"/>
          <w:bCs/>
          <w:color w:val="000000"/>
          <w:sz w:val="24"/>
          <w:szCs w:val="24"/>
          <w:highlight w:val="white"/>
          <w:lang w:eastAsia="zh-CN"/>
        </w:rPr>
        <w:t>划款</w:t>
      </w:r>
      <w:r>
        <w:rPr>
          <w:rFonts w:ascii="宋体" w:hAnsi="宋体" w:cs="宋体" w:hint="eastAsia"/>
          <w:color w:val="000000"/>
          <w:sz w:val="24"/>
          <w:szCs w:val="24"/>
          <w:highlight w:val="white"/>
          <w:lang w:eastAsia="zh-CN"/>
        </w:rPr>
        <w:t>指令违反</w:t>
      </w:r>
      <w:r>
        <w:rPr>
          <w:rFonts w:ascii="宋体" w:hAnsi="宋体" w:cs="宋体" w:hint="eastAsia"/>
          <w:bCs/>
          <w:color w:val="000000"/>
          <w:sz w:val="24"/>
          <w:szCs w:val="24"/>
          <w:highlight w:val="white"/>
          <w:lang w:eastAsia="zh-CN"/>
        </w:rPr>
        <w:t>《基金法》</w:t>
      </w:r>
      <w:r>
        <w:rPr>
          <w:rFonts w:ascii="宋体" w:hAnsi="宋体" w:cs="宋体" w:hint="eastAsia"/>
          <w:color w:val="000000"/>
          <w:sz w:val="24"/>
          <w:szCs w:val="24"/>
          <w:highlight w:val="white"/>
          <w:lang w:eastAsia="zh-CN"/>
        </w:rPr>
        <w:t>、本</w:t>
      </w:r>
      <w:r>
        <w:rPr>
          <w:rFonts w:ascii="宋体" w:hAnsi="宋体" w:cs="宋体" w:hint="eastAsia"/>
          <w:bCs/>
          <w:color w:val="000000"/>
          <w:sz w:val="24"/>
          <w:szCs w:val="24"/>
          <w:highlight w:val="white"/>
          <w:lang w:eastAsia="zh-CN"/>
        </w:rPr>
        <w:t>协议</w:t>
      </w:r>
      <w:r>
        <w:rPr>
          <w:rFonts w:ascii="宋体" w:hAnsi="宋体" w:cs="宋体" w:hint="eastAsia"/>
          <w:color w:val="000000"/>
          <w:sz w:val="24"/>
          <w:szCs w:val="24"/>
          <w:highlight w:val="white"/>
          <w:lang w:eastAsia="zh-CN"/>
        </w:rPr>
        <w:t>或</w:t>
      </w:r>
      <w:r>
        <w:rPr>
          <w:rFonts w:ascii="宋体" w:hAnsi="宋体" w:cs="宋体" w:hint="eastAsia"/>
          <w:bCs/>
          <w:color w:val="000000"/>
          <w:sz w:val="24"/>
          <w:szCs w:val="24"/>
          <w:highlight w:val="white"/>
          <w:lang w:eastAsia="zh-CN"/>
        </w:rPr>
        <w:t>其他</w:t>
      </w:r>
      <w:r>
        <w:rPr>
          <w:rFonts w:ascii="宋体" w:hAnsi="宋体" w:cs="宋体" w:hint="eastAsia"/>
          <w:color w:val="000000"/>
          <w:sz w:val="24"/>
          <w:szCs w:val="24"/>
          <w:highlight w:val="white"/>
          <w:lang w:eastAsia="zh-CN"/>
        </w:rPr>
        <w:t>有关</w:t>
      </w:r>
      <w:r>
        <w:rPr>
          <w:rFonts w:ascii="宋体" w:hAnsi="宋体" w:cs="宋体" w:hint="eastAsia"/>
          <w:bCs/>
          <w:color w:val="000000"/>
          <w:sz w:val="24"/>
          <w:szCs w:val="24"/>
          <w:highlight w:val="white"/>
          <w:lang w:eastAsia="zh-CN"/>
        </w:rPr>
        <w:t>法律</w:t>
      </w:r>
      <w:r>
        <w:rPr>
          <w:rFonts w:ascii="宋体" w:hAnsi="宋体" w:cs="宋体" w:hint="eastAsia"/>
          <w:color w:val="000000"/>
          <w:sz w:val="24"/>
          <w:szCs w:val="24"/>
          <w:highlight w:val="white"/>
          <w:lang w:eastAsia="zh-CN"/>
        </w:rPr>
        <w:t>法规的规定</w:t>
      </w:r>
      <w:r>
        <w:rPr>
          <w:rFonts w:ascii="宋体" w:hAnsi="宋体" w:cs="宋体" w:hint="eastAsia"/>
          <w:bCs/>
          <w:color w:val="000000"/>
          <w:sz w:val="24"/>
          <w:szCs w:val="24"/>
          <w:highlight w:val="white"/>
          <w:lang w:eastAsia="zh-CN"/>
        </w:rPr>
        <w:t>时，有权视情况暂缓或</w:t>
      </w:r>
      <w:r>
        <w:rPr>
          <w:rFonts w:ascii="宋体" w:hAnsi="宋体" w:cs="宋体" w:hint="eastAsia"/>
          <w:color w:val="000000"/>
          <w:sz w:val="24"/>
          <w:szCs w:val="24"/>
          <w:highlight w:val="white"/>
          <w:lang w:eastAsia="zh-CN"/>
        </w:rPr>
        <w:t>不予执行，并应及时通知管理人纠正，管理人收到通知后应及时核对，</w:t>
      </w:r>
      <w:r>
        <w:rPr>
          <w:rFonts w:ascii="宋体" w:hAnsi="宋体" w:cs="宋体" w:hint="eastAsia"/>
          <w:bCs/>
          <w:color w:val="000000"/>
          <w:sz w:val="24"/>
          <w:szCs w:val="24"/>
          <w:highlight w:val="white"/>
          <w:lang w:eastAsia="zh-CN"/>
        </w:rPr>
        <w:t>及时确认处理方式，</w:t>
      </w:r>
      <w:r>
        <w:rPr>
          <w:rFonts w:ascii="宋体" w:hAnsi="宋体" w:cs="宋体" w:hint="eastAsia"/>
          <w:color w:val="000000"/>
          <w:sz w:val="24"/>
          <w:szCs w:val="24"/>
          <w:highlight w:val="white"/>
          <w:lang w:eastAsia="zh-CN"/>
        </w:rPr>
        <w:t>并以书面形式</w:t>
      </w:r>
      <w:r>
        <w:rPr>
          <w:rFonts w:ascii="宋体" w:hAnsi="宋体" w:cs="宋体" w:hint="eastAsia"/>
          <w:bCs/>
          <w:color w:val="000000"/>
          <w:sz w:val="24"/>
          <w:szCs w:val="24"/>
          <w:highlight w:val="white"/>
          <w:lang w:eastAsia="zh-CN"/>
        </w:rPr>
        <w:t>通知</w:t>
      </w:r>
      <w:r>
        <w:rPr>
          <w:rFonts w:ascii="宋体" w:hAnsi="宋体" w:cs="宋体" w:hint="eastAsia"/>
          <w:color w:val="000000"/>
          <w:sz w:val="24"/>
          <w:szCs w:val="24"/>
          <w:highlight w:val="white"/>
          <w:lang w:eastAsia="zh-CN"/>
        </w:rPr>
        <w:t>托管人，由此造成的损失由管理人承担。</w:t>
      </w:r>
    </w:p>
    <w:p w:rsidR="009C72F0" w14:paraId="1A42CF6F"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（五）基金托管人未按照基金管理人指令执行的处理方法</w:t>
      </w:r>
    </w:p>
    <w:p w:rsidR="009C72F0" w14:paraId="101C92FE" w14:textId="77777777">
      <w:pPr>
        <w:widowControl/>
        <w:spacing w:before="156" w:beforeLines="50" w:after="156" w:afterLines="50"/>
        <w:ind w:firstLine="480"/>
        <w:rPr>
          <w:rFonts w:ascii="宋体" w:hAnsi="宋体" w:cs="宋体"/>
          <w:bCs/>
          <w:color w:val="000000"/>
          <w:sz w:val="24"/>
          <w:szCs w:val="24"/>
          <w:lang w:eastAsia="zh-CN"/>
        </w:rPr>
      </w:pPr>
      <w:r>
        <w:rPr>
          <w:rFonts w:ascii="宋体" w:hAnsi="宋体" w:cs="宋体" w:hint="eastAsia"/>
          <w:color w:val="000000"/>
          <w:sz w:val="24"/>
          <w:szCs w:val="24"/>
          <w:highlight w:val="white"/>
          <w:lang w:eastAsia="zh-CN"/>
        </w:rPr>
        <w:t>对于基金管理人的有效指令和通知，除非违反法律法规、《基金合同》、托管协议，基金托管人不得无故拒绝或拖延执行。基金托管人由于自身原因造成未按照基金管理人发送的正常指令执行或错误执行基金管理人指令，致使本基金的利益受到损害的，应在发现后，及时采取措施予以弥补，并及时通知基金管理人，给基金份额持有人造成损失的，对由此造成的直接经济损失负赔偿责任。</w:t>
      </w:r>
    </w:p>
    <w:p w:rsidR="009C72F0" w14:paraId="333FE08F" w14:textId="77777777">
      <w:pPr>
        <w:widowControl/>
        <w:spacing w:before="156" w:beforeLines="50" w:after="156" w:afterLines="50"/>
        <w:ind w:firstLine="480"/>
        <w:rPr>
          <w:rFonts w:ascii="宋体" w:hAnsi="宋体"/>
          <w:color w:val="000000"/>
          <w:sz w:val="24"/>
          <w:lang w:eastAsia="zh-CN"/>
        </w:rPr>
      </w:pPr>
      <w:r>
        <w:rPr>
          <w:rFonts w:ascii="宋体" w:hAnsi="宋体" w:hint="eastAsia"/>
          <w:color w:val="000000"/>
          <w:sz w:val="24"/>
          <w:highlight w:val="white"/>
          <w:lang w:eastAsia="zh-CN"/>
        </w:rPr>
        <w:t>（六）</w:t>
      </w:r>
      <w:r>
        <w:rPr>
          <w:rFonts w:ascii="宋体" w:hAnsi="宋体" w:cs="宋体" w:hint="eastAsia"/>
          <w:bCs/>
          <w:color w:val="000000"/>
          <w:sz w:val="24"/>
          <w:szCs w:val="24"/>
          <w:highlight w:val="white"/>
          <w:lang w:eastAsia="zh-CN"/>
        </w:rPr>
        <w:tab/>
        <w:t>更换预留印鉴或被授权人的程序</w:t>
      </w:r>
    </w:p>
    <w:p w:rsidR="009C72F0" w14:paraId="34968FF6" w14:textId="77777777">
      <w:pPr>
        <w:widowControl/>
        <w:spacing w:before="156" w:beforeLines="50" w:after="156" w:afterLines="50"/>
        <w:ind w:firstLine="480"/>
        <w:rPr>
          <w:rFonts w:ascii="宋体" w:hAnsi="宋体" w:cs="宋体"/>
          <w:bCs/>
          <w:color w:val="000000"/>
          <w:sz w:val="24"/>
          <w:szCs w:val="24"/>
          <w:lang w:eastAsia="zh-CN"/>
        </w:rPr>
      </w:pPr>
      <w:r>
        <w:rPr>
          <w:rFonts w:ascii="宋体" w:hAnsi="宋体" w:cs="宋体" w:hint="eastAsia"/>
          <w:bCs/>
          <w:color w:val="000000"/>
          <w:sz w:val="24"/>
          <w:szCs w:val="24"/>
          <w:highlight w:val="white"/>
          <w:lang w:eastAsia="zh-CN"/>
        </w:rPr>
        <w:t>管理人变更预留印鉴、或撤换被授权人或改变被授权人的权限，必须提前至少一个工作日，使用传真、电子邮件或管理人和托管人认可的其他方式向托管人发出加盖管理人公章的书面变更通知（“变更通知”），同时通知托管人并及时邮寄变更原件。变更通知须列明新授权的起始日期。变更通知的生效日期按照变更通知上列明的新授权的起始日期与托管人确认收到变更原件的日期孰晚原则确定。变更通知的原件发送参照授权通知的约定执行。</w:t>
      </w:r>
    </w:p>
    <w:p w:rsidR="009C72F0" w14:paraId="0F1DAB2F" w14:textId="77777777">
      <w:pPr>
        <w:widowControl/>
        <w:spacing w:before="156" w:beforeLines="50" w:after="156" w:afterLines="50"/>
        <w:ind w:firstLine="480"/>
        <w:rPr>
          <w:rFonts w:ascii="宋体" w:hAnsi="宋体"/>
          <w:color w:val="000000"/>
          <w:sz w:val="24"/>
          <w:lang w:eastAsia="zh-CN"/>
        </w:rPr>
      </w:pPr>
      <w:r>
        <w:rPr>
          <w:rFonts w:ascii="宋体" w:hAnsi="宋体" w:hint="eastAsia"/>
          <w:color w:val="000000"/>
          <w:sz w:val="24"/>
          <w:highlight w:val="white"/>
          <w:lang w:eastAsia="zh-CN"/>
        </w:rPr>
        <w:t>（七）</w:t>
      </w:r>
      <w:r>
        <w:rPr>
          <w:rFonts w:ascii="宋体" w:hAnsi="宋体" w:cs="宋体" w:hint="eastAsia"/>
          <w:bCs/>
          <w:color w:val="000000"/>
          <w:sz w:val="24"/>
          <w:szCs w:val="24"/>
          <w:highlight w:val="white"/>
          <w:lang w:eastAsia="zh-CN"/>
        </w:rPr>
        <w:t>指令</w:t>
      </w:r>
      <w:r>
        <w:rPr>
          <w:rFonts w:ascii="宋体" w:hAnsi="宋体" w:hint="eastAsia"/>
          <w:color w:val="000000"/>
          <w:sz w:val="24"/>
          <w:highlight w:val="white"/>
          <w:lang w:eastAsia="zh-CN"/>
        </w:rPr>
        <w:t>的</w:t>
      </w:r>
      <w:r>
        <w:rPr>
          <w:rFonts w:ascii="宋体" w:hAnsi="宋体" w:cs="宋体" w:hint="eastAsia"/>
          <w:bCs/>
          <w:color w:val="000000"/>
          <w:sz w:val="24"/>
          <w:szCs w:val="24"/>
          <w:highlight w:val="white"/>
          <w:lang w:eastAsia="zh-CN"/>
        </w:rPr>
        <w:t>保管</w:t>
      </w:r>
    </w:p>
    <w:p w:rsidR="009C72F0" w14:paraId="003CE340" w14:textId="77777777">
      <w:pPr>
        <w:widowControl/>
        <w:spacing w:before="156" w:beforeLines="50" w:after="156" w:afterLines="50"/>
        <w:ind w:firstLine="480"/>
        <w:rPr>
          <w:rFonts w:ascii="宋体" w:hAnsi="宋体" w:cs="宋体"/>
          <w:bCs/>
          <w:color w:val="000000"/>
          <w:sz w:val="24"/>
          <w:szCs w:val="24"/>
          <w:lang w:eastAsia="zh-CN"/>
        </w:rPr>
      </w:pPr>
      <w:r>
        <w:rPr>
          <w:rFonts w:ascii="宋体" w:hAnsi="宋体" w:cs="宋体" w:hint="eastAsia"/>
          <w:bCs/>
          <w:color w:val="000000"/>
          <w:sz w:val="24"/>
          <w:szCs w:val="24"/>
          <w:highlight w:val="white"/>
          <w:lang w:eastAsia="zh-CN"/>
        </w:rPr>
        <w:t>划款指令若以传真或电子邮件或双方另行约定的其他方式发出，则正本由管理人保管，托管人保管指令电子版本。当两者不一致时，以托管人收到的指令电子版本为准。电子指令的保管以管理人和托管人的相关协议约定为准。</w:t>
      </w:r>
    </w:p>
    <w:p w:rsidR="009C72F0" w14:paraId="3AE6B211" w14:textId="77777777">
      <w:pPr>
        <w:widowControl/>
        <w:spacing w:before="156" w:beforeLines="50" w:after="156" w:afterLines="50"/>
        <w:ind w:firstLine="480"/>
        <w:rPr>
          <w:rFonts w:ascii="宋体" w:hAnsi="宋体" w:cs="宋体"/>
          <w:bCs/>
          <w:color w:val="000000"/>
          <w:sz w:val="24"/>
          <w:szCs w:val="24"/>
          <w:lang w:eastAsia="zh-CN"/>
        </w:rPr>
      </w:pPr>
      <w:r>
        <w:rPr>
          <w:rFonts w:ascii="宋体" w:hAnsi="宋体" w:cs="宋体" w:hint="eastAsia"/>
          <w:bCs/>
          <w:color w:val="000000"/>
          <w:sz w:val="24"/>
          <w:szCs w:val="24"/>
          <w:highlight w:val="white"/>
          <w:lang w:eastAsia="zh-CN"/>
        </w:rPr>
        <w:t>（八）相关责任</w:t>
      </w:r>
    </w:p>
    <w:p w:rsidR="009C72F0" w14:paraId="3F4A0946"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托管人正确执行管理人</w:t>
      </w:r>
      <w:r>
        <w:rPr>
          <w:rFonts w:ascii="宋体" w:hAnsi="宋体" w:cs="宋体" w:hint="eastAsia"/>
          <w:bCs/>
          <w:color w:val="000000"/>
          <w:sz w:val="24"/>
          <w:szCs w:val="24"/>
          <w:highlight w:val="white"/>
          <w:lang w:eastAsia="zh-CN"/>
        </w:rPr>
        <w:t>发出的</w:t>
      </w:r>
      <w:r>
        <w:rPr>
          <w:rFonts w:ascii="宋体" w:hAnsi="宋体" w:cs="宋体" w:hint="eastAsia"/>
          <w:color w:val="000000"/>
          <w:sz w:val="24"/>
          <w:szCs w:val="24"/>
          <w:highlight w:val="white"/>
          <w:lang w:eastAsia="zh-CN"/>
        </w:rPr>
        <w:t>符合本</w:t>
      </w:r>
      <w:r>
        <w:rPr>
          <w:rFonts w:ascii="宋体" w:hAnsi="宋体" w:cs="宋体" w:hint="eastAsia"/>
          <w:bCs/>
          <w:color w:val="000000"/>
          <w:sz w:val="24"/>
          <w:szCs w:val="24"/>
          <w:highlight w:val="white"/>
          <w:lang w:eastAsia="zh-CN"/>
        </w:rPr>
        <w:t>协议</w:t>
      </w:r>
      <w:r>
        <w:rPr>
          <w:rFonts w:ascii="宋体" w:hAnsi="宋体" w:cs="宋体" w:hint="eastAsia"/>
          <w:color w:val="000000"/>
          <w:sz w:val="24"/>
          <w:szCs w:val="24"/>
          <w:highlight w:val="white"/>
          <w:lang w:eastAsia="zh-CN"/>
        </w:rPr>
        <w:t>约定的划款指令，基金财产发生损失的，托管人不承担任何形式的责任。在正常业务受理渠道和</w:t>
      </w:r>
      <w:r>
        <w:rPr>
          <w:rFonts w:ascii="宋体" w:hAnsi="宋体" w:cs="宋体" w:hint="eastAsia"/>
          <w:bCs/>
          <w:color w:val="000000"/>
          <w:sz w:val="24"/>
          <w:szCs w:val="24"/>
          <w:highlight w:val="white"/>
          <w:lang w:eastAsia="zh-CN"/>
        </w:rPr>
        <w:t>划款</w:t>
      </w:r>
      <w:r>
        <w:rPr>
          <w:rFonts w:ascii="宋体" w:hAnsi="宋体" w:cs="宋体" w:hint="eastAsia"/>
          <w:color w:val="000000"/>
          <w:sz w:val="24"/>
          <w:szCs w:val="24"/>
          <w:highlight w:val="white"/>
          <w:lang w:eastAsia="zh-CN"/>
        </w:rPr>
        <w:t>指令规定的时间内，</w:t>
      </w:r>
      <w:r>
        <w:rPr>
          <w:rFonts w:ascii="宋体" w:hAnsi="宋体" w:cs="宋体" w:hint="eastAsia"/>
          <w:bCs/>
          <w:color w:val="000000"/>
          <w:sz w:val="24"/>
          <w:szCs w:val="24"/>
          <w:highlight w:val="white"/>
          <w:lang w:eastAsia="zh-CN"/>
        </w:rPr>
        <w:t>确</w:t>
      </w:r>
      <w:r>
        <w:rPr>
          <w:rFonts w:ascii="宋体" w:hAnsi="宋体" w:cs="宋体" w:hint="eastAsia"/>
          <w:color w:val="000000"/>
          <w:sz w:val="24"/>
          <w:szCs w:val="24"/>
          <w:highlight w:val="white"/>
          <w:lang w:eastAsia="zh-CN"/>
        </w:rPr>
        <w:t>因托管人</w:t>
      </w:r>
      <w:r>
        <w:rPr>
          <w:rFonts w:ascii="宋体" w:hAnsi="宋体" w:cs="宋体" w:hint="eastAsia"/>
          <w:bCs/>
          <w:color w:val="000000"/>
          <w:sz w:val="24"/>
          <w:szCs w:val="24"/>
          <w:highlight w:val="white"/>
          <w:lang w:eastAsia="zh-CN"/>
        </w:rPr>
        <w:t>存在</w:t>
      </w:r>
      <w:r>
        <w:rPr>
          <w:rFonts w:ascii="宋体" w:hAnsi="宋体" w:cs="宋体" w:hint="eastAsia"/>
          <w:color w:val="000000"/>
          <w:sz w:val="24"/>
          <w:szCs w:val="24"/>
          <w:highlight w:val="white"/>
          <w:lang w:eastAsia="zh-CN"/>
        </w:rPr>
        <w:t>过错</w:t>
      </w:r>
      <w:r>
        <w:rPr>
          <w:rFonts w:ascii="宋体" w:hAnsi="宋体" w:cs="宋体" w:hint="eastAsia"/>
          <w:bCs/>
          <w:color w:val="000000"/>
          <w:sz w:val="24"/>
          <w:szCs w:val="24"/>
          <w:highlight w:val="white"/>
          <w:lang w:eastAsia="zh-CN"/>
        </w:rPr>
        <w:t>而</w:t>
      </w:r>
      <w:r>
        <w:rPr>
          <w:rFonts w:ascii="宋体" w:hAnsi="宋体" w:cs="宋体" w:hint="eastAsia"/>
          <w:color w:val="000000"/>
          <w:sz w:val="24"/>
          <w:szCs w:val="24"/>
          <w:highlight w:val="white"/>
          <w:lang w:eastAsia="zh-CN"/>
        </w:rPr>
        <w:t>未能及时或正确执行符合本</w:t>
      </w:r>
      <w:r>
        <w:rPr>
          <w:rFonts w:ascii="宋体" w:hAnsi="宋体" w:cs="宋体" w:hint="eastAsia"/>
          <w:bCs/>
          <w:color w:val="000000"/>
          <w:sz w:val="24"/>
          <w:szCs w:val="24"/>
          <w:highlight w:val="white"/>
          <w:lang w:eastAsia="zh-CN"/>
        </w:rPr>
        <w:t>协议规定</w:t>
      </w:r>
      <w:r>
        <w:rPr>
          <w:rFonts w:ascii="宋体" w:hAnsi="宋体" w:cs="宋体" w:hint="eastAsia"/>
          <w:color w:val="000000"/>
          <w:sz w:val="24"/>
          <w:szCs w:val="24"/>
          <w:highlight w:val="white"/>
          <w:lang w:eastAsia="zh-CN"/>
        </w:rPr>
        <w:t>的划款指令而导致基金财产受损的，托管人应承担相应的责任，但托管</w:t>
      </w:r>
      <w:r>
        <w:rPr>
          <w:rFonts w:ascii="宋体" w:hAnsi="宋体" w:cs="宋体" w:hint="eastAsia"/>
          <w:bCs/>
          <w:color w:val="000000"/>
          <w:sz w:val="24"/>
          <w:szCs w:val="24"/>
          <w:highlight w:val="white"/>
          <w:lang w:eastAsia="zh-CN"/>
        </w:rPr>
        <w:t>人如</w:t>
      </w:r>
      <w:r>
        <w:rPr>
          <w:rFonts w:ascii="宋体" w:hAnsi="宋体" w:cs="宋体" w:hint="eastAsia"/>
          <w:color w:val="000000"/>
          <w:sz w:val="24"/>
          <w:szCs w:val="24"/>
          <w:highlight w:val="white"/>
          <w:lang w:eastAsia="zh-CN"/>
        </w:rPr>
        <w:t>遇到不可抗力的情况除外。</w:t>
      </w:r>
    </w:p>
    <w:p w:rsidR="009C72F0" w14:paraId="1652952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如果管理人的划款指令存在事实上未经授权、欺诈、伪造或未能按时提供划款指令人员的预留印鉴和</w:t>
      </w:r>
      <w:r>
        <w:rPr>
          <w:rFonts w:ascii="宋体" w:hAnsi="宋体" w:cs="宋体" w:hint="eastAsia"/>
          <w:bCs/>
          <w:color w:val="000000"/>
          <w:sz w:val="24"/>
          <w:szCs w:val="24"/>
          <w:highlight w:val="white"/>
          <w:lang w:eastAsia="zh-CN"/>
        </w:rPr>
        <w:t>签章</w:t>
      </w:r>
      <w:r>
        <w:rPr>
          <w:rFonts w:ascii="宋体" w:hAnsi="宋体" w:cs="宋体" w:hint="eastAsia"/>
          <w:color w:val="000000"/>
          <w:sz w:val="24"/>
          <w:szCs w:val="24"/>
          <w:highlight w:val="white"/>
          <w:lang w:eastAsia="zh-CN"/>
        </w:rPr>
        <w:t>样本</w:t>
      </w:r>
      <w:r>
        <w:rPr>
          <w:rFonts w:ascii="宋体" w:hAnsi="宋体" w:cs="宋体" w:hint="eastAsia"/>
          <w:bCs/>
          <w:color w:val="000000"/>
          <w:sz w:val="24"/>
          <w:szCs w:val="24"/>
          <w:highlight w:val="white"/>
          <w:lang w:eastAsia="zh-CN"/>
        </w:rPr>
        <w:t>或发送划款指令时提交的文件资料不真实、不合法、不完整或失去效力</w:t>
      </w:r>
      <w:r>
        <w:rPr>
          <w:rFonts w:ascii="宋体" w:hAnsi="宋体" w:cs="宋体" w:hint="eastAsia"/>
          <w:color w:val="000000"/>
          <w:sz w:val="24"/>
          <w:szCs w:val="24"/>
          <w:highlight w:val="white"/>
          <w:lang w:eastAsia="zh-CN"/>
        </w:rPr>
        <w:t>等非托管人原因造成的情形，只要托管人根据本</w:t>
      </w:r>
      <w:r>
        <w:rPr>
          <w:rFonts w:ascii="宋体" w:hAnsi="宋体" w:cs="宋体" w:hint="eastAsia"/>
          <w:bCs/>
          <w:color w:val="000000"/>
          <w:sz w:val="24"/>
          <w:szCs w:val="24"/>
          <w:highlight w:val="white"/>
          <w:lang w:eastAsia="zh-CN"/>
        </w:rPr>
        <w:t>协议</w:t>
      </w:r>
      <w:r>
        <w:rPr>
          <w:rFonts w:ascii="宋体" w:hAnsi="宋体" w:cs="宋体" w:hint="eastAsia"/>
          <w:color w:val="000000"/>
          <w:sz w:val="24"/>
          <w:szCs w:val="24"/>
          <w:highlight w:val="white"/>
          <w:lang w:eastAsia="zh-CN"/>
        </w:rPr>
        <w:t>相关规定</w:t>
      </w:r>
      <w:r>
        <w:rPr>
          <w:rFonts w:ascii="宋体" w:hAnsi="宋体" w:cs="宋体" w:hint="eastAsia"/>
          <w:bCs/>
          <w:color w:val="000000"/>
          <w:sz w:val="24"/>
          <w:szCs w:val="24"/>
          <w:highlight w:val="white"/>
          <w:lang w:eastAsia="zh-CN"/>
        </w:rPr>
        <w:t>履行形式审核职责，</w:t>
      </w:r>
      <w:r>
        <w:rPr>
          <w:rFonts w:ascii="宋体" w:hAnsi="宋体" w:cs="宋体" w:hint="eastAsia"/>
          <w:color w:val="000000"/>
          <w:sz w:val="24"/>
          <w:szCs w:val="24"/>
          <w:highlight w:val="white"/>
          <w:lang w:eastAsia="zh-CN"/>
        </w:rPr>
        <w:t>托管人不承担因</w:t>
      </w:r>
      <w:r>
        <w:rPr>
          <w:rFonts w:ascii="宋体" w:hAnsi="宋体" w:cs="宋体" w:hint="eastAsia"/>
          <w:bCs/>
          <w:color w:val="000000"/>
          <w:sz w:val="24"/>
          <w:szCs w:val="24"/>
          <w:highlight w:val="white"/>
          <w:lang w:eastAsia="zh-CN"/>
        </w:rPr>
        <w:t>执行有关划款指令或拒绝</w:t>
      </w:r>
      <w:r>
        <w:rPr>
          <w:rFonts w:ascii="宋体" w:hAnsi="宋体" w:cs="宋体" w:hint="eastAsia"/>
          <w:color w:val="000000"/>
          <w:sz w:val="24"/>
          <w:szCs w:val="24"/>
          <w:highlight w:val="white"/>
          <w:lang w:eastAsia="zh-CN"/>
        </w:rPr>
        <w:t>执行有关</w:t>
      </w:r>
      <w:r>
        <w:rPr>
          <w:rFonts w:ascii="宋体" w:hAnsi="宋体" w:cs="宋体" w:hint="eastAsia"/>
          <w:bCs/>
          <w:color w:val="000000"/>
          <w:sz w:val="24"/>
          <w:szCs w:val="24"/>
          <w:highlight w:val="white"/>
          <w:lang w:eastAsia="zh-CN"/>
        </w:rPr>
        <w:t>划款</w:t>
      </w:r>
      <w:r>
        <w:rPr>
          <w:rFonts w:ascii="宋体" w:hAnsi="宋体" w:cs="宋体" w:hint="eastAsia"/>
          <w:color w:val="000000"/>
          <w:sz w:val="24"/>
          <w:szCs w:val="24"/>
          <w:highlight w:val="white"/>
          <w:lang w:eastAsia="zh-CN"/>
        </w:rPr>
        <w:t>指令而给管理人或基金财产或任何第三人带来的损失，全部责任由管理人承担。</w:t>
      </w:r>
    </w:p>
    <w:p w:rsidR="009C72F0" w14:paraId="7930C105" w14:textId="77777777">
      <w:pPr>
        <w:widowControl/>
        <w:spacing w:after="120" w:line="300" w:lineRule="atLeast"/>
        <w:ind w:firstLine="480"/>
        <w:rPr>
          <w:rFonts w:ascii="宋体" w:hAnsi="宋体" w:cs="宋体"/>
          <w:color w:val="000000"/>
          <w:sz w:val="24"/>
          <w:szCs w:val="24"/>
          <w:lang w:eastAsia="zh-CN"/>
        </w:rPr>
      </w:pPr>
      <w:bookmarkStart w:id="104" w:name="_Toc477270372"/>
      <w:bookmarkStart w:id="105" w:name="_Toc477270371"/>
      <w:bookmarkStart w:id="106" w:name="_Toc477272418"/>
      <w:bookmarkStart w:id="107" w:name="_Toc477272420"/>
      <w:bookmarkStart w:id="108" w:name="_Toc477272415"/>
      <w:bookmarkStart w:id="109" w:name="_Toc477272417"/>
      <w:bookmarkStart w:id="110" w:name="_Toc477270376"/>
      <w:bookmarkStart w:id="111" w:name="_Toc477272416"/>
      <w:bookmarkStart w:id="112" w:name="_Toc477272419"/>
      <w:bookmarkEnd w:id="103"/>
      <w:bookmarkEnd w:id="104"/>
      <w:bookmarkEnd w:id="105"/>
      <w:bookmarkEnd w:id="106"/>
      <w:bookmarkEnd w:id="107"/>
      <w:bookmarkEnd w:id="108"/>
      <w:bookmarkEnd w:id="109"/>
      <w:bookmarkEnd w:id="110"/>
      <w:bookmarkEnd w:id="111"/>
      <w:bookmarkEnd w:id="112"/>
    </w:p>
    <w:p w:rsidR="009C72F0" w14:paraId="5E69E46F"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1F6D6DD6" w14:textId="77777777">
      <w:pPr>
        <w:pStyle w:val="11"/>
        <w:jc w:val="center"/>
        <w:rPr>
          <w:rFonts w:ascii="Calibri" w:hAnsi="Calibri"/>
          <w:color w:val="000000"/>
          <w:sz w:val="21"/>
          <w:szCs w:val="21"/>
          <w:lang w:eastAsia="zh-CN"/>
        </w:rPr>
      </w:pPr>
      <w:bookmarkStart w:id="113" w:name="_Toc477274816"/>
      <w:bookmarkStart w:id="114" w:name="_Toc375230483"/>
      <w:bookmarkStart w:id="115" w:name="_Toc4491308"/>
      <w:bookmarkEnd w:id="113"/>
      <w:r>
        <w:rPr>
          <w:rFonts w:hint="eastAsia"/>
          <w:color w:val="000000"/>
          <w:sz w:val="30"/>
          <w:szCs w:val="30"/>
          <w:highlight w:val="white"/>
          <w:lang w:eastAsia="zh-CN"/>
        </w:rPr>
        <w:t>七、</w:t>
      </w:r>
      <w:bookmarkStart w:id="116" w:name="_Toc523829997"/>
      <w:bookmarkStart w:id="117" w:name="_Toc125361079"/>
      <w:bookmarkStart w:id="118" w:name="_Toc124749942"/>
      <w:bookmarkStart w:id="119" w:name="_Toc375230484"/>
      <w:bookmarkStart w:id="120" w:name="_Toc123626173"/>
      <w:bookmarkStart w:id="121" w:name="_Toc48703903"/>
      <w:bookmarkStart w:id="122" w:name="_Toc466788856"/>
      <w:bookmarkStart w:id="123" w:name="_Toc124749231"/>
      <w:bookmarkStart w:id="124" w:name="_Toc22454451"/>
      <w:bookmarkEnd w:id="114"/>
      <w:bookmarkEnd w:id="116"/>
      <w:bookmarkEnd w:id="117"/>
      <w:bookmarkEnd w:id="118"/>
      <w:bookmarkEnd w:id="119"/>
      <w:bookmarkEnd w:id="120"/>
      <w:bookmarkEnd w:id="121"/>
      <w:bookmarkEnd w:id="122"/>
      <w:bookmarkEnd w:id="123"/>
      <w:bookmarkEnd w:id="124"/>
      <w:r>
        <w:rPr>
          <w:rFonts w:hint="eastAsia"/>
          <w:color w:val="000000"/>
          <w:sz w:val="30"/>
          <w:szCs w:val="30"/>
          <w:highlight w:val="white"/>
          <w:lang w:eastAsia="zh-CN"/>
        </w:rPr>
        <w:t>交易及清算交收安排</w:t>
      </w:r>
      <w:bookmarkEnd w:id="115"/>
    </w:p>
    <w:p w:rsidR="009C72F0" w14:paraId="441B79B7" w14:textId="77777777">
      <w:pPr>
        <w:widowControl/>
        <w:spacing w:before="156" w:after="156"/>
        <w:ind w:firstLine="480"/>
        <w:rPr>
          <w:rFonts w:ascii="宋体" w:hAnsi="宋体" w:cs="宋体"/>
          <w:color w:val="000000"/>
          <w:sz w:val="24"/>
          <w:szCs w:val="24"/>
          <w:lang w:eastAsia="zh-CN"/>
        </w:rPr>
      </w:pPr>
      <w:r>
        <w:rPr>
          <w:rFonts w:ascii="宋体" w:hAnsi="宋体" w:cs="宋体" w:hint="eastAsia"/>
          <w:color w:val="000000"/>
          <w:sz w:val="24"/>
          <w:highlight w:val="white"/>
          <w:lang w:eastAsia="zh-CN"/>
        </w:rPr>
        <w:t>（一）选择代理证券、期货买卖的证券经营机构、期货经营机构</w:t>
      </w:r>
    </w:p>
    <w:p w:rsidR="009C72F0" w14:paraId="6D194C8D"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基金管理人负责选择代理本基金证券、期货买卖的证券经营机构、期货经营机构。</w:t>
      </w:r>
    </w:p>
    <w:p w:rsidR="009C72F0" w14:paraId="7E9AACB6"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基金管理人负责根据相关标准以及内部管理制度对有关证券经营机构进行考察后确定代理本基金证券买卖证券经营机构，并承担相应责任。基金管理人和被选择的证券经营机构签订交易单元租用协议，由基金管理人通知基金托管人，并在法定信息披露公告中披露有关内容。</w:t>
      </w:r>
    </w:p>
    <w:p w:rsidR="009C72F0" w14:paraId="0EE0CD1D"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基金管理人应及时将基金专用交易单元号、佣金费率等基本信息以及变更情况以书面形式通知基金托管人。</w:t>
      </w:r>
    </w:p>
    <w:p w:rsidR="009C72F0" w14:paraId="612982E9"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基金管理人负责选择代理本基金期货交易的期货经营机构，并与其签订期货经纪合同，其他事宜根据法律法规、《基金合同》的相关规定执行，若无明确规定的，可参照有关证券买卖、证券经纪机构选择的规则执行。</w:t>
      </w:r>
    </w:p>
    <w:p w:rsidR="009C72F0" w14:paraId="10901963" w14:textId="77777777">
      <w:pPr>
        <w:widowControl/>
        <w:spacing w:before="156" w:after="156"/>
        <w:ind w:firstLine="480"/>
        <w:rPr>
          <w:rFonts w:ascii="宋体" w:hAnsi="宋体" w:cs="宋体"/>
          <w:color w:val="000000"/>
          <w:sz w:val="24"/>
          <w:szCs w:val="24"/>
          <w:lang w:eastAsia="zh-CN"/>
        </w:rPr>
      </w:pPr>
      <w:bookmarkStart w:id="125" w:name="_Toc477272423"/>
      <w:bookmarkStart w:id="126" w:name="_Toc477270379"/>
      <w:bookmarkStart w:id="127" w:name="_Toc48703905"/>
      <w:bookmarkEnd w:id="125"/>
      <w:bookmarkEnd w:id="126"/>
      <w:r>
        <w:rPr>
          <w:rFonts w:ascii="宋体" w:hAnsi="宋体" w:cs="宋体"/>
          <w:color w:val="000000"/>
          <w:sz w:val="24"/>
          <w:highlight w:val="white"/>
          <w:lang w:eastAsia="zh-CN"/>
        </w:rPr>
        <w:t>（二）基金投资证券后的清算</w:t>
      </w:r>
      <w:bookmarkEnd w:id="127"/>
      <w:r>
        <w:rPr>
          <w:rFonts w:ascii="宋体" w:hAnsi="宋体" w:cs="宋体"/>
          <w:color w:val="000000"/>
          <w:sz w:val="24"/>
          <w:highlight w:val="white"/>
          <w:lang w:eastAsia="zh-CN"/>
        </w:rPr>
        <w:t>交收安排</w:t>
      </w:r>
    </w:p>
    <w:p w:rsidR="009C72F0" w14:paraId="032A9E4B"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1、基金管理人和基金托管人在基金清算和交收中的责任</w:t>
      </w:r>
    </w:p>
    <w:p w:rsidR="009C72F0" w14:paraId="150766FC"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基金管理人与基金托管人应根据有关法律法规及相关业务规则，签订《托管人证券资金结算协议》，用以具体明确基金管理人与基金托管人在证券交易资金结算业务中的责任。</w:t>
      </w:r>
    </w:p>
    <w:p w:rsidR="009C72F0" w14:paraId="58068CD1"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对基金管理人的资金划拨指令，基金托管人在对印鉴和签名表面一致性复核无误后应在规定期限内执行，不得延误。</w:t>
      </w:r>
    </w:p>
    <w:p w:rsidR="009C72F0" w14:paraId="0E551268"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本基金投资于证券发生的所有场内、场外交易的资金清算交割，全部由基金托管人负责办理。场内证券投资的应付担保交收清算款由基金托管人根据中登公司的交收指令主动从基金托管账户中扣收，非担保交收清算款及场外资金汇划由基金托管人根据基金管理人的交易划款指令具体办理。</w:t>
      </w:r>
    </w:p>
    <w:p w:rsidR="009C72F0" w14:paraId="70AFE982"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本基金证券投资的清算交割，由基金托管人通过中国证券登记结算有限责任公司、其他相关登记结算机构及清算代理银行办理。</w:t>
      </w:r>
    </w:p>
    <w:p w:rsidR="009C72F0" w14:paraId="279E163E"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如果因基金托管人过错在清算和交收中造成基金财产的损失，应由基金托管人承担相应的赔偿责任。如果因为基金管理人未事先通知基金托管人增加交易单元，致使基金托管人接收数据不完整，造成清算差错的责任由基金管理人承担；如果因为基金管理人未事先通知需要单独结算的交易，造成基金财产损失的由基金管理人承担；如果因为基金管理人违反法律法规的规定进行证券投资或违反双方签订的《托管人证券资金结算协议》而造成基金投资清算困难和风险的，基金托管人发现后应立即通知基金管理人，由基金管理人负责解决，基金托管人应给予必要的配合，由此给基金财产造成的损失由基金管理人承担。</w:t>
      </w:r>
    </w:p>
    <w:p w:rsidR="009C72F0" w14:paraId="76C7FF4B"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2、基金出现超买或超卖的责任认定及处理程序</w:t>
      </w:r>
    </w:p>
    <w:p w:rsidR="009C72F0" w14:paraId="7199D7FB"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基金托管人在履行监督职能时，如果发现基金投资证券过程中出现超买或超卖现象，应立即提醒基金管理人，由基金管理人负责解决，由此给基金造成的损失由基金管理人承担。如果因基金管理人原因发生超买行为，必须于T+1日上午11：30时之前完成融资，用以完成清算交收。</w:t>
      </w:r>
    </w:p>
    <w:p w:rsidR="009C72F0" w14:paraId="35FF9C37"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3、基金无法按时支付证券清算款的责任认定及处理程序</w:t>
      </w:r>
    </w:p>
    <w:p w:rsidR="009C72F0" w14:paraId="2A18B057"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基金管理人应确保基金托管人在执行基金管理人发送的指令时，有足够的头寸进行交收。基金的资金头寸不足时，基金托管人有权拒绝执行基金管理人发送的划款指令并同时通知基金管理人。基金管理人在发送划款指令时应充分考虑基金托管人的划款处理所需的合理时间。如由于基金管理人的原因导致无法按时支付证券清算款，由此给基金造成的损失由基金管理人承担。</w:t>
      </w:r>
    </w:p>
    <w:p w:rsidR="009C72F0" w14:paraId="1031C297"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在基金资金头寸充足的情况下，基金托管人对基金管理人符合法律法规、《基金合同》、基金托管协议的指令不得拖延或拒绝执行。如由于基金托管人的过错导致基金无法按时支付证券清算款，由此给基金造成的损失由基金托管人承担。</w:t>
      </w:r>
    </w:p>
    <w:p w:rsidR="009C72F0" w14:paraId="6002CB2F" w14:textId="77777777">
      <w:pPr>
        <w:widowControl/>
        <w:spacing w:before="156" w:after="156"/>
        <w:ind w:firstLine="480"/>
        <w:rPr>
          <w:rFonts w:ascii="宋体" w:hAnsi="宋体" w:cs="宋体"/>
          <w:color w:val="000000"/>
          <w:sz w:val="24"/>
          <w:szCs w:val="24"/>
          <w:lang w:eastAsia="zh-CN"/>
        </w:rPr>
      </w:pPr>
      <w:bookmarkStart w:id="128" w:name="_Toc477272424"/>
      <w:bookmarkStart w:id="129" w:name="_Toc477270380"/>
      <w:bookmarkStart w:id="130" w:name="_Toc48703906"/>
      <w:bookmarkEnd w:id="128"/>
      <w:bookmarkEnd w:id="129"/>
      <w:r>
        <w:rPr>
          <w:rFonts w:ascii="宋体" w:hAnsi="宋体" w:cs="宋体"/>
          <w:color w:val="000000"/>
          <w:sz w:val="24"/>
          <w:highlight w:val="white"/>
          <w:lang w:eastAsia="zh-CN"/>
        </w:rPr>
        <w:t>（三）基金管理人与基金托管人进行资金、证券账目、</w:t>
      </w:r>
      <w:bookmarkEnd w:id="130"/>
      <w:r>
        <w:rPr>
          <w:rFonts w:ascii="宋体" w:hAnsi="宋体" w:cs="宋体"/>
          <w:color w:val="000000"/>
          <w:sz w:val="24"/>
          <w:highlight w:val="white"/>
          <w:lang w:eastAsia="zh-CN"/>
        </w:rPr>
        <w:t>交易记录的核对</w:t>
      </w:r>
    </w:p>
    <w:p w:rsidR="009C72F0" w14:paraId="6639A9FB"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szCs w:val="21"/>
          <w:highlight w:val="white"/>
          <w:lang w:eastAsia="zh-CN"/>
        </w:rPr>
        <w:t>对基金的交易记录，由基金管理人按日进行核对。每日对外披露基金份额净值之前，必须保证当天所有实际交易记录与基金会计账簿上的交易记录完全一致。如果实际交易记录与会计账簿记录不一致，造成基金会计核算不完整或不真实，由此导致的损失由责任方承担。</w:t>
      </w:r>
    </w:p>
    <w:p w:rsidR="009C72F0" w14:paraId="4D3AEF34"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szCs w:val="21"/>
          <w:highlight w:val="white"/>
          <w:lang w:eastAsia="zh-CN"/>
        </w:rPr>
        <w:t>对基金的资金账目，由双方每日对账一次，确保相关各方账账相符，基金托管人确保账实相符。</w:t>
      </w:r>
    </w:p>
    <w:p w:rsidR="009C72F0" w14:paraId="68F782BE"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szCs w:val="21"/>
          <w:highlight w:val="white"/>
          <w:lang w:eastAsia="zh-CN"/>
        </w:rPr>
        <w:t>对基金证券账目，基金管理人和基金托管人每个交易日结束后核对基金证券账目，确保双方账目相符；基金托管人至少每月进行一次账实核对。</w:t>
      </w:r>
    </w:p>
    <w:p w:rsidR="009C72F0" w14:paraId="7A5F9F97"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szCs w:val="21"/>
          <w:highlight w:val="white"/>
          <w:lang w:eastAsia="zh-CN"/>
        </w:rPr>
        <w:t>对实物券账目，每月月末双方进行账实核对。</w:t>
      </w:r>
    </w:p>
    <w:p w:rsidR="009C72F0" w14:paraId="417A6BA0"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szCs w:val="21"/>
          <w:highlight w:val="white"/>
          <w:lang w:eastAsia="zh-CN"/>
        </w:rPr>
        <w:t>对交易记录，由双方每日对账一次。</w:t>
      </w:r>
    </w:p>
    <w:p w:rsidR="009C72F0" w14:paraId="107FB810" w14:textId="77777777">
      <w:pPr>
        <w:widowControl/>
        <w:spacing w:before="156" w:after="156"/>
        <w:ind w:firstLine="480"/>
        <w:rPr>
          <w:rFonts w:ascii="宋体" w:hAnsi="宋体" w:cs="宋体"/>
          <w:color w:val="000000"/>
          <w:sz w:val="24"/>
          <w:szCs w:val="24"/>
          <w:lang w:eastAsia="zh-CN"/>
        </w:rPr>
      </w:pPr>
      <w:bookmarkStart w:id="131" w:name="_Toc477272425"/>
      <w:bookmarkStart w:id="132" w:name="_Toc477270381"/>
      <w:bookmarkEnd w:id="131"/>
      <w:r>
        <w:rPr>
          <w:rFonts w:ascii="宋体" w:hAnsi="宋体" w:cs="宋体"/>
          <w:color w:val="000000"/>
          <w:sz w:val="24"/>
          <w:highlight w:val="white"/>
          <w:lang w:eastAsia="zh-CN"/>
        </w:rPr>
        <w:t>（四）申购、赎回、转换开放式基金的资金清算、数据传递及托管协议当事人的责任</w:t>
      </w:r>
      <w:bookmarkEnd w:id="132"/>
    </w:p>
    <w:p w:rsidR="009C72F0" w14:paraId="0EC4F69D" w14:textId="77777777">
      <w:pPr>
        <w:widowControl/>
        <w:spacing w:before="156" w:after="156"/>
        <w:ind w:firstLine="480"/>
        <w:rPr>
          <w:rFonts w:ascii="宋体" w:hAnsi="宋体" w:cs="宋体"/>
          <w:color w:val="000000"/>
          <w:sz w:val="24"/>
          <w:szCs w:val="24"/>
          <w:lang w:eastAsia="zh-CN"/>
        </w:rPr>
      </w:pPr>
      <w:bookmarkStart w:id="133" w:name="_Toc124749232"/>
      <w:bookmarkStart w:id="134" w:name="_Toc124749943"/>
      <w:bookmarkStart w:id="135" w:name="_Toc123626174"/>
      <w:bookmarkEnd w:id="133"/>
      <w:bookmarkEnd w:id="134"/>
      <w:bookmarkEnd w:id="135"/>
      <w:r>
        <w:rPr>
          <w:rFonts w:ascii="宋体" w:hAnsi="宋体" w:cs="宋体"/>
          <w:color w:val="000000"/>
          <w:sz w:val="24"/>
          <w:highlight w:val="white"/>
          <w:lang w:eastAsia="zh-CN"/>
        </w:rPr>
        <w:t>1、托管协议当事人在开放式基金的申购赎回、转换中的责任</w:t>
      </w:r>
    </w:p>
    <w:p w:rsidR="009C72F0" w14:paraId="35358C60"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基金的投资者可通过基金管理人的直销中心和销售代理人的代销网点进行申购和赎回申请，由基金管理人办理基金份额的过户和登记，基金托管人负责接收并确认资金的到账情况，以及依照基金管理人的投资指令来划付赎回款项。</w:t>
      </w:r>
    </w:p>
    <w:p w:rsidR="009C72F0" w14:paraId="62570036"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2、开放式基金的数据传递</w:t>
      </w:r>
    </w:p>
    <w:p w:rsidR="009C72F0" w14:paraId="3EB00071"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基金管理人应于每个开放日14：00之前将开放日经确认的基金申购、赎回转换数据通知基金托管人。基金管理人应对传递的申购、赎回、转换数据的真实性、准确性和完整性负责。</w:t>
      </w:r>
    </w:p>
    <w:p w:rsidR="009C72F0" w14:paraId="010DCD51"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3、开放式基金的资金清算</w:t>
      </w:r>
    </w:p>
    <w:p w:rsidR="009C72F0" w14:paraId="098A3CE0"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基金申购、赎回等款项采用轧差交收的结算方式，净额在基金管理人总清算账户和资产托管专户之间交收。</w:t>
      </w:r>
    </w:p>
    <w:p w:rsidR="009C72F0" w14:paraId="174E0371"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如果当日基金为净应收款，基金托管人应及时查收资金是否到账，对于未准时到账的资金，应及时通知基金管理人划付。对于未准时划付的资金，基金托管人应及时通知基金管理人划付，由此产生的责任应由基金管理人承担。</w:t>
      </w:r>
    </w:p>
    <w:p w:rsidR="009C72F0" w14:paraId="26E6CF85"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如果当日基金为净应付款，基金托管人应根据基金管理人的指令及时进行划付。对于未准时划付的资金，基金管理人应及时通知基金托管人划付，由此产生的责任应由基金托管人承担。</w:t>
      </w:r>
    </w:p>
    <w:p w:rsidR="009C72F0" w14:paraId="7FB3EBC1" w14:textId="77777777">
      <w:pPr>
        <w:widowControl/>
        <w:spacing w:before="156" w:after="156"/>
        <w:ind w:firstLine="480"/>
        <w:rPr>
          <w:rFonts w:ascii="宋体" w:hAnsi="宋体" w:cs="宋体"/>
          <w:color w:val="000000"/>
          <w:sz w:val="24"/>
          <w:szCs w:val="24"/>
          <w:lang w:eastAsia="zh-CN"/>
        </w:rPr>
      </w:pPr>
      <w:r>
        <w:rPr>
          <w:rFonts w:ascii="宋体" w:hAnsi="宋体" w:cs="宋体"/>
          <w:color w:val="000000"/>
          <w:sz w:val="24"/>
          <w:highlight w:val="white"/>
          <w:lang w:eastAsia="zh-CN"/>
        </w:rPr>
        <w:t>在发生基金合同载明的暂停赎回或延缓支付赎回款项的情形时，款项的支付办法参照基金合同有关条款处理。</w:t>
      </w:r>
    </w:p>
    <w:p w:rsidR="009C72F0" w14:paraId="346849C8" w14:textId="77777777">
      <w:pPr>
        <w:widowControl/>
        <w:spacing w:after="120" w:line="300" w:lineRule="atLeast"/>
        <w:ind w:firstLine="480"/>
        <w:rPr>
          <w:rFonts w:ascii="宋体" w:hAnsi="宋体" w:cs="宋体"/>
          <w:color w:val="000000"/>
          <w:sz w:val="24"/>
          <w:szCs w:val="24"/>
          <w:lang w:eastAsia="zh-CN"/>
        </w:rPr>
      </w:pPr>
    </w:p>
    <w:p w:rsidR="006F4582" w14:paraId="51B43C93" w14:textId="77777777">
      <w:pPr>
        <w:widowControl/>
        <w:jc w:val="left"/>
        <w:rPr>
          <w:rFonts w:ascii="宋体" w:hAnsi="宋体" w:cs="宋体"/>
          <w:b/>
          <w:bCs/>
          <w:color w:val="000000"/>
          <w:sz w:val="30"/>
          <w:szCs w:val="30"/>
          <w:highlight w:val="white"/>
          <w:lang w:eastAsia="zh-CN"/>
        </w:rPr>
      </w:pPr>
      <w:bookmarkStart w:id="136" w:name="_Toc375230485"/>
      <w:bookmarkStart w:id="137" w:name="_Toc125361080"/>
      <w:bookmarkStart w:id="138" w:name="_Toc477274817"/>
      <w:bookmarkStart w:id="139" w:name="_Toc4491309"/>
      <w:bookmarkEnd w:id="136"/>
      <w:bookmarkEnd w:id="137"/>
      <w:bookmarkEnd w:id="138"/>
      <w:r>
        <w:rPr>
          <w:color w:val="000000"/>
          <w:sz w:val="30"/>
          <w:szCs w:val="30"/>
          <w:highlight w:val="white"/>
          <w:lang w:eastAsia="zh-CN"/>
        </w:rPr>
        <w:br w:type="page"/>
      </w:r>
    </w:p>
    <w:p w:rsidR="009C72F0" w14:paraId="0A84C6B8" w14:textId="77777777">
      <w:pPr>
        <w:pStyle w:val="11"/>
        <w:jc w:val="center"/>
        <w:rPr>
          <w:rFonts w:ascii="Calibri" w:hAnsi="Calibri"/>
          <w:color w:val="000000"/>
          <w:sz w:val="21"/>
          <w:szCs w:val="21"/>
          <w:lang w:eastAsia="zh-CN"/>
        </w:rPr>
      </w:pPr>
      <w:r>
        <w:rPr>
          <w:rFonts w:hint="eastAsia"/>
          <w:color w:val="000000"/>
          <w:sz w:val="30"/>
          <w:szCs w:val="30"/>
          <w:highlight w:val="white"/>
          <w:lang w:eastAsia="zh-CN"/>
        </w:rPr>
        <w:t>八、基金资产净值计算和会计核算</w:t>
      </w:r>
      <w:bookmarkStart w:id="140" w:name="_Toc48703909"/>
      <w:bookmarkEnd w:id="139"/>
      <w:bookmarkEnd w:id="140"/>
    </w:p>
    <w:p w:rsidR="009C72F0" w:rsidRPr="006F4582" w14:paraId="22C8493A" w14:textId="77777777">
      <w:pPr>
        <w:widowControl/>
        <w:spacing w:before="156" w:beforeLines="50" w:after="156" w:afterLines="50"/>
        <w:ind w:firstLine="480"/>
        <w:rPr>
          <w:rFonts w:ascii="宋体" w:hAnsi="宋体" w:cs="宋体"/>
          <w:b w:val="0"/>
          <w:bCs/>
          <w:color w:val="000000"/>
          <w:sz w:val="24"/>
          <w:szCs w:val="24"/>
          <w:lang w:eastAsia="zh-CN"/>
        </w:rPr>
      </w:pPr>
      <w:bookmarkStart w:id="141" w:name="_Toc477272427"/>
      <w:bookmarkStart w:id="142" w:name="_Toc477270383"/>
      <w:bookmarkEnd w:id="141"/>
      <w:r w:rsidRPr="006F4582">
        <w:rPr>
          <w:rFonts w:ascii="宋体" w:hAnsi="宋体" w:cs="宋体" w:hint="eastAsia"/>
          <w:b w:val="0"/>
          <w:bCs/>
          <w:color w:val="000000"/>
          <w:sz w:val="24"/>
          <w:szCs w:val="24"/>
          <w:highlight w:val="white"/>
          <w:lang w:eastAsia="zh-CN"/>
        </w:rPr>
        <w:t>（一）基金资产净值的计算、复核的时间和程序</w:t>
      </w:r>
      <w:bookmarkEnd w:id="142"/>
    </w:p>
    <w:p w:rsidR="009C72F0" w14:paraId="78ADFB6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基金资产净值是指基金资产总值减去基金负债后的价值。</w:t>
      </w:r>
    </w:p>
    <w:p w:rsidR="009C72F0" w14:paraId="459192C0" w14:textId="62EBA7EC">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各类基金份额净值是按照每个估值日闭市后，各类基金资产净值除以当日该类基金份额的余额数量计算，精确到0.0001元，小数点后第5位四舍五入。</w:t>
      </w:r>
      <w:r w:rsidRPr="00DD2DC5">
        <w:rPr>
          <w:rFonts w:ascii="宋体" w:hAnsi="宋体" w:cs="宋体" w:hint="eastAsia"/>
          <w:color w:val="000000"/>
          <w:sz w:val="24"/>
          <w:szCs w:val="24"/>
          <w:lang w:eastAsia="zh-CN"/>
        </w:rPr>
        <w:t>基金管理人可以设立大额赎回情形下的净值精度应急调整机制。</w:t>
      </w:r>
      <w:r>
        <w:rPr>
          <w:rFonts w:ascii="宋体" w:hAnsi="宋体" w:cs="宋体"/>
          <w:color w:val="000000"/>
          <w:sz w:val="24"/>
          <w:szCs w:val="24"/>
          <w:highlight w:val="white"/>
          <w:lang w:eastAsia="zh-CN"/>
        </w:rPr>
        <w:t>国家另有规定的，从其规定。</w:t>
      </w:r>
    </w:p>
    <w:p w:rsidR="009C72F0" w14:paraId="7CB7B9C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应每个估值日对基金资产估值。但基金管理人根据法律法规或基金合同的规定暂停估值时除外。估值原则应符合《基金合同》、《证券投资基金会计核算业务指引》及其他法律、法规的规定。用于基金信息披露的基金资产净值和基金份额净值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按规定对基金资产净值予以公布。</w:t>
      </w:r>
    </w:p>
    <w:p w:rsidR="009C72F0" w14:paraId="2F5EBB98"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根据《基金法》，基金净值计算和基金会计核算的主要义务由基金管理人承担，基金管理人计算并公告基金净值，基金托管人复核、审查基金管理人计算的基金净值。因此，本基金的会计责任方是基金管理人，就与本基金有关的会计问题，如经双方在平等基础上充分讨论后，仍无法达成一致的意见，按照基金管理人对基金资产净值的计算结果对外予以公布。法律法规以及监管部门有强制规定的，从其规定。如有新增事项，按国家最新规定估值。</w:t>
      </w:r>
    </w:p>
    <w:p w:rsidR="009C72F0" w:rsidRPr="006F4582" w14:paraId="604F87F7" w14:textId="77777777">
      <w:pPr>
        <w:widowControl/>
        <w:spacing w:before="156" w:beforeLines="50" w:after="156" w:afterLines="50"/>
        <w:ind w:firstLine="480"/>
        <w:rPr>
          <w:rFonts w:ascii="宋体" w:hAnsi="宋体" w:cs="宋体"/>
          <w:b w:val="0"/>
          <w:bCs/>
          <w:color w:val="000000"/>
          <w:sz w:val="24"/>
          <w:szCs w:val="24"/>
          <w:lang w:eastAsia="zh-CN"/>
        </w:rPr>
      </w:pPr>
      <w:bookmarkStart w:id="143" w:name="_Toc477272428"/>
      <w:bookmarkStart w:id="144" w:name="_Toc477270384"/>
      <w:bookmarkEnd w:id="143"/>
      <w:r w:rsidRPr="006F4582">
        <w:rPr>
          <w:rFonts w:ascii="宋体" w:hAnsi="宋体" w:cs="宋体" w:hint="eastAsia"/>
          <w:b w:val="0"/>
          <w:bCs/>
          <w:color w:val="000000"/>
          <w:sz w:val="24"/>
          <w:szCs w:val="24"/>
          <w:highlight w:val="white"/>
          <w:lang w:eastAsia="zh-CN"/>
        </w:rPr>
        <w:t>（二）基金资产估值方法</w:t>
      </w:r>
      <w:bookmarkEnd w:id="144"/>
    </w:p>
    <w:p w:rsidR="009C72F0" w14:paraId="661FEF1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1、估值日</w:t>
      </w:r>
    </w:p>
    <w:p w:rsidR="009C72F0" w14:paraId="72240F75" w14:textId="77777777">
      <w:pPr>
        <w:widowControl/>
        <w:spacing w:after="120" w:line="300" w:lineRule="atLeast"/>
        <w:ind w:firstLine="480"/>
        <w:rPr>
          <w:rFonts w:ascii="宋体" w:hAnsi="宋体" w:cs="宋体"/>
          <w:color w:val="000000"/>
          <w:sz w:val="24"/>
          <w:szCs w:val="24"/>
          <w:lang w:eastAsia="zh-CN"/>
        </w:rPr>
      </w:pPr>
      <w:r>
        <w:rPr>
          <w:rFonts w:ascii="宋体" w:hAnsi="宋体" w:cs="宋体"/>
          <w:bCs/>
          <w:sz w:val="24"/>
          <w:szCs w:val="24"/>
          <w:highlight w:val="white"/>
          <w:lang w:eastAsia="zh-CN"/>
        </w:rPr>
        <w:t>本基金的估值日为本基金相关的证券交易场所的交易日以及国家法律法规规定需要对外披露基金净值的非交易日</w:t>
      </w:r>
      <w:r>
        <w:rPr>
          <w:rFonts w:hint="eastAsia"/>
          <w:bCs/>
          <w:sz w:val="24"/>
          <w:highlight w:val="white"/>
          <w:lang w:eastAsia="zh-CN"/>
        </w:rPr>
        <w:t>。</w:t>
      </w:r>
    </w:p>
    <w:p w:rsidR="009C72F0" w14:paraId="6C71EDFE"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2</w:t>
      </w:r>
      <w:r>
        <w:rPr>
          <w:rFonts w:ascii="宋体" w:hAnsi="宋体" w:cs="宋体" w:hint="eastAsia"/>
          <w:color w:val="000000"/>
          <w:sz w:val="24"/>
          <w:szCs w:val="24"/>
          <w:highlight w:val="white"/>
          <w:lang w:eastAsia="zh-CN"/>
        </w:rPr>
        <w:t>、估值对象</w:t>
      </w:r>
    </w:p>
    <w:p w:rsidR="009C72F0" w14:paraId="69C41817" w14:textId="77777777">
      <w:pPr>
        <w:widowControl/>
        <w:spacing w:after="120" w:line="300" w:lineRule="atLeast"/>
        <w:ind w:firstLine="480"/>
        <w:rPr>
          <w:rFonts w:ascii="宋体" w:hAnsi="宋体" w:cs="宋体"/>
          <w:color w:val="000000"/>
          <w:sz w:val="24"/>
          <w:szCs w:val="24"/>
          <w:lang w:eastAsia="zh-CN"/>
        </w:rPr>
      </w:pPr>
      <w:r>
        <w:rPr>
          <w:rFonts w:hint="eastAsia"/>
          <w:bCs/>
          <w:sz w:val="24"/>
          <w:highlight w:val="white"/>
          <w:lang w:eastAsia="zh-CN"/>
        </w:rPr>
        <w:t>基金所拥有的股票、债券、衍生工具和银行存款本息、应收款项、其它投资等资产及负债。</w:t>
      </w:r>
    </w:p>
    <w:p w:rsidR="009C72F0" w14:paraId="22DD1D13"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3</w:t>
      </w:r>
      <w:r>
        <w:rPr>
          <w:rFonts w:ascii="宋体" w:hAnsi="宋体" w:cs="宋体" w:hint="eastAsia"/>
          <w:color w:val="000000"/>
          <w:sz w:val="24"/>
          <w:szCs w:val="24"/>
          <w:highlight w:val="white"/>
          <w:lang w:eastAsia="zh-CN"/>
        </w:rPr>
        <w:t>、估值方法</w:t>
      </w:r>
    </w:p>
    <w:p w:rsidR="009C72F0" w14:paraId="17B118E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本基金的估值方法为：</w:t>
      </w:r>
    </w:p>
    <w:p w:rsidR="009C72F0" w14:paraId="001515D6" w14:textId="77777777">
      <w:pPr>
        <w:widowControl/>
        <w:spacing w:after="120" w:line="300" w:lineRule="atLeast"/>
        <w:ind w:firstLine="480"/>
        <w:rPr>
          <w:lang w:eastAsia="zh-CN"/>
        </w:rPr>
      </w:pPr>
      <w:r>
        <w:rPr>
          <w:rFonts w:ascii="宋体" w:hAnsi="宋体" w:cs="宋体"/>
          <w:color w:val="000000"/>
          <w:sz w:val="24"/>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C72F0" w14:paraId="43F363E5" w14:textId="77777777">
      <w:pPr>
        <w:widowControl/>
        <w:spacing w:after="120" w:line="300" w:lineRule="atLeast"/>
        <w:ind w:firstLine="480"/>
        <w:rPr>
          <w:lang w:eastAsia="zh-CN"/>
        </w:rPr>
      </w:pPr>
      <w:r>
        <w:rPr>
          <w:rFonts w:ascii="宋体" w:hAnsi="宋体" w:cs="宋体"/>
          <w:color w:val="000000"/>
          <w:sz w:val="24"/>
          <w:highlight w:val="white"/>
          <w:lang w:eastAsia="zh-CN"/>
        </w:rPr>
        <w:t>（2）处于未上市期间的有价证券应区分如下情况处理：</w:t>
      </w:r>
    </w:p>
    <w:p w:rsidR="009C72F0" w14:paraId="6B4C2806" w14:textId="77777777">
      <w:pPr>
        <w:widowControl/>
        <w:spacing w:after="120" w:line="300" w:lineRule="atLeast"/>
        <w:ind w:firstLine="480"/>
        <w:rPr>
          <w:lang w:eastAsia="zh-CN"/>
        </w:rPr>
      </w:pPr>
      <w:r>
        <w:rPr>
          <w:rFonts w:ascii="宋体" w:hAnsi="宋体" w:cs="宋体"/>
          <w:color w:val="000000"/>
          <w:sz w:val="24"/>
          <w:highlight w:val="white"/>
          <w:lang w:eastAsia="zh-CN"/>
        </w:rPr>
        <w:t>1）送股、转增股、配股和公开增发的新股，按估值日在证券交易所挂牌的同一股票的估值方法估值；该日无交易的，以最近一日的市价（收盘价）估值；</w:t>
      </w:r>
    </w:p>
    <w:p w:rsidR="009C72F0" w14:paraId="63A861DE" w14:textId="77777777">
      <w:pPr>
        <w:widowControl/>
        <w:spacing w:after="120" w:line="300" w:lineRule="atLeast"/>
        <w:ind w:firstLine="480"/>
        <w:rPr>
          <w:lang w:eastAsia="zh-CN"/>
        </w:rPr>
      </w:pPr>
      <w:r>
        <w:rPr>
          <w:rFonts w:ascii="宋体" w:hAnsi="宋体" w:cs="宋体"/>
          <w:color w:val="000000"/>
          <w:sz w:val="24"/>
          <w:highlight w:val="white"/>
          <w:lang w:eastAsia="zh-CN"/>
        </w:rPr>
        <w:t>2）首次公开发行未上市的股票，采用估值技术确定公允价值；</w:t>
      </w:r>
    </w:p>
    <w:p w:rsidR="009C72F0" w14:paraId="4DBF6CDF" w14:textId="77777777">
      <w:pPr>
        <w:widowControl/>
        <w:spacing w:after="120" w:line="300" w:lineRule="atLeast"/>
        <w:ind w:firstLine="480"/>
        <w:rPr>
          <w:lang w:eastAsia="zh-CN"/>
        </w:rPr>
      </w:pPr>
      <w:r>
        <w:rPr>
          <w:rFonts w:ascii="宋体" w:hAnsi="宋体" w:cs="宋体"/>
          <w:color w:val="000000"/>
          <w:sz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9C72F0" w14:paraId="43C07E14" w14:textId="77777777">
      <w:pPr>
        <w:widowControl/>
        <w:spacing w:after="120" w:line="300" w:lineRule="atLeast"/>
        <w:ind w:firstLine="480"/>
        <w:rPr>
          <w:lang w:eastAsia="zh-CN"/>
        </w:rPr>
      </w:pPr>
      <w:r>
        <w:rPr>
          <w:rFonts w:ascii="宋体" w:hAnsi="宋体" w:cs="宋体"/>
          <w:color w:val="000000"/>
          <w:sz w:val="24"/>
          <w:highlight w:val="white"/>
          <w:lang w:eastAsia="zh-CN"/>
        </w:rPr>
        <w:t>（3）对于已上市或已挂牌转让的不含权固定收益品种，选取估值日第三方估值基准服务机构提供的相应品种当日的估值全价进行估值。</w:t>
      </w:r>
    </w:p>
    <w:p w:rsidR="009C72F0" w14:paraId="4AB1A1A7" w14:textId="77777777">
      <w:pPr>
        <w:widowControl/>
        <w:spacing w:after="120" w:line="300" w:lineRule="atLeast"/>
        <w:ind w:firstLine="480"/>
        <w:rPr>
          <w:lang w:eastAsia="zh-CN"/>
        </w:rPr>
      </w:pPr>
      <w:r>
        <w:rPr>
          <w:rFonts w:ascii="宋体" w:hAnsi="宋体" w:cs="宋体"/>
          <w:color w:val="000000"/>
          <w:sz w:val="24"/>
          <w:highlight w:val="white"/>
          <w:lang w:eastAsia="zh-CN"/>
        </w:rPr>
        <w:t>（4）对于已上市或已挂牌转让的含权固定收益品种，选取估值日第三方估值基准服务机构提供的相应品种当日的唯一估值全价或推荐估值全价进行估值。</w:t>
      </w:r>
    </w:p>
    <w:p w:rsidR="009C72F0" w14:paraId="1B935C16" w14:textId="77777777">
      <w:pPr>
        <w:widowControl/>
        <w:spacing w:after="120" w:line="300" w:lineRule="atLeast"/>
        <w:ind w:firstLine="480"/>
        <w:rPr>
          <w:lang w:eastAsia="zh-CN"/>
        </w:rPr>
      </w:pPr>
      <w:r>
        <w:rPr>
          <w:rFonts w:ascii="宋体" w:hAnsi="宋体" w:cs="宋体"/>
          <w:color w:val="000000"/>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9C72F0" w14:paraId="7F40785A" w14:textId="77777777">
      <w:pPr>
        <w:widowControl/>
        <w:spacing w:after="120" w:line="300" w:lineRule="atLeast"/>
        <w:ind w:firstLine="480"/>
        <w:rPr>
          <w:lang w:eastAsia="zh-CN"/>
        </w:rPr>
      </w:pPr>
      <w:r>
        <w:rPr>
          <w:rFonts w:ascii="宋体" w:hAnsi="宋体" w:cs="宋体"/>
          <w:color w:val="000000"/>
          <w:sz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9C72F0" w14:paraId="67561605" w14:textId="77777777">
      <w:pPr>
        <w:widowControl/>
        <w:spacing w:after="120" w:line="300" w:lineRule="atLeast"/>
        <w:ind w:firstLine="480"/>
        <w:rPr>
          <w:lang w:eastAsia="zh-CN"/>
        </w:rPr>
      </w:pPr>
      <w:r>
        <w:rPr>
          <w:rFonts w:ascii="宋体" w:hAnsi="宋体" w:cs="宋体"/>
          <w:color w:val="000000"/>
          <w:sz w:val="24"/>
          <w:highlight w:val="white"/>
          <w:lang w:eastAsia="zh-CN"/>
        </w:rPr>
        <w:t>（6）对于未上市或未挂牌转让且不存在活跃市场的固定收益品种，采用在当前情况下适用并且有足够可利用数据和其他信息支持的估值技术确定其公允价值。</w:t>
      </w:r>
    </w:p>
    <w:p w:rsidR="009C72F0" w14:paraId="6C97AB6F" w14:textId="77777777">
      <w:pPr>
        <w:widowControl/>
        <w:spacing w:after="120" w:line="300" w:lineRule="atLeast"/>
        <w:ind w:firstLine="480"/>
        <w:rPr>
          <w:lang w:eastAsia="zh-CN"/>
        </w:rPr>
      </w:pPr>
      <w:r>
        <w:rPr>
          <w:rFonts w:ascii="宋体" w:hAnsi="宋体" w:cs="宋体"/>
          <w:color w:val="000000"/>
          <w:sz w:val="24"/>
          <w:highlight w:val="white"/>
          <w:lang w:eastAsia="zh-CN"/>
        </w:rPr>
        <w:t>（7）期货合约以估值当日结算价进行估值，估值当日无结算价的，且最近交易日后经济环境未发生重大变化的，采用最近交易日结算价估值。</w:t>
      </w:r>
    </w:p>
    <w:p w:rsidR="009C72F0" w14:paraId="1198B790" w14:textId="77777777">
      <w:pPr>
        <w:widowControl/>
        <w:spacing w:after="120" w:line="300" w:lineRule="atLeast"/>
        <w:ind w:firstLine="480"/>
        <w:rPr>
          <w:lang w:eastAsia="zh-CN"/>
        </w:rPr>
      </w:pPr>
      <w:r>
        <w:rPr>
          <w:rFonts w:ascii="宋体" w:hAnsi="宋体" w:cs="宋体"/>
          <w:color w:val="000000"/>
          <w:sz w:val="24"/>
          <w:highlight w:val="white"/>
          <w:lang w:eastAsia="zh-CN"/>
        </w:rPr>
        <w:t>（8）信用衍生品按第三方估值机构提供的当日估值价格进行估值，但管理人依法承担的责任，不因委托而免除；选定的第三方估值机构未提供估值价格时，按照有关法律法规及企业会计准则要求，采用合理估值技术确定公允价值。</w:t>
      </w:r>
    </w:p>
    <w:p w:rsidR="009C72F0" w14:paraId="2AC6DB11" w14:textId="77777777">
      <w:pPr>
        <w:widowControl/>
        <w:spacing w:after="120" w:line="300" w:lineRule="atLeast"/>
        <w:ind w:firstLine="480"/>
        <w:rPr>
          <w:lang w:eastAsia="zh-CN"/>
        </w:rPr>
      </w:pPr>
      <w:r>
        <w:rPr>
          <w:rFonts w:ascii="宋体" w:hAnsi="宋体" w:cs="宋体"/>
          <w:color w:val="000000"/>
          <w:sz w:val="24"/>
          <w:highlight w:val="white"/>
          <w:lang w:eastAsia="zh-CN"/>
        </w:rPr>
        <w:t>（9）如有充分理由表明按上述方法进行估值不能客观反映其公允价值的，基金管理人可根据具体情况与基金托管人商定后，按最能反映公允价值的价格估值。</w:t>
      </w:r>
    </w:p>
    <w:p w:rsidR="009C72F0" w14:paraId="29CEE728" w14:textId="77777777">
      <w:pPr>
        <w:widowControl/>
        <w:spacing w:after="120" w:line="300" w:lineRule="atLeast"/>
        <w:ind w:firstLine="480"/>
        <w:rPr>
          <w:lang w:eastAsia="zh-CN"/>
        </w:rPr>
      </w:pPr>
      <w:r>
        <w:rPr>
          <w:rFonts w:ascii="宋体" w:hAnsi="宋体" w:cs="宋体"/>
          <w:color w:val="000000"/>
          <w:sz w:val="24"/>
          <w:highlight w:val="white"/>
          <w:lang w:eastAsia="zh-CN"/>
        </w:rPr>
        <w:t>（10）当发生大额申购或赎回情形时，基金管理人可以采用摆动定价机制，以确保基金估值的公平性。</w:t>
      </w:r>
    </w:p>
    <w:p w:rsidR="009C72F0" w14:paraId="0186A40E" w14:textId="77777777">
      <w:pPr>
        <w:widowControl/>
        <w:spacing w:after="120" w:line="300" w:lineRule="atLeast"/>
        <w:ind w:firstLine="480"/>
        <w:rPr>
          <w:lang w:eastAsia="zh-CN"/>
        </w:rPr>
      </w:pPr>
      <w:r>
        <w:rPr>
          <w:rFonts w:ascii="宋体" w:hAnsi="宋体" w:cs="宋体"/>
          <w:color w:val="000000"/>
          <w:sz w:val="24"/>
          <w:highlight w:val="white"/>
          <w:lang w:eastAsia="zh-CN"/>
        </w:rPr>
        <w:t>（11）相关法律法规以及监管部门有强制规定的，从其规定。如有新增事项，按国家最新规定估值。</w:t>
      </w:r>
    </w:p>
    <w:p w:rsidR="009C72F0" w14:paraId="25505B3E"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9C72F0" w14:paraId="16C92F2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C72F0" w14:paraId="3F235B33"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4</w:t>
      </w:r>
      <w:r>
        <w:rPr>
          <w:rFonts w:ascii="宋体" w:hAnsi="宋体" w:cs="宋体" w:hint="eastAsia"/>
          <w:color w:val="000000"/>
          <w:sz w:val="24"/>
          <w:szCs w:val="24"/>
          <w:highlight w:val="white"/>
          <w:lang w:eastAsia="zh-CN"/>
        </w:rPr>
        <w:t>、特殊情形的处理</w:t>
      </w:r>
    </w:p>
    <w:p w:rsidR="009C72F0" w14:paraId="4A6E9C2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（1）基金管理人或基金托管人按估值方法的第（9）项进行估值时，所造成的误差不作为基金资产估值错误处理。</w:t>
      </w:r>
    </w:p>
    <w:p w:rsidR="009C72F0" w14:paraId="1069D75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9C72F0" w:rsidRPr="006F4582" w14:paraId="47761305" w14:textId="77777777">
      <w:pPr>
        <w:widowControl/>
        <w:spacing w:before="156" w:beforeLines="50" w:after="156" w:afterLines="50"/>
        <w:ind w:firstLine="480"/>
        <w:rPr>
          <w:rFonts w:ascii="宋体" w:hAnsi="宋体" w:cs="宋体"/>
          <w:b w:val="0"/>
          <w:bCs/>
          <w:color w:val="000000"/>
          <w:sz w:val="24"/>
          <w:szCs w:val="24"/>
          <w:lang w:eastAsia="zh-CN"/>
        </w:rPr>
      </w:pPr>
      <w:bookmarkStart w:id="145" w:name="_Toc477270385"/>
      <w:bookmarkStart w:id="146" w:name="_Toc477272429"/>
      <w:bookmarkStart w:id="147" w:name="_Toc22454458"/>
      <w:bookmarkEnd w:id="145"/>
      <w:bookmarkEnd w:id="146"/>
      <w:r w:rsidRPr="006F4582">
        <w:rPr>
          <w:rFonts w:ascii="宋体" w:hAnsi="宋体" w:cs="宋体" w:hint="eastAsia"/>
          <w:b w:val="0"/>
          <w:bCs/>
          <w:color w:val="000000"/>
          <w:sz w:val="24"/>
          <w:szCs w:val="24"/>
          <w:highlight w:val="white"/>
          <w:lang w:eastAsia="zh-CN"/>
        </w:rPr>
        <w:t>（三）估值差错处理</w:t>
      </w:r>
      <w:bookmarkEnd w:id="147"/>
    </w:p>
    <w:p w:rsidR="009C72F0" w14:paraId="17C4836E"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基金管理人和基金托管人将采取必要、适当、合理的措施确保基金资产估值的准确性、及时性。当任一类基金份额净值小数点后4位以内（含第4 位）发生估值错误时，视为该类基金份额净值错误。</w:t>
      </w:r>
    </w:p>
    <w:p w:rsidR="009C72F0" w14:paraId="68F2D9E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基金合同的当事人应按照以下约定处理：</w:t>
      </w:r>
    </w:p>
    <w:p w:rsidR="009C72F0" w14:paraId="479EE6B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1、估值错误类型</w:t>
      </w:r>
    </w:p>
    <w:p w:rsidR="009C72F0" w14:paraId="3606966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9C72F0" w14:paraId="35C4108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上述估值错误的主要类型包括但不限于：资料申报差错、数据传输差错、数据计算差错、系统故障差错、下达指令差错等。</w:t>
      </w:r>
    </w:p>
    <w:p w:rsidR="009C72F0" w14:paraId="3DBA1C13"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2、估值错误处理原则</w:t>
      </w:r>
    </w:p>
    <w:p w:rsidR="009C72F0" w14:paraId="27D3DE5E"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C72F0" w14:paraId="06069159"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（2）估值错误的责任方对有关当事人的直接损失负责，不对间接损失负责，并且仅对估值错误的有关直接当事人负责，不对第三方负责。</w:t>
      </w:r>
    </w:p>
    <w:p w:rsidR="009C72F0" w14:paraId="4502A49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C72F0" w14:paraId="1171744D"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（4）估值错误调整采用尽量恢复至假设未发生估值错误的正确情形的方式。</w:t>
      </w:r>
    </w:p>
    <w:p w:rsidR="009C72F0" w14:paraId="488764F8"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3、估值错误处理程序</w:t>
      </w:r>
    </w:p>
    <w:p w:rsidR="009C72F0" w14:paraId="0D39646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估值错误被发现后，有关的当事人应当及时进行处理，处理的程序如下：</w:t>
      </w:r>
    </w:p>
    <w:p w:rsidR="009C72F0" w14:paraId="6DCC680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（1）查明估值错误发生的原因，列明所有的当事人，并根据估值错误发生的原因确定估值错误的责任方；</w:t>
      </w:r>
    </w:p>
    <w:p w:rsidR="009C72F0" w14:paraId="55BFB46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（2）根据估值错误处理原则或当事人协商的方法对因估值错误造成的损失进行评估；</w:t>
      </w:r>
    </w:p>
    <w:p w:rsidR="009C72F0" w14:paraId="3677AD0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（3）根据估值错误处理原则或当事人协商的方法由估值错误的责任方进行更正和赔偿损失；</w:t>
      </w:r>
    </w:p>
    <w:p w:rsidR="009C72F0" w14:paraId="2834C8F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（4）根据估值错误处理的方法，需要修改基金登记机构交易数据的，由基金登记机构进行更正，并就估值错误的更正向有关当事人进行确认。</w:t>
      </w:r>
    </w:p>
    <w:p w:rsidR="009C72F0" w14:paraId="0C0DADA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4、基金份额净值估值错误处理的方法如下：</w:t>
      </w:r>
    </w:p>
    <w:p w:rsidR="009C72F0" w14:paraId="03CAB86F"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（1）基金份额净值计算出现错误时，基金管理人应当立即予以纠正，通报基金托管人，并采取合理的措施防止损失进一步扩大。</w:t>
      </w:r>
    </w:p>
    <w:p w:rsidR="009C72F0" w14:paraId="13121D9E"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（2）错误偏差达到该类基金份额净值的0.25%时，基金管理人应当通报基金托管人并报中国证监会备案；错误偏差达到该类基金份额净值的0.5%时，基金管理人应当公告，并报中国证监会备案。</w:t>
      </w:r>
    </w:p>
    <w:p w:rsidR="009C72F0" w14:paraId="3906FF14"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（3）前述内容如法律法规或监管机关另有规定的，从其规定处理。</w:t>
      </w:r>
    </w:p>
    <w:p w:rsidR="009C72F0" w:rsidRPr="006F4582" w14:paraId="5C748372" w14:textId="77777777">
      <w:pPr>
        <w:widowControl/>
        <w:spacing w:before="156" w:beforeLines="50" w:after="156" w:afterLines="50"/>
        <w:ind w:firstLine="480"/>
        <w:rPr>
          <w:rFonts w:ascii="宋体" w:hAnsi="宋体" w:cs="宋体"/>
          <w:b w:val="0"/>
          <w:bCs/>
          <w:color w:val="000000"/>
          <w:sz w:val="24"/>
          <w:szCs w:val="24"/>
          <w:lang w:eastAsia="zh-CN"/>
        </w:rPr>
      </w:pPr>
      <w:bookmarkStart w:id="148" w:name="_Toc48703910"/>
      <w:bookmarkStart w:id="149" w:name="_Toc22454459"/>
      <w:bookmarkStart w:id="150" w:name="_Toc477270386"/>
      <w:bookmarkStart w:id="151" w:name="_Toc477272430"/>
      <w:bookmarkEnd w:id="148"/>
      <w:bookmarkEnd w:id="149"/>
      <w:bookmarkEnd w:id="150"/>
      <w:bookmarkEnd w:id="151"/>
      <w:r w:rsidRPr="006F4582">
        <w:rPr>
          <w:rFonts w:ascii="宋体" w:hAnsi="宋体" w:cs="宋体" w:hint="eastAsia"/>
          <w:b w:val="0"/>
          <w:bCs/>
          <w:color w:val="000000"/>
          <w:sz w:val="24"/>
          <w:szCs w:val="24"/>
          <w:highlight w:val="white"/>
          <w:lang w:eastAsia="zh-CN"/>
        </w:rPr>
        <w:t>（四）基金账册的建立</w:t>
      </w:r>
    </w:p>
    <w:p w:rsidR="009C72F0" w14:paraId="7CE39CCE"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和基金托管人在《基金合同》生效后，应按照双方约定的同一记账方法和会计处理原则，分别独立地设置、登录和保管本基金的全套账册，对双方各自的账册定期进行核对，互相监督，以保证基金资产的安全。若双方对会计处理方法存在分歧，应以基金管理人的处理方法为准。</w:t>
      </w:r>
    </w:p>
    <w:p w:rsidR="009C72F0" w14:paraId="4303765C" w14:textId="77777777">
      <w:pPr>
        <w:widowControl/>
        <w:spacing w:after="120" w:line="300" w:lineRule="atLeast"/>
        <w:ind w:firstLine="480"/>
        <w:rPr>
          <w:rFonts w:cs="宋体"/>
          <w:color w:val="000000"/>
          <w:szCs w:val="21"/>
          <w:lang w:eastAsia="zh-CN"/>
        </w:rPr>
      </w:pPr>
      <w:r>
        <w:rPr>
          <w:rFonts w:ascii="宋体" w:hAnsi="宋体" w:cs="宋体" w:hint="eastAsia"/>
          <w:color w:val="000000"/>
          <w:sz w:val="24"/>
          <w:szCs w:val="24"/>
          <w:highlight w:val="white"/>
          <w:lang w:eastAsia="zh-CN"/>
        </w:rPr>
        <w:t>经对账发现双方的账目存在不符的，基金管理人和基金托管人必须及时查明原因并纠正，保证双方平行登录的账册记录完全相符。若当日核对不符，暂时无法查找到错账的原因而影响到基金净值信息的计算和公告的，以基金管理人的账册为准。</w:t>
      </w:r>
    </w:p>
    <w:p w:rsidR="009C72F0" w:rsidRPr="006F4582" w14:paraId="76E07412" w14:textId="77777777">
      <w:pPr>
        <w:widowControl/>
        <w:spacing w:before="156" w:beforeLines="50" w:after="156" w:afterLines="50"/>
        <w:ind w:firstLine="480"/>
        <w:rPr>
          <w:rFonts w:ascii="宋体" w:hAnsi="宋体" w:cs="宋体"/>
          <w:b w:val="0"/>
          <w:bCs/>
          <w:color w:val="000000"/>
          <w:sz w:val="24"/>
          <w:szCs w:val="24"/>
          <w:lang w:eastAsia="zh-CN"/>
        </w:rPr>
      </w:pPr>
      <w:bookmarkStart w:id="152" w:name="_Toc477270387"/>
      <w:bookmarkStart w:id="153" w:name="_Toc22454460"/>
      <w:bookmarkStart w:id="154" w:name="_Toc477272431"/>
      <w:bookmarkStart w:id="155" w:name="_Toc48703911"/>
      <w:bookmarkEnd w:id="152"/>
      <w:bookmarkEnd w:id="153"/>
      <w:bookmarkEnd w:id="154"/>
      <w:bookmarkEnd w:id="155"/>
      <w:r w:rsidRPr="006F4582">
        <w:rPr>
          <w:rFonts w:ascii="宋体" w:hAnsi="宋体" w:cs="宋体" w:hint="eastAsia"/>
          <w:b w:val="0"/>
          <w:bCs/>
          <w:color w:val="000000"/>
          <w:sz w:val="24"/>
          <w:szCs w:val="24"/>
          <w:highlight w:val="white"/>
          <w:lang w:eastAsia="zh-CN"/>
        </w:rPr>
        <w:t>（五）基金定期报告的编制和复核</w:t>
      </w:r>
      <w:bookmarkStart w:id="156" w:name="_Hlt89687912"/>
      <w:bookmarkEnd w:id="156"/>
    </w:p>
    <w:p w:rsidR="009C72F0" w14:paraId="1BD1CFC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基金财务报表由基金管理人和基金托管人分别独立编制。月度报表的编制，应于每月终了后5个工作日内完成。</w:t>
      </w:r>
    </w:p>
    <w:p w:rsidR="009C72F0" w14:paraId="5B1CB4DF"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应当在季度结束之日起15个工作日内，编制完成基金季度报告，将季度报告登载在规定网站上，并将季度报告提示性公告登载在规定报刊上；基金管理人应当在上半年结束之日起两个月内，编制完成基金中期报告，将中期报告登载在规定网站上，并将中期报告提示性公告登载在规定报刊上；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w:t>
      </w:r>
      <w:r>
        <w:rPr>
          <w:rFonts w:ascii="宋体" w:hAnsi="宋体" w:cs="宋体"/>
          <w:color w:val="000000"/>
          <w:sz w:val="24"/>
          <w:szCs w:val="24"/>
          <w:highlight w:val="white"/>
          <w:lang w:eastAsia="zh-CN"/>
        </w:rPr>
        <w:t>审计</w:t>
      </w:r>
      <w:r>
        <w:rPr>
          <w:rFonts w:ascii="宋体" w:hAnsi="宋体" w:cs="宋体" w:hint="eastAsia"/>
          <w:color w:val="000000"/>
          <w:sz w:val="24"/>
          <w:szCs w:val="24"/>
          <w:highlight w:val="white"/>
          <w:lang w:eastAsia="zh-CN"/>
        </w:rPr>
        <w:t>。</w:t>
      </w:r>
    </w:p>
    <w:p w:rsidR="009C72F0" w14:paraId="7753B5F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《基金合同》生效不足</w:t>
      </w:r>
      <w:r>
        <w:rPr>
          <w:rFonts w:ascii="宋体" w:hAnsi="宋体" w:cs="宋体"/>
          <w:color w:val="000000"/>
          <w:sz w:val="24"/>
          <w:szCs w:val="24"/>
          <w:highlight w:val="white"/>
          <w:lang w:eastAsia="zh-CN"/>
        </w:rPr>
        <w:t>2</w:t>
      </w:r>
      <w:r>
        <w:rPr>
          <w:rFonts w:ascii="宋体" w:hAnsi="宋体" w:cs="宋体" w:hint="eastAsia"/>
          <w:color w:val="000000"/>
          <w:sz w:val="24"/>
          <w:szCs w:val="24"/>
          <w:highlight w:val="white"/>
          <w:lang w:eastAsia="zh-CN"/>
        </w:rPr>
        <w:t>个月的，基金管理人可以不编制当期季度报告、中期报告或者年度报告。</w:t>
      </w:r>
    </w:p>
    <w:p w:rsidR="009C72F0" w14:paraId="61788E3C"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基金管理人在月度报表完成当日，以加密传真、加密电子邮件或双方约定的其他等方式将有关报表提供基金托管人复核；基金托管人在3个工作日内进行复核，并将复核结果及时书面通知基金管理人。基金管理人在季度报告完成当日，将有关报告提供基金托管人复核，基金托管人在收到后7个工作日内进行复核，并将复核结果书面通知基金管理人。基金管理人在中期报告完成当日，将有关报告提供基金托管人复核，基金托管人在收到后30日内进行复核，并将复核结果书面通知基金管理人。基金管理人在年度报告完成当日，将有关报告提供基金托管人复核，基金托管人在收到后45日内复核，并将复核结果书面通知基金管理人。</w:t>
      </w:r>
    </w:p>
    <w:p w:rsidR="009C72F0" w14:paraId="68F574F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在复核过程中，发现双方的报表存在不符时，基金管理人和基金托管人应共同查明原因，进行调整，调整以双方认可的账务处理方式为准。核对无误后，基金托管人在基金管理人提供的报告上加盖业务印鉴或者出具加盖托管业务章的复核意见书，双方各自留存一份。如果基金管理人与基金托管人不能于应当发布公告之日之前就相关报表达成一致，以基金管理人的意见为准，基金管理人有权按照其编制的报表对外发布公告，由此造成的损失由基金管理人承担赔偿责任，基金托管人不负赔偿责任，基金托管人有权就相关情况报中国证监会备案。</w:t>
      </w:r>
    </w:p>
    <w:p w:rsidR="009C72F0" w14:paraId="2B958B3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基金托管人在对财务会计报告、季度报告、中期报告或年度报告复核完毕后，需向基金管理人进行书面或电子确认，以备有权机构对相关文件审核时提示。</w:t>
      </w:r>
      <w:bookmarkStart w:id="157" w:name="_Toc523830000"/>
      <w:bookmarkStart w:id="158" w:name="_Toc466788859"/>
      <w:bookmarkStart w:id="159" w:name="_Toc22454461"/>
      <w:bookmarkStart w:id="160" w:name="_Hlt89689505"/>
      <w:bookmarkStart w:id="161" w:name="_Toc48703912"/>
      <w:bookmarkEnd w:id="157"/>
      <w:bookmarkEnd w:id="158"/>
      <w:bookmarkEnd w:id="159"/>
      <w:bookmarkEnd w:id="160"/>
      <w:bookmarkEnd w:id="161"/>
    </w:p>
    <w:p w:rsidR="009C72F0" w:rsidRPr="006F4582" w14:paraId="230A8224" w14:textId="77777777">
      <w:pPr>
        <w:widowControl/>
        <w:spacing w:before="156" w:beforeLines="50" w:after="156" w:afterLines="50"/>
        <w:ind w:firstLine="480"/>
        <w:rPr>
          <w:rFonts w:ascii="宋体" w:hAnsi="宋体" w:cs="宋体"/>
          <w:b w:val="0"/>
          <w:bCs/>
          <w:color w:val="000000"/>
          <w:sz w:val="24"/>
          <w:szCs w:val="24"/>
          <w:lang w:eastAsia="zh-CN"/>
        </w:rPr>
      </w:pPr>
      <w:r w:rsidRPr="006F4582">
        <w:rPr>
          <w:rFonts w:ascii="宋体" w:hAnsi="宋体" w:cs="宋体" w:hint="eastAsia"/>
          <w:b w:val="0"/>
          <w:bCs/>
          <w:color w:val="000000"/>
          <w:sz w:val="24"/>
          <w:szCs w:val="24"/>
          <w:highlight w:val="white"/>
          <w:lang w:eastAsia="zh-CN"/>
        </w:rPr>
        <w:t>（六）暂停估值的情形</w:t>
      </w:r>
    </w:p>
    <w:p w:rsidR="009C72F0" w14:paraId="652F6BA7"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1、基金投资所涉及的证券交易市场遇法定节假日或因其他原因暂停营业时；</w:t>
      </w:r>
    </w:p>
    <w:p w:rsidR="009C72F0" w14:paraId="6741D7EE"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2、因不可抗力致使基金管理人、基金托管人无法准确评估基金资产价值时；</w:t>
      </w:r>
    </w:p>
    <w:p w:rsidR="009C72F0" w14:paraId="6405C5BC"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3、当特定资产占前一估值日基金资产净值50%以上的，经与基金托管人协商确认后，基金管理人应当暂停估值；</w:t>
      </w:r>
    </w:p>
    <w:p w:rsidR="009C72F0" w:rsidRPr="006F4582" w14:paraId="4C7FBC4D"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4、中国证监会和基金合同认定的其它情形。</w:t>
      </w:r>
    </w:p>
    <w:p w:rsidR="009C72F0" w:rsidRPr="006F4582" w14:paraId="5B67AB3D" w14:textId="77777777">
      <w:pPr>
        <w:widowControl/>
        <w:spacing w:before="156" w:beforeLines="50" w:after="156" w:afterLines="50"/>
        <w:ind w:firstLine="480"/>
        <w:rPr>
          <w:rFonts w:ascii="宋体" w:hAnsi="宋体" w:cs="宋体"/>
          <w:b w:val="0"/>
          <w:bCs/>
          <w:color w:val="000000"/>
          <w:sz w:val="24"/>
          <w:szCs w:val="24"/>
          <w:lang w:eastAsia="zh-CN"/>
        </w:rPr>
      </w:pPr>
      <w:r w:rsidRPr="006F4582">
        <w:rPr>
          <w:rFonts w:ascii="宋体" w:hAnsi="宋体" w:cs="宋体" w:hint="eastAsia"/>
          <w:b w:val="0"/>
          <w:bCs/>
          <w:color w:val="000000"/>
          <w:sz w:val="24"/>
          <w:szCs w:val="24"/>
          <w:highlight w:val="white"/>
          <w:lang w:eastAsia="zh-CN"/>
        </w:rPr>
        <w:t>（七）实施侧袋机制期间的基金资产估值</w:t>
      </w:r>
    </w:p>
    <w:p w:rsidR="009C72F0" w14:paraId="3321382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本基金实施侧袋机制的，应根据本部分的约定对主袋账户资产进行估值并披露主袋账户的基金资产净值和份额净值，暂停披露侧袋账户份额净值。</w:t>
      </w:r>
    </w:p>
    <w:p w:rsidR="009C72F0" w14:paraId="1C72EBDC" w14:textId="77777777">
      <w:pPr>
        <w:pStyle w:val="11"/>
        <w:jc w:val="center"/>
        <w:rPr>
          <w:color w:val="000000"/>
          <w:sz w:val="30"/>
          <w:szCs w:val="30"/>
          <w:lang w:eastAsia="zh-CN"/>
        </w:rPr>
      </w:pPr>
      <w:r>
        <w:rPr>
          <w:color w:val="000000"/>
          <w:sz w:val="24"/>
          <w:szCs w:val="24"/>
          <w:highlight w:val="white"/>
          <w:lang w:eastAsia="zh-CN"/>
        </w:rPr>
        <w:br w:type="page"/>
      </w:r>
      <w:bookmarkStart w:id="162" w:name="_Toc124749944"/>
      <w:bookmarkStart w:id="163" w:name="_Toc123626175"/>
      <w:bookmarkStart w:id="164" w:name="_Toc125361081"/>
      <w:bookmarkStart w:id="165" w:name="_Toc477274818"/>
      <w:bookmarkStart w:id="166" w:name="_Toc124749233"/>
      <w:bookmarkStart w:id="167" w:name="_Toc375230486"/>
      <w:bookmarkStart w:id="168" w:name="_Toc4491310"/>
      <w:bookmarkEnd w:id="162"/>
      <w:bookmarkEnd w:id="163"/>
      <w:bookmarkEnd w:id="164"/>
      <w:bookmarkEnd w:id="165"/>
      <w:bookmarkEnd w:id="166"/>
      <w:bookmarkEnd w:id="167"/>
      <w:r>
        <w:rPr>
          <w:rFonts w:hint="eastAsia"/>
          <w:color w:val="000000"/>
          <w:sz w:val="30"/>
          <w:szCs w:val="30"/>
          <w:highlight w:val="white"/>
          <w:lang w:eastAsia="zh-CN"/>
        </w:rPr>
        <w:t>九、基金收益分配</w:t>
      </w:r>
      <w:bookmarkEnd w:id="168"/>
    </w:p>
    <w:p w:rsidR="009C72F0" w:rsidRPr="006F4582" w14:paraId="7FCF0E4A" w14:textId="77777777">
      <w:pPr>
        <w:widowControl/>
        <w:spacing w:before="156" w:beforeLines="50" w:after="156" w:afterLines="50"/>
        <w:ind w:firstLine="480"/>
        <w:rPr>
          <w:rFonts w:ascii="宋体" w:hAnsi="宋体" w:cs="宋体"/>
          <w:b w:val="0"/>
          <w:bCs/>
          <w:color w:val="000000"/>
          <w:sz w:val="24"/>
          <w:szCs w:val="24"/>
          <w:lang w:eastAsia="zh-CN"/>
        </w:rPr>
      </w:pPr>
      <w:bookmarkStart w:id="169" w:name="_Toc22454462"/>
      <w:bookmarkStart w:id="170" w:name="_Toc48703913"/>
      <w:bookmarkStart w:id="171" w:name="_Toc477270389"/>
      <w:bookmarkStart w:id="172" w:name="_Toc477272433"/>
      <w:bookmarkEnd w:id="169"/>
      <w:bookmarkEnd w:id="170"/>
      <w:bookmarkEnd w:id="171"/>
      <w:bookmarkEnd w:id="172"/>
      <w:r w:rsidRPr="006F4582">
        <w:rPr>
          <w:rFonts w:ascii="宋体" w:hAnsi="宋体" w:cs="宋体" w:hint="eastAsia"/>
          <w:b w:val="0"/>
          <w:bCs/>
          <w:color w:val="000000"/>
          <w:sz w:val="24"/>
          <w:szCs w:val="24"/>
          <w:highlight w:val="white"/>
          <w:lang w:eastAsia="zh-CN"/>
        </w:rPr>
        <w:t>（一）基金收益分配的原则</w:t>
      </w:r>
    </w:p>
    <w:p w:rsidR="009C72F0" w14:paraId="45643600"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1、在符合有关基金分红条件的前提下，基金管理人可以根据实际情况进行收益分配，具体分配方案以公告为准，若《基金合同》生效不满3个月可不进行收益分配；</w:t>
      </w:r>
    </w:p>
    <w:p w:rsidR="009C72F0" w14:paraId="3078876D"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9C72F0" w14:paraId="1AF029E1"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3、基金收益分配后基金份额净值不能低于面值；即基金收益分配基准日的基金份额净值减去每单位基金份额收益分配金额后不能低于面值；</w:t>
      </w:r>
    </w:p>
    <w:p w:rsidR="009C72F0" w14:paraId="0A8368F2"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4、本基金各基金份额类别在费用收取上不同，其对应的可分配收益可能有所不同。同一类别的每一基金份额享有同等分配权；</w:t>
      </w:r>
    </w:p>
    <w:p w:rsidR="009C72F0" w14:paraId="6E5DB4F9"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5、在对基金份额持有人利益无实质不利影响的前提下，基金管理人可调整基金收益的分配原则和支付方式，不需召开基金份额持有人大会审议；</w:t>
      </w:r>
    </w:p>
    <w:p w:rsidR="009C72F0" w14:paraId="1BF4A2FB"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6、法律法规或监管机关另有规定的，从其规定。</w:t>
      </w:r>
    </w:p>
    <w:p w:rsidR="009C72F0" w:rsidRPr="006F4582" w14:paraId="60876C3D" w14:textId="77777777">
      <w:pPr>
        <w:widowControl/>
        <w:spacing w:before="156" w:beforeLines="50" w:after="156" w:afterLines="50"/>
        <w:ind w:firstLine="480"/>
        <w:rPr>
          <w:rFonts w:ascii="宋体" w:hAnsi="宋体" w:cs="宋体"/>
          <w:b w:val="0"/>
          <w:bCs/>
          <w:color w:val="000000"/>
          <w:sz w:val="24"/>
          <w:szCs w:val="24"/>
          <w:lang w:eastAsia="zh-CN"/>
        </w:rPr>
      </w:pPr>
      <w:r w:rsidRPr="006F4582">
        <w:rPr>
          <w:rFonts w:ascii="宋体" w:hAnsi="宋体" w:cs="宋体" w:hint="eastAsia"/>
          <w:b w:val="0"/>
          <w:bCs/>
          <w:color w:val="000000"/>
          <w:sz w:val="24"/>
          <w:szCs w:val="24"/>
          <w:highlight w:val="white"/>
          <w:lang w:eastAsia="zh-CN"/>
        </w:rPr>
        <w:t>（二）基金收益分配方案的制定和实施程序</w:t>
      </w:r>
    </w:p>
    <w:p w:rsidR="009C72F0" w14:paraId="465044F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本基金收益分配方案由基金管理人拟定，并由基金托管人复核，在2日内在规定媒介公告。</w:t>
      </w:r>
    </w:p>
    <w:p w:rsidR="009C72F0" w14:paraId="107190C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法律法规或监管机构另有规定的，从其规定。</w:t>
      </w:r>
    </w:p>
    <w:p w:rsidR="009C72F0" w:rsidRPr="006F4582" w14:paraId="6FCC7AE8" w14:textId="77777777">
      <w:pPr>
        <w:widowControl/>
        <w:spacing w:before="156" w:beforeLines="50" w:after="156" w:afterLines="50"/>
        <w:ind w:firstLine="480"/>
        <w:rPr>
          <w:rFonts w:ascii="宋体" w:hAnsi="宋体" w:cs="宋体"/>
          <w:b w:val="0"/>
          <w:bCs/>
          <w:color w:val="000000"/>
          <w:sz w:val="24"/>
          <w:szCs w:val="24"/>
          <w:lang w:eastAsia="zh-CN"/>
        </w:rPr>
      </w:pPr>
      <w:r w:rsidRPr="006F4582">
        <w:rPr>
          <w:rFonts w:ascii="宋体" w:hAnsi="宋体" w:cs="宋体" w:hint="eastAsia"/>
          <w:b w:val="0"/>
          <w:bCs/>
          <w:color w:val="000000"/>
          <w:sz w:val="24"/>
          <w:szCs w:val="24"/>
          <w:highlight w:val="white"/>
          <w:lang w:eastAsia="zh-CN"/>
        </w:rPr>
        <w:t>（三）实施侧袋机制期间的收益分配</w:t>
      </w:r>
    </w:p>
    <w:p w:rsidR="009C72F0" w14:paraId="12941B3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本基金实施侧袋机制的，侧袋账户不进行收益分配，详见招募说明书的规定。</w:t>
      </w:r>
    </w:p>
    <w:p w:rsidR="009C72F0" w14:paraId="56E47CB8"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16918F17" w14:textId="77777777">
      <w:pPr>
        <w:pStyle w:val="11"/>
        <w:jc w:val="center"/>
        <w:rPr>
          <w:rFonts w:ascii="Calibri" w:hAnsi="Calibri"/>
          <w:color w:val="000000"/>
          <w:sz w:val="21"/>
          <w:szCs w:val="21"/>
          <w:lang w:eastAsia="zh-CN"/>
        </w:rPr>
      </w:pPr>
      <w:bookmarkStart w:id="173" w:name="_Toc477274819"/>
      <w:bookmarkStart w:id="174" w:name="_Toc375230492"/>
      <w:bookmarkStart w:id="175" w:name="_Toc4491311"/>
      <w:bookmarkEnd w:id="173"/>
      <w:r>
        <w:rPr>
          <w:rFonts w:hint="eastAsia"/>
          <w:color w:val="000000"/>
          <w:sz w:val="30"/>
          <w:szCs w:val="30"/>
          <w:highlight w:val="white"/>
          <w:lang w:eastAsia="zh-CN"/>
        </w:rPr>
        <w:t>十、</w:t>
      </w:r>
      <w:bookmarkStart w:id="176" w:name="_Toc124749945"/>
      <w:bookmarkStart w:id="177" w:name="_Toc125361082"/>
      <w:bookmarkStart w:id="178" w:name="_Toc123626176"/>
      <w:bookmarkStart w:id="179" w:name="_Toc466788861"/>
      <w:bookmarkStart w:id="180" w:name="_Toc124749234"/>
      <w:bookmarkStart w:id="181" w:name="_Toc375230493"/>
      <w:bookmarkStart w:id="182" w:name="_Toc48703916"/>
      <w:bookmarkStart w:id="183" w:name="_Toc22454465"/>
      <w:bookmarkStart w:id="184" w:name="_Toc523830002"/>
      <w:bookmarkEnd w:id="174"/>
      <w:bookmarkEnd w:id="176"/>
      <w:bookmarkEnd w:id="177"/>
      <w:bookmarkEnd w:id="178"/>
      <w:bookmarkEnd w:id="179"/>
      <w:bookmarkEnd w:id="180"/>
      <w:bookmarkEnd w:id="181"/>
      <w:bookmarkEnd w:id="182"/>
      <w:bookmarkEnd w:id="183"/>
      <w:bookmarkEnd w:id="184"/>
      <w:r>
        <w:rPr>
          <w:rFonts w:hint="eastAsia"/>
          <w:color w:val="000000"/>
          <w:sz w:val="30"/>
          <w:szCs w:val="30"/>
          <w:highlight w:val="white"/>
          <w:lang w:eastAsia="zh-CN"/>
        </w:rPr>
        <w:t>信息披露</w:t>
      </w:r>
      <w:bookmarkStart w:id="185" w:name="_Hlt89687670"/>
      <w:bookmarkEnd w:id="175"/>
      <w:bookmarkEnd w:id="185"/>
    </w:p>
    <w:p w:rsidR="009C72F0" w:rsidRPr="006F4582" w14:paraId="692B1C93" w14:textId="77777777">
      <w:pPr>
        <w:widowControl/>
        <w:spacing w:before="156" w:beforeLines="50" w:after="156" w:afterLines="50"/>
        <w:ind w:firstLine="480"/>
        <w:rPr>
          <w:rFonts w:ascii="宋体" w:hAnsi="宋体" w:cs="宋体"/>
          <w:b w:val="0"/>
          <w:bCs/>
          <w:color w:val="000000"/>
          <w:sz w:val="24"/>
          <w:szCs w:val="24"/>
          <w:lang w:eastAsia="zh-CN"/>
        </w:rPr>
      </w:pPr>
      <w:bookmarkStart w:id="186" w:name="_Toc22454466"/>
      <w:bookmarkStart w:id="187" w:name="_Toc477270391"/>
      <w:bookmarkStart w:id="188" w:name="_Toc48703917"/>
      <w:bookmarkStart w:id="189" w:name="_Toc477272435"/>
      <w:bookmarkEnd w:id="186"/>
      <w:bookmarkEnd w:id="187"/>
      <w:bookmarkEnd w:id="188"/>
      <w:bookmarkEnd w:id="189"/>
      <w:r w:rsidRPr="006F4582">
        <w:rPr>
          <w:rFonts w:ascii="宋体" w:hAnsi="宋体" w:cs="宋体" w:hint="eastAsia"/>
          <w:b w:val="0"/>
          <w:bCs/>
          <w:color w:val="000000"/>
          <w:sz w:val="24"/>
          <w:szCs w:val="24"/>
          <w:highlight w:val="white"/>
          <w:lang w:eastAsia="zh-CN"/>
        </w:rPr>
        <w:t>（一）保密义务</w:t>
      </w:r>
    </w:p>
    <w:p w:rsidR="009C72F0" w14:paraId="35F42E9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和基金管理人应按法律法规、基金合同的有关规定进行信息披露，拟公开披露的信息在公开披露之前应予保密。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或者有权机关、一方上市的证券交易所要求之外，不得在其公开披露之前，先行对任何第三方披露。但是，如下情况不应视为基金管理人或基金托管人违反保密义务：</w:t>
      </w:r>
    </w:p>
    <w:p w:rsidR="009C72F0" w14:paraId="73ABFBA4"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1、非因基金管理人和基金托管人的原因导致保密信息被披露、泄露或公开；</w:t>
      </w:r>
    </w:p>
    <w:p w:rsidR="009C72F0" w14:paraId="27E1C9E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2、基金管理人和基金托管人为遵守和服从法院判决、仲裁裁决或中国证监会等监管机构及其他有权机构的命令、决定所做出的信息披露或公开；</w:t>
      </w:r>
    </w:p>
    <w:p w:rsidR="009C72F0" w14:paraId="1C0B583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3、基金管理人和基金托管人在要求保密的前提下对自身聘请的外部法律顾问、财务顾问、审计人员、技术顾问等做出的必要信息披露。</w:t>
      </w:r>
    </w:p>
    <w:p w:rsidR="009C72F0" w:rsidRPr="006F4582" w14:paraId="7A432F42" w14:textId="77777777">
      <w:pPr>
        <w:widowControl/>
        <w:spacing w:before="156" w:beforeLines="50" w:after="156" w:afterLines="50"/>
        <w:ind w:firstLine="480"/>
        <w:rPr>
          <w:rFonts w:ascii="宋体" w:hAnsi="宋体" w:cs="宋体"/>
          <w:b w:val="0"/>
          <w:bCs/>
          <w:color w:val="000000"/>
          <w:sz w:val="24"/>
          <w:szCs w:val="24"/>
          <w:lang w:eastAsia="zh-CN"/>
        </w:rPr>
      </w:pPr>
      <w:bookmarkStart w:id="190" w:name="_Toc22454467"/>
      <w:bookmarkStart w:id="191" w:name="_Toc477270392"/>
      <w:bookmarkStart w:id="192" w:name="_Toc48703918"/>
      <w:bookmarkStart w:id="193" w:name="_Toc477272436"/>
      <w:bookmarkEnd w:id="190"/>
      <w:bookmarkEnd w:id="191"/>
      <w:bookmarkEnd w:id="192"/>
      <w:bookmarkEnd w:id="193"/>
      <w:r w:rsidRPr="006F4582">
        <w:rPr>
          <w:rFonts w:ascii="宋体" w:hAnsi="宋体" w:cs="宋体" w:hint="eastAsia"/>
          <w:b w:val="0"/>
          <w:bCs/>
          <w:color w:val="000000"/>
          <w:sz w:val="24"/>
          <w:szCs w:val="24"/>
          <w:highlight w:val="white"/>
          <w:lang w:eastAsia="zh-CN"/>
        </w:rPr>
        <w:t>（二）基金管理人和基金托管人在信息披露中的职责和信息披露程序</w:t>
      </w:r>
    </w:p>
    <w:p w:rsidR="009C72F0" w14:paraId="7E78E08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基金管理人和基金托管人应根据相关法律法规、《基金合同》的规定各自承担相应的信息披露职责。基金管理人和基金托管人负有积极配合、互相督促、彼此监督、保证其履行按照法定方式和时限披露的义务。</w:t>
      </w:r>
    </w:p>
    <w:p w:rsidR="009C72F0" w14:paraId="7E4B5883"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根据《信息披露办法》的要求，本基金信息披露的文件包括基金招募说明书、《基金合同》、基金托管协议、基金份额发售公告、基金产品资料概要、《基金合同》生效公告、定期报告（包括基金年度报告、基金中期报告和基金季度报告）、临时报告、基金净值信息、</w:t>
      </w:r>
      <w:r>
        <w:rPr>
          <w:rFonts w:ascii="宋体" w:hAnsi="宋体" w:cs="宋体" w:hint="eastAsia"/>
          <w:bCs/>
          <w:color w:val="000000"/>
          <w:sz w:val="24"/>
          <w:szCs w:val="24"/>
          <w:highlight w:val="white"/>
          <w:lang w:eastAsia="zh-CN"/>
        </w:rPr>
        <w:t>基金份额申购、赎回价格、</w:t>
      </w:r>
      <w:r>
        <w:rPr>
          <w:rFonts w:ascii="宋体" w:hAnsi="宋体" w:cs="宋体" w:hint="eastAsia"/>
          <w:color w:val="000000"/>
          <w:sz w:val="24"/>
          <w:szCs w:val="24"/>
          <w:highlight w:val="white"/>
          <w:lang w:eastAsia="zh-CN"/>
        </w:rPr>
        <w:t>澄清公告、</w:t>
      </w:r>
      <w:r>
        <w:rPr>
          <w:rFonts w:ascii="宋体" w:hAnsi="宋体" w:cs="宋体" w:hint="eastAsia"/>
          <w:bCs/>
          <w:color w:val="000000"/>
          <w:sz w:val="24"/>
          <w:szCs w:val="24"/>
          <w:highlight w:val="white"/>
          <w:lang w:eastAsia="zh-CN"/>
        </w:rPr>
        <w:t>清算报告、</w:t>
      </w:r>
      <w:r>
        <w:rPr>
          <w:rFonts w:ascii="宋体" w:hAnsi="宋体" w:cs="宋体" w:hint="eastAsia"/>
          <w:color w:val="000000"/>
          <w:sz w:val="24"/>
          <w:szCs w:val="24"/>
          <w:highlight w:val="white"/>
          <w:lang w:eastAsia="zh-CN"/>
        </w:rPr>
        <w:t>基金份额持有人大会决议及中国证监会规定的其他信息，由基金管理人拟定并负责公布。</w:t>
      </w:r>
    </w:p>
    <w:p w:rsidR="009C72F0" w14:paraId="2B8F8AF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应当按照相关法律法规、中国证监会的规定和《基金合同》的约定，对基金管理人编制的基金资产净值、基金份额净值、基金定期报告、更新的招募说明书、基金产品资料概要、基金清算报告等公开披露的相关基金信息进行复核、审查，并向基金管理人进行书面或电子确认。</w:t>
      </w:r>
    </w:p>
    <w:p w:rsidR="009C72F0" w14:paraId="3CD2AC1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基金年度报告中的财务会计报告部分，经符合《中华人民共和国证券法》规定的会计师事务所审计后，方可披露。</w:t>
      </w:r>
    </w:p>
    <w:p w:rsidR="009C72F0" w14:paraId="792125C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基金管理人应当在中国证监会规定的时间内，将应予披露的基金信息通过规定媒介披露。根据法律法规应由基金托管人公开披露的信息，基金托管人将通过规定媒介公开披露。</w:t>
      </w:r>
    </w:p>
    <w:p w:rsidR="009C72F0" w14:paraId="07B3365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bCs/>
          <w:color w:val="000000"/>
          <w:sz w:val="24"/>
          <w:szCs w:val="24"/>
          <w:highlight w:val="white"/>
          <w:lang w:eastAsia="zh-CN"/>
        </w:rPr>
        <w:t>依法必须披露的信息发布后，基金管理人、基金托管人应当按照相关法律法规规定将信息置备于公司办公场所，供社会公众查阅、复制。</w:t>
      </w:r>
      <w:r>
        <w:rPr>
          <w:rFonts w:ascii="宋体" w:hAnsi="宋体" w:cs="宋体" w:hint="eastAsia"/>
          <w:color w:val="000000"/>
          <w:sz w:val="24"/>
          <w:szCs w:val="24"/>
          <w:highlight w:val="white"/>
          <w:lang w:eastAsia="zh-CN"/>
        </w:rPr>
        <w:t>投资者可以免费查阅。在支付工本费后可在合理时间获得上述文件的复制件或复印件。基金管理人和基金托管人应保证文本的内容与所公告的内容完全一致。</w:t>
      </w:r>
    </w:p>
    <w:p w:rsidR="009C72F0" w14:paraId="013747A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基金管理人和基金托管人负责办理与基金有关的信息披露事宜时，对于根据本协议、《基金合同》规定或信息使用方要求的应由对方复核的事项，应经对方复核无误后，由基金管理人或基金托管人予以公布。</w:t>
      </w:r>
    </w:p>
    <w:p w:rsidR="009C72F0" w:rsidRPr="006F4582" w14:paraId="40C461B4" w14:textId="77777777">
      <w:pPr>
        <w:widowControl/>
        <w:spacing w:before="156" w:beforeLines="50" w:after="156" w:afterLines="50"/>
        <w:ind w:firstLine="480"/>
        <w:rPr>
          <w:rFonts w:ascii="宋体" w:hAnsi="宋体" w:cs="宋体"/>
          <w:b w:val="0"/>
          <w:bCs/>
          <w:color w:val="000000"/>
          <w:sz w:val="24"/>
          <w:szCs w:val="24"/>
          <w:lang w:eastAsia="zh-CN"/>
        </w:rPr>
      </w:pPr>
      <w:r w:rsidRPr="006F4582">
        <w:rPr>
          <w:rFonts w:ascii="宋体" w:hAnsi="宋体" w:cs="宋体" w:hint="eastAsia"/>
          <w:b w:val="0"/>
          <w:bCs/>
          <w:color w:val="000000"/>
          <w:sz w:val="24"/>
          <w:szCs w:val="24"/>
          <w:highlight w:val="white"/>
          <w:lang w:eastAsia="zh-CN"/>
        </w:rPr>
        <w:t>（三）暂停或延迟信息披露的情形</w:t>
      </w:r>
    </w:p>
    <w:p w:rsidR="009C72F0" w14:paraId="48E50B49"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当出现下述情况时，基金管理人和基金托管人可暂停或延迟披露基金相关信息：</w:t>
      </w:r>
    </w:p>
    <w:p w:rsidR="009C72F0" w14:paraId="15EECD1C"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1、不可抗力；</w:t>
      </w:r>
    </w:p>
    <w:p w:rsidR="009C72F0" w14:paraId="053F59A2"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2、基金投资所涉及的证券交易市场遇法定节假日或因其他原因暂停营业时；</w:t>
      </w:r>
    </w:p>
    <w:p w:rsidR="009C72F0" w14:paraId="6A5E40A4"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3、基金合同约定的暂停估值的情形；</w:t>
      </w:r>
    </w:p>
    <w:p w:rsidR="009C72F0" w14:paraId="3CE2B489"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4、法律法规、基金合同约定或中国证监会规定的情况。</w:t>
      </w:r>
    </w:p>
    <w:p w:rsidR="009C72F0" w:rsidRPr="006F4582" w14:paraId="6034C741" w14:textId="77777777">
      <w:pPr>
        <w:widowControl/>
        <w:spacing w:before="156" w:beforeLines="50" w:after="156" w:afterLines="50"/>
        <w:ind w:firstLine="480"/>
        <w:rPr>
          <w:rFonts w:ascii="宋体" w:hAnsi="宋体" w:cs="宋体"/>
          <w:b w:val="0"/>
          <w:bCs/>
          <w:color w:val="000000"/>
          <w:sz w:val="24"/>
          <w:szCs w:val="24"/>
          <w:lang w:eastAsia="zh-CN"/>
        </w:rPr>
      </w:pPr>
      <w:r w:rsidRPr="006F4582">
        <w:rPr>
          <w:rFonts w:ascii="宋体" w:hAnsi="宋体" w:cs="宋体" w:hint="eastAsia"/>
          <w:b w:val="0"/>
          <w:bCs/>
          <w:color w:val="000000"/>
          <w:sz w:val="24"/>
          <w:szCs w:val="24"/>
          <w:highlight w:val="white"/>
          <w:lang w:eastAsia="zh-CN"/>
        </w:rPr>
        <w:t>（四）实施侧袋机制期间的信息披露</w:t>
      </w:r>
    </w:p>
    <w:p w:rsidR="009C72F0" w14:paraId="63CD007F"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本基金实施侧袋机制的，相关信息披露义务人应当根据法律法规、基金合同和招募说明书的规定进行信息披露，详见招募说明书的规定。</w:t>
      </w:r>
    </w:p>
    <w:p w:rsidR="009C72F0" w14:paraId="4A98F9F4"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69B9DC1B" w14:textId="77777777">
      <w:pPr>
        <w:pStyle w:val="11"/>
        <w:jc w:val="center"/>
        <w:rPr>
          <w:rFonts w:ascii="Calibri" w:hAnsi="Calibri"/>
          <w:color w:val="000000"/>
          <w:sz w:val="21"/>
          <w:szCs w:val="21"/>
          <w:lang w:eastAsia="zh-CN"/>
        </w:rPr>
      </w:pPr>
      <w:bookmarkStart w:id="194" w:name="_Toc375230494"/>
      <w:bookmarkStart w:id="195" w:name="_Toc477274820"/>
      <w:bookmarkStart w:id="196" w:name="_Toc123626177"/>
      <w:bookmarkStart w:id="197" w:name="_Toc125361083"/>
      <w:bookmarkStart w:id="198" w:name="_Toc124749946"/>
      <w:bookmarkStart w:id="199" w:name="_Toc124749235"/>
      <w:bookmarkStart w:id="200" w:name="_Toc4491312"/>
      <w:bookmarkEnd w:id="194"/>
      <w:bookmarkEnd w:id="195"/>
      <w:bookmarkEnd w:id="196"/>
      <w:bookmarkEnd w:id="197"/>
      <w:bookmarkEnd w:id="198"/>
      <w:bookmarkEnd w:id="199"/>
      <w:r>
        <w:rPr>
          <w:rFonts w:hint="eastAsia"/>
          <w:color w:val="000000"/>
          <w:sz w:val="30"/>
          <w:szCs w:val="30"/>
          <w:highlight w:val="white"/>
          <w:lang w:eastAsia="zh-CN"/>
        </w:rPr>
        <w:t>十一、基金费用</w:t>
      </w:r>
      <w:bookmarkEnd w:id="200"/>
    </w:p>
    <w:p w:rsidR="009C72F0" w14:paraId="1A3DE92D" w14:textId="77777777">
      <w:pPr>
        <w:widowControl/>
        <w:spacing w:before="156" w:beforeLines="50" w:after="156" w:afterLines="50"/>
        <w:ind w:firstLine="480"/>
        <w:rPr>
          <w:rFonts w:ascii="宋体" w:hAnsi="宋体" w:cs="宋体"/>
          <w:bCs/>
          <w:color w:val="000000"/>
          <w:sz w:val="24"/>
          <w:szCs w:val="24"/>
          <w:lang w:eastAsia="zh-CN"/>
        </w:rPr>
      </w:pPr>
      <w:r>
        <w:rPr>
          <w:rFonts w:ascii="宋体" w:hAnsi="宋体" w:cs="宋体" w:hint="eastAsia"/>
          <w:bCs/>
          <w:color w:val="000000"/>
          <w:sz w:val="24"/>
          <w:szCs w:val="24"/>
          <w:highlight w:val="white"/>
          <w:lang w:eastAsia="zh-CN"/>
        </w:rPr>
        <w:t>（一）基金管理费的计提比例和计提方法</w:t>
      </w:r>
    </w:p>
    <w:p w:rsidR="009C72F0" w14:paraId="5427365E"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本基金的管理费按前一日基金资产净值的0.20%年费率计提。管理费的计算方法如下：</w:t>
      </w:r>
    </w:p>
    <w:p w:rsidR="009C72F0" w14:paraId="7F5D97E0"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H＝E×0.20%÷当年天数</w:t>
      </w:r>
    </w:p>
    <w:p w:rsidR="009C72F0" w14:paraId="44986383"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H为每日应计提的基金管理费</w:t>
      </w:r>
    </w:p>
    <w:p w:rsidR="009C72F0" w14:paraId="252E6B3D"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E为前一日的基金资产净值</w:t>
      </w:r>
    </w:p>
    <w:p w:rsidR="009C72F0" w14:paraId="00D4C40D" w14:textId="77777777">
      <w:pPr>
        <w:widowControl/>
        <w:spacing w:before="156" w:beforeLines="50" w:after="156" w:afterLines="50"/>
        <w:ind w:firstLine="480"/>
        <w:rPr>
          <w:rFonts w:ascii="宋体" w:hAnsi="宋体" w:cs="宋体"/>
          <w:color w:val="000000"/>
          <w:sz w:val="24"/>
          <w:szCs w:val="24"/>
          <w:lang w:eastAsia="zh-CN"/>
        </w:rPr>
      </w:pPr>
    </w:p>
    <w:p w:rsidR="009C72F0" w14:paraId="7D71E5BC" w14:textId="77777777">
      <w:pPr>
        <w:widowControl/>
        <w:spacing w:before="156" w:beforeLines="50" w:after="156" w:afterLines="50"/>
        <w:ind w:firstLine="480"/>
        <w:rPr>
          <w:rFonts w:ascii="宋体" w:hAnsi="宋体" w:cs="宋体"/>
          <w:bCs/>
          <w:color w:val="000000"/>
          <w:sz w:val="24"/>
          <w:szCs w:val="24"/>
          <w:lang w:eastAsia="zh-CN"/>
        </w:rPr>
      </w:pPr>
      <w:r>
        <w:rPr>
          <w:rFonts w:ascii="宋体" w:hAnsi="宋体" w:cs="宋体" w:hint="eastAsia"/>
          <w:bCs/>
          <w:color w:val="000000"/>
          <w:sz w:val="24"/>
          <w:szCs w:val="24"/>
          <w:highlight w:val="white"/>
          <w:lang w:eastAsia="zh-CN"/>
        </w:rPr>
        <w:t>（二）基金托管费的计提比例和计提方法</w:t>
      </w:r>
    </w:p>
    <w:p w:rsidR="009C72F0" w14:paraId="15875449"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本基金的托管费按前一日基金资产净值的0.05%的年费率计提。托管费的计算方法如下：</w:t>
      </w:r>
    </w:p>
    <w:p w:rsidR="009C72F0" w14:paraId="03B9449F"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H＝E×0.05%÷当年天数</w:t>
      </w:r>
    </w:p>
    <w:p w:rsidR="009C72F0" w14:paraId="758A41E7"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H为每日应计提的基金托管费</w:t>
      </w:r>
    </w:p>
    <w:p w:rsidR="009C72F0" w14:paraId="540F3952"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E为前一日的基金资产净值</w:t>
      </w:r>
    </w:p>
    <w:p w:rsidR="009C72F0" w14:paraId="6716E91C" w14:textId="77777777">
      <w:pPr>
        <w:widowControl/>
        <w:spacing w:before="156" w:beforeLines="50" w:after="156" w:afterLines="50"/>
        <w:ind w:firstLine="480"/>
        <w:rPr>
          <w:rFonts w:ascii="宋体" w:hAnsi="宋体" w:cs="宋体"/>
          <w:color w:val="000000"/>
          <w:sz w:val="24"/>
          <w:szCs w:val="24"/>
          <w:lang w:eastAsia="zh-CN"/>
        </w:rPr>
      </w:pPr>
    </w:p>
    <w:p w:rsidR="009C72F0" w14:paraId="74F9CDB5" w14:textId="77777777">
      <w:pPr>
        <w:widowControl/>
        <w:spacing w:before="156" w:beforeLines="50" w:after="156" w:afterLines="50"/>
        <w:ind w:firstLine="480"/>
        <w:rPr>
          <w:rFonts w:ascii="宋体" w:hAnsi="宋体" w:cs="宋体"/>
          <w:bCs/>
          <w:color w:val="000000"/>
          <w:sz w:val="24"/>
          <w:szCs w:val="24"/>
          <w:lang w:eastAsia="zh-CN"/>
        </w:rPr>
      </w:pPr>
      <w:r>
        <w:rPr>
          <w:rFonts w:ascii="宋体" w:hAnsi="宋体" w:cs="宋体" w:hint="eastAsia"/>
          <w:bCs/>
          <w:color w:val="000000"/>
          <w:sz w:val="24"/>
          <w:szCs w:val="24"/>
          <w:highlight w:val="white"/>
          <w:lang w:eastAsia="zh-CN"/>
        </w:rPr>
        <w:t>（三）销售服务费的计提比例和计提方法</w:t>
      </w:r>
    </w:p>
    <w:p w:rsidR="009C72F0" w14:paraId="2E55803B"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本基金A类基金份额不收取销售服务费，C类基金份额的销售服务费年费率为0.20%，按前一日C类基金资产净值的0.20%年费率计提。</w:t>
      </w:r>
    </w:p>
    <w:p w:rsidR="009C72F0" w14:paraId="21252B6E"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销售服务费的计算方法如下：</w:t>
      </w:r>
    </w:p>
    <w:p w:rsidR="009C72F0" w14:paraId="29FFE631"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H＝E×0.20%÷当年天数</w:t>
      </w:r>
    </w:p>
    <w:p w:rsidR="009C72F0" w14:paraId="592EA75D"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H 为C类基金份额每日应计提的销售服务费</w:t>
      </w:r>
    </w:p>
    <w:p w:rsidR="009C72F0" w14:paraId="6DD77226"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E 为C类基金份额前一日基金资产净值</w:t>
      </w:r>
    </w:p>
    <w:p w:rsidR="009C72F0" w14:paraId="7D431410" w14:textId="77777777">
      <w:pPr>
        <w:widowControl/>
        <w:spacing w:before="156" w:beforeLines="50" w:after="156" w:afterLines="50"/>
        <w:ind w:firstLine="480"/>
        <w:rPr>
          <w:rFonts w:ascii="宋体" w:hAnsi="宋体" w:cs="宋体"/>
          <w:color w:val="000000"/>
          <w:sz w:val="24"/>
          <w:szCs w:val="24"/>
          <w:lang w:eastAsia="zh-CN"/>
        </w:rPr>
      </w:pPr>
    </w:p>
    <w:p w:rsidR="009C72F0" w14:paraId="1165982F" w14:textId="77777777">
      <w:pPr>
        <w:widowControl/>
        <w:spacing w:before="156" w:beforeLines="50" w:after="156" w:afterLines="50"/>
        <w:ind w:firstLine="480"/>
        <w:rPr>
          <w:rFonts w:ascii="宋体" w:hAnsi="宋体" w:cs="宋体"/>
          <w:color w:val="000000"/>
          <w:sz w:val="24"/>
          <w:szCs w:val="24"/>
          <w:lang w:eastAsia="zh-CN"/>
        </w:rPr>
      </w:pPr>
      <w:r>
        <w:rPr>
          <w:rFonts w:ascii="宋体" w:hAnsi="宋体" w:cs="宋体" w:hint="eastAsia"/>
          <w:bCs/>
          <w:color w:val="000000"/>
          <w:sz w:val="24"/>
          <w:szCs w:val="24"/>
          <w:highlight w:val="white"/>
          <w:lang w:eastAsia="zh-CN"/>
        </w:rPr>
        <w:t>（四）</w:t>
      </w:r>
      <w:r>
        <w:rPr>
          <w:rFonts w:ascii="宋体" w:hAnsi="宋体" w:cs="宋体" w:hint="eastAsia"/>
          <w:color w:val="000000"/>
          <w:sz w:val="24"/>
          <w:szCs w:val="24"/>
          <w:highlight w:val="white"/>
          <w:lang w:eastAsia="zh-CN"/>
        </w:rPr>
        <w:t>基金合同生效以后的与基金相关的证券交易费用、银行汇划费用、基金合同生效后与基金相关的信息披露费用、基金份额持有人大会费用、账户开户及维护费用、《基金合同》生效后与基金相关的会计师费、律师费</w:t>
      </w:r>
      <w:r>
        <w:rPr>
          <w:rFonts w:hint="eastAsia"/>
          <w:bCs/>
          <w:sz w:val="24"/>
          <w:highlight w:val="white"/>
          <w:lang w:eastAsia="zh-CN"/>
        </w:rPr>
        <w:t>、</w:t>
      </w:r>
      <w:r>
        <w:rPr>
          <w:rFonts w:ascii="宋体" w:hAnsi="宋体" w:cs="宋体" w:hint="eastAsia"/>
          <w:color w:val="000000"/>
          <w:sz w:val="24"/>
          <w:szCs w:val="24"/>
          <w:highlight w:val="white"/>
          <w:lang w:eastAsia="zh-CN"/>
        </w:rPr>
        <w:t>仲裁费和诉讼费、根据有关法规、《基金合同》及相应协议的规定，由基金托管人按基金管理人的划款指令或者本协议的约定并根据费用实际支出金额支付，列入当期基金费用。</w:t>
      </w:r>
    </w:p>
    <w:p w:rsidR="009C72F0" w14:paraId="018C0BF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（五）不列入基金费用的项目</w:t>
      </w:r>
    </w:p>
    <w:p w:rsidR="009C72F0" w14:paraId="74B46BE8"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与基金托管人因未履行或未完全履行义务导致的费用支出或基金财产的损失、《基金合同》生效前的相关费用（包括但不限于验资费、会计师和律师费、信息披露费用等费用）、处理与基金运作无关的事项发生的费用、其他根据相关法律法规，以及中国证监会的有关规定不得列入基金费用的项目不列入基金费用。</w:t>
      </w:r>
    </w:p>
    <w:p w:rsidR="009C72F0" w14:paraId="489C875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（六）基金管理费、基金托管费、销售服务费的复核程序、支付方式和时间</w:t>
      </w:r>
    </w:p>
    <w:p w:rsidR="009C72F0" w14:paraId="37FFD9F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基金托管人对基金管理人计提的基金管理费、基金托管费、销售服务费，根据本托管协议和《基金合同》的有关规定进行复核。</w:t>
      </w:r>
    </w:p>
    <w:p w:rsidR="009C72F0" w14:paraId="6D597A4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基金管理费每日计提，按月支付。由基金托管人根据与基金管理人核对一致的财务数据，自动在月初</w:t>
      </w:r>
      <w:r>
        <w:rPr>
          <w:rFonts w:ascii="宋体" w:hAnsi="宋体" w:cs="宋体"/>
          <w:color w:val="000000"/>
          <w:sz w:val="24"/>
          <w:szCs w:val="24"/>
          <w:highlight w:val="white"/>
          <w:lang w:eastAsia="zh-CN"/>
        </w:rPr>
        <w:t>3</w:t>
      </w:r>
      <w:r>
        <w:rPr>
          <w:rFonts w:ascii="宋体" w:hAnsi="宋体" w:cs="宋体" w:hint="eastAsia"/>
          <w:color w:val="000000"/>
          <w:sz w:val="24"/>
          <w:szCs w:val="24"/>
          <w:highlight w:val="white"/>
          <w:lang w:eastAsia="zh-CN"/>
        </w:rPr>
        <w:t>个工作日内、按照指定的账户路径进行资金支付，基金管理人无需再出具资金划拨指令。若遇法定节假日、公休日等，支付日期顺延。</w:t>
      </w:r>
    </w:p>
    <w:p w:rsidR="009C72F0" w14:paraId="1CB59DD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基金托管费每日计提，按月支付。由基金托管人根据与基金管理人核对一致的财务数据，自动在月初</w:t>
      </w:r>
      <w:r>
        <w:rPr>
          <w:rFonts w:ascii="宋体" w:hAnsi="宋体" w:cs="宋体"/>
          <w:color w:val="000000"/>
          <w:sz w:val="24"/>
          <w:szCs w:val="24"/>
          <w:highlight w:val="white"/>
          <w:lang w:eastAsia="zh-CN"/>
        </w:rPr>
        <w:t>3</w:t>
      </w:r>
      <w:r>
        <w:rPr>
          <w:rFonts w:ascii="宋体" w:hAnsi="宋体" w:cs="宋体" w:hint="eastAsia"/>
          <w:color w:val="000000"/>
          <w:sz w:val="24"/>
          <w:szCs w:val="24"/>
          <w:highlight w:val="white"/>
          <w:lang w:eastAsia="zh-CN"/>
        </w:rPr>
        <w:t>个工作日内、按照指定的账户路径进行资金支付，基金管理人无需再出具资金划拨指令。若遇法定节假日、公休日等，支付日期顺延。</w:t>
      </w:r>
    </w:p>
    <w:p w:rsidR="009C72F0" w14:paraId="7E74E7B1" w14:textId="77777777">
      <w:pPr>
        <w:widowControl/>
        <w:spacing w:after="120" w:line="300" w:lineRule="atLeast"/>
        <w:ind w:firstLine="480"/>
        <w:rPr>
          <w:rFonts w:ascii="宋体" w:hAnsi="宋体" w:cs="宋体"/>
          <w:color w:val="000000"/>
          <w:sz w:val="24"/>
          <w:szCs w:val="24"/>
          <w:lang w:eastAsia="zh-CN"/>
        </w:rPr>
      </w:pPr>
      <w:r>
        <w:rPr>
          <w:rFonts w:hint="eastAsia"/>
          <w:bCs/>
          <w:sz w:val="24"/>
          <w:highlight w:val="white"/>
          <w:lang w:eastAsia="zh-CN"/>
        </w:rPr>
        <w:t>销售服务费每日计提，按月支付。由基金托管人根据与基金管理人核对一致的财务数据，自动在月初</w:t>
      </w:r>
      <w:r>
        <w:rPr>
          <w:bCs/>
          <w:sz w:val="24"/>
          <w:highlight w:val="white"/>
          <w:lang w:eastAsia="zh-CN"/>
        </w:rPr>
        <w:t>3</w:t>
      </w:r>
      <w:r>
        <w:rPr>
          <w:rFonts w:hint="eastAsia"/>
          <w:bCs/>
          <w:sz w:val="24"/>
          <w:highlight w:val="white"/>
          <w:lang w:eastAsia="zh-CN"/>
        </w:rPr>
        <w:t>个工作日内、按照指定的账户路径进行资金支付，基金管理人无需再出具资金划拨指令。</w:t>
      </w:r>
      <w:r>
        <w:rPr>
          <w:bCs/>
          <w:sz w:val="24"/>
          <w:highlight w:val="white"/>
          <w:lang w:eastAsia="zh-CN"/>
        </w:rPr>
        <w:t>若遇法定节假日、公休日等，支付日期顺延。</w:t>
      </w:r>
    </w:p>
    <w:p w:rsidR="009C72F0" w14:paraId="65E9600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七）如果基金托管人发现基金管理人违反有关法律法规的有关规定和《基金合同》、本协议的约定，从基金财产中列支费用，有权要求基金管理人做出书面解释，如果基金托管人认为基金管理人无正当或合理的理由，可以拒绝支付并及时告知基金管理人。</w:t>
      </w:r>
    </w:p>
    <w:p w:rsidR="009C72F0" w14:paraId="451671D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（八）实施侧袋机制期间的基金费用</w:t>
      </w:r>
    </w:p>
    <w:p w:rsidR="009C72F0" w14:paraId="0919476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9C72F0" w14:paraId="29D40FA8"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47697B72" w14:textId="77777777">
      <w:pPr>
        <w:pStyle w:val="11"/>
        <w:jc w:val="center"/>
        <w:rPr>
          <w:rFonts w:ascii="Calibri" w:hAnsi="Calibri"/>
          <w:color w:val="000000"/>
          <w:sz w:val="21"/>
          <w:szCs w:val="21"/>
          <w:lang w:eastAsia="zh-CN"/>
        </w:rPr>
      </w:pPr>
      <w:bookmarkStart w:id="201" w:name="_Toc477274821"/>
      <w:bookmarkStart w:id="202" w:name="_Toc124749947"/>
      <w:bookmarkStart w:id="203" w:name="_Toc375230495"/>
      <w:bookmarkStart w:id="204" w:name="_Toc125361084"/>
      <w:bookmarkStart w:id="205" w:name="_Toc4491313"/>
      <w:bookmarkEnd w:id="201"/>
      <w:bookmarkEnd w:id="202"/>
      <w:bookmarkEnd w:id="203"/>
      <w:bookmarkEnd w:id="204"/>
      <w:r>
        <w:rPr>
          <w:rFonts w:hint="eastAsia"/>
          <w:color w:val="000000"/>
          <w:sz w:val="30"/>
          <w:szCs w:val="30"/>
          <w:highlight w:val="white"/>
          <w:lang w:eastAsia="zh-CN"/>
        </w:rPr>
        <w:t>十二、基金份额持有人名册的保管</w:t>
      </w:r>
      <w:bookmarkEnd w:id="205"/>
    </w:p>
    <w:p w:rsidR="009C72F0" w14:paraId="34B18EF8"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基金管理人和基金托管人须分别妥善保管基金份额持有人名册。基金份额持有人名册的内容必须包括基金份额持有人的名称和持有的基金份额。</w:t>
      </w:r>
    </w:p>
    <w:p w:rsidR="009C72F0" w14:paraId="1AC68FA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基金份额持有人名册由基金的基金登记机构根据基金管理人的指令编制和保管，基金管理人和基金托管人应按照目前相关规则分别保管基金份额持有人名册。保管方式可以采用电子或文档的形式。保管期限</w:t>
      </w:r>
      <w:r>
        <w:rPr>
          <w:bCs/>
          <w:sz w:val="24"/>
          <w:highlight w:val="white"/>
          <w:lang w:eastAsia="zh-CN"/>
        </w:rPr>
        <w:t>不低于法定最低期限</w:t>
      </w:r>
      <w:r>
        <w:rPr>
          <w:rFonts w:ascii="宋体" w:hAnsi="宋体" w:cs="宋体" w:hint="eastAsia"/>
          <w:color w:val="000000"/>
          <w:sz w:val="24"/>
          <w:szCs w:val="24"/>
          <w:highlight w:val="white"/>
          <w:lang w:eastAsia="zh-CN"/>
        </w:rPr>
        <w:t>。</w:t>
      </w:r>
    </w:p>
    <w:p w:rsidR="009C72F0" w14:paraId="4E82693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基金托管人以电子版形式妥善保管基金份额持有人名册，并定期备份，保存期限</w:t>
      </w:r>
      <w:r>
        <w:rPr>
          <w:bCs/>
          <w:sz w:val="24"/>
          <w:highlight w:val="white"/>
          <w:lang w:eastAsia="zh-CN"/>
        </w:rPr>
        <w:t>不低于法定最低期限</w:t>
      </w:r>
      <w:r>
        <w:rPr>
          <w:rFonts w:ascii="宋体" w:hAnsi="宋体" w:cs="宋体" w:hint="eastAsia"/>
          <w:color w:val="000000"/>
          <w:sz w:val="24"/>
          <w:szCs w:val="24"/>
          <w:highlight w:val="white"/>
          <w:lang w:eastAsia="zh-CN"/>
        </w:rPr>
        <w:t>。基金托管人不得将所保管的基金份额持有人名册用于基金托管业务以外的其他用途，并应遵守保密义务。</w:t>
      </w:r>
    </w:p>
    <w:p w:rsidR="009C72F0" w14:paraId="7C0B318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若基金管理人或基金托管人由于自身原因无法妥善保管基金份额持有人名册，应按有关法规规定各自承担相应的责任。</w:t>
      </w:r>
    </w:p>
    <w:p w:rsidR="009C72F0" w14:paraId="5477097D"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75B3E257" w14:textId="77777777">
      <w:pPr>
        <w:pStyle w:val="11"/>
        <w:jc w:val="center"/>
        <w:rPr>
          <w:rFonts w:ascii="Calibri" w:hAnsi="Calibri"/>
          <w:color w:val="000000"/>
          <w:sz w:val="21"/>
          <w:szCs w:val="21"/>
          <w:lang w:eastAsia="zh-CN"/>
        </w:rPr>
      </w:pPr>
      <w:bookmarkStart w:id="206" w:name="_Toc125361085"/>
      <w:bookmarkStart w:id="207" w:name="_Toc375230496"/>
      <w:bookmarkStart w:id="208" w:name="_Hlt112616834"/>
      <w:bookmarkStart w:id="209" w:name="_Toc477274822"/>
      <w:bookmarkStart w:id="210" w:name="_Toc124749948"/>
      <w:bookmarkStart w:id="211" w:name="_Toc4491314"/>
      <w:bookmarkEnd w:id="206"/>
      <w:bookmarkEnd w:id="207"/>
      <w:bookmarkEnd w:id="208"/>
      <w:bookmarkEnd w:id="209"/>
      <w:bookmarkEnd w:id="210"/>
      <w:r>
        <w:rPr>
          <w:rFonts w:hint="eastAsia"/>
          <w:color w:val="000000"/>
          <w:sz w:val="30"/>
          <w:szCs w:val="30"/>
          <w:highlight w:val="white"/>
          <w:lang w:eastAsia="zh-CN"/>
        </w:rPr>
        <w:t>十三、基金有关文件和档案的保存</w:t>
      </w:r>
      <w:bookmarkEnd w:id="211"/>
    </w:p>
    <w:p w:rsidR="009C72F0" w14:paraId="10FF0CF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基金托管人按各自职责完整保存原始凭证、记账凭证、基金账册、交易记录和重要合同等，保存期限按照法律法规的规定执行，对相关信息负有保密义务，但司法强制检查情形及法律法规规定的其它情形除外。其中，基金管理人应保存基金财产管理业务活动的记录、账册、报表和其他相关资料，基金托管人应保存基金托管业务活动的记录、账册、报表和其他相关资料。</w:t>
      </w:r>
    </w:p>
    <w:p w:rsidR="009C72F0" w14:paraId="23A0D578"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基金管理人签署重大合同文本后，应及时将合同文本正本送达基金托管人处。基金管理人应及时将与本基金账务处理、资金划拨等有关的合同、协议传真给基金托管人。</w:t>
      </w:r>
    </w:p>
    <w:p w:rsidR="009C72F0" w14:paraId="6C2A147D"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基金管理人或基金托管人变更后，未变更的一方有义务协助接任人接收基金的有关文件。</w:t>
      </w:r>
    </w:p>
    <w:p w:rsidR="009C72F0" w14:paraId="2560EC95"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1260DCA2" w14:textId="77777777">
      <w:pPr>
        <w:pStyle w:val="11"/>
        <w:jc w:val="center"/>
        <w:rPr>
          <w:rFonts w:ascii="Calibri" w:hAnsi="Calibri"/>
          <w:color w:val="000000"/>
          <w:sz w:val="21"/>
          <w:szCs w:val="21"/>
          <w:lang w:eastAsia="zh-CN"/>
        </w:rPr>
      </w:pPr>
      <w:bookmarkStart w:id="212" w:name="_Toc477274823"/>
      <w:bookmarkStart w:id="213" w:name="_Toc124749236"/>
      <w:bookmarkStart w:id="214" w:name="_Toc375230497"/>
      <w:bookmarkStart w:id="215" w:name="_Toc123626180"/>
      <w:bookmarkStart w:id="216" w:name="_Toc125361086"/>
      <w:bookmarkStart w:id="217" w:name="_Toc124749949"/>
      <w:bookmarkStart w:id="218" w:name="_Toc4491315"/>
      <w:bookmarkEnd w:id="212"/>
      <w:bookmarkEnd w:id="213"/>
      <w:bookmarkEnd w:id="214"/>
      <w:bookmarkEnd w:id="215"/>
      <w:bookmarkEnd w:id="216"/>
      <w:bookmarkEnd w:id="217"/>
      <w:r>
        <w:rPr>
          <w:rFonts w:hint="eastAsia"/>
          <w:color w:val="000000"/>
          <w:sz w:val="30"/>
          <w:szCs w:val="30"/>
          <w:highlight w:val="white"/>
          <w:lang w:eastAsia="zh-CN"/>
        </w:rPr>
        <w:t>十四、基金管理人和基金托管人的更换</w:t>
      </w:r>
      <w:bookmarkEnd w:id="218"/>
    </w:p>
    <w:p w:rsidR="009C72F0" w:rsidRPr="006F4582" w14:paraId="28FCF7CA" w14:textId="77777777">
      <w:pPr>
        <w:widowControl/>
        <w:spacing w:before="156" w:beforeLines="50" w:after="156" w:afterLines="50"/>
        <w:ind w:firstLine="480"/>
        <w:rPr>
          <w:rFonts w:ascii="宋体" w:hAnsi="宋体" w:cs="宋体"/>
          <w:b w:val="0"/>
          <w:bCs/>
          <w:color w:val="000000"/>
          <w:sz w:val="24"/>
          <w:szCs w:val="24"/>
          <w:lang w:eastAsia="zh-CN"/>
        </w:rPr>
      </w:pPr>
      <w:bookmarkStart w:id="219" w:name="_Toc477272441"/>
      <w:bookmarkStart w:id="220" w:name="_Toc48703925"/>
      <w:bookmarkStart w:id="221" w:name="_Toc57530253"/>
      <w:bookmarkStart w:id="222" w:name="_Toc15118246"/>
      <w:bookmarkStart w:id="223" w:name="_Toc22454474"/>
      <w:bookmarkStart w:id="224" w:name="_Toc477270397"/>
      <w:bookmarkStart w:id="225" w:name="_Toc123705485"/>
      <w:bookmarkStart w:id="226" w:name="_Toc79392594"/>
      <w:bookmarkEnd w:id="219"/>
      <w:bookmarkEnd w:id="220"/>
      <w:bookmarkEnd w:id="221"/>
      <w:bookmarkEnd w:id="222"/>
      <w:bookmarkEnd w:id="223"/>
      <w:bookmarkEnd w:id="224"/>
      <w:bookmarkEnd w:id="225"/>
      <w:bookmarkEnd w:id="226"/>
      <w:r w:rsidRPr="006F4582">
        <w:rPr>
          <w:rFonts w:ascii="宋体" w:hAnsi="宋体" w:cs="宋体" w:hint="eastAsia"/>
          <w:b w:val="0"/>
          <w:bCs/>
          <w:color w:val="000000"/>
          <w:sz w:val="24"/>
          <w:szCs w:val="24"/>
          <w:highlight w:val="white"/>
          <w:lang w:eastAsia="zh-CN"/>
        </w:rPr>
        <w:t>（一）基金管理人的更换</w:t>
      </w:r>
    </w:p>
    <w:p w:rsidR="009C72F0" w14:paraId="0BBAB80F" w14:textId="77777777">
      <w:pPr>
        <w:widowControl/>
        <w:spacing w:after="120" w:line="300" w:lineRule="atLeast"/>
        <w:ind w:firstLine="480"/>
        <w:rPr>
          <w:rFonts w:ascii="宋体" w:hAnsi="宋体" w:cs="宋体"/>
          <w:color w:val="000000"/>
          <w:sz w:val="24"/>
          <w:szCs w:val="24"/>
          <w:lang w:eastAsia="zh-CN"/>
        </w:rPr>
      </w:pPr>
      <w:bookmarkStart w:id="227" w:name="_Toc22454475"/>
      <w:bookmarkStart w:id="228" w:name="_Toc48703926"/>
      <w:bookmarkEnd w:id="227"/>
      <w:bookmarkEnd w:id="228"/>
      <w:r>
        <w:rPr>
          <w:rFonts w:ascii="宋体" w:hAnsi="宋体" w:cs="宋体" w:hint="eastAsia"/>
          <w:color w:val="000000"/>
          <w:sz w:val="24"/>
          <w:szCs w:val="24"/>
          <w:highlight w:val="white"/>
          <w:lang w:eastAsia="zh-CN"/>
        </w:rPr>
        <w:t>1、基金管理人的更换条件</w:t>
      </w:r>
    </w:p>
    <w:p w:rsidR="009C72F0" w14:paraId="1533C95B"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有下列情形之一的，基金管理人职责终止：</w:t>
      </w:r>
    </w:p>
    <w:p w:rsidR="009C72F0" w14:paraId="7EC05A7B"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（1）被依法取消基金管理资格；</w:t>
      </w:r>
      <w:bookmarkStart w:id="229" w:name="_Hlt80887029"/>
      <w:bookmarkEnd w:id="229"/>
    </w:p>
    <w:p w:rsidR="009C72F0" w14:paraId="345C2A41"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（2）被基金份额持有人大会解任；</w:t>
      </w:r>
    </w:p>
    <w:p w:rsidR="009C72F0" w14:paraId="4ECDC5F8"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（3）依法解散、被依法撤销或被依法宣告破产；</w:t>
      </w:r>
    </w:p>
    <w:p w:rsidR="009C72F0" w14:paraId="4730AA7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（4）法律法规及中国证监会规定的和《基金合同》</w:t>
      </w:r>
      <w:r>
        <w:rPr>
          <w:rFonts w:ascii="宋体" w:hAnsi="宋体" w:cs="宋体"/>
          <w:color w:val="000000"/>
          <w:sz w:val="24"/>
          <w:highlight w:val="white"/>
          <w:lang w:eastAsia="zh-CN"/>
        </w:rPr>
        <w:t>约定的其他情形</w:t>
      </w:r>
      <w:r>
        <w:rPr>
          <w:rFonts w:ascii="宋体" w:hAnsi="宋体" w:cs="宋体"/>
          <w:color w:val="000000"/>
          <w:sz w:val="24"/>
          <w:szCs w:val="24"/>
          <w:highlight w:val="white"/>
          <w:lang w:eastAsia="zh-CN"/>
        </w:rPr>
        <w:t>。</w:t>
      </w:r>
    </w:p>
    <w:p w:rsidR="009C72F0" w14:paraId="31076161" w14:textId="77777777">
      <w:pPr>
        <w:widowControl/>
        <w:spacing w:after="120" w:line="300" w:lineRule="atLeast"/>
        <w:ind w:left="360" w:firstLine="120"/>
        <w:rPr>
          <w:rFonts w:ascii="宋体" w:hAnsi="宋体" w:cs="宋体"/>
          <w:color w:val="000000"/>
          <w:sz w:val="24"/>
          <w:szCs w:val="24"/>
          <w:lang w:eastAsia="zh-CN"/>
        </w:rPr>
      </w:pPr>
      <w:bookmarkStart w:id="230" w:name="_Toc22454476"/>
      <w:bookmarkStart w:id="231" w:name="_Toc48703927"/>
      <w:bookmarkEnd w:id="230"/>
      <w:bookmarkEnd w:id="231"/>
      <w:r>
        <w:rPr>
          <w:rFonts w:ascii="宋体" w:hAnsi="宋体" w:cs="宋体" w:hint="eastAsia"/>
          <w:color w:val="000000"/>
          <w:sz w:val="24"/>
          <w:szCs w:val="24"/>
          <w:highlight w:val="white"/>
          <w:lang w:eastAsia="zh-CN"/>
        </w:rPr>
        <w:t>2、更换基金管理人的程序</w:t>
      </w:r>
    </w:p>
    <w:p w:rsidR="009C72F0" w14:paraId="032FA62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（1）提名：新任基金管理人由基金托管人或由单独或合计持有10%以上（含10%）基金份额的基金份额持有人提名；</w:t>
      </w:r>
    </w:p>
    <w:p w:rsidR="009C72F0" w14:paraId="5605C67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（2）决议：基金份额持有人大会在基金管理人职责终止后6个月内对被提名的基金管理人形成决议，该决议需经参加大会的基金份额持有人所持表决权的三分之二以上（含三分之二）表决通过</w:t>
      </w:r>
      <w:r>
        <w:rPr>
          <w:rFonts w:ascii="宋体" w:hAnsi="宋体" w:cs="宋体"/>
          <w:color w:val="000000"/>
          <w:sz w:val="24"/>
          <w:szCs w:val="24"/>
          <w:highlight w:val="white"/>
          <w:lang w:eastAsia="zh-CN"/>
        </w:rPr>
        <w:t>，决议自表决通过之日起生效</w:t>
      </w:r>
      <w:r>
        <w:rPr>
          <w:rFonts w:ascii="宋体" w:hAnsi="宋体" w:cs="宋体" w:hint="eastAsia"/>
          <w:color w:val="000000"/>
          <w:sz w:val="24"/>
          <w:szCs w:val="24"/>
          <w:highlight w:val="white"/>
          <w:lang w:eastAsia="zh-CN"/>
        </w:rPr>
        <w:t>；</w:t>
      </w:r>
    </w:p>
    <w:p w:rsidR="009C72F0" w14:paraId="369B81B9"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（3）临时基金管理人：新任基金管理人产生之前，由中国证监会指定临时基金管理人；</w:t>
      </w:r>
    </w:p>
    <w:p w:rsidR="009C72F0" w14:paraId="06CC736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（4）备案：</w:t>
      </w:r>
      <w:r>
        <w:rPr>
          <w:rFonts w:hint="eastAsia"/>
          <w:bCs/>
          <w:sz w:val="24"/>
          <w:highlight w:val="white"/>
          <w:lang w:eastAsia="zh-CN"/>
        </w:rPr>
        <w:t>基金份额持有人大会更换基金管理人的决议须报中国证监会备案；</w:t>
      </w:r>
    </w:p>
    <w:p w:rsidR="009C72F0" w14:paraId="6C74A83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（5）公告：</w:t>
      </w:r>
      <w:r>
        <w:rPr>
          <w:bCs/>
          <w:sz w:val="24"/>
          <w:highlight w:val="white"/>
          <w:lang w:eastAsia="zh-CN"/>
        </w:rPr>
        <w:t>基金管理人更换后，由基金托管人在</w:t>
      </w:r>
      <w:r>
        <w:rPr>
          <w:rFonts w:hint="eastAsia"/>
          <w:bCs/>
          <w:sz w:val="24"/>
          <w:highlight w:val="white"/>
          <w:lang w:eastAsia="zh-CN"/>
        </w:rPr>
        <w:t>更换基金管理人的基金份额持有人大会决议生效后</w:t>
      </w:r>
      <w:r>
        <w:rPr>
          <w:rFonts w:hint="eastAsia"/>
          <w:sz w:val="24"/>
          <w:highlight w:val="white"/>
          <w:lang w:eastAsia="zh-CN"/>
        </w:rPr>
        <w:t>2</w:t>
      </w:r>
      <w:r>
        <w:rPr>
          <w:sz w:val="24"/>
          <w:highlight w:val="white"/>
          <w:lang w:eastAsia="zh-CN"/>
        </w:rPr>
        <w:t>日内</w:t>
      </w:r>
      <w:r>
        <w:rPr>
          <w:rFonts w:hint="eastAsia"/>
          <w:bCs/>
          <w:sz w:val="24"/>
          <w:highlight w:val="white"/>
          <w:lang w:eastAsia="zh-CN"/>
        </w:rPr>
        <w:t>在规定媒介公告；</w:t>
      </w:r>
    </w:p>
    <w:p w:rsidR="009C72F0" w14:paraId="5265FF6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w:t>
      </w:r>
      <w:r>
        <w:rPr>
          <w:rFonts w:ascii="宋体" w:hAnsi="宋体" w:cs="宋体"/>
          <w:color w:val="000000"/>
          <w:sz w:val="24"/>
          <w:szCs w:val="24"/>
          <w:highlight w:val="white"/>
          <w:lang w:eastAsia="zh-CN"/>
        </w:rPr>
        <w:t>6</w:t>
      </w:r>
      <w:r>
        <w:rPr>
          <w:rFonts w:ascii="宋体" w:hAnsi="宋体" w:cs="宋体" w:hint="eastAsia"/>
          <w:color w:val="000000"/>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w:t>
      </w:r>
      <w:r>
        <w:rPr>
          <w:bCs/>
          <w:sz w:val="24"/>
          <w:highlight w:val="white"/>
          <w:lang w:eastAsia="zh-CN"/>
        </w:rPr>
        <w:t>新任基金管理人应与基金托管人核对基金资产总值</w:t>
      </w:r>
      <w:r>
        <w:rPr>
          <w:rFonts w:ascii="宋体" w:hAnsi="宋体" w:cs="宋体" w:hint="eastAsia"/>
          <w:color w:val="000000"/>
          <w:sz w:val="24"/>
          <w:szCs w:val="24"/>
          <w:highlight w:val="white"/>
          <w:lang w:eastAsia="zh-CN"/>
        </w:rPr>
        <w:t>；</w:t>
      </w:r>
    </w:p>
    <w:p w:rsidR="009C72F0" w14:paraId="2E02E51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（7）审计：基金管理人职责终止的，应当按照法律法规规定聘请会计师事务所对基金财产进行审计，并将审计结果予以公告，同时报中国证监会备案</w:t>
      </w:r>
      <w:r>
        <w:rPr>
          <w:bCs/>
          <w:sz w:val="24"/>
          <w:highlight w:val="white"/>
          <w:lang w:eastAsia="zh-CN"/>
        </w:rPr>
        <w:t>。</w:t>
      </w:r>
      <w:r>
        <w:rPr>
          <w:rFonts w:hint="eastAsia"/>
          <w:bCs/>
          <w:sz w:val="24"/>
          <w:highlight w:val="white"/>
          <w:lang w:eastAsia="zh-CN"/>
        </w:rPr>
        <w:t>审</w:t>
      </w:r>
      <w:r>
        <w:rPr>
          <w:rFonts w:hint="eastAsia"/>
          <w:sz w:val="24"/>
          <w:highlight w:val="white"/>
          <w:lang w:eastAsia="zh-CN"/>
        </w:rPr>
        <w:t>计费用</w:t>
      </w:r>
      <w:r>
        <w:rPr>
          <w:rFonts w:hint="eastAsia"/>
          <w:bCs/>
          <w:color w:val="000000"/>
          <w:sz w:val="24"/>
          <w:highlight w:val="white"/>
          <w:lang w:eastAsia="zh-CN"/>
        </w:rPr>
        <w:t>从</w:t>
      </w:r>
      <w:r>
        <w:rPr>
          <w:rFonts w:hint="eastAsia"/>
          <w:sz w:val="24"/>
          <w:highlight w:val="white"/>
          <w:lang w:eastAsia="zh-CN"/>
        </w:rPr>
        <w:t>基金财产</w:t>
      </w:r>
      <w:r>
        <w:rPr>
          <w:rFonts w:hint="eastAsia"/>
          <w:bCs/>
          <w:color w:val="000000"/>
          <w:sz w:val="24"/>
          <w:highlight w:val="white"/>
          <w:lang w:eastAsia="zh-CN"/>
        </w:rPr>
        <w:t>中列支</w:t>
      </w:r>
      <w:r>
        <w:rPr>
          <w:rFonts w:ascii="宋体" w:hAnsi="宋体" w:cs="宋体" w:hint="eastAsia"/>
          <w:color w:val="000000"/>
          <w:sz w:val="24"/>
          <w:szCs w:val="24"/>
          <w:highlight w:val="white"/>
          <w:lang w:eastAsia="zh-CN"/>
        </w:rPr>
        <w:t>；</w:t>
      </w:r>
    </w:p>
    <w:p w:rsidR="009C72F0" w14:paraId="401C37D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（8）基金名称变更：基金管理人更换后，如果原任或新任基金管理人要求，应按其要求替换或删除基金名称中与原基金管理人有关的名称字样。</w:t>
      </w:r>
    </w:p>
    <w:p w:rsidR="009C72F0" w:rsidRPr="006F4582" w14:paraId="159716B0" w14:textId="77777777">
      <w:pPr>
        <w:widowControl/>
        <w:spacing w:before="156" w:beforeLines="50" w:after="156" w:afterLines="50"/>
        <w:ind w:firstLine="480"/>
        <w:rPr>
          <w:rFonts w:ascii="宋体" w:hAnsi="宋体" w:cs="宋体"/>
          <w:b w:val="0"/>
          <w:bCs/>
          <w:color w:val="000000"/>
          <w:sz w:val="24"/>
          <w:szCs w:val="24"/>
          <w:lang w:eastAsia="zh-CN"/>
        </w:rPr>
      </w:pPr>
      <w:bookmarkStart w:id="232" w:name="_Toc123705486"/>
      <w:bookmarkStart w:id="233" w:name="_Toc477272442"/>
      <w:bookmarkStart w:id="234" w:name="_Toc477270398"/>
      <w:bookmarkStart w:id="235" w:name="_Toc22454471"/>
      <w:bookmarkStart w:id="236" w:name="_Toc48703922"/>
      <w:bookmarkEnd w:id="232"/>
      <w:bookmarkEnd w:id="233"/>
      <w:bookmarkEnd w:id="234"/>
      <w:bookmarkEnd w:id="235"/>
      <w:bookmarkEnd w:id="236"/>
      <w:r w:rsidRPr="006F4582">
        <w:rPr>
          <w:rFonts w:ascii="宋体" w:hAnsi="宋体" w:cs="宋体" w:hint="eastAsia"/>
          <w:b w:val="0"/>
          <w:bCs/>
          <w:color w:val="000000"/>
          <w:sz w:val="24"/>
          <w:szCs w:val="24"/>
          <w:highlight w:val="white"/>
          <w:lang w:eastAsia="zh-CN"/>
        </w:rPr>
        <w:t>（二）基金托管人的更换</w:t>
      </w:r>
    </w:p>
    <w:p w:rsidR="009C72F0" w14:paraId="604E20C6" w14:textId="77777777">
      <w:pPr>
        <w:widowControl/>
        <w:spacing w:after="120" w:line="300" w:lineRule="atLeast"/>
        <w:ind w:firstLine="480"/>
        <w:rPr>
          <w:rFonts w:ascii="宋体" w:hAnsi="宋体" w:cs="宋体"/>
          <w:color w:val="000000"/>
          <w:sz w:val="24"/>
          <w:szCs w:val="24"/>
          <w:lang w:eastAsia="zh-CN"/>
        </w:rPr>
      </w:pPr>
      <w:bookmarkStart w:id="237" w:name="_Toc48703923"/>
      <w:bookmarkStart w:id="238" w:name="_Toc22454472"/>
      <w:bookmarkEnd w:id="237"/>
      <w:bookmarkEnd w:id="238"/>
      <w:r>
        <w:rPr>
          <w:rFonts w:ascii="宋体" w:hAnsi="宋体" w:cs="宋体" w:hint="eastAsia"/>
          <w:color w:val="000000"/>
          <w:sz w:val="24"/>
          <w:szCs w:val="24"/>
          <w:highlight w:val="white"/>
          <w:lang w:eastAsia="zh-CN"/>
        </w:rPr>
        <w:t>1、基金托管人的更换条件</w:t>
      </w:r>
    </w:p>
    <w:p w:rsidR="009C72F0" w14:paraId="304C26A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有下列情形之一的，基金托管人职责终止：</w:t>
      </w:r>
    </w:p>
    <w:p w:rsidR="009C72F0" w14:paraId="747446AF"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（1）被依法取消基金托管资格；</w:t>
      </w:r>
    </w:p>
    <w:p w:rsidR="009C72F0" w14:paraId="2BC89C3D"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（2）被基金份额持有人大会解任；</w:t>
      </w:r>
    </w:p>
    <w:p w:rsidR="009C72F0" w14:paraId="4A1EA2F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（3）依法解散、被依法撤销或被依法宣告破产；</w:t>
      </w:r>
    </w:p>
    <w:p w:rsidR="009C72F0" w14:paraId="145E5FD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（4）法律法规及中国证监会规定的和《基金合同》</w:t>
      </w:r>
      <w:r>
        <w:rPr>
          <w:rFonts w:ascii="宋体" w:hAnsi="宋体" w:cs="宋体"/>
          <w:color w:val="000000"/>
          <w:sz w:val="24"/>
          <w:highlight w:val="white"/>
          <w:lang w:eastAsia="zh-CN"/>
        </w:rPr>
        <w:t>约定的其他情形</w:t>
      </w:r>
      <w:r>
        <w:rPr>
          <w:rFonts w:ascii="宋体" w:hAnsi="宋体" w:cs="宋体"/>
          <w:color w:val="000000"/>
          <w:sz w:val="24"/>
          <w:szCs w:val="24"/>
          <w:highlight w:val="white"/>
          <w:lang w:eastAsia="zh-CN"/>
        </w:rPr>
        <w:t>。</w:t>
      </w:r>
    </w:p>
    <w:p w:rsidR="009C72F0" w14:paraId="038F2528" w14:textId="77777777">
      <w:pPr>
        <w:widowControl/>
        <w:spacing w:after="120" w:line="300" w:lineRule="atLeast"/>
        <w:ind w:firstLine="480"/>
        <w:rPr>
          <w:rFonts w:ascii="宋体" w:hAnsi="宋体" w:cs="宋体"/>
          <w:color w:val="000000"/>
          <w:sz w:val="24"/>
          <w:szCs w:val="24"/>
          <w:lang w:eastAsia="zh-CN"/>
        </w:rPr>
      </w:pPr>
      <w:bookmarkStart w:id="239" w:name="_Toc48703924"/>
      <w:bookmarkStart w:id="240" w:name="_Toc22454473"/>
      <w:bookmarkEnd w:id="239"/>
      <w:bookmarkEnd w:id="240"/>
      <w:r>
        <w:rPr>
          <w:rFonts w:ascii="宋体" w:hAnsi="宋体" w:cs="宋体" w:hint="eastAsia"/>
          <w:color w:val="000000"/>
          <w:sz w:val="24"/>
          <w:szCs w:val="24"/>
          <w:highlight w:val="white"/>
          <w:lang w:eastAsia="zh-CN"/>
        </w:rPr>
        <w:t>2、更换基金托管人的程序</w:t>
      </w:r>
    </w:p>
    <w:p w:rsidR="009C72F0" w14:paraId="25911A8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（1）提名：新任基金托管人由基金管理人或由单独或合计持有10%以上（含10%）基金份额的基金份额持有人提名；</w:t>
      </w:r>
    </w:p>
    <w:p w:rsidR="009C72F0" w14:paraId="4AB40403"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（2）决议：基金份额持有人大会在基金托管人职责终止后6个月内对被提名的基金托管人形成决议，该决议需经参加大会的基金份额持有人所持表决权的三分之二以上（含三分之二）表决通过</w:t>
      </w:r>
      <w:r>
        <w:rPr>
          <w:rFonts w:ascii="宋体" w:hAnsi="宋体" w:cs="宋体"/>
          <w:color w:val="000000"/>
          <w:sz w:val="24"/>
          <w:szCs w:val="24"/>
          <w:highlight w:val="white"/>
          <w:lang w:eastAsia="zh-CN"/>
        </w:rPr>
        <w:t>，决议自表决通过之日起生效</w:t>
      </w:r>
      <w:r>
        <w:rPr>
          <w:rFonts w:ascii="宋体" w:hAnsi="宋体" w:cs="宋体" w:hint="eastAsia"/>
          <w:color w:val="000000"/>
          <w:sz w:val="24"/>
          <w:szCs w:val="24"/>
          <w:highlight w:val="white"/>
          <w:lang w:eastAsia="zh-CN"/>
        </w:rPr>
        <w:t>；</w:t>
      </w:r>
    </w:p>
    <w:p w:rsidR="009C72F0" w14:paraId="770AC5C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（3）临时基金托管人：新任基金托管人产生之前，由中国证监会指定临时基金托管人；</w:t>
      </w:r>
    </w:p>
    <w:p w:rsidR="009C72F0" w14:paraId="735313B9"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（4）备案：</w:t>
      </w:r>
      <w:r>
        <w:rPr>
          <w:bCs/>
          <w:sz w:val="24"/>
          <w:highlight w:val="white"/>
          <w:lang w:eastAsia="zh-CN"/>
        </w:rPr>
        <w:t>基金份额持有人大会更换基金托管人的决议</w:t>
      </w:r>
      <w:r>
        <w:rPr>
          <w:rFonts w:hint="eastAsia"/>
          <w:bCs/>
          <w:sz w:val="24"/>
          <w:highlight w:val="white"/>
          <w:lang w:eastAsia="zh-CN"/>
        </w:rPr>
        <w:t>须报中国证监会备案</w:t>
      </w:r>
      <w:r>
        <w:rPr>
          <w:rFonts w:ascii="宋体" w:hAnsi="宋体" w:cs="宋体" w:hint="eastAsia"/>
          <w:color w:val="000000"/>
          <w:sz w:val="24"/>
          <w:szCs w:val="24"/>
          <w:highlight w:val="white"/>
          <w:lang w:eastAsia="zh-CN"/>
        </w:rPr>
        <w:t>；</w:t>
      </w:r>
    </w:p>
    <w:p w:rsidR="009C72F0" w14:paraId="5528A0B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（5）</w:t>
      </w:r>
      <w:r>
        <w:rPr>
          <w:bCs/>
          <w:sz w:val="24"/>
          <w:highlight w:val="white"/>
          <w:lang w:eastAsia="zh-CN"/>
        </w:rPr>
        <w:t>公告：基金托管人更换后，</w:t>
      </w:r>
      <w:r>
        <w:rPr>
          <w:sz w:val="24"/>
          <w:highlight w:val="white"/>
          <w:lang w:eastAsia="zh-CN"/>
        </w:rPr>
        <w:t>由基金管理人在更换基金托管人的基金份额持有人大会决议生效后</w:t>
      </w:r>
      <w:r>
        <w:rPr>
          <w:rFonts w:hint="eastAsia"/>
          <w:sz w:val="24"/>
          <w:highlight w:val="white"/>
          <w:lang w:eastAsia="zh-CN"/>
        </w:rPr>
        <w:t>2</w:t>
      </w:r>
      <w:r>
        <w:rPr>
          <w:sz w:val="24"/>
          <w:highlight w:val="white"/>
          <w:lang w:eastAsia="zh-CN"/>
        </w:rPr>
        <w:t>日内</w:t>
      </w:r>
      <w:r>
        <w:rPr>
          <w:bCs/>
          <w:sz w:val="24"/>
          <w:highlight w:val="white"/>
          <w:lang w:eastAsia="zh-CN"/>
        </w:rPr>
        <w:t>在</w:t>
      </w:r>
      <w:r>
        <w:rPr>
          <w:rFonts w:hint="eastAsia"/>
          <w:bCs/>
          <w:sz w:val="24"/>
          <w:highlight w:val="white"/>
          <w:lang w:eastAsia="zh-CN"/>
        </w:rPr>
        <w:t>规定媒介</w:t>
      </w:r>
      <w:r>
        <w:rPr>
          <w:bCs/>
          <w:sz w:val="24"/>
          <w:highlight w:val="white"/>
          <w:lang w:eastAsia="zh-CN"/>
        </w:rPr>
        <w:t>公告</w:t>
      </w:r>
      <w:r>
        <w:rPr>
          <w:rFonts w:ascii="宋体" w:hAnsi="宋体" w:cs="宋体" w:hint="eastAsia"/>
          <w:color w:val="000000"/>
          <w:sz w:val="24"/>
          <w:szCs w:val="24"/>
          <w:highlight w:val="white"/>
          <w:lang w:eastAsia="zh-CN"/>
        </w:rPr>
        <w:t>；</w:t>
      </w:r>
    </w:p>
    <w:p w:rsidR="009C72F0" w14:paraId="12AA2D6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w:t>
      </w:r>
      <w:r>
        <w:rPr>
          <w:rFonts w:ascii="宋体" w:hAnsi="宋体" w:cs="宋体"/>
          <w:color w:val="000000"/>
          <w:sz w:val="24"/>
          <w:szCs w:val="24"/>
          <w:highlight w:val="white"/>
          <w:lang w:eastAsia="zh-CN"/>
        </w:rPr>
        <w:t>6</w:t>
      </w:r>
      <w:r>
        <w:rPr>
          <w:rFonts w:ascii="宋体" w:hAnsi="宋体" w:cs="宋体" w:hint="eastAsia"/>
          <w:color w:val="000000"/>
          <w:sz w:val="24"/>
          <w:szCs w:val="24"/>
          <w:highlight w:val="white"/>
          <w:lang w:eastAsia="zh-CN"/>
        </w:rPr>
        <w:t>）</w:t>
      </w:r>
      <w:r>
        <w:rPr>
          <w:bCs/>
          <w:sz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Pr>
          <w:rFonts w:ascii="宋体" w:hAnsi="宋体" w:cs="宋体" w:hint="eastAsia"/>
          <w:color w:val="000000"/>
          <w:sz w:val="24"/>
          <w:szCs w:val="24"/>
          <w:highlight w:val="white"/>
          <w:lang w:eastAsia="zh-CN"/>
        </w:rPr>
        <w:t>；</w:t>
      </w:r>
    </w:p>
    <w:p w:rsidR="009C72F0" w14:paraId="259B8BC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（7）</w:t>
      </w:r>
      <w:r>
        <w:rPr>
          <w:bCs/>
          <w:sz w:val="24"/>
          <w:highlight w:val="white"/>
          <w:lang w:eastAsia="zh-CN"/>
        </w:rPr>
        <w:t>审计：基金托管人职责终止的，应当按照法律法规规定聘请会计师事务所对基金财产进行审计，并将审计结果予以公告，同时报中国证监会备案。</w:t>
      </w:r>
      <w:r>
        <w:rPr>
          <w:rFonts w:hint="eastAsia"/>
          <w:sz w:val="24"/>
          <w:highlight w:val="white"/>
          <w:lang w:eastAsia="zh-CN"/>
        </w:rPr>
        <w:t>审计费用</w:t>
      </w:r>
      <w:r>
        <w:rPr>
          <w:rFonts w:hint="eastAsia"/>
          <w:bCs/>
          <w:color w:val="000000"/>
          <w:sz w:val="24"/>
          <w:highlight w:val="white"/>
          <w:lang w:eastAsia="zh-CN"/>
        </w:rPr>
        <w:t>从</w:t>
      </w:r>
      <w:r>
        <w:rPr>
          <w:rFonts w:hint="eastAsia"/>
          <w:sz w:val="24"/>
          <w:highlight w:val="white"/>
          <w:lang w:eastAsia="zh-CN"/>
        </w:rPr>
        <w:t>基金财产</w:t>
      </w:r>
      <w:r>
        <w:rPr>
          <w:rFonts w:hint="eastAsia"/>
          <w:bCs/>
          <w:color w:val="000000"/>
          <w:sz w:val="24"/>
          <w:highlight w:val="white"/>
          <w:lang w:eastAsia="zh-CN"/>
        </w:rPr>
        <w:t>中列支</w:t>
      </w:r>
      <w:r>
        <w:rPr>
          <w:rFonts w:ascii="宋体" w:hAnsi="宋体" w:cs="宋体" w:hint="eastAsia"/>
          <w:color w:val="000000"/>
          <w:sz w:val="24"/>
          <w:szCs w:val="24"/>
          <w:highlight w:val="white"/>
          <w:lang w:eastAsia="zh-CN"/>
        </w:rPr>
        <w:t>。</w:t>
      </w:r>
    </w:p>
    <w:p w:rsidR="009C72F0" w:rsidRPr="006F4582" w14:paraId="5B4D105A" w14:textId="77777777">
      <w:pPr>
        <w:widowControl/>
        <w:spacing w:before="156" w:beforeLines="50" w:after="156" w:afterLines="50"/>
        <w:ind w:firstLine="480"/>
        <w:rPr>
          <w:rFonts w:ascii="宋体" w:hAnsi="宋体" w:cs="宋体"/>
          <w:b w:val="0"/>
          <w:bCs/>
          <w:color w:val="000000"/>
          <w:sz w:val="24"/>
          <w:szCs w:val="24"/>
          <w:lang w:eastAsia="zh-CN"/>
        </w:rPr>
      </w:pPr>
      <w:r w:rsidRPr="006F4582">
        <w:rPr>
          <w:rFonts w:ascii="宋体" w:hAnsi="宋体" w:cs="宋体" w:hint="eastAsia"/>
          <w:b w:val="0"/>
          <w:bCs/>
          <w:color w:val="000000"/>
          <w:sz w:val="24"/>
          <w:szCs w:val="24"/>
          <w:highlight w:val="white"/>
          <w:lang w:eastAsia="zh-CN"/>
        </w:rPr>
        <w:t>（三）基金管理人和基金托管人的同时更换程序</w:t>
      </w:r>
    </w:p>
    <w:p w:rsidR="009C72F0" w14:paraId="3679311A"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1</w:t>
      </w:r>
      <w:r>
        <w:rPr>
          <w:rFonts w:ascii="宋体" w:hAnsi="宋体" w:cs="宋体" w:hint="eastAsia"/>
          <w:color w:val="000000"/>
          <w:sz w:val="24"/>
          <w:szCs w:val="24"/>
          <w:highlight w:val="white"/>
          <w:lang w:eastAsia="zh-CN"/>
        </w:rPr>
        <w:t>、提名：如果基金管理人和基金托管人同时更换，由单独或合计持有基金总份额</w:t>
      </w:r>
      <w:r>
        <w:rPr>
          <w:rFonts w:ascii="宋体" w:hAnsi="宋体" w:cs="宋体"/>
          <w:color w:val="000000"/>
          <w:sz w:val="24"/>
          <w:szCs w:val="24"/>
          <w:highlight w:val="white"/>
          <w:lang w:eastAsia="zh-CN"/>
        </w:rPr>
        <w:t>10%</w:t>
      </w:r>
      <w:r>
        <w:rPr>
          <w:rFonts w:ascii="宋体" w:hAnsi="宋体" w:cs="宋体" w:hint="eastAsia"/>
          <w:color w:val="000000"/>
          <w:sz w:val="24"/>
          <w:szCs w:val="24"/>
          <w:highlight w:val="white"/>
          <w:lang w:eastAsia="zh-CN"/>
        </w:rPr>
        <w:t>以上（含</w:t>
      </w:r>
      <w:r>
        <w:rPr>
          <w:rFonts w:ascii="宋体" w:hAnsi="宋体" w:cs="宋体"/>
          <w:color w:val="000000"/>
          <w:sz w:val="24"/>
          <w:szCs w:val="24"/>
          <w:highlight w:val="white"/>
          <w:lang w:eastAsia="zh-CN"/>
        </w:rPr>
        <w:t>10%</w:t>
      </w:r>
      <w:r>
        <w:rPr>
          <w:rFonts w:ascii="宋体" w:hAnsi="宋体" w:cs="宋体" w:hint="eastAsia"/>
          <w:color w:val="000000"/>
          <w:sz w:val="24"/>
          <w:szCs w:val="24"/>
          <w:highlight w:val="white"/>
          <w:lang w:eastAsia="zh-CN"/>
        </w:rPr>
        <w:t>）的基金份额持有人提名新的基金管理人和基金托管人；</w:t>
      </w:r>
    </w:p>
    <w:p w:rsidR="009C72F0" w14:paraId="625D7534"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2</w:t>
      </w:r>
      <w:r>
        <w:rPr>
          <w:rFonts w:ascii="宋体" w:hAnsi="宋体" w:cs="宋体" w:hint="eastAsia"/>
          <w:color w:val="000000"/>
          <w:sz w:val="24"/>
          <w:szCs w:val="24"/>
          <w:highlight w:val="white"/>
          <w:lang w:eastAsia="zh-CN"/>
        </w:rPr>
        <w:t>、基金管理人和基金托管人的更换分别按上述程序进行；</w:t>
      </w:r>
    </w:p>
    <w:p w:rsidR="009C72F0" w14:paraId="36664606"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3</w:t>
      </w:r>
      <w:r>
        <w:rPr>
          <w:rFonts w:ascii="宋体" w:hAnsi="宋体" w:cs="宋体" w:hint="eastAsia"/>
          <w:color w:val="000000"/>
          <w:sz w:val="24"/>
          <w:szCs w:val="24"/>
          <w:highlight w:val="white"/>
          <w:lang w:eastAsia="zh-CN"/>
        </w:rPr>
        <w:t>、公告：</w:t>
      </w:r>
      <w:r>
        <w:rPr>
          <w:bCs/>
          <w:sz w:val="24"/>
          <w:highlight w:val="white"/>
          <w:lang w:eastAsia="zh-CN"/>
        </w:rPr>
        <w:t>新任基金管理人和新任基金托管人应在更换基金管理人和基金托管人的基金份额持有人大会决议</w:t>
      </w:r>
      <w:r>
        <w:rPr>
          <w:rFonts w:hint="eastAsia"/>
          <w:bCs/>
          <w:sz w:val="24"/>
          <w:highlight w:val="white"/>
          <w:lang w:eastAsia="zh-CN"/>
        </w:rPr>
        <w:t>生效后</w:t>
      </w:r>
      <w:r>
        <w:rPr>
          <w:sz w:val="24"/>
          <w:highlight w:val="white"/>
          <w:lang w:eastAsia="zh-CN"/>
        </w:rPr>
        <w:t>2</w:t>
      </w:r>
      <w:r>
        <w:rPr>
          <w:sz w:val="24"/>
          <w:highlight w:val="white"/>
          <w:lang w:eastAsia="zh-CN"/>
        </w:rPr>
        <w:t>日内</w:t>
      </w:r>
      <w:r>
        <w:rPr>
          <w:rFonts w:hint="eastAsia"/>
          <w:bCs/>
          <w:sz w:val="24"/>
          <w:highlight w:val="white"/>
          <w:lang w:eastAsia="zh-CN"/>
        </w:rPr>
        <w:t>在规定媒介上联合公告</w:t>
      </w:r>
      <w:r>
        <w:rPr>
          <w:rFonts w:ascii="宋体" w:hAnsi="宋体" w:cs="宋体" w:hint="eastAsia"/>
          <w:color w:val="000000"/>
          <w:sz w:val="24"/>
          <w:szCs w:val="24"/>
          <w:highlight w:val="white"/>
          <w:lang w:eastAsia="zh-CN"/>
        </w:rPr>
        <w:t>。</w:t>
      </w:r>
    </w:p>
    <w:p w:rsidR="009C72F0" w14:paraId="0C9930DF"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（四）</w:t>
      </w:r>
      <w:r>
        <w:rPr>
          <w:rFonts w:hint="eastAsia"/>
          <w:bCs/>
          <w:sz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Pr>
          <w:rFonts w:ascii="宋体" w:hAnsi="宋体" w:cs="宋体" w:hint="eastAsia"/>
          <w:color w:val="000000"/>
          <w:sz w:val="24"/>
          <w:szCs w:val="24"/>
          <w:highlight w:val="white"/>
          <w:lang w:eastAsia="zh-CN"/>
        </w:rPr>
        <w:t>。</w:t>
      </w:r>
    </w:p>
    <w:p w:rsidR="009C72F0" w14:paraId="6BF48292"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1E4217A6" w14:textId="77777777">
      <w:pPr>
        <w:pStyle w:val="11"/>
        <w:jc w:val="center"/>
        <w:rPr>
          <w:rFonts w:ascii="Calibri" w:hAnsi="Calibri"/>
          <w:color w:val="000000"/>
          <w:sz w:val="21"/>
          <w:szCs w:val="21"/>
          <w:lang w:eastAsia="zh-CN"/>
        </w:rPr>
      </w:pPr>
      <w:bookmarkStart w:id="241" w:name="_Toc125361087"/>
      <w:bookmarkStart w:id="242" w:name="_Toc123626181"/>
      <w:bookmarkStart w:id="243" w:name="_Toc477274824"/>
      <w:bookmarkStart w:id="244" w:name="_Toc124749950"/>
      <w:bookmarkStart w:id="245" w:name="_Toc124749237"/>
      <w:bookmarkStart w:id="246" w:name="_Toc375230498"/>
      <w:bookmarkStart w:id="247" w:name="_Toc4491316"/>
      <w:bookmarkEnd w:id="241"/>
      <w:bookmarkEnd w:id="242"/>
      <w:bookmarkEnd w:id="243"/>
      <w:bookmarkEnd w:id="244"/>
      <w:bookmarkEnd w:id="245"/>
      <w:bookmarkEnd w:id="246"/>
      <w:r>
        <w:rPr>
          <w:rFonts w:hint="eastAsia"/>
          <w:color w:val="000000"/>
          <w:sz w:val="30"/>
          <w:szCs w:val="30"/>
          <w:highlight w:val="white"/>
          <w:lang w:eastAsia="zh-CN"/>
        </w:rPr>
        <w:t>十五、禁止行为</w:t>
      </w:r>
      <w:bookmarkEnd w:id="247"/>
    </w:p>
    <w:p w:rsidR="009C72F0" w14:paraId="6891F17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1、基金管理人不得从事《基金法》第二十条禁止的任一行为。</w:t>
      </w:r>
    </w:p>
    <w:p w:rsidR="009C72F0" w14:paraId="41E9BBA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2、基金托管人不得从事《基金法》第三十八条禁止的任一行为。</w:t>
      </w:r>
    </w:p>
    <w:p w:rsidR="009C72F0" w14:paraId="3ED193F8"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3、除非法律法规及中国证监会另有规定，本协议当事人不得用基金财产从事《基金法》第七十三条禁止的投资或活动。</w:t>
      </w:r>
    </w:p>
    <w:p w:rsidR="009C72F0" w14:paraId="09266CCF"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4、除《基金法》、《基金合同》及中国证监会另有规定，基金管理人、基金托管人不得利用基金财产或职务之便为自身和任何第三人谋取利益。</w:t>
      </w:r>
    </w:p>
    <w:p w:rsidR="009C72F0" w14:paraId="22290144"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5、基金管理人与基金托管人对基金经营过程中任何尚未按基金法规规定的方式公开披露的信息，不得违反本协议约定对他人泄露。</w:t>
      </w:r>
    </w:p>
    <w:p w:rsidR="009C72F0" w14:paraId="1A224CC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6、基金托管人对基金管理人的正当指令不得拖延和拒绝执行。对于存疑指令，托管人需及时沟通管理人，管理人应提供说明或举证。</w:t>
      </w:r>
    </w:p>
    <w:p w:rsidR="009C72F0" w14:paraId="30E8DF5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7、除根据基金管理人指令或《基金合同》另有规定的，基金托管人不得动用或处分基金财产。</w:t>
      </w:r>
    </w:p>
    <w:p w:rsidR="009C72F0" w14:paraId="70CCCD0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8、基金托管人、基金管理人的高级管理人员和其他从业人员不得相互兼职。</w:t>
      </w:r>
    </w:p>
    <w:p w:rsidR="009C72F0" w14:paraId="7BE300ED"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9、基金管理人不得从事《基金合同》投资限制中禁止投资的行为。</w:t>
      </w:r>
    </w:p>
    <w:p w:rsidR="009C72F0" w14:paraId="4EA76D8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10、本协议当事人不得从事法律法规、中国证监会、《基金合同》和本协议禁止的其他行为。</w:t>
      </w:r>
    </w:p>
    <w:p w:rsidR="009C72F0" w14:paraId="0821770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法律法规和监管部门取消上述禁止性规定的，则本基金不受上述相关限制。</w:t>
      </w:r>
    </w:p>
    <w:p w:rsidR="009C72F0" w14:paraId="06E06772"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69ED255A" w14:textId="77777777">
      <w:pPr>
        <w:pStyle w:val="11"/>
        <w:jc w:val="center"/>
        <w:rPr>
          <w:rFonts w:ascii="Calibri" w:hAnsi="Calibri"/>
          <w:color w:val="000000"/>
          <w:sz w:val="21"/>
          <w:szCs w:val="21"/>
          <w:lang w:eastAsia="zh-CN"/>
        </w:rPr>
      </w:pPr>
      <w:bookmarkStart w:id="248" w:name="_Toc124749951"/>
      <w:bookmarkStart w:id="249" w:name="_Toc125361088"/>
      <w:bookmarkStart w:id="250" w:name="_Toc124749238"/>
      <w:bookmarkStart w:id="251" w:name="_Toc123626182"/>
      <w:bookmarkStart w:id="252" w:name="_Toc375230499"/>
      <w:bookmarkStart w:id="253" w:name="_Toc477274825"/>
      <w:bookmarkStart w:id="254" w:name="_Toc4491317"/>
      <w:bookmarkEnd w:id="248"/>
      <w:bookmarkEnd w:id="249"/>
      <w:bookmarkEnd w:id="250"/>
      <w:bookmarkEnd w:id="251"/>
      <w:bookmarkEnd w:id="252"/>
      <w:bookmarkEnd w:id="253"/>
      <w:r>
        <w:rPr>
          <w:rFonts w:hint="eastAsia"/>
          <w:color w:val="000000"/>
          <w:sz w:val="30"/>
          <w:szCs w:val="30"/>
          <w:highlight w:val="white"/>
          <w:lang w:eastAsia="zh-CN"/>
        </w:rPr>
        <w:t>十六、基金托管协议的变更、终止与基金财产的清算</w:t>
      </w:r>
      <w:bookmarkEnd w:id="254"/>
    </w:p>
    <w:p w:rsidR="009C72F0" w:rsidRPr="006F4582" w14:paraId="49BEDC97" w14:textId="77777777">
      <w:pPr>
        <w:widowControl/>
        <w:spacing w:before="156" w:beforeLines="50" w:after="156" w:afterLines="50"/>
        <w:ind w:firstLine="480"/>
        <w:rPr>
          <w:rFonts w:ascii="宋体" w:hAnsi="宋体" w:cs="宋体"/>
          <w:b w:val="0"/>
          <w:bCs/>
          <w:color w:val="000000"/>
          <w:sz w:val="24"/>
          <w:szCs w:val="24"/>
          <w:lang w:eastAsia="zh-CN"/>
        </w:rPr>
      </w:pPr>
      <w:r w:rsidRPr="006F4582">
        <w:rPr>
          <w:rFonts w:ascii="宋体" w:hAnsi="宋体" w:cs="宋体" w:hint="eastAsia"/>
          <w:b w:val="0"/>
          <w:bCs/>
          <w:color w:val="000000"/>
          <w:sz w:val="24"/>
          <w:szCs w:val="24"/>
          <w:highlight w:val="white"/>
          <w:lang w:eastAsia="zh-CN"/>
        </w:rPr>
        <w:t>（一）托管协议的变更与终止</w:t>
      </w:r>
    </w:p>
    <w:p w:rsidR="009C72F0" w14:paraId="3A21601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1、托管协议的变更程序</w:t>
      </w:r>
    </w:p>
    <w:p w:rsidR="009C72F0" w14:paraId="2D7097B8"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本协议双方当事人经协商一致，可以对协议的内容进行变更。变更后的托管协议，其内容不得与《基金合同》的规定有任何冲突。</w:t>
      </w:r>
    </w:p>
    <w:p w:rsidR="009C72F0" w14:paraId="5379324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2、基金托管协议终止的情形</w:t>
      </w:r>
    </w:p>
    <w:p w:rsidR="009C72F0" w14:paraId="6B89BB3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发生以下情况，本托管协议终止：</w:t>
      </w:r>
    </w:p>
    <w:p w:rsidR="009C72F0" w14:paraId="1DE0BB8D"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（1）《基金合同》终止；</w:t>
      </w:r>
    </w:p>
    <w:p w:rsidR="009C72F0" w14:paraId="5187C01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（2）基金托管人解散、依法被撤销、破产或有其他基金托管人接管基金托管业务；</w:t>
      </w:r>
    </w:p>
    <w:p w:rsidR="009C72F0" w14:paraId="5FE181E8"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（3）基金管理人解散、依法被撤销、破产或有其他基金管理人接管基金管理业务；</w:t>
      </w:r>
    </w:p>
    <w:p w:rsidR="009C72F0" w14:paraId="694180A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（4）发生法律法规、中国证监会或《基金合同》规定的终止事项。</w:t>
      </w:r>
    </w:p>
    <w:p w:rsidR="009C72F0" w:rsidRPr="006F4582" w14:paraId="10F1DC5E" w14:textId="77777777">
      <w:pPr>
        <w:widowControl/>
        <w:spacing w:before="156" w:beforeLines="50" w:after="156" w:afterLines="50"/>
        <w:ind w:firstLine="480"/>
        <w:rPr>
          <w:rFonts w:ascii="宋体" w:hAnsi="宋体" w:cs="宋体"/>
          <w:b w:val="0"/>
          <w:bCs/>
          <w:color w:val="000000"/>
          <w:sz w:val="24"/>
          <w:szCs w:val="24"/>
          <w:lang w:eastAsia="zh-CN"/>
        </w:rPr>
      </w:pPr>
      <w:r w:rsidRPr="006F4582">
        <w:rPr>
          <w:rFonts w:ascii="宋体" w:hAnsi="宋体" w:cs="宋体" w:hint="eastAsia"/>
          <w:b w:val="0"/>
          <w:bCs/>
          <w:color w:val="000000"/>
          <w:sz w:val="24"/>
          <w:szCs w:val="24"/>
          <w:highlight w:val="white"/>
          <w:lang w:eastAsia="zh-CN"/>
        </w:rPr>
        <w:t>（二）基金财产的清算</w:t>
      </w:r>
    </w:p>
    <w:p w:rsidR="009C72F0" w14:paraId="299FB72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9C72F0" w14:paraId="6F410A3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w:t>
      </w:r>
      <w:r>
        <w:rPr>
          <w:bCs/>
          <w:sz w:val="24"/>
          <w:highlight w:val="white"/>
          <w:lang w:eastAsia="zh-CN"/>
        </w:rPr>
        <w:t>基金财产清算小组组成：基金财产清算小组成员由基金管理人、基金托管人、注册会计师、律师以及中国证监会指定的人员组成。基金财产清算小组可以聘用必要的工作人员</w:t>
      </w:r>
      <w:r>
        <w:rPr>
          <w:rFonts w:ascii="宋体" w:hAnsi="宋体" w:cs="宋体" w:hint="eastAsia"/>
          <w:color w:val="000000"/>
          <w:sz w:val="24"/>
          <w:szCs w:val="24"/>
          <w:highlight w:val="white"/>
          <w:lang w:eastAsia="zh-CN"/>
        </w:rPr>
        <w:t>。</w:t>
      </w:r>
    </w:p>
    <w:p w:rsidR="009C72F0" w14:paraId="2D318D5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3、基金财产清算小组职责：基金财产清算小组负责基金财产的保管、清理、估价、变现和分配。基金财产清算小组可以依法进行必要的民事活动。</w:t>
      </w:r>
    </w:p>
    <w:p w:rsidR="009C72F0" w14:paraId="61070BD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4、基金财产清算程序</w:t>
      </w:r>
    </w:p>
    <w:p w:rsidR="009C72F0" w14:paraId="665EA99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（1）《基金合同》终止情形出现时，由基金财产清算小组统一接管基金；</w:t>
      </w:r>
    </w:p>
    <w:p w:rsidR="009C72F0" w14:paraId="589C3E2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（2）对基金财产和债权债务进行清理和确认；</w:t>
      </w:r>
    </w:p>
    <w:p w:rsidR="009C72F0" w14:paraId="7D091829"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（3）对基金财产进行估值和变现；</w:t>
      </w:r>
    </w:p>
    <w:p w:rsidR="009C72F0" w14:paraId="60F0CD5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（4）制作清算报告；</w:t>
      </w:r>
    </w:p>
    <w:p w:rsidR="009C72F0" w14:paraId="110334FE"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（5）聘请会计师事务所对清算报告进行外部审计，聘请律师事务所对清算报告出具法律意见书；</w:t>
      </w:r>
    </w:p>
    <w:p w:rsidR="009C72F0" w14:paraId="43149D5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（6）将清算报告报中国证监会备案并公告；</w:t>
      </w:r>
    </w:p>
    <w:p w:rsidR="009C72F0" w14:paraId="08E4B46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（7）对基金剩余财产进行分配。</w:t>
      </w:r>
    </w:p>
    <w:p w:rsidR="009C72F0" w14:paraId="48E983D2"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5、基金财产清算的期限为6个月，但因本基金所持证券的流动性受到限制而不能及时变现的，清算期限相应顺延。</w:t>
      </w:r>
    </w:p>
    <w:p w:rsidR="009C72F0" w14:paraId="4172F62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6、清算费用</w:t>
      </w:r>
    </w:p>
    <w:p w:rsidR="009C72F0" w14:paraId="725A9228"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清算费用是指基金财产清算小组在进行基金清算过程中发生的所有合理费用，清算费用由基金财产清算小组优先从基金财产中支付。</w:t>
      </w:r>
    </w:p>
    <w:p w:rsidR="009C72F0" w14:paraId="17A5EDC3"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7、基金财产清算剩余财产按下列顺序清偿：</w:t>
      </w:r>
    </w:p>
    <w:p w:rsidR="009C72F0" w14:paraId="539F149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rsidR="009C72F0" w14:paraId="18E62BB8"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8、基金账户的注销</w:t>
      </w:r>
    </w:p>
    <w:p w:rsidR="009C72F0" w14:paraId="5127E82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产品清算完成后，基金管理人应配合基金托管人对基金托管账户、证券账户及相关交易账户及时进行注销。</w:t>
      </w:r>
    </w:p>
    <w:p w:rsidR="009C72F0" w:rsidRPr="006F4582" w14:paraId="0302878D" w14:textId="77777777">
      <w:pPr>
        <w:widowControl/>
        <w:spacing w:before="156" w:beforeLines="50" w:after="156" w:afterLines="50"/>
        <w:ind w:firstLine="480"/>
        <w:rPr>
          <w:rFonts w:ascii="宋体" w:hAnsi="宋体" w:cs="宋体"/>
          <w:b w:val="0"/>
          <w:bCs/>
          <w:color w:val="000000"/>
          <w:sz w:val="24"/>
          <w:szCs w:val="24"/>
          <w:lang w:eastAsia="zh-CN"/>
        </w:rPr>
      </w:pPr>
      <w:r w:rsidRPr="006F4582">
        <w:rPr>
          <w:rFonts w:ascii="宋体" w:hAnsi="宋体" w:cs="宋体" w:hint="eastAsia"/>
          <w:b w:val="0"/>
          <w:bCs/>
          <w:color w:val="000000"/>
          <w:sz w:val="24"/>
          <w:szCs w:val="24"/>
          <w:highlight w:val="white"/>
          <w:lang w:eastAsia="zh-CN"/>
        </w:rPr>
        <w:t>（三）基金财产清算的公告</w:t>
      </w:r>
    </w:p>
    <w:p w:rsidR="009C72F0" w14:paraId="1316DC1B"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w:t>
      </w:r>
    </w:p>
    <w:p w:rsidR="009C72F0" w:rsidRPr="006F4582" w14:paraId="6F06ADE8" w14:textId="77777777">
      <w:pPr>
        <w:widowControl/>
        <w:spacing w:before="156" w:beforeLines="50" w:after="156" w:afterLines="50"/>
        <w:ind w:firstLine="480"/>
        <w:rPr>
          <w:rFonts w:ascii="宋体" w:hAnsi="宋体" w:cs="宋体"/>
          <w:b w:val="0"/>
          <w:bCs/>
          <w:color w:val="000000"/>
          <w:sz w:val="24"/>
          <w:szCs w:val="24"/>
          <w:lang w:eastAsia="zh-CN"/>
        </w:rPr>
      </w:pPr>
      <w:r w:rsidRPr="006F4582">
        <w:rPr>
          <w:rFonts w:ascii="宋体" w:hAnsi="宋体" w:cs="宋体" w:hint="eastAsia"/>
          <w:b w:val="0"/>
          <w:bCs/>
          <w:color w:val="000000"/>
          <w:sz w:val="24"/>
          <w:szCs w:val="24"/>
          <w:highlight w:val="white"/>
          <w:lang w:eastAsia="zh-CN"/>
        </w:rPr>
        <w:t>（四）基金财产清算账册及文件的保存</w:t>
      </w:r>
    </w:p>
    <w:p w:rsidR="009C72F0" w14:paraId="6E4A93A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基金财产清算账册及有关文件由基金托管人保存20年以上。</w:t>
      </w:r>
    </w:p>
    <w:p w:rsidR="009C72F0" w14:paraId="3E0FE0A9"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022A8FA3" w14:textId="77777777">
      <w:pPr>
        <w:pStyle w:val="11"/>
        <w:jc w:val="center"/>
        <w:rPr>
          <w:rFonts w:ascii="Calibri" w:hAnsi="Calibri"/>
          <w:color w:val="000000"/>
          <w:sz w:val="21"/>
          <w:szCs w:val="21"/>
          <w:lang w:eastAsia="zh-CN"/>
        </w:rPr>
      </w:pPr>
      <w:bookmarkStart w:id="255" w:name="_Toc375230500"/>
      <w:bookmarkStart w:id="256" w:name="_Toc124749239"/>
      <w:bookmarkStart w:id="257" w:name="_Toc123626183"/>
      <w:bookmarkStart w:id="258" w:name="_Toc125361089"/>
      <w:bookmarkStart w:id="259" w:name="_Toc124749952"/>
      <w:bookmarkStart w:id="260" w:name="_Toc477274826"/>
      <w:bookmarkStart w:id="261" w:name="_Toc4491318"/>
      <w:bookmarkEnd w:id="255"/>
      <w:bookmarkEnd w:id="256"/>
      <w:bookmarkEnd w:id="257"/>
      <w:bookmarkEnd w:id="258"/>
      <w:bookmarkEnd w:id="259"/>
      <w:bookmarkEnd w:id="260"/>
      <w:r>
        <w:rPr>
          <w:rFonts w:hint="eastAsia"/>
          <w:color w:val="000000"/>
          <w:sz w:val="30"/>
          <w:szCs w:val="30"/>
          <w:highlight w:val="white"/>
          <w:lang w:eastAsia="zh-CN"/>
        </w:rPr>
        <w:t>十七、违约责任</w:t>
      </w:r>
      <w:bookmarkEnd w:id="261"/>
    </w:p>
    <w:p w:rsidR="009C72F0" w14:paraId="35D50455"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（一）如果基金管理人或基金托管人不履行本托管协议或者履行本托管协议不符合约定的，应当承担违约责任。</w:t>
      </w:r>
    </w:p>
    <w:p w:rsidR="009C72F0" w14:paraId="4813F97D"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二）因托管协议当事人违约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w:t>
      </w:r>
    </w:p>
    <w:p w:rsidR="009C72F0" w14:paraId="4156FB44"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但是发生下列情况的，当事人免责：</w:t>
      </w:r>
    </w:p>
    <w:p w:rsidR="009C72F0" w14:paraId="40F224CA"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1、不可抗力；</w:t>
      </w:r>
    </w:p>
    <w:p w:rsidR="009C72F0" w14:paraId="247A1EFE"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2、基金管理人和/或基金托管人按照当时有效的法律法规或中国证监会的规定作为或不作为而造成的损失等；</w:t>
      </w:r>
    </w:p>
    <w:p w:rsidR="009C72F0" w14:paraId="7C03C64B" w14:textId="77777777">
      <w:pPr>
        <w:widowControl/>
        <w:spacing w:after="120" w:line="300" w:lineRule="atLeast"/>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3、基金管理人由于按照基金合同规定的投资原则投资或不投资造成的损失等</w:t>
      </w:r>
      <w:r w:rsidR="006F4582">
        <w:rPr>
          <w:rFonts w:ascii="宋体" w:hAnsi="宋体" w:cs="宋体" w:hint="eastAsia"/>
          <w:color w:val="000000"/>
          <w:sz w:val="24"/>
          <w:szCs w:val="24"/>
          <w:highlight w:val="white"/>
          <w:lang w:eastAsia="zh-CN"/>
        </w:rPr>
        <w:t>；</w:t>
      </w:r>
    </w:p>
    <w:p w:rsidR="009C72F0" w14:paraId="37DB2B26"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4、基金托管人由于按照基金管理人符合基金合同约定的有效指令执行而造成的损失等；</w:t>
      </w:r>
    </w:p>
    <w:p w:rsidR="009C72F0" w14:paraId="6E132D0A"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5、基金托管人对存放或存管在基金托管人以外机构的基金资产，或交由商业银行、证券公司等其他机构负责清算交收的基金财产（包括但不限于保证金账户内的资金、期货合约等）及其收益，因该等机构欺诈、疏忽、过失、破产等原因给基金财产带来的损失等。</w:t>
      </w:r>
    </w:p>
    <w:p w:rsidR="009C72F0" w14:paraId="70B3C979"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三）如果由于本协议一方当事人（“违约方”）的违约行为给基金财产或基金投资者造成损失，另一方当事人（“守约方”）有权利代表基金对违约方进行追偿；如果由于违约方的违约行为导致守约方赔偿了该基金财产或基金投资者所遭受的损失，则守约方有权向违约方追索，违约方应赔偿和补偿守约方由此发生的所有成本、费用和支出，以及由此遭受的损失。</w:t>
      </w:r>
    </w:p>
    <w:p w:rsidR="009C72F0" w14:paraId="3C451614"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（四）托管协议当事人违反托管协议，给另一方当事人造成损失的，应承担直接</w:t>
      </w:r>
      <w:r>
        <w:rPr>
          <w:rFonts w:ascii="宋体" w:hAnsi="宋体" w:cs="宋体"/>
          <w:color w:val="000000"/>
          <w:sz w:val="24"/>
          <w:szCs w:val="24"/>
          <w:highlight w:val="white"/>
          <w:lang w:eastAsia="zh-CN"/>
        </w:rPr>
        <w:t>损失的</w:t>
      </w:r>
      <w:r>
        <w:rPr>
          <w:rFonts w:ascii="宋体" w:hAnsi="宋体" w:cs="宋体" w:hint="eastAsia"/>
          <w:color w:val="000000"/>
          <w:sz w:val="24"/>
          <w:szCs w:val="24"/>
          <w:highlight w:val="white"/>
          <w:lang w:eastAsia="zh-CN"/>
        </w:rPr>
        <w:t>赔偿责任。</w:t>
      </w:r>
    </w:p>
    <w:p w:rsidR="009C72F0" w14:paraId="416CBF2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五）当事人一方违约，守约方当事人在职责范围内有义务及时采取必要的措施，防止损失的扩大。没有采取适当措施致使损失进一步扩大的，不得就扩大的损失要求赔偿。守约方因防止损失扩大而支出的合理费用由违约方承担。</w:t>
      </w:r>
    </w:p>
    <w:p w:rsidR="009C72F0" w14:paraId="03ED21DE"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（六）违约行为虽已发生，但本托管协议能够继续履行的，在最大限度地保护基金份额持有人利益的前提下，基金管理人和基金托管人应当继续履行本协议。</w:t>
      </w:r>
    </w:p>
    <w:p w:rsidR="009C72F0" w14:paraId="3B39031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（七）</w:t>
      </w:r>
      <w:r>
        <w:rPr>
          <w:rFonts w:ascii="宋体" w:hAnsi="宋体" w:cs="宋体"/>
          <w:color w:val="000000"/>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9C72F0" w14:paraId="1537463F"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（八）本协议所指损失均为直接经济损失。</w:t>
      </w:r>
    </w:p>
    <w:p w:rsidR="009C72F0" w14:paraId="048E92AB" w14:textId="77777777">
      <w:pPr>
        <w:pStyle w:val="11"/>
        <w:jc w:val="center"/>
        <w:rPr>
          <w:color w:val="000000"/>
          <w:sz w:val="30"/>
          <w:szCs w:val="30"/>
          <w:lang w:eastAsia="zh-CN"/>
        </w:rPr>
      </w:pPr>
      <w:r>
        <w:rPr>
          <w:color w:val="000000"/>
          <w:sz w:val="24"/>
          <w:szCs w:val="24"/>
          <w:highlight w:val="white"/>
          <w:lang w:eastAsia="zh-CN"/>
        </w:rPr>
        <w:br w:type="page"/>
      </w:r>
      <w:bookmarkStart w:id="262" w:name="_Toc477274827"/>
      <w:bookmarkStart w:id="263" w:name="_Toc375230501"/>
      <w:bookmarkStart w:id="264" w:name="_Toc4491319"/>
      <w:bookmarkEnd w:id="262"/>
      <w:r>
        <w:rPr>
          <w:rFonts w:hint="eastAsia"/>
          <w:color w:val="000000"/>
          <w:sz w:val="30"/>
          <w:szCs w:val="30"/>
          <w:highlight w:val="white"/>
          <w:lang w:eastAsia="zh-CN"/>
        </w:rPr>
        <w:t>十八、</w:t>
      </w:r>
      <w:bookmarkStart w:id="265" w:name="_Toc375230502"/>
      <w:bookmarkStart w:id="266" w:name="_Toc125361090"/>
      <w:bookmarkStart w:id="267" w:name="_Toc124749240"/>
      <w:bookmarkStart w:id="268" w:name="_Toc124749953"/>
      <w:bookmarkStart w:id="269" w:name="_Toc123626184"/>
      <w:bookmarkEnd w:id="263"/>
      <w:bookmarkEnd w:id="265"/>
      <w:bookmarkEnd w:id="266"/>
      <w:bookmarkEnd w:id="267"/>
      <w:bookmarkEnd w:id="268"/>
      <w:bookmarkEnd w:id="269"/>
      <w:r>
        <w:rPr>
          <w:rFonts w:hint="eastAsia"/>
          <w:color w:val="000000"/>
          <w:sz w:val="30"/>
          <w:szCs w:val="30"/>
          <w:highlight w:val="white"/>
          <w:lang w:eastAsia="zh-CN"/>
        </w:rPr>
        <w:t>争议解决方式</w:t>
      </w:r>
      <w:bookmarkEnd w:id="264"/>
    </w:p>
    <w:p w:rsidR="009C72F0" w14:paraId="6C9D4AF0"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对于因《托管协议》的订立、内容、履行和解释而产生的或与《托管协议》有关的争议，双方当事人应尽量通过协商、调解途径解决。不愿或者不能通过协商、调解方式解决的，任何一方均有权将争议提交</w:t>
      </w:r>
      <w:r>
        <w:rPr>
          <w:rFonts w:ascii="宋体" w:hAnsi="宋体" w:hint="eastAsia"/>
          <w:bCs/>
          <w:sz w:val="24"/>
          <w:szCs w:val="24"/>
          <w:highlight w:val="white"/>
          <w:lang w:eastAsia="zh-CN"/>
        </w:rPr>
        <w:t>中国国际经济贸易仲裁委员会</w:t>
      </w:r>
      <w:r>
        <w:rPr>
          <w:rFonts w:ascii="宋体" w:hAnsi="宋体" w:cs="宋体" w:hint="eastAsia"/>
          <w:color w:val="000000"/>
          <w:sz w:val="24"/>
          <w:szCs w:val="24"/>
          <w:highlight w:val="white"/>
          <w:lang w:eastAsia="zh-CN"/>
        </w:rPr>
        <w:t>，根据该会届时有效的仲裁规则进行仲裁，仲裁地点为深圳市。仲裁裁决是终局性的，对双方当事人均具有约束力。除非仲裁裁决另有规定，仲裁费由败诉方承担。</w:t>
      </w:r>
    </w:p>
    <w:p w:rsidR="009C72F0" w14:paraId="6950C874"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争议处理期间，双方当事人应恪守各自的职责，继续忠实、勤勉、尽责地履行本协议规定的义务，维护基金份额持有人的合法权益。</w:t>
      </w:r>
    </w:p>
    <w:p w:rsidR="009C72F0" w14:paraId="5B27004D"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《托管协议》受中国法律</w:t>
      </w:r>
      <w:bookmarkStart w:id="270" w:name="_Hlk79623336"/>
      <w:r>
        <w:rPr>
          <w:rFonts w:ascii="宋体" w:hAnsi="宋体" w:cs="宋体" w:hint="eastAsia"/>
          <w:color w:val="000000"/>
          <w:sz w:val="24"/>
          <w:szCs w:val="24"/>
          <w:highlight w:val="white"/>
          <w:lang w:eastAsia="zh-CN"/>
        </w:rPr>
        <w:t>（为本协议之目的，不含港澳台立法）</w:t>
      </w:r>
      <w:bookmarkEnd w:id="270"/>
      <w:r>
        <w:rPr>
          <w:rFonts w:ascii="宋体" w:hAnsi="宋体" w:cs="宋体" w:hint="eastAsia"/>
          <w:color w:val="000000"/>
          <w:sz w:val="24"/>
          <w:szCs w:val="24"/>
          <w:highlight w:val="white"/>
          <w:lang w:eastAsia="zh-CN"/>
        </w:rPr>
        <w:t>管辖。</w:t>
      </w:r>
    </w:p>
    <w:p w:rsidR="009C72F0" w14:paraId="024374F9"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70EB369E" w14:textId="77777777">
      <w:pPr>
        <w:pStyle w:val="11"/>
        <w:jc w:val="center"/>
        <w:rPr>
          <w:rFonts w:ascii="Calibri" w:hAnsi="Calibri"/>
          <w:color w:val="000000"/>
          <w:sz w:val="21"/>
          <w:szCs w:val="21"/>
          <w:lang w:eastAsia="zh-CN"/>
        </w:rPr>
      </w:pPr>
      <w:bookmarkStart w:id="271" w:name="_Toc123626185"/>
      <w:bookmarkStart w:id="272" w:name="_Toc124749954"/>
      <w:bookmarkStart w:id="273" w:name="_Toc375230503"/>
      <w:bookmarkStart w:id="274" w:name="_Toc124749241"/>
      <w:bookmarkStart w:id="275" w:name="_Toc477274828"/>
      <w:bookmarkStart w:id="276" w:name="_Toc125361091"/>
      <w:bookmarkStart w:id="277" w:name="_Toc4491320"/>
      <w:bookmarkEnd w:id="271"/>
      <w:bookmarkEnd w:id="272"/>
      <w:bookmarkEnd w:id="273"/>
      <w:bookmarkEnd w:id="274"/>
      <w:bookmarkEnd w:id="275"/>
      <w:bookmarkEnd w:id="276"/>
      <w:r>
        <w:rPr>
          <w:rFonts w:hint="eastAsia"/>
          <w:color w:val="000000"/>
          <w:sz w:val="30"/>
          <w:szCs w:val="30"/>
          <w:highlight w:val="white"/>
          <w:lang w:eastAsia="zh-CN"/>
        </w:rPr>
        <w:t>十九、基金托管协议的效力</w:t>
      </w:r>
      <w:bookmarkEnd w:id="277"/>
    </w:p>
    <w:p w:rsidR="009C72F0" w14:paraId="0A9B3427"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一）基金管理人在向中国证监会申请募集注册时提交的本基金托管协议草案，该等草案系经托管协议当事人双方盖章以及双方法定代表人或授权代表签名或盖章，协议当事人双方可能不时根据中国证监会的意见修改托管协议草案。托管协议以中国证监会注册的文本为正式文本。</w:t>
      </w:r>
    </w:p>
    <w:p w:rsidR="009C72F0" w14:paraId="7F2C842C"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（二）基金托管协议自《基金合同》成立之日起成立，自《基金合同》生效之日起生效。基金托管协议的有效期自其生效之日起至本基金财产清算结果报中国证监会备案并公告之日止。</w:t>
      </w:r>
    </w:p>
    <w:p w:rsidR="009C72F0" w14:paraId="69D77B2D"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（三）基金托管协议自生效之日对托管协议当事人具有同等的法律约束力。</w:t>
      </w:r>
    </w:p>
    <w:p w:rsidR="009C72F0" w14:paraId="0A9D5C78"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（四）基金托管协议正本一式叁份，协议双方各持一份，上报中国证监会一份，每份具有同等法律效力。</w:t>
      </w:r>
    </w:p>
    <w:p w:rsidR="009C72F0" w14:paraId="51F12961"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2BCD5A83" w14:textId="77777777">
      <w:pPr>
        <w:pStyle w:val="11"/>
        <w:jc w:val="center"/>
        <w:rPr>
          <w:rFonts w:ascii="Calibri" w:hAnsi="Calibri"/>
          <w:color w:val="000000"/>
          <w:sz w:val="21"/>
          <w:szCs w:val="21"/>
          <w:lang w:eastAsia="zh-CN"/>
        </w:rPr>
      </w:pPr>
      <w:bookmarkStart w:id="278" w:name="_Toc477274829"/>
      <w:bookmarkStart w:id="279" w:name="_Toc4491321"/>
      <w:bookmarkStart w:id="280" w:name="_Toc375230504"/>
      <w:bookmarkEnd w:id="278"/>
      <w:r>
        <w:rPr>
          <w:rFonts w:hint="eastAsia"/>
          <w:color w:val="000000"/>
          <w:sz w:val="28"/>
          <w:szCs w:val="28"/>
          <w:highlight w:val="white"/>
          <w:lang w:eastAsia="zh-CN"/>
        </w:rPr>
        <w:t>二十、其他事项</w:t>
      </w:r>
      <w:bookmarkEnd w:id="279"/>
      <w:bookmarkEnd w:id="280"/>
    </w:p>
    <w:p w:rsidR="009C72F0" w14:paraId="00161921" w14:textId="77777777">
      <w:pPr>
        <w:widowControl/>
        <w:spacing w:after="120" w:line="300" w:lineRule="atLeast"/>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除本协议有明确定义外，本协议的用语定义适用基金合同的约定。</w:t>
      </w:r>
    </w:p>
    <w:p w:rsidR="009C72F0" w14:paraId="6ACEA9AE" w14:textId="77777777">
      <w:pPr>
        <w:widowControl/>
        <w:jc w:val="left"/>
        <w:rPr>
          <w:rFonts w:ascii="宋体" w:hAnsi="宋体" w:cs="宋体"/>
          <w:color w:val="000000"/>
          <w:sz w:val="24"/>
          <w:szCs w:val="24"/>
          <w:lang w:eastAsia="zh-CN"/>
        </w:rPr>
      </w:pPr>
      <w:r>
        <w:rPr>
          <w:rFonts w:ascii="宋体" w:hAnsi="宋体" w:cs="宋体"/>
          <w:color w:val="000000"/>
          <w:sz w:val="24"/>
          <w:szCs w:val="24"/>
          <w:highlight w:val="white"/>
          <w:lang w:eastAsia="zh-CN"/>
        </w:rPr>
        <w:br w:type="page"/>
      </w:r>
    </w:p>
    <w:p w:rsidR="009C72F0" w14:paraId="155055E0" w14:textId="77777777">
      <w:pPr>
        <w:pStyle w:val="11"/>
        <w:jc w:val="center"/>
        <w:rPr>
          <w:rFonts w:ascii="Calibri" w:hAnsi="Calibri"/>
          <w:color w:val="000000"/>
          <w:sz w:val="21"/>
          <w:szCs w:val="21"/>
          <w:lang w:eastAsia="zh-CN"/>
        </w:rPr>
      </w:pPr>
      <w:bookmarkStart w:id="281" w:name="_Toc124749955"/>
      <w:bookmarkStart w:id="282" w:name="_Toc123626186"/>
      <w:bookmarkStart w:id="283" w:name="_Toc477274830"/>
      <w:bookmarkStart w:id="284" w:name="_Toc125361092"/>
      <w:bookmarkStart w:id="285" w:name="_Toc124749242"/>
      <w:bookmarkStart w:id="286" w:name="_Toc375230505"/>
      <w:bookmarkStart w:id="287" w:name="_Toc4491322"/>
      <w:bookmarkEnd w:id="281"/>
      <w:bookmarkEnd w:id="282"/>
      <w:bookmarkEnd w:id="283"/>
      <w:bookmarkEnd w:id="284"/>
      <w:bookmarkEnd w:id="285"/>
      <w:bookmarkEnd w:id="286"/>
      <w:r>
        <w:rPr>
          <w:rFonts w:hint="eastAsia"/>
          <w:color w:val="000000"/>
          <w:sz w:val="30"/>
          <w:szCs w:val="30"/>
          <w:highlight w:val="white"/>
          <w:lang w:eastAsia="zh-CN"/>
        </w:rPr>
        <w:t>二十一、基金托管协议的签订</w:t>
      </w:r>
      <w:bookmarkEnd w:id="287"/>
    </w:p>
    <w:p w:rsidR="009C72F0" w14:paraId="45FB3596" w14:textId="77777777">
      <w:pPr>
        <w:widowControl/>
        <w:spacing w:after="120" w:line="300" w:lineRule="atLeast"/>
        <w:ind w:firstLine="480"/>
        <w:rPr>
          <w:rFonts w:cs="宋体"/>
          <w:color w:val="000000"/>
          <w:szCs w:val="21"/>
          <w:lang w:eastAsia="zh-CN"/>
        </w:rPr>
      </w:pPr>
      <w:r>
        <w:rPr>
          <w:rFonts w:ascii="宋体" w:hAnsi="宋体" w:cs="宋体" w:hint="eastAsia"/>
          <w:color w:val="000000"/>
          <w:sz w:val="24"/>
          <w:szCs w:val="24"/>
          <w:highlight w:val="white"/>
          <w:lang w:eastAsia="zh-CN"/>
        </w:rPr>
        <w:t>本托管协议经基金管理人和基金托管人认可后，由该双方当事人在基金托管协议上盖章，并由各自的法定代表人或授权代表签名或盖章，并注明基金托管协议的签订地点和签订日期。</w:t>
      </w:r>
    </w:p>
    <w:p w:rsidR="009C72F0" w14:paraId="514392B5" w14:textId="77777777">
      <w:pPr>
        <w:widowControl/>
        <w:jc w:val="left"/>
        <w:rPr>
          <w:rFonts w:ascii="宋体" w:hAnsi="宋体" w:cs="宋体"/>
          <w:color w:val="000000"/>
          <w:sz w:val="24"/>
          <w:szCs w:val="24"/>
          <w:lang w:eastAsia="zh-CN"/>
        </w:rPr>
        <w:sectPr>
          <w:footerReference w:type="default" r:id="rId8"/>
          <w:pgSz w:w="11906" w:h="16838"/>
          <w:pgMar w:top="1440" w:right="1800" w:bottom="1440" w:left="1800" w:header="851" w:footer="992" w:gutter="0"/>
          <w:pgNumType w:start="1"/>
          <w:cols w:space="720"/>
          <w:docGrid w:type="lines" w:linePitch="312"/>
        </w:sectPr>
      </w:pPr>
    </w:p>
    <w:p w:rsidR="009C72F0" w14:paraId="28601414" w14:textId="77777777">
      <w:pPr>
        <w:widowControl/>
        <w:jc w:val="left"/>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本页无正文，为《</w:t>
      </w:r>
      <w:r>
        <w:rPr>
          <w:rFonts w:ascii="宋体" w:hAnsi="宋体" w:cs="宋体" w:hint="eastAsia"/>
          <w:color w:val="000000"/>
          <w:sz w:val="24"/>
          <w:szCs w:val="24"/>
          <w:lang w:eastAsia="zh-CN"/>
        </w:rPr>
        <w:t>易方达安旭90天持有期债券型证券投资基金</w:t>
      </w:r>
      <w:r>
        <w:rPr>
          <w:rFonts w:ascii="宋体" w:hAnsi="宋体" w:cs="宋体" w:hint="eastAsia"/>
          <w:color w:val="000000"/>
          <w:sz w:val="24"/>
          <w:szCs w:val="24"/>
          <w:highlight w:val="white"/>
          <w:lang w:eastAsia="zh-CN"/>
        </w:rPr>
        <w:t>托管协议》</w:t>
      </w:r>
      <w:r>
        <w:rPr>
          <w:rFonts w:ascii="宋体" w:hAnsi="宋体" w:cs="宋体"/>
          <w:color w:val="000000"/>
          <w:sz w:val="24"/>
          <w:highlight w:val="white"/>
          <w:lang w:eastAsia="zh-CN"/>
        </w:rPr>
        <w:t>的签字盖章页</w:t>
      </w:r>
      <w:r>
        <w:rPr>
          <w:rFonts w:ascii="宋体" w:hAnsi="宋体" w:cs="宋体"/>
          <w:color w:val="000000"/>
          <w:sz w:val="24"/>
          <w:szCs w:val="24"/>
          <w:highlight w:val="white"/>
          <w:lang w:eastAsia="zh-CN"/>
        </w:rPr>
        <w:t>。</w:t>
      </w:r>
    </w:p>
    <w:p w:rsidR="009C72F0" w14:paraId="08EF1371" w14:textId="77777777">
      <w:pPr>
        <w:widowControl/>
        <w:jc w:val="left"/>
        <w:rPr>
          <w:rFonts w:cs="宋体"/>
          <w:color w:val="000000"/>
          <w:szCs w:val="21"/>
          <w:lang w:eastAsia="zh-CN"/>
        </w:rPr>
      </w:pPr>
    </w:p>
    <w:p w:rsidR="009C72F0" w14:paraId="56C9972A" w14:textId="77777777">
      <w:pPr>
        <w:widowControl/>
        <w:spacing w:line="315" w:lineRule="atLeast"/>
        <w:rPr>
          <w:rFonts w:cs="宋体"/>
          <w:color w:val="000000"/>
          <w:szCs w:val="21"/>
          <w:lang w:eastAsia="zh-CN"/>
        </w:rPr>
      </w:pPr>
    </w:p>
    <w:p w:rsidR="009C72F0" w14:paraId="0EB8FA2E" w14:textId="77777777">
      <w:pPr>
        <w:widowControl/>
        <w:spacing w:line="315" w:lineRule="atLeast"/>
        <w:ind w:right="26"/>
        <w:rPr>
          <w:lang w:eastAsia="zh-CN"/>
        </w:rPr>
      </w:pPr>
      <w:r>
        <w:rPr>
          <w:rFonts w:ascii="宋体" w:hAnsi="宋体" w:cs="宋体"/>
          <w:b/>
          <w:color w:val="000000"/>
          <w:sz w:val="24"/>
          <w:highlight w:val="white"/>
          <w:lang w:eastAsia="zh-CN"/>
        </w:rPr>
        <w:t>《托管协议》当事人盖章及法定代表人或授权代表签字/签章、签订地、签订日</w:t>
      </w:r>
    </w:p>
    <w:p w:rsidR="009C72F0" w14:paraId="69627AF8" w14:textId="77777777">
      <w:pPr>
        <w:widowControl/>
        <w:spacing w:line="315" w:lineRule="atLeast"/>
        <w:rPr>
          <w:rFonts w:cs="宋体"/>
          <w:color w:val="000000"/>
          <w:szCs w:val="21"/>
          <w:lang w:eastAsia="zh-CN"/>
        </w:rPr>
      </w:pPr>
    </w:p>
    <w:p w:rsidR="009C72F0" w14:paraId="02146825" w14:textId="77777777">
      <w:pPr>
        <w:widowControl/>
        <w:spacing w:line="315" w:lineRule="atLeast"/>
        <w:rPr>
          <w:rFonts w:cs="宋体"/>
          <w:color w:val="000000"/>
          <w:szCs w:val="21"/>
          <w:lang w:eastAsia="zh-CN"/>
        </w:rPr>
      </w:pPr>
    </w:p>
    <w:p w:rsidR="009C72F0" w14:paraId="63EC0411" w14:textId="77777777">
      <w:pPr>
        <w:widowControl/>
        <w:spacing w:line="315" w:lineRule="atLeast"/>
        <w:rPr>
          <w:rFonts w:cs="宋体"/>
          <w:color w:val="000000"/>
          <w:szCs w:val="21"/>
          <w:lang w:eastAsia="zh-CN"/>
        </w:rPr>
      </w:pPr>
    </w:p>
    <w:p w:rsidR="009C72F0" w14:paraId="7064FBF5" w14:textId="77777777">
      <w:pPr>
        <w:widowControl/>
        <w:spacing w:line="315" w:lineRule="atLeast"/>
        <w:ind w:right="26"/>
        <w:rPr>
          <w:rFonts w:cs="宋体"/>
          <w:color w:val="000000"/>
          <w:szCs w:val="21"/>
          <w:lang w:eastAsia="zh-CN"/>
        </w:rPr>
      </w:pPr>
    </w:p>
    <w:p w:rsidR="009C72F0" w14:paraId="6D22D98A" w14:textId="77777777">
      <w:pPr>
        <w:widowControl/>
        <w:spacing w:line="315" w:lineRule="atLeast"/>
        <w:ind w:right="26"/>
        <w:rPr>
          <w:rFonts w:cs="宋体"/>
          <w:color w:val="000000"/>
          <w:szCs w:val="21"/>
          <w:lang w:eastAsia="zh-CN"/>
        </w:rPr>
      </w:pPr>
      <w:r>
        <w:rPr>
          <w:rFonts w:ascii="宋体" w:hAnsi="宋体" w:cs="宋体" w:hint="eastAsia"/>
          <w:b/>
          <w:bCs/>
          <w:color w:val="000000"/>
          <w:sz w:val="24"/>
          <w:szCs w:val="24"/>
          <w:highlight w:val="white"/>
          <w:lang w:eastAsia="zh-CN"/>
        </w:rPr>
        <w:t>基金管理人：易方达基金管理有限公司（章）</w:t>
      </w:r>
    </w:p>
    <w:p w:rsidR="009C72F0" w14:paraId="6D0086EE" w14:textId="77777777">
      <w:pPr>
        <w:widowControl/>
        <w:spacing w:line="315" w:lineRule="atLeast"/>
        <w:ind w:right="26"/>
        <w:rPr>
          <w:rFonts w:ascii="宋体" w:hAnsi="宋体" w:cs="宋体"/>
          <w:b/>
          <w:bCs/>
          <w:color w:val="000000"/>
          <w:sz w:val="24"/>
          <w:szCs w:val="24"/>
          <w:lang w:eastAsia="zh-CN"/>
        </w:rPr>
      </w:pPr>
    </w:p>
    <w:p w:rsidR="009C72F0" w14:paraId="484545C8" w14:textId="77777777">
      <w:pPr>
        <w:widowControl/>
        <w:spacing w:line="315" w:lineRule="atLeast"/>
        <w:ind w:right="26"/>
        <w:rPr>
          <w:rFonts w:ascii="宋体" w:hAnsi="宋体" w:cs="宋体"/>
          <w:b/>
          <w:bCs/>
          <w:color w:val="000000"/>
          <w:sz w:val="24"/>
          <w:szCs w:val="24"/>
          <w:lang w:eastAsia="zh-CN"/>
        </w:rPr>
      </w:pPr>
    </w:p>
    <w:p w:rsidR="009C72F0" w14:paraId="2492E419" w14:textId="77777777">
      <w:pPr>
        <w:widowControl/>
        <w:spacing w:line="315" w:lineRule="atLeast"/>
        <w:ind w:right="26"/>
        <w:rPr>
          <w:rFonts w:ascii="宋体" w:hAnsi="宋体" w:cs="宋体"/>
          <w:b/>
          <w:bCs/>
          <w:color w:val="000000"/>
          <w:sz w:val="24"/>
          <w:szCs w:val="24"/>
          <w:lang w:eastAsia="zh-CN"/>
        </w:rPr>
      </w:pPr>
    </w:p>
    <w:p w:rsidR="009C72F0" w14:paraId="32454FC6" w14:textId="77777777">
      <w:pPr>
        <w:widowControl/>
        <w:spacing w:line="315" w:lineRule="atLeast"/>
        <w:ind w:right="26"/>
        <w:rPr>
          <w:rFonts w:ascii="宋体" w:hAnsi="宋体" w:cs="宋体"/>
          <w:b/>
          <w:color w:val="000000"/>
          <w:sz w:val="24"/>
          <w:szCs w:val="24"/>
          <w:lang w:eastAsia="zh-CN"/>
        </w:rPr>
      </w:pPr>
      <w:r>
        <w:rPr>
          <w:rFonts w:ascii="宋体" w:hAnsi="宋体" w:cs="宋体" w:hint="eastAsia"/>
          <w:b/>
          <w:bCs/>
          <w:color w:val="000000"/>
          <w:sz w:val="24"/>
          <w:szCs w:val="24"/>
          <w:highlight w:val="white"/>
          <w:lang w:eastAsia="zh-CN"/>
        </w:rPr>
        <w:t>法定代表人或授权代</w:t>
      </w:r>
      <w:r>
        <w:rPr>
          <w:rFonts w:ascii="宋体" w:hAnsi="宋体" w:cs="宋体"/>
          <w:b/>
          <w:bCs/>
          <w:color w:val="000000"/>
          <w:sz w:val="24"/>
          <w:szCs w:val="24"/>
          <w:highlight w:val="white"/>
          <w:lang w:eastAsia="zh-CN"/>
        </w:rPr>
        <w:t>表</w:t>
      </w:r>
      <w:r>
        <w:rPr>
          <w:rFonts w:ascii="宋体" w:hAnsi="宋体" w:cs="宋体"/>
          <w:b/>
          <w:color w:val="000000"/>
          <w:sz w:val="24"/>
          <w:highlight w:val="white"/>
          <w:lang w:eastAsia="zh-CN"/>
        </w:rPr>
        <w:t>（签字/签章）</w:t>
      </w:r>
      <w:r>
        <w:rPr>
          <w:rFonts w:ascii="宋体" w:hAnsi="宋体" w:cs="宋体"/>
          <w:b/>
          <w:bCs/>
          <w:color w:val="000000"/>
          <w:sz w:val="24"/>
          <w:szCs w:val="24"/>
          <w:highlight w:val="white"/>
          <w:lang w:eastAsia="zh-CN"/>
        </w:rPr>
        <w:t xml:space="preserve">：                                 </w:t>
      </w:r>
    </w:p>
    <w:p w:rsidR="009C72F0" w14:paraId="28123DB7" w14:textId="77777777">
      <w:pPr>
        <w:widowControl/>
        <w:spacing w:line="315" w:lineRule="atLeast"/>
        <w:ind w:right="26"/>
        <w:rPr>
          <w:rFonts w:ascii="宋体" w:hAnsi="宋体" w:cs="宋体"/>
          <w:b/>
          <w:color w:val="000000"/>
          <w:sz w:val="24"/>
          <w:szCs w:val="24"/>
          <w:lang w:eastAsia="zh-CN"/>
        </w:rPr>
      </w:pPr>
    </w:p>
    <w:p w:rsidR="009C72F0" w14:paraId="5ED666B4" w14:textId="77777777">
      <w:pPr>
        <w:widowControl/>
        <w:spacing w:line="315" w:lineRule="atLeast"/>
        <w:ind w:right="26"/>
        <w:rPr>
          <w:rFonts w:cs="宋体"/>
          <w:color w:val="000000"/>
          <w:szCs w:val="21"/>
          <w:lang w:eastAsia="zh-CN"/>
        </w:rPr>
      </w:pPr>
    </w:p>
    <w:p w:rsidR="009C72F0" w14:paraId="622EDD55" w14:textId="77777777">
      <w:pPr>
        <w:widowControl/>
        <w:spacing w:line="315" w:lineRule="atLeast"/>
        <w:ind w:right="26"/>
        <w:rPr>
          <w:rFonts w:ascii="宋体" w:hAnsi="宋体" w:cs="宋体"/>
          <w:b/>
          <w:bCs/>
          <w:color w:val="000000"/>
          <w:sz w:val="24"/>
          <w:szCs w:val="24"/>
          <w:lang w:eastAsia="zh-CN"/>
        </w:rPr>
      </w:pPr>
    </w:p>
    <w:p w:rsidR="009C72F0" w14:paraId="3AEDECD5" w14:textId="77777777">
      <w:pPr>
        <w:widowControl/>
        <w:spacing w:line="315" w:lineRule="atLeast"/>
        <w:ind w:right="26"/>
        <w:rPr>
          <w:rFonts w:ascii="宋体" w:hAnsi="宋体" w:cs="宋体"/>
          <w:b/>
          <w:bCs/>
          <w:color w:val="000000"/>
          <w:sz w:val="24"/>
          <w:szCs w:val="24"/>
          <w:lang w:eastAsia="zh-CN"/>
        </w:rPr>
      </w:pPr>
    </w:p>
    <w:p w:rsidR="009C72F0" w14:paraId="54A370E2" w14:textId="77777777">
      <w:pPr>
        <w:widowControl/>
        <w:spacing w:line="315" w:lineRule="atLeast"/>
        <w:ind w:right="26"/>
        <w:rPr>
          <w:rFonts w:ascii="宋体" w:hAnsi="宋体" w:cs="宋体"/>
          <w:b/>
          <w:bCs/>
          <w:color w:val="000000"/>
          <w:sz w:val="24"/>
          <w:szCs w:val="24"/>
          <w:lang w:eastAsia="zh-CN"/>
        </w:rPr>
      </w:pPr>
    </w:p>
    <w:p w:rsidR="009C72F0" w14:paraId="1D2E6F36" w14:textId="77777777">
      <w:pPr>
        <w:widowControl/>
        <w:spacing w:line="315" w:lineRule="atLeast"/>
        <w:ind w:right="26"/>
        <w:rPr>
          <w:rFonts w:ascii="宋体" w:hAnsi="宋体" w:cs="宋体"/>
          <w:b/>
          <w:bCs/>
          <w:color w:val="000000"/>
          <w:sz w:val="24"/>
          <w:szCs w:val="24"/>
          <w:lang w:eastAsia="zh-CN"/>
        </w:rPr>
      </w:pPr>
    </w:p>
    <w:p w:rsidR="009C72F0" w14:paraId="196D2DAE" w14:textId="77777777">
      <w:pPr>
        <w:widowControl/>
        <w:spacing w:line="315" w:lineRule="atLeast"/>
        <w:ind w:right="26"/>
        <w:rPr>
          <w:rFonts w:ascii="宋体" w:hAnsi="宋体" w:cs="宋体"/>
          <w:b/>
          <w:bCs/>
          <w:color w:val="000000"/>
          <w:sz w:val="24"/>
          <w:szCs w:val="24"/>
          <w:lang w:eastAsia="zh-CN"/>
        </w:rPr>
      </w:pPr>
    </w:p>
    <w:p w:rsidR="009C72F0" w14:paraId="0C7E357F" w14:textId="77777777">
      <w:pPr>
        <w:widowControl/>
        <w:spacing w:line="315" w:lineRule="atLeast"/>
        <w:ind w:right="26"/>
        <w:rPr>
          <w:rFonts w:ascii="宋体" w:hAnsi="宋体" w:cs="宋体"/>
          <w:b/>
          <w:bCs/>
          <w:color w:val="000000"/>
          <w:sz w:val="24"/>
          <w:szCs w:val="24"/>
          <w:lang w:eastAsia="zh-CN"/>
        </w:rPr>
      </w:pPr>
    </w:p>
    <w:p w:rsidR="009C72F0" w14:paraId="60D6EEF9" w14:textId="77777777">
      <w:pPr>
        <w:widowControl/>
        <w:spacing w:line="315" w:lineRule="atLeast"/>
        <w:ind w:right="26"/>
        <w:rPr>
          <w:rFonts w:ascii="宋体" w:hAnsi="宋体" w:cs="宋体"/>
          <w:b/>
          <w:bCs/>
          <w:color w:val="000000"/>
          <w:sz w:val="24"/>
          <w:szCs w:val="24"/>
          <w:lang w:eastAsia="zh-CN"/>
        </w:rPr>
      </w:pPr>
    </w:p>
    <w:p w:rsidR="009C72F0" w14:paraId="309ABC3F" w14:textId="77777777">
      <w:pPr>
        <w:widowControl/>
        <w:spacing w:line="315" w:lineRule="atLeast"/>
        <w:ind w:right="26"/>
        <w:rPr>
          <w:rFonts w:cs="宋体"/>
          <w:color w:val="000000"/>
          <w:szCs w:val="21"/>
          <w:lang w:eastAsia="zh-CN"/>
        </w:rPr>
      </w:pPr>
    </w:p>
    <w:p w:rsidR="009C72F0" w14:paraId="3B34850B" w14:textId="77777777">
      <w:pPr>
        <w:widowControl/>
        <w:spacing w:line="315" w:lineRule="atLeast"/>
        <w:ind w:right="26"/>
        <w:rPr>
          <w:rFonts w:cs="宋体"/>
          <w:color w:val="000000"/>
          <w:szCs w:val="21"/>
          <w:lang w:eastAsia="zh-CN"/>
        </w:rPr>
      </w:pPr>
      <w:r>
        <w:rPr>
          <w:rFonts w:ascii="宋体" w:hAnsi="宋体" w:cs="宋体" w:hint="eastAsia"/>
          <w:b/>
          <w:bCs/>
          <w:color w:val="000000"/>
          <w:sz w:val="24"/>
          <w:szCs w:val="24"/>
          <w:highlight w:val="white"/>
          <w:lang w:eastAsia="zh-CN"/>
        </w:rPr>
        <w:t>基金托管人：国信证券股份有限公司（章）</w:t>
      </w:r>
    </w:p>
    <w:p w:rsidR="009C72F0" w14:paraId="68E0CDC3" w14:textId="77777777">
      <w:pPr>
        <w:widowControl/>
        <w:spacing w:line="315" w:lineRule="atLeast"/>
        <w:ind w:right="26"/>
        <w:rPr>
          <w:rFonts w:cs="宋体"/>
          <w:color w:val="000000"/>
          <w:szCs w:val="21"/>
          <w:lang w:eastAsia="zh-CN"/>
        </w:rPr>
      </w:pPr>
    </w:p>
    <w:p w:rsidR="009C72F0" w14:paraId="134298B8" w14:textId="77777777">
      <w:pPr>
        <w:widowControl/>
        <w:spacing w:line="315" w:lineRule="atLeast"/>
        <w:ind w:right="26"/>
        <w:rPr>
          <w:rFonts w:cs="宋体"/>
          <w:color w:val="000000"/>
          <w:szCs w:val="21"/>
          <w:lang w:eastAsia="zh-CN"/>
        </w:rPr>
      </w:pPr>
    </w:p>
    <w:p w:rsidR="009C72F0" w14:paraId="7CE98D60" w14:textId="77777777">
      <w:pPr>
        <w:widowControl/>
        <w:spacing w:line="315" w:lineRule="atLeast"/>
        <w:ind w:right="26"/>
        <w:rPr>
          <w:rFonts w:cs="宋体"/>
          <w:color w:val="000000"/>
          <w:szCs w:val="21"/>
          <w:lang w:eastAsia="zh-CN"/>
        </w:rPr>
      </w:pPr>
    </w:p>
    <w:p w:rsidR="009C72F0" w14:paraId="26E1A778" w14:textId="77777777">
      <w:pPr>
        <w:widowControl/>
        <w:spacing w:line="315" w:lineRule="atLeast"/>
        <w:ind w:right="26"/>
        <w:rPr>
          <w:rFonts w:cs="宋体"/>
          <w:color w:val="000000"/>
          <w:szCs w:val="21"/>
          <w:lang w:eastAsia="zh-CN"/>
        </w:rPr>
      </w:pPr>
      <w:r>
        <w:rPr>
          <w:rFonts w:ascii="宋体" w:hAnsi="宋体" w:cs="宋体" w:hint="eastAsia"/>
          <w:b/>
          <w:bCs/>
          <w:color w:val="000000"/>
          <w:sz w:val="24"/>
          <w:szCs w:val="24"/>
          <w:highlight w:val="white"/>
          <w:lang w:eastAsia="zh-CN"/>
        </w:rPr>
        <w:t>法定代表人或授权代</w:t>
      </w:r>
      <w:r>
        <w:rPr>
          <w:rFonts w:ascii="宋体" w:hAnsi="宋体" w:cs="宋体"/>
          <w:b/>
          <w:bCs/>
          <w:color w:val="000000"/>
          <w:sz w:val="24"/>
          <w:szCs w:val="24"/>
          <w:highlight w:val="white"/>
          <w:lang w:eastAsia="zh-CN"/>
        </w:rPr>
        <w:t>表</w:t>
      </w:r>
      <w:r>
        <w:rPr>
          <w:rFonts w:ascii="宋体" w:hAnsi="宋体" w:cs="宋体"/>
          <w:b/>
          <w:color w:val="000000"/>
          <w:sz w:val="24"/>
          <w:highlight w:val="white"/>
          <w:lang w:eastAsia="zh-CN"/>
        </w:rPr>
        <w:t>（签字/签章）</w:t>
      </w:r>
      <w:r>
        <w:rPr>
          <w:rFonts w:ascii="宋体" w:hAnsi="宋体" w:cs="宋体"/>
          <w:b/>
          <w:bCs/>
          <w:color w:val="000000"/>
          <w:sz w:val="24"/>
          <w:szCs w:val="24"/>
          <w:highlight w:val="white"/>
          <w:lang w:eastAsia="zh-CN"/>
        </w:rPr>
        <w:t xml:space="preserve">：                               </w:t>
      </w:r>
    </w:p>
    <w:p w:rsidR="009C72F0" w14:paraId="39E2695B" w14:textId="77777777">
      <w:pPr>
        <w:widowControl/>
        <w:spacing w:line="315" w:lineRule="atLeast"/>
        <w:ind w:right="26"/>
        <w:rPr>
          <w:rFonts w:cs="宋体"/>
          <w:color w:val="000000"/>
          <w:szCs w:val="21"/>
          <w:lang w:eastAsia="zh-CN"/>
        </w:rPr>
      </w:pPr>
    </w:p>
    <w:p w:rsidR="009C72F0" w14:paraId="3DF09BD4" w14:textId="77777777">
      <w:pPr>
        <w:widowControl/>
        <w:spacing w:line="315" w:lineRule="atLeast"/>
        <w:ind w:right="26"/>
        <w:rPr>
          <w:rFonts w:cs="宋体"/>
          <w:color w:val="000000"/>
          <w:szCs w:val="21"/>
          <w:lang w:eastAsia="zh-CN"/>
        </w:rPr>
      </w:pPr>
    </w:p>
    <w:p w:rsidR="009C72F0" w14:paraId="5296F0B3" w14:textId="77777777">
      <w:pPr>
        <w:widowControl/>
        <w:spacing w:line="315" w:lineRule="atLeast"/>
        <w:ind w:right="26"/>
        <w:rPr>
          <w:rFonts w:cs="宋体"/>
          <w:color w:val="000000"/>
          <w:szCs w:val="21"/>
          <w:lang w:eastAsia="zh-CN"/>
        </w:rPr>
      </w:pPr>
    </w:p>
    <w:p w:rsidR="009C72F0" w14:paraId="039CF752" w14:textId="77777777">
      <w:pPr>
        <w:widowControl/>
        <w:spacing w:line="315" w:lineRule="atLeast"/>
        <w:ind w:right="26"/>
        <w:rPr>
          <w:rFonts w:cs="宋体"/>
          <w:color w:val="000000"/>
          <w:szCs w:val="21"/>
          <w:lang w:eastAsia="zh-CN"/>
        </w:rPr>
      </w:pPr>
    </w:p>
    <w:p w:rsidR="009C72F0" w14:paraId="37C8B4AB" w14:textId="77777777">
      <w:pPr>
        <w:widowControl/>
        <w:spacing w:line="315" w:lineRule="atLeast"/>
        <w:ind w:right="26"/>
        <w:rPr>
          <w:rFonts w:ascii="宋体" w:hAnsi="宋体" w:cs="宋体"/>
          <w:b/>
          <w:bCs/>
          <w:color w:val="000000"/>
          <w:sz w:val="24"/>
          <w:szCs w:val="24"/>
          <w:lang w:eastAsia="zh-CN"/>
        </w:rPr>
      </w:pPr>
    </w:p>
    <w:p w:rsidR="009C72F0" w14:paraId="29C7E096" w14:textId="77777777">
      <w:pPr>
        <w:widowControl/>
        <w:spacing w:line="315" w:lineRule="atLeast"/>
        <w:ind w:right="26"/>
        <w:rPr>
          <w:rFonts w:ascii="宋体" w:hAnsi="宋体" w:cs="宋体"/>
          <w:b/>
          <w:bCs/>
          <w:color w:val="000000"/>
          <w:sz w:val="24"/>
          <w:szCs w:val="24"/>
          <w:lang w:eastAsia="zh-CN"/>
        </w:rPr>
      </w:pPr>
    </w:p>
    <w:p w:rsidR="009C72F0" w14:paraId="73FF9383" w14:textId="77777777">
      <w:pPr>
        <w:widowControl/>
        <w:spacing w:line="315" w:lineRule="atLeast"/>
        <w:ind w:right="26"/>
        <w:rPr>
          <w:rFonts w:ascii="宋体" w:hAnsi="宋体" w:cs="宋体"/>
          <w:b/>
          <w:bCs/>
          <w:color w:val="000000"/>
          <w:sz w:val="24"/>
          <w:szCs w:val="24"/>
          <w:lang w:eastAsia="zh-CN"/>
        </w:rPr>
      </w:pPr>
    </w:p>
    <w:p w:rsidR="009C72F0" w14:paraId="2ECAEB32" w14:textId="77777777">
      <w:pPr>
        <w:widowControl/>
        <w:spacing w:line="315" w:lineRule="atLeast"/>
        <w:ind w:right="26"/>
        <w:rPr>
          <w:rFonts w:ascii="宋体" w:hAnsi="宋体" w:cs="宋体"/>
          <w:b/>
          <w:bCs/>
          <w:color w:val="000000"/>
          <w:sz w:val="24"/>
          <w:szCs w:val="24"/>
          <w:lang w:eastAsia="zh-CN"/>
        </w:rPr>
      </w:pPr>
    </w:p>
    <w:p w:rsidR="009C72F0" w14:paraId="39ADB881" w14:textId="77777777">
      <w:pPr>
        <w:widowControl/>
        <w:spacing w:line="315" w:lineRule="atLeast"/>
        <w:ind w:right="26"/>
        <w:rPr>
          <w:rFonts w:ascii="宋体" w:hAnsi="宋体" w:cs="宋体"/>
          <w:b/>
          <w:bCs/>
          <w:color w:val="000000"/>
          <w:sz w:val="24"/>
          <w:szCs w:val="24"/>
          <w:lang w:eastAsia="zh-CN"/>
        </w:rPr>
      </w:pPr>
    </w:p>
    <w:p w:rsidR="009C72F0" w14:paraId="588BF073" w14:textId="77777777">
      <w:pPr>
        <w:widowControl/>
        <w:spacing w:line="315" w:lineRule="atLeast"/>
        <w:ind w:right="26"/>
        <w:rPr>
          <w:rFonts w:ascii="宋体" w:hAnsi="宋体" w:cs="宋体"/>
          <w:b/>
          <w:bCs/>
          <w:color w:val="000000"/>
          <w:sz w:val="24"/>
          <w:szCs w:val="24"/>
          <w:lang w:eastAsia="zh-CN"/>
        </w:rPr>
      </w:pPr>
    </w:p>
    <w:p w:rsidR="009C72F0" w14:paraId="0B943F7A" w14:textId="77777777">
      <w:pPr>
        <w:widowControl/>
        <w:spacing w:line="315" w:lineRule="atLeast"/>
        <w:ind w:right="26"/>
        <w:rPr>
          <w:rFonts w:cs="宋体"/>
          <w:color w:val="000000"/>
          <w:szCs w:val="21"/>
          <w:lang w:eastAsia="zh-CN"/>
        </w:rPr>
      </w:pPr>
    </w:p>
    <w:p w:rsidR="009C72F0" w14:paraId="5153DAAD" w14:textId="77777777">
      <w:pPr>
        <w:widowControl/>
        <w:spacing w:line="315" w:lineRule="atLeast"/>
        <w:ind w:right="26"/>
        <w:rPr>
          <w:rFonts w:cs="宋体"/>
          <w:color w:val="000000"/>
          <w:szCs w:val="21"/>
          <w:lang w:eastAsia="zh-CN"/>
        </w:rPr>
      </w:pPr>
      <w:r>
        <w:rPr>
          <w:rFonts w:ascii="宋体" w:hAnsi="宋体" w:cs="宋体" w:hint="eastAsia"/>
          <w:b/>
          <w:bCs/>
          <w:color w:val="000000"/>
          <w:sz w:val="24"/>
          <w:szCs w:val="24"/>
          <w:highlight w:val="white"/>
          <w:lang w:eastAsia="zh-CN"/>
        </w:rPr>
        <w:t>签订地点：</w:t>
      </w:r>
    </w:p>
    <w:p w:rsidR="009C72F0" w14:paraId="18F8F0E6" w14:textId="77777777">
      <w:pPr>
        <w:widowControl/>
        <w:spacing w:line="315" w:lineRule="atLeast"/>
        <w:rPr>
          <w:rFonts w:cs="宋体"/>
          <w:color w:val="000000"/>
          <w:szCs w:val="21"/>
          <w:lang w:eastAsia="zh-CN"/>
        </w:rPr>
      </w:pPr>
      <w:r>
        <w:rPr>
          <w:rFonts w:ascii="宋体" w:hAnsi="宋体" w:cs="宋体" w:hint="eastAsia"/>
          <w:b/>
          <w:bCs/>
          <w:color w:val="000000"/>
          <w:sz w:val="24"/>
          <w:szCs w:val="24"/>
          <w:highlight w:val="white"/>
          <w:lang w:eastAsia="zh-CN"/>
        </w:rPr>
        <w:t xml:space="preserve">签 </w:t>
      </w:r>
      <w:r>
        <w:rPr>
          <w:rFonts w:ascii="宋体" w:hAnsi="宋体" w:cs="宋体"/>
          <w:b/>
          <w:bCs/>
          <w:color w:val="000000"/>
          <w:sz w:val="24"/>
          <w:szCs w:val="24"/>
          <w:highlight w:val="white"/>
          <w:lang w:eastAsia="zh-CN"/>
        </w:rPr>
        <w:t xml:space="preserve"> </w:t>
      </w:r>
      <w:r>
        <w:rPr>
          <w:rFonts w:ascii="宋体" w:hAnsi="宋体" w:cs="宋体" w:hint="eastAsia"/>
          <w:b/>
          <w:bCs/>
          <w:color w:val="000000"/>
          <w:sz w:val="24"/>
          <w:szCs w:val="24"/>
          <w:highlight w:val="white"/>
          <w:lang w:eastAsia="zh-CN"/>
        </w:rPr>
        <w:t>订  日：</w:t>
      </w:r>
      <w:r>
        <w:rPr>
          <w:rFonts w:ascii="宋体" w:hAnsi="宋体" w:cs="宋体"/>
          <w:b/>
          <w:bCs/>
          <w:color w:val="000000"/>
          <w:sz w:val="24"/>
          <w:szCs w:val="24"/>
          <w:highlight w:val="white"/>
          <w:lang w:eastAsia="zh-CN"/>
        </w:rPr>
        <w:t xml:space="preserve">          </w:t>
      </w:r>
      <w:r>
        <w:rPr>
          <w:rFonts w:ascii="宋体" w:hAnsi="宋体" w:cs="宋体" w:hint="eastAsia"/>
          <w:b/>
          <w:bCs/>
          <w:color w:val="000000"/>
          <w:sz w:val="24"/>
          <w:szCs w:val="24"/>
          <w:highlight w:val="white"/>
          <w:lang w:eastAsia="zh-CN"/>
        </w:rPr>
        <w:t>年</w:t>
      </w:r>
      <w:r>
        <w:rPr>
          <w:rFonts w:ascii="宋体" w:hAnsi="宋体" w:cs="宋体"/>
          <w:b/>
          <w:bCs/>
          <w:color w:val="000000"/>
          <w:sz w:val="24"/>
          <w:szCs w:val="24"/>
          <w:highlight w:val="white"/>
          <w:lang w:eastAsia="zh-CN"/>
        </w:rPr>
        <w:t xml:space="preserve">      </w:t>
      </w:r>
      <w:r>
        <w:rPr>
          <w:rFonts w:ascii="宋体" w:hAnsi="宋体" w:cs="宋体" w:hint="eastAsia"/>
          <w:b/>
          <w:bCs/>
          <w:color w:val="000000"/>
          <w:sz w:val="24"/>
          <w:szCs w:val="24"/>
          <w:highlight w:val="white"/>
          <w:lang w:eastAsia="zh-CN"/>
        </w:rPr>
        <w:t>月</w:t>
      </w:r>
      <w:r>
        <w:rPr>
          <w:rFonts w:ascii="宋体" w:hAnsi="宋体" w:cs="宋体"/>
          <w:b/>
          <w:bCs/>
          <w:color w:val="000000"/>
          <w:sz w:val="24"/>
          <w:szCs w:val="24"/>
          <w:highlight w:val="white"/>
          <w:lang w:eastAsia="zh-CN"/>
        </w:rPr>
        <w:t xml:space="preserve">      </w:t>
      </w:r>
      <w:r>
        <w:rPr>
          <w:rFonts w:ascii="宋体" w:hAnsi="宋体" w:cs="宋体" w:hint="eastAsia"/>
          <w:b/>
          <w:bCs/>
          <w:color w:val="000000"/>
          <w:sz w:val="24"/>
          <w:szCs w:val="24"/>
          <w:highlight w:val="white"/>
          <w:lang w:eastAsia="zh-CN"/>
        </w:rPr>
        <w:t>日</w:t>
      </w:r>
      <w:bookmarkStart w:id="288" w:name="_Toc22454484"/>
      <w:bookmarkStart w:id="289" w:name="_Toc48703935"/>
      <w:bookmarkEnd w:id="288"/>
      <w:bookmarkEnd w:id="289"/>
    </w:p>
    <w:p w:rsidR="009C72F0" w14:paraId="213E5710" w14:textId="77777777">
      <w:pPr>
        <w:rPr>
          <w:lang w:eastAsia="zh-CN"/>
        </w:rPr>
      </w:pPr>
    </w:p>
    <w:sectPr>
      <w:footerReference w:type="default" r:id="rId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Times New Roman"/>
    <w:charset w:val="00"/>
    <w:family w:val="auto"/>
    <w:pitch w:val="default"/>
  </w:font>
  <w:font w:name="Cambria">
    <w:altName w:val="Georg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DAC" w14:paraId="41C732FD" w14:textId="77777777">
    <w:pPr>
      <w:pStyle w:val="1"/>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DAC" w14:paraId="071F2479" w14:textId="77777777">
    <w:pPr>
      <w:pStyle w:val="1"/>
      <w:snapToGrid/>
      <w:jc w:val="center"/>
    </w:pPr>
  </w:p>
  <w:p w:rsidR="004A7DAC" w14:paraId="50C6DB92" w14:textId="77777777">
    <w:pPr>
      <w:pStyle w:val="1"/>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DAC" w14:paraId="40474241" w14:textId="7B645BEB">
    <w:pPr>
      <w:pStyle w:val="1"/>
      <w:snapToGrid/>
      <w:jc w:val="center"/>
    </w:pPr>
    <w:r>
      <w:fldChar w:fldCharType="begin"/>
    </w:r>
    <w:r>
      <w:rPr>
        <w:highlight w:val="white"/>
      </w:rPr>
      <w:instrText>PAGE   \* MERGEFORMAT</w:instrText>
    </w:r>
    <w:r>
      <w:fldChar w:fldCharType="separate"/>
    </w:r>
    <w:r w:rsidRPr="00F31AD8" w:rsidR="00F31AD8">
      <w:rPr>
        <w:noProof/>
        <w:highlight w:val="white"/>
        <w:lang w:val="zh-CN"/>
      </w:rPr>
      <w:t>39</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DAC" w14:paraId="1DC8E80F" w14:textId="77777777">
    <w:pPr>
      <w:pStyle w:val="1"/>
      <w:snapToGrid/>
      <w:jc w:val="center"/>
    </w:pPr>
  </w:p>
  <w:p w:rsidR="004A7DAC" w14:paraId="3F7B3B13" w14:textId="77777777">
    <w:pPr>
      <w:pStyle w:val="1"/>
      <w:snapToGri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DAC" w:rsidRPr="004A7DAC" w14:paraId="7D9B4EC5" w14:textId="77777777"/>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comments="1" w:formatting="0" w:inkAnnotations="1" w:insDel="1" w:markup="1"/>
  <w:trackRevisions/>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F0"/>
    <w:rsid w:val="00044E91"/>
    <w:rsid w:val="001B402B"/>
    <w:rsid w:val="00254195"/>
    <w:rsid w:val="00331E90"/>
    <w:rsid w:val="003A2474"/>
    <w:rsid w:val="004A7DAC"/>
    <w:rsid w:val="004F7A08"/>
    <w:rsid w:val="006A7C6D"/>
    <w:rsid w:val="006F4582"/>
    <w:rsid w:val="0074650D"/>
    <w:rsid w:val="009C72F0"/>
    <w:rsid w:val="009F4A56"/>
    <w:rsid w:val="00C0352D"/>
    <w:rsid w:val="00C747A6"/>
    <w:rsid w:val="00DD2DC5"/>
    <w:rsid w:val="00F31AD8"/>
    <w:rsid w:val="7FBF40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A6B3B550-85FF-4F79-A8BA-EB2578CD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pPr>
      <w:spacing w:after="57"/>
      <w:ind w:left="1701"/>
    </w:pPr>
  </w:style>
  <w:style w:type="paragraph" w:styleId="DocumentMap">
    <w:name w:val="Document Map"/>
    <w:basedOn w:val="Normal"/>
    <w:link w:val="a5"/>
    <w:uiPriority w:val="99"/>
    <w:unhideWhenUsed/>
    <w:qFormat/>
    <w:rPr>
      <w:rFonts w:ascii="宋体"/>
      <w:sz w:val="18"/>
      <w:szCs w:val="18"/>
    </w:rPr>
  </w:style>
  <w:style w:type="paragraph" w:styleId="CommentText">
    <w:name w:val="annotation text"/>
    <w:basedOn w:val="Normal"/>
    <w:link w:val="a6"/>
    <w:unhideWhenUsed/>
    <w:qFormat/>
    <w:pPr>
      <w:jc w:val="left"/>
    </w:pPr>
  </w:style>
  <w:style w:type="paragraph" w:styleId="BodyTextIndent">
    <w:name w:val="Body Text Indent"/>
    <w:basedOn w:val="Normal"/>
    <w:link w:val="a7"/>
    <w:qFormat/>
    <w:pPr>
      <w:spacing w:line="400" w:lineRule="exact"/>
      <w:ind w:firstLine="538"/>
    </w:pPr>
    <w:rPr>
      <w:rFonts w:ascii="仿宋_GB2312" w:eastAsia="仿宋_GB2312" w:hAnsi="宋体"/>
      <w:color w:val="000000"/>
      <w:sz w:val="28"/>
      <w:szCs w:val="24"/>
    </w:r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pPr>
      <w:spacing w:after="57"/>
      <w:ind w:left="567"/>
    </w:pPr>
  </w:style>
  <w:style w:type="paragraph" w:styleId="TOC8">
    <w:name w:val="toc 8"/>
    <w:basedOn w:val="Normal"/>
    <w:next w:val="Normal"/>
    <w:uiPriority w:val="39"/>
    <w:unhideWhenUsed/>
    <w:pPr>
      <w:spacing w:after="57"/>
      <w:ind w:left="1984"/>
    </w:pPr>
  </w:style>
  <w:style w:type="paragraph" w:styleId="EndnoteText">
    <w:name w:val="endnote text"/>
    <w:basedOn w:val="Normal"/>
    <w:link w:val="a4"/>
    <w:uiPriority w:val="99"/>
    <w:semiHidden/>
    <w:unhideWhenUsed/>
    <w:rPr>
      <w:sz w:val="20"/>
    </w:rPr>
  </w:style>
  <w:style w:type="paragraph" w:styleId="BalloonText">
    <w:name w:val="Balloon Text"/>
    <w:basedOn w:val="Normal"/>
    <w:link w:val="a8"/>
    <w:uiPriority w:val="99"/>
    <w:unhideWhenUsed/>
    <w:qFormat/>
    <w:rPr>
      <w:sz w:val="18"/>
      <w:szCs w:val="18"/>
    </w:rPr>
  </w:style>
  <w:style w:type="paragraph" w:styleId="TOC1">
    <w:name w:val="toc 1"/>
    <w:basedOn w:val="Normal"/>
    <w:next w:val="Normal"/>
    <w:uiPriority w:val="39"/>
    <w:unhideWhenUsed/>
    <w:qFormat/>
    <w:pPr>
      <w:widowControl/>
      <w:spacing w:before="100" w:beforeAutospacing="1" w:after="100" w:afterAutospacing="1"/>
      <w:jc w:val="left"/>
    </w:pPr>
    <w:rPr>
      <w:rFonts w:ascii="宋体" w:hAnsi="宋体" w:cs="宋体"/>
      <w:sz w:val="24"/>
      <w:szCs w:val="24"/>
    </w:rPr>
  </w:style>
  <w:style w:type="paragraph" w:styleId="TOC4">
    <w:name w:val="toc 4"/>
    <w:basedOn w:val="Normal"/>
    <w:next w:val="Normal"/>
    <w:uiPriority w:val="39"/>
    <w:unhideWhenUsed/>
    <w:pPr>
      <w:spacing w:after="57"/>
      <w:ind w:left="850"/>
    </w:pPr>
  </w:style>
  <w:style w:type="paragraph" w:styleId="Subtitle">
    <w:name w:val="Subtitle"/>
    <w:basedOn w:val="Normal"/>
    <w:next w:val="Normal"/>
    <w:link w:val="a0"/>
    <w:uiPriority w:val="11"/>
    <w:qFormat/>
    <w:pPr>
      <w:spacing w:before="200" w:after="200"/>
    </w:pPr>
    <w:rPr>
      <w:sz w:val="24"/>
      <w:szCs w:val="24"/>
    </w:rPr>
  </w:style>
  <w:style w:type="paragraph" w:styleId="FootnoteText">
    <w:name w:val="footnote text"/>
    <w:basedOn w:val="Normal"/>
    <w:link w:val="a3"/>
    <w:uiPriority w:val="99"/>
    <w:semiHidden/>
    <w:unhideWhenUsed/>
    <w:pPr>
      <w:spacing w:after="40"/>
    </w:pPr>
    <w:rPr>
      <w:sz w:val="18"/>
    </w:rPr>
  </w:style>
  <w:style w:type="paragraph" w:styleId="TOC6">
    <w:name w:val="toc 6"/>
    <w:basedOn w:val="Normal"/>
    <w:next w:val="Normal"/>
    <w:uiPriority w:val="39"/>
    <w:unhideWhenUsed/>
    <w:pPr>
      <w:spacing w:after="57"/>
      <w:ind w:left="1417"/>
    </w:pPr>
  </w:style>
  <w:style w:type="paragraph" w:styleId="TableofFigures">
    <w:name w:val="table of figures"/>
    <w:basedOn w:val="Normal"/>
    <w:next w:val="Normal"/>
    <w:uiPriority w:val="99"/>
    <w:unhideWhenUsed/>
  </w:style>
  <w:style w:type="paragraph" w:styleId="TOC2">
    <w:name w:val="toc 2"/>
    <w:basedOn w:val="Normal"/>
    <w:next w:val="Normal"/>
    <w:uiPriority w:val="39"/>
    <w:unhideWhenUsed/>
    <w:pPr>
      <w:spacing w:after="57"/>
      <w:ind w:left="283"/>
    </w:pPr>
  </w:style>
  <w:style w:type="paragraph" w:styleId="TOC9">
    <w:name w:val="toc 9"/>
    <w:basedOn w:val="Normal"/>
    <w:next w:val="Normal"/>
    <w:uiPriority w:val="39"/>
    <w:unhideWhenUsed/>
    <w:pPr>
      <w:spacing w:after="57"/>
      <w:ind w:left="2268"/>
    </w:pPr>
  </w:style>
  <w:style w:type="paragraph" w:styleId="Title">
    <w:name w:val="Title"/>
    <w:basedOn w:val="Normal"/>
    <w:next w:val="Normal"/>
    <w:link w:val="a"/>
    <w:uiPriority w:val="10"/>
    <w:qFormat/>
    <w:pPr>
      <w:spacing w:before="300" w:after="200"/>
      <w:contextualSpacing/>
    </w:pPr>
    <w:rPr>
      <w:sz w:val="48"/>
      <w:szCs w:val="48"/>
    </w:rPr>
  </w:style>
  <w:style w:type="paragraph" w:styleId="CommentSubject">
    <w:name w:val="annotation subject"/>
    <w:basedOn w:val="CommentText"/>
    <w:next w:val="CommentText"/>
    <w:link w:val="a9"/>
    <w:uiPriority w:val="99"/>
    <w:unhideWhenUsed/>
    <w:qFormat/>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21"/>
      <w:szCs w:val="21"/>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NoSpacing">
    <w:name w:val="No Spacing"/>
    <w:uiPriority w:val="1"/>
    <w:qFormat/>
    <w:rPr>
      <w:lang w:eastAsia="en-US"/>
    </w:rPr>
  </w:style>
  <w:style w:type="character" w:customStyle="1" w:styleId="a">
    <w:name w:val="标题 字符"/>
    <w:basedOn w:val="DefaultParagraphFont"/>
    <w:link w:val="Title"/>
    <w:uiPriority w:val="10"/>
    <w:rPr>
      <w:sz w:val="48"/>
      <w:szCs w:val="48"/>
    </w:rPr>
  </w:style>
  <w:style w:type="character" w:customStyle="1" w:styleId="a0">
    <w:name w:val="副标题 字符"/>
    <w:basedOn w:val="DefaultParagraphFont"/>
    <w:link w:val="Subtitle"/>
    <w:uiPriority w:val="11"/>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rPr>
      <w:i/>
    </w:rPr>
  </w:style>
  <w:style w:type="character" w:customStyle="1" w:styleId="a3">
    <w:name w:val="脚注文本 字符"/>
    <w:link w:val="FootnoteText"/>
    <w:uiPriority w:val="99"/>
    <w:rPr>
      <w:sz w:val="18"/>
    </w:rPr>
  </w:style>
  <w:style w:type="character" w:customStyle="1" w:styleId="a4">
    <w:name w:val="尾注文本 字符"/>
    <w:link w:val="EndnoteText"/>
    <w:uiPriority w:val="99"/>
    <w:rPr>
      <w:sz w:val="20"/>
    </w:rPr>
  </w:style>
  <w:style w:type="paragraph" w:customStyle="1" w:styleId="11">
    <w:name w:val="标题 11"/>
    <w:basedOn w:val="Normal"/>
    <w:next w:val="Normal"/>
    <w:link w:val="1Char"/>
    <w:uiPriority w:val="9"/>
    <w:qFormat/>
    <w:pPr>
      <w:widowControl/>
      <w:spacing w:before="100" w:beforeAutospacing="1" w:after="100" w:afterAutospacing="1"/>
      <w:jc w:val="left"/>
      <w:outlineLvl w:val="0"/>
    </w:pPr>
    <w:rPr>
      <w:rFonts w:ascii="宋体" w:hAnsi="宋体" w:cs="宋体"/>
      <w:b/>
      <w:bCs/>
      <w:sz w:val="48"/>
      <w:szCs w:val="48"/>
    </w:rPr>
  </w:style>
  <w:style w:type="character" w:customStyle="1" w:styleId="1Char">
    <w:name w:val="标题 1 Char"/>
    <w:link w:val="11"/>
    <w:uiPriority w:val="9"/>
    <w:qFormat/>
    <w:rPr>
      <w:rFonts w:ascii="宋体" w:eastAsia="宋体" w:hAnsi="宋体" w:cs="宋体"/>
      <w:b/>
      <w:bCs/>
      <w:sz w:val="48"/>
      <w:szCs w:val="48"/>
    </w:rPr>
  </w:style>
  <w:style w:type="character" w:customStyle="1" w:styleId="a5">
    <w:name w:val="文档结构图 字符"/>
    <w:link w:val="DocumentMap"/>
    <w:uiPriority w:val="99"/>
    <w:semiHidden/>
    <w:qFormat/>
    <w:rPr>
      <w:rFonts w:ascii="宋体"/>
      <w:sz w:val="18"/>
      <w:szCs w:val="18"/>
    </w:rPr>
  </w:style>
  <w:style w:type="character" w:customStyle="1" w:styleId="a6">
    <w:name w:val="批注文字 字符"/>
    <w:link w:val="CommentText"/>
    <w:qFormat/>
  </w:style>
  <w:style w:type="character" w:customStyle="1" w:styleId="a7">
    <w:name w:val="正文文本缩进 字符"/>
    <w:link w:val="BodyTextIndent"/>
    <w:qFormat/>
    <w:rPr>
      <w:rFonts w:ascii="仿宋_GB2312" w:eastAsia="仿宋_GB2312" w:hAnsi="宋体" w:cs="Times New Roman"/>
      <w:color w:val="000000"/>
      <w:sz w:val="28"/>
      <w:szCs w:val="24"/>
    </w:rPr>
  </w:style>
  <w:style w:type="character" w:customStyle="1" w:styleId="a8">
    <w:name w:val="批注框文本 字符"/>
    <w:link w:val="BalloonText"/>
    <w:uiPriority w:val="99"/>
    <w:semiHidden/>
    <w:qFormat/>
    <w:rPr>
      <w:sz w:val="18"/>
      <w:szCs w:val="18"/>
    </w:rPr>
  </w:style>
  <w:style w:type="paragraph" w:customStyle="1" w:styleId="1">
    <w:name w:val="页脚1"/>
    <w:basedOn w:val="Normal"/>
    <w:link w:val="Char"/>
    <w:uiPriority w:val="99"/>
    <w:unhideWhenUsed/>
    <w:qFormat/>
    <w:pPr>
      <w:tabs>
        <w:tab w:val="center" w:pos="4153"/>
        <w:tab w:val="right" w:pos="8306"/>
      </w:tabs>
      <w:snapToGrid w:val="0"/>
      <w:jc w:val="left"/>
    </w:pPr>
    <w:rPr>
      <w:sz w:val="18"/>
      <w:szCs w:val="18"/>
    </w:rPr>
  </w:style>
  <w:style w:type="character" w:customStyle="1" w:styleId="Char">
    <w:name w:val="页脚 Char"/>
    <w:link w:val="1"/>
    <w:uiPriority w:val="99"/>
    <w:qFormat/>
    <w:rPr>
      <w:sz w:val="18"/>
      <w:szCs w:val="18"/>
    </w:rPr>
  </w:style>
  <w:style w:type="paragraph" w:customStyle="1" w:styleId="10">
    <w:name w:val="页眉1"/>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10"/>
    <w:uiPriority w:val="99"/>
    <w:qFormat/>
    <w:rPr>
      <w:sz w:val="18"/>
      <w:szCs w:val="18"/>
    </w:rPr>
  </w:style>
  <w:style w:type="character" w:customStyle="1" w:styleId="a9">
    <w:name w:val="批注主题 字符"/>
    <w:link w:val="CommentSubject"/>
    <w:uiPriority w:val="99"/>
    <w:semiHidden/>
    <w:qFormat/>
    <w:rPr>
      <w:b/>
      <w:bCs/>
    </w:rPr>
  </w:style>
  <w:style w:type="paragraph" w:customStyle="1" w:styleId="TOC10">
    <w:name w:val="TOC 标题1_0"/>
    <w:basedOn w:val="11"/>
    <w:next w:val="Normal"/>
    <w:uiPriority w:val="39"/>
    <w:unhideWhenUsed/>
    <w:qFormat/>
    <w:pPr>
      <w:keepNext/>
      <w:keepLines/>
      <w:spacing w:before="480" w:beforeAutospacing="0" w:after="0" w:afterAutospacing="0" w:line="276" w:lineRule="auto"/>
      <w:outlineLvl w:val="9"/>
    </w:pPr>
    <w:rPr>
      <w:rFonts w:ascii="Cambria" w:hAnsi="Cambria" w:cs="Times New Roman"/>
      <w:color w:val="365F91"/>
      <w:sz w:val="28"/>
      <w:szCs w:val="28"/>
    </w:rPr>
  </w:style>
  <w:style w:type="paragraph" w:styleId="Header">
    <w:name w:val="header"/>
    <w:basedOn w:val="Normal"/>
    <w:link w:val="a10"/>
    <w:uiPriority w:val="99"/>
    <w:unhideWhenUsed/>
    <w:rsid w:val="006A7C6D"/>
    <w:pPr>
      <w:pBdr>
        <w:bottom w:val="single" w:sz="6" w:space="1" w:color="auto"/>
      </w:pBdr>
      <w:tabs>
        <w:tab w:val="center" w:pos="4153"/>
        <w:tab w:val="right" w:pos="8306"/>
      </w:tabs>
      <w:snapToGrid w:val="0"/>
      <w:jc w:val="center"/>
    </w:pPr>
    <w:rPr>
      <w:sz w:val="18"/>
      <w:szCs w:val="18"/>
    </w:rPr>
  </w:style>
  <w:style w:type="character" w:customStyle="1" w:styleId="a10">
    <w:name w:val="页眉 字符"/>
    <w:basedOn w:val="DefaultParagraphFont"/>
    <w:link w:val="Header"/>
    <w:uiPriority w:val="99"/>
    <w:rsid w:val="006A7C6D"/>
    <w:rPr>
      <w:sz w:val="18"/>
      <w:szCs w:val="18"/>
      <w:lang w:eastAsia="en-US"/>
    </w:rPr>
  </w:style>
  <w:style w:type="paragraph" w:styleId="Footer">
    <w:name w:val="footer"/>
    <w:basedOn w:val="Normal"/>
    <w:link w:val="a11"/>
    <w:uiPriority w:val="99"/>
    <w:unhideWhenUsed/>
    <w:rsid w:val="006A7C6D"/>
    <w:pPr>
      <w:tabs>
        <w:tab w:val="center" w:pos="4153"/>
        <w:tab w:val="right" w:pos="8306"/>
      </w:tabs>
      <w:snapToGrid w:val="0"/>
      <w:jc w:val="left"/>
    </w:pPr>
    <w:rPr>
      <w:sz w:val="18"/>
      <w:szCs w:val="18"/>
    </w:rPr>
  </w:style>
  <w:style w:type="character" w:customStyle="1" w:styleId="a11">
    <w:name w:val="页脚 字符"/>
    <w:basedOn w:val="DefaultParagraphFont"/>
    <w:link w:val="Footer"/>
    <w:uiPriority w:val="99"/>
    <w:rsid w:val="006A7C6D"/>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32C4737A7BDF49B9AE90BF85B4C1483C</vt:lpwstr>
  </property>
  <property fmtid="{D5CDD505-2E9C-101B-9397-08002B2CF9AE}" pid="3" name="KSOProductBuildVer">
    <vt:lpwstr>2052-0.0.0.0</vt:lpwstr>
  </property>
</Properties>
</file>