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AD3A6F">
      <w:pPr>
        <w:autoSpaceDE w:val="0"/>
        <w:autoSpaceDN w:val="0"/>
        <w:adjustRightInd w:val="0"/>
        <w:jc w:val="center"/>
        <w:rPr>
          <w:rFonts w:ascii="方正仿宋简体" w:eastAsia="方正仿宋简体" w:hAnsiTheme="minorEastAsia" w:cs="仿宋_GB2312"/>
          <w:kern w:val="0"/>
          <w:sz w:val="36"/>
          <w:szCs w:val="36"/>
        </w:rPr>
      </w:pPr>
      <w:bookmarkStart w:id="0" w:name="_GoBack"/>
    </w:p>
    <w:p w:rsidR="00AD3A6F">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易方达安旭</w:t>
      </w:r>
      <w:r>
        <w:rPr>
          <w:rFonts w:ascii="方正仿宋简体" w:eastAsia="方正仿宋简体" w:hAnsiTheme="minorEastAsia" w:cs="仿宋_GB2312" w:hint="eastAsia"/>
          <w:kern w:val="0"/>
          <w:sz w:val="36"/>
          <w:szCs w:val="36"/>
        </w:rPr>
        <w:t>90</w:t>
      </w:r>
      <w:r>
        <w:rPr>
          <w:rFonts w:ascii="方正仿宋简体" w:eastAsia="方正仿宋简体" w:hAnsiTheme="minorEastAsia" w:cs="仿宋_GB2312" w:hint="eastAsia"/>
          <w:kern w:val="0"/>
          <w:sz w:val="36"/>
          <w:szCs w:val="36"/>
        </w:rPr>
        <w:t>天持有期债券型证券投资基金（易方达安旭</w:t>
      </w:r>
      <w:r>
        <w:rPr>
          <w:rFonts w:ascii="方正仿宋简体" w:eastAsia="方正仿宋简体" w:hAnsiTheme="minorEastAsia" w:cs="仿宋_GB2312" w:hint="eastAsia"/>
          <w:kern w:val="0"/>
          <w:sz w:val="36"/>
          <w:szCs w:val="36"/>
        </w:rPr>
        <w:t>90</w:t>
      </w:r>
      <w:r>
        <w:rPr>
          <w:rFonts w:ascii="方正仿宋简体" w:eastAsia="方正仿宋简体" w:hAnsiTheme="minorEastAsia" w:cs="仿宋_GB2312" w:hint="eastAsia"/>
          <w:kern w:val="0"/>
          <w:sz w:val="36"/>
          <w:szCs w:val="36"/>
        </w:rPr>
        <w:t>天持有债券</w:t>
      </w:r>
      <w:r>
        <w:rPr>
          <w:rFonts w:ascii="方正仿宋简体" w:eastAsia="方正仿宋简体" w:hAnsiTheme="minorEastAsia" w:cs="仿宋_GB2312" w:hint="eastAsia"/>
          <w:kern w:val="0"/>
          <w:sz w:val="36"/>
          <w:szCs w:val="36"/>
        </w:rPr>
        <w:t>A</w:t>
      </w:r>
      <w:r>
        <w:rPr>
          <w:rFonts w:ascii="方正仿宋简体" w:eastAsia="方正仿宋简体" w:hAnsiTheme="minorEastAsia" w:cs="仿宋_GB2312" w:hint="eastAsia"/>
          <w:kern w:val="0"/>
          <w:sz w:val="36"/>
          <w:szCs w:val="36"/>
        </w:rPr>
        <w:t>）基金产品资料概要</w:t>
      </w:r>
    </w:p>
    <w:p w:rsidR="00AD3A6F" w:rsidP="0086475C">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sidRPr="0086475C">
        <w:rPr>
          <w:rFonts w:ascii="方正仿宋简体" w:eastAsia="方正仿宋简体" w:hAnsi="方正仿宋简体" w:cs="方正仿宋简体" w:hint="eastAsia"/>
          <w:iCs/>
          <w:sz w:val="24"/>
          <w:szCs w:val="24"/>
        </w:rPr>
        <w:t>2025年</w:t>
      </w:r>
      <w:r>
        <w:rPr>
          <w:rFonts w:ascii="方正仿宋简体" w:eastAsia="方正仿宋简体" w:hAnsi="方正仿宋简体" w:cs="方正仿宋简体"/>
          <w:iCs/>
          <w:sz w:val="24"/>
          <w:szCs w:val="24"/>
        </w:rPr>
        <w:t>4</w:t>
      </w:r>
      <w:r w:rsidRPr="0086475C">
        <w:rPr>
          <w:rFonts w:ascii="方正仿宋简体" w:eastAsia="方正仿宋简体" w:hAnsi="方正仿宋简体" w:cs="方正仿宋简体" w:hint="eastAsia"/>
          <w:iCs/>
          <w:sz w:val="24"/>
          <w:szCs w:val="24"/>
        </w:rPr>
        <w:t>月</w:t>
      </w:r>
      <w:r>
        <w:rPr>
          <w:rFonts w:ascii="方正仿宋简体" w:eastAsia="方正仿宋简体" w:hAnsi="方正仿宋简体" w:cs="方正仿宋简体"/>
          <w:iCs/>
          <w:sz w:val="24"/>
          <w:szCs w:val="24"/>
        </w:rPr>
        <w:t>3</w:t>
      </w:r>
      <w:r w:rsidRPr="0086475C">
        <w:rPr>
          <w:rFonts w:ascii="方正仿宋简体" w:eastAsia="方正仿宋简体" w:hAnsi="方正仿宋简体" w:cs="方正仿宋简体" w:hint="eastAsia"/>
          <w:iCs/>
          <w:sz w:val="24"/>
          <w:szCs w:val="24"/>
        </w:rPr>
        <w:t>日</w:t>
      </w:r>
    </w:p>
    <w:p w:rsidR="00AD3A6F">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2025年</w:t>
      </w:r>
      <w:r>
        <w:rPr>
          <w:rFonts w:ascii="方正仿宋简体" w:eastAsia="方正仿宋简体" w:hAnsi="方正仿宋简体" w:cs="方正仿宋简体"/>
          <w:iCs/>
          <w:sz w:val="24"/>
          <w:szCs w:val="24"/>
        </w:rPr>
        <w:t>4</w:t>
      </w:r>
      <w:r>
        <w:rPr>
          <w:rFonts w:ascii="方正仿宋简体" w:eastAsia="方正仿宋简体" w:hAnsi="方正仿宋简体" w:cs="方正仿宋简体" w:hint="eastAsia"/>
          <w:iCs/>
          <w:sz w:val="24"/>
          <w:szCs w:val="24"/>
        </w:rPr>
        <w:t>月</w:t>
      </w:r>
      <w:r>
        <w:rPr>
          <w:rFonts w:ascii="方正仿宋简体" w:eastAsia="方正仿宋简体" w:hAnsi="方正仿宋简体" w:cs="方正仿宋简体"/>
          <w:iCs/>
          <w:sz w:val="24"/>
          <w:szCs w:val="24"/>
        </w:rPr>
        <w:t>7</w:t>
      </w:r>
      <w:r>
        <w:rPr>
          <w:rFonts w:ascii="方正仿宋简体" w:eastAsia="方正仿宋简体" w:hAnsi="方正仿宋简体" w:cs="方正仿宋简体" w:hint="eastAsia"/>
          <w:iCs/>
          <w:sz w:val="24"/>
          <w:szCs w:val="24"/>
        </w:rPr>
        <w:t>日</w:t>
      </w:r>
    </w:p>
    <w:p w:rsidR="00AD3A6F">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本概要提供本基金的重要信息，是招募说明书的一部分。</w:t>
      </w:r>
    </w:p>
    <w:p w:rsidR="00AD3A6F">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作出投资决定前，请阅读完整的招募说明书等销售文件。</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w:tblPr>
        <w:tblStyle w:val="TableGrid"/>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
      <w:tblGrid>
        <w:gridCol w:w="1952"/>
        <w:gridCol w:w="2408"/>
        <w:gridCol w:w="1703"/>
        <w:gridCol w:w="2459"/>
      </w:tblGrid>
      <w:tr w:rsidTr="00584DC5">
        <w:tblPrEx>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易方达安旭</w:t>
            </w:r>
            <w:r>
              <w:rPr>
                <w:rFonts w:ascii="方正仿宋简体" w:eastAsia="方正仿宋简体" w:hAnsiTheme="minorEastAsia" w:cs="方正仿宋简体" w:hint="eastAsia"/>
                <w:iCs/>
              </w:rPr>
              <w:t>90</w:t>
            </w:r>
            <w:r>
              <w:rPr>
                <w:rFonts w:ascii="方正仿宋简体" w:eastAsia="方正仿宋简体" w:hAnsiTheme="minorEastAsia" w:cs="方正仿宋简体" w:hint="eastAsia"/>
                <w:iCs/>
              </w:rPr>
              <w:t>天持有债券</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023636</w:t>
            </w:r>
          </w:p>
        </w:tc>
      </w:tr>
      <w:tr w:rsidTr="00B212F4">
        <w:tblPrEx>
          <w:tblW w:w="5000" w:type="pct"/>
          <w:tblLayout w:type="fixed"/>
          <w:tblLook w:val="04A0"/>
        </w:tblPrEx>
        <w:trPr>
          <w:trHeight w:val="150"/>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tcBorders>
              <w:top w:val="dashSmallGap" w:sz="4" w:space="0" w:color="A6A6A6" w:themeColor="background1" w:themeShade="A6"/>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易方达安旭</w:t>
            </w:r>
            <w:r>
              <w:rPr>
                <w:rFonts w:ascii="方正仿宋简体" w:eastAsia="方正仿宋简体" w:hAnsiTheme="minorEastAsia" w:cs="方正仿宋简体"/>
                <w:iCs/>
              </w:rPr>
              <w:t>90</w:t>
            </w:r>
            <w:r>
              <w:rPr>
                <w:rFonts w:ascii="方正仿宋简体" w:eastAsia="方正仿宋简体" w:hAnsiTheme="minorEastAsia" w:cs="方正仿宋简体"/>
                <w:iCs/>
              </w:rPr>
              <w:t>天持有债券</w:t>
            </w:r>
            <w:r>
              <w:rPr>
                <w:rFonts w:ascii="方正仿宋简体" w:eastAsia="方正仿宋简体" w:hAnsiTheme="minorEastAsia" w:cs="方正仿宋简体"/>
                <w:iCs/>
              </w:rPr>
              <w:t>A</w:t>
            </w:r>
          </w:p>
        </w:tc>
        <w:tc>
          <w:tcPr>
            <w:tcW w:w="999"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023636</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易方达基金管理有限公司</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国信证券股份有限公司 </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w:t>
            </w:r>
          </w:p>
        </w:tc>
        <w:tc>
          <w:tcPr>
            <w:tcW w:w="999" w:type="pct"/>
            <w:vAlign w:val="center"/>
          </w:tcPr>
          <w:p w:rsidR="00AD3A6F">
            <w:pPr>
              <w:spacing w:line="28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 </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债券型</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其他开放式</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每个开放日申购，但对于每份基金份额设定</w:t>
            </w:r>
            <w:r>
              <w:rPr>
                <w:rFonts w:ascii="方正仿宋简体" w:eastAsia="方正仿宋简体" w:hAnsiTheme="minorEastAsia" w:cs="方正仿宋简体" w:hint="eastAsia"/>
                <w:iCs/>
              </w:rPr>
              <w:t>90</w:t>
            </w:r>
            <w:r>
              <w:rPr>
                <w:rFonts w:ascii="方正仿宋简体" w:eastAsia="方正仿宋简体" w:hAnsiTheme="minorEastAsia" w:cs="方正仿宋简体" w:hint="eastAsia"/>
                <w:iCs/>
              </w:rPr>
              <w:t>天最短持有期限</w:t>
            </w:r>
          </w:p>
        </w:tc>
      </w:tr>
      <w:tr w:rsidTr="005F360D">
        <w:tblPrEx>
          <w:tblW w:w="5000" w:type="pct"/>
          <w:tblLayout w:type="fixed"/>
          <w:tblLook w:val="04A0"/>
        </w:tblPrEx>
        <w:trPr>
          <w:trHeight w:val="454"/>
        </w:trPr>
        <w:tc>
          <w:tcPr>
            <w:tcW w:w="1145" w:type="pct"/>
            <w:vMerge w:val="restar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刘琬姝</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w:t>
            </w:r>
          </w:p>
        </w:tc>
      </w:tr>
      <w:tr w:rsidTr="005F360D">
        <w:tblPrEx>
          <w:tblW w:w="5000" w:type="pct"/>
          <w:tblLayout w:type="fixed"/>
          <w:tblLook w:val="04A0"/>
        </w:tblPrEx>
        <w:trPr>
          <w:trHeight w:val="454"/>
        </w:trPr>
        <w:tc>
          <w:tcPr>
            <w:tcW w:w="1145" w:type="pct"/>
            <w:vMerge/>
            <w:vAlign w:val="center"/>
          </w:tcPr>
          <w:p w:rsidR="00AD3A6F">
            <w:pPr>
              <w:spacing w:line="280" w:lineRule="exact"/>
              <w:rPr>
                <w:rFonts w:ascii="方正仿宋简体" w:eastAsia="方正仿宋简体" w:hAnsiTheme="minorEastAsia" w:cs="方正仿宋简体"/>
                <w:b/>
                <w:iCs/>
              </w:rPr>
            </w:pPr>
          </w:p>
        </w:tc>
        <w:tc>
          <w:tcPr>
            <w:tcW w:w="1413" w:type="pct"/>
            <w:vMerge/>
            <w:vAlign w:val="center"/>
          </w:tcPr>
          <w:p w:rsidR="00AD3A6F">
            <w:pPr>
              <w:spacing w:line="280" w:lineRule="exact"/>
              <w:rPr>
                <w:rFonts w:ascii="方正仿宋简体" w:eastAsia="方正仿宋简体" w:hAnsiTheme="minorEastAsia" w:cs="方正仿宋简体"/>
                <w:b/>
                <w:iCs/>
              </w:rPr>
            </w:pP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2012-08-27</w:t>
            </w:r>
          </w:p>
        </w:tc>
      </w:tr>
    </w:tbl>
    <w:p w:rsidR="00AD3A6F" w:rsidRPr="0086475C">
      <w:pPr>
        <w:spacing w:line="280" w:lineRule="exac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rPr>
        <w:t>注：本基金投资于可转换债券（不含分离交易可转债的纯债部分）及可交换债券的比例不高于基金资产的 20%，在通常情况下本基金的预期风险水平高于纯债基金。</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rsidR="00AD3A6F">
      <w:pPr>
        <w:pStyle w:val="ListParagraph"/>
        <w:numPr>
          <w:ilvl w:val="0"/>
          <w:numId w:val="2"/>
        </w:numPr>
        <w:spacing w:line="28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tbl>
      <w:tblPr>
        <w:tblStyle w:val="TableGrid"/>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
      <w:tblGrid>
        <w:gridCol w:w="1952"/>
        <w:gridCol w:w="6570"/>
      </w:tblGrid>
      <w:tr w:rsidTr="004473DA">
        <w:tblPrEx>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本基金在控制风险和保持较高流动性的前提下，追求基金资产的稳健增值。</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范围包括国内依法发行、上市的债券（包括国债、央行票据、地方政府债、金融债、企业债、公司债、次级债、中期票据、短期融资券、超短期融资券、政府支持机构债券、可转换债券、可交换债券、非金融企业债务融资工具等）、资产支持证券、债券回购、银行存款、同业存单、货币市场工具、国债期货、信用衍生品及法律法规或中国证监会允许基金投资的其他金融工具。</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本基金不投资于股票。本基金持有因可转换债券或可交换债券转股所形成的股票，将在其可交易之日起的</w:t>
            </w:r>
            <w:r>
              <w:rPr>
                <w:rFonts w:ascii="方正仿宋简体" w:eastAsia="方正仿宋简体" w:hAnsiTheme="minorEastAsia" w:cs="仿宋_GB2312" w:hint="eastAsia"/>
                <w:kern w:val="0"/>
                <w:szCs w:val="24"/>
              </w:rPr>
              <w:t>10</w:t>
            </w:r>
            <w:r>
              <w:rPr>
                <w:rFonts w:ascii="方正仿宋简体" w:eastAsia="方正仿宋简体" w:hAnsiTheme="minorEastAsia" w:cs="仿宋_GB2312" w:hint="eastAsia"/>
                <w:kern w:val="0"/>
                <w:szCs w:val="24"/>
              </w:rPr>
              <w:t>个交易日内卖出。</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如法律法规或监管机构以后允许基金投资其他品种，本基金</w:t>
            </w:r>
            <w:r>
              <w:rPr>
                <w:rFonts w:ascii="方正仿宋简体" w:eastAsia="方正仿宋简体" w:hAnsiTheme="minorEastAsia" w:cs="仿宋_GB2312" w:hint="eastAsia"/>
                <w:kern w:val="0"/>
                <w:szCs w:val="24"/>
              </w:rPr>
              <w:t>可以将其纳入投资范围。</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基金的投资组合比例为：本基金投资于债券资产的比例不低于基金资产的</w:t>
            </w:r>
            <w:r>
              <w:rPr>
                <w:rFonts w:ascii="方正仿宋简体" w:eastAsia="方正仿宋简体" w:hAnsiTheme="minorEastAsia" w:cs="仿宋_GB2312" w:hint="eastAsia"/>
                <w:kern w:val="0"/>
                <w:szCs w:val="24"/>
              </w:rPr>
              <w:t>80%</w:t>
            </w:r>
            <w:r>
              <w:rPr>
                <w:rFonts w:ascii="方正仿宋简体" w:eastAsia="方正仿宋简体" w:hAnsiTheme="minorEastAsia" w:cs="仿宋_GB2312" w:hint="eastAsia"/>
                <w:kern w:val="0"/>
                <w:szCs w:val="24"/>
              </w:rPr>
              <w:t>；投资于可转换债券（不含分离交易可转债的纯债部分）及可交换债券的比例不高于基金资产的</w:t>
            </w:r>
            <w:r>
              <w:rPr>
                <w:rFonts w:ascii="方正仿宋简体" w:eastAsia="方正仿宋简体" w:hAnsiTheme="minorEastAsia" w:cs="仿宋_GB2312" w:hint="eastAsia"/>
                <w:kern w:val="0"/>
                <w:szCs w:val="24"/>
              </w:rPr>
              <w:t>20%</w:t>
            </w:r>
            <w:r>
              <w:rPr>
                <w:rFonts w:ascii="方正仿宋简体" w:eastAsia="方正仿宋简体" w:hAnsiTheme="minorEastAsia" w:cs="仿宋_GB2312" w:hint="eastAsia"/>
                <w:kern w:val="0"/>
                <w:szCs w:val="24"/>
              </w:rPr>
              <w:t>。保持不低于基金资产净值</w:t>
            </w:r>
            <w:r>
              <w:rPr>
                <w:rFonts w:ascii="方正仿宋简体" w:eastAsia="方正仿宋简体" w:hAnsiTheme="minorEastAsia" w:cs="仿宋_GB2312" w:hint="eastAsia"/>
                <w:kern w:val="0"/>
                <w:szCs w:val="24"/>
              </w:rPr>
              <w:t>5</w:t>
            </w:r>
            <w:r>
              <w:rPr>
                <w:rFonts w:ascii="方正仿宋简体" w:eastAsia="方正仿宋简体" w:hAnsiTheme="minorEastAsia" w:cs="仿宋_GB2312" w:hint="eastAsia"/>
                <w:kern w:val="0"/>
                <w:szCs w:val="24"/>
              </w:rPr>
              <w:t>％的现金或者到期日在一年以内的政府债券，其中现金不包括结算备付金、存出保证金和应收申购款等。</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1</w:t>
            </w:r>
            <w:r>
              <w:rPr>
                <w:rFonts w:ascii="方正仿宋简体" w:eastAsia="方正仿宋简体" w:hAnsiTheme="minorEastAsia" w:cs="仿宋_GB2312" w:hint="eastAsia"/>
                <w:kern w:val="0"/>
                <w:szCs w:val="24"/>
              </w:rPr>
              <w:t>、本基金在债券投资上主要通过久期配置、类属配置、期限结构配置和个券选择四个层次进行投资管理。</w:t>
            </w:r>
            <w:r>
              <w:rPr>
                <w:rFonts w:ascii="方正仿宋简体" w:eastAsia="方正仿宋简体" w:hAnsiTheme="minorEastAsia" w:cs="仿宋_GB2312" w:hint="eastAsia"/>
                <w:kern w:val="0"/>
                <w:szCs w:val="24"/>
              </w:rPr>
              <w:t>2</w:t>
            </w:r>
            <w:r>
              <w:rPr>
                <w:rFonts w:ascii="方正仿宋简体" w:eastAsia="方正仿宋简体" w:hAnsiTheme="minorEastAsia" w:cs="仿宋_GB2312" w:hint="eastAsia"/>
                <w:kern w:val="0"/>
                <w:szCs w:val="24"/>
              </w:rPr>
              <w:t>、本基金管理人将对可转换债券和可交换债券的价值进行评估，选择具有较高投资价值的可转换债券、可交换</w:t>
            </w:r>
            <w:r>
              <w:rPr>
                <w:rFonts w:ascii="方正仿宋简体" w:eastAsia="方正仿宋简体" w:hAnsiTheme="minorEastAsia" w:cs="仿宋_GB2312" w:hint="eastAsia"/>
                <w:kern w:val="0"/>
                <w:szCs w:val="24"/>
              </w:rPr>
              <w:t>债券进行投资。</w:t>
            </w:r>
            <w:r>
              <w:rPr>
                <w:rFonts w:ascii="方正仿宋简体" w:eastAsia="方正仿宋简体" w:hAnsiTheme="minorEastAsia" w:cs="仿宋_GB2312" w:hint="eastAsia"/>
                <w:kern w:val="0"/>
                <w:szCs w:val="24"/>
              </w:rPr>
              <w:t>3</w:t>
            </w:r>
            <w:r>
              <w:rPr>
                <w:rFonts w:ascii="方正仿宋简体" w:eastAsia="方正仿宋简体" w:hAnsiTheme="minorEastAsia" w:cs="仿宋_GB2312" w:hint="eastAsia"/>
                <w:kern w:val="0"/>
                <w:szCs w:val="24"/>
              </w:rPr>
              <w:t>、本基金将对资金面进行综合分析的基础上，比较债券收益率和融资成本，判断利差空间，适当运用杠杆方式来获取主动管理回报。</w:t>
            </w:r>
            <w:r>
              <w:rPr>
                <w:rFonts w:ascii="方正仿宋简体" w:eastAsia="方正仿宋简体" w:hAnsiTheme="minorEastAsia" w:cs="仿宋_GB2312" w:hint="eastAsia"/>
                <w:kern w:val="0"/>
                <w:szCs w:val="24"/>
              </w:rPr>
              <w:t>4</w:t>
            </w:r>
            <w:r>
              <w:rPr>
                <w:rFonts w:ascii="方正仿宋简体" w:eastAsia="方正仿宋简体" w:hAnsiTheme="minorEastAsia" w:cs="仿宋_GB2312" w:hint="eastAsia"/>
                <w:kern w:val="0"/>
                <w:szCs w:val="24"/>
              </w:rPr>
              <w:t>、本基金根据宏观经济指标分析各类资产的预期收益率水平和预期波动率水平，并据此制定和调整资产配置策略。本基金将在法律法规和基金合同允许的范围内，以控制组合波动，谋求基金资产稳健增值为目标确定和调整银行存款、同业存单的投资比例。</w:t>
            </w:r>
            <w:r>
              <w:rPr>
                <w:rFonts w:ascii="方正仿宋简体" w:eastAsia="方正仿宋简体" w:hAnsiTheme="minorEastAsia" w:cs="仿宋_GB2312" w:hint="eastAsia"/>
                <w:kern w:val="0"/>
                <w:szCs w:val="24"/>
              </w:rPr>
              <w:t>5</w:t>
            </w:r>
            <w:r>
              <w:rPr>
                <w:rFonts w:ascii="方正仿宋简体" w:eastAsia="方正仿宋简体" w:hAnsiTheme="minorEastAsia" w:cs="仿宋_GB2312" w:hint="eastAsia"/>
                <w:kern w:val="0"/>
                <w:szCs w:val="24"/>
              </w:rPr>
              <w:t>、本基金将根据风险管理的原则，以套期保值为目的，主要选择流动性好、交易活跃的国债期货合约进行交易</w:t>
            </w:r>
            <w:r>
              <w:rPr>
                <w:rFonts w:ascii="方正仿宋简体" w:eastAsia="方正仿宋简体" w:hAnsiTheme="minorEastAsia" w:cs="仿宋_GB2312" w:hint="eastAsia"/>
                <w:kern w:val="0"/>
                <w:szCs w:val="24"/>
              </w:rPr>
              <w:t>,</w:t>
            </w:r>
            <w:r>
              <w:rPr>
                <w:rFonts w:ascii="方正仿宋简体" w:eastAsia="方正仿宋简体" w:hAnsiTheme="minorEastAsia" w:cs="仿宋_GB2312" w:hint="eastAsia"/>
                <w:kern w:val="0"/>
                <w:szCs w:val="24"/>
              </w:rPr>
              <w:t>以对冲投资组合的风险等。</w:t>
            </w:r>
            <w:r>
              <w:rPr>
                <w:rFonts w:ascii="方正仿宋简体" w:eastAsia="方正仿宋简体" w:hAnsiTheme="minorEastAsia" w:cs="仿宋_GB2312" w:hint="eastAsia"/>
                <w:kern w:val="0"/>
                <w:szCs w:val="24"/>
              </w:rPr>
              <w:t>6</w:t>
            </w:r>
            <w:r>
              <w:rPr>
                <w:rFonts w:ascii="方正仿宋简体" w:eastAsia="方正仿宋简体" w:hAnsiTheme="minorEastAsia" w:cs="仿宋_GB2312" w:hint="eastAsia"/>
                <w:kern w:val="0"/>
                <w:szCs w:val="24"/>
              </w:rPr>
              <w:t>、本基金将综合考虑债券的信用</w:t>
            </w:r>
            <w:r>
              <w:rPr>
                <w:rFonts w:ascii="方正仿宋简体" w:eastAsia="方正仿宋简体" w:hAnsiTheme="minorEastAsia" w:cs="仿宋_GB2312" w:hint="eastAsia"/>
                <w:kern w:val="0"/>
                <w:szCs w:val="24"/>
              </w:rPr>
              <w:t>风险、信用衍生品的价格及流动性情况、信用衍生品创设机构的财务状况、偿付能力等因素，审慎开展信用衍生品投资。</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中债综合全价（总值）指数收益率×</w:t>
            </w:r>
            <w:r>
              <w:rPr>
                <w:rFonts w:ascii="方正仿宋简体" w:eastAsia="方正仿宋简体" w:hAnsiTheme="minorEastAsia" w:cs="仿宋_GB2312" w:hint="eastAsia"/>
                <w:kern w:val="0"/>
                <w:szCs w:val="24"/>
              </w:rPr>
              <w:t>90%+</w:t>
            </w:r>
            <w:r>
              <w:rPr>
                <w:rFonts w:ascii="方正仿宋简体" w:eastAsia="方正仿宋简体" w:hAnsiTheme="minorEastAsia" w:cs="仿宋_GB2312" w:hint="eastAsia"/>
                <w:kern w:val="0"/>
                <w:szCs w:val="24"/>
              </w:rPr>
              <w:t>银行活期存款利率（税后）×</w:t>
            </w:r>
            <w:r>
              <w:rPr>
                <w:rFonts w:ascii="方正仿宋简体" w:eastAsia="方正仿宋简体" w:hAnsiTheme="minorEastAsia" w:cs="仿宋_GB2312" w:hint="eastAsia"/>
                <w:kern w:val="0"/>
                <w:szCs w:val="24"/>
              </w:rPr>
              <w:t>10%</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本基金为债券型基金，其长期平均风险和预期收益率理论上低于股票型基金、混合型基金，高于货币市场基金。</w:t>
            </w:r>
          </w:p>
        </w:tc>
      </w:tr>
    </w:tbl>
    <w:p w:rsidR="00AD3A6F" w:rsidRPr="0086475C">
      <w:pPr>
        <w:spacing w:line="280" w:lineRule="exact"/>
        <w:rPr>
          <w:rFonts w:ascii="方正仿宋简体" w:eastAsia="方正仿宋简体" w:hAnsiTheme="minorEastAsia" w:cs="方正仿宋简体"/>
          <w:iCs/>
          <w:szCs w:val="24"/>
        </w:rPr>
      </w:pPr>
      <w:r>
        <w:rPr>
          <w:rFonts w:ascii="方正仿宋简体" w:eastAsia="方正仿宋简体" w:hAnsiTheme="minorEastAsia" w:cs="方正仿宋简体" w:hint="eastAsia"/>
          <w:iCs/>
          <w:szCs w:val="24"/>
        </w:rPr>
        <w:t>注：投资者可阅读《招募说明书》基金的投资章节了解详细情况。</w:t>
      </w:r>
    </w:p>
    <w:p w:rsidR="00AD3A6F">
      <w:pPr>
        <w:pStyle w:val="ListParagraph"/>
        <w:numPr>
          <w:ilvl w:val="0"/>
          <w:numId w:val="2"/>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rsidR="00AD3A6F">
      <w:pPr>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rsidR="00AD3A6F" w:rsidRPr="00E27EE9" w:rsidP="00E27EE9">
      <w:pPr>
        <w:snapToGrid w:val="0"/>
        <w:jc w:val="left"/>
        <w:rPr>
          <w:rFonts w:ascii="方正仿宋简体" w:eastAsia="方正仿宋简体"/>
          <w:color w:val="000000" w:themeColor="text1"/>
        </w:rPr>
      </w:pPr>
      <w:r w:rsidRPr="003F6076">
        <w:rPr>
          <w:rFonts w:ascii="方正仿宋简体" w:eastAsia="方正仿宋简体"/>
          <w:color w:val="000000" w:themeColor="text1"/>
        </w:rPr>
        <w:t>无</w:t>
      </w:r>
    </w:p>
    <w:p w:rsidR="00AD3A6F">
      <w:pPr>
        <w:pStyle w:val="ListParagraph"/>
        <w:numPr>
          <w:ilvl w:val="0"/>
          <w:numId w:val="2"/>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rsidR="00AD3A6F">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无</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rsidR="00AD3A6F">
      <w:pPr>
        <w:pStyle w:val="ListParagraph"/>
        <w:numPr>
          <w:ilvl w:val="0"/>
          <w:numId w:val="3"/>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rsidR="00AD3A6F">
      <w:pPr>
        <w:autoSpaceDE w:val="0"/>
        <w:autoSpaceDN w:val="0"/>
        <w:adjustRightInd w:val="0"/>
        <w:spacing w:line="280" w:lineRule="exact"/>
        <w:jc w:val="left"/>
        <w:rPr>
          <w:rFonts w:ascii="方正仿宋简体" w:eastAsia="方正仿宋简体"/>
          <w:color w:val="000000" w:themeColor="text1"/>
        </w:rPr>
      </w:pPr>
      <w:r>
        <w:rPr>
          <w:rFonts w:ascii="方正仿宋简体" w:eastAsia="方正仿宋简体" w:hAnsi="方正仿宋简体" w:cs="方正仿宋简体" w:hint="eastAsia"/>
          <w:iCs/>
          <w:color w:val="000000" w:themeColor="text1"/>
        </w:rPr>
        <w:t>以下费用在认购</w:t>
      </w:r>
      <w:r>
        <w:rPr>
          <w:rFonts w:ascii="方正仿宋简体" w:eastAsia="方正仿宋简体" w:hAnsi="方正仿宋简体" w:cs="方正仿宋简体" w:hint="eastAsia"/>
          <w:iCs/>
          <w:color w:val="000000" w:themeColor="text1"/>
        </w:rPr>
        <w:t>/</w:t>
      </w:r>
      <w:r>
        <w:rPr>
          <w:rFonts w:ascii="方正仿宋简体" w:eastAsia="方正仿宋简体" w:hAnsi="方正仿宋简体" w:cs="方正仿宋简体" w:hint="eastAsia"/>
          <w:iCs/>
          <w:color w:val="000000" w:themeColor="text1"/>
        </w:rPr>
        <w:t>申购</w:t>
      </w:r>
      <w:r>
        <w:rPr>
          <w:rFonts w:ascii="方正仿宋简体" w:eastAsia="方正仿宋简体" w:hAnsi="方正仿宋简体" w:cs="方正仿宋简体" w:hint="eastAsia"/>
          <w:iCs/>
          <w:color w:val="000000" w:themeColor="text1"/>
        </w:rPr>
        <w:t>/</w:t>
      </w:r>
      <w:r>
        <w:rPr>
          <w:rFonts w:ascii="方正仿宋简体" w:eastAsia="方正仿宋简体" w:hAnsi="方正仿宋简体" w:cs="方正仿宋简体" w:hint="eastAsia"/>
          <w:iCs/>
          <w:color w:val="000000" w:themeColor="text1"/>
        </w:rPr>
        <w:t>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tblPr>
      <w:tblGrid>
        <w:gridCol w:w="1243"/>
        <w:gridCol w:w="3828"/>
        <w:gridCol w:w="1133"/>
        <w:gridCol w:w="2318"/>
      </w:tblGrid>
      <w:tr w:rsidTr="00575F3B">
        <w:tblPrEx>
          <w:tblW w:w="5000" w:type="pct"/>
          <w:tblBorders>
            <w:top w:val="single" w:sz="4" w:space="0" w:color="000000"/>
            <w:bottom w:val="single" w:sz="4" w:space="0" w:color="000000"/>
            <w:insideH w:val="dashSmallGap" w:sz="4" w:space="0" w:color="808080" w:themeColor="background1" w:themeShade="80"/>
          </w:tblBorders>
          <w:tblLook w:val="0000"/>
        </w:tblPrEx>
        <w:trPr>
          <w:trHeight w:val="454"/>
        </w:trPr>
        <w:tc>
          <w:tcPr>
            <w:tcW w:w="729"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费用类型</w:t>
            </w:r>
          </w:p>
        </w:tc>
        <w:tc>
          <w:tcPr>
            <w:tcW w:w="2246"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份额（</w:t>
            </w:r>
            <w:r>
              <w:rPr>
                <w:rFonts w:ascii="方正仿宋简体" w:eastAsia="方正仿宋简体" w:hAnsi="方正仿宋简体" w:cs="方正仿宋简体" w:hint="eastAsia"/>
                <w:b/>
                <w:bCs/>
                <w:iCs/>
                <w:color w:val="000000" w:themeColor="text1"/>
              </w:rPr>
              <w:t>S</w:t>
            </w:r>
            <w:r>
              <w:rPr>
                <w:rFonts w:ascii="方正仿宋简体" w:eastAsia="方正仿宋简体" w:hAnsi="方正仿宋简体" w:cs="方正仿宋简体" w:hint="eastAsia"/>
                <w:b/>
                <w:bCs/>
                <w:iCs/>
                <w:color w:val="000000" w:themeColor="text1"/>
              </w:rPr>
              <w:t>）或金额（</w:t>
            </w:r>
            <w:r>
              <w:rPr>
                <w:rFonts w:ascii="方正仿宋简体" w:eastAsia="方正仿宋简体" w:hAnsi="方正仿宋简体" w:cs="方正仿宋简体" w:hint="eastAsia"/>
                <w:b/>
                <w:bCs/>
                <w:iCs/>
                <w:color w:val="000000" w:themeColor="text1"/>
              </w:rPr>
              <w:t>M</w:t>
            </w:r>
            <w:r>
              <w:rPr>
                <w:rFonts w:ascii="方正仿宋简体" w:eastAsia="方正仿宋简体" w:hAnsi="方正仿宋简体" w:cs="方正仿宋简体" w:hint="eastAsia"/>
                <w:b/>
                <w:bCs/>
                <w:iCs/>
                <w:color w:val="000000" w:themeColor="text1"/>
              </w:rPr>
              <w:t>）</w:t>
            </w:r>
          </w:p>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w:t>
            </w:r>
            <w:r>
              <w:rPr>
                <w:rFonts w:ascii="方正仿宋简体" w:eastAsia="方正仿宋简体" w:hAnsi="方正仿宋简体" w:cs="方正仿宋简体" w:hint="eastAsia"/>
                <w:b/>
                <w:bCs/>
                <w:iCs/>
                <w:color w:val="000000" w:themeColor="text1"/>
              </w:rPr>
              <w:t>持有期限（</w:t>
            </w:r>
            <w:r>
              <w:rPr>
                <w:rFonts w:ascii="方正仿宋简体" w:eastAsia="方正仿宋简体" w:hAnsi="方正仿宋简体" w:cs="方正仿宋简体" w:hint="eastAsia"/>
                <w:b/>
                <w:bCs/>
                <w:iCs/>
                <w:color w:val="000000" w:themeColor="text1"/>
              </w:rPr>
              <w:t>N</w:t>
            </w:r>
            <w:r>
              <w:rPr>
                <w:rFonts w:ascii="方正仿宋简体" w:eastAsia="方正仿宋简体" w:hAnsi="方正仿宋简体" w:cs="方正仿宋简体" w:hint="eastAsia"/>
                <w:b/>
                <w:bCs/>
                <w:iCs/>
                <w:color w:val="000000" w:themeColor="text1"/>
              </w:rPr>
              <w:t>）</w:t>
            </w:r>
          </w:p>
        </w:tc>
        <w:tc>
          <w:tcPr>
            <w:tcW w:w="665"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收费方式</w:t>
            </w:r>
            <w:r>
              <w:rPr>
                <w:rFonts w:ascii="方正仿宋简体" w:eastAsia="方正仿宋简体" w:hAnsi="方正仿宋简体" w:cs="方正仿宋简体" w:hint="eastAsia"/>
                <w:b/>
                <w:bCs/>
                <w:iCs/>
                <w:color w:val="000000" w:themeColor="text1"/>
              </w:rPr>
              <w:t>/</w:t>
            </w:r>
            <w:r>
              <w:rPr>
                <w:rFonts w:ascii="方正仿宋简体" w:eastAsia="方正仿宋简体" w:hAnsi="方正仿宋简体" w:cs="方正仿宋简体" w:hint="eastAsia"/>
                <w:b/>
                <w:bCs/>
                <w:iCs/>
                <w:color w:val="000000" w:themeColor="text1"/>
              </w:rPr>
              <w:t>费率</w:t>
            </w:r>
          </w:p>
        </w:tc>
        <w:tc>
          <w:tcPr>
            <w:tcW w:w="1360"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备注</w:t>
            </w:r>
          </w:p>
        </w:tc>
      </w:tr>
      <w:tr w:rsidTr="00575F3B">
        <w:tblPrEx>
          <w:tblW w:w="5000" w:type="pct"/>
          <w:tblLook w:val="0000"/>
        </w:tblPrEx>
        <w:trPr>
          <w:trHeight w:val="454"/>
        </w:trPr>
        <w:tc>
          <w:tcPr>
            <w:tcW w:w="729" w:type="pct"/>
            <w:vMerge w:val="restar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M &lt; 100万元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0.03%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100万元 ≤ M &lt; 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0.01%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M ≥ 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100元/笔</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M &lt; 100万元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0.30%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其他投资者</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100万元 ≤ M &lt; 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0.10%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认购费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M ≥ 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1,000元/笔</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restar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M &lt; 100万元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0.03%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通过本公司直销中心申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基金的住房公积金、享受税收优惠的个人养老账户、经养老基金监管部门认可的新的养老基金类型</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100万元 ≤ M &lt; 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0.01%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M ≥ 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100元/笔</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M &lt; 100万元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0.30%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其他投资者</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100万元 ≤ M &lt; 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0.10%  </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申购费（前收费）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M ≥ 500万元</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1,000元/笔</w:t>
            </w:r>
          </w:p>
        </w:tc>
        <w:tc>
          <w:tcPr>
            <w:tcW w:w="1360" w:type="pct"/>
            <w:vAlign w:val="center"/>
          </w:tcPr>
          <w:p w:rsidR="00AD3A6F">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同上</w:t>
            </w:r>
          </w:p>
        </w:tc>
      </w:tr>
      <w:tr w:rsidTr="00575F3B">
        <w:tblPrEx>
          <w:tblW w:w="5000" w:type="pct"/>
          <w:tblLook w:val="0000"/>
        </w:tblPrEx>
        <w:trPr>
          <w:trHeight w:val="454"/>
        </w:trPr>
        <w:tc>
          <w:tcPr>
            <w:tcW w:w="729"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  N ≥ 90天 </w:t>
            </w:r>
          </w:p>
        </w:tc>
        <w:tc>
          <w:tcPr>
            <w:tcW w:w="66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0.00%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bl>
    <w:p w:rsidR="00AD3A6F">
      <w:pPr>
        <w:autoSpaceDE w:val="0"/>
        <w:autoSpaceDN w:val="0"/>
        <w:adjustRightInd w:val="0"/>
        <w:spacing w:line="280" w:lineRule="exact"/>
        <w:jc w:val="left"/>
        <w:rPr>
          <w:rFonts w:ascii="方正仿宋简体" w:eastAsia="方正仿宋简体" w:hAnsi="方正仿宋简体" w:cs="方正仿宋简体"/>
          <w:iCs/>
          <w:color w:val="000000" w:themeColor="text1"/>
        </w:rPr>
      </w:pPr>
      <w:r>
        <w:rPr>
          <w:rFonts w:ascii="方正仿宋简体" w:eastAsia="方正仿宋简体" w:hAnsi="方正仿宋简体" w:cs="方正仿宋简体" w:hint="eastAsia"/>
          <w:iCs/>
          <w:color w:val="000000" w:themeColor="text1"/>
        </w:rPr>
        <w:t>注：1、如果投资者多次认购、申购，认购费、申购费适用单笔认购、申购金额所对应的费率。</w:t>
      </w:r>
      <w:r>
        <w:rPr>
          <w:rFonts w:ascii="方正仿宋简体" w:eastAsia="方正仿宋简体" w:hAnsi="方正仿宋简体" w:cs="方正仿宋简体" w:hint="eastAsia"/>
          <w:iCs/>
          <w:color w:val="000000" w:themeColor="text1"/>
        </w:rPr>
        <w:br/>
        <w:t>2、本基金对投资者认购或申购的每份基金份额设定90天最短持有期限，基金份额持有人在满足最短持有期限的情况下方可赎回，不收取赎回费用。</w:t>
      </w:r>
    </w:p>
    <w:p w:rsidR="00AD3A6F">
      <w:pPr>
        <w:pStyle w:val="ListParagraph"/>
        <w:numPr>
          <w:ilvl w:val="0"/>
          <w:numId w:val="3"/>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基金运作相关费用</w:t>
      </w:r>
    </w:p>
    <w:p w:rsidR="00AD3A6F">
      <w:pPr>
        <w:autoSpaceDE w:val="0"/>
        <w:autoSpaceDN w:val="0"/>
        <w:adjustRightInd w:val="0"/>
        <w:spacing w:line="28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w:tblPr>
        <w:tblW w:w="5001" w:type="pct"/>
        <w:tblBorders>
          <w:top w:val="single" w:sz="4" w:space="0" w:color="000000"/>
          <w:bottom w:val="single" w:sz="4" w:space="0" w:color="000000"/>
          <w:insideH w:val="dashSmallGap" w:sz="4" w:space="0" w:color="808080" w:themeColor="background1" w:themeShade="80"/>
        </w:tblBorders>
        <w:tblLook w:val="0000"/>
      </w:tblPr>
      <w:tblGrid>
        <w:gridCol w:w="1477"/>
        <w:gridCol w:w="3527"/>
        <w:gridCol w:w="3520"/>
      </w:tblGrid>
      <w:tr w:rsidTr="000D2645">
        <w:tblPrEx>
          <w:tblW w:w="5001" w:type="pct"/>
          <w:tblBorders>
            <w:top w:val="single" w:sz="4" w:space="0" w:color="000000"/>
            <w:bottom w:val="single" w:sz="4" w:space="0" w:color="000000"/>
            <w:insideH w:val="dashSmallGap" w:sz="4" w:space="0" w:color="808080" w:themeColor="background1" w:themeShade="80"/>
          </w:tblBorders>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2069" w:type="pct"/>
            <w:vAlign w:val="center"/>
          </w:tcPr>
          <w:p w:rsidR="00AD3A6F">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年费率或金额</w:t>
            </w:r>
          </w:p>
        </w:tc>
        <w:tc>
          <w:tcPr>
            <w:tcW w:w="2065" w:type="pct"/>
            <w:tcBorders>
              <w:bottom w:val="dashSmallGap" w:sz="4" w:space="0" w:color="808080" w:themeColor="background1" w:themeShade="80"/>
            </w:tcBorders>
            <w:vAlign w:val="center"/>
          </w:tcPr>
          <w:p w:rsidR="00AD3A6F">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收取</w:t>
            </w:r>
            <w:r w:rsidR="00A73782">
              <w:rPr>
                <w:rFonts w:ascii="方正仿宋简体" w:eastAsia="方正仿宋简体" w:hAnsi="方正仿宋简体" w:cs="方正仿宋简体" w:hint="eastAsia"/>
                <w:b/>
                <w:bCs/>
                <w:iCs/>
              </w:rPr>
              <w:t>方</w:t>
            </w:r>
          </w:p>
        </w:tc>
      </w:tr>
      <w:tr w:rsidTr="000D2645">
        <w:tblPrEx>
          <w:tblW w:w="5001" w:type="pct"/>
          <w:tblLook w:val="0000"/>
        </w:tblPrEx>
        <w:trPr>
          <w:trHeight w:val="454"/>
        </w:trPr>
        <w:tc>
          <w:tcPr>
            <w:tcW w:w="866" w:type="pct"/>
            <w:vAlign w:val="center"/>
          </w:tcPr>
          <w:p w:rsidR="000D2645">
            <w:pPr>
              <w:spacing w:line="28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2069" w:type="pct"/>
            <w:vAlign w:val="center"/>
          </w:tcPr>
          <w:p w:rsidR="000D2645">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年费率</w:t>
            </w:r>
            <w:r>
              <w:rPr>
                <w:rFonts w:ascii="方正仿宋简体" w:eastAsia="方正仿宋简体" w:hAnsi="方正仿宋简体" w:cs="方正仿宋简体" w:hint="eastAsia"/>
                <w:bCs/>
                <w:iCs/>
              </w:rPr>
              <w:t xml:space="preserve">0.20% </w:t>
            </w:r>
          </w:p>
        </w:tc>
        <w:tc>
          <w:tcPr>
            <w:tcW w:w="2065" w:type="pct"/>
            <w:tcBorders>
              <w:top w:val="dashSmallGap" w:sz="4" w:space="0" w:color="808080" w:themeColor="background1" w:themeShade="80"/>
            </w:tcBorders>
            <w:vAlign w:val="center"/>
          </w:tcPr>
          <w:p w:rsidR="000D2645" w:rsidP="000D2645">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基金管理人</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2069"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年费率0.05% </w:t>
            </w:r>
          </w:p>
        </w:tc>
        <w:tc>
          <w:tcPr>
            <w:tcW w:w="2065"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基金托管人</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2069"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 xml:space="preserve">详见招募说明书的基金费用与税收章节。  </w:t>
            </w:r>
          </w:p>
        </w:tc>
        <w:tc>
          <w:tcPr>
            <w:tcW w:w="2065" w:type="pct"/>
            <w:vAlign w:val="center"/>
          </w:tcPr>
          <w:p w:rsidR="00AD3A6F">
            <w:pPr>
              <w:spacing w:line="280" w:lineRule="exact"/>
              <w:jc w:val="center"/>
              <w:rPr>
                <w:rFonts w:ascii="方正仿宋简体" w:eastAsia="方正仿宋简体" w:hAnsiTheme="minorEastAsia" w:cs="方正仿宋简体"/>
                <w:bCs/>
                <w:iCs/>
              </w:rPr>
            </w:pPr>
          </w:p>
        </w:tc>
      </w:tr>
    </w:tbl>
    <w:p w:rsidR="00AD3A6F" w:rsidRPr="0086475C">
      <w:pPr>
        <w:autoSpaceDE w:val="0"/>
        <w:autoSpaceDN w:val="0"/>
        <w:adjustRightInd w:val="0"/>
        <w:spacing w:line="280" w:lineRule="exact"/>
        <w:jc w:val="left"/>
        <w:rPr>
          <w:rFonts w:ascii="方正仿宋简体" w:eastAsia="方正仿宋简体" w:hAnsi="方正仿宋简体" w:cs="方正仿宋简体"/>
          <w:bCs/>
          <w:iCs/>
        </w:rPr>
      </w:pPr>
      <w:r w:rsidRPr="003F6076">
        <w:rPr>
          <w:rFonts w:ascii="方正仿宋简体" w:eastAsia="方正仿宋简体" w:hAnsi="方正仿宋简体" w:cs="方正仿宋简体" w:hint="eastAsia"/>
          <w:bCs/>
          <w:iCs/>
        </w:rPr>
        <w:t>注：本基金交易证券、基金等产生的费用和税负，按实际发生额从基金资产扣除。</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rsidR="00AD3A6F">
      <w:pPr>
        <w:spacing w:line="280" w:lineRule="exact"/>
        <w:outlineLvl w:val="1"/>
        <w:rPr>
          <w:rFonts w:ascii="方正仿宋简体" w:eastAsia="方正仿宋简体" w:hAnsi="宋体"/>
          <w:color w:val="0000FF"/>
          <w:kern w:val="0"/>
          <w:sz w:val="18"/>
        </w:rPr>
      </w:pPr>
      <w:r>
        <w:rPr>
          <w:rFonts w:ascii="方正仿宋简体" w:eastAsia="方正仿宋简体" w:hAnsi="方正仿宋简体" w:cs="方正仿宋简体" w:hint="eastAsia"/>
          <w:b/>
          <w:bCs/>
          <w:iCs/>
          <w:sz w:val="24"/>
          <w:szCs w:val="24"/>
        </w:rPr>
        <w:t>（一）风险揭示</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投资者投资本基金每份基金份额需要持有至少</w:t>
      </w:r>
      <w:r>
        <w:rPr>
          <w:rFonts w:ascii="方正仿宋简体" w:eastAsia="方正仿宋简体" w:hAnsi="方正仿宋简体" w:cs="方正仿宋简体" w:hint="eastAsia"/>
          <w:iCs/>
        </w:rPr>
        <w:t>90</w:t>
      </w:r>
      <w:r>
        <w:rPr>
          <w:rFonts w:ascii="方正仿宋简体" w:eastAsia="方正仿宋简体" w:hAnsi="方正仿宋简体" w:cs="方正仿宋简体" w:hint="eastAsia"/>
          <w:iCs/>
        </w:rPr>
        <w:t>天以上且不上市交易，面临在</w:t>
      </w:r>
      <w:r>
        <w:rPr>
          <w:rFonts w:ascii="方正仿宋简体" w:eastAsia="方正仿宋简体" w:hAnsi="方正仿宋简体" w:cs="方正仿宋简体" w:hint="eastAsia"/>
          <w:iCs/>
        </w:rPr>
        <w:t>90</w:t>
      </w:r>
      <w:r>
        <w:rPr>
          <w:rFonts w:ascii="方正仿宋简体" w:eastAsia="方正仿宋简体" w:hAnsi="方正仿宋简体" w:cs="方正仿宋简体" w:hint="eastAsia"/>
          <w:iCs/>
        </w:rPr>
        <w:t>天最短持有期内赎回无法确认及无法退出的流动性风险，以及基金净值可能发生较大波动的风险。除了前述本基金对每份基金份额设定</w:t>
      </w:r>
      <w:r>
        <w:rPr>
          <w:rFonts w:ascii="方正仿宋简体" w:eastAsia="方正仿宋简体" w:hAnsi="方正仿宋简体" w:cs="方正仿宋简体" w:hint="eastAsia"/>
          <w:iCs/>
        </w:rPr>
        <w:t>90</w:t>
      </w:r>
      <w:r>
        <w:rPr>
          <w:rFonts w:ascii="方正仿宋简体" w:eastAsia="方正仿宋简体" w:hAnsi="方正仿宋简体" w:cs="方正仿宋简体" w:hint="eastAsia"/>
          <w:iCs/>
        </w:rPr>
        <w:t>天最短持有期的特有风险外，投资本基金可能遇到的特有风险包括但不限于：（</w:t>
      </w:r>
      <w:r>
        <w:rPr>
          <w:rFonts w:ascii="方正仿宋简体" w:eastAsia="方正仿宋简体" w:hAnsi="方正仿宋简体" w:cs="方正仿宋简体" w:hint="eastAsia"/>
          <w:iCs/>
        </w:rPr>
        <w:t>1</w:t>
      </w:r>
      <w:r>
        <w:rPr>
          <w:rFonts w:ascii="方正仿宋简体" w:eastAsia="方正仿宋简体" w:hAnsi="方正仿宋简体" w:cs="方正仿宋简体" w:hint="eastAsia"/>
          <w:iCs/>
        </w:rPr>
        <w:t>）主要投资于债券，将面临利率风险、信用风险、收益率曲线变动风险、再投资风险、杠杆风险、债券市场整体下跌的风险等特定风险，投资者投资于本基金存在无法获得收益甚至本金亏损的风险；（</w:t>
      </w:r>
      <w:r>
        <w:rPr>
          <w:rFonts w:ascii="方正仿宋简体" w:eastAsia="方正仿宋简体" w:hAnsi="方正仿宋简体" w:cs="方正仿宋简体" w:hint="eastAsia"/>
          <w:iCs/>
        </w:rPr>
        <w:t>2</w:t>
      </w:r>
      <w:r>
        <w:rPr>
          <w:rFonts w:ascii="方正仿宋简体" w:eastAsia="方正仿宋简体" w:hAnsi="方正仿宋简体" w:cs="方正仿宋简体" w:hint="eastAsia"/>
          <w:iCs/>
        </w:rPr>
        <w:t>）持有因可转换债券或可交换债券转股所形成的股票而面临的股票市场投资</w:t>
      </w:r>
      <w:r>
        <w:rPr>
          <w:rFonts w:ascii="方正仿宋简体" w:eastAsia="方正仿宋简体" w:hAnsi="方正仿宋简体" w:cs="方正仿宋简体" w:hint="eastAsia"/>
          <w:iCs/>
        </w:rPr>
        <w:t>风险；（</w:t>
      </w:r>
      <w:r>
        <w:rPr>
          <w:rFonts w:ascii="方正仿宋简体" w:eastAsia="方正仿宋简体" w:hAnsi="方正仿宋简体" w:cs="方正仿宋简体" w:hint="eastAsia"/>
          <w:iCs/>
        </w:rPr>
        <w:t>3</w:t>
      </w:r>
      <w:r>
        <w:rPr>
          <w:rFonts w:ascii="方正仿宋简体" w:eastAsia="方正仿宋简体" w:hAnsi="方正仿宋简体" w:cs="方正仿宋简体" w:hint="eastAsia"/>
          <w:iCs/>
        </w:rPr>
        <w:t>）投资范围包括国债期货等金融衍生品以及资产支持证券等特殊品种而面临的其他额外风险；（</w:t>
      </w:r>
      <w:r>
        <w:rPr>
          <w:rFonts w:ascii="方正仿宋简体" w:eastAsia="方正仿宋简体" w:hAnsi="方正仿宋简体" w:cs="方正仿宋简体" w:hint="eastAsia"/>
          <w:iCs/>
        </w:rPr>
        <w:t>4</w:t>
      </w:r>
      <w:r>
        <w:rPr>
          <w:rFonts w:ascii="方正仿宋简体" w:eastAsia="方正仿宋简体" w:hAnsi="方正仿宋简体" w:cs="方正仿宋简体" w:hint="eastAsia"/>
          <w:iCs/>
        </w:rPr>
        <w:t>）投资范围包括信用衍生品，信用衍生品的投资可能面临流动性风险、偿付风险以及价格波动风险。此外，本基金还将面临市场风险、流动性风险（包括但不限于特定投资标的流动性较差风险、巨额赎回风险、启用摆动定价或侧袋机制等流动性风险管理工具带来的风险等）、管理风险、税收风险、本基金法律文件中涉及基金风险特征的表述与销售机构对基金的风险评级可能不一致的风险、其他风险等一般风险。本基金的特有风险及一般风险详见招募说明书的“风险揭示</w:t>
      </w:r>
      <w:r>
        <w:rPr>
          <w:rFonts w:ascii="方正仿宋简体" w:eastAsia="方正仿宋简体" w:hAnsi="方正仿宋简体" w:cs="方正仿宋简体" w:hint="eastAsia"/>
          <w:iCs/>
        </w:rPr>
        <w:t>”部分。</w:t>
      </w:r>
    </w:p>
    <w:p w:rsidR="00AD3A6F">
      <w:pPr>
        <w:spacing w:line="28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r>
        <w:rPr>
          <w:rFonts w:ascii="方正仿宋简体" w:eastAsia="方正仿宋简体" w:hAnsi="方正仿宋简体" w:cs="方正仿宋简体" w:hint="eastAsia"/>
          <w:b/>
          <w:bCs/>
          <w:iCs/>
        </w:rPr>
        <w:t>各方当事人因《基金合同》而产生的或与《基金合同》有关的一切争议应尽量通过协商、调解途径解决，如经友好协商未能解决的最终将通过仲裁方式处理，详见《基金合同》</w:t>
      </w:r>
      <w:r>
        <w:rPr>
          <w:rFonts w:ascii="方正仿宋简体" w:eastAsia="方正仿宋简体" w:hAnsi="方正仿宋简体" w:cs="方正仿宋简体" w:hint="eastAsia"/>
          <w:iCs/>
        </w:rPr>
        <w:t>。</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基金产品资料概要信息发生重大变更</w:t>
      </w:r>
      <w:r>
        <w:rPr>
          <w:rFonts w:ascii="方正仿宋简体" w:eastAsia="方正仿宋简体" w:hAnsi="方正仿宋简体" w:cs="方正仿宋简体" w:hint="eastAsia"/>
          <w:iCs/>
        </w:rPr>
        <w:t>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以下资料详见基金管理人网站</w:t>
      </w:r>
      <w:r>
        <w:rPr>
          <w:rFonts w:ascii="方正仿宋简体" w:eastAsia="方正仿宋简体" w:hAnsi="方正仿宋简体" w:cs="方正仿宋简体" w:hint="eastAsia"/>
          <w:iCs/>
        </w:rPr>
        <w:t>[www.efunds.com.cn][</w:t>
      </w:r>
      <w:r>
        <w:rPr>
          <w:rFonts w:ascii="方正仿宋简体" w:eastAsia="方正仿宋简体" w:hAnsi="方正仿宋简体" w:cs="方正仿宋简体" w:hint="eastAsia"/>
          <w:iCs/>
        </w:rPr>
        <w:t>客服电话</w:t>
      </w:r>
      <w:r>
        <w:rPr>
          <w:rFonts w:ascii="方正仿宋简体" w:eastAsia="方正仿宋简体" w:hAnsi="方正仿宋简体" w:cs="方正仿宋简体" w:hint="eastAsia"/>
          <w:iCs/>
        </w:rPr>
        <w:t>:4008818088]</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w:t>
      </w:r>
      <w:r>
        <w:rPr>
          <w:rFonts w:ascii="方正仿宋简体" w:eastAsia="方正仿宋简体" w:hAnsi="方正仿宋简体" w:cs="方正仿宋简体" w:hint="eastAsia"/>
          <w:iCs/>
        </w:rPr>
        <w:t>、基金合同、托管协议、招募说明书</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w:t>
      </w:r>
      <w:r>
        <w:rPr>
          <w:rFonts w:ascii="方正仿宋简体" w:eastAsia="方正仿宋简体" w:hAnsi="方正仿宋简体" w:cs="方正仿宋简体" w:hint="eastAsia"/>
          <w:iCs/>
        </w:rPr>
        <w:t>、定期报告，包括基金季度报告、中期报告和年度报告</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w:t>
      </w:r>
      <w:r>
        <w:rPr>
          <w:rFonts w:ascii="方正仿宋简体" w:eastAsia="方正仿宋简体" w:hAnsi="方正仿宋简体" w:cs="方正仿宋简体" w:hint="eastAsia"/>
          <w:iCs/>
        </w:rPr>
        <w:t>、基金份额净值</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w:t>
      </w:r>
      <w:r>
        <w:rPr>
          <w:rFonts w:ascii="方正仿宋简体" w:eastAsia="方正仿宋简体" w:hAnsi="方正仿宋简体" w:cs="方正仿宋简体" w:hint="eastAsia"/>
          <w:iCs/>
        </w:rPr>
        <w:t>、基金销售机构及联系方式</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w:t>
      </w:r>
      <w:r>
        <w:rPr>
          <w:rFonts w:ascii="方正仿宋简体" w:eastAsia="方正仿宋简体" w:hAnsi="方正仿宋简体" w:cs="方正仿宋简体" w:hint="eastAsia"/>
          <w:iCs/>
        </w:rPr>
        <w:t>、其他重要资料</w:t>
      </w:r>
      <w:bookmarkEnd w:id="0"/>
    </w:p>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5751033"/>
      <w:docPartObj>
        <w:docPartGallery w:val="Page Numbers (Bottom of Page)"/>
        <w:docPartUnique/>
      </w:docPartObj>
    </w:sdtPr>
    <w:sdtContent>
      <w:sdt>
        <w:sdtPr>
          <w:id w:val="98381352"/>
          <w:docPartObj>
            <w:docPartGallery w:val="Page Numbers (Top of Page)"/>
            <w:docPartUnique/>
          </w:docPartObj>
        </w:sdtPr>
        <w:sdtContent>
          <w:p w:rsidR="00575F3B" w:rsidP="0025315A">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p>
        </w:sdtContent>
      </w:sdt>
    </w:sdtContent>
  </w:sdt>
  <w:p w:rsidR="00575F3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8E6770"/>
    <w:multiLevelType w:val="hybridMultilevel"/>
    <w:tmpl w:val="C2F49F6C"/>
    <w:lvl w:ilvl="0">
      <w:start w:val="1"/>
      <w:numFmt w:val="japaneseCounting"/>
      <w:lvlText w:val="（%1）"/>
      <w:lvlJc w:val="left"/>
      <w:pPr>
        <w:ind w:left="765" w:hanging="76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2">
    <w:nsid w:val="7D0D3582"/>
    <w:multiLevelType w:val="hybridMultilevel"/>
    <w:tmpl w:val="256C1A40"/>
    <w:lvl w:ilvl="0">
      <w:start w:val="1"/>
      <w:numFmt w:val="chineseCountingThousand"/>
      <w:suff w:val="space"/>
      <w:lvlText w:val="(%1)"/>
      <w:lvlJc w:val="left"/>
      <w:pPr>
        <w:ind w:left="284" w:hanging="284"/>
      </w:pPr>
      <w:rPr>
        <w:rFonts w:eastAsia="宋体" w:asciiTheme="minorEastAsia" w:hAnsiTheme="minorEastAsia" w:hint="eastAsia"/>
        <w:b/>
      </w:rPr>
    </w:lvl>
    <w:lvl w:ilvl="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王子豪">
    <w15:presenceInfo w15:providerId="None" w15:userId="王子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56"/>
    <w:rsid w:val="00002B50"/>
    <w:rsid w:val="00002F33"/>
    <w:rsid w:val="000034E5"/>
    <w:rsid w:val="00003561"/>
    <w:rsid w:val="000035EA"/>
    <w:rsid w:val="00004180"/>
    <w:rsid w:val="00006EAF"/>
    <w:rsid w:val="0000736D"/>
    <w:rsid w:val="0000782B"/>
    <w:rsid w:val="00010B3E"/>
    <w:rsid w:val="00015DD4"/>
    <w:rsid w:val="00017721"/>
    <w:rsid w:val="00022B9A"/>
    <w:rsid w:val="00024497"/>
    <w:rsid w:val="00024BB1"/>
    <w:rsid w:val="000302E4"/>
    <w:rsid w:val="00030595"/>
    <w:rsid w:val="000315CE"/>
    <w:rsid w:val="000321C8"/>
    <w:rsid w:val="00035A85"/>
    <w:rsid w:val="000431A9"/>
    <w:rsid w:val="0004462C"/>
    <w:rsid w:val="00045BE4"/>
    <w:rsid w:val="00046C88"/>
    <w:rsid w:val="00047F4E"/>
    <w:rsid w:val="0005053E"/>
    <w:rsid w:val="00052BDA"/>
    <w:rsid w:val="00053ADC"/>
    <w:rsid w:val="00053B2F"/>
    <w:rsid w:val="00054711"/>
    <w:rsid w:val="00056380"/>
    <w:rsid w:val="000567E4"/>
    <w:rsid w:val="000571BD"/>
    <w:rsid w:val="0005794F"/>
    <w:rsid w:val="00060B05"/>
    <w:rsid w:val="000612DA"/>
    <w:rsid w:val="00061AF3"/>
    <w:rsid w:val="00061B3E"/>
    <w:rsid w:val="00061BFD"/>
    <w:rsid w:val="00062543"/>
    <w:rsid w:val="0006363D"/>
    <w:rsid w:val="00064C2C"/>
    <w:rsid w:val="0006546B"/>
    <w:rsid w:val="00065CA6"/>
    <w:rsid w:val="0006758E"/>
    <w:rsid w:val="000676AA"/>
    <w:rsid w:val="0007014B"/>
    <w:rsid w:val="00070564"/>
    <w:rsid w:val="00071412"/>
    <w:rsid w:val="00075382"/>
    <w:rsid w:val="00075ECF"/>
    <w:rsid w:val="00076810"/>
    <w:rsid w:val="00077F97"/>
    <w:rsid w:val="0008034A"/>
    <w:rsid w:val="0008034B"/>
    <w:rsid w:val="00080C9E"/>
    <w:rsid w:val="00080D0F"/>
    <w:rsid w:val="00082C7C"/>
    <w:rsid w:val="00083BA6"/>
    <w:rsid w:val="00085A7A"/>
    <w:rsid w:val="00086076"/>
    <w:rsid w:val="000862CB"/>
    <w:rsid w:val="00086FAF"/>
    <w:rsid w:val="00090D03"/>
    <w:rsid w:val="00090E1B"/>
    <w:rsid w:val="00090E7D"/>
    <w:rsid w:val="000915A1"/>
    <w:rsid w:val="00092664"/>
    <w:rsid w:val="0009280C"/>
    <w:rsid w:val="000948A5"/>
    <w:rsid w:val="00095DA1"/>
    <w:rsid w:val="00096ECA"/>
    <w:rsid w:val="000A25FC"/>
    <w:rsid w:val="000A27CB"/>
    <w:rsid w:val="000A4485"/>
    <w:rsid w:val="000A69FE"/>
    <w:rsid w:val="000A6C27"/>
    <w:rsid w:val="000A6E34"/>
    <w:rsid w:val="000A71C1"/>
    <w:rsid w:val="000A7FF9"/>
    <w:rsid w:val="000B4934"/>
    <w:rsid w:val="000B578C"/>
    <w:rsid w:val="000B672F"/>
    <w:rsid w:val="000C0D50"/>
    <w:rsid w:val="000C0D79"/>
    <w:rsid w:val="000C3D2A"/>
    <w:rsid w:val="000C3D96"/>
    <w:rsid w:val="000C4A85"/>
    <w:rsid w:val="000C52B6"/>
    <w:rsid w:val="000C63E1"/>
    <w:rsid w:val="000C6C14"/>
    <w:rsid w:val="000D14A1"/>
    <w:rsid w:val="000D21EE"/>
    <w:rsid w:val="000D2645"/>
    <w:rsid w:val="000D36AB"/>
    <w:rsid w:val="000D3D44"/>
    <w:rsid w:val="000D4535"/>
    <w:rsid w:val="000D516E"/>
    <w:rsid w:val="000D6088"/>
    <w:rsid w:val="000D6D52"/>
    <w:rsid w:val="000D6F1A"/>
    <w:rsid w:val="000D753A"/>
    <w:rsid w:val="000D7961"/>
    <w:rsid w:val="000D7CDD"/>
    <w:rsid w:val="000D7E62"/>
    <w:rsid w:val="000E0465"/>
    <w:rsid w:val="000E10F0"/>
    <w:rsid w:val="000E1B15"/>
    <w:rsid w:val="000E2DA3"/>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0AF6"/>
    <w:rsid w:val="00101AE7"/>
    <w:rsid w:val="00101E69"/>
    <w:rsid w:val="001026B3"/>
    <w:rsid w:val="00103453"/>
    <w:rsid w:val="00104223"/>
    <w:rsid w:val="001042DD"/>
    <w:rsid w:val="00104B7B"/>
    <w:rsid w:val="00105E38"/>
    <w:rsid w:val="001062E8"/>
    <w:rsid w:val="001064D8"/>
    <w:rsid w:val="00106EB0"/>
    <w:rsid w:val="001073D4"/>
    <w:rsid w:val="00107BDE"/>
    <w:rsid w:val="00107C68"/>
    <w:rsid w:val="00110D35"/>
    <w:rsid w:val="0011161D"/>
    <w:rsid w:val="00111992"/>
    <w:rsid w:val="00111B19"/>
    <w:rsid w:val="001126C1"/>
    <w:rsid w:val="00114B35"/>
    <w:rsid w:val="00116CA0"/>
    <w:rsid w:val="00117377"/>
    <w:rsid w:val="00117831"/>
    <w:rsid w:val="00120454"/>
    <w:rsid w:val="00120E44"/>
    <w:rsid w:val="0012116F"/>
    <w:rsid w:val="00124437"/>
    <w:rsid w:val="0012454F"/>
    <w:rsid w:val="001302B4"/>
    <w:rsid w:val="0013061B"/>
    <w:rsid w:val="00130F4D"/>
    <w:rsid w:val="00132DDC"/>
    <w:rsid w:val="00133620"/>
    <w:rsid w:val="0013367D"/>
    <w:rsid w:val="001351D1"/>
    <w:rsid w:val="00135D07"/>
    <w:rsid w:val="00136038"/>
    <w:rsid w:val="0013609D"/>
    <w:rsid w:val="00137185"/>
    <w:rsid w:val="001373AB"/>
    <w:rsid w:val="0014192C"/>
    <w:rsid w:val="00142D38"/>
    <w:rsid w:val="00142FAC"/>
    <w:rsid w:val="00143189"/>
    <w:rsid w:val="00143519"/>
    <w:rsid w:val="001443DA"/>
    <w:rsid w:val="00144C18"/>
    <w:rsid w:val="001458B8"/>
    <w:rsid w:val="00150641"/>
    <w:rsid w:val="001506D6"/>
    <w:rsid w:val="00150A06"/>
    <w:rsid w:val="00150F72"/>
    <w:rsid w:val="00151549"/>
    <w:rsid w:val="0015352E"/>
    <w:rsid w:val="001546D4"/>
    <w:rsid w:val="001549B1"/>
    <w:rsid w:val="001552A2"/>
    <w:rsid w:val="001559E1"/>
    <w:rsid w:val="00160476"/>
    <w:rsid w:val="001608BD"/>
    <w:rsid w:val="00160EB7"/>
    <w:rsid w:val="00162EF9"/>
    <w:rsid w:val="001634DE"/>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077D"/>
    <w:rsid w:val="00191262"/>
    <w:rsid w:val="0019128C"/>
    <w:rsid w:val="001916CF"/>
    <w:rsid w:val="00193370"/>
    <w:rsid w:val="00194EF9"/>
    <w:rsid w:val="00196878"/>
    <w:rsid w:val="001976C2"/>
    <w:rsid w:val="001A0D4A"/>
    <w:rsid w:val="001A28F4"/>
    <w:rsid w:val="001A450C"/>
    <w:rsid w:val="001A45B4"/>
    <w:rsid w:val="001A4E24"/>
    <w:rsid w:val="001A4FC5"/>
    <w:rsid w:val="001A77C2"/>
    <w:rsid w:val="001A7E7C"/>
    <w:rsid w:val="001B046B"/>
    <w:rsid w:val="001B2359"/>
    <w:rsid w:val="001B2C1A"/>
    <w:rsid w:val="001B3C8B"/>
    <w:rsid w:val="001B525D"/>
    <w:rsid w:val="001C19CC"/>
    <w:rsid w:val="001C1A3B"/>
    <w:rsid w:val="001C1CAE"/>
    <w:rsid w:val="001C1D13"/>
    <w:rsid w:val="001C1F54"/>
    <w:rsid w:val="001C27FC"/>
    <w:rsid w:val="001C285F"/>
    <w:rsid w:val="001C2C37"/>
    <w:rsid w:val="001C3861"/>
    <w:rsid w:val="001C4114"/>
    <w:rsid w:val="001C44C3"/>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07C8C"/>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4C1"/>
    <w:rsid w:val="0023065E"/>
    <w:rsid w:val="00231814"/>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6DC3"/>
    <w:rsid w:val="00247F81"/>
    <w:rsid w:val="00250329"/>
    <w:rsid w:val="00250BCA"/>
    <w:rsid w:val="00252624"/>
    <w:rsid w:val="00252FAA"/>
    <w:rsid w:val="0025315A"/>
    <w:rsid w:val="00253E38"/>
    <w:rsid w:val="00256B43"/>
    <w:rsid w:val="00257D0E"/>
    <w:rsid w:val="00257F1F"/>
    <w:rsid w:val="00260DEB"/>
    <w:rsid w:val="00261721"/>
    <w:rsid w:val="002618F7"/>
    <w:rsid w:val="0026413B"/>
    <w:rsid w:val="00265B51"/>
    <w:rsid w:val="00266322"/>
    <w:rsid w:val="002673EA"/>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2FFE"/>
    <w:rsid w:val="002A3B92"/>
    <w:rsid w:val="002A3CBD"/>
    <w:rsid w:val="002A4280"/>
    <w:rsid w:val="002A4FFB"/>
    <w:rsid w:val="002A56F1"/>
    <w:rsid w:val="002B0143"/>
    <w:rsid w:val="002B328D"/>
    <w:rsid w:val="002B3337"/>
    <w:rsid w:val="002B3AF5"/>
    <w:rsid w:val="002B4008"/>
    <w:rsid w:val="002B4E46"/>
    <w:rsid w:val="002B73E3"/>
    <w:rsid w:val="002B7FB5"/>
    <w:rsid w:val="002C001B"/>
    <w:rsid w:val="002C07FC"/>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3DF4"/>
    <w:rsid w:val="00355045"/>
    <w:rsid w:val="003553B7"/>
    <w:rsid w:val="0035595E"/>
    <w:rsid w:val="00357BB4"/>
    <w:rsid w:val="00360359"/>
    <w:rsid w:val="00360E9D"/>
    <w:rsid w:val="00364FA7"/>
    <w:rsid w:val="003665BF"/>
    <w:rsid w:val="003667EC"/>
    <w:rsid w:val="00367E76"/>
    <w:rsid w:val="00367F65"/>
    <w:rsid w:val="00370C84"/>
    <w:rsid w:val="003712CC"/>
    <w:rsid w:val="00373CC2"/>
    <w:rsid w:val="003744FE"/>
    <w:rsid w:val="0037519F"/>
    <w:rsid w:val="00375483"/>
    <w:rsid w:val="003800E8"/>
    <w:rsid w:val="00380BCD"/>
    <w:rsid w:val="00381CFE"/>
    <w:rsid w:val="00382845"/>
    <w:rsid w:val="00386A7F"/>
    <w:rsid w:val="003902A5"/>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087D"/>
    <w:rsid w:val="003C1C5E"/>
    <w:rsid w:val="003C1CC4"/>
    <w:rsid w:val="003C21B7"/>
    <w:rsid w:val="003C2452"/>
    <w:rsid w:val="003C570B"/>
    <w:rsid w:val="003C6D4B"/>
    <w:rsid w:val="003C6FDD"/>
    <w:rsid w:val="003C79EE"/>
    <w:rsid w:val="003D0705"/>
    <w:rsid w:val="003D0B6F"/>
    <w:rsid w:val="003D1060"/>
    <w:rsid w:val="003D2954"/>
    <w:rsid w:val="003D5ECB"/>
    <w:rsid w:val="003E0BE3"/>
    <w:rsid w:val="003E0E61"/>
    <w:rsid w:val="003E11A4"/>
    <w:rsid w:val="003E4F18"/>
    <w:rsid w:val="003E66A5"/>
    <w:rsid w:val="003E6956"/>
    <w:rsid w:val="003E78BD"/>
    <w:rsid w:val="003E7F21"/>
    <w:rsid w:val="003F1DE3"/>
    <w:rsid w:val="003F324E"/>
    <w:rsid w:val="003F42E1"/>
    <w:rsid w:val="003F56C3"/>
    <w:rsid w:val="003F6076"/>
    <w:rsid w:val="003F6D43"/>
    <w:rsid w:val="003F6EF3"/>
    <w:rsid w:val="00401E99"/>
    <w:rsid w:val="00402B28"/>
    <w:rsid w:val="00403885"/>
    <w:rsid w:val="00407D4D"/>
    <w:rsid w:val="004103D9"/>
    <w:rsid w:val="004106A5"/>
    <w:rsid w:val="00411B1E"/>
    <w:rsid w:val="00411C1F"/>
    <w:rsid w:val="00415142"/>
    <w:rsid w:val="00416169"/>
    <w:rsid w:val="00417B28"/>
    <w:rsid w:val="00420623"/>
    <w:rsid w:val="00421441"/>
    <w:rsid w:val="004225D8"/>
    <w:rsid w:val="004241F4"/>
    <w:rsid w:val="00425E03"/>
    <w:rsid w:val="00425F60"/>
    <w:rsid w:val="00426A9B"/>
    <w:rsid w:val="00430064"/>
    <w:rsid w:val="00430BE8"/>
    <w:rsid w:val="0043184A"/>
    <w:rsid w:val="00432222"/>
    <w:rsid w:val="004324B8"/>
    <w:rsid w:val="004335EC"/>
    <w:rsid w:val="00435F11"/>
    <w:rsid w:val="004376A7"/>
    <w:rsid w:val="00437CC4"/>
    <w:rsid w:val="0044078C"/>
    <w:rsid w:val="00440F0C"/>
    <w:rsid w:val="004428A7"/>
    <w:rsid w:val="00443386"/>
    <w:rsid w:val="0044426B"/>
    <w:rsid w:val="00444874"/>
    <w:rsid w:val="0044609F"/>
    <w:rsid w:val="004473DA"/>
    <w:rsid w:val="004504DB"/>
    <w:rsid w:val="0045198C"/>
    <w:rsid w:val="00456164"/>
    <w:rsid w:val="00457457"/>
    <w:rsid w:val="00461408"/>
    <w:rsid w:val="00462FAF"/>
    <w:rsid w:val="00463DA7"/>
    <w:rsid w:val="00464A9D"/>
    <w:rsid w:val="00464C4E"/>
    <w:rsid w:val="004656CC"/>
    <w:rsid w:val="00466F82"/>
    <w:rsid w:val="004709CA"/>
    <w:rsid w:val="00470B24"/>
    <w:rsid w:val="0047161C"/>
    <w:rsid w:val="004727B4"/>
    <w:rsid w:val="00475599"/>
    <w:rsid w:val="00475E21"/>
    <w:rsid w:val="004761F4"/>
    <w:rsid w:val="00477547"/>
    <w:rsid w:val="00477F83"/>
    <w:rsid w:val="00481117"/>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A7D45"/>
    <w:rsid w:val="004B35A1"/>
    <w:rsid w:val="004B3925"/>
    <w:rsid w:val="004B5C77"/>
    <w:rsid w:val="004B5D91"/>
    <w:rsid w:val="004B66B0"/>
    <w:rsid w:val="004C1E78"/>
    <w:rsid w:val="004C2008"/>
    <w:rsid w:val="004C4116"/>
    <w:rsid w:val="004C4D70"/>
    <w:rsid w:val="004C5B50"/>
    <w:rsid w:val="004C6220"/>
    <w:rsid w:val="004D0CA3"/>
    <w:rsid w:val="004D1BE1"/>
    <w:rsid w:val="004D1CFD"/>
    <w:rsid w:val="004D1E18"/>
    <w:rsid w:val="004D455A"/>
    <w:rsid w:val="004D5927"/>
    <w:rsid w:val="004E01B5"/>
    <w:rsid w:val="004E0E97"/>
    <w:rsid w:val="004E1F62"/>
    <w:rsid w:val="004E275A"/>
    <w:rsid w:val="004E29D3"/>
    <w:rsid w:val="004E46D3"/>
    <w:rsid w:val="004E55B4"/>
    <w:rsid w:val="004E5A80"/>
    <w:rsid w:val="004E736F"/>
    <w:rsid w:val="004E7553"/>
    <w:rsid w:val="004F0DA7"/>
    <w:rsid w:val="004F157A"/>
    <w:rsid w:val="004F2105"/>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5E5E"/>
    <w:rsid w:val="00526D03"/>
    <w:rsid w:val="005303D3"/>
    <w:rsid w:val="005305B4"/>
    <w:rsid w:val="00530D39"/>
    <w:rsid w:val="0053188C"/>
    <w:rsid w:val="00532E71"/>
    <w:rsid w:val="005341C9"/>
    <w:rsid w:val="00534441"/>
    <w:rsid w:val="00536BA8"/>
    <w:rsid w:val="00536BCB"/>
    <w:rsid w:val="00536C05"/>
    <w:rsid w:val="00537A33"/>
    <w:rsid w:val="00537D22"/>
    <w:rsid w:val="0054307D"/>
    <w:rsid w:val="00543811"/>
    <w:rsid w:val="005438D4"/>
    <w:rsid w:val="005442A7"/>
    <w:rsid w:val="005445C1"/>
    <w:rsid w:val="00544653"/>
    <w:rsid w:val="00544EBD"/>
    <w:rsid w:val="005451CF"/>
    <w:rsid w:val="00545943"/>
    <w:rsid w:val="00550A83"/>
    <w:rsid w:val="00551F7A"/>
    <w:rsid w:val="0055285B"/>
    <w:rsid w:val="00553DB0"/>
    <w:rsid w:val="005540D2"/>
    <w:rsid w:val="00554969"/>
    <w:rsid w:val="00555C70"/>
    <w:rsid w:val="00555F7D"/>
    <w:rsid w:val="005610BB"/>
    <w:rsid w:val="005622C8"/>
    <w:rsid w:val="005626F8"/>
    <w:rsid w:val="00562E85"/>
    <w:rsid w:val="00563BCF"/>
    <w:rsid w:val="00563EC0"/>
    <w:rsid w:val="0056468E"/>
    <w:rsid w:val="00565C2C"/>
    <w:rsid w:val="00571BD4"/>
    <w:rsid w:val="00571F09"/>
    <w:rsid w:val="00572E76"/>
    <w:rsid w:val="00575F3B"/>
    <w:rsid w:val="005778C5"/>
    <w:rsid w:val="00581429"/>
    <w:rsid w:val="005815B2"/>
    <w:rsid w:val="00581EE1"/>
    <w:rsid w:val="0058429A"/>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2262"/>
    <w:rsid w:val="005B38BC"/>
    <w:rsid w:val="005B472E"/>
    <w:rsid w:val="005B66AE"/>
    <w:rsid w:val="005B68DF"/>
    <w:rsid w:val="005B6AFF"/>
    <w:rsid w:val="005B70B9"/>
    <w:rsid w:val="005B755C"/>
    <w:rsid w:val="005C0DBC"/>
    <w:rsid w:val="005C1A5C"/>
    <w:rsid w:val="005C24CC"/>
    <w:rsid w:val="005C5197"/>
    <w:rsid w:val="005C64D0"/>
    <w:rsid w:val="005C65CA"/>
    <w:rsid w:val="005C6897"/>
    <w:rsid w:val="005C68EB"/>
    <w:rsid w:val="005C7259"/>
    <w:rsid w:val="005C75B8"/>
    <w:rsid w:val="005C77E0"/>
    <w:rsid w:val="005D013C"/>
    <w:rsid w:val="005D2905"/>
    <w:rsid w:val="005D45F5"/>
    <w:rsid w:val="005D70F2"/>
    <w:rsid w:val="005E06A1"/>
    <w:rsid w:val="005E3245"/>
    <w:rsid w:val="005E41D1"/>
    <w:rsid w:val="005E539C"/>
    <w:rsid w:val="005E6746"/>
    <w:rsid w:val="005E6DA7"/>
    <w:rsid w:val="005E7F1E"/>
    <w:rsid w:val="005F0EC2"/>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05F01"/>
    <w:rsid w:val="006069E6"/>
    <w:rsid w:val="006112A2"/>
    <w:rsid w:val="00611FAF"/>
    <w:rsid w:val="0061345D"/>
    <w:rsid w:val="00614CA3"/>
    <w:rsid w:val="00620211"/>
    <w:rsid w:val="0062158C"/>
    <w:rsid w:val="006224B1"/>
    <w:rsid w:val="0062290A"/>
    <w:rsid w:val="00623286"/>
    <w:rsid w:val="00627395"/>
    <w:rsid w:val="006273A4"/>
    <w:rsid w:val="00627544"/>
    <w:rsid w:val="00627DC9"/>
    <w:rsid w:val="00627DF0"/>
    <w:rsid w:val="0063129E"/>
    <w:rsid w:val="00631EA2"/>
    <w:rsid w:val="00632D3B"/>
    <w:rsid w:val="00633283"/>
    <w:rsid w:val="00634B58"/>
    <w:rsid w:val="0063634C"/>
    <w:rsid w:val="00636AC5"/>
    <w:rsid w:val="0064010F"/>
    <w:rsid w:val="00640AE8"/>
    <w:rsid w:val="00641BA0"/>
    <w:rsid w:val="00642A45"/>
    <w:rsid w:val="00642C8D"/>
    <w:rsid w:val="00643A61"/>
    <w:rsid w:val="00643F76"/>
    <w:rsid w:val="006455FB"/>
    <w:rsid w:val="0064578E"/>
    <w:rsid w:val="0064728C"/>
    <w:rsid w:val="00651936"/>
    <w:rsid w:val="00652174"/>
    <w:rsid w:val="00652881"/>
    <w:rsid w:val="006529EB"/>
    <w:rsid w:val="00654A93"/>
    <w:rsid w:val="00654DF0"/>
    <w:rsid w:val="00655158"/>
    <w:rsid w:val="0065679F"/>
    <w:rsid w:val="006603E5"/>
    <w:rsid w:val="00660F5F"/>
    <w:rsid w:val="00660FD6"/>
    <w:rsid w:val="006613FB"/>
    <w:rsid w:val="0066183D"/>
    <w:rsid w:val="00661D67"/>
    <w:rsid w:val="006633F2"/>
    <w:rsid w:val="006646B8"/>
    <w:rsid w:val="00665726"/>
    <w:rsid w:val="006658F5"/>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2CCB"/>
    <w:rsid w:val="00683266"/>
    <w:rsid w:val="00683640"/>
    <w:rsid w:val="00683914"/>
    <w:rsid w:val="00683944"/>
    <w:rsid w:val="006844DC"/>
    <w:rsid w:val="006846F3"/>
    <w:rsid w:val="00685873"/>
    <w:rsid w:val="006863A2"/>
    <w:rsid w:val="0068689E"/>
    <w:rsid w:val="00686A1D"/>
    <w:rsid w:val="00687021"/>
    <w:rsid w:val="006909BD"/>
    <w:rsid w:val="00690ABF"/>
    <w:rsid w:val="00690BAF"/>
    <w:rsid w:val="006919C2"/>
    <w:rsid w:val="00691DF1"/>
    <w:rsid w:val="006924B3"/>
    <w:rsid w:val="0069320A"/>
    <w:rsid w:val="006958E7"/>
    <w:rsid w:val="00697FD6"/>
    <w:rsid w:val="006A0F1D"/>
    <w:rsid w:val="006A1F36"/>
    <w:rsid w:val="006A202F"/>
    <w:rsid w:val="006A2869"/>
    <w:rsid w:val="006A409B"/>
    <w:rsid w:val="006A417D"/>
    <w:rsid w:val="006A476E"/>
    <w:rsid w:val="006A48A9"/>
    <w:rsid w:val="006A4E44"/>
    <w:rsid w:val="006A6105"/>
    <w:rsid w:val="006A6462"/>
    <w:rsid w:val="006A668D"/>
    <w:rsid w:val="006A71AF"/>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751"/>
    <w:rsid w:val="00746BC6"/>
    <w:rsid w:val="00750319"/>
    <w:rsid w:val="00751532"/>
    <w:rsid w:val="00752B07"/>
    <w:rsid w:val="00752C48"/>
    <w:rsid w:val="00753981"/>
    <w:rsid w:val="00754473"/>
    <w:rsid w:val="00754857"/>
    <w:rsid w:val="00754FB5"/>
    <w:rsid w:val="007570EE"/>
    <w:rsid w:val="00760071"/>
    <w:rsid w:val="007607AB"/>
    <w:rsid w:val="00760936"/>
    <w:rsid w:val="00760EE0"/>
    <w:rsid w:val="00761073"/>
    <w:rsid w:val="007613C9"/>
    <w:rsid w:val="007632D4"/>
    <w:rsid w:val="0076354E"/>
    <w:rsid w:val="007635F6"/>
    <w:rsid w:val="00763D1C"/>
    <w:rsid w:val="00763D5D"/>
    <w:rsid w:val="007650D3"/>
    <w:rsid w:val="0076533D"/>
    <w:rsid w:val="0076546F"/>
    <w:rsid w:val="0076590C"/>
    <w:rsid w:val="00765B54"/>
    <w:rsid w:val="00767617"/>
    <w:rsid w:val="0076779F"/>
    <w:rsid w:val="00770121"/>
    <w:rsid w:val="007706A6"/>
    <w:rsid w:val="00770C2F"/>
    <w:rsid w:val="0077542A"/>
    <w:rsid w:val="00775C2B"/>
    <w:rsid w:val="00775CBB"/>
    <w:rsid w:val="00776054"/>
    <w:rsid w:val="00777DE9"/>
    <w:rsid w:val="007801AD"/>
    <w:rsid w:val="007801CE"/>
    <w:rsid w:val="0078092F"/>
    <w:rsid w:val="00781198"/>
    <w:rsid w:val="007817A1"/>
    <w:rsid w:val="00781DF5"/>
    <w:rsid w:val="0078269B"/>
    <w:rsid w:val="00782B4D"/>
    <w:rsid w:val="00782CE1"/>
    <w:rsid w:val="00783141"/>
    <w:rsid w:val="00783176"/>
    <w:rsid w:val="0078384B"/>
    <w:rsid w:val="007854C1"/>
    <w:rsid w:val="007862E9"/>
    <w:rsid w:val="00787B68"/>
    <w:rsid w:val="0079221A"/>
    <w:rsid w:val="00792A98"/>
    <w:rsid w:val="00792C6C"/>
    <w:rsid w:val="007933D6"/>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E7ED6"/>
    <w:rsid w:val="007F0E3B"/>
    <w:rsid w:val="007F18C3"/>
    <w:rsid w:val="007F39B7"/>
    <w:rsid w:val="007F3A09"/>
    <w:rsid w:val="007F408E"/>
    <w:rsid w:val="007F4E29"/>
    <w:rsid w:val="007F5E08"/>
    <w:rsid w:val="007F6315"/>
    <w:rsid w:val="007F681B"/>
    <w:rsid w:val="007F746D"/>
    <w:rsid w:val="007F770C"/>
    <w:rsid w:val="00801385"/>
    <w:rsid w:val="008018D1"/>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2D82"/>
    <w:rsid w:val="008232C0"/>
    <w:rsid w:val="00823822"/>
    <w:rsid w:val="00825D6B"/>
    <w:rsid w:val="0083024B"/>
    <w:rsid w:val="00830C08"/>
    <w:rsid w:val="00830FC9"/>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2FE3"/>
    <w:rsid w:val="008637BE"/>
    <w:rsid w:val="008646B2"/>
    <w:rsid w:val="0086475C"/>
    <w:rsid w:val="00867328"/>
    <w:rsid w:val="00867C31"/>
    <w:rsid w:val="00870140"/>
    <w:rsid w:val="00870A51"/>
    <w:rsid w:val="00872076"/>
    <w:rsid w:val="00872D80"/>
    <w:rsid w:val="0087307E"/>
    <w:rsid w:val="0087384F"/>
    <w:rsid w:val="00873A0F"/>
    <w:rsid w:val="008740C8"/>
    <w:rsid w:val="008745A1"/>
    <w:rsid w:val="008746AF"/>
    <w:rsid w:val="0087523D"/>
    <w:rsid w:val="00875CA5"/>
    <w:rsid w:val="00877A01"/>
    <w:rsid w:val="0088032D"/>
    <w:rsid w:val="00882A29"/>
    <w:rsid w:val="00882B51"/>
    <w:rsid w:val="00882D76"/>
    <w:rsid w:val="00883039"/>
    <w:rsid w:val="008837AC"/>
    <w:rsid w:val="00884104"/>
    <w:rsid w:val="008844E4"/>
    <w:rsid w:val="00884CBE"/>
    <w:rsid w:val="00885809"/>
    <w:rsid w:val="008871F7"/>
    <w:rsid w:val="008903F8"/>
    <w:rsid w:val="00890E27"/>
    <w:rsid w:val="008926FD"/>
    <w:rsid w:val="008929F8"/>
    <w:rsid w:val="00893919"/>
    <w:rsid w:val="00895708"/>
    <w:rsid w:val="0089671C"/>
    <w:rsid w:val="00896A9C"/>
    <w:rsid w:val="00896F7D"/>
    <w:rsid w:val="00897522"/>
    <w:rsid w:val="008A036F"/>
    <w:rsid w:val="008A1173"/>
    <w:rsid w:val="008A13A2"/>
    <w:rsid w:val="008A1CB3"/>
    <w:rsid w:val="008A1D50"/>
    <w:rsid w:val="008A4638"/>
    <w:rsid w:val="008A46F0"/>
    <w:rsid w:val="008A492B"/>
    <w:rsid w:val="008A59EF"/>
    <w:rsid w:val="008A5DF1"/>
    <w:rsid w:val="008B2736"/>
    <w:rsid w:val="008B304E"/>
    <w:rsid w:val="008B41BB"/>
    <w:rsid w:val="008B5922"/>
    <w:rsid w:val="008B70EB"/>
    <w:rsid w:val="008B7E39"/>
    <w:rsid w:val="008C13E2"/>
    <w:rsid w:val="008C3B45"/>
    <w:rsid w:val="008C513D"/>
    <w:rsid w:val="008C5DD9"/>
    <w:rsid w:val="008C691D"/>
    <w:rsid w:val="008C69C2"/>
    <w:rsid w:val="008C7E7C"/>
    <w:rsid w:val="008D143A"/>
    <w:rsid w:val="008D18CA"/>
    <w:rsid w:val="008D1976"/>
    <w:rsid w:val="008D1E8A"/>
    <w:rsid w:val="008D2A52"/>
    <w:rsid w:val="008D2E30"/>
    <w:rsid w:val="008D30AD"/>
    <w:rsid w:val="008D52F5"/>
    <w:rsid w:val="008D5516"/>
    <w:rsid w:val="008D6FCA"/>
    <w:rsid w:val="008E2637"/>
    <w:rsid w:val="008E29C1"/>
    <w:rsid w:val="008E2D43"/>
    <w:rsid w:val="008E3637"/>
    <w:rsid w:val="008E4D3D"/>
    <w:rsid w:val="008E6ABC"/>
    <w:rsid w:val="008E7A33"/>
    <w:rsid w:val="008F03BA"/>
    <w:rsid w:val="008F11F0"/>
    <w:rsid w:val="008F1E7B"/>
    <w:rsid w:val="008F29BC"/>
    <w:rsid w:val="008F3006"/>
    <w:rsid w:val="008F3532"/>
    <w:rsid w:val="008F6139"/>
    <w:rsid w:val="008F66CB"/>
    <w:rsid w:val="008F7C89"/>
    <w:rsid w:val="00900B89"/>
    <w:rsid w:val="00900F97"/>
    <w:rsid w:val="00901015"/>
    <w:rsid w:val="00901138"/>
    <w:rsid w:val="0090178B"/>
    <w:rsid w:val="009022DA"/>
    <w:rsid w:val="00902310"/>
    <w:rsid w:val="00903355"/>
    <w:rsid w:val="009037B3"/>
    <w:rsid w:val="00903FCA"/>
    <w:rsid w:val="00904C29"/>
    <w:rsid w:val="00904E19"/>
    <w:rsid w:val="00905F05"/>
    <w:rsid w:val="009065EC"/>
    <w:rsid w:val="00910138"/>
    <w:rsid w:val="0091166C"/>
    <w:rsid w:val="0091221A"/>
    <w:rsid w:val="009122C0"/>
    <w:rsid w:val="009128A4"/>
    <w:rsid w:val="0091462D"/>
    <w:rsid w:val="00914A03"/>
    <w:rsid w:val="00916338"/>
    <w:rsid w:val="009169B1"/>
    <w:rsid w:val="0091716E"/>
    <w:rsid w:val="00921AE7"/>
    <w:rsid w:val="0092395F"/>
    <w:rsid w:val="00923F07"/>
    <w:rsid w:val="009253B1"/>
    <w:rsid w:val="0092719C"/>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43A"/>
    <w:rsid w:val="00981A67"/>
    <w:rsid w:val="00982537"/>
    <w:rsid w:val="009835A3"/>
    <w:rsid w:val="0098360E"/>
    <w:rsid w:val="0098401F"/>
    <w:rsid w:val="00985731"/>
    <w:rsid w:val="00985F4D"/>
    <w:rsid w:val="0098659B"/>
    <w:rsid w:val="00986AD6"/>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3C62"/>
    <w:rsid w:val="009A46F4"/>
    <w:rsid w:val="009A5FBA"/>
    <w:rsid w:val="009A6135"/>
    <w:rsid w:val="009A7355"/>
    <w:rsid w:val="009A77F0"/>
    <w:rsid w:val="009A7A4D"/>
    <w:rsid w:val="009A7B0D"/>
    <w:rsid w:val="009A7D1C"/>
    <w:rsid w:val="009B05A4"/>
    <w:rsid w:val="009B0BD9"/>
    <w:rsid w:val="009B2CE3"/>
    <w:rsid w:val="009B53D8"/>
    <w:rsid w:val="009B614F"/>
    <w:rsid w:val="009C1EDC"/>
    <w:rsid w:val="009C2834"/>
    <w:rsid w:val="009C371A"/>
    <w:rsid w:val="009C4762"/>
    <w:rsid w:val="009C4B20"/>
    <w:rsid w:val="009C7436"/>
    <w:rsid w:val="009D12E0"/>
    <w:rsid w:val="009E0049"/>
    <w:rsid w:val="009E0299"/>
    <w:rsid w:val="009E0E3A"/>
    <w:rsid w:val="009E27A2"/>
    <w:rsid w:val="009E2980"/>
    <w:rsid w:val="009E3605"/>
    <w:rsid w:val="009E36E7"/>
    <w:rsid w:val="009E3DC6"/>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0CF"/>
    <w:rsid w:val="00A25AA8"/>
    <w:rsid w:val="00A26951"/>
    <w:rsid w:val="00A26A19"/>
    <w:rsid w:val="00A27367"/>
    <w:rsid w:val="00A27633"/>
    <w:rsid w:val="00A27965"/>
    <w:rsid w:val="00A279C5"/>
    <w:rsid w:val="00A30DB2"/>
    <w:rsid w:val="00A3100B"/>
    <w:rsid w:val="00A311A1"/>
    <w:rsid w:val="00A334CE"/>
    <w:rsid w:val="00A349DB"/>
    <w:rsid w:val="00A3547E"/>
    <w:rsid w:val="00A35D14"/>
    <w:rsid w:val="00A360E1"/>
    <w:rsid w:val="00A36164"/>
    <w:rsid w:val="00A37F4C"/>
    <w:rsid w:val="00A40113"/>
    <w:rsid w:val="00A402F8"/>
    <w:rsid w:val="00A4045A"/>
    <w:rsid w:val="00A439D0"/>
    <w:rsid w:val="00A464A6"/>
    <w:rsid w:val="00A472B6"/>
    <w:rsid w:val="00A47F72"/>
    <w:rsid w:val="00A501A7"/>
    <w:rsid w:val="00A52357"/>
    <w:rsid w:val="00A548E9"/>
    <w:rsid w:val="00A54A0E"/>
    <w:rsid w:val="00A54C47"/>
    <w:rsid w:val="00A5561A"/>
    <w:rsid w:val="00A575FB"/>
    <w:rsid w:val="00A57C38"/>
    <w:rsid w:val="00A57ED2"/>
    <w:rsid w:val="00A60373"/>
    <w:rsid w:val="00A61916"/>
    <w:rsid w:val="00A620D4"/>
    <w:rsid w:val="00A630BA"/>
    <w:rsid w:val="00A65B0A"/>
    <w:rsid w:val="00A6670E"/>
    <w:rsid w:val="00A705F3"/>
    <w:rsid w:val="00A70DD6"/>
    <w:rsid w:val="00A72B34"/>
    <w:rsid w:val="00A73468"/>
    <w:rsid w:val="00A734B5"/>
    <w:rsid w:val="00A73782"/>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15B"/>
    <w:rsid w:val="00AA582D"/>
    <w:rsid w:val="00AA5997"/>
    <w:rsid w:val="00AA5A61"/>
    <w:rsid w:val="00AA64C3"/>
    <w:rsid w:val="00AB0258"/>
    <w:rsid w:val="00AB0A7B"/>
    <w:rsid w:val="00AB3C80"/>
    <w:rsid w:val="00AB3DE5"/>
    <w:rsid w:val="00AB5335"/>
    <w:rsid w:val="00AB7302"/>
    <w:rsid w:val="00AC0A9C"/>
    <w:rsid w:val="00AC0AF6"/>
    <w:rsid w:val="00AC0F3B"/>
    <w:rsid w:val="00AC3DA0"/>
    <w:rsid w:val="00AC4269"/>
    <w:rsid w:val="00AC5DCB"/>
    <w:rsid w:val="00AC648B"/>
    <w:rsid w:val="00AC6A2A"/>
    <w:rsid w:val="00AC6AA6"/>
    <w:rsid w:val="00AD17BB"/>
    <w:rsid w:val="00AD2391"/>
    <w:rsid w:val="00AD3A6F"/>
    <w:rsid w:val="00AD52F3"/>
    <w:rsid w:val="00AE05B8"/>
    <w:rsid w:val="00AE0640"/>
    <w:rsid w:val="00AE10CD"/>
    <w:rsid w:val="00AE1B02"/>
    <w:rsid w:val="00AE2207"/>
    <w:rsid w:val="00AE30F3"/>
    <w:rsid w:val="00AE567E"/>
    <w:rsid w:val="00AE6387"/>
    <w:rsid w:val="00AE6430"/>
    <w:rsid w:val="00AE6EA9"/>
    <w:rsid w:val="00AF3F04"/>
    <w:rsid w:val="00AF6503"/>
    <w:rsid w:val="00AF6AD4"/>
    <w:rsid w:val="00B00AB3"/>
    <w:rsid w:val="00B00F6E"/>
    <w:rsid w:val="00B030B3"/>
    <w:rsid w:val="00B037CB"/>
    <w:rsid w:val="00B04026"/>
    <w:rsid w:val="00B04AC4"/>
    <w:rsid w:val="00B062EB"/>
    <w:rsid w:val="00B11286"/>
    <w:rsid w:val="00B112AA"/>
    <w:rsid w:val="00B11983"/>
    <w:rsid w:val="00B11D50"/>
    <w:rsid w:val="00B14481"/>
    <w:rsid w:val="00B144F1"/>
    <w:rsid w:val="00B1459C"/>
    <w:rsid w:val="00B1543B"/>
    <w:rsid w:val="00B15934"/>
    <w:rsid w:val="00B159E0"/>
    <w:rsid w:val="00B168B6"/>
    <w:rsid w:val="00B1724A"/>
    <w:rsid w:val="00B203D1"/>
    <w:rsid w:val="00B21143"/>
    <w:rsid w:val="00B212F4"/>
    <w:rsid w:val="00B21547"/>
    <w:rsid w:val="00B225EC"/>
    <w:rsid w:val="00B22B29"/>
    <w:rsid w:val="00B239BA"/>
    <w:rsid w:val="00B24261"/>
    <w:rsid w:val="00B27817"/>
    <w:rsid w:val="00B30672"/>
    <w:rsid w:val="00B31ADA"/>
    <w:rsid w:val="00B32FD2"/>
    <w:rsid w:val="00B356AC"/>
    <w:rsid w:val="00B35DAE"/>
    <w:rsid w:val="00B36345"/>
    <w:rsid w:val="00B36D86"/>
    <w:rsid w:val="00B37438"/>
    <w:rsid w:val="00B378D7"/>
    <w:rsid w:val="00B40E28"/>
    <w:rsid w:val="00B41624"/>
    <w:rsid w:val="00B41FE0"/>
    <w:rsid w:val="00B43F8A"/>
    <w:rsid w:val="00B440BC"/>
    <w:rsid w:val="00B44349"/>
    <w:rsid w:val="00B44E81"/>
    <w:rsid w:val="00B450D8"/>
    <w:rsid w:val="00B46076"/>
    <w:rsid w:val="00B46B32"/>
    <w:rsid w:val="00B4724B"/>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15B2"/>
    <w:rsid w:val="00B71AC6"/>
    <w:rsid w:val="00B73113"/>
    <w:rsid w:val="00B745AF"/>
    <w:rsid w:val="00B74FD3"/>
    <w:rsid w:val="00B75F7F"/>
    <w:rsid w:val="00B768A1"/>
    <w:rsid w:val="00B7723A"/>
    <w:rsid w:val="00B772F7"/>
    <w:rsid w:val="00B7751D"/>
    <w:rsid w:val="00B82250"/>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3B88"/>
    <w:rsid w:val="00BA47E0"/>
    <w:rsid w:val="00BA515B"/>
    <w:rsid w:val="00BA5AE0"/>
    <w:rsid w:val="00BA7BA6"/>
    <w:rsid w:val="00BB0835"/>
    <w:rsid w:val="00BB229C"/>
    <w:rsid w:val="00BB6C39"/>
    <w:rsid w:val="00BB7DDB"/>
    <w:rsid w:val="00BC07AA"/>
    <w:rsid w:val="00BC1488"/>
    <w:rsid w:val="00BC2FEF"/>
    <w:rsid w:val="00BC4028"/>
    <w:rsid w:val="00BC6407"/>
    <w:rsid w:val="00BC75E3"/>
    <w:rsid w:val="00BD1560"/>
    <w:rsid w:val="00BD16CB"/>
    <w:rsid w:val="00BD36F1"/>
    <w:rsid w:val="00BD3B1A"/>
    <w:rsid w:val="00BD3CAD"/>
    <w:rsid w:val="00BD755E"/>
    <w:rsid w:val="00BE0BCB"/>
    <w:rsid w:val="00BE1F92"/>
    <w:rsid w:val="00BE2A1D"/>
    <w:rsid w:val="00BE2C91"/>
    <w:rsid w:val="00BE2F82"/>
    <w:rsid w:val="00BE34CD"/>
    <w:rsid w:val="00BE3A68"/>
    <w:rsid w:val="00BE3D7F"/>
    <w:rsid w:val="00BE6614"/>
    <w:rsid w:val="00BF00D2"/>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1B92"/>
    <w:rsid w:val="00C225D7"/>
    <w:rsid w:val="00C23F99"/>
    <w:rsid w:val="00C26054"/>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481"/>
    <w:rsid w:val="00C45AE3"/>
    <w:rsid w:val="00C4751F"/>
    <w:rsid w:val="00C52A45"/>
    <w:rsid w:val="00C53411"/>
    <w:rsid w:val="00C534C0"/>
    <w:rsid w:val="00C53B80"/>
    <w:rsid w:val="00C545FA"/>
    <w:rsid w:val="00C550AE"/>
    <w:rsid w:val="00C56134"/>
    <w:rsid w:val="00C57D41"/>
    <w:rsid w:val="00C61DF9"/>
    <w:rsid w:val="00C62787"/>
    <w:rsid w:val="00C62C60"/>
    <w:rsid w:val="00C65333"/>
    <w:rsid w:val="00C65584"/>
    <w:rsid w:val="00C70FFB"/>
    <w:rsid w:val="00C716FD"/>
    <w:rsid w:val="00C747FE"/>
    <w:rsid w:val="00C776B7"/>
    <w:rsid w:val="00C80665"/>
    <w:rsid w:val="00C81039"/>
    <w:rsid w:val="00C826A5"/>
    <w:rsid w:val="00C83165"/>
    <w:rsid w:val="00C8410B"/>
    <w:rsid w:val="00C846F6"/>
    <w:rsid w:val="00C84AA6"/>
    <w:rsid w:val="00C863B4"/>
    <w:rsid w:val="00C86986"/>
    <w:rsid w:val="00C87461"/>
    <w:rsid w:val="00C87F83"/>
    <w:rsid w:val="00C922E6"/>
    <w:rsid w:val="00C9315F"/>
    <w:rsid w:val="00C945F5"/>
    <w:rsid w:val="00C94BCA"/>
    <w:rsid w:val="00C94F00"/>
    <w:rsid w:val="00C96D58"/>
    <w:rsid w:val="00C97203"/>
    <w:rsid w:val="00C97AC3"/>
    <w:rsid w:val="00CA03C2"/>
    <w:rsid w:val="00CA09DA"/>
    <w:rsid w:val="00CA20A1"/>
    <w:rsid w:val="00CA437B"/>
    <w:rsid w:val="00CA49F9"/>
    <w:rsid w:val="00CA5FE7"/>
    <w:rsid w:val="00CA61AA"/>
    <w:rsid w:val="00CA6EA7"/>
    <w:rsid w:val="00CA78D6"/>
    <w:rsid w:val="00CB2515"/>
    <w:rsid w:val="00CB2C3F"/>
    <w:rsid w:val="00CB46CD"/>
    <w:rsid w:val="00CB5110"/>
    <w:rsid w:val="00CB57A4"/>
    <w:rsid w:val="00CB5FB2"/>
    <w:rsid w:val="00CB6459"/>
    <w:rsid w:val="00CB76CC"/>
    <w:rsid w:val="00CC0392"/>
    <w:rsid w:val="00CC190C"/>
    <w:rsid w:val="00CC1C37"/>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CF7633"/>
    <w:rsid w:val="00D0006F"/>
    <w:rsid w:val="00D00527"/>
    <w:rsid w:val="00D00C0F"/>
    <w:rsid w:val="00D0300D"/>
    <w:rsid w:val="00D042C4"/>
    <w:rsid w:val="00D043B7"/>
    <w:rsid w:val="00D046CD"/>
    <w:rsid w:val="00D04B2B"/>
    <w:rsid w:val="00D04CC3"/>
    <w:rsid w:val="00D05F43"/>
    <w:rsid w:val="00D07CAA"/>
    <w:rsid w:val="00D107DC"/>
    <w:rsid w:val="00D14673"/>
    <w:rsid w:val="00D150CC"/>
    <w:rsid w:val="00D152CC"/>
    <w:rsid w:val="00D16468"/>
    <w:rsid w:val="00D20C97"/>
    <w:rsid w:val="00D21830"/>
    <w:rsid w:val="00D221A5"/>
    <w:rsid w:val="00D2457E"/>
    <w:rsid w:val="00D247FC"/>
    <w:rsid w:val="00D2548F"/>
    <w:rsid w:val="00D27500"/>
    <w:rsid w:val="00D276D7"/>
    <w:rsid w:val="00D27E9E"/>
    <w:rsid w:val="00D27F3B"/>
    <w:rsid w:val="00D309A5"/>
    <w:rsid w:val="00D31A33"/>
    <w:rsid w:val="00D326F8"/>
    <w:rsid w:val="00D32C39"/>
    <w:rsid w:val="00D332F5"/>
    <w:rsid w:val="00D358BB"/>
    <w:rsid w:val="00D36091"/>
    <w:rsid w:val="00D377A0"/>
    <w:rsid w:val="00D37892"/>
    <w:rsid w:val="00D40828"/>
    <w:rsid w:val="00D41D4A"/>
    <w:rsid w:val="00D41FD6"/>
    <w:rsid w:val="00D4205B"/>
    <w:rsid w:val="00D44B3A"/>
    <w:rsid w:val="00D455B1"/>
    <w:rsid w:val="00D4626F"/>
    <w:rsid w:val="00D46D01"/>
    <w:rsid w:val="00D4729F"/>
    <w:rsid w:val="00D47891"/>
    <w:rsid w:val="00D47ACE"/>
    <w:rsid w:val="00D53CEE"/>
    <w:rsid w:val="00D54D59"/>
    <w:rsid w:val="00D55AB8"/>
    <w:rsid w:val="00D56378"/>
    <w:rsid w:val="00D60808"/>
    <w:rsid w:val="00D6090D"/>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63EB"/>
    <w:rsid w:val="00DA72F9"/>
    <w:rsid w:val="00DA779B"/>
    <w:rsid w:val="00DA7C6F"/>
    <w:rsid w:val="00DB07EC"/>
    <w:rsid w:val="00DB0B2B"/>
    <w:rsid w:val="00DB2606"/>
    <w:rsid w:val="00DB2BF6"/>
    <w:rsid w:val="00DB30D4"/>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D7D9A"/>
    <w:rsid w:val="00DE2042"/>
    <w:rsid w:val="00DE25B6"/>
    <w:rsid w:val="00DE32B4"/>
    <w:rsid w:val="00DE34EF"/>
    <w:rsid w:val="00DE370F"/>
    <w:rsid w:val="00DE3881"/>
    <w:rsid w:val="00DE40A4"/>
    <w:rsid w:val="00DE550E"/>
    <w:rsid w:val="00DE5C51"/>
    <w:rsid w:val="00DE7130"/>
    <w:rsid w:val="00DF02A4"/>
    <w:rsid w:val="00DF1BDC"/>
    <w:rsid w:val="00DF1E83"/>
    <w:rsid w:val="00DF1EE9"/>
    <w:rsid w:val="00DF39F0"/>
    <w:rsid w:val="00DF4A84"/>
    <w:rsid w:val="00DF5A00"/>
    <w:rsid w:val="00DF5C1F"/>
    <w:rsid w:val="00DF5FCF"/>
    <w:rsid w:val="00DF6811"/>
    <w:rsid w:val="00DF79D0"/>
    <w:rsid w:val="00E00A56"/>
    <w:rsid w:val="00E0175A"/>
    <w:rsid w:val="00E032CF"/>
    <w:rsid w:val="00E04ECA"/>
    <w:rsid w:val="00E05BF0"/>
    <w:rsid w:val="00E060AF"/>
    <w:rsid w:val="00E06B1B"/>
    <w:rsid w:val="00E06F3B"/>
    <w:rsid w:val="00E072A8"/>
    <w:rsid w:val="00E102D5"/>
    <w:rsid w:val="00E12471"/>
    <w:rsid w:val="00E124F3"/>
    <w:rsid w:val="00E12602"/>
    <w:rsid w:val="00E12A4F"/>
    <w:rsid w:val="00E15747"/>
    <w:rsid w:val="00E1665D"/>
    <w:rsid w:val="00E20489"/>
    <w:rsid w:val="00E206C7"/>
    <w:rsid w:val="00E20807"/>
    <w:rsid w:val="00E20E8F"/>
    <w:rsid w:val="00E218C9"/>
    <w:rsid w:val="00E2283D"/>
    <w:rsid w:val="00E2391A"/>
    <w:rsid w:val="00E24727"/>
    <w:rsid w:val="00E24912"/>
    <w:rsid w:val="00E27123"/>
    <w:rsid w:val="00E27EE9"/>
    <w:rsid w:val="00E31443"/>
    <w:rsid w:val="00E324E7"/>
    <w:rsid w:val="00E3381B"/>
    <w:rsid w:val="00E34663"/>
    <w:rsid w:val="00E3495E"/>
    <w:rsid w:val="00E35BD3"/>
    <w:rsid w:val="00E37BFF"/>
    <w:rsid w:val="00E4113C"/>
    <w:rsid w:val="00E41CE8"/>
    <w:rsid w:val="00E43629"/>
    <w:rsid w:val="00E436DD"/>
    <w:rsid w:val="00E50C97"/>
    <w:rsid w:val="00E5167A"/>
    <w:rsid w:val="00E51731"/>
    <w:rsid w:val="00E51D3E"/>
    <w:rsid w:val="00E52494"/>
    <w:rsid w:val="00E52866"/>
    <w:rsid w:val="00E52F9D"/>
    <w:rsid w:val="00E54053"/>
    <w:rsid w:val="00E554C5"/>
    <w:rsid w:val="00E55F27"/>
    <w:rsid w:val="00E5644C"/>
    <w:rsid w:val="00E6005A"/>
    <w:rsid w:val="00E61810"/>
    <w:rsid w:val="00E62ED0"/>
    <w:rsid w:val="00E63400"/>
    <w:rsid w:val="00E63993"/>
    <w:rsid w:val="00E67600"/>
    <w:rsid w:val="00E67659"/>
    <w:rsid w:val="00E67E4D"/>
    <w:rsid w:val="00E70F68"/>
    <w:rsid w:val="00E71ACC"/>
    <w:rsid w:val="00E73DE5"/>
    <w:rsid w:val="00E76179"/>
    <w:rsid w:val="00E76E2F"/>
    <w:rsid w:val="00E76F50"/>
    <w:rsid w:val="00E800CB"/>
    <w:rsid w:val="00E83176"/>
    <w:rsid w:val="00E833FE"/>
    <w:rsid w:val="00E860A2"/>
    <w:rsid w:val="00E878A0"/>
    <w:rsid w:val="00E9184E"/>
    <w:rsid w:val="00E924CD"/>
    <w:rsid w:val="00E97F50"/>
    <w:rsid w:val="00EA033C"/>
    <w:rsid w:val="00EA37EA"/>
    <w:rsid w:val="00EA3C76"/>
    <w:rsid w:val="00EA45D2"/>
    <w:rsid w:val="00EA482B"/>
    <w:rsid w:val="00EA564B"/>
    <w:rsid w:val="00EA6C5A"/>
    <w:rsid w:val="00EB0126"/>
    <w:rsid w:val="00EB0A00"/>
    <w:rsid w:val="00EB15D2"/>
    <w:rsid w:val="00EB393C"/>
    <w:rsid w:val="00EB44D6"/>
    <w:rsid w:val="00EB48AC"/>
    <w:rsid w:val="00EB4A8D"/>
    <w:rsid w:val="00EB6132"/>
    <w:rsid w:val="00EB6E8B"/>
    <w:rsid w:val="00EC006C"/>
    <w:rsid w:val="00EC0886"/>
    <w:rsid w:val="00EC08CE"/>
    <w:rsid w:val="00EC126F"/>
    <w:rsid w:val="00EC1FA4"/>
    <w:rsid w:val="00EC4CC3"/>
    <w:rsid w:val="00EC6A5F"/>
    <w:rsid w:val="00ED03AB"/>
    <w:rsid w:val="00ED0709"/>
    <w:rsid w:val="00ED0A51"/>
    <w:rsid w:val="00ED26AB"/>
    <w:rsid w:val="00ED4BAB"/>
    <w:rsid w:val="00ED4CCD"/>
    <w:rsid w:val="00ED50B2"/>
    <w:rsid w:val="00ED59DB"/>
    <w:rsid w:val="00ED7000"/>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325"/>
    <w:rsid w:val="00F037BB"/>
    <w:rsid w:val="00F0657B"/>
    <w:rsid w:val="00F068BA"/>
    <w:rsid w:val="00F07835"/>
    <w:rsid w:val="00F100AB"/>
    <w:rsid w:val="00F1153F"/>
    <w:rsid w:val="00F115D4"/>
    <w:rsid w:val="00F151FE"/>
    <w:rsid w:val="00F1556D"/>
    <w:rsid w:val="00F15D79"/>
    <w:rsid w:val="00F1678D"/>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44DE"/>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4FC3"/>
    <w:rsid w:val="00F55C1F"/>
    <w:rsid w:val="00F57B9F"/>
    <w:rsid w:val="00F60031"/>
    <w:rsid w:val="00F625F5"/>
    <w:rsid w:val="00F63AA3"/>
    <w:rsid w:val="00F67554"/>
    <w:rsid w:val="00F74093"/>
    <w:rsid w:val="00F754EF"/>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B96"/>
    <w:rsid w:val="00FA0F23"/>
    <w:rsid w:val="00FA16BC"/>
    <w:rsid w:val="00FA2C38"/>
    <w:rsid w:val="00FA5506"/>
    <w:rsid w:val="00FB0ADC"/>
    <w:rsid w:val="00FB1115"/>
    <w:rsid w:val="00FB1600"/>
    <w:rsid w:val="00FB220D"/>
    <w:rsid w:val="00FB2640"/>
    <w:rsid w:val="00FB3B24"/>
    <w:rsid w:val="00FB3C44"/>
    <w:rsid w:val="00FB4A72"/>
    <w:rsid w:val="00FB4C1B"/>
    <w:rsid w:val="00FB4FE0"/>
    <w:rsid w:val="00FB5BA5"/>
    <w:rsid w:val="00FB65B4"/>
    <w:rsid w:val="00FB70E5"/>
    <w:rsid w:val="00FB749C"/>
    <w:rsid w:val="00FB76D8"/>
    <w:rsid w:val="00FB793A"/>
    <w:rsid w:val="00FB7FFC"/>
    <w:rsid w:val="00FC1174"/>
    <w:rsid w:val="00FC2F24"/>
    <w:rsid w:val="00FC2F51"/>
    <w:rsid w:val="00FC455F"/>
    <w:rsid w:val="00FC50FB"/>
    <w:rsid w:val="00FC53C5"/>
    <w:rsid w:val="00FC58AC"/>
    <w:rsid w:val="00FC715E"/>
    <w:rsid w:val="00FC7559"/>
    <w:rsid w:val="00FC7891"/>
    <w:rsid w:val="00FC7A01"/>
    <w:rsid w:val="00FC7BB5"/>
    <w:rsid w:val="00FD14B6"/>
    <w:rsid w:val="00FD1F22"/>
    <w:rsid w:val="00FD20BC"/>
    <w:rsid w:val="00FD262D"/>
    <w:rsid w:val="00FD2D8D"/>
    <w:rsid w:val="00FD40BF"/>
    <w:rsid w:val="00FD42D5"/>
    <w:rsid w:val="00FD4483"/>
    <w:rsid w:val="00FD44F2"/>
    <w:rsid w:val="00FD65BB"/>
    <w:rsid w:val="00FD6D18"/>
    <w:rsid w:val="00FD6E6D"/>
    <w:rsid w:val="00FD7CC8"/>
    <w:rsid w:val="00FE0733"/>
    <w:rsid w:val="00FE0B12"/>
    <w:rsid w:val="00FE1A73"/>
    <w:rsid w:val="00FE48D9"/>
    <w:rsid w:val="00FE681A"/>
    <w:rsid w:val="00FF13E8"/>
    <w:rsid w:val="00FF1656"/>
    <w:rsid w:val="00FF25D4"/>
    <w:rsid w:val="00FF4D13"/>
    <w:rsid w:val="00FF6A3D"/>
  </w:rsids>
  <w:docVars>
    <w:docVar w:name="Disclosure_Version" w:val="true"/>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D51040F-40AB-40A8-9B17-3F48702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CB"/>
    <w:pPr>
      <w:widowControl w:val="0"/>
      <w:jc w:val="both"/>
    </w:pPr>
  </w:style>
  <w:style w:type="paragraph" w:styleId="Heading1">
    <w:name w:val="heading 1"/>
    <w:basedOn w:val="Normal"/>
    <w:next w:val="Normal"/>
    <w:link w:val="1"/>
    <w:uiPriority w:val="9"/>
    <w:qFormat/>
    <w:rsid w:val="0006758E"/>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753"/>
    <w:pPr>
      <w:ind w:firstLine="420" w:firstLineChars="200"/>
    </w:pPr>
  </w:style>
  <w:style w:type="table" w:styleId="TableGrid">
    <w:name w:val="Table Grid"/>
    <w:basedOn w:val="TableNormal"/>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92395F"/>
    <w:rPr>
      <w:sz w:val="18"/>
      <w:szCs w:val="18"/>
    </w:rPr>
  </w:style>
  <w:style w:type="paragraph" w:styleId="Footer">
    <w:name w:val="footer"/>
    <w:basedOn w:val="Normal"/>
    <w:link w:val="a0"/>
    <w:uiPriority w:val="99"/>
    <w:unhideWhenUsed/>
    <w:rsid w:val="0092395F"/>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92395F"/>
    <w:rPr>
      <w:sz w:val="18"/>
      <w:szCs w:val="18"/>
    </w:rPr>
  </w:style>
  <w:style w:type="paragraph" w:styleId="BalloonText">
    <w:name w:val="Balloon Text"/>
    <w:basedOn w:val="Normal"/>
    <w:link w:val="a1"/>
    <w:uiPriority w:val="99"/>
    <w:semiHidden/>
    <w:unhideWhenUsed/>
    <w:rsid w:val="000676AA"/>
    <w:rPr>
      <w:sz w:val="18"/>
      <w:szCs w:val="18"/>
    </w:rPr>
  </w:style>
  <w:style w:type="character" w:customStyle="1" w:styleId="a1">
    <w:name w:val="批注框文本 字符"/>
    <w:basedOn w:val="DefaultParagraphFont"/>
    <w:link w:val="BalloonText"/>
    <w:uiPriority w:val="99"/>
    <w:semiHidden/>
    <w:rsid w:val="000676AA"/>
    <w:rPr>
      <w:sz w:val="18"/>
      <w:szCs w:val="18"/>
    </w:rPr>
  </w:style>
  <w:style w:type="character" w:styleId="PlaceholderText">
    <w:name w:val="Placeholder Text"/>
    <w:basedOn w:val="DefaultParagraphFont"/>
    <w:uiPriority w:val="99"/>
    <w:semiHidden/>
    <w:rsid w:val="008B7E39"/>
    <w:rPr>
      <w:color w:val="808080"/>
    </w:rPr>
  </w:style>
  <w:style w:type="character" w:styleId="FootnoteReference">
    <w:name w:val="footnote reference"/>
    <w:unhideWhenUsed/>
    <w:qFormat/>
    <w:rsid w:val="00CC22C3"/>
    <w:rPr>
      <w:rFonts w:ascii="Times New Roman" w:eastAsia="宋体" w:hAnsi="Times New Roman" w:cs="Times New Roman"/>
      <w:vertAlign w:val="superscript"/>
    </w:rPr>
  </w:style>
  <w:style w:type="paragraph" w:styleId="FootnoteText">
    <w:name w:val="footnote text"/>
    <w:basedOn w:val="Normal"/>
    <w:link w:val="a2"/>
    <w:unhideWhenUsed/>
    <w:qFormat/>
    <w:rsid w:val="00CC22C3"/>
    <w:pPr>
      <w:snapToGrid w:val="0"/>
      <w:jc w:val="left"/>
    </w:pPr>
    <w:rPr>
      <w:rFonts w:ascii="Calibri" w:eastAsia="宋体" w:hAnsi="Calibri" w:cs="Times New Roman"/>
      <w:sz w:val="18"/>
      <w:szCs w:val="24"/>
    </w:rPr>
  </w:style>
  <w:style w:type="character" w:customStyle="1" w:styleId="a2">
    <w:name w:val="脚注文本 字符"/>
    <w:basedOn w:val="DefaultParagraphFont"/>
    <w:link w:val="FootnoteText"/>
    <w:qFormat/>
    <w:rsid w:val="00CC22C3"/>
    <w:rPr>
      <w:rFonts w:ascii="Calibri" w:eastAsia="宋体" w:hAnsi="Calibri" w:cs="Times New Roman"/>
      <w:sz w:val="18"/>
      <w:szCs w:val="24"/>
    </w:rPr>
  </w:style>
  <w:style w:type="character" w:customStyle="1" w:styleId="1">
    <w:name w:val="标题 1 字符"/>
    <w:basedOn w:val="DefaultParagraphFont"/>
    <w:link w:val="Heading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533C-F539-4F7D-8497-FBAC2615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