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易方达安旭</w:t>
      </w:r>
      <w:r>
        <w:rPr>
          <w:rFonts w:ascii="方正仿宋简体" w:eastAsia="方正仿宋简体" w:hAnsiTheme="minorEastAsia" w:cs="仿宋_GB2312" w:hint="eastAsia"/>
          <w:kern w:val="0"/>
          <w:sz w:val="36"/>
          <w:szCs w:val="36"/>
        </w:rPr>
        <w:t>90</w:t>
      </w:r>
      <w:r>
        <w:rPr>
          <w:rFonts w:ascii="方正仿宋简体" w:eastAsia="方正仿宋简体" w:hAnsiTheme="minorEastAsia" w:cs="仿宋_GB2312" w:hint="eastAsia"/>
          <w:kern w:val="0"/>
          <w:sz w:val="36"/>
          <w:szCs w:val="36"/>
        </w:rPr>
        <w:t>天持有期债券型证券投资基金（易方达安旭</w:t>
      </w:r>
      <w:r>
        <w:rPr>
          <w:rFonts w:ascii="方正仿宋简体" w:eastAsia="方正仿宋简体" w:hAnsiTheme="minorEastAsia" w:cs="仿宋_GB2312" w:hint="eastAsia"/>
          <w:kern w:val="0"/>
          <w:sz w:val="36"/>
          <w:szCs w:val="36"/>
        </w:rPr>
        <w:t>90</w:t>
      </w:r>
      <w:r>
        <w:rPr>
          <w:rFonts w:ascii="方正仿宋简体" w:eastAsia="方正仿宋简体" w:hAnsiTheme="minorEastAsia" w:cs="仿宋_GB2312" w:hint="eastAsia"/>
          <w:kern w:val="0"/>
          <w:sz w:val="36"/>
          <w:szCs w:val="36"/>
        </w:rPr>
        <w:t>天持有债券</w:t>
      </w:r>
      <w:r>
        <w:rPr>
          <w:rFonts w:ascii="方正仿宋简体" w:eastAsia="方正仿宋简体" w:hAnsiTheme="minorEastAsia" w:cs="仿宋_GB2312" w:hint="eastAsia"/>
          <w:kern w:val="0"/>
          <w:sz w:val="36"/>
          <w:szCs w:val="36"/>
        </w:rPr>
        <w:t>C</w:t>
      </w:r>
      <w:r>
        <w:rPr>
          <w:rFonts w:ascii="方正仿宋简体" w:eastAsia="方正仿宋简体" w:hAnsiTheme="minorEastAsia" w:cs="仿宋_GB2312" w:hint="eastAsia"/>
          <w:kern w:val="0"/>
          <w:sz w:val="36"/>
          <w:szCs w:val="36"/>
        </w:rPr>
        <w:t>）基金产品资料概要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w:t>
      </w:r>
      <w:r w:rsidRPr="0086475C">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hint="eastAsia"/>
          <w:iCs/>
          <w:sz w:val="24"/>
          <w:szCs w:val="24"/>
        </w:rPr>
        <w:t>4</w:t>
      </w:r>
      <w:r w:rsidRPr="0086475C">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3</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w:t>
      </w:r>
      <w:r>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iCs/>
          <w:sz w:val="24"/>
          <w:szCs w:val="24"/>
        </w:rPr>
        <w:t>4</w:t>
      </w:r>
      <w:bookmarkStart w:id="0" w:name="_GoBack"/>
      <w:bookmarkEnd w:id="0"/>
      <w:r>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hint="eastAsia"/>
          <w:iCs/>
          <w:sz w:val="24"/>
          <w:szCs w:val="24"/>
        </w:rPr>
        <w:t>7</w:t>
      </w:r>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易方达安旭</w:t>
            </w:r>
            <w:r>
              <w:rPr>
                <w:rFonts w:ascii="方正仿宋简体" w:eastAsia="方正仿宋简体" w:hAnsiTheme="minorEastAsia" w:cs="方正仿宋简体" w:hint="eastAsia"/>
                <w:iCs/>
              </w:rPr>
              <w:t>90</w:t>
            </w:r>
            <w:r>
              <w:rPr>
                <w:rFonts w:ascii="方正仿宋简体" w:eastAsia="方正仿宋简体" w:hAnsiTheme="minorEastAsia" w:cs="方正仿宋简体" w:hint="eastAsia"/>
                <w:iCs/>
              </w:rPr>
              <w:t>天持有债券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023636</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易方达安旭</w:t>
            </w:r>
            <w:r>
              <w:rPr>
                <w:rFonts w:ascii="方正仿宋简体" w:eastAsia="方正仿宋简体" w:hAnsiTheme="minorEastAsia" w:cs="方正仿宋简体"/>
                <w:iCs/>
              </w:rPr>
              <w:t>90</w:t>
            </w:r>
            <w:r>
              <w:rPr>
                <w:rFonts w:ascii="方正仿宋简体" w:eastAsia="方正仿宋简体" w:hAnsiTheme="minorEastAsia" w:cs="方正仿宋简体"/>
                <w:iCs/>
              </w:rPr>
              <w:t>天持有债券</w:t>
            </w:r>
            <w:r>
              <w:rPr>
                <w:rFonts w:ascii="方正仿宋简体" w:eastAsia="方正仿宋简体" w:hAnsiTheme="minorEastAsia" w:cs="方正仿宋简体"/>
                <w:iCs/>
              </w:rPr>
              <w:t>C</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023637</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国信证券股份有限公司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债券型</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每个开放日申购，但对于每份基金份额设定</w:t>
            </w:r>
            <w:r>
              <w:rPr>
                <w:rFonts w:ascii="方正仿宋简体" w:eastAsia="方正仿宋简体" w:hAnsiTheme="minorEastAsia" w:cs="方正仿宋简体" w:hint="eastAsia"/>
                <w:iCs/>
              </w:rPr>
              <w:t>90</w:t>
            </w:r>
            <w:r>
              <w:rPr>
                <w:rFonts w:ascii="方正仿宋简体" w:eastAsia="方正仿宋简体" w:hAnsiTheme="minorEastAsia" w:cs="方正仿宋简体" w:hint="eastAsia"/>
                <w:iCs/>
              </w:rPr>
              <w:t>天最短持有期限</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刘琬姝</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2012-08-27</w:t>
            </w:r>
          </w:p>
        </w:tc>
      </w:tr>
    </w:tbl>
    <w:p w:rsidR="00AD3A6F" w:rsidRPr="0086475C">
      <w:pPr>
        <w:spacing w:line="280" w:lineRule="exac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rPr>
        <w:t>注：本基金投资于可转换债券（不含分离交易可转债的纯债部分）及可交换债券的比例不高于基金资产的 20%，在通常情况下本基金的预期风险水平高于纯债基金。</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本基金在控制风险和保持较高流动性的前提下，追求基金资产的稳健增值。</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国债期货、信用衍生品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本基金不投资于股票。本基金持有因可转换债券或可交换债券转股所形成的股票，将在其可交易之日起的</w:t>
            </w:r>
            <w:r>
              <w:rPr>
                <w:rFonts w:ascii="方正仿宋简体" w:eastAsia="方正仿宋简体" w:hAnsiTheme="minorEastAsia" w:cs="仿宋_GB2312" w:hint="eastAsia"/>
                <w:kern w:val="0"/>
                <w:szCs w:val="24"/>
              </w:rPr>
              <w:t>10</w:t>
            </w:r>
            <w:r>
              <w:rPr>
                <w:rFonts w:ascii="方正仿宋简体" w:eastAsia="方正仿宋简体" w:hAnsiTheme="minorEastAsia" w:cs="仿宋_GB2312" w:hint="eastAsia"/>
                <w:kern w:val="0"/>
                <w:szCs w:val="24"/>
              </w:rPr>
              <w:t>个交易日内卖出。</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如法律法规或监管机构以后允许基金投资其他品种，本基金</w:t>
            </w:r>
            <w:r>
              <w:rPr>
                <w:rFonts w:ascii="方正仿宋简体" w:eastAsia="方正仿宋简体" w:hAnsiTheme="minorEastAsia" w:cs="仿宋_GB2312" w:hint="eastAsia"/>
                <w:kern w:val="0"/>
                <w:szCs w:val="24"/>
              </w:rPr>
              <w:t>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基金的投资组合比例为：本基金投资于债券资产的比例不低于基金资产的</w:t>
            </w:r>
            <w:r>
              <w:rPr>
                <w:rFonts w:ascii="方正仿宋简体" w:eastAsia="方正仿宋简体" w:hAnsiTheme="minorEastAsia" w:cs="仿宋_GB2312" w:hint="eastAsia"/>
                <w:kern w:val="0"/>
                <w:szCs w:val="24"/>
              </w:rPr>
              <w:t>80%</w:t>
            </w:r>
            <w:r>
              <w:rPr>
                <w:rFonts w:ascii="方正仿宋简体" w:eastAsia="方正仿宋简体" w:hAnsiTheme="minorEastAsia" w:cs="仿宋_GB2312" w:hint="eastAsia"/>
                <w:kern w:val="0"/>
                <w:szCs w:val="24"/>
              </w:rPr>
              <w:t>；投资于可转换债券（不含分离交易可转债的纯债部分）及可交换债券的比例不高于基金资产的</w:t>
            </w:r>
            <w:r>
              <w:rPr>
                <w:rFonts w:ascii="方正仿宋简体" w:eastAsia="方正仿宋简体" w:hAnsiTheme="minorEastAsia" w:cs="仿宋_GB2312" w:hint="eastAsia"/>
                <w:kern w:val="0"/>
                <w:szCs w:val="24"/>
              </w:rPr>
              <w:t>20%</w:t>
            </w:r>
            <w:r>
              <w:rPr>
                <w:rFonts w:ascii="方正仿宋简体" w:eastAsia="方正仿宋简体" w:hAnsiTheme="minorEastAsia" w:cs="仿宋_GB2312" w:hint="eastAsia"/>
                <w:kern w:val="0"/>
                <w:szCs w:val="24"/>
              </w:rPr>
              <w:t>。保持不低于基金资产净值</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％的现金或者到期日在一年以内的政府债券，其中现金不包括结算备付金、存出保证金和应收申购款等。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1</w:t>
            </w:r>
            <w:r>
              <w:rPr>
                <w:rFonts w:ascii="方正仿宋简体" w:eastAsia="方正仿宋简体" w:hAnsiTheme="minorEastAsia" w:cs="仿宋_GB2312" w:hint="eastAsia"/>
                <w:kern w:val="0"/>
                <w:szCs w:val="24"/>
              </w:rPr>
              <w:t>、本基金在债券投资上主要通过久期配置、类属配置、期限结构配置和个券选择四个层次进行投资管理。</w:t>
            </w:r>
            <w:r>
              <w:rPr>
                <w:rFonts w:ascii="方正仿宋简体" w:eastAsia="方正仿宋简体" w:hAnsiTheme="minorEastAsia" w:cs="仿宋_GB2312" w:hint="eastAsia"/>
                <w:kern w:val="0"/>
                <w:szCs w:val="24"/>
              </w:rPr>
              <w:t>2</w:t>
            </w:r>
            <w:r>
              <w:rPr>
                <w:rFonts w:ascii="方正仿宋简体" w:eastAsia="方正仿宋简体" w:hAnsiTheme="minorEastAsia" w:cs="仿宋_GB2312" w:hint="eastAsia"/>
                <w:kern w:val="0"/>
                <w:szCs w:val="24"/>
              </w:rPr>
              <w:t>、本基金管理人将对可转换债券和可交换债券的价值进行评估，选择具有较高投资价值的可转换债券、可交换</w:t>
            </w:r>
            <w:r>
              <w:rPr>
                <w:rFonts w:ascii="方正仿宋简体" w:eastAsia="方正仿宋简体" w:hAnsiTheme="minorEastAsia" w:cs="仿宋_GB2312" w:hint="eastAsia"/>
                <w:kern w:val="0"/>
                <w:szCs w:val="24"/>
              </w:rPr>
              <w:t>债券进行投资。</w:t>
            </w:r>
            <w:r>
              <w:rPr>
                <w:rFonts w:ascii="方正仿宋简体" w:eastAsia="方正仿宋简体" w:hAnsiTheme="minorEastAsia" w:cs="仿宋_GB2312" w:hint="eastAsia"/>
                <w:kern w:val="0"/>
                <w:szCs w:val="24"/>
              </w:rPr>
              <w:t>3</w:t>
            </w:r>
            <w:r>
              <w:rPr>
                <w:rFonts w:ascii="方正仿宋简体" w:eastAsia="方正仿宋简体" w:hAnsiTheme="minorEastAsia" w:cs="仿宋_GB2312" w:hint="eastAsia"/>
                <w:kern w:val="0"/>
                <w:szCs w:val="24"/>
              </w:rPr>
              <w:t>、本基金将对资金面进行综合分析的基础上，比较债券收益率和融资成本，判断利差空间，适当运用杠杆方式来获取主动管理回报。</w:t>
            </w:r>
            <w:r>
              <w:rPr>
                <w:rFonts w:ascii="方正仿宋简体" w:eastAsia="方正仿宋简体" w:hAnsiTheme="minorEastAsia" w:cs="仿宋_GB2312" w:hint="eastAsia"/>
                <w:kern w:val="0"/>
                <w:szCs w:val="24"/>
              </w:rPr>
              <w:t>4</w:t>
            </w:r>
            <w:r>
              <w:rPr>
                <w:rFonts w:ascii="方正仿宋简体" w:eastAsia="方正仿宋简体" w:hAnsiTheme="minorEastAsia" w:cs="仿宋_GB2312" w:hint="eastAsia"/>
                <w:kern w:val="0"/>
                <w:szCs w:val="24"/>
              </w:rPr>
              <w:t>、本基金根据宏观经济指标分析各类资产的预期收益率水平和预期波动率水平，并据此制定和调整资产配置策略。本基金将在法律法规和基金合同允许的范围内，以控制组合波动，谋求基金资产稳健增值为目标确定和调整银行存款、同业存单的投资比例。</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、本基金将根据风险管理的原则，以套期保值为目的，主要选择流动性好、交易活跃的国债期货合约进行交易</w:t>
            </w:r>
            <w:r>
              <w:rPr>
                <w:rFonts w:ascii="方正仿宋简体" w:eastAsia="方正仿宋简体" w:hAnsiTheme="minorEastAsia" w:cs="仿宋_GB2312" w:hint="eastAsia"/>
                <w:kern w:val="0"/>
                <w:szCs w:val="24"/>
              </w:rPr>
              <w:t>,</w:t>
            </w:r>
            <w:r>
              <w:rPr>
                <w:rFonts w:ascii="方正仿宋简体" w:eastAsia="方正仿宋简体" w:hAnsiTheme="minorEastAsia" w:cs="仿宋_GB2312" w:hint="eastAsia"/>
                <w:kern w:val="0"/>
                <w:szCs w:val="24"/>
              </w:rPr>
              <w:t>以对冲投资组合的风险等。</w:t>
            </w:r>
            <w:r>
              <w:rPr>
                <w:rFonts w:ascii="方正仿宋简体" w:eastAsia="方正仿宋简体" w:hAnsiTheme="minorEastAsia" w:cs="仿宋_GB2312" w:hint="eastAsia"/>
                <w:kern w:val="0"/>
                <w:szCs w:val="24"/>
              </w:rPr>
              <w:t>6</w:t>
            </w:r>
            <w:r>
              <w:rPr>
                <w:rFonts w:ascii="方正仿宋简体" w:eastAsia="方正仿宋简体" w:hAnsiTheme="minorEastAsia" w:cs="仿宋_GB2312" w:hint="eastAsia"/>
                <w:kern w:val="0"/>
                <w:szCs w:val="24"/>
              </w:rPr>
              <w:t>、本基金将综合考虑债券的信用</w:t>
            </w:r>
            <w:r>
              <w:rPr>
                <w:rFonts w:ascii="方正仿宋简体" w:eastAsia="方正仿宋简体" w:hAnsiTheme="minorEastAsia" w:cs="仿宋_GB2312" w:hint="eastAsia"/>
                <w:kern w:val="0"/>
                <w:szCs w:val="24"/>
              </w:rPr>
              <w:t>风险、信用衍生品的价格及流动性情况、信用衍生品创设机构的财务状况、偿付能力等因素，审慎开展信用衍生品投资。</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中债综合全价（总值）指数收益率×</w:t>
            </w:r>
            <w:r>
              <w:rPr>
                <w:rFonts w:ascii="方正仿宋简体" w:eastAsia="方正仿宋简体" w:hAnsiTheme="minorEastAsia" w:cs="仿宋_GB2312" w:hint="eastAsia"/>
                <w:kern w:val="0"/>
                <w:szCs w:val="24"/>
              </w:rPr>
              <w:t>90%+</w:t>
            </w:r>
            <w:r>
              <w:rPr>
                <w:rFonts w:ascii="方正仿宋简体" w:eastAsia="方正仿宋简体" w:hAnsiTheme="minorEastAsia" w:cs="仿宋_GB2312" w:hint="eastAsia"/>
                <w:kern w:val="0"/>
                <w:szCs w:val="24"/>
              </w:rPr>
              <w:t>银行活期存款利率（税后）×</w:t>
            </w:r>
            <w:r>
              <w:rPr>
                <w:rFonts w:ascii="方正仿宋简体" w:eastAsia="方正仿宋简体" w:hAnsiTheme="minorEastAsia" w:cs="仿宋_GB2312" w:hint="eastAsia"/>
                <w:kern w:val="0"/>
                <w:szCs w:val="24"/>
              </w:rPr>
              <w:t>10%</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本基金为债券型基金，其长期平均风险和预期收益率理论上低于股票型基金、混合型基金，高于货币市场基金。</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6"/>
        <w:gridCol w:w="1135"/>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w:t>
            </w:r>
            <w:r>
              <w:rPr>
                <w:rFonts w:ascii="方正仿宋简体" w:eastAsia="方正仿宋简体" w:hAnsi="方正仿宋简体" w:cs="方正仿宋简体" w:hint="eastAsia"/>
                <w:b/>
                <w:bCs/>
                <w:iCs/>
                <w:color w:val="000000" w:themeColor="text1"/>
              </w:rPr>
              <w:t>S</w:t>
            </w:r>
            <w:r>
              <w:rPr>
                <w:rFonts w:ascii="方正仿宋简体" w:eastAsia="方正仿宋简体" w:hAnsi="方正仿宋简体" w:cs="方正仿宋简体" w:hint="eastAsia"/>
                <w:b/>
                <w:bCs/>
                <w:iCs/>
                <w:color w:val="000000" w:themeColor="text1"/>
              </w:rPr>
              <w:t>）或金额（</w:t>
            </w:r>
            <w:r>
              <w:rPr>
                <w:rFonts w:ascii="方正仿宋简体" w:eastAsia="方正仿宋简体" w:hAnsi="方正仿宋简体" w:cs="方正仿宋简体" w:hint="eastAsia"/>
                <w:b/>
                <w:bCs/>
                <w:iCs/>
                <w:color w:val="000000" w:themeColor="text1"/>
              </w:rPr>
              <w:t>M</w:t>
            </w:r>
            <w:r>
              <w:rPr>
                <w:rFonts w:ascii="方正仿宋简体" w:eastAsia="方正仿宋简体" w:hAnsi="方正仿宋简体" w:cs="方正仿宋简体" w:hint="eastAsia"/>
                <w:b/>
                <w:bCs/>
                <w:iCs/>
                <w:color w:val="000000" w:themeColor="text1"/>
              </w:rPr>
              <w:t>）</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持有期限（</w:t>
            </w:r>
            <w:r>
              <w:rPr>
                <w:rFonts w:ascii="方正仿宋简体" w:eastAsia="方正仿宋简体" w:hAnsi="方正仿宋简体" w:cs="方正仿宋简体" w:hint="eastAsia"/>
                <w:b/>
                <w:bCs/>
                <w:iCs/>
                <w:color w:val="000000" w:themeColor="text1"/>
              </w:rPr>
              <w:t>N</w:t>
            </w:r>
            <w:r>
              <w:rPr>
                <w:rFonts w:ascii="方正仿宋简体" w:eastAsia="方正仿宋简体" w:hAnsi="方正仿宋简体" w:cs="方正仿宋简体" w:hint="eastAsia"/>
                <w:b/>
                <w:bCs/>
                <w:iCs/>
                <w:color w:val="000000" w:themeColor="text1"/>
              </w:rPr>
              <w:t>）</w:t>
            </w:r>
          </w:p>
        </w:tc>
        <w:tc>
          <w:tcPr>
            <w:tcW w:w="66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w:t>
            </w: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N ≥ 90天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注：1、本基金C类基金份额在投资者认购/申购时不收取认购/申购费用，在持有期间收取销售服务费。</w:t>
      </w:r>
      <w:r>
        <w:rPr>
          <w:rFonts w:ascii="方正仿宋简体" w:eastAsia="方正仿宋简体" w:hAnsi="方正仿宋简体" w:cs="方正仿宋简体" w:hint="eastAsia"/>
          <w:iCs/>
          <w:color w:val="000000" w:themeColor="text1"/>
        </w:rPr>
        <w:br/>
        <w:t>2、本基金对投资者认购或申购的每份基金份额设定90天最短持有期限，基金份额持有人在满足最短持有期限的情况下方可赎回，不收取赎回费用。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w:t>
            </w:r>
            <w:r>
              <w:rPr>
                <w:rFonts w:ascii="方正仿宋简体" w:eastAsia="方正仿宋简体" w:hAnsi="方正仿宋简体" w:cs="方正仿宋简体" w:hint="eastAsia"/>
                <w:bCs/>
                <w:iCs/>
              </w:rPr>
              <w:t xml:space="preserve">0.20%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年费率0.05%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年费率0.20%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详见招募说明书的基金费用与税收章节。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Pr>
          <w:rFonts w:ascii="方正仿宋简体" w:eastAsia="方正仿宋简体" w:hAnsi="方正仿宋简体" w:cs="方正仿宋简体" w:hint="eastAsia"/>
          <w:bCs/>
          <w:iCs/>
        </w:rPr>
        <w:t>注：本基金交易证券、基金等产生的费用和税负，按实际发生额从基金资产扣除。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投资者投资本基金每份基金份额需要持有至少</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天以上且不上市交易，面临在</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天最短持有期内赎回无法确认及无法退出的流动性风险，以及基金净值可能发生较大波动的风险。除了前述本基金对每份基金份额设定</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天最短持有期的特有风险外，投资本基金可能遇到的特有风险包括但不限于：（</w:t>
      </w: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）主要投资于债券，将面临利率风险、信用风险、收益率曲线变动风险、再投资风险、杠杆风险、债券市场整体下跌的风险等特定风险，投资者投资于本基金存在无法获得收益甚至本金亏损的风险；（</w:t>
      </w: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）持有因可转换债券或可交换债券转股所形成的股票而面临的股票市场投资</w:t>
      </w:r>
      <w:r>
        <w:rPr>
          <w:rFonts w:ascii="方正仿宋简体" w:eastAsia="方正仿宋简体" w:hAnsi="方正仿宋简体" w:cs="方正仿宋简体" w:hint="eastAsia"/>
          <w:iCs/>
        </w:rPr>
        <w:t>风险；（</w:t>
      </w: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）投资范围包括国债期货等金融衍生品以及资产支持证券等特殊品种而面临的其他额外风险；（</w:t>
      </w: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投资范围包括信用衍生品，信用衍生品的投资可能面临流动性风险、偿付风险以及价格波动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其他风险等一般风险。本基金的特有风险及一般风险详见招募说明书的“风险揭示</w:t>
      </w:r>
      <w:r>
        <w:rPr>
          <w:rFonts w:ascii="方正仿宋简体" w:eastAsia="方正仿宋简体" w:hAnsi="方正仿宋简体" w:cs="方正仿宋简体" w:hint="eastAsia"/>
          <w:iCs/>
        </w:rPr>
        <w:t>”部分。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t>
      </w:r>
      <w:r>
        <w:rPr>
          <w:rFonts w:ascii="方正仿宋简体" w:eastAsia="方正仿宋简体" w:hAnsi="方正仿宋简体" w:cs="方正仿宋简体" w:hint="eastAsia"/>
          <w:iCs/>
        </w:rPr>
        <w:t>[www.efunds.com.cn][</w:t>
      </w:r>
      <w:r>
        <w:rPr>
          <w:rFonts w:ascii="方正仿宋简体" w:eastAsia="方正仿宋简体" w:hAnsi="方正仿宋简体" w:cs="方正仿宋简体" w:hint="eastAsia"/>
          <w:iCs/>
        </w:rPr>
        <w:t>客服电话</w:t>
      </w:r>
      <w:r>
        <w:rPr>
          <w:rFonts w:ascii="方正仿宋简体" w:eastAsia="方正仿宋简体" w:hAnsi="方正仿宋简体" w:cs="方正仿宋简体" w:hint="eastAsia"/>
          <w:iCs/>
        </w:rPr>
        <w:t>:4008818088]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578C"/>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1AFE"/>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34C"/>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000"/>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2B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90D"/>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02A4"/>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92395F"/>
    <w:rPr>
      <w:sz w:val="18"/>
      <w:szCs w:val="18"/>
    </w:rPr>
  </w:style>
  <w:style w:type="paragraph" w:styleId="Footer">
    <w:name w:val="footer"/>
    <w:basedOn w:val="Normal"/>
    <w:link w:val="a0"/>
    <w:uiPriority w:val="99"/>
    <w:unhideWhenUsed/>
    <w:rsid w:val="0092395F"/>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92395F"/>
    <w:rPr>
      <w:sz w:val="18"/>
      <w:szCs w:val="18"/>
    </w:rPr>
  </w:style>
  <w:style w:type="paragraph" w:styleId="BalloonText">
    <w:name w:val="Balloon Text"/>
    <w:basedOn w:val="Normal"/>
    <w:link w:val="a1"/>
    <w:uiPriority w:val="99"/>
    <w:semiHidden/>
    <w:unhideWhenUsed/>
    <w:rsid w:val="000676AA"/>
    <w:rPr>
      <w:sz w:val="18"/>
      <w:szCs w:val="18"/>
    </w:rPr>
  </w:style>
  <w:style w:type="character" w:customStyle="1" w:styleId="a1">
    <w:name w:val="批注框文本 字符"/>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a2"/>
    <w:unhideWhenUsed/>
    <w:qFormat/>
    <w:rsid w:val="00CC22C3"/>
    <w:pPr>
      <w:snapToGrid w:val="0"/>
      <w:jc w:val="left"/>
    </w:pPr>
    <w:rPr>
      <w:rFonts w:ascii="Calibri" w:eastAsia="宋体" w:hAnsi="Calibri" w:cs="Times New Roman"/>
      <w:sz w:val="18"/>
      <w:szCs w:val="24"/>
    </w:rPr>
  </w:style>
  <w:style w:type="character" w:customStyle="1" w:styleId="a2">
    <w:name w:val="脚注文本 字符"/>
    <w:basedOn w:val="DefaultParagraphFont"/>
    <w:link w:val="FootnoteText"/>
    <w:qFormat/>
    <w:rsid w:val="00CC22C3"/>
    <w:rPr>
      <w:rFonts w:ascii="Calibri" w:eastAsia="宋体" w:hAnsi="Calibri" w:cs="Times New Roman"/>
      <w:sz w:val="18"/>
      <w:szCs w:val="24"/>
    </w:rPr>
  </w:style>
  <w:style w:type="character" w:customStyle="1" w:styleId="1">
    <w:name w:val="标题 1 字符"/>
    <w:basedOn w:val="DefaultParagraphFont"/>
    <w:link w:val="Heading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846A-5F48-4F9F-9C54-9841EE56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