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D3A6F">
      <w:pPr>
        <w:autoSpaceDE w:val="0"/>
        <w:autoSpaceDN w:val="0"/>
        <w:adjustRightInd w:val="0"/>
        <w:jc w:val="center"/>
        <w:rPr>
          <w:rFonts w:ascii="方正仿宋简体" w:eastAsia="方正仿宋简体" w:hAnsiTheme="minorEastAsia" w:cs="仿宋_GB2312"/>
          <w:kern w:val="0"/>
          <w:sz w:val="36"/>
          <w:szCs w:val="36"/>
        </w:rPr>
      </w:pPr>
    </w:p>
    <w:p w:rsidR="00AD3A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易方达高股息量化选股股票型发起式证券投资基金（易方达高股息量化选股股票发起式C）基金产品资料概要</w:t>
      </w:r>
    </w:p>
    <w:p w:rsidR="00AD3A6F" w:rsidP="0086475C">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sidRPr="0086475C">
        <w:rPr>
          <w:rFonts w:ascii="方正仿宋简体" w:eastAsia="方正仿宋简体" w:hAnsi="方正仿宋简体" w:cs="方正仿宋简体" w:hint="eastAsia"/>
          <w:iCs/>
          <w:sz w:val="24"/>
          <w:szCs w:val="24"/>
        </w:rPr>
        <w:t>202</w:t>
      </w:r>
      <w:r>
        <w:rPr>
          <w:rFonts w:ascii="方正仿宋简体" w:eastAsia="方正仿宋简体" w:hAnsi="方正仿宋简体" w:cs="方正仿宋简体"/>
          <w:iCs/>
          <w:sz w:val="24"/>
          <w:szCs w:val="24"/>
        </w:rPr>
        <w:t>5</w:t>
      </w:r>
      <w:r w:rsidRPr="0086475C">
        <w:rPr>
          <w:rFonts w:ascii="方正仿宋简体" w:eastAsia="方正仿宋简体" w:hAnsi="方正仿宋简体" w:cs="方正仿宋简体" w:hint="eastAsia"/>
          <w:iCs/>
          <w:sz w:val="24"/>
          <w:szCs w:val="24"/>
        </w:rPr>
        <w:t>年</w:t>
      </w:r>
      <w:r w:rsidR="003F69E0">
        <w:rPr>
          <w:rFonts w:ascii="方正仿宋简体" w:eastAsia="方正仿宋简体" w:hAnsi="方正仿宋简体" w:cs="方正仿宋简体"/>
          <w:iCs/>
          <w:sz w:val="24"/>
          <w:szCs w:val="24"/>
        </w:rPr>
        <w:t>4</w:t>
      </w:r>
      <w:r w:rsidRPr="0086475C">
        <w:rPr>
          <w:rFonts w:ascii="方正仿宋简体" w:eastAsia="方正仿宋简体" w:hAnsi="方正仿宋简体" w:cs="方正仿宋简体" w:hint="eastAsia"/>
          <w:iCs/>
          <w:sz w:val="24"/>
          <w:szCs w:val="24"/>
        </w:rPr>
        <w:t>月</w:t>
      </w:r>
      <w:r w:rsidR="003F69E0">
        <w:rPr>
          <w:rFonts w:ascii="方正仿宋简体" w:eastAsia="方正仿宋简体" w:hAnsi="方正仿宋简体" w:cs="方正仿宋简体"/>
          <w:iCs/>
          <w:sz w:val="24"/>
          <w:szCs w:val="24"/>
        </w:rPr>
        <w:t>17</w:t>
      </w:r>
      <w:r w:rsidRPr="0086475C">
        <w:rPr>
          <w:rFonts w:ascii="方正仿宋简体" w:eastAsia="方正仿宋简体" w:hAnsi="方正仿宋简体" w:cs="方正仿宋简体" w:hint="eastAsia"/>
          <w:iCs/>
          <w:sz w:val="24"/>
          <w:szCs w:val="24"/>
        </w:rPr>
        <w:t>日</w:t>
      </w:r>
    </w:p>
    <w:p w:rsidR="00AD3A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送出日期：202</w:t>
      </w:r>
      <w:r>
        <w:rPr>
          <w:rFonts w:ascii="方正仿宋简体" w:eastAsia="方正仿宋简体" w:hAnsi="方正仿宋简体" w:cs="方正仿宋简体"/>
          <w:iCs/>
          <w:sz w:val="24"/>
          <w:szCs w:val="24"/>
        </w:rPr>
        <w:t>5</w:t>
      </w:r>
      <w:r>
        <w:rPr>
          <w:rFonts w:ascii="方正仿宋简体" w:eastAsia="方正仿宋简体" w:hAnsi="方正仿宋简体" w:cs="方正仿宋简体" w:hint="eastAsia"/>
          <w:iCs/>
          <w:sz w:val="24"/>
          <w:szCs w:val="24"/>
        </w:rPr>
        <w:t>年</w:t>
      </w:r>
      <w:r w:rsidR="003F69E0">
        <w:rPr>
          <w:rFonts w:ascii="方正仿宋简体" w:eastAsia="方正仿宋简体" w:hAnsi="方正仿宋简体" w:cs="方正仿宋简体"/>
          <w:iCs/>
          <w:sz w:val="24"/>
          <w:szCs w:val="24"/>
        </w:rPr>
        <w:t>4</w:t>
      </w:r>
      <w:r>
        <w:rPr>
          <w:rFonts w:ascii="方正仿宋简体" w:eastAsia="方正仿宋简体" w:hAnsi="方正仿宋简体" w:cs="方正仿宋简体" w:hint="eastAsia"/>
          <w:iCs/>
          <w:sz w:val="24"/>
          <w:szCs w:val="24"/>
        </w:rPr>
        <w:t>月</w:t>
      </w:r>
      <w:r w:rsidR="003F69E0">
        <w:rPr>
          <w:rFonts w:ascii="方正仿宋简体" w:eastAsia="方正仿宋简体" w:hAnsi="方正仿宋简体" w:cs="方正仿宋简体"/>
          <w:iCs/>
          <w:sz w:val="24"/>
          <w:szCs w:val="24"/>
        </w:rPr>
        <w:t>18</w:t>
      </w:r>
      <w:bookmarkStart w:id="0" w:name="_GoBack"/>
      <w:bookmarkEnd w:id="0"/>
      <w:r>
        <w:rPr>
          <w:rFonts w:ascii="方正仿宋简体" w:eastAsia="方正仿宋简体" w:hAnsi="方正仿宋简体" w:cs="方正仿宋简体" w:hint="eastAsia"/>
          <w:iCs/>
          <w:sz w:val="24"/>
          <w:szCs w:val="24"/>
        </w:rPr>
        <w:t>日</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TableGrid"/>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
      <w:tblGrid>
        <w:gridCol w:w="1952"/>
        <w:gridCol w:w="2408"/>
        <w:gridCol w:w="1703"/>
        <w:gridCol w:w="2459"/>
      </w:tblGrid>
      <w:tr w:rsidTr="00584DC5">
        <w:tblPrEx>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易方达高股息量化选股股票发起式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021049</w:t>
            </w:r>
          </w:p>
        </w:tc>
      </w:tr>
      <w:tr w:rsidTr="00B212F4">
        <w:tblPrEx>
          <w:tblW w:w="5000" w:type="pct"/>
          <w:tblLayout w:type="fixed"/>
          <w:tblLook w:val="04A0"/>
        </w:tblPrEx>
        <w:trPr>
          <w:trHeight w:val="150"/>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易方达高股息量化选股股票发起式C</w:t>
            </w:r>
          </w:p>
        </w:tc>
        <w:tc>
          <w:tcPr>
            <w:tcW w:w="999"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021050</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招商银行股份有限公司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Align w:val="center"/>
          </w:tcPr>
          <w:p w:rsidR="00AD3A6F">
            <w:pPr>
              <w:spacing w:line="28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w:t>
            </w:r>
          </w:p>
        </w:tc>
      </w:tr>
      <w:tr w:rsidTr="005F360D">
        <w:tblPrEx>
          <w:tblW w:w="5000" w:type="pct"/>
          <w:tblLayout w:type="fixed"/>
          <w:tblLook w:val="04A0"/>
        </w:tblPrEx>
        <w:trPr>
          <w:trHeight w:val="454"/>
        </w:trPr>
        <w:tc>
          <w:tcPr>
            <w:tcW w:w="1145" w:type="pct"/>
            <w:vMerge w:val="restar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王建军</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p>
        </w:tc>
        <w:tc>
          <w:tcPr>
            <w:tcW w:w="1413" w:type="pct"/>
            <w:vMerge/>
            <w:vAlign w:val="center"/>
          </w:tcPr>
          <w:p w:rsidR="00AD3A6F">
            <w:pPr>
              <w:spacing w:line="280" w:lineRule="exact"/>
              <w:rPr>
                <w:rFonts w:ascii="方正仿宋简体" w:eastAsia="方正仿宋简体" w:hAnsiTheme="minorEastAsia" w:cs="方正仿宋简体"/>
                <w:b/>
                <w:iCs/>
              </w:rPr>
            </w:pP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2007-07-16</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明朗</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p>
        </w:tc>
        <w:tc>
          <w:tcPr>
            <w:tcW w:w="1413" w:type="pct"/>
            <w:vMerge/>
            <w:vAlign w:val="center"/>
          </w:tcPr>
          <w:p w:rsidR="00AD3A6F">
            <w:pPr>
              <w:spacing w:line="280" w:lineRule="exact"/>
              <w:rPr>
                <w:rFonts w:ascii="方正仿宋简体" w:eastAsia="方正仿宋简体" w:hAnsiTheme="minorEastAsia" w:cs="方正仿宋简体"/>
                <w:b/>
                <w:iCs/>
              </w:rPr>
            </w:pP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2015-05-04</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w:t>
            </w:r>
          </w:p>
        </w:tc>
        <w:tc>
          <w:tcPr>
            <w:tcW w:w="3855" w:type="pct"/>
            <w:gridSpan w:val="3"/>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《基金合同》生效之日起三年后的年度对应日，若基金资产净值低于2亿元的，《基金合同》自动终止，不得通过召开基金份额持有人大会的方式延续。</w:t>
            </w:r>
          </w:p>
        </w:tc>
      </w:tr>
    </w:tbl>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AD3A6F">
      <w:pPr>
        <w:pStyle w:val="ListParagraph"/>
        <w:numPr>
          <w:ilvl w:val="0"/>
          <w:numId w:val="2"/>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TableGrid"/>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
      <w:tblGrid>
        <w:gridCol w:w="1952"/>
        <w:gridCol w:w="6570"/>
      </w:tblGrid>
      <w:tr w:rsidTr="004473DA">
        <w:tblPrEx>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本基金在控制风险的前提下，追求超越业绩比较基准的投资回报。</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公开发行的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如法律法规或监管机构以后允许基金投资其他品种，基金管理人在履行适当程序后，本基金可以将其纳入投资范围。</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基金的投资组合比例为：本基金股票资产占基金资产的比例为80%-95%（其中港股通股票不超过股票资产的50%）；本基金非现金基金资产中不低于80%的资产将投资于高股息主题相关股票；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资产配置方面，本基金将综合考虑宏观与微观经济、市场与政策等因素，确定组合中股票、债券、货币市场工具及其他金融工具的比例。股票投资方面，本基金将挖掘高股息主题相关公司的投资机会。本基金界定的高股息主题相关公司是指满足以下所有条件的公司：（1）过去两年中至少有一年派发股息且股息率处于行业前50%。（2）经营状况良好，具有稳定分红能力，红利分配相关政策及执行情况不存在异常。本基金不主动投资于ST及*ST股票。本基金主要采用量化选股策略选择投资价值较高的股票，并结合组合优化策略，在控制风险的前提下，力争实现超越业绩比较基准的投资回报。本基金投资存托凭证的策略依照上述股票投资策略执行。债券投资方面,本基金主要通过类属配置与券种选择两个层次进行债券投资管理。</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中证红利指数收益率×70%+中证港股通高股息投资指数收益率×15%+中债总指数收益率×15%</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本基金为股票型基金，理论上其预期风险与预期收益水平高于混合型基金、债券型基金和货币市场基金。</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tc>
      </w:tr>
    </w:tbl>
    <w:p w:rsidR="00AD3A6F" w:rsidRPr="0086475C">
      <w:pPr>
        <w:spacing w:line="280" w:lineRule="exact"/>
        <w:rPr>
          <w:rFonts w:ascii="方正仿宋简体" w:eastAsia="方正仿宋简体" w:hAnsiTheme="minorEastAsia" w:cs="方正仿宋简体"/>
          <w:iCs/>
          <w:szCs w:val="24"/>
        </w:rPr>
      </w:pPr>
      <w:r>
        <w:rPr>
          <w:rFonts w:ascii="方正仿宋简体" w:eastAsia="方正仿宋简体" w:hAnsiTheme="minorEastAsia" w:cs="方正仿宋简体" w:hint="eastAsia"/>
          <w:iCs/>
          <w:szCs w:val="24"/>
        </w:rPr>
        <w:t>注：投资者可阅读《招募说明书》基金的投资章节了解详细情况。</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rsidR="00AD3A6F">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AD3A6F" w:rsidRPr="00E27EE9" w:rsidP="00E27EE9">
      <w:pPr>
        <w:snapToGrid w:val="0"/>
        <w:jc w:val="left"/>
        <w:rPr>
          <w:rFonts w:ascii="方正仿宋简体" w:eastAsia="方正仿宋简体"/>
          <w:color w:val="000000" w:themeColor="text1"/>
        </w:rPr>
      </w:pPr>
      <w:r w:rsidRPr="003F6076">
        <w:rPr>
          <w:rFonts w:ascii="方正仿宋简体" w:eastAsia="方正仿宋简体"/>
          <w:color w:val="000000" w:themeColor="text1"/>
        </w:rPr>
        <w:t>无</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AD3A6F">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无</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AD3A6F">
      <w:pPr>
        <w:autoSpaceDE w:val="0"/>
        <w:autoSpaceDN w:val="0"/>
        <w:adjustRightInd w:val="0"/>
        <w:spacing w:line="280" w:lineRule="exact"/>
        <w:jc w:val="left"/>
        <w:rPr>
          <w:rFonts w:ascii="方正仿宋简体" w:eastAsia="方正仿宋简体"/>
          <w:color w:val="000000" w:themeColor="text1"/>
        </w:rPr>
      </w:pPr>
      <w:r>
        <w:rPr>
          <w:rFonts w:ascii="方正仿宋简体" w:eastAsia="方正仿宋简体" w:hAnsi="方正仿宋简体" w:cs="方正仿宋简体" w:hint="eastAsia"/>
          <w:iCs/>
          <w:color w:val="000000" w:themeColor="text1"/>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tblPr>
      <w:tblGrid>
        <w:gridCol w:w="1243"/>
        <w:gridCol w:w="3826"/>
        <w:gridCol w:w="1135"/>
        <w:gridCol w:w="2318"/>
      </w:tblGrid>
      <w:tr w:rsidTr="00575F3B">
        <w:tblPrEx>
          <w:tblW w:w="5000"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729"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费用类型</w:t>
            </w:r>
          </w:p>
        </w:tc>
        <w:tc>
          <w:tcPr>
            <w:tcW w:w="2245"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份额（S）或金额（M）</w:t>
            </w:r>
          </w:p>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/持有期限（N）</w:t>
            </w:r>
          </w:p>
        </w:tc>
        <w:tc>
          <w:tcPr>
            <w:tcW w:w="666"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收费方式/费率</w:t>
            </w:r>
          </w:p>
        </w:tc>
        <w:tc>
          <w:tcPr>
            <w:tcW w:w="1360"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备注</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0天 &lt; N ≤ 6天 </w:t>
            </w:r>
          </w:p>
        </w:tc>
        <w:tc>
          <w:tcPr>
            <w:tcW w:w="66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1.50%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7天 ≤ N ≤ 29天 </w:t>
            </w:r>
          </w:p>
        </w:tc>
        <w:tc>
          <w:tcPr>
            <w:tcW w:w="66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0.50%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N ≥ 30天 </w:t>
            </w:r>
          </w:p>
        </w:tc>
        <w:tc>
          <w:tcPr>
            <w:tcW w:w="66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bl>
    <w:p w:rsidR="00AD3A6F">
      <w:pPr>
        <w:autoSpaceDE w:val="0"/>
        <w:autoSpaceDN w:val="0"/>
        <w:adjustRightInd w:val="0"/>
        <w:spacing w:line="280" w:lineRule="exact"/>
        <w:jc w:val="left"/>
        <w:rPr>
          <w:rFonts w:ascii="方正仿宋简体" w:eastAsia="方正仿宋简体" w:hAnsi="方正仿宋简体" w:cs="方正仿宋简体"/>
          <w:iCs/>
          <w:color w:val="000000" w:themeColor="text1"/>
        </w:rPr>
      </w:pPr>
      <w:r>
        <w:rPr>
          <w:rFonts w:ascii="方正仿宋简体" w:eastAsia="方正仿宋简体" w:hAnsi="方正仿宋简体" w:cs="方正仿宋简体" w:hint="eastAsia"/>
          <w:iCs/>
          <w:color w:val="000000" w:themeColor="text1"/>
        </w:rPr>
        <w:t>注：本基金C类基金份额在投资者认购/申购时不收取认购/申购费用，在持有期间收取销售服务费。</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基金运作相关费用</w:t>
      </w:r>
    </w:p>
    <w:p w:rsidR="00AD3A6F">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1" w:type="pct"/>
        <w:tblBorders>
          <w:top w:val="single" w:sz="4" w:space="0" w:color="000000"/>
          <w:bottom w:val="single" w:sz="4" w:space="0" w:color="000000"/>
          <w:insideH w:val="dashSmallGap" w:sz="4" w:space="0" w:color="808080" w:themeColor="background1" w:themeShade="80"/>
        </w:tblBorders>
        <w:tblLook w:val="0000"/>
      </w:tblPr>
      <w:tblGrid>
        <w:gridCol w:w="1477"/>
        <w:gridCol w:w="3527"/>
        <w:gridCol w:w="3520"/>
      </w:tblGrid>
      <w:tr w:rsidTr="000D2645">
        <w:tblPrEx>
          <w:tblW w:w="5001"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2069" w:type="pct"/>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收费方式/年费率或金额</w:t>
            </w:r>
          </w:p>
        </w:tc>
        <w:tc>
          <w:tcPr>
            <w:tcW w:w="2065" w:type="pct"/>
            <w:tcBorders>
              <w:bottom w:val="dashSmallGap" w:sz="4" w:space="0" w:color="808080" w:themeColor="background1" w:themeShade="80"/>
            </w:tcBorders>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收取</w:t>
            </w:r>
            <w:r w:rsidR="00A73782">
              <w:rPr>
                <w:rFonts w:ascii="方正仿宋简体" w:eastAsia="方正仿宋简体" w:hAnsi="方正仿宋简体" w:cs="方正仿宋简体" w:hint="eastAsia"/>
                <w:b/>
                <w:bCs/>
                <w:iCs/>
              </w:rPr>
              <w:t>方</w:t>
            </w:r>
          </w:p>
        </w:tc>
      </w:tr>
      <w:tr w:rsidTr="000D2645">
        <w:tblPrEx>
          <w:tblW w:w="5001" w:type="pct"/>
          <w:tblLook w:val="0000"/>
        </w:tblPrEx>
        <w:trPr>
          <w:trHeight w:val="454"/>
        </w:trPr>
        <w:tc>
          <w:tcPr>
            <w:tcW w:w="866" w:type="pct"/>
            <w:vAlign w:val="center"/>
          </w:tcPr>
          <w:p w:rsidR="000D2645">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2069" w:type="pct"/>
            <w:vAlign w:val="center"/>
          </w:tcPr>
          <w:p w:rsidR="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年费率1.00% </w:t>
            </w:r>
          </w:p>
        </w:tc>
        <w:tc>
          <w:tcPr>
            <w:tcW w:w="2065" w:type="pct"/>
            <w:tcBorders>
              <w:top w:val="dashSmallGap" w:sz="4" w:space="0" w:color="808080" w:themeColor="background1" w:themeShade="80"/>
            </w:tcBorders>
            <w:vAlign w:val="center"/>
          </w:tcPr>
          <w:p w:rsidR="000D2645" w:rsidP="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基金管理人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年费率0.10%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基金托管人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年费率0.40%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销售机构</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详见招募说明书的基金费用与税收章节。  </w:t>
            </w:r>
          </w:p>
        </w:tc>
        <w:tc>
          <w:tcPr>
            <w:tcW w:w="2065" w:type="pct"/>
            <w:vAlign w:val="center"/>
          </w:tcPr>
          <w:p w:rsidR="00AD3A6F">
            <w:pPr>
              <w:spacing w:line="280" w:lineRule="exact"/>
              <w:jc w:val="center"/>
              <w:rPr>
                <w:rFonts w:ascii="方正仿宋简体" w:eastAsia="方正仿宋简体" w:hAnsiTheme="minorEastAsia" w:cs="方正仿宋简体"/>
                <w:bCs/>
                <w:iCs/>
              </w:rPr>
            </w:pPr>
          </w:p>
        </w:tc>
      </w:tr>
    </w:tbl>
    <w:p w:rsidR="00AD3A6F" w:rsidRPr="0086475C">
      <w:pPr>
        <w:autoSpaceDE w:val="0"/>
        <w:autoSpaceDN w:val="0"/>
        <w:adjustRightInd w:val="0"/>
        <w:spacing w:line="28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注：本基金交易证券、基金等产生的费用和税负，按实际发生额从基金资产扣除。</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AD3A6F">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本基金可能遇到的特有风险包括但不限于：（1）股票市场波动风险；（2）本基金主要投资于高股息主题相关股票的风险；（3）采用量化策略进行投资管理可能引致的特定风险（包括数据错误风险、模型风险）；（4）基金分红特殊安排的风险；（5）本基金投资范围包括内地与香港股票市场交易互联互通机制允许买卖的香港证券市场股票而面临的香港股票市场及港股通机制带来的风险；（6）本基金投资范围包括股指期货、国债期货、股票期权等金融衍生品以及科创板股票、北交所股票、存托凭证、资产支持证券等特殊品种而面临的其他额外风险；（7）基金合同终止的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及其他风险等。本基金的特有风险及一般风险详见招募说明书的“风险揭示”部分。</w:t>
      </w:r>
    </w:p>
    <w:p w:rsidR="00AD3A6F">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方正仿宋简体" w:eastAsia="方正仿宋简体" w:hAnsi="方正仿宋简体" w:cs="方正仿宋简体" w:hint="eastAsia"/>
          <w:b/>
          <w:bCs/>
          <w:iCs/>
        </w:rPr>
        <w:t>各方当事人因《基金合同》而产生的或与《基金合同》有关的一切争议应尽量通过协商、调解途径解决，如经友好协商未能解决的最终将通过仲裁方式处理，详见《基金合同》</w:t>
      </w:r>
      <w:r>
        <w:rPr>
          <w:rFonts w:ascii="方正仿宋简体" w:eastAsia="方正仿宋简体" w:hAnsi="方正仿宋简体" w:cs="方正仿宋简体" w:hint="eastAsia"/>
          <w:iCs/>
        </w:rPr>
        <w:t>。</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以下资料详见基金管理人网站[www.efunds.com.cn][客服电话:4008818088]</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1、基金合同、托管协议、招募说明书</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2、定期报告，包括基金季度报告、中期报告和年度报告</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3、基金份额净值</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4、基金销售机构及联系方式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docPartObj>
        <w:docPartGallery w:val="Page Numbers (Bottom of Page)"/>
        <w:docPartUnique/>
      </w:docPartObj>
    </w:sdtPr>
    <w:sdtContent>
      <w:sdt>
        <w:sdtPr>
          <w:id w:val="98381352"/>
          <w:docPartObj>
            <w:docPartGallery w:val="Page Numbers (Top of Page)"/>
            <w:docPartUnique/>
          </w:docPartObj>
        </w:sdtPr>
        <w:sdtContent>
          <w:p w:rsidR="00575F3B" w:rsidP="0025315A">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sdtContent>
      </w:sdt>
    </w:sdtContent>
  </w:sdt>
  <w:p w:rsidR="00575F3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8E6770"/>
    <w:multiLevelType w:val="hybridMultilevel"/>
    <w:tmpl w:val="C2F49F6C"/>
    <w:lvl w:ilvl="0">
      <w:start w:val="1"/>
      <w:numFmt w:val="japaneseCounting"/>
      <w:lvlText w:val="（%1）"/>
      <w:lvlJc w:val="left"/>
      <w:pPr>
        <w:ind w:left="765" w:hanging="76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2">
    <w:nsid w:val="7D0D3582"/>
    <w:multiLevelType w:val="hybridMultilevel"/>
    <w:tmpl w:val="256C1A40"/>
    <w:lvl w:ilvl="0">
      <w:start w:val="1"/>
      <w:numFmt w:val="chineseCountingThousand"/>
      <w:suff w:val="space"/>
      <w:lvlText w:val="(%1)"/>
      <w:lvlJc w:val="left"/>
      <w:pPr>
        <w:ind w:left="284" w:hanging="284"/>
      </w:pPr>
      <w:rPr>
        <w:rFonts w:eastAsia="宋体" w:asciiTheme="minorEastAsia" w:hAnsiTheme="minorEastAsia" w:hint="eastAsia"/>
        <w:b/>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56"/>
    <w:rsid w:val="00002B50"/>
    <w:rsid w:val="00002F33"/>
    <w:rsid w:val="000034E5"/>
    <w:rsid w:val="00003561"/>
    <w:rsid w:val="000035EA"/>
    <w:rsid w:val="00004180"/>
    <w:rsid w:val="00006EAF"/>
    <w:rsid w:val="0000736D"/>
    <w:rsid w:val="0000782B"/>
    <w:rsid w:val="00010B3E"/>
    <w:rsid w:val="00015DD4"/>
    <w:rsid w:val="00016E18"/>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14B"/>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672F"/>
    <w:rsid w:val="000C0D50"/>
    <w:rsid w:val="000C0D79"/>
    <w:rsid w:val="000C3D2A"/>
    <w:rsid w:val="000C3D96"/>
    <w:rsid w:val="000C4A85"/>
    <w:rsid w:val="000C52B6"/>
    <w:rsid w:val="000C63E1"/>
    <w:rsid w:val="000C6C14"/>
    <w:rsid w:val="000D14A1"/>
    <w:rsid w:val="000D1E9F"/>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3D4"/>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4C1"/>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076"/>
    <w:rsid w:val="003F69E0"/>
    <w:rsid w:val="003F6D43"/>
    <w:rsid w:val="003F6EF3"/>
    <w:rsid w:val="00401E99"/>
    <w:rsid w:val="00402B28"/>
    <w:rsid w:val="00403885"/>
    <w:rsid w:val="00407D4D"/>
    <w:rsid w:val="004103D9"/>
    <w:rsid w:val="004106A5"/>
    <w:rsid w:val="00411B1E"/>
    <w:rsid w:val="00411C1F"/>
    <w:rsid w:val="00415142"/>
    <w:rsid w:val="00416169"/>
    <w:rsid w:val="00417B28"/>
    <w:rsid w:val="00420623"/>
    <w:rsid w:val="00421441"/>
    <w:rsid w:val="004225D8"/>
    <w:rsid w:val="004241F4"/>
    <w:rsid w:val="00425E03"/>
    <w:rsid w:val="00425F60"/>
    <w:rsid w:val="00426A9B"/>
    <w:rsid w:val="00430064"/>
    <w:rsid w:val="00430BE8"/>
    <w:rsid w:val="0043184A"/>
    <w:rsid w:val="00432222"/>
    <w:rsid w:val="004324B8"/>
    <w:rsid w:val="00432FEC"/>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B66B0"/>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5F3B"/>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33D6"/>
    <w:rsid w:val="00793EA1"/>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0FC9"/>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475C"/>
    <w:rsid w:val="00867328"/>
    <w:rsid w:val="00867C31"/>
    <w:rsid w:val="00870140"/>
    <w:rsid w:val="00870A51"/>
    <w:rsid w:val="00872076"/>
    <w:rsid w:val="00872D80"/>
    <w:rsid w:val="0087307E"/>
    <w:rsid w:val="0087384F"/>
    <w:rsid w:val="00873A0F"/>
    <w:rsid w:val="008740C8"/>
    <w:rsid w:val="008745A1"/>
    <w:rsid w:val="008746AF"/>
    <w:rsid w:val="0087523D"/>
    <w:rsid w:val="00875CA5"/>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519"/>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6614"/>
    <w:rsid w:val="00BF00D2"/>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5210"/>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40A4"/>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27EE9"/>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44DE"/>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48D9"/>
    <w:rsid w:val="00FE681A"/>
    <w:rsid w:val="00FF13E8"/>
    <w:rsid w:val="00FF1656"/>
    <w:rsid w:val="00FF25D4"/>
    <w:rsid w:val="00FF4D13"/>
    <w:rsid w:val="00FF6A3D"/>
  </w:rsids>
  <w:docVars>
    <w:docVar w:name="Disclosure_Version" w:val="true"/>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D51040F-40AB-40A8-9B17-3F48702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CB"/>
    <w:pPr>
      <w:widowControl w:val="0"/>
      <w:jc w:val="both"/>
    </w:pPr>
  </w:style>
  <w:style w:type="paragraph" w:styleId="Heading1">
    <w:name w:val="heading 1"/>
    <w:basedOn w:val="Normal"/>
    <w:next w:val="Normal"/>
    <w:link w:val="1Char"/>
    <w:uiPriority w:val="9"/>
    <w:qFormat/>
    <w:rsid w:val="0006758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53"/>
    <w:pPr>
      <w:ind w:firstLine="420" w:firstLineChars="200"/>
    </w:pPr>
  </w:style>
  <w:style w:type="table" w:styleId="TableGrid">
    <w:name w:val="Table Grid"/>
    <w:basedOn w:val="TableNormal"/>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92395F"/>
    <w:rPr>
      <w:sz w:val="18"/>
      <w:szCs w:val="18"/>
    </w:rPr>
  </w:style>
  <w:style w:type="paragraph" w:styleId="Footer">
    <w:name w:val="footer"/>
    <w:basedOn w:val="Normal"/>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2395F"/>
    <w:rPr>
      <w:sz w:val="18"/>
      <w:szCs w:val="18"/>
    </w:rPr>
  </w:style>
  <w:style w:type="paragraph" w:styleId="BalloonText">
    <w:name w:val="Balloon Text"/>
    <w:basedOn w:val="Normal"/>
    <w:link w:val="Char1"/>
    <w:uiPriority w:val="99"/>
    <w:semiHidden/>
    <w:unhideWhenUsed/>
    <w:rsid w:val="000676AA"/>
    <w:rPr>
      <w:sz w:val="18"/>
      <w:szCs w:val="18"/>
    </w:rPr>
  </w:style>
  <w:style w:type="character" w:customStyle="1" w:styleId="Char1">
    <w:name w:val="批注框文本 Char"/>
    <w:basedOn w:val="DefaultParagraphFont"/>
    <w:link w:val="BalloonText"/>
    <w:uiPriority w:val="99"/>
    <w:semiHidden/>
    <w:rsid w:val="000676AA"/>
    <w:rPr>
      <w:sz w:val="18"/>
      <w:szCs w:val="18"/>
    </w:rPr>
  </w:style>
  <w:style w:type="character" w:styleId="PlaceholderText">
    <w:name w:val="Placeholder Text"/>
    <w:basedOn w:val="DefaultParagraphFont"/>
    <w:uiPriority w:val="99"/>
    <w:semiHidden/>
    <w:rsid w:val="008B7E39"/>
    <w:rPr>
      <w:color w:val="808080"/>
    </w:rPr>
  </w:style>
  <w:style w:type="character" w:styleId="FootnoteReference">
    <w:name w:val="footnote reference"/>
    <w:unhideWhenUsed/>
    <w:qFormat/>
    <w:rsid w:val="00CC22C3"/>
    <w:rPr>
      <w:rFonts w:ascii="Times New Roman" w:eastAsia="宋体" w:hAnsi="Times New Roman" w:cs="Times New Roman"/>
      <w:vertAlign w:val="superscript"/>
    </w:rPr>
  </w:style>
  <w:style w:type="paragraph" w:styleId="FootnoteText">
    <w:name w:val="footnote text"/>
    <w:basedOn w:val="Normal"/>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DefaultParagraphFont"/>
    <w:link w:val="FootnoteText"/>
    <w:qFormat/>
    <w:rsid w:val="00CC22C3"/>
    <w:rPr>
      <w:rFonts w:ascii="Calibri" w:eastAsia="宋体" w:hAnsi="Calibri" w:cs="Times New Roman"/>
      <w:sz w:val="18"/>
      <w:szCs w:val="24"/>
    </w:rPr>
  </w:style>
  <w:style w:type="character" w:customStyle="1" w:styleId="1Char">
    <w:name w:val="标题 1 Char"/>
    <w:basedOn w:val="DefaultParagraphFont"/>
    <w:link w:val="Heading1"/>
    <w:uiPriority w:val="9"/>
    <w:rsid w:val="0006758E"/>
    <w:rPr>
      <w:b/>
      <w:bCs/>
      <w:kern w:val="44"/>
      <w:sz w:val="44"/>
      <w:szCs w:val="44"/>
    </w:rPr>
  </w:style>
  <w:style w:type="paragraph" w:styleId="Revision">
    <w:name w:val="Revision"/>
    <w:hidden/>
    <w:uiPriority w:val="99"/>
    <w:semiHidden/>
    <w:rsid w:val="009C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5B4B-7AE2-48F1-91E4-0B088D38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