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327" w:rsidRPr="007A7327" w:rsidRDefault="007A7327" w:rsidP="007A7327">
      <w:pPr>
        <w:pStyle w:val="1"/>
        <w:spacing w:line="360" w:lineRule="auto"/>
        <w:ind w:firstLineChars="0" w:firstLine="0"/>
        <w:jc w:val="center"/>
        <w:rPr>
          <w:rFonts w:ascii="微软雅黑" w:eastAsia="微软雅黑" w:hAnsi="微软雅黑"/>
          <w:b/>
          <w:sz w:val="22"/>
        </w:rPr>
      </w:pPr>
      <w:r w:rsidRPr="007A7327">
        <w:rPr>
          <w:rFonts w:ascii="微软雅黑" w:eastAsia="微软雅黑" w:hAnsi="微软雅黑" w:hint="eastAsia"/>
          <w:b/>
          <w:bCs/>
          <w:sz w:val="22"/>
        </w:rPr>
        <w:t>富国均衡配置混合型证券投资基金</w:t>
      </w:r>
      <w:r w:rsidRPr="007A7327">
        <w:rPr>
          <w:rFonts w:ascii="微软雅黑" w:eastAsia="微软雅黑" w:hAnsi="微软雅黑" w:hint="eastAsia"/>
          <w:b/>
          <w:sz w:val="22"/>
        </w:rPr>
        <w:t>风险揭示书</w:t>
      </w:r>
    </w:p>
    <w:p w:rsidR="007A7327" w:rsidRDefault="007A7327" w:rsidP="007A7327">
      <w:pPr>
        <w:widowControl/>
        <w:spacing w:line="0" w:lineRule="atLeast"/>
        <w:jc w:val="left"/>
        <w:rPr>
          <w:rFonts w:ascii="微软雅黑" w:eastAsia="微软雅黑" w:hAnsi="微软雅黑" w:hint="eastAsia"/>
        </w:rPr>
      </w:pPr>
      <w:r>
        <w:rPr>
          <w:rFonts w:ascii="微软雅黑" w:eastAsia="微软雅黑" w:hAnsi="微软雅黑" w:hint="eastAsia"/>
        </w:rPr>
        <w:t>尊敬的投资者：</w:t>
      </w:r>
    </w:p>
    <w:p w:rsidR="007A7327" w:rsidRDefault="007A7327" w:rsidP="007A7327">
      <w:pPr>
        <w:spacing w:line="0" w:lineRule="atLeast"/>
        <w:ind w:firstLineChars="202" w:firstLine="424"/>
        <w:rPr>
          <w:rFonts w:ascii="微软雅黑" w:eastAsia="微软雅黑" w:hAnsi="微软雅黑" w:hint="eastAsia"/>
        </w:rPr>
      </w:pPr>
      <w:r>
        <w:rPr>
          <w:rFonts w:ascii="微软雅黑" w:eastAsia="微软雅黑" w:hAnsi="微软雅黑" w:hint="eastAsia"/>
        </w:rPr>
        <w:t>基金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w:t>
      </w:r>
    </w:p>
    <w:p w:rsidR="007A7327" w:rsidRPr="005F436A" w:rsidRDefault="007A7327" w:rsidP="007A7327">
      <w:pPr>
        <w:widowControl/>
        <w:spacing w:line="0" w:lineRule="atLeast"/>
        <w:ind w:firstLineChars="202" w:firstLine="424"/>
        <w:rPr>
          <w:rFonts w:ascii="微软雅黑" w:eastAsia="微软雅黑" w:hAnsi="微软雅黑" w:hint="eastAsia"/>
        </w:rPr>
      </w:pPr>
      <w:r>
        <w:rPr>
          <w:rFonts w:ascii="微软雅黑" w:eastAsia="微软雅黑" w:hAnsi="微软雅黑" w:hint="eastAsia"/>
        </w:rPr>
        <w:t>您在做出投资决策之前，请仔细阅读基金合同、基金招募说明书和基金产品资料概要等产品法律文件和</w:t>
      </w:r>
      <w:proofErr w:type="gramStart"/>
      <w:r>
        <w:rPr>
          <w:rFonts w:ascii="微软雅黑" w:eastAsia="微软雅黑" w:hAnsi="微软雅黑" w:hint="eastAsia"/>
        </w:rPr>
        <w:t>本风险</w:t>
      </w:r>
      <w:proofErr w:type="gramEnd"/>
      <w:r>
        <w:rPr>
          <w:rFonts w:ascii="微软雅黑" w:eastAsia="微软雅黑" w:hAnsi="微软雅黑" w:hint="eastAsia"/>
        </w:rPr>
        <w:t>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w:t>
      </w:r>
      <w:r w:rsidRPr="005F436A">
        <w:rPr>
          <w:rFonts w:ascii="微软雅黑" w:eastAsia="微软雅黑" w:hAnsi="微软雅黑" w:hint="eastAsia"/>
        </w:rPr>
        <w:t>决策。</w:t>
      </w:r>
    </w:p>
    <w:p w:rsidR="007A7327" w:rsidRPr="005F436A" w:rsidRDefault="007A7327" w:rsidP="007A7327">
      <w:pPr>
        <w:widowControl/>
        <w:spacing w:line="0" w:lineRule="atLeast"/>
        <w:ind w:firstLineChars="202" w:firstLine="424"/>
        <w:rPr>
          <w:rFonts w:ascii="微软雅黑" w:eastAsia="微软雅黑" w:hAnsi="微软雅黑" w:hint="eastAsia"/>
        </w:rPr>
      </w:pPr>
      <w:r w:rsidRPr="005F436A">
        <w:rPr>
          <w:rFonts w:ascii="微软雅黑" w:eastAsia="微软雅黑" w:hAnsi="微软雅黑" w:hint="eastAsia"/>
        </w:rPr>
        <w:t>根据有关法律法规，基金管理人富国基金管理有限公司</w:t>
      </w:r>
      <w:proofErr w:type="gramStart"/>
      <w:r w:rsidRPr="005F436A">
        <w:rPr>
          <w:rFonts w:ascii="微软雅黑" w:eastAsia="微软雅黑" w:hAnsi="微软雅黑" w:hint="eastAsia"/>
        </w:rPr>
        <w:t>作出</w:t>
      </w:r>
      <w:proofErr w:type="gramEnd"/>
      <w:r w:rsidRPr="005F436A">
        <w:rPr>
          <w:rFonts w:ascii="微软雅黑" w:eastAsia="微软雅黑" w:hAnsi="微软雅黑" w:hint="eastAsia"/>
        </w:rPr>
        <w:t>如下风险揭示：</w:t>
      </w:r>
    </w:p>
    <w:p w:rsidR="007A7327" w:rsidRPr="005F436A" w:rsidRDefault="007A7327" w:rsidP="007A7327">
      <w:pPr>
        <w:pStyle w:val="1"/>
        <w:widowControl/>
        <w:numPr>
          <w:ilvl w:val="0"/>
          <w:numId w:val="1"/>
        </w:numPr>
        <w:spacing w:line="0" w:lineRule="atLeast"/>
        <w:ind w:left="0" w:firstLine="420"/>
        <w:rPr>
          <w:rFonts w:ascii="微软雅黑" w:eastAsia="微软雅黑" w:hAnsi="微软雅黑" w:hint="eastAsia"/>
        </w:rPr>
      </w:pPr>
      <w:r w:rsidRPr="005F436A">
        <w:rPr>
          <w:rFonts w:ascii="微软雅黑" w:eastAsia="微软雅黑" w:hAnsi="微软雅黑" w:hint="eastAsia"/>
        </w:rPr>
        <w:t>依据投资对象的不同，基金分为股票基金、混合基金、债券基金、货币市场基金、基金中基金、商品基金等不同类型，</w:t>
      </w:r>
      <w:r w:rsidRPr="005F436A">
        <w:rPr>
          <w:rFonts w:ascii="微软雅黑" w:eastAsia="微软雅黑" w:hAnsi="微软雅黑" w:cs="Arial" w:hint="eastAsia"/>
          <w:kern w:val="0"/>
        </w:rPr>
        <w:t>投资者</w:t>
      </w:r>
      <w:r w:rsidRPr="005F436A">
        <w:rPr>
          <w:rFonts w:ascii="微软雅黑" w:eastAsia="微软雅黑" w:hAnsi="微软雅黑" w:hint="eastAsia"/>
        </w:rPr>
        <w:t>投资不同类型的基金将获得不同的收益预期，也将承担不同程度的风险。一般来说，基金的收益预期越高，</w:t>
      </w:r>
      <w:proofErr w:type="gramStart"/>
      <w:r w:rsidRPr="005F436A">
        <w:rPr>
          <w:rFonts w:ascii="微软雅黑" w:eastAsia="微软雅黑" w:hAnsi="微软雅黑" w:hint="eastAsia"/>
        </w:rPr>
        <w:t>您承担</w:t>
      </w:r>
      <w:proofErr w:type="gramEnd"/>
      <w:r w:rsidRPr="005F436A">
        <w:rPr>
          <w:rFonts w:ascii="微软雅黑" w:eastAsia="微软雅黑" w:hAnsi="微软雅黑" w:hint="eastAsia"/>
        </w:rPr>
        <w:t>的风险也越大。</w:t>
      </w:r>
      <w:r w:rsidRPr="005F436A">
        <w:rPr>
          <w:rFonts w:ascii="微软雅黑" w:eastAsia="微软雅黑" w:hAnsi="微软雅黑" w:hint="eastAsia"/>
          <w:b/>
          <w:bCs/>
        </w:rPr>
        <w:t>本基金为混合型基金，其预期收益及预期风险水平高于债券型基金和货币市场基金，低于股票型基金。</w:t>
      </w:r>
    </w:p>
    <w:p w:rsidR="007A7327" w:rsidRPr="005F436A" w:rsidRDefault="007A7327" w:rsidP="007A7327">
      <w:pPr>
        <w:pStyle w:val="1"/>
        <w:widowControl/>
        <w:numPr>
          <w:ilvl w:val="0"/>
          <w:numId w:val="1"/>
        </w:numPr>
        <w:spacing w:line="0" w:lineRule="atLeast"/>
        <w:ind w:left="0" w:firstLine="420"/>
        <w:rPr>
          <w:rFonts w:ascii="微软雅黑" w:eastAsia="微软雅黑" w:hAnsi="微软雅黑" w:hint="eastAsia"/>
        </w:rPr>
      </w:pPr>
      <w:r w:rsidRPr="005F436A">
        <w:rPr>
          <w:rFonts w:ascii="微软雅黑" w:eastAsia="微软雅黑" w:hAnsi="微软雅黑" w:hint="eastAsia"/>
        </w:rPr>
        <w:t>基金在投资运作过程中可能面临各种风险，既包括市场风险，也包括基金自身的管理风险、技术风险和合</w:t>
      </w:r>
      <w:proofErr w:type="gramStart"/>
      <w:r w:rsidRPr="005F436A">
        <w:rPr>
          <w:rFonts w:ascii="微软雅黑" w:eastAsia="微软雅黑" w:hAnsi="微软雅黑" w:hint="eastAsia"/>
        </w:rPr>
        <w:t>规</w:t>
      </w:r>
      <w:proofErr w:type="gramEnd"/>
      <w:r w:rsidRPr="005F436A">
        <w:rPr>
          <w:rFonts w:ascii="微软雅黑" w:eastAsia="微软雅黑" w:hAnsi="微软雅黑" w:hint="eastAsia"/>
        </w:rPr>
        <w:t>风险等。</w:t>
      </w:r>
      <w:r w:rsidRPr="005F436A">
        <w:rPr>
          <w:rFonts w:ascii="微软雅黑" w:eastAsia="微软雅黑" w:hAnsi="微软雅黑" w:hint="eastAsia"/>
          <w:b/>
          <w:bCs/>
        </w:rPr>
        <w:t>巨额赎回风险是开放式基金所特有的一种风险，即当单个开放日基金的净赎回申请超过基金总份额的百分之十时，您将可能无法及时赎回申请的全部基金份额，或您赎回的款项可能延缓支付。</w:t>
      </w:r>
    </w:p>
    <w:p w:rsidR="007A7327" w:rsidRPr="005F436A" w:rsidRDefault="007A7327" w:rsidP="007A7327">
      <w:pPr>
        <w:pStyle w:val="1"/>
        <w:widowControl/>
        <w:numPr>
          <w:ilvl w:val="0"/>
          <w:numId w:val="1"/>
        </w:numPr>
        <w:spacing w:line="0" w:lineRule="atLeast"/>
        <w:ind w:left="0" w:firstLine="420"/>
        <w:rPr>
          <w:rFonts w:ascii="微软雅黑" w:eastAsia="微软雅黑" w:hAnsi="微软雅黑" w:hint="eastAsia"/>
        </w:rPr>
      </w:pPr>
      <w:r w:rsidRPr="005F436A">
        <w:rPr>
          <w:rFonts w:ascii="微软雅黑" w:eastAsia="微软雅黑" w:hAnsi="微软雅黑" w:hint="eastAsia"/>
        </w:rPr>
        <w:t>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7A7327" w:rsidRPr="005F436A" w:rsidRDefault="007A7327" w:rsidP="007A7327">
      <w:pPr>
        <w:pStyle w:val="1"/>
        <w:widowControl/>
        <w:numPr>
          <w:ilvl w:val="0"/>
          <w:numId w:val="1"/>
        </w:numPr>
        <w:spacing w:line="0" w:lineRule="atLeast"/>
        <w:ind w:left="0" w:firstLine="420"/>
        <w:rPr>
          <w:rFonts w:ascii="微软雅黑" w:eastAsia="微软雅黑" w:hAnsi="微软雅黑" w:hint="eastAsia"/>
        </w:rPr>
      </w:pPr>
      <w:r w:rsidRPr="005F436A">
        <w:rPr>
          <w:rFonts w:ascii="微软雅黑" w:eastAsia="微软雅黑" w:hAnsi="微软雅黑" w:hint="eastAsia"/>
        </w:rPr>
        <w:t>本基金的募集初始面值为1元，</w:t>
      </w:r>
      <w:r w:rsidRPr="005F436A">
        <w:rPr>
          <w:rFonts w:ascii="微软雅黑" w:eastAsia="微软雅黑" w:hAnsi="微软雅黑" w:hint="eastAsia"/>
          <w:b/>
          <w:bCs/>
        </w:rPr>
        <w:t>在市场波动等因素的影响下，本基金净值可能低于初始面值，本基金投资者有可能出现亏损。</w:t>
      </w:r>
    </w:p>
    <w:p w:rsidR="007A7327" w:rsidRPr="005F436A" w:rsidRDefault="007A7327" w:rsidP="007A7327">
      <w:pPr>
        <w:numPr>
          <w:ilvl w:val="0"/>
          <w:numId w:val="1"/>
        </w:numPr>
        <w:spacing w:line="0" w:lineRule="atLeast"/>
        <w:ind w:left="0" w:firstLineChars="200" w:firstLine="420"/>
        <w:rPr>
          <w:rFonts w:ascii="微软雅黑" w:eastAsia="微软雅黑" w:hAnsi="微软雅黑" w:hint="eastAsia"/>
        </w:rPr>
      </w:pPr>
      <w:r w:rsidRPr="005F436A">
        <w:rPr>
          <w:rFonts w:ascii="微软雅黑" w:eastAsia="微软雅黑" w:hAnsi="微软雅黑" w:hint="eastAsia"/>
          <w:b/>
          <w:bCs/>
        </w:rPr>
        <w:t>特殊风险揭示</w:t>
      </w:r>
    </w:p>
    <w:p w:rsidR="007A7327" w:rsidRPr="005F436A" w:rsidRDefault="007A7327" w:rsidP="007A7327">
      <w:pPr>
        <w:widowControl/>
        <w:numPr>
          <w:ilvl w:val="0"/>
          <w:numId w:val="2"/>
        </w:numPr>
        <w:spacing w:line="0" w:lineRule="atLeast"/>
        <w:ind w:left="5" w:firstLine="415"/>
        <w:rPr>
          <w:rFonts w:ascii="微软雅黑" w:eastAsia="微软雅黑" w:hAnsi="微软雅黑" w:cs="Arial" w:hint="eastAsia"/>
          <w:b/>
          <w:bCs/>
          <w:kern w:val="0"/>
        </w:rPr>
      </w:pPr>
      <w:r w:rsidRPr="005F436A">
        <w:rPr>
          <w:rFonts w:ascii="微软雅黑" w:eastAsia="微软雅黑" w:hAnsi="微软雅黑" w:cs="Arial" w:hint="eastAsia"/>
          <w:b/>
          <w:bCs/>
          <w:kern w:val="0"/>
        </w:rPr>
        <w:t>本基金如投资港股通标的股票，将承担港股</w:t>
      </w:r>
      <w:proofErr w:type="gramStart"/>
      <w:r w:rsidRPr="005F436A">
        <w:rPr>
          <w:rFonts w:ascii="微软雅黑" w:eastAsia="微软雅黑" w:hAnsi="微软雅黑" w:cs="Arial" w:hint="eastAsia"/>
          <w:b/>
          <w:bCs/>
          <w:kern w:val="0"/>
        </w:rPr>
        <w:t>通机制</w:t>
      </w:r>
      <w:proofErr w:type="gramEnd"/>
      <w:r w:rsidRPr="005F436A">
        <w:rPr>
          <w:rFonts w:ascii="微软雅黑" w:eastAsia="微软雅黑" w:hAnsi="微软雅黑" w:cs="Arial" w:hint="eastAsia"/>
          <w:b/>
          <w:bCs/>
          <w:kern w:val="0"/>
        </w:rPr>
        <w:t>下因投资环境、投资标的、市场制度以及交易规则等差异带来的特有风险。本基金可根据投资策略需要或不同配置地市场环境的变化，选择将部分基金资产投资于港股或选择不将基金资产投资于港股，基金资产并非必然投资港股。</w:t>
      </w:r>
    </w:p>
    <w:p w:rsidR="007A7327" w:rsidRPr="005F436A" w:rsidRDefault="007A7327" w:rsidP="007A7327">
      <w:pPr>
        <w:widowControl/>
        <w:numPr>
          <w:ilvl w:val="0"/>
          <w:numId w:val="2"/>
        </w:numPr>
        <w:spacing w:line="0" w:lineRule="atLeast"/>
        <w:ind w:left="5" w:firstLine="415"/>
        <w:rPr>
          <w:rFonts w:ascii="微软雅黑" w:eastAsia="微软雅黑" w:hAnsi="微软雅黑" w:cs="Arial" w:hint="eastAsia"/>
          <w:b/>
          <w:bCs/>
          <w:kern w:val="0"/>
        </w:rPr>
      </w:pPr>
      <w:r w:rsidRPr="005F436A">
        <w:rPr>
          <w:rFonts w:ascii="微软雅黑" w:eastAsia="微软雅黑" w:hAnsi="微软雅黑" w:cs="Arial" w:hint="eastAsia"/>
          <w:b/>
          <w:bCs/>
          <w:kern w:val="0"/>
        </w:rPr>
        <w:t>本基金如投资</w:t>
      </w:r>
      <w:proofErr w:type="gramStart"/>
      <w:r w:rsidRPr="005F436A">
        <w:rPr>
          <w:rFonts w:ascii="微软雅黑" w:eastAsia="微软雅黑" w:hAnsi="微软雅黑" w:cs="Arial" w:hint="eastAsia"/>
          <w:b/>
          <w:bCs/>
          <w:kern w:val="0"/>
        </w:rPr>
        <w:t>科创板</w:t>
      </w:r>
      <w:proofErr w:type="gramEnd"/>
      <w:r w:rsidRPr="005F436A">
        <w:rPr>
          <w:rFonts w:ascii="微软雅黑" w:eastAsia="微软雅黑" w:hAnsi="微软雅黑" w:cs="Arial" w:hint="eastAsia"/>
          <w:b/>
          <w:bCs/>
          <w:kern w:val="0"/>
        </w:rPr>
        <w:t>股票，将</w:t>
      </w:r>
      <w:proofErr w:type="gramStart"/>
      <w:r w:rsidRPr="005F436A">
        <w:rPr>
          <w:rFonts w:ascii="微软雅黑" w:eastAsia="微软雅黑" w:hAnsi="微软雅黑" w:cs="Arial" w:hint="eastAsia"/>
          <w:b/>
          <w:bCs/>
          <w:kern w:val="0"/>
        </w:rPr>
        <w:t>面临科创板机制</w:t>
      </w:r>
      <w:proofErr w:type="gramEnd"/>
      <w:r w:rsidRPr="005F436A">
        <w:rPr>
          <w:rFonts w:ascii="微软雅黑" w:eastAsia="微软雅黑" w:hAnsi="微软雅黑" w:cs="Arial" w:hint="eastAsia"/>
          <w:b/>
          <w:bCs/>
          <w:kern w:val="0"/>
        </w:rPr>
        <w:t>下因投资标的、市场制度以及交易规则等差异带来的特有风险，基金并非必然投资</w:t>
      </w:r>
      <w:proofErr w:type="gramStart"/>
      <w:r w:rsidRPr="005F436A">
        <w:rPr>
          <w:rFonts w:ascii="微软雅黑" w:eastAsia="微软雅黑" w:hAnsi="微软雅黑" w:cs="Arial" w:hint="eastAsia"/>
          <w:b/>
          <w:bCs/>
          <w:kern w:val="0"/>
        </w:rPr>
        <w:t>科创板</w:t>
      </w:r>
      <w:proofErr w:type="gramEnd"/>
      <w:r w:rsidRPr="005F436A">
        <w:rPr>
          <w:rFonts w:ascii="微软雅黑" w:eastAsia="微软雅黑" w:hAnsi="微软雅黑" w:cs="Arial" w:hint="eastAsia"/>
          <w:b/>
          <w:bCs/>
          <w:kern w:val="0"/>
        </w:rPr>
        <w:t>股票。</w:t>
      </w:r>
    </w:p>
    <w:p w:rsidR="007A7327" w:rsidRPr="005F436A" w:rsidRDefault="007A7327" w:rsidP="007A7327">
      <w:pPr>
        <w:widowControl/>
        <w:numPr>
          <w:ilvl w:val="0"/>
          <w:numId w:val="2"/>
        </w:numPr>
        <w:spacing w:line="0" w:lineRule="atLeast"/>
        <w:ind w:left="5" w:firstLine="415"/>
        <w:rPr>
          <w:rFonts w:ascii="微软雅黑" w:eastAsia="微软雅黑" w:hAnsi="微软雅黑" w:cs="Arial" w:hint="eastAsia"/>
          <w:kern w:val="0"/>
        </w:rPr>
      </w:pPr>
      <w:r w:rsidRPr="005F436A">
        <w:rPr>
          <w:rFonts w:ascii="微软雅黑" w:eastAsia="微软雅黑" w:hAnsi="微软雅黑" w:cs="Arial" w:hint="eastAsia"/>
          <w:kern w:val="0"/>
        </w:rPr>
        <w:t>本基金如投资存托凭证，在承担境内上市交易股票投资的共同风险外，还将承担与存托凭证、创新企业发行、境外发行人以及交易机制相关的特有风险。</w:t>
      </w:r>
    </w:p>
    <w:p w:rsidR="007A7327" w:rsidRPr="005F436A" w:rsidRDefault="007A7327" w:rsidP="007A7327">
      <w:pPr>
        <w:widowControl/>
        <w:numPr>
          <w:ilvl w:val="0"/>
          <w:numId w:val="2"/>
        </w:numPr>
        <w:spacing w:line="0" w:lineRule="atLeast"/>
        <w:ind w:left="5" w:firstLine="415"/>
        <w:rPr>
          <w:rFonts w:ascii="微软雅黑" w:eastAsia="微软雅黑" w:hAnsi="微软雅黑" w:cs="Arial" w:hint="eastAsia"/>
          <w:kern w:val="0"/>
        </w:rPr>
      </w:pPr>
      <w:r w:rsidRPr="005F436A">
        <w:rPr>
          <w:rFonts w:ascii="微软雅黑" w:eastAsia="微软雅黑" w:hAnsi="微软雅黑" w:cs="Arial" w:hint="eastAsia"/>
          <w:kern w:val="0"/>
        </w:rPr>
        <w:t>本基金如投资</w:t>
      </w:r>
      <w:r w:rsidRPr="005F436A">
        <w:rPr>
          <w:rFonts w:ascii="微软雅黑" w:eastAsia="微软雅黑" w:hAnsi="微软雅黑" w:cs="Arial" w:hint="eastAsia"/>
          <w:b/>
          <w:bCs/>
          <w:kern w:val="0"/>
        </w:rPr>
        <w:t>股指期货、国债期货、股票期权、资产支持证券、信用衍生品</w:t>
      </w:r>
      <w:r w:rsidRPr="005F436A">
        <w:rPr>
          <w:rFonts w:ascii="微软雅黑" w:eastAsia="微软雅黑" w:hAnsi="微软雅黑" w:cs="Arial" w:hint="eastAsia"/>
          <w:kern w:val="0"/>
        </w:rPr>
        <w:t>等品种，将面临相关投资品种的特有风险。</w:t>
      </w:r>
    </w:p>
    <w:p w:rsidR="007A7327" w:rsidRPr="005F436A" w:rsidRDefault="007A7327" w:rsidP="007A7327">
      <w:pPr>
        <w:pStyle w:val="a0"/>
        <w:numPr>
          <w:ilvl w:val="0"/>
          <w:numId w:val="2"/>
        </w:numPr>
        <w:ind w:left="0" w:firstLine="426"/>
        <w:rPr>
          <w:rFonts w:hint="eastAsia"/>
          <w:b/>
          <w:sz w:val="21"/>
          <w:szCs w:val="21"/>
        </w:rPr>
      </w:pPr>
      <w:r w:rsidRPr="005F436A">
        <w:rPr>
          <w:rFonts w:ascii="微软雅黑" w:eastAsia="微软雅黑" w:hAnsi="微软雅黑" w:cs="Arial" w:hint="eastAsia"/>
          <w:b/>
          <w:kern w:val="0"/>
          <w:sz w:val="21"/>
          <w:szCs w:val="21"/>
        </w:rPr>
        <w:t>本基金采用浮动管理费模式，投资者在认/申购本基金时无法预先确定本基金的整</w:t>
      </w:r>
      <w:r w:rsidRPr="005F436A">
        <w:rPr>
          <w:rFonts w:ascii="微软雅黑" w:eastAsia="微软雅黑" w:hAnsi="微软雅黑" w:cs="Arial" w:hint="eastAsia"/>
          <w:b/>
          <w:kern w:val="0"/>
          <w:sz w:val="21"/>
          <w:szCs w:val="21"/>
        </w:rPr>
        <w:lastRenderedPageBreak/>
        <w:t>体管理费水平。</w:t>
      </w:r>
    </w:p>
    <w:p w:rsidR="005F436A" w:rsidRPr="005F436A" w:rsidRDefault="005F436A" w:rsidP="007A7327">
      <w:pPr>
        <w:numPr>
          <w:ilvl w:val="0"/>
          <w:numId w:val="1"/>
        </w:numPr>
        <w:spacing w:line="0" w:lineRule="atLeast"/>
        <w:ind w:left="0" w:firstLineChars="200" w:firstLine="420"/>
        <w:rPr>
          <w:rFonts w:ascii="微软雅黑" w:eastAsia="微软雅黑" w:hAnsi="微软雅黑"/>
          <w:b/>
        </w:rPr>
      </w:pPr>
      <w:r w:rsidRPr="005F436A">
        <w:rPr>
          <w:rFonts w:ascii="微软雅黑" w:eastAsia="微软雅黑" w:hAnsi="微软雅黑" w:hint="eastAsia"/>
        </w:rPr>
        <w:t>投</w:t>
      </w:r>
      <w:r w:rsidRPr="005F436A">
        <w:rPr>
          <w:rFonts w:ascii="微软雅黑" w:eastAsia="微软雅黑" w:hAnsi="微软雅黑" w:hint="eastAsia"/>
        </w:rPr>
        <w:t>资人应当认真阅读《基金合同》、《招募说明书》等基金法律文件，了解基金的风险收益特征，并根据自身的投资目的、投资期限、投资经验、资产状况</w:t>
      </w:r>
      <w:proofErr w:type="gramStart"/>
      <w:r w:rsidRPr="005F436A">
        <w:rPr>
          <w:rFonts w:ascii="微软雅黑" w:eastAsia="微软雅黑" w:hAnsi="微软雅黑" w:hint="eastAsia"/>
        </w:rPr>
        <w:t>等判断</w:t>
      </w:r>
      <w:proofErr w:type="gramEnd"/>
      <w:r w:rsidRPr="005F436A">
        <w:rPr>
          <w:rFonts w:ascii="微软雅黑" w:eastAsia="微软雅黑" w:hAnsi="微软雅黑" w:hint="eastAsia"/>
        </w:rPr>
        <w:t>基金是否和投资人的风险承受能力相适应。</w:t>
      </w:r>
    </w:p>
    <w:p w:rsidR="007A7327" w:rsidRPr="005F436A" w:rsidRDefault="007A7327" w:rsidP="007A7327">
      <w:pPr>
        <w:numPr>
          <w:ilvl w:val="0"/>
          <w:numId w:val="1"/>
        </w:numPr>
        <w:spacing w:line="0" w:lineRule="atLeast"/>
        <w:ind w:left="0" w:firstLineChars="200" w:firstLine="420"/>
        <w:rPr>
          <w:rFonts w:ascii="微软雅黑" w:eastAsia="微软雅黑" w:hAnsi="微软雅黑"/>
          <w:b/>
        </w:rPr>
      </w:pPr>
      <w:r w:rsidRPr="005F436A">
        <w:rPr>
          <w:rFonts w:ascii="微软雅黑" w:eastAsia="微软雅黑" w:hAnsi="微软雅黑" w:hint="eastAsia"/>
          <w:b/>
        </w:rPr>
        <w:t>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基金管理人提醒</w:t>
      </w:r>
      <w:proofErr w:type="gramStart"/>
      <w:r w:rsidRPr="005F436A">
        <w:rPr>
          <w:rFonts w:ascii="微软雅黑" w:eastAsia="微软雅黑" w:hAnsi="微软雅黑" w:hint="eastAsia"/>
          <w:b/>
        </w:rPr>
        <w:t>您基金</w:t>
      </w:r>
      <w:proofErr w:type="gramEnd"/>
      <w:r w:rsidRPr="005F436A">
        <w:rPr>
          <w:rFonts w:ascii="微软雅黑" w:eastAsia="微软雅黑" w:hAnsi="微软雅黑" w:hint="eastAsia"/>
          <w:b/>
        </w:rPr>
        <w:t>投资的“买者自负”原则，在做出投资决策后，基金运营状况与基金净值变化引致的投资风险，由您自行负担。基金管理人、基金托管人、基金销售机构及相关机构不对基金投资收益做出任何承诺或保证。</w:t>
      </w:r>
    </w:p>
    <w:p w:rsidR="007A7327" w:rsidRPr="001E1952" w:rsidRDefault="007A7327" w:rsidP="007A7327">
      <w:pPr>
        <w:numPr>
          <w:ilvl w:val="0"/>
          <w:numId w:val="1"/>
        </w:numPr>
        <w:spacing w:line="0" w:lineRule="atLeast"/>
        <w:ind w:left="0" w:firstLineChars="200" w:firstLine="420"/>
        <w:rPr>
          <w:rFonts w:ascii="微软雅黑" w:eastAsia="微软雅黑" w:hAnsi="微软雅黑" w:hint="eastAsia"/>
        </w:rPr>
      </w:pPr>
      <w:r w:rsidRPr="005F436A">
        <w:rPr>
          <w:rFonts w:ascii="微软雅黑" w:eastAsia="微软雅黑" w:hAnsi="微软雅黑" w:hint="eastAsia"/>
          <w:b/>
          <w:bCs/>
        </w:rPr>
        <w:t>富国均衡配置混合型证券投资基金</w:t>
      </w:r>
      <w:r w:rsidR="001E1952" w:rsidRPr="001E1952">
        <w:rPr>
          <w:rFonts w:ascii="微软雅黑" w:eastAsia="微软雅黑" w:hAnsi="微软雅黑" w:hint="eastAsia"/>
          <w:szCs w:val="18"/>
        </w:rPr>
        <w:t>（以下简称“本基金”），由富国基金管理有限公司（以下简称“基金管理人”）依照有关法律法规及约定发起，</w:t>
      </w:r>
      <w:r w:rsidR="001E1952" w:rsidRPr="001E1952">
        <w:rPr>
          <w:rFonts w:ascii="微软雅黑" w:eastAsia="微软雅黑" w:hAnsi="微软雅黑" w:hint="eastAsia"/>
        </w:rPr>
        <w:t>并已获得中国证券监督管理委员会准予注册的批复。</w:t>
      </w:r>
      <w:r w:rsidR="001E1952" w:rsidRPr="001E1952">
        <w:rPr>
          <w:rFonts w:ascii="微软雅黑" w:eastAsia="微软雅黑" w:hAnsi="微软雅黑" w:hint="eastAsia"/>
          <w:b/>
        </w:rPr>
        <w:t>中国证监会对本基金募集申请的注册，并不表明其对本基金的投资价值和市场前景等做出实质性判断或保证，也不表明投资于本基金没有风险。</w:t>
      </w:r>
      <w:r w:rsidR="001E1952" w:rsidRPr="001E1952">
        <w:rPr>
          <w:rFonts w:ascii="微软雅黑" w:eastAsia="微软雅黑" w:hAnsi="微软雅黑" w:hint="eastAsia"/>
        </w:rPr>
        <w:t>本基金的《基金合同》和《招募说明书》已通过中国证监会基金电子披露网站（http://eid.csrc.gov.cn/fund）和基金管理人的官方网站（www.fullgoa</w:t>
      </w:r>
      <w:bookmarkStart w:id="0" w:name="_GoBack"/>
      <w:bookmarkEnd w:id="0"/>
      <w:r w:rsidR="001E1952" w:rsidRPr="001E1952">
        <w:rPr>
          <w:rFonts w:ascii="微软雅黑" w:eastAsia="微软雅黑" w:hAnsi="微软雅黑" w:hint="eastAsia"/>
        </w:rPr>
        <w:t>l.com.cn）进行了公开披露</w:t>
      </w:r>
      <w:r w:rsidR="001E1952" w:rsidRPr="001E1952">
        <w:rPr>
          <w:rFonts w:ascii="微软雅黑" w:eastAsia="微软雅黑" w:hAnsi="微软雅黑"/>
        </w:rPr>
        <w:t>。</w:t>
      </w:r>
    </w:p>
    <w:p w:rsidR="005F436A" w:rsidRPr="005F436A" w:rsidRDefault="005F436A" w:rsidP="007A7327">
      <w:pPr>
        <w:numPr>
          <w:ilvl w:val="0"/>
          <w:numId w:val="1"/>
        </w:numPr>
        <w:spacing w:line="0" w:lineRule="atLeast"/>
        <w:ind w:left="0" w:firstLineChars="200" w:firstLine="420"/>
        <w:rPr>
          <w:rFonts w:ascii="微软雅黑" w:eastAsia="微软雅黑" w:hAnsi="微软雅黑"/>
        </w:rPr>
      </w:pPr>
      <w:r w:rsidRPr="005F436A">
        <w:rPr>
          <w:rFonts w:ascii="微软雅黑" w:eastAsia="微软雅黑" w:hAnsi="微软雅黑" w:hint="eastAsia"/>
        </w:rPr>
        <w:t>投</w:t>
      </w:r>
      <w:r w:rsidRPr="005F436A">
        <w:rPr>
          <w:rFonts w:ascii="微软雅黑" w:eastAsia="微软雅黑" w:hAnsi="微软雅黑" w:hint="eastAsia"/>
        </w:rPr>
        <w:t>资人应当在基金管理人及其指定发售代理机构办理基金发售业务的营业场所，或者按基金管理人或发售代理机构提供的方式办理基金份额的认购。基金管理人、发售代理机构办理基金认购业务的具体情况和联系方法，详见基金《招募说明书》以及基金份额发售公告。</w:t>
      </w:r>
    </w:p>
    <w:p w:rsidR="007A7327" w:rsidRPr="005F436A" w:rsidRDefault="005F436A" w:rsidP="007A7327">
      <w:pPr>
        <w:numPr>
          <w:ilvl w:val="0"/>
          <w:numId w:val="1"/>
        </w:numPr>
        <w:spacing w:line="0" w:lineRule="atLeast"/>
        <w:ind w:left="0" w:firstLineChars="200" w:firstLine="420"/>
        <w:rPr>
          <w:rFonts w:ascii="微软雅黑" w:eastAsia="微软雅黑" w:hAnsi="微软雅黑" w:hint="eastAsia"/>
        </w:rPr>
      </w:pPr>
      <w:r w:rsidRPr="005F436A">
        <w:rPr>
          <w:rFonts w:ascii="微软雅黑" w:eastAsia="微软雅黑" w:hAnsi="微软雅黑" w:hint="eastAsia"/>
        </w:rPr>
        <w:t>销</w:t>
      </w:r>
      <w:r w:rsidRPr="005F436A">
        <w:rPr>
          <w:rFonts w:ascii="微软雅黑" w:eastAsia="微软雅黑" w:hAnsi="微软雅黑" w:hint="eastAsia"/>
        </w:rPr>
        <w:t>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基金管理</w:t>
      </w:r>
      <w:proofErr w:type="gramStart"/>
      <w:r w:rsidRPr="005F436A">
        <w:rPr>
          <w:rFonts w:ascii="微软雅黑" w:eastAsia="微软雅黑" w:hAnsi="微软雅黑" w:hint="eastAsia"/>
        </w:rPr>
        <w:t>人端本基金</w:t>
      </w:r>
      <w:proofErr w:type="gramEnd"/>
      <w:r w:rsidRPr="005F436A">
        <w:rPr>
          <w:rFonts w:ascii="微软雅黑" w:eastAsia="微软雅黑" w:hAnsi="微软雅黑" w:hint="eastAsia"/>
        </w:rPr>
        <w:t>为</w:t>
      </w:r>
      <w:r w:rsidRPr="005F436A">
        <w:rPr>
          <w:rFonts w:ascii="微软雅黑" w:eastAsia="微软雅黑" w:hAnsi="微软雅黑"/>
        </w:rPr>
        <w:t>R3</w:t>
      </w:r>
      <w:r w:rsidRPr="005F436A">
        <w:rPr>
          <w:rFonts w:ascii="微软雅黑" w:eastAsia="微软雅黑" w:hAnsi="微软雅黑" w:hint="eastAsia"/>
        </w:rPr>
        <w:t>风险等级，匹配</w:t>
      </w:r>
      <w:r w:rsidRPr="005F436A">
        <w:rPr>
          <w:rFonts w:ascii="微软雅黑" w:eastAsia="微软雅黑" w:hAnsi="微软雅黑"/>
        </w:rPr>
        <w:t>C3</w:t>
      </w:r>
      <w:r w:rsidRPr="005F436A">
        <w:rPr>
          <w:rFonts w:ascii="微软雅黑" w:eastAsia="微软雅黑" w:hAnsi="微软雅黑" w:hint="eastAsia"/>
        </w:rPr>
        <w:t>及以上风险等级的投资者。建议投资者详</w:t>
      </w:r>
      <w:proofErr w:type="gramStart"/>
      <w:r w:rsidRPr="005F436A">
        <w:rPr>
          <w:rFonts w:ascii="微软雅黑" w:eastAsia="微软雅黑" w:hAnsi="微软雅黑" w:hint="eastAsia"/>
        </w:rPr>
        <w:t>阅基金</w:t>
      </w:r>
      <w:proofErr w:type="gramEnd"/>
      <w:r w:rsidRPr="005F436A">
        <w:rPr>
          <w:rFonts w:ascii="微软雅黑" w:eastAsia="微软雅黑" w:hAnsi="微软雅黑" w:hint="eastAsia"/>
        </w:rPr>
        <w:t>合同等文件，根据自身的风险承受能力审慎</w:t>
      </w:r>
      <w:proofErr w:type="gramStart"/>
      <w:r w:rsidRPr="005F436A">
        <w:rPr>
          <w:rFonts w:ascii="微软雅黑" w:eastAsia="微软雅黑" w:hAnsi="微软雅黑" w:hint="eastAsia"/>
        </w:rPr>
        <w:t>作出</w:t>
      </w:r>
      <w:proofErr w:type="gramEnd"/>
      <w:r w:rsidRPr="005F436A">
        <w:rPr>
          <w:rFonts w:ascii="微软雅黑" w:eastAsia="微软雅黑" w:hAnsi="微软雅黑" w:hint="eastAsia"/>
        </w:rPr>
        <w:t>投资决</w:t>
      </w:r>
      <w:r w:rsidRPr="005F436A">
        <w:rPr>
          <w:rFonts w:ascii="微软雅黑" w:eastAsia="微软雅黑" w:hAnsi="微软雅黑" w:hint="eastAsia"/>
          <w:bCs/>
        </w:rPr>
        <w:t>策。产品风险等级及适配投资者等级以销售机构评定结果为准。</w:t>
      </w:r>
    </w:p>
    <w:p w:rsidR="004221CA" w:rsidRPr="005F436A" w:rsidRDefault="004221CA"/>
    <w:sectPr w:rsidR="004221CA" w:rsidRPr="005F4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01311"/>
    <w:multiLevelType w:val="multilevel"/>
    <w:tmpl w:val="E048A83A"/>
    <w:lvl w:ilvl="0">
      <w:start w:val="1"/>
      <w:numFmt w:val="decimal"/>
      <w:lvlText w:val="(%1)"/>
      <w:lvlJc w:val="left"/>
      <w:pPr>
        <w:ind w:left="425" w:hanging="425"/>
      </w:pPr>
      <w:rPr>
        <w:rFonts w:ascii="Times New Roman" w:hAnsi="Times New Roman" w:cs="Times New Roman" w:hint="default"/>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B861B7C"/>
    <w:multiLevelType w:val="multilevel"/>
    <w:tmpl w:val="152CB746"/>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66"/>
    <w:rsid w:val="001E1952"/>
    <w:rsid w:val="004221CA"/>
    <w:rsid w:val="005F436A"/>
    <w:rsid w:val="00792766"/>
    <w:rsid w:val="007A7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680DE-EA8C-498A-9C7D-2A380185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A7327"/>
    <w:pPr>
      <w:widowControl w:val="0"/>
      <w:jc w:val="both"/>
    </w:pPr>
    <w:rPr>
      <w:rFonts w:ascii="Calibri" w:eastAsia="宋体" w:hAnsi="Calibri"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semiHidden/>
    <w:unhideWhenUsed/>
    <w:rsid w:val="007A7327"/>
    <w:rPr>
      <w:sz w:val="18"/>
      <w:szCs w:val="18"/>
    </w:rPr>
  </w:style>
  <w:style w:type="character" w:customStyle="1" w:styleId="Char">
    <w:name w:val="批注框文本 Char"/>
    <w:basedOn w:val="a1"/>
    <w:link w:val="a0"/>
    <w:uiPriority w:val="99"/>
    <w:semiHidden/>
    <w:rsid w:val="007A7327"/>
    <w:rPr>
      <w:rFonts w:ascii="Calibri" w:eastAsia="宋体" w:hAnsi="Calibri" w:cs="Times New Roman"/>
      <w:sz w:val="18"/>
      <w:szCs w:val="18"/>
    </w:rPr>
  </w:style>
  <w:style w:type="paragraph" w:customStyle="1" w:styleId="1">
    <w:name w:val="列出段落1"/>
    <w:basedOn w:val="a"/>
    <w:rsid w:val="007A73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8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邱舸航</dc:creator>
  <cp:keywords/>
  <dc:description/>
  <cp:lastModifiedBy>邱舸航</cp:lastModifiedBy>
  <cp:revision>2</cp:revision>
  <dcterms:created xsi:type="dcterms:W3CDTF">2025-05-26T01:23:00Z</dcterms:created>
  <dcterms:modified xsi:type="dcterms:W3CDTF">2025-05-26T01:45:00Z</dcterms:modified>
</cp:coreProperties>
</file>