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2E7A0D">
      <w:pPr>
        <w:snapToGrid w:val="0"/>
        <w:spacing w:line="360" w:lineRule="auto"/>
        <w:jc w:val="center"/>
        <w:rPr>
          <w:rFonts w:ascii="宋体" w:hAnsi="宋体" w:cs="宋体"/>
          <w:szCs w:val="21"/>
        </w:rPr>
        <w:sectPr>
          <w:footerReference w:type="even" r:id="rId5"/>
          <w:type w:val="continuous"/>
          <w:pgSz w:w="11906" w:h="16838"/>
          <w:pgMar w:top="1418" w:right="1701" w:bottom="1418" w:left="1701" w:header="851" w:footer="992" w:gutter="0"/>
          <w:cols w:space="425"/>
          <w:docGrid w:type="lines" w:linePitch="312"/>
        </w:sectPr>
      </w:pPr>
      <w:bookmarkStart w:id="0" w:name="TITLE_765decababaa49e2a8dfd7458e24b387"/>
      <w:r>
        <w:rPr>
          <w:rFonts w:ascii="宋体" w:hAnsi="宋体" w:cs="宋体"/>
          <w:highlight w:val="white"/>
        </w:rPr>
        <w:t xml:space="preserve"> </w:t>
      </w:r>
      <w:bookmarkEnd w:id="0"/>
    </w:p>
    <w:p w:rsidR="002E7A0D">
      <w:pPr>
        <w:snapToGrid w:val="0"/>
        <w:spacing w:line="360" w:lineRule="auto"/>
        <w:jc w:val="center"/>
        <w:rPr>
          <w:rFonts w:ascii="宋体" w:hAnsi="宋体" w:cs="宋体"/>
          <w:szCs w:val="21"/>
        </w:rPr>
      </w:pPr>
      <w:bookmarkStart w:id="1" w:name="CLAUSE_468ded6493c9462ebc131b865f5d7da2"/>
      <w:r>
        <w:rPr>
          <w:rFonts w:ascii="宋体" w:hAnsi="宋体" w:cs="宋体"/>
          <w:highlight w:val="white"/>
        </w:rPr>
        <w:t xml:space="preserve"> </w:t>
      </w:r>
      <w:bookmarkStart w:id="2" w:name="CTS_468ded6493c9462ebc131b865f5d7da2"/>
      <w:bookmarkEnd w:id="2"/>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b/>
          <w:sz w:val="44"/>
          <w:szCs w:val="21"/>
        </w:rPr>
      </w:pPr>
      <w:r>
        <w:rPr>
          <w:rFonts w:ascii="宋体" w:hAnsi="宋体" w:cs="宋体" w:hint="eastAsia"/>
          <w:b/>
          <w:sz w:val="44"/>
          <w:szCs w:val="21"/>
        </w:rPr>
        <w:t>易方达恒生港股通创新药交易型开放式指数证券投资基金发起式联接基金</w:t>
      </w:r>
      <w:r>
        <w:rPr>
          <w:rFonts w:ascii="宋体" w:hAnsi="宋体" w:cs="宋体" w:hint="eastAsia"/>
          <w:b/>
          <w:sz w:val="44"/>
          <w:szCs w:val="21"/>
          <w:highlight w:val="white"/>
        </w:rPr>
        <w:t>托管协议</w:t>
      </w:r>
    </w:p>
    <w:p w:rsidR="002E7A0D">
      <w:pPr>
        <w:snapToGrid w:val="0"/>
        <w:spacing w:line="360" w:lineRule="auto"/>
        <w:jc w:val="center"/>
        <w:rPr>
          <w:rFonts w:ascii="宋体" w:hAnsi="宋体" w:cs="宋体"/>
          <w:b/>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jc w:val="center"/>
        <w:rPr>
          <w:rFonts w:ascii="宋体" w:hAnsi="宋体" w:cs="宋体"/>
          <w:szCs w:val="21"/>
        </w:rPr>
      </w:pPr>
    </w:p>
    <w:p w:rsidR="002E7A0D">
      <w:pPr>
        <w:snapToGrid w:val="0"/>
        <w:spacing w:line="360" w:lineRule="auto"/>
        <w:ind w:firstLine="1680"/>
        <w:rPr>
          <w:rFonts w:ascii="宋体" w:hAnsi="宋体" w:cs="宋体"/>
          <w:bCs/>
          <w:sz w:val="28"/>
          <w:szCs w:val="21"/>
        </w:rPr>
      </w:pPr>
      <w:r>
        <w:rPr>
          <w:rFonts w:ascii="宋体" w:hAnsi="宋体" w:cs="宋体" w:hint="eastAsia"/>
          <w:bCs/>
          <w:sz w:val="28"/>
          <w:szCs w:val="21"/>
          <w:highlight w:val="white"/>
        </w:rPr>
        <w:t>基金管理人：易方达基金管理有限公司</w:t>
      </w:r>
    </w:p>
    <w:p w:rsidR="002E7A0D">
      <w:pPr>
        <w:snapToGrid w:val="0"/>
        <w:spacing w:line="360" w:lineRule="auto"/>
        <w:ind w:firstLine="1680"/>
        <w:rPr>
          <w:rFonts w:ascii="宋体" w:hAnsi="宋体" w:cs="宋体"/>
          <w:bCs/>
          <w:sz w:val="28"/>
          <w:szCs w:val="21"/>
        </w:rPr>
      </w:pPr>
      <w:r>
        <w:rPr>
          <w:rFonts w:ascii="宋体" w:hAnsi="宋体" w:cs="宋体" w:hint="eastAsia"/>
          <w:bCs/>
          <w:sz w:val="28"/>
          <w:szCs w:val="21"/>
          <w:highlight w:val="white"/>
        </w:rPr>
        <w:t>基金托管人：招商银行股份有限公司</w:t>
      </w:r>
    </w:p>
    <w:p w:rsidR="002E7A0D">
      <w:pPr>
        <w:jc w:val="center"/>
        <w:rPr>
          <w:rFonts w:ascii="宋体" w:hAnsi="宋体" w:cs="宋体"/>
        </w:rPr>
      </w:pPr>
      <w:r>
        <w:rPr>
          <w:rFonts w:ascii="宋体" w:hAnsi="宋体" w:cs="宋体"/>
          <w:color w:val="000000"/>
          <w:sz w:val="28"/>
          <w:highlight w:val="white"/>
        </w:rPr>
        <w:t>二</w:t>
      </w:r>
      <w:r w:rsidR="005A18DA">
        <w:rPr>
          <w:rFonts w:ascii="宋体" w:hAnsi="宋体" w:cs="宋体"/>
          <w:color w:val="000000"/>
          <w:sz w:val="28"/>
          <w:highlight w:val="white"/>
        </w:rPr>
        <w:t>零</w:t>
      </w:r>
      <w:r>
        <w:rPr>
          <w:rFonts w:ascii="宋体" w:hAnsi="宋体" w:cs="宋体"/>
          <w:color w:val="000000"/>
          <w:sz w:val="28"/>
          <w:highlight w:val="white"/>
        </w:rPr>
        <w:t>二</w:t>
      </w:r>
      <w:r w:rsidR="005A18DA">
        <w:rPr>
          <w:rFonts w:ascii="宋体" w:hAnsi="宋体" w:cs="宋体"/>
          <w:color w:val="000000"/>
          <w:sz w:val="28"/>
          <w:highlight w:val="white"/>
        </w:rPr>
        <w:t>五</w:t>
      </w:r>
      <w:r>
        <w:rPr>
          <w:rFonts w:ascii="宋体" w:hAnsi="宋体" w:cs="宋体"/>
          <w:color w:val="000000"/>
          <w:sz w:val="28"/>
          <w:highlight w:val="white"/>
        </w:rPr>
        <w:t>年</w:t>
      </w:r>
      <w:r>
        <w:rPr>
          <w:rFonts w:ascii="宋体" w:hAnsi="宋体" w:cs="宋体"/>
          <w:color w:val="000000"/>
          <w:sz w:val="28"/>
          <w:highlight w:val="white"/>
        </w:rPr>
        <w:t>五</w:t>
      </w:r>
      <w:r>
        <w:rPr>
          <w:rFonts w:ascii="宋体" w:hAnsi="宋体" w:cs="宋体"/>
          <w:color w:val="000000"/>
          <w:sz w:val="28"/>
          <w:highlight w:val="white"/>
        </w:rPr>
        <w:t>月</w:t>
      </w:r>
    </w:p>
    <w:p w:rsidR="002E7A0D">
      <w:pPr>
        <w:jc w:val="center"/>
        <w:rPr>
          <w:rFonts w:ascii="宋体" w:hAnsi="宋体" w:cs="宋体"/>
        </w:rPr>
      </w:pPr>
    </w:p>
    <w:p w:rsidR="002E7A0D">
      <w:pPr>
        <w:spacing w:line="360" w:lineRule="auto"/>
        <w:ind w:firstLine="1680"/>
        <w:jc w:val="center"/>
        <w:rPr>
          <w:rFonts w:ascii="宋体" w:hAnsi="宋体" w:cs="宋体"/>
        </w:rPr>
      </w:pPr>
      <w:r>
        <w:rPr>
          <w:rFonts w:ascii="宋体" w:hAnsi="宋体" w:cs="宋体"/>
          <w:highlight w:val="white"/>
        </w:rPr>
        <w:br w:type="page"/>
      </w:r>
      <w:bookmarkEnd w:id="1"/>
    </w:p>
    <w:p w:rsidR="002E7A0D">
      <w:pPr>
        <w:snapToGrid w:val="0"/>
        <w:spacing w:line="360" w:lineRule="auto"/>
        <w:rPr>
          <w:rFonts w:ascii="宋体" w:hAnsi="宋体" w:cs="宋体"/>
          <w:bCs/>
          <w:szCs w:val="21"/>
        </w:rPr>
        <w:sectPr>
          <w:type w:val="continuous"/>
          <w:pgSz w:w="11906" w:h="16838"/>
          <w:pgMar w:top="1418" w:right="1701" w:bottom="1418" w:left="1701" w:header="851" w:footer="992" w:gutter="0"/>
          <w:cols w:space="425"/>
          <w:docGrid w:type="lines" w:linePitch="312"/>
        </w:sectPr>
      </w:pPr>
    </w:p>
    <w:p w:rsidR="002E7A0D">
      <w:pPr>
        <w:snapToGrid w:val="0"/>
        <w:spacing w:line="360" w:lineRule="auto"/>
        <w:rPr>
          <w:rFonts w:ascii="宋体" w:hAnsi="宋体" w:cs="宋体"/>
          <w:bCs/>
          <w:szCs w:val="21"/>
        </w:rPr>
      </w:pPr>
      <w:r>
        <w:rPr>
          <w:rFonts w:ascii="宋体" w:hAnsi="宋体" w:cs="宋体"/>
          <w:highlight w:val="white"/>
        </w:rPr>
        <w:t xml:space="preserve"> </w:t>
      </w:r>
      <w:bookmarkStart w:id="3" w:name="CTS_bd58dd527ca2412b839164a45ea933d0"/>
      <w:bookmarkEnd w:id="3"/>
    </w:p>
    <w:p w:rsidR="002E7A0D">
      <w:pPr>
        <w:spacing w:line="360" w:lineRule="auto"/>
        <w:jc w:val="center"/>
        <w:rPr>
          <w:rFonts w:ascii="宋体" w:hAnsi="宋体" w:cs="宋体"/>
          <w:b/>
          <w:bCs/>
          <w:szCs w:val="21"/>
        </w:rPr>
      </w:pPr>
      <w:r>
        <w:rPr>
          <w:rFonts w:ascii="宋体" w:hAnsi="宋体" w:cs="宋体" w:hint="eastAsia"/>
          <w:b/>
          <w:bCs/>
          <w:szCs w:val="21"/>
          <w:highlight w:val="white"/>
        </w:rPr>
        <w:t>目    录</w:t>
      </w:r>
    </w:p>
    <w:p w:rsidR="002E7A0D">
      <w:pPr>
        <w:pStyle w:val="TOC2"/>
        <w:tabs>
          <w:tab w:val="right" w:leader="dot" w:pos="8494"/>
        </w:tabs>
        <w:rPr>
          <w:rFonts w:ascii="宋体" w:hAnsi="宋体" w:cs="宋体"/>
          <w:noProof/>
          <w:szCs w:val="21"/>
        </w:rPr>
      </w:pPr>
      <w:r>
        <w:rPr>
          <w:rFonts w:ascii="宋体" w:hAnsi="宋体" w:cs="宋体"/>
          <w:szCs w:val="21"/>
        </w:rPr>
        <w:fldChar w:fldCharType="begin"/>
      </w:r>
      <w:r>
        <w:rPr>
          <w:rFonts w:ascii="宋体" w:hAnsi="宋体" w:cs="宋体"/>
          <w:szCs w:val="21"/>
          <w:highlight w:val="white"/>
        </w:rPr>
        <w:instrText xml:space="preserve"> TOC \o "1-2" \h \z </w:instrText>
      </w:r>
      <w:r>
        <w:rPr>
          <w:rFonts w:ascii="宋体" w:hAnsi="宋体" w:cs="宋体"/>
          <w:szCs w:val="21"/>
        </w:rPr>
        <w:fldChar w:fldCharType="separate"/>
      </w:r>
      <w:hyperlink w:anchor="_Toc384992691" w:tooltip="Current Document" w:history="1">
        <w:r>
          <w:rPr>
            <w:rStyle w:val="Hyperlink"/>
            <w:rFonts w:ascii="宋体" w:hAnsi="宋体" w:cs="宋体" w:hint="eastAsia"/>
            <w:noProof/>
            <w:szCs w:val="21"/>
            <w:highlight w:val="white"/>
          </w:rPr>
          <w:t>一、基金托管协议当事人</w:t>
        </w:r>
        <w:r>
          <w:rPr>
            <w:rFonts w:ascii="宋体" w:hAnsi="宋体" w:cs="宋体"/>
            <w:noProof/>
            <w:szCs w:val="21"/>
            <w:highlight w:val="white"/>
          </w:rPr>
          <w:tab/>
        </w:r>
        <w:r>
          <w:rPr>
            <w:rFonts w:ascii="宋体" w:hAnsi="宋体" w:cs="宋体"/>
            <w:noProof/>
            <w:szCs w:val="21"/>
          </w:rPr>
          <w:fldChar w:fldCharType="begin"/>
        </w:r>
        <w:r>
          <w:rPr>
            <w:rFonts w:ascii="宋体" w:hAnsi="宋体" w:cs="宋体"/>
            <w:noProof/>
            <w:szCs w:val="21"/>
            <w:highlight w:val="white"/>
          </w:rPr>
          <w:instrText xml:space="preserve"> PAGEREF _Toc384992691 \h </w:instrText>
        </w:r>
        <w:r>
          <w:rPr>
            <w:rFonts w:ascii="宋体" w:hAnsi="宋体" w:cs="宋体"/>
            <w:noProof/>
            <w:szCs w:val="21"/>
          </w:rPr>
          <w:fldChar w:fldCharType="separate"/>
        </w:r>
        <w:r w:rsidR="002B44EC">
          <w:rPr>
            <w:rFonts w:ascii="宋体" w:hAnsi="宋体" w:cs="宋体"/>
            <w:noProof/>
            <w:szCs w:val="21"/>
            <w:highlight w:val="white"/>
          </w:rPr>
          <w:t>2</w:t>
        </w:r>
        <w:r>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2" w:tooltip="Current Document" w:history="1">
        <w:r w:rsidR="00DE7752">
          <w:rPr>
            <w:rStyle w:val="Hyperlink"/>
            <w:rFonts w:ascii="宋体" w:hAnsi="宋体" w:cs="宋体" w:hint="eastAsia"/>
            <w:noProof/>
            <w:szCs w:val="21"/>
            <w:highlight w:val="white"/>
          </w:rPr>
          <w:t>二、基金托管协议的依据、目的和原则</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_Toc384992692 \h </w:instrText>
        </w:r>
        <w:r w:rsidR="00DE7752">
          <w:rPr>
            <w:rFonts w:ascii="宋体" w:hAnsi="宋体" w:cs="宋体"/>
            <w:noProof/>
            <w:szCs w:val="21"/>
          </w:rPr>
          <w:fldChar w:fldCharType="separate"/>
        </w:r>
        <w:r w:rsidR="008F088E">
          <w:rPr>
            <w:rFonts w:ascii="宋体" w:hAnsi="宋体" w:cs="宋体"/>
            <w:noProof/>
            <w:szCs w:val="21"/>
            <w:highlight w:val="white"/>
          </w:rPr>
          <w:t>3</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3" w:tooltip="Current Document" w:history="1">
        <w:r w:rsidR="00DE7752">
          <w:rPr>
            <w:rStyle w:val="Hyperlink"/>
            <w:rFonts w:ascii="宋体" w:hAnsi="宋体" w:cs="宋体" w:hint="eastAsia"/>
            <w:noProof/>
            <w:szCs w:val="21"/>
            <w:highlight w:val="white"/>
          </w:rPr>
          <w:t>三、基金托管人对基金管理人的业务监督和核查</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_Toc384992693 \h </w:instrText>
        </w:r>
        <w:r w:rsidR="00DE7752">
          <w:rPr>
            <w:rFonts w:ascii="宋体" w:hAnsi="宋体" w:cs="宋体"/>
            <w:noProof/>
            <w:szCs w:val="21"/>
          </w:rPr>
          <w:fldChar w:fldCharType="separate"/>
        </w:r>
        <w:r w:rsidR="008F088E">
          <w:rPr>
            <w:rFonts w:ascii="宋体" w:hAnsi="宋体" w:cs="宋体"/>
            <w:noProof/>
            <w:szCs w:val="21"/>
            <w:highlight w:val="white"/>
          </w:rPr>
          <w:t>4</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4" w:tooltip="Current Document" w:history="1">
        <w:r w:rsidR="00DE7752">
          <w:rPr>
            <w:rStyle w:val="Hyperlink"/>
            <w:rFonts w:ascii="宋体" w:hAnsi="宋体" w:cs="宋体" w:hint="eastAsia"/>
            <w:noProof/>
            <w:szCs w:val="21"/>
            <w:highlight w:val="white"/>
          </w:rPr>
          <w:t>四、基金管理人对基金托管人的业务核查</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_Toc384992694 \h </w:instrText>
        </w:r>
        <w:r w:rsidR="00DE7752">
          <w:rPr>
            <w:rFonts w:ascii="宋体" w:hAnsi="宋体" w:cs="宋体"/>
            <w:noProof/>
            <w:szCs w:val="21"/>
          </w:rPr>
          <w:fldChar w:fldCharType="separate"/>
        </w:r>
        <w:r w:rsidR="008F088E">
          <w:rPr>
            <w:rFonts w:ascii="宋体" w:hAnsi="宋体" w:cs="宋体"/>
            <w:noProof/>
            <w:szCs w:val="21"/>
            <w:highlight w:val="white"/>
          </w:rPr>
          <w:t>14</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5" w:tooltip="Current Document" w:history="1">
        <w:r w:rsidR="00DE7752">
          <w:rPr>
            <w:rStyle w:val="Hyperlink"/>
            <w:rFonts w:ascii="宋体" w:hAnsi="宋体" w:cs="宋体" w:hint="eastAsia"/>
            <w:noProof/>
            <w:szCs w:val="21"/>
            <w:highlight w:val="white"/>
          </w:rPr>
          <w:t>五、基金财产的保管</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_Toc384992695 \h </w:instrText>
        </w:r>
        <w:r w:rsidR="00DE7752">
          <w:rPr>
            <w:rFonts w:ascii="宋体" w:hAnsi="宋体" w:cs="宋体"/>
            <w:noProof/>
            <w:szCs w:val="21"/>
          </w:rPr>
          <w:fldChar w:fldCharType="separate"/>
        </w:r>
        <w:r w:rsidR="008F088E">
          <w:rPr>
            <w:rFonts w:ascii="宋体" w:hAnsi="宋体" w:cs="宋体"/>
            <w:noProof/>
            <w:szCs w:val="21"/>
            <w:highlight w:val="white"/>
          </w:rPr>
          <w:t>15</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6" w:tooltip="Current Document" w:history="1">
        <w:r w:rsidR="00DE7752">
          <w:rPr>
            <w:rStyle w:val="Hyperlink"/>
            <w:rFonts w:ascii="宋体" w:hAnsi="宋体" w:cs="宋体" w:hint="eastAsia"/>
            <w:noProof/>
            <w:szCs w:val="21"/>
            <w:highlight w:val="white"/>
          </w:rPr>
          <w:t>六、指令的发送、确认及执行</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_Toc384992696 \h </w:instrText>
        </w:r>
        <w:r w:rsidR="00DE7752">
          <w:rPr>
            <w:rFonts w:ascii="宋体" w:hAnsi="宋体" w:cs="宋体"/>
            <w:noProof/>
            <w:szCs w:val="21"/>
          </w:rPr>
          <w:fldChar w:fldCharType="separate"/>
        </w:r>
        <w:r w:rsidR="008F088E">
          <w:rPr>
            <w:rFonts w:ascii="宋体" w:hAnsi="宋体" w:cs="宋体"/>
            <w:noProof/>
            <w:szCs w:val="21"/>
            <w:highlight w:val="white"/>
          </w:rPr>
          <w:t>18</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7" w:tooltip="Current Document" w:history="1">
        <w:r w:rsidR="00DE7752">
          <w:rPr>
            <w:rStyle w:val="Hyperlink"/>
            <w:rFonts w:ascii="宋体" w:hAnsi="宋体" w:cs="宋体" w:hint="eastAsia"/>
            <w:noProof/>
            <w:szCs w:val="21"/>
            <w:highlight w:val="white"/>
          </w:rPr>
          <w:t>七、交易及清算交收安排</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_Toc384992697 \h </w:instrText>
        </w:r>
        <w:r w:rsidR="00DE7752">
          <w:rPr>
            <w:rFonts w:ascii="宋体" w:hAnsi="宋体" w:cs="宋体"/>
            <w:noProof/>
            <w:szCs w:val="21"/>
          </w:rPr>
          <w:fldChar w:fldCharType="separate"/>
        </w:r>
        <w:r w:rsidR="008F088E">
          <w:rPr>
            <w:rFonts w:ascii="宋体" w:hAnsi="宋体" w:cs="宋体"/>
            <w:noProof/>
            <w:szCs w:val="21"/>
            <w:highlight w:val="white"/>
          </w:rPr>
          <w:t>23</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8" w:tooltip="Current Document" w:history="1">
        <w:r w:rsidR="00DE7752">
          <w:rPr>
            <w:rStyle w:val="Hyperlink"/>
            <w:rFonts w:ascii="宋体" w:hAnsi="宋体" w:cs="宋体" w:hint="eastAsia"/>
            <w:noProof/>
            <w:szCs w:val="21"/>
            <w:highlight w:val="white"/>
          </w:rPr>
          <w:t>八、基金资产净值计算、估值和会计核算</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_Toc384992698 \h </w:instrText>
        </w:r>
        <w:r w:rsidR="00DE7752">
          <w:rPr>
            <w:rFonts w:ascii="宋体" w:hAnsi="宋体" w:cs="宋体"/>
            <w:noProof/>
            <w:szCs w:val="21"/>
          </w:rPr>
          <w:fldChar w:fldCharType="separate"/>
        </w:r>
        <w:r w:rsidR="008F088E">
          <w:rPr>
            <w:rFonts w:ascii="宋体" w:hAnsi="宋体" w:cs="宋体"/>
            <w:noProof/>
            <w:szCs w:val="21"/>
            <w:highlight w:val="white"/>
          </w:rPr>
          <w:t>26</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699" w:tooltip="Current Document" w:history="1">
        <w:r w:rsidR="00DE7752">
          <w:rPr>
            <w:rStyle w:val="Hyperlink"/>
            <w:rFonts w:ascii="宋体" w:hAnsi="宋体" w:cs="宋体" w:hint="eastAsia"/>
            <w:noProof/>
            <w:szCs w:val="21"/>
            <w:highlight w:val="white"/>
          </w:rPr>
          <w:t>九、基金收益分配</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_Toc384992699 \h </w:instrText>
        </w:r>
        <w:r w:rsidR="00DE7752">
          <w:rPr>
            <w:rFonts w:ascii="宋体" w:hAnsi="宋体" w:cs="宋体"/>
            <w:noProof/>
            <w:szCs w:val="21"/>
          </w:rPr>
          <w:fldChar w:fldCharType="separate"/>
        </w:r>
        <w:r w:rsidR="008F088E">
          <w:rPr>
            <w:rFonts w:ascii="宋体" w:hAnsi="宋体" w:cs="宋体"/>
            <w:noProof/>
            <w:szCs w:val="21"/>
            <w:highlight w:val="white"/>
          </w:rPr>
          <w:t>28</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0" w:tooltip="Current Document" w:history="1">
        <w:r w:rsidR="00DE7752">
          <w:rPr>
            <w:rStyle w:val="Hyperlink"/>
            <w:rFonts w:ascii="宋体" w:hAnsi="宋体" w:cs="宋体" w:hint="eastAsia"/>
            <w:noProof/>
            <w:szCs w:val="21"/>
            <w:highlight w:val="white"/>
          </w:rPr>
          <w:t>十、基金信息披露</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_Toc384992700 \h </w:instrText>
        </w:r>
        <w:r w:rsidR="00DE7752">
          <w:rPr>
            <w:rFonts w:ascii="宋体" w:hAnsi="宋体" w:cs="宋体"/>
            <w:noProof/>
            <w:szCs w:val="21"/>
          </w:rPr>
          <w:fldChar w:fldCharType="separate"/>
        </w:r>
        <w:r w:rsidR="008F088E">
          <w:rPr>
            <w:rFonts w:ascii="宋体" w:hAnsi="宋体" w:cs="宋体"/>
            <w:noProof/>
            <w:szCs w:val="21"/>
            <w:highlight w:val="white"/>
          </w:rPr>
          <w:t>29</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1" w:tooltip="Current Document" w:history="1">
        <w:r w:rsidR="00DE7752">
          <w:rPr>
            <w:rStyle w:val="Hyperlink"/>
            <w:rFonts w:ascii="宋体" w:hAnsi="宋体" w:cs="宋体" w:hint="eastAsia"/>
            <w:noProof/>
            <w:szCs w:val="21"/>
            <w:highlight w:val="white"/>
          </w:rPr>
          <w:t>十一、基金费用</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_Toc384992701 \h </w:instrText>
        </w:r>
        <w:r w:rsidR="00DE7752">
          <w:rPr>
            <w:rFonts w:ascii="宋体" w:hAnsi="宋体" w:cs="宋体"/>
            <w:noProof/>
            <w:szCs w:val="21"/>
          </w:rPr>
          <w:fldChar w:fldCharType="separate"/>
        </w:r>
        <w:r w:rsidR="008F088E">
          <w:rPr>
            <w:rFonts w:ascii="宋体" w:hAnsi="宋体" w:cs="宋体"/>
            <w:noProof/>
            <w:szCs w:val="21"/>
            <w:highlight w:val="white"/>
          </w:rPr>
          <w:t>31</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2" w:tooltip="Current Document" w:history="1">
        <w:r w:rsidR="00DE7752">
          <w:rPr>
            <w:rStyle w:val="Hyperlink"/>
            <w:rFonts w:ascii="宋体" w:hAnsi="宋体" w:cs="宋体" w:hint="eastAsia"/>
            <w:noProof/>
            <w:szCs w:val="21"/>
            <w:highlight w:val="white"/>
          </w:rPr>
          <w:t>十二、基金份额持有人名册的保管</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_Toc384992702 \h </w:instrText>
        </w:r>
        <w:r w:rsidR="00DE7752">
          <w:rPr>
            <w:rFonts w:ascii="宋体" w:hAnsi="宋体" w:cs="宋体"/>
            <w:noProof/>
            <w:szCs w:val="21"/>
          </w:rPr>
          <w:fldChar w:fldCharType="separate"/>
        </w:r>
        <w:r w:rsidR="008F088E">
          <w:rPr>
            <w:rFonts w:ascii="宋体" w:hAnsi="宋体" w:cs="宋体"/>
            <w:noProof/>
            <w:szCs w:val="21"/>
            <w:highlight w:val="white"/>
          </w:rPr>
          <w:t>32</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3" w:tooltip="Current Document" w:history="1">
        <w:r w:rsidR="00DE7752">
          <w:rPr>
            <w:rStyle w:val="Hyperlink"/>
            <w:rFonts w:ascii="宋体" w:hAnsi="宋体" w:cs="宋体" w:hint="eastAsia"/>
            <w:noProof/>
            <w:szCs w:val="21"/>
            <w:highlight w:val="white"/>
          </w:rPr>
          <w:t>十三、基金有关文件档案的保存</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_Toc384992703 \h </w:instrText>
        </w:r>
        <w:r w:rsidR="00DE7752">
          <w:rPr>
            <w:rFonts w:ascii="宋体" w:hAnsi="宋体" w:cs="宋体"/>
            <w:noProof/>
            <w:szCs w:val="21"/>
          </w:rPr>
          <w:fldChar w:fldCharType="separate"/>
        </w:r>
        <w:r w:rsidR="008F088E">
          <w:rPr>
            <w:rFonts w:ascii="宋体" w:hAnsi="宋体" w:cs="宋体"/>
            <w:noProof/>
            <w:szCs w:val="21"/>
            <w:highlight w:val="white"/>
          </w:rPr>
          <w:t>33</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4" w:tooltip="Current Document" w:history="1">
        <w:r w:rsidR="00DE7752">
          <w:rPr>
            <w:rStyle w:val="Hyperlink"/>
            <w:rFonts w:ascii="宋体" w:hAnsi="宋体" w:cs="宋体" w:hint="eastAsia"/>
            <w:noProof/>
            <w:szCs w:val="21"/>
            <w:highlight w:val="white"/>
          </w:rPr>
          <w:t>十四、基金管理人和基金托管人的更换</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_Toc384992704 \h </w:instrText>
        </w:r>
        <w:r w:rsidR="00DE7752">
          <w:rPr>
            <w:rFonts w:ascii="宋体" w:hAnsi="宋体" w:cs="宋体"/>
            <w:noProof/>
            <w:szCs w:val="21"/>
          </w:rPr>
          <w:fldChar w:fldCharType="separate"/>
        </w:r>
        <w:r w:rsidR="008F088E">
          <w:rPr>
            <w:rFonts w:ascii="宋体" w:hAnsi="宋体" w:cs="宋体"/>
            <w:noProof/>
            <w:szCs w:val="21"/>
            <w:highlight w:val="white"/>
          </w:rPr>
          <w:t>34</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5" w:tooltip="Current Document" w:history="1">
        <w:r w:rsidR="00DE7752">
          <w:rPr>
            <w:rStyle w:val="Hyperlink"/>
            <w:rFonts w:ascii="宋体" w:hAnsi="宋体" w:cs="宋体" w:hint="eastAsia"/>
            <w:noProof/>
            <w:szCs w:val="21"/>
            <w:highlight w:val="white"/>
          </w:rPr>
          <w:t>十五、禁止行为</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_Toc384992705 \h </w:instrText>
        </w:r>
        <w:r w:rsidR="00DE7752">
          <w:rPr>
            <w:rFonts w:ascii="宋体" w:hAnsi="宋体" w:cs="宋体"/>
            <w:noProof/>
            <w:szCs w:val="21"/>
          </w:rPr>
          <w:fldChar w:fldCharType="separate"/>
        </w:r>
        <w:r w:rsidR="008F088E">
          <w:rPr>
            <w:rFonts w:ascii="宋体" w:hAnsi="宋体" w:cs="宋体"/>
            <w:noProof/>
            <w:szCs w:val="21"/>
            <w:highlight w:val="white"/>
          </w:rPr>
          <w:t>35</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6" w:tooltip="Current Document" w:history="1">
        <w:r w:rsidR="00DE7752">
          <w:rPr>
            <w:rStyle w:val="Hyperlink"/>
            <w:rFonts w:ascii="宋体" w:hAnsi="宋体" w:cs="宋体" w:hint="eastAsia"/>
            <w:noProof/>
            <w:szCs w:val="21"/>
            <w:highlight w:val="white"/>
          </w:rPr>
          <w:t>十六、托管协议的变更、终止与基金财产的清算</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_Toc384992706 \h </w:instrText>
        </w:r>
        <w:r w:rsidR="00DE7752">
          <w:rPr>
            <w:rFonts w:ascii="宋体" w:hAnsi="宋体" w:cs="宋体"/>
            <w:noProof/>
            <w:szCs w:val="21"/>
          </w:rPr>
          <w:fldChar w:fldCharType="separate"/>
        </w:r>
        <w:r w:rsidR="008F088E">
          <w:rPr>
            <w:rFonts w:ascii="宋体" w:hAnsi="宋体" w:cs="宋体"/>
            <w:noProof/>
            <w:szCs w:val="21"/>
            <w:highlight w:val="white"/>
          </w:rPr>
          <w:t>36</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7" w:tooltip="Current Document" w:history="1">
        <w:r w:rsidR="00DE7752">
          <w:rPr>
            <w:rStyle w:val="Hyperlink"/>
            <w:rFonts w:ascii="宋体" w:hAnsi="宋体" w:cs="宋体" w:hint="eastAsia"/>
            <w:noProof/>
            <w:szCs w:val="21"/>
            <w:highlight w:val="white"/>
          </w:rPr>
          <w:t>十七、违约责任</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_Toc384992707 \h </w:instrText>
        </w:r>
        <w:r w:rsidR="00DE7752">
          <w:rPr>
            <w:rFonts w:ascii="宋体" w:hAnsi="宋体" w:cs="宋体"/>
            <w:noProof/>
            <w:szCs w:val="21"/>
          </w:rPr>
          <w:fldChar w:fldCharType="separate"/>
        </w:r>
        <w:r w:rsidR="008F088E">
          <w:rPr>
            <w:rFonts w:ascii="宋体" w:hAnsi="宋体" w:cs="宋体"/>
            <w:noProof/>
            <w:szCs w:val="21"/>
            <w:highlight w:val="white"/>
          </w:rPr>
          <w:t>37</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8" w:tooltip="Current Document" w:history="1">
        <w:r w:rsidR="00DE7752">
          <w:rPr>
            <w:rStyle w:val="Hyperlink"/>
            <w:rFonts w:ascii="宋体" w:hAnsi="宋体" w:cs="宋体" w:hint="eastAsia"/>
            <w:noProof/>
            <w:szCs w:val="21"/>
            <w:highlight w:val="white"/>
          </w:rPr>
          <w:t>十八、争议解决方式</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_Toc384992708 \h </w:instrText>
        </w:r>
        <w:r w:rsidR="00DE7752">
          <w:rPr>
            <w:rFonts w:ascii="宋体" w:hAnsi="宋体" w:cs="宋体"/>
            <w:noProof/>
            <w:szCs w:val="21"/>
          </w:rPr>
          <w:fldChar w:fldCharType="separate"/>
        </w:r>
        <w:r w:rsidR="008F088E">
          <w:rPr>
            <w:rFonts w:ascii="宋体" w:hAnsi="宋体" w:cs="宋体"/>
            <w:noProof/>
            <w:szCs w:val="21"/>
            <w:highlight w:val="white"/>
          </w:rPr>
          <w:t>38</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09" w:tooltip="Current Document" w:history="1">
        <w:r w:rsidR="00DE7752">
          <w:rPr>
            <w:rStyle w:val="Hyperlink"/>
            <w:rFonts w:ascii="宋体" w:hAnsi="宋体" w:cs="宋体" w:hint="eastAsia"/>
            <w:noProof/>
            <w:szCs w:val="21"/>
            <w:highlight w:val="white"/>
          </w:rPr>
          <w:t>十九、托管协议的效力</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_Toc384992709 \h </w:instrText>
        </w:r>
        <w:r w:rsidR="00DE7752">
          <w:rPr>
            <w:rFonts w:ascii="宋体" w:hAnsi="宋体" w:cs="宋体"/>
            <w:noProof/>
            <w:szCs w:val="21"/>
          </w:rPr>
          <w:fldChar w:fldCharType="separate"/>
        </w:r>
        <w:r w:rsidR="008F088E">
          <w:rPr>
            <w:rFonts w:ascii="宋体" w:hAnsi="宋体" w:cs="宋体"/>
            <w:noProof/>
            <w:szCs w:val="21"/>
            <w:highlight w:val="white"/>
          </w:rPr>
          <w:t>39</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10" w:tooltip="Current Document" w:history="1">
        <w:r w:rsidR="00DE7752">
          <w:rPr>
            <w:rStyle w:val="Hyperlink"/>
            <w:rFonts w:ascii="宋体" w:hAnsi="宋体" w:cs="宋体" w:hint="eastAsia"/>
            <w:noProof/>
            <w:szCs w:val="21"/>
            <w:highlight w:val="white"/>
          </w:rPr>
          <w:t>二十、其他事项</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_Toc384992710 \h </w:instrText>
        </w:r>
        <w:r w:rsidR="00DE7752">
          <w:rPr>
            <w:rFonts w:ascii="宋体" w:hAnsi="宋体" w:cs="宋体"/>
            <w:noProof/>
            <w:szCs w:val="21"/>
          </w:rPr>
          <w:fldChar w:fldCharType="separate"/>
        </w:r>
        <w:r w:rsidR="008F088E">
          <w:rPr>
            <w:rFonts w:ascii="宋体" w:hAnsi="宋体" w:cs="宋体"/>
            <w:noProof/>
            <w:szCs w:val="21"/>
            <w:highlight w:val="white"/>
          </w:rPr>
          <w:t>40</w:t>
        </w:r>
        <w:r w:rsidR="00DE7752">
          <w:rPr>
            <w:rFonts w:ascii="宋体" w:hAnsi="宋体" w:cs="宋体"/>
            <w:noProof/>
            <w:szCs w:val="21"/>
          </w:rPr>
          <w:fldChar w:fldCharType="end"/>
        </w:r>
      </w:hyperlink>
    </w:p>
    <w:p w:rsidR="002E7A0D">
      <w:pPr>
        <w:pStyle w:val="TOC2"/>
        <w:tabs>
          <w:tab w:val="right" w:leader="dot" w:pos="8494"/>
        </w:tabs>
        <w:rPr>
          <w:rFonts w:ascii="宋体" w:hAnsi="宋体" w:cs="宋体"/>
          <w:noProof/>
          <w:szCs w:val="21"/>
        </w:rPr>
      </w:pPr>
      <w:hyperlink w:anchor="_Toc384992711" w:tooltip="Current Document" w:history="1">
        <w:r w:rsidR="00DE7752">
          <w:rPr>
            <w:rStyle w:val="Hyperlink"/>
            <w:rFonts w:ascii="宋体" w:hAnsi="宋体" w:cs="宋体" w:hint="eastAsia"/>
            <w:noProof/>
            <w:szCs w:val="21"/>
            <w:highlight w:val="white"/>
          </w:rPr>
          <w:t>二十一、托管协议的签订</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_Toc384992711 \h </w:instrText>
        </w:r>
        <w:r w:rsidR="00DE7752">
          <w:rPr>
            <w:rFonts w:ascii="宋体" w:hAnsi="宋体" w:cs="宋体"/>
            <w:noProof/>
            <w:szCs w:val="21"/>
          </w:rPr>
          <w:fldChar w:fldCharType="separate"/>
        </w:r>
        <w:r w:rsidR="008F088E">
          <w:rPr>
            <w:rFonts w:ascii="宋体" w:hAnsi="宋体" w:cs="宋体"/>
            <w:noProof/>
            <w:szCs w:val="21"/>
            <w:highlight w:val="white"/>
          </w:rPr>
          <w:t>41</w:t>
        </w:r>
        <w:r w:rsidR="00DE7752">
          <w:rPr>
            <w:rFonts w:ascii="宋体" w:hAnsi="宋体" w:cs="宋体"/>
            <w:noProof/>
            <w:szCs w:val="21"/>
          </w:rPr>
          <w:fldChar w:fldCharType="end"/>
        </w:r>
      </w:hyperlink>
    </w:p>
    <w:p w:rsidR="002E7A0D">
      <w:pPr>
        <w:pStyle w:val="TOC1"/>
        <w:tabs>
          <w:tab w:val="right" w:leader="dot" w:pos="8494"/>
        </w:tabs>
        <w:ind w:firstLine="420"/>
        <w:rPr>
          <w:rFonts w:ascii="宋体" w:hAnsi="宋体" w:cs="宋体"/>
          <w:noProof/>
          <w:szCs w:val="21"/>
        </w:rPr>
      </w:pPr>
      <w:hyperlink w:anchor="_Toc384992712" w:tooltip="Current Document" w:history="1">
        <w:r w:rsidR="00DE7752">
          <w:rPr>
            <w:rStyle w:val="Hyperlink"/>
            <w:rFonts w:ascii="宋体" w:hAnsi="宋体" w:cs="宋体" w:hint="eastAsia"/>
            <w:noProof/>
            <w:szCs w:val="21"/>
            <w:highlight w:val="white"/>
          </w:rPr>
          <w:t>附件：托管银行证券资金结算规定</w:t>
        </w:r>
        <w:r w:rsidR="00DE7752">
          <w:rPr>
            <w:rFonts w:ascii="宋体" w:hAnsi="宋体" w:cs="宋体"/>
            <w:noProof/>
            <w:szCs w:val="21"/>
            <w:highlight w:val="white"/>
          </w:rPr>
          <w:tab/>
        </w:r>
        <w:r w:rsidR="00DE7752">
          <w:rPr>
            <w:rFonts w:ascii="宋体" w:hAnsi="宋体" w:cs="宋体"/>
            <w:noProof/>
            <w:szCs w:val="21"/>
          </w:rPr>
          <w:fldChar w:fldCharType="begin"/>
        </w:r>
        <w:r w:rsidR="00DE7752">
          <w:rPr>
            <w:rFonts w:ascii="宋体" w:hAnsi="宋体" w:cs="宋体"/>
            <w:noProof/>
            <w:szCs w:val="21"/>
            <w:highlight w:val="white"/>
          </w:rPr>
          <w:instrText xml:space="preserve"> PAGEREF _Toc384992712 \h </w:instrText>
        </w:r>
        <w:r w:rsidR="00DE7752">
          <w:rPr>
            <w:rFonts w:ascii="宋体" w:hAnsi="宋体" w:cs="宋体"/>
            <w:noProof/>
            <w:szCs w:val="21"/>
          </w:rPr>
          <w:fldChar w:fldCharType="separate"/>
        </w:r>
        <w:r w:rsidR="008F088E">
          <w:rPr>
            <w:rFonts w:ascii="宋体" w:hAnsi="宋体" w:cs="宋体"/>
            <w:noProof/>
            <w:szCs w:val="21"/>
            <w:highlight w:val="white"/>
          </w:rPr>
          <w:t>42</w:t>
        </w:r>
        <w:r w:rsidR="00DE7752">
          <w:rPr>
            <w:rFonts w:ascii="宋体" w:hAnsi="宋体" w:cs="宋体"/>
            <w:noProof/>
            <w:szCs w:val="21"/>
          </w:rPr>
          <w:fldChar w:fldCharType="end"/>
        </w:r>
      </w:hyperlink>
    </w:p>
    <w:p w:rsidR="002E7A0D">
      <w:pPr>
        <w:spacing w:line="360" w:lineRule="auto"/>
        <w:rPr>
          <w:rFonts w:ascii="宋体" w:hAnsi="宋体" w:cs="宋体"/>
          <w:szCs w:val="21"/>
        </w:rPr>
      </w:pPr>
      <w:r>
        <w:rPr>
          <w:rFonts w:ascii="宋体" w:hAnsi="宋体" w:cs="宋体"/>
          <w:szCs w:val="21"/>
        </w:rPr>
        <w:fldChar w:fldCharType="end"/>
      </w:r>
    </w:p>
    <w:p w:rsidR="002B44EC">
      <w:pPr>
        <w:spacing w:line="360" w:lineRule="auto"/>
        <w:rPr>
          <w:rFonts w:ascii="宋体" w:hAnsi="宋体" w:cs="宋体"/>
          <w:szCs w:val="21"/>
          <w:highlight w:val="white"/>
        </w:rPr>
        <w:sectPr w:rsidSect="00533DC8">
          <w:headerReference w:type="default" r:id="rId6"/>
          <w:footerReference w:type="default" r:id="rId7"/>
          <w:pgSz w:w="11906" w:h="16838"/>
          <w:pgMar w:top="1418" w:right="1701" w:bottom="1418" w:left="1701" w:header="851" w:footer="992" w:gutter="0"/>
          <w:pgNumType w:start="1"/>
          <w:cols w:space="425"/>
          <w:docGrid w:type="lines" w:linePitch="312"/>
        </w:sectPr>
      </w:pPr>
      <w:r>
        <w:rPr>
          <w:rFonts w:ascii="宋体" w:hAnsi="宋体" w:cs="宋体"/>
          <w:szCs w:val="21"/>
          <w:highlight w:val="white"/>
        </w:rPr>
        <w:br w:type="page"/>
      </w:r>
    </w:p>
    <w:p w:rsidR="002E7A0D">
      <w:pPr>
        <w:widowControl/>
        <w:spacing w:line="360" w:lineRule="auto"/>
        <w:ind w:firstLine="420"/>
        <w:rPr>
          <w:rFonts w:ascii="宋体" w:hAnsi="宋体" w:cs="宋体"/>
          <w:szCs w:val="21"/>
        </w:rPr>
      </w:pPr>
      <w:r>
        <w:rPr>
          <w:rFonts w:ascii="宋体" w:hAnsi="宋体" w:cs="宋体" w:hint="eastAsia"/>
          <w:szCs w:val="21"/>
          <w:highlight w:val="white"/>
        </w:rPr>
        <w:t>鉴于易方达基金管理有限公司系一家依照中国法律合法成立并有效存续的有限责任公司，按照相关法律法规的规定具备担任基金管理人的资格和能力，拟募集发行</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rPr>
        <w:t>；</w:t>
      </w:r>
    </w:p>
    <w:p w:rsidR="002E7A0D">
      <w:pPr>
        <w:widowControl/>
        <w:spacing w:line="360" w:lineRule="auto"/>
        <w:ind w:firstLine="420"/>
        <w:rPr>
          <w:rFonts w:ascii="宋体" w:hAnsi="宋体" w:cs="宋体"/>
          <w:szCs w:val="21"/>
        </w:rPr>
      </w:pPr>
      <w:r>
        <w:rPr>
          <w:rFonts w:ascii="宋体" w:hAnsi="宋体" w:cs="宋体" w:hint="eastAsia"/>
          <w:szCs w:val="21"/>
          <w:highlight w:val="white"/>
        </w:rPr>
        <w:t>鉴于招商银行股份有限公司系一家依照中国法律合法成立并有效存续的银行，按照相关法律法规的规定具备担任基金托管人的资格和能力；</w:t>
      </w:r>
    </w:p>
    <w:p w:rsidR="002E7A0D">
      <w:pPr>
        <w:widowControl/>
        <w:spacing w:line="360" w:lineRule="auto"/>
        <w:ind w:firstLine="420"/>
        <w:rPr>
          <w:rFonts w:ascii="宋体" w:hAnsi="宋体" w:cs="宋体"/>
          <w:szCs w:val="21"/>
        </w:rPr>
      </w:pPr>
      <w:r>
        <w:rPr>
          <w:rFonts w:ascii="宋体" w:hAnsi="宋体" w:cs="宋体" w:hint="eastAsia"/>
          <w:szCs w:val="21"/>
          <w:highlight w:val="white"/>
        </w:rPr>
        <w:t>鉴于易方达基金管理有限公司拟担任</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rPr>
        <w:t>的基金管理人，招商银行股份有限公司拟担任</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rPr>
        <w:t>的基金托管人；</w:t>
      </w:r>
    </w:p>
    <w:p w:rsidR="002E7A0D">
      <w:pPr>
        <w:widowControl/>
        <w:spacing w:line="360" w:lineRule="auto"/>
        <w:ind w:firstLine="420"/>
        <w:rPr>
          <w:rFonts w:ascii="宋体" w:hAnsi="宋体" w:cs="宋体"/>
          <w:szCs w:val="21"/>
        </w:rPr>
      </w:pPr>
      <w:r>
        <w:rPr>
          <w:rFonts w:ascii="宋体" w:hAnsi="宋体" w:cs="宋体" w:hint="eastAsia"/>
          <w:szCs w:val="21"/>
          <w:highlight w:val="white"/>
        </w:rPr>
        <w:t>为明确</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rPr>
        <w:t>的基金管理人和基金托管人之间的权利义务关系，特制订本托管协议；</w:t>
      </w:r>
    </w:p>
    <w:p w:rsidR="002E7A0D">
      <w:pPr>
        <w:widowControl/>
        <w:spacing w:line="360" w:lineRule="auto"/>
        <w:ind w:firstLine="420"/>
        <w:rPr>
          <w:rFonts w:ascii="宋体" w:hAnsi="宋体" w:cs="宋体"/>
          <w:szCs w:val="21"/>
        </w:rPr>
      </w:pPr>
      <w:r>
        <w:rPr>
          <w:rFonts w:ascii="宋体" w:hAnsi="宋体" w:cs="宋体" w:hint="eastAsia"/>
          <w:szCs w:val="21"/>
          <w:highlight w:val="white"/>
          <w:lang w:val="en-GB"/>
        </w:rPr>
        <w:t>除非另有约定，《</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lang w:val="en-GB"/>
        </w:rPr>
        <w:t>基金合同》(以下简称“基金合同”)中定义的术语在用于本托管协议时应具有相同的含义，若有抵触应以基金合同为准。</w:t>
      </w:r>
    </w:p>
    <w:p w:rsidR="002E7A0D">
      <w:pPr>
        <w:widowControl/>
        <w:spacing w:line="360" w:lineRule="auto"/>
        <w:ind w:firstLine="420"/>
        <w:rPr>
          <w:rFonts w:ascii="宋体" w:hAnsi="宋体" w:cs="宋体"/>
          <w:szCs w:val="21"/>
        </w:rPr>
      </w:pPr>
      <w:r>
        <w:rPr>
          <w:rFonts w:ascii="宋体" w:hAnsi="宋体" w:cs="宋体" w:hint="eastAsia"/>
          <w:szCs w:val="21"/>
          <w:highlight w:val="white"/>
          <w:lang w:val="en-GB"/>
        </w:rPr>
        <w:t>若本基金实施侧袋机制的，侧袋机制实施期间的相关安排按照基金合同的规定执行。</w:t>
      </w:r>
    </w:p>
    <w:p w:rsidR="002E7A0D">
      <w:pPr>
        <w:widowControl/>
        <w:spacing w:line="360" w:lineRule="auto"/>
        <w:ind w:firstLine="420"/>
        <w:rPr>
          <w:rFonts w:ascii="宋体" w:hAnsi="宋体" w:cs="宋体"/>
          <w:szCs w:val="21"/>
        </w:rPr>
      </w:pPr>
    </w:p>
    <w:p w:rsidR="002E7A0D">
      <w:pPr>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4" w:name="_Toc348082029"/>
      <w:bookmarkStart w:id="5" w:name="_Toc384992691"/>
      <w:r>
        <w:rPr>
          <w:rFonts w:ascii="宋体" w:eastAsia="宋体" w:hAnsi="宋体" w:cs="宋体" w:hint="eastAsia"/>
          <w:sz w:val="21"/>
          <w:szCs w:val="21"/>
          <w:highlight w:val="white"/>
        </w:rPr>
        <w:t>一、基金托管协议当事人</w:t>
      </w:r>
      <w:bookmarkEnd w:id="4"/>
      <w:bookmarkEnd w:id="5"/>
    </w:p>
    <w:p w:rsidR="002E7A0D">
      <w:pPr>
        <w:spacing w:line="360" w:lineRule="auto"/>
        <w:rPr>
          <w:rFonts w:ascii="宋体" w:hAnsi="宋体" w:cs="宋体"/>
        </w:rPr>
      </w:pPr>
      <w:r>
        <w:rPr>
          <w:rFonts w:ascii="宋体" w:hAnsi="宋体" w:cs="宋体" w:hint="eastAsia"/>
          <w:highlight w:val="white"/>
        </w:rPr>
        <w:t>（一）基金管理人（也可称资产管理人）</w:t>
      </w:r>
    </w:p>
    <w:p w:rsidR="002E7A0D">
      <w:pPr>
        <w:spacing w:line="360" w:lineRule="auto"/>
        <w:ind w:firstLine="420"/>
        <w:rPr>
          <w:rFonts w:ascii="宋体" w:hAnsi="宋体" w:cs="宋体"/>
        </w:rPr>
      </w:pPr>
      <w:r>
        <w:rPr>
          <w:rFonts w:ascii="宋体" w:hAnsi="宋体" w:cs="宋体" w:hint="eastAsia"/>
          <w:highlight w:val="white"/>
        </w:rPr>
        <w:t>名称：易方达基金管理有限公司</w:t>
      </w:r>
    </w:p>
    <w:p w:rsidR="002E7A0D">
      <w:pPr>
        <w:spacing w:line="360" w:lineRule="auto"/>
        <w:ind w:firstLine="420"/>
        <w:rPr>
          <w:rFonts w:ascii="宋体" w:hAnsi="宋体" w:cs="宋体"/>
        </w:rPr>
      </w:pPr>
      <w:r>
        <w:rPr>
          <w:rFonts w:ascii="宋体" w:hAnsi="宋体" w:cs="宋体" w:hint="eastAsia"/>
          <w:highlight w:val="white"/>
        </w:rPr>
        <w:t>住所：广东省珠海市横琴新区荣粤道188号6层</w:t>
      </w:r>
    </w:p>
    <w:p w:rsidR="002E7A0D">
      <w:pPr>
        <w:spacing w:line="360" w:lineRule="auto"/>
        <w:ind w:firstLine="420"/>
        <w:rPr>
          <w:rFonts w:ascii="宋体" w:hAnsi="宋体" w:cs="宋体"/>
        </w:rPr>
      </w:pPr>
      <w:r>
        <w:rPr>
          <w:rFonts w:ascii="宋体" w:hAnsi="宋体" w:cs="宋体" w:hint="eastAsia"/>
          <w:highlight w:val="white"/>
        </w:rPr>
        <w:t>法定代表人：</w:t>
      </w:r>
      <w:r w:rsidRPr="008103C5" w:rsidR="00C97BAD">
        <w:rPr>
          <w:rFonts w:ascii="宋体" w:hAnsi="宋体" w:cs="宋体" w:hint="eastAsia"/>
          <w:highlight w:val="white"/>
        </w:rPr>
        <w:t>吴欣荣</w:t>
      </w:r>
      <w:r>
        <w:rPr>
          <w:rFonts w:ascii="宋体" w:hAnsi="宋体" w:cs="宋体" w:hint="eastAsia"/>
          <w:highlight w:val="white"/>
        </w:rPr>
        <w:t xml:space="preserve"> </w:t>
      </w:r>
    </w:p>
    <w:p w:rsidR="002E7A0D">
      <w:pPr>
        <w:spacing w:line="360" w:lineRule="auto"/>
        <w:ind w:firstLine="420"/>
        <w:rPr>
          <w:rFonts w:ascii="宋体" w:hAnsi="宋体" w:cs="宋体"/>
        </w:rPr>
      </w:pPr>
      <w:r>
        <w:rPr>
          <w:rFonts w:ascii="宋体" w:hAnsi="宋体" w:cs="宋体" w:hint="eastAsia"/>
          <w:highlight w:val="white"/>
        </w:rPr>
        <w:t>设立日期：2001年4月17日</w:t>
      </w:r>
    </w:p>
    <w:p w:rsidR="002E7A0D">
      <w:pPr>
        <w:spacing w:line="360" w:lineRule="auto"/>
        <w:ind w:firstLine="420"/>
        <w:rPr>
          <w:rFonts w:ascii="宋体" w:hAnsi="宋体" w:cs="宋体"/>
        </w:rPr>
      </w:pPr>
      <w:r>
        <w:rPr>
          <w:rFonts w:ascii="宋体" w:hAnsi="宋体" w:cs="宋体" w:hint="eastAsia"/>
          <w:highlight w:val="white"/>
        </w:rPr>
        <w:t>批准设立机关及批准设立文号：中国证券监督管理委员会，证监基金字[2001]4号</w:t>
      </w:r>
    </w:p>
    <w:p w:rsidR="002E7A0D">
      <w:pPr>
        <w:spacing w:line="360" w:lineRule="auto"/>
        <w:ind w:firstLine="420"/>
        <w:rPr>
          <w:rFonts w:ascii="宋体" w:hAnsi="宋体" w:cs="宋体"/>
        </w:rPr>
      </w:pPr>
      <w:r>
        <w:rPr>
          <w:rFonts w:ascii="宋体" w:hAnsi="宋体" w:cs="宋体" w:hint="eastAsia"/>
          <w:highlight w:val="white"/>
        </w:rPr>
        <w:t>组织形式：有限责任公司</w:t>
      </w:r>
    </w:p>
    <w:p w:rsidR="002E7A0D">
      <w:pPr>
        <w:spacing w:line="360" w:lineRule="auto"/>
        <w:ind w:firstLine="420"/>
        <w:rPr>
          <w:rFonts w:ascii="宋体" w:hAnsi="宋体" w:cs="宋体"/>
        </w:rPr>
      </w:pPr>
      <w:r>
        <w:rPr>
          <w:rFonts w:ascii="宋体" w:hAnsi="宋体" w:cs="宋体" w:hint="eastAsia"/>
          <w:highlight w:val="white"/>
        </w:rPr>
        <w:t>注册资本：13,244.2万元人民币</w:t>
      </w:r>
    </w:p>
    <w:p w:rsidR="002E7A0D">
      <w:pPr>
        <w:spacing w:line="360" w:lineRule="auto"/>
        <w:ind w:firstLine="420"/>
        <w:rPr>
          <w:rFonts w:ascii="宋体" w:hAnsi="宋体" w:cs="宋体"/>
        </w:rPr>
      </w:pPr>
      <w:r>
        <w:rPr>
          <w:rFonts w:ascii="宋体" w:hAnsi="宋体" w:cs="宋体" w:hint="eastAsia"/>
          <w:highlight w:val="white"/>
        </w:rPr>
        <w:t>存续期限：持续经营</w:t>
      </w:r>
    </w:p>
    <w:p w:rsidR="002E7A0D">
      <w:pPr>
        <w:spacing w:line="360" w:lineRule="auto"/>
        <w:ind w:firstLine="420"/>
        <w:rPr>
          <w:rFonts w:ascii="宋体" w:hAnsi="宋体" w:cs="宋体"/>
        </w:rPr>
      </w:pPr>
      <w:r>
        <w:rPr>
          <w:rFonts w:ascii="宋体" w:hAnsi="宋体" w:cs="宋体" w:hint="eastAsia"/>
          <w:highlight w:val="white"/>
        </w:rPr>
        <w:t>联系电话：4008818088</w:t>
      </w:r>
    </w:p>
    <w:p w:rsidR="002E7A0D">
      <w:pPr>
        <w:spacing w:line="360" w:lineRule="auto"/>
        <w:rPr>
          <w:rFonts w:ascii="宋体" w:hAnsi="宋体" w:cs="宋体"/>
        </w:rPr>
      </w:pPr>
      <w:r>
        <w:rPr>
          <w:rFonts w:ascii="宋体" w:hAnsi="宋体" w:cs="宋体" w:hint="eastAsia"/>
          <w:highlight w:val="white"/>
        </w:rPr>
        <w:t>（二）基金托管人（也可称资产托管人）</w:t>
      </w:r>
    </w:p>
    <w:p w:rsidR="002E7A0D">
      <w:pPr>
        <w:spacing w:line="360" w:lineRule="auto"/>
        <w:ind w:firstLine="420"/>
        <w:rPr>
          <w:rFonts w:ascii="宋体" w:hAnsi="宋体" w:cs="宋体"/>
          <w:szCs w:val="21"/>
        </w:rPr>
      </w:pPr>
      <w:r>
        <w:rPr>
          <w:rFonts w:ascii="宋体" w:hAnsi="宋体" w:cs="宋体" w:hint="eastAsia"/>
          <w:szCs w:val="21"/>
          <w:highlight w:val="white"/>
        </w:rPr>
        <w:t>名称：招商银行股份有限公司(简称：招商银行)</w:t>
      </w:r>
    </w:p>
    <w:p w:rsidR="002E7A0D">
      <w:pPr>
        <w:spacing w:line="360" w:lineRule="auto"/>
        <w:ind w:firstLine="420"/>
        <w:rPr>
          <w:rFonts w:ascii="宋体" w:hAnsi="宋体" w:cs="宋体"/>
          <w:szCs w:val="21"/>
        </w:rPr>
      </w:pPr>
      <w:r>
        <w:rPr>
          <w:rFonts w:ascii="宋体" w:hAnsi="宋体" w:cs="宋体" w:hint="eastAsia"/>
          <w:szCs w:val="21"/>
          <w:highlight w:val="white"/>
        </w:rPr>
        <w:t>住所：深圳市深南大道7088号招商银行大厦</w:t>
      </w:r>
    </w:p>
    <w:p w:rsidR="002E7A0D">
      <w:pPr>
        <w:spacing w:line="360" w:lineRule="auto"/>
        <w:ind w:firstLine="420"/>
        <w:rPr>
          <w:rFonts w:ascii="宋体" w:hAnsi="宋体" w:cs="宋体"/>
          <w:szCs w:val="21"/>
        </w:rPr>
      </w:pPr>
      <w:r>
        <w:rPr>
          <w:rFonts w:ascii="宋体" w:hAnsi="宋体" w:cs="宋体" w:hint="eastAsia"/>
          <w:szCs w:val="21"/>
          <w:highlight w:val="white"/>
        </w:rPr>
        <w:t>办公地址：深圳市深南大道7088号招商银行大厦</w:t>
      </w:r>
    </w:p>
    <w:p w:rsidR="002E7A0D">
      <w:pPr>
        <w:spacing w:line="360" w:lineRule="auto"/>
        <w:ind w:firstLine="420"/>
        <w:rPr>
          <w:rFonts w:ascii="宋体" w:hAnsi="宋体" w:cs="宋体"/>
          <w:szCs w:val="21"/>
        </w:rPr>
      </w:pPr>
      <w:r>
        <w:rPr>
          <w:rFonts w:ascii="宋体" w:hAnsi="宋体" w:cs="宋体" w:hint="eastAsia"/>
          <w:szCs w:val="21"/>
          <w:highlight w:val="white"/>
        </w:rPr>
        <w:t>邮政编码：518040</w:t>
      </w:r>
    </w:p>
    <w:p w:rsidR="002E7A0D">
      <w:pPr>
        <w:spacing w:line="360" w:lineRule="auto"/>
        <w:ind w:firstLine="420"/>
        <w:rPr>
          <w:rFonts w:ascii="宋体" w:hAnsi="宋体" w:cs="宋体"/>
          <w:szCs w:val="21"/>
        </w:rPr>
      </w:pPr>
      <w:r>
        <w:rPr>
          <w:rFonts w:ascii="宋体" w:hAnsi="宋体" w:cs="宋体" w:hint="eastAsia"/>
          <w:szCs w:val="21"/>
          <w:highlight w:val="white"/>
        </w:rPr>
        <w:t>法定代表人：缪建民</w:t>
      </w:r>
    </w:p>
    <w:p w:rsidR="002E7A0D">
      <w:pPr>
        <w:spacing w:line="360" w:lineRule="auto"/>
        <w:ind w:firstLine="420"/>
        <w:rPr>
          <w:rFonts w:ascii="宋体" w:hAnsi="宋体" w:cs="宋体"/>
          <w:szCs w:val="21"/>
        </w:rPr>
      </w:pPr>
      <w:r>
        <w:rPr>
          <w:rFonts w:ascii="宋体" w:hAnsi="宋体" w:cs="宋体" w:hint="eastAsia"/>
          <w:szCs w:val="21"/>
          <w:highlight w:val="white"/>
        </w:rPr>
        <w:t>成立时间：1987年4月8日</w:t>
      </w:r>
    </w:p>
    <w:p w:rsidR="002E7A0D">
      <w:pPr>
        <w:spacing w:line="360" w:lineRule="auto"/>
        <w:ind w:firstLine="420"/>
        <w:rPr>
          <w:rFonts w:ascii="宋体" w:hAnsi="宋体" w:cs="宋体"/>
          <w:szCs w:val="21"/>
        </w:rPr>
      </w:pPr>
      <w:r>
        <w:rPr>
          <w:rFonts w:ascii="宋体" w:hAnsi="宋体" w:cs="宋体" w:hint="eastAsia"/>
          <w:szCs w:val="21"/>
          <w:highlight w:val="white"/>
        </w:rPr>
        <w:t>基金托管业务批准文号：证监基金字[2002]83号</w:t>
      </w:r>
    </w:p>
    <w:p w:rsidR="002E7A0D">
      <w:pPr>
        <w:spacing w:line="360" w:lineRule="auto"/>
        <w:ind w:firstLine="420"/>
        <w:rPr>
          <w:rFonts w:ascii="宋体" w:hAnsi="宋体" w:cs="宋体"/>
          <w:szCs w:val="21"/>
        </w:rPr>
      </w:pPr>
      <w:r>
        <w:rPr>
          <w:rFonts w:ascii="宋体" w:hAnsi="宋体" w:cs="宋体" w:hint="eastAsia"/>
          <w:szCs w:val="21"/>
          <w:highlight w:val="white"/>
        </w:rPr>
        <w:t>组织形式：股份有限公司</w:t>
      </w:r>
    </w:p>
    <w:p w:rsidR="002E7A0D">
      <w:pPr>
        <w:spacing w:line="360" w:lineRule="auto"/>
        <w:ind w:firstLine="420"/>
        <w:rPr>
          <w:rFonts w:ascii="宋体" w:hAnsi="宋体" w:cs="宋体"/>
          <w:szCs w:val="21"/>
        </w:rPr>
      </w:pPr>
      <w:r>
        <w:rPr>
          <w:rFonts w:ascii="宋体" w:hAnsi="宋体" w:cs="宋体" w:hint="eastAsia"/>
          <w:szCs w:val="21"/>
          <w:highlight w:val="white"/>
        </w:rPr>
        <w:t>注册资本：人民币252.20亿元</w:t>
      </w:r>
    </w:p>
    <w:p w:rsidR="002E7A0D">
      <w:pPr>
        <w:spacing w:line="360" w:lineRule="auto"/>
        <w:ind w:firstLine="420"/>
        <w:rPr>
          <w:rFonts w:ascii="宋体" w:hAnsi="宋体" w:cs="宋体"/>
          <w:szCs w:val="21"/>
        </w:rPr>
      </w:pPr>
      <w:r>
        <w:rPr>
          <w:rFonts w:ascii="宋体" w:hAnsi="宋体" w:cs="宋体" w:hint="eastAsia"/>
          <w:szCs w:val="21"/>
          <w:highlight w:val="white"/>
        </w:rPr>
        <w:t>存续期间：持续经营</w:t>
      </w: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6" w:name="_Toc348082030"/>
      <w:bookmarkStart w:id="7" w:name="_Toc384992692"/>
      <w:r>
        <w:rPr>
          <w:rFonts w:ascii="宋体" w:eastAsia="宋体" w:hAnsi="宋体" w:cs="宋体" w:hint="eastAsia"/>
          <w:sz w:val="21"/>
          <w:szCs w:val="21"/>
          <w:highlight w:val="white"/>
        </w:rPr>
        <w:t>二、基金托管协议的依据、目的和原则</w:t>
      </w:r>
      <w:bookmarkEnd w:id="6"/>
      <w:bookmarkEnd w:id="7"/>
    </w:p>
    <w:p w:rsidR="002E7A0D">
      <w:pPr>
        <w:spacing w:line="360" w:lineRule="auto"/>
        <w:ind w:firstLine="420"/>
        <w:rPr>
          <w:rFonts w:ascii="宋体" w:hAnsi="宋体" w:cs="宋体"/>
          <w:szCs w:val="21"/>
        </w:rPr>
      </w:pPr>
      <w:r>
        <w:rPr>
          <w:rFonts w:ascii="宋体" w:hAnsi="宋体" w:cs="宋体" w:hint="eastAsia"/>
          <w:szCs w:val="21"/>
          <w:highlight w:val="white"/>
        </w:rPr>
        <w:t>（一）订立托管协议的依据</w:t>
      </w:r>
    </w:p>
    <w:p w:rsidR="002E7A0D">
      <w:pPr>
        <w:spacing w:line="360" w:lineRule="auto"/>
        <w:ind w:firstLine="420"/>
        <w:rPr>
          <w:rFonts w:ascii="宋体" w:hAnsi="宋体" w:cs="宋体"/>
          <w:szCs w:val="21"/>
        </w:rPr>
      </w:pPr>
      <w:r>
        <w:rPr>
          <w:rFonts w:ascii="宋体" w:hAnsi="宋体" w:cs="宋体" w:hint="eastAsia"/>
          <w:szCs w:val="21"/>
          <w:highlight w:val="white"/>
        </w:rPr>
        <w:t>本协议依据《中华人民共和国民法典》、《中华人民共和国证券投资基金法》(简称“《基金法》”)、《公开募集证券投资基金运作管理办法》（简称“《运作办法》”）、《公开募集开放式证券投资基金流动性风险管理规定》</w:t>
      </w:r>
      <w:r>
        <w:rPr>
          <w:rFonts w:ascii="宋体" w:hAnsi="宋体" w:cs="宋体"/>
          <w:color w:val="000000"/>
          <w:highlight w:val="white"/>
        </w:rPr>
        <w:t>（简称“《流动性风险管理规定》”）</w:t>
      </w:r>
      <w:r>
        <w:rPr>
          <w:rFonts w:ascii="宋体" w:hAnsi="宋体" w:cs="宋体"/>
          <w:szCs w:val="21"/>
          <w:highlight w:val="white"/>
        </w:rPr>
        <w:t>、《公开募集证券投资基金信息披露管理办法》（简称“</w:t>
      </w:r>
      <w:r>
        <w:rPr>
          <w:rFonts w:ascii="宋体" w:hAnsi="宋体" w:cs="宋体" w:hint="eastAsia"/>
          <w:szCs w:val="21"/>
          <w:highlight w:val="white"/>
        </w:rPr>
        <w:t>《信息披露办法》</w:t>
      </w:r>
      <w:r>
        <w:rPr>
          <w:rFonts w:ascii="宋体" w:hAnsi="宋体" w:cs="宋体"/>
          <w:szCs w:val="21"/>
          <w:highlight w:val="white"/>
        </w:rPr>
        <w:t>”</w:t>
      </w:r>
      <w:r>
        <w:rPr>
          <w:rFonts w:ascii="宋体" w:hAnsi="宋体" w:cs="宋体" w:hint="eastAsia"/>
          <w:szCs w:val="21"/>
          <w:highlight w:val="white"/>
        </w:rPr>
        <w:t>）等有关法律法规、基金合同及其他有关规定制订。</w:t>
      </w:r>
    </w:p>
    <w:p w:rsidR="002E7A0D">
      <w:pPr>
        <w:spacing w:line="360" w:lineRule="auto"/>
        <w:ind w:firstLine="420"/>
        <w:rPr>
          <w:rFonts w:ascii="宋体" w:hAnsi="宋体" w:cs="宋体"/>
          <w:szCs w:val="21"/>
        </w:rPr>
      </w:pPr>
      <w:r>
        <w:rPr>
          <w:rFonts w:ascii="宋体" w:hAnsi="宋体" w:cs="宋体" w:hint="eastAsia"/>
          <w:szCs w:val="21"/>
          <w:highlight w:val="white"/>
        </w:rPr>
        <w:t>（二）订立托管协议的目的</w:t>
      </w:r>
    </w:p>
    <w:p w:rsidR="002E7A0D">
      <w:pPr>
        <w:spacing w:line="360" w:lineRule="auto"/>
        <w:ind w:firstLine="420"/>
        <w:rPr>
          <w:rFonts w:ascii="宋体" w:hAnsi="宋体" w:cs="宋体"/>
          <w:szCs w:val="21"/>
        </w:rPr>
      </w:pPr>
      <w:r>
        <w:rPr>
          <w:rFonts w:ascii="宋体" w:hAnsi="宋体" w:cs="宋体" w:hint="eastAsia"/>
          <w:szCs w:val="21"/>
          <w:highlight w:val="white"/>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E7A0D">
      <w:pPr>
        <w:spacing w:line="360" w:lineRule="auto"/>
        <w:ind w:firstLine="420"/>
        <w:rPr>
          <w:rFonts w:ascii="宋体" w:hAnsi="宋体" w:cs="宋体"/>
          <w:szCs w:val="21"/>
        </w:rPr>
      </w:pPr>
      <w:r>
        <w:rPr>
          <w:rFonts w:ascii="宋体" w:hAnsi="宋体" w:cs="宋体" w:hint="eastAsia"/>
          <w:szCs w:val="21"/>
          <w:highlight w:val="white"/>
        </w:rPr>
        <w:t>（三）订立托管协议的原则</w:t>
      </w:r>
    </w:p>
    <w:p w:rsidR="002E7A0D">
      <w:pPr>
        <w:spacing w:line="360" w:lineRule="auto"/>
        <w:ind w:firstLine="420"/>
        <w:rPr>
          <w:rFonts w:ascii="宋体" w:hAnsi="宋体" w:cs="宋体"/>
          <w:szCs w:val="21"/>
        </w:rPr>
      </w:pPr>
      <w:r>
        <w:rPr>
          <w:rFonts w:ascii="宋体" w:hAnsi="宋体" w:cs="宋体" w:hint="eastAsia"/>
          <w:szCs w:val="21"/>
          <w:highlight w:val="white"/>
        </w:rPr>
        <w:t>基金管理人和基金托管人本着平等自愿、诚实信用、充分保护基金份额持有人合法权益的原则，经协商一致，签订本协议。</w:t>
      </w:r>
    </w:p>
    <w:p w:rsidR="002E7A0D">
      <w:pPr>
        <w:spacing w:line="360" w:lineRule="auto"/>
        <w:ind w:firstLine="420"/>
        <w:rPr>
          <w:rFonts w:ascii="宋体" w:hAnsi="宋体" w:cs="宋体"/>
          <w:szCs w:val="21"/>
        </w:rPr>
      </w:pPr>
      <w:r>
        <w:rPr>
          <w:rFonts w:ascii="宋体" w:hAnsi="宋体" w:cs="宋体" w:hint="eastAsia"/>
          <w:szCs w:val="21"/>
          <w:highlight w:val="white"/>
        </w:rPr>
        <w:t>（四）解释</w:t>
      </w:r>
    </w:p>
    <w:p w:rsidR="002E7A0D">
      <w:pPr>
        <w:spacing w:line="360" w:lineRule="auto"/>
        <w:ind w:firstLine="420"/>
        <w:rPr>
          <w:rFonts w:ascii="宋体" w:hAnsi="宋体" w:cs="宋体"/>
          <w:szCs w:val="21"/>
        </w:rPr>
      </w:pPr>
      <w:r>
        <w:rPr>
          <w:rFonts w:ascii="宋体" w:hAnsi="宋体" w:cs="宋体" w:hint="eastAsia"/>
          <w:szCs w:val="21"/>
          <w:highlight w:val="white"/>
        </w:rPr>
        <w:t>除非文义另有所指，本协议的所有术语与基金合同的相应术语具有相同含义。</w:t>
      </w: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8" w:name="_Toc348082031"/>
      <w:bookmarkStart w:id="9" w:name="_Toc384992693"/>
      <w:r>
        <w:rPr>
          <w:rFonts w:ascii="宋体" w:eastAsia="宋体" w:hAnsi="宋体" w:cs="宋体" w:hint="eastAsia"/>
          <w:sz w:val="21"/>
          <w:szCs w:val="21"/>
          <w:highlight w:val="white"/>
        </w:rPr>
        <w:t>三、基金托管人对基金管理人的业务监督和核查</w:t>
      </w:r>
      <w:bookmarkEnd w:id="8"/>
      <w:bookmarkEnd w:id="9"/>
    </w:p>
    <w:p w:rsidR="002E7A0D">
      <w:pPr>
        <w:spacing w:line="360" w:lineRule="auto"/>
        <w:ind w:firstLine="420"/>
        <w:rPr>
          <w:rFonts w:ascii="宋体" w:hAnsi="宋体" w:cs="宋体"/>
          <w:szCs w:val="21"/>
        </w:rPr>
      </w:pPr>
      <w:r>
        <w:rPr>
          <w:rFonts w:ascii="宋体" w:hAnsi="宋体" w:cs="宋体" w:hint="eastAsia"/>
          <w:szCs w:val="21"/>
          <w:highlight w:val="white"/>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2E7A0D">
      <w:pPr>
        <w:spacing w:line="360" w:lineRule="auto"/>
        <w:ind w:firstLine="420"/>
        <w:rPr>
          <w:rFonts w:ascii="宋体" w:hAnsi="宋体" w:cs="宋体"/>
          <w:szCs w:val="21"/>
        </w:rPr>
      </w:pPr>
      <w:r>
        <w:rPr>
          <w:rFonts w:ascii="宋体" w:hAnsi="宋体" w:cs="宋体" w:hint="eastAsia"/>
          <w:szCs w:val="21"/>
          <w:highlight w:val="white"/>
        </w:rPr>
        <w:t>1.本基金的投资范围为：</w:t>
      </w:r>
    </w:p>
    <w:p w:rsidR="002E7A0D">
      <w:pPr>
        <w:spacing w:line="360" w:lineRule="auto"/>
        <w:ind w:firstLine="420"/>
        <w:rPr>
          <w:rFonts w:ascii="宋体" w:hAnsi="宋体" w:cs="宋体"/>
          <w:szCs w:val="21"/>
        </w:rPr>
      </w:pPr>
      <w:r>
        <w:rPr>
          <w:rFonts w:ascii="宋体" w:hAnsi="宋体" w:cs="宋体" w:hint="eastAsia"/>
          <w:szCs w:val="21"/>
        </w:rPr>
        <w:t>本基金的投资范围包括目标ETF、标的指数成份股及备选成份股（含存托凭证）、除标的指数成份股及备选成份股以外的其他股票（包括港股通标的股票、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2E7A0D">
      <w:pPr>
        <w:spacing w:line="360" w:lineRule="auto"/>
        <w:ind w:firstLine="420"/>
        <w:rPr>
          <w:rFonts w:ascii="宋体" w:hAnsi="宋体" w:cs="宋体"/>
          <w:szCs w:val="21"/>
        </w:rPr>
      </w:pPr>
      <w:r>
        <w:rPr>
          <w:rFonts w:ascii="宋体" w:hAnsi="宋体" w:cs="宋体" w:hint="eastAsia"/>
          <w:szCs w:val="21"/>
        </w:rPr>
        <w:t>如法律法规或监管机构以后允许基金投资其他品种，基金管理人在履行适当程序后，本基金可以将其纳入投资范围。</w:t>
      </w:r>
    </w:p>
    <w:p w:rsidR="002E7A0D">
      <w:pPr>
        <w:spacing w:line="360" w:lineRule="auto"/>
        <w:ind w:firstLine="420"/>
        <w:rPr>
          <w:rFonts w:ascii="宋体" w:hAnsi="宋体" w:cs="宋体"/>
          <w:szCs w:val="21"/>
        </w:rPr>
      </w:pPr>
      <w:r>
        <w:rPr>
          <w:rFonts w:ascii="宋体" w:hAnsi="宋体" w:cs="宋体" w:hint="eastAsia"/>
          <w:szCs w:val="21"/>
        </w:rPr>
        <w:t>本基金将根据法律法规的规定参与转融通证券出借及融资业务。</w:t>
      </w:r>
    </w:p>
    <w:p w:rsidR="002E7A0D">
      <w:pPr>
        <w:spacing w:line="360" w:lineRule="auto"/>
        <w:ind w:firstLine="420"/>
        <w:rPr>
          <w:rFonts w:ascii="宋体" w:hAnsi="宋体" w:cs="宋体"/>
          <w:szCs w:val="21"/>
        </w:rPr>
      </w:pPr>
      <w:r>
        <w:rPr>
          <w:rFonts w:ascii="宋体" w:hAnsi="宋体" w:cs="宋体"/>
          <w:szCs w:val="21"/>
          <w:highlight w:val="white"/>
        </w:rPr>
        <w:t>基金的投资组合比例为：</w:t>
      </w:r>
      <w:r>
        <w:rPr>
          <w:rFonts w:ascii="宋体" w:hAnsi="宋体" w:cs="宋体" w:hint="eastAsia"/>
          <w:szCs w:val="21"/>
        </w:rPr>
        <w:t>本基金投资于目标ETF的资产不低于基金资产净值的90%，保持不低于基金资产净值5%的现金或者到期日在一年以内的政府债券，其中现金不包括结算备付金、存出保证金和应收申购款等。</w:t>
      </w:r>
    </w:p>
    <w:p w:rsidR="002E7A0D">
      <w:pPr>
        <w:spacing w:line="360" w:lineRule="auto"/>
        <w:ind w:firstLine="420"/>
        <w:rPr>
          <w:rFonts w:ascii="宋体" w:hAnsi="宋体" w:cs="宋体"/>
          <w:szCs w:val="21"/>
        </w:rPr>
      </w:pPr>
      <w:r>
        <w:rPr>
          <w:rFonts w:ascii="宋体" w:hAnsi="宋体" w:cs="宋体" w:hint="eastAsia"/>
          <w:szCs w:val="21"/>
          <w:highlight w:val="white"/>
        </w:rPr>
        <w:t>2.本基金各类品种的投资比例、投资限制为：</w:t>
      </w:r>
    </w:p>
    <w:p w:rsidR="002E7A0D" w:rsidP="008A2896">
      <w:pPr>
        <w:spacing w:line="360" w:lineRule="auto"/>
        <w:ind w:firstLine="420"/>
      </w:pPr>
      <w:r w:rsidRPr="008A2896">
        <w:rPr>
          <w:rFonts w:ascii="宋体" w:hAnsi="宋体" w:cs="宋体"/>
          <w:color w:val="auto"/>
          <w:szCs w:val="21"/>
          <w:highlight w:val="white"/>
        </w:rPr>
        <w:t>（</w:t>
      </w:r>
      <w:r>
        <w:rPr>
          <w:rFonts w:ascii="宋体" w:hAnsi="宋体" w:cs="宋体"/>
          <w:color w:val="000000"/>
          <w:highlight w:val="white"/>
        </w:rPr>
        <w:t>1）本基金投资于目标ETF的资产不低于基金资产净值的90%；</w:t>
      </w:r>
    </w:p>
    <w:p w:rsidR="002E7A0D" w:rsidP="008A2896">
      <w:pPr>
        <w:spacing w:line="360" w:lineRule="auto"/>
        <w:ind w:firstLine="420"/>
      </w:pPr>
      <w:r>
        <w:rPr>
          <w:rFonts w:ascii="宋体" w:hAnsi="宋体" w:cs="宋体"/>
          <w:color w:val="000000"/>
          <w:highlight w:val="white"/>
        </w:rPr>
        <w:t>（2）保持不低于基金资产净值5%的现金或者到期日在一年以内的政府债券，其中现金不包括结算备付金、存出保证金和应收申购款等；</w:t>
      </w:r>
    </w:p>
    <w:p w:rsidR="002E7A0D" w:rsidP="008A2896">
      <w:pPr>
        <w:spacing w:line="360" w:lineRule="auto"/>
        <w:ind w:firstLine="420"/>
      </w:pPr>
      <w:r>
        <w:rPr>
          <w:rFonts w:ascii="宋体" w:hAnsi="宋体" w:cs="宋体"/>
          <w:color w:val="000000"/>
          <w:highlight w:val="white"/>
        </w:rPr>
        <w:t>（3）本基金投资于同一原始权益人的各类资产支持证券的比例，不得超过基金资产净值的10%；</w:t>
      </w:r>
    </w:p>
    <w:p w:rsidR="002E7A0D" w:rsidP="008A2896">
      <w:pPr>
        <w:spacing w:line="360" w:lineRule="auto"/>
        <w:ind w:firstLine="420"/>
      </w:pPr>
      <w:r>
        <w:rPr>
          <w:rFonts w:ascii="宋体" w:hAnsi="宋体" w:cs="宋体"/>
          <w:color w:val="000000"/>
          <w:highlight w:val="white"/>
        </w:rPr>
        <w:t>（4）本基金持有的全部资产支持证券，其市值不得超过基金资产净值的20%；</w:t>
      </w:r>
    </w:p>
    <w:p w:rsidR="002E7A0D" w:rsidP="008A2896">
      <w:pPr>
        <w:spacing w:line="360" w:lineRule="auto"/>
        <w:ind w:firstLine="420"/>
      </w:pPr>
      <w:r>
        <w:rPr>
          <w:rFonts w:ascii="宋体" w:hAnsi="宋体" w:cs="宋体"/>
          <w:color w:val="000000"/>
          <w:highlight w:val="white"/>
        </w:rPr>
        <w:t>（5）本基金持有的同一(指同一信用级别)资产支持证券的比例，不得超过该资产支持证券规模的10%；</w:t>
      </w:r>
    </w:p>
    <w:p w:rsidR="002E7A0D" w:rsidP="008A2896">
      <w:pPr>
        <w:spacing w:line="360" w:lineRule="auto"/>
        <w:ind w:firstLine="420"/>
      </w:pPr>
      <w:r>
        <w:rPr>
          <w:rFonts w:ascii="宋体" w:hAnsi="宋体" w:cs="宋体"/>
          <w:color w:val="000000"/>
          <w:highlight w:val="white"/>
        </w:rPr>
        <w:t>（6）本基金管理人管理的全部基金投资于同一原始权益人的各类资产支持证券，不得超过其各类资产支持证券合计规模的10%；</w:t>
      </w:r>
    </w:p>
    <w:p w:rsidR="002E7A0D" w:rsidP="008A2896">
      <w:pPr>
        <w:spacing w:line="360" w:lineRule="auto"/>
        <w:ind w:firstLine="420"/>
      </w:pPr>
      <w:r>
        <w:rPr>
          <w:rFonts w:ascii="宋体" w:hAnsi="宋体" w:cs="宋体"/>
          <w:color w:val="000000"/>
          <w:highlight w:val="white"/>
        </w:rPr>
        <w:t>（7）本基金应投资于信用级别评级为BBB以上(含BBB)的资产支持证券。基金持有资产支持证券期间，如果其信用等级下降、不再符合投资标准，应在评级报告发布之日起3个月内予以全部卖出；</w:t>
      </w:r>
    </w:p>
    <w:p w:rsidR="002E7A0D" w:rsidP="008A2896">
      <w:pPr>
        <w:spacing w:line="360" w:lineRule="auto"/>
        <w:ind w:firstLine="420"/>
      </w:pPr>
      <w:r>
        <w:rPr>
          <w:rFonts w:ascii="宋体" w:hAnsi="宋体" w:cs="宋体"/>
          <w:color w:val="000000"/>
          <w:highlight w:val="white"/>
        </w:rPr>
        <w:t>（8）基金财产参与股票发行申购，本基金所申报的金额不超过本基金的总资产，本基金所申报的股票数量不超过拟发行股票公司本次发行股票的总量；</w:t>
      </w:r>
    </w:p>
    <w:p w:rsidR="002E7A0D" w:rsidP="008A2896">
      <w:pPr>
        <w:spacing w:line="360" w:lineRule="auto"/>
        <w:ind w:firstLine="420"/>
      </w:pPr>
      <w:r>
        <w:rPr>
          <w:rFonts w:ascii="宋体" w:hAnsi="宋体" w:cs="宋体"/>
          <w:color w:val="000000"/>
          <w:highlight w:val="white"/>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2E7A0D" w:rsidP="008A2896">
      <w:pPr>
        <w:spacing w:line="360" w:lineRule="auto"/>
        <w:ind w:firstLine="420"/>
      </w:pPr>
      <w:r>
        <w:rPr>
          <w:rFonts w:ascii="宋体" w:hAnsi="宋体" w:cs="宋体"/>
          <w:color w:val="000000"/>
          <w:highlight w:val="white"/>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2E7A0D" w:rsidP="008A2896">
      <w:pPr>
        <w:spacing w:line="360" w:lineRule="auto"/>
        <w:ind w:firstLine="420"/>
      </w:pPr>
      <w:r>
        <w:rPr>
          <w:rFonts w:ascii="宋体" w:hAnsi="宋体" w:cs="宋体"/>
          <w:color w:val="000000"/>
          <w:highlight w:val="white"/>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2E7A0D" w:rsidP="008A2896">
      <w:pPr>
        <w:spacing w:line="360" w:lineRule="auto"/>
        <w:ind w:firstLine="420"/>
      </w:pPr>
      <w:r>
        <w:rPr>
          <w:rFonts w:ascii="宋体" w:hAnsi="宋体" w:cs="宋体"/>
          <w:color w:val="000000"/>
          <w:highlight w:val="white"/>
        </w:rPr>
        <w:t>（12）基金参与融资业务后，在任何交易日日终，持有的融资买入股票与其他有价证券市值之和，不得超过基金资产净值的95%；</w:t>
      </w:r>
    </w:p>
    <w:p w:rsidR="002E7A0D" w:rsidP="008A2896">
      <w:pPr>
        <w:spacing w:line="360" w:lineRule="auto"/>
        <w:ind w:firstLine="420"/>
      </w:pPr>
      <w:r>
        <w:rPr>
          <w:rFonts w:ascii="宋体" w:hAnsi="宋体" w:cs="宋体"/>
          <w:color w:val="000000"/>
          <w:highlight w:val="white"/>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2E7A0D" w:rsidP="008A2896">
      <w:pPr>
        <w:spacing w:line="360" w:lineRule="auto"/>
        <w:ind w:firstLine="420"/>
      </w:pPr>
      <w:r>
        <w:rPr>
          <w:rFonts w:ascii="宋体" w:hAnsi="宋体" w:cs="宋体"/>
          <w:color w:val="000000"/>
          <w:highlight w:val="white"/>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E7A0D" w:rsidP="008A2896">
      <w:pPr>
        <w:spacing w:line="360" w:lineRule="auto"/>
        <w:ind w:firstLine="420"/>
      </w:pPr>
      <w:r>
        <w:rPr>
          <w:rFonts w:ascii="宋体" w:hAnsi="宋体" w:cs="宋体"/>
          <w:color w:val="000000"/>
          <w:highlight w:val="white"/>
        </w:rPr>
        <w:t>（15）本基金与私募类证券资管产品及中国证监会认定的其他主体为交易对手开展逆回购交易的，可接受质押品的资质要求应当与基金合同约定的投资范围保持一致；</w:t>
      </w:r>
    </w:p>
    <w:p w:rsidR="002E7A0D" w:rsidP="008A2896">
      <w:pPr>
        <w:spacing w:line="360" w:lineRule="auto"/>
        <w:ind w:firstLine="420"/>
      </w:pPr>
      <w:r>
        <w:rPr>
          <w:rFonts w:ascii="宋体" w:hAnsi="宋体" w:cs="宋体"/>
          <w:color w:val="000000"/>
          <w:highlight w:val="white"/>
        </w:rPr>
        <w:t>（16）本基金资产总值不超过基金资产净值的140%；</w:t>
      </w:r>
    </w:p>
    <w:p w:rsidR="002E7A0D" w:rsidP="008A2896">
      <w:pPr>
        <w:spacing w:line="360" w:lineRule="auto"/>
        <w:ind w:firstLine="420"/>
      </w:pPr>
      <w:r>
        <w:rPr>
          <w:rFonts w:ascii="宋体" w:hAnsi="宋体" w:cs="宋体"/>
          <w:color w:val="000000"/>
          <w:highlight w:val="white"/>
        </w:rPr>
        <w:t>（17）本基金投资存托凭证的比例限制依照境内上市交易的股票执行，与境内上市交易的股票合并计算；</w:t>
      </w:r>
    </w:p>
    <w:p w:rsidR="002E7A0D" w:rsidP="008A2896">
      <w:pPr>
        <w:spacing w:line="360" w:lineRule="auto"/>
        <w:ind w:firstLine="420"/>
      </w:pPr>
      <w:r>
        <w:rPr>
          <w:rFonts w:ascii="宋体" w:hAnsi="宋体" w:cs="宋体"/>
          <w:color w:val="000000"/>
          <w:highlight w:val="white"/>
        </w:rPr>
        <w:t>（18）法律法规及中国证监会规定的和《基金合同》约定的其他投资限制。</w:t>
      </w:r>
    </w:p>
    <w:p w:rsidR="002E7A0D" w:rsidP="008A2896">
      <w:pPr>
        <w:spacing w:line="360" w:lineRule="auto"/>
        <w:ind w:firstLine="420"/>
      </w:pPr>
      <w:r>
        <w:rPr>
          <w:rFonts w:ascii="宋体" w:hAnsi="宋体" w:cs="宋体"/>
          <w:color w:val="000000"/>
          <w:highlight w:val="white"/>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2E7A0D" w:rsidP="008A2896">
      <w:pPr>
        <w:spacing w:line="360" w:lineRule="auto"/>
        <w:ind w:firstLine="420"/>
      </w:pPr>
      <w:r>
        <w:rPr>
          <w:rFonts w:ascii="宋体" w:hAnsi="宋体" w:cs="宋体"/>
          <w:color w:val="000000"/>
          <w:highlight w:val="white"/>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E7A0D">
      <w:pPr>
        <w:spacing w:line="360" w:lineRule="auto"/>
        <w:ind w:firstLine="420"/>
        <w:rPr>
          <w:rFonts w:ascii="宋体" w:hAnsi="宋体" w:cs="宋体"/>
          <w:szCs w:val="21"/>
        </w:rPr>
      </w:pPr>
      <w:r>
        <w:rPr>
          <w:rFonts w:ascii="宋体" w:hAnsi="宋体" w:cs="宋体" w:hint="eastAsia"/>
          <w:szCs w:val="21"/>
          <w:highlight w:val="white"/>
        </w:rPr>
        <w:t>3.本基金财产不得用于以下投资或者活动：</w:t>
      </w:r>
    </w:p>
    <w:p w:rsidR="002E7A0D">
      <w:pPr>
        <w:spacing w:line="360" w:lineRule="auto"/>
        <w:ind w:firstLine="400"/>
        <w:rPr>
          <w:rFonts w:ascii="宋体" w:hAnsi="宋体" w:cs="宋体"/>
          <w:szCs w:val="21"/>
        </w:rPr>
      </w:pPr>
      <w:r>
        <w:rPr>
          <w:rFonts w:ascii="宋体" w:hAnsi="宋体" w:cs="宋体"/>
          <w:szCs w:val="21"/>
          <w:highlight w:val="white"/>
        </w:rPr>
        <w:t>（1）承销证券；</w:t>
      </w:r>
    </w:p>
    <w:p w:rsidR="002E7A0D">
      <w:pPr>
        <w:spacing w:line="360" w:lineRule="auto"/>
        <w:ind w:firstLine="400"/>
        <w:rPr>
          <w:rFonts w:ascii="宋体" w:hAnsi="宋体" w:cs="宋体"/>
          <w:szCs w:val="21"/>
        </w:rPr>
      </w:pPr>
      <w:r>
        <w:rPr>
          <w:rFonts w:ascii="宋体" w:hAnsi="宋体" w:cs="宋体"/>
          <w:szCs w:val="21"/>
          <w:highlight w:val="white"/>
        </w:rPr>
        <w:t>（2）违反规定向他人贷款或者提供担保；</w:t>
      </w:r>
    </w:p>
    <w:p w:rsidR="002E7A0D">
      <w:pPr>
        <w:spacing w:line="360" w:lineRule="auto"/>
        <w:ind w:firstLine="400"/>
        <w:rPr>
          <w:rFonts w:ascii="宋体" w:hAnsi="宋体" w:cs="宋体"/>
          <w:szCs w:val="21"/>
        </w:rPr>
      </w:pPr>
      <w:r>
        <w:rPr>
          <w:rFonts w:ascii="宋体" w:hAnsi="宋体" w:cs="宋体"/>
          <w:szCs w:val="21"/>
          <w:highlight w:val="white"/>
        </w:rPr>
        <w:t>（3）从事承担无限责任的投资；</w:t>
      </w:r>
    </w:p>
    <w:p w:rsidR="002E7A0D">
      <w:pPr>
        <w:spacing w:line="360" w:lineRule="auto"/>
        <w:ind w:firstLine="400"/>
        <w:rPr>
          <w:rFonts w:ascii="宋体" w:hAnsi="宋体" w:cs="宋体"/>
          <w:szCs w:val="21"/>
        </w:rPr>
      </w:pPr>
      <w:r>
        <w:rPr>
          <w:rFonts w:ascii="宋体" w:hAnsi="宋体" w:cs="宋体"/>
          <w:szCs w:val="21"/>
          <w:highlight w:val="white"/>
        </w:rPr>
        <w:t>（4）向其基金管理人、基金托管人出资；</w:t>
      </w:r>
    </w:p>
    <w:p w:rsidR="002E7A0D">
      <w:pPr>
        <w:spacing w:line="360" w:lineRule="auto"/>
        <w:ind w:firstLine="400"/>
        <w:rPr>
          <w:rFonts w:ascii="宋体" w:hAnsi="宋体" w:cs="宋体"/>
          <w:szCs w:val="21"/>
        </w:rPr>
      </w:pPr>
      <w:r>
        <w:rPr>
          <w:rFonts w:ascii="宋体" w:hAnsi="宋体" w:cs="宋体"/>
          <w:szCs w:val="21"/>
          <w:highlight w:val="white"/>
        </w:rPr>
        <w:t>（5）从事内幕交易、操纵证券交易价格及其他不正当的证券交易活动；</w:t>
      </w:r>
    </w:p>
    <w:p w:rsidR="002E7A0D">
      <w:pPr>
        <w:spacing w:line="360" w:lineRule="auto"/>
        <w:ind w:firstLine="400"/>
        <w:rPr>
          <w:rFonts w:ascii="宋体" w:hAnsi="宋体" w:cs="宋体"/>
          <w:szCs w:val="21"/>
        </w:rPr>
      </w:pPr>
      <w:r>
        <w:rPr>
          <w:rFonts w:ascii="宋体" w:hAnsi="宋体" w:cs="宋体"/>
          <w:szCs w:val="21"/>
          <w:highlight w:val="white"/>
        </w:rPr>
        <w:t>（6）法律、行政法规和中国证监会规定禁止的其他活动。</w:t>
      </w:r>
    </w:p>
    <w:p w:rsidR="002E7A0D">
      <w:pPr>
        <w:spacing w:line="360" w:lineRule="auto"/>
        <w:ind w:firstLine="420"/>
        <w:rPr>
          <w:rFonts w:ascii="宋体" w:hAnsi="宋体" w:cs="宋体"/>
          <w:szCs w:val="21"/>
        </w:rPr>
      </w:pPr>
      <w:r>
        <w:rPr>
          <w:rFonts w:ascii="宋体" w:hAnsi="宋体" w:cs="宋体" w:hint="eastAsia"/>
          <w:szCs w:val="21"/>
          <w:highlight w:val="white"/>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E7A0D">
      <w:pPr>
        <w:spacing w:line="360" w:lineRule="auto"/>
        <w:ind w:firstLine="420"/>
        <w:rPr>
          <w:rFonts w:ascii="宋体" w:hAnsi="宋体" w:cs="宋体"/>
          <w:szCs w:val="21"/>
        </w:rPr>
      </w:pPr>
      <w:bookmarkStart w:id="10" w:name="_GoBack"/>
      <w:bookmarkEnd w:id="10"/>
      <w:r>
        <w:rPr>
          <w:rFonts w:ascii="宋体" w:hAnsi="宋体" w:cs="宋体" w:hint="eastAsia"/>
          <w:szCs w:val="21"/>
          <w:highlight w:val="white"/>
        </w:rPr>
        <w:t>5.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E7A0D">
      <w:pPr>
        <w:spacing w:line="360" w:lineRule="auto"/>
        <w:ind w:firstLine="420"/>
        <w:rPr>
          <w:rFonts w:ascii="宋体" w:hAnsi="宋体" w:cs="宋体"/>
          <w:szCs w:val="21"/>
        </w:rPr>
      </w:pPr>
      <w:r>
        <w:rPr>
          <w:rFonts w:ascii="宋体" w:hAnsi="宋体" w:cs="宋体" w:hint="eastAsia"/>
          <w:szCs w:val="21"/>
          <w:highlight w:val="white"/>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2E7A0D">
      <w:pPr>
        <w:spacing w:line="360" w:lineRule="auto"/>
        <w:ind w:firstLine="420"/>
        <w:rPr>
          <w:rFonts w:ascii="宋体" w:hAnsi="宋体" w:cs="宋体"/>
          <w:szCs w:val="21"/>
        </w:rPr>
      </w:pPr>
      <w:r>
        <w:rPr>
          <w:rFonts w:ascii="宋体" w:hAnsi="宋体" w:cs="宋体" w:hint="eastAsia"/>
          <w:szCs w:val="21"/>
          <w:highlight w:val="white"/>
        </w:rPr>
        <w:t>本基金投资银行存款应符合如下规定：</w:t>
      </w:r>
    </w:p>
    <w:p w:rsidR="002E7A0D">
      <w:pPr>
        <w:spacing w:line="360" w:lineRule="auto"/>
        <w:ind w:firstLine="420"/>
        <w:rPr>
          <w:rFonts w:ascii="宋体" w:hAnsi="宋体" w:cs="宋体"/>
        </w:rPr>
      </w:pPr>
      <w:r>
        <w:rPr>
          <w:rFonts w:ascii="宋体" w:hAnsi="宋体" w:cs="宋体" w:hint="eastAsia"/>
          <w:szCs w:val="21"/>
          <w:highlight w:val="white"/>
        </w:rPr>
        <w:t>1.</w:t>
      </w:r>
      <w:r>
        <w:rPr>
          <w:rFonts w:ascii="宋体" w:hAnsi="宋体" w:cs="宋体"/>
          <w:highlight w:val="white"/>
        </w:rPr>
        <w:t>本基金投资</w:t>
      </w:r>
      <w:r>
        <w:rPr>
          <w:rFonts w:ascii="宋体" w:hAnsi="宋体" w:cs="宋体" w:hint="eastAsia"/>
          <w:highlight w:val="white"/>
        </w:rPr>
        <w:t>于有固定期限银行存款</w:t>
      </w:r>
      <w:r>
        <w:rPr>
          <w:rFonts w:ascii="宋体" w:hAnsi="宋体" w:cs="宋体"/>
          <w:highlight w:val="white"/>
        </w:rPr>
        <w:t>的比例不得超过基金资产净值的30%，</w:t>
      </w:r>
      <w:r>
        <w:rPr>
          <w:rFonts w:ascii="宋体" w:hAnsi="宋体" w:cs="宋体" w:hint="eastAsia"/>
          <w:highlight w:val="white"/>
        </w:rPr>
        <w:t>但投资于有存款期限，</w:t>
      </w:r>
      <w:r>
        <w:rPr>
          <w:rFonts w:ascii="宋体" w:hAnsi="宋体" w:cs="宋体"/>
          <w:highlight w:val="white"/>
        </w:rPr>
        <w:t>根据协议可提前支取的银行存款，不受</w:t>
      </w:r>
      <w:r>
        <w:rPr>
          <w:rFonts w:ascii="宋体" w:hAnsi="宋体" w:cs="宋体" w:hint="eastAsia"/>
          <w:highlight w:val="white"/>
        </w:rPr>
        <w:t>上述比例</w:t>
      </w:r>
      <w:r>
        <w:rPr>
          <w:rFonts w:ascii="宋体" w:hAnsi="宋体" w:cs="宋体"/>
          <w:highlight w:val="white"/>
        </w:rPr>
        <w:t>限制；</w:t>
      </w:r>
      <w:r>
        <w:rPr>
          <w:rFonts w:ascii="宋体" w:hAnsi="宋体" w:cs="宋体" w:hint="eastAsia"/>
          <w:highlight w:val="white"/>
        </w:rPr>
        <w:t>投资于</w:t>
      </w:r>
      <w:r>
        <w:rPr>
          <w:rFonts w:ascii="宋体" w:hAnsi="宋体" w:cs="宋体"/>
          <w:highlight w:val="white"/>
        </w:rPr>
        <w:t>具有基金托管</w:t>
      </w:r>
      <w:r>
        <w:rPr>
          <w:rFonts w:ascii="宋体" w:hAnsi="宋体" w:cs="宋体" w:hint="eastAsia"/>
          <w:highlight w:val="white"/>
        </w:rPr>
        <w:t>人</w:t>
      </w:r>
      <w:r>
        <w:rPr>
          <w:rFonts w:ascii="宋体" w:hAnsi="宋体" w:cs="宋体"/>
          <w:highlight w:val="white"/>
        </w:rPr>
        <w:t>资格的同一</w:t>
      </w:r>
      <w:r>
        <w:rPr>
          <w:rFonts w:ascii="宋体" w:hAnsi="宋体" w:cs="宋体" w:hint="eastAsia"/>
          <w:highlight w:val="white"/>
        </w:rPr>
        <w:t>商业</w:t>
      </w:r>
      <w:r>
        <w:rPr>
          <w:rFonts w:ascii="宋体" w:hAnsi="宋体" w:cs="宋体"/>
          <w:highlight w:val="white"/>
        </w:rPr>
        <w:t>银行</w:t>
      </w:r>
      <w:r>
        <w:rPr>
          <w:rFonts w:ascii="宋体" w:hAnsi="宋体" w:cs="宋体" w:hint="eastAsia"/>
          <w:highlight w:val="white"/>
        </w:rPr>
        <w:t>的银行</w:t>
      </w:r>
      <w:r>
        <w:rPr>
          <w:rFonts w:ascii="宋体" w:hAnsi="宋体" w:cs="宋体"/>
          <w:highlight w:val="white"/>
        </w:rPr>
        <w:t>存款</w:t>
      </w:r>
      <w:r>
        <w:rPr>
          <w:rFonts w:ascii="宋体" w:hAnsi="宋体" w:cs="宋体" w:hint="eastAsia"/>
          <w:highlight w:val="white"/>
        </w:rPr>
        <w:t>、同业存单占基金资产净值的比例合计</w:t>
      </w:r>
      <w:r>
        <w:rPr>
          <w:rFonts w:ascii="宋体" w:hAnsi="宋体" w:cs="宋体"/>
          <w:highlight w:val="white"/>
        </w:rPr>
        <w:t>不得超过20%；</w:t>
      </w:r>
      <w:r>
        <w:rPr>
          <w:rFonts w:ascii="宋体" w:hAnsi="宋体" w:cs="宋体" w:hint="eastAsia"/>
          <w:highlight w:val="white"/>
        </w:rPr>
        <w:t>投资于</w:t>
      </w:r>
      <w:r>
        <w:rPr>
          <w:rFonts w:ascii="宋体" w:hAnsi="宋体" w:cs="宋体"/>
          <w:highlight w:val="white"/>
        </w:rPr>
        <w:t>不具有基金托管</w:t>
      </w:r>
      <w:r>
        <w:rPr>
          <w:rFonts w:ascii="宋体" w:hAnsi="宋体" w:cs="宋体" w:hint="eastAsia"/>
          <w:highlight w:val="white"/>
        </w:rPr>
        <w:t>人</w:t>
      </w:r>
      <w:r>
        <w:rPr>
          <w:rFonts w:ascii="宋体" w:hAnsi="宋体" w:cs="宋体"/>
          <w:highlight w:val="white"/>
        </w:rPr>
        <w:t>资格的同一商业银行的</w:t>
      </w:r>
      <w:r>
        <w:rPr>
          <w:rFonts w:ascii="宋体" w:hAnsi="宋体" w:cs="宋体" w:hint="eastAsia"/>
          <w:highlight w:val="white"/>
        </w:rPr>
        <w:t>银行</w:t>
      </w:r>
      <w:r>
        <w:rPr>
          <w:rFonts w:ascii="宋体" w:hAnsi="宋体" w:cs="宋体"/>
          <w:highlight w:val="white"/>
        </w:rPr>
        <w:t>存款</w:t>
      </w:r>
      <w:r>
        <w:rPr>
          <w:rFonts w:ascii="宋体" w:hAnsi="宋体" w:cs="宋体" w:hint="eastAsia"/>
          <w:highlight w:val="white"/>
        </w:rPr>
        <w:t>、同业存单占基金资产净值的比例合计</w:t>
      </w:r>
      <w:r>
        <w:rPr>
          <w:rFonts w:ascii="宋体" w:hAnsi="宋体" w:cs="宋体"/>
          <w:highlight w:val="white"/>
        </w:rPr>
        <w:t>不得超过5%。</w:t>
      </w:r>
    </w:p>
    <w:p w:rsidR="002E7A0D">
      <w:pPr>
        <w:spacing w:line="360" w:lineRule="auto"/>
        <w:ind w:firstLine="420"/>
        <w:rPr>
          <w:rFonts w:ascii="宋体" w:hAnsi="宋体" w:cs="宋体"/>
          <w:szCs w:val="21"/>
        </w:rPr>
      </w:pPr>
      <w:r>
        <w:rPr>
          <w:rFonts w:ascii="宋体" w:hAnsi="宋体" w:cs="宋体" w:hint="eastAsia"/>
          <w:szCs w:val="21"/>
          <w:highlight w:val="white"/>
        </w:rPr>
        <w:t>有关法律法规或监管部门制定或修改新的定期存款投资政策，基金管理人可相应调整投资组合限制的规定。</w:t>
      </w:r>
    </w:p>
    <w:p w:rsidR="002E7A0D">
      <w:pPr>
        <w:spacing w:line="360" w:lineRule="auto"/>
        <w:ind w:firstLine="420"/>
        <w:rPr>
          <w:rFonts w:ascii="宋体" w:hAnsi="宋体" w:cs="宋体"/>
          <w:szCs w:val="21"/>
        </w:rPr>
      </w:pPr>
      <w:r>
        <w:rPr>
          <w:rFonts w:ascii="宋体" w:hAnsi="宋体" w:cs="宋体" w:hint="eastAsia"/>
          <w:szCs w:val="21"/>
          <w:highlight w:val="white"/>
        </w:rPr>
        <w:t>2</w:t>
      </w:r>
      <w:r>
        <w:rPr>
          <w:rFonts w:ascii="宋体" w:hAnsi="宋体" w:cs="宋体"/>
          <w:szCs w:val="21"/>
          <w:highlight w:val="white"/>
        </w:rPr>
        <w:t>.</w:t>
      </w:r>
      <w:r>
        <w:rPr>
          <w:rFonts w:ascii="宋体" w:hAnsi="宋体" w:cs="宋体" w:hint="eastAsia"/>
          <w:szCs w:val="21"/>
          <w:highlight w:val="white"/>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2E7A0D">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）基金管理人负责控制信用风险。信用风险主要包括存款银行的信用等级、存款银行的支付能力等涉及到存款银行选择方面的风险。因选择存款银行不当造成基金财产损失的，由基金管理人承担责任。</w:t>
      </w:r>
    </w:p>
    <w:p w:rsidR="002E7A0D">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2E7A0D">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）基金管理人须加强内部风险控制制度的建设。如因基金管理人员工职务行为导致基金财产受到损失的，需由基金管理人承担由此造成的损失。</w:t>
      </w:r>
    </w:p>
    <w:p w:rsidR="002E7A0D">
      <w:pPr>
        <w:spacing w:line="360" w:lineRule="auto"/>
        <w:ind w:firstLine="420"/>
        <w:rPr>
          <w:rFonts w:ascii="宋体" w:hAnsi="宋体" w:cs="宋体"/>
          <w:szCs w:val="21"/>
        </w:rPr>
      </w:pPr>
      <w:r>
        <w:rPr>
          <w:rFonts w:ascii="宋体" w:hAnsi="宋体" w:cs="宋体" w:hint="eastAsia"/>
          <w:szCs w:val="21"/>
          <w:highlight w:val="white"/>
        </w:rPr>
        <w:t>（4）基金管理人与基金托管人在开展基金存款业务时，应严格遵守《基金法》、《运作办法》等有关法律法规，以及国家有关账户管理、利率管理、支付结算等的各项规定。</w:t>
      </w:r>
    </w:p>
    <w:p w:rsidR="002E7A0D">
      <w:pPr>
        <w:spacing w:line="360" w:lineRule="auto"/>
        <w:ind w:firstLine="420"/>
        <w:rPr>
          <w:rFonts w:ascii="宋体" w:hAnsi="宋体" w:cs="宋体"/>
          <w:szCs w:val="21"/>
        </w:rPr>
      </w:pPr>
      <w:r>
        <w:rPr>
          <w:rFonts w:ascii="宋体" w:hAnsi="宋体" w:cs="宋体" w:hint="eastAsia"/>
          <w:szCs w:val="21"/>
          <w:highlight w:val="white"/>
        </w:rPr>
        <w:t>（三）基金投资银行存款协议的签订、账户开设与管理、投资指令与资金划付、账目核对、到期兑付、提前支取</w:t>
      </w:r>
    </w:p>
    <w:p w:rsidR="002E7A0D">
      <w:pPr>
        <w:spacing w:line="360" w:lineRule="auto"/>
        <w:ind w:firstLine="420"/>
        <w:rPr>
          <w:rFonts w:ascii="宋体" w:hAnsi="宋体" w:cs="宋体"/>
          <w:szCs w:val="21"/>
        </w:rPr>
      </w:pPr>
      <w:r>
        <w:rPr>
          <w:rFonts w:ascii="宋体" w:hAnsi="宋体" w:cs="宋体" w:hint="eastAsia"/>
          <w:szCs w:val="21"/>
          <w:highlight w:val="white"/>
        </w:rPr>
        <w:t>1.基金投资银行存款协议的签订</w:t>
      </w:r>
    </w:p>
    <w:p w:rsidR="002E7A0D">
      <w:pPr>
        <w:spacing w:line="360" w:lineRule="auto"/>
        <w:ind w:firstLine="420"/>
        <w:rPr>
          <w:rFonts w:ascii="宋体" w:hAnsi="宋体" w:cs="宋体"/>
          <w:szCs w:val="21"/>
        </w:rPr>
      </w:pPr>
      <w:r>
        <w:rPr>
          <w:rFonts w:ascii="宋体" w:hAnsi="宋体" w:cs="宋体" w:hint="eastAsia"/>
          <w:szCs w:val="21"/>
          <w:highlight w:val="white"/>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2E7A0D">
      <w:pPr>
        <w:spacing w:line="360" w:lineRule="auto"/>
        <w:ind w:firstLine="420"/>
        <w:rPr>
          <w:rFonts w:ascii="宋体" w:hAnsi="宋体" w:cs="宋体"/>
          <w:szCs w:val="21"/>
        </w:rPr>
      </w:pPr>
      <w:r>
        <w:rPr>
          <w:rFonts w:ascii="宋体" w:hAnsi="宋体" w:cs="宋体" w:hint="eastAsia"/>
          <w:szCs w:val="21"/>
          <w:highlight w:val="white"/>
        </w:rPr>
        <w:t>（2）基金托管人依据相关法规对《总体合作协议》和《存款协议书》的内容进行复核，审查存款银行资格等。</w:t>
      </w:r>
    </w:p>
    <w:p w:rsidR="002E7A0D">
      <w:pPr>
        <w:spacing w:line="360" w:lineRule="auto"/>
        <w:ind w:firstLine="420"/>
        <w:rPr>
          <w:rFonts w:ascii="宋体" w:hAnsi="宋体" w:cs="宋体"/>
          <w:szCs w:val="21"/>
        </w:rPr>
      </w:pPr>
      <w:r>
        <w:rPr>
          <w:rFonts w:ascii="宋体" w:hAnsi="宋体" w:cs="宋体" w:hint="eastAsia"/>
          <w:szCs w:val="21"/>
          <w:highlight w:val="white"/>
        </w:rPr>
        <w:t>（3）基金管理人应在《存款协议书》中明确存款证实书或其他有效存款凭证的办理方式、邮寄地址、联系人和联系电话，以及存款证实书或其他有效凭证在邮寄过程中遗失后，存款余额的确认及兑付办法等。</w:t>
      </w:r>
    </w:p>
    <w:p w:rsidR="002E7A0D">
      <w:pPr>
        <w:spacing w:line="360" w:lineRule="auto"/>
        <w:ind w:firstLine="420"/>
        <w:rPr>
          <w:rFonts w:ascii="宋体" w:hAnsi="宋体" w:cs="宋体"/>
          <w:szCs w:val="21"/>
        </w:rPr>
      </w:pPr>
      <w:r>
        <w:rPr>
          <w:rFonts w:ascii="宋体" w:hAnsi="宋体" w:cs="宋体" w:hint="eastAsia"/>
          <w:szCs w:val="21"/>
          <w:highlight w:val="white"/>
        </w:rPr>
        <w:t>（4）由存款银行指定的存放存款的分支机构（以下简称“存款分支机构</w:t>
      </w:r>
      <w:r>
        <w:rPr>
          <w:rFonts w:ascii="宋体" w:hAnsi="宋体" w:cs="宋体"/>
          <w:szCs w:val="21"/>
          <w:highlight w:val="white"/>
        </w:rPr>
        <w:t>”</w:t>
      </w:r>
      <w:r>
        <w:rPr>
          <w:rFonts w:ascii="宋体" w:hAnsi="宋体" w:cs="宋体" w:hint="eastAsia"/>
          <w:szCs w:val="21"/>
          <w:highlight w:val="white"/>
        </w:rPr>
        <w:t>）寄送或上门交付存款证实书或其他有效存款凭证的，基金托管人可向存款分支机构的上级行发出存款余额询证函，存款分支机构及其上级行应予配合。</w:t>
      </w:r>
    </w:p>
    <w:p w:rsidR="002E7A0D">
      <w:pPr>
        <w:spacing w:line="360" w:lineRule="auto"/>
        <w:ind w:firstLine="420"/>
        <w:rPr>
          <w:rFonts w:ascii="宋体" w:hAnsi="宋体" w:cs="宋体"/>
          <w:szCs w:val="21"/>
        </w:rPr>
      </w:pPr>
      <w:r>
        <w:rPr>
          <w:rFonts w:ascii="宋体" w:hAnsi="宋体" w:cs="宋体" w:hint="eastAsia"/>
          <w:szCs w:val="21"/>
          <w:highlight w:val="white"/>
        </w:rPr>
        <w:t>（5）基金管理人应在《存款协议书》中规定，基金存放到期或提前兑付的资金应全部划转到指定的基金托管账户，并在《存款协议书》写明账户名称和账号，未划入指定账户的，由存款银行承担一切责任。</w:t>
      </w:r>
    </w:p>
    <w:p w:rsidR="002E7A0D">
      <w:pPr>
        <w:spacing w:line="360" w:lineRule="auto"/>
        <w:ind w:firstLine="420"/>
        <w:rPr>
          <w:rFonts w:ascii="宋体" w:hAnsi="宋体" w:cs="宋体"/>
          <w:szCs w:val="21"/>
        </w:rPr>
      </w:pPr>
      <w:r>
        <w:rPr>
          <w:rFonts w:ascii="宋体" w:hAnsi="宋体" w:cs="宋体" w:hint="eastAsia"/>
          <w:szCs w:val="21"/>
          <w:highlight w:val="white"/>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2E7A0D">
      <w:pPr>
        <w:spacing w:line="360" w:lineRule="auto"/>
        <w:ind w:firstLine="420"/>
        <w:rPr>
          <w:rFonts w:ascii="宋体" w:hAnsi="宋体" w:cs="宋体"/>
          <w:szCs w:val="21"/>
        </w:rPr>
      </w:pPr>
      <w:r>
        <w:rPr>
          <w:rFonts w:ascii="宋体" w:hAnsi="宋体" w:cs="宋体" w:hint="eastAsia"/>
          <w:szCs w:val="21"/>
          <w:highlight w:val="white"/>
        </w:rPr>
        <w:t>（7）基金管理人应在《存款协议书》中规定，因定期存款产生的存单不得被质押或以任何方式被抵押，不得用于转让和背书。</w:t>
      </w:r>
    </w:p>
    <w:p w:rsidR="002E7A0D">
      <w:pPr>
        <w:spacing w:line="360" w:lineRule="auto"/>
        <w:ind w:firstLine="420"/>
        <w:rPr>
          <w:rFonts w:ascii="宋体" w:hAnsi="宋体" w:cs="宋体"/>
          <w:szCs w:val="21"/>
        </w:rPr>
      </w:pPr>
      <w:r>
        <w:rPr>
          <w:rFonts w:ascii="宋体" w:hAnsi="宋体" w:cs="宋体" w:hint="eastAsia"/>
          <w:szCs w:val="21"/>
          <w:highlight w:val="white"/>
        </w:rPr>
        <w:t>2.基金投资银行存款时的账户开设与管理</w:t>
      </w:r>
    </w:p>
    <w:p w:rsidR="002E7A0D">
      <w:pPr>
        <w:spacing w:line="360" w:lineRule="auto"/>
        <w:ind w:firstLine="420"/>
        <w:rPr>
          <w:rFonts w:ascii="宋体" w:hAnsi="宋体" w:cs="宋体"/>
          <w:szCs w:val="21"/>
        </w:rPr>
      </w:pPr>
      <w:r>
        <w:rPr>
          <w:rFonts w:ascii="宋体" w:hAnsi="宋体" w:cs="宋体" w:hint="eastAsia"/>
          <w:szCs w:val="21"/>
          <w:highlight w:val="white"/>
        </w:rPr>
        <w:t>（1）基金投资于银行存款时，基金管理人应当依据基金管理人与存款银行签订的《总体合作协议》、《存款协议书》等，以基金的名义在存款银行总行或授权分行指定的分支机构开立银行账户。</w:t>
      </w:r>
    </w:p>
    <w:p w:rsidR="002E7A0D">
      <w:pPr>
        <w:spacing w:line="360" w:lineRule="auto"/>
        <w:ind w:firstLine="420"/>
        <w:rPr>
          <w:rFonts w:ascii="宋体" w:hAnsi="宋体" w:cs="宋体"/>
          <w:szCs w:val="21"/>
        </w:rPr>
      </w:pPr>
      <w:r>
        <w:rPr>
          <w:rFonts w:ascii="宋体" w:hAnsi="宋体" w:cs="宋体" w:hint="eastAsia"/>
          <w:szCs w:val="21"/>
          <w:highlight w:val="white"/>
        </w:rPr>
        <w:t>（2）基金投资于银行存款时的预留印鉴由基金托管人保管和使用。</w:t>
      </w:r>
    </w:p>
    <w:p w:rsidR="002E7A0D">
      <w:pPr>
        <w:spacing w:line="360" w:lineRule="auto"/>
        <w:ind w:firstLine="420"/>
        <w:rPr>
          <w:rFonts w:ascii="宋体" w:hAnsi="宋体" w:cs="宋体"/>
          <w:szCs w:val="21"/>
        </w:rPr>
      </w:pPr>
      <w:r>
        <w:rPr>
          <w:rFonts w:ascii="宋体" w:hAnsi="宋体" w:cs="宋体" w:hint="eastAsia"/>
          <w:szCs w:val="21"/>
          <w:highlight w:val="white"/>
        </w:rPr>
        <w:t>3.存款凭证传递、账目核对及到期兑付</w:t>
      </w:r>
    </w:p>
    <w:p w:rsidR="002E7A0D">
      <w:pPr>
        <w:spacing w:line="360" w:lineRule="auto"/>
        <w:ind w:firstLine="420"/>
        <w:rPr>
          <w:rFonts w:ascii="宋体" w:hAnsi="宋体" w:cs="宋体"/>
          <w:szCs w:val="21"/>
        </w:rPr>
      </w:pPr>
      <w:r>
        <w:rPr>
          <w:rFonts w:ascii="宋体" w:hAnsi="宋体" w:cs="宋体" w:hint="eastAsia"/>
          <w:szCs w:val="21"/>
          <w:highlight w:val="white"/>
        </w:rPr>
        <w:t>（1）存款证实书等存款凭证传递</w:t>
      </w:r>
    </w:p>
    <w:p w:rsidR="002E7A0D">
      <w:pPr>
        <w:spacing w:line="360" w:lineRule="auto"/>
        <w:ind w:firstLine="420"/>
        <w:rPr>
          <w:rFonts w:ascii="宋体" w:hAnsi="宋体" w:cs="宋体"/>
          <w:szCs w:val="21"/>
        </w:rPr>
      </w:pPr>
      <w:r>
        <w:rPr>
          <w:rFonts w:ascii="宋体" w:hAnsi="宋体" w:cs="宋体"/>
          <w:szCs w:val="21"/>
          <w:highlight w:val="white"/>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2E7A0D">
      <w:pPr>
        <w:spacing w:line="360" w:lineRule="auto"/>
        <w:ind w:firstLine="420"/>
        <w:rPr>
          <w:rFonts w:ascii="宋体" w:hAnsi="宋体" w:cs="宋体"/>
          <w:szCs w:val="21"/>
        </w:rPr>
      </w:pPr>
      <w:r>
        <w:rPr>
          <w:rFonts w:ascii="宋体" w:hAnsi="宋体" w:cs="宋体" w:hint="eastAsia"/>
          <w:szCs w:val="21"/>
          <w:highlight w:val="white"/>
        </w:rPr>
        <w:t>（2）存款凭证的遗失补办</w:t>
      </w:r>
    </w:p>
    <w:p w:rsidR="002E7A0D">
      <w:pPr>
        <w:spacing w:line="360" w:lineRule="auto"/>
        <w:ind w:firstLine="420"/>
        <w:rPr>
          <w:rFonts w:ascii="宋体" w:hAnsi="宋体" w:cs="宋体"/>
          <w:szCs w:val="21"/>
        </w:rPr>
      </w:pPr>
      <w:r>
        <w:rPr>
          <w:rFonts w:ascii="宋体" w:hAnsi="宋体" w:cs="宋体" w:hint="eastAsia"/>
          <w:szCs w:val="21"/>
          <w:highlight w:val="white"/>
        </w:rPr>
        <w:t>存款凭证在邮寄过程中遗失的，由基金管理人向存款银行提出补办申请，基金管理人应督促存款银行尽快补办存款凭证，并按以上（1）的方式快递或上门交付至基金托管人，原存款凭证自动作废。</w:t>
      </w:r>
    </w:p>
    <w:p w:rsidR="002E7A0D">
      <w:pPr>
        <w:spacing w:line="360" w:lineRule="auto"/>
        <w:ind w:firstLine="420"/>
        <w:rPr>
          <w:rFonts w:ascii="宋体" w:hAnsi="宋体" w:cs="宋体"/>
          <w:szCs w:val="21"/>
        </w:rPr>
      </w:pPr>
      <w:r>
        <w:rPr>
          <w:rFonts w:ascii="宋体" w:hAnsi="宋体" w:cs="宋体" w:hint="eastAsia"/>
          <w:szCs w:val="21"/>
          <w:highlight w:val="white"/>
        </w:rPr>
        <w:t>（3）账目核对</w:t>
      </w:r>
    </w:p>
    <w:p w:rsidR="002E7A0D">
      <w:pPr>
        <w:spacing w:line="360" w:lineRule="auto"/>
        <w:ind w:firstLine="420"/>
        <w:rPr>
          <w:rFonts w:ascii="宋体" w:hAnsi="宋体" w:cs="宋体"/>
          <w:szCs w:val="21"/>
        </w:rPr>
      </w:pPr>
      <w:r>
        <w:rPr>
          <w:rFonts w:ascii="宋体" w:hAnsi="宋体" w:cs="宋体" w:hint="eastAsia"/>
          <w:szCs w:val="21"/>
          <w:highlight w:val="white"/>
        </w:rPr>
        <w:t>每个工作日，基金管理人应与基金托管人核对各项银行存款投资余额及应计利息。</w:t>
      </w:r>
    </w:p>
    <w:p w:rsidR="002E7A0D">
      <w:pPr>
        <w:spacing w:line="360" w:lineRule="auto"/>
        <w:ind w:firstLine="420"/>
        <w:rPr>
          <w:rFonts w:ascii="宋体" w:hAnsi="宋体" w:cs="宋体"/>
          <w:szCs w:val="21"/>
        </w:rPr>
      </w:pPr>
      <w:r>
        <w:rPr>
          <w:rFonts w:ascii="宋体" w:hAnsi="宋体" w:cs="宋体" w:hint="eastAsia"/>
          <w:szCs w:val="21"/>
          <w:highlight w:val="white"/>
        </w:rPr>
        <w:t>基金管理人应在《存款协议书》中规定，对于存期超过3个月的定期存款，基金托管人于每季度向存款银行发起查询查复，存款银行应按照人行查询查复的有关时限要求及时回复。基金管理人有责任督促存款银行及时回复查询查复。因存款银行未及时回复造成的资金被挪用、盗取的责任由存款银行承担。</w:t>
      </w:r>
    </w:p>
    <w:p w:rsidR="002E7A0D">
      <w:pPr>
        <w:spacing w:line="360" w:lineRule="auto"/>
        <w:ind w:firstLine="420"/>
        <w:rPr>
          <w:rFonts w:ascii="宋体" w:hAnsi="宋体" w:cs="宋体"/>
          <w:szCs w:val="21"/>
        </w:rPr>
      </w:pPr>
      <w:r>
        <w:rPr>
          <w:rFonts w:ascii="宋体" w:hAnsi="宋体" w:cs="宋体" w:hint="eastAsia"/>
          <w:szCs w:val="21"/>
          <w:highlight w:val="white"/>
        </w:rPr>
        <w:t>存款银行应配合基金托管人对存款凭证的询证，并在询证函上加盖存款银行公章寄送至基金托管人指定联系人。</w:t>
      </w:r>
    </w:p>
    <w:p w:rsidR="002E7A0D">
      <w:pPr>
        <w:spacing w:line="360" w:lineRule="auto"/>
        <w:ind w:firstLine="420"/>
        <w:rPr>
          <w:rFonts w:ascii="宋体" w:hAnsi="宋体" w:cs="宋体"/>
          <w:szCs w:val="21"/>
        </w:rPr>
      </w:pPr>
      <w:r>
        <w:rPr>
          <w:rFonts w:ascii="宋体" w:hAnsi="宋体" w:cs="宋体" w:hint="eastAsia"/>
          <w:szCs w:val="21"/>
          <w:highlight w:val="white"/>
        </w:rPr>
        <w:t>（4）到期兑付</w:t>
      </w:r>
    </w:p>
    <w:p w:rsidR="002E7A0D">
      <w:pPr>
        <w:spacing w:line="360" w:lineRule="auto"/>
        <w:ind w:firstLine="420"/>
        <w:rPr>
          <w:rFonts w:ascii="宋体" w:hAnsi="宋体" w:cs="宋体"/>
          <w:szCs w:val="21"/>
        </w:rPr>
      </w:pPr>
      <w:r>
        <w:rPr>
          <w:rFonts w:ascii="宋体" w:hAnsi="宋体" w:cs="宋体" w:hint="eastAsia"/>
          <w:szCs w:val="21"/>
          <w:highlight w:val="white"/>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2E7A0D">
      <w:pPr>
        <w:spacing w:line="360" w:lineRule="auto"/>
        <w:ind w:firstLine="420"/>
        <w:rPr>
          <w:rFonts w:ascii="宋体" w:hAnsi="宋体" w:cs="宋体"/>
          <w:szCs w:val="21"/>
        </w:rPr>
      </w:pPr>
      <w:r>
        <w:rPr>
          <w:rFonts w:ascii="宋体" w:hAnsi="宋体" w:cs="宋体" w:hint="eastAsia"/>
          <w:szCs w:val="21"/>
          <w:highlight w:val="white"/>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2E7A0D">
      <w:pPr>
        <w:spacing w:line="360" w:lineRule="auto"/>
        <w:ind w:firstLine="420"/>
        <w:rPr>
          <w:rFonts w:ascii="宋体" w:hAnsi="宋体" w:cs="宋体"/>
          <w:szCs w:val="21"/>
        </w:rPr>
      </w:pPr>
      <w:r>
        <w:rPr>
          <w:rFonts w:ascii="宋体" w:hAnsi="宋体" w:cs="宋体" w:hint="eastAsia"/>
          <w:szCs w:val="21"/>
          <w:highlight w:val="white"/>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2E7A0D">
      <w:pPr>
        <w:spacing w:line="360" w:lineRule="auto"/>
        <w:ind w:firstLine="420"/>
        <w:rPr>
          <w:rFonts w:ascii="宋体" w:hAnsi="宋体" w:cs="宋体"/>
          <w:szCs w:val="21"/>
        </w:rPr>
      </w:pPr>
      <w:r>
        <w:rPr>
          <w:rFonts w:ascii="宋体" w:hAnsi="宋体" w:cs="宋体" w:hint="eastAsia"/>
          <w:szCs w:val="21"/>
          <w:highlight w:val="white"/>
        </w:rPr>
        <w:t>4.提前支取</w:t>
      </w:r>
    </w:p>
    <w:p w:rsidR="002E7A0D">
      <w:pPr>
        <w:spacing w:line="360" w:lineRule="auto"/>
        <w:ind w:firstLine="420"/>
        <w:rPr>
          <w:rFonts w:ascii="宋体" w:hAnsi="宋体" w:cs="宋体"/>
          <w:szCs w:val="21"/>
        </w:rPr>
      </w:pPr>
      <w:r>
        <w:rPr>
          <w:rFonts w:ascii="宋体" w:hAnsi="宋体" w:cs="宋体" w:hint="eastAsia"/>
          <w:szCs w:val="21"/>
          <w:highlight w:val="white"/>
        </w:rPr>
        <w:t>如果在存款期限内，由于基金规模发生缩减的原因或者出于流动性管理的需要等原因，基金管理人可以提前支取全部或部分资金。</w:t>
      </w:r>
    </w:p>
    <w:p w:rsidR="002E7A0D">
      <w:pPr>
        <w:spacing w:line="360" w:lineRule="auto"/>
        <w:ind w:firstLine="420"/>
        <w:rPr>
          <w:rFonts w:ascii="宋体" w:hAnsi="宋体" w:cs="宋体"/>
          <w:szCs w:val="21"/>
        </w:rPr>
      </w:pPr>
      <w:r>
        <w:rPr>
          <w:rFonts w:ascii="宋体" w:hAnsi="宋体" w:cs="宋体" w:hint="eastAsia"/>
          <w:szCs w:val="21"/>
          <w:highlight w:val="white"/>
        </w:rPr>
        <w:t>提前支取的具体事项按照基金管理人与存款银行签订的《存款协议书》执行。</w:t>
      </w:r>
    </w:p>
    <w:p w:rsidR="002E7A0D">
      <w:pPr>
        <w:spacing w:line="360" w:lineRule="auto"/>
        <w:ind w:firstLine="420"/>
        <w:rPr>
          <w:rFonts w:ascii="宋体" w:hAnsi="宋体" w:cs="宋体"/>
          <w:szCs w:val="21"/>
        </w:rPr>
      </w:pPr>
      <w:r>
        <w:rPr>
          <w:rFonts w:ascii="宋体" w:hAnsi="宋体" w:cs="宋体" w:hint="eastAsia"/>
          <w:szCs w:val="21"/>
          <w:highlight w:val="white"/>
        </w:rPr>
        <w:t>5.基金投资银行存款的监督</w:t>
      </w:r>
    </w:p>
    <w:p w:rsidR="002E7A0D">
      <w:pPr>
        <w:spacing w:line="360" w:lineRule="auto"/>
        <w:ind w:firstLine="420"/>
        <w:rPr>
          <w:rFonts w:ascii="宋体" w:hAnsi="宋体" w:cs="宋体"/>
          <w:szCs w:val="21"/>
        </w:rPr>
      </w:pPr>
      <w:r>
        <w:rPr>
          <w:rFonts w:ascii="宋体" w:hAnsi="宋体" w:cs="宋体" w:hint="eastAsia"/>
          <w:szCs w:val="21"/>
          <w:highlight w:val="white"/>
        </w:rPr>
        <w:t>基金托管人发现基金管理人在进行存款投资时有违反有关法律法规的规定及《基金合同》的约定的行为，应及时以书面形式通知基金管理人在</w:t>
      </w:r>
      <w:r>
        <w:rPr>
          <w:rFonts w:ascii="宋体" w:hAnsi="宋体" w:cs="宋体"/>
          <w:szCs w:val="21"/>
          <w:highlight w:val="white"/>
        </w:rPr>
        <w:t>10</w:t>
      </w:r>
      <w:r>
        <w:rPr>
          <w:rFonts w:ascii="宋体" w:hAnsi="宋体" w:cs="宋体" w:hint="eastAsia"/>
          <w:szCs w:val="21"/>
          <w:highlight w:val="white"/>
        </w:rPr>
        <w:t>个工作日内纠正。基金管理人对基金托管人通知的违规事项未能在</w:t>
      </w:r>
      <w:r>
        <w:rPr>
          <w:rFonts w:ascii="宋体" w:hAnsi="宋体" w:cs="宋体"/>
          <w:szCs w:val="21"/>
          <w:highlight w:val="white"/>
        </w:rPr>
        <w:t>10</w:t>
      </w:r>
      <w:r>
        <w:rPr>
          <w:rFonts w:ascii="宋体" w:hAnsi="宋体" w:cs="宋体" w:hint="eastAsia"/>
          <w:szCs w:val="21"/>
          <w:highlight w:val="white"/>
        </w:rPr>
        <w:t>个工作日内纠正的，基金托管人应报告中国证监会。基金托管人发现基金管理人有重大违规行为，应立即报告中国证监会，同时通知基金管理人在</w:t>
      </w:r>
      <w:r>
        <w:rPr>
          <w:rFonts w:ascii="宋体" w:hAnsi="宋体" w:cs="宋体"/>
          <w:szCs w:val="21"/>
          <w:highlight w:val="white"/>
        </w:rPr>
        <w:t xml:space="preserve">10 </w:t>
      </w:r>
      <w:r>
        <w:rPr>
          <w:rFonts w:ascii="宋体" w:hAnsi="宋体" w:cs="宋体" w:hint="eastAsia"/>
          <w:szCs w:val="21"/>
          <w:highlight w:val="white"/>
        </w:rPr>
        <w:t>个工作日内纠正或拒绝结算，若因基金管理人拒不执行造成基金财产损失的，相关损失由基金管理人承担，基金托管人不承担任何责任。</w:t>
      </w:r>
    </w:p>
    <w:p w:rsidR="002E7A0D">
      <w:pPr>
        <w:spacing w:line="360" w:lineRule="auto"/>
        <w:ind w:firstLine="420"/>
        <w:rPr>
          <w:rFonts w:ascii="宋体" w:hAnsi="宋体" w:cs="宋体"/>
          <w:szCs w:val="21"/>
        </w:rPr>
      </w:pPr>
      <w:r>
        <w:rPr>
          <w:rFonts w:ascii="宋体" w:hAnsi="宋体" w:cs="宋体"/>
          <w:szCs w:val="21"/>
          <w:highlight w:val="white"/>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Pr>
          <w:rFonts w:ascii="宋体" w:hAnsi="宋体" w:cs="宋体" w:hint="eastAsia"/>
          <w:szCs w:val="21"/>
          <w:highlight w:val="white"/>
        </w:rPr>
        <w:t>如基金管理人在基金投资运作之前未向基金托管人提供银行间债券市场交易对手名单的，视为基金管理人认可全市场交易对手。</w:t>
      </w:r>
      <w:r>
        <w:rPr>
          <w:rFonts w:ascii="宋体" w:hAnsi="宋体" w:cs="宋体"/>
          <w:szCs w:val="21"/>
          <w:highlight w:val="white"/>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2E7A0D">
      <w:pPr>
        <w:spacing w:line="360" w:lineRule="auto"/>
        <w:ind w:firstLine="420"/>
        <w:rPr>
          <w:rFonts w:ascii="宋体" w:hAnsi="宋体" w:cs="宋体"/>
          <w:szCs w:val="21"/>
        </w:rPr>
      </w:pPr>
      <w:r>
        <w:rPr>
          <w:rFonts w:ascii="宋体" w:hAnsi="宋体" w:cs="宋体" w:hint="eastAsia"/>
          <w:szCs w:val="21"/>
          <w:highlight w:val="white"/>
        </w:rPr>
        <w:t>基金管理人负责对交易对手的资信控制，按银行间债券市场的交易规则进行交易，并负责处理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E7A0D">
      <w:pPr>
        <w:spacing w:line="360" w:lineRule="auto"/>
        <w:ind w:firstLine="420"/>
        <w:rPr>
          <w:rFonts w:ascii="宋体" w:hAnsi="宋体" w:cs="宋体"/>
          <w:szCs w:val="21"/>
        </w:rPr>
      </w:pPr>
      <w:r>
        <w:rPr>
          <w:rFonts w:ascii="宋体" w:hAnsi="宋体" w:cs="宋体" w:hint="eastAsia"/>
          <w:szCs w:val="21"/>
          <w:highlight w:val="white"/>
        </w:rPr>
        <w:t>（五）本基金投资流通受限证券，应遵守《关于基金投资非公开发行股票等流通受限证券有关问题的通知》等有关监管规定。</w:t>
      </w:r>
    </w:p>
    <w:p w:rsidR="002E7A0D">
      <w:pPr>
        <w:spacing w:line="360" w:lineRule="auto"/>
        <w:ind w:firstLine="420"/>
        <w:rPr>
          <w:rFonts w:ascii="宋体" w:hAnsi="宋体" w:cs="宋体"/>
          <w:szCs w:val="21"/>
        </w:rPr>
      </w:pPr>
      <w:r>
        <w:rPr>
          <w:rFonts w:ascii="宋体" w:hAnsi="宋体" w:cs="宋体" w:hint="eastAsia"/>
          <w:szCs w:val="21"/>
          <w:highlight w:val="white"/>
        </w:rPr>
        <w:t>1.流通受限证券包括由《上市公司证券发行</w:t>
      </w:r>
      <w:r>
        <w:rPr>
          <w:rFonts w:ascii="宋体" w:hAnsi="宋体" w:cs="宋体"/>
          <w:color w:val="000000"/>
          <w:highlight w:val="white"/>
        </w:rPr>
        <w:t>注册</w:t>
      </w:r>
      <w:r>
        <w:rPr>
          <w:rFonts w:ascii="宋体" w:hAnsi="宋体" w:cs="宋体"/>
          <w:szCs w:val="21"/>
          <w:highlight w:val="white"/>
        </w:rPr>
        <w:t>管理办法》规范的非公开发行股票、公开发行股票网下配售部分等在发行时明确一定期限锁定期的可交易证券，不包括由于发布重大消息或其他原因而临时停牌的证券、已发行未上市证券、回购交易中的质押</w:t>
      </w:r>
      <w:r>
        <w:rPr>
          <w:rFonts w:ascii="宋体" w:hAnsi="宋体" w:cs="宋体" w:hint="eastAsia"/>
          <w:szCs w:val="21"/>
          <w:highlight w:val="white"/>
        </w:rPr>
        <w:t>券等流通受限证券。</w:t>
      </w:r>
    </w:p>
    <w:p w:rsidR="002E7A0D">
      <w:pPr>
        <w:spacing w:line="360" w:lineRule="auto"/>
        <w:ind w:firstLine="420"/>
        <w:rPr>
          <w:rFonts w:ascii="宋体" w:hAnsi="宋体" w:cs="宋体"/>
          <w:szCs w:val="21"/>
        </w:rPr>
      </w:pPr>
      <w:r>
        <w:rPr>
          <w:rFonts w:ascii="宋体" w:hAnsi="宋体" w:cs="宋体" w:hint="eastAsia"/>
          <w:szCs w:val="21"/>
          <w:highlight w:val="white"/>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2E7A0D">
      <w:pPr>
        <w:spacing w:line="360" w:lineRule="auto"/>
        <w:ind w:firstLine="420"/>
        <w:rPr>
          <w:rFonts w:ascii="宋体" w:hAnsi="宋体" w:cs="宋体"/>
          <w:szCs w:val="21"/>
        </w:rPr>
      </w:pPr>
      <w:r>
        <w:rPr>
          <w:rFonts w:ascii="宋体" w:hAnsi="宋体" w:cs="宋体" w:hint="eastAsia"/>
          <w:szCs w:val="21"/>
          <w:highlight w:val="white"/>
        </w:rPr>
        <w:t>本基金不得投资未经中国证监会批准的非公开发行证券。</w:t>
      </w:r>
    </w:p>
    <w:p w:rsidR="002E7A0D">
      <w:pPr>
        <w:spacing w:line="360" w:lineRule="auto"/>
        <w:ind w:firstLine="420"/>
        <w:rPr>
          <w:rFonts w:ascii="宋体" w:hAnsi="宋体" w:cs="宋体"/>
          <w:szCs w:val="21"/>
        </w:rPr>
      </w:pPr>
      <w:r>
        <w:rPr>
          <w:rFonts w:ascii="宋体" w:hAnsi="宋体" w:cs="宋体" w:hint="eastAsia"/>
          <w:szCs w:val="21"/>
          <w:highlight w:val="white"/>
        </w:rPr>
        <w:t>本基金不得投资有锁定期但锁定期不明确的证券。</w:t>
      </w:r>
    </w:p>
    <w:p w:rsidR="002E7A0D">
      <w:pPr>
        <w:spacing w:line="360" w:lineRule="auto"/>
        <w:ind w:firstLine="420"/>
        <w:rPr>
          <w:rFonts w:ascii="宋体" w:hAnsi="宋体" w:cs="宋体"/>
          <w:szCs w:val="21"/>
        </w:rPr>
      </w:pPr>
      <w:r>
        <w:rPr>
          <w:rFonts w:ascii="宋体" w:hAnsi="宋体" w:cs="宋体" w:hint="eastAsia"/>
          <w:szCs w:val="21"/>
          <w:highlight w:val="white"/>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E7A0D">
      <w:pPr>
        <w:spacing w:line="360" w:lineRule="auto"/>
        <w:ind w:firstLine="420"/>
        <w:rPr>
          <w:rFonts w:ascii="宋体" w:hAnsi="宋体" w:cs="宋体"/>
          <w:szCs w:val="21"/>
        </w:rPr>
      </w:pPr>
      <w:r>
        <w:rPr>
          <w:rFonts w:ascii="宋体" w:hAnsi="宋体" w:cs="宋体" w:hint="eastAsia"/>
          <w:szCs w:val="21"/>
          <w:highlight w:val="white"/>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2E7A0D">
      <w:pPr>
        <w:spacing w:line="360" w:lineRule="auto"/>
        <w:ind w:firstLine="420"/>
        <w:rPr>
          <w:rFonts w:ascii="宋体" w:hAnsi="宋体" w:cs="宋体"/>
          <w:szCs w:val="21"/>
        </w:rPr>
      </w:pPr>
      <w:r>
        <w:rPr>
          <w:rFonts w:ascii="宋体" w:hAnsi="宋体" w:cs="宋体" w:hint="eastAsia"/>
          <w:szCs w:val="21"/>
          <w:highlight w:val="white"/>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2E7A0D">
      <w:pPr>
        <w:spacing w:line="360" w:lineRule="auto"/>
        <w:ind w:firstLine="420"/>
        <w:rPr>
          <w:rFonts w:ascii="宋体" w:hAnsi="宋体" w:cs="宋体"/>
          <w:szCs w:val="21"/>
        </w:rPr>
      </w:pPr>
      <w:r>
        <w:rPr>
          <w:rFonts w:ascii="宋体" w:hAnsi="宋体" w:cs="宋体" w:hint="eastAsia"/>
          <w:szCs w:val="21"/>
          <w:highlight w:val="white"/>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2E7A0D">
      <w:pPr>
        <w:spacing w:line="360" w:lineRule="auto"/>
        <w:ind w:firstLine="420"/>
        <w:rPr>
          <w:rFonts w:ascii="宋体" w:hAnsi="宋体" w:cs="宋体"/>
          <w:szCs w:val="21"/>
        </w:rPr>
      </w:pPr>
      <w:r>
        <w:rPr>
          <w:rFonts w:ascii="宋体" w:hAnsi="宋体" w:cs="宋体" w:hint="eastAsia"/>
          <w:szCs w:val="21"/>
          <w:highlight w:val="white"/>
        </w:rPr>
        <w:t>由于基金管理人未及时提供有关证券的具体的必要的信息，致使托管人无法审核认购指令而影响认购款项划拨的，基金托管人免于承担责任。</w:t>
      </w:r>
    </w:p>
    <w:p w:rsidR="002E7A0D">
      <w:pPr>
        <w:spacing w:line="360" w:lineRule="auto"/>
        <w:ind w:firstLine="420"/>
        <w:rPr>
          <w:rFonts w:ascii="宋体" w:hAnsi="宋体" w:cs="宋体"/>
          <w:szCs w:val="21"/>
        </w:rPr>
      </w:pPr>
      <w:r>
        <w:rPr>
          <w:rFonts w:ascii="宋体" w:hAnsi="宋体" w:cs="宋体" w:hint="eastAsia"/>
          <w:szCs w:val="21"/>
          <w:highlight w:val="white"/>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2E7A0D">
      <w:pPr>
        <w:spacing w:line="360" w:lineRule="auto"/>
        <w:ind w:firstLine="420"/>
        <w:rPr>
          <w:rFonts w:ascii="宋体" w:hAnsi="宋体" w:cs="宋体"/>
          <w:szCs w:val="21"/>
        </w:rPr>
      </w:pPr>
      <w:r>
        <w:rPr>
          <w:rFonts w:ascii="宋体" w:hAnsi="宋体" w:cs="宋体" w:hint="eastAsia"/>
          <w:szCs w:val="21"/>
          <w:highlight w:val="white"/>
        </w:rPr>
        <w:t>5.</w:t>
      </w:r>
      <w:r>
        <w:rPr>
          <w:rFonts w:ascii="宋体" w:hAnsi="宋体" w:cs="宋体"/>
          <w:szCs w:val="21"/>
          <w:highlight w:val="white"/>
        </w:rPr>
        <w:t>基金管理</w:t>
      </w:r>
      <w:r>
        <w:rPr>
          <w:rFonts w:ascii="宋体" w:hAnsi="宋体" w:cs="宋体" w:hint="eastAsia"/>
          <w:szCs w:val="21"/>
          <w:highlight w:val="white"/>
        </w:rPr>
        <w:t>人</w:t>
      </w:r>
      <w:r>
        <w:rPr>
          <w:rFonts w:ascii="宋体" w:hAnsi="宋体" w:cs="宋体"/>
          <w:szCs w:val="21"/>
          <w:highlight w:val="white"/>
        </w:rPr>
        <w:t>应在基金投资非公开发行股票后两个交易日内,在中国证监会</w:t>
      </w:r>
      <w:r>
        <w:rPr>
          <w:rFonts w:ascii="宋体" w:hAnsi="宋体" w:cs="宋体" w:hint="eastAsia"/>
          <w:szCs w:val="21"/>
          <w:highlight w:val="white"/>
        </w:rPr>
        <w:t>规定</w:t>
      </w:r>
      <w:r>
        <w:rPr>
          <w:rFonts w:ascii="宋体" w:hAnsi="宋体" w:cs="宋体"/>
          <w:szCs w:val="21"/>
          <w:highlight w:val="white"/>
        </w:rPr>
        <w:t>媒介披露所投资非公开发行股票的名称、数量、总成本、账面价值,以及总成本和账面价值占基金资产净值的比例、锁定期等信息。</w:t>
      </w:r>
    </w:p>
    <w:p w:rsidR="002E7A0D">
      <w:pPr>
        <w:spacing w:line="360" w:lineRule="auto"/>
        <w:ind w:firstLine="420"/>
        <w:rPr>
          <w:rFonts w:ascii="宋体" w:hAnsi="宋体" w:cs="宋体"/>
          <w:szCs w:val="21"/>
        </w:rPr>
      </w:pPr>
      <w:r>
        <w:rPr>
          <w:rFonts w:ascii="宋体" w:hAnsi="宋体" w:cs="宋体" w:hint="eastAsia"/>
          <w:szCs w:val="21"/>
          <w:highlight w:val="white"/>
        </w:rPr>
        <w:t>（六）基金管理人应当对投资中期票据业务进行研究，认真评估中期票据投资业务的风险，本着审慎、勤勉尽责的原则进行中期票据的投资业务，并应符合法律法规及监管机构的相关规定。</w:t>
      </w:r>
    </w:p>
    <w:p w:rsidR="002E7A0D">
      <w:pPr>
        <w:spacing w:line="360" w:lineRule="auto"/>
        <w:ind w:firstLine="420"/>
        <w:rPr>
          <w:rFonts w:ascii="宋体" w:hAnsi="宋体" w:cs="宋体"/>
          <w:bCs/>
          <w:color w:val="000000"/>
          <w:szCs w:val="21"/>
        </w:rPr>
      </w:pPr>
      <w:r>
        <w:rPr>
          <w:rFonts w:ascii="宋体" w:hAnsi="宋体" w:cs="宋体" w:hint="eastAsia"/>
          <w:szCs w:val="21"/>
          <w:highlight w:val="white"/>
        </w:rPr>
        <w:t>（七）</w:t>
      </w:r>
      <w:r>
        <w:rPr>
          <w:rFonts w:ascii="宋体" w:hAnsi="宋体" w:cs="宋体" w:hint="eastAsia"/>
          <w:bCs/>
          <w:color w:val="000000" w:themeColor="text1"/>
          <w:szCs w:val="21"/>
          <w:highlight w:val="white"/>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rsidR="002E7A0D">
      <w:pPr>
        <w:spacing w:line="360" w:lineRule="auto"/>
        <w:ind w:firstLine="420"/>
        <w:rPr>
          <w:rFonts w:ascii="宋体" w:hAnsi="宋体" w:cs="宋体"/>
          <w:szCs w:val="21"/>
        </w:rPr>
      </w:pPr>
      <w:r>
        <w:rPr>
          <w:rFonts w:ascii="宋体" w:hAnsi="宋体" w:cs="宋体" w:hint="eastAsia"/>
          <w:szCs w:val="21"/>
          <w:highlight w:val="white"/>
        </w:rPr>
        <w:t>（八）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rsidR="002E7A0D">
      <w:pPr>
        <w:spacing w:line="360" w:lineRule="auto"/>
        <w:ind w:firstLine="420"/>
        <w:rPr>
          <w:rFonts w:ascii="宋体" w:hAnsi="宋体" w:cs="宋体"/>
        </w:rPr>
      </w:pPr>
      <w:r>
        <w:rPr>
          <w:rFonts w:ascii="宋体" w:hAnsi="宋体" w:cs="宋体" w:hint="eastAsia"/>
          <w:szCs w:val="21"/>
          <w:highlight w:val="white"/>
        </w:rPr>
        <w:t>（九）</w:t>
      </w:r>
      <w:r>
        <w:rPr>
          <w:rFonts w:ascii="宋体" w:hAnsi="宋体" w:cs="宋体"/>
          <w:highlight w:val="white"/>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2E7A0D">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十</w:t>
      </w:r>
      <w:r>
        <w:rPr>
          <w:rFonts w:ascii="宋体" w:hAnsi="宋体" w:cs="宋体" w:hint="eastAsia"/>
          <w:szCs w:val="21"/>
          <w:highlight w:val="white"/>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E7A0D">
      <w:pPr>
        <w:spacing w:line="360" w:lineRule="auto"/>
        <w:ind w:firstLine="420"/>
        <w:rPr>
          <w:rFonts w:ascii="宋体" w:hAnsi="宋体" w:cs="宋体"/>
          <w:szCs w:val="21"/>
        </w:rPr>
      </w:pPr>
      <w:r>
        <w:rPr>
          <w:rFonts w:ascii="宋体" w:hAnsi="宋体" w:cs="宋体" w:hint="eastAsia"/>
          <w:szCs w:val="21"/>
          <w:highlight w:val="white"/>
        </w:rPr>
        <w:t>（十一）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rsidR="002E7A0D">
      <w:pPr>
        <w:spacing w:line="360" w:lineRule="auto"/>
        <w:ind w:firstLine="420"/>
        <w:rPr>
          <w:rFonts w:ascii="宋体" w:hAnsi="宋体" w:cs="宋体"/>
          <w:szCs w:val="21"/>
        </w:rPr>
      </w:pPr>
      <w:r>
        <w:rPr>
          <w:rFonts w:ascii="宋体" w:hAnsi="宋体" w:cs="宋体" w:hint="eastAsia"/>
          <w:szCs w:val="21"/>
          <w:highlight w:val="white"/>
        </w:rPr>
        <w:t>（十二）基金托管人发现基金管理人有重大违规行为，应及时报告中国证监会，同时通知基金管理人限期纠正。</w:t>
      </w:r>
    </w:p>
    <w:p w:rsidR="002E7A0D">
      <w:pPr>
        <w:pStyle w:val="21"/>
        <w:spacing w:before="312" w:after="156" w:line="360" w:lineRule="auto"/>
        <w:jc w:val="center"/>
        <w:rPr>
          <w:rFonts w:ascii="宋体" w:eastAsia="宋体" w:hAnsi="宋体" w:cs="宋体"/>
          <w:sz w:val="21"/>
          <w:szCs w:val="21"/>
        </w:rPr>
      </w:pPr>
      <w:bookmarkStart w:id="11" w:name="_Toc118774803"/>
      <w:bookmarkStart w:id="12" w:name="_Toc86727355"/>
      <w:bookmarkStart w:id="13" w:name="_Toc108512358"/>
      <w:bookmarkStart w:id="14" w:name="_Toc86649722"/>
      <w:bookmarkStart w:id="15" w:name="_Toc120435783"/>
      <w:bookmarkStart w:id="16" w:name="_Toc86225291"/>
      <w:bookmarkStart w:id="17" w:name="_Toc89163368"/>
      <w:bookmarkStart w:id="18" w:name="_Toc118972648"/>
      <w:bookmarkStart w:id="19" w:name="_Toc86223242"/>
      <w:bookmarkStart w:id="20" w:name="_Toc86737929"/>
      <w:bookmarkStart w:id="21" w:name="_Toc110761796"/>
      <w:bookmarkStart w:id="22" w:name="_Toc110765660"/>
      <w:bookmarkStart w:id="23" w:name="_Toc86726439"/>
      <w:bookmarkStart w:id="24" w:name="_Toc110830492"/>
      <w:bookmarkStart w:id="25" w:name="_Toc118212950"/>
      <w:bookmarkStart w:id="26" w:name="_Toc119402710"/>
      <w:r>
        <w:rPr>
          <w:rFonts w:ascii="宋体" w:eastAsia="宋体" w:hAnsi="宋体" w:cs="宋体"/>
          <w:sz w:val="21"/>
          <w:szCs w:val="21"/>
          <w:highlight w:val="white"/>
        </w:rPr>
        <w:br w:type="page"/>
      </w:r>
      <w:bookmarkStart w:id="27" w:name="_Toc348082032"/>
      <w:bookmarkStart w:id="28" w:name="_Toc384992694"/>
      <w:r>
        <w:rPr>
          <w:rFonts w:ascii="宋体" w:eastAsia="宋体" w:hAnsi="宋体" w:cs="宋体" w:hint="eastAsia"/>
          <w:sz w:val="21"/>
          <w:szCs w:val="21"/>
          <w:highlight w:val="white"/>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E7A0D">
      <w:pPr>
        <w:snapToGrid w:val="0"/>
        <w:spacing w:line="360" w:lineRule="auto"/>
        <w:ind w:firstLine="420"/>
        <w:rPr>
          <w:rFonts w:ascii="宋体" w:hAnsi="宋体" w:cs="宋体"/>
          <w:szCs w:val="21"/>
        </w:rPr>
      </w:pPr>
      <w:r>
        <w:rPr>
          <w:rFonts w:ascii="宋体" w:hAnsi="宋体" w:cs="宋体" w:hint="eastAsia"/>
          <w:szCs w:val="21"/>
          <w:highlight w:val="white"/>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因基金托管人原因造成基金财产损失的，基金托管人应承担相应的责任。</w:t>
      </w:r>
    </w:p>
    <w:p w:rsidR="002E7A0D">
      <w:pPr>
        <w:spacing w:line="360" w:lineRule="auto"/>
        <w:ind w:firstLine="420"/>
        <w:rPr>
          <w:rFonts w:ascii="宋体" w:hAnsi="宋体" w:cs="宋体"/>
          <w:szCs w:val="21"/>
        </w:rPr>
      </w:pPr>
      <w:r>
        <w:rPr>
          <w:rFonts w:ascii="宋体" w:hAnsi="宋体" w:cs="宋体" w:hint="eastAsia"/>
          <w:szCs w:val="21"/>
          <w:highlight w:val="white"/>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（四）基金管理人发现基金托管人有重大违规行为，应及时报告中国证监会，同时通知基金托管人限期纠正，并将纠正结果报告中国证监会。</w:t>
      </w:r>
    </w:p>
    <w:p w:rsidR="002E7A0D">
      <w:pPr>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bookmarkStart w:id="29" w:name="_Toc86727356"/>
      <w:bookmarkStart w:id="30" w:name="_Toc86737930"/>
      <w:bookmarkStart w:id="31" w:name="_Toc89163369"/>
      <w:bookmarkStart w:id="32" w:name="_Toc86223243"/>
      <w:bookmarkStart w:id="33" w:name="_Toc84133786"/>
      <w:bookmarkStart w:id="34" w:name="_Toc110765661"/>
      <w:bookmarkStart w:id="35" w:name="_Toc110761797"/>
      <w:bookmarkStart w:id="36" w:name="_Toc110830493"/>
      <w:bookmarkStart w:id="37" w:name="_Toc86225292"/>
      <w:bookmarkStart w:id="38" w:name="_Toc86649723"/>
      <w:bookmarkStart w:id="39" w:name="_Toc86204789"/>
      <w:bookmarkStart w:id="40" w:name="_Toc84234435"/>
      <w:bookmarkStart w:id="41" w:name="_Toc86726440"/>
      <w:bookmarkStart w:id="42" w:name="_Toc108512359"/>
      <w:bookmarkStart w:id="43" w:name="_Toc84234388"/>
      <w:bookmarkStart w:id="44" w:name="_Toc120435784"/>
      <w:bookmarkStart w:id="45" w:name="_Toc119402711"/>
      <w:bookmarkStart w:id="46" w:name="_Toc118774804"/>
      <w:bookmarkStart w:id="47" w:name="_Toc118972649"/>
      <w:bookmarkStart w:id="48" w:name="_Toc118212951"/>
      <w:r>
        <w:rPr>
          <w:rFonts w:ascii="宋体" w:eastAsia="宋体" w:hAnsi="宋体" w:cs="宋体"/>
          <w:sz w:val="21"/>
          <w:szCs w:val="21"/>
          <w:highlight w:val="white"/>
        </w:rPr>
        <w:br w:type="page"/>
      </w:r>
      <w:bookmarkStart w:id="49" w:name="_Toc384992695"/>
      <w:bookmarkStart w:id="50" w:name="_Toc348082033"/>
      <w:r>
        <w:rPr>
          <w:rFonts w:ascii="宋体" w:eastAsia="宋体" w:hAnsi="宋体" w:cs="宋体" w:hint="eastAsia"/>
          <w:sz w:val="21"/>
          <w:szCs w:val="21"/>
          <w:highlight w:val="white"/>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E7A0D">
      <w:pPr>
        <w:snapToGrid w:val="0"/>
        <w:spacing w:line="360" w:lineRule="auto"/>
        <w:ind w:firstLine="420"/>
        <w:rPr>
          <w:rFonts w:ascii="宋体" w:hAnsi="宋体" w:cs="宋体"/>
          <w:szCs w:val="21"/>
        </w:rPr>
      </w:pPr>
      <w:r>
        <w:rPr>
          <w:rFonts w:ascii="宋体" w:hAnsi="宋体" w:cs="宋体" w:hint="eastAsia"/>
          <w:szCs w:val="21"/>
          <w:highlight w:val="white"/>
        </w:rPr>
        <w:t>（一）基金财产保管的原则</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1.基金财产应独立于基金管理人、基金托管人的固有财产。</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2.基金托管人应安全保管基金财产。</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3.基金托管人按照规定开设基金财产投资所需的相关账户。</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4.基金托管人对所托管的不同基金财产分别设置账户，确保基金财产的完整与独立。</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8.除依据法律法规和基金合同的规定外，基金托管人不得委托第三人托管基金财产。</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（二）基金募集期间及募集资金的验资</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1.基金募集期间募集的资金应存放于专用账户。</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2.基金募集期满或基金停止募集时，募集的基金份额总额、基金募集金额、基金份额持有人人数符合《基金法》、《运作办法》等有关规定后，属于基金财产的全部资金</w:t>
      </w:r>
      <w:r>
        <w:rPr>
          <w:rFonts w:ascii="宋体" w:hAnsi="宋体" w:cs="宋体"/>
          <w:color w:val="000000"/>
          <w:highlight w:val="white"/>
        </w:rPr>
        <w:t>应</w:t>
      </w:r>
      <w:r>
        <w:rPr>
          <w:rFonts w:ascii="宋体" w:hAnsi="宋体" w:cs="宋体"/>
          <w:szCs w:val="21"/>
          <w:highlight w:val="white"/>
        </w:rPr>
        <w:t>划入基金托管人为基金开立的基金资金账户，同时在规定时间内，基金管理人应聘请</w:t>
      </w:r>
      <w:r>
        <w:rPr>
          <w:rFonts w:ascii="宋体" w:hAnsi="宋体" w:cs="宋体" w:hint="eastAsia"/>
          <w:szCs w:val="21"/>
          <w:highlight w:val="white"/>
        </w:rPr>
        <w:t>符合《证券法》规定的会计师事务所进行验资，出具验资报告。出具的验资报告由参加验资的2名或2名以上中国注册会计师签字方为有效。</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3.若基金募集期限届满，未能达到基金合同生效的条件，由基金管理人按规定办理退款等事宜。</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（三）基金资金账户的开立和管理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1.基金托管人以本基金的名义在其营业机构开立基金的资金账户（也可称为“托管账户”），保管基金的银行存款，并根据基金管理人的指令办理资金收付。托管账户名称应为“</w:t>
      </w:r>
      <w:r>
        <w:rPr>
          <w:rFonts w:ascii="宋体" w:hAnsi="宋体" w:cs="宋体" w:hint="eastAsia"/>
          <w:szCs w:val="21"/>
        </w:rPr>
        <w:t>易方达恒生港股通创新药交易型开放式指数证券投资基金发起式联接基金</w:t>
      </w:r>
      <w:r>
        <w:rPr>
          <w:rFonts w:ascii="宋体" w:hAnsi="宋体" w:cs="宋体" w:hint="eastAsia"/>
          <w:szCs w:val="21"/>
          <w:highlight w:val="white"/>
        </w:rPr>
        <w:t>”，预留印鉴为基金托管人印章。</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2.基金资金账户的开立和使用，限于满足开展本基金业务的需要。基金托管人和基金管理人不得假借本基金的名义开立任何其他银行账户；亦不得使用基金的任何账户进行本基金业务以外的活动。</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3.基金资金账户的开立和管理应符合法律法规及银行业监督管理机构的有关规定。</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（四）基金证券账户和结算备付金账户的开立和管理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1.基金托管人在中国证券登记结算有限责任公司为基金开立基金托管人与基金联名的证券账户。</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3.基金证券账户的开立和证券账户卡的保管由基金托管人负责，账户资产的管理和运用由基金管理人负责。</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5.若中国证监会或其他监管机构在本托管协议订立日之后允许基金从事其他投资品种的投资业务，涉及相关账户的开立、使用的，</w:t>
      </w:r>
      <w:r>
        <w:rPr>
          <w:rFonts w:ascii="宋体" w:hAnsi="宋体" w:cs="宋体" w:hint="eastAsia"/>
          <w:color w:val="000000"/>
          <w:szCs w:val="21"/>
          <w:highlight w:val="white"/>
        </w:rPr>
        <w:t>按有关规定开立、使用并管理；</w:t>
      </w:r>
      <w:r>
        <w:rPr>
          <w:rFonts w:ascii="宋体" w:hAnsi="宋体" w:cs="宋体" w:hint="eastAsia"/>
          <w:szCs w:val="21"/>
          <w:highlight w:val="white"/>
        </w:rPr>
        <w:t>若无相关规定，则基金托管人比照上述关于账户开立、使用的规定执行。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（五）债券托管账户的开设和管理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基金合同生效后，基金托管人根据中国人民银行、中央国债登记结算有限责任公司和银行间市场清算所股份有限公司的有关规定，以基金的名义在</w:t>
      </w:r>
      <w:r>
        <w:rPr>
          <w:rFonts w:ascii="宋体" w:hAnsi="宋体" w:cs="宋体" w:hint="eastAsia"/>
          <w:highlight w:val="white"/>
        </w:rPr>
        <w:t>银行间市场登记结算机构</w:t>
      </w:r>
      <w:r>
        <w:rPr>
          <w:rFonts w:ascii="宋体" w:hAnsi="宋体" w:cs="宋体" w:hint="eastAsia"/>
          <w:szCs w:val="21"/>
          <w:highlight w:val="white"/>
        </w:rPr>
        <w:t>开立债券托管账户，并代表基金进行银行间市场债券的结算。</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（六）其他账户的开立和管理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基金托管人和基金管理人应当在开户过程中相互配合，并提供所需资料。基金管理人保证所提供的账户开户材料的真实性和有效性，且在相关资料变更后及时将变更的资料提供给基金托管人。</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2.因业务发展需要而开立的其他账户，可以根据法律法规和基金合同的规定，由基金管理人协助基金托管人按照有关法律法规和本协议的约定协商后开立。新账户按有关规定使用并管理。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3.法律法规等有关规定对相关账户的开立和管理另有规定的，从其规定办理。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（七）基金财产投资的有关有价凭证等的保管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（八）与基金财产有关的重大合同的保管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Pr>
          <w:rFonts w:ascii="宋体" w:hAnsi="宋体" w:cs="宋体"/>
          <w:szCs w:val="21"/>
          <w:highlight w:val="white"/>
        </w:rPr>
        <w:t>20</w:t>
      </w:r>
      <w:r>
        <w:rPr>
          <w:rFonts w:ascii="宋体" w:hAnsi="宋体" w:cs="宋体" w:hint="eastAsia"/>
          <w:szCs w:val="21"/>
          <w:highlight w:val="white"/>
        </w:rPr>
        <w:t>年。</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2E7A0D">
      <w:pPr>
        <w:spacing w:line="360" w:lineRule="auto"/>
        <w:ind w:firstLine="420"/>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bookmarkStart w:id="51" w:name="_Toc118972650"/>
      <w:bookmarkStart w:id="52" w:name="_Toc120435785"/>
      <w:bookmarkStart w:id="53" w:name="_Toc119402712"/>
      <w:bookmarkStart w:id="54" w:name="_Toc118774805"/>
      <w:bookmarkStart w:id="55" w:name="_Toc118212952"/>
      <w:bookmarkStart w:id="56" w:name="_Toc110830494"/>
      <w:bookmarkStart w:id="57" w:name="_Toc110765662"/>
      <w:bookmarkStart w:id="58" w:name="_Toc110761798"/>
      <w:bookmarkStart w:id="59" w:name="_Toc108512360"/>
      <w:bookmarkStart w:id="60" w:name="_Toc89163370"/>
      <w:bookmarkStart w:id="61" w:name="_Toc86737931"/>
      <w:bookmarkStart w:id="62" w:name="_Toc86726441"/>
      <w:bookmarkStart w:id="63" w:name="_Toc86727357"/>
      <w:bookmarkStart w:id="64" w:name="_Toc86649724"/>
      <w:bookmarkStart w:id="65" w:name="_Toc84234436"/>
      <w:bookmarkStart w:id="66" w:name="_Toc86223244"/>
      <w:bookmarkStart w:id="67" w:name="_Toc86225293"/>
      <w:bookmarkStart w:id="68" w:name="_Toc86204790"/>
      <w:bookmarkStart w:id="69" w:name="_Toc84234389"/>
      <w:bookmarkStart w:id="70" w:name="_Toc84133787"/>
      <w:r>
        <w:rPr>
          <w:rFonts w:ascii="宋体" w:eastAsia="宋体" w:hAnsi="宋体" w:cs="宋体"/>
          <w:sz w:val="21"/>
          <w:szCs w:val="21"/>
          <w:highlight w:val="white"/>
        </w:rPr>
        <w:br w:type="page"/>
      </w:r>
      <w:bookmarkStart w:id="71" w:name="_Toc348082034"/>
      <w:bookmarkStart w:id="72" w:name="_Toc384992696"/>
      <w:r>
        <w:rPr>
          <w:rFonts w:ascii="宋体" w:eastAsia="宋体" w:hAnsi="宋体" w:cs="宋体" w:hint="eastAsia"/>
          <w:sz w:val="21"/>
          <w:szCs w:val="21"/>
          <w:highlight w:val="white"/>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E7A0D">
      <w:pPr>
        <w:spacing w:line="360" w:lineRule="auto"/>
        <w:ind w:firstLine="420"/>
      </w:pPr>
      <w:r>
        <w:rPr>
          <w:rFonts w:ascii="宋体" w:hAnsi="宋体" w:cs="宋体"/>
          <w:color w:val="000000"/>
          <w:highlight w:val="white"/>
        </w:rPr>
        <w:t>基金管理人在运用基金财产时向基金托管人发送资金划拨及其他款项付款指令，基金托管人执行基金管理人的指令、办理基金名下的资金往来等有关事项。</w:t>
      </w:r>
    </w:p>
    <w:p w:rsidR="002E7A0D">
      <w:pPr>
        <w:spacing w:line="360" w:lineRule="auto"/>
        <w:ind w:firstLine="420"/>
      </w:pPr>
      <w:r>
        <w:rPr>
          <w:rFonts w:ascii="宋体" w:hAnsi="宋体" w:cs="宋体"/>
          <w:color w:val="000000"/>
          <w:highlight w:val="white"/>
        </w:rPr>
        <w:t>基金管理人发送的指令包括电子指令和纸质指令。</w:t>
      </w:r>
    </w:p>
    <w:p w:rsidR="002E7A0D">
      <w:pPr>
        <w:spacing w:line="360" w:lineRule="auto"/>
        <w:ind w:firstLine="420"/>
      </w:pPr>
      <w:r>
        <w:rPr>
          <w:rFonts w:ascii="宋体" w:hAnsi="宋体" w:cs="宋体"/>
          <w:color w:val="000000"/>
          <w:highlight w:val="white"/>
        </w:rPr>
        <w:t>电子指令包括基金管理人发送的电子指令（采用电子报文传送的电子指令、 招商银行托管+综合服务平台录入的电子指令）、自动产生的电子指令（网上托管银行托管人端根据管理人同意设定的业务规则自动产生的电子指令）。纸质指令包括基金管理人给基金托管人传真指令、邮件指令或原件指令。</w:t>
      </w:r>
    </w:p>
    <w:p w:rsidR="002E7A0D">
      <w:pPr>
        <w:spacing w:line="360" w:lineRule="auto"/>
        <w:ind w:firstLine="420"/>
      </w:pPr>
      <w:r>
        <w:rPr>
          <w:rFonts w:ascii="宋体" w:hAnsi="宋体" w:cs="宋体"/>
          <w:color w:val="000000"/>
          <w:highlight w:val="white"/>
        </w:rPr>
        <w:t>基金管理人在发送纸质指令前，应出具传真指令启用函。</w:t>
      </w:r>
    </w:p>
    <w:p w:rsidR="002E7A0D">
      <w:pPr>
        <w:spacing w:line="360" w:lineRule="auto"/>
        <w:ind w:firstLine="420"/>
      </w:pPr>
      <w:r>
        <w:rPr>
          <w:rFonts w:ascii="宋体" w:hAnsi="宋体" w:cs="宋体"/>
          <w:color w:val="000000"/>
          <w:highlight w:val="white"/>
        </w:rPr>
        <w:t>（一）基金管理人对发送指令人员的书面授权</w:t>
      </w:r>
    </w:p>
    <w:p w:rsidR="002E7A0D">
      <w:pPr>
        <w:spacing w:line="360" w:lineRule="auto"/>
        <w:ind w:firstLine="420"/>
      </w:pPr>
      <w:r>
        <w:rPr>
          <w:rFonts w:ascii="宋体" w:hAnsi="宋体" w:cs="宋体"/>
          <w:color w:val="000000"/>
          <w:highlight w:val="white"/>
        </w:rPr>
        <w:t>基金管理人应事先向基金托管人提供书面授权通知书（以下称“授权通知书”），指定指令的被授权人员及被授权印鉴，授权通知书的内容包括被授权人的名单、签字/印章样本、权限和预留印鉴。授权通知书应加盖基金管理人公司公章和法定代表人（或授权人）签字/签章，若由授权代表签署，还应附上法定代表人的授权书，并写明生效时间，未写明生效时间的以合同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基金管理人在此后五个工作日内将授权通知书的正本送交基金托管人。授权通知书正本内容与基金托管人收到的传真不一致的，以基金托管人收到的传真为准。</w:t>
      </w:r>
    </w:p>
    <w:p w:rsidR="002E7A0D">
      <w:pPr>
        <w:tabs>
          <w:tab w:val="left" w:pos="1260"/>
        </w:tabs>
        <w:spacing w:line="360" w:lineRule="auto"/>
        <w:ind w:firstLine="420"/>
      </w:pPr>
      <w:r>
        <w:rPr>
          <w:rFonts w:ascii="宋体" w:hAnsi="宋体" w:cs="宋体"/>
          <w:color w:val="000000"/>
          <w:highlight w:val="white"/>
        </w:rPr>
        <w:t>基金管理人和基金托管人对授权通知负有保密义务，其内容不得向授权人、被授权人及相关操作人员以外的任何人泄露，但法律法规规定或有权机关另有要求的除外。</w:t>
      </w:r>
    </w:p>
    <w:p w:rsidR="002E7A0D">
      <w:pPr>
        <w:spacing w:line="360" w:lineRule="auto"/>
        <w:ind w:firstLine="420"/>
      </w:pPr>
      <w:r>
        <w:rPr>
          <w:rFonts w:ascii="宋体" w:hAnsi="宋体" w:cs="宋体"/>
          <w:color w:val="000000"/>
          <w:highlight w:val="white"/>
        </w:rPr>
        <w:t>（二）指令的内容</w:t>
      </w:r>
    </w:p>
    <w:p w:rsidR="002E7A0D">
      <w:pPr>
        <w:spacing w:line="360" w:lineRule="auto"/>
        <w:ind w:firstLine="420"/>
      </w:pPr>
      <w:r>
        <w:rPr>
          <w:rFonts w:ascii="宋体" w:hAnsi="宋体" w:cs="宋体"/>
          <w:color w:val="000000"/>
          <w:highlight w:val="white"/>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rsidR="002E7A0D">
      <w:pPr>
        <w:spacing w:line="360" w:lineRule="auto"/>
        <w:ind w:firstLine="420"/>
      </w:pPr>
      <w:r>
        <w:rPr>
          <w:rFonts w:ascii="宋体" w:hAnsi="宋体" w:cs="宋体"/>
          <w:color w:val="000000"/>
          <w:highlight w:val="white"/>
        </w:rPr>
        <w:t>（三）指令的发送、确认及执行的时间和程序</w:t>
      </w:r>
    </w:p>
    <w:p w:rsidR="002E7A0D">
      <w:pPr>
        <w:spacing w:line="360" w:lineRule="auto"/>
        <w:ind w:firstLine="420"/>
      </w:pPr>
      <w:r>
        <w:rPr>
          <w:rFonts w:ascii="宋体" w:hAnsi="宋体" w:cs="宋体"/>
          <w:color w:val="000000"/>
          <w:highlight w:val="white"/>
        </w:rPr>
        <w:t>1.指令的发送：</w:t>
      </w:r>
    </w:p>
    <w:p w:rsidR="002E7A0D">
      <w:pPr>
        <w:spacing w:line="360" w:lineRule="auto"/>
        <w:ind w:firstLine="420"/>
      </w:pPr>
      <w:r>
        <w:rPr>
          <w:rFonts w:ascii="宋体" w:hAnsi="宋体" w:cs="宋体"/>
          <w:color w:val="000000"/>
          <w:highlight w:val="white"/>
        </w:rPr>
        <w:t xml:space="preserve">基金管理人选择以下第（2）种,或其他基金托管人和基金管理人认可的方式向基金托管人发送指令：  </w:t>
      </w:r>
    </w:p>
    <w:p w:rsidR="002E7A0D">
      <w:pPr>
        <w:spacing w:line="360" w:lineRule="auto"/>
        <w:ind w:firstLine="420"/>
      </w:pPr>
      <w:r>
        <w:rPr>
          <w:rFonts w:ascii="宋体" w:hAnsi="宋体" w:cs="宋体"/>
          <w:color w:val="000000"/>
          <w:highlight w:val="white"/>
        </w:rPr>
        <w:t>（1）基金管理人通过招商银行托管+综合服务平台录入方式，向基金托管人发送电子划款指令或投资指令。</w:t>
      </w:r>
    </w:p>
    <w:p w:rsidR="002E7A0D">
      <w:pPr>
        <w:spacing w:line="360" w:lineRule="auto"/>
        <w:ind w:firstLine="420"/>
      </w:pPr>
      <w:r>
        <w:rPr>
          <w:rFonts w:ascii="宋体" w:hAnsi="宋体" w:cs="宋体"/>
          <w:color w:val="000000"/>
          <w:highlight w:val="white"/>
        </w:rPr>
        <w:t>招商银行托管+综合服务平台是指基金托管人基于Internet网络，向基金管理人提供的客户服务软件，实现基金管理人与基金托管人之间指令处理、数据传输、业务查询、资料传递和信息服务等直通式处理。</w:t>
      </w:r>
    </w:p>
    <w:p w:rsidR="002E7A0D">
      <w:pPr>
        <w:spacing w:line="360" w:lineRule="auto"/>
        <w:ind w:firstLine="420"/>
      </w:pPr>
      <w:r>
        <w:rPr>
          <w:rFonts w:ascii="宋体" w:hAnsi="宋体" w:cs="宋体"/>
          <w:color w:val="000000"/>
          <w:highlight w:val="white"/>
        </w:rPr>
        <w:t xml:space="preserve">基金管理人和基金托管人另行签订《招商银行“托管+”综合服务平台服务协议》，具体事宜以《招商银行“托管+”综合服务平台服务协议》的约定为准。 </w:t>
      </w:r>
    </w:p>
    <w:p w:rsidR="002E7A0D">
      <w:pPr>
        <w:spacing w:line="360" w:lineRule="auto"/>
        <w:ind w:firstLine="420"/>
      </w:pPr>
      <w:r>
        <w:rPr>
          <w:rFonts w:ascii="宋体" w:hAnsi="宋体" w:cs="宋体"/>
          <w:color w:val="000000"/>
          <w:highlight w:val="white"/>
        </w:rPr>
        <w:t>（2）基金管理人通过深证通电子直连对接方式，向基金托管人发送电子划款指令或投资指令。</w:t>
      </w:r>
    </w:p>
    <w:p w:rsidR="002E7A0D">
      <w:pPr>
        <w:spacing w:line="360" w:lineRule="auto"/>
        <w:ind w:firstLine="420"/>
      </w:pPr>
      <w:r>
        <w:rPr>
          <w:rFonts w:ascii="宋体" w:hAnsi="宋体" w:cs="宋体"/>
          <w:color w:val="000000"/>
          <w:highlight w:val="white"/>
        </w:rPr>
        <w:t>对于基金管理人通过上述（1）、（2）方式发送的指令，基金管理人不得否认其效力。</w:t>
      </w:r>
    </w:p>
    <w:p w:rsidR="002E7A0D">
      <w:pPr>
        <w:spacing w:line="360" w:lineRule="auto"/>
        <w:ind w:firstLine="420"/>
      </w:pPr>
      <w:r>
        <w:rPr>
          <w:rFonts w:ascii="宋体" w:hAnsi="宋体" w:cs="宋体"/>
          <w:color w:val="000000"/>
          <w:sz w:val="22"/>
          <w:highlight w:val="white"/>
        </w:rPr>
        <w:t xml:space="preserve">对于基金管理人通过上述（1）、（2）方式发送指令的，在应急情况下，基金管理人可以传真或者其他与基金托管人协商一致的方式发送划款指令，或者快递、现场交互原件指令。具体操作方式分别按照以下第（3）、（4）款指令发送方式执行。 </w:t>
      </w:r>
    </w:p>
    <w:p w:rsidR="002E7A0D">
      <w:pPr>
        <w:spacing w:line="360" w:lineRule="auto"/>
        <w:ind w:firstLine="420"/>
      </w:pPr>
      <w:r>
        <w:rPr>
          <w:rFonts w:ascii="宋体" w:hAnsi="宋体" w:cs="宋体"/>
          <w:color w:val="000000"/>
          <w:highlight w:val="white"/>
        </w:rPr>
        <w:t xml:space="preserve">（3）基金管理人选择以传真方式发送指令 </w:t>
      </w:r>
    </w:p>
    <w:p w:rsidR="002E7A0D">
      <w:pPr>
        <w:spacing w:line="360" w:lineRule="auto"/>
        <w:ind w:firstLine="420"/>
      </w:pPr>
      <w:r>
        <w:rPr>
          <w:rFonts w:ascii="宋体" w:hAnsi="宋体" w:cs="宋体"/>
          <w:color w:val="000000"/>
          <w:highlight w:val="white"/>
        </w:rPr>
        <w:t xml:space="preserve">对于基金管理人通过预留传真号码发出的指令，基金管理人不得否认其效力。 </w:t>
      </w:r>
    </w:p>
    <w:p w:rsidR="002E7A0D">
      <w:pPr>
        <w:spacing w:line="360" w:lineRule="auto"/>
        <w:ind w:firstLine="420"/>
      </w:pPr>
      <w:r>
        <w:rPr>
          <w:rFonts w:ascii="宋体" w:hAnsi="宋体" w:cs="宋体"/>
          <w:color w:val="000000"/>
          <w:highlight w:val="white"/>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rsidR="002E7A0D">
      <w:pPr>
        <w:spacing w:line="360" w:lineRule="auto"/>
        <w:ind w:firstLine="420"/>
      </w:pPr>
      <w:r>
        <w:rPr>
          <w:rFonts w:ascii="宋体" w:hAnsi="宋体" w:cs="宋体"/>
          <w:color w:val="000000"/>
          <w:highlight w:val="white"/>
        </w:rPr>
        <w:t xml:space="preserve">（4）基金管理人快递寄送或现场交互指令原件的形式传递指令 </w:t>
      </w:r>
    </w:p>
    <w:p w:rsidR="002E7A0D">
      <w:pPr>
        <w:spacing w:line="360" w:lineRule="auto"/>
        <w:ind w:firstLine="420"/>
      </w:pPr>
      <w:r>
        <w:rPr>
          <w:rFonts w:ascii="宋体" w:hAnsi="宋体" w:cs="宋体"/>
          <w:color w:val="000000"/>
          <w:highlight w:val="white"/>
        </w:rPr>
        <w:t xml:space="preserve">如需变更指令发送形式，基金管理人须提前向基金托管人提供变更指令发送形式的指令发送方式变更通知书。 </w:t>
      </w:r>
    </w:p>
    <w:p w:rsidR="002E7A0D">
      <w:pPr>
        <w:spacing w:line="360" w:lineRule="auto"/>
        <w:ind w:firstLine="420"/>
      </w:pPr>
      <w:r>
        <w:rPr>
          <w:rFonts w:ascii="宋体" w:hAnsi="宋体" w:cs="宋体"/>
          <w:color w:val="000000"/>
          <w:highlight w:val="white"/>
        </w:rPr>
        <w:t>2.指令附件的发送方式</w:t>
      </w:r>
    </w:p>
    <w:p w:rsidR="002E7A0D">
      <w:pPr>
        <w:spacing w:line="360" w:lineRule="auto"/>
        <w:ind w:firstLine="420"/>
      </w:pPr>
      <w:r>
        <w:rPr>
          <w:rFonts w:ascii="宋体" w:hAnsi="宋体" w:cs="宋体"/>
          <w:color w:val="000000"/>
          <w:highlight w:val="white"/>
        </w:rPr>
        <w:t>基金管理人向基金托管人发送指令的同时，通过招商银行托管+综合服务平台、预留传真号码、预留指令附件发送电子邮箱或其他双方协商一致的方式提供相关合同、交易凭证或其他证明材料。基金管理人对该等资料的真实性、有效性、完整性和合法合规性负责。</w:t>
      </w:r>
    </w:p>
    <w:p w:rsidR="002E7A0D">
      <w:pPr>
        <w:spacing w:line="360" w:lineRule="auto"/>
        <w:ind w:firstLine="420"/>
      </w:pPr>
      <w:r>
        <w:rPr>
          <w:rFonts w:ascii="宋体" w:hAnsi="宋体" w:cs="宋体"/>
          <w:color w:val="000000"/>
          <w:highlight w:val="white"/>
        </w:rPr>
        <w:t>对于通过招商银行托管+综合服务平台、预留传真号码或预留电子邮箱发出的指令附件，基金管理人不得否认其效力。</w:t>
      </w:r>
    </w:p>
    <w:p w:rsidR="002E7A0D">
      <w:pPr>
        <w:spacing w:line="360" w:lineRule="auto"/>
        <w:ind w:firstLine="420"/>
      </w:pPr>
      <w:r>
        <w:rPr>
          <w:rFonts w:ascii="宋体" w:hAnsi="宋体" w:cs="宋体"/>
          <w:color w:val="000000"/>
          <w:highlight w:val="white"/>
        </w:rPr>
        <w:t>3.指令发送的时间</w:t>
      </w:r>
    </w:p>
    <w:p w:rsidR="002E7A0D">
      <w:pPr>
        <w:spacing w:line="360" w:lineRule="auto"/>
        <w:ind w:firstLine="420"/>
      </w:pPr>
      <w:r>
        <w:rPr>
          <w:rFonts w:ascii="宋体" w:hAnsi="宋体" w:cs="宋体"/>
          <w:color w:val="000000"/>
          <w:highlight w:val="white"/>
        </w:rPr>
        <w:t>对于新股、新债申购等网下公开发行业务，基金管理人应于网下申购缴款日的10:00前将指令发送给基金托管人。</w:t>
      </w:r>
    </w:p>
    <w:p w:rsidR="002E7A0D">
      <w:pPr>
        <w:spacing w:line="360" w:lineRule="auto"/>
        <w:ind w:firstLine="420"/>
      </w:pPr>
      <w:r>
        <w:rPr>
          <w:rFonts w:ascii="宋体" w:hAnsi="宋体" w:cs="宋体"/>
          <w:color w:val="000000"/>
          <w:highlight w:val="white"/>
        </w:rPr>
        <w:t>对于需基金托管人执行指令的期货出入金业务，基金管理人应于交易日期货出入金截止时间前2小时将期货出入金指令发送至基金托管人。如果选择银期转账出入金，正常情况下由基金托管人依据基金管理人发出的出入金指令，通过期货结算银行银期转账系统进行出入金操作。如果选择非银期转账手工出入金，入金由基金托管人依据基金管理人提供的划款指令通过结算银行的网银系统划往期货公司指定账户后，由基金管理人通知期货公司进行入金操作，出金由基金管理人通知期货公司出金后，由期货公司依据基金管理人提供的出金指令划往本基金托管账户。</w:t>
      </w:r>
    </w:p>
    <w:p w:rsidR="002E7A0D">
      <w:pPr>
        <w:spacing w:line="360" w:lineRule="auto"/>
        <w:ind w:firstLine="420"/>
      </w:pPr>
      <w:r>
        <w:rPr>
          <w:rFonts w:ascii="宋体" w:hAnsi="宋体" w:cs="宋体"/>
          <w:color w:val="000000"/>
          <w:highlight w:val="white"/>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rsidR="002E7A0D">
      <w:pPr>
        <w:spacing w:line="360" w:lineRule="auto"/>
        <w:ind w:firstLine="420"/>
      </w:pPr>
      <w:r>
        <w:rPr>
          <w:rFonts w:ascii="宋体" w:hAnsi="宋体" w:cs="宋体"/>
          <w:color w:val="000000"/>
          <w:highlight w:val="white"/>
        </w:rPr>
        <w:t>对于指定时间出款的交易指令，基金管理人应提前2小时将指令发送至基金托管人。对于基金管理人于15:00以后发送至基金托管人的指令，基金托管人应尽力配合出款，但不保证当日出款，如出款不成功，基金托管人不承担责任，但应立即通知基金管理人。</w:t>
      </w:r>
    </w:p>
    <w:p w:rsidR="002E7A0D">
      <w:pPr>
        <w:spacing w:line="360" w:lineRule="auto"/>
        <w:ind w:firstLine="420"/>
      </w:pPr>
      <w:r>
        <w:rPr>
          <w:rFonts w:ascii="宋体" w:hAnsi="宋体" w:cs="宋体"/>
          <w:color w:val="000000"/>
          <w:highlight w:val="white"/>
        </w:rPr>
        <w:t>4.指令的确认</w:t>
      </w:r>
    </w:p>
    <w:p w:rsidR="002E7A0D">
      <w:pPr>
        <w:spacing w:line="360" w:lineRule="auto"/>
        <w:ind w:firstLine="420"/>
      </w:pPr>
      <w:r>
        <w:rPr>
          <w:rFonts w:ascii="宋体" w:hAnsi="宋体" w:cs="宋体"/>
          <w:color w:val="000000"/>
          <w:highlight w:val="white"/>
        </w:rPr>
        <w:t>基金管理人有义务在发送指令后与基金托管人进行电话确认</w:t>
      </w:r>
      <w:r w:rsidR="00AA3FB4">
        <w:rPr>
          <w:rFonts w:ascii="宋体" w:hAnsi="宋体" w:cs="宋体" w:hint="eastAsia"/>
          <w:color w:val="000000"/>
          <w:highlight w:val="white"/>
        </w:rPr>
        <w:t>，</w:t>
      </w:r>
      <w:r>
        <w:rPr>
          <w:rFonts w:ascii="宋体" w:hAnsi="宋体" w:cs="宋体"/>
          <w:color w:val="000000"/>
          <w:highlight w:val="white"/>
        </w:rPr>
        <w:t>如因基金管理人未通知基金托管人接收传真指令造成的损失，基金托管人不承担责任。对于依照“授权通知”发出的指令，基金管理人不得否认其效力。</w:t>
      </w:r>
    </w:p>
    <w:p w:rsidR="002E7A0D">
      <w:pPr>
        <w:spacing w:line="360" w:lineRule="auto"/>
        <w:ind w:firstLine="420"/>
      </w:pPr>
      <w:r>
        <w:rPr>
          <w:rFonts w:ascii="宋体" w:hAnsi="宋体" w:cs="宋体"/>
          <w:color w:val="000000"/>
          <w:highlight w:val="white"/>
        </w:rPr>
        <w:t>5.指令的执行</w:t>
      </w:r>
    </w:p>
    <w:p w:rsidR="002E7A0D">
      <w:pPr>
        <w:spacing w:line="360" w:lineRule="auto"/>
        <w:ind w:firstLine="420"/>
      </w:pPr>
      <w:r>
        <w:rPr>
          <w:rFonts w:ascii="宋体" w:hAnsi="宋体" w:cs="宋体"/>
          <w:color w:val="000000"/>
          <w:highlight w:val="white"/>
        </w:rPr>
        <w:t>基金管理人在发送指令时，应确保出款账户有足够的资金余额、文件资料齐全，并为基金托管人留出执行指令所必需的时间，因基金管理人未给予合理必需的时间导致基金托管人操作不成功的，基金托管人不承担责任，但应立即通知基金管理人。</w:t>
      </w:r>
    </w:p>
    <w:p w:rsidR="002E7A0D">
      <w:pPr>
        <w:spacing w:line="360" w:lineRule="auto"/>
        <w:ind w:firstLine="420"/>
      </w:pPr>
      <w:r>
        <w:rPr>
          <w:rFonts w:ascii="宋体" w:hAnsi="宋体" w:cs="宋体"/>
          <w:color w:val="000000"/>
          <w:highlight w:val="white"/>
        </w:rPr>
        <w:t>基金托管人确认收到基金管理人发送的指令后，应对指令进行形式审查，验证指令的要素（金额、收款账号、收款户名、用途）是否齐全，传真指令还应审核印鉴和印章/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责任。</w:t>
      </w:r>
    </w:p>
    <w:p w:rsidR="002E7A0D">
      <w:pPr>
        <w:spacing w:line="360" w:lineRule="auto"/>
        <w:ind w:firstLine="420"/>
      </w:pPr>
      <w:r>
        <w:rPr>
          <w:rFonts w:ascii="宋体" w:hAnsi="宋体" w:cs="宋体"/>
          <w:color w:val="000000"/>
          <w:highlight w:val="white"/>
        </w:rPr>
        <w:t>基金托管人审核指令无误后应在规定期限内及时执行。</w:t>
      </w:r>
    </w:p>
    <w:p w:rsidR="002E7A0D">
      <w:pPr>
        <w:spacing w:line="360" w:lineRule="auto"/>
        <w:ind w:firstLine="420"/>
      </w:pPr>
      <w:r>
        <w:rPr>
          <w:rFonts w:ascii="宋体" w:hAnsi="宋体" w:cs="宋体"/>
          <w:color w:val="000000"/>
          <w:highlight w:val="white"/>
        </w:rPr>
        <w:t>6.指令的撤销</w:t>
      </w:r>
    </w:p>
    <w:p w:rsidR="002E7A0D">
      <w:pPr>
        <w:spacing w:line="360" w:lineRule="auto"/>
        <w:ind w:firstLine="420"/>
      </w:pPr>
      <w:r>
        <w:rPr>
          <w:rFonts w:ascii="宋体" w:hAnsi="宋体" w:cs="宋体"/>
          <w:color w:val="000000"/>
          <w:highlight w:val="white"/>
        </w:rPr>
        <w:t>在指令未执行的前提下，若基金管理人撤销指令，基金管理人应在原指令上注明“作废”、“废”、“取消”等字样并加盖预留印鉴及被授权人印章/签字后传真给基金托管人，并电话通知基金托管人。若撤销电子指令，基金管理人应通过相关系统撤销，系统功能不支持撤销的，应参照撤销传真、邮件或其他协商一致的指令方式撤销电子指令。</w:t>
      </w:r>
    </w:p>
    <w:p w:rsidR="002E7A0D">
      <w:pPr>
        <w:spacing w:line="360" w:lineRule="auto"/>
        <w:ind w:firstLine="420"/>
      </w:pPr>
      <w:r>
        <w:rPr>
          <w:rFonts w:ascii="宋体" w:hAnsi="宋体" w:cs="宋体"/>
          <w:color w:val="000000"/>
          <w:highlight w:val="white"/>
        </w:rPr>
        <w:t>（四）基金管理人发送错误指令的情形和处理程序</w:t>
      </w:r>
    </w:p>
    <w:p w:rsidR="002E7A0D">
      <w:pPr>
        <w:spacing w:line="360" w:lineRule="auto"/>
        <w:ind w:firstLine="420"/>
      </w:pPr>
      <w:r>
        <w:rPr>
          <w:rFonts w:ascii="宋体" w:hAnsi="宋体" w:cs="宋体"/>
          <w:color w:val="000000"/>
          <w:highlight w:val="white"/>
        </w:rPr>
        <w:t>1.基金管理人发送错误指令的情形包括指令发送人员无权或超越权限发送指令，指令不能辨识或要素不全导致无法执行等情形。</w:t>
      </w:r>
    </w:p>
    <w:p w:rsidR="002E7A0D">
      <w:pPr>
        <w:spacing w:line="360" w:lineRule="auto"/>
        <w:ind w:firstLine="420"/>
      </w:pPr>
      <w:r>
        <w:rPr>
          <w:rFonts w:ascii="宋体" w:hAnsi="宋体" w:cs="宋体"/>
          <w:color w:val="000000"/>
          <w:highlight w:val="white"/>
        </w:rPr>
        <w:t>2.当基金托管人认为所接受指令为错误指令时，应及时与基金管理人进行电话确认，暂停指令的执行并要求基金管理人重新发送指令。</w:t>
      </w:r>
    </w:p>
    <w:p w:rsidR="002E7A0D">
      <w:pPr>
        <w:spacing w:line="360" w:lineRule="auto"/>
        <w:ind w:firstLine="420"/>
      </w:pPr>
      <w:r>
        <w:rPr>
          <w:rFonts w:ascii="宋体" w:hAnsi="宋体" w:cs="宋体"/>
          <w:color w:val="000000"/>
          <w:highlight w:val="white"/>
        </w:rPr>
        <w:t>（五）基金托管人依照法律法规暂缓、拒绝执行指令的情形和处理程序</w:t>
      </w:r>
    </w:p>
    <w:p w:rsidR="002E7A0D">
      <w:pPr>
        <w:spacing w:line="360" w:lineRule="auto"/>
        <w:ind w:firstLine="420"/>
      </w:pPr>
      <w:r>
        <w:rPr>
          <w:rFonts w:ascii="宋体" w:hAnsi="宋体" w:cs="宋体"/>
          <w:color w:val="000000"/>
          <w:highlight w:val="white"/>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2E7A0D">
      <w:pPr>
        <w:spacing w:line="360" w:lineRule="auto"/>
        <w:ind w:firstLine="420"/>
      </w:pPr>
      <w:r>
        <w:rPr>
          <w:rFonts w:ascii="宋体" w:hAnsi="宋体" w:cs="宋体"/>
          <w:color w:val="000000"/>
          <w:highlight w:val="white"/>
        </w:rPr>
        <w:t>（六）基金托管人未按照基金管理人指令执行的处理方法</w:t>
      </w:r>
    </w:p>
    <w:p w:rsidR="002E7A0D">
      <w:pPr>
        <w:spacing w:line="360" w:lineRule="auto"/>
        <w:ind w:firstLine="420"/>
      </w:pPr>
      <w:r>
        <w:rPr>
          <w:rFonts w:ascii="宋体" w:hAnsi="宋体" w:cs="宋体"/>
          <w:color w:val="000000"/>
          <w:highlight w:val="white"/>
        </w:rPr>
        <w:t>对于基金管理人的有效指令和通知，除非违反法律法规、基金合同、托管协议或具有第（四）项所述错误，基金托管人不得无故拒绝或拖延执行，否则应就基金或基金管理人由此产生的损失负赔偿责任。除因基金托管人故意或重大过失原因致使本基金、基金管理人的利益受到损害而负赔偿责任外，基金托管人对执行基金管理人的合法指令对基金财产造成的损失不承担赔偿责任。</w:t>
      </w:r>
    </w:p>
    <w:p w:rsidR="002E7A0D">
      <w:pPr>
        <w:spacing w:line="360" w:lineRule="auto"/>
        <w:ind w:firstLine="420"/>
      </w:pPr>
      <w:r>
        <w:rPr>
          <w:rFonts w:ascii="宋体" w:hAnsi="宋体" w:cs="宋体"/>
          <w:color w:val="000000"/>
          <w:highlight w:val="white"/>
        </w:rPr>
        <w:t>（七）更换被授权人员的程序</w:t>
      </w:r>
    </w:p>
    <w:p w:rsidR="002E7A0D">
      <w:pPr>
        <w:spacing w:line="360" w:lineRule="auto"/>
        <w:ind w:firstLine="420"/>
      </w:pPr>
      <w:r>
        <w:rPr>
          <w:rFonts w:ascii="宋体" w:hAnsi="宋体" w:cs="宋体"/>
          <w:color w:val="000000"/>
          <w:highlight w:val="white"/>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五个工作日内将被授权人变更通知的正本邮寄基金托管人。变更通知书书面正本内容与基金托管人收到的传真不一致的，以基金托管人收到的传真为准。</w:t>
      </w:r>
    </w:p>
    <w:p w:rsidR="002E7A0D">
      <w:pPr>
        <w:spacing w:line="360" w:lineRule="auto"/>
        <w:ind w:firstLine="420"/>
      </w:pPr>
      <w:r>
        <w:rPr>
          <w:rFonts w:ascii="宋体" w:hAnsi="宋体" w:cs="宋体"/>
          <w:color w:val="000000"/>
          <w:highlight w:val="white"/>
        </w:rPr>
        <w:t>基金托管人更换接收基金管理人指令的人员，应提前通知基金管理人。</w:t>
      </w:r>
    </w:p>
    <w:p w:rsidR="002E7A0D">
      <w:pPr>
        <w:spacing w:line="360" w:lineRule="auto"/>
        <w:ind w:firstLine="420"/>
      </w:pPr>
      <w:r>
        <w:rPr>
          <w:rFonts w:ascii="宋体" w:hAnsi="宋体" w:cs="宋体"/>
          <w:color w:val="000000"/>
          <w:highlight w:val="white"/>
        </w:rPr>
        <w:t>（八）指令的保管</w:t>
      </w:r>
    </w:p>
    <w:p w:rsidR="002E7A0D">
      <w:pPr>
        <w:spacing w:line="360" w:lineRule="auto"/>
        <w:ind w:firstLine="420"/>
      </w:pPr>
      <w:r>
        <w:rPr>
          <w:rFonts w:ascii="宋体" w:hAnsi="宋体" w:cs="宋体"/>
          <w:color w:val="000000"/>
          <w:highlight w:val="white"/>
        </w:rPr>
        <w:t>指令若以传真形式发出，则正本由基金管理人保管，基金托管人保管指令传真件。当两者不一致时，以基金托管人收到的指令传真件为准。</w:t>
      </w:r>
    </w:p>
    <w:p w:rsidR="002E7A0D">
      <w:pPr>
        <w:spacing w:line="360" w:lineRule="auto"/>
        <w:ind w:firstLine="420"/>
      </w:pPr>
      <w:r>
        <w:rPr>
          <w:rFonts w:ascii="宋体" w:hAnsi="宋体" w:cs="宋体"/>
          <w:color w:val="000000"/>
          <w:highlight w:val="white"/>
        </w:rPr>
        <w:t>（九）相关责任</w:t>
      </w:r>
    </w:p>
    <w:p w:rsidR="002E7A0D">
      <w:pPr>
        <w:spacing w:line="360" w:lineRule="auto"/>
        <w:ind w:firstLine="420"/>
      </w:pPr>
      <w:r>
        <w:rPr>
          <w:rFonts w:ascii="宋体" w:hAnsi="宋体" w:cs="宋体"/>
          <w:color w:val="000000"/>
          <w:highlight w:val="white"/>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2E7A0D">
      <w:pPr>
        <w:spacing w:line="360" w:lineRule="auto"/>
        <w:ind w:firstLine="420"/>
      </w:pPr>
      <w:r>
        <w:rPr>
          <w:rFonts w:ascii="宋体" w:hAnsi="宋体" w:cs="宋体"/>
          <w:color w:val="000000"/>
          <w:highlight w:val="white"/>
        </w:rPr>
        <w:t>基金托管人根据本协议相关规定履行印鉴和签名的表面一致性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本协议约定尽形式审核义务执行指令而造成损失的情形除外。</w:t>
      </w:r>
    </w:p>
    <w:p w:rsidR="002E7A0D">
      <w:pPr>
        <w:snapToGrid w:val="0"/>
        <w:spacing w:line="360" w:lineRule="auto"/>
        <w:ind w:firstLine="420"/>
        <w:rPr>
          <w:rFonts w:ascii="宋体" w:hAnsi="宋体" w:cs="宋体"/>
          <w:szCs w:val="21"/>
        </w:rPr>
      </w:pPr>
    </w:p>
    <w:p w:rsidR="002E7A0D">
      <w:pPr>
        <w:spacing w:line="360" w:lineRule="auto"/>
        <w:contextualSpacing/>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bookmarkStart w:id="73" w:name="_Toc108512361"/>
      <w:bookmarkStart w:id="74" w:name="_Toc110765663"/>
      <w:bookmarkStart w:id="75" w:name="_Toc110761799"/>
      <w:bookmarkStart w:id="76" w:name="_Toc86649725"/>
      <w:bookmarkStart w:id="77" w:name="_Toc120435786"/>
      <w:bookmarkStart w:id="78" w:name="_Toc86726442"/>
      <w:bookmarkStart w:id="79" w:name="_Toc89163371"/>
      <w:bookmarkStart w:id="80" w:name="_Toc118972651"/>
      <w:bookmarkStart w:id="81" w:name="_Toc119402713"/>
      <w:bookmarkStart w:id="82" w:name="_Toc86737932"/>
      <w:bookmarkStart w:id="83" w:name="_Toc86727358"/>
      <w:bookmarkStart w:id="84" w:name="_Toc118774806"/>
      <w:bookmarkStart w:id="85" w:name="_Toc84234390"/>
      <w:bookmarkStart w:id="86" w:name="_Toc84133788"/>
      <w:bookmarkStart w:id="87" w:name="_Toc84234437"/>
      <w:bookmarkStart w:id="88" w:name="_Toc86223245"/>
      <w:bookmarkStart w:id="89" w:name="_Toc110830495"/>
      <w:bookmarkStart w:id="90" w:name="_Toc86225294"/>
      <w:bookmarkStart w:id="91" w:name="_Toc118212953"/>
      <w:bookmarkStart w:id="92" w:name="_Toc86204791"/>
      <w:r>
        <w:rPr>
          <w:rFonts w:ascii="宋体" w:eastAsia="宋体" w:hAnsi="宋体" w:cs="宋体"/>
          <w:sz w:val="21"/>
          <w:szCs w:val="21"/>
          <w:highlight w:val="white"/>
        </w:rPr>
        <w:br w:type="page"/>
      </w:r>
      <w:bookmarkStart w:id="93" w:name="_Toc348082035"/>
      <w:bookmarkStart w:id="94" w:name="_Toc384992697"/>
      <w:r>
        <w:rPr>
          <w:rFonts w:ascii="宋体" w:eastAsia="宋体" w:hAnsi="宋体" w:cs="宋体" w:hint="eastAsia"/>
          <w:sz w:val="21"/>
          <w:szCs w:val="21"/>
          <w:highlight w:val="white"/>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2E7A0D">
      <w:pPr>
        <w:snapToGrid w:val="0"/>
        <w:spacing w:line="360" w:lineRule="auto"/>
        <w:ind w:firstLine="420"/>
        <w:rPr>
          <w:rFonts w:ascii="宋体" w:hAnsi="宋体" w:cs="宋体"/>
          <w:szCs w:val="21"/>
        </w:rPr>
      </w:pPr>
      <w:r>
        <w:rPr>
          <w:rFonts w:ascii="宋体" w:hAnsi="宋体" w:cs="宋体" w:hint="eastAsia"/>
          <w:szCs w:val="21"/>
          <w:highlight w:val="white"/>
        </w:rPr>
        <w:t>（一）选择代理证券、期货买卖的证券、期货经营机构</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管理人应设计选择代理证券买卖的证券经营机构的标准和程序，并按照有关合同和规定行使基金财产投资权利及承担相应义务，包括但不限于选择经纪商及投资标的等。基金管理人负责选择代理本基金证券买卖的证券经营机构，租用其交易单元作为基金的交易单元。基金管理人和被选中的证券经营机构签订交易单元租用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（1）基金管理人所选择的期货公司负责办理基金资产的期货交易的清算交割。</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正常情况下当日交易结算报告的发送时间应在交易日当日的1</w:t>
      </w:r>
      <w:r>
        <w:rPr>
          <w:rFonts w:ascii="宋体" w:hAnsi="宋体" w:cs="宋体"/>
          <w:szCs w:val="21"/>
          <w:highlight w:val="white"/>
        </w:rPr>
        <w:t>8</w:t>
      </w:r>
      <w:r>
        <w:rPr>
          <w:rFonts w:ascii="宋体" w:hAnsi="宋体" w:cs="宋体" w:hint="eastAsia"/>
          <w:szCs w:val="21"/>
          <w:highlight w:val="white"/>
        </w:rPr>
        <w:t>：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（3）基金管理人应责成其选择的期货公司对发送的数据的准确性、完整性、真实性负责。</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由于交易结算报告的记载事项出现与实际交易结果和权益不符造成本基金估值计算错误的，应由基金管理人负责向数据发送方追偿，基金托管人不承担责任。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（二）基金投资证券后的清算交收安排</w:t>
      </w:r>
    </w:p>
    <w:p w:rsidR="002E7A0D">
      <w:pPr>
        <w:snapToGrid w:val="0"/>
        <w:spacing w:line="360" w:lineRule="auto"/>
        <w:ind w:firstLine="420"/>
        <w:rPr>
          <w:rFonts w:ascii="宋体" w:hAnsi="宋体" w:cs="宋体"/>
          <w:szCs w:val="21"/>
        </w:rPr>
      </w:pPr>
      <w:r>
        <w:rPr>
          <w:rFonts w:ascii="宋体" w:hAnsi="宋体" w:cs="宋体" w:hint="eastAsia"/>
          <w:color w:val="000000"/>
          <w:szCs w:val="21"/>
          <w:highlight w:val="white"/>
        </w:rPr>
        <w:t>基金管理人和基金托管人在基金财产场内清算交收及相关风险控制方面的职责按照附件《托管银行证券资金结算规定》的要求执行。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（三）基金申购、赎回和转换业务处理的基本规定</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1.基金份额申购、赎回、转换的确认、清算由基金管理人或其委托的登记机构负责。</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付赎回及转出款项。</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3.基金管理人应保证本基金（或本基金管理人委托）的登记机构每个工作日15:00前向基金托管人发送开放日上述有关数据，并保证相关数据的准确、完整。</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4.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5.如基金管理人委托其他机构办理本基金的登记业务，应保证上述相关事宜按时进行。否则，由基金管理人承担相应的责任。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6.关于清算专用账户的设立和管理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为满足申购、赎回、转换及分红资金汇划的需要，由基金管理人开立资金清算的专用账户，该账户由登记机构管理。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7.对于基金申购、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8.赎回、转换资金划付规定</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9.资金指令</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除申购款项到达基金资金账户需双方按约定方式对账外，与投资有关的付款、赎回和分红资金划拨时，基金管理人需向基金托管人下达指令。</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资金指令的格式、内容、发送、接收和确认方式等与投资指令相同。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（四）资金净额结算</w:t>
      </w:r>
    </w:p>
    <w:p w:rsidR="002E7A0D">
      <w:pPr>
        <w:snapToGrid w:val="0"/>
        <w:spacing w:line="360" w:lineRule="auto"/>
        <w:ind w:firstLine="420"/>
        <w:rPr>
          <w:rFonts w:ascii="宋体" w:hAnsi="宋体" w:cs="宋体"/>
          <w:szCs w:val="21"/>
        </w:rPr>
      </w:pPr>
      <w:r>
        <w:rPr>
          <w:rFonts w:ascii="宋体" w:hAnsi="宋体" w:cs="宋体"/>
          <w:szCs w:val="21"/>
          <w:highlight w:val="white"/>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15:00之前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当存在资金账户净应付额时，如基金银行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在发生巨额赎回或《基金合同》载明的其他暂停赎回或延缓支付赎回款项的情形时，款项的支付办法参照《基金合同》有关条款处理。</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（五）基金现金分红</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1.基金管理人确定分红方案通知基金托管人，双方核定后依照《信息披露办法》的有关规定在中国证监会规定媒介上公告。</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2.基金托管人和基金管理人对基金分红进行账务处理并核对后，基金管理人向基金托管人发送现金红利的划款指令，基金托管人应根据指令及时将分红款划往指定账户。</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3.基金管理人在下达指令时，应给基金托管人留出必需的划款时间。</w:t>
      </w:r>
    </w:p>
    <w:p w:rsidR="002E7A0D">
      <w:pPr>
        <w:spacing w:line="360" w:lineRule="auto"/>
        <w:ind w:firstLine="480"/>
        <w:rPr>
          <w:rFonts w:ascii="宋体" w:hAnsi="宋体" w:cs="宋体"/>
          <w:szCs w:val="21"/>
        </w:rPr>
      </w:pP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95" w:name="_Toc384992698"/>
      <w:bookmarkStart w:id="96" w:name="_Toc348082036"/>
      <w:r>
        <w:rPr>
          <w:rFonts w:ascii="宋体" w:eastAsia="宋体" w:hAnsi="宋体" w:cs="宋体" w:hint="eastAsia"/>
          <w:sz w:val="21"/>
          <w:szCs w:val="21"/>
          <w:highlight w:val="white"/>
        </w:rPr>
        <w:t>八、基金资产净值计算、估值和会计核算</w:t>
      </w:r>
      <w:bookmarkEnd w:id="95"/>
      <w:bookmarkEnd w:id="96"/>
    </w:p>
    <w:p w:rsidR="002E7A0D">
      <w:pPr>
        <w:snapToGrid w:val="0"/>
        <w:spacing w:line="360" w:lineRule="auto"/>
        <w:ind w:firstLine="420"/>
        <w:rPr>
          <w:rFonts w:ascii="宋体" w:hAnsi="宋体" w:cs="宋体"/>
          <w:szCs w:val="21"/>
        </w:rPr>
      </w:pPr>
      <w:r>
        <w:rPr>
          <w:rFonts w:ascii="宋体" w:hAnsi="宋体" w:cs="宋体" w:hint="eastAsia"/>
          <w:szCs w:val="21"/>
          <w:highlight w:val="white"/>
        </w:rPr>
        <w:t>（一）基金资产净值的计算、复核与完成的时间及程序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1.基金资产净值</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基金资产净值是指基金资产总值减去基金负债后的价值。</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基金份额净值是指估值日基金资产净值除以估值日基金份额余额数量，基金份额净值的计算，精确到0.0001元，小数点后第五位四舍五入，国家另有规定的，从其规定。</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基金管理人每个估值日计算基金资产净值、基金份额净值，经基金托管人复核，按规定公告。</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2.复核程序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基金管理人每估值日对基金资产进行估值后，将基金资产净值、基金份额净值发送基金托管人，经基金托管人复核无误后，由基金管理人按规定对外公布。</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（二）基金资产的估值</w:t>
      </w:r>
    </w:p>
    <w:p w:rsidR="002E7A0D">
      <w:pPr>
        <w:snapToGrid w:val="0"/>
        <w:spacing w:line="360" w:lineRule="auto"/>
        <w:ind w:firstLine="420"/>
        <w:rPr>
          <w:rStyle w:val="read"/>
          <w:rFonts w:ascii="宋体" w:hAnsi="宋体" w:cs="宋体"/>
          <w:szCs w:val="21"/>
        </w:rPr>
      </w:pPr>
      <w:r>
        <w:rPr>
          <w:rFonts w:ascii="宋体" w:hAnsi="宋体" w:cs="宋体" w:hint="eastAsia"/>
          <w:szCs w:val="21"/>
          <w:highlight w:val="white"/>
        </w:rPr>
        <w:t>基金管理人及基金托管人应当按照《基金合同》的约定进行估值。</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（三）基金份额净值错误的处理方式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基金管理人及基金托管人应当按照《基金合同》的约定处理份额净值错误。</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（四）基金会计制度</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按国家有关部门规定的会计制度执行。</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（五）基金账册的建立</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（六）基金财务报表与报告的编制和复核</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1.财务报表的编制</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基金财务报表由基金管理人编制，基金托管人复核。</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2.报表复核</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基金托管人在收到基金管理人编制的基金财务报表后，进行独立的复核。核对不符时，应及时通知基金管理人共同查出原因，进行调整，直至双方数据完全一致。</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3.财务报表的编制与复核时间安排</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基金托管人应当在每月结束后5个工作日内完成月度报表的编制及复核；在每个季度结束之日起15个工作日内完成基金季度报告的编制及复核；在上半年结束之日起2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（七）在有需要时，基金管理人应每季度向基金托管人提供基金业绩比较基准的基础数据和编制结果。</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（八）实施侧袋机制期间的基金资产估值</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本基金实施侧袋机制的，应根据本部分的约定对主袋账户资产进行估值并披露主袋账户的基金资产净值和份额净值，暂停披露侧袋账户份额净值。</w:t>
      </w:r>
    </w:p>
    <w:p w:rsidR="002E7A0D">
      <w:pPr>
        <w:spacing w:line="360" w:lineRule="auto"/>
        <w:rPr>
          <w:rFonts w:ascii="宋体" w:hAnsi="宋体" w:cs="宋体"/>
        </w:rPr>
      </w:pPr>
    </w:p>
    <w:p w:rsidR="002E7A0D">
      <w:pPr>
        <w:pStyle w:val="NormalIndent"/>
        <w:snapToGrid w:val="0"/>
        <w:spacing w:line="360" w:lineRule="auto"/>
        <w:ind w:firstLine="0"/>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highlight w:val="white"/>
        </w:rPr>
        <w:br w:type="page"/>
      </w:r>
      <w:bookmarkStart w:id="97" w:name="_Toc384992699"/>
      <w:bookmarkStart w:id="98" w:name="_Toc348082037"/>
      <w:r>
        <w:rPr>
          <w:rFonts w:ascii="宋体" w:eastAsia="宋体" w:hAnsi="宋体" w:cs="宋体" w:hint="eastAsia"/>
          <w:sz w:val="21"/>
          <w:szCs w:val="21"/>
          <w:highlight w:val="white"/>
        </w:rPr>
        <w:t>九、基金收益分配</w:t>
      </w:r>
      <w:bookmarkEnd w:id="97"/>
      <w:bookmarkEnd w:id="98"/>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基金管理人与基金托管人按照《基金合同》的约定处理基金收益分配。</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99" w:name="_Toc348082038"/>
      <w:bookmarkStart w:id="100" w:name="_Toc384992700"/>
      <w:r>
        <w:rPr>
          <w:rFonts w:ascii="宋体" w:eastAsia="宋体" w:hAnsi="宋体" w:cs="宋体" w:hint="eastAsia"/>
          <w:sz w:val="21"/>
          <w:szCs w:val="21"/>
          <w:highlight w:val="white"/>
        </w:rPr>
        <w:t>十、基金信息披露</w:t>
      </w:r>
      <w:bookmarkEnd w:id="99"/>
      <w:bookmarkEnd w:id="100"/>
    </w:p>
    <w:p w:rsidR="002E7A0D">
      <w:pPr>
        <w:snapToGrid w:val="0"/>
        <w:spacing w:line="360" w:lineRule="auto"/>
        <w:ind w:firstLine="420"/>
        <w:rPr>
          <w:rFonts w:ascii="宋体" w:hAnsi="宋体" w:cs="宋体"/>
          <w:szCs w:val="21"/>
        </w:rPr>
      </w:pPr>
      <w:r>
        <w:rPr>
          <w:rFonts w:ascii="宋体" w:hAnsi="宋体" w:cs="宋体" w:hint="eastAsia"/>
          <w:szCs w:val="21"/>
          <w:highlight w:val="white"/>
        </w:rPr>
        <w:t>（一）保密义务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1.非因基金管理人和基金托管人的原因导致保密信息被披露、泄露或公开；</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2.基金管理人和基金托管人为遵守和服从法院判决或裁定、仲裁裁决或中国证监会等监管机构的命令、决定所做出的信息披露或公开。</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（二）信息披露的内容</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w:t>
      </w:r>
      <w:r>
        <w:rPr>
          <w:rFonts w:ascii="宋体" w:hAnsi="宋体" w:cs="宋体"/>
          <w:szCs w:val="21"/>
          <w:highlight w:val="white"/>
        </w:rPr>
        <w:t>金份额持有人大会决议、实施侧袋机制期间的信息披露、清算报告、中国证监会规定的其他信息。基金年度报告中的财务会计报告应当经过符合</w:t>
      </w:r>
      <w:r>
        <w:rPr>
          <w:rFonts w:ascii="宋体" w:hAnsi="宋体" w:cs="宋体" w:hint="eastAsia"/>
          <w:szCs w:val="21"/>
          <w:highlight w:val="white"/>
        </w:rPr>
        <w:t>《证券法》规定的会计师事务所审计后，方可披露。</w:t>
      </w:r>
    </w:p>
    <w:p w:rsidR="002E7A0D">
      <w:pPr>
        <w:spacing w:line="360" w:lineRule="auto"/>
        <w:ind w:firstLine="420"/>
        <w:rPr>
          <w:rFonts w:ascii="宋体" w:hAnsi="宋体" w:cs="宋体"/>
          <w:szCs w:val="21"/>
        </w:rPr>
      </w:pPr>
      <w:r>
        <w:rPr>
          <w:rFonts w:ascii="宋体" w:hAnsi="宋体" w:cs="宋体"/>
          <w:highlight w:val="white"/>
        </w:rPr>
        <w:t>若本基金投资股指期货、国债期货、</w:t>
      </w:r>
      <w:r>
        <w:rPr>
          <w:rFonts w:hint="eastAsia"/>
          <w:szCs w:val="21"/>
          <w:highlight w:val="white"/>
        </w:rPr>
        <w:t>股票期权、</w:t>
      </w:r>
      <w:r>
        <w:rPr>
          <w:rFonts w:ascii="宋体" w:hAnsi="宋体" w:cs="宋体"/>
          <w:highlight w:val="white"/>
        </w:rPr>
        <w:t>资产支持证券</w:t>
      </w:r>
      <w:r>
        <w:rPr>
          <w:rFonts w:hint="eastAsia"/>
          <w:szCs w:val="21"/>
          <w:highlight w:val="white"/>
        </w:rPr>
        <w:t>、参与转融通证券出借及融资业务</w:t>
      </w:r>
      <w:r>
        <w:rPr>
          <w:rFonts w:ascii="宋体" w:hAnsi="宋体" w:cs="宋体"/>
          <w:highlight w:val="white"/>
        </w:rPr>
        <w:t>，基金管理人将按相关法律法规要求进行披露。</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基金管理人应当在季度报告、中期报告、年度报告等定期报告和招募说明书（更新）等文件中披露本基金投资港股通标的股票的情况。法律法规或中国证监会另有规定的，从其规定。</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（三）基金托管人和基金管理人在信息披露中的职责和信息披露程序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1.职责</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基金管理人和基金托管人应积极配合、互相监督，保证其履行按照法定方式和限时披露的义务。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基金管理人、基金托管人应当在中国证监会规定的时间内，将应予披露的基金信息通过规定媒介披露。</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当出现下述情况时，基金管理人和基金托管人可暂停或延迟披露基金相关信息：</w:t>
      </w:r>
    </w:p>
    <w:p w:rsidR="002E7A0D">
      <w:pPr>
        <w:snapToGrid w:val="0"/>
        <w:spacing w:line="360" w:lineRule="auto"/>
        <w:ind w:firstLine="420"/>
        <w:rPr>
          <w:rFonts w:ascii="宋体" w:hAnsi="宋体" w:cs="宋体"/>
          <w:szCs w:val="21"/>
        </w:rPr>
      </w:pPr>
      <w:r w:rsidR="00AA3FB4">
        <w:rPr>
          <w:rFonts w:ascii="宋体" w:hAnsi="宋体" w:cs="宋体" w:hint="eastAsia"/>
          <w:szCs w:val="21"/>
          <w:highlight w:val="white"/>
        </w:rPr>
        <w:t>（1）</w:t>
      </w:r>
      <w:r>
        <w:rPr>
          <w:rFonts w:ascii="宋体" w:hAnsi="宋体" w:cs="宋体" w:hint="eastAsia"/>
          <w:szCs w:val="21"/>
          <w:highlight w:val="white"/>
        </w:rPr>
        <w:t>基金投资所涉及的证券交易市场遇法定节假日或因其他原因暂停营业时；</w:t>
      </w:r>
    </w:p>
    <w:p w:rsidR="002E7A0D">
      <w:pPr>
        <w:snapToGrid w:val="0"/>
        <w:spacing w:line="360" w:lineRule="auto"/>
        <w:ind w:firstLine="420"/>
        <w:rPr>
          <w:rFonts w:ascii="宋体" w:hAnsi="宋体" w:cs="宋体"/>
          <w:szCs w:val="21"/>
        </w:rPr>
      </w:pPr>
      <w:r w:rsidR="00AA3FB4">
        <w:rPr>
          <w:rFonts w:ascii="宋体" w:hAnsi="宋体" w:cs="宋体" w:hint="eastAsia"/>
          <w:szCs w:val="21"/>
          <w:highlight w:val="white"/>
        </w:rPr>
        <w:t>（2）</w:t>
      </w:r>
      <w:r>
        <w:rPr>
          <w:rFonts w:ascii="宋体" w:hAnsi="宋体" w:cs="宋体" w:hint="eastAsia"/>
          <w:szCs w:val="21"/>
          <w:highlight w:val="white"/>
        </w:rPr>
        <w:t>因不可抗力致使基金管理人、基金托管人无法准确评估基金资产价值时；</w:t>
      </w:r>
    </w:p>
    <w:p w:rsidR="002E7A0D">
      <w:pPr>
        <w:snapToGrid w:val="0"/>
        <w:spacing w:line="360" w:lineRule="auto"/>
        <w:ind w:firstLine="420"/>
        <w:rPr>
          <w:rFonts w:ascii="宋体" w:hAnsi="宋体" w:cs="宋体"/>
          <w:szCs w:val="21"/>
        </w:rPr>
      </w:pPr>
      <w:r w:rsidR="00AA3FB4">
        <w:rPr>
          <w:rFonts w:ascii="宋体" w:hAnsi="宋体" w:cs="宋体" w:hint="eastAsia"/>
          <w:szCs w:val="21"/>
          <w:highlight w:val="white"/>
        </w:rPr>
        <w:t>（3）</w:t>
      </w:r>
      <w:r>
        <w:rPr>
          <w:rFonts w:ascii="宋体" w:hAnsi="宋体" w:cs="宋体" w:hint="eastAsia"/>
          <w:szCs w:val="21"/>
          <w:highlight w:val="white"/>
        </w:rPr>
        <w:t>当特定资产占前一估值日基金资产净值50%以上的，经与基金托管人协商确认后，基金管理人应当暂停估值；</w:t>
      </w:r>
    </w:p>
    <w:p w:rsidR="002E7A0D">
      <w:pPr>
        <w:snapToGrid w:val="0"/>
        <w:spacing w:line="360" w:lineRule="auto"/>
        <w:ind w:firstLine="420"/>
        <w:rPr>
          <w:rFonts w:ascii="宋体" w:hAnsi="宋体" w:cs="宋体"/>
          <w:szCs w:val="21"/>
        </w:rPr>
      </w:pPr>
      <w:r w:rsidR="00AA3FB4">
        <w:rPr>
          <w:rFonts w:ascii="宋体" w:hAnsi="宋体" w:cs="宋体" w:hint="eastAsia"/>
          <w:szCs w:val="21"/>
          <w:highlight w:val="white"/>
        </w:rPr>
        <w:t>（4）</w:t>
      </w:r>
      <w:r>
        <w:rPr>
          <w:rFonts w:ascii="宋体" w:hAnsi="宋体" w:cs="宋体" w:hint="eastAsia"/>
          <w:szCs w:val="21"/>
          <w:highlight w:val="white"/>
        </w:rPr>
        <w:t>基金所投资的目标ETF发生暂停估值、暂停公告基金份额净值的情形；</w:t>
      </w:r>
    </w:p>
    <w:p w:rsidR="002E7A0D">
      <w:pPr>
        <w:snapToGrid w:val="0"/>
        <w:spacing w:line="360" w:lineRule="auto"/>
        <w:ind w:firstLine="420"/>
        <w:rPr>
          <w:rFonts w:ascii="宋体" w:hAnsi="宋体" w:cs="宋体"/>
          <w:szCs w:val="21"/>
        </w:rPr>
      </w:pPr>
      <w:r w:rsidR="00AA3FB4">
        <w:rPr>
          <w:rFonts w:ascii="宋体" w:hAnsi="宋体" w:cs="宋体" w:hint="eastAsia"/>
          <w:szCs w:val="21"/>
          <w:highlight w:val="white"/>
        </w:rPr>
        <w:t>（5）</w:t>
      </w:r>
      <w:r>
        <w:rPr>
          <w:rFonts w:ascii="宋体" w:hAnsi="宋体" w:cs="宋体" w:hint="eastAsia"/>
          <w:szCs w:val="21"/>
          <w:highlight w:val="white"/>
        </w:rPr>
        <w:t>中国证监会和基金合同认定的其它情形。</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2.程序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按有关规定须经基金托管人复核的信息披露文件，由基金管理人起草、并经基金托管人复核后由基金管理人公告。发生基金合同中规定需要披露的事项时，按基金合同规定公布。</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3.信息文本的存放</w:t>
      </w:r>
    </w:p>
    <w:p w:rsidR="002E7A0D">
      <w:pPr>
        <w:pStyle w:val="NormalIndent"/>
        <w:snapToGrid w:val="0"/>
        <w:spacing w:line="360" w:lineRule="auto"/>
        <w:rPr>
          <w:rFonts w:ascii="宋体" w:hAnsi="宋体" w:cs="宋体"/>
          <w:szCs w:val="21"/>
        </w:rPr>
      </w:pPr>
      <w:r>
        <w:rPr>
          <w:rFonts w:ascii="宋体" w:hAnsi="宋体" w:cs="宋体" w:hint="eastAsia"/>
          <w:szCs w:val="21"/>
          <w:highlight w:val="white"/>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2E7A0D">
      <w:pPr>
        <w:pStyle w:val="NormalIndent"/>
        <w:spacing w:line="360" w:lineRule="auto"/>
      </w:pPr>
      <w:r>
        <w:rPr>
          <w:rFonts w:ascii="宋体" w:hAnsi="宋体" w:cs="宋体"/>
          <w:szCs w:val="21"/>
          <w:highlight w:val="white"/>
        </w:rPr>
        <w:t>（四）实施侧袋机制期间的信息披露</w:t>
      </w:r>
    </w:p>
    <w:p w:rsidR="002E7A0D">
      <w:pPr>
        <w:pStyle w:val="NormalIndent"/>
        <w:snapToGrid w:val="0"/>
        <w:spacing w:line="360" w:lineRule="auto"/>
        <w:rPr>
          <w:rFonts w:ascii="宋体" w:hAnsi="宋体" w:cs="宋体"/>
          <w:szCs w:val="21"/>
        </w:rPr>
      </w:pPr>
      <w:r>
        <w:rPr>
          <w:rFonts w:ascii="宋体" w:hAnsi="宋体" w:cs="宋体"/>
          <w:szCs w:val="21"/>
          <w:highlight w:val="white"/>
        </w:rPr>
        <w:t>本基金实施侧袋机制的，相关信息披露义务人应当根据法律法规、基金合同和招募说明书的规定进行信息披露，详见招募说明书的规定。</w:t>
      </w:r>
    </w:p>
    <w:p w:rsidR="002E7A0D">
      <w:pPr>
        <w:pStyle w:val="NormalIndent"/>
        <w:spacing w:line="360" w:lineRule="auto"/>
        <w:ind w:firstLine="0"/>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01" w:name="_Toc348082039"/>
      <w:bookmarkStart w:id="102" w:name="_Toc384992701"/>
      <w:r>
        <w:rPr>
          <w:rFonts w:ascii="宋体" w:eastAsia="宋体" w:hAnsi="宋体" w:cs="宋体" w:hint="eastAsia"/>
          <w:sz w:val="21"/>
          <w:szCs w:val="21"/>
          <w:highlight w:val="white"/>
        </w:rPr>
        <w:t>十一、基金费用</w:t>
      </w:r>
      <w:bookmarkEnd w:id="101"/>
      <w:bookmarkEnd w:id="102"/>
    </w:p>
    <w:p w:rsidR="002E7A0D">
      <w:pPr>
        <w:snapToGrid w:val="0"/>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一）</w:t>
      </w:r>
      <w:r>
        <w:rPr>
          <w:rFonts w:ascii="宋体" w:hAnsi="宋体" w:cs="宋体" w:hint="eastAsia"/>
          <w:szCs w:val="21"/>
          <w:highlight w:val="white"/>
        </w:rPr>
        <w:t>基金托管费的计提方法、计提标准和支付方式如下：</w:t>
      </w:r>
    </w:p>
    <w:p w:rsidR="002E7A0D">
      <w:pPr>
        <w:spacing w:line="360" w:lineRule="auto"/>
        <w:ind w:firstLine="420"/>
        <w:rPr>
          <w:rFonts w:ascii="宋体" w:hAnsi="宋体" w:cs="宋体"/>
          <w:szCs w:val="21"/>
        </w:rPr>
      </w:pPr>
      <w:r>
        <w:rPr>
          <w:rFonts w:ascii="宋体" w:hAnsi="宋体" w:cs="宋体"/>
          <w:szCs w:val="21"/>
          <w:highlight w:val="white"/>
        </w:rPr>
        <w:t>本基金的托管费按前一日基金资产净值扣除前一日所持有目标ETF公允价值后的余额（若为负数，则取0）的0.10%年费率计提。托管费的计算方法如下：</w:t>
      </w:r>
    </w:p>
    <w:p w:rsidR="002E7A0D">
      <w:pPr>
        <w:spacing w:line="360" w:lineRule="auto"/>
        <w:ind w:firstLine="420"/>
        <w:rPr>
          <w:rFonts w:ascii="宋体" w:hAnsi="宋体" w:cs="宋体"/>
          <w:szCs w:val="21"/>
        </w:rPr>
      </w:pPr>
      <w:r>
        <w:rPr>
          <w:rFonts w:ascii="宋体" w:hAnsi="宋体" w:cs="宋体"/>
          <w:szCs w:val="21"/>
          <w:highlight w:val="white"/>
        </w:rPr>
        <w:t>H＝E×0.10%÷当年天数</w:t>
      </w:r>
    </w:p>
    <w:p w:rsidR="002E7A0D">
      <w:pPr>
        <w:spacing w:line="360" w:lineRule="auto"/>
        <w:ind w:firstLine="420"/>
        <w:rPr>
          <w:rFonts w:ascii="宋体" w:hAnsi="宋体" w:cs="宋体"/>
          <w:szCs w:val="21"/>
        </w:rPr>
      </w:pPr>
      <w:r>
        <w:rPr>
          <w:rFonts w:ascii="宋体" w:hAnsi="宋体" w:cs="宋体"/>
          <w:szCs w:val="21"/>
          <w:highlight w:val="white"/>
        </w:rPr>
        <w:t>H为每日应计提的基金托管费</w:t>
      </w:r>
    </w:p>
    <w:p w:rsidR="002E7A0D">
      <w:pPr>
        <w:spacing w:line="360" w:lineRule="auto"/>
        <w:ind w:firstLine="420"/>
        <w:rPr>
          <w:rFonts w:ascii="宋体" w:hAnsi="宋体" w:cs="宋体"/>
          <w:szCs w:val="21"/>
        </w:rPr>
      </w:pPr>
      <w:r>
        <w:rPr>
          <w:rFonts w:ascii="宋体" w:hAnsi="宋体" w:cs="宋体"/>
          <w:szCs w:val="21"/>
          <w:highlight w:val="white"/>
        </w:rPr>
        <w:t>E为调整后的前一日的基金资产净值。调整后的前一日基金资产净值＝前一日基金资产净值－前一日本基金持有的目标ETF公允价值，金额为负时以零计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r>
        <w:rPr>
          <w:rFonts w:ascii="宋体" w:hAnsi="宋体" w:cs="宋体"/>
          <w:szCs w:val="21"/>
          <w:highlight w:val="white"/>
        </w:rPr>
        <w:t xml:space="preserve"> </w:t>
      </w:r>
      <w:bookmarkStart w:id="103" w:name="CTS_608c7338e08f4004a54213593452c4e8"/>
      <w:bookmarkEnd w:id="103"/>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二）</w:t>
      </w:r>
      <w:r>
        <w:rPr>
          <w:rFonts w:ascii="宋体" w:hAnsi="宋体" w:cs="宋体" w:hint="eastAsia"/>
          <w:szCs w:val="21"/>
          <w:highlight w:val="white"/>
        </w:rPr>
        <w:t>基金其他费用按照《基金合同》的约定计提和支付</w:t>
      </w:r>
      <w:r>
        <w:rPr>
          <w:rFonts w:ascii="宋体" w:hAnsi="宋体" w:cs="宋体" w:hint="eastAsia"/>
          <w:color w:val="000000"/>
          <w:szCs w:val="21"/>
          <w:highlight w:val="white"/>
        </w:rPr>
        <w:t>。</w:t>
      </w:r>
    </w:p>
    <w:p w:rsidR="002E7A0D">
      <w:pPr>
        <w:pStyle w:val="21"/>
        <w:spacing w:before="312" w:after="156" w:line="360" w:lineRule="auto"/>
        <w:ind w:firstLine="527"/>
        <w:jc w:val="center"/>
        <w:rPr>
          <w:rFonts w:ascii="宋体" w:eastAsia="宋体" w:hAnsi="宋体" w:cs="宋体"/>
          <w:sz w:val="21"/>
          <w:szCs w:val="21"/>
        </w:rPr>
      </w:pPr>
      <w:r>
        <w:rPr>
          <w:rFonts w:ascii="宋体" w:eastAsia="宋体" w:hAnsi="宋体" w:cs="宋体"/>
          <w:sz w:val="21"/>
          <w:szCs w:val="21"/>
          <w:highlight w:val="white"/>
        </w:rPr>
        <w:br w:type="page"/>
      </w:r>
      <w:bookmarkStart w:id="104" w:name="_Toc384992702"/>
      <w:bookmarkStart w:id="105" w:name="_Toc348082040"/>
      <w:r>
        <w:rPr>
          <w:rFonts w:ascii="宋体" w:eastAsia="宋体" w:hAnsi="宋体" w:cs="宋体" w:hint="eastAsia"/>
          <w:sz w:val="21"/>
          <w:szCs w:val="21"/>
          <w:highlight w:val="white"/>
        </w:rPr>
        <w:t>十二、基金份额持有人名册的保管</w:t>
      </w:r>
      <w:bookmarkEnd w:id="104"/>
      <w:bookmarkEnd w:id="105"/>
    </w:p>
    <w:p w:rsidR="002E7A0D">
      <w:pPr>
        <w:snapToGrid w:val="0"/>
        <w:spacing w:line="360" w:lineRule="auto"/>
        <w:ind w:firstLine="420"/>
        <w:rPr>
          <w:rFonts w:ascii="宋体" w:hAnsi="宋体" w:cs="宋体"/>
          <w:szCs w:val="21"/>
        </w:rPr>
      </w:pPr>
      <w:r>
        <w:rPr>
          <w:rFonts w:ascii="宋体" w:hAnsi="宋体" w:cs="宋体"/>
          <w:szCs w:val="21"/>
          <w:highlight w:val="white"/>
        </w:rPr>
        <w:t>基金份额持有人名册至少应包括基金份额持有人的名称</w:t>
      </w:r>
      <w:r>
        <w:rPr>
          <w:rFonts w:ascii="宋体" w:hAnsi="宋体" w:cs="宋体" w:hint="eastAsia"/>
          <w:szCs w:val="21"/>
          <w:highlight w:val="white"/>
        </w:rPr>
        <w:t>、证件号码和持有的基金份额。基金份额持有人名册由登记机构根据基金管理人的指令编制和保管，基金管理人和基金托管人应分别保管基金份额持有人名册，保存期不少于</w:t>
      </w:r>
      <w:r>
        <w:rPr>
          <w:rFonts w:ascii="宋体" w:hAnsi="宋体" w:cs="宋体"/>
          <w:szCs w:val="21"/>
          <w:highlight w:val="white"/>
        </w:rPr>
        <w:t>20</w:t>
      </w:r>
      <w:r>
        <w:rPr>
          <w:rFonts w:ascii="宋体" w:hAnsi="宋体" w:cs="宋体" w:hint="eastAsia"/>
          <w:szCs w:val="21"/>
          <w:highlight w:val="white"/>
        </w:rPr>
        <w:t>年。如不能妥善保管，则按相关法律法规承担责任。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
    <w:p w:rsidR="002E7A0D">
      <w:pPr>
        <w:pStyle w:val="21"/>
        <w:spacing w:before="312" w:after="156" w:line="360" w:lineRule="auto"/>
        <w:ind w:firstLine="480"/>
        <w:jc w:val="center"/>
        <w:rPr>
          <w:rFonts w:ascii="宋体" w:eastAsia="宋体" w:hAnsi="宋体" w:cs="宋体"/>
          <w:sz w:val="21"/>
          <w:szCs w:val="21"/>
        </w:rPr>
      </w:pPr>
      <w:r>
        <w:rPr>
          <w:rFonts w:ascii="宋体" w:eastAsia="宋体" w:hAnsi="宋体" w:cs="宋体"/>
          <w:b w:val="0"/>
          <w:sz w:val="21"/>
          <w:szCs w:val="21"/>
          <w:highlight w:val="white"/>
        </w:rPr>
        <w:br w:type="page"/>
      </w:r>
      <w:bookmarkStart w:id="106" w:name="_Toc384992703"/>
      <w:bookmarkStart w:id="107" w:name="_Toc348082041"/>
      <w:r>
        <w:rPr>
          <w:rFonts w:ascii="宋体" w:eastAsia="宋体" w:hAnsi="宋体" w:cs="宋体" w:hint="eastAsia"/>
          <w:sz w:val="21"/>
          <w:szCs w:val="21"/>
          <w:highlight w:val="white"/>
        </w:rPr>
        <w:t>十三、基金有关文件档案的保存</w:t>
      </w:r>
      <w:bookmarkEnd w:id="106"/>
      <w:bookmarkEnd w:id="107"/>
    </w:p>
    <w:p w:rsidR="002E7A0D">
      <w:pPr>
        <w:snapToGrid w:val="0"/>
        <w:spacing w:line="360" w:lineRule="auto"/>
        <w:ind w:firstLine="420"/>
        <w:outlineLvl w:val="2"/>
        <w:rPr>
          <w:rFonts w:ascii="宋体" w:hAnsi="宋体" w:cs="宋体"/>
          <w:szCs w:val="21"/>
        </w:rPr>
      </w:pPr>
      <w:r>
        <w:rPr>
          <w:rFonts w:ascii="宋体" w:hAnsi="宋体" w:cs="宋体" w:hint="eastAsia"/>
          <w:szCs w:val="21"/>
          <w:highlight w:val="white"/>
        </w:rPr>
        <w:t>（一）档案保存</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宋体"/>
          <w:szCs w:val="21"/>
          <w:highlight w:val="white"/>
        </w:rPr>
        <w:t>20</w:t>
      </w:r>
      <w:r>
        <w:rPr>
          <w:rFonts w:ascii="宋体" w:hAnsi="宋体" w:cs="宋体" w:hint="eastAsia"/>
          <w:szCs w:val="21"/>
          <w:highlight w:val="white"/>
        </w:rPr>
        <w:t>年。</w:t>
      </w:r>
    </w:p>
    <w:p w:rsidR="002E7A0D">
      <w:pPr>
        <w:snapToGrid w:val="0"/>
        <w:spacing w:line="360" w:lineRule="auto"/>
        <w:ind w:firstLine="420"/>
        <w:outlineLvl w:val="2"/>
        <w:rPr>
          <w:rFonts w:ascii="宋体" w:hAnsi="宋体" w:cs="宋体"/>
          <w:szCs w:val="21"/>
        </w:rPr>
      </w:pPr>
      <w:r>
        <w:rPr>
          <w:rFonts w:ascii="宋体" w:hAnsi="宋体" w:cs="宋体" w:hint="eastAsia"/>
          <w:szCs w:val="21"/>
          <w:highlight w:val="white"/>
        </w:rPr>
        <w:t>（二）合同档案的建立</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1.基金管理人签署重大合同文本后，应及时将合同文本正本送达基金托管人处。</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2.基金管理人应及时将与本基金账务处理、资金划拨等有关的合同、协议传真至基金托管人。</w:t>
      </w:r>
    </w:p>
    <w:p w:rsidR="002E7A0D">
      <w:pPr>
        <w:snapToGrid w:val="0"/>
        <w:spacing w:line="360" w:lineRule="auto"/>
        <w:ind w:firstLine="420"/>
        <w:outlineLvl w:val="2"/>
        <w:rPr>
          <w:rFonts w:ascii="宋体" w:hAnsi="宋体" w:cs="宋体"/>
          <w:szCs w:val="21"/>
        </w:rPr>
      </w:pPr>
      <w:r>
        <w:rPr>
          <w:rFonts w:ascii="宋体" w:hAnsi="宋体" w:cs="宋体" w:hint="eastAsia"/>
          <w:szCs w:val="21"/>
          <w:highlight w:val="white"/>
        </w:rPr>
        <w:t>（三）变更与协助</w:t>
      </w:r>
    </w:p>
    <w:p w:rsidR="002E7A0D">
      <w:pPr>
        <w:snapToGrid w:val="0"/>
        <w:spacing w:line="360" w:lineRule="auto"/>
        <w:ind w:firstLine="420"/>
        <w:rPr>
          <w:rFonts w:ascii="宋体" w:hAnsi="宋体" w:cs="宋体"/>
          <w:b/>
          <w:bCs/>
          <w:szCs w:val="21"/>
        </w:rPr>
      </w:pPr>
      <w:r>
        <w:rPr>
          <w:rFonts w:ascii="宋体" w:hAnsi="宋体" w:cs="宋体" w:hint="eastAsia"/>
          <w:szCs w:val="21"/>
          <w:highlight w:val="white"/>
        </w:rPr>
        <w:t>若基金管理人/基金托管人发生变更，未变更的一方有义务协助变更后的接任人接收相应文件。</w:t>
      </w:r>
    </w:p>
    <w:p w:rsidR="002E7A0D">
      <w:pPr>
        <w:snapToGrid w:val="0"/>
        <w:spacing w:line="360" w:lineRule="auto"/>
        <w:ind w:firstLine="420"/>
        <w:outlineLvl w:val="2"/>
        <w:rPr>
          <w:rFonts w:ascii="宋体" w:hAnsi="宋体" w:cs="宋体"/>
          <w:szCs w:val="21"/>
        </w:rPr>
      </w:pPr>
      <w:r>
        <w:rPr>
          <w:rFonts w:ascii="宋体" w:hAnsi="宋体" w:cs="宋体" w:hint="eastAsia"/>
          <w:szCs w:val="21"/>
          <w:highlight w:val="white"/>
        </w:rPr>
        <w:t>（四）基金管理人和基金托管人应按各自职责完整保存原始凭证、记账凭证、基金账册、交易记录和重要合同等，承担保密义务并保存至少2</w:t>
      </w:r>
      <w:r>
        <w:rPr>
          <w:rFonts w:ascii="宋体" w:hAnsi="宋体" w:cs="宋体"/>
          <w:szCs w:val="21"/>
          <w:highlight w:val="white"/>
        </w:rPr>
        <w:t>0</w:t>
      </w:r>
      <w:r>
        <w:rPr>
          <w:rFonts w:ascii="宋体" w:hAnsi="宋体" w:cs="宋体" w:hint="eastAsia"/>
          <w:szCs w:val="21"/>
          <w:highlight w:val="white"/>
        </w:rPr>
        <w:t>年以上。</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08" w:name="_Toc348082042"/>
      <w:bookmarkStart w:id="109" w:name="_Toc384992704"/>
      <w:r>
        <w:rPr>
          <w:rFonts w:ascii="宋体" w:eastAsia="宋体" w:hAnsi="宋体" w:cs="宋体" w:hint="eastAsia"/>
          <w:sz w:val="21"/>
          <w:szCs w:val="21"/>
          <w:highlight w:val="white"/>
        </w:rPr>
        <w:t>十四、基金管理人和基金托管人的更换</w:t>
      </w:r>
      <w:bookmarkEnd w:id="108"/>
      <w:bookmarkEnd w:id="109"/>
    </w:p>
    <w:p w:rsidR="002E7A0D">
      <w:pPr>
        <w:spacing w:line="360" w:lineRule="auto"/>
        <w:ind w:firstLine="420"/>
        <w:rPr>
          <w:rFonts w:ascii="宋体" w:hAnsi="宋体" w:cs="宋体"/>
          <w:szCs w:val="21"/>
        </w:rPr>
      </w:pPr>
      <w:r>
        <w:rPr>
          <w:rFonts w:ascii="宋体" w:hAnsi="宋体" w:cs="宋体" w:hint="eastAsia"/>
          <w:szCs w:val="21"/>
          <w:highlight w:val="white"/>
        </w:rPr>
        <w:t>（一）</w:t>
      </w:r>
      <w:r>
        <w:rPr>
          <w:rFonts w:ascii="宋体" w:hAnsi="宋体" w:cs="宋体"/>
          <w:szCs w:val="21"/>
          <w:highlight w:val="white"/>
        </w:rPr>
        <w:t>基金管理人职责终止</w:t>
      </w:r>
      <w:r>
        <w:rPr>
          <w:rFonts w:ascii="宋体" w:hAnsi="宋体" w:cs="宋体" w:hint="eastAsia"/>
          <w:szCs w:val="21"/>
          <w:highlight w:val="white"/>
        </w:rPr>
        <w:t>后</w:t>
      </w:r>
      <w:r>
        <w:rPr>
          <w:rFonts w:ascii="宋体" w:hAnsi="宋体" w:cs="宋体"/>
          <w:szCs w:val="21"/>
          <w:highlight w:val="white"/>
        </w:rPr>
        <w:t>，</w:t>
      </w:r>
      <w:r>
        <w:rPr>
          <w:rFonts w:ascii="宋体" w:hAnsi="宋体" w:cs="宋体" w:hint="eastAsia"/>
          <w:szCs w:val="21"/>
          <w:highlight w:val="white"/>
        </w:rPr>
        <w:t>仍</w:t>
      </w:r>
      <w:r>
        <w:rPr>
          <w:rFonts w:ascii="宋体" w:hAnsi="宋体" w:cs="宋体"/>
          <w:szCs w:val="21"/>
          <w:highlight w:val="white"/>
        </w:rPr>
        <w:t>应妥善保管基金管理业务资料，</w:t>
      </w:r>
      <w:r>
        <w:rPr>
          <w:rFonts w:ascii="宋体" w:hAnsi="宋体" w:cs="宋体" w:hint="eastAsia"/>
          <w:szCs w:val="21"/>
          <w:highlight w:val="white"/>
        </w:rPr>
        <w:t>保证不做出对基金份额持有人的利益造成损害的行为，并与新任基金管理人或临时基金管理人</w:t>
      </w:r>
      <w:r>
        <w:rPr>
          <w:rFonts w:ascii="宋体" w:hAnsi="宋体" w:cs="宋体"/>
          <w:szCs w:val="21"/>
          <w:highlight w:val="white"/>
        </w:rPr>
        <w:t>及时办理基金管理业务的移交手续。</w:t>
      </w:r>
      <w:r>
        <w:rPr>
          <w:rFonts w:ascii="宋体" w:hAnsi="宋体" w:cs="宋体" w:hint="eastAsia"/>
          <w:szCs w:val="21"/>
          <w:highlight w:val="white"/>
        </w:rPr>
        <w:t>基金托管人应给予积极配合，并与新任基金管理人核对基金资产总值。</w:t>
      </w:r>
    </w:p>
    <w:p w:rsidR="002E7A0D">
      <w:pPr>
        <w:spacing w:line="360" w:lineRule="auto"/>
        <w:ind w:firstLine="420"/>
        <w:rPr>
          <w:rFonts w:ascii="宋体" w:hAnsi="宋体" w:cs="宋体"/>
          <w:szCs w:val="21"/>
        </w:rPr>
      </w:pPr>
      <w:r>
        <w:rPr>
          <w:rFonts w:ascii="宋体" w:hAnsi="宋体" w:cs="宋体" w:hint="eastAsia"/>
          <w:szCs w:val="21"/>
          <w:highlight w:val="white"/>
        </w:rPr>
        <w:t>（二）</w:t>
      </w:r>
      <w:r>
        <w:rPr>
          <w:rFonts w:ascii="宋体" w:hAnsi="宋体" w:cs="宋体"/>
          <w:szCs w:val="21"/>
          <w:highlight w:val="white"/>
        </w:rPr>
        <w:t>基金托管人职责终止</w:t>
      </w:r>
      <w:r>
        <w:rPr>
          <w:rFonts w:ascii="宋体" w:hAnsi="宋体" w:cs="宋体" w:hint="eastAsia"/>
          <w:szCs w:val="21"/>
          <w:highlight w:val="white"/>
        </w:rPr>
        <w:t>后</w:t>
      </w:r>
      <w:r>
        <w:rPr>
          <w:rFonts w:ascii="宋体" w:hAnsi="宋体" w:cs="宋体"/>
          <w:szCs w:val="21"/>
          <w:highlight w:val="white"/>
        </w:rPr>
        <w:t>，</w:t>
      </w:r>
      <w:r>
        <w:rPr>
          <w:rFonts w:ascii="宋体" w:hAnsi="宋体" w:cs="宋体" w:hint="eastAsia"/>
          <w:szCs w:val="21"/>
          <w:highlight w:val="white"/>
        </w:rPr>
        <w:t>仍</w:t>
      </w:r>
      <w:r>
        <w:rPr>
          <w:rFonts w:ascii="宋体" w:hAnsi="宋体" w:cs="宋体"/>
          <w:szCs w:val="21"/>
          <w:highlight w:val="white"/>
        </w:rPr>
        <w:t>应妥善保管基金财产和基金托管业务资料，</w:t>
      </w:r>
      <w:r>
        <w:rPr>
          <w:rFonts w:ascii="宋体" w:hAnsi="宋体" w:cs="宋体" w:hint="eastAsia"/>
          <w:szCs w:val="21"/>
          <w:highlight w:val="white"/>
        </w:rPr>
        <w:t>保证不做出对基金份额持有人的利益造成损害的行为，并与新任基金托管人或临时基金托管人</w:t>
      </w:r>
      <w:r>
        <w:rPr>
          <w:rFonts w:ascii="宋体" w:hAnsi="宋体" w:cs="宋体"/>
          <w:szCs w:val="21"/>
          <w:highlight w:val="white"/>
        </w:rPr>
        <w:t>及时办理基金财产和基金托管业务的移交手续。</w:t>
      </w:r>
      <w:r>
        <w:rPr>
          <w:rFonts w:ascii="宋体" w:hAnsi="宋体" w:cs="宋体" w:hint="eastAsia"/>
          <w:szCs w:val="21"/>
          <w:highlight w:val="white"/>
        </w:rPr>
        <w:t>基金管理人应给予积极配合，并与新任基金托管人核对基金资产总值。</w:t>
      </w:r>
    </w:p>
    <w:p w:rsidR="002E7A0D">
      <w:pPr>
        <w:snapToGrid w:val="0"/>
        <w:spacing w:line="360" w:lineRule="auto"/>
        <w:ind w:firstLine="420"/>
        <w:outlineLvl w:val="2"/>
        <w:rPr>
          <w:rFonts w:ascii="宋体" w:hAnsi="宋体" w:cs="宋体"/>
          <w:szCs w:val="21"/>
        </w:rPr>
      </w:pPr>
      <w:r>
        <w:rPr>
          <w:rFonts w:ascii="宋体" w:hAnsi="宋体" w:cs="宋体" w:hint="eastAsia"/>
          <w:szCs w:val="21"/>
          <w:highlight w:val="white"/>
        </w:rPr>
        <w:t>（三）其他事宜见基金合同的相关约定。</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0" w:name="_Toc348082043"/>
      <w:bookmarkStart w:id="111" w:name="_Toc384992705"/>
      <w:r>
        <w:rPr>
          <w:rFonts w:ascii="宋体" w:eastAsia="宋体" w:hAnsi="宋体" w:cs="宋体" w:hint="eastAsia"/>
          <w:sz w:val="21"/>
          <w:szCs w:val="21"/>
          <w:highlight w:val="white"/>
        </w:rPr>
        <w:t>十五、禁止行为</w:t>
      </w:r>
      <w:bookmarkEnd w:id="110"/>
      <w:bookmarkEnd w:id="111"/>
    </w:p>
    <w:p w:rsidR="002E7A0D">
      <w:pPr>
        <w:snapToGrid w:val="0"/>
        <w:spacing w:line="360" w:lineRule="auto"/>
        <w:ind w:firstLine="420"/>
        <w:rPr>
          <w:rFonts w:ascii="宋体" w:hAnsi="宋体" w:cs="宋体"/>
          <w:szCs w:val="21"/>
        </w:rPr>
      </w:pPr>
      <w:r>
        <w:rPr>
          <w:rFonts w:ascii="宋体" w:hAnsi="宋体" w:cs="宋体" w:hint="eastAsia"/>
          <w:szCs w:val="21"/>
          <w:highlight w:val="white"/>
        </w:rPr>
        <w:t>本协议当事人禁止从事的行为，包括但不限于：</w:t>
      </w:r>
    </w:p>
    <w:p w:rsidR="002E7A0D">
      <w:pPr>
        <w:spacing w:line="360" w:lineRule="auto"/>
        <w:ind w:firstLine="420"/>
        <w:rPr>
          <w:rFonts w:ascii="宋体" w:hAnsi="宋体" w:cs="宋体"/>
          <w:szCs w:val="21"/>
        </w:rPr>
      </w:pPr>
      <w:r>
        <w:rPr>
          <w:rFonts w:ascii="宋体" w:hAnsi="宋体" w:cs="宋体" w:hint="eastAsia"/>
          <w:szCs w:val="21"/>
          <w:highlight w:val="white"/>
        </w:rPr>
        <w:t>（一）基金管理人、基金托管人将其固有财产或者他人财产混同于基金财产从事证券投资。</w:t>
      </w:r>
    </w:p>
    <w:p w:rsidR="002E7A0D">
      <w:pPr>
        <w:spacing w:line="360" w:lineRule="auto"/>
        <w:ind w:firstLine="420"/>
        <w:rPr>
          <w:rFonts w:ascii="宋体" w:hAnsi="宋体" w:cs="宋体"/>
          <w:szCs w:val="21"/>
        </w:rPr>
      </w:pPr>
      <w:r>
        <w:rPr>
          <w:rFonts w:ascii="宋体" w:hAnsi="宋体" w:cs="宋体" w:hint="eastAsia"/>
          <w:szCs w:val="21"/>
          <w:highlight w:val="white"/>
        </w:rPr>
        <w:t>（二）基金管理人不公平地对待其管理的不同基金财产，基金托管人不公平地对待其托管的不同基金财产。</w:t>
      </w:r>
    </w:p>
    <w:p w:rsidR="002E7A0D">
      <w:pPr>
        <w:spacing w:line="360" w:lineRule="auto"/>
        <w:ind w:firstLine="420"/>
        <w:rPr>
          <w:rFonts w:ascii="宋体" w:hAnsi="宋体" w:cs="宋体"/>
          <w:szCs w:val="21"/>
        </w:rPr>
      </w:pPr>
      <w:r>
        <w:rPr>
          <w:rFonts w:ascii="宋体" w:hAnsi="宋体" w:cs="宋体" w:hint="eastAsia"/>
          <w:szCs w:val="21"/>
          <w:highlight w:val="white"/>
        </w:rPr>
        <w:t>（三）基金管理人、基金托管人利用基金财产为基金份额持有人以外的第三人牟取利益。</w:t>
      </w:r>
    </w:p>
    <w:p w:rsidR="002E7A0D">
      <w:pPr>
        <w:spacing w:line="360" w:lineRule="auto"/>
        <w:ind w:firstLine="420"/>
        <w:rPr>
          <w:rFonts w:ascii="宋体" w:hAnsi="宋体" w:cs="宋体"/>
          <w:szCs w:val="21"/>
        </w:rPr>
      </w:pPr>
      <w:r>
        <w:rPr>
          <w:rFonts w:ascii="宋体" w:hAnsi="宋体" w:cs="宋体" w:hint="eastAsia"/>
          <w:szCs w:val="21"/>
          <w:highlight w:val="white"/>
        </w:rPr>
        <w:t>（四）基金管理人、基金托管人向基金份额持有人违规承诺收益或者承担损失。</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（五）基金管理人、基金托管人对他人泄漏基金运作和管理过程中任何尚未按法律法规规定的方式公开披露的信息。</w:t>
      </w:r>
    </w:p>
    <w:p w:rsidR="002E7A0D">
      <w:pPr>
        <w:pStyle w:val="BodyTextIndent"/>
        <w:snapToGrid/>
        <w:spacing w:line="360" w:lineRule="auto"/>
        <w:ind w:firstLine="420"/>
        <w:rPr>
          <w:rFonts w:ascii="宋体" w:eastAsia="宋体" w:hAnsi="宋体" w:cs="宋体"/>
          <w:sz w:val="21"/>
          <w:szCs w:val="21"/>
        </w:rPr>
      </w:pPr>
      <w:r>
        <w:rPr>
          <w:rFonts w:ascii="宋体" w:eastAsia="宋体" w:hAnsi="宋体" w:cs="宋体" w:hint="eastAsia"/>
          <w:sz w:val="21"/>
          <w:szCs w:val="21"/>
          <w:highlight w:val="white"/>
        </w:rPr>
        <w:t>（六）基金管理人在没有充足资金的情况下向基金托管人发出投资指令和付款指令，或违规向基金托管人发出指令。</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（七）基金管理人、基金托管人在行政上、财务上不独立，其高级管理人员和其他从业人员相互兼职。</w:t>
      </w:r>
    </w:p>
    <w:p w:rsidR="002E7A0D">
      <w:pPr>
        <w:spacing w:line="360" w:lineRule="auto"/>
        <w:ind w:firstLine="420"/>
        <w:rPr>
          <w:rFonts w:ascii="宋体" w:hAnsi="宋体" w:cs="宋体"/>
          <w:szCs w:val="21"/>
        </w:rPr>
      </w:pPr>
      <w:r>
        <w:rPr>
          <w:rFonts w:ascii="宋体" w:hAnsi="宋体" w:cs="宋体" w:hint="eastAsia"/>
          <w:szCs w:val="21"/>
          <w:highlight w:val="white"/>
        </w:rPr>
        <w:t>（八）基金托管人私自动用或处分基金财产，根据基金管理人的合法指令、基金合同或托管协议的规定进行处分的除外。</w:t>
      </w:r>
    </w:p>
    <w:p w:rsidR="002E7A0D">
      <w:pPr>
        <w:spacing w:line="360" w:lineRule="auto"/>
        <w:ind w:firstLine="420"/>
        <w:rPr>
          <w:rFonts w:ascii="宋体" w:hAnsi="宋体" w:cs="宋体"/>
          <w:szCs w:val="21"/>
        </w:rPr>
      </w:pPr>
      <w:r>
        <w:rPr>
          <w:rFonts w:ascii="宋体" w:hAnsi="宋体" w:cs="宋体" w:hint="eastAsia"/>
          <w:szCs w:val="21"/>
          <w:highlight w:val="white"/>
        </w:rPr>
        <w:t>（九）法律法规和基金合同禁止的其他行为，以及依照法律、行政法规有关规定，由中国证监会规定禁止基金管理人、基金托管人从事的其他行为。</w:t>
      </w:r>
    </w:p>
    <w:p w:rsidR="002E7A0D">
      <w:pPr>
        <w:pStyle w:val="21"/>
        <w:spacing w:before="312" w:after="156" w:line="360" w:lineRule="auto"/>
        <w:jc w:val="center"/>
        <w:rPr>
          <w:rFonts w:ascii="宋体" w:eastAsia="宋体" w:hAnsi="宋体" w:cs="宋体"/>
          <w:sz w:val="21"/>
          <w:szCs w:val="21"/>
        </w:rPr>
      </w:pPr>
      <w:r>
        <w:rPr>
          <w:rFonts w:ascii="宋体" w:eastAsia="宋体" w:hAnsi="宋体" w:cs="宋体"/>
          <w:b w:val="0"/>
          <w:sz w:val="21"/>
          <w:szCs w:val="21"/>
          <w:highlight w:val="white"/>
        </w:rPr>
        <w:br w:type="page"/>
      </w:r>
      <w:bookmarkStart w:id="112" w:name="_Toc384992706"/>
      <w:bookmarkStart w:id="113" w:name="_Toc348082044"/>
      <w:r>
        <w:rPr>
          <w:rFonts w:ascii="宋体" w:eastAsia="宋体" w:hAnsi="宋体" w:cs="宋体" w:hint="eastAsia"/>
          <w:sz w:val="21"/>
          <w:szCs w:val="21"/>
          <w:highlight w:val="white"/>
        </w:rPr>
        <w:t>十六、托管协议的变更、终止与基金财产的清算</w:t>
      </w:r>
      <w:bookmarkEnd w:id="112"/>
      <w:bookmarkEnd w:id="113"/>
    </w:p>
    <w:p w:rsidR="002E7A0D">
      <w:pPr>
        <w:snapToGrid w:val="0"/>
        <w:spacing w:line="360" w:lineRule="auto"/>
        <w:ind w:firstLine="420"/>
        <w:rPr>
          <w:rFonts w:ascii="宋体" w:hAnsi="宋体" w:cs="宋体"/>
          <w:szCs w:val="21"/>
        </w:rPr>
      </w:pPr>
      <w:r>
        <w:rPr>
          <w:rFonts w:ascii="宋体" w:hAnsi="宋体" w:cs="宋体" w:hint="eastAsia"/>
          <w:szCs w:val="21"/>
          <w:highlight w:val="white"/>
        </w:rPr>
        <w:t>（一）托管协议的变更程序</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本协议双方当事人经协商一致，可以对协议进行修改。修改后的新协议，其内容不得与基金合同的规定有任何冲突。</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（二）基金托管协议终止的情形</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1.《基金合同》终止；</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2.基金托管人因解散、破产、撤销等事由，不能继续担任基金托管人的职务，而在6个月内无其他适当的托管机构承接其原有权利义务；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3.基金管理人因解散、破产、撤销等事由，不能继续担任基金管理人的职务，而在6个月内无其他适当的基金管理公司承接其原有权利义务；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4.发生法律法规或《基金合同》规定的其他终止事项。</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（三）基金财产的清算</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基金管理人与基金托管人按照《基金合同》的约定处理基金财产的清算。</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4" w:name="_Toc384992707"/>
      <w:bookmarkStart w:id="115" w:name="_Toc348082045"/>
      <w:r>
        <w:rPr>
          <w:rFonts w:ascii="宋体" w:eastAsia="宋体" w:hAnsi="宋体" w:cs="宋体" w:hint="eastAsia"/>
          <w:sz w:val="21"/>
          <w:szCs w:val="21"/>
          <w:highlight w:val="white"/>
        </w:rPr>
        <w:t>十七、违约责任</w:t>
      </w:r>
      <w:bookmarkEnd w:id="114"/>
      <w:bookmarkEnd w:id="115"/>
    </w:p>
    <w:p w:rsidR="002E7A0D">
      <w:pPr>
        <w:snapToGrid w:val="0"/>
        <w:spacing w:line="360" w:lineRule="auto"/>
        <w:ind w:firstLine="420"/>
        <w:rPr>
          <w:rFonts w:ascii="宋体" w:hAnsi="宋体" w:cs="宋体"/>
          <w:szCs w:val="21"/>
        </w:rPr>
      </w:pPr>
      <w:r>
        <w:rPr>
          <w:rFonts w:ascii="宋体" w:hAnsi="宋体" w:cs="宋体" w:hint="eastAsia"/>
          <w:szCs w:val="21"/>
          <w:highlight w:val="white"/>
        </w:rPr>
        <w:t>（一）</w:t>
      </w:r>
      <w:r>
        <w:rPr>
          <w:rFonts w:ascii="宋体" w:hAnsi="宋体" w:cs="宋体"/>
          <w:szCs w:val="21"/>
          <w:highlight w:val="white"/>
        </w:rPr>
        <w:t>基金管理人、基金托管人</w:t>
      </w:r>
      <w:r>
        <w:rPr>
          <w:rFonts w:ascii="宋体" w:hAnsi="宋体" w:cs="宋体" w:hint="eastAsia"/>
          <w:szCs w:val="21"/>
          <w:highlight w:val="white"/>
        </w:rPr>
        <w:t>不</w:t>
      </w:r>
      <w:r>
        <w:rPr>
          <w:rFonts w:ascii="宋体" w:hAnsi="宋体" w:cs="宋体"/>
          <w:szCs w:val="21"/>
          <w:highlight w:val="white"/>
        </w:rPr>
        <w:t>履行</w:t>
      </w:r>
      <w:r>
        <w:rPr>
          <w:rFonts w:ascii="宋体" w:hAnsi="宋体" w:cs="宋体" w:hint="eastAsia"/>
          <w:szCs w:val="21"/>
          <w:highlight w:val="white"/>
        </w:rPr>
        <w:t>本协议或履行本协议不符合约定的，应当承担违约责任。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w:t>
      </w:r>
      <w:r>
        <w:rPr>
          <w:rFonts w:ascii="宋体" w:hAnsi="宋体" w:cs="宋体"/>
          <w:szCs w:val="21"/>
          <w:highlight w:val="white"/>
        </w:rPr>
        <w:t>基金管理人、基金托管人在履行各自职责的过程中，违反</w:t>
      </w:r>
      <w:r>
        <w:rPr>
          <w:rFonts w:ascii="宋体" w:hAnsi="宋体" w:cs="宋体" w:hint="eastAsia"/>
          <w:szCs w:val="21"/>
          <w:highlight w:val="white"/>
        </w:rPr>
        <w:t>《基金法》、《基金合同》和本托管协议</w:t>
      </w:r>
      <w:r>
        <w:rPr>
          <w:rFonts w:ascii="宋体" w:hAnsi="宋体" w:cs="宋体"/>
          <w:szCs w:val="21"/>
          <w:highlight w:val="white"/>
        </w:rPr>
        <w:t>约定，给基金财产或者基金份额持有人造成损害的，应当分别对各自的行为依法承担赔偿责任；因共同行为给基金财产或者基金份额持有人造成损害的，应当</w:t>
      </w:r>
      <w:r>
        <w:rPr>
          <w:rFonts w:ascii="宋体" w:hAnsi="宋体" w:cs="宋体" w:hint="eastAsia"/>
          <w:szCs w:val="21"/>
          <w:highlight w:val="white"/>
        </w:rPr>
        <w:t>根据各自的过错程度对由此造成的直接损失分别承担相应的</w:t>
      </w:r>
      <w:r>
        <w:rPr>
          <w:rFonts w:ascii="宋体" w:hAnsi="宋体" w:cs="宋体"/>
          <w:szCs w:val="21"/>
          <w:highlight w:val="white"/>
        </w:rPr>
        <w:t>责任。</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（三）一方当事人违约，给另一方当事人或基金财产造成损失的，应就直接损失进行赔偿，另一方当事人有权利及义务代表基金向违约方追偿。但是如发生下列情况，当事人可以免责：</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1、不可抗力；</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2、基金管理人和/或基金托管人按照当时有效的法律法规或中国证监会的规定作为或不作为而造成的损失等；</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3、基金管理人由于按照基金合同规定的投资原则投资或不投资造成的损失等。</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（四）一方当事人违约，另一方当事人在职责范围内有义务及时采取必要的措施，尽力防止损失的扩大。</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2E7A0D">
      <w:pPr>
        <w:snapToGrid w:val="0"/>
        <w:spacing w:line="360" w:lineRule="auto"/>
        <w:ind w:firstLine="422"/>
        <w:rPr>
          <w:rFonts w:ascii="宋体" w:hAnsi="宋体" w:cs="宋体"/>
          <w:b/>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snapToGrid w:val="0"/>
        <w:spacing w:line="360" w:lineRule="auto"/>
        <w:ind w:firstLine="420"/>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bookmarkStart w:id="116" w:name="_Toc384992708"/>
      <w:bookmarkStart w:id="117" w:name="_Toc348082046"/>
      <w:r>
        <w:rPr>
          <w:rFonts w:ascii="宋体" w:eastAsia="宋体" w:hAnsi="宋体" w:cs="宋体" w:hint="eastAsia"/>
          <w:sz w:val="21"/>
          <w:szCs w:val="21"/>
          <w:highlight w:val="white"/>
        </w:rPr>
        <w:t>十八、争议解决方式</w:t>
      </w:r>
      <w:bookmarkEnd w:id="116"/>
      <w:bookmarkEnd w:id="117"/>
    </w:p>
    <w:p w:rsidR="002E7A0D">
      <w:pPr>
        <w:snapToGrid w:val="0"/>
        <w:spacing w:line="360" w:lineRule="auto"/>
        <w:ind w:firstLine="420"/>
        <w:rPr>
          <w:rFonts w:ascii="宋体" w:hAnsi="宋体" w:cs="宋体"/>
          <w:szCs w:val="21"/>
        </w:rPr>
      </w:pPr>
      <w:r>
        <w:rPr>
          <w:rFonts w:ascii="宋体" w:hAnsi="宋体" w:cs="宋体" w:hint="eastAsia"/>
          <w:szCs w:val="21"/>
          <w:highlight w:val="white"/>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决定，仲裁费用由败诉方承担。</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争议处理期间，双方当事人应恪守基金管理人和基金托管人职责，各自继续忠实、勤勉、尽责地履行基金合同和本托管协议规定的义务，维护基金份额持有人的合法权益。</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本协议受中华人民共和国法律（不含港澳台立法）管辖。</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8" w:name="_Toc384992709"/>
      <w:bookmarkStart w:id="119" w:name="_Toc348082047"/>
      <w:r>
        <w:rPr>
          <w:rFonts w:ascii="宋体" w:eastAsia="宋体" w:hAnsi="宋体" w:cs="宋体" w:hint="eastAsia"/>
          <w:sz w:val="21"/>
          <w:szCs w:val="21"/>
          <w:highlight w:val="white"/>
        </w:rPr>
        <w:t>十九、托管协议的效力</w:t>
      </w:r>
      <w:bookmarkEnd w:id="118"/>
      <w:bookmarkEnd w:id="119"/>
    </w:p>
    <w:p w:rsidR="002E7A0D">
      <w:pPr>
        <w:snapToGrid w:val="0"/>
        <w:spacing w:line="360" w:lineRule="auto"/>
        <w:ind w:firstLine="420"/>
        <w:rPr>
          <w:rFonts w:ascii="宋体" w:hAnsi="宋体" w:cs="宋体"/>
          <w:szCs w:val="21"/>
        </w:rPr>
      </w:pPr>
      <w:r>
        <w:rPr>
          <w:rFonts w:ascii="宋体" w:hAnsi="宋体" w:cs="宋体" w:hint="eastAsia"/>
          <w:szCs w:val="21"/>
          <w:highlight w:val="white"/>
        </w:rPr>
        <w:t>双方对托管协议的效力约定如下：</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一）基金管理人在向中国证监会申请发售基金份额时提交的托管协议草案，应经托管协议当事人双方盖章以及双方法定代表人或授权代表签字或签章，协议当事人双方根据中国证监会的意见修改并正式签署托管协议。托管协议以中国证监会注册的文本为正式文本。</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（二）托管协议自基金合同成立之日起成立，自基金合同生效之日起生效。托管协议的有效期自其生效之日起至基金财产清算结果报中国证监会备案并公告之日止。</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（三）托管协议自生效之日起对托管协议当事人具有同等的法律约束力。</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（四）本协议正本一式</w:t>
      </w:r>
      <w:r>
        <w:rPr>
          <w:rFonts w:ascii="宋体" w:hAnsi="宋体" w:cs="宋体"/>
          <w:szCs w:val="21"/>
          <w:highlight w:val="white"/>
        </w:rPr>
        <w:t>3</w:t>
      </w:r>
      <w:r>
        <w:rPr>
          <w:rFonts w:ascii="宋体" w:hAnsi="宋体" w:cs="宋体" w:hint="eastAsia"/>
          <w:szCs w:val="21"/>
          <w:highlight w:val="white"/>
        </w:rPr>
        <w:t>份，除上报有关监管机构</w:t>
      </w:r>
      <w:r>
        <w:rPr>
          <w:rFonts w:ascii="宋体" w:hAnsi="宋体" w:cs="宋体"/>
          <w:szCs w:val="21"/>
          <w:highlight w:val="white"/>
        </w:rPr>
        <w:t>1</w:t>
      </w:r>
      <w:r>
        <w:rPr>
          <w:rFonts w:ascii="宋体" w:hAnsi="宋体" w:cs="宋体" w:hint="eastAsia"/>
          <w:szCs w:val="21"/>
          <w:highlight w:val="white"/>
        </w:rPr>
        <w:t>份外，基金管理人和基金托管人各持有</w:t>
      </w:r>
      <w:r>
        <w:rPr>
          <w:rFonts w:ascii="宋体" w:hAnsi="宋体" w:cs="宋体"/>
          <w:szCs w:val="21"/>
          <w:highlight w:val="white"/>
        </w:rPr>
        <w:t>1</w:t>
      </w:r>
      <w:r>
        <w:rPr>
          <w:rFonts w:ascii="宋体" w:hAnsi="宋体" w:cs="宋体" w:hint="eastAsia"/>
          <w:szCs w:val="21"/>
          <w:highlight w:val="white"/>
        </w:rPr>
        <w:t>份，每份具有同等法律效力。</w:t>
      </w:r>
    </w:p>
    <w:p w:rsidR="002E7A0D">
      <w:pPr>
        <w:snapToGrid w:val="0"/>
        <w:spacing w:line="360" w:lineRule="auto"/>
        <w:rPr>
          <w:rFonts w:ascii="宋体" w:hAnsi="宋体" w:cs="宋体"/>
          <w:szCs w:val="21"/>
        </w:rPr>
      </w:pP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20" w:name="_Toc348082048"/>
      <w:bookmarkStart w:id="121" w:name="_Toc384992710"/>
      <w:r>
        <w:rPr>
          <w:rFonts w:ascii="宋体" w:eastAsia="宋体" w:hAnsi="宋体" w:cs="宋体" w:hint="eastAsia"/>
          <w:sz w:val="21"/>
          <w:szCs w:val="21"/>
          <w:highlight w:val="white"/>
        </w:rPr>
        <w:t>二十、其他事项</w:t>
      </w:r>
      <w:bookmarkEnd w:id="120"/>
      <w:bookmarkEnd w:id="121"/>
    </w:p>
    <w:p w:rsidR="002E7A0D">
      <w:pPr>
        <w:snapToGrid w:val="0"/>
        <w:spacing w:line="360" w:lineRule="auto"/>
        <w:ind w:firstLine="420"/>
        <w:rPr>
          <w:rFonts w:ascii="宋体" w:hAnsi="宋体" w:cs="宋体"/>
          <w:szCs w:val="21"/>
        </w:rPr>
      </w:pPr>
      <w:r>
        <w:rPr>
          <w:rFonts w:ascii="宋体" w:hAnsi="宋体" w:cs="宋体" w:hint="eastAsia"/>
          <w:szCs w:val="21"/>
          <w:highlight w:val="white"/>
        </w:rPr>
        <w:t>如发生有权司法机关依法冻结基金份额持有人的基金份额时，基金管理人应予以配合，承担司法协助义务。</w:t>
      </w:r>
    </w:p>
    <w:p w:rsidR="002E7A0D">
      <w:pPr>
        <w:snapToGrid w:val="0"/>
        <w:spacing w:line="360" w:lineRule="auto"/>
        <w:ind w:firstLine="420"/>
        <w:rPr>
          <w:rFonts w:ascii="宋体" w:hAnsi="宋体" w:cs="宋体"/>
          <w:szCs w:val="21"/>
        </w:rPr>
      </w:pPr>
      <w:r>
        <w:rPr>
          <w:rFonts w:ascii="宋体" w:hAnsi="宋体" w:cs="宋体" w:hint="eastAsia"/>
          <w:szCs w:val="21"/>
          <w:highlight w:val="white"/>
        </w:rPr>
        <w:t>除本协议有明确定义外，本协议的用语定义适用基金合同的约定。本协议未尽事宜，当事人依据基金合同、有关法律法规等规定协商办理。</w:t>
      </w:r>
    </w:p>
    <w:p w:rsidR="002E7A0D">
      <w:pPr>
        <w:snapToGrid w:val="0"/>
        <w:spacing w:line="360" w:lineRule="auto"/>
        <w:rPr>
          <w:rFonts w:ascii="宋体" w:hAnsi="宋体" w:cs="宋体"/>
          <w:bCs/>
          <w:szCs w:val="21"/>
        </w:rPr>
      </w:pPr>
      <w:r>
        <w:rPr>
          <w:rFonts w:ascii="宋体" w:hAnsi="宋体" w:cs="宋体" w:hint="eastAsia"/>
          <w:bCs/>
          <w:szCs w:val="21"/>
          <w:highlight w:val="white"/>
        </w:rPr>
        <w:t xml:space="preserve">   本协议附件构成本协议不可分割的组成部分。</w:t>
      </w:r>
    </w:p>
    <w:p w:rsidR="002E7A0D">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22" w:name="_Toc384992711"/>
      <w:bookmarkStart w:id="123" w:name="_Toc348082049"/>
      <w:r>
        <w:rPr>
          <w:rFonts w:ascii="宋体" w:eastAsia="宋体" w:hAnsi="宋体" w:cs="宋体" w:hint="eastAsia"/>
          <w:sz w:val="21"/>
          <w:szCs w:val="21"/>
          <w:highlight w:val="white"/>
        </w:rPr>
        <w:t>二十一、托管协议的签订</w:t>
      </w:r>
      <w:bookmarkEnd w:id="122"/>
      <w:bookmarkEnd w:id="123"/>
    </w:p>
    <w:p w:rsidR="002E7A0D">
      <w:pPr>
        <w:snapToGrid w:val="0"/>
        <w:spacing w:line="360" w:lineRule="auto"/>
        <w:ind w:firstLine="420"/>
        <w:rPr>
          <w:rFonts w:ascii="宋体" w:hAnsi="宋体" w:cs="宋体"/>
          <w:szCs w:val="21"/>
        </w:rPr>
      </w:pPr>
      <w:r>
        <w:rPr>
          <w:rFonts w:ascii="宋体" w:hAnsi="宋体" w:cs="宋体" w:hint="eastAsia"/>
          <w:szCs w:val="21"/>
          <w:highlight w:val="white"/>
        </w:rPr>
        <w:t>本协议双方法定代表人或授权代表人签章、签订地、签订日</w:t>
      </w:r>
    </w:p>
    <w:p w:rsidR="002E7A0D">
      <w:pPr>
        <w:spacing w:line="360" w:lineRule="auto"/>
        <w:rPr>
          <w:rFonts w:ascii="宋体" w:hAnsi="宋体" w:cs="宋体"/>
          <w:szCs w:val="21"/>
        </w:rPr>
      </w:pPr>
      <w:r>
        <w:rPr>
          <w:rFonts w:ascii="宋体" w:hAnsi="宋体" w:cs="宋体"/>
          <w:szCs w:val="21"/>
          <w:highlight w:val="white"/>
        </w:rPr>
        <w:br w:type="page"/>
      </w:r>
    </w:p>
    <w:p w:rsidR="002E7A0D">
      <w:pPr>
        <w:pStyle w:val="11"/>
        <w:spacing w:line="360" w:lineRule="auto"/>
        <w:ind w:firstLine="480"/>
        <w:jc w:val="center"/>
        <w:rPr>
          <w:rFonts w:ascii="宋体" w:hAnsi="宋体" w:cs="宋体"/>
          <w:sz w:val="21"/>
          <w:szCs w:val="21"/>
        </w:rPr>
      </w:pPr>
      <w:bookmarkStart w:id="124" w:name="_Toc384992712"/>
      <w:r>
        <w:rPr>
          <w:rFonts w:ascii="宋体" w:hAnsi="宋体" w:cs="宋体" w:hint="eastAsia"/>
          <w:sz w:val="21"/>
          <w:szCs w:val="21"/>
          <w:highlight w:val="white"/>
        </w:rPr>
        <w:t>附件：托管银行证券资金结算规定</w:t>
      </w:r>
      <w:bookmarkEnd w:id="124"/>
    </w:p>
    <w:p w:rsidR="002E7A0D">
      <w:pPr>
        <w:spacing w:line="360" w:lineRule="auto"/>
        <w:ind w:firstLine="424"/>
      </w:pPr>
      <w:r>
        <w:rPr>
          <w:rFonts w:ascii="宋体" w:hAnsi="宋体" w:cs="宋体"/>
          <w:color w:val="000000"/>
          <w:highlight w:val="white"/>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rsidR="002E7A0D">
      <w:pPr>
        <w:spacing w:line="360" w:lineRule="auto"/>
        <w:ind w:firstLine="424"/>
      </w:pPr>
      <w:r>
        <w:rPr>
          <w:rFonts w:ascii="宋体" w:hAnsi="宋体" w:cs="宋体"/>
          <w:color w:val="000000"/>
          <w:highlight w:val="white"/>
        </w:rPr>
        <w:t>第一条  资产托管人，系经国家金融监督管理总局、中国证监会及其他有关金融监管部门核准具备证券投资基金、保险资产、企业年金基金、资产管理计划，以及其他与中国结算办理结算业务相关的托管业务资格的商业银行；资产管理人，系经国家金融监督管理总局、中国证监会及其他有关金融监管部门批准设立的证券期货经营机构、保险公司、保险资产管理公司等投资管理机构。</w:t>
      </w:r>
    </w:p>
    <w:p w:rsidR="002E7A0D">
      <w:pPr>
        <w:spacing w:line="360" w:lineRule="auto"/>
        <w:ind w:firstLine="424"/>
      </w:pPr>
      <w:r>
        <w:rPr>
          <w:rFonts w:ascii="宋体" w:hAnsi="宋体" w:cs="宋体"/>
          <w:color w:val="000000"/>
          <w:highlight w:val="white"/>
        </w:rPr>
        <w:t>第二条  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w:t>
      </w:r>
    </w:p>
    <w:p w:rsidR="002E7A0D">
      <w:pPr>
        <w:spacing w:line="360" w:lineRule="auto"/>
        <w:ind w:firstLine="424"/>
      </w:pPr>
      <w:r>
        <w:rPr>
          <w:rFonts w:ascii="宋体" w:hAnsi="宋体" w:cs="宋体"/>
          <w:color w:val="000000"/>
          <w:highlight w:val="white"/>
        </w:rPr>
        <w:t>第三条  资产管理人同意遵守中国结算制定的业务规则，知悉并配合落实中国结算制定的各项业务规则。在不违反中国结算业务规则的前提下，以本协议约定为准。</w:t>
      </w:r>
    </w:p>
    <w:p w:rsidR="002E7A0D">
      <w:pPr>
        <w:spacing w:line="360" w:lineRule="auto"/>
        <w:ind w:firstLine="424"/>
      </w:pPr>
      <w:r>
        <w:rPr>
          <w:rFonts w:ascii="宋体" w:hAnsi="宋体" w:cs="宋体"/>
          <w:color w:val="000000"/>
          <w:highlight w:val="white"/>
        </w:rPr>
        <w:t>第四条  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rsidR="002E7A0D">
      <w:pPr>
        <w:spacing w:line="360" w:lineRule="auto"/>
        <w:ind w:firstLine="424"/>
      </w:pPr>
      <w:r>
        <w:rPr>
          <w:rFonts w:ascii="宋体" w:hAnsi="宋体" w:cs="宋体"/>
          <w:color w:val="000000"/>
          <w:highlight w:val="white"/>
        </w:rPr>
        <w:t>第五条  资产托管人依据交易清算日（T日）清算结果，按照中国结算相关业务规则，与中国结算完成最终不可撤销的证券和资金交收处理；同时在规定时限内，与资产管理人管理资产完成不可撤销的证券和资金交收处理。</w:t>
      </w:r>
    </w:p>
    <w:p w:rsidR="002E7A0D">
      <w:pPr>
        <w:spacing w:line="360" w:lineRule="auto"/>
        <w:ind w:firstLine="424"/>
      </w:pPr>
      <w:r>
        <w:rPr>
          <w:rFonts w:ascii="宋体" w:hAnsi="宋体" w:cs="宋体"/>
          <w:color w:val="000000"/>
          <w:highlight w:val="white"/>
        </w:rPr>
        <w:t>第六条  资产管理人管理资产交收违约应遵循谁过错谁赔偿的原则。</w:t>
      </w:r>
    </w:p>
    <w:p w:rsidR="002E7A0D">
      <w:pPr>
        <w:spacing w:line="360" w:lineRule="auto"/>
        <w:ind w:firstLine="424"/>
      </w:pPr>
      <w:r>
        <w:rPr>
          <w:rFonts w:ascii="宋体" w:hAnsi="宋体" w:cs="宋体"/>
          <w:color w:val="000000"/>
          <w:highlight w:val="white"/>
        </w:rPr>
        <w:t>(一)因资产管理人原因导致的交收违约实际损失，由资产管理人承担。</w:t>
      </w:r>
    </w:p>
    <w:p w:rsidR="002E7A0D">
      <w:pPr>
        <w:spacing w:line="360" w:lineRule="auto"/>
        <w:ind w:firstLine="424"/>
      </w:pPr>
      <w:r>
        <w:rPr>
          <w:rFonts w:ascii="宋体" w:hAnsi="宋体" w:cs="宋体"/>
          <w:color w:val="000000"/>
          <w:highlight w:val="white"/>
        </w:rPr>
        <w:t>(二)因资产托管人原因导致的交收违约实际损失，由资产托管人承担。</w:t>
      </w:r>
    </w:p>
    <w:p w:rsidR="002E7A0D">
      <w:pPr>
        <w:spacing w:line="360" w:lineRule="auto"/>
        <w:ind w:firstLine="424"/>
      </w:pPr>
      <w:r>
        <w:rPr>
          <w:rFonts w:ascii="宋体" w:hAnsi="宋体" w:cs="宋体"/>
          <w:color w:val="000000"/>
          <w:highlight w:val="white"/>
        </w:rPr>
        <w:t>(三)由第三方过错导致的交收违约损失，按照最大程度保护资产管理人管理资产持有人合法权益的原则，由双方协商处理，由资产管理人承担最终交收责任，并负责向第三方追偿，资产托管人应提供协助。如由于中国结算过错导致的交收违约损失，双方协商处理。</w:t>
      </w:r>
    </w:p>
    <w:p w:rsidR="002E7A0D">
      <w:pPr>
        <w:spacing w:line="360" w:lineRule="auto"/>
        <w:ind w:firstLine="424"/>
      </w:pPr>
      <w:r>
        <w:rPr>
          <w:rFonts w:ascii="宋体" w:hAnsi="宋体" w:cs="宋体"/>
          <w:color w:val="000000"/>
          <w:highlight w:val="white"/>
        </w:rPr>
        <w:t>第七条  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rsidR="002E7A0D">
      <w:pPr>
        <w:spacing w:line="360" w:lineRule="auto"/>
        <w:ind w:firstLine="424"/>
      </w:pPr>
      <w:r>
        <w:rPr>
          <w:rFonts w:ascii="宋体" w:hAnsi="宋体" w:cs="宋体"/>
          <w:color w:val="000000"/>
          <w:highlight w:val="white"/>
        </w:rPr>
        <w:t>第八条  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差异化备付金比例）。资产托管人变更最低结算备付金比例计收方式的，应于变更前及时通知资产管理人。</w:t>
      </w:r>
    </w:p>
    <w:p w:rsidR="002E7A0D">
      <w:pPr>
        <w:spacing w:line="360" w:lineRule="auto"/>
        <w:ind w:firstLine="424"/>
      </w:pPr>
      <w:r>
        <w:rPr>
          <w:rFonts w:ascii="宋体" w:hAnsi="宋体" w:cs="宋体"/>
          <w:color w:val="000000"/>
          <w:highlight w:val="white"/>
        </w:rPr>
        <w:t>如采用差异化备付金比例计收方式，资产托管人应于每月第三个交易日前将资产管理人管理资产适用的最低结算备付金调整比例通知资产管理人。</w:t>
      </w:r>
    </w:p>
    <w:p w:rsidR="002E7A0D">
      <w:pPr>
        <w:spacing w:line="360" w:lineRule="auto"/>
        <w:ind w:firstLine="424"/>
      </w:pPr>
      <w:r>
        <w:rPr>
          <w:rFonts w:ascii="宋体" w:hAnsi="宋体" w:cs="宋体"/>
          <w:color w:val="000000"/>
          <w:highlight w:val="white"/>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rsidR="002E7A0D">
      <w:pPr>
        <w:spacing w:line="360" w:lineRule="auto"/>
        <w:ind w:firstLine="424"/>
      </w:pPr>
      <w:r>
        <w:rPr>
          <w:rFonts w:ascii="宋体" w:hAnsi="宋体" w:cs="宋体"/>
          <w:color w:val="000000"/>
          <w:highlight w:val="white"/>
        </w:rPr>
        <w:t>第九条  资产托管人收到中国结算按照与结算银行商定利率计付的结算备付金（含最低备付金）、结算保证金等资金利息后，于收息当日或其他约定日期（含孳息）将属于资产管理人的部分向资产管理人管理资产支付。</w:t>
      </w:r>
    </w:p>
    <w:p w:rsidR="002E7A0D">
      <w:pPr>
        <w:spacing w:line="360" w:lineRule="auto"/>
        <w:ind w:firstLine="424"/>
      </w:pPr>
      <w:r>
        <w:rPr>
          <w:rFonts w:ascii="宋体" w:hAnsi="宋体" w:cs="宋体"/>
          <w:color w:val="000000"/>
          <w:highlight w:val="white"/>
        </w:rPr>
        <w:t>第十条  资产托管人于交易清算日（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rsidR="002E7A0D">
      <w:pPr>
        <w:spacing w:line="360" w:lineRule="auto"/>
        <w:ind w:firstLine="424"/>
      </w:pPr>
      <w:r>
        <w:rPr>
          <w:rFonts w:ascii="宋体" w:hAnsi="宋体" w:cs="宋体"/>
          <w:color w:val="000000"/>
          <w:highlight w:val="white"/>
        </w:rPr>
        <w:t>第十一条资产托管人完成托管资产交易预清算后，对于交收日资产管理人管理资产可能发生透支的情况，应及时与资产管理人沟通或以约定方式告知资产管理人。资产托管人于交收日（T+1日）根据证券交易所或中国结算数据计算的资产管理人T日交易清算结果，完成资产管理人管理资产资金和证券的交收。</w:t>
      </w:r>
    </w:p>
    <w:p w:rsidR="002E7A0D">
      <w:pPr>
        <w:spacing w:line="360" w:lineRule="auto"/>
        <w:ind w:firstLine="424"/>
      </w:pPr>
      <w:r>
        <w:rPr>
          <w:rFonts w:ascii="宋体" w:hAnsi="宋体" w:cs="宋体"/>
          <w:color w:val="000000"/>
          <w:highlight w:val="white"/>
        </w:rPr>
        <w:t>第十二条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在托管交易单元上进行非托管资产交易、指定交易单元错误等原因，致使资产托管人接收清算数据不完整不正确，造成清算差错的，资产管理人应优先完成资金交收，并由资产管理人承担托管资产、资产托管人实际损失。</w:t>
      </w:r>
    </w:p>
    <w:p w:rsidR="002E7A0D">
      <w:pPr>
        <w:spacing w:line="360" w:lineRule="auto"/>
        <w:ind w:firstLine="424"/>
      </w:pPr>
      <w:r>
        <w:rPr>
          <w:rFonts w:ascii="宋体" w:hAnsi="宋体" w:cs="宋体"/>
          <w:color w:val="000000"/>
          <w:highlight w:val="white"/>
        </w:rPr>
        <w:t>第十三条 为确保资产托管人与中国结算的正常交收，不影响资产托管人所有托管资产的正常运作，交易日（T日）日终资产管理人应保证其管理的各托管资产资金账户有足够的资金可按时完成T+1日的资金交收。</w:t>
      </w:r>
    </w:p>
    <w:p w:rsidR="002E7A0D">
      <w:pPr>
        <w:spacing w:line="360" w:lineRule="auto"/>
        <w:ind w:firstLine="424"/>
      </w:pPr>
      <w:r>
        <w:rPr>
          <w:rFonts w:ascii="宋体" w:hAnsi="宋体" w:cs="宋体"/>
          <w:color w:val="000000"/>
          <w:highlight w:val="white"/>
        </w:rPr>
        <w:t>第十四条若因资产管理人管理资产资金账户T日无法满足T+1日交收要求时，资产管理人应按照《托管协议》中约定的时点补足金额，未有约定的或晚于如下时点的，应按如下时点分别补足相应市场应付金额：对于资产托管人采用固定比例最低备付金计收方式的，资产管理人应于T+1日11:00前补足金额。对于资产托管人采用差异化最低备付金比例计收方式的，资产管理人应最晚于T+1日8：30前补足金额，确保资产托管人及时完成清算交收。资产管理人未按约定时限补足透支金额，导致采用差异化最低结算备付金比例计收方式的资产托管人的最低结算备付金比例增加的，资产托管人有权依据中国登记结算的规定调整相关资产管理人管理资产的最低结算备付金，并于变更前及时通知资产管理人并无需征得资产管理人的同意。</w:t>
      </w:r>
    </w:p>
    <w:p w:rsidR="002E7A0D">
      <w:pPr>
        <w:spacing w:line="360" w:lineRule="auto"/>
        <w:ind w:firstLine="424"/>
      </w:pPr>
      <w:r>
        <w:rPr>
          <w:rFonts w:ascii="宋体" w:hAnsi="宋体" w:cs="宋体"/>
          <w:color w:val="000000"/>
          <w:highlight w:val="white"/>
        </w:rPr>
        <w:t>第十五条资产管理人可通过双方认可的方式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rsidR="002E7A0D">
      <w:pPr>
        <w:spacing w:line="360" w:lineRule="auto"/>
        <w:ind w:firstLine="424"/>
      </w:pPr>
      <w:r>
        <w:rPr>
          <w:rFonts w:ascii="宋体" w:hAnsi="宋体" w:cs="宋体"/>
          <w:color w:val="000000"/>
          <w:highlight w:val="white"/>
        </w:rPr>
        <w:t>第十六条资产管理人应充分知晓以下结算规则，并认可由此可能对资产管理人管理资产产生的影响：</w:t>
      </w:r>
    </w:p>
    <w:p w:rsidR="002E7A0D">
      <w:pPr>
        <w:spacing w:line="360" w:lineRule="auto"/>
        <w:ind w:firstLine="424"/>
      </w:pPr>
      <w:r>
        <w:rPr>
          <w:rFonts w:ascii="宋体" w:hAnsi="宋体" w:cs="宋体"/>
          <w:color w:val="000000"/>
          <w:highlight w:val="white"/>
        </w:rPr>
        <w:tab/>
        <w:t>（一）根据中国结算业务规则，当T日日终因资产管理人原因令资产托管人作为资金净应付结算参与人发生应付资金核验不足额情形时，资产托管人应优先向中国结算申报资产管理人应收证券作为中国结算加设“可售交收锁定”标识的证券，T+1日资产托管人可以向中国结算申报资产管理人的已加设“可售交收锁定”标识证券转为“待处置交收锁定”证券，具体流程见本协议第十八条第（二）款；</w:t>
      </w:r>
    </w:p>
    <w:p w:rsidR="002E7A0D">
      <w:pPr>
        <w:spacing w:line="360" w:lineRule="auto"/>
        <w:ind w:firstLine="424"/>
      </w:pPr>
      <w:r>
        <w:rPr>
          <w:rFonts w:ascii="宋体" w:hAnsi="宋体" w:cs="宋体"/>
          <w:color w:val="000000"/>
          <w:highlight w:val="white"/>
        </w:rPr>
        <w:t>资产托管人有权在考虑资金金额、账户可用余额、资金核验情况等多方面因素后，决定向中国结算申报优先或免除标识指令。结算参与人对资产管理人的证券进行错误标识从而影响资产管理人的证券资金交收或其他业务的正常申报的，应当承担相关责任。</w:t>
      </w:r>
    </w:p>
    <w:p w:rsidR="002E7A0D">
      <w:pPr>
        <w:spacing w:line="360" w:lineRule="auto"/>
        <w:ind w:firstLine="424"/>
      </w:pPr>
      <w:r>
        <w:rPr>
          <w:rFonts w:ascii="宋体" w:hAnsi="宋体" w:cs="宋体"/>
          <w:color w:val="000000"/>
          <w:highlight w:val="white"/>
        </w:rPr>
        <w:t>（二）资产管理人已知的T+1日无力补足超买资金时，应及时通知资产托管人。资产管理人确有需要开展可能T＋1日日间需使用无标识证券的业务的（如T日买入的证券计划用于T+1日开展采用实时逐笔全额非担保结算方式即RTGS的交易），可于T日15：00前向资产托管人发送免除标识指令，并按照免除标识指令证券上一日收盘价的120%提交现金担保至资产托管人指定账户（该账户原则上为备付金账户），资产托管人应在现金担保额度范围内于中国结算规定的截止时点前向中国结算申报免除标识指令。资产托管人不向资产管理人承诺优先标识或免除标识指令申报结果有效。</w:t>
      </w:r>
    </w:p>
    <w:p w:rsidR="002E7A0D">
      <w:pPr>
        <w:spacing w:line="360" w:lineRule="auto"/>
        <w:ind w:firstLine="424"/>
      </w:pPr>
      <w:r>
        <w:rPr>
          <w:rFonts w:ascii="宋体" w:hAnsi="宋体" w:cs="宋体"/>
          <w:color w:val="000000"/>
          <w:highlight w:val="white"/>
        </w:rPr>
        <w:t>（三）资产托管人作为结算参与人对中国结算发生资金交收违约的，未及时补足交收资金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rsidR="002E7A0D">
      <w:pPr>
        <w:spacing w:line="360" w:lineRule="auto"/>
        <w:ind w:firstLine="424"/>
      </w:pPr>
      <w:r>
        <w:rPr>
          <w:rFonts w:ascii="宋体" w:hAnsi="宋体" w:cs="宋体"/>
          <w:color w:val="000000"/>
          <w:highlight w:val="white"/>
        </w:rPr>
        <w:t>第十七条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T+1日内补足违约交收的相关证券及其权益，资产管理人未能补足的所产生的全部损失由资产管理人承担，收益归托管资产所有。</w:t>
      </w:r>
    </w:p>
    <w:p w:rsidR="002E7A0D">
      <w:pPr>
        <w:spacing w:line="360" w:lineRule="auto"/>
        <w:ind w:firstLine="424"/>
      </w:pPr>
      <w:r>
        <w:rPr>
          <w:rFonts w:ascii="宋体" w:hAnsi="宋体" w:cs="宋体"/>
          <w:color w:val="000000"/>
          <w:highlight w:val="white"/>
        </w:rPr>
        <w:t>第十八条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rsidR="002E7A0D">
      <w:pPr>
        <w:spacing w:line="360" w:lineRule="auto"/>
        <w:ind w:firstLine="424"/>
      </w:pPr>
      <w:r>
        <w:rPr>
          <w:rFonts w:ascii="宋体" w:hAnsi="宋体" w:cs="宋体"/>
          <w:color w:val="000000"/>
          <w:highlight w:val="white"/>
        </w:rPr>
        <w:t>（一）未造成资产托管人对中国结算违约的：</w:t>
      </w:r>
    </w:p>
    <w:p w:rsidR="002E7A0D">
      <w:pPr>
        <w:spacing w:line="360" w:lineRule="auto"/>
        <w:ind w:firstLine="424"/>
      </w:pPr>
      <w:r>
        <w:rPr>
          <w:rFonts w:ascii="宋体" w:hAnsi="宋体" w:cs="宋体"/>
          <w:color w:val="000000"/>
          <w:highlight w:val="white"/>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120%的净买入证券或已提交至中国结算质押品保管库的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在符合要求的前提下，资产托管人应按照资产管理人意见进行申报。资产托管人过错导致资产管理人管理资产合法权益受到损害的，资产管理人可以向资产托管人主张权利，并由资产托管人承担对资产管理人管理资产造成的实际损失。</w:t>
      </w:r>
    </w:p>
    <w:p w:rsidR="002E7A0D">
      <w:pPr>
        <w:spacing w:line="360" w:lineRule="auto"/>
        <w:ind w:firstLine="424"/>
      </w:pPr>
      <w:r>
        <w:rPr>
          <w:rFonts w:ascii="宋体" w:hAnsi="宋体" w:cs="宋体"/>
          <w:color w:val="000000"/>
          <w:highlight w:val="white"/>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rsidR="002E7A0D">
      <w:pPr>
        <w:spacing w:line="360" w:lineRule="auto"/>
        <w:ind w:firstLine="424"/>
      </w:pPr>
      <w:r>
        <w:rPr>
          <w:rFonts w:ascii="宋体" w:hAnsi="宋体" w:cs="宋体"/>
          <w:color w:val="000000"/>
          <w:highlight w:val="white"/>
        </w:rPr>
        <w:t>资产管理人应于T+2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T+2日补足相应资金，T+3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认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2E7A0D">
      <w:pPr>
        <w:spacing w:line="360" w:lineRule="auto"/>
        <w:ind w:firstLine="424"/>
      </w:pPr>
      <w:r>
        <w:rPr>
          <w:rFonts w:ascii="宋体" w:hAnsi="宋体" w:cs="宋体"/>
          <w:color w:val="000000"/>
          <w:highlight w:val="white"/>
        </w:rPr>
        <w:t>（二）造成资产托管人对中国结算违约的：</w:t>
      </w:r>
    </w:p>
    <w:p w:rsidR="002E7A0D">
      <w:pPr>
        <w:spacing w:line="360" w:lineRule="auto"/>
        <w:ind w:firstLine="424"/>
      </w:pPr>
      <w:r>
        <w:rPr>
          <w:rFonts w:ascii="宋体" w:hAnsi="宋体" w:cs="宋体"/>
          <w:color w:val="000000"/>
          <w:highlight w:val="white"/>
        </w:rPr>
        <w:t>资产管理人T+1日无法足额履行资金交收时，应于T+1日下午14：00之前向资产托管人书面申报可足额弥补T+1日日终资金交收违约金额的待处置证券，资产托管人应及时向中国结算完成申报。</w:t>
      </w:r>
    </w:p>
    <w:p w:rsidR="002E7A0D">
      <w:pPr>
        <w:spacing w:line="360" w:lineRule="auto"/>
        <w:ind w:firstLine="424"/>
      </w:pPr>
      <w:r>
        <w:rPr>
          <w:rFonts w:ascii="宋体" w:hAnsi="宋体" w:cs="宋体"/>
          <w:color w:val="000000"/>
          <w:highlight w:val="white"/>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实际损失，由资产管理人承担。</w:t>
      </w:r>
    </w:p>
    <w:p w:rsidR="002E7A0D">
      <w:pPr>
        <w:spacing w:line="360" w:lineRule="auto"/>
        <w:ind w:firstLine="424"/>
      </w:pPr>
      <w:r>
        <w:rPr>
          <w:rFonts w:ascii="宋体" w:hAnsi="宋体" w:cs="宋体"/>
          <w:color w:val="000000"/>
          <w:highlight w:val="white"/>
        </w:rPr>
        <w:t>资产管理人于T+2日向资产托管人补足相应资金的，包括交收违约金额和利息、违约金（若有）及相关费用，资产托管人在中国结算规定时间前向中国结算补足上述资金，中国结算将相应证券账户中证券的“待处置交收锁定”标识解除。</w:t>
      </w:r>
    </w:p>
    <w:p w:rsidR="002E7A0D">
      <w:pPr>
        <w:spacing w:line="360" w:lineRule="auto"/>
        <w:ind w:firstLine="424"/>
      </w:pPr>
      <w:r>
        <w:rPr>
          <w:rFonts w:ascii="宋体" w:hAnsi="宋体" w:cs="宋体"/>
          <w:color w:val="000000"/>
          <w:highlight w:val="white"/>
        </w:rPr>
        <w:t>T+3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rsidR="002E7A0D">
      <w:pPr>
        <w:spacing w:line="360" w:lineRule="auto"/>
        <w:ind w:firstLine="424"/>
      </w:pPr>
      <w:r>
        <w:rPr>
          <w:rFonts w:ascii="宋体" w:hAnsi="宋体" w:cs="宋体"/>
          <w:color w:val="000000"/>
          <w:highlight w:val="white"/>
        </w:rPr>
        <w:t>第十九条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rsidR="002E7A0D">
      <w:pPr>
        <w:spacing w:line="360" w:lineRule="auto"/>
        <w:ind w:firstLine="424"/>
      </w:pPr>
      <w:r>
        <w:rPr>
          <w:rFonts w:ascii="宋体" w:hAnsi="宋体" w:cs="宋体"/>
          <w:color w:val="000000"/>
          <w:highlight w:val="white"/>
        </w:rPr>
        <w:t>第二十条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实际损失。双方应建立日常沟通机制，资产托管人向资产管理人发送违规提示或转发中国结算违规提示时，资产管理人应第一时间配合资产托管人对违规情况进行处理，并向资产托管人反馈违规处理报告。</w:t>
      </w:r>
    </w:p>
    <w:p w:rsidR="002E7A0D">
      <w:pPr>
        <w:spacing w:line="360" w:lineRule="auto"/>
        <w:ind w:firstLine="424"/>
      </w:pPr>
      <w:r>
        <w:rPr>
          <w:rFonts w:ascii="宋体" w:hAnsi="宋体" w:cs="宋体"/>
          <w:color w:val="000000"/>
          <w:highlight w:val="white"/>
        </w:rPr>
        <w:t>第二十一条为防范资产管理人管理资产参与交易所质押式回购类业务带来的资金交收风险，双方应遵守以下约定：</w:t>
      </w:r>
    </w:p>
    <w:p w:rsidR="002E7A0D">
      <w:pPr>
        <w:spacing w:line="360" w:lineRule="auto"/>
        <w:ind w:firstLine="424"/>
      </w:pPr>
      <w:r>
        <w:rPr>
          <w:rFonts w:ascii="宋体" w:hAnsi="宋体" w:cs="宋体"/>
          <w:color w:val="000000"/>
          <w:highlight w:val="white"/>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T+1日11点前，按照资产托管人要求发送现金担保品划款指令。资产管理人有义务配合补券、提交现金担保品并根据通知要求反馈资产托管人相关信息。</w:t>
      </w:r>
    </w:p>
    <w:p w:rsidR="002E7A0D">
      <w:pPr>
        <w:spacing w:line="360" w:lineRule="auto"/>
        <w:ind w:firstLine="424"/>
      </w:pPr>
      <w:r>
        <w:rPr>
          <w:rFonts w:ascii="宋体" w:hAnsi="宋体" w:cs="宋体"/>
          <w:color w:val="000000"/>
          <w:highlight w:val="white"/>
        </w:rPr>
        <w:t>（二）若资产管理人未按要求完成补券，造成欠库的，资产管理人应及时弥补回购欠库扣款金额，并补充提交质押券或压缩融资规模，若出现连续欠库，资产管理人应根据《中国证券登记结算有限责任公司上海/深圳分公司结算账户管理及资金结算业务指南》相关规定，交付回购欠库扣款金额和欠库违约金，履行资金交收义务。</w:t>
      </w:r>
    </w:p>
    <w:p w:rsidR="002E7A0D">
      <w:pPr>
        <w:spacing w:line="360" w:lineRule="auto"/>
        <w:ind w:firstLine="424"/>
      </w:pPr>
      <w:r>
        <w:rPr>
          <w:rFonts w:ascii="宋体" w:hAnsi="宋体" w:cs="宋体"/>
          <w:color w:val="000000"/>
          <w:highlight w:val="white"/>
        </w:rPr>
        <w:t>第二十二条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rsidR="002E7A0D">
      <w:pPr>
        <w:spacing w:line="360" w:lineRule="auto"/>
        <w:ind w:firstLine="424"/>
      </w:pPr>
      <w:r>
        <w:rPr>
          <w:rFonts w:ascii="宋体" w:hAnsi="宋体" w:cs="宋体"/>
          <w:color w:val="000000"/>
          <w:highlight w:val="white"/>
        </w:rPr>
        <w:t>（一）如发生资金交收违约风险，资产管理人认可并同意以下事项：</w:t>
      </w:r>
    </w:p>
    <w:p w:rsidR="002E7A0D">
      <w:pPr>
        <w:spacing w:line="360" w:lineRule="auto"/>
        <w:ind w:firstLine="424"/>
      </w:pPr>
      <w:r>
        <w:rPr>
          <w:rFonts w:ascii="宋体" w:hAnsi="宋体" w:cs="宋体"/>
          <w:color w:val="000000"/>
          <w:highlight w:val="white"/>
        </w:rPr>
        <w:t>资产管理人或其管理的资产应在融资回购业务应付资金交收违约后的第一个交易日12︰00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2E7A0D">
      <w:pPr>
        <w:spacing w:line="360" w:lineRule="auto"/>
        <w:ind w:firstLine="424"/>
      </w:pPr>
      <w:r>
        <w:rPr>
          <w:rFonts w:ascii="宋体" w:hAnsi="宋体" w:cs="宋体"/>
          <w:color w:val="000000"/>
          <w:highlight w:val="white"/>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rsidR="002E7A0D">
      <w:pPr>
        <w:spacing w:line="360" w:lineRule="auto"/>
        <w:ind w:firstLine="424"/>
      </w:pPr>
      <w:r>
        <w:rPr>
          <w:rFonts w:ascii="宋体" w:hAnsi="宋体" w:cs="宋体"/>
          <w:color w:val="000000"/>
          <w:highlight w:val="white"/>
        </w:rPr>
        <w:t>第二十三条资产托管人根据自身的风险控制管理要求，有权基于资产管理人以下风险特征对资产管理人采取差异化的风险管理措施：</w:t>
      </w:r>
    </w:p>
    <w:p w:rsidR="002E7A0D">
      <w:pPr>
        <w:spacing w:line="360" w:lineRule="auto"/>
        <w:ind w:firstLine="424"/>
      </w:pPr>
      <w:r>
        <w:rPr>
          <w:rFonts w:ascii="宋体" w:hAnsi="宋体" w:cs="宋体"/>
          <w:color w:val="000000"/>
          <w:highlight w:val="white"/>
        </w:rPr>
        <w:t>（一）连续5个交易日出现融资负债率超80%（利率类债券入库占比超过80%的，该比例可放宽至90%）；</w:t>
      </w:r>
    </w:p>
    <w:p w:rsidR="002E7A0D">
      <w:pPr>
        <w:spacing w:line="360" w:lineRule="auto"/>
        <w:ind w:firstLine="424"/>
      </w:pPr>
      <w:r>
        <w:rPr>
          <w:rFonts w:ascii="宋体" w:hAnsi="宋体" w:cs="宋体"/>
          <w:color w:val="000000"/>
          <w:highlight w:val="white"/>
        </w:rPr>
        <w:t>（二）连续5个交易日出现AA+级、AA 级信用债入库集中度占比超过 10%；</w:t>
      </w:r>
    </w:p>
    <w:p w:rsidR="002E7A0D">
      <w:pPr>
        <w:spacing w:line="360" w:lineRule="auto"/>
        <w:ind w:firstLine="424"/>
      </w:pPr>
      <w:r>
        <w:rPr>
          <w:rFonts w:ascii="宋体" w:hAnsi="宋体" w:cs="宋体"/>
          <w:color w:val="000000"/>
          <w:highlight w:val="white"/>
        </w:rPr>
        <w:t>（三）连续5个交易日出现单一发行人信用类债券入库担保集中度超标，即：对于上月日均回购未到期规模小于2亿元的，单一发行人信用类债券入库担保集中度高于50%；对于上月日均回购未到期规模大于2亿元（含2亿元）的，单一发行人信用类债券入库担保集中度高于30%；</w:t>
      </w:r>
    </w:p>
    <w:p w:rsidR="002E7A0D">
      <w:pPr>
        <w:spacing w:line="360" w:lineRule="auto"/>
        <w:ind w:firstLine="424"/>
      </w:pPr>
      <w:r>
        <w:rPr>
          <w:rFonts w:ascii="宋体" w:hAnsi="宋体" w:cs="宋体"/>
          <w:color w:val="000000"/>
          <w:highlight w:val="white"/>
        </w:rPr>
        <w:t>（四）一个自然月内出现1次及以上资金交收违约；</w:t>
      </w:r>
    </w:p>
    <w:p w:rsidR="002E7A0D">
      <w:pPr>
        <w:spacing w:line="360" w:lineRule="auto"/>
        <w:ind w:firstLine="424"/>
      </w:pPr>
      <w:r>
        <w:rPr>
          <w:rFonts w:ascii="宋体" w:hAnsi="宋体" w:cs="宋体"/>
          <w:color w:val="000000"/>
          <w:highlight w:val="white"/>
        </w:rPr>
        <w:t>（五）一个自然月内累计出现2日（含2日）以上发生回购欠库的情形；</w:t>
      </w:r>
    </w:p>
    <w:p w:rsidR="002E7A0D">
      <w:pPr>
        <w:spacing w:line="360" w:lineRule="auto"/>
        <w:ind w:firstLine="424"/>
      </w:pPr>
      <w:r>
        <w:rPr>
          <w:rFonts w:ascii="宋体" w:hAnsi="宋体" w:cs="宋体"/>
          <w:color w:val="000000"/>
          <w:highlight w:val="white"/>
        </w:rPr>
        <w:t>（六）资产托管人认定的其他高风险情形。</w:t>
      </w:r>
    </w:p>
    <w:p w:rsidR="002E7A0D">
      <w:pPr>
        <w:spacing w:line="360" w:lineRule="auto"/>
        <w:ind w:firstLine="424"/>
      </w:pPr>
      <w:r>
        <w:rPr>
          <w:rFonts w:ascii="宋体" w:hAnsi="宋体" w:cs="宋体"/>
          <w:color w:val="000000"/>
          <w:highlight w:val="white"/>
        </w:rPr>
        <w:t>资产托管人采取的风控措施包括并不限于：</w:t>
      </w:r>
    </w:p>
    <w:p w:rsidR="002E7A0D">
      <w:pPr>
        <w:spacing w:line="360" w:lineRule="auto"/>
        <w:ind w:firstLine="424"/>
      </w:pPr>
      <w:r>
        <w:rPr>
          <w:rFonts w:ascii="宋体" w:hAnsi="宋体" w:cs="宋体"/>
          <w:color w:val="000000"/>
          <w:highlight w:val="white"/>
        </w:rPr>
        <w:t>（一）要求其降低回购规模或将交易所债券质押式回购调整为协议式正回购；</w:t>
      </w:r>
    </w:p>
    <w:p w:rsidR="002E7A0D">
      <w:pPr>
        <w:spacing w:line="360" w:lineRule="auto"/>
        <w:ind w:firstLine="424"/>
      </w:pPr>
      <w:r>
        <w:rPr>
          <w:rFonts w:ascii="宋体" w:hAnsi="宋体" w:cs="宋体"/>
          <w:color w:val="000000"/>
          <w:highlight w:val="white"/>
        </w:rPr>
        <w:t>（二）要求其降低某只或某些债券的入库占比或置换交易所质押券；</w:t>
      </w:r>
    </w:p>
    <w:p w:rsidR="002E7A0D">
      <w:pPr>
        <w:spacing w:line="360" w:lineRule="auto"/>
        <w:ind w:firstLine="424"/>
      </w:pPr>
      <w:r>
        <w:rPr>
          <w:rFonts w:ascii="宋体" w:hAnsi="宋体" w:cs="宋体"/>
          <w:color w:val="000000"/>
          <w:highlight w:val="white"/>
        </w:rPr>
        <w:t>（三）对托管资产征收额外结算保证金、最低备付金；</w:t>
      </w:r>
    </w:p>
    <w:p w:rsidR="002E7A0D">
      <w:pPr>
        <w:spacing w:line="360" w:lineRule="auto"/>
        <w:ind w:firstLine="424"/>
      </w:pPr>
      <w:r>
        <w:rPr>
          <w:rFonts w:ascii="宋体" w:hAnsi="宋体" w:cs="宋体"/>
          <w:color w:val="000000"/>
          <w:highlight w:val="white"/>
        </w:rPr>
        <w:t>（四）提请中国结算、证券交易所或其他全国性证券交易场所对托管资产采取相关自律监管措施，或者限制其融资回购交易；</w:t>
      </w:r>
    </w:p>
    <w:p w:rsidR="002E7A0D">
      <w:pPr>
        <w:spacing w:line="360" w:lineRule="auto"/>
        <w:ind w:firstLine="424"/>
      </w:pPr>
      <w:r>
        <w:rPr>
          <w:rFonts w:ascii="宋体" w:hAnsi="宋体" w:cs="宋体"/>
          <w:color w:val="000000"/>
          <w:highlight w:val="white"/>
        </w:rPr>
        <w:t>（五）按照中国结算标准计收违约资金的利息和违约金；</w:t>
      </w:r>
    </w:p>
    <w:p w:rsidR="002E7A0D">
      <w:pPr>
        <w:spacing w:line="360" w:lineRule="auto"/>
        <w:ind w:firstLine="424"/>
      </w:pPr>
      <w:r>
        <w:rPr>
          <w:rFonts w:ascii="宋体" w:hAnsi="宋体" w:cs="宋体"/>
          <w:color w:val="000000"/>
          <w:highlight w:val="white"/>
        </w:rPr>
        <w:t>（六）调高资产管理人管理的托管资产的最低备付金比例；</w:t>
      </w:r>
    </w:p>
    <w:p w:rsidR="002E7A0D">
      <w:pPr>
        <w:spacing w:line="360" w:lineRule="auto"/>
        <w:ind w:firstLine="424"/>
      </w:pPr>
      <w:r>
        <w:rPr>
          <w:rFonts w:ascii="宋体" w:hAnsi="宋体" w:cs="宋体"/>
          <w:color w:val="000000"/>
          <w:highlight w:val="white"/>
        </w:rPr>
        <w:t>（七）向中国证监会各派出机构或行业协会报告；</w:t>
      </w:r>
    </w:p>
    <w:p w:rsidR="002E7A0D">
      <w:pPr>
        <w:spacing w:line="360" w:lineRule="auto"/>
        <w:ind w:firstLine="424"/>
      </w:pPr>
      <w:r>
        <w:rPr>
          <w:rFonts w:ascii="宋体" w:hAnsi="宋体" w:cs="宋体"/>
          <w:color w:val="000000"/>
          <w:highlight w:val="white"/>
        </w:rPr>
        <w:t>（八）暂停为其提供相关结算业务及相关证券交易服务或将结算模式变更为券商结算模式；</w:t>
      </w:r>
    </w:p>
    <w:p w:rsidR="002E7A0D">
      <w:pPr>
        <w:spacing w:line="360" w:lineRule="auto"/>
        <w:ind w:firstLine="424"/>
      </w:pPr>
      <w:r>
        <w:rPr>
          <w:rFonts w:ascii="宋体" w:hAnsi="宋体" w:cs="宋体"/>
          <w:color w:val="000000"/>
          <w:highlight w:val="white"/>
        </w:rPr>
        <w:t>（九）记录诚信档案，并向中国结算提交；</w:t>
      </w:r>
    </w:p>
    <w:p w:rsidR="002E7A0D">
      <w:pPr>
        <w:spacing w:line="360" w:lineRule="auto"/>
        <w:ind w:firstLine="424"/>
      </w:pPr>
      <w:r>
        <w:rPr>
          <w:rFonts w:ascii="宋体" w:hAnsi="宋体" w:cs="宋体"/>
          <w:color w:val="000000"/>
          <w:highlight w:val="white"/>
        </w:rPr>
        <w:t>（十）资产托管人认为必要的其他措施。</w:t>
      </w:r>
    </w:p>
    <w:p w:rsidR="002E7A0D">
      <w:pPr>
        <w:spacing w:line="360" w:lineRule="auto"/>
        <w:ind w:firstLine="424"/>
      </w:pPr>
      <w:r>
        <w:rPr>
          <w:rFonts w:ascii="宋体" w:hAnsi="宋体" w:cs="宋体"/>
          <w:color w:val="000000"/>
          <w:highlight w:val="white"/>
        </w:rPr>
        <w:t>上述风险管理措施待引发该措施的特征修正后，根据监管部门或相关行业协会意见（如有），经双方商定后终止。</w:t>
      </w:r>
    </w:p>
    <w:p w:rsidR="002E7A0D">
      <w:pPr>
        <w:spacing w:line="360" w:lineRule="auto"/>
        <w:ind w:firstLine="424"/>
      </w:pPr>
      <w:r>
        <w:rPr>
          <w:rFonts w:ascii="宋体" w:hAnsi="宋体" w:cs="宋体"/>
          <w:color w:val="000000"/>
          <w:highlight w:val="white"/>
        </w:rPr>
        <w:t>第二十四条资产管理人应遵守有关法律法规及监管部门、自律机构的要求，以及本协议约定，在发生融资回购交易时，发生超出法律法规或监管规定的指标要求的（发生日为T日），资产管理人须在发生之日起5个交易日内对其管理的资产回购未到期余额、质押券、托管债券及信用债等标的及业务要素及时进行调整，直至符合上述限制。</w:t>
      </w:r>
    </w:p>
    <w:p w:rsidR="002E7A0D">
      <w:pPr>
        <w:spacing w:line="360" w:lineRule="auto"/>
        <w:ind w:firstLine="424"/>
      </w:pPr>
      <w:r>
        <w:rPr>
          <w:rFonts w:ascii="宋体" w:hAnsi="宋体" w:cs="宋体"/>
          <w:color w:val="000000"/>
          <w:highlight w:val="white"/>
        </w:rPr>
        <w:t>第二十五条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rsidR="002E7A0D">
      <w:pPr>
        <w:spacing w:line="360" w:lineRule="auto"/>
        <w:ind w:firstLine="424"/>
      </w:pPr>
      <w:r>
        <w:rPr>
          <w:rFonts w:ascii="宋体" w:hAnsi="宋体" w:cs="宋体"/>
          <w:color w:val="000000"/>
          <w:highlight w:val="white"/>
        </w:rPr>
        <w:t>（一）资产管理人如果无法接收中国结算发送的港股通公司行动信息文件，应及时向资产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rsidR="002E7A0D">
      <w:pPr>
        <w:spacing w:line="360" w:lineRule="auto"/>
        <w:ind w:firstLine="424"/>
      </w:pPr>
      <w:r>
        <w:rPr>
          <w:rFonts w:ascii="宋体" w:hAnsi="宋体" w:cs="宋体"/>
          <w:color w:val="000000"/>
          <w:highlight w:val="white"/>
        </w:rPr>
        <w:t>（二）资产管理人应及时关注港股通公司行动信息文件，如有港股通公司行动按照中国结算规定需资产托管人协助申报的业务需求，应按照中国结算规定的申报文件格式、内容填写要求，不晚于申报截止日14：00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如超过截止时点，资产托管人协助申报，但不保证成功。</w:t>
      </w:r>
    </w:p>
    <w:p w:rsidR="002E7A0D">
      <w:pPr>
        <w:spacing w:line="360" w:lineRule="auto"/>
        <w:ind w:firstLine="424"/>
      </w:pPr>
      <w:r>
        <w:rPr>
          <w:rFonts w:ascii="宋体" w:hAnsi="宋体" w:cs="宋体"/>
          <w:color w:val="000000"/>
          <w:highlight w:val="white"/>
        </w:rPr>
        <w:t>（三）若资产管理人修改申报内容，应在申报截止日14：00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如超过截止时点，资产托管人协助申报，但不保证成功。</w:t>
      </w:r>
    </w:p>
    <w:p w:rsidR="002E7A0D">
      <w:pPr>
        <w:spacing w:line="360" w:lineRule="auto"/>
        <w:ind w:firstLine="424"/>
      </w:pPr>
      <w:r>
        <w:rPr>
          <w:rFonts w:ascii="宋体" w:hAnsi="宋体" w:cs="宋体"/>
          <w:color w:val="000000"/>
          <w:highlight w:val="white"/>
        </w:rPr>
        <w:t>第二十六条根据《内地与香港股票市场交易互联互通机制登记、存管、结算业务实施细则》和《中国证券登记结算有限责任公司上海/深圳分公司港股通存管结算业务指南》要求，资产管理人管理资产投资参与港股通交易的，资产管理人应保证在T+1日9：30之前有足够的头寸用于港股通T+1日公司行动、证券组合费和风控资金的交收，在T+1日14：00之前有足够的头寸用于港股通T+2日交易资金的交收。</w:t>
      </w:r>
    </w:p>
    <w:p w:rsidR="002E7A0D">
      <w:pPr>
        <w:spacing w:line="360" w:lineRule="auto"/>
        <w:ind w:firstLine="424"/>
      </w:pPr>
      <w:r>
        <w:rPr>
          <w:rFonts w:ascii="宋体" w:hAnsi="宋体" w:cs="宋体"/>
          <w:color w:val="000000"/>
          <w:highlight w:val="white"/>
        </w:rPr>
        <w:t>资产管理人应知晓港股通交易日历优化实施后的交收规则，理解相关结算风险。对于两地市场非对称假期前（内地节假日但香港非节假日）的共同交易日，资产管理人应在T日16:00之前向资产托管人发送资金划转指令，并同时保证有足够的头寸用于港股通T日交易资金的交收，履行资金提前到账义务。</w:t>
      </w:r>
    </w:p>
    <w:p w:rsidR="002E7A0D">
      <w:pPr>
        <w:spacing w:line="360" w:lineRule="auto"/>
        <w:ind w:firstLine="424"/>
      </w:pPr>
      <w:r>
        <w:rPr>
          <w:rFonts w:ascii="宋体" w:hAnsi="宋体" w:cs="宋体"/>
          <w:color w:val="000000"/>
          <w:highlight w:val="white"/>
        </w:rPr>
        <w:t>如由于资产管理人原因导致的港股通交收失败，由此造成的资产托管人实际损失，由资产管理人承担。</w:t>
      </w:r>
    </w:p>
    <w:p w:rsidR="002E7A0D">
      <w:pPr>
        <w:spacing w:line="360" w:lineRule="auto"/>
        <w:ind w:firstLine="424"/>
      </w:pPr>
      <w:r>
        <w:rPr>
          <w:rFonts w:ascii="宋体" w:hAnsi="宋体" w:cs="宋体"/>
          <w:color w:val="000000"/>
          <w:highlight w:val="white"/>
        </w:rPr>
        <w:t>第二十七条因资产管理人原因导致资产托管人在新增港股通交易日（T日）未能按中国结算相关业务规则完成资金提前到账，且于下一港股通交易日（T+1日）16：00终前仍未补足的，资产托管人将向中国结算申报资产管理人相关证券账户，中国结算将通知上交所和深交所暂停接受T+2日所申报证券账户的港股通买入申报。资产托管人承诺对申报行为和内容的真实、准确、完整、及时负责。</w:t>
      </w:r>
    </w:p>
    <w:p w:rsidR="002E7A0D">
      <w:pPr>
        <w:spacing w:line="360" w:lineRule="auto"/>
        <w:ind w:firstLine="424"/>
      </w:pPr>
      <w:r>
        <w:rPr>
          <w:rFonts w:ascii="宋体" w:hAnsi="宋体" w:cs="宋体"/>
          <w:color w:val="000000"/>
          <w:highlight w:val="white"/>
        </w:rPr>
        <w:t>第二十八条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rsidR="002E7A0D">
      <w:pPr>
        <w:spacing w:line="360" w:lineRule="auto"/>
        <w:ind w:firstLine="424"/>
      </w:pPr>
      <w:r>
        <w:rPr>
          <w:rFonts w:ascii="宋体" w:hAnsi="宋体" w:cs="宋体"/>
          <w:color w:val="000000"/>
          <w:highlight w:val="white"/>
        </w:rPr>
        <w:t>第二十九条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rsidR="002E7A0D">
      <w:pPr>
        <w:spacing w:line="360" w:lineRule="auto"/>
        <w:ind w:firstLine="424"/>
      </w:pPr>
      <w:r>
        <w:rPr>
          <w:rFonts w:ascii="宋体" w:hAnsi="宋体" w:cs="宋体"/>
          <w:color w:val="000000"/>
          <w:highlight w:val="white"/>
        </w:rPr>
        <w:t>第三十条双方一致认可本协议已经双方充分协商，并非格式合同。本协议未尽事宜，可由双方协商解决并另行签署补充协议。本协议之补充协议为本协议不可分割的组成部分，与本协议具有同等法律效力。</w:t>
      </w:r>
    </w:p>
    <w:p w:rsidR="002E7A0D">
      <w:pPr>
        <w:spacing w:line="360" w:lineRule="auto"/>
        <w:ind w:firstLine="424"/>
        <w:sectPr w:rsidSect="00533DC8">
          <w:footerReference w:type="default" r:id="rId8"/>
          <w:pgSz w:w="11906" w:h="16838"/>
          <w:pgMar w:top="1418" w:right="1701" w:bottom="1418" w:left="1701" w:header="851" w:footer="992" w:gutter="0"/>
          <w:pgNumType w:start="1"/>
          <w:cols w:space="425"/>
          <w:docGrid w:type="lines" w:linePitch="312"/>
        </w:sectPr>
      </w:pPr>
      <w:r>
        <w:rPr>
          <w:rFonts w:ascii="宋体" w:hAnsi="宋体" w:cs="宋体"/>
          <w:color w:val="000000"/>
          <w:highlight w:val="white"/>
        </w:rPr>
        <w:t>第三十一条各方确认，本协议列明的各方地址及联系电话等送达信息为其有效的邮寄地址。对本合同项下所发生的任何诉讼（包括一审、二审和再审等任何诉讼程序、执行程序和仲裁程序）过程中对其发出的函件、传票、通知等法律文书，只要以邮寄等方式发送至本合同首页列明的邮寄地址即视为送达，具体送达日期适用《中华人民共和国民事诉讼法》中关于送达日期的规定。上述邮寄地址的变更非经提前通知另一方，不发生法律效力，本合同中确认的送达地址仍然视为有效的送达地址。</w:t>
      </w:r>
      <w:r>
        <w:rPr>
          <w:rFonts w:ascii="宋体" w:hAnsi="宋体" w:cs="宋体"/>
          <w:szCs w:val="21"/>
          <w:highlight w:val="white"/>
        </w:rPr>
        <w:br w:type="page"/>
      </w:r>
    </w:p>
    <w:p w:rsidR="002E7A0D">
      <w:pPr>
        <w:spacing w:line="360" w:lineRule="auto"/>
        <w:ind w:right="26"/>
        <w:rPr>
          <w:rFonts w:ascii="宋体" w:hAnsi="宋体" w:cs="宋体"/>
          <w:szCs w:val="21"/>
        </w:rPr>
      </w:pPr>
      <w:r>
        <w:rPr>
          <w:rFonts w:ascii="宋体" w:hAnsi="宋体" w:cs="宋体"/>
          <w:b/>
          <w:color w:val="000000"/>
          <w:szCs w:val="21"/>
          <w:highlight w:val="white"/>
        </w:rPr>
        <w:t>本页无正文</w:t>
      </w:r>
      <w:r>
        <w:rPr>
          <w:rFonts w:ascii="宋体" w:hAnsi="宋体" w:cs="宋体"/>
          <w:b/>
          <w:szCs w:val="21"/>
          <w:highlight w:val="white"/>
        </w:rPr>
        <w:t>，为《</w:t>
      </w:r>
      <w:r>
        <w:rPr>
          <w:rFonts w:ascii="宋体" w:hAnsi="宋体" w:cs="宋体" w:hint="eastAsia"/>
          <w:b/>
          <w:szCs w:val="21"/>
        </w:rPr>
        <w:t>易方达恒生港股通创新药交易型开放式指数证券投资基金发起式联接基金</w:t>
      </w:r>
      <w:r>
        <w:rPr>
          <w:rFonts w:ascii="宋体" w:hAnsi="宋体" w:cs="宋体" w:hint="eastAsia"/>
          <w:b/>
          <w:szCs w:val="21"/>
          <w:highlight w:val="white"/>
        </w:rPr>
        <w:t>托管协议</w:t>
      </w:r>
      <w:r>
        <w:rPr>
          <w:rFonts w:ascii="宋体" w:hAnsi="宋体" w:cs="宋体"/>
          <w:b/>
          <w:szCs w:val="21"/>
          <w:highlight w:val="white"/>
        </w:rPr>
        <w:t>》的</w:t>
      </w:r>
      <w:r>
        <w:rPr>
          <w:rFonts w:ascii="宋体" w:hAnsi="宋体" w:cs="宋体"/>
          <w:b/>
          <w:color w:val="000000"/>
          <w:szCs w:val="21"/>
          <w:highlight w:val="white"/>
        </w:rPr>
        <w:t>签字盖章页。</w:t>
      </w:r>
    </w:p>
    <w:p w:rsidR="002E7A0D">
      <w:pPr>
        <w:spacing w:line="360" w:lineRule="auto"/>
        <w:ind w:right="26"/>
        <w:rPr>
          <w:rFonts w:ascii="宋体" w:hAnsi="宋体" w:cs="宋体"/>
          <w:szCs w:val="21"/>
        </w:rPr>
      </w:pPr>
    </w:p>
    <w:p w:rsidR="002E7A0D">
      <w:pPr>
        <w:spacing w:line="360" w:lineRule="auto"/>
        <w:rPr>
          <w:rFonts w:ascii="宋体" w:hAnsi="宋体" w:cs="宋体"/>
          <w:szCs w:val="21"/>
        </w:rPr>
      </w:pPr>
    </w:p>
    <w:p w:rsidR="002E7A0D">
      <w:pPr>
        <w:spacing w:line="360" w:lineRule="auto"/>
        <w:ind w:right="26"/>
        <w:rPr>
          <w:rFonts w:ascii="宋体" w:hAnsi="宋体" w:cs="宋体"/>
          <w:szCs w:val="21"/>
        </w:rPr>
      </w:pPr>
      <w:r>
        <w:rPr>
          <w:rFonts w:ascii="宋体" w:hAnsi="宋体" w:cs="宋体"/>
          <w:b/>
          <w:color w:val="000000"/>
          <w:szCs w:val="21"/>
          <w:highlight w:val="white"/>
        </w:rPr>
        <w:t>《托管协议》当事人盖章及法定代表人或授权代表签字/签章、签订地、签订日</w:t>
      </w:r>
    </w:p>
    <w:p w:rsidR="002E7A0D">
      <w:pPr>
        <w:spacing w:line="360" w:lineRule="auto"/>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基金管理人：易方达基金管理有限公司（章）</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xml:space="preserve">法定代表人或授权代表（签字/签章）：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基金托管人：招商银行股份有限公司（章）</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xml:space="preserve">法定代表人或授权代表（签字/签章）：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ind w:right="26"/>
        <w:rPr>
          <w:rFonts w:ascii="宋体" w:hAnsi="宋体" w:cs="宋体"/>
          <w:szCs w:val="21"/>
        </w:rPr>
      </w:pPr>
      <w:r>
        <w:rPr>
          <w:rFonts w:ascii="宋体" w:hAnsi="宋体" w:cs="宋体"/>
          <w:b/>
          <w:color w:val="000000"/>
          <w:szCs w:val="21"/>
          <w:highlight w:val="white"/>
        </w:rPr>
        <w:t> </w:t>
      </w:r>
    </w:p>
    <w:p w:rsidR="002E7A0D">
      <w:pPr>
        <w:spacing w:line="360" w:lineRule="auto"/>
        <w:rPr>
          <w:rFonts w:ascii="宋体" w:hAnsi="宋体" w:cs="宋体"/>
          <w:szCs w:val="21"/>
        </w:rPr>
      </w:pPr>
      <w:r>
        <w:rPr>
          <w:rFonts w:ascii="宋体" w:hAnsi="宋体" w:cs="宋体"/>
          <w:b/>
          <w:color w:val="000000"/>
          <w:szCs w:val="21"/>
          <w:highlight w:val="white"/>
        </w:rPr>
        <w:t>签订地点：</w:t>
      </w:r>
    </w:p>
    <w:p w:rsidR="002E7A0D">
      <w:pPr>
        <w:spacing w:line="360" w:lineRule="auto"/>
        <w:ind w:right="26"/>
        <w:rPr>
          <w:rFonts w:ascii="宋体" w:hAnsi="宋体" w:cs="宋体"/>
          <w:szCs w:val="21"/>
        </w:rPr>
      </w:pPr>
      <w:r>
        <w:rPr>
          <w:rFonts w:ascii="宋体" w:hAnsi="宋体" w:cs="宋体"/>
          <w:b/>
          <w:color w:val="000000"/>
          <w:szCs w:val="21"/>
          <w:highlight w:val="white"/>
        </w:rPr>
        <w:t>签订日：　  年   月   日</w:t>
      </w:r>
    </w:p>
    <w:p w:rsidR="002E7A0D">
      <w:pPr>
        <w:spacing w:line="360" w:lineRule="auto"/>
        <w:rPr>
          <w:rFonts w:ascii="宋体" w:hAnsi="宋体" w:cs="宋体"/>
          <w:szCs w:val="21"/>
        </w:rPr>
      </w:pPr>
      <w:r>
        <w:rPr>
          <w:rFonts w:ascii="宋体" w:hAnsi="宋体" w:cs="宋体"/>
          <w:color w:val="000000"/>
          <w:szCs w:val="21"/>
          <w:highlight w:val="white"/>
        </w:rPr>
        <w:t> </w:t>
      </w:r>
    </w:p>
    <w:p w:rsidR="002E7A0D">
      <w:pPr>
        <w:spacing w:line="360" w:lineRule="auto"/>
        <w:rPr>
          <w:rFonts w:ascii="宋体" w:hAnsi="宋体" w:cs="宋体"/>
          <w:szCs w:val="21"/>
        </w:rPr>
      </w:pPr>
    </w:p>
    <w:sectPr>
      <w:footerReference w:type="default" r:id="rId9"/>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方正仿宋简体">
    <w:charset w:val="00"/>
    <w:family w:val="auto"/>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0D">
    <w:pPr>
      <w:pStyle w:val="1"/>
      <w:snapToGrid/>
      <w:rPr>
        <w:rStyle w:val="PageNumber"/>
      </w:rPr>
    </w:pPr>
    <w:r>
      <w:rPr>
        <w:rStyle w:val="PageNumber"/>
      </w:rPr>
      <w:fldChar w:fldCharType="begin"/>
    </w:r>
    <w:r>
      <w:rPr>
        <w:rStyle w:val="PageNumber"/>
        <w:highlight w:val="white"/>
      </w:rPr>
      <w:instrText xml:space="preserve">PAGE  </w:instrText>
    </w:r>
    <w:r>
      <w:fldChar w:fldCharType="separate"/>
    </w:r>
    <w:r>
      <w:fldChar w:fldCharType="end"/>
    </w:r>
  </w:p>
  <w:p w:rsidR="002E7A0D">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0D">
    <w:pPr>
      <w:pStyle w:val="1"/>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4EC">
    <w:pPr>
      <w:pStyle w:val="1"/>
      <w:snapToGrid/>
      <w:jc w:val="center"/>
    </w:pPr>
    <w:r>
      <w:fldChar w:fldCharType="begin"/>
    </w:r>
    <w:r>
      <w:rPr>
        <w:highlight w:val="white"/>
      </w:rPr>
      <w:instrText xml:space="preserve"> PAGE   \* MERGEFORMAT </w:instrText>
    </w:r>
    <w:r>
      <w:fldChar w:fldCharType="separate"/>
    </w:r>
    <w:r w:rsidRPr="008A2896" w:rsidR="008A2896">
      <w:rPr>
        <w:noProof/>
        <w:highlight w:val="white"/>
        <w:lang w:val="zh-CN"/>
      </w:rPr>
      <w:t>51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0D">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0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0D"/>
    <w:rsid w:val="002B44EC"/>
    <w:rsid w:val="002E7A0D"/>
    <w:rsid w:val="003A45C1"/>
    <w:rsid w:val="003D419A"/>
    <w:rsid w:val="00533DC8"/>
    <w:rsid w:val="005A18DA"/>
    <w:rsid w:val="006217F3"/>
    <w:rsid w:val="008103C5"/>
    <w:rsid w:val="008A2896"/>
    <w:rsid w:val="008F088E"/>
    <w:rsid w:val="00AA3FB4"/>
    <w:rsid w:val="00BB6CE4"/>
    <w:rsid w:val="00C97BAD"/>
    <w:rsid w:val="00CE1868"/>
    <w:rsid w:val="00DC0A82"/>
    <w:rsid w:val="00DE775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E67E612-8CC9-48DC-A157-703D60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Light"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Bdr>
        <w:top w:val="nil"/>
        <w:left w:val="nil"/>
        <w:bottom w:val="nil"/>
        <w:right w:val="nil"/>
        <w:between w:val="nil"/>
      </w:pBdr>
      <w:shd w:val="clear" w:color="FFFFFF" w:fill="FFFFFF"/>
      <w:jc w:val="both"/>
    </w:pPr>
    <w:rPr>
      <w:rFonts w:ascii="Times New Roman" w:hAnsi="Times New Roman" w:cs="Times New Roma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标题 11"/>
    <w:basedOn w:val="Normal"/>
    <w:next w:val="Normal"/>
    <w:link w:val="10"/>
    <w:qFormat/>
    <w:pPr>
      <w:keepNext/>
      <w:keepLines/>
      <w:spacing w:before="340" w:after="330" w:line="578" w:lineRule="auto"/>
      <w:outlineLvl w:val="0"/>
    </w:pPr>
    <w:rPr>
      <w:b/>
      <w:bCs/>
      <w:sz w:val="44"/>
      <w:szCs w:val="44"/>
    </w:rPr>
  </w:style>
  <w:style w:type="paragraph" w:customStyle="1" w:styleId="21">
    <w:name w:val="标题 21"/>
    <w:basedOn w:val="Normal"/>
    <w:next w:val="NormalIndent"/>
    <w:link w:val="2"/>
    <w:qFormat/>
    <w:pPr>
      <w:keepNext/>
      <w:keepLines/>
      <w:spacing w:before="260" w:after="260" w:line="416" w:lineRule="auto"/>
      <w:outlineLvl w:val="1"/>
    </w:pPr>
    <w:rPr>
      <w:rFonts w:ascii="Arial" w:eastAsia="黑体" w:hAnsi="Arial"/>
      <w:b/>
      <w:sz w:val="32"/>
      <w:szCs w:val="20"/>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Heading">
    <w:name w:val="TOC Heading"/>
    <w:uiPriority w:val="39"/>
    <w:unhideWhenUsed/>
  </w:style>
  <w:style w:type="paragraph" w:styleId="EndnoteText">
    <w:name w:val="endnote text"/>
    <w:basedOn w:val="Normal"/>
    <w:link w:val="Char"/>
    <w:uiPriority w:val="99"/>
    <w:semiHidden/>
    <w:unhideWhenUsed/>
    <w:rPr>
      <w:sz w:val="20"/>
    </w:rPr>
  </w:style>
  <w:style w:type="character" w:customStyle="1" w:styleId="Char">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paragraph" w:styleId="NormalIndent">
    <w:name w:val="Normal Indent"/>
    <w:basedOn w:val="Normal"/>
    <w:uiPriority w:val="99"/>
    <w:qFormat/>
    <w:pPr>
      <w:ind w:firstLine="420"/>
    </w:pPr>
  </w:style>
  <w:style w:type="paragraph" w:styleId="TOC7">
    <w:name w:val="toc 7"/>
    <w:basedOn w:val="Normal"/>
    <w:next w:val="Normal"/>
    <w:semiHidden/>
    <w:qFormat/>
    <w:pPr>
      <w:ind w:left="2520"/>
    </w:pPr>
  </w:style>
  <w:style w:type="paragraph" w:styleId="DocumentMap">
    <w:name w:val="Document Map"/>
    <w:basedOn w:val="Normal"/>
    <w:semiHidden/>
    <w:qFormat/>
    <w:pPr>
      <w:shd w:val="clear" w:color="000080" w:fill="000080"/>
    </w:pPr>
  </w:style>
  <w:style w:type="paragraph" w:styleId="CommentText">
    <w:name w:val="annotation text"/>
    <w:basedOn w:val="Normal"/>
    <w:link w:val="Char4"/>
    <w:semiHidden/>
    <w:qFormat/>
    <w:pPr>
      <w:jc w:val="left"/>
    </w:pPr>
  </w:style>
  <w:style w:type="paragraph" w:styleId="BodyText">
    <w:name w:val="Body Text"/>
    <w:basedOn w:val="Normal"/>
    <w:qFormat/>
    <w:pPr>
      <w:spacing w:line="360" w:lineRule="auto"/>
    </w:pPr>
    <w:rPr>
      <w:rFonts w:ascii="仿宋_GB2312" w:eastAsia="仿宋_GB2312"/>
      <w:color w:val="000000"/>
      <w:sz w:val="24"/>
      <w:szCs w:val="28"/>
    </w:rPr>
  </w:style>
  <w:style w:type="paragraph" w:styleId="BodyTextIndent">
    <w:name w:val="Body Text Indent"/>
    <w:basedOn w:val="Normal"/>
    <w:qFormat/>
    <w:pPr>
      <w:snapToGrid w:val="0"/>
      <w:spacing w:line="560" w:lineRule="exact"/>
      <w:ind w:firstLine="480"/>
    </w:pPr>
    <w:rPr>
      <w:rFonts w:eastAsia="方正仿宋简体"/>
      <w:sz w:val="24"/>
      <w:szCs w:val="30"/>
    </w:rPr>
  </w:style>
  <w:style w:type="paragraph" w:styleId="TOC5">
    <w:name w:val="toc 5"/>
    <w:basedOn w:val="Normal"/>
    <w:next w:val="Normal"/>
    <w:semiHidden/>
    <w:qFormat/>
    <w:pPr>
      <w:ind w:left="1680"/>
    </w:pPr>
  </w:style>
  <w:style w:type="paragraph" w:styleId="TOC3">
    <w:name w:val="toc 3"/>
    <w:basedOn w:val="Normal"/>
    <w:next w:val="Normal"/>
    <w:semiHidden/>
    <w:qFormat/>
    <w:pPr>
      <w:ind w:left="840"/>
    </w:pPr>
  </w:style>
  <w:style w:type="paragraph" w:styleId="TOC8">
    <w:name w:val="toc 8"/>
    <w:basedOn w:val="Normal"/>
    <w:next w:val="Normal"/>
    <w:semiHidden/>
    <w:qFormat/>
    <w:pPr>
      <w:ind w:left="2940"/>
    </w:pPr>
  </w:style>
  <w:style w:type="paragraph" w:styleId="BodyTextIndent2">
    <w:name w:val="Body Text Indent 2"/>
    <w:basedOn w:val="Normal"/>
    <w:qFormat/>
    <w:pPr>
      <w:spacing w:line="360" w:lineRule="auto"/>
      <w:ind w:firstLine="525"/>
    </w:pPr>
    <w:rPr>
      <w:rFonts w:ascii="宋体" w:hAnsi="宋体"/>
      <w:sz w:val="28"/>
      <w:szCs w:val="20"/>
    </w:rPr>
  </w:style>
  <w:style w:type="paragraph" w:styleId="BalloonText">
    <w:name w:val="Balloon Text"/>
    <w:basedOn w:val="Normal"/>
    <w:semiHidden/>
    <w:qFormat/>
    <w:rPr>
      <w:sz w:val="18"/>
      <w:szCs w:val="18"/>
    </w:rPr>
  </w:style>
  <w:style w:type="paragraph" w:customStyle="1" w:styleId="1">
    <w:name w:val="页脚1"/>
    <w:basedOn w:val="Normal"/>
    <w:link w:val="a"/>
    <w:uiPriority w:val="99"/>
    <w:qFormat/>
    <w:pPr>
      <w:tabs>
        <w:tab w:val="center" w:pos="4153"/>
        <w:tab w:val="right" w:pos="8306"/>
      </w:tabs>
      <w:snapToGrid w:val="0"/>
      <w:jc w:val="left"/>
    </w:pPr>
    <w:rPr>
      <w:sz w:val="18"/>
      <w:szCs w:val="18"/>
    </w:rPr>
  </w:style>
  <w:style w:type="paragraph" w:styleId="TOC1">
    <w:name w:val="toc 1"/>
    <w:basedOn w:val="Normal"/>
    <w:next w:val="Normal"/>
    <w:uiPriority w:val="39"/>
    <w:qFormat/>
  </w:style>
  <w:style w:type="paragraph" w:styleId="TOC4">
    <w:name w:val="toc 4"/>
    <w:basedOn w:val="Normal"/>
    <w:next w:val="Normal"/>
    <w:semiHidden/>
    <w:qFormat/>
    <w:pPr>
      <w:ind w:left="1260"/>
    </w:pPr>
  </w:style>
  <w:style w:type="paragraph" w:styleId="Subtitle">
    <w:name w:val="Subtitle"/>
    <w:basedOn w:val="Normal"/>
    <w:next w:val="Normal"/>
    <w:link w:val="Char0"/>
    <w:uiPriority w:val="11"/>
    <w:qFormat/>
    <w:pPr>
      <w:spacing w:before="200" w:after="200"/>
    </w:pPr>
    <w:rPr>
      <w:sz w:val="24"/>
    </w:rPr>
  </w:style>
  <w:style w:type="paragraph" w:styleId="FootnoteText">
    <w:name w:val="footnote text"/>
    <w:basedOn w:val="Normal"/>
    <w:link w:val="Char3"/>
    <w:uiPriority w:val="99"/>
    <w:semiHidden/>
    <w:unhideWhenUsed/>
    <w:qFormat/>
    <w:pPr>
      <w:spacing w:after="40"/>
    </w:pPr>
    <w:rPr>
      <w:sz w:val="18"/>
    </w:rPr>
  </w:style>
  <w:style w:type="paragraph" w:styleId="TOC6">
    <w:name w:val="toc 6"/>
    <w:basedOn w:val="Normal"/>
    <w:next w:val="Normal"/>
    <w:semiHidden/>
    <w:qFormat/>
    <w:pPr>
      <w:ind w:left="2100"/>
    </w:pPr>
  </w:style>
  <w:style w:type="paragraph" w:styleId="BodyTextIndent3">
    <w:name w:val="Body Text Indent 3"/>
    <w:basedOn w:val="Normal"/>
    <w:qFormat/>
    <w:pPr>
      <w:snapToGrid w:val="0"/>
      <w:ind w:firstLine="480"/>
    </w:pPr>
    <w:rPr>
      <w:rFonts w:ascii="仿宋_GB2312" w:eastAsia="仿宋_GB2312" w:hAnsi="宋体" w:cs="Arial"/>
      <w:color w:val="000000"/>
      <w:sz w:val="24"/>
    </w:rPr>
  </w:style>
  <w:style w:type="paragraph" w:styleId="TOC2">
    <w:name w:val="toc 2"/>
    <w:basedOn w:val="Normal"/>
    <w:next w:val="Normal"/>
    <w:uiPriority w:val="39"/>
    <w:qFormat/>
    <w:pPr>
      <w:ind w:left="420"/>
    </w:pPr>
  </w:style>
  <w:style w:type="paragraph" w:styleId="TOC9">
    <w:name w:val="toc 9"/>
    <w:basedOn w:val="Normal"/>
    <w:next w:val="Normal"/>
    <w:semiHidden/>
    <w:qFormat/>
    <w:pPr>
      <w:ind w:left="3360"/>
    </w:pPr>
  </w:style>
  <w:style w:type="paragraph" w:styleId="NormalWeb">
    <w:name w:val="Normal (Web)"/>
    <w:basedOn w:val="Normal"/>
    <w:uiPriority w:val="99"/>
    <w:qFormat/>
    <w:pPr>
      <w:widowControl/>
      <w:spacing w:before="100" w:beforeAutospacing="1" w:after="100" w:afterAutospacing="1"/>
      <w:jc w:val="left"/>
    </w:pPr>
    <w:rPr>
      <w:rFonts w:ascii="Arial Unicode MS" w:hAnsi="Arial Unicode MS" w:cs="Arial Unicode MS"/>
      <w:sz w:val="24"/>
    </w:rPr>
  </w:style>
  <w:style w:type="paragraph" w:styleId="Title">
    <w:name w:val="Title"/>
    <w:basedOn w:val="Normal"/>
    <w:link w:val="Char5"/>
    <w:qFormat/>
    <w:pPr>
      <w:spacing w:before="240" w:after="60"/>
      <w:jc w:val="center"/>
      <w:outlineLvl w:val="0"/>
    </w:pPr>
    <w:rPr>
      <w:rFonts w:ascii="Arial" w:hAnsi="Arial"/>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Strong">
    <w:name w:val="Strong"/>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21"/>
      <w:szCs w:val="21"/>
    </w:rPr>
  </w:style>
  <w:style w:type="character" w:styleId="FootnoteReference">
    <w:name w:val="footnote reference"/>
    <w:basedOn w:val="DefaultParagraphFont"/>
    <w:uiPriority w:val="99"/>
    <w:unhideWhenUsed/>
    <w:qFormat/>
    <w:rPr>
      <w:vertAlign w:val="superscript"/>
    </w:rPr>
  </w:style>
  <w:style w:type="character" w:customStyle="1" w:styleId="2">
    <w:name w:val="标题 2 字符"/>
    <w:basedOn w:val="DefaultParagraphFont"/>
    <w:link w:val="21"/>
    <w:uiPriority w:val="9"/>
    <w:qFormat/>
    <w:rPr>
      <w:rFonts w:ascii="Arial" w:hAnsi="Arial" w:cs="Arial"/>
      <w:sz w:val="34"/>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il"/>
        <w:left w:val="nil"/>
        <w:bottom w:val="nil"/>
        <w:right w:val="nil"/>
        <w:between w:val="nil"/>
      </w:pBdr>
      <w:shd w:val="clear" w:color="FFFFFF" w:fill="FFFFFF"/>
    </w:pPr>
    <w:rPr>
      <w:rFonts w:ascii="Times New Roman" w:hAnsi="Times New Roman" w:cs="Times New Roman"/>
      <w:sz w:val="20"/>
      <w:lang w:eastAsia="zh-CN"/>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脚注文本 Char"/>
    <w:link w:val="FootnoteText"/>
    <w:uiPriority w:val="99"/>
    <w:qFormat/>
    <w:rPr>
      <w:sz w:val="18"/>
    </w:rPr>
  </w:style>
  <w:style w:type="character" w:customStyle="1" w:styleId="read">
    <w:name w:val="read"/>
    <w:basedOn w:val="DefaultParagraphFont"/>
    <w:qFormat/>
  </w:style>
  <w:style w:type="character" w:customStyle="1" w:styleId="Char4">
    <w:name w:val="批注文字 Char"/>
    <w:link w:val="CommentText"/>
    <w:qFormat/>
    <w:rPr>
      <w:rFonts w:eastAsia="宋体"/>
      <w:sz w:val="21"/>
      <w:szCs w:val="24"/>
      <w:lang w:val="en-US" w:eastAsia="zh-CN" w:bidi="ar-SA"/>
    </w:rPr>
  </w:style>
  <w:style w:type="character" w:customStyle="1" w:styleId="Char5">
    <w:name w:val="标题 Char"/>
    <w:link w:val="Title"/>
    <w:qFormat/>
    <w:rPr>
      <w:rFonts w:ascii="Arial" w:hAnsi="Arial" w:cs="Arial"/>
      <w:b/>
      <w:bCs/>
      <w:sz w:val="32"/>
      <w:szCs w:val="32"/>
    </w:rPr>
  </w:style>
  <w:style w:type="character" w:customStyle="1" w:styleId="a">
    <w:name w:val="页脚 字符"/>
    <w:link w:val="1"/>
    <w:uiPriority w:val="99"/>
    <w:qFormat/>
    <w:rPr>
      <w:sz w:val="18"/>
      <w:szCs w:val="18"/>
    </w:rPr>
  </w:style>
  <w:style w:type="character" w:customStyle="1" w:styleId="10">
    <w:name w:val="标题 1 字符"/>
    <w:link w:val="11"/>
    <w:qFormat/>
    <w:rPr>
      <w:b/>
      <w:bCs/>
      <w:sz w:val="44"/>
      <w:szCs w:val="44"/>
    </w:rPr>
  </w:style>
  <w:style w:type="paragraph" w:styleId="Revision">
    <w:name w:val="Revision"/>
    <w:hidden/>
    <w:uiPriority w:val="99"/>
    <w:semiHidden/>
    <w:rPr>
      <w:rFonts w:ascii="Times New Roman" w:hAnsi="Times New Roman" w:cs="Times New Roman"/>
      <w:sz w:val="21"/>
      <w:szCs w:val="24"/>
      <w:lang w:eastAsia="zh-CN"/>
    </w:rPr>
  </w:style>
  <w:style w:type="paragraph" w:styleId="Header">
    <w:name w:val="header"/>
    <w:basedOn w:val="Normal"/>
    <w:link w:val="Char6"/>
    <w:uiPriority w:val="99"/>
    <w:unhideWhenUsed/>
    <w:rsid w:val="00DC0A82"/>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DefaultParagraphFont"/>
    <w:link w:val="Header"/>
    <w:uiPriority w:val="99"/>
    <w:rsid w:val="00DC0A82"/>
    <w:rPr>
      <w:rFonts w:ascii="Times New Roman" w:hAnsi="Times New Roman" w:cs="Times New Roman"/>
      <w:sz w:val="18"/>
      <w:szCs w:val="18"/>
      <w:shd w:val="clear" w:color="FFFFFF" w:fill="FFFFFF"/>
      <w:lang w:eastAsia="zh-CN"/>
    </w:rPr>
  </w:style>
  <w:style w:type="paragraph" w:styleId="Footer">
    <w:name w:val="footer"/>
    <w:basedOn w:val="Normal"/>
    <w:link w:val="Char7"/>
    <w:uiPriority w:val="99"/>
    <w:unhideWhenUsed/>
    <w:rsid w:val="00DC0A82"/>
    <w:pPr>
      <w:tabs>
        <w:tab w:val="center" w:pos="4153"/>
        <w:tab w:val="right" w:pos="8306"/>
      </w:tabs>
      <w:snapToGrid w:val="0"/>
      <w:jc w:val="left"/>
    </w:pPr>
    <w:rPr>
      <w:sz w:val="18"/>
      <w:szCs w:val="18"/>
    </w:rPr>
  </w:style>
  <w:style w:type="character" w:customStyle="1" w:styleId="Char7">
    <w:name w:val="页脚 Char"/>
    <w:basedOn w:val="DefaultParagraphFont"/>
    <w:link w:val="Footer"/>
    <w:uiPriority w:val="99"/>
    <w:rsid w:val="00DC0A82"/>
    <w:rPr>
      <w:rFonts w:ascii="Times New Roman" w:hAnsi="Times New Roman" w:cs="Times New Roman"/>
      <w:sz w:val="18"/>
      <w:szCs w:val="18"/>
      <w:shd w:val="clear" w:color="FFFFFF"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54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