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ACE" w:rsidRDefault="00E77599">
      <w:pPr>
        <w:adjustRightInd w:val="0"/>
        <w:snapToGrid w:val="0"/>
        <w:jc w:val="center"/>
        <w:rPr>
          <w:rFonts w:ascii="宋体" w:eastAsia="宋体" w:hAnsi="宋体" w:cs="方正黑体简体"/>
          <w:b/>
          <w:bCs/>
          <w:iCs/>
          <w:sz w:val="30"/>
          <w:szCs w:val="30"/>
        </w:rPr>
      </w:pPr>
      <w:bookmarkStart w:id="0" w:name="_GoBack"/>
      <w:bookmarkEnd w:id="0"/>
      <w:r>
        <w:rPr>
          <w:rFonts w:ascii="宋体" w:eastAsia="宋体" w:hAnsi="宋体" w:cs="方正黑体简体"/>
          <w:b/>
          <w:bCs/>
          <w:iCs/>
          <w:sz w:val="30"/>
          <w:szCs w:val="30"/>
        </w:rPr>
        <w:t>富国消费精选</w:t>
      </w:r>
      <w:r>
        <w:rPr>
          <w:rFonts w:ascii="宋体" w:eastAsia="宋体" w:hAnsi="宋体" w:cs="方正黑体简体"/>
          <w:b/>
          <w:bCs/>
          <w:iCs/>
          <w:sz w:val="30"/>
          <w:szCs w:val="30"/>
        </w:rPr>
        <w:t>30</w:t>
      </w:r>
      <w:r>
        <w:rPr>
          <w:rFonts w:ascii="宋体" w:eastAsia="宋体" w:hAnsi="宋体" w:cs="方正黑体简体"/>
          <w:b/>
          <w:bCs/>
          <w:iCs/>
          <w:sz w:val="30"/>
          <w:szCs w:val="30"/>
        </w:rPr>
        <w:t>股票型证券投资基金（</w:t>
      </w:r>
      <w:r>
        <w:rPr>
          <w:rFonts w:ascii="宋体" w:eastAsia="宋体" w:hAnsi="宋体" w:cs="方正黑体简体"/>
          <w:b/>
          <w:bCs/>
          <w:iCs/>
          <w:sz w:val="30"/>
          <w:szCs w:val="30"/>
        </w:rPr>
        <w:t>C</w:t>
      </w:r>
      <w:r>
        <w:rPr>
          <w:rFonts w:ascii="宋体" w:eastAsia="宋体" w:hAnsi="宋体" w:cs="方正黑体简体"/>
          <w:b/>
          <w:bCs/>
          <w:iCs/>
          <w:sz w:val="30"/>
          <w:szCs w:val="30"/>
        </w:rPr>
        <w:t>类份额）基金产品资料概要更新</w:t>
      </w:r>
    </w:p>
    <w:p w:rsidR="00084FBF" w:rsidRPr="00A14942" w:rsidRDefault="008D1C0D" w:rsidP="0043556E">
      <w:pPr>
        <w:adjustRightInd w:val="0"/>
        <w:snapToGrid w:val="0"/>
        <w:jc w:val="right"/>
        <w:rPr>
          <w:rFonts w:ascii="宋体" w:eastAsia="宋体" w:hAnsi="宋体" w:cs="方正仿宋简体"/>
          <w:iCs/>
          <w:color w:val="FF0000"/>
          <w:sz w:val="21"/>
          <w:szCs w:val="21"/>
        </w:rPr>
      </w:pPr>
      <w:r>
        <w:rPr>
          <w:rFonts w:ascii="宋体" w:eastAsia="宋体" w:hAnsi="宋体" w:hint="eastAsia"/>
          <w:sz w:val="21"/>
          <w:szCs w:val="21"/>
        </w:rPr>
        <w:t>2024年12月11日</w:t>
      </w:r>
      <w:r w:rsidR="0043556E" w:rsidRPr="00A14942">
        <w:rPr>
          <w:rFonts w:ascii="宋体" w:eastAsia="宋体" w:hAnsi="宋体" w:hint="eastAsia"/>
          <w:sz w:val="21"/>
          <w:szCs w:val="21"/>
        </w:rPr>
        <w:t>（</w:t>
      </w:r>
      <w:r w:rsidR="0043556E" w:rsidRPr="00A14942">
        <w:rPr>
          <w:rFonts w:ascii="宋体" w:eastAsia="宋体" w:hAnsi="宋体" w:cs="方正仿宋简体" w:hint="eastAsia"/>
          <w:iCs/>
          <w:sz w:val="21"/>
          <w:szCs w:val="21"/>
        </w:rPr>
        <w:t>信息截至：</w:t>
      </w:r>
      <w:r>
        <w:rPr>
          <w:rFonts w:ascii="宋体" w:eastAsia="宋体" w:hAnsi="宋体" w:cs="方正仿宋简体" w:hint="eastAsia"/>
          <w:iCs/>
          <w:sz w:val="21"/>
          <w:szCs w:val="21"/>
        </w:rPr>
        <w:t>2024年12月10日</w:t>
      </w:r>
      <w:r w:rsidR="0043556E" w:rsidRPr="00A14942">
        <w:rPr>
          <w:rFonts w:ascii="宋体" w:eastAsia="宋体" w:hAnsi="宋体" w:hint="eastAsia"/>
          <w:sz w:val="21"/>
          <w:szCs w:val="21"/>
        </w:rPr>
        <w:t>）</w:t>
      </w:r>
    </w:p>
    <w:p w:rsidR="00DE25AF" w:rsidRPr="00A14942" w:rsidRDefault="004E7FF3" w:rsidP="00084FBF">
      <w:pPr>
        <w:adjustRightInd w:val="0"/>
        <w:snapToGrid w:val="0"/>
        <w:jc w:val="center"/>
        <w:rPr>
          <w:rFonts w:ascii="宋体" w:eastAsia="宋体" w:hAnsi="宋体" w:cs="方正黑体简体"/>
          <w:b/>
          <w:bCs/>
          <w:iCs/>
          <w:sz w:val="24"/>
          <w:szCs w:val="21"/>
        </w:rPr>
      </w:pPr>
      <w:r w:rsidRPr="00A14942">
        <w:rPr>
          <w:rFonts w:ascii="宋体" w:eastAsia="宋体" w:hAnsi="宋体" w:cs="方正黑体简体" w:hint="eastAsia"/>
          <w:b/>
          <w:bCs/>
          <w:iCs/>
          <w:sz w:val="24"/>
          <w:szCs w:val="21"/>
        </w:rPr>
        <w:t>本概要提供本基金的重要信息，是招募说明书的一部分。作出投资决定前，请阅读完整的招募说明书等销售文件。</w:t>
      </w:r>
    </w:p>
    <w:p w:rsidR="006F366F" w:rsidRPr="00F50507" w:rsidRDefault="006F366F" w:rsidP="00F50507">
      <w:pPr>
        <w:pStyle w:val="1"/>
      </w:pPr>
      <w:r w:rsidRPr="00F50507">
        <w:rPr>
          <w:rFonts w:hint="eastAsia"/>
        </w:rPr>
        <w:t>产品概况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887"/>
        <w:gridCol w:w="1701"/>
        <w:gridCol w:w="2835"/>
      </w:tblGrid>
      <w:tr w:rsidR="00827ACE">
        <w:trPr>
          <w:trHeight w:val="340"/>
          <w:jc w:val="center"/>
        </w:trPr>
        <w:tc>
          <w:tcPr>
            <w:tcW w:w="175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基金简称</w:t>
            </w:r>
          </w:p>
        </w:tc>
        <w:tc>
          <w:tcPr>
            <w:tcW w:w="288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kern w:val="0"/>
                <w:sz w:val="21"/>
                <w:szCs w:val="21"/>
              </w:rPr>
              <w:t>富国消费精选</w:t>
            </w:r>
            <w:r>
              <w:rPr>
                <w:rFonts w:ascii="宋体" w:eastAsia="宋体" w:hAnsi="宋体"/>
                <w:kern w:val="0"/>
                <w:sz w:val="21"/>
                <w:szCs w:val="21"/>
              </w:rPr>
              <w:t>30</w:t>
            </w:r>
            <w:r>
              <w:rPr>
                <w:rFonts w:ascii="宋体" w:eastAsia="宋体" w:hAnsi="宋体"/>
                <w:kern w:val="0"/>
                <w:sz w:val="21"/>
                <w:szCs w:val="21"/>
              </w:rPr>
              <w:t>股票</w:t>
            </w:r>
          </w:p>
        </w:tc>
        <w:tc>
          <w:tcPr>
            <w:tcW w:w="1701"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基金代码</w:t>
            </w:r>
          </w:p>
        </w:tc>
        <w:tc>
          <w:tcPr>
            <w:tcW w:w="2835"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hint="eastAsia"/>
                <w:kern w:val="0"/>
                <w:sz w:val="21"/>
                <w:szCs w:val="21"/>
              </w:rPr>
              <w:t>010409</w:t>
            </w:r>
          </w:p>
        </w:tc>
      </w:tr>
      <w:tr w:rsidR="00827ACE">
        <w:trPr>
          <w:trHeight w:val="340"/>
          <w:jc w:val="center"/>
        </w:trPr>
        <w:tc>
          <w:tcPr>
            <w:tcW w:w="175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份额简称</w:t>
            </w:r>
          </w:p>
        </w:tc>
        <w:tc>
          <w:tcPr>
            <w:tcW w:w="2887" w:type="dxa"/>
            <w:shd w:val="clear" w:color="auto" w:fill="auto"/>
            <w:vAlign w:val="center"/>
          </w:tcPr>
          <w:p w:rsidR="00827ACE" w:rsidRDefault="00E77599">
            <w:pPr>
              <w:adjustRightInd w:val="0"/>
              <w:snapToGrid w:val="0"/>
              <w:rPr>
                <w:rFonts w:ascii="宋体" w:eastAsia="宋体" w:hAnsi="宋体"/>
                <w:kern w:val="0"/>
                <w:sz w:val="21"/>
                <w:szCs w:val="21"/>
              </w:rPr>
            </w:pPr>
            <w:r>
              <w:rPr>
                <w:rFonts w:ascii="宋体" w:eastAsia="宋体" w:hAnsi="宋体" w:hint="eastAsia"/>
                <w:kern w:val="0"/>
                <w:sz w:val="21"/>
                <w:szCs w:val="21"/>
              </w:rPr>
              <w:t>富国消费精选</w:t>
            </w:r>
            <w:r>
              <w:rPr>
                <w:rFonts w:ascii="宋体" w:eastAsia="宋体" w:hAnsi="宋体" w:hint="eastAsia"/>
                <w:kern w:val="0"/>
                <w:sz w:val="21"/>
                <w:szCs w:val="21"/>
              </w:rPr>
              <w:t>30</w:t>
            </w:r>
            <w:r>
              <w:rPr>
                <w:rFonts w:ascii="宋体" w:eastAsia="宋体" w:hAnsi="宋体" w:hint="eastAsia"/>
                <w:kern w:val="0"/>
                <w:sz w:val="21"/>
                <w:szCs w:val="21"/>
              </w:rPr>
              <w:t>股票</w:t>
            </w:r>
            <w:r>
              <w:rPr>
                <w:rFonts w:ascii="宋体" w:eastAsia="宋体" w:hAnsi="宋体" w:hint="eastAsia"/>
                <w:kern w:val="0"/>
                <w:sz w:val="21"/>
                <w:szCs w:val="21"/>
              </w:rPr>
              <w:t>C</w:t>
            </w:r>
          </w:p>
        </w:tc>
        <w:tc>
          <w:tcPr>
            <w:tcW w:w="1701"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份额代码</w:t>
            </w:r>
          </w:p>
        </w:tc>
        <w:tc>
          <w:tcPr>
            <w:tcW w:w="2835" w:type="dxa"/>
            <w:shd w:val="clear" w:color="auto" w:fill="auto"/>
            <w:vAlign w:val="center"/>
          </w:tcPr>
          <w:p w:rsidR="00827ACE" w:rsidRDefault="00E77599">
            <w:pPr>
              <w:adjustRightInd w:val="0"/>
              <w:snapToGrid w:val="0"/>
              <w:rPr>
                <w:rFonts w:ascii="宋体" w:eastAsia="宋体" w:hAnsi="宋体"/>
                <w:kern w:val="0"/>
                <w:sz w:val="21"/>
                <w:szCs w:val="21"/>
              </w:rPr>
            </w:pPr>
            <w:r>
              <w:rPr>
                <w:rFonts w:ascii="宋体" w:eastAsia="宋体" w:hAnsi="宋体" w:hint="eastAsia"/>
                <w:kern w:val="0"/>
                <w:sz w:val="21"/>
                <w:szCs w:val="21"/>
              </w:rPr>
              <w:t>021605</w:t>
            </w:r>
          </w:p>
        </w:tc>
      </w:tr>
      <w:tr w:rsidR="00827ACE">
        <w:trPr>
          <w:trHeight w:val="340"/>
          <w:jc w:val="center"/>
        </w:trPr>
        <w:tc>
          <w:tcPr>
            <w:tcW w:w="175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基金管理人</w:t>
            </w:r>
          </w:p>
        </w:tc>
        <w:tc>
          <w:tcPr>
            <w:tcW w:w="288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hint="eastAsia"/>
                <w:kern w:val="0"/>
                <w:sz w:val="21"/>
                <w:szCs w:val="21"/>
              </w:rPr>
              <w:t>富国基金管理有限公司</w:t>
            </w:r>
          </w:p>
        </w:tc>
        <w:tc>
          <w:tcPr>
            <w:tcW w:w="1701"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基金托管人</w:t>
            </w:r>
          </w:p>
        </w:tc>
        <w:tc>
          <w:tcPr>
            <w:tcW w:w="2835"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hint="eastAsia"/>
                <w:kern w:val="0"/>
                <w:sz w:val="21"/>
                <w:szCs w:val="21"/>
              </w:rPr>
              <w:t>中国工商银行股份有限公司</w:t>
            </w:r>
          </w:p>
        </w:tc>
      </w:tr>
      <w:tr w:rsidR="00827ACE">
        <w:trPr>
          <w:trHeight w:val="340"/>
          <w:jc w:val="center"/>
        </w:trPr>
        <w:tc>
          <w:tcPr>
            <w:tcW w:w="175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基金合同生效日</w:t>
            </w:r>
          </w:p>
        </w:tc>
        <w:tc>
          <w:tcPr>
            <w:tcW w:w="288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kern w:val="0"/>
                <w:sz w:val="21"/>
                <w:szCs w:val="21"/>
              </w:rPr>
              <w:t>2020</w:t>
            </w:r>
            <w:r>
              <w:rPr>
                <w:rFonts w:ascii="宋体" w:eastAsia="宋体" w:hAnsi="宋体"/>
                <w:kern w:val="0"/>
                <w:sz w:val="21"/>
                <w:szCs w:val="21"/>
              </w:rPr>
              <w:t>年</w:t>
            </w:r>
            <w:r>
              <w:rPr>
                <w:rFonts w:ascii="宋体" w:eastAsia="宋体" w:hAnsi="宋体"/>
                <w:kern w:val="0"/>
                <w:sz w:val="21"/>
                <w:szCs w:val="21"/>
              </w:rPr>
              <w:t>11</w:t>
            </w:r>
            <w:r>
              <w:rPr>
                <w:rFonts w:ascii="宋体" w:eastAsia="宋体" w:hAnsi="宋体"/>
                <w:kern w:val="0"/>
                <w:sz w:val="21"/>
                <w:szCs w:val="21"/>
              </w:rPr>
              <w:t>月</w:t>
            </w:r>
            <w:r>
              <w:rPr>
                <w:rFonts w:ascii="宋体" w:eastAsia="宋体" w:hAnsi="宋体"/>
                <w:kern w:val="0"/>
                <w:sz w:val="21"/>
                <w:szCs w:val="21"/>
              </w:rPr>
              <w:t>05</w:t>
            </w:r>
            <w:r>
              <w:rPr>
                <w:rFonts w:ascii="宋体" w:eastAsia="宋体" w:hAnsi="宋体"/>
                <w:kern w:val="0"/>
                <w:sz w:val="21"/>
                <w:szCs w:val="21"/>
              </w:rPr>
              <w:t>日</w:t>
            </w:r>
          </w:p>
        </w:tc>
        <w:tc>
          <w:tcPr>
            <w:tcW w:w="1701"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基金类型</w:t>
            </w:r>
          </w:p>
        </w:tc>
        <w:tc>
          <w:tcPr>
            <w:tcW w:w="2835"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hint="eastAsia"/>
                <w:kern w:val="0"/>
                <w:sz w:val="21"/>
                <w:szCs w:val="21"/>
              </w:rPr>
              <w:t>股票型</w:t>
            </w:r>
          </w:p>
        </w:tc>
      </w:tr>
      <w:tr w:rsidR="00827ACE">
        <w:trPr>
          <w:trHeight w:val="340"/>
          <w:jc w:val="center"/>
        </w:trPr>
        <w:tc>
          <w:tcPr>
            <w:tcW w:w="175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运作方式</w:t>
            </w:r>
          </w:p>
        </w:tc>
        <w:tc>
          <w:tcPr>
            <w:tcW w:w="288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kern w:val="0"/>
                <w:sz w:val="21"/>
                <w:szCs w:val="21"/>
              </w:rPr>
              <w:t>普通开放式</w:t>
            </w:r>
          </w:p>
        </w:tc>
        <w:tc>
          <w:tcPr>
            <w:tcW w:w="1701"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开放频率</w:t>
            </w:r>
          </w:p>
        </w:tc>
        <w:tc>
          <w:tcPr>
            <w:tcW w:w="2835"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hint="eastAsia"/>
                <w:kern w:val="0"/>
                <w:sz w:val="21"/>
                <w:szCs w:val="21"/>
              </w:rPr>
              <w:t>每个开放日</w:t>
            </w:r>
          </w:p>
        </w:tc>
      </w:tr>
      <w:tr w:rsidR="00827ACE">
        <w:trPr>
          <w:trHeight w:val="340"/>
          <w:jc w:val="center"/>
        </w:trPr>
        <w:tc>
          <w:tcPr>
            <w:tcW w:w="175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交易币种</w:t>
            </w:r>
          </w:p>
        </w:tc>
        <w:tc>
          <w:tcPr>
            <w:tcW w:w="2887"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hint="eastAsia"/>
                <w:kern w:val="0"/>
                <w:sz w:val="21"/>
                <w:szCs w:val="21"/>
              </w:rPr>
              <w:t>人民币</w:t>
            </w:r>
          </w:p>
        </w:tc>
        <w:tc>
          <w:tcPr>
            <w:tcW w:w="1701" w:type="dxa"/>
            <w:shd w:val="clear" w:color="auto" w:fill="auto"/>
            <w:vAlign w:val="center"/>
          </w:tcPr>
          <w:p w:rsidR="00A970AF" w:rsidRPr="004A1547" w:rsidRDefault="00A970AF" w:rsidP="00A14942">
            <w:pPr>
              <w:adjustRightInd w:val="0"/>
              <w:snapToGrid w:val="0"/>
              <w:rPr>
                <w:rFonts w:ascii="宋体" w:eastAsia="宋体" w:hAnsi="宋体" w:cs="方正仿宋简体"/>
                <w:iCs/>
                <w:sz w:val="21"/>
                <w:szCs w:val="21"/>
              </w:rPr>
            </w:pPr>
          </w:p>
        </w:tc>
        <w:tc>
          <w:tcPr>
            <w:tcW w:w="2835" w:type="dxa"/>
            <w:shd w:val="clear" w:color="auto" w:fill="auto"/>
            <w:vAlign w:val="center"/>
          </w:tcPr>
          <w:p w:rsidR="00827ACE" w:rsidRDefault="00827ACE">
            <w:pPr>
              <w:adjustRightInd w:val="0"/>
              <w:snapToGrid w:val="0"/>
              <w:rPr>
                <w:rFonts w:ascii="宋体" w:eastAsia="宋体" w:hAnsi="宋体" w:cs="方正仿宋简体"/>
                <w:iCs/>
                <w:sz w:val="21"/>
                <w:szCs w:val="21"/>
              </w:rPr>
            </w:pPr>
          </w:p>
        </w:tc>
      </w:tr>
      <w:tr w:rsidR="00827ACE">
        <w:trPr>
          <w:trHeight w:val="340"/>
          <w:jc w:val="center"/>
        </w:trPr>
        <w:tc>
          <w:tcPr>
            <w:tcW w:w="1757" w:type="dxa"/>
            <w:vMerge w:val="restart"/>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周文波</w:t>
            </w:r>
          </w:p>
        </w:tc>
        <w:tc>
          <w:tcPr>
            <w:tcW w:w="1701"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2023</w:t>
            </w:r>
            <w:r>
              <w:rPr>
                <w:rFonts w:ascii="宋体" w:eastAsia="宋体" w:hAnsi="宋体" w:cs="方正仿宋简体" w:hint="eastAsia"/>
                <w:iCs/>
                <w:sz w:val="21"/>
                <w:szCs w:val="21"/>
              </w:rPr>
              <w:t>年</w:t>
            </w:r>
            <w:r>
              <w:rPr>
                <w:rFonts w:ascii="宋体" w:eastAsia="宋体" w:hAnsi="宋体" w:cs="方正仿宋简体" w:hint="eastAsia"/>
                <w:iCs/>
                <w:sz w:val="21"/>
                <w:szCs w:val="21"/>
              </w:rPr>
              <w:t>05</w:t>
            </w:r>
            <w:r>
              <w:rPr>
                <w:rFonts w:ascii="宋体" w:eastAsia="宋体" w:hAnsi="宋体" w:cs="方正仿宋简体" w:hint="eastAsia"/>
                <w:iCs/>
                <w:sz w:val="21"/>
                <w:szCs w:val="21"/>
              </w:rPr>
              <w:t>月</w:t>
            </w:r>
            <w:r>
              <w:rPr>
                <w:rFonts w:ascii="宋体" w:eastAsia="宋体" w:hAnsi="宋体" w:cs="方正仿宋简体" w:hint="eastAsia"/>
                <w:iCs/>
                <w:sz w:val="21"/>
                <w:szCs w:val="21"/>
              </w:rPr>
              <w:t>19</w:t>
            </w:r>
            <w:r>
              <w:rPr>
                <w:rFonts w:ascii="宋体" w:eastAsia="宋体" w:hAnsi="宋体" w:cs="方正仿宋简体" w:hint="eastAsia"/>
                <w:iCs/>
                <w:sz w:val="21"/>
                <w:szCs w:val="21"/>
              </w:rPr>
              <w:t>日</w:t>
            </w:r>
          </w:p>
        </w:tc>
      </w:tr>
      <w:tr w:rsidR="00827ACE">
        <w:trPr>
          <w:trHeight w:val="340"/>
          <w:jc w:val="center"/>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2011</w:t>
            </w:r>
            <w:r>
              <w:rPr>
                <w:rFonts w:ascii="宋体" w:eastAsia="宋体" w:hAnsi="宋体" w:cs="方正仿宋简体" w:hint="eastAsia"/>
                <w:iCs/>
                <w:sz w:val="21"/>
                <w:szCs w:val="21"/>
              </w:rPr>
              <w:t>年</w:t>
            </w:r>
            <w:r>
              <w:rPr>
                <w:rFonts w:ascii="宋体" w:eastAsia="宋体" w:hAnsi="宋体" w:cs="方正仿宋简体" w:hint="eastAsia"/>
                <w:iCs/>
                <w:sz w:val="21"/>
                <w:szCs w:val="21"/>
              </w:rPr>
              <w:t>01</w:t>
            </w:r>
            <w:r>
              <w:rPr>
                <w:rFonts w:ascii="宋体" w:eastAsia="宋体" w:hAnsi="宋体" w:cs="方正仿宋简体" w:hint="eastAsia"/>
                <w:iCs/>
                <w:sz w:val="21"/>
                <w:szCs w:val="21"/>
              </w:rPr>
              <w:t>月</w:t>
            </w:r>
            <w:r>
              <w:rPr>
                <w:rFonts w:ascii="宋体" w:eastAsia="宋体" w:hAnsi="宋体" w:cs="方正仿宋简体" w:hint="eastAsia"/>
                <w:iCs/>
                <w:sz w:val="21"/>
                <w:szCs w:val="21"/>
              </w:rPr>
              <w:t>01</w:t>
            </w:r>
            <w:r>
              <w:rPr>
                <w:rFonts w:ascii="宋体" w:eastAsia="宋体" w:hAnsi="宋体" w:cs="方正仿宋简体" w:hint="eastAsia"/>
                <w:iCs/>
                <w:sz w:val="21"/>
                <w:szCs w:val="21"/>
              </w:rPr>
              <w:t>日</w:t>
            </w:r>
          </w:p>
        </w:tc>
      </w:tr>
    </w:tbl>
    <w:p w:rsidR="006F366F" w:rsidRPr="00A14942" w:rsidRDefault="006F366F" w:rsidP="00F50507">
      <w:pPr>
        <w:pStyle w:val="1"/>
      </w:pPr>
      <w:r w:rsidRPr="00A14942">
        <w:rPr>
          <w:rFonts w:hint="eastAsia"/>
        </w:rPr>
        <w:t>基金投资与净值表现</w:t>
      </w:r>
    </w:p>
    <w:p w:rsidR="00BC4EFB" w:rsidRPr="00F50507" w:rsidRDefault="00BC4EFB" w:rsidP="00F50507">
      <w:pPr>
        <w:pStyle w:val="2"/>
      </w:pPr>
      <w:r w:rsidRPr="00F50507">
        <w:rPr>
          <w:rFonts w:hint="eastAsia"/>
        </w:rPr>
        <w:t>投资目标与投资策略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423"/>
      </w:tblGrid>
      <w:tr w:rsidR="00827ACE">
        <w:trPr>
          <w:trHeight w:val="340"/>
          <w:jc w:val="center"/>
        </w:trPr>
        <w:tc>
          <w:tcPr>
            <w:tcW w:w="1757" w:type="dxa"/>
            <w:shd w:val="clear" w:color="auto" w:fill="auto"/>
            <w:vAlign w:val="center"/>
          </w:tcPr>
          <w:p w:rsidR="00827ACE" w:rsidRDefault="00E77599">
            <w:pPr>
              <w:pStyle w:val="ae"/>
            </w:pPr>
            <w:r>
              <w:rPr>
                <w:rFonts w:hint="eastAsia"/>
              </w:rPr>
              <w:t>投资目标</w:t>
            </w:r>
          </w:p>
        </w:tc>
        <w:tc>
          <w:tcPr>
            <w:tcW w:w="7423" w:type="dxa"/>
            <w:shd w:val="clear" w:color="auto" w:fill="auto"/>
            <w:vAlign w:val="center"/>
          </w:tcPr>
          <w:p w:rsidR="00827ACE" w:rsidRDefault="00E77599">
            <w:pPr>
              <w:pStyle w:val="ae"/>
            </w:pPr>
            <w:r>
              <w:rPr>
                <w:rFonts w:hint="eastAsia"/>
              </w:rPr>
              <w:t>本基金主要通过精选个股和风险控制，力求为基金份额持有人获取超过业绩比较基准的收益。</w:t>
            </w:r>
          </w:p>
        </w:tc>
      </w:tr>
      <w:tr w:rsidR="00827ACE">
        <w:trPr>
          <w:trHeight w:val="340"/>
          <w:jc w:val="center"/>
        </w:trPr>
        <w:tc>
          <w:tcPr>
            <w:tcW w:w="1757" w:type="dxa"/>
            <w:shd w:val="clear" w:color="auto" w:fill="auto"/>
            <w:vAlign w:val="center"/>
          </w:tcPr>
          <w:p w:rsidR="00827ACE" w:rsidRDefault="00E77599">
            <w:pPr>
              <w:pStyle w:val="ae"/>
            </w:pPr>
            <w:r>
              <w:rPr>
                <w:rFonts w:hint="eastAsia"/>
              </w:rPr>
              <w:t>投资范围</w:t>
            </w:r>
          </w:p>
        </w:tc>
        <w:tc>
          <w:tcPr>
            <w:tcW w:w="7423" w:type="dxa"/>
            <w:shd w:val="clear" w:color="auto" w:fill="auto"/>
            <w:vAlign w:val="center"/>
          </w:tcPr>
          <w:p w:rsidR="00827ACE" w:rsidRDefault="00E77599">
            <w:pPr>
              <w:pStyle w:val="ae"/>
            </w:pPr>
            <w:r>
              <w:rPr>
                <w:rFonts w:hint="eastAsia"/>
              </w:rPr>
              <w:t>本基金的投资范围为具有良好流动性的金融工具，包括国内依法发行上市的股票（包括主板、中小板、创业板以及其他经中国证监会允许发行的股票）、港股通标的股票、存托凭证、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但须符合中国证监会</w:t>
            </w:r>
            <w:r>
              <w:rPr>
                <w:rFonts w:hint="eastAsia"/>
              </w:rPr>
              <w:t>的相关规定）。</w:t>
            </w:r>
          </w:p>
          <w:p w:rsidR="00827ACE" w:rsidRDefault="00E77599">
            <w:pPr>
              <w:pStyle w:val="ae"/>
            </w:pPr>
            <w:r>
              <w:rPr>
                <w:rFonts w:hint="eastAsia"/>
              </w:rPr>
              <w:t>如法律法规或监管机构以后允许基金投资其他品种，基金管理人在履行适当程序后，可以将其纳入投资范围。</w:t>
            </w:r>
          </w:p>
          <w:p w:rsidR="00827ACE" w:rsidRDefault="00E77599">
            <w:pPr>
              <w:pStyle w:val="ae"/>
            </w:pPr>
            <w:r>
              <w:rPr>
                <w:rFonts w:hint="eastAsia"/>
              </w:rPr>
              <w:t>基金的投资组合比例为：股票及存托凭证投资占基金资产的比例为</w:t>
            </w:r>
            <w:r>
              <w:rPr>
                <w:rFonts w:hint="eastAsia"/>
              </w:rPr>
              <w:t>80%-95%</w:t>
            </w:r>
            <w:r>
              <w:rPr>
                <w:rFonts w:hint="eastAsia"/>
              </w:rPr>
              <w:t>（其中，投资于港股通标的股票的比例占股票资产的</w:t>
            </w:r>
            <w:r>
              <w:rPr>
                <w:rFonts w:hint="eastAsia"/>
              </w:rPr>
              <w:t>0%-50%</w:t>
            </w:r>
            <w:r>
              <w:rPr>
                <w:rFonts w:hint="eastAsia"/>
              </w:rPr>
              <w:t>），投资于基金持仓的</w:t>
            </w:r>
            <w:r>
              <w:rPr>
                <w:rFonts w:hint="eastAsia"/>
              </w:rPr>
              <w:t>30</w:t>
            </w:r>
            <w:r>
              <w:rPr>
                <w:rFonts w:hint="eastAsia"/>
              </w:rPr>
              <w:t>只消费精选主题股票及存托凭证的比例不低于非现金基金资产的</w:t>
            </w:r>
            <w:r>
              <w:rPr>
                <w:rFonts w:hint="eastAsia"/>
              </w:rPr>
              <w:t>80%</w:t>
            </w:r>
            <w:r>
              <w:rPr>
                <w:rFonts w:hint="eastAsia"/>
              </w:rPr>
              <w:t>；每个交易日日终在扣除股指期货合约和国债期货合约需缴纳的交易保证金后，现金或者到期日在一年以内的政府债券不低于基金资产净值的</w:t>
            </w:r>
            <w:r>
              <w:rPr>
                <w:rFonts w:hint="eastAsia"/>
              </w:rPr>
              <w:t>5%</w:t>
            </w:r>
            <w:r>
              <w:rPr>
                <w:rFonts w:hint="eastAsia"/>
              </w:rPr>
              <w:t>，其中现金不包括结算备付金、存出保证金、应收申购款等。</w:t>
            </w:r>
          </w:p>
          <w:p w:rsidR="00827ACE" w:rsidRDefault="00E77599">
            <w:pPr>
              <w:pStyle w:val="ae"/>
            </w:pPr>
            <w:r>
              <w:rPr>
                <w:rFonts w:hint="eastAsia"/>
              </w:rPr>
              <w:t>如果法律法规对该比例要求有变更的，在履行适当程序后，以变更后的比例为准，本基金的投资比例会做相应调整。</w:t>
            </w:r>
          </w:p>
        </w:tc>
      </w:tr>
      <w:tr w:rsidR="00827ACE">
        <w:trPr>
          <w:trHeight w:val="340"/>
          <w:jc w:val="center"/>
        </w:trPr>
        <w:tc>
          <w:tcPr>
            <w:tcW w:w="1757" w:type="dxa"/>
            <w:shd w:val="clear" w:color="auto" w:fill="auto"/>
            <w:vAlign w:val="center"/>
          </w:tcPr>
          <w:p w:rsidR="00827ACE" w:rsidRDefault="00E77599">
            <w:pPr>
              <w:pStyle w:val="ae"/>
            </w:pPr>
            <w:r>
              <w:rPr>
                <w:rFonts w:hint="eastAsia"/>
              </w:rPr>
              <w:t>主要投资策略</w:t>
            </w:r>
          </w:p>
        </w:tc>
        <w:tc>
          <w:tcPr>
            <w:tcW w:w="7423" w:type="dxa"/>
            <w:shd w:val="clear" w:color="auto" w:fill="auto"/>
            <w:vAlign w:val="center"/>
          </w:tcPr>
          <w:p w:rsidR="00827ACE" w:rsidRDefault="00E77599">
            <w:pPr>
              <w:pStyle w:val="ae"/>
            </w:pPr>
            <w:r>
              <w:rPr>
                <w:rFonts w:hint="eastAsia"/>
              </w:rPr>
              <w:t>本基金主要投资于</w:t>
            </w:r>
            <w:r>
              <w:rPr>
                <w:rFonts w:hint="eastAsia"/>
              </w:rPr>
              <w:t>30</w:t>
            </w:r>
            <w:r>
              <w:rPr>
                <w:rFonts w:hint="eastAsia"/>
              </w:rPr>
              <w:t>只消费精选主题股票，具体包括以主要消费、可选消费行业为主营业务或贡献主要利润的上市公司股票。本基金将采用“自上而下”与“自下而上”相结合的主动投资管理策略，将定性分析与定量分析贯穿于资产配置、公司价值评估以及组合风险管理全过程中。本基金主要采取“自下而上”的选股策略，依据约定的投资范围，挑选出消费精选主题股票进行投资。本基金的大类资产配置策略、存托凭证投资策略、债券投</w:t>
            </w:r>
            <w:r>
              <w:rPr>
                <w:rFonts w:hint="eastAsia"/>
              </w:rPr>
              <w:t>资策略、股指期货投资策略、</w:t>
            </w:r>
            <w:r>
              <w:rPr>
                <w:rFonts w:hint="eastAsia"/>
              </w:rPr>
              <w:lastRenderedPageBreak/>
              <w:t>国债期货投资策略和资产支持证券投资策略详见法律文件。</w:t>
            </w:r>
          </w:p>
        </w:tc>
      </w:tr>
      <w:tr w:rsidR="00827ACE">
        <w:trPr>
          <w:trHeight w:val="340"/>
          <w:jc w:val="center"/>
        </w:trPr>
        <w:tc>
          <w:tcPr>
            <w:tcW w:w="1757" w:type="dxa"/>
            <w:shd w:val="clear" w:color="auto" w:fill="auto"/>
            <w:vAlign w:val="center"/>
          </w:tcPr>
          <w:p w:rsidR="00827ACE" w:rsidRDefault="00E77599">
            <w:pPr>
              <w:pStyle w:val="ae"/>
            </w:pPr>
            <w:r>
              <w:rPr>
                <w:rFonts w:hint="eastAsia"/>
              </w:rPr>
              <w:lastRenderedPageBreak/>
              <w:t>业绩比较基准</w:t>
            </w:r>
          </w:p>
        </w:tc>
        <w:tc>
          <w:tcPr>
            <w:tcW w:w="7423" w:type="dxa"/>
            <w:shd w:val="clear" w:color="auto" w:fill="auto"/>
            <w:vAlign w:val="center"/>
          </w:tcPr>
          <w:p w:rsidR="00827ACE" w:rsidRDefault="00E77599">
            <w:pPr>
              <w:pStyle w:val="ae"/>
            </w:pPr>
            <w:r>
              <w:rPr>
                <w:rFonts w:hint="eastAsia"/>
              </w:rPr>
              <w:t>中证消费服务领先指数收益率</w:t>
            </w:r>
            <w:r>
              <w:rPr>
                <w:rFonts w:hint="eastAsia"/>
              </w:rPr>
              <w:t>*65%+</w:t>
            </w:r>
            <w:r>
              <w:rPr>
                <w:rFonts w:hint="eastAsia"/>
              </w:rPr>
              <w:t>中证港股通大消费主题指数收益率</w:t>
            </w:r>
            <w:r>
              <w:rPr>
                <w:rFonts w:hint="eastAsia"/>
              </w:rPr>
              <w:t>*20%+</w:t>
            </w:r>
            <w:r>
              <w:rPr>
                <w:rFonts w:hint="eastAsia"/>
              </w:rPr>
              <w:t>中债综合全价指数收益率</w:t>
            </w:r>
            <w:r>
              <w:rPr>
                <w:rFonts w:hint="eastAsia"/>
              </w:rPr>
              <w:t>*15%</w:t>
            </w:r>
          </w:p>
        </w:tc>
      </w:tr>
      <w:tr w:rsidR="00827ACE">
        <w:trPr>
          <w:trHeight w:val="340"/>
          <w:jc w:val="center"/>
        </w:trPr>
        <w:tc>
          <w:tcPr>
            <w:tcW w:w="1757" w:type="dxa"/>
            <w:shd w:val="clear" w:color="auto" w:fill="auto"/>
            <w:vAlign w:val="center"/>
          </w:tcPr>
          <w:p w:rsidR="00827ACE" w:rsidRDefault="00E77599">
            <w:pPr>
              <w:pStyle w:val="ae"/>
            </w:pPr>
            <w:r>
              <w:rPr>
                <w:rFonts w:hint="eastAsia"/>
              </w:rPr>
              <w:t>风险收益特征</w:t>
            </w:r>
          </w:p>
        </w:tc>
        <w:tc>
          <w:tcPr>
            <w:tcW w:w="7423" w:type="dxa"/>
            <w:shd w:val="clear" w:color="auto" w:fill="auto"/>
            <w:vAlign w:val="center"/>
          </w:tcPr>
          <w:p w:rsidR="00827ACE" w:rsidRDefault="00E77599">
            <w:pPr>
              <w:pStyle w:val="ae"/>
            </w:pPr>
            <w:r>
              <w:rPr>
                <w:rFonts w:hint="eastAsia"/>
              </w:rPr>
              <w:t>本基金为股票型基金，其预期收益及预期风险水平高于混合型基金、债券型基金与货币市场基金。本基金投资港股通标的股票的，需承担港股通机制下因投资环境、投资标的、市场制度以及交易规则等差异带来的特有风险。</w:t>
            </w:r>
          </w:p>
        </w:tc>
      </w:tr>
    </w:tbl>
    <w:p w:rsidR="00CA1E41" w:rsidRPr="00CA1E41" w:rsidRDefault="008D1C0D" w:rsidP="00CA1E41">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注：详情请阅读《招募说明书》中“基金的投资”章节的相关内容。</w:t>
      </w:r>
    </w:p>
    <w:p w:rsidR="00DA42C1" w:rsidRDefault="00DA42C1" w:rsidP="00F50507">
      <w:pPr>
        <w:pStyle w:val="2"/>
      </w:pPr>
      <w:r w:rsidRPr="00A14942">
        <w:rPr>
          <w:rFonts w:hint="eastAsia"/>
        </w:rPr>
        <w:t>投资组合资产配置图表</w:t>
      </w:r>
    </w:p>
    <w:p w:rsidR="000675A4" w:rsidRDefault="000675A4" w:rsidP="00257D7C">
      <w:pPr>
        <w:adjustRightInd w:val="0"/>
        <w:snapToGrid w:val="0"/>
        <w:rPr>
          <w:rFonts w:ascii="宋体" w:eastAsia="宋体" w:hAnsi="宋体" w:cs="方正仿宋简体"/>
          <w:iCs/>
          <w:sz w:val="21"/>
          <w:szCs w:val="21"/>
        </w:rPr>
      </w:pPr>
      <w:r>
        <w:rPr>
          <w:noProof/>
        </w:rPr>
        <w:drawing>
          <wp:inline distT="0" distB="0" distL="0" distR="0">
            <wp:extent cx="5943600" cy="3803904"/>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_50100000_010409_FA010080_20240023_01.jpg"/>
                    <pic:cNvPicPr/>
                  </pic:nvPicPr>
                  <pic:blipFill>
                    <a:blip r:embed="rId7" cstate="print">
                      <a:extLst/>
                    </a:blip>
                    <a:stretch>
                      <a:fillRect/>
                    </a:stretch>
                  </pic:blipFill>
                  <pic:spPr>
                    <a:xfrm>
                      <a:off x="0" y="0"/>
                      <a:ext cx="5943600" cy="3803904"/>
                    </a:xfrm>
                    <a:prstGeom prst="rect">
                      <a:avLst/>
                    </a:prstGeom>
                  </pic:spPr>
                </pic:pic>
              </a:graphicData>
            </a:graphic>
          </wp:inline>
        </w:drawing>
      </w:r>
    </w:p>
    <w:p w:rsidR="000675A4" w:rsidRDefault="000675A4" w:rsidP="00257D7C">
      <w:pPr>
        <w:adjustRightInd w:val="0"/>
        <w:snapToGrid w:val="0"/>
        <w:rPr>
          <w:rFonts w:ascii="宋体" w:eastAsia="宋体" w:hAnsi="宋体" w:cs="方正仿宋简体"/>
          <w:iCs/>
          <w:sz w:val="21"/>
          <w:szCs w:val="21"/>
        </w:rPr>
      </w:pPr>
    </w:p>
    <w:p w:rsidR="00827ACE" w:rsidRDefault="00E77599">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注：截止日期</w:t>
      </w:r>
      <w:r>
        <w:rPr>
          <w:rFonts w:ascii="宋体" w:eastAsia="宋体" w:hAnsi="宋体" w:cs="方正仿宋简体" w:hint="eastAsia"/>
          <w:iCs/>
          <w:sz w:val="21"/>
          <w:szCs w:val="21"/>
        </w:rPr>
        <w:t>2024</w:t>
      </w:r>
      <w:r>
        <w:rPr>
          <w:rFonts w:ascii="宋体" w:eastAsia="宋体" w:hAnsi="宋体" w:cs="方正仿宋简体" w:hint="eastAsia"/>
          <w:iCs/>
          <w:sz w:val="21"/>
          <w:szCs w:val="21"/>
        </w:rPr>
        <w:t>年</w:t>
      </w:r>
      <w:r>
        <w:rPr>
          <w:rFonts w:ascii="宋体" w:eastAsia="宋体" w:hAnsi="宋体" w:cs="方正仿宋简体" w:hint="eastAsia"/>
          <w:iCs/>
          <w:sz w:val="21"/>
          <w:szCs w:val="21"/>
        </w:rPr>
        <w:t>09</w:t>
      </w:r>
      <w:r>
        <w:rPr>
          <w:rFonts w:ascii="宋体" w:eastAsia="宋体" w:hAnsi="宋体" w:cs="方正仿宋简体" w:hint="eastAsia"/>
          <w:iCs/>
          <w:sz w:val="21"/>
          <w:szCs w:val="21"/>
        </w:rPr>
        <w:t>月</w:t>
      </w:r>
      <w:r>
        <w:rPr>
          <w:rFonts w:ascii="宋体" w:eastAsia="宋体" w:hAnsi="宋体" w:cs="方正仿宋简体" w:hint="eastAsia"/>
          <w:iCs/>
          <w:sz w:val="21"/>
          <w:szCs w:val="21"/>
        </w:rPr>
        <w:t>30</w:t>
      </w:r>
      <w:r>
        <w:rPr>
          <w:rFonts w:ascii="宋体" w:eastAsia="宋体" w:hAnsi="宋体" w:cs="方正仿宋简体" w:hint="eastAsia"/>
          <w:iCs/>
          <w:sz w:val="21"/>
          <w:szCs w:val="21"/>
        </w:rPr>
        <w:t>日。</w:t>
      </w:r>
    </w:p>
    <w:p w:rsidR="006F366F" w:rsidRPr="00A14942" w:rsidRDefault="006F366F" w:rsidP="00F50507">
      <w:pPr>
        <w:pStyle w:val="1"/>
      </w:pPr>
      <w:r w:rsidRPr="00A14942">
        <w:rPr>
          <w:rFonts w:hint="eastAsia"/>
        </w:rPr>
        <w:t>投资本基金涉及的费用</w:t>
      </w:r>
    </w:p>
    <w:p w:rsidR="00D5603D" w:rsidRPr="00645219" w:rsidRDefault="00A535E9" w:rsidP="00F50507">
      <w:pPr>
        <w:pStyle w:val="2"/>
      </w:pPr>
      <w:r w:rsidRPr="00645219">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0675A4" w:rsidRPr="000675A4" w:rsidTr="00BA5426">
        <w:trPr>
          <w:trHeight w:val="340"/>
        </w:trPr>
        <w:tc>
          <w:tcPr>
            <w:tcW w:w="1092"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费用类型</w:t>
            </w:r>
          </w:p>
        </w:tc>
        <w:tc>
          <w:tcPr>
            <w:tcW w:w="1659"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金额（M）/持有期限（N）</w:t>
            </w:r>
          </w:p>
        </w:tc>
        <w:tc>
          <w:tcPr>
            <w:tcW w:w="1125"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费率（普通客户）</w:t>
            </w:r>
          </w:p>
        </w:tc>
        <w:tc>
          <w:tcPr>
            <w:tcW w:w="1124"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费率（特定客户）</w:t>
            </w:r>
          </w:p>
        </w:tc>
      </w:tr>
      <w:tr w:rsidR="00827ACE">
        <w:trPr>
          <w:trHeight w:val="340"/>
        </w:trPr>
        <w:tc>
          <w:tcPr>
            <w:tcW w:w="1092" w:type="pct"/>
            <w:vMerge w:val="restart"/>
            <w:shd w:val="clear" w:color="auto" w:fill="auto"/>
            <w:vAlign w:val="center"/>
          </w:tcPr>
          <w:p w:rsidR="00827ACE" w:rsidRDefault="00E77599">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赎回费</w:t>
            </w:r>
          </w:p>
        </w:tc>
        <w:tc>
          <w:tcPr>
            <w:tcW w:w="1659" w:type="pct"/>
            <w:shd w:val="clear" w:color="auto" w:fill="auto"/>
            <w:vAlign w:val="center"/>
          </w:tcPr>
          <w:p w:rsidR="00827ACE" w:rsidRDefault="00E77599">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w:t>
            </w:r>
            <w:r>
              <w:rPr>
                <w:rFonts w:ascii="宋体" w:eastAsia="宋体" w:hAnsi="宋体" w:cs="方正仿宋简体"/>
                <w:iCs/>
                <w:sz w:val="21"/>
                <w:szCs w:val="21"/>
              </w:rPr>
              <w:t>＜</w:t>
            </w:r>
            <w:r>
              <w:rPr>
                <w:rFonts w:ascii="宋体" w:eastAsia="宋体" w:hAnsi="宋体" w:cs="方正仿宋简体"/>
                <w:iCs/>
                <w:sz w:val="21"/>
                <w:szCs w:val="21"/>
              </w:rPr>
              <w:t>7</w:t>
            </w:r>
            <w:r>
              <w:rPr>
                <w:rFonts w:ascii="宋体" w:eastAsia="宋体" w:hAnsi="宋体" w:cs="方正仿宋简体"/>
                <w:iCs/>
                <w:sz w:val="21"/>
                <w:szCs w:val="21"/>
              </w:rPr>
              <w:t>天</w:t>
            </w:r>
          </w:p>
        </w:tc>
        <w:tc>
          <w:tcPr>
            <w:tcW w:w="2249" w:type="pct"/>
            <w:gridSpan w:val="2"/>
            <w:shd w:val="clear" w:color="auto" w:fill="auto"/>
            <w:vAlign w:val="center"/>
          </w:tcPr>
          <w:p w:rsidR="00827ACE" w:rsidRDefault="00E77599">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1.5%</w:t>
            </w:r>
          </w:p>
        </w:tc>
      </w:tr>
      <w:tr w:rsidR="00827ACE">
        <w:trPr>
          <w:trHeight w:val="340"/>
        </w:trPr>
        <w:tc>
          <w:tcPr>
            <w:tcW w:w="1092" w:type="pct"/>
            <w:vMerge/>
            <w:shd w:val="clear" w:color="auto" w:fill="auto"/>
            <w:vAlign w:val="center"/>
          </w:tcPr>
          <w:p w:rsidR="00827ACE" w:rsidRDefault="00827ACE">
            <w:pPr>
              <w:adjustRightInd w:val="0"/>
              <w:snapToGrid w:val="0"/>
              <w:jc w:val="center"/>
              <w:rPr>
                <w:rFonts w:ascii="宋体" w:eastAsia="宋体" w:hAnsi="宋体" w:cs="方正仿宋简体"/>
                <w:iCs/>
                <w:sz w:val="21"/>
                <w:szCs w:val="21"/>
              </w:rPr>
            </w:pPr>
          </w:p>
        </w:tc>
        <w:tc>
          <w:tcPr>
            <w:tcW w:w="1659" w:type="pct"/>
            <w:shd w:val="clear" w:color="auto" w:fill="auto"/>
            <w:vAlign w:val="center"/>
          </w:tcPr>
          <w:p w:rsidR="00827ACE" w:rsidRDefault="00E77599">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7≤N</w:t>
            </w:r>
            <w:r>
              <w:rPr>
                <w:rFonts w:ascii="宋体" w:eastAsia="宋体" w:hAnsi="宋体" w:cs="方正仿宋简体"/>
                <w:iCs/>
                <w:sz w:val="21"/>
                <w:szCs w:val="21"/>
              </w:rPr>
              <w:t>＜</w:t>
            </w:r>
            <w:r>
              <w:rPr>
                <w:rFonts w:ascii="宋体" w:eastAsia="宋体" w:hAnsi="宋体" w:cs="方正仿宋简体"/>
                <w:iCs/>
                <w:sz w:val="21"/>
                <w:szCs w:val="21"/>
              </w:rPr>
              <w:t>30</w:t>
            </w:r>
            <w:r>
              <w:rPr>
                <w:rFonts w:ascii="宋体" w:eastAsia="宋体" w:hAnsi="宋体" w:cs="方正仿宋简体"/>
                <w:iCs/>
                <w:sz w:val="21"/>
                <w:szCs w:val="21"/>
              </w:rPr>
              <w:t>天</w:t>
            </w:r>
          </w:p>
        </w:tc>
        <w:tc>
          <w:tcPr>
            <w:tcW w:w="2249" w:type="pct"/>
            <w:gridSpan w:val="2"/>
            <w:shd w:val="clear" w:color="auto" w:fill="auto"/>
            <w:vAlign w:val="center"/>
          </w:tcPr>
          <w:p w:rsidR="00827ACE" w:rsidRDefault="00E77599">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0.5%</w:t>
            </w:r>
          </w:p>
        </w:tc>
      </w:tr>
      <w:tr w:rsidR="00827ACE">
        <w:trPr>
          <w:trHeight w:val="340"/>
        </w:trPr>
        <w:tc>
          <w:tcPr>
            <w:tcW w:w="1092" w:type="pct"/>
            <w:vMerge/>
            <w:shd w:val="clear" w:color="auto" w:fill="auto"/>
            <w:vAlign w:val="center"/>
          </w:tcPr>
          <w:p w:rsidR="00827ACE" w:rsidRDefault="00827ACE">
            <w:pPr>
              <w:adjustRightInd w:val="0"/>
              <w:snapToGrid w:val="0"/>
              <w:jc w:val="center"/>
              <w:rPr>
                <w:rFonts w:ascii="宋体" w:eastAsia="宋体" w:hAnsi="宋体" w:cs="方正仿宋简体"/>
                <w:iCs/>
                <w:sz w:val="21"/>
                <w:szCs w:val="21"/>
              </w:rPr>
            </w:pPr>
          </w:p>
        </w:tc>
        <w:tc>
          <w:tcPr>
            <w:tcW w:w="1659" w:type="pct"/>
            <w:shd w:val="clear" w:color="auto" w:fill="auto"/>
            <w:vAlign w:val="center"/>
          </w:tcPr>
          <w:p w:rsidR="00827ACE" w:rsidRDefault="00E77599">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N≥30</w:t>
            </w:r>
            <w:r>
              <w:rPr>
                <w:rFonts w:ascii="宋体" w:eastAsia="宋体" w:hAnsi="宋体" w:cs="方正仿宋简体"/>
                <w:iCs/>
                <w:sz w:val="21"/>
                <w:szCs w:val="21"/>
              </w:rPr>
              <w:t>天</w:t>
            </w:r>
          </w:p>
        </w:tc>
        <w:tc>
          <w:tcPr>
            <w:tcW w:w="2249" w:type="pct"/>
            <w:gridSpan w:val="2"/>
            <w:shd w:val="clear" w:color="auto" w:fill="auto"/>
            <w:vAlign w:val="center"/>
          </w:tcPr>
          <w:p w:rsidR="00827ACE" w:rsidRDefault="00E77599">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w:t>
            </w:r>
          </w:p>
        </w:tc>
      </w:tr>
    </w:tbl>
    <w:p w:rsidR="00827ACE" w:rsidRDefault="00E77599">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注：本基金</w:t>
      </w:r>
      <w:r>
        <w:rPr>
          <w:rFonts w:ascii="宋体" w:eastAsia="宋体" w:hAnsi="宋体" w:cs="方正仿宋简体"/>
          <w:iCs/>
          <w:sz w:val="21"/>
          <w:szCs w:val="21"/>
        </w:rPr>
        <w:t>C</w:t>
      </w:r>
      <w:r>
        <w:rPr>
          <w:rFonts w:ascii="宋体" w:eastAsia="宋体" w:hAnsi="宋体" w:cs="方正仿宋简体"/>
          <w:iCs/>
          <w:sz w:val="21"/>
          <w:szCs w:val="21"/>
        </w:rPr>
        <w:t>类基金份额不收取申购费用，赎回费用在投资者赎回基金过程中收取，具体请见《招募说明书》相关内容。</w:t>
      </w:r>
    </w:p>
    <w:p w:rsidR="00956AC1" w:rsidRDefault="00A535E9" w:rsidP="00F50507">
      <w:pPr>
        <w:pStyle w:val="2"/>
      </w:pPr>
      <w:r w:rsidRPr="00A14942">
        <w:rPr>
          <w:rFonts w:hint="eastAsia"/>
        </w:rPr>
        <w:t>基金运作相关费用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874"/>
        <w:gridCol w:w="2172"/>
      </w:tblGrid>
      <w:tr w:rsidR="00827ACE">
        <w:trPr>
          <w:jc w:val="center"/>
        </w:trPr>
        <w:tc>
          <w:tcPr>
            <w:tcW w:w="1984" w:type="dxa"/>
            <w:shd w:val="clear" w:color="auto" w:fill="auto"/>
            <w:vAlign w:val="center"/>
          </w:tcPr>
          <w:p w:rsidR="00827ACE" w:rsidRDefault="00E77599">
            <w:pPr>
              <w:adjustRightInd w:val="0"/>
              <w:snapToGrid w:val="0"/>
              <w:spacing w:beforeLines="10" w:before="43" w:line="264" w:lineRule="auto"/>
              <w:jc w:val="center"/>
              <w:rPr>
                <w:rFonts w:ascii="宋体" w:eastAsia="宋体" w:hAnsi="宋体"/>
                <w:sz w:val="21"/>
              </w:rPr>
            </w:pPr>
            <w:r>
              <w:rPr>
                <w:rFonts w:ascii="宋体" w:eastAsia="宋体" w:hAnsi="宋体"/>
                <w:sz w:val="21"/>
              </w:rPr>
              <w:t>费用类别</w:t>
            </w:r>
          </w:p>
        </w:tc>
        <w:tc>
          <w:tcPr>
            <w:tcW w:w="4707" w:type="dxa"/>
            <w:shd w:val="clear" w:color="auto" w:fill="auto"/>
            <w:vAlign w:val="center"/>
          </w:tcPr>
          <w:p w:rsidR="00827ACE" w:rsidRDefault="00E77599">
            <w:pPr>
              <w:adjustRightInd w:val="0"/>
              <w:snapToGrid w:val="0"/>
              <w:spacing w:beforeLines="10" w:before="43" w:line="264" w:lineRule="auto"/>
              <w:jc w:val="center"/>
              <w:rPr>
                <w:rFonts w:ascii="宋体" w:eastAsia="宋体" w:hAnsi="宋体"/>
                <w:sz w:val="21"/>
              </w:rPr>
            </w:pPr>
            <w:r>
              <w:rPr>
                <w:rFonts w:ascii="宋体" w:eastAsia="宋体" w:hAnsi="宋体"/>
                <w:sz w:val="21"/>
              </w:rPr>
              <w:t>年费率</w:t>
            </w:r>
            <w:r>
              <w:rPr>
                <w:rFonts w:ascii="宋体" w:eastAsia="宋体" w:hAnsi="宋体"/>
                <w:sz w:val="21"/>
              </w:rPr>
              <w:t>/</w:t>
            </w:r>
            <w:r>
              <w:rPr>
                <w:rFonts w:ascii="宋体" w:eastAsia="宋体" w:hAnsi="宋体"/>
                <w:sz w:val="21"/>
              </w:rPr>
              <w:t>收费方式</w:t>
            </w:r>
          </w:p>
        </w:tc>
        <w:tc>
          <w:tcPr>
            <w:tcW w:w="2098" w:type="dxa"/>
            <w:shd w:val="clear" w:color="auto" w:fill="auto"/>
            <w:vAlign w:val="center"/>
          </w:tcPr>
          <w:p w:rsidR="00827ACE" w:rsidRDefault="00E77599">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收取方</w:t>
            </w:r>
          </w:p>
        </w:tc>
      </w:tr>
      <w:tr w:rsidR="00827ACE">
        <w:trPr>
          <w:jc w:val="center"/>
        </w:trPr>
        <w:tc>
          <w:tcPr>
            <w:tcW w:w="1984" w:type="dxa"/>
            <w:shd w:val="clear" w:color="auto" w:fill="auto"/>
            <w:vAlign w:val="center"/>
          </w:tcPr>
          <w:p w:rsidR="00827ACE" w:rsidRDefault="00E77599">
            <w:pPr>
              <w:adjustRightInd w:val="0"/>
              <w:snapToGrid w:val="0"/>
              <w:spacing w:beforeLines="10" w:before="43" w:line="264" w:lineRule="auto"/>
              <w:jc w:val="center"/>
              <w:rPr>
                <w:rFonts w:ascii="宋体" w:eastAsia="宋体" w:hAnsi="宋体"/>
                <w:sz w:val="21"/>
              </w:rPr>
            </w:pPr>
            <w:r>
              <w:rPr>
                <w:rFonts w:ascii="宋体" w:eastAsia="宋体" w:hAnsi="宋体"/>
                <w:sz w:val="21"/>
              </w:rPr>
              <w:t>管理费</w:t>
            </w:r>
          </w:p>
        </w:tc>
        <w:tc>
          <w:tcPr>
            <w:tcW w:w="4707" w:type="dxa"/>
            <w:shd w:val="clear" w:color="auto" w:fill="auto"/>
            <w:vAlign w:val="center"/>
          </w:tcPr>
          <w:p w:rsidR="00827ACE" w:rsidRDefault="00E77599">
            <w:pPr>
              <w:adjustRightInd w:val="0"/>
              <w:snapToGrid w:val="0"/>
              <w:spacing w:beforeLines="10" w:before="43" w:line="264" w:lineRule="auto"/>
              <w:rPr>
                <w:rFonts w:ascii="宋体" w:eastAsia="宋体" w:hAnsi="宋体"/>
                <w:sz w:val="21"/>
              </w:rPr>
            </w:pPr>
            <w:r>
              <w:rPr>
                <w:rFonts w:ascii="宋体" w:eastAsia="宋体" w:hAnsi="宋体" w:hint="eastAsia"/>
                <w:sz w:val="21"/>
              </w:rPr>
              <w:t>1.20%</w:t>
            </w:r>
          </w:p>
        </w:tc>
        <w:tc>
          <w:tcPr>
            <w:tcW w:w="2098" w:type="dxa"/>
            <w:shd w:val="clear" w:color="auto" w:fill="auto"/>
            <w:vAlign w:val="center"/>
          </w:tcPr>
          <w:p w:rsidR="00827ACE" w:rsidRDefault="00E77599">
            <w:pPr>
              <w:adjustRightInd w:val="0"/>
              <w:snapToGrid w:val="0"/>
              <w:spacing w:beforeLines="10" w:before="43" w:line="264" w:lineRule="auto"/>
              <w:rPr>
                <w:rFonts w:ascii="宋体" w:eastAsia="宋体" w:hAnsi="宋体"/>
                <w:sz w:val="21"/>
              </w:rPr>
            </w:pPr>
            <w:r>
              <w:rPr>
                <w:rFonts w:ascii="宋体" w:eastAsia="宋体" w:hAnsi="宋体" w:hint="eastAsia"/>
                <w:sz w:val="21"/>
              </w:rPr>
              <w:t>基金管理人、销售机构</w:t>
            </w:r>
          </w:p>
        </w:tc>
      </w:tr>
      <w:tr w:rsidR="00827ACE">
        <w:trPr>
          <w:jc w:val="center"/>
        </w:trPr>
        <w:tc>
          <w:tcPr>
            <w:tcW w:w="1984" w:type="dxa"/>
            <w:shd w:val="clear" w:color="auto" w:fill="auto"/>
            <w:vAlign w:val="center"/>
          </w:tcPr>
          <w:p w:rsidR="00827ACE" w:rsidRDefault="00E77599">
            <w:pPr>
              <w:adjustRightInd w:val="0"/>
              <w:snapToGrid w:val="0"/>
              <w:spacing w:beforeLines="10" w:before="43" w:line="264" w:lineRule="auto"/>
              <w:jc w:val="center"/>
              <w:rPr>
                <w:rFonts w:ascii="宋体" w:eastAsia="宋体" w:hAnsi="宋体"/>
                <w:sz w:val="21"/>
              </w:rPr>
            </w:pPr>
            <w:r>
              <w:rPr>
                <w:rFonts w:ascii="宋体" w:eastAsia="宋体" w:hAnsi="宋体"/>
                <w:sz w:val="21"/>
              </w:rPr>
              <w:t>托管费</w:t>
            </w:r>
          </w:p>
        </w:tc>
        <w:tc>
          <w:tcPr>
            <w:tcW w:w="4707" w:type="dxa"/>
            <w:shd w:val="clear" w:color="auto" w:fill="auto"/>
            <w:vAlign w:val="center"/>
          </w:tcPr>
          <w:p w:rsidR="00827ACE" w:rsidRDefault="00E77599">
            <w:pPr>
              <w:adjustRightInd w:val="0"/>
              <w:snapToGrid w:val="0"/>
              <w:spacing w:beforeLines="10" w:before="43" w:line="264" w:lineRule="auto"/>
              <w:rPr>
                <w:rFonts w:ascii="宋体" w:eastAsia="宋体" w:hAnsi="宋体"/>
                <w:sz w:val="21"/>
              </w:rPr>
            </w:pPr>
            <w:r>
              <w:rPr>
                <w:rFonts w:ascii="宋体" w:eastAsia="宋体" w:hAnsi="宋体" w:hint="eastAsia"/>
                <w:sz w:val="21"/>
              </w:rPr>
              <w:t>0.20%</w:t>
            </w:r>
          </w:p>
        </w:tc>
        <w:tc>
          <w:tcPr>
            <w:tcW w:w="2098" w:type="dxa"/>
            <w:shd w:val="clear" w:color="auto" w:fill="auto"/>
            <w:vAlign w:val="center"/>
          </w:tcPr>
          <w:p w:rsidR="00827ACE" w:rsidRDefault="00E77599">
            <w:pPr>
              <w:adjustRightInd w:val="0"/>
              <w:snapToGrid w:val="0"/>
              <w:spacing w:beforeLines="10" w:before="43" w:line="264" w:lineRule="auto"/>
              <w:rPr>
                <w:rFonts w:ascii="宋体" w:eastAsia="宋体" w:hAnsi="宋体"/>
                <w:sz w:val="21"/>
              </w:rPr>
            </w:pPr>
            <w:r>
              <w:rPr>
                <w:rFonts w:ascii="宋体" w:eastAsia="宋体" w:hAnsi="宋体" w:hint="eastAsia"/>
                <w:sz w:val="21"/>
              </w:rPr>
              <w:t>基金托管人</w:t>
            </w:r>
          </w:p>
        </w:tc>
      </w:tr>
      <w:tr w:rsidR="00827ACE">
        <w:trPr>
          <w:jc w:val="center"/>
        </w:trPr>
        <w:tc>
          <w:tcPr>
            <w:tcW w:w="1984" w:type="dxa"/>
            <w:shd w:val="clear" w:color="auto" w:fill="auto"/>
            <w:vAlign w:val="center"/>
          </w:tcPr>
          <w:p w:rsidR="00827ACE" w:rsidRDefault="00E77599">
            <w:pPr>
              <w:adjustRightInd w:val="0"/>
              <w:snapToGrid w:val="0"/>
              <w:spacing w:beforeLines="10" w:before="43" w:line="264" w:lineRule="auto"/>
              <w:jc w:val="center"/>
              <w:rPr>
                <w:rFonts w:ascii="宋体" w:eastAsia="宋体" w:hAnsi="宋体"/>
                <w:sz w:val="21"/>
              </w:rPr>
            </w:pPr>
            <w:r>
              <w:rPr>
                <w:rFonts w:ascii="宋体" w:eastAsia="宋体" w:hAnsi="宋体"/>
                <w:sz w:val="21"/>
              </w:rPr>
              <w:t>销售服务费</w:t>
            </w:r>
          </w:p>
        </w:tc>
        <w:tc>
          <w:tcPr>
            <w:tcW w:w="4707" w:type="dxa"/>
            <w:shd w:val="clear" w:color="auto" w:fill="auto"/>
            <w:vAlign w:val="center"/>
          </w:tcPr>
          <w:p w:rsidR="00827ACE" w:rsidRDefault="00E77599">
            <w:pPr>
              <w:adjustRightInd w:val="0"/>
              <w:snapToGrid w:val="0"/>
              <w:spacing w:beforeLines="10" w:before="43" w:line="264" w:lineRule="auto"/>
              <w:rPr>
                <w:rFonts w:ascii="宋体" w:eastAsia="宋体" w:hAnsi="宋体"/>
                <w:sz w:val="21"/>
              </w:rPr>
            </w:pPr>
            <w:r>
              <w:rPr>
                <w:rFonts w:ascii="宋体" w:eastAsia="宋体" w:hAnsi="宋体" w:hint="eastAsia"/>
                <w:sz w:val="21"/>
              </w:rPr>
              <w:t>0.60%</w:t>
            </w:r>
          </w:p>
        </w:tc>
        <w:tc>
          <w:tcPr>
            <w:tcW w:w="2098" w:type="dxa"/>
            <w:shd w:val="clear" w:color="auto" w:fill="auto"/>
            <w:vAlign w:val="center"/>
          </w:tcPr>
          <w:p w:rsidR="00827ACE" w:rsidRDefault="00E77599">
            <w:pPr>
              <w:adjustRightInd w:val="0"/>
              <w:snapToGrid w:val="0"/>
              <w:spacing w:beforeLines="10" w:before="43" w:line="264" w:lineRule="auto"/>
              <w:rPr>
                <w:rFonts w:ascii="宋体" w:eastAsia="宋体" w:hAnsi="宋体"/>
                <w:sz w:val="21"/>
              </w:rPr>
            </w:pPr>
            <w:r>
              <w:rPr>
                <w:rFonts w:ascii="宋体" w:eastAsia="宋体" w:hAnsi="宋体" w:hint="eastAsia"/>
                <w:sz w:val="21"/>
              </w:rPr>
              <w:t>销售机构</w:t>
            </w:r>
          </w:p>
        </w:tc>
      </w:tr>
      <w:tr w:rsidR="00827ACE">
        <w:trPr>
          <w:jc w:val="center"/>
        </w:trPr>
        <w:tc>
          <w:tcPr>
            <w:tcW w:w="1984" w:type="dxa"/>
            <w:shd w:val="clear" w:color="auto" w:fill="auto"/>
            <w:vAlign w:val="center"/>
          </w:tcPr>
          <w:p w:rsidR="00827ACE" w:rsidRDefault="00E77599">
            <w:pPr>
              <w:pStyle w:val="ae"/>
              <w:spacing w:beforeLines="10" w:before="43" w:line="264" w:lineRule="auto"/>
              <w:contextualSpacing w:val="0"/>
              <w:jc w:val="center"/>
              <w:rPr>
                <w:szCs w:val="21"/>
              </w:rPr>
            </w:pPr>
            <w:r>
              <w:rPr>
                <w:szCs w:val="21"/>
              </w:rPr>
              <w:lastRenderedPageBreak/>
              <w:t>审计费用</w:t>
            </w:r>
          </w:p>
        </w:tc>
        <w:tc>
          <w:tcPr>
            <w:tcW w:w="4707" w:type="dxa"/>
            <w:shd w:val="clear" w:color="auto" w:fill="auto"/>
            <w:vAlign w:val="center"/>
          </w:tcPr>
          <w:p w:rsidR="00827ACE" w:rsidRDefault="00E77599">
            <w:pPr>
              <w:pStyle w:val="ae"/>
              <w:spacing w:beforeLines="10" w:before="43" w:line="264" w:lineRule="auto"/>
              <w:contextualSpacing w:val="0"/>
              <w:rPr>
                <w:szCs w:val="21"/>
              </w:rPr>
            </w:pPr>
            <w:r>
              <w:rPr>
                <w:rFonts w:hint="eastAsia"/>
                <w:szCs w:val="21"/>
              </w:rPr>
              <w:t>55,000.00</w:t>
            </w:r>
            <w:r>
              <w:rPr>
                <w:rFonts w:hint="eastAsia"/>
                <w:szCs w:val="21"/>
              </w:rPr>
              <w:t>元</w:t>
            </w:r>
            <w:r>
              <w:rPr>
                <w:rFonts w:hint="eastAsia"/>
                <w:szCs w:val="21"/>
              </w:rPr>
              <w:t>/</w:t>
            </w:r>
            <w:r>
              <w:rPr>
                <w:rFonts w:hint="eastAsia"/>
                <w:szCs w:val="21"/>
              </w:rPr>
              <w:t>年</w:t>
            </w:r>
          </w:p>
        </w:tc>
        <w:tc>
          <w:tcPr>
            <w:tcW w:w="2098" w:type="dxa"/>
            <w:shd w:val="clear" w:color="auto" w:fill="auto"/>
          </w:tcPr>
          <w:p w:rsidR="00827ACE" w:rsidRDefault="00E77599">
            <w:pPr>
              <w:pStyle w:val="ae"/>
              <w:spacing w:beforeLines="10" w:before="43" w:line="264" w:lineRule="auto"/>
              <w:contextualSpacing w:val="0"/>
              <w:jc w:val="left"/>
              <w:rPr>
                <w:szCs w:val="21"/>
              </w:rPr>
            </w:pPr>
            <w:r>
              <w:rPr>
                <w:rFonts w:hint="eastAsia"/>
                <w:szCs w:val="21"/>
              </w:rPr>
              <w:t>会计师事务所</w:t>
            </w:r>
          </w:p>
        </w:tc>
      </w:tr>
      <w:tr w:rsidR="00827ACE">
        <w:trPr>
          <w:jc w:val="center"/>
        </w:trPr>
        <w:tc>
          <w:tcPr>
            <w:tcW w:w="1984" w:type="dxa"/>
            <w:shd w:val="clear" w:color="auto" w:fill="auto"/>
            <w:vAlign w:val="center"/>
          </w:tcPr>
          <w:p w:rsidR="00827ACE" w:rsidRDefault="00E77599">
            <w:pPr>
              <w:pStyle w:val="ae"/>
              <w:spacing w:beforeLines="10" w:before="43" w:line="264" w:lineRule="auto"/>
              <w:contextualSpacing w:val="0"/>
              <w:jc w:val="center"/>
              <w:rPr>
                <w:szCs w:val="21"/>
              </w:rPr>
            </w:pPr>
            <w:r>
              <w:rPr>
                <w:rFonts w:ascii="方正仿宋简体" w:hAnsi="方正仿宋简体" w:cs="方正仿宋简体" w:hint="eastAsia"/>
                <w:iCs/>
                <w:szCs w:val="21"/>
              </w:rPr>
              <w:t>信息披露费</w:t>
            </w:r>
          </w:p>
        </w:tc>
        <w:tc>
          <w:tcPr>
            <w:tcW w:w="4707" w:type="dxa"/>
            <w:shd w:val="clear" w:color="auto" w:fill="auto"/>
            <w:vAlign w:val="center"/>
          </w:tcPr>
          <w:p w:rsidR="00827ACE" w:rsidRDefault="00E77599">
            <w:pPr>
              <w:pStyle w:val="ae"/>
              <w:spacing w:beforeLines="10" w:before="43" w:line="264" w:lineRule="auto"/>
              <w:contextualSpacing w:val="0"/>
              <w:rPr>
                <w:szCs w:val="21"/>
              </w:rPr>
            </w:pPr>
            <w:r>
              <w:rPr>
                <w:rFonts w:hint="eastAsia"/>
                <w:szCs w:val="21"/>
              </w:rPr>
              <w:t>120,000.00</w:t>
            </w:r>
            <w:r>
              <w:rPr>
                <w:rFonts w:hint="eastAsia"/>
                <w:szCs w:val="21"/>
              </w:rPr>
              <w:t>元</w:t>
            </w:r>
            <w:r>
              <w:rPr>
                <w:rFonts w:hint="eastAsia"/>
                <w:szCs w:val="21"/>
              </w:rPr>
              <w:t>/</w:t>
            </w:r>
            <w:r>
              <w:rPr>
                <w:rFonts w:hint="eastAsia"/>
                <w:szCs w:val="21"/>
              </w:rPr>
              <w:t>年</w:t>
            </w:r>
          </w:p>
        </w:tc>
        <w:tc>
          <w:tcPr>
            <w:tcW w:w="2098" w:type="dxa"/>
            <w:shd w:val="clear" w:color="auto" w:fill="auto"/>
          </w:tcPr>
          <w:p w:rsidR="00827ACE" w:rsidRDefault="00E77599">
            <w:pPr>
              <w:pStyle w:val="ae"/>
              <w:spacing w:beforeLines="10" w:before="43" w:line="264" w:lineRule="auto"/>
              <w:contextualSpacing w:val="0"/>
              <w:jc w:val="left"/>
              <w:rPr>
                <w:szCs w:val="21"/>
              </w:rPr>
            </w:pPr>
            <w:r>
              <w:rPr>
                <w:rFonts w:hint="eastAsia"/>
                <w:szCs w:val="21"/>
              </w:rPr>
              <w:t>规定披露报刊</w:t>
            </w:r>
          </w:p>
        </w:tc>
      </w:tr>
    </w:tbl>
    <w:p w:rsidR="00827ACE" w:rsidRDefault="00E77599">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将从基金资产中扣除；本基金交易证券、基金等产生的费用和税负，按实际发生额从基金资产扣除。审计费用、信息披露费为基金整体承担的年费用金额，非单个份额类别费用。年费用金额为预估值，最终实际金额以基金定期报告披露为准。除上述费用外的其他运作费用，详见《招募说明书》中的</w:t>
      </w:r>
      <w:r>
        <w:rPr>
          <w:rFonts w:ascii="宋体" w:eastAsia="宋体" w:hAnsi="宋体" w:cs="方正仿宋简体"/>
          <w:iCs/>
          <w:sz w:val="21"/>
          <w:szCs w:val="21"/>
        </w:rPr>
        <w:t>“</w:t>
      </w:r>
      <w:r>
        <w:rPr>
          <w:rFonts w:ascii="宋体" w:eastAsia="宋体" w:hAnsi="宋体" w:cs="方正仿宋简体"/>
          <w:iCs/>
          <w:sz w:val="21"/>
          <w:szCs w:val="21"/>
        </w:rPr>
        <w:t>基金费用与税收</w:t>
      </w:r>
      <w:r>
        <w:rPr>
          <w:rFonts w:ascii="宋体" w:eastAsia="宋体" w:hAnsi="宋体" w:cs="方正仿宋简体"/>
          <w:iCs/>
          <w:sz w:val="21"/>
          <w:szCs w:val="21"/>
        </w:rPr>
        <w:t>”</w:t>
      </w:r>
      <w:r>
        <w:rPr>
          <w:rFonts w:ascii="宋体" w:eastAsia="宋体" w:hAnsi="宋体" w:cs="方正仿宋简体"/>
          <w:iCs/>
          <w:sz w:val="21"/>
          <w:szCs w:val="21"/>
        </w:rPr>
        <w:t>章节。若本基金触发基金合同中关于</w:t>
      </w:r>
      <w:r>
        <w:rPr>
          <w:rFonts w:ascii="宋体" w:eastAsia="宋体" w:hAnsi="宋体" w:cs="方正仿宋简体"/>
          <w:iCs/>
          <w:sz w:val="21"/>
          <w:szCs w:val="21"/>
        </w:rPr>
        <w:t>“</w:t>
      </w:r>
      <w:r>
        <w:rPr>
          <w:rFonts w:ascii="宋体" w:eastAsia="宋体" w:hAnsi="宋体" w:cs="方正仿宋简体"/>
          <w:iCs/>
          <w:sz w:val="21"/>
          <w:szCs w:val="21"/>
        </w:rPr>
        <w:t>基金份额持有人数量和资产规模</w:t>
      </w:r>
      <w:r>
        <w:rPr>
          <w:rFonts w:ascii="宋体" w:eastAsia="宋体" w:hAnsi="宋体" w:cs="方正仿宋简体"/>
          <w:iCs/>
          <w:sz w:val="21"/>
          <w:szCs w:val="21"/>
        </w:rPr>
        <w:t>”</w:t>
      </w:r>
      <w:r>
        <w:rPr>
          <w:rFonts w:ascii="宋体" w:eastAsia="宋体" w:hAnsi="宋体" w:cs="方正仿宋简体"/>
          <w:iCs/>
          <w:sz w:val="21"/>
          <w:szCs w:val="21"/>
        </w:rPr>
        <w:t>的预警情形，基金管理人可决定是否承担本基金项下相</w:t>
      </w:r>
      <w:r>
        <w:rPr>
          <w:rFonts w:ascii="宋体" w:eastAsia="宋体" w:hAnsi="宋体" w:cs="方正仿宋简体"/>
          <w:iCs/>
          <w:sz w:val="21"/>
          <w:szCs w:val="21"/>
        </w:rPr>
        <w:t>关固定费用，最终实际情况以基金定期报告披露为准。</w:t>
      </w:r>
    </w:p>
    <w:p w:rsidR="00C95C66" w:rsidRDefault="00C95C66" w:rsidP="00C95C66">
      <w:pPr>
        <w:pStyle w:val="2"/>
      </w:pPr>
      <w:r w:rsidRPr="00B32DAD">
        <w:t>基金运作综合费用测算</w:t>
      </w:r>
    </w:p>
    <w:tbl>
      <w:tblPr>
        <w:tblStyle w:val="a9"/>
        <w:tblW w:w="5000" w:type="pct"/>
        <w:jc w:val="center"/>
        <w:tblLook w:val="04A0" w:firstRow="1" w:lastRow="0" w:firstColumn="1" w:lastColumn="0" w:noHBand="0" w:noVBand="1"/>
      </w:tblPr>
      <w:tblGrid>
        <w:gridCol w:w="8948"/>
      </w:tblGrid>
      <w:tr w:rsidR="00827ACE">
        <w:trPr>
          <w:jc w:val="center"/>
        </w:trPr>
        <w:tc>
          <w:tcPr>
            <w:tcW w:w="4417" w:type="dxa"/>
          </w:tcPr>
          <w:p w:rsidR="00827ACE" w:rsidRDefault="00E77599">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基金运作综合费率（年化）</w:t>
            </w:r>
          </w:p>
        </w:tc>
      </w:tr>
      <w:tr w:rsidR="00827ACE">
        <w:trPr>
          <w:jc w:val="center"/>
        </w:trPr>
        <w:tc>
          <w:tcPr>
            <w:tcW w:w="4417" w:type="dxa"/>
          </w:tcPr>
          <w:p w:rsidR="00827ACE" w:rsidRDefault="00E77599">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2.02%</w:t>
            </w:r>
          </w:p>
        </w:tc>
      </w:tr>
    </w:tbl>
    <w:p w:rsidR="00827ACE" w:rsidRDefault="00E77599">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注：若投资者认购</w:t>
      </w:r>
      <w:r>
        <w:rPr>
          <w:rFonts w:ascii="宋体" w:eastAsia="宋体" w:hAnsi="宋体" w:cs="方正仿宋简体"/>
          <w:iCs/>
          <w:sz w:val="21"/>
          <w:szCs w:val="21"/>
        </w:rPr>
        <w:t>/</w:t>
      </w:r>
      <w:r>
        <w:rPr>
          <w:rFonts w:ascii="宋体" w:eastAsia="宋体" w:hAnsi="宋体" w:cs="方正仿宋简体"/>
          <w:iCs/>
          <w:sz w:val="21"/>
          <w:szCs w:val="21"/>
        </w:rPr>
        <w:t>申购本基金份额，在持有期间，投资者需支出的运作费率如上表所示。基金管理费率、托管费率、销售服务费率为基金现行费率，其他运作费用以最近一次基金年报披露的相关数据为基准测算。</w:t>
      </w:r>
    </w:p>
    <w:p w:rsidR="008F585B" w:rsidRPr="008F585B" w:rsidRDefault="008F585B" w:rsidP="00C36380">
      <w:pPr>
        <w:pStyle w:val="1"/>
      </w:pPr>
      <w:r w:rsidRPr="008F585B">
        <w:rPr>
          <w:rFonts w:hint="eastAsia"/>
        </w:rPr>
        <w:t>风险揭示与重要提示</w:t>
      </w:r>
    </w:p>
    <w:p w:rsidR="008F585B" w:rsidRPr="008F585B" w:rsidRDefault="008F585B" w:rsidP="00C36380">
      <w:pPr>
        <w:pStyle w:val="2"/>
      </w:pPr>
      <w:r w:rsidRPr="008F585B">
        <w:rPr>
          <w:rFonts w:hint="eastAsia"/>
        </w:rPr>
        <w:t>风险揭示</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本基金不提供任何保证。投资者可能损失投资本金。投资有风险，投资者购买基金时应认真阅读本基金的《招募说明书》等销售文件。</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中的风险包括：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本基金的特有风险包括：</w:t>
      </w:r>
      <w:r>
        <w:rPr>
          <w:rFonts w:ascii="宋体" w:eastAsia="宋体" w:hAnsi="宋体" w:cs="方正仿宋简体"/>
          <w:iCs/>
          <w:sz w:val="21"/>
          <w:szCs w:val="21"/>
        </w:rPr>
        <w:t>1</w:t>
      </w:r>
      <w:r>
        <w:rPr>
          <w:rFonts w:ascii="宋体" w:eastAsia="宋体" w:hAnsi="宋体" w:cs="方正仿宋简体"/>
          <w:iCs/>
          <w:sz w:val="21"/>
          <w:szCs w:val="21"/>
        </w:rPr>
        <w:t>、本基金为股票型基金，股票投资占基金资产的比例为</w:t>
      </w:r>
      <w:r>
        <w:rPr>
          <w:rFonts w:ascii="宋体" w:eastAsia="宋体" w:hAnsi="宋体" w:cs="方正仿宋简体"/>
          <w:iCs/>
          <w:sz w:val="21"/>
          <w:szCs w:val="21"/>
        </w:rPr>
        <w:t>80%-95%</w:t>
      </w:r>
      <w:r>
        <w:rPr>
          <w:rFonts w:ascii="宋体" w:eastAsia="宋体" w:hAnsi="宋体" w:cs="方正仿宋简体"/>
          <w:iCs/>
          <w:sz w:val="21"/>
          <w:szCs w:val="21"/>
        </w:rPr>
        <w:t>（其中，投资于港股通标的股票的比例占股票资产的</w:t>
      </w:r>
      <w:r>
        <w:rPr>
          <w:rFonts w:ascii="宋体" w:eastAsia="宋体" w:hAnsi="宋体" w:cs="方正仿宋简体"/>
          <w:iCs/>
          <w:sz w:val="21"/>
          <w:szCs w:val="21"/>
        </w:rPr>
        <w:t>0%-50%</w:t>
      </w:r>
      <w:r>
        <w:rPr>
          <w:rFonts w:ascii="宋体" w:eastAsia="宋体" w:hAnsi="宋体" w:cs="方正仿宋简体"/>
          <w:iCs/>
          <w:sz w:val="21"/>
          <w:szCs w:val="21"/>
        </w:rPr>
        <w:t>），投资于基金持仓的</w:t>
      </w:r>
      <w:r>
        <w:rPr>
          <w:rFonts w:ascii="宋体" w:eastAsia="宋体" w:hAnsi="宋体" w:cs="方正仿宋简体"/>
          <w:iCs/>
          <w:sz w:val="21"/>
          <w:szCs w:val="21"/>
        </w:rPr>
        <w:t>30</w:t>
      </w:r>
      <w:r>
        <w:rPr>
          <w:rFonts w:ascii="宋体" w:eastAsia="宋体" w:hAnsi="宋体" w:cs="方正仿宋简体"/>
          <w:iCs/>
          <w:sz w:val="21"/>
          <w:szCs w:val="21"/>
        </w:rPr>
        <w:t>只消费精选主题股票的比例不低于非现金基金资产的</w:t>
      </w:r>
      <w:r>
        <w:rPr>
          <w:rFonts w:ascii="宋体" w:eastAsia="宋体" w:hAnsi="宋体" w:cs="方正仿宋简体"/>
          <w:iCs/>
          <w:sz w:val="21"/>
          <w:szCs w:val="21"/>
        </w:rPr>
        <w:t xml:space="preserve"> 80%</w:t>
      </w:r>
      <w:r>
        <w:rPr>
          <w:rFonts w:ascii="宋体" w:eastAsia="宋体" w:hAnsi="宋体" w:cs="方正仿宋简体"/>
          <w:iCs/>
          <w:sz w:val="21"/>
          <w:szCs w:val="21"/>
        </w:rPr>
        <w:t>，因此基金管理人对消费精选主题相关股票的界定、筛选、研究能力将影</w:t>
      </w:r>
      <w:r>
        <w:rPr>
          <w:rFonts w:ascii="宋体" w:eastAsia="宋体" w:hAnsi="宋体" w:cs="方正仿宋简体"/>
          <w:iCs/>
          <w:sz w:val="21"/>
          <w:szCs w:val="21"/>
        </w:rPr>
        <w:t>响到基金业绩表现，基金净值表现因此可能受到影响。内地和港股通标的股票市场和债券市场的变化均会影响到基金业绩表现，基金净值表现因此可能受到影响。</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w:t>
      </w:r>
      <w:r>
        <w:rPr>
          <w:rFonts w:ascii="宋体" w:eastAsia="宋体" w:hAnsi="宋体" w:cs="方正仿宋简体"/>
          <w:iCs/>
          <w:sz w:val="21"/>
          <w:szCs w:val="21"/>
        </w:rPr>
        <w:t>、股指期货投资风险</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w:t>
      </w:r>
      <w:r>
        <w:rPr>
          <w:rFonts w:ascii="宋体" w:eastAsia="宋体" w:hAnsi="宋体" w:cs="方正仿宋简体"/>
          <w:iCs/>
          <w:sz w:val="21"/>
          <w:szCs w:val="21"/>
        </w:rPr>
        <w:t>、国债期货投资风险</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国债期货的投资可能面临市场风险、基差风险、流动性风险。</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w:t>
      </w:r>
      <w:r>
        <w:rPr>
          <w:rFonts w:ascii="宋体" w:eastAsia="宋体" w:hAnsi="宋体" w:cs="方正仿宋简体"/>
          <w:iCs/>
          <w:sz w:val="21"/>
          <w:szCs w:val="21"/>
        </w:rPr>
        <w:t>、本基金可以投资于港股通标的股</w:t>
      </w:r>
      <w:r>
        <w:rPr>
          <w:rFonts w:ascii="宋体" w:eastAsia="宋体" w:hAnsi="宋体" w:cs="方正仿宋简体"/>
          <w:iCs/>
          <w:sz w:val="21"/>
          <w:szCs w:val="21"/>
        </w:rPr>
        <w:t>票，投资风险包括：</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w:t>
      </w:r>
      <w:r>
        <w:rPr>
          <w:rFonts w:ascii="宋体" w:eastAsia="宋体" w:hAnsi="宋体" w:cs="方正仿宋简体"/>
          <w:iCs/>
          <w:sz w:val="21"/>
          <w:szCs w:val="21"/>
        </w:rPr>
        <w:t>1</w:t>
      </w:r>
      <w:r>
        <w:rPr>
          <w:rFonts w:ascii="宋体" w:eastAsia="宋体" w:hAnsi="宋体" w:cs="方正仿宋简体"/>
          <w:iCs/>
          <w:sz w:val="21"/>
          <w:szCs w:val="21"/>
        </w:rPr>
        <w:t>）本基金将通过</w:t>
      </w:r>
      <w:r>
        <w:rPr>
          <w:rFonts w:ascii="宋体" w:eastAsia="宋体" w:hAnsi="宋体" w:cs="方正仿宋简体"/>
          <w:iCs/>
          <w:sz w:val="21"/>
          <w:szCs w:val="21"/>
        </w:rPr>
        <w:t>“</w:t>
      </w:r>
      <w:r>
        <w:rPr>
          <w:rFonts w:ascii="宋体" w:eastAsia="宋体" w:hAnsi="宋体" w:cs="方正仿宋简体"/>
          <w:iCs/>
          <w:sz w:val="21"/>
          <w:szCs w:val="21"/>
        </w:rPr>
        <w:t>港股通</w:t>
      </w:r>
      <w:r>
        <w:rPr>
          <w:rFonts w:ascii="宋体" w:eastAsia="宋体" w:hAnsi="宋体" w:cs="方正仿宋简体"/>
          <w:iCs/>
          <w:sz w:val="21"/>
          <w:szCs w:val="21"/>
        </w:rPr>
        <w:t>”</w:t>
      </w:r>
      <w:r>
        <w:rPr>
          <w:rFonts w:ascii="宋体" w:eastAsia="宋体" w:hAnsi="宋体" w:cs="方正仿宋简体"/>
          <w:iCs/>
          <w:sz w:val="21"/>
          <w:szCs w:val="21"/>
        </w:rPr>
        <w:t>投资于香港市场，在市场进入、投资额度、可投资对象、税务政策等方面都有一定的限制，从而对投资收益以及正常的申购赎回产生直接或间接的影响。</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w:t>
      </w:r>
      <w:r>
        <w:rPr>
          <w:rFonts w:ascii="宋体" w:eastAsia="宋体" w:hAnsi="宋体" w:cs="方正仿宋简体"/>
          <w:iCs/>
          <w:sz w:val="21"/>
          <w:szCs w:val="21"/>
        </w:rPr>
        <w:t>2</w:t>
      </w:r>
      <w:r>
        <w:rPr>
          <w:rFonts w:ascii="宋体" w:eastAsia="宋体" w:hAnsi="宋体" w:cs="方正仿宋简体"/>
          <w:iCs/>
          <w:sz w:val="21"/>
          <w:szCs w:val="21"/>
        </w:rPr>
        <w:t>）香港市场交易规则有别于内地</w:t>
      </w:r>
      <w:r>
        <w:rPr>
          <w:rFonts w:ascii="宋体" w:eastAsia="宋体" w:hAnsi="宋体" w:cs="方正仿宋简体"/>
          <w:iCs/>
          <w:sz w:val="21"/>
          <w:szCs w:val="21"/>
        </w:rPr>
        <w:t>A</w:t>
      </w:r>
      <w:r>
        <w:rPr>
          <w:rFonts w:ascii="宋体" w:eastAsia="宋体" w:hAnsi="宋体" w:cs="方正仿宋简体"/>
          <w:iCs/>
          <w:sz w:val="21"/>
          <w:szCs w:val="21"/>
        </w:rPr>
        <w:t>股市场规则，在港股通下参与香港股票投资还将面临交易机制、涨跌幅限制、交易日不同、临时停市、代理投票、汇率风险等特殊风险。</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w:t>
      </w:r>
      <w:r>
        <w:rPr>
          <w:rFonts w:ascii="宋体" w:eastAsia="宋体" w:hAnsi="宋体" w:cs="方正仿宋简体"/>
          <w:iCs/>
          <w:sz w:val="21"/>
          <w:szCs w:val="21"/>
        </w:rPr>
        <w:t>3</w:t>
      </w:r>
      <w:r>
        <w:rPr>
          <w:rFonts w:ascii="宋体" w:eastAsia="宋体" w:hAnsi="宋体" w:cs="方正仿宋简体"/>
          <w:iCs/>
          <w:sz w:val="21"/>
          <w:szCs w:val="21"/>
        </w:rPr>
        <w:t>）本基金可根据投资策略需要或不同配置地市场环境的变化，选择将部分基金资产投资于港股或选择不将基金资产投资于港股，基金资产并非必然投资港股。</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w:t>
      </w:r>
      <w:r>
        <w:rPr>
          <w:rFonts w:ascii="宋体" w:eastAsia="宋体" w:hAnsi="宋体" w:cs="方正仿宋简体"/>
          <w:iCs/>
          <w:sz w:val="21"/>
          <w:szCs w:val="21"/>
        </w:rPr>
        <w:t>、存托凭证投资风险</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本基金投资存托凭证在承担境内上市交易股票投资的共同风险外，还将承担与存托凭证、创新企业发行、境外发行人以及交易机制相关的特有风险。</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6</w:t>
      </w:r>
      <w:r>
        <w:rPr>
          <w:rFonts w:ascii="宋体" w:eastAsia="宋体" w:hAnsi="宋体" w:cs="方正仿宋简体"/>
          <w:iCs/>
          <w:sz w:val="21"/>
          <w:szCs w:val="21"/>
        </w:rPr>
        <w:t>、基金合同提前终止的风险</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lastRenderedPageBreak/>
        <w:t>基金合同生效后，连续</w:t>
      </w:r>
      <w:r>
        <w:rPr>
          <w:rFonts w:ascii="宋体" w:eastAsia="宋体" w:hAnsi="宋体" w:cs="方正仿宋简体"/>
          <w:iCs/>
          <w:sz w:val="21"/>
          <w:szCs w:val="21"/>
        </w:rPr>
        <w:t>50</w:t>
      </w:r>
      <w:r>
        <w:rPr>
          <w:rFonts w:ascii="宋体" w:eastAsia="宋体" w:hAnsi="宋体" w:cs="方正仿宋简体"/>
          <w:iCs/>
          <w:sz w:val="21"/>
          <w:szCs w:val="21"/>
        </w:rPr>
        <w:t>个工作日出现基金份额持有人数量不满</w:t>
      </w:r>
      <w:r>
        <w:rPr>
          <w:rFonts w:ascii="宋体" w:eastAsia="宋体" w:hAnsi="宋体" w:cs="方正仿宋简体"/>
          <w:iCs/>
          <w:sz w:val="21"/>
          <w:szCs w:val="21"/>
        </w:rPr>
        <w:t>200</w:t>
      </w:r>
      <w:r>
        <w:rPr>
          <w:rFonts w:ascii="宋体" w:eastAsia="宋体" w:hAnsi="宋体" w:cs="方正仿宋简体"/>
          <w:iCs/>
          <w:sz w:val="21"/>
          <w:szCs w:val="21"/>
        </w:rPr>
        <w:t>人或者基金资产净值低于</w:t>
      </w:r>
      <w:r>
        <w:rPr>
          <w:rFonts w:ascii="宋体" w:eastAsia="宋体" w:hAnsi="宋体" w:cs="方正仿宋简体"/>
          <w:iCs/>
          <w:sz w:val="21"/>
          <w:szCs w:val="21"/>
        </w:rPr>
        <w:t>5000</w:t>
      </w:r>
      <w:r>
        <w:rPr>
          <w:rFonts w:ascii="宋体" w:eastAsia="宋体" w:hAnsi="宋体" w:cs="方正仿宋简体"/>
          <w:iCs/>
          <w:sz w:val="21"/>
          <w:szCs w:val="21"/>
        </w:rPr>
        <w:t>万元情形的，基金管理人应当终止基金合同，且无需召开基金份额持有人大会。</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除以上风险外，本基金还可能存在资产支持证券投资风险。</w:t>
      </w:r>
    </w:p>
    <w:p w:rsidR="008F585B" w:rsidRPr="008F585B" w:rsidRDefault="008F585B" w:rsidP="00C36380">
      <w:pPr>
        <w:pStyle w:val="2"/>
      </w:pPr>
      <w:r w:rsidRPr="008F585B">
        <w:rPr>
          <w:rFonts w:hint="eastAsia"/>
        </w:rPr>
        <w:t>重要提示</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中国证监会对本基金募集的注册</w:t>
      </w:r>
      <w:r>
        <w:rPr>
          <w:rFonts w:ascii="宋体" w:eastAsia="宋体" w:hAnsi="宋体" w:cs="方正仿宋简体"/>
          <w:iCs/>
          <w:sz w:val="21"/>
          <w:szCs w:val="21"/>
        </w:rPr>
        <w:t>/</w:t>
      </w:r>
      <w:r>
        <w:rPr>
          <w:rFonts w:ascii="宋体" w:eastAsia="宋体" w:hAnsi="宋体" w:cs="方正仿宋简体"/>
          <w:iCs/>
          <w:sz w:val="21"/>
          <w:szCs w:val="21"/>
        </w:rPr>
        <w:t>核准，并不表明其对本基金的价值和收益作出实质性判断或保证，也不表明投资于本基金没有风险。基金</w:t>
      </w:r>
      <w:r>
        <w:rPr>
          <w:rFonts w:ascii="宋体" w:eastAsia="宋体" w:hAnsi="宋体" w:cs="方正仿宋简体"/>
          <w:iCs/>
          <w:sz w:val="21"/>
          <w:szCs w:val="21"/>
        </w:rPr>
        <w:t>管理人依照恪尽职守、诚实信用、谨慎勤勉的原则管理和运用基金财产，但不保证基金一定盈利，也不保证最低收益。基金投资者自依基金合同取得基金份额，即成为基金份额持有人和基金合同的当事人。</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与本基金或基金合同相关的一切争议将提交位于北京的中国国际经济贸易仲裁委员会仲裁，仲裁裁决是终局的，对仲裁各方当事人均具有约束力。</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w:t>
      </w:r>
      <w:r>
        <w:rPr>
          <w:rFonts w:ascii="宋体" w:eastAsia="宋体" w:hAnsi="宋体" w:cs="方正仿宋简体"/>
          <w:iCs/>
          <w:sz w:val="21"/>
          <w:szCs w:val="21"/>
        </w:rPr>
        <w:t>敬请同时关注基金管理人发布的相关临时公告、定期公告等披露文件。</w:t>
      </w:r>
    </w:p>
    <w:p w:rsidR="008F585B" w:rsidRPr="008F585B" w:rsidRDefault="008F585B" w:rsidP="00C36380">
      <w:pPr>
        <w:pStyle w:val="1"/>
      </w:pPr>
      <w:r w:rsidRPr="008F585B">
        <w:rPr>
          <w:rFonts w:hint="eastAsia"/>
        </w:rPr>
        <w:t>其他资料查询方式</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以下资料详见基金管理人网站（</w:t>
      </w:r>
      <w:r>
        <w:rPr>
          <w:rFonts w:ascii="宋体" w:eastAsia="宋体" w:hAnsi="宋体" w:cs="方正仿宋简体"/>
          <w:iCs/>
          <w:sz w:val="21"/>
          <w:szCs w:val="21"/>
        </w:rPr>
        <w:t>www.fullgoal.com.cn</w:t>
      </w:r>
      <w:r>
        <w:rPr>
          <w:rFonts w:ascii="宋体" w:eastAsia="宋体" w:hAnsi="宋体" w:cs="方正仿宋简体"/>
          <w:iCs/>
          <w:sz w:val="21"/>
          <w:szCs w:val="21"/>
        </w:rPr>
        <w:t>），客户服务热线：</w:t>
      </w:r>
      <w:r>
        <w:rPr>
          <w:rFonts w:ascii="宋体" w:eastAsia="宋体" w:hAnsi="宋体" w:cs="方正仿宋简体"/>
          <w:iCs/>
          <w:sz w:val="21"/>
          <w:szCs w:val="21"/>
        </w:rPr>
        <w:t>95105686</w:t>
      </w:r>
      <w:r>
        <w:rPr>
          <w:rFonts w:ascii="宋体" w:eastAsia="宋体" w:hAnsi="宋体" w:cs="方正仿宋简体"/>
          <w:iCs/>
          <w:sz w:val="21"/>
          <w:szCs w:val="21"/>
        </w:rPr>
        <w:t>，</w:t>
      </w:r>
      <w:r>
        <w:rPr>
          <w:rFonts w:ascii="宋体" w:eastAsia="宋体" w:hAnsi="宋体" w:cs="方正仿宋简体"/>
          <w:iCs/>
          <w:sz w:val="21"/>
          <w:szCs w:val="21"/>
        </w:rPr>
        <w:t>4008880688</w:t>
      </w:r>
      <w:r>
        <w:rPr>
          <w:rFonts w:ascii="宋体" w:eastAsia="宋体" w:hAnsi="宋体" w:cs="方正仿宋简体"/>
          <w:iCs/>
          <w:sz w:val="21"/>
          <w:szCs w:val="21"/>
        </w:rPr>
        <w:t>（全国统一，免长途话费）</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w:t>
      </w:r>
      <w:r>
        <w:rPr>
          <w:rFonts w:ascii="宋体" w:eastAsia="宋体" w:hAnsi="宋体" w:cs="方正仿宋简体"/>
          <w:iCs/>
          <w:sz w:val="21"/>
          <w:szCs w:val="21"/>
        </w:rPr>
        <w:t>基金合同、托管协议、招募说明书</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w:t>
      </w:r>
      <w:r>
        <w:rPr>
          <w:rFonts w:ascii="宋体" w:eastAsia="宋体" w:hAnsi="宋体" w:cs="方正仿宋简体"/>
          <w:iCs/>
          <w:sz w:val="21"/>
          <w:szCs w:val="21"/>
        </w:rPr>
        <w:t>定期报告，包括基金季度报告、中期报告和年度报告</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w:t>
      </w:r>
      <w:r>
        <w:rPr>
          <w:rFonts w:ascii="宋体" w:eastAsia="宋体" w:hAnsi="宋体" w:cs="方正仿宋简体"/>
          <w:iCs/>
          <w:sz w:val="21"/>
          <w:szCs w:val="21"/>
        </w:rPr>
        <w:t>基金份额净值</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w:t>
      </w:r>
      <w:r>
        <w:rPr>
          <w:rFonts w:ascii="宋体" w:eastAsia="宋体" w:hAnsi="宋体" w:cs="方正仿宋简体"/>
          <w:iCs/>
          <w:sz w:val="21"/>
          <w:szCs w:val="21"/>
        </w:rPr>
        <w:t>基金销售机构及联系方式</w:t>
      </w:r>
    </w:p>
    <w:p w:rsidR="00827ACE" w:rsidRDefault="00E77599">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w:t>
      </w:r>
      <w:r>
        <w:rPr>
          <w:rFonts w:ascii="宋体" w:eastAsia="宋体" w:hAnsi="宋体" w:cs="方正仿宋简体"/>
          <w:iCs/>
          <w:sz w:val="21"/>
          <w:szCs w:val="21"/>
        </w:rPr>
        <w:t>其他重要资料</w:t>
      </w:r>
    </w:p>
    <w:sectPr w:rsidR="00827ACE" w:rsidSect="00F50507">
      <w:footerReference w:type="default" r:id="rId8"/>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99" w:rsidRDefault="00E77599" w:rsidP="00084FBF">
      <w:r>
        <w:separator/>
      </w:r>
    </w:p>
  </w:endnote>
  <w:endnote w:type="continuationSeparator" w:id="0">
    <w:p w:rsidR="00E77599" w:rsidRDefault="00E77599"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464E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464E2">
      <w:rPr>
        <w:b/>
        <w:bCs/>
        <w:noProof/>
      </w:rPr>
      <w:t>4</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99" w:rsidRDefault="00E77599" w:rsidP="00084FBF">
      <w:r>
        <w:separator/>
      </w:r>
    </w:p>
  </w:footnote>
  <w:footnote w:type="continuationSeparator" w:id="0">
    <w:p w:rsidR="00E77599" w:rsidRDefault="00E77599"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E66571"/>
    <w:multiLevelType w:val="multilevel"/>
    <w:tmpl w:val="15721ABE"/>
    <w:lvl w:ilvl="0">
      <w:start w:val="1"/>
      <w:numFmt w:val="chineseCountingThousand"/>
      <w:pStyle w:val="1"/>
      <w:suff w:val="space"/>
      <w:lvlText w:val="%1、"/>
      <w:lvlJc w:val="left"/>
      <w:pPr>
        <w:ind w:left="0" w:firstLine="0"/>
      </w:pPr>
      <w:rPr>
        <w:rFonts w:hint="eastAsia"/>
      </w:rPr>
    </w:lvl>
    <w:lvl w:ilvl="1">
      <w:start w:val="1"/>
      <w:numFmt w:val="chineseCountingThousand"/>
      <w:pStyle w:val="2"/>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5AC33CF0"/>
    <w:multiLevelType w:val="singleLevel"/>
    <w:tmpl w:val="5AC33CF0"/>
    <w:lvl w:ilvl="0">
      <w:start w:val="1"/>
      <w:numFmt w:val="chineseCounting"/>
      <w:suff w:val="nothing"/>
      <w:lvlText w:val="%1、"/>
      <w:lvlJc w:val="left"/>
    </w:lvl>
  </w:abstractNum>
  <w:abstractNum w:abstractNumId="6">
    <w:nsid w:val="5C21FE0E"/>
    <w:multiLevelType w:val="singleLevel"/>
    <w:tmpl w:val="5C21FE0E"/>
    <w:lvl w:ilvl="0">
      <w:start w:val="2"/>
      <w:numFmt w:val="chineseCounting"/>
      <w:suff w:val="nothing"/>
      <w:lvlText w:val="（%1）"/>
      <w:lvlJc w:val="left"/>
    </w:lvl>
  </w:abstractNum>
  <w:abstractNum w:abstractNumId="7">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94"/>
    <w:rsid w:val="00022545"/>
    <w:rsid w:val="00023E7E"/>
    <w:rsid w:val="00036483"/>
    <w:rsid w:val="000459B5"/>
    <w:rsid w:val="00054D53"/>
    <w:rsid w:val="00055507"/>
    <w:rsid w:val="00064982"/>
    <w:rsid w:val="00066BCF"/>
    <w:rsid w:val="000675A4"/>
    <w:rsid w:val="000827C1"/>
    <w:rsid w:val="00084FBF"/>
    <w:rsid w:val="000865B1"/>
    <w:rsid w:val="000A3B4B"/>
    <w:rsid w:val="000A6B95"/>
    <w:rsid w:val="000A7B26"/>
    <w:rsid w:val="000B64A8"/>
    <w:rsid w:val="000C6242"/>
    <w:rsid w:val="000D070D"/>
    <w:rsid w:val="000D10B4"/>
    <w:rsid w:val="000D57C1"/>
    <w:rsid w:val="000E2AAC"/>
    <w:rsid w:val="000F5546"/>
    <w:rsid w:val="001000DB"/>
    <w:rsid w:val="00112B35"/>
    <w:rsid w:val="00120CE6"/>
    <w:rsid w:val="00124046"/>
    <w:rsid w:val="00124B97"/>
    <w:rsid w:val="00155DF6"/>
    <w:rsid w:val="00162500"/>
    <w:rsid w:val="00162B21"/>
    <w:rsid w:val="00165774"/>
    <w:rsid w:val="00190175"/>
    <w:rsid w:val="00196B69"/>
    <w:rsid w:val="001A1651"/>
    <w:rsid w:val="001A545B"/>
    <w:rsid w:val="001A7B4D"/>
    <w:rsid w:val="001C2BCE"/>
    <w:rsid w:val="001C35F9"/>
    <w:rsid w:val="001C64F1"/>
    <w:rsid w:val="001D1255"/>
    <w:rsid w:val="001E5192"/>
    <w:rsid w:val="002060B7"/>
    <w:rsid w:val="00206308"/>
    <w:rsid w:val="00217143"/>
    <w:rsid w:val="00237E86"/>
    <w:rsid w:val="00241330"/>
    <w:rsid w:val="002449E0"/>
    <w:rsid w:val="002500AA"/>
    <w:rsid w:val="002502EF"/>
    <w:rsid w:val="00257D13"/>
    <w:rsid w:val="00257D7C"/>
    <w:rsid w:val="002618FF"/>
    <w:rsid w:val="00275953"/>
    <w:rsid w:val="00297710"/>
    <w:rsid w:val="002B2574"/>
    <w:rsid w:val="002C27FD"/>
    <w:rsid w:val="002D0197"/>
    <w:rsid w:val="002D42AF"/>
    <w:rsid w:val="002D4A95"/>
    <w:rsid w:val="002D7116"/>
    <w:rsid w:val="003134F0"/>
    <w:rsid w:val="00351815"/>
    <w:rsid w:val="0035634C"/>
    <w:rsid w:val="00360C64"/>
    <w:rsid w:val="0036593B"/>
    <w:rsid w:val="003A593D"/>
    <w:rsid w:val="003B7C3A"/>
    <w:rsid w:val="003C147C"/>
    <w:rsid w:val="003F7FAE"/>
    <w:rsid w:val="0042333C"/>
    <w:rsid w:val="0043556E"/>
    <w:rsid w:val="0046074E"/>
    <w:rsid w:val="00473EC1"/>
    <w:rsid w:val="004A1547"/>
    <w:rsid w:val="004E7FF3"/>
    <w:rsid w:val="00532A3B"/>
    <w:rsid w:val="005354AA"/>
    <w:rsid w:val="005442CE"/>
    <w:rsid w:val="0055000C"/>
    <w:rsid w:val="0057007F"/>
    <w:rsid w:val="00583686"/>
    <w:rsid w:val="005925E3"/>
    <w:rsid w:val="005D322F"/>
    <w:rsid w:val="005E2DF2"/>
    <w:rsid w:val="005E5E27"/>
    <w:rsid w:val="005F5DD9"/>
    <w:rsid w:val="00617F04"/>
    <w:rsid w:val="006209A4"/>
    <w:rsid w:val="00625A98"/>
    <w:rsid w:val="00626941"/>
    <w:rsid w:val="00641C70"/>
    <w:rsid w:val="00644603"/>
    <w:rsid w:val="00645219"/>
    <w:rsid w:val="00653821"/>
    <w:rsid w:val="00663258"/>
    <w:rsid w:val="0066613E"/>
    <w:rsid w:val="00670ED5"/>
    <w:rsid w:val="00671DFC"/>
    <w:rsid w:val="00687CB7"/>
    <w:rsid w:val="00694559"/>
    <w:rsid w:val="006D1921"/>
    <w:rsid w:val="006D5811"/>
    <w:rsid w:val="006E5A42"/>
    <w:rsid w:val="006F1A17"/>
    <w:rsid w:val="006F366F"/>
    <w:rsid w:val="006F6CCD"/>
    <w:rsid w:val="00704EE8"/>
    <w:rsid w:val="007059E2"/>
    <w:rsid w:val="00712BE7"/>
    <w:rsid w:val="00731748"/>
    <w:rsid w:val="00742A36"/>
    <w:rsid w:val="00744E9B"/>
    <w:rsid w:val="00755994"/>
    <w:rsid w:val="00766DB6"/>
    <w:rsid w:val="00780D3C"/>
    <w:rsid w:val="0079300B"/>
    <w:rsid w:val="00797D09"/>
    <w:rsid w:val="007C4CD9"/>
    <w:rsid w:val="007C59E6"/>
    <w:rsid w:val="007E11E4"/>
    <w:rsid w:val="007E4369"/>
    <w:rsid w:val="007F229D"/>
    <w:rsid w:val="007F2FCA"/>
    <w:rsid w:val="00803F3E"/>
    <w:rsid w:val="008225B1"/>
    <w:rsid w:val="00827ACE"/>
    <w:rsid w:val="00841786"/>
    <w:rsid w:val="00871193"/>
    <w:rsid w:val="00877150"/>
    <w:rsid w:val="0089091B"/>
    <w:rsid w:val="008C1DCE"/>
    <w:rsid w:val="008D1684"/>
    <w:rsid w:val="008D1C0D"/>
    <w:rsid w:val="008D51DC"/>
    <w:rsid w:val="008E5B4E"/>
    <w:rsid w:val="008F585B"/>
    <w:rsid w:val="00904A22"/>
    <w:rsid w:val="009230A7"/>
    <w:rsid w:val="009240F7"/>
    <w:rsid w:val="00935D26"/>
    <w:rsid w:val="00953F87"/>
    <w:rsid w:val="00956AC1"/>
    <w:rsid w:val="00957AF4"/>
    <w:rsid w:val="0097286C"/>
    <w:rsid w:val="00972D0E"/>
    <w:rsid w:val="00987050"/>
    <w:rsid w:val="009935BF"/>
    <w:rsid w:val="009969A0"/>
    <w:rsid w:val="009A0575"/>
    <w:rsid w:val="009C3307"/>
    <w:rsid w:val="009F414C"/>
    <w:rsid w:val="009F438B"/>
    <w:rsid w:val="009F501F"/>
    <w:rsid w:val="00A14942"/>
    <w:rsid w:val="00A21AB8"/>
    <w:rsid w:val="00A3092D"/>
    <w:rsid w:val="00A35D5E"/>
    <w:rsid w:val="00A43181"/>
    <w:rsid w:val="00A535E9"/>
    <w:rsid w:val="00A61D1B"/>
    <w:rsid w:val="00A7537D"/>
    <w:rsid w:val="00A970AF"/>
    <w:rsid w:val="00AA31CE"/>
    <w:rsid w:val="00AB4BBA"/>
    <w:rsid w:val="00AC219B"/>
    <w:rsid w:val="00AC3F57"/>
    <w:rsid w:val="00AE6F8E"/>
    <w:rsid w:val="00B048B1"/>
    <w:rsid w:val="00B10F72"/>
    <w:rsid w:val="00B71600"/>
    <w:rsid w:val="00BA35E1"/>
    <w:rsid w:val="00BB4F1D"/>
    <w:rsid w:val="00BC2891"/>
    <w:rsid w:val="00BC4EFB"/>
    <w:rsid w:val="00BD0F8C"/>
    <w:rsid w:val="00BD10F0"/>
    <w:rsid w:val="00BE07DA"/>
    <w:rsid w:val="00C2026D"/>
    <w:rsid w:val="00C21CFB"/>
    <w:rsid w:val="00C27B72"/>
    <w:rsid w:val="00C3471C"/>
    <w:rsid w:val="00C36380"/>
    <w:rsid w:val="00C50D1E"/>
    <w:rsid w:val="00C52A81"/>
    <w:rsid w:val="00C93F0E"/>
    <w:rsid w:val="00C94A07"/>
    <w:rsid w:val="00C95C66"/>
    <w:rsid w:val="00CA1E41"/>
    <w:rsid w:val="00CB47DA"/>
    <w:rsid w:val="00CB4871"/>
    <w:rsid w:val="00CB6C6F"/>
    <w:rsid w:val="00CC7F6D"/>
    <w:rsid w:val="00CF7532"/>
    <w:rsid w:val="00D117F8"/>
    <w:rsid w:val="00D13550"/>
    <w:rsid w:val="00D15F82"/>
    <w:rsid w:val="00D46EE2"/>
    <w:rsid w:val="00D5603D"/>
    <w:rsid w:val="00D803DA"/>
    <w:rsid w:val="00D83A1C"/>
    <w:rsid w:val="00D964EC"/>
    <w:rsid w:val="00D97BE2"/>
    <w:rsid w:val="00DA42C1"/>
    <w:rsid w:val="00DB5927"/>
    <w:rsid w:val="00DC28DE"/>
    <w:rsid w:val="00DE25AF"/>
    <w:rsid w:val="00E114CB"/>
    <w:rsid w:val="00E12C12"/>
    <w:rsid w:val="00E16037"/>
    <w:rsid w:val="00E23FD3"/>
    <w:rsid w:val="00E26DA8"/>
    <w:rsid w:val="00E30200"/>
    <w:rsid w:val="00E316C6"/>
    <w:rsid w:val="00E337A7"/>
    <w:rsid w:val="00E464E2"/>
    <w:rsid w:val="00E53787"/>
    <w:rsid w:val="00E77599"/>
    <w:rsid w:val="00E9097A"/>
    <w:rsid w:val="00EC1FD8"/>
    <w:rsid w:val="00EC6D81"/>
    <w:rsid w:val="00ED45C6"/>
    <w:rsid w:val="00EF3E83"/>
    <w:rsid w:val="00F01742"/>
    <w:rsid w:val="00F06215"/>
    <w:rsid w:val="00F216B8"/>
    <w:rsid w:val="00F24B93"/>
    <w:rsid w:val="00F2645B"/>
    <w:rsid w:val="00F26678"/>
    <w:rsid w:val="00F35B32"/>
    <w:rsid w:val="00F376D4"/>
    <w:rsid w:val="00F50507"/>
    <w:rsid w:val="00F562DC"/>
    <w:rsid w:val="00F62ED2"/>
    <w:rsid w:val="00F828D6"/>
    <w:rsid w:val="00F90BB2"/>
    <w:rsid w:val="00F974C8"/>
    <w:rsid w:val="00FA15EA"/>
    <w:rsid w:val="00FA5DC0"/>
    <w:rsid w:val="00FC384E"/>
    <w:rsid w:val="00FD37D2"/>
    <w:rsid w:val="00FE4D48"/>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9FCFB1-2213-4A02-AEAF-0A489626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BF"/>
    <w:pPr>
      <w:widowControl w:val="0"/>
      <w:jc w:val="both"/>
    </w:pPr>
    <w:rPr>
      <w:rFonts w:ascii="Times New Roman" w:eastAsia="方正仿宋简体" w:hAnsi="Times New Roman"/>
      <w:kern w:val="2"/>
      <w:sz w:val="32"/>
    </w:rPr>
  </w:style>
  <w:style w:type="paragraph" w:styleId="1">
    <w:name w:val="heading 1"/>
    <w:basedOn w:val="a"/>
    <w:next w:val="a"/>
    <w:link w:val="1Char"/>
    <w:uiPriority w:val="9"/>
    <w:qFormat/>
    <w:rsid w:val="00F50507"/>
    <w:pPr>
      <w:keepNext/>
      <w:keepLines/>
      <w:numPr>
        <w:numId w:val="4"/>
      </w:numPr>
      <w:adjustRightInd w:val="0"/>
      <w:snapToGrid w:val="0"/>
      <w:spacing w:beforeLines="30" w:before="130" w:afterLines="30" w:after="130"/>
      <w:outlineLvl w:val="0"/>
    </w:pPr>
    <w:rPr>
      <w:rFonts w:ascii="宋体" w:eastAsia="宋体" w:hAnsi="宋体"/>
      <w:b/>
      <w:bCs/>
      <w:kern w:val="44"/>
      <w:sz w:val="24"/>
      <w:szCs w:val="44"/>
    </w:rPr>
  </w:style>
  <w:style w:type="paragraph" w:styleId="2">
    <w:name w:val="heading 2"/>
    <w:basedOn w:val="a"/>
    <w:next w:val="a"/>
    <w:link w:val="2Char"/>
    <w:uiPriority w:val="9"/>
    <w:unhideWhenUsed/>
    <w:qFormat/>
    <w:rsid w:val="00F50507"/>
    <w:pPr>
      <w:numPr>
        <w:ilvl w:val="1"/>
        <w:numId w:val="4"/>
      </w:numPr>
      <w:adjustRightInd w:val="0"/>
      <w:snapToGrid w:val="0"/>
      <w:spacing w:beforeLines="20" w:before="87" w:afterLines="20" w:after="87"/>
      <w:outlineLvl w:val="1"/>
    </w:pPr>
    <w:rPr>
      <w:rFonts w:ascii="宋体" w:eastAsia="宋体" w:hAnsi="宋体" w:cs="方正仿宋简体"/>
      <w:b/>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qFormat/>
    <w:rsid w:val="00084FBF"/>
    <w:rPr>
      <w:sz w:val="18"/>
      <w:szCs w:val="24"/>
    </w:rPr>
  </w:style>
  <w:style w:type="character" w:styleId="a4">
    <w:name w:val="annotation reference"/>
    <w:uiPriority w:val="99"/>
    <w:unhideWhenUsed/>
    <w:rsid w:val="00084FBF"/>
    <w:rPr>
      <w:sz w:val="21"/>
      <w:szCs w:val="21"/>
    </w:rPr>
  </w:style>
  <w:style w:type="character" w:styleId="a5">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6"/>
    <w:uiPriority w:val="99"/>
    <w:rsid w:val="00084FBF"/>
    <w:rPr>
      <w:rFonts w:ascii="Times New Roman" w:eastAsia="方正仿宋简体" w:hAnsi="Times New Roman"/>
      <w:sz w:val="32"/>
    </w:rPr>
  </w:style>
  <w:style w:type="paragraph" w:styleId="a3">
    <w:name w:val="footnote text"/>
    <w:basedOn w:val="a"/>
    <w:link w:val="Char"/>
    <w:unhideWhenUsed/>
    <w:qFormat/>
    <w:rsid w:val="00084FBF"/>
    <w:pPr>
      <w:snapToGrid w:val="0"/>
      <w:jc w:val="left"/>
    </w:pPr>
    <w:rPr>
      <w:rFonts w:ascii="Calibri" w:eastAsia="宋体"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6">
    <w:name w:val="annotation text"/>
    <w:basedOn w:val="a"/>
    <w:link w:val="Char0"/>
    <w:uiPriority w:val="99"/>
    <w:unhideWhenUsed/>
    <w:rsid w:val="00084FBF"/>
    <w:pPr>
      <w:jc w:val="left"/>
    </w:pPr>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7">
    <w:name w:val="Balloon Text"/>
    <w:link w:val="Char11"/>
    <w:uiPriority w:val="99"/>
    <w:semiHidden/>
    <w:unhideWhenUsed/>
    <w:rPr>
      <w:rFonts w:ascii="Tahoma" w:hAnsi="Tahoma" w:cs="Tahoma"/>
      <w:sz w:val="16"/>
      <w:szCs w:val="16"/>
    </w:rPr>
  </w:style>
  <w:style w:type="character" w:customStyle="1" w:styleId="Char2">
    <w:name w:val="批注框文本 Char"/>
    <w:uiPriority w:val="99"/>
    <w:semiHidden/>
    <w:rsid w:val="00084FBF"/>
    <w:rPr>
      <w:rFonts w:ascii="Times New Roman" w:eastAsia="方正仿宋简体" w:hAnsi="Times New Roman" w:cs="Times New Roman"/>
      <w:sz w:val="18"/>
      <w:szCs w:val="18"/>
    </w:rPr>
  </w:style>
  <w:style w:type="paragraph" w:styleId="a8">
    <w:name w:val="List Paragraph"/>
    <w:basedOn w:val="a"/>
    <w:uiPriority w:val="34"/>
    <w:qFormat/>
    <w:rsid w:val="006F366F"/>
    <w:pPr>
      <w:ind w:firstLineChars="200" w:firstLine="420"/>
    </w:pPr>
  </w:style>
  <w:style w:type="table" w:styleId="a9">
    <w:name w:val="Table Grid"/>
    <w:basedOn w:val="a1"/>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6"/>
    <w:next w:val="a6"/>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jc w:val="left"/>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F50507"/>
    <w:rPr>
      <w:rFonts w:ascii="宋体" w:hAnsi="宋体"/>
      <w:b/>
      <w:bCs/>
      <w:kern w:val="44"/>
      <w:sz w:val="24"/>
      <w:szCs w:val="44"/>
    </w:rPr>
  </w:style>
  <w:style w:type="character" w:customStyle="1" w:styleId="2Char">
    <w:name w:val="标题 2 Char"/>
    <w:link w:val="2"/>
    <w:uiPriority w:val="9"/>
    <w:rsid w:val="00F50507"/>
    <w:rPr>
      <w:rFonts w:ascii="宋体" w:hAnsi="宋体" w:cs="方正仿宋简体"/>
      <w:b/>
      <w:iCs/>
      <w:kern w:val="2"/>
      <w:sz w:val="22"/>
      <w:szCs w:val="24"/>
    </w:rPr>
  </w:style>
  <w:style w:type="paragraph" w:styleId="ae">
    <w:name w:val="No Spacing"/>
    <w:basedOn w:val="a"/>
    <w:uiPriority w:val="1"/>
    <w:qFormat/>
    <w:rsid w:val="00935D26"/>
    <w:pPr>
      <w:adjustRightInd w:val="0"/>
      <w:snapToGrid w:val="0"/>
      <w:spacing w:beforeLines="20" w:before="87" w:line="288" w:lineRule="auto"/>
      <w:contextualSpacing/>
    </w:pPr>
    <w:rPr>
      <w:rFonts w:ascii="宋体" w:eastAsia="宋体" w:hAnsi="宋体"/>
      <w:sz w:val="21"/>
    </w:rPr>
  </w:style>
  <w:style w:type="character" w:styleId="af">
    <w:name w:val="Placeholder Text"/>
    <w:basedOn w:val="a0"/>
    <w:uiPriority w:val="99"/>
    <w:semiHidden/>
    <w:rsid w:val="00E26DA8"/>
    <w:rPr>
      <w:color w:val="808080"/>
    </w:rPr>
  </w:style>
  <w:style w:type="paragraph" w:styleId="TOC">
    <w:name w:val="TOC Heading"/>
    <w:uiPriority w:val="39"/>
    <w:semiHidden/>
    <w:unhideWhenUsed/>
    <w:qFormat/>
    <w:rPr>
      <w:lang w:eastAsia="ja-JP"/>
    </w:rPr>
  </w:style>
  <w:style w:type="paragraph" w:styleId="10">
    <w:name w:val="toc 1"/>
    <w:autoRedefine/>
    <w:uiPriority w:val="39"/>
    <w:unhideWhenUsed/>
    <w:pPr>
      <w:spacing w:after="100"/>
    </w:pPr>
  </w:style>
  <w:style w:type="paragraph" w:styleId="20">
    <w:name w:val="toc 2"/>
    <w:autoRedefine/>
    <w:uiPriority w:val="39"/>
    <w:unhideWhenUsed/>
    <w:pPr>
      <w:spacing w:after="100"/>
      <w:ind w:left="220"/>
    </w:pPr>
  </w:style>
  <w:style w:type="paragraph" w:styleId="3">
    <w:name w:val="toc 3"/>
    <w:autoRedefine/>
    <w:uiPriority w:val="39"/>
    <w:unhideWhenUsed/>
    <w:pPr>
      <w:spacing w:after="100"/>
      <w:ind w:left="440"/>
    </w:pPr>
  </w:style>
  <w:style w:type="paragraph" w:styleId="4">
    <w:name w:val="toc 4"/>
    <w:autoRedefine/>
    <w:uiPriority w:val="39"/>
    <w:unhideWhenUsed/>
    <w:pPr>
      <w:spacing w:after="100"/>
      <w:ind w:left="660"/>
    </w:pPr>
  </w:style>
  <w:style w:type="character" w:styleId="af0">
    <w:name w:val="Hyperlink"/>
    <w:uiPriority w:val="99"/>
    <w:unhideWhenUsed/>
    <w:rPr>
      <w:color w:val="0563C1" w:themeColor="hyperlink"/>
      <w:u w:val="single"/>
    </w:rPr>
  </w:style>
  <w:style w:type="character" w:customStyle="1" w:styleId="Char11">
    <w:name w:val="批注框文本 Char1"/>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620645865">
      <w:bodyDiv w:val="1"/>
      <w:marLeft w:val="0"/>
      <w:marRight w:val="0"/>
      <w:marTop w:val="0"/>
      <w:marBottom w:val="0"/>
      <w:divBdr>
        <w:top w:val="none" w:sz="0" w:space="0" w:color="auto"/>
        <w:left w:val="none" w:sz="0" w:space="0" w:color="auto"/>
        <w:bottom w:val="none" w:sz="0" w:space="0" w:color="auto"/>
        <w:right w:val="none" w:sz="0" w:space="0" w:color="auto"/>
      </w:divBdr>
    </w:div>
    <w:div w:id="1479300270">
      <w:bodyDiv w:val="1"/>
      <w:marLeft w:val="0"/>
      <w:marRight w:val="0"/>
      <w:marTop w:val="0"/>
      <w:marBottom w:val="0"/>
      <w:divBdr>
        <w:top w:val="none" w:sz="0" w:space="0" w:color="auto"/>
        <w:left w:val="none" w:sz="0" w:space="0" w:color="auto"/>
        <w:bottom w:val="none" w:sz="0" w:space="0" w:color="auto"/>
        <w:right w:val="none" w:sz="0" w:space="0" w:color="auto"/>
      </w:divBdr>
    </w:div>
    <w:div w:id="1489712282">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2522;&#37329;&#20135;&#21697;&#36164;&#26009;&#27010;&#35201;&#27169;&#26495;_C.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基金产品资料概要模板_C</Template>
  <TotalTime>0</TotalTime>
  <Pages>4</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马天蕊</cp:lastModifiedBy>
  <cp:revision>2</cp:revision>
  <dcterms:created xsi:type="dcterms:W3CDTF">2025-06-06T06:04:00Z</dcterms:created>
  <dcterms:modified xsi:type="dcterms:W3CDTF">2025-06-06T06:04:00Z</dcterms:modified>
</cp:coreProperties>
</file>