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富国致享量化选股股票型证券投资基金（C类份额）基金产品资料概要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2025年05月20日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2025年05月19日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富国致享量化选股股票</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024046</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富国致享量化选股股票C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024047</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上海浦东发展银行股份有限公司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股票型</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方旻</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2010年02月10日</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王保合</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2006年07月01日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本基金在严格控制风险的前提下，追求超越业绩比较基准的投资回报，力争实现基金资产的长期稳健增值。</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pPr>
              <w:pStyle w:val="ae"/>
            </w:pPr>
            <w:r>
              <w:rPr>
                <w:rFonts w:hint="eastAsia"/>
              </w:rPr>
              <w:t>本基金可根据法律法规的规定参与融资业务。在未来条件许可的情况下，本基金可根据相关法律法规，在履行适当程序后，参与融券业务和转融通证券出借业务。</w:t>
            </w:r>
          </w:p>
          <w:p>
            <w:pPr>
              <w:pStyle w:val="ae"/>
            </w:pPr>
            <w:r>
              <w:rPr>
                <w:rFonts w:hint="eastAsia"/>
              </w:rPr>
              <w:t>如法律法规或监管机构以后允许基金投资其他品种，基金管理人在履行适当程序后，可以将其纳入投资范围。</w:t>
            </w:r>
          </w:p>
          <w:p>
            <w:pPr>
              <w:pStyle w:val="ae"/>
            </w:pPr>
            <w:r>
              <w:rPr>
                <w:rFonts w:hint="eastAsia"/>
              </w:rPr>
              <w:t>基金的投资组合比例为：本基金股票及存托凭证投资占基金资产的比例为80%-95%（其中，投资于港股通标的股票的比例占股票资产的0%-50%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pPr>
              <w:pStyle w:val="ae"/>
            </w:pPr>
            <w:r>
              <w:rPr>
                <w:rFonts w:hint="eastAsia"/>
              </w:rPr>
              <w:t>如果法律法规或监管机构对该比例要求有变更的，在履行适当程序后，以变更后的比例为准，本基金的投资比例会做相应调整。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将采用“自上而下”与“自下而上”相结合的投资管理策略，将定性分析与定量分析贯穿于资产配置、行业细分、公司价值评估以及组合风险管理全过程中。在股票投资方面，本基金通过定性和定量分析相结合的方法对上市公司基本面、估值、成长性等进行深入分析，并根据市场状况及变化，不定期对策略权重进行优化调整，力求获得超越业绩比较基准的投资回报；本基金投资存托凭证将根据投资目标和股票投资策略，基于对基础证券投资价值的研究判断进行投资；在债券投资方面，本基金将采用久期控制下的主动性投资策略；本基金的股指期货、国债期货、股票期权、资产支持证券、信用衍生品、参与融资业务的投资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中证全指指数收益率×90%+中证港股通综合指数(人民币)收益率×5%+银行活期存款利率（税后）×5%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股票型基金，其预期收益及预期风险水平高于混合型基金、债券型基金与货币市场基金。本基金投资港股通标的股票，需承担港股通机制下因投资环境、投资标的、市场制度以及交易规则等差异带来的特有风险。</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7≤N＜30天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N≥30天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注：本基金C类基金份额不收取认购、申购费用，赎回费用在投资者赎回基金过程中收取，具体请见《招募说明书》相关内容。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1.20%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0.60%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注：以上费用将从基金资产中扣除；本基金交易证券等产生的费用和税负，按实际发生额从基金资产扣除。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基金管理人提醒投资者基金投资的“买者自负”原则，在投资者作出投资决策后，基金运营状况与基金净值变化引致的投资风险，由投资者自行负责。</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本基金为股票型基金，股票及存托凭证投资占基金资产的比例为80%-95%。内地股票市场和债券市场的变化均会影响到基金业绩表现，基金净值表现因此可能受到影响。本基金管理人将发挥专业研究优势，加强对市场、证券基本面的深入研究，持续优化组合配置，以控制特定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2、股指期货投资风险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本基金可投资股指期货，股指期货采用保证金交易制度，由于保证金交易具有杠杆性，当出现不利行情时，股价指数微小的变动就可能会使投资人权益遭受较大损失。</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3、国债期货投资风险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本基金投资范围包括国债期货，国债期货的投资可能面临市场风险、基差风险、流动性风险。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4、股票期权投资风险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本基金投资股票期权，股票期权投资可能面临市场风险、流动性风险、基差风险、保证金风险、信用风险以及各类操作风险等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5、资产支持证券投资风险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本基金可投资资产支持证券，资产支持证券在国内市场尚处发展初期，具有低流动性、高收益的特征，并存在一定的投资风险。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6、本基金可以投资于港股通标的股票，投资风险包括：</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2）香港市场交易规则有别于内地 A 股市场规则，此外，在港股通下参与香港股票投资还将面临包括但不限于如下特殊风险：涨跌幅限制、交易日不同、临时停市、交易机制、代理投票、汇率风险、港股通每日额度限制等。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3）本基金可根据投资策略需要或不同配置地市场环境的变化，选择将部分基金资产投资于港股或选择不将基金资产投资于港股，基金资产并非必然投资港股。 7、存托凭证风险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8、信用衍生品投资风险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为对冲信用风险，本基金可能投资于信用衍生品，信用衍生品的投资可能面临流动性风险、偿付风险以及价格波动风险等。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基金资产可投资科创板股票，若本基金投资于科创板股票，会面临科创板机制下因投资标的、市场制度以及交易规则等差异带来的特有风险。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10、北京证券交易所股票投资风险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本基金如投资于北京证券交易所股票，可能面临的风险包括经营风险、股价波动风险、退市风险、流动性风险、由于存在表决权差异安排可能引发的风险。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11、参与融资业务的风险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本基金可根据法律法规的规定参与融资业务，可能面临杠杆风险、强制平仓风险、授信额度风险、融资成本增加的风险、标的证券暂停交易或终止上市的风险。</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与本基金或基金合同相关的一切争议均应提交上海仲裁委员会金融仲裁院仲裁，仲裁裁决是终局的，对仲裁各方当事人均具有约束力。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c682f8d0448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c682f8d0448e4d2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