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 w:hAnsi="仿宋" w:eastAsia="仿宋" w:cs="仿宋_GB2312"/>
          <w:kern w:val="0"/>
          <w:sz w:val="36"/>
          <w:szCs w:val="36"/>
        </w:rPr>
      </w:pPr>
    </w:p>
    <w:p>
      <w:pPr>
        <w:autoSpaceDE w:val="0"/>
        <w:autoSpaceDN w:val="0"/>
        <w:adjustRightInd w:val="0"/>
        <w:jc w:val="center"/>
        <w:rPr>
          <w:rFonts w:ascii="仿宋" w:hAnsi="仿宋" w:eastAsia="仿宋" w:cs="仿宋_GB2312"/>
          <w:kern w:val="0"/>
          <w:sz w:val="36"/>
          <w:szCs w:val="36"/>
        </w:rPr>
      </w:pPr>
      <w:r>
        <w:rPr>
          <w:rFonts w:hint="eastAsia" w:ascii="仿宋" w:hAnsi="仿宋" w:eastAsia="仿宋" w:cs="仿宋_GB2312"/>
          <w:kern w:val="0"/>
          <w:sz w:val="36"/>
          <w:szCs w:val="36"/>
        </w:rPr>
        <w:t>广发中证港股通汽车产业主题交易型开放式指数证券投资基金发起式联接基金（广发中证港股通汽车ETF发起式联接A）基金产品资料概要</w:t>
      </w:r>
    </w:p>
    <w:p>
      <w:pPr>
        <w:autoSpaceDE w:val="0"/>
        <w:autoSpaceDN w:val="0"/>
        <w:adjustRightInd w:val="0"/>
        <w:jc w:val="right"/>
        <w:rPr>
          <w:rFonts w:ascii="仿宋" w:hAnsi="仿宋" w:eastAsia="仿宋" w:cs="方正仿宋简体"/>
          <w:iCs/>
          <w:sz w:val="24"/>
          <w:szCs w:val="24"/>
        </w:rPr>
      </w:pPr>
      <w:r>
        <w:rPr>
          <w:rFonts w:hint="eastAsia" w:ascii="仿宋" w:hAnsi="仿宋" w:eastAsia="仿宋" w:cs="方正仿宋简体"/>
          <w:iCs/>
          <w:sz w:val="24"/>
          <w:szCs w:val="24"/>
        </w:rPr>
        <w:t>编制日期：2025年5月29日</w:t>
      </w:r>
    </w:p>
    <w:p>
      <w:pPr>
        <w:autoSpaceDE w:val="0"/>
        <w:autoSpaceDN w:val="0"/>
        <w:adjustRightInd w:val="0"/>
        <w:ind w:left="5460"/>
        <w:jc w:val="center"/>
        <w:rPr>
          <w:rFonts w:ascii="仿宋" w:hAnsi="仿宋" w:eastAsia="仿宋" w:cs="方正仿宋简体"/>
          <w:iCs/>
          <w:sz w:val="24"/>
          <w:szCs w:val="24"/>
        </w:rPr>
      </w:pPr>
      <w:r>
        <w:rPr>
          <w:rFonts w:hint="eastAsia" w:ascii="仿宋" w:hAnsi="仿宋" w:eastAsia="仿宋" w:cs="方正仿宋简体"/>
          <w:iCs/>
          <w:sz w:val="24"/>
          <w:szCs w:val="24"/>
        </w:rPr>
        <w:t>送出日期：2025年6月6日</w:t>
      </w:r>
    </w:p>
    <w:p>
      <w:pPr>
        <w:autoSpaceDE w:val="0"/>
        <w:autoSpaceDN w:val="0"/>
        <w:adjustRightInd w:val="0"/>
        <w:spacing w:line="380" w:lineRule="exact"/>
        <w:jc w:val="left"/>
        <w:rPr>
          <w:rFonts w:ascii="仿宋" w:hAnsi="仿宋" w:eastAsia="仿宋" w:cs="黑体"/>
          <w:kern w:val="0"/>
          <w:sz w:val="24"/>
          <w:szCs w:val="24"/>
        </w:rPr>
      </w:pPr>
      <w:r>
        <w:rPr>
          <w:rFonts w:hint="eastAsia" w:ascii="仿宋" w:hAnsi="仿宋" w:eastAsia="仿宋" w:cs="黑体"/>
          <w:kern w:val="0"/>
          <w:sz w:val="24"/>
          <w:szCs w:val="24"/>
        </w:rPr>
        <w:t>本概要提供本基金的重要信息，是招募说明书的一部分。</w:t>
      </w:r>
    </w:p>
    <w:p>
      <w:pPr>
        <w:autoSpaceDE w:val="0"/>
        <w:autoSpaceDN w:val="0"/>
        <w:adjustRightInd w:val="0"/>
        <w:spacing w:line="380" w:lineRule="exact"/>
        <w:jc w:val="left"/>
        <w:rPr>
          <w:rFonts w:ascii="仿宋" w:hAnsi="仿宋" w:eastAsia="仿宋" w:cs="黑体"/>
          <w:kern w:val="0"/>
          <w:sz w:val="24"/>
          <w:szCs w:val="24"/>
        </w:rPr>
      </w:pPr>
      <w:r>
        <w:rPr>
          <w:rFonts w:hint="eastAsia" w:ascii="仿宋" w:hAnsi="仿宋" w:eastAsia="仿宋" w:cs="黑体"/>
          <w:kern w:val="0"/>
          <w:sz w:val="24"/>
          <w:szCs w:val="24"/>
        </w:rPr>
        <w:t>作出投资决定前，请阅读完整的招募说明书等销售文件。</w:t>
      </w:r>
    </w:p>
    <w:p>
      <w:pPr>
        <w:autoSpaceDE w:val="0"/>
        <w:autoSpaceDN w:val="0"/>
        <w:adjustRightInd w:val="0"/>
        <w:spacing w:line="380" w:lineRule="exact"/>
        <w:jc w:val="left"/>
        <w:rPr>
          <w:rFonts w:ascii="仿宋" w:hAnsi="仿宋" w:eastAsia="仿宋" w:cs="黑体"/>
          <w:kern w:val="0"/>
          <w:sz w:val="32"/>
          <w:szCs w:val="32"/>
        </w:rPr>
      </w:pPr>
    </w:p>
    <w:p>
      <w:pPr>
        <w:numPr>
          <w:ilvl w:val="0"/>
          <w:numId w:val="2"/>
        </w:numPr>
        <w:spacing w:line="280" w:lineRule="exact"/>
        <w:outlineLvl w:val="0"/>
        <w:rPr>
          <w:rFonts w:ascii="仿宋" w:hAnsi="仿宋" w:eastAsia="仿宋" w:cs="方正仿宋简体"/>
          <w:b/>
          <w:iCs/>
          <w:sz w:val="24"/>
          <w:szCs w:val="24"/>
        </w:rPr>
      </w:pPr>
      <w:r>
        <w:rPr>
          <w:rFonts w:hint="eastAsia" w:ascii="仿宋" w:hAnsi="仿宋" w:eastAsia="仿宋" w:cs="方正仿宋简体"/>
          <w:b/>
          <w:iCs/>
          <w:sz w:val="24"/>
          <w:szCs w:val="24"/>
        </w:rPr>
        <w:t>产品概况</w:t>
      </w:r>
    </w:p>
    <w:tbl>
      <w:tblPr>
        <w:tblStyle w:val="8"/>
        <w:tblW w:w="5000" w:type="pct"/>
        <w:tblInd w:w="0" w:type="dxa"/>
        <w:tblBorders>
          <w:top w:val="single" w:color="auto" w:sz="4" w:space="0"/>
          <w:left w:val="none" w:color="auto" w:sz="0" w:space="0"/>
          <w:bottom w:val="single" w:color="auto" w:sz="4" w:space="0"/>
          <w:right w:val="none" w:color="auto" w:sz="0" w:space="0"/>
          <w:insideH w:val="dashSmallGap" w:color="A5A5A5" w:themeColor="background1" w:themeShade="A6" w:sz="4" w:space="0"/>
          <w:insideV w:val="none" w:color="auto" w:sz="0" w:space="0"/>
        </w:tblBorders>
        <w:tblLayout w:type="fixed"/>
        <w:tblCellMar>
          <w:top w:w="0" w:type="dxa"/>
          <w:left w:w="108" w:type="dxa"/>
          <w:bottom w:w="0" w:type="dxa"/>
          <w:right w:w="108" w:type="dxa"/>
        </w:tblCellMar>
      </w:tblPr>
      <w:tblGrid>
        <w:gridCol w:w="1952"/>
        <w:gridCol w:w="2408"/>
        <w:gridCol w:w="1703"/>
        <w:gridCol w:w="2459"/>
      </w:tblGrid>
      <w:tr>
        <w:tblPrEx>
          <w:tblBorders>
            <w:top w:val="single" w:color="auto" w:sz="4" w:space="0"/>
            <w:left w:val="none" w:color="auto" w:sz="0" w:space="0"/>
            <w:bottom w:val="single" w:color="auto" w:sz="4" w:space="0"/>
            <w:right w:val="none" w:color="auto" w:sz="0" w:space="0"/>
            <w:insideH w:val="dashSmallGap" w:color="A5A5A5" w:themeColor="background1" w:themeShade="A6" w:sz="4" w:space="0"/>
            <w:insideV w:val="none" w:color="auto" w:sz="0" w:space="0"/>
          </w:tblBorders>
          <w:tblCellMar>
            <w:top w:w="0" w:type="dxa"/>
            <w:left w:w="108" w:type="dxa"/>
            <w:bottom w:w="0" w:type="dxa"/>
            <w:right w:w="108" w:type="dxa"/>
          </w:tblCellMar>
        </w:tblPrEx>
        <w:trPr>
          <w:trHeight w:val="454" w:hRule="atLeast"/>
        </w:trPr>
        <w:tc>
          <w:tcPr>
            <w:tcW w:w="1145" w:type="pct"/>
            <w:vMerge w:val="restart"/>
            <w:vAlign w:val="center"/>
          </w:tcPr>
          <w:p>
            <w:pPr>
              <w:spacing w:line="280" w:lineRule="exact"/>
              <w:rPr>
                <w:rFonts w:ascii="仿宋" w:hAnsi="仿宋" w:eastAsia="仿宋" w:cs="方正仿宋简体"/>
                <w:b/>
                <w:iCs/>
              </w:rPr>
            </w:pPr>
            <w:r>
              <w:rPr>
                <w:rFonts w:hint="eastAsia" w:ascii="仿宋" w:hAnsi="仿宋" w:eastAsia="仿宋" w:cs="方正仿宋简体"/>
                <w:b/>
                <w:iCs/>
              </w:rPr>
              <w:t>基金简称</w:t>
            </w:r>
          </w:p>
        </w:tc>
        <w:tc>
          <w:tcPr>
            <w:tcW w:w="1413" w:type="pct"/>
            <w:vMerge w:val="restart"/>
            <w:vAlign w:val="center"/>
          </w:tcPr>
          <w:p>
            <w:pPr>
              <w:spacing w:line="280" w:lineRule="exact"/>
              <w:rPr>
                <w:rFonts w:ascii="仿宋" w:hAnsi="仿宋" w:eastAsia="仿宋" w:cs="方正仿宋简体"/>
                <w:iCs/>
              </w:rPr>
            </w:pPr>
            <w:r>
              <w:rPr>
                <w:rFonts w:hint="eastAsia" w:ascii="仿宋" w:hAnsi="仿宋" w:eastAsia="仿宋" w:cs="方正仿宋简体"/>
                <w:iCs/>
              </w:rPr>
              <w:t>广发中证港股通汽车ETF发起式联接</w:t>
            </w:r>
          </w:p>
        </w:tc>
        <w:tc>
          <w:tcPr>
            <w:tcW w:w="999" w:type="pct"/>
            <w:vMerge w:val="restart"/>
            <w:vAlign w:val="center"/>
          </w:tcPr>
          <w:p>
            <w:pPr>
              <w:spacing w:line="280" w:lineRule="exact"/>
              <w:rPr>
                <w:rFonts w:ascii="仿宋" w:hAnsi="仿宋" w:eastAsia="仿宋" w:cs="方正仿宋简体"/>
                <w:b/>
                <w:iCs/>
              </w:rPr>
            </w:pPr>
            <w:r>
              <w:rPr>
                <w:rFonts w:hint="eastAsia" w:ascii="仿宋" w:hAnsi="仿宋" w:eastAsia="仿宋" w:cs="方正仿宋简体"/>
                <w:b/>
                <w:iCs/>
              </w:rPr>
              <w:t>基金代码</w:t>
            </w:r>
          </w:p>
        </w:tc>
        <w:tc>
          <w:tcPr>
            <w:tcW w:w="1443" w:type="pct"/>
            <w:tcBorders>
              <w:bottom w:val="dashSmallGap" w:color="A5A5A5" w:themeColor="background1" w:themeShade="A6" w:sz="4" w:space="0"/>
            </w:tcBorders>
            <w:vAlign w:val="center"/>
          </w:tcPr>
          <w:p>
            <w:pPr>
              <w:spacing w:line="280" w:lineRule="exact"/>
              <w:rPr>
                <w:rFonts w:ascii="仿宋" w:hAnsi="仿宋" w:eastAsia="仿宋" w:cs="方正仿宋简体"/>
                <w:iCs/>
              </w:rPr>
            </w:pPr>
            <w:r>
              <w:rPr>
                <w:rFonts w:hint="eastAsia" w:ascii="仿宋" w:hAnsi="仿宋" w:eastAsia="仿宋" w:cs="方正仿宋简体"/>
                <w:iCs/>
              </w:rPr>
              <w:t>024381</w:t>
            </w:r>
          </w:p>
        </w:tc>
      </w:tr>
      <w:tr>
        <w:tblPrEx>
          <w:tblBorders>
            <w:top w:val="single" w:color="auto" w:sz="4" w:space="0"/>
            <w:left w:val="none" w:color="auto" w:sz="0" w:space="0"/>
            <w:bottom w:val="single" w:color="auto" w:sz="4" w:space="0"/>
            <w:right w:val="none" w:color="auto" w:sz="0" w:space="0"/>
            <w:insideH w:val="dashSmallGap" w:color="A5A5A5" w:themeColor="background1" w:themeShade="A6" w:sz="4" w:space="0"/>
            <w:insideV w:val="none" w:color="auto" w:sz="0" w:space="0"/>
          </w:tblBorders>
          <w:tblCellMar>
            <w:top w:w="0" w:type="dxa"/>
            <w:left w:w="108" w:type="dxa"/>
            <w:bottom w:w="0" w:type="dxa"/>
            <w:right w:w="108" w:type="dxa"/>
          </w:tblCellMar>
        </w:tblPrEx>
        <w:trPr>
          <w:trHeight w:val="150" w:hRule="atLeast"/>
        </w:trPr>
        <w:tc>
          <w:tcPr>
            <w:tcW w:w="1145" w:type="pct"/>
            <w:vMerge w:val="restart"/>
            <w:vAlign w:val="center"/>
          </w:tcPr>
          <w:p>
            <w:pPr>
              <w:spacing w:line="280" w:lineRule="exact"/>
              <w:rPr>
                <w:rFonts w:ascii="仿宋" w:hAnsi="仿宋" w:eastAsia="仿宋" w:cs="方正仿宋简体"/>
                <w:b/>
                <w:iCs/>
              </w:rPr>
            </w:pPr>
            <w:r>
              <w:rPr>
                <w:rFonts w:hint="eastAsia" w:ascii="仿宋" w:hAnsi="仿宋" w:eastAsia="仿宋" w:cs="方正仿宋简体"/>
                <w:b/>
                <w:iCs/>
              </w:rPr>
              <w:t>下属基金简称</w:t>
            </w:r>
          </w:p>
        </w:tc>
        <w:tc>
          <w:tcPr>
            <w:tcW w:w="1413" w:type="pct"/>
            <w:vMerge w:val="restart"/>
            <w:tcBorders>
              <w:top w:val="dashSmallGap" w:color="A5A5A5" w:themeColor="background1" w:themeShade="A6" w:sz="4" w:space="0"/>
              <w:bottom w:val="dashSmallGap" w:color="A5A5A5" w:themeColor="background1" w:themeShade="A6" w:sz="4" w:space="0"/>
            </w:tcBorders>
            <w:vAlign w:val="center"/>
          </w:tcPr>
          <w:p>
            <w:pPr>
              <w:spacing w:line="280" w:lineRule="exact"/>
              <w:rPr>
                <w:rFonts w:ascii="仿宋" w:hAnsi="仿宋" w:eastAsia="仿宋" w:cs="方正仿宋简体"/>
                <w:iCs/>
              </w:rPr>
            </w:pPr>
            <w:r>
              <w:rPr>
                <w:rFonts w:ascii="仿宋" w:hAnsi="仿宋" w:eastAsia="仿宋" w:cs="方正仿宋简体"/>
                <w:iCs/>
              </w:rPr>
              <w:t>广发中证港股通汽车ETF发起式联接A</w:t>
            </w:r>
          </w:p>
        </w:tc>
        <w:tc>
          <w:tcPr>
            <w:tcW w:w="999" w:type="pct"/>
            <w:vMerge w:val="restart"/>
            <w:tcBorders>
              <w:top w:val="dashSmallGap" w:color="A5A5A5" w:themeColor="background1" w:themeShade="A6" w:sz="4" w:space="0"/>
            </w:tcBorders>
            <w:vAlign w:val="center"/>
          </w:tcPr>
          <w:p>
            <w:pPr>
              <w:spacing w:line="280" w:lineRule="exact"/>
              <w:rPr>
                <w:rFonts w:ascii="仿宋" w:hAnsi="仿宋" w:eastAsia="仿宋" w:cs="方正仿宋简体"/>
                <w:b/>
                <w:iCs/>
              </w:rPr>
            </w:pPr>
            <w:r>
              <w:rPr>
                <w:rFonts w:hint="eastAsia" w:ascii="仿宋" w:hAnsi="仿宋" w:eastAsia="仿宋" w:cs="方正仿宋简体"/>
                <w:b/>
                <w:iCs/>
              </w:rPr>
              <w:t>下属基金代码</w:t>
            </w:r>
          </w:p>
        </w:tc>
        <w:tc>
          <w:tcPr>
            <w:tcW w:w="1443" w:type="pct"/>
            <w:tcBorders>
              <w:top w:val="dashSmallGap" w:color="A5A5A5" w:themeColor="background1" w:themeShade="A6" w:sz="4" w:space="0"/>
              <w:bottom w:val="dashSmallGap" w:color="A5A5A5" w:themeColor="background1" w:themeShade="A6" w:sz="4" w:space="0"/>
            </w:tcBorders>
            <w:vAlign w:val="center"/>
          </w:tcPr>
          <w:p>
            <w:pPr>
              <w:spacing w:line="280" w:lineRule="exact"/>
              <w:rPr>
                <w:rFonts w:ascii="仿宋" w:hAnsi="仿宋" w:eastAsia="仿宋" w:cs="方正仿宋简体"/>
                <w:iCs/>
              </w:rPr>
            </w:pPr>
            <w:r>
              <w:rPr>
                <w:rFonts w:hint="eastAsia" w:ascii="仿宋" w:hAnsi="仿宋" w:eastAsia="仿宋" w:cs="方正仿宋简体"/>
                <w:iCs/>
              </w:rPr>
              <w:t>024381</w:t>
            </w:r>
          </w:p>
        </w:tc>
      </w:tr>
      <w:tr>
        <w:tblPrEx>
          <w:tblBorders>
            <w:top w:val="single" w:color="auto" w:sz="4" w:space="0"/>
            <w:left w:val="none" w:color="auto" w:sz="0" w:space="0"/>
            <w:bottom w:val="single" w:color="auto" w:sz="4" w:space="0"/>
            <w:right w:val="none" w:color="auto" w:sz="0" w:space="0"/>
            <w:insideH w:val="dashSmallGap" w:color="A5A5A5" w:themeColor="background1" w:themeShade="A6" w:sz="4" w:space="0"/>
            <w:insideV w:val="none" w:color="auto" w:sz="0" w:space="0"/>
          </w:tblBorders>
          <w:tblCellMar>
            <w:top w:w="0" w:type="dxa"/>
            <w:left w:w="108" w:type="dxa"/>
            <w:bottom w:w="0" w:type="dxa"/>
            <w:right w:w="108" w:type="dxa"/>
          </w:tblCellMar>
        </w:tblPrEx>
        <w:trPr>
          <w:trHeight w:val="454" w:hRule="atLeast"/>
        </w:trPr>
        <w:tc>
          <w:tcPr>
            <w:tcW w:w="1145" w:type="pct"/>
            <w:vAlign w:val="center"/>
          </w:tcPr>
          <w:p>
            <w:pPr>
              <w:spacing w:line="280" w:lineRule="exact"/>
              <w:rPr>
                <w:rFonts w:ascii="仿宋" w:hAnsi="仿宋" w:eastAsia="仿宋" w:cs="方正仿宋简体"/>
                <w:b/>
                <w:iCs/>
              </w:rPr>
            </w:pPr>
            <w:r>
              <w:rPr>
                <w:rFonts w:hint="eastAsia" w:ascii="仿宋" w:hAnsi="仿宋" w:eastAsia="仿宋" w:cs="方正仿宋简体"/>
                <w:b/>
                <w:iCs/>
              </w:rPr>
              <w:t>基金管理人</w:t>
            </w:r>
          </w:p>
        </w:tc>
        <w:tc>
          <w:tcPr>
            <w:tcW w:w="1413" w:type="pct"/>
            <w:tcBorders>
              <w:top w:val="dashSmallGap" w:color="A5A5A5" w:themeColor="background1" w:themeShade="A6" w:sz="4" w:space="0"/>
            </w:tcBorders>
            <w:vAlign w:val="center"/>
          </w:tcPr>
          <w:p>
            <w:pPr>
              <w:spacing w:line="280" w:lineRule="exact"/>
              <w:rPr>
                <w:rFonts w:ascii="仿宋" w:hAnsi="仿宋" w:eastAsia="仿宋" w:cs="方正仿宋简体"/>
                <w:iCs/>
              </w:rPr>
            </w:pPr>
            <w:r>
              <w:rPr>
                <w:rFonts w:hint="eastAsia" w:ascii="仿宋" w:hAnsi="仿宋" w:eastAsia="仿宋" w:cs="方正仿宋简体"/>
                <w:iCs/>
              </w:rPr>
              <w:t>广发基金管理有限公司</w:t>
            </w:r>
          </w:p>
        </w:tc>
        <w:tc>
          <w:tcPr>
            <w:tcW w:w="999" w:type="pct"/>
            <w:vAlign w:val="center"/>
          </w:tcPr>
          <w:p>
            <w:pPr>
              <w:spacing w:line="280" w:lineRule="exact"/>
              <w:rPr>
                <w:rFonts w:ascii="仿宋" w:hAnsi="仿宋" w:eastAsia="仿宋" w:cs="方正仿宋简体"/>
                <w:b/>
                <w:iCs/>
              </w:rPr>
            </w:pPr>
            <w:r>
              <w:rPr>
                <w:rFonts w:hint="eastAsia" w:ascii="仿宋" w:hAnsi="仿宋" w:eastAsia="仿宋" w:cs="方正仿宋简体"/>
                <w:b/>
                <w:iCs/>
              </w:rPr>
              <w:t>基金托管人</w:t>
            </w:r>
          </w:p>
        </w:tc>
        <w:tc>
          <w:tcPr>
            <w:tcW w:w="1443" w:type="pct"/>
            <w:tcBorders>
              <w:top w:val="dashSmallGap" w:color="A5A5A5" w:themeColor="background1" w:themeShade="A6" w:sz="4" w:space="0"/>
            </w:tcBorders>
            <w:vAlign w:val="center"/>
          </w:tcPr>
          <w:p>
            <w:pPr>
              <w:spacing w:line="280" w:lineRule="exact"/>
              <w:rPr>
                <w:rFonts w:ascii="仿宋" w:hAnsi="仿宋" w:eastAsia="仿宋" w:cs="方正仿宋简体"/>
                <w:iCs/>
              </w:rPr>
            </w:pPr>
            <w:r>
              <w:rPr>
                <w:rFonts w:hint="eastAsia" w:ascii="仿宋" w:hAnsi="仿宋" w:eastAsia="仿宋" w:cs="方正仿宋简体"/>
                <w:iCs/>
              </w:rPr>
              <w:t xml:space="preserve">招商银行股份有限公司 </w:t>
            </w:r>
          </w:p>
        </w:tc>
      </w:tr>
      <w:tr>
        <w:tblPrEx>
          <w:tblBorders>
            <w:top w:val="single" w:color="auto" w:sz="4" w:space="0"/>
            <w:left w:val="none" w:color="auto" w:sz="0" w:space="0"/>
            <w:bottom w:val="single" w:color="auto" w:sz="4" w:space="0"/>
            <w:right w:val="none" w:color="auto" w:sz="0" w:space="0"/>
            <w:insideH w:val="dashSmallGap" w:color="A5A5A5" w:themeColor="background1" w:themeShade="A6" w:sz="4" w:space="0"/>
            <w:insideV w:val="none" w:color="auto" w:sz="0" w:space="0"/>
          </w:tblBorders>
          <w:tblCellMar>
            <w:top w:w="0" w:type="dxa"/>
            <w:left w:w="108" w:type="dxa"/>
            <w:bottom w:w="0" w:type="dxa"/>
            <w:right w:w="108" w:type="dxa"/>
          </w:tblCellMar>
        </w:tblPrEx>
        <w:trPr>
          <w:trHeight w:val="454" w:hRule="atLeast"/>
        </w:trPr>
        <w:tc>
          <w:tcPr>
            <w:tcW w:w="1145" w:type="pct"/>
            <w:vMerge w:val="restart"/>
            <w:vAlign w:val="center"/>
          </w:tcPr>
          <w:p>
            <w:pPr>
              <w:spacing w:line="280" w:lineRule="exact"/>
              <w:rPr>
                <w:rFonts w:ascii="仿宋" w:hAnsi="仿宋" w:eastAsia="仿宋" w:cs="方正仿宋简体"/>
                <w:b/>
                <w:iCs/>
              </w:rPr>
            </w:pPr>
            <w:r>
              <w:rPr>
                <w:rFonts w:hint="eastAsia" w:ascii="仿宋" w:hAnsi="仿宋" w:eastAsia="仿宋" w:cs="方正仿宋简体"/>
                <w:b/>
                <w:iCs/>
              </w:rPr>
              <w:t>基金合同生效日</w:t>
            </w:r>
          </w:p>
        </w:tc>
        <w:tc>
          <w:tcPr>
            <w:tcW w:w="1413" w:type="pct"/>
            <w:vMerge w:val="restart"/>
            <w:vAlign w:val="center"/>
          </w:tcPr>
          <w:p>
            <w:pPr>
              <w:spacing w:line="280" w:lineRule="exact"/>
              <w:rPr>
                <w:rFonts w:ascii="仿宋" w:hAnsi="仿宋" w:eastAsia="仿宋" w:cs="方正仿宋简体"/>
                <w:iCs/>
              </w:rPr>
            </w:pPr>
            <w:r>
              <w:rPr>
                <w:rFonts w:hint="eastAsia" w:ascii="仿宋" w:hAnsi="仿宋" w:eastAsia="仿宋" w:cs="方正仿宋简体"/>
                <w:iCs/>
              </w:rPr>
              <w:t>-</w:t>
            </w:r>
          </w:p>
        </w:tc>
        <w:tc>
          <w:tcPr>
            <w:tcW w:w="999" w:type="pct"/>
            <w:vMerge w:val="restart"/>
            <w:vAlign w:val="center"/>
          </w:tcPr>
          <w:p>
            <w:pPr>
              <w:spacing w:line="280" w:lineRule="exact"/>
              <w:rPr>
                <w:rFonts w:ascii="仿宋" w:hAnsi="仿宋" w:eastAsia="仿宋" w:cs="方正仿宋简体"/>
                <w:b/>
                <w:iCs/>
              </w:rPr>
            </w:pPr>
          </w:p>
        </w:tc>
        <w:tc>
          <w:tcPr>
            <w:tcW w:w="1443" w:type="pct"/>
            <w:tcBorders>
              <w:top w:val="dashSmallGap" w:color="A5A5A5" w:themeColor="background1" w:themeShade="A6" w:sz="4" w:space="0"/>
              <w:bottom w:val="nil"/>
            </w:tcBorders>
            <w:vAlign w:val="center"/>
          </w:tcPr>
          <w:p>
            <w:pPr>
              <w:spacing w:line="280" w:lineRule="exact"/>
              <w:rPr>
                <w:rFonts w:ascii="仿宋" w:hAnsi="仿宋" w:eastAsia="仿宋" w:cs="方正仿宋简体"/>
                <w:iCs/>
              </w:rPr>
            </w:pPr>
            <w:r>
              <w:rPr>
                <w:rFonts w:hint="eastAsia" w:ascii="仿宋" w:hAnsi="仿宋" w:eastAsia="仿宋" w:cs="方正仿宋简体"/>
                <w:iCs/>
              </w:rPr>
              <w:t xml:space="preserve"> </w:t>
            </w:r>
          </w:p>
        </w:tc>
      </w:tr>
      <w:tr>
        <w:tblPrEx>
          <w:tblBorders>
            <w:top w:val="single" w:color="auto" w:sz="4" w:space="0"/>
            <w:left w:val="none" w:color="auto" w:sz="0" w:space="0"/>
            <w:bottom w:val="single" w:color="auto" w:sz="4" w:space="0"/>
            <w:right w:val="none" w:color="auto" w:sz="0" w:space="0"/>
            <w:insideH w:val="dashSmallGap" w:color="A5A5A5" w:themeColor="background1" w:themeShade="A6" w:sz="4" w:space="0"/>
            <w:insideV w:val="none" w:color="auto" w:sz="0" w:space="0"/>
          </w:tblBorders>
          <w:tblCellMar>
            <w:top w:w="0" w:type="dxa"/>
            <w:left w:w="108" w:type="dxa"/>
            <w:bottom w:w="0" w:type="dxa"/>
            <w:right w:w="108" w:type="dxa"/>
          </w:tblCellMar>
        </w:tblPrEx>
        <w:trPr>
          <w:trHeight w:val="454" w:hRule="atLeast"/>
        </w:trPr>
        <w:tc>
          <w:tcPr>
            <w:tcW w:w="1145" w:type="pct"/>
            <w:vAlign w:val="center"/>
          </w:tcPr>
          <w:p>
            <w:pPr>
              <w:spacing w:line="280" w:lineRule="exact"/>
              <w:rPr>
                <w:rFonts w:ascii="仿宋" w:hAnsi="仿宋" w:eastAsia="仿宋" w:cs="方正仿宋简体"/>
                <w:b/>
                <w:iCs/>
              </w:rPr>
            </w:pPr>
            <w:r>
              <w:rPr>
                <w:rFonts w:hint="eastAsia" w:ascii="仿宋" w:hAnsi="仿宋" w:eastAsia="仿宋" w:cs="方正仿宋简体"/>
                <w:b/>
                <w:iCs/>
              </w:rPr>
              <w:t>基金类型</w:t>
            </w:r>
          </w:p>
        </w:tc>
        <w:tc>
          <w:tcPr>
            <w:tcW w:w="1413" w:type="pct"/>
            <w:vAlign w:val="center"/>
          </w:tcPr>
          <w:p>
            <w:pPr>
              <w:spacing w:line="280" w:lineRule="exact"/>
              <w:rPr>
                <w:rFonts w:ascii="仿宋" w:hAnsi="仿宋" w:eastAsia="仿宋" w:cs="方正仿宋简体"/>
                <w:iCs/>
              </w:rPr>
            </w:pPr>
            <w:r>
              <w:rPr>
                <w:rFonts w:hint="eastAsia" w:ascii="仿宋" w:hAnsi="仿宋" w:eastAsia="仿宋" w:cs="方正仿宋简体"/>
                <w:iCs/>
              </w:rPr>
              <w:t>股票型</w:t>
            </w:r>
          </w:p>
        </w:tc>
        <w:tc>
          <w:tcPr>
            <w:tcW w:w="999" w:type="pct"/>
            <w:vAlign w:val="center"/>
          </w:tcPr>
          <w:p>
            <w:pPr>
              <w:spacing w:line="280" w:lineRule="exact"/>
              <w:rPr>
                <w:rFonts w:ascii="仿宋" w:hAnsi="仿宋" w:eastAsia="仿宋" w:cs="方正仿宋简体"/>
                <w:b/>
                <w:iCs/>
              </w:rPr>
            </w:pPr>
            <w:r>
              <w:rPr>
                <w:rFonts w:hint="eastAsia" w:ascii="仿宋" w:hAnsi="仿宋" w:eastAsia="仿宋" w:cs="方正仿宋简体"/>
                <w:b/>
                <w:iCs/>
              </w:rPr>
              <w:t>交易币种</w:t>
            </w:r>
          </w:p>
        </w:tc>
        <w:tc>
          <w:tcPr>
            <w:tcW w:w="1443" w:type="pct"/>
            <w:tcBorders>
              <w:top w:val="dashSmallGap" w:color="A5A5A5" w:themeColor="background1" w:themeShade="A6" w:sz="4" w:space="0"/>
            </w:tcBorders>
            <w:vAlign w:val="center"/>
          </w:tcPr>
          <w:p>
            <w:pPr>
              <w:spacing w:line="280" w:lineRule="exact"/>
              <w:rPr>
                <w:rFonts w:ascii="仿宋" w:hAnsi="仿宋" w:eastAsia="仿宋" w:cs="方正仿宋简体"/>
                <w:iCs/>
              </w:rPr>
            </w:pPr>
            <w:r>
              <w:rPr>
                <w:rFonts w:hint="eastAsia" w:ascii="仿宋" w:hAnsi="仿宋" w:eastAsia="仿宋" w:cs="方正仿宋简体"/>
                <w:iCs/>
              </w:rPr>
              <w:t>人民币</w:t>
            </w:r>
          </w:p>
        </w:tc>
      </w:tr>
      <w:tr>
        <w:tblPrEx>
          <w:tblBorders>
            <w:top w:val="single" w:color="auto" w:sz="4" w:space="0"/>
            <w:left w:val="none" w:color="auto" w:sz="0" w:space="0"/>
            <w:bottom w:val="single" w:color="auto" w:sz="4" w:space="0"/>
            <w:right w:val="none" w:color="auto" w:sz="0" w:space="0"/>
            <w:insideH w:val="dashSmallGap" w:color="A5A5A5" w:themeColor="background1" w:themeShade="A6" w:sz="4" w:space="0"/>
            <w:insideV w:val="none" w:color="auto" w:sz="0" w:space="0"/>
          </w:tblBorders>
          <w:tblCellMar>
            <w:top w:w="0" w:type="dxa"/>
            <w:left w:w="108" w:type="dxa"/>
            <w:bottom w:w="0" w:type="dxa"/>
            <w:right w:w="108" w:type="dxa"/>
          </w:tblCellMar>
        </w:tblPrEx>
        <w:trPr>
          <w:trHeight w:val="454" w:hRule="atLeast"/>
        </w:trPr>
        <w:tc>
          <w:tcPr>
            <w:tcW w:w="1145" w:type="pct"/>
            <w:vAlign w:val="center"/>
          </w:tcPr>
          <w:p>
            <w:pPr>
              <w:spacing w:line="280" w:lineRule="exact"/>
              <w:rPr>
                <w:rFonts w:ascii="仿宋" w:hAnsi="仿宋" w:eastAsia="仿宋" w:cs="方正仿宋简体"/>
                <w:b/>
                <w:iCs/>
              </w:rPr>
            </w:pPr>
            <w:r>
              <w:rPr>
                <w:rFonts w:hint="eastAsia" w:ascii="仿宋" w:hAnsi="仿宋" w:eastAsia="仿宋" w:cs="方正仿宋简体"/>
                <w:b/>
                <w:iCs/>
              </w:rPr>
              <w:t>运作方式</w:t>
            </w:r>
          </w:p>
        </w:tc>
        <w:tc>
          <w:tcPr>
            <w:tcW w:w="1413" w:type="pct"/>
            <w:vAlign w:val="center"/>
          </w:tcPr>
          <w:p>
            <w:pPr>
              <w:spacing w:line="280" w:lineRule="exact"/>
              <w:rPr>
                <w:rFonts w:ascii="仿宋" w:hAnsi="仿宋" w:eastAsia="仿宋" w:cs="方正仿宋简体"/>
                <w:iCs/>
              </w:rPr>
            </w:pPr>
            <w:r>
              <w:rPr>
                <w:rFonts w:hint="eastAsia" w:ascii="仿宋" w:hAnsi="仿宋" w:eastAsia="仿宋" w:cs="方正仿宋简体"/>
                <w:iCs/>
              </w:rPr>
              <w:t>普通开放式</w:t>
            </w:r>
          </w:p>
        </w:tc>
        <w:tc>
          <w:tcPr>
            <w:tcW w:w="999" w:type="pct"/>
            <w:vAlign w:val="center"/>
          </w:tcPr>
          <w:p>
            <w:pPr>
              <w:spacing w:line="280" w:lineRule="exact"/>
              <w:rPr>
                <w:rFonts w:ascii="仿宋" w:hAnsi="仿宋" w:eastAsia="仿宋" w:cs="方正仿宋简体"/>
                <w:b/>
                <w:iCs/>
              </w:rPr>
            </w:pPr>
            <w:r>
              <w:rPr>
                <w:rFonts w:hint="eastAsia" w:ascii="仿宋" w:hAnsi="仿宋" w:eastAsia="仿宋" w:cs="方正仿宋简体"/>
                <w:b/>
                <w:iCs/>
              </w:rPr>
              <w:t>开放频率</w:t>
            </w:r>
          </w:p>
        </w:tc>
        <w:tc>
          <w:tcPr>
            <w:tcW w:w="1443" w:type="pct"/>
            <w:vAlign w:val="center"/>
          </w:tcPr>
          <w:p>
            <w:pPr>
              <w:spacing w:line="280" w:lineRule="exact"/>
              <w:rPr>
                <w:rFonts w:ascii="仿宋" w:hAnsi="仿宋" w:eastAsia="仿宋" w:cs="方正仿宋简体"/>
                <w:iCs/>
              </w:rPr>
            </w:pPr>
            <w:r>
              <w:rPr>
                <w:rFonts w:hint="eastAsia" w:ascii="仿宋" w:hAnsi="仿宋" w:eastAsia="仿宋" w:cs="方正仿宋简体"/>
                <w:iCs/>
              </w:rPr>
              <w:t>每个开放日</w:t>
            </w:r>
          </w:p>
        </w:tc>
      </w:tr>
      <w:tr>
        <w:tblPrEx>
          <w:tblBorders>
            <w:top w:val="single" w:color="auto" w:sz="4" w:space="0"/>
            <w:left w:val="none" w:color="auto" w:sz="0" w:space="0"/>
            <w:bottom w:val="single" w:color="auto" w:sz="4" w:space="0"/>
            <w:right w:val="none" w:color="auto" w:sz="0" w:space="0"/>
            <w:insideH w:val="dashSmallGap" w:color="A5A5A5" w:themeColor="background1" w:themeShade="A6" w:sz="4" w:space="0"/>
            <w:insideV w:val="none" w:color="auto" w:sz="0" w:space="0"/>
          </w:tblBorders>
          <w:tblCellMar>
            <w:top w:w="0" w:type="dxa"/>
            <w:left w:w="108" w:type="dxa"/>
            <w:bottom w:w="0" w:type="dxa"/>
            <w:right w:w="108" w:type="dxa"/>
          </w:tblCellMar>
        </w:tblPrEx>
        <w:trPr>
          <w:trHeight w:val="454" w:hRule="atLeast"/>
        </w:trPr>
        <w:tc>
          <w:tcPr>
            <w:tcW w:w="1145" w:type="pct"/>
            <w:vMerge w:val="restart"/>
            <w:vAlign w:val="center"/>
          </w:tcPr>
          <w:p>
            <w:pPr>
              <w:spacing w:line="280" w:lineRule="exact"/>
              <w:rPr>
                <w:rFonts w:ascii="仿宋" w:hAnsi="仿宋" w:eastAsia="仿宋" w:cs="方正仿宋简体"/>
                <w:b/>
                <w:iCs/>
              </w:rPr>
            </w:pPr>
            <w:r>
              <w:rPr>
                <w:rFonts w:hint="eastAsia" w:ascii="仿宋" w:hAnsi="仿宋" w:eastAsia="仿宋" w:cs="方正仿宋简体"/>
                <w:b/>
                <w:iCs/>
              </w:rPr>
              <w:t>基金经理</w:t>
            </w:r>
          </w:p>
        </w:tc>
        <w:tc>
          <w:tcPr>
            <w:tcW w:w="1413" w:type="pct"/>
            <w:vMerge w:val="restart"/>
            <w:vAlign w:val="center"/>
          </w:tcPr>
          <w:p>
            <w:pPr>
              <w:spacing w:line="280" w:lineRule="exact"/>
              <w:rPr>
                <w:rFonts w:ascii="仿宋" w:hAnsi="仿宋" w:eastAsia="仿宋" w:cs="方正仿宋简体"/>
                <w:iCs/>
              </w:rPr>
            </w:pPr>
            <w:r>
              <w:rPr>
                <w:rFonts w:ascii="仿宋" w:hAnsi="仿宋" w:eastAsia="仿宋" w:cs="方正仿宋简体"/>
                <w:iCs/>
              </w:rPr>
              <w:t>刘杰</w:t>
            </w:r>
          </w:p>
        </w:tc>
        <w:tc>
          <w:tcPr>
            <w:tcW w:w="999" w:type="pct"/>
            <w:vAlign w:val="center"/>
          </w:tcPr>
          <w:p>
            <w:pPr>
              <w:spacing w:line="280" w:lineRule="exact"/>
              <w:rPr>
                <w:rFonts w:ascii="仿宋" w:hAnsi="仿宋" w:eastAsia="仿宋" w:cs="方正仿宋简体"/>
                <w:b/>
                <w:iCs/>
              </w:rPr>
            </w:pPr>
            <w:r>
              <w:rPr>
                <w:rFonts w:hint="eastAsia" w:ascii="仿宋" w:hAnsi="仿宋" w:eastAsia="仿宋" w:cs="方正仿宋简体"/>
                <w:b/>
                <w:iCs/>
              </w:rPr>
              <w:t>开始担任本基金基金经理的日期</w:t>
            </w:r>
          </w:p>
        </w:tc>
        <w:tc>
          <w:tcPr>
            <w:tcW w:w="1443" w:type="pct"/>
            <w:vAlign w:val="center"/>
          </w:tcPr>
          <w:p>
            <w:pPr>
              <w:spacing w:line="280" w:lineRule="exact"/>
              <w:rPr>
                <w:rFonts w:ascii="仿宋" w:hAnsi="仿宋" w:eastAsia="仿宋" w:cs="方正仿宋简体"/>
                <w:iCs/>
              </w:rPr>
            </w:pPr>
            <w:r>
              <w:rPr>
                <w:rFonts w:ascii="仿宋" w:hAnsi="仿宋" w:eastAsia="仿宋" w:cs="方正仿宋简体"/>
                <w:iCs/>
              </w:rPr>
              <w:t>-</w:t>
            </w:r>
          </w:p>
        </w:tc>
      </w:tr>
      <w:tr>
        <w:tblPrEx>
          <w:tblBorders>
            <w:top w:val="single" w:color="auto" w:sz="4" w:space="0"/>
            <w:left w:val="none" w:color="auto" w:sz="0" w:space="0"/>
            <w:bottom w:val="single" w:color="auto" w:sz="4" w:space="0"/>
            <w:right w:val="none" w:color="auto" w:sz="0" w:space="0"/>
            <w:insideH w:val="dashSmallGap" w:color="A5A5A5" w:themeColor="background1" w:themeShade="A6" w:sz="4" w:space="0"/>
            <w:insideV w:val="none" w:color="auto" w:sz="0" w:space="0"/>
          </w:tblBorders>
          <w:tblCellMar>
            <w:top w:w="0" w:type="dxa"/>
            <w:left w:w="108" w:type="dxa"/>
            <w:bottom w:w="0" w:type="dxa"/>
            <w:right w:w="108" w:type="dxa"/>
          </w:tblCellMar>
        </w:tblPrEx>
        <w:trPr>
          <w:trHeight w:val="454" w:hRule="atLeast"/>
        </w:trPr>
        <w:tc>
          <w:tcPr>
            <w:tcW w:w="1145" w:type="pct"/>
            <w:vMerge w:val="continue"/>
            <w:vAlign w:val="center"/>
          </w:tcPr>
          <w:p>
            <w:pPr>
              <w:spacing w:line="280" w:lineRule="exact"/>
              <w:rPr>
                <w:rFonts w:ascii="仿宋" w:hAnsi="仿宋" w:eastAsia="仿宋" w:cs="方正仿宋简体"/>
                <w:b/>
                <w:iCs/>
              </w:rPr>
            </w:pPr>
          </w:p>
        </w:tc>
        <w:tc>
          <w:tcPr>
            <w:tcW w:w="1413" w:type="pct"/>
            <w:vMerge w:val="continue"/>
            <w:vAlign w:val="center"/>
          </w:tcPr>
          <w:p>
            <w:pPr>
              <w:spacing w:line="280" w:lineRule="exact"/>
              <w:rPr>
                <w:rFonts w:ascii="仿宋" w:hAnsi="仿宋" w:eastAsia="仿宋" w:cs="方正仿宋简体"/>
                <w:b/>
                <w:iCs/>
              </w:rPr>
            </w:pPr>
          </w:p>
        </w:tc>
        <w:tc>
          <w:tcPr>
            <w:tcW w:w="999" w:type="pct"/>
            <w:vAlign w:val="center"/>
          </w:tcPr>
          <w:p>
            <w:pPr>
              <w:spacing w:line="280" w:lineRule="exact"/>
              <w:rPr>
                <w:rFonts w:ascii="仿宋" w:hAnsi="仿宋" w:eastAsia="仿宋" w:cs="方正仿宋简体"/>
                <w:b/>
                <w:iCs/>
              </w:rPr>
            </w:pPr>
            <w:r>
              <w:rPr>
                <w:rFonts w:hint="eastAsia" w:ascii="仿宋" w:hAnsi="仿宋" w:eastAsia="仿宋" w:cs="方正仿宋简体"/>
                <w:b/>
                <w:iCs/>
              </w:rPr>
              <w:t>证券从业日期</w:t>
            </w:r>
          </w:p>
        </w:tc>
        <w:tc>
          <w:tcPr>
            <w:tcW w:w="1443" w:type="pct"/>
            <w:vAlign w:val="center"/>
          </w:tcPr>
          <w:p>
            <w:pPr>
              <w:spacing w:line="280" w:lineRule="exact"/>
              <w:rPr>
                <w:rFonts w:ascii="仿宋" w:hAnsi="仿宋" w:eastAsia="仿宋" w:cs="方正仿宋简体"/>
                <w:iCs/>
              </w:rPr>
            </w:pPr>
            <w:r>
              <w:rPr>
                <w:rFonts w:hint="eastAsia" w:ascii="仿宋" w:hAnsi="仿宋" w:eastAsia="仿宋" w:cs="方正仿宋简体"/>
                <w:iCs/>
              </w:rPr>
              <w:t>2004-07-02</w:t>
            </w:r>
          </w:p>
        </w:tc>
      </w:tr>
      <w:tr>
        <w:tblPrEx>
          <w:tblBorders>
            <w:top w:val="single" w:color="auto" w:sz="4" w:space="0"/>
            <w:left w:val="none" w:color="auto" w:sz="0" w:space="0"/>
            <w:bottom w:val="single" w:color="auto" w:sz="4" w:space="0"/>
            <w:right w:val="none" w:color="auto" w:sz="0" w:space="0"/>
            <w:insideH w:val="dashSmallGap" w:color="A5A5A5" w:themeColor="background1" w:themeShade="A6" w:sz="4" w:space="0"/>
            <w:insideV w:val="none" w:color="auto" w:sz="0" w:space="0"/>
          </w:tblBorders>
          <w:tblCellMar>
            <w:top w:w="0" w:type="dxa"/>
            <w:left w:w="108" w:type="dxa"/>
            <w:bottom w:w="0" w:type="dxa"/>
            <w:right w:w="108" w:type="dxa"/>
          </w:tblCellMar>
        </w:tblPrEx>
        <w:trPr>
          <w:trHeight w:val="454" w:hRule="atLeast"/>
        </w:trPr>
        <w:tc>
          <w:tcPr>
            <w:tcW w:w="1145" w:type="pct"/>
            <w:vAlign w:val="center"/>
          </w:tcPr>
          <w:p>
            <w:pPr>
              <w:spacing w:line="280" w:lineRule="exact"/>
              <w:rPr>
                <w:rFonts w:ascii="仿宋" w:hAnsi="仿宋" w:eastAsia="仿宋" w:cs="方正仿宋简体"/>
                <w:iCs/>
              </w:rPr>
            </w:pPr>
            <w:r>
              <w:rPr>
                <w:rFonts w:hint="eastAsia" w:ascii="仿宋" w:hAnsi="仿宋" w:eastAsia="仿宋" w:cs="方正仿宋简体"/>
                <w:iCs/>
              </w:rPr>
              <w:t>其他</w:t>
            </w:r>
          </w:p>
        </w:tc>
        <w:tc>
          <w:tcPr>
            <w:tcW w:w="3855" w:type="pct"/>
            <w:gridSpan w:val="3"/>
            <w:vAlign w:val="center"/>
          </w:tcPr>
          <w:p>
            <w:pPr>
              <w:spacing w:line="280" w:lineRule="exact"/>
              <w:rPr>
                <w:rFonts w:ascii="仿宋" w:hAnsi="仿宋" w:eastAsia="仿宋" w:cs="方正仿宋简体"/>
                <w:iCs/>
              </w:rPr>
            </w:pPr>
            <w:r>
              <w:rPr>
                <w:rFonts w:hint="eastAsia" w:ascii="仿宋" w:hAnsi="仿宋" w:eastAsia="仿宋" w:cs="方正仿宋简体"/>
                <w:iCs/>
              </w:rPr>
              <w:t>《基金合同》生效满三年后继续存续的，连续20个工作日出现基金份额持有人数量不满200人或者基金资产净值低于5,000万元情形的，基金管理人应当在定期报告中予以披露；连续60个工作日出现上述情形的，基金管理人应当在10个工作日内向中国证监会报告并提出解决方案，解决方案包括持续运作、转换运作方式、与其他基金合并或者终止基金合同等，并在6个月内召集基金份额持有人大会。法律法规或中国证监会另有规定时，从其规定。</w:t>
            </w:r>
          </w:p>
          <w:p>
            <w:pPr>
              <w:spacing w:line="280" w:lineRule="exact"/>
              <w:rPr>
                <w:rFonts w:ascii="仿宋" w:hAnsi="仿宋" w:eastAsia="仿宋" w:cs="方正仿宋简体"/>
                <w:iCs/>
              </w:rPr>
            </w:pPr>
            <w:r>
              <w:rPr>
                <w:rFonts w:hint="eastAsia" w:ascii="仿宋" w:hAnsi="仿宋" w:eastAsia="仿宋" w:cs="方正仿宋简体"/>
                <w:iCs/>
              </w:rPr>
              <w:t>本基金基金合同生效满三年之日，若基金资产净值低于2亿元人民币，基金合同自动终止，无需再召开基金份额持有人大会审议决定。若届时的法律法规或证监会规定发生变化，上述终止规定被取消、更改或补充时，则本基金可以参照届时有效的法律法规或证监会规定执行。</w:t>
            </w:r>
          </w:p>
          <w:p>
            <w:pPr>
              <w:spacing w:line="280" w:lineRule="exact"/>
              <w:rPr>
                <w:rFonts w:ascii="仿宋" w:hAnsi="仿宋" w:eastAsia="仿宋" w:cs="方正仿宋简体"/>
                <w:iCs/>
              </w:rPr>
            </w:pPr>
            <w:r>
              <w:rPr>
                <w:rFonts w:hint="eastAsia" w:ascii="仿宋" w:hAnsi="仿宋" w:eastAsia="仿宋" w:cs="方正仿宋简体"/>
                <w:iCs/>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基金份额持有人大会未成功召开或就上述事项表决未通过的，基金合同终止。</w:t>
            </w:r>
          </w:p>
        </w:tc>
      </w:tr>
    </w:tbl>
    <w:p>
      <w:pPr>
        <w:spacing w:line="280" w:lineRule="exact"/>
        <w:rPr>
          <w:rFonts w:ascii="仿宋" w:hAnsi="仿宋" w:eastAsia="仿宋" w:cs="仿宋_GB2312"/>
          <w:b/>
          <w:kern w:val="0"/>
          <w:szCs w:val="24"/>
        </w:rPr>
      </w:pPr>
    </w:p>
    <w:p>
      <w:pPr>
        <w:numPr>
          <w:ilvl w:val="0"/>
          <w:numId w:val="2"/>
        </w:numPr>
        <w:spacing w:line="280" w:lineRule="exact"/>
        <w:outlineLvl w:val="0"/>
        <w:rPr>
          <w:rFonts w:ascii="仿宋" w:hAnsi="仿宋" w:eastAsia="仿宋" w:cs="方正仿宋简体"/>
          <w:b/>
          <w:iCs/>
          <w:sz w:val="24"/>
          <w:szCs w:val="24"/>
        </w:rPr>
      </w:pPr>
      <w:r>
        <w:rPr>
          <w:rFonts w:hint="eastAsia" w:ascii="仿宋" w:hAnsi="仿宋" w:eastAsia="仿宋" w:cs="方正仿宋简体"/>
          <w:b/>
          <w:iCs/>
          <w:sz w:val="24"/>
          <w:szCs w:val="24"/>
        </w:rPr>
        <w:t>基金投资与净值表现</w:t>
      </w:r>
    </w:p>
    <w:p>
      <w:pPr>
        <w:pStyle w:val="12"/>
        <w:numPr>
          <w:ilvl w:val="0"/>
          <w:numId w:val="3"/>
        </w:numPr>
        <w:spacing w:line="280" w:lineRule="exact"/>
        <w:ind w:firstLineChars="0"/>
        <w:outlineLvl w:val="1"/>
        <w:rPr>
          <w:rFonts w:ascii="仿宋" w:hAnsi="仿宋" w:eastAsia="仿宋" w:cs="方正仿宋简体"/>
          <w:b/>
          <w:iCs/>
          <w:sz w:val="24"/>
          <w:szCs w:val="24"/>
        </w:rPr>
      </w:pPr>
      <w:r>
        <w:rPr>
          <w:rFonts w:hint="eastAsia" w:ascii="仿宋" w:hAnsi="仿宋" w:eastAsia="仿宋" w:cs="方正仿宋简体"/>
          <w:b/>
          <w:iCs/>
          <w:sz w:val="24"/>
          <w:szCs w:val="24"/>
        </w:rPr>
        <w:t>投资目标与投资策略</w:t>
      </w:r>
    </w:p>
    <w:tbl>
      <w:tblPr>
        <w:tblStyle w:val="8"/>
        <w:tblW w:w="5000" w:type="pct"/>
        <w:tblInd w:w="0" w:type="dxa"/>
        <w:tblBorders>
          <w:top w:val="single" w:color="auto" w:sz="4" w:space="0"/>
          <w:left w:val="none" w:color="auto" w:sz="0" w:space="0"/>
          <w:bottom w:val="single" w:color="auto" w:sz="4" w:space="0"/>
          <w:right w:val="none" w:color="auto" w:sz="0" w:space="0"/>
          <w:insideH w:val="dashSmallGap" w:color="7F7F7F" w:themeColor="background1" w:themeShade="80" w:sz="4" w:space="0"/>
          <w:insideV w:val="none" w:color="auto" w:sz="0" w:space="0"/>
        </w:tblBorders>
        <w:tblLayout w:type="autofit"/>
        <w:tblCellMar>
          <w:top w:w="0" w:type="dxa"/>
          <w:left w:w="108" w:type="dxa"/>
          <w:bottom w:w="0" w:type="dxa"/>
          <w:right w:w="108" w:type="dxa"/>
        </w:tblCellMar>
      </w:tblPr>
      <w:tblGrid>
        <w:gridCol w:w="1952"/>
        <w:gridCol w:w="6570"/>
      </w:tblGrid>
      <w:tr>
        <w:tblPrEx>
          <w:tblBorders>
            <w:top w:val="single" w:color="auto" w:sz="4" w:space="0"/>
            <w:left w:val="none" w:color="auto" w:sz="0" w:space="0"/>
            <w:bottom w:val="single" w:color="auto"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145" w:type="pct"/>
            <w:vAlign w:val="center"/>
          </w:tcPr>
          <w:p>
            <w:pPr>
              <w:autoSpaceDE w:val="0"/>
              <w:autoSpaceDN w:val="0"/>
              <w:adjustRightInd w:val="0"/>
              <w:spacing w:line="280" w:lineRule="exact"/>
              <w:rPr>
                <w:rFonts w:ascii="仿宋" w:hAnsi="仿宋" w:eastAsia="仿宋" w:cs="仿宋_GB2312"/>
                <w:kern w:val="0"/>
                <w:sz w:val="22"/>
                <w:szCs w:val="24"/>
              </w:rPr>
            </w:pPr>
            <w:r>
              <w:rPr>
                <w:rFonts w:hint="eastAsia" w:ascii="仿宋" w:hAnsi="仿宋" w:eastAsia="仿宋" w:cs="方正仿宋简体"/>
                <w:b/>
                <w:bCs/>
                <w:iCs/>
                <w:szCs w:val="24"/>
              </w:rPr>
              <w:t>投资目标</w:t>
            </w:r>
          </w:p>
        </w:tc>
        <w:tc>
          <w:tcPr>
            <w:tcW w:w="3854" w:type="pct"/>
            <w:vAlign w:val="center"/>
          </w:tcPr>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本基金通过主要投资于目标ETF，紧密跟踪业绩比较基准，追求跟踪偏离度和跟踪误差最小化。</w:t>
            </w:r>
          </w:p>
        </w:tc>
      </w:tr>
      <w:tr>
        <w:tblPrEx>
          <w:tblBorders>
            <w:top w:val="single" w:color="auto" w:sz="4" w:space="0"/>
            <w:left w:val="none" w:color="auto" w:sz="0" w:space="0"/>
            <w:bottom w:val="single" w:color="auto"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145" w:type="pct"/>
            <w:vAlign w:val="center"/>
          </w:tcPr>
          <w:p>
            <w:pPr>
              <w:autoSpaceDE w:val="0"/>
              <w:autoSpaceDN w:val="0"/>
              <w:adjustRightInd w:val="0"/>
              <w:spacing w:line="280" w:lineRule="exact"/>
              <w:rPr>
                <w:rFonts w:ascii="仿宋" w:hAnsi="仿宋" w:eastAsia="仿宋" w:cs="仿宋_GB2312"/>
                <w:kern w:val="0"/>
                <w:sz w:val="22"/>
                <w:szCs w:val="24"/>
              </w:rPr>
            </w:pPr>
            <w:r>
              <w:rPr>
                <w:rFonts w:hint="eastAsia" w:ascii="仿宋" w:hAnsi="仿宋" w:eastAsia="仿宋" w:cs="方正仿宋简体"/>
                <w:b/>
                <w:bCs/>
                <w:iCs/>
                <w:szCs w:val="24"/>
              </w:rPr>
              <w:t>投资范围</w:t>
            </w:r>
          </w:p>
        </w:tc>
        <w:tc>
          <w:tcPr>
            <w:tcW w:w="3854" w:type="pct"/>
            <w:vAlign w:val="center"/>
          </w:tcPr>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本基金以目标ETF基金份额、标的指数（中证港股通汽车产业主题指数）成份股及备选成份股（含存托凭证）为主要投资对象。此外，为更好地实现投资目标，本基金可少量投资于非成份股（包括科创板、创业板及其他国内依法发行上市的股票、存托凭证）、港股通标的股票、债券、债券回购、资产支持证券、银行存款、同业存单、货币市场工具、金融衍生工具（包括股指期货、国债期货、股票期权等）以及法律法规或中国证监会允许本基金投资的其他金融工具（但须符合中国证监会的相关规定）。</w:t>
            </w:r>
          </w:p>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本基金的目标ETF为广发中证港股通汽车产业主题交易型开放式指数证券投资基金。</w:t>
            </w:r>
          </w:p>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本基金可根据相关法律法规的规定参与转融通证券出借及融资业务。</w:t>
            </w:r>
          </w:p>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如法律法规或监管机构以后允许基金投资于其他品种，基金管理人在履行适当程序后，可以将其纳入投资范围。</w:t>
            </w:r>
          </w:p>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基金的投资组合比例为：投资于目标ETF的比例不低于基金资产净值的90%且不低于非现金基金资产的80%；每个交易日日终在扣除股指期货合约、国债期货合约、股票期权合约需缴纳的交易保证金后，现金及到期日在一年以内的政府债券的比例合计不低于基金资产净值的5%，现金不包括结算备付金、存出保证金、应收申购款等。股指期货、国债期货、股票期权及其他金融工具的投资比例依照法律法规或监管机构的规定执行。</w:t>
            </w:r>
          </w:p>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如法律法规或中国证监会变更投资品种的投资比例限制，基金管理人在履行适当程序后，可以做出相应调整。</w:t>
            </w:r>
          </w:p>
        </w:tc>
      </w:tr>
      <w:tr>
        <w:tblPrEx>
          <w:tblBorders>
            <w:top w:val="single" w:color="auto" w:sz="4" w:space="0"/>
            <w:left w:val="none" w:color="auto" w:sz="0" w:space="0"/>
            <w:bottom w:val="single" w:color="auto"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145" w:type="pct"/>
            <w:vAlign w:val="center"/>
          </w:tcPr>
          <w:p>
            <w:pPr>
              <w:autoSpaceDE w:val="0"/>
              <w:autoSpaceDN w:val="0"/>
              <w:adjustRightInd w:val="0"/>
              <w:spacing w:line="280" w:lineRule="exact"/>
              <w:rPr>
                <w:rFonts w:ascii="仿宋" w:hAnsi="仿宋" w:eastAsia="仿宋" w:cs="仿宋_GB2312"/>
                <w:kern w:val="0"/>
                <w:sz w:val="22"/>
                <w:szCs w:val="24"/>
              </w:rPr>
            </w:pPr>
            <w:r>
              <w:rPr>
                <w:rFonts w:hint="eastAsia" w:ascii="仿宋" w:hAnsi="仿宋" w:eastAsia="仿宋" w:cs="方正仿宋简体"/>
                <w:b/>
                <w:bCs/>
                <w:iCs/>
                <w:szCs w:val="24"/>
              </w:rPr>
              <w:t>主要投资策略</w:t>
            </w:r>
          </w:p>
        </w:tc>
        <w:tc>
          <w:tcPr>
            <w:tcW w:w="3854" w:type="pct"/>
            <w:vAlign w:val="center"/>
          </w:tcPr>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本基金为ETF联接基金，主要通过投资于目标ETF实现对标的指数的紧密跟踪。本基金力争将本基金净值增长率与业绩比较基准之间的日均跟踪偏离度的绝对值控制在0.35%以内，年化跟踪误差控制在4%以内。</w:t>
            </w:r>
          </w:p>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具体策略包括：（1）资产配置策略；（2）目标ETF投资策略；（3）股票投资策略；（4）存托凭证投资策略；（5）债券投资策略；（6）金融衍生品投资策略；（7）资产支持证券投资策略；（8）参与转融通证券出借业务策略。</w:t>
            </w:r>
          </w:p>
        </w:tc>
      </w:tr>
      <w:tr>
        <w:tblPrEx>
          <w:tblBorders>
            <w:top w:val="single" w:color="auto" w:sz="4" w:space="0"/>
            <w:left w:val="none" w:color="auto" w:sz="0" w:space="0"/>
            <w:bottom w:val="single" w:color="auto"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145" w:type="pct"/>
            <w:vAlign w:val="center"/>
          </w:tcPr>
          <w:p>
            <w:pPr>
              <w:autoSpaceDE w:val="0"/>
              <w:autoSpaceDN w:val="0"/>
              <w:adjustRightInd w:val="0"/>
              <w:spacing w:line="280" w:lineRule="exact"/>
              <w:rPr>
                <w:rFonts w:ascii="仿宋" w:hAnsi="仿宋" w:eastAsia="仿宋" w:cs="仿宋_GB2312"/>
                <w:kern w:val="0"/>
                <w:sz w:val="22"/>
                <w:szCs w:val="24"/>
              </w:rPr>
            </w:pPr>
            <w:r>
              <w:rPr>
                <w:rFonts w:hint="eastAsia" w:ascii="仿宋" w:hAnsi="仿宋" w:eastAsia="仿宋" w:cs="方正仿宋简体"/>
                <w:b/>
                <w:bCs/>
                <w:iCs/>
                <w:szCs w:val="24"/>
              </w:rPr>
              <w:t>业绩比较基准</w:t>
            </w:r>
          </w:p>
        </w:tc>
        <w:tc>
          <w:tcPr>
            <w:tcW w:w="3854" w:type="pct"/>
            <w:vAlign w:val="center"/>
          </w:tcPr>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中证港股通汽车产业主题指数收益率（使用估值汇率折算）×95%+活期存款利率（税后）×5%</w:t>
            </w:r>
          </w:p>
        </w:tc>
      </w:tr>
      <w:tr>
        <w:tblPrEx>
          <w:tblBorders>
            <w:top w:val="single" w:color="auto" w:sz="4" w:space="0"/>
            <w:left w:val="none" w:color="auto" w:sz="0" w:space="0"/>
            <w:bottom w:val="single" w:color="auto"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145" w:type="pct"/>
            <w:vAlign w:val="center"/>
          </w:tcPr>
          <w:p>
            <w:pPr>
              <w:autoSpaceDE w:val="0"/>
              <w:autoSpaceDN w:val="0"/>
              <w:adjustRightInd w:val="0"/>
              <w:spacing w:line="280" w:lineRule="exact"/>
              <w:rPr>
                <w:rFonts w:ascii="仿宋" w:hAnsi="仿宋" w:eastAsia="仿宋" w:cs="仿宋_GB2312"/>
                <w:kern w:val="0"/>
                <w:sz w:val="22"/>
                <w:szCs w:val="24"/>
              </w:rPr>
            </w:pPr>
            <w:bookmarkStart w:id="0" w:name="_GoBack" w:colFirst="1" w:colLast="1"/>
            <w:r>
              <w:rPr>
                <w:rFonts w:hint="eastAsia" w:ascii="仿宋" w:hAnsi="仿宋" w:eastAsia="仿宋" w:cs="方正仿宋简体"/>
                <w:b/>
                <w:bCs/>
                <w:iCs/>
                <w:szCs w:val="24"/>
              </w:rPr>
              <w:t>风险收益特征</w:t>
            </w:r>
          </w:p>
        </w:tc>
        <w:tc>
          <w:tcPr>
            <w:tcW w:w="3854" w:type="pct"/>
            <w:vAlign w:val="center"/>
          </w:tcPr>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本基金为ETF联接基金，风险与收益高于混合型基金、债券型基金与货币市场基金。</w:t>
            </w:r>
          </w:p>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本基金为指数型基金，具有与标的指数、以及标的指数所代表的股票市场相似的风险收益特征。</w:t>
            </w:r>
          </w:p>
          <w:p>
            <w:pPr>
              <w:autoSpaceDE w:val="0"/>
              <w:autoSpaceDN w:val="0"/>
              <w:adjustRightInd w:val="0"/>
              <w:spacing w:line="280" w:lineRule="exact"/>
              <w:rPr>
                <w:rFonts w:ascii="仿宋" w:hAnsi="仿宋" w:eastAsia="仿宋" w:cs="仿宋_GB2312"/>
                <w:kern w:val="0"/>
                <w:szCs w:val="24"/>
              </w:rPr>
            </w:pPr>
            <w:r>
              <w:rPr>
                <w:rFonts w:hint="eastAsia" w:ascii="仿宋" w:hAnsi="仿宋" w:eastAsia="仿宋" w:cs="仿宋_GB2312"/>
                <w:kern w:val="0"/>
                <w:szCs w:val="24"/>
              </w:rPr>
              <w:t>本基金资产将投资于港股，会面临港股通机制下因投资环境、投资标的、市场制度以及交易规则等差异带来的特有风险，包括港股市场股价波动较大的风险、汇率风险、港股通机制下交易日不连贯可能带来的风险等。</w:t>
            </w:r>
          </w:p>
        </w:tc>
      </w:tr>
      <w:bookmarkEnd w:id="0"/>
    </w:tbl>
    <w:p>
      <w:pPr>
        <w:spacing w:line="280" w:lineRule="exact"/>
        <w:rPr>
          <w:rFonts w:ascii="仿宋" w:hAnsi="仿宋" w:eastAsia="仿宋" w:cs="方正仿宋简体"/>
          <w:iCs/>
          <w:szCs w:val="24"/>
        </w:rPr>
      </w:pPr>
      <w:r>
        <w:rPr>
          <w:rFonts w:hint="eastAsia" w:ascii="仿宋" w:hAnsi="仿宋" w:eastAsia="仿宋" w:cs="方正仿宋简体"/>
          <w:iCs/>
          <w:szCs w:val="24"/>
        </w:rPr>
        <w:t>注：详见《广发中证港股通汽车产业主题交易型开放式指数证券投资基金发起式联接基金招募说明书》及其更新文件中“基金的投资”。</w:t>
      </w:r>
    </w:p>
    <w:p>
      <w:pPr>
        <w:spacing w:line="280" w:lineRule="exact"/>
        <w:rPr>
          <w:rFonts w:ascii="仿宋" w:hAnsi="仿宋" w:eastAsia="仿宋" w:cs="仿宋_GB2312"/>
          <w:kern w:val="0"/>
          <w:szCs w:val="24"/>
        </w:rPr>
      </w:pPr>
    </w:p>
    <w:p>
      <w:pPr>
        <w:pStyle w:val="12"/>
        <w:numPr>
          <w:ilvl w:val="0"/>
          <w:numId w:val="3"/>
        </w:numPr>
        <w:spacing w:line="280" w:lineRule="exact"/>
        <w:ind w:firstLineChars="0"/>
        <w:outlineLvl w:val="1"/>
        <w:rPr>
          <w:rFonts w:ascii="仿宋" w:hAnsi="仿宋" w:eastAsia="仿宋" w:cs="方正仿宋简体"/>
          <w:b/>
          <w:iCs/>
          <w:sz w:val="24"/>
          <w:szCs w:val="24"/>
        </w:rPr>
      </w:pPr>
      <w:r>
        <w:rPr>
          <w:rFonts w:hint="eastAsia" w:ascii="仿宋" w:hAnsi="仿宋" w:eastAsia="仿宋" w:cs="方正仿宋简体"/>
          <w:b/>
          <w:iCs/>
          <w:sz w:val="24"/>
          <w:szCs w:val="24"/>
        </w:rPr>
        <w:t>投资组合资产配置图表/区域配置图表</w:t>
      </w:r>
    </w:p>
    <w:p>
      <w:pPr>
        <w:rPr>
          <w:rFonts w:ascii="仿宋" w:hAnsi="仿宋" w:eastAsia="仿宋" w:cs="方正仿宋简体"/>
          <w:b/>
          <w:iCs/>
          <w:sz w:val="24"/>
          <w:szCs w:val="24"/>
        </w:rPr>
      </w:pPr>
      <w:r>
        <w:rPr>
          <w:rFonts w:hint="eastAsia" w:ascii="仿宋" w:hAnsi="仿宋" w:eastAsia="仿宋" w:cs="方正仿宋简体"/>
          <w:b/>
          <w:iCs/>
          <w:sz w:val="24"/>
          <w:szCs w:val="24"/>
        </w:rPr>
        <w:t>投资组合资产配置图表</w:t>
      </w:r>
    </w:p>
    <w:p>
      <w:pPr>
        <w:jc w:val="left"/>
        <w:rPr>
          <w:rFonts w:ascii="仿宋" w:hAnsi="仿宋" w:eastAsia="仿宋" w:cs="方正仿宋简体"/>
          <w:b/>
          <w:iCs/>
          <w:sz w:val="24"/>
          <w:szCs w:val="24"/>
        </w:rPr>
      </w:pPr>
      <w:r>
        <w:rPr>
          <w:rFonts w:ascii="仿宋" w:hAnsi="仿宋" w:eastAsia="仿宋"/>
          <w:color w:val="000000" w:themeColor="text1"/>
          <w14:textFill>
            <w14:solidFill>
              <w14:schemeClr w14:val="tx1"/>
            </w14:solidFill>
          </w14:textFill>
        </w:rPr>
        <w:t>无</w:t>
      </w:r>
    </w:p>
    <w:p>
      <w:pPr>
        <w:pStyle w:val="12"/>
        <w:numPr>
          <w:ilvl w:val="0"/>
          <w:numId w:val="3"/>
        </w:numPr>
        <w:spacing w:line="280" w:lineRule="exact"/>
        <w:ind w:firstLineChars="0"/>
        <w:outlineLvl w:val="1"/>
        <w:rPr>
          <w:rFonts w:ascii="仿宋" w:hAnsi="仿宋" w:eastAsia="仿宋" w:cs="方正仿宋简体"/>
          <w:b/>
          <w:iCs/>
          <w:sz w:val="24"/>
          <w:szCs w:val="24"/>
        </w:rPr>
      </w:pPr>
      <w:r>
        <w:rPr>
          <w:rFonts w:hint="eastAsia" w:ascii="仿宋" w:hAnsi="仿宋" w:eastAsia="仿宋" w:cs="方正仿宋简体"/>
          <w:b/>
          <w:iCs/>
          <w:sz w:val="24"/>
          <w:szCs w:val="24"/>
        </w:rPr>
        <w:t>自基金合同生效以来基金每年的净值增长率及与同期业绩比较基准的比较图</w:t>
      </w:r>
    </w:p>
    <w:p>
      <w:pPr>
        <w:autoSpaceDE w:val="0"/>
        <w:autoSpaceDN w:val="0"/>
        <w:adjustRightInd w:val="0"/>
        <w:spacing w:line="28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无</w:t>
      </w:r>
    </w:p>
    <w:p>
      <w:pPr>
        <w:spacing w:line="280" w:lineRule="exact"/>
        <w:ind w:firstLine="420"/>
        <w:rPr>
          <w:rFonts w:ascii="仿宋" w:hAnsi="仿宋" w:eastAsia="仿宋" w:cs="方正仿宋简体"/>
          <w:iCs/>
        </w:rPr>
      </w:pPr>
    </w:p>
    <w:p>
      <w:pPr>
        <w:numPr>
          <w:ilvl w:val="0"/>
          <w:numId w:val="2"/>
        </w:numPr>
        <w:spacing w:line="280" w:lineRule="exact"/>
        <w:outlineLvl w:val="0"/>
        <w:rPr>
          <w:rFonts w:ascii="仿宋" w:hAnsi="仿宋" w:eastAsia="仿宋" w:cs="方正仿宋简体"/>
          <w:b/>
          <w:iCs/>
          <w:sz w:val="24"/>
          <w:szCs w:val="24"/>
        </w:rPr>
      </w:pPr>
      <w:r>
        <w:rPr>
          <w:rFonts w:hint="eastAsia" w:ascii="仿宋" w:hAnsi="仿宋" w:eastAsia="仿宋" w:cs="方正仿宋简体"/>
          <w:b/>
          <w:iCs/>
          <w:sz w:val="24"/>
          <w:szCs w:val="24"/>
        </w:rPr>
        <w:t>投资本基金涉及的费用</w:t>
      </w:r>
    </w:p>
    <w:p>
      <w:pPr>
        <w:pStyle w:val="12"/>
        <w:numPr>
          <w:ilvl w:val="0"/>
          <w:numId w:val="4"/>
        </w:numPr>
        <w:spacing w:line="340" w:lineRule="exact"/>
        <w:ind w:firstLineChars="0"/>
        <w:outlineLvl w:val="1"/>
        <w:rPr>
          <w:rFonts w:ascii="仿宋" w:hAnsi="仿宋" w:eastAsia="仿宋" w:cs="方正仿宋简体"/>
          <w:b/>
          <w:iCs/>
          <w:sz w:val="24"/>
          <w:szCs w:val="24"/>
        </w:rPr>
      </w:pPr>
      <w:r>
        <w:rPr>
          <w:rFonts w:hint="eastAsia" w:ascii="仿宋" w:hAnsi="仿宋" w:eastAsia="仿宋" w:cs="方正仿宋简体"/>
          <w:b/>
          <w:iCs/>
          <w:sz w:val="24"/>
          <w:szCs w:val="24"/>
        </w:rPr>
        <w:t>基金销售相关费用</w:t>
      </w:r>
    </w:p>
    <w:p>
      <w:pPr>
        <w:autoSpaceDE w:val="0"/>
        <w:autoSpaceDN w:val="0"/>
        <w:adjustRightInd w:val="0"/>
        <w:spacing w:line="280" w:lineRule="exact"/>
        <w:jc w:val="left"/>
        <w:rPr>
          <w:rFonts w:ascii="仿宋" w:hAnsi="仿宋" w:eastAsia="仿宋"/>
          <w:color w:val="000000" w:themeColor="text1"/>
          <w14:textFill>
            <w14:solidFill>
              <w14:schemeClr w14:val="tx1"/>
            </w14:solidFill>
          </w14:textFill>
        </w:rPr>
      </w:pPr>
      <w:r>
        <w:rPr>
          <w:rFonts w:hint="eastAsia" w:ascii="仿宋" w:hAnsi="仿宋" w:eastAsia="仿宋" w:cs="方正仿宋简体"/>
          <w:iCs/>
          <w:color w:val="000000" w:themeColor="text1"/>
          <w14:textFill>
            <w14:solidFill>
              <w14:schemeClr w14:val="tx1"/>
            </w14:solidFill>
          </w14:textFill>
        </w:rPr>
        <w:t>以下费用在认购/申购/赎回基金过程中收取：</w:t>
      </w:r>
    </w:p>
    <w:tbl>
      <w:tblPr>
        <w:tblStyle w:val="7"/>
        <w:tblW w:w="5303" w:type="pct"/>
        <w:tblInd w:w="0" w:type="dxa"/>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Layout w:type="autofit"/>
        <w:tblCellMar>
          <w:top w:w="0" w:type="dxa"/>
          <w:left w:w="108" w:type="dxa"/>
          <w:bottom w:w="0" w:type="dxa"/>
          <w:right w:w="108" w:type="dxa"/>
        </w:tblCellMar>
      </w:tblPr>
      <w:tblGrid>
        <w:gridCol w:w="2373"/>
        <w:gridCol w:w="3261"/>
        <w:gridCol w:w="1987"/>
        <w:gridCol w:w="1417"/>
      </w:tblGrid>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费用类型</w:t>
            </w:r>
          </w:p>
        </w:tc>
        <w:tc>
          <w:tcPr>
            <w:tcW w:w="1804" w:type="pct"/>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份额（S）或金额（M）</w:t>
            </w:r>
          </w:p>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/持有期限（N）</w:t>
            </w:r>
          </w:p>
        </w:tc>
        <w:tc>
          <w:tcPr>
            <w:tcW w:w="1099" w:type="pct"/>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收费方式/费率</w:t>
            </w:r>
          </w:p>
        </w:tc>
        <w:tc>
          <w:tcPr>
            <w:tcW w:w="784" w:type="pct"/>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备注</w:t>
            </w: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Merge w:val="restart"/>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认购费</w:t>
            </w:r>
          </w:p>
        </w:tc>
        <w:tc>
          <w:tcPr>
            <w:tcW w:w="180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  M &lt; 100万元</w:t>
            </w:r>
          </w:p>
        </w:tc>
        <w:tc>
          <w:tcPr>
            <w:tcW w:w="1099"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1.00%  </w:t>
            </w:r>
          </w:p>
        </w:tc>
        <w:tc>
          <w:tcPr>
            <w:tcW w:w="78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Merge w:val="continue"/>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认购费</w:t>
            </w:r>
          </w:p>
        </w:tc>
        <w:tc>
          <w:tcPr>
            <w:tcW w:w="180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100万元 ≤ M &lt; 300万元</w:t>
            </w:r>
          </w:p>
        </w:tc>
        <w:tc>
          <w:tcPr>
            <w:tcW w:w="1099"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0.60%  </w:t>
            </w:r>
          </w:p>
        </w:tc>
        <w:tc>
          <w:tcPr>
            <w:tcW w:w="78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Merge w:val="continue"/>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认购费</w:t>
            </w:r>
          </w:p>
        </w:tc>
        <w:tc>
          <w:tcPr>
            <w:tcW w:w="180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300万元 ≤ M &lt; 500万元</w:t>
            </w:r>
          </w:p>
        </w:tc>
        <w:tc>
          <w:tcPr>
            <w:tcW w:w="1099"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0.40%  </w:t>
            </w:r>
          </w:p>
        </w:tc>
        <w:tc>
          <w:tcPr>
            <w:tcW w:w="78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Merge w:val="continue"/>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认购费</w:t>
            </w:r>
          </w:p>
        </w:tc>
        <w:tc>
          <w:tcPr>
            <w:tcW w:w="180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M ≥ 500万元</w:t>
            </w:r>
          </w:p>
        </w:tc>
        <w:tc>
          <w:tcPr>
            <w:tcW w:w="1099"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  1000元/笔</w:t>
            </w:r>
          </w:p>
        </w:tc>
        <w:tc>
          <w:tcPr>
            <w:tcW w:w="78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Merge w:val="restart"/>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申购费（前收费）</w:t>
            </w:r>
          </w:p>
        </w:tc>
        <w:tc>
          <w:tcPr>
            <w:tcW w:w="180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  M &lt; 100万元</w:t>
            </w:r>
          </w:p>
        </w:tc>
        <w:tc>
          <w:tcPr>
            <w:tcW w:w="1099"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1.20%  </w:t>
            </w:r>
          </w:p>
        </w:tc>
        <w:tc>
          <w:tcPr>
            <w:tcW w:w="78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Merge w:val="continue"/>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申购费（前收费）</w:t>
            </w:r>
          </w:p>
        </w:tc>
        <w:tc>
          <w:tcPr>
            <w:tcW w:w="180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100万元 ≤ M &lt; 300万元</w:t>
            </w:r>
          </w:p>
        </w:tc>
        <w:tc>
          <w:tcPr>
            <w:tcW w:w="1099"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0.80%  </w:t>
            </w:r>
          </w:p>
        </w:tc>
        <w:tc>
          <w:tcPr>
            <w:tcW w:w="78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Merge w:val="continue"/>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申购费（前收费）</w:t>
            </w:r>
          </w:p>
        </w:tc>
        <w:tc>
          <w:tcPr>
            <w:tcW w:w="180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300万元 ≤ M &lt; 500万元</w:t>
            </w:r>
          </w:p>
        </w:tc>
        <w:tc>
          <w:tcPr>
            <w:tcW w:w="1099"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0.50%  </w:t>
            </w:r>
          </w:p>
        </w:tc>
        <w:tc>
          <w:tcPr>
            <w:tcW w:w="78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Merge w:val="continue"/>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申购费（前收费）</w:t>
            </w:r>
          </w:p>
        </w:tc>
        <w:tc>
          <w:tcPr>
            <w:tcW w:w="180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M ≥ 500万元</w:t>
            </w:r>
          </w:p>
        </w:tc>
        <w:tc>
          <w:tcPr>
            <w:tcW w:w="1099"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  1000元/笔</w:t>
            </w:r>
          </w:p>
        </w:tc>
        <w:tc>
          <w:tcPr>
            <w:tcW w:w="78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Merge w:val="restart"/>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赎回费</w:t>
            </w:r>
          </w:p>
        </w:tc>
        <w:tc>
          <w:tcPr>
            <w:tcW w:w="180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  N &lt; 7日 </w:t>
            </w:r>
          </w:p>
        </w:tc>
        <w:tc>
          <w:tcPr>
            <w:tcW w:w="1099"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1.50%  </w:t>
            </w:r>
          </w:p>
        </w:tc>
        <w:tc>
          <w:tcPr>
            <w:tcW w:w="78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1313" w:type="pct"/>
            <w:vMerge w:val="continue"/>
            <w:vAlign w:val="center"/>
          </w:tcPr>
          <w:p>
            <w:pPr>
              <w:spacing w:line="280" w:lineRule="exact"/>
              <w:jc w:val="center"/>
              <w:rPr>
                <w:rFonts w:ascii="仿宋" w:hAnsi="仿宋" w:eastAsia="仿宋" w:cs="方正仿宋简体"/>
                <w:b/>
                <w:bCs/>
                <w:iCs/>
                <w:color w:val="000000" w:themeColor="text1"/>
                <w14:textFill>
                  <w14:solidFill>
                    <w14:schemeClr w14:val="tx1"/>
                  </w14:solidFill>
                </w14:textFill>
              </w:rPr>
            </w:pPr>
            <w:r>
              <w:rPr>
                <w:rFonts w:hint="eastAsia" w:ascii="仿宋" w:hAnsi="仿宋" w:eastAsia="仿宋" w:cs="方正仿宋简体"/>
                <w:b/>
                <w:bCs/>
                <w:iCs/>
                <w:color w:val="000000" w:themeColor="text1"/>
                <w14:textFill>
                  <w14:solidFill>
                    <w14:schemeClr w14:val="tx1"/>
                  </w14:solidFill>
                </w14:textFill>
              </w:rPr>
              <w:t>赎回费</w:t>
            </w:r>
          </w:p>
        </w:tc>
        <w:tc>
          <w:tcPr>
            <w:tcW w:w="180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 xml:space="preserve">　 　 N ≥ 7日 </w:t>
            </w:r>
          </w:p>
        </w:tc>
        <w:tc>
          <w:tcPr>
            <w:tcW w:w="1099"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r>
              <w:rPr>
                <w:rFonts w:hint="eastAsia" w:ascii="仿宋" w:hAnsi="仿宋" w:eastAsia="仿宋" w:cs="方正仿宋简体"/>
                <w:bCs/>
                <w:iCs/>
                <w:color w:val="000000" w:themeColor="text1"/>
                <w14:textFill>
                  <w14:solidFill>
                    <w14:schemeClr w14:val="tx1"/>
                  </w14:solidFill>
                </w14:textFill>
              </w:rPr>
              <w:t>-</w:t>
            </w:r>
          </w:p>
        </w:tc>
        <w:tc>
          <w:tcPr>
            <w:tcW w:w="784" w:type="pct"/>
            <w:vAlign w:val="center"/>
          </w:tcPr>
          <w:p>
            <w:pPr>
              <w:spacing w:line="280" w:lineRule="exact"/>
              <w:jc w:val="center"/>
              <w:rPr>
                <w:rFonts w:ascii="仿宋" w:hAnsi="仿宋" w:eastAsia="仿宋" w:cs="方正仿宋简体"/>
                <w:bCs/>
                <w:iCs/>
                <w:color w:val="000000" w:themeColor="text1"/>
                <w14:textFill>
                  <w14:solidFill>
                    <w14:schemeClr w14:val="tx1"/>
                  </w14:solidFill>
                </w14:textFill>
              </w:rPr>
            </w:pPr>
          </w:p>
        </w:tc>
      </w:tr>
    </w:tbl>
    <w:p>
      <w:pPr>
        <w:autoSpaceDE w:val="0"/>
        <w:autoSpaceDN w:val="0"/>
        <w:adjustRightInd w:val="0"/>
        <w:spacing w:line="280" w:lineRule="exact"/>
        <w:jc w:val="left"/>
        <w:rPr>
          <w:rFonts w:ascii="仿宋" w:hAnsi="仿宋" w:eastAsia="仿宋" w:cs="方正仿宋简体"/>
          <w:iCs/>
          <w:color w:val="000000" w:themeColor="text1"/>
          <w14:textFill>
            <w14:solidFill>
              <w14:schemeClr w14:val="tx1"/>
            </w14:solidFill>
          </w14:textFill>
        </w:rPr>
      </w:pPr>
      <w:r>
        <w:rPr>
          <w:rFonts w:hint="eastAsia" w:ascii="仿宋" w:hAnsi="仿宋" w:eastAsia="仿宋" w:cs="方正仿宋简体"/>
          <w:iCs/>
          <w:color w:val="000000" w:themeColor="text1"/>
          <w14:textFill>
            <w14:solidFill>
              <w14:schemeClr w14:val="tx1"/>
            </w14:solidFill>
          </w14:textFill>
        </w:rPr>
        <w:t>注：1、本基金的认/申购费用由认/申购人承担，可用于市场推广、销售、注册登记等各项费用，不列入基金资产。基金销售机构可以对销售费用实行一定的优惠，具体以实际收取为准。</w:t>
      </w:r>
      <w:r>
        <w:rPr>
          <w:rFonts w:hint="eastAsia" w:ascii="仿宋" w:hAnsi="仿宋" w:eastAsia="仿宋" w:cs="方正仿宋简体"/>
          <w:iCs/>
          <w:color w:val="000000" w:themeColor="text1"/>
          <w14:textFill>
            <w14:solidFill>
              <w14:schemeClr w14:val="tx1"/>
            </w14:solidFill>
          </w14:textFill>
        </w:rPr>
        <w:br w:type="textWrapping"/>
      </w:r>
      <w:r>
        <w:rPr>
          <w:rFonts w:hint="eastAsia" w:ascii="仿宋" w:hAnsi="仿宋" w:eastAsia="仿宋" w:cs="方正仿宋简体"/>
          <w:iCs/>
          <w:color w:val="000000" w:themeColor="text1"/>
          <w14:textFill>
            <w14:solidFill>
              <w14:schemeClr w14:val="tx1"/>
            </w14:solidFill>
          </w14:textFill>
        </w:rPr>
        <w:t>2、本基金对通过本公司直销中心认/申购A类基金份额的特定投资者与除此之外的其他普通投资者实施差别的认/申购费率，特定投资者范围及具体费率优惠详见基金管理人发布的相关公告。</w:t>
      </w:r>
    </w:p>
    <w:p>
      <w:pPr>
        <w:spacing w:line="280" w:lineRule="exact"/>
        <w:rPr>
          <w:rFonts w:ascii="仿宋" w:hAnsi="仿宋" w:eastAsia="仿宋" w:cs="方正仿宋简体"/>
          <w:b/>
          <w:iCs/>
          <w:sz w:val="24"/>
          <w:szCs w:val="24"/>
        </w:rPr>
      </w:pPr>
    </w:p>
    <w:p>
      <w:pPr>
        <w:pStyle w:val="12"/>
        <w:numPr>
          <w:ilvl w:val="0"/>
          <w:numId w:val="4"/>
        </w:numPr>
        <w:spacing w:line="340" w:lineRule="exact"/>
        <w:ind w:firstLineChars="0"/>
        <w:outlineLvl w:val="1"/>
        <w:rPr>
          <w:rFonts w:ascii="仿宋" w:hAnsi="仿宋" w:eastAsia="仿宋" w:cs="方正仿宋简体"/>
          <w:b/>
          <w:iCs/>
          <w:sz w:val="24"/>
          <w:szCs w:val="24"/>
        </w:rPr>
      </w:pPr>
      <w:r>
        <w:rPr>
          <w:rFonts w:hint="eastAsia" w:ascii="仿宋" w:hAnsi="仿宋" w:eastAsia="仿宋" w:cs="方正仿宋简体"/>
          <w:b/>
          <w:iCs/>
          <w:sz w:val="24"/>
          <w:szCs w:val="24"/>
        </w:rPr>
        <w:t>基金运作相关费用</w:t>
      </w:r>
    </w:p>
    <w:p>
      <w:pPr>
        <w:autoSpaceDE w:val="0"/>
        <w:autoSpaceDN w:val="0"/>
        <w:adjustRightInd w:val="0"/>
        <w:spacing w:line="280" w:lineRule="exact"/>
        <w:jc w:val="left"/>
        <w:rPr>
          <w:rFonts w:ascii="仿宋" w:hAnsi="仿宋" w:eastAsia="仿宋" w:cs="方正仿宋简体"/>
          <w:iCs/>
        </w:rPr>
      </w:pPr>
      <w:r>
        <w:rPr>
          <w:rFonts w:hint="eastAsia" w:ascii="仿宋" w:hAnsi="仿宋" w:eastAsia="仿宋"/>
        </w:rPr>
        <w:t>以下</w:t>
      </w:r>
      <w:r>
        <w:rPr>
          <w:rFonts w:hint="eastAsia" w:ascii="仿宋" w:hAnsi="仿宋" w:eastAsia="仿宋" w:cs="方正仿宋简体"/>
          <w:iCs/>
        </w:rPr>
        <w:t>费用将从基金资产中扣除：</w:t>
      </w:r>
    </w:p>
    <w:tbl>
      <w:tblPr>
        <w:tblStyle w:val="7"/>
        <w:tblW w:w="5137" w:type="pct"/>
        <w:tblInd w:w="0" w:type="dxa"/>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Layout w:type="autofit"/>
        <w:tblCellMar>
          <w:top w:w="0" w:type="dxa"/>
          <w:left w:w="108" w:type="dxa"/>
          <w:bottom w:w="0" w:type="dxa"/>
          <w:right w:w="108" w:type="dxa"/>
        </w:tblCellMar>
      </w:tblPr>
      <w:tblGrid>
        <w:gridCol w:w="1478"/>
        <w:gridCol w:w="4726"/>
        <w:gridCol w:w="2552"/>
      </w:tblGrid>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844" w:type="pct"/>
            <w:vAlign w:val="center"/>
          </w:tcPr>
          <w:p>
            <w:pPr>
              <w:spacing w:line="280" w:lineRule="exact"/>
              <w:rPr>
                <w:rFonts w:ascii="仿宋" w:hAnsi="仿宋" w:eastAsia="仿宋" w:cs="方正仿宋简体"/>
                <w:b/>
                <w:bCs/>
              </w:rPr>
            </w:pPr>
            <w:r>
              <w:rPr>
                <w:rFonts w:hint="eastAsia" w:ascii="仿宋" w:hAnsi="仿宋" w:eastAsia="仿宋" w:cs="方正仿宋简体"/>
                <w:b/>
                <w:bCs/>
                <w:iCs/>
              </w:rPr>
              <w:t>费用类别</w:t>
            </w:r>
          </w:p>
        </w:tc>
        <w:tc>
          <w:tcPr>
            <w:tcW w:w="2699" w:type="pct"/>
            <w:vAlign w:val="center"/>
          </w:tcPr>
          <w:p>
            <w:pPr>
              <w:spacing w:line="280" w:lineRule="exact"/>
              <w:jc w:val="center"/>
              <w:rPr>
                <w:rFonts w:ascii="仿宋" w:hAnsi="仿宋" w:eastAsia="仿宋" w:cs="方正仿宋简体"/>
                <w:b/>
                <w:bCs/>
                <w:iCs/>
              </w:rPr>
            </w:pPr>
            <w:r>
              <w:rPr>
                <w:rFonts w:hint="eastAsia" w:ascii="仿宋" w:hAnsi="仿宋" w:eastAsia="仿宋" w:cs="方正仿宋简体"/>
                <w:b/>
                <w:bCs/>
                <w:iCs/>
              </w:rPr>
              <w:t>收费方式/年费率或金额</w:t>
            </w:r>
          </w:p>
        </w:tc>
        <w:tc>
          <w:tcPr>
            <w:tcW w:w="1457" w:type="pct"/>
            <w:tcBorders>
              <w:bottom w:val="dashSmallGap" w:color="7F7F7F" w:themeColor="background1" w:themeShade="80" w:sz="4" w:space="0"/>
            </w:tcBorders>
            <w:vAlign w:val="center"/>
          </w:tcPr>
          <w:p>
            <w:pPr>
              <w:spacing w:line="280" w:lineRule="exact"/>
              <w:jc w:val="center"/>
              <w:rPr>
                <w:rFonts w:ascii="仿宋" w:hAnsi="仿宋" w:eastAsia="仿宋" w:cs="方正仿宋简体"/>
                <w:b/>
                <w:bCs/>
                <w:iCs/>
              </w:rPr>
            </w:pPr>
            <w:r>
              <w:rPr>
                <w:rFonts w:hint="eastAsia" w:ascii="仿宋" w:hAnsi="仿宋" w:eastAsia="仿宋" w:cs="方正仿宋简体"/>
                <w:b/>
                <w:bCs/>
                <w:iCs/>
              </w:rPr>
              <w:t>收费方</w:t>
            </w: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844" w:type="pct"/>
            <w:vAlign w:val="center"/>
          </w:tcPr>
          <w:p>
            <w:pPr>
              <w:spacing w:line="280" w:lineRule="exact"/>
              <w:rPr>
                <w:rFonts w:ascii="仿宋" w:hAnsi="仿宋" w:eastAsia="仿宋" w:cs="方正仿宋简体"/>
                <w:bCs/>
                <w:iCs/>
              </w:rPr>
            </w:pPr>
            <w:r>
              <w:rPr>
                <w:rFonts w:hint="eastAsia" w:ascii="仿宋" w:hAnsi="仿宋" w:eastAsia="仿宋" w:cs="方正仿宋简体"/>
                <w:bCs/>
                <w:iCs/>
              </w:rPr>
              <w:t>管理费</w:t>
            </w:r>
          </w:p>
        </w:tc>
        <w:tc>
          <w:tcPr>
            <w:tcW w:w="2699" w:type="pct"/>
            <w:vAlign w:val="center"/>
          </w:tcPr>
          <w:p>
            <w:pPr>
              <w:spacing w:line="280" w:lineRule="exact"/>
              <w:jc w:val="center"/>
              <w:rPr>
                <w:rFonts w:ascii="仿宋" w:hAnsi="仿宋" w:eastAsia="仿宋" w:cs="方正仿宋简体"/>
                <w:bCs/>
                <w:iCs/>
              </w:rPr>
            </w:pPr>
            <w:r>
              <w:rPr>
                <w:rFonts w:hint="eastAsia" w:ascii="仿宋" w:hAnsi="仿宋" w:eastAsia="仿宋" w:cs="方正仿宋简体"/>
                <w:bCs/>
                <w:iCs/>
              </w:rPr>
              <w:t xml:space="preserve"> 0.50%</w:t>
            </w:r>
          </w:p>
        </w:tc>
        <w:tc>
          <w:tcPr>
            <w:tcW w:w="1457" w:type="pct"/>
            <w:tcBorders>
              <w:top w:val="dashSmallGap" w:color="7F7F7F" w:themeColor="background1" w:themeShade="80" w:sz="4" w:space="0"/>
            </w:tcBorders>
            <w:vAlign w:val="center"/>
          </w:tcPr>
          <w:p>
            <w:pPr>
              <w:spacing w:line="280" w:lineRule="exact"/>
              <w:jc w:val="center"/>
              <w:rPr>
                <w:rFonts w:ascii="仿宋" w:hAnsi="仿宋" w:eastAsia="仿宋" w:cs="方正仿宋简体"/>
                <w:bCs/>
                <w:iCs/>
              </w:rPr>
            </w:pPr>
            <w:r>
              <w:rPr>
                <w:rFonts w:hint="eastAsia" w:ascii="仿宋" w:hAnsi="仿宋" w:eastAsia="仿宋" w:cs="方正仿宋简体"/>
                <w:bCs/>
                <w:iCs/>
              </w:rPr>
              <w:t>基金管理人、销售机构</w:t>
            </w: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844" w:type="pct"/>
            <w:vAlign w:val="center"/>
          </w:tcPr>
          <w:p>
            <w:pPr>
              <w:spacing w:line="280" w:lineRule="exact"/>
              <w:rPr>
                <w:rFonts w:ascii="仿宋" w:hAnsi="仿宋" w:eastAsia="仿宋" w:cs="方正仿宋简体"/>
                <w:bCs/>
                <w:iCs/>
              </w:rPr>
            </w:pPr>
            <w:r>
              <w:rPr>
                <w:rFonts w:hint="eastAsia" w:ascii="仿宋" w:hAnsi="仿宋" w:eastAsia="仿宋" w:cs="方正仿宋简体"/>
                <w:bCs/>
                <w:iCs/>
              </w:rPr>
              <w:t>托管费</w:t>
            </w:r>
          </w:p>
        </w:tc>
        <w:tc>
          <w:tcPr>
            <w:tcW w:w="2699" w:type="pct"/>
            <w:vAlign w:val="center"/>
          </w:tcPr>
          <w:p>
            <w:pPr>
              <w:spacing w:line="280" w:lineRule="exact"/>
              <w:jc w:val="center"/>
              <w:rPr>
                <w:rFonts w:ascii="仿宋" w:hAnsi="仿宋" w:eastAsia="仿宋" w:cs="方正仿宋简体"/>
                <w:bCs/>
                <w:iCs/>
              </w:rPr>
            </w:pPr>
            <w:r>
              <w:rPr>
                <w:rFonts w:hint="eastAsia" w:ascii="仿宋" w:hAnsi="仿宋" w:eastAsia="仿宋" w:cs="方正仿宋简体"/>
                <w:bCs/>
                <w:iCs/>
              </w:rPr>
              <w:t xml:space="preserve"> 0.10%</w:t>
            </w:r>
          </w:p>
        </w:tc>
        <w:tc>
          <w:tcPr>
            <w:tcW w:w="1457" w:type="pct"/>
            <w:vAlign w:val="center"/>
          </w:tcPr>
          <w:p>
            <w:pPr>
              <w:spacing w:line="280" w:lineRule="exact"/>
              <w:jc w:val="center"/>
              <w:rPr>
                <w:rFonts w:ascii="仿宋" w:hAnsi="仿宋" w:eastAsia="仿宋" w:cs="方正仿宋简体"/>
                <w:bCs/>
                <w:iCs/>
              </w:rPr>
            </w:pPr>
            <w:r>
              <w:rPr>
                <w:rFonts w:hint="eastAsia" w:ascii="仿宋" w:hAnsi="仿宋" w:eastAsia="仿宋" w:cs="方正仿宋简体"/>
                <w:bCs/>
                <w:iCs/>
              </w:rPr>
              <w:t>基金托管人</w:t>
            </w: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844" w:type="pct"/>
            <w:vAlign w:val="center"/>
          </w:tcPr>
          <w:p>
            <w:pPr>
              <w:spacing w:line="280" w:lineRule="exact"/>
              <w:rPr>
                <w:rFonts w:ascii="仿宋" w:hAnsi="仿宋" w:eastAsia="仿宋" w:cs="方正仿宋简体"/>
                <w:iCs/>
              </w:rPr>
            </w:pPr>
            <w:r>
              <w:rPr>
                <w:rFonts w:hint="eastAsia" w:ascii="仿宋" w:hAnsi="仿宋" w:eastAsia="仿宋" w:cs="方正仿宋简体"/>
                <w:iCs/>
              </w:rPr>
              <w:t>审计费用</w:t>
            </w:r>
          </w:p>
        </w:tc>
        <w:tc>
          <w:tcPr>
            <w:tcW w:w="2699" w:type="pct"/>
            <w:vAlign w:val="center"/>
          </w:tcPr>
          <w:p>
            <w:pPr>
              <w:spacing w:line="280" w:lineRule="exact"/>
              <w:jc w:val="center"/>
              <w:rPr>
                <w:rFonts w:ascii="仿宋" w:hAnsi="仿宋" w:eastAsia="仿宋" w:cs="方正仿宋简体"/>
                <w:bCs/>
                <w:iCs/>
              </w:rPr>
            </w:pPr>
            <w:r>
              <w:rPr>
                <w:rFonts w:hint="eastAsia" w:ascii="仿宋" w:hAnsi="仿宋" w:eastAsia="仿宋"/>
                <w:color w:val="333399"/>
              </w:rPr>
              <w:t>-</w:t>
            </w:r>
          </w:p>
        </w:tc>
        <w:tc>
          <w:tcPr>
            <w:tcW w:w="1457" w:type="pct"/>
            <w:vAlign w:val="center"/>
          </w:tcPr>
          <w:p>
            <w:pPr>
              <w:spacing w:line="280" w:lineRule="exact"/>
              <w:jc w:val="center"/>
              <w:rPr>
                <w:rFonts w:ascii="仿宋" w:hAnsi="仿宋" w:eastAsia="仿宋" w:cs="方正仿宋简体"/>
                <w:bCs/>
                <w:iCs/>
              </w:rPr>
            </w:pPr>
            <w:r>
              <w:rPr>
                <w:rFonts w:hint="eastAsia" w:ascii="仿宋" w:hAnsi="仿宋" w:eastAsia="仿宋" w:cs="方正仿宋简体"/>
                <w:bCs/>
                <w:iCs/>
              </w:rPr>
              <w:t>会计师事务所</w:t>
            </w: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844" w:type="pct"/>
            <w:vAlign w:val="center"/>
          </w:tcPr>
          <w:p>
            <w:pPr>
              <w:spacing w:line="280" w:lineRule="exact"/>
              <w:rPr>
                <w:rFonts w:ascii="仿宋" w:hAnsi="仿宋" w:eastAsia="仿宋" w:cs="方正仿宋简体"/>
                <w:iCs/>
              </w:rPr>
            </w:pPr>
            <w:r>
              <w:rPr>
                <w:rFonts w:hint="eastAsia" w:ascii="仿宋" w:hAnsi="仿宋" w:eastAsia="仿宋" w:cs="方正仿宋简体"/>
                <w:iCs/>
              </w:rPr>
              <w:t>信息披露费</w:t>
            </w:r>
          </w:p>
        </w:tc>
        <w:tc>
          <w:tcPr>
            <w:tcW w:w="2699" w:type="pct"/>
            <w:vAlign w:val="center"/>
          </w:tcPr>
          <w:p>
            <w:pPr>
              <w:spacing w:line="280" w:lineRule="exact"/>
              <w:jc w:val="center"/>
              <w:rPr>
                <w:rFonts w:ascii="仿宋" w:hAnsi="仿宋" w:eastAsia="仿宋" w:cs="方正仿宋简体"/>
                <w:bCs/>
                <w:iCs/>
              </w:rPr>
            </w:pPr>
            <w:r>
              <w:rPr>
                <w:rFonts w:hint="eastAsia" w:ascii="仿宋" w:hAnsi="仿宋" w:eastAsia="仿宋"/>
                <w:color w:val="333399"/>
              </w:rPr>
              <w:t>-</w:t>
            </w:r>
          </w:p>
        </w:tc>
        <w:tc>
          <w:tcPr>
            <w:tcW w:w="1457" w:type="pct"/>
            <w:vAlign w:val="center"/>
          </w:tcPr>
          <w:p>
            <w:pPr>
              <w:spacing w:line="280" w:lineRule="exact"/>
              <w:jc w:val="center"/>
              <w:rPr>
                <w:rFonts w:ascii="仿宋" w:hAnsi="仿宋" w:eastAsia="仿宋" w:cs="方正仿宋简体"/>
                <w:bCs/>
                <w:iCs/>
              </w:rPr>
            </w:pPr>
            <w:r>
              <w:rPr>
                <w:rFonts w:hint="eastAsia" w:ascii="仿宋" w:hAnsi="仿宋" w:eastAsia="仿宋" w:cs="方正仿宋简体"/>
                <w:bCs/>
                <w:iCs/>
              </w:rPr>
              <w:t>规定披露报刊</w:t>
            </w:r>
          </w:p>
        </w:tc>
      </w:tr>
      <w:tr>
        <w:tblPrEx>
          <w:tblBorders>
            <w:top w:val="single" w:color="000000" w:sz="4" w:space="0"/>
            <w:left w:val="none" w:color="auto" w:sz="0" w:space="0"/>
            <w:bottom w:val="single" w:color="000000" w:sz="4" w:space="0"/>
            <w:right w:val="none" w:color="auto" w:sz="0" w:space="0"/>
            <w:insideH w:val="dashSmallGap" w:color="7F7F7F" w:themeColor="background1" w:themeShade="80" w:sz="4" w:space="0"/>
            <w:insideV w:val="none" w:color="auto" w:sz="0" w:space="0"/>
          </w:tblBorders>
          <w:tblCellMar>
            <w:top w:w="0" w:type="dxa"/>
            <w:left w:w="108" w:type="dxa"/>
            <w:bottom w:w="0" w:type="dxa"/>
            <w:right w:w="108" w:type="dxa"/>
          </w:tblCellMar>
        </w:tblPrEx>
        <w:trPr>
          <w:trHeight w:val="454" w:hRule="atLeast"/>
        </w:trPr>
        <w:tc>
          <w:tcPr>
            <w:tcW w:w="844" w:type="pct"/>
            <w:vAlign w:val="center"/>
          </w:tcPr>
          <w:p>
            <w:pPr>
              <w:spacing w:line="280" w:lineRule="exact"/>
              <w:rPr>
                <w:rFonts w:ascii="仿宋" w:hAnsi="仿宋" w:eastAsia="仿宋" w:cs="方正仿宋简体"/>
                <w:iCs/>
              </w:rPr>
            </w:pPr>
            <w:r>
              <w:rPr>
                <w:rFonts w:hint="eastAsia" w:ascii="仿宋" w:hAnsi="仿宋" w:eastAsia="仿宋" w:cs="方正仿宋简体"/>
                <w:iCs/>
              </w:rPr>
              <w:t>其他费用</w:t>
            </w:r>
          </w:p>
        </w:tc>
        <w:tc>
          <w:tcPr>
            <w:tcW w:w="2699" w:type="pct"/>
            <w:vAlign w:val="center"/>
          </w:tcPr>
          <w:p>
            <w:pPr>
              <w:spacing w:line="280" w:lineRule="exact"/>
              <w:jc w:val="center"/>
              <w:rPr>
                <w:rFonts w:ascii="仿宋" w:hAnsi="仿宋" w:eastAsia="仿宋" w:cs="方正仿宋简体"/>
                <w:bCs/>
                <w:iCs/>
              </w:rPr>
            </w:pPr>
            <w:r>
              <w:rPr>
                <w:rFonts w:hint="eastAsia" w:ascii="仿宋" w:hAnsi="仿宋" w:eastAsia="仿宋" w:cs="方正仿宋简体"/>
                <w:bCs/>
                <w:iCs/>
              </w:rPr>
              <w:t xml:space="preserve">《基金合同》生效后与基金相关的律师费、基金份额持有人大会费用、基金的证券交易费用、基金的银行汇划费用、基金相关账户的开户及维护费用等费用，以及按照国家有关规定和《基金合同》约定，可以在基金财产中列支的其他费用。费用类别详见本基金《基金合同》及《招募说明书》或其更新。  </w:t>
            </w:r>
          </w:p>
        </w:tc>
        <w:tc>
          <w:tcPr>
            <w:tcW w:w="1457" w:type="pct"/>
            <w:vAlign w:val="center"/>
          </w:tcPr>
          <w:p>
            <w:pPr>
              <w:spacing w:line="280" w:lineRule="exact"/>
              <w:jc w:val="center"/>
              <w:rPr>
                <w:rFonts w:ascii="仿宋" w:hAnsi="仿宋" w:eastAsia="仿宋" w:cs="方正仿宋简体"/>
                <w:bCs/>
                <w:iCs/>
              </w:rPr>
            </w:pPr>
            <w:r>
              <w:rPr>
                <w:rFonts w:hint="eastAsia" w:ascii="仿宋" w:hAnsi="仿宋" w:eastAsia="仿宋" w:cs="方正仿宋简体"/>
                <w:bCs/>
                <w:iCs/>
              </w:rPr>
              <w:t>相关服务机构</w:t>
            </w:r>
          </w:p>
        </w:tc>
      </w:tr>
    </w:tbl>
    <w:p>
      <w:pPr>
        <w:autoSpaceDE w:val="0"/>
        <w:autoSpaceDN w:val="0"/>
        <w:adjustRightInd w:val="0"/>
        <w:spacing w:line="280" w:lineRule="exact"/>
        <w:jc w:val="left"/>
        <w:rPr>
          <w:rFonts w:ascii="仿宋" w:hAnsi="仿宋" w:eastAsia="仿宋" w:cs="方正仿宋简体"/>
          <w:bCs/>
          <w:iCs/>
        </w:rPr>
      </w:pPr>
      <w:r>
        <w:rPr>
          <w:rFonts w:hint="eastAsia" w:ascii="仿宋" w:hAnsi="仿宋" w:eastAsia="仿宋" w:cs="方正仿宋简体"/>
          <w:bCs/>
          <w:iCs/>
        </w:rPr>
        <w:t>注： 本基金交易证券、基金等产生的费用和税负，按实际发生额从基金资产扣除；</w:t>
      </w:r>
      <w:r>
        <w:rPr>
          <w:rFonts w:hint="eastAsia" w:ascii="仿宋" w:hAnsi="仿宋" w:eastAsia="仿宋" w:cs="方正仿宋简体"/>
          <w:bCs/>
          <w:iCs/>
        </w:rPr>
        <w:br w:type="textWrapping"/>
      </w:r>
      <w:r>
        <w:rPr>
          <w:rFonts w:hint="eastAsia" w:ascii="仿宋" w:hAnsi="仿宋" w:eastAsia="仿宋" w:cs="方正仿宋简体"/>
          <w:bCs/>
          <w:iCs/>
        </w:rPr>
        <w:t>本基金基金财产中投资于目标ETF的部分不收取管理费和托管费。</w:t>
      </w:r>
    </w:p>
    <w:p>
      <w:pPr>
        <w:autoSpaceDE w:val="0"/>
        <w:autoSpaceDN w:val="0"/>
        <w:adjustRightInd w:val="0"/>
        <w:spacing w:line="280" w:lineRule="exact"/>
        <w:jc w:val="left"/>
        <w:rPr>
          <w:rFonts w:ascii="仿宋" w:hAnsi="仿宋" w:eastAsia="仿宋" w:cs="仿宋_GB2312"/>
          <w:kern w:val="0"/>
          <w:szCs w:val="24"/>
        </w:rPr>
      </w:pPr>
    </w:p>
    <w:p>
      <w:pPr>
        <w:numPr>
          <w:ilvl w:val="0"/>
          <w:numId w:val="2"/>
        </w:numPr>
        <w:spacing w:line="280" w:lineRule="exact"/>
        <w:outlineLvl w:val="0"/>
        <w:rPr>
          <w:rFonts w:ascii="仿宋" w:hAnsi="仿宋" w:eastAsia="仿宋" w:cs="方正仿宋简体"/>
          <w:b/>
          <w:iCs/>
          <w:sz w:val="24"/>
          <w:szCs w:val="24"/>
        </w:rPr>
      </w:pPr>
      <w:r>
        <w:rPr>
          <w:rFonts w:hint="eastAsia" w:ascii="仿宋" w:hAnsi="仿宋" w:eastAsia="仿宋" w:cs="方正仿宋简体"/>
          <w:b/>
          <w:iCs/>
          <w:sz w:val="24"/>
          <w:szCs w:val="24"/>
        </w:rPr>
        <w:t>风险揭示与重要提示</w:t>
      </w:r>
    </w:p>
    <w:p>
      <w:pPr>
        <w:spacing w:line="280" w:lineRule="exact"/>
        <w:outlineLvl w:val="1"/>
        <w:rPr>
          <w:rFonts w:ascii="仿宋" w:hAnsi="仿宋" w:eastAsia="仿宋"/>
          <w:color w:val="0000FF"/>
          <w:kern w:val="0"/>
          <w:sz w:val="18"/>
        </w:rPr>
      </w:pPr>
      <w:r>
        <w:rPr>
          <w:rFonts w:hint="eastAsia" w:ascii="仿宋" w:hAnsi="仿宋" w:eastAsia="仿宋" w:cs="方正仿宋简体"/>
          <w:b/>
          <w:bCs/>
          <w:iCs/>
          <w:sz w:val="24"/>
          <w:szCs w:val="24"/>
        </w:rPr>
        <w:t>（一）风险揭示</w:t>
      </w:r>
    </w:p>
    <w:p>
      <w:pPr>
        <w:spacing w:line="280" w:lineRule="exact"/>
        <w:ind w:firstLine="420"/>
        <w:rPr>
          <w:rFonts w:ascii="仿宋" w:hAnsi="仿宋" w:eastAsia="仿宋" w:cs="方正仿宋简体"/>
          <w:iCs/>
        </w:rPr>
      </w:pPr>
      <w:r>
        <w:rPr>
          <w:rFonts w:hint="eastAsia" w:ascii="仿宋" w:hAnsi="仿宋" w:eastAsia="仿宋" w:cs="方正仿宋简体"/>
          <w:iCs/>
        </w:rPr>
        <w:t>本基金不提供任何保证。投资者可能损失投资本金。</w:t>
      </w:r>
    </w:p>
    <w:p>
      <w:pPr>
        <w:spacing w:line="280" w:lineRule="exact"/>
        <w:ind w:firstLine="420"/>
        <w:rPr>
          <w:rFonts w:ascii="仿宋" w:hAnsi="仿宋" w:eastAsia="仿宋" w:cs="方正仿宋简体"/>
          <w:iCs/>
        </w:rPr>
      </w:pPr>
      <w:r>
        <w:rPr>
          <w:rFonts w:hint="eastAsia" w:ascii="仿宋" w:hAnsi="仿宋" w:eastAsia="仿宋" w:cs="方正仿宋简体"/>
          <w:iCs/>
        </w:rPr>
        <w:t>投资有风险，投资者购买基金时应认真阅读本基金的《招募说明书》等销售文件。</w:t>
      </w:r>
    </w:p>
    <w:p>
      <w:pPr>
        <w:spacing w:line="280" w:lineRule="exact"/>
        <w:ind w:firstLine="420"/>
        <w:rPr>
          <w:rFonts w:ascii="仿宋" w:hAnsi="仿宋" w:eastAsia="仿宋" w:cs="方正仿宋简体"/>
          <w:iCs/>
        </w:rPr>
      </w:pPr>
      <w:r>
        <w:rPr>
          <w:rFonts w:hint="eastAsia" w:ascii="仿宋" w:hAnsi="仿宋" w:eastAsia="仿宋" w:cs="方正仿宋简体"/>
          <w:iCs/>
        </w:rPr>
        <w:t>1、本基金特有的风险</w:t>
      </w:r>
    </w:p>
    <w:p>
      <w:pPr>
        <w:spacing w:line="280" w:lineRule="exact"/>
        <w:ind w:firstLine="420"/>
        <w:rPr>
          <w:rFonts w:ascii="仿宋" w:hAnsi="仿宋" w:eastAsia="仿宋" w:cs="方正仿宋简体"/>
          <w:iCs/>
        </w:rPr>
      </w:pPr>
      <w:r>
        <w:rPr>
          <w:rFonts w:hint="eastAsia" w:ascii="仿宋" w:hAnsi="仿宋" w:eastAsia="仿宋" w:cs="方正仿宋简体"/>
          <w:iCs/>
        </w:rPr>
        <w:t>（1）指数投资相关的风险</w:t>
      </w:r>
    </w:p>
    <w:p>
      <w:pPr>
        <w:spacing w:line="280" w:lineRule="exact"/>
        <w:ind w:firstLine="420"/>
        <w:rPr>
          <w:rFonts w:ascii="仿宋" w:hAnsi="仿宋" w:eastAsia="仿宋" w:cs="方正仿宋简体"/>
          <w:iCs/>
        </w:rPr>
      </w:pPr>
      <w:r>
        <w:rPr>
          <w:rFonts w:hint="eastAsia" w:ascii="仿宋" w:hAnsi="仿宋" w:eastAsia="仿宋" w:cs="方正仿宋简体"/>
          <w:iCs/>
        </w:rPr>
        <w:t>1）标的指数回报与股票市场平均回报偏离的风险</w:t>
      </w:r>
    </w:p>
    <w:p>
      <w:pPr>
        <w:spacing w:line="280" w:lineRule="exact"/>
        <w:ind w:firstLine="420"/>
        <w:rPr>
          <w:rFonts w:ascii="仿宋" w:hAnsi="仿宋" w:eastAsia="仿宋" w:cs="方正仿宋简体"/>
          <w:iCs/>
        </w:rPr>
      </w:pPr>
      <w:r>
        <w:rPr>
          <w:rFonts w:hint="eastAsia" w:ascii="仿宋" w:hAnsi="仿宋" w:eastAsia="仿宋" w:cs="方正仿宋简体"/>
          <w:iCs/>
        </w:rPr>
        <w:t>2）标的指数波动的风险</w:t>
      </w:r>
    </w:p>
    <w:p>
      <w:pPr>
        <w:spacing w:line="280" w:lineRule="exact"/>
        <w:ind w:firstLine="420"/>
        <w:rPr>
          <w:rFonts w:ascii="仿宋" w:hAnsi="仿宋" w:eastAsia="仿宋" w:cs="方正仿宋简体"/>
          <w:iCs/>
        </w:rPr>
      </w:pPr>
      <w:r>
        <w:rPr>
          <w:rFonts w:hint="eastAsia" w:ascii="仿宋" w:hAnsi="仿宋" w:eastAsia="仿宋" w:cs="方正仿宋简体"/>
          <w:iCs/>
        </w:rPr>
        <w:t>3）基金投资组合回报与标的指数回报偏离的风险</w:t>
      </w:r>
    </w:p>
    <w:p>
      <w:pPr>
        <w:spacing w:line="280" w:lineRule="exact"/>
        <w:ind w:firstLine="420"/>
        <w:rPr>
          <w:rFonts w:ascii="仿宋" w:hAnsi="仿宋" w:eastAsia="仿宋" w:cs="方正仿宋简体"/>
          <w:iCs/>
        </w:rPr>
      </w:pPr>
      <w:r>
        <w:rPr>
          <w:rFonts w:hint="eastAsia" w:ascii="仿宋" w:hAnsi="仿宋" w:eastAsia="仿宋" w:cs="方正仿宋简体"/>
          <w:iCs/>
        </w:rPr>
        <w:t>4）成份股权重较大的风险</w:t>
      </w:r>
    </w:p>
    <w:p>
      <w:pPr>
        <w:spacing w:line="280" w:lineRule="exact"/>
        <w:ind w:firstLine="420"/>
        <w:rPr>
          <w:rFonts w:ascii="仿宋" w:hAnsi="仿宋" w:eastAsia="仿宋" w:cs="方正仿宋简体"/>
          <w:iCs/>
        </w:rPr>
      </w:pPr>
      <w:r>
        <w:rPr>
          <w:rFonts w:hint="eastAsia" w:ascii="仿宋" w:hAnsi="仿宋" w:eastAsia="仿宋" w:cs="方正仿宋简体"/>
          <w:iCs/>
        </w:rPr>
        <w:t>5）成份股停牌的风险</w:t>
      </w:r>
    </w:p>
    <w:p>
      <w:pPr>
        <w:spacing w:line="280" w:lineRule="exact"/>
        <w:ind w:firstLine="420"/>
        <w:rPr>
          <w:rFonts w:ascii="仿宋" w:hAnsi="仿宋" w:eastAsia="仿宋" w:cs="方正仿宋简体"/>
          <w:iCs/>
        </w:rPr>
      </w:pPr>
      <w:r>
        <w:rPr>
          <w:rFonts w:hint="eastAsia" w:ascii="仿宋" w:hAnsi="仿宋" w:eastAsia="仿宋" w:cs="方正仿宋简体"/>
          <w:iCs/>
        </w:rPr>
        <w:t>6）指数成份股发生负面事件面临退市时的应对风险</w:t>
      </w:r>
    </w:p>
    <w:p>
      <w:pPr>
        <w:spacing w:line="280" w:lineRule="exact"/>
        <w:ind w:firstLine="420"/>
        <w:rPr>
          <w:rFonts w:ascii="仿宋" w:hAnsi="仿宋" w:eastAsia="仿宋" w:cs="方正仿宋简体"/>
          <w:iCs/>
        </w:rPr>
      </w:pPr>
      <w:r>
        <w:rPr>
          <w:rFonts w:hint="eastAsia" w:ascii="仿宋" w:hAnsi="仿宋" w:eastAsia="仿宋" w:cs="方正仿宋简体"/>
          <w:iCs/>
        </w:rPr>
        <w:t>7）标的指数变更的风险</w:t>
      </w:r>
    </w:p>
    <w:p>
      <w:pPr>
        <w:spacing w:line="280" w:lineRule="exact"/>
        <w:ind w:firstLine="420"/>
        <w:rPr>
          <w:rFonts w:ascii="仿宋" w:hAnsi="仿宋" w:eastAsia="仿宋" w:cs="方正仿宋简体"/>
          <w:iCs/>
        </w:rPr>
      </w:pPr>
      <w:r>
        <w:rPr>
          <w:rFonts w:hint="eastAsia" w:ascii="仿宋" w:hAnsi="仿宋" w:eastAsia="仿宋" w:cs="方正仿宋简体"/>
          <w:iCs/>
        </w:rPr>
        <w:t>8）指数编制机构停止服务的风险</w:t>
      </w:r>
    </w:p>
    <w:p>
      <w:pPr>
        <w:spacing w:line="280" w:lineRule="exact"/>
        <w:ind w:firstLine="420"/>
        <w:rPr>
          <w:rFonts w:ascii="仿宋" w:hAnsi="仿宋" w:eastAsia="仿宋" w:cs="方正仿宋简体"/>
          <w:iCs/>
        </w:rPr>
      </w:pPr>
      <w:r>
        <w:rPr>
          <w:rFonts w:hint="eastAsia" w:ascii="仿宋" w:hAnsi="仿宋" w:eastAsia="仿宋" w:cs="方正仿宋简体"/>
          <w:iCs/>
        </w:rPr>
        <w:t>9）标的指数值计算出错的风险</w:t>
      </w:r>
    </w:p>
    <w:p>
      <w:pPr>
        <w:spacing w:line="280" w:lineRule="exact"/>
        <w:ind w:firstLine="420"/>
        <w:rPr>
          <w:rFonts w:ascii="仿宋" w:hAnsi="仿宋" w:eastAsia="仿宋" w:cs="方正仿宋简体"/>
          <w:iCs/>
        </w:rPr>
      </w:pPr>
      <w:r>
        <w:rPr>
          <w:rFonts w:hint="eastAsia" w:ascii="仿宋" w:hAnsi="仿宋" w:eastAsia="仿宋" w:cs="方正仿宋简体"/>
          <w:iCs/>
        </w:rPr>
        <w:t>（2）ETF联接基金相关投资风险</w:t>
      </w:r>
    </w:p>
    <w:p>
      <w:pPr>
        <w:spacing w:line="280" w:lineRule="exact"/>
        <w:ind w:firstLine="420"/>
        <w:rPr>
          <w:rFonts w:ascii="仿宋" w:hAnsi="仿宋" w:eastAsia="仿宋" w:cs="方正仿宋简体"/>
          <w:iCs/>
        </w:rPr>
      </w:pPr>
      <w:r>
        <w:rPr>
          <w:rFonts w:hint="eastAsia" w:ascii="仿宋" w:hAnsi="仿宋" w:eastAsia="仿宋" w:cs="方正仿宋简体"/>
          <w:iCs/>
        </w:rPr>
        <w:t>1）投资于目标ETF的风险</w:t>
      </w:r>
    </w:p>
    <w:p>
      <w:pPr>
        <w:spacing w:line="280" w:lineRule="exact"/>
        <w:ind w:firstLine="420"/>
        <w:rPr>
          <w:rFonts w:ascii="仿宋" w:hAnsi="仿宋" w:eastAsia="仿宋" w:cs="方正仿宋简体"/>
          <w:iCs/>
        </w:rPr>
      </w:pPr>
      <w:r>
        <w:rPr>
          <w:rFonts w:hint="eastAsia" w:ascii="仿宋" w:hAnsi="仿宋" w:eastAsia="仿宋" w:cs="方正仿宋简体"/>
          <w:iCs/>
        </w:rPr>
        <w:t>2）跟踪误差控制未达约定目标的风险</w:t>
      </w:r>
    </w:p>
    <w:p>
      <w:pPr>
        <w:spacing w:line="280" w:lineRule="exact"/>
        <w:ind w:firstLine="420"/>
        <w:rPr>
          <w:rFonts w:ascii="仿宋" w:hAnsi="仿宋" w:eastAsia="仿宋" w:cs="方正仿宋简体"/>
          <w:iCs/>
        </w:rPr>
      </w:pPr>
      <w:r>
        <w:rPr>
          <w:rFonts w:hint="eastAsia" w:ascii="仿宋" w:hAnsi="仿宋" w:eastAsia="仿宋" w:cs="方正仿宋简体"/>
          <w:iCs/>
        </w:rPr>
        <w:t>3）本基金为目标ETF的联接基金，但不能保证本基金的表现与目标ETF的表现完全一致，产生差异的原因主要包括：①现金投资比例要求；②申购赎回的影响。</w:t>
      </w:r>
    </w:p>
    <w:p>
      <w:pPr>
        <w:spacing w:line="280" w:lineRule="exact"/>
        <w:ind w:firstLine="420"/>
        <w:rPr>
          <w:rFonts w:ascii="仿宋" w:hAnsi="仿宋" w:eastAsia="仿宋" w:cs="方正仿宋简体"/>
          <w:iCs/>
        </w:rPr>
      </w:pPr>
      <w:r>
        <w:rPr>
          <w:rFonts w:hint="eastAsia" w:ascii="仿宋" w:hAnsi="仿宋" w:eastAsia="仿宋" w:cs="方正仿宋简体"/>
          <w:iCs/>
        </w:rPr>
        <w:t>4）目标ETF面临的风险可能直接或间接成为本基金的风险</w:t>
      </w:r>
    </w:p>
    <w:p>
      <w:pPr>
        <w:spacing w:line="280" w:lineRule="exact"/>
        <w:ind w:firstLine="420"/>
        <w:rPr>
          <w:rFonts w:ascii="仿宋" w:hAnsi="仿宋" w:eastAsia="仿宋" w:cs="方正仿宋简体"/>
          <w:iCs/>
        </w:rPr>
      </w:pPr>
      <w:r>
        <w:rPr>
          <w:rFonts w:hint="eastAsia" w:ascii="仿宋" w:hAnsi="仿宋" w:eastAsia="仿宋" w:cs="方正仿宋简体"/>
          <w:iCs/>
        </w:rPr>
        <w:t>5）由目标ETF的联接基金变更为直接投资目标ETF标的指数成份股的指数基金的风险</w:t>
      </w:r>
    </w:p>
    <w:p>
      <w:pPr>
        <w:spacing w:line="280" w:lineRule="exact"/>
        <w:ind w:firstLine="420"/>
        <w:rPr>
          <w:rFonts w:ascii="仿宋" w:hAnsi="仿宋" w:eastAsia="仿宋" w:cs="方正仿宋简体"/>
          <w:iCs/>
        </w:rPr>
      </w:pPr>
      <w:r>
        <w:rPr>
          <w:rFonts w:hint="eastAsia" w:ascii="仿宋" w:hAnsi="仿宋" w:eastAsia="仿宋" w:cs="方正仿宋简体"/>
          <w:iCs/>
        </w:rPr>
        <w:t>（3）本基金可投资于股指期货、国债期货、股票期权、资产支持证券、存托凭证等特定品种以及参与转融通证券出借业务，将面临投资上述品种或参与上述业务所产生特定的风险，可能给基金净值带来不利影响或损失。</w:t>
      </w:r>
    </w:p>
    <w:p>
      <w:pPr>
        <w:spacing w:line="280" w:lineRule="exact"/>
        <w:ind w:firstLine="420"/>
        <w:rPr>
          <w:rFonts w:ascii="仿宋" w:hAnsi="仿宋" w:eastAsia="仿宋" w:cs="方正仿宋简体"/>
          <w:iCs/>
        </w:rPr>
      </w:pPr>
      <w:r>
        <w:rPr>
          <w:rFonts w:hint="eastAsia" w:ascii="仿宋" w:hAnsi="仿宋" w:eastAsia="仿宋" w:cs="方正仿宋简体"/>
          <w:iCs/>
        </w:rPr>
        <w:t>（4）主题集中投资的风险</w:t>
      </w:r>
    </w:p>
    <w:p>
      <w:pPr>
        <w:spacing w:line="280" w:lineRule="exact"/>
        <w:ind w:firstLine="420"/>
        <w:rPr>
          <w:rFonts w:ascii="仿宋" w:hAnsi="仿宋" w:eastAsia="仿宋" w:cs="方正仿宋简体"/>
          <w:iCs/>
        </w:rPr>
      </w:pPr>
      <w:r>
        <w:rPr>
          <w:rFonts w:hint="eastAsia" w:ascii="仿宋" w:hAnsi="仿宋" w:eastAsia="仿宋" w:cs="方正仿宋简体"/>
          <w:iCs/>
        </w:rPr>
        <w:t>本基金标的指数成份股主要集中于港股通汽车产业主题相关上市公司，须承受因政府政策变化、市场情况变化等影响相关主题的因素所带来的行业风险。</w:t>
      </w:r>
    </w:p>
    <w:p>
      <w:pPr>
        <w:spacing w:line="280" w:lineRule="exact"/>
        <w:ind w:firstLine="420"/>
        <w:rPr>
          <w:rFonts w:ascii="仿宋" w:hAnsi="仿宋" w:eastAsia="仿宋" w:cs="方正仿宋简体"/>
          <w:iCs/>
        </w:rPr>
      </w:pPr>
      <w:r>
        <w:rPr>
          <w:rFonts w:hint="eastAsia" w:ascii="仿宋" w:hAnsi="仿宋" w:eastAsia="仿宋" w:cs="方正仿宋简体"/>
          <w:iCs/>
        </w:rPr>
        <w:t>（5）投资港股通标的股票的风险</w:t>
      </w:r>
    </w:p>
    <w:p>
      <w:pPr>
        <w:spacing w:line="280" w:lineRule="exact"/>
        <w:ind w:firstLine="420"/>
        <w:rPr>
          <w:rFonts w:ascii="仿宋" w:hAnsi="仿宋" w:eastAsia="仿宋" w:cs="方正仿宋简体"/>
          <w:iCs/>
        </w:rPr>
      </w:pPr>
      <w:r>
        <w:rPr>
          <w:rFonts w:hint="eastAsia" w:ascii="仿宋" w:hAnsi="仿宋" w:eastAsia="仿宋" w:cs="方正仿宋简体"/>
          <w:iCs/>
        </w:rPr>
        <w:t>（6）本基金基金合同生效满三年之日，若基金资产净值低于2亿元人民币，基金合同自动终止，投资者将面临触及上述事件导致基金合同终止的风险。</w:t>
      </w:r>
    </w:p>
    <w:p>
      <w:pPr>
        <w:spacing w:line="280" w:lineRule="exact"/>
        <w:ind w:firstLine="420"/>
        <w:rPr>
          <w:rFonts w:ascii="仿宋" w:hAnsi="仿宋" w:eastAsia="仿宋" w:cs="方正仿宋简体"/>
          <w:iCs/>
        </w:rPr>
      </w:pPr>
      <w:r>
        <w:rPr>
          <w:rFonts w:hint="eastAsia" w:ascii="仿宋" w:hAnsi="仿宋" w:eastAsia="仿宋" w:cs="方正仿宋简体"/>
          <w:iCs/>
        </w:rPr>
        <w:t>2、开放式基金的共有风险</w:t>
      </w:r>
    </w:p>
    <w:p>
      <w:pPr>
        <w:spacing w:line="280" w:lineRule="exact"/>
        <w:ind w:firstLine="420"/>
        <w:rPr>
          <w:rFonts w:ascii="仿宋" w:hAnsi="仿宋" w:eastAsia="仿宋" w:cs="方正仿宋简体"/>
          <w:iCs/>
        </w:rPr>
      </w:pPr>
      <w:r>
        <w:rPr>
          <w:rFonts w:hint="eastAsia" w:ascii="仿宋" w:hAnsi="仿宋" w:eastAsia="仿宋" w:cs="方正仿宋简体"/>
          <w:iCs/>
        </w:rPr>
        <w:t>（1）市场风险；（2）管理风险；（3）职业道德风险；（4）流动性风险；（5）合规性风险；（6）本基金法律文件风险收益特征表述与销售机构基金风险评价可能不一致的风险等。</w:t>
      </w:r>
    </w:p>
    <w:p>
      <w:pPr>
        <w:spacing w:line="280" w:lineRule="exact"/>
        <w:ind w:firstLine="420"/>
        <w:rPr>
          <w:rFonts w:ascii="仿宋" w:hAnsi="仿宋" w:eastAsia="仿宋" w:cs="方正仿宋简体"/>
          <w:iCs/>
        </w:rPr>
      </w:pPr>
      <w:r>
        <w:rPr>
          <w:rFonts w:hint="eastAsia" w:ascii="仿宋" w:hAnsi="仿宋" w:eastAsia="仿宋" w:cs="方正仿宋简体"/>
          <w:iCs/>
        </w:rPr>
        <w:t>3、其他风险</w:t>
      </w:r>
    </w:p>
    <w:p>
      <w:pPr>
        <w:spacing w:line="280" w:lineRule="exact"/>
        <w:outlineLvl w:val="1"/>
        <w:rPr>
          <w:rFonts w:ascii="仿宋" w:hAnsi="仿宋" w:eastAsia="仿宋" w:cs="方正仿宋简体"/>
          <w:b/>
          <w:iCs/>
          <w:sz w:val="22"/>
          <w:szCs w:val="24"/>
        </w:rPr>
      </w:pPr>
      <w:r>
        <w:rPr>
          <w:rFonts w:hint="eastAsia" w:ascii="仿宋" w:hAnsi="仿宋" w:eastAsia="仿宋" w:cs="方正仿宋简体"/>
          <w:b/>
          <w:iCs/>
          <w:sz w:val="24"/>
          <w:szCs w:val="24"/>
        </w:rPr>
        <w:t>（二）重要提示</w:t>
      </w:r>
    </w:p>
    <w:p>
      <w:pPr>
        <w:spacing w:line="280" w:lineRule="exact"/>
        <w:ind w:firstLine="420"/>
        <w:rPr>
          <w:rFonts w:ascii="仿宋" w:hAnsi="仿宋" w:eastAsia="仿宋" w:cs="方正仿宋简体"/>
          <w:iCs/>
        </w:rPr>
      </w:pPr>
      <w:r>
        <w:rPr>
          <w:rFonts w:hint="eastAsia" w:ascii="仿宋" w:hAnsi="仿宋" w:eastAsia="仿宋" w:cs="方正仿宋简体"/>
          <w:iCs/>
        </w:rPr>
        <w:t>中国证监会对本基金募集的注册，并不表明其对本基金的价值和收益作出实质性判断或保证，也不表明投资于本基金没有风险。</w:t>
      </w:r>
    </w:p>
    <w:p>
      <w:pPr>
        <w:spacing w:line="280" w:lineRule="exact"/>
        <w:ind w:firstLine="420"/>
        <w:rPr>
          <w:rFonts w:ascii="仿宋" w:hAnsi="仿宋" w:eastAsia="仿宋" w:cs="方正仿宋简体"/>
          <w:iCs/>
        </w:rPr>
      </w:pPr>
      <w:r>
        <w:rPr>
          <w:rFonts w:hint="eastAsia" w:ascii="仿宋" w:hAnsi="仿宋" w:eastAsia="仿宋" w:cs="方正仿宋简体"/>
          <w:iCs/>
        </w:rPr>
        <w:t>基金管理人依照恪尽职守、诚实信用、谨慎勤勉的原则管理和运用基金财产，但不保证基金一定盈利，也不保证最低收益。</w:t>
      </w:r>
    </w:p>
    <w:p>
      <w:pPr>
        <w:spacing w:line="280" w:lineRule="exact"/>
        <w:ind w:firstLine="420"/>
        <w:rPr>
          <w:rFonts w:ascii="仿宋" w:hAnsi="仿宋" w:eastAsia="仿宋" w:cs="方正仿宋简体"/>
          <w:iCs/>
        </w:rPr>
      </w:pPr>
      <w:r>
        <w:rPr>
          <w:rFonts w:hint="eastAsia" w:ascii="仿宋" w:hAnsi="仿宋" w:eastAsia="仿宋" w:cs="方正仿宋简体"/>
          <w:iCs/>
        </w:rPr>
        <w:t>基金投资者自依基金合同取得基金份额，即成为基金份额持有人和基金合同的当事人。</w:t>
      </w:r>
    </w:p>
    <w:p>
      <w:pPr>
        <w:spacing w:line="280" w:lineRule="exact"/>
        <w:ind w:firstLine="420"/>
        <w:rPr>
          <w:rFonts w:ascii="仿宋" w:hAnsi="仿宋" w:eastAsia="仿宋" w:cs="方正仿宋简体"/>
          <w:iCs/>
        </w:rPr>
      </w:pPr>
      <w:r>
        <w:rPr>
          <w:rFonts w:hint="eastAsia" w:ascii="仿宋" w:hAnsi="仿宋" w:eastAsia="仿宋" w:cs="方正仿宋简体"/>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pPr>
        <w:spacing w:line="280" w:lineRule="exact"/>
        <w:ind w:firstLine="420"/>
        <w:rPr>
          <w:rFonts w:ascii="仿宋" w:hAnsi="仿宋" w:eastAsia="仿宋" w:cs="方正仿宋简体"/>
          <w:iCs/>
        </w:rPr>
      </w:pPr>
      <w:r>
        <w:rPr>
          <w:rFonts w:hint="eastAsia" w:ascii="仿宋" w:hAnsi="仿宋" w:eastAsia="仿宋" w:cs="方正仿宋简体"/>
          <w:iCs/>
        </w:rPr>
        <w:t>如投资者对基金合同有争议的，争议解决处理方式详见基金合同“争议的处理和适用的法律”部分或相关章节。</w:t>
      </w:r>
    </w:p>
    <w:p>
      <w:pPr>
        <w:autoSpaceDE w:val="0"/>
        <w:autoSpaceDN w:val="0"/>
        <w:adjustRightInd w:val="0"/>
        <w:spacing w:line="280" w:lineRule="exact"/>
        <w:jc w:val="left"/>
        <w:rPr>
          <w:rFonts w:ascii="仿宋" w:hAnsi="仿宋" w:eastAsia="仿宋"/>
        </w:rPr>
      </w:pPr>
    </w:p>
    <w:p>
      <w:pPr>
        <w:numPr>
          <w:ilvl w:val="0"/>
          <w:numId w:val="2"/>
        </w:numPr>
        <w:spacing w:line="280" w:lineRule="exact"/>
        <w:outlineLvl w:val="0"/>
        <w:rPr>
          <w:rFonts w:ascii="仿宋" w:hAnsi="仿宋" w:eastAsia="仿宋" w:cs="方正仿宋简体"/>
          <w:b/>
          <w:iCs/>
          <w:sz w:val="24"/>
          <w:szCs w:val="24"/>
        </w:rPr>
      </w:pPr>
      <w:r>
        <w:rPr>
          <w:rFonts w:hint="eastAsia" w:ascii="仿宋" w:hAnsi="仿宋" w:eastAsia="仿宋" w:cs="方正仿宋简体"/>
          <w:b/>
          <w:iCs/>
          <w:sz w:val="24"/>
          <w:szCs w:val="24"/>
        </w:rPr>
        <w:t>其他资料查询方式</w:t>
      </w:r>
    </w:p>
    <w:p>
      <w:pPr>
        <w:spacing w:line="280" w:lineRule="exact"/>
        <w:ind w:firstLine="420"/>
        <w:rPr>
          <w:rFonts w:ascii="仿宋" w:hAnsi="仿宋" w:eastAsia="仿宋" w:cs="方正仿宋简体"/>
          <w:iCs/>
        </w:rPr>
      </w:pPr>
      <w:r>
        <w:rPr>
          <w:rFonts w:hint="eastAsia" w:ascii="仿宋" w:hAnsi="仿宋" w:eastAsia="仿宋" w:cs="方正仿宋简体"/>
          <w:iCs/>
        </w:rPr>
        <w:t>以下资料详见广发基金官方网站［www.gffunds.com.cn］［客服电话：95105828或020-83936999］</w:t>
      </w:r>
    </w:p>
    <w:p>
      <w:pPr>
        <w:spacing w:line="280" w:lineRule="exact"/>
        <w:ind w:firstLine="420"/>
        <w:rPr>
          <w:rFonts w:ascii="仿宋" w:hAnsi="仿宋" w:eastAsia="仿宋" w:cs="方正仿宋简体"/>
          <w:iCs/>
        </w:rPr>
      </w:pPr>
      <w:r>
        <w:rPr>
          <w:rFonts w:hint="eastAsia" w:ascii="仿宋" w:hAnsi="仿宋" w:eastAsia="仿宋" w:cs="方正仿宋简体"/>
          <w:iCs/>
        </w:rPr>
        <w:t>（1）《广发中证港股通汽车产业主题交易型开放式指数证券投资基金发起式联接基金基金合同》</w:t>
      </w:r>
    </w:p>
    <w:p>
      <w:pPr>
        <w:spacing w:line="280" w:lineRule="exact"/>
        <w:ind w:firstLine="420"/>
        <w:rPr>
          <w:rFonts w:ascii="仿宋" w:hAnsi="仿宋" w:eastAsia="仿宋" w:cs="方正仿宋简体"/>
          <w:iCs/>
        </w:rPr>
      </w:pPr>
      <w:r>
        <w:rPr>
          <w:rFonts w:hint="eastAsia" w:ascii="仿宋" w:hAnsi="仿宋" w:eastAsia="仿宋" w:cs="方正仿宋简体"/>
          <w:iCs/>
        </w:rPr>
        <w:t>（2）《广发中证港股通汽车产业主题交易型开放式指数证券投资基金发起式联接基金托管协议》</w:t>
      </w:r>
    </w:p>
    <w:p>
      <w:pPr>
        <w:spacing w:line="280" w:lineRule="exact"/>
        <w:ind w:firstLine="420"/>
        <w:rPr>
          <w:rFonts w:ascii="仿宋" w:hAnsi="仿宋" w:eastAsia="仿宋" w:cs="方正仿宋简体"/>
          <w:iCs/>
        </w:rPr>
      </w:pPr>
      <w:r>
        <w:rPr>
          <w:rFonts w:hint="eastAsia" w:ascii="仿宋" w:hAnsi="仿宋" w:eastAsia="仿宋" w:cs="方正仿宋简体"/>
          <w:iCs/>
        </w:rPr>
        <w:t>（3）《广发中证港股通汽车产业主题交易型开放式指数证券投资基金发起式联接基金招募说明书》</w:t>
      </w:r>
    </w:p>
    <w:p>
      <w:pPr>
        <w:spacing w:line="280" w:lineRule="exact"/>
        <w:ind w:firstLine="420"/>
        <w:rPr>
          <w:rFonts w:ascii="仿宋" w:hAnsi="仿宋" w:eastAsia="仿宋" w:cs="方正仿宋简体"/>
          <w:iCs/>
        </w:rPr>
      </w:pPr>
      <w:r>
        <w:rPr>
          <w:rFonts w:hint="eastAsia" w:ascii="仿宋" w:hAnsi="仿宋" w:eastAsia="仿宋" w:cs="方正仿宋简体"/>
          <w:iCs/>
        </w:rPr>
        <w:t>（4）定期报告，包括基金季度报告、中期报告和年度报告</w:t>
      </w:r>
    </w:p>
    <w:p>
      <w:pPr>
        <w:spacing w:line="280" w:lineRule="exact"/>
        <w:ind w:firstLine="420"/>
        <w:rPr>
          <w:rFonts w:ascii="仿宋" w:hAnsi="仿宋" w:eastAsia="仿宋" w:cs="方正仿宋简体"/>
          <w:iCs/>
        </w:rPr>
      </w:pPr>
      <w:r>
        <w:rPr>
          <w:rFonts w:hint="eastAsia" w:ascii="仿宋" w:hAnsi="仿宋" w:eastAsia="仿宋" w:cs="方正仿宋简体"/>
          <w:iCs/>
        </w:rPr>
        <w:t>（5）基金份额净值</w:t>
      </w:r>
    </w:p>
    <w:p>
      <w:pPr>
        <w:spacing w:line="280" w:lineRule="exact"/>
        <w:ind w:firstLine="420"/>
        <w:rPr>
          <w:rFonts w:ascii="仿宋" w:hAnsi="仿宋" w:eastAsia="仿宋" w:cs="方正仿宋简体"/>
          <w:iCs/>
        </w:rPr>
      </w:pPr>
      <w:r>
        <w:rPr>
          <w:rFonts w:hint="eastAsia" w:ascii="仿宋" w:hAnsi="仿宋" w:eastAsia="仿宋" w:cs="方正仿宋简体"/>
          <w:iCs/>
        </w:rPr>
        <w:t>（6）基金销售机构及联系方式</w:t>
      </w:r>
    </w:p>
    <w:p>
      <w:pPr>
        <w:spacing w:line="280" w:lineRule="exact"/>
        <w:ind w:firstLine="420"/>
        <w:rPr>
          <w:rFonts w:ascii="仿宋" w:hAnsi="仿宋" w:eastAsia="仿宋" w:cs="方正仿宋简体"/>
          <w:iCs/>
        </w:rPr>
      </w:pPr>
      <w:r>
        <w:rPr>
          <w:rFonts w:hint="eastAsia" w:ascii="仿宋" w:hAnsi="仿宋" w:eastAsia="仿宋" w:cs="方正仿宋简体"/>
          <w:iCs/>
        </w:rPr>
        <w:t>（7）其他重要资料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5751033"/>
      <w:docPartObj>
        <w:docPartGallery w:val="AutoText"/>
      </w:docPartObj>
    </w:sdtPr>
    <w:sdtContent>
      <w:sdt>
        <w:sdtPr>
          <w:id w:val="9838135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16C97"/>
    <w:multiLevelType w:val="multilevel"/>
    <w:tmpl w:val="1B716C97"/>
    <w:lvl w:ilvl="0" w:tentative="0">
      <w:start w:val="1"/>
      <w:numFmt w:val="decimal"/>
      <w:pStyle w:val="11"/>
      <w:lvlText w:val="§%1"/>
      <w:lvlJc w:val="left"/>
      <w:pPr>
        <w:ind w:left="420" w:hanging="420"/>
      </w:pPr>
      <w:rPr>
        <w:rFonts w:hint="default" w:eastAsia="宋体"/>
        <w:b/>
        <w:i w:val="0"/>
        <w:sz w:val="28"/>
      </w:rPr>
    </w:lvl>
    <w:lvl w:ilvl="1" w:tentative="0">
      <w:start w:val="1"/>
      <w:numFmt w:val="decimal"/>
      <w:pStyle w:val="13"/>
      <w:suff w:val="space"/>
      <w:lvlText w:val="%1.%2"/>
      <w:lvlJc w:val="left"/>
      <w:pPr>
        <w:ind w:left="284" w:hanging="284"/>
      </w:pPr>
      <w:rPr>
        <w:rFonts w:hint="eastAsia"/>
      </w:rPr>
    </w:lvl>
    <w:lvl w:ilvl="2" w:tentative="0">
      <w:start w:val="1"/>
      <w:numFmt w:val="decimal"/>
      <w:pStyle w:val="14"/>
      <w:suff w:val="space"/>
      <w:lvlText w:val="%1.%2.%3"/>
      <w:lvlJc w:val="left"/>
      <w:pPr>
        <w:ind w:left="284" w:hanging="284"/>
      </w:pPr>
      <w:rPr>
        <w:rFonts w:hint="eastAsia"/>
      </w:rPr>
    </w:lvl>
    <w:lvl w:ilvl="3" w:tentative="0">
      <w:start w:val="1"/>
      <w:numFmt w:val="decimal"/>
      <w:pStyle w:val="15"/>
      <w:suff w:val="space"/>
      <w:lvlText w:val="%1.%2.%3.%4"/>
      <w:lvlJc w:val="left"/>
      <w:pPr>
        <w:ind w:left="284" w:hanging="284"/>
      </w:pPr>
      <w:rPr>
        <w:rFonts w:hint="eastAsia"/>
      </w:rPr>
    </w:lvl>
    <w:lvl w:ilvl="4" w:tentative="0">
      <w:start w:val="1"/>
      <w:numFmt w:val="decimal"/>
      <w:pStyle w:val="16"/>
      <w:suff w:val="space"/>
      <w:lvlText w:val="%1.%2.%3.%4.%5"/>
      <w:lvlJc w:val="left"/>
      <w:pPr>
        <w:ind w:left="284" w:hanging="284"/>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478E6770"/>
    <w:multiLevelType w:val="multilevel"/>
    <w:tmpl w:val="478E6770"/>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C33CF0"/>
    <w:multiLevelType w:val="singleLevel"/>
    <w:tmpl w:val="5AC33CF0"/>
    <w:lvl w:ilvl="0" w:tentative="0">
      <w:start w:val="1"/>
      <w:numFmt w:val="chineseCounting"/>
      <w:suff w:val="nothing"/>
      <w:lvlText w:val="%1、"/>
      <w:lvlJc w:val="left"/>
      <w:rPr>
        <w:rFonts w:asciiTheme="minorEastAsia" w:hAnsiTheme="minorEastAsia" w:eastAsiaTheme="minorEastAsia"/>
      </w:rPr>
    </w:lvl>
  </w:abstractNum>
  <w:abstractNum w:abstractNumId="3">
    <w:nsid w:val="7D0D3582"/>
    <w:multiLevelType w:val="multilevel"/>
    <w:tmpl w:val="7D0D3582"/>
    <w:lvl w:ilvl="0" w:tentative="0">
      <w:start w:val="1"/>
      <w:numFmt w:val="chineseCountingThousand"/>
      <w:suff w:val="space"/>
      <w:lvlText w:val="(%1)"/>
      <w:lvlJc w:val="left"/>
      <w:pPr>
        <w:ind w:left="284" w:hanging="284"/>
      </w:pPr>
      <w:rPr>
        <w:rFonts w:hint="eastAsia" w:eastAsia="宋体" w:asciiTheme="minorEastAsia" w:hAnsiTheme="minorEastAsia"/>
        <w:b/>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5844"/>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4EBF"/>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D43"/>
    <w:rsid w:val="003F6EF3"/>
    <w:rsid w:val="00401E99"/>
    <w:rsid w:val="00402B28"/>
    <w:rsid w:val="00403885"/>
    <w:rsid w:val="00407D4D"/>
    <w:rsid w:val="004103D9"/>
    <w:rsid w:val="004106A5"/>
    <w:rsid w:val="00411B1E"/>
    <w:rsid w:val="00411C1F"/>
    <w:rsid w:val="004129B0"/>
    <w:rsid w:val="00415142"/>
    <w:rsid w:val="00416169"/>
    <w:rsid w:val="00417B28"/>
    <w:rsid w:val="0042020C"/>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5C1"/>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071DB"/>
    <w:rsid w:val="008122BD"/>
    <w:rsid w:val="00812E6B"/>
    <w:rsid w:val="00813B74"/>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7328"/>
    <w:rsid w:val="00867C31"/>
    <w:rsid w:val="00870140"/>
    <w:rsid w:val="00872076"/>
    <w:rsid w:val="00872D80"/>
    <w:rsid w:val="0087307E"/>
    <w:rsid w:val="0087384F"/>
    <w:rsid w:val="00873A0F"/>
    <w:rsid w:val="008740C8"/>
    <w:rsid w:val="008745A1"/>
    <w:rsid w:val="008746AF"/>
    <w:rsid w:val="0087523D"/>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213"/>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5794"/>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648F"/>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E"/>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54DD"/>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5664B"/>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60F6"/>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87B8A"/>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25FC2"/>
    <w:rsid w:val="00F27DC6"/>
    <w:rsid w:val="00F3062E"/>
    <w:rsid w:val="00F31D45"/>
    <w:rsid w:val="00F327CF"/>
    <w:rsid w:val="00F3394C"/>
    <w:rsid w:val="00F33EAB"/>
    <w:rsid w:val="00F344DE"/>
    <w:rsid w:val="00F35135"/>
    <w:rsid w:val="00F35DFB"/>
    <w:rsid w:val="00F363C5"/>
    <w:rsid w:val="00F36AB2"/>
    <w:rsid w:val="00F377ED"/>
    <w:rsid w:val="00F37CF5"/>
    <w:rsid w:val="00F4193A"/>
    <w:rsid w:val="00F42E2F"/>
    <w:rsid w:val="00F43907"/>
    <w:rsid w:val="00F4462A"/>
    <w:rsid w:val="00F45124"/>
    <w:rsid w:val="00F473F0"/>
    <w:rsid w:val="00F50606"/>
    <w:rsid w:val="00F52070"/>
    <w:rsid w:val="00F523CB"/>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681A"/>
    <w:rsid w:val="00FF13E8"/>
    <w:rsid w:val="00FF1656"/>
    <w:rsid w:val="00FF25D4"/>
    <w:rsid w:val="00FF4D13"/>
    <w:rsid w:val="00FF598A"/>
    <w:rsid w:val="00FF6A3D"/>
    <w:rsid w:val="39B8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9"/>
    <w:semiHidden/>
    <w:unhideWhenUsed/>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1"/>
    <w:unhideWhenUsed/>
    <w:qFormat/>
    <w:uiPriority w:val="0"/>
    <w:pPr>
      <w:snapToGrid w:val="0"/>
      <w:jc w:val="left"/>
    </w:pPr>
    <w:rPr>
      <w:rFonts w:ascii="Calibri" w:hAnsi="Calibri" w:eastAsia="宋体" w:cs="Times New Roman"/>
      <w:sz w:val="18"/>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unhideWhenUsed/>
    <w:qFormat/>
    <w:uiPriority w:val="0"/>
    <w:rPr>
      <w:rFonts w:ascii="Times New Roman" w:hAnsi="Times New Roman" w:eastAsia="宋体" w:cs="Times New Roman"/>
      <w:vertAlign w:val="superscript"/>
    </w:rPr>
  </w:style>
  <w:style w:type="paragraph" w:customStyle="1" w:styleId="11">
    <w:name w:val="一级"/>
    <w:basedOn w:val="12"/>
    <w:qFormat/>
    <w:uiPriority w:val="0"/>
    <w:pPr>
      <w:numPr>
        <w:ilvl w:val="0"/>
        <w:numId w:val="1"/>
      </w:numPr>
      <w:spacing w:line="360" w:lineRule="auto"/>
      <w:ind w:firstLine="0" w:firstLineChars="0"/>
      <w:jc w:val="center"/>
    </w:pPr>
    <w:rPr>
      <w:b/>
      <w:sz w:val="28"/>
    </w:rPr>
  </w:style>
  <w:style w:type="paragraph" w:styleId="12">
    <w:name w:val="List Paragraph"/>
    <w:basedOn w:val="1"/>
    <w:qFormat/>
    <w:uiPriority w:val="34"/>
    <w:pPr>
      <w:ind w:firstLine="420" w:firstLineChars="200"/>
    </w:pPr>
  </w:style>
  <w:style w:type="paragraph" w:customStyle="1" w:styleId="13">
    <w:name w:val="二级"/>
    <w:basedOn w:val="12"/>
    <w:qFormat/>
    <w:uiPriority w:val="0"/>
    <w:pPr>
      <w:numPr>
        <w:ilvl w:val="1"/>
        <w:numId w:val="1"/>
      </w:numPr>
      <w:ind w:firstLine="0" w:firstLineChars="0"/>
    </w:pPr>
    <w:rPr>
      <w:b/>
      <w:sz w:val="28"/>
    </w:rPr>
  </w:style>
  <w:style w:type="paragraph" w:customStyle="1" w:styleId="14">
    <w:name w:val="三级"/>
    <w:basedOn w:val="12"/>
    <w:qFormat/>
    <w:uiPriority w:val="0"/>
    <w:pPr>
      <w:numPr>
        <w:ilvl w:val="2"/>
        <w:numId w:val="1"/>
      </w:numPr>
      <w:ind w:firstLine="0" w:firstLineChars="0"/>
    </w:pPr>
    <w:rPr>
      <w:b/>
      <w:sz w:val="28"/>
    </w:rPr>
  </w:style>
  <w:style w:type="paragraph" w:customStyle="1" w:styleId="15">
    <w:name w:val="四级"/>
    <w:basedOn w:val="14"/>
    <w:qFormat/>
    <w:uiPriority w:val="0"/>
    <w:pPr>
      <w:numPr>
        <w:ilvl w:val="3"/>
      </w:numPr>
    </w:pPr>
  </w:style>
  <w:style w:type="paragraph" w:customStyle="1" w:styleId="16">
    <w:name w:val="五级"/>
    <w:basedOn w:val="15"/>
    <w:qFormat/>
    <w:uiPriority w:val="0"/>
    <w:pPr>
      <w:numPr>
        <w:ilvl w:val="4"/>
      </w:numPr>
    </w:pPr>
    <w:rPr>
      <w:sz w:val="24"/>
    </w:rPr>
  </w:style>
  <w:style w:type="character" w:customStyle="1" w:styleId="17">
    <w:name w:val="页眉 字符"/>
    <w:basedOn w:val="9"/>
    <w:link w:val="5"/>
    <w:qFormat/>
    <w:uiPriority w:val="99"/>
    <w:rPr>
      <w:sz w:val="18"/>
      <w:szCs w:val="18"/>
    </w:rPr>
  </w:style>
  <w:style w:type="character" w:customStyle="1" w:styleId="18">
    <w:name w:val="页脚 字符"/>
    <w:basedOn w:val="9"/>
    <w:link w:val="4"/>
    <w:qFormat/>
    <w:uiPriority w:val="99"/>
    <w:rPr>
      <w:sz w:val="18"/>
      <w:szCs w:val="18"/>
    </w:rPr>
  </w:style>
  <w:style w:type="character" w:customStyle="1" w:styleId="19">
    <w:name w:val="批注框文本 字符"/>
    <w:basedOn w:val="9"/>
    <w:link w:val="3"/>
    <w:semiHidden/>
    <w:qFormat/>
    <w:uiPriority w:val="99"/>
    <w:rPr>
      <w:sz w:val="18"/>
      <w:szCs w:val="18"/>
    </w:rPr>
  </w:style>
  <w:style w:type="character" w:styleId="20">
    <w:name w:val="Placeholder Text"/>
    <w:basedOn w:val="9"/>
    <w:semiHidden/>
    <w:qFormat/>
    <w:uiPriority w:val="99"/>
    <w:rPr>
      <w:color w:val="808080"/>
    </w:rPr>
  </w:style>
  <w:style w:type="character" w:customStyle="1" w:styleId="21">
    <w:name w:val="脚注文本 字符"/>
    <w:basedOn w:val="9"/>
    <w:link w:val="6"/>
    <w:qFormat/>
    <w:uiPriority w:val="0"/>
    <w:rPr>
      <w:rFonts w:ascii="Calibri" w:hAnsi="Calibri" w:eastAsia="宋体" w:cs="Times New Roman"/>
      <w:sz w:val="18"/>
      <w:szCs w:val="24"/>
    </w:rPr>
  </w:style>
  <w:style w:type="character" w:customStyle="1" w:styleId="22">
    <w:name w:val="标题 1 字符"/>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49F59-2469-4CF2-A19D-994CF890DAF5}">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23</Pages>
  <Words>943</Words>
  <Characters>5377</Characters>
  <Lines>44</Lines>
  <Paragraphs>12</Paragraphs>
  <TotalTime>654</TotalTime>
  <ScaleCrop>false</ScaleCrop>
  <LinksUpToDate>false</LinksUpToDate>
  <CharactersWithSpaces>6308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2024-02-07T08:15:00Z</dcterms:created>
  <dc:creator>Donghm</dc:creator>
  <cp:lastModifiedBy>xiah</cp:lastModifiedBy>
  <dcterms:modified xsi:type="dcterms:W3CDTF">2025-06-06T08:28:57Z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ECD5DBC4C1DF4DC5928A44CFF00A18F7</vt:lpwstr>
  </property>
</Properties>
</file>