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浦银理财天添利现金宝21号</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2301239397</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销售代码：2301239415/2301239416/2301239427/2301241767/2301241768/2301241769/2301259227</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Z7006923000517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2023-09-21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1,070,157,980.79</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2301239415:中国人民银行公布的同期7天通知存款利率</w:t>
              <w:br w:type="textWrapping"/>
              <w:t>2301239416:中国人民银行公布的同期7天通知存款利率</w:t>
              <w:br w:type="textWrapping"/>
              <w:t>2301239427:中国人民银行公布的同期7天通知存款利率</w:t>
              <w:br w:type="textWrapping"/>
              <w:t>2301241767:中国人民银行公布的同期7天通知存款利率</w:t>
              <w:br w:type="textWrapping"/>
              <w:t>2301241768:中国人民银行公布的同期7天通知存款利率</w:t>
              <w:br w:type="textWrapping"/>
              <w:t>2301241769:中国人民银行公布的同期7天通知存款利率</w:t>
              <w:br w:type="textWrapping"/>
              <w:t>2301259227:中国人民银行公布的同期7天通知存款利率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2301239397</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1,070,157,980.79</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2301239415-A:1.0000</w:t>
              <w:br w:type="textWrapping"/>
              <w:t>2301239416-A:1.0000</w:t>
              <w:br w:type="textWrapping"/>
              <w:t>2301239427-A:1.0000</w:t>
              <w:br w:type="textWrapping"/>
              <w:t>2301241767-A:1.0000</w:t>
              <w:br w:type="textWrapping"/>
              <w:t>2301241768-A:1.0000</w:t>
              <w:br w:type="textWrapping"/>
              <w:t>2301241769-A:1.0000</w:t>
              <w:br w:type="textWrapping"/>
              <w:t>2301259227-A:1.0000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2301239415-A:-</w:t>
              <w:br w:type="textWrapping"/>
              <w:t>2301239416-A:-</w:t>
              <w:br w:type="textWrapping"/>
              <w:t>2301239427-A:-</w:t>
              <w:br w:type="textWrapping"/>
              <w:t>2301241767-A:-</w:t>
              <w:br w:type="textWrapping"/>
              <w:t>2301241768-A:-</w:t>
              <w:br w:type="textWrapping"/>
              <w:t>2301241769-A:-</w:t>
              <w:br w:type="textWrapping"/>
              <w:t>2301259227-A:-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2301239415-A:0.2997</w:t>
              <w:br w:type="textWrapping"/>
              <w:t>2301239416-A:0.3083</w:t>
              <w:br w:type="textWrapping"/>
              <w:t>2301239427-A:0.3413</w:t>
              <w:br w:type="textWrapping"/>
              <w:t>2301241767-A:0.3081</w:t>
              <w:br w:type="textWrapping"/>
              <w:t>2301241768-A:0.2946</w:t>
              <w:br w:type="textWrapping"/>
              <w:t>2301241769-A:0.2945</w:t>
              <w:br w:type="textWrapping"/>
              <w:t>2301259227-A:0.3070</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2301239415-A:0.0113</w:t>
              <w:br w:type="textWrapping"/>
              <w:t>2301239416-A:0.0116</w:t>
              <w:br w:type="textWrapping"/>
              <w:t>2301239427-A:0.0128</w:t>
              <w:br w:type="textWrapping"/>
              <w:t>2301241767-A:0.0116</w:t>
              <w:br w:type="textWrapping"/>
              <w:t>2301241768-A:0.0111</w:t>
              <w:br w:type="textWrapping"/>
              <w:t>2301241769-A:0.0111</w:t>
              <w:br w:type="textWrapping"/>
              <w:t>2301259227-A:0.0115</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294,003,609.94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27.47%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301,354,922.14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28.15%</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124,701,195.71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11.65%</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625,093,682.98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58.40%</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776,359,698.79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72.53%</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19,213,507.90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1.80%</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1,070,363,308.73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1,070,363,308.73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附：本报告期内，本产品理财投资合作机构为“建信信托有限责任公司、中诚信托有限责任公司、中国对外经济贸易信托有限公司、华润深国投信托有限公司、广东粤财信托有限公司”。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294,003,609.94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27.47%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外贸信托-永欣13号集合资金信托计划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229,856,191.38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21.48%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建信信托-尊驰20号信托计划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200,406,748.11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18.73%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华润信托惠鑫丰利4号集合资金信托计划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110,333,521.06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10.31%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建信信托-尊驰19号信托计划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100,465,412.93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9.39%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中诚信托-丰景4号集合资金信托计划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90,586,582.38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8.46%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外贸信托-永欣11号集合资金信托计划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44,345,221.74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4.14%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粤财信托-天盈增利1号集合资金信托计划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366,021.19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0.03%</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70144462.39</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6.55%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30002402.63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2.80%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28152300.68</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2.63%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20118809.67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1.88%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20042713.11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1.87%</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13074021.70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1.22%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10244466.05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0.96%</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10075462.29</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10059901.82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10057630.68</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0.94%</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1972069.01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2640716.12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1650445.77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279167.32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263724.17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139583.66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22蛇口05</w:t>
            </w:r>
          </w:p>
        </w:tc>
        <w:tc>
          <w:tcPr>
            <w:tcW w:w="1571" w:type="dxa"/>
            <w:vAlign w:val="center"/>
          </w:tcPr>
          <w:p w:rsidR="00357E79" w:rsidRDefault="00F621F3">
            <w:pPr>
              <w:jc w:val="center"/>
            </w:pPr>
            <w:r>
              <w:rPr>
                <w:rFonts w:ascii="仿宋_GB2312" w:eastAsia="仿宋_GB2312" w:hAnsi="仿宋_GB2312" w:cs="仿宋_GB2312"/>
                <w:sz w:val="24"/>
              </w:rPr>
              <w:t>1256590.80</w:t>
            </w:r>
          </w:p>
        </w:tc>
        <w:tc>
          <w:tcPr>
            <w:tcW w:w="1910" w:type="dxa"/>
            <w:vAlign w:val="center"/>
          </w:tcPr>
          <w:p w:rsidR="00357E79" w:rsidRDefault="00F621F3">
            <w:pPr>
              <w:jc w:val="center"/>
            </w:pPr>
            <w:r>
              <w:rPr>
                <w:rFonts w:ascii="仿宋_GB2312" w:eastAsia="仿宋_GB2312" w:hAnsi="仿宋_GB2312" w:cs="仿宋_GB2312" w:hint="eastAsia"/>
                <w:sz w:val="24"/>
              </w:rPr>
              <w:t>招商局蛇口工业区控股股份有限公司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1101751.08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110611.69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836209.18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2025-09-10</w:t>
            </w:r>
          </w:p>
        </w:tc>
        <w:tc>
          <w:tcPr>
            <w:tcW w:w="1684" w:type="dxa"/>
            <w:vAlign w:val="center"/>
          </w:tcPr>
          <w:p w:rsidR="00357E79" w:rsidRDefault="00F621F3">
            <w:pPr>
              <w:jc w:val="center"/>
            </w:pPr>
            <w:r>
              <w:rPr>
                <w:rFonts w:ascii="仿宋_GB2312" w:eastAsia="仿宋_GB2312" w:hAnsi="仿宋_GB2312" w:cs="仿宋_GB2312"/>
                <w:sz w:val="24"/>
              </w:rPr>
              <w:t>25吉利SCP001(科创票据)</w:t>
            </w:r>
          </w:p>
        </w:tc>
        <w:tc>
          <w:tcPr>
            <w:tcW w:w="1571" w:type="dxa"/>
            <w:vAlign w:val="center"/>
          </w:tcPr>
          <w:p w:rsidR="00357E79" w:rsidRDefault="00F621F3">
            <w:pPr>
              <w:jc w:val="center"/>
            </w:pPr>
            <w:r>
              <w:rPr>
                <w:rFonts w:ascii="仿宋_GB2312" w:eastAsia="仿宋_GB2312" w:hAnsi="仿宋_GB2312" w:cs="仿宋_GB2312"/>
                <w:sz w:val="24"/>
              </w:rPr>
              <w:t>1518126.96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2025-09-10</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563309.19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长兴17A2</w:t>
            </w:r>
          </w:p>
        </w:tc>
        <w:tc>
          <w:tcPr>
            <w:tcW w:w="1571" w:type="dxa"/>
            <w:vAlign w:val="center"/>
          </w:tcPr>
          <w:p w:rsidR="00357E79" w:rsidRDefault="00F621F3">
            <w:pPr>
              <w:jc w:val="center"/>
            </w:pPr>
            <w:r>
              <w:rPr>
                <w:rFonts w:ascii="仿宋_GB2312" w:eastAsia="仿宋_GB2312" w:hAnsi="仿宋_GB2312" w:cs="仿宋_GB2312"/>
                <w:sz w:val="24"/>
              </w:rPr>
              <w:t>1302271.41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343796.97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121243.34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w:t>
            </w:r>
          </w:p>
        </w:tc>
        <w:tc>
          <w:tcPr>
            <w:tcW w:w="1458" w:type="dxa"/>
            <w:vAlign w:val="center"/>
          </w:tcPr>
          <w:p w:rsidR="00F82AF6" w:rsidRDefault="00F82AF6" w:rsidP="00F82AF6">
            <w:pPr>
              <w:jc w:val="center"/>
            </w:pPr>
            <w:r>
              <w:rPr>
                <w:rFonts w:ascii="仿宋_GB2312" w:eastAsia="仿宋_GB2312" w:hAnsi="仿宋_GB2312" w:cs="仿宋_GB2312"/>
                <w:sz w:val="24"/>
              </w:rPr>
              <w:t>-</w:t>
            </w:r>
          </w:p>
        </w:tc>
        <w:tc>
          <w:tcPr>
            <w:tcW w:w="1684" w:type="dxa"/>
            <w:vAlign w:val="center"/>
          </w:tcPr>
          <w:p w:rsidR="00F82AF6" w:rsidRDefault="00F82AF6" w:rsidP="00F82AF6">
            <w:pPr>
              <w:jc w:val="center"/>
            </w:pPr>
            <w:r>
              <w:rPr>
                <w:rFonts w:ascii="仿宋_GB2312" w:eastAsia="仿宋_GB2312" w:hAnsi="仿宋_GB2312" w:cs="仿宋_GB2312"/>
                <w:sz w:val="24"/>
              </w:rPr>
              <w:t>-</w:t>
            </w:r>
          </w:p>
        </w:tc>
        <w:tc>
          <w:tcPr>
            <w:tcW w:w="1571" w:type="dxa"/>
            <w:vAlign w:val="center"/>
          </w:tcPr>
          <w:p w:rsidR="00F82AF6" w:rsidRDefault="00F82AF6" w:rsidP="00F82AF6">
            <w:pPr>
              <w:jc w:val="center"/>
            </w:pPr>
            <w:r>
              <w:rPr>
                <w:rFonts w:ascii="仿宋_GB2312" w:eastAsia="仿宋_GB2312" w:hAnsi="仿宋_GB2312" w:cs="仿宋_GB2312"/>
                <w:sz w:val="24"/>
              </w:rPr>
              <w:t>-</w:t>
            </w:r>
          </w:p>
        </w:tc>
        <w:tc>
          <w:tcPr>
            <w:tcW w:w="1910" w:type="dxa"/>
            <w:vAlign w:val="center"/>
          </w:tcPr>
          <w:p w:rsidR="00F82AF6" w:rsidRDefault="00F82AF6" w:rsidP="00F82AF6">
            <w:pPr>
              <w:jc w:val="center"/>
            </w:pPr>
            <w:r>
              <w:rPr>
                <w:rFonts w:ascii="仿宋_GB2312" w:eastAsia="仿宋_GB2312" w:hAnsi="仿宋_GB2312" w:cs="仿宋_GB2312" w:hint="eastAsia"/>
                <w:sz w:val="24"/>
              </w:rPr>
              <w:t>-</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290795.34</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2</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146942.87</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