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浦银理财天添利现金宝41号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2301239467</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销售代码：2301241797/2301241798/2301241821/2301259253/2501251689/2501251706</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Z7006923000712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2024-04-12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881,660,505.77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2301241797:中国人民银行公布的同期7天通知存款利率</w:t>
              <w:br w:type="textWrapping"/>
              <w:t>2301241798:中国人民银行公布的同期7天通知存款利率</w:t>
              <w:br w:type="textWrapping"/>
              <w:t>2301241821:中国人民银行公布的同期7天通知存款利率</w:t>
              <w:br w:type="textWrapping"/>
              <w:t>2301259253:中国人民银行公布的同期7天通知存款利率</w:t>
              <w:br w:type="textWrapping"/>
              <w:t>2501251689:中国人民银行公布的同期7天通知存款利率</w:t>
              <w:br w:type="textWrapping"/>
              <w:t>2501251706:中国人民银行公布的同期7天通知存款利率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2301239467</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881,660,505.77</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2301241797-A:1.0000</w:t>
              <w:br w:type="textWrapping"/>
              <w:t>2301241798-A:1.0000</w:t>
              <w:br w:type="textWrapping"/>
              <w:t>2301241821-A:1.0000</w:t>
              <w:br w:type="textWrapping"/>
              <w:t>2501251689-A:1.0000</w:t>
              <w:br w:type="textWrapping"/>
              <w:t>2501251706-A:1.0000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2301241797-A:-</w:t>
              <w:br w:type="textWrapping"/>
              <w:t>2301241798-A:-</w:t>
              <w:br w:type="textWrapping"/>
              <w:t>2301241821-A:-</w:t>
              <w:br w:type="textWrapping"/>
              <w:t>2501251689-A:-</w:t>
              <w:br w:type="textWrapping"/>
              <w:t>2501251706-A:-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2301241797-A:0.4008</w:t>
              <w:br w:type="textWrapping"/>
              <w:t>2301241798-A:0.3752</w:t>
              <w:br w:type="textWrapping"/>
              <w:t>2301241821-A:0.3731</w:t>
              <w:br w:type="textWrapping"/>
              <w:t>2501251689-A:0.4282</w:t>
              <w:br w:type="textWrapping"/>
              <w:t>2501251706-A:0.4143</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2301241797-A:0.0146</w:t>
              <w:br w:type="textWrapping"/>
              <w:t>2301241798-A:0.0135</w:t>
              <w:br w:type="textWrapping"/>
              <w:t>2301241821-A:0.0136</w:t>
              <w:br w:type="textWrapping"/>
              <w:t>2501251689-A:0.0156</w:t>
              <w:br w:type="textWrapping"/>
              <w:t>2501251706-A:0.0151</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442,205,459.09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50.15%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448,264,530.86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50.83%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189,892,009.33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21.53%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243,687,523.77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27.63%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439,638,604.87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49.85%</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881,844,063.96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881,844,063.96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附：本报告期内，本产品理财投资合作机构为“华润深国投信托有限公司、建信信托有限责任公司、中诚信托有限责任公司、广东粤财信托有限公司”。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442,205,459.09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50.16%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332,786,933.78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37.75%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90,009,505.43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10.21%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9,967,314.55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建信信托-尊驰12号信托计划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5,824,103.47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0.66%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731,906.10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318,841.54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0.04%</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50157091.95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5.69%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22225576.83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2.52%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21918250.08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2.49%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15050590.96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12787737.63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12062248.93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10035253.72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10031418.66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10028467.93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9731274.37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1.10%</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151186.10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1416636.04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68370.27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25南京银行CD076</w:t>
            </w:r>
          </w:p>
        </w:tc>
        <w:tc>
          <w:tcPr>
            <w:tcW w:w="1571" w:type="dxa"/>
            <w:vAlign w:val="center"/>
          </w:tcPr>
          <w:p w:rsidR="00357E79" w:rsidRDefault="00F621F3">
            <w:pPr>
              <w:jc w:val="center"/>
            </w:pPr>
            <w:r>
              <w:rPr>
                <w:rFonts w:ascii="仿宋_GB2312" w:eastAsia="仿宋_GB2312" w:hAnsi="仿宋_GB2312" w:cs="仿宋_GB2312"/>
                <w:sz w:val="24"/>
              </w:rPr>
              <w:t>3969646.20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25南京银行CD112</w:t>
            </w:r>
          </w:p>
        </w:tc>
        <w:tc>
          <w:tcPr>
            <w:tcW w:w="1571" w:type="dxa"/>
            <w:vAlign w:val="center"/>
          </w:tcPr>
          <w:p w:rsidR="00357E79" w:rsidRDefault="00F621F3">
            <w:pPr>
              <w:jc w:val="center"/>
            </w:pPr>
            <w:r>
              <w:rPr>
                <w:rFonts w:ascii="仿宋_GB2312" w:eastAsia="仿宋_GB2312" w:hAnsi="仿宋_GB2312" w:cs="仿宋_GB2312"/>
                <w:sz w:val="24"/>
              </w:rPr>
              <w:t>108325.49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25申证D4</w:t>
            </w:r>
          </w:p>
        </w:tc>
        <w:tc>
          <w:tcPr>
            <w:tcW w:w="1571" w:type="dxa"/>
            <w:vAlign w:val="center"/>
          </w:tcPr>
          <w:p w:rsidR="00357E79" w:rsidRDefault="00F621F3">
            <w:pPr>
              <w:jc w:val="center"/>
            </w:pPr>
            <w:r>
              <w:rPr>
                <w:rFonts w:ascii="仿宋_GB2312" w:eastAsia="仿宋_GB2312" w:hAnsi="仿宋_GB2312" w:cs="仿宋_GB2312"/>
                <w:sz w:val="24"/>
              </w:rPr>
              <w:t>2462478.31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4311036.06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25广西北部湾银行CD094</w:t>
            </w:r>
          </w:p>
        </w:tc>
        <w:tc>
          <w:tcPr>
            <w:tcW w:w="1571" w:type="dxa"/>
            <w:vAlign w:val="center"/>
          </w:tcPr>
          <w:p w:rsidR="00357E79" w:rsidRDefault="00F621F3">
            <w:pPr>
              <w:jc w:val="center"/>
            </w:pPr>
            <w:r>
              <w:rPr>
                <w:rFonts w:ascii="仿宋_GB2312" w:eastAsia="仿宋_GB2312" w:hAnsi="仿宋_GB2312" w:cs="仿宋_GB2312"/>
                <w:sz w:val="24"/>
              </w:rPr>
              <w:t>1899360.65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1831860.06</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23闽金04</w:t>
            </w:r>
          </w:p>
        </w:tc>
        <w:tc>
          <w:tcPr>
            <w:tcW w:w="1571" w:type="dxa"/>
            <w:vAlign w:val="center"/>
          </w:tcPr>
          <w:p w:rsidR="00357E79" w:rsidRDefault="00F621F3">
            <w:pPr>
              <w:jc w:val="center"/>
            </w:pPr>
            <w:r>
              <w:rPr>
                <w:rFonts w:ascii="仿宋_GB2312" w:eastAsia="仿宋_GB2312" w:hAnsi="仿宋_GB2312" w:cs="仿宋_GB2312"/>
                <w:sz w:val="24"/>
              </w:rPr>
              <w:t>3874090.81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643376.96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1286755.32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128510.84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4742638.12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3976.28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581547.54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25广州农村商业银行CD023</w:t>
            </w:r>
          </w:p>
        </w:tc>
        <w:tc>
          <w:tcPr>
            <w:tcW w:w="1571" w:type="dxa"/>
            <w:vAlign w:val="center"/>
          </w:tcPr>
          <w:p w:rsidR="00F82AF6" w:rsidRDefault="00F82AF6" w:rsidP="00F82AF6">
            <w:pPr>
              <w:jc w:val="center"/>
            </w:pPr>
            <w:r>
              <w:rPr>
                <w:rFonts w:ascii="仿宋_GB2312" w:eastAsia="仿宋_GB2312" w:hAnsi="仿宋_GB2312" w:cs="仿宋_GB2312"/>
                <w:sz w:val="24"/>
              </w:rPr>
              <w:t>99879970.17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1831860.06</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51591.72</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