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27B31" w:rsidRDefault="00D27B31">
      <w:pPr>
        <w:tabs>
          <w:tab w:val="left" w:pos="4471"/>
        </w:tabs>
        <w:spacing w:line="360" w:lineRule="auto"/>
        <w:jc w:val="center"/>
        <w:rPr>
          <w:bCs/>
          <w:sz w:val="44"/>
        </w:rPr>
      </w:pPr>
    </w:p>
    <w:p w:rsidR="00D27B31" w:rsidRDefault="00D27B31">
      <w:pPr>
        <w:jc w:val="center"/>
        <w:rPr>
          <w:rFonts w:eastAsia="仿宋_GB2312"/>
          <w:sz w:val="28"/>
          <w:szCs w:val="28"/>
        </w:rPr>
      </w:pPr>
    </w:p>
    <w:p w:rsidR="00D27B31" w:rsidRDefault="00D27B31">
      <w:pPr>
        <w:jc w:val="center"/>
        <w:rPr>
          <w:b/>
          <w:sz w:val="52"/>
        </w:rPr>
      </w:pPr>
    </w:p>
    <w:p w:rsidR="00D27B31" w:rsidRPr="00416D22" w:rsidRDefault="00DD08B1">
      <w:pPr>
        <w:spacing w:line="600" w:lineRule="auto"/>
        <w:jc w:val="center"/>
        <w:rPr>
          <w:rFonts w:asciiTheme="majorEastAsia" w:eastAsiaTheme="majorEastAsia" w:hAnsiTheme="majorEastAsia"/>
          <w:b/>
          <w:sz w:val="36"/>
          <w:szCs w:val="36"/>
        </w:rPr>
      </w:pPr>
      <w:r w:rsidRPr="00416D22">
        <w:rPr>
          <w:rFonts w:asciiTheme="majorEastAsia" w:eastAsiaTheme="majorEastAsia" w:hAnsiTheme="majorEastAsia" w:hint="eastAsia"/>
          <w:b/>
          <w:sz w:val="36"/>
          <w:szCs w:val="36"/>
        </w:rPr>
        <w:t>汇添富上证科创板200指数型发起式证券投资基金</w:t>
      </w:r>
    </w:p>
    <w:p w:rsidR="00D27B31" w:rsidRPr="00416D22" w:rsidRDefault="00DD08B1">
      <w:pPr>
        <w:spacing w:line="600" w:lineRule="auto"/>
        <w:jc w:val="center"/>
        <w:rPr>
          <w:rFonts w:asciiTheme="majorEastAsia" w:eastAsiaTheme="majorEastAsia" w:hAnsiTheme="majorEastAsia"/>
          <w:b/>
          <w:sz w:val="52"/>
        </w:rPr>
      </w:pPr>
      <w:r w:rsidRPr="00416D22">
        <w:rPr>
          <w:rFonts w:asciiTheme="majorEastAsia" w:eastAsiaTheme="majorEastAsia" w:hAnsiTheme="majorEastAsia" w:hint="eastAsia"/>
          <w:b/>
          <w:sz w:val="36"/>
          <w:szCs w:val="36"/>
        </w:rPr>
        <w:t>招募说明书</w:t>
      </w:r>
    </w:p>
    <w:p w:rsidR="00D27B31" w:rsidRDefault="00D27B31">
      <w:pPr>
        <w:jc w:val="center"/>
        <w:rPr>
          <w:b/>
        </w:rPr>
      </w:pPr>
    </w:p>
    <w:p w:rsidR="00D27B31" w:rsidRDefault="00D27B31">
      <w:pPr>
        <w:jc w:val="center"/>
        <w:rPr>
          <w:b/>
          <w:sz w:val="52"/>
        </w:rPr>
      </w:pPr>
    </w:p>
    <w:p w:rsidR="00D27B31" w:rsidRDefault="00D27B31">
      <w:pPr>
        <w:jc w:val="center"/>
        <w:rPr>
          <w:sz w:val="24"/>
          <w:szCs w:val="24"/>
        </w:rPr>
      </w:pPr>
      <w:bookmarkStart w:id="0" w:name="_Toc139992299"/>
      <w:bookmarkStart w:id="1" w:name="_Toc123701381"/>
      <w:bookmarkStart w:id="2" w:name="_Toc123112261"/>
      <w:bookmarkStart w:id="3" w:name="_Toc123112222"/>
      <w:bookmarkStart w:id="4" w:name="_Toc139991724"/>
    </w:p>
    <w:p w:rsidR="00D27B31" w:rsidRDefault="00D27B31">
      <w:pPr>
        <w:jc w:val="center"/>
        <w:rPr>
          <w:sz w:val="24"/>
          <w:szCs w:val="24"/>
        </w:rPr>
      </w:pPr>
    </w:p>
    <w:bookmarkEnd w:id="0"/>
    <w:bookmarkEnd w:id="1"/>
    <w:bookmarkEnd w:id="2"/>
    <w:bookmarkEnd w:id="3"/>
    <w:bookmarkEnd w:id="4"/>
    <w:p w:rsidR="00D27B31" w:rsidRDefault="00D27B31">
      <w:pPr>
        <w:jc w:val="center"/>
        <w:rPr>
          <w:bCs/>
          <w:sz w:val="32"/>
          <w:szCs w:val="36"/>
        </w:rPr>
      </w:pPr>
    </w:p>
    <w:p w:rsidR="00D27B31" w:rsidRDefault="00D27B31">
      <w:pPr>
        <w:jc w:val="center"/>
        <w:rPr>
          <w:b/>
          <w:sz w:val="52"/>
        </w:rPr>
      </w:pPr>
    </w:p>
    <w:p w:rsidR="00D27B31" w:rsidRDefault="00D27B31">
      <w:pPr>
        <w:jc w:val="center"/>
        <w:rPr>
          <w:b/>
          <w:sz w:val="52"/>
        </w:rPr>
      </w:pPr>
    </w:p>
    <w:p w:rsidR="00FF7C1F" w:rsidRDefault="00FF7C1F">
      <w:pPr>
        <w:jc w:val="center"/>
        <w:rPr>
          <w:b/>
          <w:sz w:val="52"/>
        </w:rPr>
      </w:pPr>
    </w:p>
    <w:p w:rsidR="00FF7C1F" w:rsidRDefault="00FF7C1F">
      <w:pPr>
        <w:jc w:val="center"/>
        <w:rPr>
          <w:b/>
          <w:sz w:val="52"/>
        </w:rPr>
      </w:pPr>
    </w:p>
    <w:p w:rsidR="00FF7C1F" w:rsidRDefault="00FF7C1F">
      <w:pPr>
        <w:jc w:val="center"/>
        <w:rPr>
          <w:b/>
          <w:sz w:val="52"/>
        </w:rPr>
      </w:pPr>
    </w:p>
    <w:p w:rsidR="00D27B31" w:rsidRDefault="00D27B31">
      <w:pPr>
        <w:jc w:val="center"/>
        <w:rPr>
          <w:b/>
          <w:sz w:val="52"/>
        </w:rPr>
      </w:pPr>
    </w:p>
    <w:p w:rsidR="00D27B31" w:rsidRDefault="00D27B31">
      <w:pPr>
        <w:jc w:val="center"/>
        <w:rPr>
          <w:b/>
          <w:sz w:val="52"/>
        </w:rPr>
      </w:pPr>
    </w:p>
    <w:p w:rsidR="00D27B31" w:rsidRDefault="00D27B31">
      <w:pPr>
        <w:rPr>
          <w:b/>
        </w:rPr>
      </w:pPr>
    </w:p>
    <w:p w:rsidR="00D27B31" w:rsidRPr="00416D22" w:rsidRDefault="00DD08B1">
      <w:pPr>
        <w:jc w:val="center"/>
        <w:rPr>
          <w:b/>
          <w:sz w:val="30"/>
          <w:szCs w:val="30"/>
        </w:rPr>
      </w:pPr>
      <w:r w:rsidRPr="00416D22">
        <w:rPr>
          <w:rFonts w:hint="eastAsia"/>
          <w:b/>
          <w:sz w:val="30"/>
          <w:szCs w:val="30"/>
        </w:rPr>
        <w:t>基金管理人：汇添富基金管理股份有限公司</w:t>
      </w:r>
    </w:p>
    <w:p w:rsidR="00D27B31" w:rsidRPr="00416D22" w:rsidRDefault="00DD08B1">
      <w:pPr>
        <w:jc w:val="center"/>
        <w:rPr>
          <w:b/>
          <w:sz w:val="30"/>
          <w:szCs w:val="30"/>
        </w:rPr>
      </w:pPr>
      <w:r w:rsidRPr="00416D22">
        <w:rPr>
          <w:rFonts w:hint="eastAsia"/>
          <w:b/>
          <w:sz w:val="30"/>
          <w:szCs w:val="30"/>
        </w:rPr>
        <w:t>基金托管人：交通银行股份有限公司</w:t>
      </w:r>
    </w:p>
    <w:p w:rsidR="00D27B31" w:rsidRDefault="00D27B31">
      <w:pPr>
        <w:jc w:val="center"/>
        <w:rPr>
          <w:bCs/>
          <w:sz w:val="32"/>
        </w:rPr>
      </w:pPr>
    </w:p>
    <w:p w:rsidR="00D27B31" w:rsidRDefault="00D27B31">
      <w:pPr>
        <w:jc w:val="center"/>
        <w:rPr>
          <w:bCs/>
          <w:sz w:val="32"/>
        </w:rPr>
      </w:pPr>
    </w:p>
    <w:p w:rsidR="00D27B31" w:rsidRDefault="00D27B31">
      <w:pPr>
        <w:jc w:val="center"/>
        <w:rPr>
          <w:bCs/>
          <w:sz w:val="32"/>
        </w:rPr>
      </w:pPr>
    </w:p>
    <w:p w:rsidR="00D27B31" w:rsidRDefault="00D27B31">
      <w:pPr>
        <w:jc w:val="center"/>
        <w:rPr>
          <w:bCs/>
          <w:sz w:val="32"/>
        </w:rPr>
      </w:pPr>
    </w:p>
    <w:p w:rsidR="00D27B31" w:rsidRDefault="00D27B31">
      <w:pPr>
        <w:rPr>
          <w:rFonts w:ascii="宋体"/>
          <w:b/>
          <w:bCs/>
          <w:sz w:val="30"/>
        </w:rPr>
        <w:sectPr w:rsidR="00D27B31">
          <w:footerReference w:type="default" r:id="rId8"/>
          <w:pgSz w:w="11906" w:h="16838"/>
          <w:pgMar w:top="1440" w:right="1800" w:bottom="1440" w:left="1800" w:header="851" w:footer="992" w:gutter="0"/>
          <w:cols w:space="720"/>
          <w:docGrid w:type="lines" w:linePitch="312"/>
        </w:sectPr>
      </w:pPr>
      <w:bookmarkStart w:id="5" w:name="_Toc123701386"/>
      <w:bookmarkStart w:id="6" w:name="_Toc123112266"/>
      <w:bookmarkStart w:id="7" w:name="_Toc123112227"/>
      <w:bookmarkStart w:id="8" w:name="_Toc139991729"/>
      <w:bookmarkStart w:id="9" w:name="_Toc8727"/>
      <w:bookmarkStart w:id="10" w:name="_Toc4867"/>
      <w:bookmarkStart w:id="11" w:name="_Toc6306"/>
      <w:bookmarkStart w:id="12" w:name="_Toc32639"/>
      <w:bookmarkStart w:id="13" w:name="_Toc123701389"/>
      <w:bookmarkStart w:id="14" w:name="_Toc4966"/>
      <w:bookmarkStart w:id="15" w:name="_Toc26897"/>
      <w:bookmarkStart w:id="16" w:name="_Toc123112229"/>
      <w:bookmarkStart w:id="17" w:name="_Toc29629"/>
      <w:bookmarkStart w:id="18" w:name="_Toc30935"/>
      <w:bookmarkStart w:id="19" w:name="_Toc15517"/>
      <w:bookmarkStart w:id="20" w:name="_Toc141703880"/>
      <w:bookmarkStart w:id="21" w:name="_Toc139991730"/>
      <w:bookmarkStart w:id="22" w:name="_Toc123112268"/>
      <w:bookmarkStart w:id="23" w:name="_Toc23386"/>
      <w:bookmarkStart w:id="24" w:name="_Toc233456271"/>
      <w:bookmarkEnd w:id="5"/>
      <w:bookmarkEnd w:id="6"/>
      <w:bookmarkEnd w:id="7"/>
      <w:bookmarkEnd w:id="8"/>
    </w:p>
    <w:p w:rsidR="00D27B31" w:rsidRDefault="00DD08B1">
      <w:pPr>
        <w:autoSpaceDE w:val="0"/>
        <w:autoSpaceDN w:val="0"/>
        <w:adjustRightInd w:val="0"/>
        <w:spacing w:line="360" w:lineRule="auto"/>
        <w:ind w:firstLineChars="200" w:firstLine="482"/>
        <w:jc w:val="center"/>
        <w:rPr>
          <w:rFonts w:ascii="宋体" w:hAnsi="宋体" w:cs="宋体"/>
          <w:b/>
          <w:sz w:val="24"/>
        </w:rPr>
      </w:pPr>
      <w:r>
        <w:rPr>
          <w:rStyle w:val="read"/>
          <w:rFonts w:ascii="宋体" w:hAnsi="宋体" w:cs="宋体"/>
          <w:b/>
          <w:sz w:val="24"/>
        </w:rPr>
        <w:lastRenderedPageBreak/>
        <w:t>目</w:t>
      </w:r>
      <w:r>
        <w:rPr>
          <w:rStyle w:val="read"/>
          <w:rFonts w:ascii="宋体" w:hAnsi="宋体" w:cs="宋体" w:hint="eastAsia"/>
          <w:b/>
          <w:sz w:val="24"/>
        </w:rPr>
        <w:t xml:space="preserve">  </w:t>
      </w:r>
      <w:r>
        <w:rPr>
          <w:rStyle w:val="read"/>
          <w:rFonts w:ascii="宋体" w:hAnsi="宋体" w:cs="宋体"/>
          <w:b/>
          <w:sz w:val="24"/>
        </w:rPr>
        <w:t>录</w:t>
      </w:r>
    </w:p>
    <w:p w:rsidR="00D27B31" w:rsidRDefault="00DD08B1">
      <w:pPr>
        <w:pStyle w:val="10"/>
        <w:spacing w:line="360" w:lineRule="auto"/>
        <w:rPr>
          <w:rFonts w:asciiTheme="minorHAnsi" w:hAnsiTheme="minorHAnsi"/>
          <w:noProof/>
          <w:sz w:val="24"/>
          <w:szCs w:val="24"/>
        </w:rPr>
      </w:pPr>
      <w:r>
        <w:rPr>
          <w:rStyle w:val="read"/>
          <w:rFonts w:ascii="宋体" w:hAnsi="宋体" w:cs="宋体"/>
          <w:b/>
          <w:sz w:val="24"/>
          <w:szCs w:val="24"/>
        </w:rPr>
        <w:fldChar w:fldCharType="begin"/>
      </w:r>
      <w:r>
        <w:rPr>
          <w:rStyle w:val="read"/>
          <w:rFonts w:ascii="宋体" w:hAnsi="宋体" w:cs="宋体"/>
          <w:b/>
          <w:sz w:val="24"/>
          <w:szCs w:val="24"/>
        </w:rPr>
        <w:instrText>TOC \o "1-1" \h \z \u</w:instrText>
      </w:r>
      <w:r>
        <w:rPr>
          <w:rStyle w:val="read"/>
          <w:rFonts w:ascii="宋体" w:hAnsi="宋体" w:cs="宋体"/>
          <w:b/>
          <w:sz w:val="24"/>
          <w:szCs w:val="24"/>
        </w:rPr>
        <w:fldChar w:fldCharType="separate"/>
      </w:r>
      <w:hyperlink w:anchor="_Toc256000000" w:history="1">
        <w:r>
          <w:rPr>
            <w:rStyle w:val="af0"/>
            <w:noProof/>
            <w:sz w:val="24"/>
            <w:szCs w:val="24"/>
          </w:rPr>
          <w:t>第一部分</w:t>
        </w:r>
        <w:r>
          <w:rPr>
            <w:rStyle w:val="af0"/>
            <w:noProof/>
            <w:sz w:val="24"/>
            <w:szCs w:val="24"/>
          </w:rPr>
          <w:t xml:space="preserve">  </w:t>
        </w:r>
        <w:r>
          <w:rPr>
            <w:rStyle w:val="af0"/>
            <w:noProof/>
            <w:sz w:val="24"/>
            <w:szCs w:val="24"/>
          </w:rPr>
          <w:t>绪言</w:t>
        </w:r>
        <w:r>
          <w:rPr>
            <w:noProof/>
            <w:sz w:val="24"/>
            <w:szCs w:val="24"/>
          </w:rPr>
          <w:tab/>
        </w:r>
        <w:r>
          <w:rPr>
            <w:noProof/>
            <w:sz w:val="24"/>
            <w:szCs w:val="24"/>
          </w:rPr>
          <w:fldChar w:fldCharType="begin"/>
        </w:r>
        <w:r>
          <w:rPr>
            <w:noProof/>
            <w:sz w:val="24"/>
            <w:szCs w:val="24"/>
          </w:rPr>
          <w:instrText xml:space="preserve"> PAGEREF _Toc256000000 \h </w:instrText>
        </w:r>
        <w:r>
          <w:rPr>
            <w:noProof/>
            <w:sz w:val="24"/>
            <w:szCs w:val="24"/>
          </w:rPr>
        </w:r>
        <w:r>
          <w:rPr>
            <w:noProof/>
            <w:sz w:val="24"/>
            <w:szCs w:val="24"/>
          </w:rPr>
          <w:fldChar w:fldCharType="separate"/>
        </w:r>
        <w:r w:rsidR="0049578C">
          <w:rPr>
            <w:noProof/>
            <w:sz w:val="24"/>
            <w:szCs w:val="24"/>
          </w:rPr>
          <w:t>4</w:t>
        </w:r>
        <w:r>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1" w:history="1">
        <w:r w:rsidR="00DD08B1">
          <w:rPr>
            <w:rStyle w:val="af0"/>
            <w:noProof/>
            <w:sz w:val="24"/>
            <w:szCs w:val="24"/>
          </w:rPr>
          <w:t>第二部分</w:t>
        </w:r>
        <w:r w:rsidR="00DD08B1">
          <w:rPr>
            <w:rStyle w:val="af0"/>
            <w:noProof/>
            <w:sz w:val="24"/>
            <w:szCs w:val="24"/>
          </w:rPr>
          <w:t xml:space="preserve">  </w:t>
        </w:r>
        <w:r w:rsidR="00DD08B1">
          <w:rPr>
            <w:rStyle w:val="af0"/>
            <w:noProof/>
            <w:sz w:val="24"/>
            <w:szCs w:val="24"/>
          </w:rPr>
          <w:t>释义</w:t>
        </w:r>
        <w:r w:rsidR="00DD08B1">
          <w:rPr>
            <w:noProof/>
            <w:sz w:val="24"/>
            <w:szCs w:val="24"/>
          </w:rPr>
          <w:tab/>
        </w:r>
        <w:r w:rsidR="00DD08B1">
          <w:rPr>
            <w:noProof/>
            <w:sz w:val="24"/>
            <w:szCs w:val="24"/>
          </w:rPr>
          <w:fldChar w:fldCharType="begin"/>
        </w:r>
        <w:r w:rsidR="00DD08B1">
          <w:rPr>
            <w:noProof/>
            <w:sz w:val="24"/>
            <w:szCs w:val="24"/>
          </w:rPr>
          <w:instrText xml:space="preserve"> PAGEREF _Toc256000001 \h </w:instrText>
        </w:r>
        <w:r w:rsidR="00DD08B1">
          <w:rPr>
            <w:noProof/>
            <w:sz w:val="24"/>
            <w:szCs w:val="24"/>
          </w:rPr>
        </w:r>
        <w:r w:rsidR="00DD08B1">
          <w:rPr>
            <w:noProof/>
            <w:sz w:val="24"/>
            <w:szCs w:val="24"/>
          </w:rPr>
          <w:fldChar w:fldCharType="separate"/>
        </w:r>
        <w:r w:rsidR="0049578C">
          <w:rPr>
            <w:noProof/>
            <w:sz w:val="24"/>
            <w:szCs w:val="24"/>
          </w:rPr>
          <w:t>5</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2" w:history="1">
        <w:r w:rsidR="00DD08B1">
          <w:rPr>
            <w:rStyle w:val="af0"/>
            <w:noProof/>
            <w:sz w:val="24"/>
            <w:szCs w:val="24"/>
          </w:rPr>
          <w:t>第三部分</w:t>
        </w:r>
        <w:r w:rsidR="00DD08B1">
          <w:rPr>
            <w:rStyle w:val="af0"/>
            <w:noProof/>
            <w:sz w:val="24"/>
            <w:szCs w:val="24"/>
          </w:rPr>
          <w:t xml:space="preserve">  </w:t>
        </w:r>
        <w:r w:rsidR="00DD08B1">
          <w:rPr>
            <w:rStyle w:val="af0"/>
            <w:noProof/>
            <w:sz w:val="24"/>
            <w:szCs w:val="24"/>
          </w:rPr>
          <w:t>基金管理人</w:t>
        </w:r>
        <w:r w:rsidR="00DD08B1">
          <w:rPr>
            <w:noProof/>
            <w:sz w:val="24"/>
            <w:szCs w:val="24"/>
          </w:rPr>
          <w:tab/>
        </w:r>
        <w:r w:rsidR="00DD08B1">
          <w:rPr>
            <w:noProof/>
            <w:sz w:val="24"/>
            <w:szCs w:val="24"/>
          </w:rPr>
          <w:fldChar w:fldCharType="begin"/>
        </w:r>
        <w:r w:rsidR="00DD08B1">
          <w:rPr>
            <w:noProof/>
            <w:sz w:val="24"/>
            <w:szCs w:val="24"/>
          </w:rPr>
          <w:instrText xml:space="preserve"> PAGEREF _Toc256000002 \h </w:instrText>
        </w:r>
        <w:r w:rsidR="00DD08B1">
          <w:rPr>
            <w:noProof/>
            <w:sz w:val="24"/>
            <w:szCs w:val="24"/>
          </w:rPr>
        </w:r>
        <w:r w:rsidR="00DD08B1">
          <w:rPr>
            <w:noProof/>
            <w:sz w:val="24"/>
            <w:szCs w:val="24"/>
          </w:rPr>
          <w:fldChar w:fldCharType="separate"/>
        </w:r>
        <w:r w:rsidR="0049578C">
          <w:rPr>
            <w:noProof/>
            <w:sz w:val="24"/>
            <w:szCs w:val="24"/>
          </w:rPr>
          <w:t>11</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3" w:history="1">
        <w:r w:rsidR="00DD08B1">
          <w:rPr>
            <w:rStyle w:val="af0"/>
            <w:noProof/>
            <w:sz w:val="24"/>
            <w:szCs w:val="24"/>
          </w:rPr>
          <w:t>第四部分</w:t>
        </w:r>
        <w:r w:rsidR="00DD08B1">
          <w:rPr>
            <w:rStyle w:val="af0"/>
            <w:noProof/>
            <w:sz w:val="24"/>
            <w:szCs w:val="24"/>
          </w:rPr>
          <w:t xml:space="preserve">  </w:t>
        </w:r>
        <w:r w:rsidR="00DD08B1">
          <w:rPr>
            <w:rStyle w:val="af0"/>
            <w:noProof/>
            <w:sz w:val="24"/>
            <w:szCs w:val="24"/>
          </w:rPr>
          <w:t>基金托管人</w:t>
        </w:r>
        <w:r w:rsidR="00DD08B1">
          <w:rPr>
            <w:noProof/>
            <w:sz w:val="24"/>
            <w:szCs w:val="24"/>
          </w:rPr>
          <w:tab/>
        </w:r>
        <w:r w:rsidR="00DD08B1">
          <w:rPr>
            <w:noProof/>
            <w:sz w:val="24"/>
            <w:szCs w:val="24"/>
          </w:rPr>
          <w:fldChar w:fldCharType="begin"/>
        </w:r>
        <w:r w:rsidR="00DD08B1">
          <w:rPr>
            <w:noProof/>
            <w:sz w:val="24"/>
            <w:szCs w:val="24"/>
          </w:rPr>
          <w:instrText xml:space="preserve"> PAGEREF _Toc256000003 \h </w:instrText>
        </w:r>
        <w:r w:rsidR="00DD08B1">
          <w:rPr>
            <w:noProof/>
            <w:sz w:val="24"/>
            <w:szCs w:val="24"/>
          </w:rPr>
        </w:r>
        <w:r w:rsidR="00DD08B1">
          <w:rPr>
            <w:noProof/>
            <w:sz w:val="24"/>
            <w:szCs w:val="24"/>
          </w:rPr>
          <w:fldChar w:fldCharType="separate"/>
        </w:r>
        <w:r w:rsidR="0049578C">
          <w:rPr>
            <w:noProof/>
            <w:sz w:val="24"/>
            <w:szCs w:val="24"/>
          </w:rPr>
          <w:t>24</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4" w:history="1">
        <w:r w:rsidR="00DD08B1">
          <w:rPr>
            <w:rStyle w:val="af0"/>
            <w:noProof/>
            <w:sz w:val="24"/>
            <w:szCs w:val="24"/>
          </w:rPr>
          <w:t>第五部分</w:t>
        </w:r>
        <w:r w:rsidR="00DD08B1">
          <w:rPr>
            <w:rStyle w:val="af0"/>
            <w:noProof/>
            <w:sz w:val="24"/>
            <w:szCs w:val="24"/>
          </w:rPr>
          <w:t xml:space="preserve">  </w:t>
        </w:r>
        <w:r w:rsidR="00DD08B1">
          <w:rPr>
            <w:rStyle w:val="af0"/>
            <w:noProof/>
            <w:sz w:val="24"/>
            <w:szCs w:val="24"/>
          </w:rPr>
          <w:t>相关服务机构</w:t>
        </w:r>
        <w:r w:rsidR="00DD08B1">
          <w:rPr>
            <w:noProof/>
            <w:sz w:val="24"/>
            <w:szCs w:val="24"/>
          </w:rPr>
          <w:tab/>
        </w:r>
        <w:r w:rsidR="00DD08B1">
          <w:rPr>
            <w:noProof/>
            <w:sz w:val="24"/>
            <w:szCs w:val="24"/>
          </w:rPr>
          <w:fldChar w:fldCharType="begin"/>
        </w:r>
        <w:r w:rsidR="00DD08B1">
          <w:rPr>
            <w:noProof/>
            <w:sz w:val="24"/>
            <w:szCs w:val="24"/>
          </w:rPr>
          <w:instrText xml:space="preserve"> PAGEREF _Toc256000004 \h </w:instrText>
        </w:r>
        <w:r w:rsidR="00DD08B1">
          <w:rPr>
            <w:noProof/>
            <w:sz w:val="24"/>
            <w:szCs w:val="24"/>
          </w:rPr>
        </w:r>
        <w:r w:rsidR="00DD08B1">
          <w:rPr>
            <w:noProof/>
            <w:sz w:val="24"/>
            <w:szCs w:val="24"/>
          </w:rPr>
          <w:fldChar w:fldCharType="separate"/>
        </w:r>
        <w:r w:rsidR="0049578C">
          <w:rPr>
            <w:noProof/>
            <w:sz w:val="24"/>
            <w:szCs w:val="24"/>
          </w:rPr>
          <w:t>28</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5" w:history="1">
        <w:r w:rsidR="00DD08B1">
          <w:rPr>
            <w:rStyle w:val="af0"/>
            <w:noProof/>
            <w:sz w:val="24"/>
            <w:szCs w:val="24"/>
          </w:rPr>
          <w:t>第六部分</w:t>
        </w:r>
        <w:r w:rsidR="00DD08B1">
          <w:rPr>
            <w:rStyle w:val="af0"/>
            <w:noProof/>
            <w:sz w:val="24"/>
            <w:szCs w:val="24"/>
          </w:rPr>
          <w:t xml:space="preserve">  </w:t>
        </w:r>
        <w:r w:rsidR="00DD08B1">
          <w:rPr>
            <w:rStyle w:val="af0"/>
            <w:noProof/>
            <w:sz w:val="24"/>
            <w:szCs w:val="24"/>
          </w:rPr>
          <w:t>基金的募集</w:t>
        </w:r>
        <w:r w:rsidR="00DD08B1">
          <w:rPr>
            <w:noProof/>
            <w:sz w:val="24"/>
            <w:szCs w:val="24"/>
          </w:rPr>
          <w:tab/>
        </w:r>
        <w:r w:rsidR="00DD08B1">
          <w:rPr>
            <w:noProof/>
            <w:sz w:val="24"/>
            <w:szCs w:val="24"/>
          </w:rPr>
          <w:fldChar w:fldCharType="begin"/>
        </w:r>
        <w:r w:rsidR="00DD08B1">
          <w:rPr>
            <w:noProof/>
            <w:sz w:val="24"/>
            <w:szCs w:val="24"/>
          </w:rPr>
          <w:instrText xml:space="preserve"> PAGEREF _Toc256000005 \h </w:instrText>
        </w:r>
        <w:r w:rsidR="00DD08B1">
          <w:rPr>
            <w:noProof/>
            <w:sz w:val="24"/>
            <w:szCs w:val="24"/>
          </w:rPr>
        </w:r>
        <w:r w:rsidR="00DD08B1">
          <w:rPr>
            <w:noProof/>
            <w:sz w:val="24"/>
            <w:szCs w:val="24"/>
          </w:rPr>
          <w:fldChar w:fldCharType="separate"/>
        </w:r>
        <w:r w:rsidR="0049578C">
          <w:rPr>
            <w:noProof/>
            <w:sz w:val="24"/>
            <w:szCs w:val="24"/>
          </w:rPr>
          <w:t>30</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6" w:history="1">
        <w:r w:rsidR="00DD08B1">
          <w:rPr>
            <w:rStyle w:val="af0"/>
            <w:noProof/>
            <w:sz w:val="24"/>
            <w:szCs w:val="24"/>
          </w:rPr>
          <w:t>第七部分</w:t>
        </w:r>
        <w:r w:rsidR="00DD08B1">
          <w:rPr>
            <w:rStyle w:val="af0"/>
            <w:noProof/>
            <w:sz w:val="24"/>
            <w:szCs w:val="24"/>
          </w:rPr>
          <w:t xml:space="preserve">  </w:t>
        </w:r>
        <w:r w:rsidR="00DD08B1">
          <w:rPr>
            <w:rStyle w:val="af0"/>
            <w:noProof/>
            <w:sz w:val="24"/>
            <w:szCs w:val="24"/>
          </w:rPr>
          <w:t>基金合同的生效</w:t>
        </w:r>
        <w:r w:rsidR="00DD08B1">
          <w:rPr>
            <w:noProof/>
            <w:sz w:val="24"/>
            <w:szCs w:val="24"/>
          </w:rPr>
          <w:tab/>
        </w:r>
        <w:r w:rsidR="00DD08B1">
          <w:rPr>
            <w:noProof/>
            <w:sz w:val="24"/>
            <w:szCs w:val="24"/>
          </w:rPr>
          <w:fldChar w:fldCharType="begin"/>
        </w:r>
        <w:r w:rsidR="00DD08B1">
          <w:rPr>
            <w:noProof/>
            <w:sz w:val="24"/>
            <w:szCs w:val="24"/>
          </w:rPr>
          <w:instrText xml:space="preserve"> PAGEREF _Toc256000006 \h </w:instrText>
        </w:r>
        <w:r w:rsidR="00DD08B1">
          <w:rPr>
            <w:noProof/>
            <w:sz w:val="24"/>
            <w:szCs w:val="24"/>
          </w:rPr>
        </w:r>
        <w:r w:rsidR="00DD08B1">
          <w:rPr>
            <w:noProof/>
            <w:sz w:val="24"/>
            <w:szCs w:val="24"/>
          </w:rPr>
          <w:fldChar w:fldCharType="separate"/>
        </w:r>
        <w:r w:rsidR="0049578C">
          <w:rPr>
            <w:noProof/>
            <w:sz w:val="24"/>
            <w:szCs w:val="24"/>
          </w:rPr>
          <w:t>36</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7" w:history="1">
        <w:r w:rsidR="00DD08B1">
          <w:rPr>
            <w:rStyle w:val="af0"/>
            <w:noProof/>
            <w:sz w:val="24"/>
            <w:szCs w:val="24"/>
          </w:rPr>
          <w:t>第八部分</w:t>
        </w:r>
        <w:r w:rsidR="00DD08B1">
          <w:rPr>
            <w:rStyle w:val="af0"/>
            <w:noProof/>
            <w:sz w:val="24"/>
            <w:szCs w:val="24"/>
          </w:rPr>
          <w:t xml:space="preserve">  </w:t>
        </w:r>
        <w:r w:rsidR="00DD08B1">
          <w:rPr>
            <w:rStyle w:val="af0"/>
            <w:noProof/>
            <w:sz w:val="24"/>
            <w:szCs w:val="24"/>
          </w:rPr>
          <w:t>基金份额的申购与赎回</w:t>
        </w:r>
        <w:r w:rsidR="00DD08B1">
          <w:rPr>
            <w:noProof/>
            <w:sz w:val="24"/>
            <w:szCs w:val="24"/>
          </w:rPr>
          <w:tab/>
        </w:r>
        <w:r w:rsidR="00DD08B1">
          <w:rPr>
            <w:noProof/>
            <w:sz w:val="24"/>
            <w:szCs w:val="24"/>
          </w:rPr>
          <w:fldChar w:fldCharType="begin"/>
        </w:r>
        <w:r w:rsidR="00DD08B1">
          <w:rPr>
            <w:noProof/>
            <w:sz w:val="24"/>
            <w:szCs w:val="24"/>
          </w:rPr>
          <w:instrText xml:space="preserve"> PAGEREF _Toc256000007 \h </w:instrText>
        </w:r>
        <w:r w:rsidR="00DD08B1">
          <w:rPr>
            <w:noProof/>
            <w:sz w:val="24"/>
            <w:szCs w:val="24"/>
          </w:rPr>
        </w:r>
        <w:r w:rsidR="00DD08B1">
          <w:rPr>
            <w:noProof/>
            <w:sz w:val="24"/>
            <w:szCs w:val="24"/>
          </w:rPr>
          <w:fldChar w:fldCharType="separate"/>
        </w:r>
        <w:r w:rsidR="0049578C">
          <w:rPr>
            <w:noProof/>
            <w:sz w:val="24"/>
            <w:szCs w:val="24"/>
          </w:rPr>
          <w:t>38</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8" w:history="1">
        <w:r w:rsidR="00DD08B1">
          <w:rPr>
            <w:rStyle w:val="af0"/>
            <w:noProof/>
            <w:sz w:val="24"/>
            <w:szCs w:val="24"/>
          </w:rPr>
          <w:t>第九部分</w:t>
        </w:r>
        <w:r w:rsidR="00DD08B1">
          <w:rPr>
            <w:rStyle w:val="af0"/>
            <w:noProof/>
            <w:sz w:val="24"/>
            <w:szCs w:val="24"/>
          </w:rPr>
          <w:t xml:space="preserve">  </w:t>
        </w:r>
        <w:r w:rsidR="00DD08B1">
          <w:rPr>
            <w:rStyle w:val="af0"/>
            <w:noProof/>
            <w:sz w:val="24"/>
            <w:szCs w:val="24"/>
          </w:rPr>
          <w:t>基金的投资</w:t>
        </w:r>
        <w:r w:rsidR="00DD08B1">
          <w:rPr>
            <w:noProof/>
            <w:sz w:val="24"/>
            <w:szCs w:val="24"/>
          </w:rPr>
          <w:tab/>
        </w:r>
        <w:r w:rsidR="00DD08B1">
          <w:rPr>
            <w:noProof/>
            <w:sz w:val="24"/>
            <w:szCs w:val="24"/>
          </w:rPr>
          <w:fldChar w:fldCharType="begin"/>
        </w:r>
        <w:r w:rsidR="00DD08B1">
          <w:rPr>
            <w:noProof/>
            <w:sz w:val="24"/>
            <w:szCs w:val="24"/>
          </w:rPr>
          <w:instrText xml:space="preserve"> PAGEREF _Toc256000008 \h </w:instrText>
        </w:r>
        <w:r w:rsidR="00DD08B1">
          <w:rPr>
            <w:noProof/>
            <w:sz w:val="24"/>
            <w:szCs w:val="24"/>
          </w:rPr>
        </w:r>
        <w:r w:rsidR="00DD08B1">
          <w:rPr>
            <w:noProof/>
            <w:sz w:val="24"/>
            <w:szCs w:val="24"/>
          </w:rPr>
          <w:fldChar w:fldCharType="separate"/>
        </w:r>
        <w:r w:rsidR="0049578C">
          <w:rPr>
            <w:noProof/>
            <w:sz w:val="24"/>
            <w:szCs w:val="24"/>
          </w:rPr>
          <w:t>50</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09" w:history="1">
        <w:r w:rsidR="00DD08B1">
          <w:rPr>
            <w:rStyle w:val="af0"/>
            <w:noProof/>
            <w:sz w:val="24"/>
            <w:szCs w:val="24"/>
          </w:rPr>
          <w:t>第十部分</w:t>
        </w:r>
        <w:r w:rsidR="00DD08B1">
          <w:rPr>
            <w:rStyle w:val="af0"/>
            <w:noProof/>
            <w:sz w:val="24"/>
            <w:szCs w:val="24"/>
          </w:rPr>
          <w:t xml:space="preserve">  </w:t>
        </w:r>
        <w:r w:rsidR="00DD08B1">
          <w:rPr>
            <w:rStyle w:val="af0"/>
            <w:noProof/>
            <w:sz w:val="24"/>
            <w:szCs w:val="24"/>
          </w:rPr>
          <w:t>基金的财产</w:t>
        </w:r>
        <w:r w:rsidR="00DD08B1">
          <w:rPr>
            <w:noProof/>
            <w:sz w:val="24"/>
            <w:szCs w:val="24"/>
          </w:rPr>
          <w:tab/>
        </w:r>
        <w:r w:rsidR="00DD08B1">
          <w:rPr>
            <w:noProof/>
            <w:sz w:val="24"/>
            <w:szCs w:val="24"/>
          </w:rPr>
          <w:fldChar w:fldCharType="begin"/>
        </w:r>
        <w:r w:rsidR="00DD08B1">
          <w:rPr>
            <w:noProof/>
            <w:sz w:val="24"/>
            <w:szCs w:val="24"/>
          </w:rPr>
          <w:instrText xml:space="preserve"> PAGEREF _Toc256000009 \h </w:instrText>
        </w:r>
        <w:r w:rsidR="00DD08B1">
          <w:rPr>
            <w:noProof/>
            <w:sz w:val="24"/>
            <w:szCs w:val="24"/>
          </w:rPr>
        </w:r>
        <w:r w:rsidR="00DD08B1">
          <w:rPr>
            <w:noProof/>
            <w:sz w:val="24"/>
            <w:szCs w:val="24"/>
          </w:rPr>
          <w:fldChar w:fldCharType="separate"/>
        </w:r>
        <w:r w:rsidR="0049578C">
          <w:rPr>
            <w:noProof/>
            <w:sz w:val="24"/>
            <w:szCs w:val="24"/>
          </w:rPr>
          <w:t>59</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0" w:history="1">
        <w:r w:rsidR="00DD08B1">
          <w:rPr>
            <w:rStyle w:val="af0"/>
            <w:noProof/>
            <w:sz w:val="24"/>
            <w:szCs w:val="24"/>
          </w:rPr>
          <w:t>第十一部分</w:t>
        </w:r>
        <w:r w:rsidR="00DD08B1">
          <w:rPr>
            <w:rStyle w:val="af0"/>
            <w:noProof/>
            <w:sz w:val="24"/>
            <w:szCs w:val="24"/>
          </w:rPr>
          <w:t xml:space="preserve">  </w:t>
        </w:r>
        <w:r w:rsidR="00DD08B1">
          <w:rPr>
            <w:rStyle w:val="af0"/>
            <w:noProof/>
            <w:sz w:val="24"/>
            <w:szCs w:val="24"/>
          </w:rPr>
          <w:t>基金资产估值</w:t>
        </w:r>
        <w:r w:rsidR="00DD08B1">
          <w:rPr>
            <w:noProof/>
            <w:sz w:val="24"/>
            <w:szCs w:val="24"/>
          </w:rPr>
          <w:tab/>
        </w:r>
        <w:r w:rsidR="00DD08B1">
          <w:rPr>
            <w:noProof/>
            <w:sz w:val="24"/>
            <w:szCs w:val="24"/>
          </w:rPr>
          <w:fldChar w:fldCharType="begin"/>
        </w:r>
        <w:r w:rsidR="00DD08B1">
          <w:rPr>
            <w:noProof/>
            <w:sz w:val="24"/>
            <w:szCs w:val="24"/>
          </w:rPr>
          <w:instrText xml:space="preserve"> PAGEREF _Toc256000010 \h </w:instrText>
        </w:r>
        <w:r w:rsidR="00DD08B1">
          <w:rPr>
            <w:noProof/>
            <w:sz w:val="24"/>
            <w:szCs w:val="24"/>
          </w:rPr>
        </w:r>
        <w:r w:rsidR="00DD08B1">
          <w:rPr>
            <w:noProof/>
            <w:sz w:val="24"/>
            <w:szCs w:val="24"/>
          </w:rPr>
          <w:fldChar w:fldCharType="separate"/>
        </w:r>
        <w:r w:rsidR="0049578C">
          <w:rPr>
            <w:noProof/>
            <w:sz w:val="24"/>
            <w:szCs w:val="24"/>
          </w:rPr>
          <w:t>60</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1" w:history="1">
        <w:r w:rsidR="00DD08B1">
          <w:rPr>
            <w:rStyle w:val="af0"/>
            <w:noProof/>
            <w:sz w:val="24"/>
            <w:szCs w:val="24"/>
          </w:rPr>
          <w:t>第十二部分</w:t>
        </w:r>
        <w:r w:rsidR="00DD08B1">
          <w:rPr>
            <w:rStyle w:val="af0"/>
            <w:noProof/>
            <w:sz w:val="24"/>
            <w:szCs w:val="24"/>
          </w:rPr>
          <w:t xml:space="preserve">  </w:t>
        </w:r>
        <w:r w:rsidR="00DD08B1">
          <w:rPr>
            <w:rStyle w:val="af0"/>
            <w:noProof/>
            <w:sz w:val="24"/>
            <w:szCs w:val="24"/>
          </w:rPr>
          <w:t>基金的收益与分配</w:t>
        </w:r>
        <w:r w:rsidR="00DD08B1">
          <w:rPr>
            <w:noProof/>
            <w:sz w:val="24"/>
            <w:szCs w:val="24"/>
          </w:rPr>
          <w:tab/>
        </w:r>
        <w:r w:rsidR="00DD08B1">
          <w:rPr>
            <w:noProof/>
            <w:sz w:val="24"/>
            <w:szCs w:val="24"/>
          </w:rPr>
          <w:fldChar w:fldCharType="begin"/>
        </w:r>
        <w:r w:rsidR="00DD08B1">
          <w:rPr>
            <w:noProof/>
            <w:sz w:val="24"/>
            <w:szCs w:val="24"/>
          </w:rPr>
          <w:instrText xml:space="preserve"> PAGEREF _Toc256000011 \h </w:instrText>
        </w:r>
        <w:r w:rsidR="00DD08B1">
          <w:rPr>
            <w:noProof/>
            <w:sz w:val="24"/>
            <w:szCs w:val="24"/>
          </w:rPr>
        </w:r>
        <w:r w:rsidR="00DD08B1">
          <w:rPr>
            <w:noProof/>
            <w:sz w:val="24"/>
            <w:szCs w:val="24"/>
          </w:rPr>
          <w:fldChar w:fldCharType="separate"/>
        </w:r>
        <w:r w:rsidR="0049578C">
          <w:rPr>
            <w:noProof/>
            <w:sz w:val="24"/>
            <w:szCs w:val="24"/>
          </w:rPr>
          <w:t>67</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2" w:history="1">
        <w:r w:rsidR="00DD08B1">
          <w:rPr>
            <w:rStyle w:val="af0"/>
            <w:noProof/>
            <w:sz w:val="24"/>
            <w:szCs w:val="24"/>
          </w:rPr>
          <w:t>第十三部分</w:t>
        </w:r>
        <w:r w:rsidR="00DD08B1">
          <w:rPr>
            <w:rStyle w:val="af0"/>
            <w:noProof/>
            <w:sz w:val="24"/>
            <w:szCs w:val="24"/>
          </w:rPr>
          <w:t xml:space="preserve">  </w:t>
        </w:r>
        <w:r w:rsidR="00DD08B1">
          <w:rPr>
            <w:rStyle w:val="af0"/>
            <w:noProof/>
            <w:sz w:val="24"/>
            <w:szCs w:val="24"/>
          </w:rPr>
          <w:t>基金费用与税收</w:t>
        </w:r>
        <w:r w:rsidR="00DD08B1">
          <w:rPr>
            <w:noProof/>
            <w:sz w:val="24"/>
            <w:szCs w:val="24"/>
          </w:rPr>
          <w:tab/>
        </w:r>
        <w:r w:rsidR="00DD08B1">
          <w:rPr>
            <w:noProof/>
            <w:sz w:val="24"/>
            <w:szCs w:val="24"/>
          </w:rPr>
          <w:fldChar w:fldCharType="begin"/>
        </w:r>
        <w:r w:rsidR="00DD08B1">
          <w:rPr>
            <w:noProof/>
            <w:sz w:val="24"/>
            <w:szCs w:val="24"/>
          </w:rPr>
          <w:instrText xml:space="preserve"> PAGEREF _Toc256000012 \h </w:instrText>
        </w:r>
        <w:r w:rsidR="00DD08B1">
          <w:rPr>
            <w:noProof/>
            <w:sz w:val="24"/>
            <w:szCs w:val="24"/>
          </w:rPr>
        </w:r>
        <w:r w:rsidR="00DD08B1">
          <w:rPr>
            <w:noProof/>
            <w:sz w:val="24"/>
            <w:szCs w:val="24"/>
          </w:rPr>
          <w:fldChar w:fldCharType="separate"/>
        </w:r>
        <w:r w:rsidR="0049578C">
          <w:rPr>
            <w:noProof/>
            <w:sz w:val="24"/>
            <w:szCs w:val="24"/>
          </w:rPr>
          <w:t>69</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3" w:history="1">
        <w:r w:rsidR="00DD08B1">
          <w:rPr>
            <w:rStyle w:val="af0"/>
            <w:noProof/>
            <w:sz w:val="24"/>
            <w:szCs w:val="24"/>
          </w:rPr>
          <w:t>第十四部分</w:t>
        </w:r>
        <w:r w:rsidR="00DD08B1">
          <w:rPr>
            <w:rStyle w:val="af0"/>
            <w:noProof/>
            <w:sz w:val="24"/>
            <w:szCs w:val="24"/>
          </w:rPr>
          <w:t xml:space="preserve">  </w:t>
        </w:r>
        <w:r w:rsidR="00DD08B1">
          <w:rPr>
            <w:rStyle w:val="af0"/>
            <w:noProof/>
            <w:sz w:val="24"/>
            <w:szCs w:val="24"/>
          </w:rPr>
          <w:t>基金的会计与审计</w:t>
        </w:r>
        <w:r w:rsidR="00DD08B1">
          <w:rPr>
            <w:noProof/>
            <w:sz w:val="24"/>
            <w:szCs w:val="24"/>
          </w:rPr>
          <w:tab/>
        </w:r>
        <w:r w:rsidR="00DD08B1">
          <w:rPr>
            <w:noProof/>
            <w:sz w:val="24"/>
            <w:szCs w:val="24"/>
          </w:rPr>
          <w:fldChar w:fldCharType="begin"/>
        </w:r>
        <w:r w:rsidR="00DD08B1">
          <w:rPr>
            <w:noProof/>
            <w:sz w:val="24"/>
            <w:szCs w:val="24"/>
          </w:rPr>
          <w:instrText xml:space="preserve"> PAGEREF _Toc256000013 \h </w:instrText>
        </w:r>
        <w:r w:rsidR="00DD08B1">
          <w:rPr>
            <w:noProof/>
            <w:sz w:val="24"/>
            <w:szCs w:val="24"/>
          </w:rPr>
        </w:r>
        <w:r w:rsidR="00DD08B1">
          <w:rPr>
            <w:noProof/>
            <w:sz w:val="24"/>
            <w:szCs w:val="24"/>
          </w:rPr>
          <w:fldChar w:fldCharType="separate"/>
        </w:r>
        <w:r w:rsidR="0049578C">
          <w:rPr>
            <w:noProof/>
            <w:sz w:val="24"/>
            <w:szCs w:val="24"/>
          </w:rPr>
          <w:t>72</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4" w:history="1">
        <w:r w:rsidR="00DD08B1">
          <w:rPr>
            <w:rStyle w:val="af0"/>
            <w:noProof/>
            <w:sz w:val="24"/>
            <w:szCs w:val="24"/>
          </w:rPr>
          <w:t>第十五部分</w:t>
        </w:r>
        <w:r w:rsidR="00DD08B1">
          <w:rPr>
            <w:rStyle w:val="af0"/>
            <w:noProof/>
            <w:sz w:val="24"/>
            <w:szCs w:val="24"/>
          </w:rPr>
          <w:t xml:space="preserve">  </w:t>
        </w:r>
        <w:r w:rsidR="00DD08B1">
          <w:rPr>
            <w:rStyle w:val="af0"/>
            <w:noProof/>
            <w:sz w:val="24"/>
            <w:szCs w:val="24"/>
          </w:rPr>
          <w:t>基金的信息披露</w:t>
        </w:r>
        <w:r w:rsidR="00DD08B1">
          <w:rPr>
            <w:noProof/>
            <w:sz w:val="24"/>
            <w:szCs w:val="24"/>
          </w:rPr>
          <w:tab/>
        </w:r>
        <w:r w:rsidR="00DD08B1">
          <w:rPr>
            <w:noProof/>
            <w:sz w:val="24"/>
            <w:szCs w:val="24"/>
          </w:rPr>
          <w:fldChar w:fldCharType="begin"/>
        </w:r>
        <w:r w:rsidR="00DD08B1">
          <w:rPr>
            <w:noProof/>
            <w:sz w:val="24"/>
            <w:szCs w:val="24"/>
          </w:rPr>
          <w:instrText xml:space="preserve"> PAGEREF _Toc256000014 \h </w:instrText>
        </w:r>
        <w:r w:rsidR="00DD08B1">
          <w:rPr>
            <w:noProof/>
            <w:sz w:val="24"/>
            <w:szCs w:val="24"/>
          </w:rPr>
        </w:r>
        <w:r w:rsidR="00DD08B1">
          <w:rPr>
            <w:noProof/>
            <w:sz w:val="24"/>
            <w:szCs w:val="24"/>
          </w:rPr>
          <w:fldChar w:fldCharType="separate"/>
        </w:r>
        <w:r w:rsidR="0049578C">
          <w:rPr>
            <w:noProof/>
            <w:sz w:val="24"/>
            <w:szCs w:val="24"/>
          </w:rPr>
          <w:t>73</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5" w:history="1">
        <w:r w:rsidR="00DD08B1">
          <w:rPr>
            <w:rStyle w:val="af0"/>
            <w:noProof/>
            <w:sz w:val="24"/>
            <w:szCs w:val="24"/>
          </w:rPr>
          <w:t>第十六部分</w:t>
        </w:r>
        <w:r w:rsidR="00DD08B1">
          <w:rPr>
            <w:rStyle w:val="af0"/>
            <w:noProof/>
            <w:sz w:val="24"/>
            <w:szCs w:val="24"/>
          </w:rPr>
          <w:t xml:space="preserve">  </w:t>
        </w:r>
        <w:r w:rsidR="00DD08B1">
          <w:rPr>
            <w:rStyle w:val="af0"/>
            <w:noProof/>
            <w:sz w:val="24"/>
            <w:szCs w:val="24"/>
          </w:rPr>
          <w:t>风险揭示</w:t>
        </w:r>
        <w:r w:rsidR="00DD08B1">
          <w:rPr>
            <w:noProof/>
            <w:sz w:val="24"/>
            <w:szCs w:val="24"/>
          </w:rPr>
          <w:tab/>
        </w:r>
        <w:r w:rsidR="00DD08B1">
          <w:rPr>
            <w:noProof/>
            <w:sz w:val="24"/>
            <w:szCs w:val="24"/>
          </w:rPr>
          <w:fldChar w:fldCharType="begin"/>
        </w:r>
        <w:r w:rsidR="00DD08B1">
          <w:rPr>
            <w:noProof/>
            <w:sz w:val="24"/>
            <w:szCs w:val="24"/>
          </w:rPr>
          <w:instrText xml:space="preserve"> PAGEREF _Toc256000015 \h </w:instrText>
        </w:r>
        <w:r w:rsidR="00DD08B1">
          <w:rPr>
            <w:noProof/>
            <w:sz w:val="24"/>
            <w:szCs w:val="24"/>
          </w:rPr>
        </w:r>
        <w:r w:rsidR="00DD08B1">
          <w:rPr>
            <w:noProof/>
            <w:sz w:val="24"/>
            <w:szCs w:val="24"/>
          </w:rPr>
          <w:fldChar w:fldCharType="separate"/>
        </w:r>
        <w:r w:rsidR="0049578C">
          <w:rPr>
            <w:noProof/>
            <w:sz w:val="24"/>
            <w:szCs w:val="24"/>
          </w:rPr>
          <w:t>81</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6" w:history="1">
        <w:r w:rsidR="00DD08B1">
          <w:rPr>
            <w:rStyle w:val="af0"/>
            <w:noProof/>
            <w:sz w:val="24"/>
            <w:szCs w:val="24"/>
          </w:rPr>
          <w:t>第十七部分</w:t>
        </w:r>
        <w:r w:rsidR="00DD08B1">
          <w:rPr>
            <w:rStyle w:val="af0"/>
            <w:noProof/>
            <w:sz w:val="24"/>
            <w:szCs w:val="24"/>
          </w:rPr>
          <w:t xml:space="preserve">  </w:t>
        </w:r>
        <w:r w:rsidR="00DD08B1">
          <w:rPr>
            <w:rStyle w:val="af0"/>
            <w:noProof/>
            <w:sz w:val="24"/>
            <w:szCs w:val="24"/>
          </w:rPr>
          <w:t>侧袋机制</w:t>
        </w:r>
        <w:r w:rsidR="00DD08B1">
          <w:rPr>
            <w:noProof/>
            <w:sz w:val="24"/>
            <w:szCs w:val="24"/>
          </w:rPr>
          <w:tab/>
        </w:r>
        <w:r w:rsidR="00DD08B1">
          <w:rPr>
            <w:noProof/>
            <w:sz w:val="24"/>
            <w:szCs w:val="24"/>
          </w:rPr>
          <w:fldChar w:fldCharType="begin"/>
        </w:r>
        <w:r w:rsidR="00DD08B1">
          <w:rPr>
            <w:noProof/>
            <w:sz w:val="24"/>
            <w:szCs w:val="24"/>
          </w:rPr>
          <w:instrText xml:space="preserve"> PAGEREF _Toc256000016 \h </w:instrText>
        </w:r>
        <w:r w:rsidR="00DD08B1">
          <w:rPr>
            <w:noProof/>
            <w:sz w:val="24"/>
            <w:szCs w:val="24"/>
          </w:rPr>
        </w:r>
        <w:r w:rsidR="00DD08B1">
          <w:rPr>
            <w:noProof/>
            <w:sz w:val="24"/>
            <w:szCs w:val="24"/>
          </w:rPr>
          <w:fldChar w:fldCharType="separate"/>
        </w:r>
        <w:r w:rsidR="0049578C">
          <w:rPr>
            <w:noProof/>
            <w:sz w:val="24"/>
            <w:szCs w:val="24"/>
          </w:rPr>
          <w:t>94</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7" w:history="1">
        <w:r w:rsidR="00DD08B1">
          <w:rPr>
            <w:rStyle w:val="af0"/>
            <w:noProof/>
            <w:sz w:val="24"/>
            <w:szCs w:val="24"/>
          </w:rPr>
          <w:t>第十八部分</w:t>
        </w:r>
        <w:r w:rsidR="00DD08B1">
          <w:rPr>
            <w:rStyle w:val="af0"/>
            <w:noProof/>
            <w:sz w:val="24"/>
            <w:szCs w:val="24"/>
          </w:rPr>
          <w:t xml:space="preserve">  </w:t>
        </w:r>
        <w:r w:rsidR="00DD08B1">
          <w:rPr>
            <w:rStyle w:val="af0"/>
            <w:noProof/>
            <w:sz w:val="24"/>
            <w:szCs w:val="24"/>
          </w:rPr>
          <w:t>基金合同的变更、终止与基金财产的清算</w:t>
        </w:r>
        <w:r w:rsidR="00DD08B1">
          <w:rPr>
            <w:noProof/>
            <w:sz w:val="24"/>
            <w:szCs w:val="24"/>
          </w:rPr>
          <w:tab/>
        </w:r>
        <w:r w:rsidR="00DD08B1">
          <w:rPr>
            <w:noProof/>
            <w:sz w:val="24"/>
            <w:szCs w:val="24"/>
          </w:rPr>
          <w:fldChar w:fldCharType="begin"/>
        </w:r>
        <w:r w:rsidR="00DD08B1">
          <w:rPr>
            <w:noProof/>
            <w:sz w:val="24"/>
            <w:szCs w:val="24"/>
          </w:rPr>
          <w:instrText xml:space="preserve"> PAGEREF _Toc256000017 \h </w:instrText>
        </w:r>
        <w:r w:rsidR="00DD08B1">
          <w:rPr>
            <w:noProof/>
            <w:sz w:val="24"/>
            <w:szCs w:val="24"/>
          </w:rPr>
        </w:r>
        <w:r w:rsidR="00DD08B1">
          <w:rPr>
            <w:noProof/>
            <w:sz w:val="24"/>
            <w:szCs w:val="24"/>
          </w:rPr>
          <w:fldChar w:fldCharType="separate"/>
        </w:r>
        <w:r w:rsidR="0049578C">
          <w:rPr>
            <w:noProof/>
            <w:sz w:val="24"/>
            <w:szCs w:val="24"/>
          </w:rPr>
          <w:t>97</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8" w:history="1">
        <w:r w:rsidR="00DD08B1">
          <w:rPr>
            <w:rStyle w:val="af0"/>
            <w:noProof/>
            <w:sz w:val="24"/>
            <w:szCs w:val="24"/>
          </w:rPr>
          <w:t>第十九部分</w:t>
        </w:r>
        <w:r w:rsidR="00DD08B1">
          <w:rPr>
            <w:rStyle w:val="af0"/>
            <w:noProof/>
            <w:sz w:val="24"/>
            <w:szCs w:val="24"/>
          </w:rPr>
          <w:t xml:space="preserve">  </w:t>
        </w:r>
        <w:r w:rsidR="00DD08B1">
          <w:rPr>
            <w:rStyle w:val="af0"/>
            <w:noProof/>
            <w:sz w:val="24"/>
            <w:szCs w:val="24"/>
          </w:rPr>
          <w:t>基金合同的内容摘要</w:t>
        </w:r>
        <w:r w:rsidR="00DD08B1">
          <w:rPr>
            <w:noProof/>
            <w:sz w:val="24"/>
            <w:szCs w:val="24"/>
          </w:rPr>
          <w:tab/>
        </w:r>
        <w:r w:rsidR="00DD08B1">
          <w:rPr>
            <w:noProof/>
            <w:sz w:val="24"/>
            <w:szCs w:val="24"/>
          </w:rPr>
          <w:fldChar w:fldCharType="begin"/>
        </w:r>
        <w:r w:rsidR="00DD08B1">
          <w:rPr>
            <w:noProof/>
            <w:sz w:val="24"/>
            <w:szCs w:val="24"/>
          </w:rPr>
          <w:instrText xml:space="preserve"> PAGEREF _Toc256000018 \h </w:instrText>
        </w:r>
        <w:r w:rsidR="00DD08B1">
          <w:rPr>
            <w:noProof/>
            <w:sz w:val="24"/>
            <w:szCs w:val="24"/>
          </w:rPr>
        </w:r>
        <w:r w:rsidR="00DD08B1">
          <w:rPr>
            <w:noProof/>
            <w:sz w:val="24"/>
            <w:szCs w:val="24"/>
          </w:rPr>
          <w:fldChar w:fldCharType="separate"/>
        </w:r>
        <w:r w:rsidR="0049578C">
          <w:rPr>
            <w:noProof/>
            <w:sz w:val="24"/>
            <w:szCs w:val="24"/>
          </w:rPr>
          <w:t>99</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19" w:history="1">
        <w:r w:rsidR="00DD08B1">
          <w:rPr>
            <w:rStyle w:val="af0"/>
            <w:noProof/>
            <w:sz w:val="24"/>
            <w:szCs w:val="24"/>
          </w:rPr>
          <w:t>第二十部分</w:t>
        </w:r>
        <w:r w:rsidR="00DD08B1">
          <w:rPr>
            <w:rStyle w:val="af0"/>
            <w:noProof/>
            <w:sz w:val="24"/>
            <w:szCs w:val="24"/>
          </w:rPr>
          <w:t xml:space="preserve">  </w:t>
        </w:r>
        <w:r w:rsidR="00DD08B1">
          <w:rPr>
            <w:rStyle w:val="af0"/>
            <w:noProof/>
            <w:sz w:val="24"/>
            <w:szCs w:val="24"/>
          </w:rPr>
          <w:t>托管协议的内容摘要</w:t>
        </w:r>
        <w:r w:rsidR="00DD08B1">
          <w:rPr>
            <w:noProof/>
            <w:sz w:val="24"/>
            <w:szCs w:val="24"/>
          </w:rPr>
          <w:tab/>
        </w:r>
        <w:r w:rsidR="00DD08B1">
          <w:rPr>
            <w:noProof/>
            <w:sz w:val="24"/>
            <w:szCs w:val="24"/>
          </w:rPr>
          <w:fldChar w:fldCharType="begin"/>
        </w:r>
        <w:r w:rsidR="00DD08B1">
          <w:rPr>
            <w:noProof/>
            <w:sz w:val="24"/>
            <w:szCs w:val="24"/>
          </w:rPr>
          <w:instrText xml:space="preserve"> PAGEREF _Toc256000019 \h </w:instrText>
        </w:r>
        <w:r w:rsidR="00DD08B1">
          <w:rPr>
            <w:noProof/>
            <w:sz w:val="24"/>
            <w:szCs w:val="24"/>
          </w:rPr>
        </w:r>
        <w:r w:rsidR="00DD08B1">
          <w:rPr>
            <w:noProof/>
            <w:sz w:val="24"/>
            <w:szCs w:val="24"/>
          </w:rPr>
          <w:fldChar w:fldCharType="separate"/>
        </w:r>
        <w:r w:rsidR="0049578C">
          <w:rPr>
            <w:noProof/>
            <w:sz w:val="24"/>
            <w:szCs w:val="24"/>
          </w:rPr>
          <w:t>117</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20" w:history="1">
        <w:r w:rsidR="00DD08B1">
          <w:rPr>
            <w:rStyle w:val="af0"/>
            <w:noProof/>
            <w:sz w:val="24"/>
            <w:szCs w:val="24"/>
          </w:rPr>
          <w:t>第二十一部分</w:t>
        </w:r>
        <w:r w:rsidR="00DD08B1">
          <w:rPr>
            <w:rStyle w:val="af0"/>
            <w:noProof/>
            <w:sz w:val="24"/>
            <w:szCs w:val="24"/>
          </w:rPr>
          <w:t xml:space="preserve">  </w:t>
        </w:r>
        <w:r w:rsidR="00DD08B1">
          <w:rPr>
            <w:rStyle w:val="af0"/>
            <w:noProof/>
            <w:sz w:val="24"/>
            <w:szCs w:val="24"/>
          </w:rPr>
          <w:t>对基金份额持有人的服务</w:t>
        </w:r>
        <w:bookmarkStart w:id="25" w:name="_GoBack"/>
        <w:bookmarkEnd w:id="25"/>
        <w:r w:rsidR="00DD08B1">
          <w:rPr>
            <w:noProof/>
            <w:sz w:val="24"/>
            <w:szCs w:val="24"/>
          </w:rPr>
          <w:tab/>
        </w:r>
        <w:r w:rsidR="00DD08B1">
          <w:rPr>
            <w:noProof/>
            <w:sz w:val="24"/>
            <w:szCs w:val="24"/>
          </w:rPr>
          <w:fldChar w:fldCharType="begin"/>
        </w:r>
        <w:r w:rsidR="00DD08B1">
          <w:rPr>
            <w:noProof/>
            <w:sz w:val="24"/>
            <w:szCs w:val="24"/>
          </w:rPr>
          <w:instrText xml:space="preserve"> PAGEREF _Toc256000020 \h </w:instrText>
        </w:r>
        <w:r w:rsidR="00DD08B1">
          <w:rPr>
            <w:noProof/>
            <w:sz w:val="24"/>
            <w:szCs w:val="24"/>
          </w:rPr>
        </w:r>
        <w:r w:rsidR="00DD08B1">
          <w:rPr>
            <w:noProof/>
            <w:sz w:val="24"/>
            <w:szCs w:val="24"/>
          </w:rPr>
          <w:fldChar w:fldCharType="separate"/>
        </w:r>
        <w:r w:rsidR="0049578C">
          <w:rPr>
            <w:noProof/>
            <w:sz w:val="24"/>
            <w:szCs w:val="24"/>
          </w:rPr>
          <w:t>136</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21" w:history="1">
        <w:r w:rsidR="00DD08B1">
          <w:rPr>
            <w:rStyle w:val="af0"/>
            <w:noProof/>
            <w:sz w:val="24"/>
            <w:szCs w:val="24"/>
          </w:rPr>
          <w:t>第二十二部分</w:t>
        </w:r>
        <w:r w:rsidR="00DD08B1">
          <w:rPr>
            <w:rStyle w:val="af0"/>
            <w:noProof/>
            <w:sz w:val="24"/>
            <w:szCs w:val="24"/>
          </w:rPr>
          <w:t xml:space="preserve">  </w:t>
        </w:r>
        <w:r w:rsidR="00DD08B1">
          <w:rPr>
            <w:rStyle w:val="af0"/>
            <w:noProof/>
            <w:sz w:val="24"/>
            <w:szCs w:val="24"/>
          </w:rPr>
          <w:t>其他应披露事项</w:t>
        </w:r>
        <w:r w:rsidR="00DD08B1">
          <w:rPr>
            <w:noProof/>
            <w:sz w:val="24"/>
            <w:szCs w:val="24"/>
          </w:rPr>
          <w:tab/>
        </w:r>
        <w:r w:rsidR="00DD08B1">
          <w:rPr>
            <w:noProof/>
            <w:sz w:val="24"/>
            <w:szCs w:val="24"/>
          </w:rPr>
          <w:fldChar w:fldCharType="begin"/>
        </w:r>
        <w:r w:rsidR="00DD08B1">
          <w:rPr>
            <w:noProof/>
            <w:sz w:val="24"/>
            <w:szCs w:val="24"/>
          </w:rPr>
          <w:instrText xml:space="preserve"> PAGEREF _Toc256000021 \h </w:instrText>
        </w:r>
        <w:r w:rsidR="00DD08B1">
          <w:rPr>
            <w:noProof/>
            <w:sz w:val="24"/>
            <w:szCs w:val="24"/>
          </w:rPr>
        </w:r>
        <w:r w:rsidR="00DD08B1">
          <w:rPr>
            <w:noProof/>
            <w:sz w:val="24"/>
            <w:szCs w:val="24"/>
          </w:rPr>
          <w:fldChar w:fldCharType="separate"/>
        </w:r>
        <w:r w:rsidR="0049578C">
          <w:rPr>
            <w:noProof/>
            <w:sz w:val="24"/>
            <w:szCs w:val="24"/>
          </w:rPr>
          <w:t>138</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22" w:history="1">
        <w:r w:rsidR="00DD08B1">
          <w:rPr>
            <w:rStyle w:val="af0"/>
            <w:noProof/>
            <w:sz w:val="24"/>
            <w:szCs w:val="24"/>
          </w:rPr>
          <w:t>第二十三部分</w:t>
        </w:r>
        <w:r w:rsidR="00DD08B1">
          <w:rPr>
            <w:rStyle w:val="af0"/>
            <w:noProof/>
            <w:sz w:val="24"/>
            <w:szCs w:val="24"/>
          </w:rPr>
          <w:t xml:space="preserve">  </w:t>
        </w:r>
        <w:r w:rsidR="00DD08B1">
          <w:rPr>
            <w:rStyle w:val="af0"/>
            <w:noProof/>
            <w:sz w:val="24"/>
            <w:szCs w:val="24"/>
          </w:rPr>
          <w:t>招募说明书的存放和查阅方式</w:t>
        </w:r>
        <w:r w:rsidR="00DD08B1">
          <w:rPr>
            <w:noProof/>
            <w:sz w:val="24"/>
            <w:szCs w:val="24"/>
          </w:rPr>
          <w:tab/>
        </w:r>
        <w:r w:rsidR="00DD08B1">
          <w:rPr>
            <w:noProof/>
            <w:sz w:val="24"/>
            <w:szCs w:val="24"/>
          </w:rPr>
          <w:fldChar w:fldCharType="begin"/>
        </w:r>
        <w:r w:rsidR="00DD08B1">
          <w:rPr>
            <w:noProof/>
            <w:sz w:val="24"/>
            <w:szCs w:val="24"/>
          </w:rPr>
          <w:instrText xml:space="preserve"> PAGEREF _Toc256000022 \h </w:instrText>
        </w:r>
        <w:r w:rsidR="00DD08B1">
          <w:rPr>
            <w:noProof/>
            <w:sz w:val="24"/>
            <w:szCs w:val="24"/>
          </w:rPr>
        </w:r>
        <w:r w:rsidR="00DD08B1">
          <w:rPr>
            <w:noProof/>
            <w:sz w:val="24"/>
            <w:szCs w:val="24"/>
          </w:rPr>
          <w:fldChar w:fldCharType="separate"/>
        </w:r>
        <w:r w:rsidR="0049578C">
          <w:rPr>
            <w:noProof/>
            <w:sz w:val="24"/>
            <w:szCs w:val="24"/>
          </w:rPr>
          <w:t>139</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23" w:history="1">
        <w:r w:rsidR="00DD08B1">
          <w:rPr>
            <w:rStyle w:val="af0"/>
            <w:noProof/>
            <w:sz w:val="24"/>
            <w:szCs w:val="24"/>
          </w:rPr>
          <w:t>第二十四部分</w:t>
        </w:r>
        <w:r w:rsidR="00DD08B1">
          <w:rPr>
            <w:rStyle w:val="af0"/>
            <w:noProof/>
            <w:sz w:val="24"/>
            <w:szCs w:val="24"/>
          </w:rPr>
          <w:t xml:space="preserve">  </w:t>
        </w:r>
        <w:r w:rsidR="00DD08B1">
          <w:rPr>
            <w:rStyle w:val="af0"/>
            <w:noProof/>
            <w:sz w:val="24"/>
            <w:szCs w:val="24"/>
          </w:rPr>
          <w:t>标的指数的编制方法及指数信息查阅方式</w:t>
        </w:r>
        <w:r w:rsidR="00DD08B1">
          <w:rPr>
            <w:noProof/>
            <w:sz w:val="24"/>
            <w:szCs w:val="24"/>
          </w:rPr>
          <w:tab/>
        </w:r>
        <w:r w:rsidR="00DD08B1">
          <w:rPr>
            <w:noProof/>
            <w:sz w:val="24"/>
            <w:szCs w:val="24"/>
          </w:rPr>
          <w:fldChar w:fldCharType="begin"/>
        </w:r>
        <w:r w:rsidR="00DD08B1">
          <w:rPr>
            <w:noProof/>
            <w:sz w:val="24"/>
            <w:szCs w:val="24"/>
          </w:rPr>
          <w:instrText xml:space="preserve"> PAGEREF _Toc256000023 \h </w:instrText>
        </w:r>
        <w:r w:rsidR="00DD08B1">
          <w:rPr>
            <w:noProof/>
            <w:sz w:val="24"/>
            <w:szCs w:val="24"/>
          </w:rPr>
        </w:r>
        <w:r w:rsidR="00DD08B1">
          <w:rPr>
            <w:noProof/>
            <w:sz w:val="24"/>
            <w:szCs w:val="24"/>
          </w:rPr>
          <w:fldChar w:fldCharType="separate"/>
        </w:r>
        <w:r w:rsidR="0049578C">
          <w:rPr>
            <w:noProof/>
            <w:sz w:val="24"/>
            <w:szCs w:val="24"/>
          </w:rPr>
          <w:t>140</w:t>
        </w:r>
        <w:r w:rsidR="00DD08B1">
          <w:rPr>
            <w:noProof/>
            <w:sz w:val="24"/>
            <w:szCs w:val="24"/>
          </w:rPr>
          <w:fldChar w:fldCharType="end"/>
        </w:r>
      </w:hyperlink>
    </w:p>
    <w:p w:rsidR="00D27B31" w:rsidRDefault="000C5FB9">
      <w:pPr>
        <w:pStyle w:val="10"/>
        <w:spacing w:line="360" w:lineRule="auto"/>
        <w:rPr>
          <w:rFonts w:asciiTheme="minorHAnsi" w:hAnsiTheme="minorHAnsi"/>
          <w:noProof/>
          <w:sz w:val="24"/>
          <w:szCs w:val="24"/>
        </w:rPr>
      </w:pPr>
      <w:hyperlink w:anchor="_Toc256000024" w:history="1">
        <w:r w:rsidR="00DD08B1">
          <w:rPr>
            <w:rStyle w:val="af0"/>
            <w:noProof/>
            <w:sz w:val="24"/>
            <w:szCs w:val="24"/>
          </w:rPr>
          <w:t>第二十五部分</w:t>
        </w:r>
        <w:r w:rsidR="00DD08B1">
          <w:rPr>
            <w:rStyle w:val="af0"/>
            <w:noProof/>
            <w:sz w:val="24"/>
            <w:szCs w:val="24"/>
          </w:rPr>
          <w:t xml:space="preserve">  </w:t>
        </w:r>
        <w:r w:rsidR="00DD08B1">
          <w:rPr>
            <w:rStyle w:val="af0"/>
            <w:noProof/>
            <w:sz w:val="24"/>
            <w:szCs w:val="24"/>
          </w:rPr>
          <w:t>备查文件</w:t>
        </w:r>
        <w:r w:rsidR="00DD08B1">
          <w:rPr>
            <w:noProof/>
            <w:sz w:val="24"/>
            <w:szCs w:val="24"/>
          </w:rPr>
          <w:tab/>
        </w:r>
        <w:r w:rsidR="00DD08B1">
          <w:rPr>
            <w:noProof/>
            <w:sz w:val="24"/>
            <w:szCs w:val="24"/>
          </w:rPr>
          <w:fldChar w:fldCharType="begin"/>
        </w:r>
        <w:r w:rsidR="00DD08B1">
          <w:rPr>
            <w:noProof/>
            <w:sz w:val="24"/>
            <w:szCs w:val="24"/>
          </w:rPr>
          <w:instrText xml:space="preserve"> PAGEREF _Toc256000024 \h </w:instrText>
        </w:r>
        <w:r w:rsidR="00DD08B1">
          <w:rPr>
            <w:noProof/>
            <w:sz w:val="24"/>
            <w:szCs w:val="24"/>
          </w:rPr>
        </w:r>
        <w:r w:rsidR="00DD08B1">
          <w:rPr>
            <w:noProof/>
            <w:sz w:val="24"/>
            <w:szCs w:val="24"/>
          </w:rPr>
          <w:fldChar w:fldCharType="separate"/>
        </w:r>
        <w:r w:rsidR="0049578C">
          <w:rPr>
            <w:noProof/>
            <w:sz w:val="24"/>
            <w:szCs w:val="24"/>
          </w:rPr>
          <w:t>141</w:t>
        </w:r>
        <w:r w:rsidR="00DD08B1">
          <w:rPr>
            <w:noProof/>
            <w:sz w:val="24"/>
            <w:szCs w:val="24"/>
          </w:rPr>
          <w:fldChar w:fldCharType="end"/>
        </w:r>
      </w:hyperlink>
    </w:p>
    <w:p w:rsidR="00D27B31" w:rsidRDefault="00DD08B1">
      <w:pPr>
        <w:spacing w:line="360" w:lineRule="auto"/>
        <w:jc w:val="left"/>
        <w:rPr>
          <w:rStyle w:val="read"/>
          <w:rFonts w:ascii="宋体" w:hAnsi="宋体" w:cs="宋体"/>
          <w:b/>
          <w:sz w:val="24"/>
        </w:rPr>
        <w:sectPr w:rsidR="00D27B31">
          <w:headerReference w:type="default" r:id="rId9"/>
          <w:footerReference w:type="default" r:id="rId10"/>
          <w:pgSz w:w="11906" w:h="16838"/>
          <w:pgMar w:top="1440" w:right="1800" w:bottom="1440" w:left="1800" w:header="851" w:footer="992" w:gutter="0"/>
          <w:pgNumType w:start="1"/>
          <w:cols w:space="720"/>
          <w:docGrid w:type="lines" w:linePitch="312"/>
        </w:sectPr>
      </w:pPr>
      <w:r>
        <w:rPr>
          <w:rStyle w:val="read"/>
          <w:rFonts w:ascii="宋体" w:hAnsi="宋体" w:cs="宋体"/>
          <w:b/>
          <w:sz w:val="24"/>
          <w:szCs w:val="24"/>
        </w:rPr>
        <w:fldChar w:fldCharType="end"/>
      </w:r>
      <w:bookmarkStart w:id="26" w:name="_Toc452127896"/>
      <w:bookmarkStart w:id="27" w:name="_Toc2163435"/>
      <w:bookmarkStart w:id="28" w:name="_Toc11660"/>
    </w:p>
    <w:p w:rsidR="00D27B31" w:rsidRDefault="00DD08B1">
      <w:pPr>
        <w:widowControl/>
        <w:jc w:val="center"/>
        <w:rPr>
          <w:b/>
          <w:bCs/>
          <w:sz w:val="30"/>
        </w:rPr>
      </w:pPr>
      <w:r>
        <w:rPr>
          <w:b/>
          <w:bCs/>
          <w:sz w:val="30"/>
        </w:rPr>
        <w:lastRenderedPageBreak/>
        <w:t>重要提示</w:t>
      </w:r>
    </w:p>
    <w:p w:rsidR="00D27B31" w:rsidRDefault="00D27B31">
      <w:pPr>
        <w:widowControl/>
        <w:jc w:val="center"/>
        <w:rPr>
          <w:sz w:val="30"/>
        </w:rPr>
      </w:pP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汇添富上证科创板200指数型发起式证券投资基金</w:t>
      </w:r>
      <w:r>
        <w:rPr>
          <w:rFonts w:ascii="宋体" w:hAnsi="宋体" w:cs="宋体"/>
          <w:kern w:val="0"/>
          <w:sz w:val="24"/>
          <w:szCs w:val="24"/>
        </w:rPr>
        <w:t>（以下简称“本基金”）经中国证券监督管理委员会20</w:t>
      </w:r>
      <w:r>
        <w:rPr>
          <w:rFonts w:ascii="宋体" w:hAnsi="宋体" w:cs="宋体" w:hint="eastAsia"/>
          <w:kern w:val="0"/>
          <w:sz w:val="24"/>
          <w:szCs w:val="24"/>
        </w:rPr>
        <w:t>25</w:t>
      </w:r>
      <w:r>
        <w:rPr>
          <w:rFonts w:ascii="宋体" w:hAnsi="宋体" w:cs="宋体"/>
          <w:kern w:val="0"/>
          <w:sz w:val="24"/>
          <w:szCs w:val="24"/>
        </w:rPr>
        <w:t>年</w:t>
      </w:r>
      <w:r>
        <w:rPr>
          <w:rFonts w:ascii="宋体" w:hAnsi="宋体" w:cs="宋体" w:hint="eastAsia"/>
          <w:kern w:val="0"/>
          <w:sz w:val="24"/>
          <w:szCs w:val="24"/>
        </w:rPr>
        <w:t>7</w:t>
      </w:r>
      <w:r>
        <w:rPr>
          <w:rFonts w:ascii="宋体" w:hAnsi="宋体" w:cs="宋体"/>
          <w:kern w:val="0"/>
          <w:sz w:val="24"/>
          <w:szCs w:val="24"/>
        </w:rPr>
        <w:t>月</w:t>
      </w:r>
      <w:r>
        <w:rPr>
          <w:rFonts w:ascii="宋体" w:hAnsi="宋体" w:cs="宋体" w:hint="eastAsia"/>
          <w:kern w:val="0"/>
          <w:sz w:val="24"/>
          <w:szCs w:val="24"/>
        </w:rPr>
        <w:t>10</w:t>
      </w:r>
      <w:r>
        <w:rPr>
          <w:rFonts w:ascii="宋体" w:hAnsi="宋体" w:cs="宋体"/>
          <w:kern w:val="0"/>
          <w:sz w:val="24"/>
          <w:szCs w:val="24"/>
        </w:rPr>
        <w:t>日证监许可【20</w:t>
      </w:r>
      <w:r>
        <w:rPr>
          <w:rFonts w:ascii="宋体" w:hAnsi="宋体" w:cs="宋体" w:hint="eastAsia"/>
          <w:kern w:val="0"/>
          <w:sz w:val="24"/>
          <w:szCs w:val="24"/>
        </w:rPr>
        <w:t>25</w:t>
      </w:r>
      <w:r>
        <w:rPr>
          <w:rFonts w:ascii="宋体" w:hAnsi="宋体" w:cs="宋体"/>
          <w:kern w:val="0"/>
          <w:sz w:val="24"/>
          <w:szCs w:val="24"/>
        </w:rPr>
        <w:t>】</w:t>
      </w:r>
      <w:r>
        <w:rPr>
          <w:rFonts w:ascii="宋体" w:hAnsi="宋体" w:cs="宋体" w:hint="eastAsia"/>
          <w:kern w:val="0"/>
          <w:sz w:val="24"/>
          <w:szCs w:val="24"/>
        </w:rPr>
        <w:t>1441</w:t>
      </w:r>
      <w:r>
        <w:rPr>
          <w:rFonts w:ascii="宋体" w:hAnsi="宋体" w:cs="宋体"/>
          <w:kern w:val="0"/>
          <w:sz w:val="24"/>
          <w:szCs w:val="24"/>
        </w:rPr>
        <w:t>号文注册募集。</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基金管理人保证《</w:t>
      </w:r>
      <w:r>
        <w:rPr>
          <w:rStyle w:val="custom"/>
          <w:rFonts w:ascii="宋体" w:hAnsi="宋体" w:cs="宋体"/>
          <w:kern w:val="0"/>
          <w:sz w:val="24"/>
          <w:szCs w:val="24"/>
        </w:rPr>
        <w:t>汇添富上证科创板200指数型发起式证券投资基金</w:t>
      </w:r>
      <w:r>
        <w:rPr>
          <w:rFonts w:ascii="宋体" w:hAnsi="宋体" w:cs="宋体"/>
          <w:kern w:val="0"/>
          <w:sz w:val="24"/>
          <w:szCs w:val="24"/>
        </w:rPr>
        <w:t>招募说明书》</w:t>
      </w:r>
      <w:r>
        <w:rPr>
          <w:rFonts w:ascii="宋体" w:hAnsi="宋体" w:cs="宋体" w:hint="eastAsia"/>
          <w:kern w:val="0"/>
          <w:sz w:val="24"/>
          <w:szCs w:val="24"/>
        </w:rPr>
        <w:t>（</w:t>
      </w:r>
      <w:r>
        <w:rPr>
          <w:rFonts w:ascii="宋体" w:hAnsi="宋体" w:cs="宋体"/>
          <w:kern w:val="0"/>
          <w:sz w:val="24"/>
          <w:szCs w:val="24"/>
        </w:rPr>
        <w:t>以下简称“招募说明书”或“本招募说明书”</w:t>
      </w:r>
      <w:r>
        <w:rPr>
          <w:rFonts w:ascii="宋体" w:hAnsi="宋体" w:cs="宋体" w:hint="eastAsia"/>
          <w:kern w:val="0"/>
          <w:sz w:val="24"/>
          <w:szCs w:val="24"/>
        </w:rPr>
        <w:t>）</w:t>
      </w:r>
      <w:r>
        <w:rPr>
          <w:rFonts w:ascii="宋体" w:hAnsi="宋体" w:cs="宋体"/>
          <w:kern w:val="0"/>
          <w:sz w:val="24"/>
          <w:szCs w:val="24"/>
        </w:rPr>
        <w:t>的内容真实、准确、完整。本招募说明书经中国证监会注册，但中国证监会对本基金募集的注册，并不表明其对本基金的投资价值和市场前景作出实质性判断或保证，也不表明投资于本基金没有风险。</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投资有风险，投资者根据所持有份额享受基金的收益，但同时也要承担相应的投资风险。投资者拟认购（或申购）基金时应认真阅读本招募说明书、基金合同、基金产品资料概要等信息披露文件</w:t>
      </w:r>
      <w:r>
        <w:rPr>
          <w:rFonts w:ascii="宋体" w:hAnsi="宋体" w:cs="宋体"/>
          <w:color w:val="000000"/>
          <w:kern w:val="0"/>
          <w:sz w:val="24"/>
          <w:szCs w:val="24"/>
        </w:rPr>
        <w:t>，根据自身的投资目的、投资期限、投资经验、资产状况等判断基金是否和投资者的风险承受能力相适应，自主判断基金的投资价值，</w:t>
      </w:r>
      <w:r>
        <w:rPr>
          <w:rFonts w:ascii="宋体" w:hAnsi="宋体" w:cs="宋体"/>
          <w:kern w:val="0"/>
          <w:sz w:val="24"/>
          <w:szCs w:val="24"/>
        </w:rPr>
        <w:t>自主做出投资决策，全面认识本基金产品的风险收益特征，并承担基金投资中出现的各类风险，包括：因整体政治、经济、社会等环境因素对证券价格产生影响而形成的系统性风险，个别证券特有的非系统性风险，由于基金投资者连续大量赎回基金产生的流动性风险，基金管理人在基金管理实施过程中产生的基金管理风险，本基金的特定风险等等。</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本基金为指数基金，投资者投资于本基金面临跟踪误差控制未达约定目标、指数编制机构停止服务、成份股停牌等潜在风险。</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本基金属于股票型基金，其预期风险及预期收益水平高于混合型基金、债券型基金及货币市场基金。同时本基金为指数基金，具有与标的指数相似的风险收益特征。</w:t>
      </w:r>
    </w:p>
    <w:p w:rsidR="00D27B31" w:rsidRDefault="00DD08B1">
      <w:pPr>
        <w:pStyle w:val="div"/>
        <w:spacing w:line="360" w:lineRule="auto"/>
        <w:ind w:firstLine="420"/>
        <w:rPr>
          <w:rFonts w:eastAsia="Times New Roman"/>
          <w:kern w:val="0"/>
          <w:sz w:val="24"/>
          <w:szCs w:val="24"/>
        </w:rPr>
      </w:pPr>
      <w:r>
        <w:rPr>
          <w:rFonts w:ascii="宋体" w:hAnsi="宋体" w:cs="宋体"/>
          <w:color w:val="000000"/>
          <w:kern w:val="0"/>
          <w:sz w:val="24"/>
          <w:szCs w:val="24"/>
        </w:rPr>
        <w:t>本基金招募说明书“基金的投资”章节中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销售适当性风险评价”，不同的销售机构采用的评价方法也</w:t>
      </w:r>
      <w:r w:rsidR="00FF7C1F" w:rsidRPr="00FF7C1F">
        <w:rPr>
          <w:rFonts w:ascii="宋体" w:hAnsi="宋体" w:cs="宋体" w:hint="eastAsia"/>
          <w:color w:val="000000"/>
          <w:kern w:val="0"/>
          <w:sz w:val="24"/>
          <w:szCs w:val="24"/>
        </w:rPr>
        <w:t>不尽相同</w:t>
      </w:r>
      <w:r>
        <w:rPr>
          <w:rFonts w:ascii="宋体" w:hAnsi="宋体" w:cs="宋体"/>
          <w:color w:val="000000"/>
          <w:kern w:val="0"/>
          <w:sz w:val="24"/>
          <w:szCs w:val="24"/>
        </w:rPr>
        <w:t>，因此销售机构的基金产品“风险等级评</w:t>
      </w:r>
      <w:r>
        <w:rPr>
          <w:rFonts w:ascii="宋体" w:hAnsi="宋体" w:cs="宋体"/>
          <w:color w:val="000000"/>
          <w:kern w:val="0"/>
          <w:sz w:val="24"/>
          <w:szCs w:val="24"/>
        </w:rPr>
        <w:lastRenderedPageBreak/>
        <w:t>价”与“基金的投资”章节中“风险收益特征”的表述可能存在不同，投资人在购买本基金时需按照销售机构的要求完成风险承受能力与产品风险之间的匹配检验。</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基金的过往业绩并不预示其未来表现，基金管理人管理的其他基金的业绩也不构成对本基金业绩表现的保证。</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基金管理人依照恪尽职守、诚实信用、谨慎勤勉的原则管理和运用基金财产，但不保证投资于本基金一定盈利，也不保证最低收益。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投资者应充分考虑自身的风险承受能力，并对于认购（或申购）基金的意愿、时机、数量等投资行为作出独立决策。基金管理人提醒投资者基金投资的“买者自负”原则，在投资者作出投资决策后，基金运营状况与基金净值变化导致的投资风险，由投资者自行负担。</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当本基金持有特定资产且存在或潜在大额赎回申请时，基金管理人履行相应程序后，可以启用侧袋机制，具体详见基金合同和本招募说明书“侧袋机制”等有关章节。侧袋机制实施期间，基金管理人将对基金简称进行特殊标识，并不办理侧袋账户的申购赎回。请基金份额持有人仔细阅读相关内容并关注本基金启用侧袋机制时的特定风险。</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可投资存托凭证，除普通股票投资可能面临的宏观经济风险、政策风险、市场风险、流动性风险外，还将面临存托凭证持有人与持有基础股票的股东在法律地位享有权利等方面存在差异可能引发的风险、发行人采用协议控制架构的风险、增发基础证券可能导致的存托凭证持有人权益被摊薄的风险、交易机制相关风险、存托凭证退市风险等其他风险。</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投资国内上市的科创板股票，会面临因投资标的、市场制度以及交易规则等差异带来的特有风险，包括科创板上市公司股价波动较大的风险、科创板上市公司退市的风险、科创板股票流动性较差的风险等。具体风险烦请查阅本基金招募说明书的“风险揭示”章节的具体内容。</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单一投资者（基金管理人、基金管理人高级管理人员或基金经理等人员作为发起资金提供方除外）持有基金份额数不得达到或超过基金份额总数的50%，但在基金运作过程中因基金份额赎回等基金管理人无法予以控制的情形导致被动达到或超过50%的除外。法律法规或监管机构另有规定的，从其规定。</w:t>
      </w:r>
      <w:r>
        <w:rPr>
          <w:rStyle w:val="custom"/>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29" w:name="_Toc139991731"/>
      <w:bookmarkStart w:id="30" w:name="_Toc2560000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6"/>
      <w:bookmarkEnd w:id="27"/>
      <w:bookmarkEnd w:id="28"/>
      <w:bookmarkEnd w:id="29"/>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绪言</w:t>
      </w:r>
      <w:bookmarkEnd w:id="30"/>
    </w:p>
    <w:p w:rsidR="00D27B31" w:rsidRDefault="00D27B31"/>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本招募说明书依据《中华人民共和国证券投资基金法》</w:t>
      </w:r>
      <w:r>
        <w:rPr>
          <w:rFonts w:ascii="宋体" w:hAnsi="宋体" w:cs="宋体" w:hint="eastAsia"/>
          <w:kern w:val="0"/>
          <w:sz w:val="24"/>
          <w:szCs w:val="24"/>
        </w:rPr>
        <w:t>（</w:t>
      </w:r>
      <w:r>
        <w:rPr>
          <w:rFonts w:ascii="宋体" w:hAnsi="宋体" w:cs="宋体"/>
          <w:kern w:val="0"/>
          <w:sz w:val="24"/>
          <w:szCs w:val="24"/>
        </w:rPr>
        <w:t>以下简称“《基金法》”</w:t>
      </w:r>
      <w:r>
        <w:rPr>
          <w:rFonts w:ascii="宋体" w:hAnsi="宋体" w:cs="宋体" w:hint="eastAsia"/>
          <w:kern w:val="0"/>
          <w:sz w:val="24"/>
          <w:szCs w:val="24"/>
        </w:rPr>
        <w:t>）</w:t>
      </w:r>
      <w:r>
        <w:rPr>
          <w:rFonts w:ascii="宋体" w:hAnsi="宋体" w:cs="宋体"/>
          <w:kern w:val="0"/>
          <w:sz w:val="24"/>
          <w:szCs w:val="24"/>
        </w:rPr>
        <w:t>、《公开募集证券投资基金运作管理办法》</w:t>
      </w:r>
      <w:r>
        <w:rPr>
          <w:rFonts w:ascii="宋体" w:hAnsi="宋体" w:cs="宋体" w:hint="eastAsia"/>
          <w:kern w:val="0"/>
          <w:sz w:val="24"/>
          <w:szCs w:val="24"/>
        </w:rPr>
        <w:t>（以下简称“《运作办法》”）</w:t>
      </w:r>
      <w:r>
        <w:rPr>
          <w:rFonts w:ascii="宋体" w:hAnsi="宋体" w:cs="宋体"/>
          <w:kern w:val="0"/>
          <w:sz w:val="24"/>
          <w:szCs w:val="24"/>
        </w:rPr>
        <w:t>、《公开募集证券投资基金销售机构监督管理办法》</w:t>
      </w:r>
      <w:r>
        <w:rPr>
          <w:rFonts w:ascii="宋体" w:hAnsi="宋体" w:cs="宋体" w:hint="eastAsia"/>
          <w:kern w:val="0"/>
          <w:sz w:val="24"/>
          <w:szCs w:val="24"/>
        </w:rPr>
        <w:t>（以下简称“《销售办法》”）</w:t>
      </w:r>
      <w:r>
        <w:rPr>
          <w:rFonts w:ascii="宋体" w:hAnsi="宋体" w:cs="宋体"/>
          <w:kern w:val="0"/>
          <w:sz w:val="24"/>
          <w:szCs w:val="24"/>
        </w:rPr>
        <w:t>、《公开募集证券投资基金信息披露管理办法》</w:t>
      </w:r>
      <w:r>
        <w:rPr>
          <w:rFonts w:ascii="宋体" w:hAnsi="宋体" w:cs="宋体" w:hint="eastAsia"/>
          <w:kern w:val="0"/>
          <w:sz w:val="24"/>
          <w:szCs w:val="24"/>
        </w:rPr>
        <w:t>（以下简称“《信息披露办法》”）</w:t>
      </w:r>
      <w:r>
        <w:rPr>
          <w:rFonts w:ascii="宋体" w:hAnsi="宋体" w:cs="宋体"/>
          <w:kern w:val="0"/>
          <w:sz w:val="24"/>
          <w:szCs w:val="24"/>
        </w:rPr>
        <w:t>、《公开募集开放式证券投资基金流动性风险管理规定》</w:t>
      </w:r>
      <w:r>
        <w:rPr>
          <w:rFonts w:ascii="宋体" w:hAnsi="宋体" w:cs="宋体" w:hint="eastAsia"/>
          <w:kern w:val="0"/>
          <w:sz w:val="24"/>
          <w:szCs w:val="24"/>
        </w:rPr>
        <w:t>（以下简称“《流动性风险管理规定》”）</w:t>
      </w:r>
      <w:r>
        <w:rPr>
          <w:rFonts w:ascii="宋体" w:hAnsi="宋体" w:cs="宋体"/>
          <w:kern w:val="0"/>
          <w:sz w:val="24"/>
          <w:szCs w:val="24"/>
        </w:rPr>
        <w:t>、《公开募集证券投资基金运作指引第3号——指数基金指引》</w:t>
      </w:r>
      <w:r>
        <w:rPr>
          <w:rFonts w:ascii="宋体" w:hAnsi="宋体" w:cs="宋体" w:hint="eastAsia"/>
          <w:kern w:val="0"/>
          <w:sz w:val="24"/>
          <w:szCs w:val="24"/>
        </w:rPr>
        <w:t>（以下简称“《指数基金指引》”）</w:t>
      </w:r>
      <w:r>
        <w:rPr>
          <w:rFonts w:ascii="宋体" w:hAnsi="宋体" w:cs="宋体"/>
          <w:kern w:val="0"/>
          <w:sz w:val="24"/>
          <w:szCs w:val="24"/>
        </w:rPr>
        <w:t>及其他有关法律法规以及《汇添富上证科创板200指数型发起式证券投资基金基金合同》</w:t>
      </w:r>
      <w:r>
        <w:rPr>
          <w:rFonts w:ascii="宋体" w:hAnsi="宋体" w:cs="宋体" w:hint="eastAsia"/>
          <w:kern w:val="0"/>
          <w:sz w:val="24"/>
          <w:szCs w:val="24"/>
        </w:rPr>
        <w:t>（以下简称“基金合同”）</w:t>
      </w:r>
      <w:r>
        <w:rPr>
          <w:rFonts w:ascii="宋体" w:hAnsi="宋体" w:cs="宋体"/>
          <w:kern w:val="0"/>
          <w:sz w:val="24"/>
          <w:szCs w:val="24"/>
        </w:rPr>
        <w:t>编写。</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本基金管理人承诺本招募说明书不存在任何虚假记载、误导性陈述或重大遗漏，并对其真实性、准确性、完整性承担法律责任。</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本基金根据本招募说明书所载明的资料申请募集。本基金管理人没有委托或授权任何其他人提供未在本招募说明书中载明的信息，或对本招募说明书作任何解释或者说明。</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招募说明书根据本基金的基金合同编写，并经中国证监会注册。基金合同是约定基金合同当事人之间权利、义务的法律文件。本基金投资者自依基金合同取得基金份额，即成为本基金基金份额持有人和基金合同当事人，其持有本基金基金份额的行为本身即表明其对基金合同的承认和接受，并按照《基金法》、基金合同及其他有关规定享有权利、承担义务。基金投资者欲了解本基金份额持有人的权利和义务，应详细查阅基金合同。</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31" w:name="_Toc256000001"/>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1"/>
    </w:p>
    <w:p w:rsidR="00D27B31" w:rsidRDefault="00D27B31"/>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在本招募说明书中，除非文意另有所指，下列词语或简称具有如下含义：</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1、基金或本基金：指汇添富上证科创板200指数型发起式证券投资基金</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2、基金管理人：指汇添富基金管理股份有限公司</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3、基金托管人：指交通银行股份有限公司</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4、基金合同：指《汇添富上证科创板200指数型发起式证券投资基金基金合同》及对基金合同的任何有效修订和补充</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5、托管协议：指基金管理人与基金托管人就本基金签订之《汇添富上证科创板200指数型发起式证券投资基金托管协议》及对该托管协议的任何有效修订和补充</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6、招募说明书或本招募说明书：指《汇添富上证科创板200指数型发起式证券投资基金招募说明书》及其更新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7、基金产品资料概要：指《汇添富上证科创板200指数型发起式证券投资基金基金产品资料概要》及其更新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8、基金份额发售公告：指《汇添富上证科创板200指数型发起式证券投资基金基金份额发售公告》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9、法律法规：指中国现行有效并公布实施的法律、行政法规、规范性文件、司法解释、行政规章以及其他对基金合同当事人有约束力的决定、决议、通知等</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11、《销售办法》：指中国证监会2020年8月28日颁布、同年10月1日实施的《公开募集证券投资基金销售机构监督管理办法》及颁布机关对其不时做出的修订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12、《信息披露办法》：指中国证监会2019年7月26日颁布、同年9月1</w:t>
      </w:r>
      <w:r>
        <w:rPr>
          <w:rFonts w:ascii="宋体" w:hAnsi="宋体" w:cs="宋体"/>
          <w:kern w:val="0"/>
          <w:sz w:val="24"/>
          <w:szCs w:val="24"/>
        </w:rPr>
        <w:lastRenderedPageBreak/>
        <w:t>日实施的，并经2020年3月20日中国证监会《关于修改部分证券期货规章的决定》修正的《公开募集证券投资基金信息披露管理办法》及颁布机关对其不时做出的修订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13、《运作办法》：指中国证监会2014年7月7日颁布、同年8月8日实施的《公开募集证券投资基金运作管理办法》及颁布机关对其不时做出的修订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14、《流动性风险管理规定》：指中国证监会2017年8月31日颁布、同年10月1日实施的《公开募集开放式证券投资基金流动性风险管理规定》及颁布机关对其不时做出的修订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15、《指数基金指引》：指中国证监会2021年1月18日颁布、同年2月1日实施的《公开募集证券投资基金运作指引第3号——指数基金指引》及颁布机关对其不时做出的修订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16、标的指数：指上证科创板200指数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17、中国证监会：指中国证券监督管理委员会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18、银行业监督管理机构：指中国人民银行和/或国家金融监督管理总局</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19、基金合同当事人：指受基金合同约束，根据基金合同享有权利并承担义务的法律主体，包括基金管理人、基金托管人和基金份额持有人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20、个人投资者：指依据有关法律法规规定可投资于证券投资基金的自然人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21、机构投资者：指依法可以投资证券投资基金的、在中华人民共和国境内合法登记并存续或经有关政府部门批准设立并存续的企业法人、事业法人、社会团体或其他组织</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22、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23、投资人、投资者：指个人投资者、机构投资者、合格境外投资者、发起资金提供方以及法律法规或中国证监会允许购买证券投资基金的其他投资人的合称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24、基金份额持有人：指依基金合同和招募说明书合法取得基金份额的投资人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25、基金销售业务：指基金管理人或销售机构宣传推介基金，发售基金份额，办理基金份额的申购、赎回、转换、转托管及定期定额投资等业务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26、销售机构：指汇添富基金管理股份有限公司以及符合《销售办法》和中国证监会规定的其他条件，取得基金销售业务资格并与基金管理人签订了基金销售服务协议，办理基金销售业务的机构</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27、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28、登记机构：指办理登记业务的机构。基金的登记机构为汇添富基金管理股份有限公司或接受汇添富基金管理股份有限公司委托代为办理登记业务的机构</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29、基金账户：指登记机构为投资人开立的、记录其持有的、基金管理人所管理的基金份额余额及其变动情况的账户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30、基金交易账户：指销售机构为投资人开立的、记录投资人通过该销售机构办理认购、申购、赎回、转换、转托管及定期定额投资等业务而引起的基金份额变动及结余情况的账户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31、基金合同生效日：指基金募集达到法律法规规定及基金合同规定的条件，基金管理人向中国证监会办理基金备案手续完毕，并获得中国证监会书面确认的日期</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32、基金合同终止日：指基金合同规定的基金合同终止事由出现后，基金财产清算完毕，清算结果报中国证监会备案并予以公告的日期</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33、基金募集期：指自基金份额发售之日起至发售结束之日止的期间，最长不得超过3个月</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34、存续期：指基金合同生效至终止之间的不定期期限</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35、工作日：指上海证券交易所、深圳证券交易所的正常交易日</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36、T日：指销售机构在规定时间受理投资人申购、赎回或其他业务申请的开放日</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37、T+n日：指自T日起第n个工作日（不包含T日）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38、开放日：指为投资人办理基金份额申购、赎回或其他业务的工作日</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39、开放时间：指开放日基金接受申购、赎回或其他交易的时间段</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40、《业务规则》：指《汇添富基金管理股份有限公司开放式基金业务规则》，是规范基金管理人所管理的开放式证券投资基金登记方面的业务规则，由基金管理人和投资人共同遵守</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41、认购：指在基金募集期内，投资人根据基金合同和招募说明书的规定申请购买基金份额的行为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42、申购：指基金合同生效后，投资人根据基金合同和招募说明书的规定申请购买基金份额的行为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43、赎回：指基金合同生效后，基金份额持有人按基金合同和招募说明书规定的条件要求将基金份额兑换为现金的行为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44、基金转换：指基金份额持有人按照基金合同和基金管理人届时有效公告规定的条件，申请将其持有基金管理人管理的、某一基金的基金份额转换为基金管理人管理的其他基金基金份额的行为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45、转托管：指基金份额持有人在本基金的不同销售机构之间实施的变更所持基金份额销售机构的操作</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46、定期定额投资计划：指投资人通过有关销售机构提出申请，约定每期申购日、扣款金额及扣款方式，由销售机构于每期约定扣款日在投资人指定银行账户内自动完成扣款及受理基金申购申请的一种投资方式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47、巨额赎回：指本基金单个开放日，基金净赎回申请（赎回申请份额总数加上基金转换中转出申请份额总数后扣除申购申请份额总数及基金转换中转入申请份额总数后的余额，不同类别份额合并计算）超过上一开放日基金总份额的10%</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48、收益评价日：指基金管理人计算本基金相对业绩比较基准的超额收益率和/或基金可供分配利润金额之日</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49、元：指人民币元</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50、基金收益：指基金投资所得红利、股息、债券利息、买卖证券价差、银行存款利息、已实现的其他合法收入及因运用基金财产带来的成本和费用的节约</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51、基金资产总值：指基金拥有的各类有价证券及票据价值、银行存款本息、基金应收申购款及其他资产的价值总和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52、基金资产净值：指基金资产总值减去基金负债后的价值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53、基金份额净值：指计算日基金资产净值除以计算日基金份额总数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54、基金资产估值：指计算评估基金资产和负债的价值，以确定基金资产净值和基金份额净值的过程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55、规定媒介：指符合中国证监会规定条件的用以进行信息披露的全国性报刊及《信息披露办法》规定的互联网网站（包括基金管理人网站、基金托管人网站、中国证监会基金电子披露网站）等媒介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56、基金份额类别：根据认购/申购费用、销售服务费收取方式等事项的不同，将基金份额分为不同的类别，各基金份额类别分别设置代码、计算公告基金份额净值和基金份额累计净值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57、A类基金份额：指在投资者认购、申购时收取认购、申购费用，在赎回时根据持有期限收取赎回费用，但不从本类别基金财产中计提销售服务费的基金份额</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58、C类基金份额：指从本类别基金财产中计提销售服务费而不收取认购、申购费用，在赎回时根据持有期限收取赎回费用的基金份额</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59、销售服务费：指从基金财产中计提的，用于本基金市场推广、销售以及基金份额持有人服务的费用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60、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以及法律法规或中国证监会规定的其他流动性受限资产，如未来法律法规变动，基金管理人在履行适当程序后，可对上述流动性受限资产范围进行调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61、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如未来法律法规变动，基金管理人在履行适当程序后，可对前述摆动定价机制的定义进行调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62、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63、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64、转融通证券出借业务：指本基金以一定费率通过证券交易所综合业务平台向中国证券金融股份有限公司出借证券，中国证券金融股份有限公司到期归还所借证券及相应权益补偿并支付费用的业务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65、发起式基金：指符合中国证监会有关规定，由基金管理人、基金管理人股东、基金管理人高级管理人员或基金经理（指基金管理人员工中依法具有基金经理资格者，包括但可能不限于本基金的基金经理，同时也可以包括基金经理之外公司投研人员，下同）等人员承诺认购一定金额并持有一定期限的证券投资基金</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66、发起资金：指用于认购发起式基金且来源于基金管理人的股东资金、基金管理人固有资金、基金管理人高级管理人员或基金经理等人员的资金</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67、发起资金提供方：指以发起资金认购本基金且承诺以发起资金认购的基金份额持有期限不少于三年的基金管理人的股东、基金管理人、基金管理人高级管理人员或基金经理等人员</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68、不可抗力：指基金合同当事人不能预见、不能避免且不能克服的客观事件</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32" w:name="_Toc25600000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基金管理人</w:t>
      </w:r>
      <w:bookmarkEnd w:id="32"/>
    </w:p>
    <w:p w:rsidR="00D27B31" w:rsidRDefault="00D27B31"/>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一、基金管理人简况</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名称：汇添富基金管理股份有限公司</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住所：</w:t>
      </w:r>
      <w:r>
        <w:rPr>
          <w:rFonts w:ascii="宋体" w:hAnsi="宋体" w:cs="宋体" w:hint="eastAsia"/>
          <w:kern w:val="0"/>
          <w:sz w:val="24"/>
          <w:szCs w:val="24"/>
        </w:rPr>
        <w:t>上海市黄浦区外马路728号9楼</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办公地址：上海市黄浦区外马路728号</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法定代表人：</w:t>
      </w:r>
      <w:r>
        <w:rPr>
          <w:rFonts w:ascii="宋体" w:hAnsi="宋体" w:cs="宋体" w:hint="eastAsia"/>
          <w:kern w:val="0"/>
          <w:sz w:val="24"/>
          <w:szCs w:val="24"/>
        </w:rPr>
        <w:t>鲁伟铭</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成立时间：2005年2月3日</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批准设立机关：</w:t>
      </w:r>
      <w:r>
        <w:rPr>
          <w:rFonts w:ascii="宋体" w:hAnsi="宋体" w:cs="宋体" w:hint="eastAsia"/>
          <w:kern w:val="0"/>
          <w:sz w:val="24"/>
          <w:szCs w:val="24"/>
        </w:rPr>
        <w:t>中国证券监督管理委员会</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批准设立文号：证监基金字[2005]5号</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注册资本：人民币</w:t>
      </w:r>
      <w:r>
        <w:rPr>
          <w:rStyle w:val="custom"/>
          <w:rFonts w:ascii="宋体" w:hAnsi="宋体" w:cs="宋体"/>
          <w:kern w:val="0"/>
          <w:sz w:val="24"/>
          <w:szCs w:val="24"/>
        </w:rPr>
        <w:t>132,724,224</w:t>
      </w:r>
      <w:r>
        <w:rPr>
          <w:rFonts w:ascii="宋体" w:hAnsi="宋体" w:cs="宋体"/>
          <w:kern w:val="0"/>
          <w:sz w:val="24"/>
          <w:szCs w:val="24"/>
        </w:rPr>
        <w:t>元</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联系人：李鹏</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联系电话：（021）28932888</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股东名称及其出资比例：</w:t>
      </w:r>
    </w:p>
    <w:tbl>
      <w:tblPr>
        <w:tblStyle w:val="tableTable"/>
        <w:tblW w:w="5000" w:type="pct"/>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5785"/>
        <w:gridCol w:w="2743"/>
      </w:tblGrid>
      <w:tr w:rsidR="00D27B31">
        <w:trPr>
          <w:jc w:val="center"/>
        </w:trPr>
        <w:tc>
          <w:tcPr>
            <w:tcW w:w="5389" w:type="dxa"/>
            <w:tcBorders>
              <w:bottom w:val="single" w:sz="6" w:space="0" w:color="000000"/>
              <w:right w:val="single" w:sz="6" w:space="0" w:color="000000"/>
            </w:tcBorders>
            <w:tcMar>
              <w:top w:w="0" w:type="dxa"/>
              <w:left w:w="111" w:type="dxa"/>
              <w:bottom w:w="0" w:type="dxa"/>
              <w:right w:w="108" w:type="dxa"/>
            </w:tcMar>
          </w:tcPr>
          <w:p w:rsidR="00D27B31" w:rsidRDefault="00DD08B1">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股东名称</w:t>
            </w:r>
          </w:p>
        </w:tc>
        <w:tc>
          <w:tcPr>
            <w:tcW w:w="2555" w:type="dxa"/>
            <w:tcBorders>
              <w:left w:val="single" w:sz="6" w:space="0" w:color="000000"/>
              <w:bottom w:val="single" w:sz="6" w:space="0" w:color="000000"/>
            </w:tcBorders>
            <w:tcMar>
              <w:top w:w="0" w:type="dxa"/>
              <w:left w:w="108" w:type="dxa"/>
              <w:bottom w:w="0" w:type="dxa"/>
              <w:right w:w="111" w:type="dxa"/>
            </w:tcMar>
          </w:tcPr>
          <w:p w:rsidR="00D27B31" w:rsidRDefault="00DD08B1">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股权比例</w:t>
            </w:r>
          </w:p>
        </w:tc>
      </w:tr>
      <w:tr w:rsidR="00D27B31">
        <w:trPr>
          <w:jc w:val="center"/>
        </w:trPr>
        <w:tc>
          <w:tcPr>
            <w:tcW w:w="5389" w:type="dxa"/>
            <w:tcBorders>
              <w:top w:val="single" w:sz="6" w:space="0" w:color="000000"/>
              <w:bottom w:val="single" w:sz="6" w:space="0" w:color="000000"/>
              <w:right w:val="single" w:sz="6" w:space="0" w:color="000000"/>
            </w:tcBorders>
            <w:tcMar>
              <w:top w:w="0" w:type="dxa"/>
              <w:left w:w="111" w:type="dxa"/>
              <w:bottom w:w="0" w:type="dxa"/>
              <w:right w:w="108"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东方证券股份有限公司</w:t>
            </w:r>
          </w:p>
        </w:tc>
        <w:tc>
          <w:tcPr>
            <w:tcW w:w="2555" w:type="dxa"/>
            <w:tcBorders>
              <w:top w:val="single" w:sz="6" w:space="0" w:color="000000"/>
              <w:left w:val="single" w:sz="6" w:space="0" w:color="000000"/>
              <w:bottom w:val="single" w:sz="6" w:space="0" w:color="000000"/>
            </w:tcBorders>
            <w:tcMar>
              <w:top w:w="0" w:type="dxa"/>
              <w:left w:w="108" w:type="dxa"/>
              <w:bottom w:w="0" w:type="dxa"/>
              <w:right w:w="111"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35.412%</w:t>
            </w:r>
          </w:p>
        </w:tc>
      </w:tr>
      <w:tr w:rsidR="00D27B31">
        <w:trPr>
          <w:jc w:val="center"/>
        </w:trPr>
        <w:tc>
          <w:tcPr>
            <w:tcW w:w="5389" w:type="dxa"/>
            <w:tcBorders>
              <w:top w:val="single" w:sz="6" w:space="0" w:color="000000"/>
              <w:bottom w:val="single" w:sz="6" w:space="0" w:color="000000"/>
              <w:right w:val="single" w:sz="6" w:space="0" w:color="000000"/>
            </w:tcBorders>
            <w:tcMar>
              <w:top w:w="0" w:type="dxa"/>
              <w:left w:w="111" w:type="dxa"/>
              <w:bottom w:w="0" w:type="dxa"/>
              <w:right w:w="108"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上海菁聚金投资管理合伙企业（有限合伙）</w:t>
            </w:r>
          </w:p>
        </w:tc>
        <w:tc>
          <w:tcPr>
            <w:tcW w:w="2555" w:type="dxa"/>
            <w:tcBorders>
              <w:top w:val="single" w:sz="6" w:space="0" w:color="000000"/>
              <w:left w:val="single" w:sz="6" w:space="0" w:color="000000"/>
              <w:bottom w:val="single" w:sz="6" w:space="0" w:color="000000"/>
            </w:tcBorders>
            <w:tcMar>
              <w:top w:w="0" w:type="dxa"/>
              <w:left w:w="108" w:type="dxa"/>
              <w:bottom w:w="0" w:type="dxa"/>
              <w:right w:w="111"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24.656%</w:t>
            </w:r>
          </w:p>
        </w:tc>
      </w:tr>
      <w:tr w:rsidR="00D27B31">
        <w:trPr>
          <w:trHeight w:val="429"/>
          <w:jc w:val="center"/>
        </w:trPr>
        <w:tc>
          <w:tcPr>
            <w:tcW w:w="5389" w:type="dxa"/>
            <w:tcBorders>
              <w:top w:val="single" w:sz="6" w:space="0" w:color="000000"/>
              <w:bottom w:val="single" w:sz="6" w:space="0" w:color="000000"/>
              <w:right w:val="single" w:sz="6" w:space="0" w:color="000000"/>
            </w:tcBorders>
            <w:tcMar>
              <w:top w:w="0" w:type="dxa"/>
              <w:left w:w="111" w:type="dxa"/>
              <w:bottom w:w="0" w:type="dxa"/>
              <w:right w:w="108"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上海上报资产管理有限公司</w:t>
            </w:r>
          </w:p>
        </w:tc>
        <w:tc>
          <w:tcPr>
            <w:tcW w:w="2555" w:type="dxa"/>
            <w:tcBorders>
              <w:top w:val="single" w:sz="6" w:space="0" w:color="000000"/>
              <w:left w:val="single" w:sz="6" w:space="0" w:color="000000"/>
              <w:bottom w:val="single" w:sz="6" w:space="0" w:color="000000"/>
            </w:tcBorders>
            <w:tcMar>
              <w:top w:w="0" w:type="dxa"/>
              <w:left w:w="108" w:type="dxa"/>
              <w:bottom w:w="0" w:type="dxa"/>
              <w:right w:w="111"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19.966%</w:t>
            </w:r>
          </w:p>
        </w:tc>
      </w:tr>
      <w:tr w:rsidR="00D27B31">
        <w:trPr>
          <w:jc w:val="center"/>
        </w:trPr>
        <w:tc>
          <w:tcPr>
            <w:tcW w:w="5389" w:type="dxa"/>
            <w:tcBorders>
              <w:top w:val="single" w:sz="6" w:space="0" w:color="000000"/>
              <w:bottom w:val="single" w:sz="6" w:space="0" w:color="000000"/>
              <w:right w:val="single" w:sz="6" w:space="0" w:color="000000"/>
            </w:tcBorders>
            <w:tcMar>
              <w:top w:w="0" w:type="dxa"/>
              <w:left w:w="111" w:type="dxa"/>
              <w:bottom w:w="0" w:type="dxa"/>
              <w:right w:w="108"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东航金控有限责任公司</w:t>
            </w:r>
          </w:p>
        </w:tc>
        <w:tc>
          <w:tcPr>
            <w:tcW w:w="2555" w:type="dxa"/>
            <w:tcBorders>
              <w:top w:val="single" w:sz="6" w:space="0" w:color="000000"/>
              <w:left w:val="single" w:sz="6" w:space="0" w:color="000000"/>
              <w:bottom w:val="single" w:sz="6" w:space="0" w:color="000000"/>
            </w:tcBorders>
            <w:tcMar>
              <w:top w:w="0" w:type="dxa"/>
              <w:left w:w="108" w:type="dxa"/>
              <w:bottom w:w="0" w:type="dxa"/>
              <w:right w:w="111"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19.966%</w:t>
            </w:r>
          </w:p>
        </w:tc>
      </w:tr>
      <w:tr w:rsidR="00D27B31">
        <w:trPr>
          <w:jc w:val="center"/>
        </w:trPr>
        <w:tc>
          <w:tcPr>
            <w:tcW w:w="5389" w:type="dxa"/>
            <w:tcBorders>
              <w:top w:val="single" w:sz="6" w:space="0" w:color="000000"/>
              <w:right w:val="single" w:sz="6" w:space="0" w:color="000000"/>
            </w:tcBorders>
            <w:tcMar>
              <w:top w:w="0" w:type="dxa"/>
              <w:left w:w="111" w:type="dxa"/>
              <w:bottom w:w="0" w:type="dxa"/>
              <w:right w:w="108"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合计</w:t>
            </w:r>
          </w:p>
        </w:tc>
        <w:tc>
          <w:tcPr>
            <w:tcW w:w="2555" w:type="dxa"/>
            <w:tcBorders>
              <w:top w:val="single" w:sz="6" w:space="0" w:color="000000"/>
              <w:left w:val="single" w:sz="6" w:space="0" w:color="000000"/>
            </w:tcBorders>
            <w:tcMar>
              <w:top w:w="0" w:type="dxa"/>
              <w:left w:w="108" w:type="dxa"/>
              <w:bottom w:w="0" w:type="dxa"/>
              <w:right w:w="111" w:type="dxa"/>
            </w:tcMar>
            <w:vAlign w:val="center"/>
          </w:tcPr>
          <w:p w:rsidR="00D27B31" w:rsidRDefault="00DD08B1">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100%</w:t>
            </w:r>
          </w:p>
        </w:tc>
      </w:tr>
    </w:tbl>
    <w:p w:rsidR="00D27B31" w:rsidRDefault="00DD08B1">
      <w:pPr>
        <w:pStyle w:val="div"/>
        <w:spacing w:line="360" w:lineRule="auto"/>
        <w:ind w:firstLine="480"/>
        <w:jc w:val="left"/>
        <w:rPr>
          <w:rFonts w:eastAsia="Times New Roman"/>
          <w:kern w:val="0"/>
          <w:sz w:val="24"/>
          <w:szCs w:val="24"/>
        </w:rPr>
      </w:pPr>
      <w:r>
        <w:rPr>
          <w:rFonts w:ascii="宋体" w:hAnsi="宋体" w:cs="宋体"/>
          <w:kern w:val="0"/>
          <w:sz w:val="24"/>
          <w:szCs w:val="24"/>
        </w:rPr>
        <w:t>二、主要人员情况</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1、董事会成员</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鲁伟铭先生，国籍：中国，经济学硕士。现任东方证券股份有限公司副董事长、执行董事，汇添富基金管理股份有限公司党委书记、董事长。历任中国国泰证券有限公司交易部业务员、交易部经营处项目经理；东方证券股份有限公司交易总部证券投资部职员、副总经理，证券投资业务总部高级投资经理，固定收益业务总部总经理助理、副总经理、副总经理（主持工作）、总经理，金融衍生品业务总部总经理，总裁助理、副总裁、党委副书记、总裁等职务。</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李芸女士，国籍：中国，经济学硕士，高级编辑。现任上海报业集团党委书</w:t>
      </w:r>
      <w:r w:rsidRPr="00FF7C1F">
        <w:rPr>
          <w:rFonts w:ascii="宋体" w:hAnsi="宋体" w:cs="宋体" w:hint="eastAsia"/>
          <w:kern w:val="0"/>
          <w:sz w:val="24"/>
          <w:szCs w:val="24"/>
        </w:rPr>
        <w:lastRenderedPageBreak/>
        <w:t>记、社长。历任上海第四师范学校团委书记、教师；共青团卢湾区委学校部副部长、部长、副书记，卢湾区妇女联合会副主任，卢湾区委办公室副主任，卢湾区五里桥街道党工委书记，卢湾区委常委、宣传部部长；闵行区委常委、宣传部部长；解放日报报业集团党委副书记、纪委书记，解放日报党委书记；上海报业集团党委副书记，解放日报社党委书记、社长。其他兼任职务包括上海众源资本管理有限公司董事长，东方证券股份有限公司董事。</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毛海东先生，国籍：中国，经济学硕士。现任东航私募基金管理有限公司董事长、党支部书记、总经理，东航国际控股（香港）有限公司董事，东航国际金融（香港）有限公司董事。历任东航期货有限责任公司总经理、董事长、党总支书记，东航金控有限责任公司财富管理中心总经理、总经理助理，汇添富基金管理股份有限公司监事、监事会主席，曾任职于东航集团财务有限责任公司等。</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张晖先生，国籍：中国，经济学硕士。现任汇添富基金管理股份有限公司总经理，汇添富资本管理有限公司董事长。历任申银万国证券研究所高级分析师，富国基金管理有限公司高级分析师、研究主管和基金经理，汇添富基金管理股份有限公司副总经理、投资总监，曾担任中国证券监督管理委员会第十届和第十一届发行审核委员会委员。</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魏尚进先生，国籍：美国，经济学博士。现任哥伦比亚大学商学院金融学与经济学系终身讲席教授、复旦国际金融学院学术访问教授、美国国民经济研究局国际金融与宏观经济项目研究员及中国经济研究组主任、深圳高等金融研究院国际顾问委员会委员、清华大学五道口金融学院国际顾问委员会委员、对外经贸大学全球价值链研究院顾问、香港金融管理局金融研究院国际顾问委员会委员。曾任亚洲开发银行首位华人首席经济学家、哈佛大学肯尼迪政府学院副教授、美国布鲁金斯学会高级研究员、国际货币基金组织贸易与投资研究主管、世界银行顾问等。</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连平先生，国籍：中国，金融专业博士，教授，博士生导师。现任中国首席经济学家论坛理事长、复旦大学管理学院特聘教授、上海首席经济学家金融发展中心理事长、上海市经济学会副会长、上海交通大学上海高级金融学院兼聘教授、江苏联合水务科技股份有限公司独立董事。曾任交通银行首席经济学家，中国金融40人论坛常务理事和特邀成员、中国银行业协会行业发展研究委员会主任等，</w:t>
      </w:r>
      <w:r w:rsidRPr="00FF7C1F">
        <w:rPr>
          <w:rFonts w:ascii="宋体" w:hAnsi="宋体" w:cs="宋体" w:hint="eastAsia"/>
          <w:kern w:val="0"/>
          <w:sz w:val="24"/>
          <w:szCs w:val="24"/>
        </w:rPr>
        <w:lastRenderedPageBreak/>
        <w:t>多次出席党和国家领导人主持的专家会议，多次担任上海市人民政府决策咨询特聘专家，享受国务院政府特殊津贴。</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吕毅先生，国籍：中国，法学硕士，执业律师。现任北京观韬（上海）律师事务所权益合伙人，曾任上海市第一（沪一）律师事务所合伙人，上海市君悦律师事务所高级合伙人、副主任，中国人民政治协商会议上海市虹口区委员会第十四届常委。其他兼任职务包括中国人民政治协商会议上海市虹口区委员会第十五届常委，上海国际经济贸易仲裁委员会仲裁员，上海市经济和信息化委员会兼职法律顾问，同济大学经管学院MPA研究生客座教授及华东政法大学硕士生指导教师。</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2、监事会成员</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韩家明先生，国籍：中国，法学硕士，中级经济师。现任上海上报资产管理有限公司副总经理。曾担任中共上海市委宣传部文化改革发展办公室主任科员、支部委员，东方明珠新媒体股份有限公司战略与投资中心运营管理总监。其他兼任职务包括上海市广播影视制作业行业协会监事长，上海市闵行区文化创意产业协会副秘书长，上海颐歌资产管理有限公司董事，上海杏花楼（集团）股份有限公司董事，上海民族乐器一厂有限公司董事。</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丁艳女士，国籍：中国，法学硕士，理学硕士。现任东方证券股份有限公司审计中心总经理、职工监事，上海东方证券资本投资有限公司董事。曾担任中国人民银行上海分行银行管理处科员，中国人民银行上海分行办公室副主任科员，中国人民银行上海总部综合管理部秘书处副主任科员，中国人民银行上海总部金融服务二部反洗钱处主任科员、科长，东方证券股份有限公司稽核总部拟任总经理助理、总经理助理、副总经理、副总经理（主持工作）、总经理。</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信春霞女士，国籍：中国，经济学博士。现任东航金控有限责任公司董事会秘书。曾担任上海市国有资产监督管理委员会预算财务处主任科员，上海市金融办金融机构服务处副调研员，上海市金融服务办公室市属金融国资监管服务处副调研员、副处长，上海市国有资产监督管理委员会金融企业评价处副处长。</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王静女士，国籍：中国，工商管理硕士。现任汇添富基金管理股份有限公司私人财富管理中心总监。曾任职于中国东方航空集团公司宣传部，东航金控有限责任公司研究发展部。</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lastRenderedPageBreak/>
        <w:t>陈杰先生，国籍：中国，理学博士。现任汇添富基金管理股份有限公司综合办公室总监。曾任职于罗兰贝格管理咨询有限公司，泰科电子（上海）有限公司。</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曹翊君女士，国籍：中国，经济学硕士。现任汇添富基金管理股份有限公司合规稽核部总监，汇添富资本管理有限公司监事。曾任职于上海证券报社新闻中心。</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3、高管人员</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张晖先生，2015年6月25日起担任总经理。（简历请参见上述董事会成员介绍）</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雷继明先生，2012年3月7日起担任副总经理。中国籍，1971年出生，工商管理硕士。2011年12月加入汇添富基金管理股份有限公司，现任公司副总经理、市场总监。历任中国民族国际信托投资公司网上交易部副总经理，中国民族证券有限责任公司营业部总经理、经纪业务总监、总裁助理。</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娄焱女士，2013年1月7日起担任副总经理。中国籍，1971年出生，金融经济学硕士。2011年4月加入汇添富基金管理股份有限公司，现任公司副总经理。曾在赛格国际信托投资股份有限公司、华夏证券股份有限公司、嘉实基金管理有限公司、招商基金管理有限公司、华夏基金管理有限公司以及富达基金北京与上海代表处工作，负责投资银行、证券投资研究，以及基金产品策划、机构理财等管理工作。</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袁建军先生，2015年8月5日起担任副总经理。中国籍，1972年出生，金融学硕士。2005年4月加入汇添富基金管理股份有限公司，现任公司副总经理、投资决策委员会主席。历任华夏证券股份有限公司研究所行业二部副经理，汇添富基金管理股份有限公司基金经理、专户投资总监、总经理助理，并于2014年至2015年期间担任中国证券监督管理委员会第十六届主板发行审核委员会专职委员。</w:t>
      </w:r>
    </w:p>
    <w:p w:rsidR="00FF7C1F" w:rsidRPr="00FF7C1F" w:rsidRDefault="00FF7C1F" w:rsidP="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李骁先生，2017年3月3日起担任副总经理。中国籍，1969年出生，武汉大学金融学硕士。2016年9月加入汇添富基金管理股份有限公司，现任公司副总经理、首席信息官。历任厦门建行计算机处副处长，厦门建行信用卡部副处长、处长，厦门建行信息技术部处长，建总行北京开发中心负责人，建总行信息技术管理部副总经理，建总行信息技术管理部副总经理兼北京研发中心主任，建总行</w:t>
      </w:r>
      <w:r w:rsidRPr="00FF7C1F">
        <w:rPr>
          <w:rFonts w:ascii="宋体" w:hAnsi="宋体" w:cs="宋体" w:hint="eastAsia"/>
          <w:kern w:val="0"/>
          <w:sz w:val="24"/>
          <w:szCs w:val="24"/>
        </w:rPr>
        <w:lastRenderedPageBreak/>
        <w:t>信息技术管理部资深专员（副总经理级）。</w:t>
      </w:r>
    </w:p>
    <w:p w:rsidR="00D27B31" w:rsidRDefault="00FF7C1F">
      <w:pPr>
        <w:pStyle w:val="div"/>
        <w:spacing w:line="360" w:lineRule="auto"/>
        <w:ind w:firstLine="480"/>
        <w:jc w:val="left"/>
        <w:rPr>
          <w:rFonts w:ascii="宋体" w:hAnsi="宋体" w:cs="宋体"/>
          <w:kern w:val="0"/>
          <w:sz w:val="24"/>
          <w:szCs w:val="24"/>
        </w:rPr>
      </w:pPr>
      <w:r w:rsidRPr="00FF7C1F">
        <w:rPr>
          <w:rFonts w:ascii="宋体" w:hAnsi="宋体" w:cs="宋体" w:hint="eastAsia"/>
          <w:kern w:val="0"/>
          <w:sz w:val="24"/>
          <w:szCs w:val="24"/>
        </w:rPr>
        <w:t>李鹏先生，2015年6月25日起担任督察长。中国籍，1978年出生，上海财经大学经济学博士。2015年3月加入汇添富基金管理股份有限公司，现任公司督察长。历任上海证监局主任科员、副处长，上海农商银行同业金融部副总经理，汇添富基金管理股份有限公司稽核监察部总监</w:t>
      </w:r>
      <w:r w:rsidR="00DD08B1">
        <w:rPr>
          <w:rFonts w:ascii="宋体" w:hAnsi="宋体" w:cs="宋体" w:hint="eastAsia"/>
          <w:kern w:val="0"/>
          <w:sz w:val="24"/>
          <w:szCs w:val="24"/>
        </w:rPr>
        <w:t>。</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4、基金经理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罗昊，</w:t>
      </w:r>
      <w:r w:rsidR="00FF7C1F" w:rsidRPr="00FF7C1F">
        <w:rPr>
          <w:rFonts w:ascii="宋体" w:hAnsi="宋体" w:cs="宋体" w:hint="eastAsia"/>
          <w:kern w:val="0"/>
          <w:sz w:val="24"/>
          <w:szCs w:val="24"/>
        </w:rPr>
        <w:t>国籍：中国。学历：上海交通大学工学学士、美国东北大学管理学硕士。从业资格：证券投资基金从业资格。从业经历：2016年6月至2019年3月就职于上海游马地投资中心（有限合伙），2019年6月至2023年11月就职于威廉欧奈尔投资管理（上海）有限公司。2023年12月起加入汇添富基金管理股份有限公司。2024年9月11日至今任汇添富中证信息技术应用创新产业交易型开放式指数证券投资基金的基金经理。2024年9月11日至2025年10月24日任汇添富中证环境治理指数型证券投资基金（LOF）的基金经理。2024年9月11日至今任汇添富国证生物医药交易型开放式指数证券投资基金的基金经理。2024年9月11日至2025年10月24日任汇添富华证专精特新100指数型发起式证券投资基金的基金经理。2025年1月20日至今任汇添富上证科创板50成份交易型开放式指数证券投资基金的基金经理。2025年2月21日至今任汇添富中证全指软件交易型开放式指数证券投资基金发起式联接基金的基金经理。2025年2月26日至今任汇添富上证科创板综合交易型开放式指数证券投资基金的基金经理。2025年3月19日至2025年5月12日任汇添富上证科创板100指数型证券投资基金的基金经理。2025年4月25日至今任汇添富上证科创板综合交易型开放式指数证券投资基金联接基金的基金经理。2025年4月25日至今任汇添富上证科创板100交易型开放式指数证券投资基金的基金经理。2025年4月29日至今任汇添富中证光伏产业交易型开放式指数证券投资基金发起式联接基金的基金经理。2025年5月13日至今任汇添富上证科创板100交易型开放式指数证券投资基金联接基金的基金经理。2025年6月5日至今任汇添富上证科创板新材料交易型开放式指数证券投资基金的基金经理。2025年7月16日至今任汇添富国证通用航空产业交易型开放式指数证券投资基金的基金经理。2025年8月5日至今任汇添富上证科创板50成份交易型开放式指数证券投资基金发起式联接</w:t>
      </w:r>
      <w:r w:rsidR="00FF7C1F" w:rsidRPr="00FF7C1F">
        <w:rPr>
          <w:rFonts w:ascii="宋体" w:hAnsi="宋体" w:cs="宋体" w:hint="eastAsia"/>
          <w:kern w:val="0"/>
          <w:sz w:val="24"/>
          <w:szCs w:val="24"/>
        </w:rPr>
        <w:lastRenderedPageBreak/>
        <w:t>基金的基金经理。2025年8月18日至今任汇添富中证信息技术应用创新产业交易型开放式指数证券投资基金发起式联接基金的基金经理。2025年8月19日至今任汇添富创业板指数型证券投资基金的基金经理。2025年9月10日至今任汇添富上证科创板创新药交易型开放式指数证券投资基金的基金经理。2025年10月21日至今任汇添富国证通</w:t>
      </w:r>
      <w:r w:rsidR="00FF7C1F">
        <w:rPr>
          <w:rFonts w:ascii="宋体" w:hAnsi="宋体" w:cs="宋体" w:hint="eastAsia"/>
          <w:kern w:val="0"/>
          <w:sz w:val="24"/>
          <w:szCs w:val="24"/>
        </w:rPr>
        <w:t>用航空产业交易型开放式指数证券投资基金发起式联接基金的基金经理</w:t>
      </w:r>
      <w:r>
        <w:rPr>
          <w:rFonts w:ascii="宋体" w:hAnsi="宋体" w:cs="宋体"/>
          <w:kern w:val="0"/>
          <w:sz w:val="24"/>
          <w:szCs w:val="24"/>
        </w:rPr>
        <w:t>。</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5、投资决策委员会</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主席：袁建军（副总经理）</w:t>
      </w:r>
    </w:p>
    <w:p w:rsidR="00D27B31" w:rsidRDefault="00DD08B1">
      <w:pPr>
        <w:pStyle w:val="div"/>
        <w:spacing w:line="360" w:lineRule="auto"/>
        <w:ind w:firstLine="480"/>
        <w:rPr>
          <w:rFonts w:eastAsia="Times New Roman"/>
          <w:kern w:val="0"/>
          <w:sz w:val="24"/>
          <w:szCs w:val="24"/>
        </w:rPr>
      </w:pPr>
      <w:r>
        <w:rPr>
          <w:rFonts w:ascii="宋体" w:hAnsi="宋体" w:cs="宋体"/>
          <w:kern w:val="0"/>
          <w:sz w:val="24"/>
          <w:szCs w:val="24"/>
        </w:rPr>
        <w:t>成员：</w:t>
      </w:r>
      <w:r w:rsidR="00FF7C1F" w:rsidRPr="00FF7C1F">
        <w:rPr>
          <w:rFonts w:ascii="宋体" w:hAnsi="宋体" w:cs="宋体" w:hint="eastAsia"/>
          <w:kern w:val="0"/>
          <w:sz w:val="24"/>
          <w:szCs w:val="24"/>
        </w:rPr>
        <w:t>邵佳民（首席固收投资官）、王栩（总经理助理，权益投资总监）、刘伟林（研究总监，基金经理）、韩贤旺（总经理助理，兼任首席经济学家、国际业务部总监、新加坡子公司总经理）、宋鹏（养老金投资部总监</w:t>
      </w:r>
      <w:r>
        <w:rPr>
          <w:rFonts w:ascii="宋体" w:hAnsi="宋体" w:cs="宋体"/>
          <w:kern w:val="0"/>
          <w:sz w:val="24"/>
          <w:szCs w:val="24"/>
        </w:rPr>
        <w:t>）</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6、上述人员之间不存在近亲属关系。</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三、基金管理人的职责</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根据《基金法》、《运作办法》及其他法律、法规的规定，基金管理人应履行以下职责：</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1、依法募集资金，办理或者委托经中国证监会认定的其他机构代为办理基金份额的发售、申购、赎回和登记事宜；</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2、办理基金备案手续；</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3、对所管理的不同基金财产分别管理、分别记账，进行证券投资；</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4、按照基金合同的约定确定基金收益分配方案，及时足额向基金份额持有人分配收益；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5、进行基金会计核算并编制基金财务会计报告；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6、编制基金季度报告、中期报告和年度报告；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7、计算并公告基金净值信息，确定基金份额申购、赎回价格；</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8、办理与基金财产管理业务活动有关的信息披露事项；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9、按照规定召集基金份额持有人大会；</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10、保存基金财产管理业务活动的记录、账册、报表和其他相关资料；</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11、以基金管理人名义，代表基金份额持有人利益行使诉讼权利或者实施其他法律行为；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lastRenderedPageBreak/>
        <w:t>12、法律、行政法规、中国证监会和基金合同规定的其他职责。</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四、基金管理人和基金经理的承诺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本基金管理人承诺严格遵守现行有效的相关法律、行政法规、规章、基金合同和中国证监会的有关规定，建立健全内部控制制度，采取有效措施，防止违反现行有效的有关法律、行政法规、规章、基金合同和中国证监会有关规定的行为发生。</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2、本基金管理人承诺严格遵守《中华人民共和国证券法》、《基金法》及有关法律法规，建立健全的内部控制制度，采取有效措施，防止下列行为发生：</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（1）将其固有财产或者他人财产混同于基金财产从事证券投资；</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（2）不公平地对待其管理的不同基金财产；</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（3）利用基金财产或职务之便为基金份额持有人以外的第三人牟取利益；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（4）向基金份额持有人违规承诺收益或者承担损失；</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（5）侵占、挪用基金财产；</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（6）泄露因职务便利获取的未公开信息、利用该信息从事或者明示、暗示他人从事相关的交易活动；</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（7）玩忽职守，不按照规定履行职责；</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（8）法律、行政法规和中国证监会规定禁止的其他行为。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3、本基金管理人承诺加强人员管理，强化职业操守，督促和约束员工遵守国家有关法律、法规及行业规范，诚实信用、勤勉尽责，不从事以下活动：</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（1）越权或违规经营；</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（2）违反基金合同或托管协议；</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（3）故意损害基金份额持有人或其他基金相关机构的合法利益；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（4）在向中国证监会报送的资料中弄虚作假；</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（5）拒绝、干扰、阻挠或严重影响中国证监会依法监管；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（6）玩忽职守、滥用职权，不按照规定履行职责；</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7）违反现行有效的有关法律、法规、规章、基金合同和中国证监会的有关规定，泄露在任职期间知悉的有关证券、基金的商业秘密，尚未依法公开的基金投资内容、基金投资计划等信息，或利用该信息从事或者明示、暗示他人从事相关的交易活动；</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lastRenderedPageBreak/>
        <w:t>（8）违反证券交易场所业务规则，利用对敲、倒仓等手段操纵市场价格，扰乱市场秩序；</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（9）贬损同行，以抬高自己；</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（10）以不正当手段谋求业务发展；</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（11）有悖社会公德，损害证券投资基金人员形象；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（12）在公开信息披露和广告中故意含有虚假、误导、欺诈成分；</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（13）法律、行政法规以及中国证监会规定禁止的行为。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4、基金经理承诺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（1）依照有关法律、行政法规和基金合同的规定，本着谨慎勤勉的原则为基金份额持有人谋取最大利益；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（2）不利用职务之便为自己及其代理人、受雇人或任何第三人谋取利益；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不违反现行有效的有关法律法规、基金合同和中国证监会的有关规定，泄露在任职期间知悉的有关证券、基金的商业秘密、尚未依法公开的基金投资内容、基金投资计划等信息，或利用该信息从事或者明示、暗示他人从事相关的交易活动；</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（4）不从事损害基金财产和基金份额持有人利益的证券交易及其他活动。</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五、基金管理人的风险管理体系</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管理人将经营管理中的主要风险划分为投资风险、合规风险、营运风险和道德风险四大类，其中，投资风险主要包括市场风险、信用风险、流动性风险等。针对上述各类风险，基金管理人建立了一套完整的风险管理体系。</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1、风险管理原则</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基金管理人风险管理体系的构建遵循以下六项基本原则：</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（1）营造良好的风险管理文化和内部控制环境，使风险意识贯穿到每位员工、各个岗位和经营管理的各个环节。</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（2）建立完善的风险管理组织体系，切实保证风险管理部门的独立性和权威性，使其有效地发挥职能作用。</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（3）确保风险管理制度的严肃性，保证风险管理制度在投资管理和经营活动过程中得到切实有效的执行。</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（4）运用合理有效的风险指标和模型，实现风险事前配置和预警、事中实</w:t>
      </w:r>
      <w:r>
        <w:rPr>
          <w:rFonts w:ascii="宋体" w:hAnsi="宋体" w:cs="宋体"/>
          <w:kern w:val="0"/>
          <w:sz w:val="24"/>
          <w:szCs w:val="24"/>
        </w:rPr>
        <w:lastRenderedPageBreak/>
        <w:t>时监控、事后评估和反馈的全程嵌入式投资风险管理模式。</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（5）建立和推进员工职业守则教育和专业培训体系，确保员工具备良好的职业操守和充分的职责胜任能力。</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（6）建立风险事件学习机制，认真剖析各类风险事件，汲取经验和教训，不断完善风险管理体系。</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2、风险管理组织架构</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本基金管理人建立了董事会、经营管理层、风险管理部门、各职能部门四级风险管理组织架构，并明确了相应的风险管理职能。</w:t>
      </w:r>
    </w:p>
    <w:p w:rsidR="00D27B31" w:rsidRDefault="00DD08B1">
      <w:pPr>
        <w:pStyle w:val="div"/>
        <w:spacing w:line="360" w:lineRule="auto"/>
        <w:ind w:firstLine="420"/>
        <w:jc w:val="center"/>
        <w:rPr>
          <w:rFonts w:eastAsia="Times New Roman"/>
          <w:kern w:val="0"/>
          <w:sz w:val="24"/>
          <w:szCs w:val="24"/>
        </w:rPr>
      </w:pPr>
      <w:r>
        <w:rPr>
          <w:rFonts w:ascii="宋体" w:hAnsi="宋体" w:cs="宋体"/>
          <w:b/>
          <w:bCs/>
          <w:kern w:val="0"/>
          <w:sz w:val="24"/>
          <w:szCs w:val="24"/>
        </w:rPr>
        <w:t>汇添富风险管理组织结构图</w:t>
      </w:r>
    </w:p>
    <w:p w:rsidR="00D27B31" w:rsidRDefault="00DD08B1">
      <w:pPr>
        <w:widowControl/>
        <w:spacing w:after="216"/>
        <w:jc w:val="center"/>
        <w:rPr>
          <w:rFonts w:eastAsia="Times New Roman"/>
          <w:kern w:val="0"/>
          <w:sz w:val="24"/>
          <w:szCs w:val="24"/>
        </w:rPr>
      </w:pPr>
      <w:r>
        <w:rPr>
          <w:rFonts w:eastAsia="Times New Roman"/>
          <w:noProof/>
          <w:kern w:val="0"/>
          <w:sz w:val="24"/>
          <w:szCs w:val="24"/>
        </w:rPr>
        <w:drawing>
          <wp:inline distT="0" distB="0" distL="114300" distR="114300" wp14:anchorId="3B007C17" wp14:editId="1CA549A9">
            <wp:extent cx="3795395" cy="2472690"/>
            <wp:effectExtent l="0" t="0" r="0" b="381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3795556" cy="2473262"/>
                    </a:xfrm>
                    <a:prstGeom prst="rect">
                      <a:avLst/>
                    </a:prstGeom>
                  </pic:spPr>
                </pic:pic>
              </a:graphicData>
            </a:graphic>
          </wp:inline>
        </w:drawing>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董事会对公司风险管理负有最终责任，董事会下设审计与风险管理委员会与督察长。审计与风险管理委员会主要负责审核和指导公司的风险管理政策，对公司的整体风险水平、风险控制措施的实施情况进行评价。督察长负责组织指导公司合规稽核和风险管理工作，监督检查受托资产和公司运作的合法合规情况及公司内部风险控制情况。</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（2）经营管理层负责风险管理政策、风险控制措施的制定和落实，经营管理层下设风险控制委员会。风险控制委员会主要负责审议风险管理制度和流程，处置重大风险事件，促进风险管理文化的形成。</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（3）合规稽核部和风险管理部是合规管理和风险管理的职能部门，负责合规风险、投资组合市场风险、信用风险、流动性风险、营运风险、道德风险等的管理。</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lastRenderedPageBreak/>
        <w:t>（4）各职能部门负责从经营管理的各业务环节上贯彻落实风险管理措施，执行风险识别、风险测量、风险控制、风险评价和风险报告等风险管理程序，并持续完善相应的内部控制制度和流程。</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3、风险管理内容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本基金管理人的风险管理包括风险识别、风险测量、风险控制、风险评价、风险报告等内容。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（1）风险识别是指对现实以及潜在的各种风险加以判断、归类和鉴定风险性质的过程。</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（2）风险测量是指估计和预测风险发生的概率和可能造成的损失，并根据这两个因素的结合来衡量风险大小的程度。</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（3）风险控制是指采取相应的措施，监控和防止各种风险的发生，实现以合理的成本在最大限度内防范风险和减轻损失。</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（4）风险评价是指分析风险识别、风险测量和风险控制的执行情况和运行效果的过程。</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（5）风险报告是指将风险事件及处置、风险评价情况以一定程序进行报告的过程。</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六、基金管理人的内部控制制度</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内部控制是指基金管理人为防范和化解风险，保证经营运作符合基金管理人发展规划，在充分考虑内外部环境的基础上，通过建立组织机制、运用管理方法、实施控制程序与控制措施而形成的系统。</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基金管理人结合自身具体情况，建立了科学合理、控制严密、运行高效的内部控制体系，并制定了科学完善的内部控制制度。</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1、内部控制目标</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（1）保证基金管理人经营运作遵守国家法律法规和行业监管规则，自觉形成守法经营、规范运作的经营思想和经营理念。</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（2）防范和化解经营风险，提高经营管理效益，确保经营业务的稳健运行和受托资产的安全完整，实现持续、稳定、健康发展。</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（3）确保基金管理人和基金财务及其他信息的真实、准确、及时、完整。</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2、内部控制原则</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lastRenderedPageBreak/>
        <w:t>（1）健全性原则。内部控制机制覆盖基金管理人的各项业务、各个部门和各级人员，并渗透到决策、执行、监督、反馈等各个环节。</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（2）有效性原则。通过科学的内部控制手段和方法，建立合理的内部控制程序，维护内部控制的有效执行。</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（3）独立性原则。基金管理人各机构、部门和岗位职责保持相对独立，基金资产、固有财产、其他资产的运作相互分离。</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（4）相互制约原则。基金管理人内部部门和岗位的设置权责分明、相互制衡。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（5）成本效益原则。基金管理人运用科学化的经营管理方法降低运作成本，提高经济效益，以合理的控制成本达到最佳的内部控制效果。</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3、内部控制内容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基金管理人的内部控制要求建立：不相容职务相分离的机制、完善的岗位责任制、规范的岗位管理措施、完整的信息资料保全系统、严格的授权控制、有效的风险防范系统和快速反应机制等。</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遵守国家有关法律法规，遵循合法合规性原则、全面性原则、审慎性原则和适时性原则，制订了系统完善的内部控制制度。内部控制的内容包括投资管理业务控制、信息披露控制、信息技术系统控制、会计系统控制以及内部稽核控制等。</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（1）投资管理业务控制</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通过规范投资业务流程，分层次强化投资风险控制。公司根据投资管理业务不同阶段的性质和特点，制定了完善的管理规章、操作流程和岗位手册，明确揭示不同业务可能存在的风险，分别采取不同措施进行控制。</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针对投资研究业务，基金管理人制定了《汇添富基金管理股份有限公司投资研究部制度》，对研究工作的业务流程、研究报告质量评价，研究与投资的交流渠道等都做了明确的规定；对于投资决策业务，基金管理人制定了《汇添富基金管理股份有限公司投资管理制度》，保证投资决策严格遵守法律法规的有关规定，符合基金合同所规定的要求，同时设立了汇添富投资风险评估与管理制度以及投资管理业绩评价体系；对于基金交易业务，基金管理人将实行集中交易与防火墙制度，建立交易监测系统、预警系统和交易反馈系统，完善相关的安全设施，交</w:t>
      </w:r>
      <w:r>
        <w:rPr>
          <w:rFonts w:ascii="宋体" w:hAnsi="宋体" w:cs="宋体"/>
          <w:kern w:val="0"/>
          <w:sz w:val="24"/>
          <w:szCs w:val="24"/>
        </w:rPr>
        <w:lastRenderedPageBreak/>
        <w:t>易流程将严格按照“审核—执行—反馈—复核—存档”的程序进行，防止不正当关联交易损害基金份额持有人利益。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（2）信息披露控制</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通过完善信息披露制度，确保基金份额持有人及时完整地了解基金信息。基金管理人按照法律、法规和中国证监会有关规定，建立了《汇添富基金管理股份有限公司公开募集证券投资基金信息披露管理制度》，指定了信息披露责任人负责信息披露工作，进行信息的组织、审核和发布，并将定期对信息披露进行检查和评价，保证公开披露的信息真实、准确、完整。</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（3）信息技术系统控制</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建立了先进的信息技术系统和完善的信息技术管理制度。基金管理人的信息技术系统由先进的计算机系统构成，通过了国家、金融行业软件工程标准的认证，并有完整的技术资料。基金管理人制定了严格的信息技术岗位责任制度、门禁制度、内外网分离制度等管理措施，对电子信息数据进行即时保存和备份，重要数据实行异地备份并且长期保存，确保了系统可靠、稳定、安全地运行。在人员控制方面，对信息技术人员进行有关信息系统安全的统一培训和考核；信息技术人员之间定期轮换岗位。</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（4）会计系统控制</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通过建立严格的会计系统控制措施，确保会计核算正常运转。基金管理人根据《中华人民共和国会计法》、《证券投资基金会计核算业务指引》、《企业财务通则》等国家有关法律、法规制订了基金会计制度、公司财务制度、会计工作操作流程和会计岗位工作手册。通过事前防范、事中检查、事后监督的方式发现、堵截、杜绝基金会计核算中存在的各种风险。具体措施包括：采用了目前最先进的基金核算软件；基金会计严格执行复核制度；基金会计核算采用基金管理人与基金托管人双人同步独立核算、相互核对的方式；每日制作基金会计核算估值系统电子数据的备份，同时打印保存书面的记账凭证、各类会计报表、统计报表，并由专人保存原始记账凭证等。</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（5）内部稽核控制</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基金管理人通过制定稽核监察制度，开展独立监督，确保内部控制的有效性。基金管理人设立督察长，督察长可以列席基金管理人召开的任何会议，调阅相关</w:t>
      </w:r>
      <w:r>
        <w:rPr>
          <w:rFonts w:ascii="宋体" w:hAnsi="宋体" w:cs="宋体"/>
          <w:kern w:val="0"/>
          <w:sz w:val="24"/>
          <w:szCs w:val="24"/>
        </w:rPr>
        <w:lastRenderedPageBreak/>
        <w:t>档案，就内部控制制度的执行情况独立地履行检查、评价、报告、建议职能。督察长定期和不定期向董事会报告公司内部控制执行情况。公司为合规稽核部配备充足合格的稽核监察人员，监督各业务部门和人员遵守法律、法规和规章的有关情况；检查各业务部门和人员执行内部控制制度、各项管理制度和业务规章的情况。</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4、基金管理人关于内部控制制度声明书</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（1）基金管理人承诺以上关于内部控制制度的披露真实、准确；</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（2）基金管理人承诺根据市场变化和基金管理人业务发展不断完善内部风险控制制度。</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33" w:name="_Toc256000003"/>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基金托管人</w:t>
      </w:r>
      <w:bookmarkEnd w:id="33"/>
    </w:p>
    <w:p w:rsidR="00D27B31" w:rsidRDefault="00D27B31"/>
    <w:p w:rsidR="00D27B31" w:rsidRDefault="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Pr>
          <w:rFonts w:asciiTheme="minorEastAsia" w:eastAsiaTheme="minorEastAsia" w:hAnsiTheme="minorEastAsia" w:cs="方正仿宋_gbk" w:hint="eastAsia"/>
          <w:color w:val="000000"/>
          <w:sz w:val="24"/>
          <w:szCs w:val="24"/>
        </w:rPr>
        <w:t>一、基金托管人基本情况</w:t>
      </w:r>
    </w:p>
    <w:p w:rsidR="00D27B31" w:rsidRDefault="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Pr>
          <w:rFonts w:asciiTheme="minorEastAsia" w:eastAsiaTheme="minorEastAsia" w:hAnsiTheme="minorEastAsia" w:cs="方正仿宋_gbk" w:hint="eastAsia"/>
          <w:color w:val="000000"/>
          <w:sz w:val="24"/>
          <w:szCs w:val="24"/>
        </w:rPr>
        <w:t>（一）基金托管人概况</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公司法定中文名称：交通银行股份有限公司（简称：交通银行）</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公司法定英文名称：Bank of Communications Co., Ltd.</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法定代表人：任德奇</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 xml:space="preserve">住    所：中国（上海）自由贸易试验区银城中路188号 </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办公地址：上海市长宁区仙霞路18号</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邮政编码：200336</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注册时间：1987年3月30日</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注册资本：742.63亿元</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基金托管资格批文及文号：中国证监会证监基字[1998]25号</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联系人：方圆</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电  话：95559</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交通银行始建于1908年，是中国历史最悠久的银行之一，也是近代中国的发钞行之一。1987年重新组建后的交通银行正式对外营业，成为中国第一家全国性的国有股份制商业银行，总部设在上海。2005年6月交通银行在香港联合交易所挂牌上市，2007年5月在上海证券交易所挂牌上市。交通银行连续17年跻身《财富》(FORTUNE)世界500强，营业收入排名第168位；列《银行家》(The Banker)杂志全球千家大银行一级资本排名第9位。</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截至2025年9月30日，交通银行资产总额为人民币15.50万亿元。2025年前三季度，交通银行实现净利润（归属于母公司股东）人民币699.94亿元。</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交通银行总行设资产托管部/资产托管业务发展中心（下文简称“托管部/托管发展中心”）。现有员工具有多年基金、证券和银行的从业经验，具备基金从业资格，以及经济师、会计师、工程师和律师等中高级专业技术职称，员工的学历层次较高，专业分布合理，职业技能优良，职业道德素质过硬，是一支诚实勤勉、积极进取、开拓创新、奋发向上的资产托管从业人员队伍。</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（二）主要人员情况</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lastRenderedPageBreak/>
        <w:t>任德奇先生，董事长、执行董事，高级经济师。</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任先生2020年1月起任本行董事长，2018年8月起任本行执行董事。曾任本行副董事长、执行董事、行长。曾任中国银行执行董事、副行长，期间曾兼任中银香港（控股）有限公司非执行董事，中国银行上海人民币交易业务总部总裁。曾任中国建设银行信贷审批部副总经理、风险监控部总经理、授信管理部总经理、湖北省分行行长、风险管理部总经理。任先生1988年于清华大学获工学硕士学位。</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张宝江先生，副董事长、执行董事、行长，高级经济师。</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张先生2024年8月起任本行副董事长、执行董事，2024年6月起任本行行长；曾任中国农业发展银行副行长，安徽省分行行长，总行办公室主任，陕西省分行副行长，总行政策研究室副主任（主持工作）、办公室副主任、研究室副主任等职务。张先生1998年于中央党校研究生院获经济学硕士学位，2004年于中央党校研究生院获经济学博士学位。</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孟羽先生，资产托管部/资产托管业务发展中心总经理。</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孟先生2025年9月起任本行资产托管部/资产托管业务发展中心总经理。曾任本行香港分行行政总裁，交通银行（香港）有限公司副董事长、执行董事、行政总裁，交银国际控股有限公司执行董事、首席执行官，广东省分行副行长，营业部副总经理，深圳分行国际业务部高级经理。曾在中国工商银行十堰分行工作。孟先生1999年于复旦大学获工商管理硕士学位。</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（三）基金托管业务经营情况</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截至2025年9月30日，交通银行共托管证券投资基金892只。此外，交通银行还托管了基金公司特定客户资产管理计划、证券公司客户资产管理计划、理财产品、信托计划、私募投资基金、保险资金、全国社保基金、基本养老保险基金、划转国有资本充实社保基金、养老保障管理产品、企业年金基金、职业年金基金、企业年金养老金产品、商业养老金产品、期货公司资产管理计划、QFI证券投资资产、QDII证券投资资产、RQDII证券投资资产、QDIE、QDLP和QFLP、债券“南向通”等产品。</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二、基金托管人的内部控制制度</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（一）内部控制目标</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交通银行严格遵守国家法律法规、行业规章及行内相关管理规定，加强内部</w:t>
      </w:r>
      <w:r w:rsidRPr="00DD08B1">
        <w:rPr>
          <w:rFonts w:asciiTheme="minorEastAsia" w:eastAsiaTheme="minorEastAsia" w:hAnsiTheme="minorEastAsia" w:cs="方正仿宋_gbk" w:hint="eastAsia"/>
          <w:color w:val="000000"/>
          <w:sz w:val="24"/>
          <w:szCs w:val="24"/>
        </w:rPr>
        <w:lastRenderedPageBreak/>
        <w:t>管理，托管部/托管发展中心业务制度健全并确保贯彻执行各项规章，通过对各种风险的识别、评估、控制及缓释，有效地实现对各项业务的风险管控，确保业务稳健运行，保护基金持有人的合法权益。</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（二）内部控制原则</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1.合法性原则：托管部/托管发展中心制定的各项制度符合国家法律法规及监管机构的监管要求，并贯穿于托管业务经营管理活动始终。</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2.全面性原则：托管部/托管发展中心建立各二级部自我监控和风险合规部风险管控的内部控制机制，覆盖各项业务、各个部门和各级人员，并渗透到决策、执行、监督、反馈等各个经营环节，建立全面的风险管理监督机制。</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3.独立性原则：托管部/托管发展中心独立负责受托基金资产的保管，保证基金资产与交通银行的自有资产相互独立，对不同的受托基金资产分别设置账户，独立核算，分账管理。</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4.制衡性原则：托管部/托管发展中心贯彻适当授权、相互制约的原则，从组织架构的设置上确保各二级部和各岗位权责分明、相互制约，并通过有效的相互制衡措施消除内部控制中的盲点。</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5.有效性原则：托管部/托管发展中心在岗位、业务二级部和风险合规部三级内控管理模式的基础上，形成科学合理的内部控制决策机制、执行机制和监督机制，通过行之有效的控制流程、控制措施，建立合理的内控程序，保障各项内控管理目标被有效执行。</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6.效益性原则：托管部/托管发展中心内部控制与基金托管规模、业务范围和业务运作环节的风险控制要求相适应，尽量降低经营运作成本，以合理的控制成本实现最佳的内部控制目标。</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（三）内部控制制度及措施</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根据《证券投资基金法》、《中华人民共和国商业银行法》、《商业银行资产托管业务指引》等法律法规，托管部/托管发展中心制定了一整套严密、完整的证券投资基金托管管理规章制度，确保基金托管业务运行的规范、安全、高效，包括《交通银行资产托管业务管理办法》、《交通银行资产托管业务风险管理办法》、《交通银行资产托管业务商业秘密管理规定》、《交通银行资产托管业务从业人员行为规范》、《交通银行资产托管业务运营档案管理办法》等，并根据</w:t>
      </w:r>
      <w:r w:rsidRPr="00DD08B1">
        <w:rPr>
          <w:rFonts w:asciiTheme="minorEastAsia" w:eastAsiaTheme="minorEastAsia" w:hAnsiTheme="minorEastAsia" w:cs="方正仿宋_gbk" w:hint="eastAsia"/>
          <w:color w:val="000000"/>
          <w:sz w:val="24"/>
          <w:szCs w:val="24"/>
        </w:rPr>
        <w:lastRenderedPageBreak/>
        <w:t xml:space="preserve">市场变化和基金业务的发展不断加以完善。做到业务分工科学合理，技术系统管理规范，业务管理制度健全，核心作业区实行封闭管理，落实各项安全隔离措施，相关信息披露由专人负责。 </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托管部/托管发展中心通过对基金托管业务各环节的事前揭示、事中控制和事后检查措施实现全流程、全链条的风险管理，聘请会计师事务所对基金托管业务运行进行国际标准的内部控制评审。</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三、基金托管人对基金管理人运作基金进行监督的方法和程序</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交通银行作为基金托管人，根据《证券投资基金法》、《公开募集证券投资基金运作管理办法》和有关证券法规的规定，对基金的投资对象、基金资产的投资组合比例、基金资产的核算、基金资产净值的计算、基金管理人报酬的计提和支付、基金托管人报酬的计提和支付、基金的申购资金的到账与赎回资金的划付、基金收益分配等行为的合规性进行监督和核查。</w:t>
      </w:r>
    </w:p>
    <w:p w:rsidR="00DD08B1" w:rsidRPr="00DD08B1" w:rsidRDefault="00DD08B1" w:rsidP="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交通银行作为基金托管人，发现基金管理人有违反《证券投资基金法》、《公开募集证券投资基金运作管理办法》等有关证券法规和《基金合同》的行为，及时通知基金管理人予以纠正，基金管理人收到通知后及时确认并进行调整。交通银行有权对通知事项进行复查，督促基金管理人改正。基金管理人对交通银行通知的违规事项未能及时纠正的，交通银行按规定报告中国证监会。</w:t>
      </w:r>
    </w:p>
    <w:p w:rsidR="00D27B31" w:rsidRDefault="00DD08B1">
      <w:pPr>
        <w:autoSpaceDE w:val="0"/>
        <w:autoSpaceDN w:val="0"/>
        <w:adjustRightInd w:val="0"/>
        <w:spacing w:line="360" w:lineRule="auto"/>
        <w:ind w:firstLineChars="200" w:firstLine="480"/>
        <w:rPr>
          <w:rFonts w:asciiTheme="minorEastAsia" w:eastAsiaTheme="minorEastAsia" w:hAnsiTheme="minorEastAsia" w:cs="方正仿宋_gbk"/>
          <w:color w:val="000000"/>
          <w:sz w:val="24"/>
          <w:szCs w:val="24"/>
        </w:rPr>
      </w:pPr>
      <w:r w:rsidRPr="00DD08B1">
        <w:rPr>
          <w:rFonts w:asciiTheme="minorEastAsia" w:eastAsiaTheme="minorEastAsia" w:hAnsiTheme="minorEastAsia" w:cs="方正仿宋_gbk" w:hint="eastAsia"/>
          <w:color w:val="000000"/>
          <w:sz w:val="24"/>
          <w:szCs w:val="24"/>
        </w:rPr>
        <w:t>交通银行作为基金托管人，发现基金管理人有重大违规行为，按规定报告中国证监会，同时通知基金管理人限期纠正</w:t>
      </w:r>
      <w:r>
        <w:rPr>
          <w:rFonts w:asciiTheme="minorEastAsia" w:eastAsiaTheme="minorEastAsia" w:hAnsiTheme="minorEastAsia" w:cs="方正仿宋_gbk" w:hint="eastAsia"/>
          <w:color w:val="000000"/>
          <w:sz w:val="24"/>
          <w:szCs w:val="24"/>
        </w:rPr>
        <w:t>。</w:t>
      </w:r>
    </w:p>
    <w:p w:rsidR="00D27B31" w:rsidRDefault="00DD08B1">
      <w:pPr>
        <w:autoSpaceDE w:val="0"/>
        <w:autoSpaceDN w:val="0"/>
        <w:adjustRightInd w:val="0"/>
        <w:spacing w:line="360" w:lineRule="auto"/>
        <w:ind w:firstLineChars="200" w:firstLine="480"/>
        <w:jc w:val="center"/>
        <w:rPr>
          <w:rFonts w:ascii="宋体"/>
          <w:color w:val="000000"/>
          <w:kern w:val="0"/>
          <w:sz w:val="24"/>
          <w:szCs w:val="24"/>
        </w:rPr>
      </w:pPr>
      <w:r>
        <w:rPr>
          <w:rFonts w:ascii="宋体"/>
          <w:color w:val="000000"/>
          <w:kern w:val="0"/>
          <w:sz w:val="24"/>
          <w:szCs w:val="24"/>
        </w:rPr>
        <w:br w:type="page"/>
      </w:r>
    </w:p>
    <w:p w:rsidR="00D27B31" w:rsidRDefault="00DD08B1">
      <w:pPr>
        <w:pStyle w:val="1"/>
        <w:spacing w:before="0" w:after="0"/>
        <w:jc w:val="center"/>
        <w:rPr>
          <w:rFonts w:ascii="Times New Roman"/>
          <w:color w:val="auto"/>
          <w:sz w:val="30"/>
        </w:rPr>
      </w:pPr>
      <w:bookmarkStart w:id="34" w:name="_Toc256000004"/>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相关服务机构</w:t>
      </w:r>
      <w:bookmarkEnd w:id="34"/>
    </w:p>
    <w:p w:rsidR="00D27B31" w:rsidRDefault="00D27B31"/>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一、基金份额销售机构</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1、直销机构</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w:t>
      </w:r>
      <w:r>
        <w:rPr>
          <w:rFonts w:ascii="宋体" w:hAnsi="宋体" w:cs="宋体" w:hint="eastAsia"/>
          <w:kern w:val="0"/>
          <w:sz w:val="24"/>
          <w:szCs w:val="24"/>
        </w:rPr>
        <w:t>汇添富基金管理股份有限公司</w:t>
      </w:r>
      <w:r>
        <w:rPr>
          <w:rFonts w:ascii="宋体" w:hAnsi="宋体" w:cs="宋体"/>
          <w:kern w:val="0"/>
          <w:sz w:val="24"/>
          <w:szCs w:val="24"/>
        </w:rPr>
        <w:t>直销中心</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住所：</w:t>
      </w:r>
      <w:r>
        <w:rPr>
          <w:rFonts w:ascii="宋体" w:hAnsi="宋体" w:cs="宋体" w:hint="eastAsia"/>
          <w:kern w:val="0"/>
          <w:sz w:val="24"/>
          <w:szCs w:val="24"/>
        </w:rPr>
        <w:t>上海市黄浦区外马路728号9楼</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办公地址：上海市浦东新区樱花路868号建工大唐国际广场A座7楼</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法定代表人：</w:t>
      </w:r>
      <w:r>
        <w:rPr>
          <w:rFonts w:ascii="宋体" w:hAnsi="宋体" w:cs="宋体" w:hint="eastAsia"/>
          <w:kern w:val="0"/>
          <w:sz w:val="24"/>
          <w:szCs w:val="24"/>
        </w:rPr>
        <w:t>鲁伟铭</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电话：（021）28932893</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传真：（021）50199035或（021）50199036</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联系人：陈卓膺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客户服务电话：400-888-9918（免长途话费）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网址：www.99fund.com</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邮箱：guitai@htffund.com</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（2）汇添富基金管理股份有限公司线上直销系统</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2、其他销售机构</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本基金的其他销售机构请详见基金管理人官网公示的销售机构信息表。基金管理人可根据有关法律法规的要求，选择其他符合要求的机构销售基金，并在基金管理人网站公示。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二、登记机构</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名称：汇添富基金管理股份有限公司</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住所：</w:t>
      </w:r>
      <w:r>
        <w:rPr>
          <w:rStyle w:val="custom"/>
          <w:rFonts w:ascii="宋体" w:hAnsi="宋体" w:cs="宋体" w:hint="eastAsia"/>
          <w:kern w:val="0"/>
          <w:sz w:val="24"/>
          <w:szCs w:val="24"/>
        </w:rPr>
        <w:t>上海市黄浦区外马路728号9楼</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办公地址：上海市浦东新区樱花路868号建工大唐国际广场A座7楼</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法定代表人：</w:t>
      </w:r>
      <w:r>
        <w:rPr>
          <w:rStyle w:val="custom"/>
          <w:rFonts w:ascii="宋体" w:hAnsi="宋体" w:cs="宋体" w:hint="eastAsia"/>
          <w:kern w:val="0"/>
          <w:sz w:val="24"/>
          <w:szCs w:val="24"/>
        </w:rPr>
        <w:t>鲁伟铭</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电话：（021）28932888</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传真：（021）28932876</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联系人：马树超</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三、出具法律意见书的律师事务所</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名称：上海市通力律师事务所</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lastRenderedPageBreak/>
        <w:t>住所：上海市银城中路68号时代金融中心19楼</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办公地址：上海市银城中路68号时代金融中心19楼</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负责人：韩炯</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电话：（021）31358666</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传真：（021）31358600</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经办律师：陈颖华</w:t>
      </w:r>
      <w:r>
        <w:rPr>
          <w:rFonts w:ascii="宋体" w:hAnsi="宋体" w:cs="宋体" w:hint="eastAsia"/>
          <w:kern w:val="0"/>
          <w:sz w:val="24"/>
          <w:szCs w:val="24"/>
        </w:rPr>
        <w:t>、吴曹圆</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联系人：陈颖华</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四、审计基金财产的会计师事务所</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名称：安永华明会计师事务所（特殊普通合伙）</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住所：北京市东城区东长安街1号东方广场安永大楼17层</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办公地址：北京市东城区东长安街1号东方广场安永大楼17层</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执行事务合伙人：毛鞍宁</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电话：010-58153000</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传真：010-85188298</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业务联系人：陈露</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经办会计师：陈露、戴唯</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35" w:name="_Toc256000005"/>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基金的募集</w:t>
      </w:r>
      <w:bookmarkEnd w:id="35"/>
    </w:p>
    <w:p w:rsidR="00D27B31" w:rsidRDefault="00D27B31"/>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本基金由基金管理人依照《基金法》、《运作办法》、《销售办法》、《信息披露办法》等有关法律法规以及基金合同的规定，经中国证监会证监许可【20</w:t>
      </w:r>
      <w:r>
        <w:rPr>
          <w:rFonts w:ascii="宋体" w:hAnsi="宋体" w:cs="宋体" w:hint="eastAsia"/>
          <w:kern w:val="0"/>
          <w:sz w:val="24"/>
          <w:szCs w:val="24"/>
        </w:rPr>
        <w:t>25</w:t>
      </w:r>
      <w:r>
        <w:rPr>
          <w:rFonts w:ascii="宋体" w:hAnsi="宋体" w:cs="宋体"/>
          <w:kern w:val="0"/>
          <w:sz w:val="24"/>
          <w:szCs w:val="24"/>
        </w:rPr>
        <w:t>】</w:t>
      </w:r>
      <w:r>
        <w:rPr>
          <w:rFonts w:ascii="宋体" w:hAnsi="宋体" w:cs="宋体" w:hint="eastAsia"/>
          <w:kern w:val="0"/>
          <w:sz w:val="24"/>
          <w:szCs w:val="24"/>
        </w:rPr>
        <w:t>1441</w:t>
      </w:r>
      <w:r>
        <w:rPr>
          <w:rFonts w:ascii="宋体" w:hAnsi="宋体" w:cs="宋体"/>
          <w:kern w:val="0"/>
          <w:sz w:val="24"/>
          <w:szCs w:val="24"/>
        </w:rPr>
        <w:t>号文件准予注册募集。</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一、基金的类型、运作方式及存续期限</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1、基金类型：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股票型证券投资基金</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2、基金运作方式：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契约型开放式、发起式</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3、存续期限：不定期</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二、基金份额的募集期限、募集对象、募集方式、募集场所</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1、募集期限</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自基金份额发售之日起最长不得超过3个月，具体发售时间见基金份额发售公告。</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2、募集对象</w:t>
      </w:r>
    </w:p>
    <w:p w:rsidR="00D27B31" w:rsidRDefault="00DD08B1">
      <w:pPr>
        <w:pStyle w:val="div"/>
        <w:widowControl/>
        <w:spacing w:line="360" w:lineRule="auto"/>
        <w:ind w:firstLine="480"/>
        <w:jc w:val="left"/>
        <w:rPr>
          <w:rFonts w:eastAsia="Times New Roman"/>
          <w:kern w:val="0"/>
          <w:sz w:val="24"/>
          <w:szCs w:val="24"/>
        </w:rPr>
      </w:pPr>
      <w:r>
        <w:rPr>
          <w:rFonts w:ascii="宋体" w:hAnsi="宋体" w:cs="宋体"/>
          <w:kern w:val="0"/>
          <w:sz w:val="24"/>
          <w:szCs w:val="24"/>
        </w:rPr>
        <w:t>符合法律法规规定的可投资于证券投资基金的个人投资者、机构投资者、合格境外投资者、发起资金提供方以及法律法规或中国证监会允许购买证券投资基金的其他投资人。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销售机构对认购申请的受理并不代表该申请一定成功，而仅代表销售机构确实接收到认购申请。认购申请的确认以登记机构的确认结果为准。对于认购申请及认购份额的确认情况，投资人应及时查询并妥善行使合法权利，否则，由此产生的任何损失由投资者自行承担。</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3、募集方式</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通过各销售机构的基金销售网点公开发售，各销售机构的具体名单见基金管理人网站届时公示的基金销售机构名录。</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4、募集场所</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本基金将通过基金管理人的直销机构及其他基金销售机构的销售网点公开发售。</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lastRenderedPageBreak/>
        <w:t>投资者还可以登录基金管理人网站（www.99fund.com）办理开户、认购等业务，网上交易开通流程、业务规则请登录基金管理人网站查询。</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募集期间，基金管理人可根据情况变更或增减基金销售机构，并在基金管理人网站公示。具体销售城市（或网点）名单和联系方式，请参见基金管理人网站届时公示的基金销售机构名录以及当地基金销售机构以各种形式发布的公告。</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三、基金份额类别设置</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本基金根据认购/申购费用、销售服务费收取方式等事项的不同，将基金份额分为不同的类别。</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A类基金份额在投资者认购、申购时收取认购、申购费用，在赎回时根据持有期限收取赎回费用，但不从本类别基金财产中计提销售服务费；C类基金份额从本类别基金财产中计提销售服务费而不收取认购、申购费用，在赎回时根据持有期限收取赎回费用。</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本基金A类、C类基金份额分别设置代码。由于基金费用的不同，本基金A类、C类基金份额将分别计算基金份额净值，计算公式为计算日各类别基金资产净值除以计算日发售在外的该类别基金份额总数。</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投资者可自行选择认购、申购的基金份额类别。在不违反法律法规、基金合同的约定以及对基金份额持有人利益无实质性不利影响的情况下，经与基金托管人协商一致，在履行适当程序后基金管理人可增加、减少或调整基金份额类别设置、对基金份额分类办法及规则进行调整并在调整实施之日前依照《信息披露办法》的有关规定在规定媒介上公告，不需要召开基金份额持有人大会。</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四、基金份额的认购</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除法律法规或中国证监会有关规定另有规定外，任何与基金份额发售有关的当事人不得预留和提前发售基金份额。</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1、基金份额的发售面值</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本基金基金份额发售面值为人民币1.00元。</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2、认购费用</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本基金对通过本公司直销中心认购本基金A类基金份额的特定投资群体与除此之外的其他投资者实施差别化的认购费率。</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特定投资群体指全国社会保障基金、基本养老保险基金、可以投资基金的地</w:t>
      </w:r>
      <w:r>
        <w:rPr>
          <w:rFonts w:ascii="宋体" w:hAnsi="宋体" w:cs="宋体"/>
          <w:kern w:val="0"/>
          <w:sz w:val="24"/>
          <w:szCs w:val="24"/>
        </w:rPr>
        <w:lastRenderedPageBreak/>
        <w:t>方社会保障基金、企业年金基金、职业年金基金，以及个人税收递延型商业养老保险、养老目标证券投资基金等。如将来出现经养老基金监管部门认可的新的养老基金类型，基金管理人可将其纳入特定投资群体范围。</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特定投资群体可通过本公司直销中心认购本基金A类基金份额。基金管理人可根据情况变更或增减特定投资群体认购本基金A类基金份额的销售机构。</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1）特定投资群体认购A类基金份额的认购费用</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通过本公司直销中心认购本基金A类基金份额的特定投资群体认购费用为每笔500元。未通过本公司直销中心认购本基金</w:t>
      </w:r>
      <w:r>
        <w:rPr>
          <w:rFonts w:eastAsia="Times New Roman"/>
          <w:kern w:val="0"/>
          <w:sz w:val="24"/>
          <w:szCs w:val="24"/>
        </w:rPr>
        <w:t>A</w:t>
      </w:r>
      <w:r>
        <w:rPr>
          <w:rFonts w:ascii="宋体" w:hAnsi="宋体" w:cs="宋体"/>
          <w:kern w:val="0"/>
          <w:sz w:val="24"/>
          <w:szCs w:val="24"/>
        </w:rPr>
        <w:t>类基金份额的特定投资群体，认购费率参照其他投资者适用的A类基金份额认购费率执行。</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2）其他投资者认购A类基金份额的认购费率</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其他投资者认购本基金A类基金份额的认购费率随认购金额增加而递减。在募集期内如果有多笔认购，适用费率按单笔认购申请单独计算。其他投资者认购A类基金份额的具体认购费率如下表所示：</w:t>
      </w:r>
    </w:p>
    <w:tbl>
      <w:tblPr>
        <w:tblStyle w:val="table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4914"/>
        <w:gridCol w:w="3026"/>
      </w:tblGrid>
      <w:tr w:rsidR="00D27B31">
        <w:trPr>
          <w:trHeight w:val="460"/>
          <w:jc w:val="center"/>
        </w:trPr>
        <w:tc>
          <w:tcPr>
            <w:tcW w:w="0" w:type="auto"/>
            <w:tcBorders>
              <w:bottom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Fonts w:ascii="宋体" w:hAnsi="宋体" w:cs="宋体"/>
                <w:color w:val="000000"/>
                <w:kern w:val="0"/>
                <w:sz w:val="24"/>
                <w:szCs w:val="24"/>
              </w:rPr>
            </w:pPr>
            <w:r>
              <w:rPr>
                <w:rFonts w:ascii="宋体" w:hAnsi="宋体" w:cs="宋体"/>
                <w:color w:val="000000"/>
                <w:kern w:val="0"/>
                <w:sz w:val="24"/>
                <w:szCs w:val="24"/>
              </w:rPr>
              <w:t>认购金额（M）</w:t>
            </w:r>
          </w:p>
        </w:tc>
        <w:tc>
          <w:tcPr>
            <w:tcW w:w="0" w:type="auto"/>
            <w:tcBorders>
              <w:left w:val="single" w:sz="6" w:space="0" w:color="000000"/>
              <w:bottom w:val="single" w:sz="6" w:space="0" w:color="000000"/>
            </w:tcBorders>
            <w:tcMar>
              <w:top w:w="0" w:type="dxa"/>
              <w:left w:w="108" w:type="dxa"/>
              <w:bottom w:w="0" w:type="dxa"/>
              <w:right w:w="110" w:type="dxa"/>
            </w:tcMar>
            <w:vAlign w:val="center"/>
          </w:tcPr>
          <w:p w:rsidR="00D27B31" w:rsidRDefault="00DD08B1">
            <w:pPr>
              <w:pStyle w:val="div"/>
              <w:jc w:val="center"/>
              <w:rPr>
                <w:rFonts w:ascii="宋体" w:hAnsi="宋体" w:cs="宋体"/>
                <w:color w:val="000000"/>
                <w:kern w:val="0"/>
                <w:sz w:val="24"/>
                <w:szCs w:val="24"/>
              </w:rPr>
            </w:pPr>
            <w:r>
              <w:rPr>
                <w:rFonts w:ascii="宋体" w:hAnsi="宋体" w:cs="宋体"/>
                <w:color w:val="000000"/>
                <w:kern w:val="0"/>
                <w:sz w:val="24"/>
                <w:szCs w:val="24"/>
              </w:rPr>
              <w:t>认购费率</w:t>
            </w:r>
          </w:p>
        </w:tc>
      </w:tr>
      <w:tr w:rsidR="00D27B31">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Fonts w:ascii="宋体" w:hAnsi="宋体" w:cs="宋体"/>
                <w:color w:val="000000"/>
                <w:kern w:val="0"/>
                <w:sz w:val="24"/>
                <w:szCs w:val="24"/>
              </w:rPr>
            </w:pPr>
            <w:r>
              <w:rPr>
                <w:rFonts w:ascii="宋体" w:hAnsi="宋体" w:cs="宋体"/>
                <w:color w:val="000000"/>
                <w:kern w:val="0"/>
                <w:sz w:val="24"/>
                <w:szCs w:val="24"/>
              </w:rPr>
              <w:t>M＜50万元</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D27B31" w:rsidRDefault="00DD08B1">
            <w:pPr>
              <w:pStyle w:val="div"/>
              <w:jc w:val="center"/>
              <w:rPr>
                <w:rFonts w:ascii="宋体" w:hAnsi="宋体" w:cs="宋体"/>
                <w:color w:val="000000"/>
                <w:kern w:val="0"/>
                <w:sz w:val="24"/>
                <w:szCs w:val="24"/>
              </w:rPr>
            </w:pPr>
            <w:r>
              <w:rPr>
                <w:rFonts w:ascii="宋体" w:hAnsi="宋体" w:cs="宋体"/>
                <w:color w:val="000000"/>
                <w:kern w:val="0"/>
                <w:sz w:val="24"/>
                <w:szCs w:val="24"/>
              </w:rPr>
              <w:t>0.80%</w:t>
            </w:r>
          </w:p>
        </w:tc>
      </w:tr>
      <w:tr w:rsidR="00D27B31">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Fonts w:ascii="宋体" w:hAnsi="宋体" w:cs="宋体"/>
                <w:color w:val="000000"/>
                <w:kern w:val="0"/>
                <w:sz w:val="24"/>
                <w:szCs w:val="24"/>
              </w:rPr>
            </w:pPr>
            <w:r>
              <w:rPr>
                <w:rFonts w:ascii="宋体" w:hAnsi="宋体" w:cs="宋体"/>
                <w:color w:val="000000"/>
                <w:kern w:val="0"/>
                <w:sz w:val="24"/>
                <w:szCs w:val="24"/>
              </w:rPr>
              <w:t>50万元≤M＜100万元</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D27B31" w:rsidRDefault="00DD08B1">
            <w:pPr>
              <w:pStyle w:val="div"/>
              <w:jc w:val="center"/>
              <w:rPr>
                <w:rFonts w:ascii="宋体" w:hAnsi="宋体" w:cs="宋体"/>
                <w:color w:val="000000"/>
                <w:kern w:val="0"/>
                <w:sz w:val="24"/>
                <w:szCs w:val="24"/>
              </w:rPr>
            </w:pPr>
            <w:r>
              <w:rPr>
                <w:rFonts w:ascii="宋体" w:hAnsi="宋体" w:cs="宋体"/>
                <w:color w:val="000000"/>
                <w:kern w:val="0"/>
                <w:sz w:val="24"/>
                <w:szCs w:val="24"/>
              </w:rPr>
              <w:t>0.50%</w:t>
            </w:r>
          </w:p>
        </w:tc>
      </w:tr>
      <w:tr w:rsidR="00D27B31">
        <w:trPr>
          <w:trHeight w:val="460"/>
          <w:jc w:val="center"/>
        </w:trPr>
        <w:tc>
          <w:tcPr>
            <w:tcW w:w="0" w:type="auto"/>
            <w:tcBorders>
              <w:top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Fonts w:ascii="宋体" w:hAnsi="宋体" w:cs="宋体"/>
                <w:color w:val="000000"/>
                <w:kern w:val="0"/>
                <w:sz w:val="24"/>
                <w:szCs w:val="24"/>
              </w:rPr>
            </w:pPr>
            <w:r>
              <w:rPr>
                <w:rFonts w:ascii="宋体" w:hAnsi="宋体" w:cs="宋体"/>
                <w:color w:val="000000"/>
                <w:kern w:val="0"/>
                <w:sz w:val="24"/>
                <w:szCs w:val="24"/>
              </w:rPr>
              <w:t>M≥100万元</w:t>
            </w:r>
          </w:p>
        </w:tc>
        <w:tc>
          <w:tcPr>
            <w:tcW w:w="0" w:type="auto"/>
            <w:tcBorders>
              <w:top w:val="single" w:sz="6" w:space="0" w:color="000000"/>
              <w:left w:val="single" w:sz="6" w:space="0" w:color="000000"/>
            </w:tcBorders>
            <w:tcMar>
              <w:top w:w="0" w:type="dxa"/>
              <w:left w:w="108" w:type="dxa"/>
              <w:bottom w:w="0" w:type="dxa"/>
              <w:right w:w="110" w:type="dxa"/>
            </w:tcMar>
            <w:vAlign w:val="center"/>
          </w:tcPr>
          <w:p w:rsidR="00D27B31" w:rsidRDefault="00DD08B1">
            <w:pPr>
              <w:pStyle w:val="div"/>
              <w:jc w:val="center"/>
              <w:rPr>
                <w:rFonts w:ascii="宋体" w:hAnsi="宋体" w:cs="宋体"/>
                <w:color w:val="000000"/>
                <w:kern w:val="0"/>
                <w:sz w:val="24"/>
                <w:szCs w:val="24"/>
              </w:rPr>
            </w:pPr>
            <w:r>
              <w:rPr>
                <w:rFonts w:ascii="宋体" w:hAnsi="宋体" w:cs="宋体"/>
                <w:color w:val="000000"/>
                <w:kern w:val="0"/>
                <w:sz w:val="24"/>
                <w:szCs w:val="24"/>
              </w:rPr>
              <w:t>每笔1000元</w:t>
            </w:r>
          </w:p>
        </w:tc>
      </w:tr>
    </w:tbl>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本基金C类基金份额不收取认购费用。</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A类基金份额的认购费用由认购A类基金份额的投资者承担，不列入基金财产，主要用于基金的市场推广、销售、登记等基金募集期间发生的各项费用。</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基金管理人可以在不违反法律法规规定及基金合同约定的情况下根据市场情况制定基金促销计划，定期和不定期地开展基金促销活动。在基金促销活动期间，基金管理人可以按相关监管部门要求履行必要手续后，对基金投资者适当调低基金认购费率。</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3、</w:t>
      </w:r>
      <w:r>
        <w:rPr>
          <w:rFonts w:ascii="宋体" w:hAnsi="宋体" w:cs="宋体"/>
          <w:kern w:val="0"/>
          <w:sz w:val="24"/>
          <w:szCs w:val="24"/>
        </w:rPr>
        <w:t>认购份额的计算</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基金认购采用金额认购的方式。</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（1）</w:t>
      </w:r>
      <w:r>
        <w:rPr>
          <w:rFonts w:ascii="宋体" w:hAnsi="宋体" w:cs="宋体"/>
          <w:kern w:val="0"/>
          <w:sz w:val="24"/>
          <w:szCs w:val="24"/>
        </w:rPr>
        <w:t>A类基金份额</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A类基金份额的认购金额包括认购费用和净认购金额。计算公式为：</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1）</w:t>
      </w:r>
      <w:r>
        <w:rPr>
          <w:rFonts w:ascii="宋体" w:hAnsi="宋体" w:cs="宋体"/>
          <w:kern w:val="0"/>
          <w:sz w:val="24"/>
          <w:szCs w:val="24"/>
        </w:rPr>
        <w:t>认购费用适用比例费率：</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lastRenderedPageBreak/>
        <w:t>净认购金额=认购金额/（1＋认购费率）</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认购费用=认购金额-净认购金额</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认购份额=（净认购金额＋认购利息）/基金份额发售面值</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2）</w:t>
      </w:r>
      <w:r>
        <w:rPr>
          <w:rFonts w:ascii="宋体" w:hAnsi="宋体" w:cs="宋体"/>
          <w:kern w:val="0"/>
          <w:sz w:val="24"/>
          <w:szCs w:val="24"/>
        </w:rPr>
        <w:t>认购费用适用固定金额：</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认购费用=固定金额</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净认购金额=认购金额-认购费用</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认购份额=（净认购金额＋认购利息）/基金份额发售面值</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（2）C类</w:t>
      </w:r>
      <w:r>
        <w:rPr>
          <w:rFonts w:ascii="宋体" w:hAnsi="宋体" w:cs="宋体"/>
          <w:kern w:val="0"/>
          <w:sz w:val="24"/>
          <w:szCs w:val="24"/>
        </w:rPr>
        <w:t>基金份额</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认购份额=（认购金额＋认购利息）/基金份额发售面值</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（3）</w:t>
      </w:r>
      <w:r>
        <w:rPr>
          <w:rFonts w:ascii="宋体" w:hAnsi="宋体" w:cs="宋体"/>
          <w:kern w:val="0"/>
          <w:sz w:val="24"/>
          <w:szCs w:val="24"/>
        </w:rPr>
        <w:t>上述认购份额（含利息折算的份额）计算结果保留到小数点后2位，小数点2位以后的部分四舍五入，由此误差产生的收益或损失由基金财产承担。</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例1.</w:t>
      </w:r>
      <w:r>
        <w:rPr>
          <w:rFonts w:ascii="宋体" w:hAnsi="宋体" w:cs="宋体"/>
          <w:kern w:val="0"/>
          <w:sz w:val="24"/>
          <w:szCs w:val="24"/>
        </w:rPr>
        <w:t>某投资者（非特定投资群体）投资10,000元认购本基金A类基金份额，假设其认购资金在认购期间产生的利息为3.00元，其对应的认购费率为</w:t>
      </w:r>
      <w:r>
        <w:rPr>
          <w:rStyle w:val="custom"/>
          <w:rFonts w:ascii="宋体" w:hAnsi="宋体" w:cs="宋体"/>
          <w:kern w:val="0"/>
          <w:sz w:val="24"/>
          <w:szCs w:val="24"/>
        </w:rPr>
        <w:t>0.80%</w:t>
      </w:r>
      <w:r>
        <w:rPr>
          <w:rFonts w:ascii="宋体" w:hAnsi="宋体" w:cs="宋体"/>
          <w:kern w:val="0"/>
          <w:sz w:val="24"/>
          <w:szCs w:val="24"/>
        </w:rPr>
        <w:t>，则其可得到的认购份额为：</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净认购金额=10,000/（1+0.80%）=9,920.63元</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认购费用=10,000-9,920.63=79.37元</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认购份额=（9,920.63+3.00）/1.00=9,923.63份</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即：投资者（非特定投资群体）投资10,000元认购本基金A类基金份额，假设其认购资金在认购期间产生的利息为3.00元，则其可得到9,923.63份本基金A类基金份额。</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例2.</w:t>
      </w:r>
      <w:r>
        <w:rPr>
          <w:rFonts w:ascii="宋体" w:hAnsi="宋体" w:cs="宋体"/>
          <w:kern w:val="0"/>
          <w:sz w:val="24"/>
          <w:szCs w:val="24"/>
        </w:rPr>
        <w:t>某特定投资群体客户通过本公司直销中心投资100,000元认购本基金A类基金份额，其认购费金额为500元，假设其认购资金在认购期间产生的利息为50.00元，则其可得到的认购份额为：</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净认购金额=100,000-500=99,500.00元</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认购份额=（99,500.00+50.00）/1.00=99,550.00份</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即：特定投资群体客户通过本公司直销中心投资100,000元认购本基金A类基金份额，假设募集期间其认购资金所得利息为50.00元，则其可得到99,550.00份本基金A类基金份额。</w:t>
      </w:r>
    </w:p>
    <w:p w:rsidR="00D27B31" w:rsidRDefault="00DD08B1">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例3.</w:t>
      </w:r>
      <w:r>
        <w:rPr>
          <w:rFonts w:ascii="宋体" w:hAnsi="宋体" w:cs="宋体"/>
          <w:kern w:val="0"/>
          <w:sz w:val="24"/>
          <w:szCs w:val="24"/>
        </w:rPr>
        <w:t>某投资者投资10,000元认购本基金</w:t>
      </w:r>
      <w:r>
        <w:rPr>
          <w:rStyle w:val="custom"/>
          <w:rFonts w:ascii="宋体" w:hAnsi="宋体" w:cs="宋体"/>
          <w:kern w:val="0"/>
          <w:sz w:val="24"/>
          <w:szCs w:val="24"/>
        </w:rPr>
        <w:t>C类</w:t>
      </w:r>
      <w:r>
        <w:rPr>
          <w:rFonts w:ascii="宋体" w:hAnsi="宋体" w:cs="宋体"/>
          <w:kern w:val="0"/>
          <w:sz w:val="24"/>
          <w:szCs w:val="24"/>
        </w:rPr>
        <w:t>基金份额，由于募集期间基金</w:t>
      </w:r>
      <w:r>
        <w:rPr>
          <w:rFonts w:ascii="宋体" w:hAnsi="宋体" w:cs="宋体"/>
          <w:kern w:val="0"/>
          <w:sz w:val="24"/>
          <w:szCs w:val="24"/>
        </w:rPr>
        <w:lastRenderedPageBreak/>
        <w:t>份额发售面值为人民币1.00元，假设其认购资金在认购期间产生的利息为3.00元，则其可得到的认购份额为：</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认购份额=（10,000+3.00）/1.00=10,003.00份</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即：投资者投资10,000元认购本基金</w:t>
      </w:r>
      <w:r>
        <w:rPr>
          <w:rStyle w:val="custom"/>
          <w:rFonts w:ascii="宋体" w:hAnsi="宋体" w:cs="宋体"/>
          <w:kern w:val="0"/>
          <w:sz w:val="24"/>
          <w:szCs w:val="24"/>
        </w:rPr>
        <w:t>C类</w:t>
      </w:r>
      <w:r>
        <w:rPr>
          <w:rFonts w:ascii="宋体" w:hAnsi="宋体" w:cs="宋体"/>
          <w:kern w:val="0"/>
          <w:sz w:val="24"/>
          <w:szCs w:val="24"/>
        </w:rPr>
        <w:t>基金份额，假设其认购资金在认购期间产生的利息为3.00元，则其可得到10,003.00份</w:t>
      </w:r>
      <w:r>
        <w:rPr>
          <w:rStyle w:val="custom"/>
          <w:rFonts w:ascii="宋体" w:hAnsi="宋体" w:cs="宋体"/>
          <w:kern w:val="0"/>
          <w:sz w:val="24"/>
          <w:szCs w:val="24"/>
        </w:rPr>
        <w:t>C类</w:t>
      </w:r>
      <w:r>
        <w:rPr>
          <w:rFonts w:ascii="宋体" w:hAnsi="宋体" w:cs="宋体"/>
          <w:kern w:val="0"/>
          <w:sz w:val="24"/>
          <w:szCs w:val="24"/>
        </w:rPr>
        <w:t>基金份额。</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4、基金份额的认购程序</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（1）认购时间安排</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投资者认购本基金的具体业务办理时间由基金管理人和基金销售机构确定，请参见本基金的基金份额发售公告。</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（2）投资者认购本基金份额应提交的文件和办理的手续</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投资者认购本基金份额应提交的文件和办理的手续详见本基金的基金份额发售公告。</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（3）基金份额的认购采用金额认购方式</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投资者认购本基金采取全额缴款认购的方式。投资者在募集期内可多次认购，认购期间单个投资者的累计认购金额没有限制，但本招募说明书、基金份额发售公告、其他相关公告另有规定的除外。投资者的认购申请一经受理不得撤销。</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（4）认购申请的确认</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当日（T日）在规定时间内提交的申请，投资者通常应在T+2日到销售机构查询认购申请的受理结果，并可在募集截止日后4个工作日内到销售机构打印交易确认书。</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销售机构对认购申请的受理并不代表该申请一定成功，而仅代表销售机构确实接收到认购申请。认购申请的确认以登记机构的确认结果为准。对于认购申请及认购份额的确认情况，投资人应及时查询并妥善行使合法权利，否则，由此产生的任何损失由投资者自行承担。</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（5）认购金额的限制</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1）在基金募集期内，投资者可多次认购基金份额。投资者通过基金管理人直销中心首次认购本基金的最低金额为人民币50,000元（含认购费）；通过基金管理人线上直销系统认购本基金单笔最低金额为人民币1元（含认购费）；通过其他销售机构的销售网点认购本基金单笔最低金额为人民币1元（含认购费）。</w:t>
      </w:r>
      <w:r>
        <w:rPr>
          <w:rFonts w:ascii="宋体" w:hAnsi="宋体" w:cs="宋体"/>
          <w:kern w:val="0"/>
          <w:sz w:val="24"/>
          <w:szCs w:val="24"/>
        </w:rPr>
        <w:lastRenderedPageBreak/>
        <w:t>超过最低认购金额的部分不设金额级差。各销售机构对本基金最低认购金额及交易级差有其他规定的，以各销售机构的业务规定为准。募集期间不设置投资者单个账户最高认购金额限制，但本招募说明书、基金份额发售公告、其他相关公告另有规定的除外。</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2）基金管理人可以对募集期间的本基金募集规模设置上限。募集期内超过募集规模上限时，基金管理人可以采用比例确认或其他方式进行确认，具体办法参见基金份额发售公告或相关公告。</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3）如本基金单个投资人（基金管理人、基金管理人高级管理人员或基金经理等人员作为发起资金提供方除外）累计认购的基金份额数达到或者超过基金总份额的50%，基金管理人可以采取比例确认等方式对该投资人的认购申请进行限制。基金管理人接受某笔或者某些认购申请有可能导致投资者变相规避前述50%比例要求的，基金管理人有权拒绝该等全部或者部分认购申请。投资人认购的基金份额数以基金合同生效后登记机构的确认为准。</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5、募集期利息的处理方式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有效认购款项在募集期间产生的利息将折算为基金份额归基金份额持有人所有，其中利息转份额以登记机构的记录为准。</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五、募集资金的管理</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基金管理人应将基金募集期间募集的资金存入专门账户，在基金募集行为结束前，任何人不得动用。</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六、</w:t>
      </w:r>
      <w:r>
        <w:rPr>
          <w:rFonts w:ascii="宋体" w:hAnsi="宋体" w:cs="宋体" w:hint="eastAsia"/>
          <w:kern w:val="0"/>
          <w:sz w:val="24"/>
          <w:szCs w:val="24"/>
        </w:rPr>
        <w:t>未来条件许可情况下的基金模式转换</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若本基金管理人同时管理同一标的指数的交易型开放式指数基金（ETF），则基金管理人在履行适当程序后可使本基金采取ETF联接基金模式并相应修改《基金合同》，届时无需召开基金份额持有人大会。</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七、发起资金的认购</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股东资金、基金管理人固有资金、基金管理人高级管理人员、基金经理等人员认购本基金的发起资金金额不少于1000万元人民币，且发起资金认购的基金份额持有期限不少于3年（基金合同生效不满3年提前终止的情况除外），法律法规或中国证监会另有规定的除外。</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本基金发起资金的认购情况见基金管理人届时发布的公告。</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36" w:name="_Toc256000006"/>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基金合同的生效</w:t>
      </w:r>
      <w:bookmarkEnd w:id="36"/>
    </w:p>
    <w:p w:rsidR="00D27B31" w:rsidRDefault="00D27B31"/>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一、基金备案的条件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本基金自基金份额发售之日起3个月内，在发起资金提供方认购本基金的金额不少于1000万元人民币且发起资金提供方承诺持有期限不少于3年的条件下，基金募集期届满或基金管理人依据法律法规及招募说明书可以决定停止基金发售，并在10日内聘请法定验资机构验资，会计师事务所提交的验资报告需对发起资金提供方及其持有份额进行专门说明。自收到验资报告之日起10日内，向中国证监会办理基金备案手续。</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二、基金合同不能生效时募集资金的处理方式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如果募集期限届满，未满足基金备案条件，基金管理人应当承担下列责任：</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1、以其固有财产承担因募集行为而产生的债务和费用；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2、在基金募集期限届满后30日内返还投资者已缴纳的款项，并加计银行同期活期存款利息；</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3、如基金募集失败，基金管理人、基金托管人及销售机构不得请求报酬。基金管理人、基金托管人和销售机构为基金募集支付之一切费用应由各方各自承担。</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三、基金存续期内的基金份额持有人数量和资产规模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满三年后继续存续的，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法律法规或中国证监会另有规定时，从其规定。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四、基金的自动终止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满三年之日（指自然日），若基金资产净值低于2亿元人民币的，基金合同自动终止，且不得通过召开基金份额持有人大会延续基金合同期限。若届时的法律法规或中国证监会规定发生变化，上述终止规定被取消、更改或补充时，则本基金可以参照届时有效的法律法规或中国证监会规定执行。</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37" w:name="_Toc256000007"/>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基金份额的申购与赎回</w:t>
      </w:r>
      <w:bookmarkEnd w:id="37"/>
    </w:p>
    <w:p w:rsidR="00D27B31" w:rsidRDefault="00D27B31"/>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申购和赎回场所</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的申购与赎回将通过销售机构进行。具体的销售机构将由基金管理人在招募说明书或其他相关公示中列明。基金管理人可根据情况变更或增减销售机构，并在基金管理人网站公示。基金投资者应当在销售机构办理基金销售业务的营业场所或按销售机构提供的其他方式办理基金份额的申购与赎回。若基金管理人或其指定的销售机构开通电话、传真或网上等交易方式，投资人可以通过上述方式进行申购与赎回。</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申购和赎回的开放日及时间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1、开放日及开放时间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投资人在开放日办理基金份额的申购和赎回，具体办理时间为上海证券交易所、深圳证券交易所的正常交易日的交易时间，但基金管理人根据法律法规、中国证监会的要求或基金合同的规定公告暂停申购、赎回时除外。开放日的具体业务办理时间在招募说明书或基金管理人届时发布的相关公告中载明。</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合同生效后，若出现新的证券/期货交易市场、证券/期货交易所交易时间变更、其他特殊情况或根据业务需要，基金管理人将视情况对前述开放日及开放时间进行相应的调整，但应在实施日前依照《信息披露办法》的有关规定在规定媒介上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2、申购、赎回开始日及业务办理时间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基金管理人可根据实际情况依法决定本基金开始办理申购的具体日期，具体业务办理时间在开放申购业务的公告中规定。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基金管理人自基金合同生效之日起不超过3个月开始办理赎回，具体业务办理时间在开放赎回业务的公告中规定。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在确定申购开始与赎回开始时间后，基金管理人应在申购、赎回开放日前依照《信息披露办法》的有关规定在规定媒介上公告申购与赎回的开始时间。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相应类别</w:t>
      </w:r>
      <w:r>
        <w:rPr>
          <w:rFonts w:ascii="宋体" w:hAnsi="宋体" w:cs="宋体"/>
          <w:kern w:val="0"/>
          <w:sz w:val="24"/>
          <w:szCs w:val="24"/>
        </w:rPr>
        <w:lastRenderedPageBreak/>
        <w:t>的基金份额申购、赎回的价格。</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申购与赎回的原则</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1、“未知价”原则，即申购、赎回价格以申请当日收市后计算的相应类别的基金份额净值为基准进行计算；</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2、“金额申购、份额赎回”原则，即申购以金额申请，赎回以份额申请；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3、当日的申购与赎回申请可以在基金管理人规定的时间以内撤销；</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4、赎回遵循“先进先出”原则，即按照投资人认购、申购的先后次序进行顺序赎回；</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5、办理申购、赎回业务时，应当遵循基金份额持有人利益优先原则，确保投资者的合法权益不受损害并得到公平对待。</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基金管理人可在法律法规允许的情况下，对上述原则进行调整。基金管理人必须在新规则开始实施前依照《信息披露办法》的有关规定在规定媒介上公告。</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申购与赎回的程序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1、申购和赎回的申请方式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投资人必须根据销售机构规定的程序，在开放日的具体业务办理时间内提出申购或赎回的申请。投资者在提交申购申请时，须按销售机构规定的方式备足申购资金，投资者在提交赎回申请时，应确保账户内有足够的基金份额余额，否则申购、赎回申请不成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2、申购和赎回的款项支付</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投资人申购基金份额时，必须在规定时间前全额交付申购款项，否则所提交的申购申请不成立。投资人在规定时间前全额交付申购款项，申购成立；基金份额登记机构确认基金份额时，申购生效。</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在提交赎回申请时，必须有足够的基金份额余额，否则所提交的赎回申请不成立。基金份额持有人递交赎回申请，赎回成立；基金份额登记机构确认赎回时，赎回生效。投资者赎回申请生效后，基金管理人将在T+7日（包括该日）内支付赎回款项。在发生巨额赎回时，款项的支付办法参照基金合同有关条款处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遇交易所或交易市场数据传输延迟、通讯系统故障、银行数据交换系统故障或其他非基金管理人及基金托管人所能控制的因素影响业务处理流程，则赎回款</w:t>
      </w:r>
      <w:r>
        <w:rPr>
          <w:rFonts w:ascii="宋体" w:hAnsi="宋体" w:cs="宋体"/>
          <w:kern w:val="0"/>
          <w:sz w:val="24"/>
          <w:szCs w:val="24"/>
        </w:rPr>
        <w:lastRenderedPageBreak/>
        <w:t>项顺延至上述情形消除后的下一个工作日划出。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基金管理人可以在法律法规和基金合同允许的范围内，对上述业务办理时间进行调整，基金管理人必须在调整实施前依照《信息披露办法》的有关规定在规定媒介上公告。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3、申购和赎回申请的确认</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其他方式查询申请的确认情况。若申购不成立或无效，则申购款项退还给投资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销售机构对申购、赎回申请的受理并不代表申请一定成功，而仅代表销售机构确实接收到申请。申购、赎回的确认以登记机构的确认结果为准。对于申请的确认情况，投资者应及时查询并妥善行使合法权利，否则，由此产生的任何损失由投资人自行承担。</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在法律法规允许的范围内，本基金管理人或登记机构可根据业务规则，对上述业务办理时间进行调整，基金管理人必须在调整实施前依照《信息披露办法》的有关规定在规定媒介上公告。</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申购和赎回的数量限制</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投资者通过基金管理人直销中心首次申购本基金基金份额的最低金额为人民币50,000元（含申购费）；通过基金管理人线上直销系统申购本基金基金份额单笔最低金额为人民币1元（含申购费）；通过其他销售机构的销售网点申购本基金基金份额单笔最低金额为人民币1元（含申购费）。超过最低申购金额的部分不设金额级差。各销售机构对本基金最低申购金额及交易级差有其他规定的，以各销售机构的业务规定为准。</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2、投资者将当期分配的基金收益转为相应类别的基金份额时，不受最低申购金额的限制。</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3、基金份额持有人可将其全部或部分基金份额赎回，赎回最低份额0.1份，基金份额持有人在销售机构保留的基金份额不足0.1份的，登记系统有权将全部剩余份额自动赎回。</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4、投资者可多次申购，对单个投资者累计持有基金份额的比例或数量不设上限限制，对单个投资者申购金额上限、基金规模上限或基金单日净申购比例不设上限，但单一投资者（基金管理人、基金管理人高级管理人员或基金经理等人员作为发起资金提供方除外）持有基金份额数不得达到或超过基金份额总数的50%（在基金运作过程中因基金份额赎回等基金管理人无法予以控制的情形导致被动达到或超过50%的除外）。法律法规或监管机构另有规定的，从其规定。</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管理人可在法律法规允许的情况下，调整上述规定申购金额和赎回份额的数量限制或新增基金规模控制措施。当接受申购申请对存量基金份额持有人利益构成潜在重大不利影响时，基金管理人应当采取设定单一投资者申购金额上限、基金规模上限或基金单日净申购比例上限、拒绝大额申购、暂停基金申购等措施，切实保护存量基金份额持有人的合法权益。基金管理人基于投资运作与风险控制的需要，可采取上述措施对基金规模予以控制。基金管理人必须在调整实施前依照《信息披露办法》的有关规定在规定媒介上公告。</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申购费用和赎回费用</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申购费用</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本基金对通过本公司直销中心申购本基金A类基金份额的特定投资群体与除此之外的其他投资者实施差别化的申购费率。</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特定投资群体可通过本公司直销中心申购本基金A类基金份额。基金管理人可根据情况变更或增减特定投资群体申购本基金A类基金份额的销售机构。</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1）特定投资群体申购A类基金份额的申购费用</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通过本公司直销中心申购本基金A类基金份额的特定投资群体申购费用为每笔500元。未通过本公司直销中心申购本基金</w:t>
      </w:r>
      <w:r>
        <w:rPr>
          <w:rStyle w:val="custom"/>
          <w:rFonts w:eastAsia="Times New Roman"/>
          <w:kern w:val="0"/>
          <w:sz w:val="24"/>
          <w:szCs w:val="24"/>
        </w:rPr>
        <w:t>A</w:t>
      </w:r>
      <w:r>
        <w:rPr>
          <w:rStyle w:val="custom"/>
          <w:rFonts w:ascii="宋体" w:hAnsi="宋体" w:cs="宋体"/>
          <w:kern w:val="0"/>
          <w:sz w:val="24"/>
          <w:szCs w:val="24"/>
        </w:rPr>
        <w:t>类基金份额的特定投资群体，申购费率参照其他投资者适用的A类基金份额申购费率执行。</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2）其他投资者申购A类基金份额的申购费率</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其他投资者申购本基金A类基金份额的申购费率随申购金额增加而递减。投资者在一天之内如果有多笔申购，适用费率按单笔申购申请单独计算。其他投资者申购A类基金份额的具体申购费率如下表所示：</w:t>
      </w:r>
    </w:p>
    <w:tbl>
      <w:tblPr>
        <w:tblStyle w:val="table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4914"/>
        <w:gridCol w:w="3026"/>
      </w:tblGrid>
      <w:tr w:rsidR="00D27B31">
        <w:trPr>
          <w:trHeight w:val="460"/>
          <w:jc w:val="center"/>
        </w:trPr>
        <w:tc>
          <w:tcPr>
            <w:tcW w:w="0" w:type="auto"/>
            <w:tcBorders>
              <w:bottom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申购金额（M）</w:t>
            </w:r>
          </w:p>
        </w:tc>
        <w:tc>
          <w:tcPr>
            <w:tcW w:w="0" w:type="auto"/>
            <w:tcBorders>
              <w:left w:val="single" w:sz="6" w:space="0" w:color="000000"/>
              <w:bottom w:val="single" w:sz="6" w:space="0" w:color="000000"/>
            </w:tcBorders>
            <w:tcMar>
              <w:top w:w="0" w:type="dxa"/>
              <w:left w:w="108" w:type="dxa"/>
              <w:bottom w:w="0" w:type="dxa"/>
              <w:right w:w="110"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申购费率</w:t>
            </w:r>
          </w:p>
        </w:tc>
      </w:tr>
      <w:tr w:rsidR="00D27B31">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M＜50万元</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1.00%</w:t>
            </w:r>
          </w:p>
        </w:tc>
      </w:tr>
      <w:tr w:rsidR="00D27B31">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lastRenderedPageBreak/>
              <w:t>50万元≤M＜100万元</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0.60%</w:t>
            </w:r>
          </w:p>
        </w:tc>
      </w:tr>
      <w:tr w:rsidR="00D27B31">
        <w:trPr>
          <w:trHeight w:val="460"/>
          <w:jc w:val="center"/>
        </w:trPr>
        <w:tc>
          <w:tcPr>
            <w:tcW w:w="0" w:type="auto"/>
            <w:tcBorders>
              <w:top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M≥100万元</w:t>
            </w:r>
          </w:p>
        </w:tc>
        <w:tc>
          <w:tcPr>
            <w:tcW w:w="0" w:type="auto"/>
            <w:tcBorders>
              <w:top w:val="single" w:sz="6" w:space="0" w:color="000000"/>
              <w:left w:val="single" w:sz="6" w:space="0" w:color="000000"/>
            </w:tcBorders>
            <w:tcMar>
              <w:top w:w="0" w:type="dxa"/>
              <w:left w:w="108" w:type="dxa"/>
              <w:bottom w:w="0" w:type="dxa"/>
              <w:right w:w="110"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每笔1000元</w:t>
            </w:r>
          </w:p>
        </w:tc>
      </w:tr>
    </w:tbl>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本基金C类基金份额不收取申购费用。</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A类基金份额的申购费用由申购A类基金份额的投资者承担，不列入基金财产，主要用于本基金的市场推广、销售、登记等各项费用。</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赎回费用</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本基金赎回费率按基金份额持有人持有该部分基金份额的时间分段设定。</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本基金A类基金份额和C类基金份额采用相同的赎回费率结构，赎回费率具体如下：</w:t>
      </w:r>
    </w:p>
    <w:tbl>
      <w:tblPr>
        <w:tblStyle w:val="table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772"/>
        <w:gridCol w:w="1834"/>
        <w:gridCol w:w="3334"/>
      </w:tblGrid>
      <w:tr w:rsidR="00D27B31">
        <w:trPr>
          <w:trHeight w:val="460"/>
          <w:jc w:val="center"/>
        </w:trPr>
        <w:tc>
          <w:tcPr>
            <w:tcW w:w="0" w:type="auto"/>
            <w:tcBorders>
              <w:bottom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持有期限（N）</w:t>
            </w:r>
          </w:p>
        </w:tc>
        <w:tc>
          <w:tcPr>
            <w:tcW w:w="0" w:type="auto"/>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赎回费率</w:t>
            </w:r>
          </w:p>
        </w:tc>
        <w:tc>
          <w:tcPr>
            <w:tcW w:w="0" w:type="auto"/>
            <w:tcBorders>
              <w:left w:val="single" w:sz="6" w:space="0" w:color="000000"/>
              <w:bottom w:val="single" w:sz="6" w:space="0" w:color="000000"/>
            </w:tcBorders>
            <w:tcMar>
              <w:top w:w="0" w:type="dxa"/>
              <w:left w:w="108" w:type="dxa"/>
              <w:bottom w:w="0" w:type="dxa"/>
              <w:right w:w="110"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归入基金资产比例</w:t>
            </w:r>
          </w:p>
        </w:tc>
      </w:tr>
      <w:tr w:rsidR="00D27B31">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N＜7天</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1.50%</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100%</w:t>
            </w:r>
          </w:p>
        </w:tc>
      </w:tr>
      <w:tr w:rsidR="00D27B31">
        <w:trPr>
          <w:trHeight w:val="460"/>
          <w:jc w:val="center"/>
        </w:trPr>
        <w:tc>
          <w:tcPr>
            <w:tcW w:w="0" w:type="auto"/>
            <w:tcBorders>
              <w:top w:val="single" w:sz="6" w:space="0" w:color="000000"/>
              <w:right w:val="single" w:sz="6" w:space="0" w:color="000000"/>
            </w:tcBorders>
            <w:tcMar>
              <w:top w:w="0" w:type="dxa"/>
              <w:left w:w="110"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N≥7天</w:t>
            </w:r>
          </w:p>
        </w:tc>
        <w:tc>
          <w:tcPr>
            <w:tcW w:w="0" w:type="auto"/>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0</w:t>
            </w:r>
          </w:p>
        </w:tc>
        <w:tc>
          <w:tcPr>
            <w:tcW w:w="0" w:type="auto"/>
            <w:tcBorders>
              <w:top w:val="single" w:sz="6" w:space="0" w:color="000000"/>
              <w:left w:val="single" w:sz="6" w:space="0" w:color="000000"/>
            </w:tcBorders>
            <w:tcMar>
              <w:top w:w="0" w:type="dxa"/>
              <w:left w:w="108" w:type="dxa"/>
              <w:bottom w:w="0" w:type="dxa"/>
              <w:right w:w="110" w:type="dxa"/>
            </w:tcMar>
            <w:vAlign w:val="center"/>
          </w:tcPr>
          <w:p w:rsidR="00D27B31" w:rsidRDefault="00DD08B1">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w:t>
            </w:r>
          </w:p>
        </w:tc>
      </w:tr>
    </w:tbl>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赎回费用由赎回基金份额的基金份额持有人承担，在基金份额持有人赎回基金份额时收取。</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基金管理人可以在基金合同约定的范围内调整费率或收费方式，并最迟应于新的费率或收费方式实施日前依照《信息披露办法》的有关规定在规定媒介上公告。</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当本基金发生大额申购或赎回情形时，基金管理人可以采用摆动定价机制，以确保基金估值的公平性。具体处理原则与操作规范遵循相关法律法规以及监管部门、自律规则的规定。基金管理人依照《信息披露办法》的有关规定，将摆动定价机制的具体操作规则在规定媒介上公告。</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管理人可以在不违反法律法规规定及基金合同约定的情形下根据市场情况制定基金促销计划，定期或不定期地开展基金促销活动。在基金促销活动期间，在对存量基金份额持有人利益无实质性不利影响的前提下，按相关监管部门要求履行必要手续后，基金管理人可以适当调低基金销售费率。</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申购份额与赎回金额的计算</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本基金申购份额的计算</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（1）申购A类基金份额</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A类基金份额的申购金额包括申购费用和净申购金额，其中：</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1）申购费用适用比例费率时：</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净申购金额=申购金额/（1＋申购费率）</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申购费用=申购金额-净申购金额</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申购份额=净申购金额/申购当日A类基金份额净值</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2）申购费用适用固定金额时：</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申购费用=固定金额</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净申购金额=申购金额-申购费用</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申购份额=净申购金额/申购当日A类基金份额净值</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（2）申购C类基金份额</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申购份额=申购金额/申购当日C类基金份额净值</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（3）上述申购份额计算结果保留到小数点后2位，小数点2位以后的部分四舍五入，由此误差产生的收益或损失由基金财产承担。</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例1.某投资者（非特定投资群体）投资50,000元申购本基金A类基金份额，其对应的申购费率为1.00%，假设申购当日A类基金份额净值为1.0520元，则可得到的申购份额为：</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净申购金额=50,000/（1+1.00%）=49,504.95元</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申购费用=50,000–49,504.95=495.05元</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申购份额=49,504.95/1.0520=47,057.94份</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即：投资者（非特定投资群体）投资50,000元申购本基金A类基金份额，其对应的申购费率为1.00%，假设申购当日A类基金份额净值为1.0520元，则其可得到47,057.94份A类基金份额。</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例2.某特定投资群体客户通过本公司直销中心投资10万元申购本基金A类基金份额，其申购费金额为500元，假设申购当日A类基金份额净值为1.0150元，则其可得到的申购份额</w:t>
      </w:r>
      <w:r>
        <w:rPr>
          <w:rStyle w:val="custom"/>
          <w:rFonts w:ascii="宋体" w:hAnsi="宋体" w:cs="宋体" w:hint="eastAsia"/>
          <w:kern w:val="0"/>
          <w:sz w:val="24"/>
          <w:szCs w:val="24"/>
        </w:rPr>
        <w:t>为</w:t>
      </w:r>
      <w:r>
        <w:rPr>
          <w:rStyle w:val="custom"/>
          <w:rFonts w:ascii="宋体" w:hAnsi="宋体" w:cs="宋体"/>
          <w:kern w:val="0"/>
          <w:sz w:val="24"/>
          <w:szCs w:val="24"/>
        </w:rPr>
        <w:t>：</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净申购金额=100,000-500=99,500.00元</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申购份额=99,500.00/1.0150=98,029.56份</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即：特定投资群体客户通过本公司直销中心投资10万元申购本基金A类基金份额，对应申购费为500元，假设申购当日的A类基金份额净值为1.0150元，则其可得到98,029.56份A类基金份额。</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例3.某投资者投资50,000元申购本基金C类基金份额，假设申购当日C类基金份额净值为1.0520元，则其可得到的C类基金份额为：</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申购份额=50,000.00/1.0520=47,528.52份</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即：投资者投资50,000元申购本基金C类基金份额，假设申购当日C类基金份额净值为1.0520元，则可得到47,528.52份C类基金份额。</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本基金赎回金额的计算</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本基金赎回采用“份额赎回”的方式，赎回金额以当日该类基金份额净值为基准进行计算，计算公式</w:t>
      </w:r>
      <w:r>
        <w:rPr>
          <w:rStyle w:val="custom"/>
          <w:rFonts w:ascii="宋体" w:hAnsi="宋体" w:cs="宋体" w:hint="eastAsia"/>
          <w:kern w:val="0"/>
          <w:sz w:val="24"/>
          <w:szCs w:val="24"/>
        </w:rPr>
        <w:t>如下</w:t>
      </w:r>
      <w:r>
        <w:rPr>
          <w:rStyle w:val="custom"/>
          <w:rFonts w:ascii="宋体" w:hAnsi="宋体" w:cs="宋体"/>
          <w:kern w:val="0"/>
          <w:sz w:val="24"/>
          <w:szCs w:val="24"/>
        </w:rPr>
        <w:t>：</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赎回总金额=赎回份额×赎回当日该类基金份额净值</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赎回费用=赎回总金额×赎回费率</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净赎回金额=赎回总金额-赎回费用</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上述计算结果均按四舍五入方法，保留到小数点后2位，由此产生的收益或损失由基金财产承担。</w:t>
      </w:r>
    </w:p>
    <w:p w:rsidR="00D27B31" w:rsidRDefault="00DD08B1">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例4.某投资者在持有期限未满7日时赎回本基金10,000份A类基金份额，对应的赎回费率为1.50%，假设赎回当日A类基金份额的基金份额净值是1.0520元，则其可得到的净赎回金额为：</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赎回总金额=10,000×1.0520=10,520.00元</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赎回费用=10,520.00×1.50%=157.80元</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净赎回金额=10,520.00-157.80=10,362.20元</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即：投资者在持有期限未满7日时赎回本基金10,000份A类基金份额，对应的赎回费率为1.50%，假设赎回当日A类基金份额的基金份额净值是1.0520元，则其可得到的净赎回金额为10,362.20元。</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基金份额净值的计算</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各类基金份额净值的计算，均保留到小数点后4位，小数点后第5位四舍五入，由此产生的收益或损失由基金财产承担。T日的各类基金份额净值在当天收市后计算，并根据基金合同的约定公告。遇特殊情况，经履行适当程序，可以适当延迟计算或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本基金A类、C类基金份额将分别计算基金份额净值。</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拒绝或暂停申购的情形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发生下列情况时，基金管理人可拒绝或暂停接受投资人的申购申请：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1、因不可抗力导致基金无法正常运作或者因不可抗力导致基金管理人无法接受投资人的申购申请。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2、发生基金合同规定的暂停基金资产估值情况时，基金管理人可暂停接受投资人的申购申请。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3、因特殊情况（包括但不限于相关证券/期货交易所依法决定临时停市或证券/期货交易所交易时间非正常停市），导致基金管理人无法计算当日基金资产净值或无法进行证券交易。</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4、接受某笔或某些申购申请可能会影响或损害现有基金份额持有人利益时。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5、基金资产规模过大，使基金管理人无法找到合适的投资品种，或其他可能对基金业绩产生负面影响，或发生其他损害现有基金份额持有人利益的情形。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6、当前一估值日基金资产净值50%以上的资产出现无可参考的活跃市场价格且采用估值技术仍导致公允价值存在重大不确定性时，经与基金托管人协商确认后，基金管理人应当暂停接受基金申购申请。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7、申请超过基金管理人设定的基金总规模、单日申购金额上限、单日净申购比例上限、单个投资者累计持有份额上限、单个投资者单日或单笔申购金额上限的。</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8、基金管理人接受某笔或者某些申购申请有可能导致单一投资者（基金管理人、基金管理人高级管理人员或基金经理等人员作为发起资金提供方除外）持有基金份额的比例达到或者超过50%，或者变相规避50%集中度的情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9、基金管理人、基金托管人、基金销售机构、登记机构、支付结算机构等因异常情况导致基金销售系统、基金销售支付结算系统、基金登记结算系统、基金会计系统无法正常运行。</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10、指数编制机构或指数发布机构因异常情况使指数数据无法正常计算、计算错误或发布异常时。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11、法律法规规定或中国证监会认定的其他情形。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发生除上述第4、7、8项暂停申购情形之一且基金管理人决定暂停接受投资人申购申请时，基金管理人应当根据有关规定在规定媒介上刊登暂停申购公告。如果投资人的申购申请被全部或部分拒绝的，被拒绝的申购款项将退还给投资人。</w:t>
      </w:r>
      <w:r>
        <w:rPr>
          <w:rFonts w:ascii="宋体" w:hAnsi="宋体" w:cs="宋体"/>
          <w:kern w:val="0"/>
          <w:sz w:val="24"/>
          <w:szCs w:val="24"/>
        </w:rPr>
        <w:lastRenderedPageBreak/>
        <w:t>在暂停申购的情况消除时，基金管理人应及时恢复申购业务的办理。</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九、</w:t>
      </w:r>
      <w:r>
        <w:rPr>
          <w:rFonts w:ascii="宋体" w:hAnsi="宋体" w:cs="宋体"/>
          <w:kern w:val="0"/>
          <w:sz w:val="24"/>
          <w:szCs w:val="24"/>
        </w:rPr>
        <w:t>暂停赎回或延缓支付赎回款项的情形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发生下列情形时，基金管理人可暂停接受投资人的赎回申请或延缓支付赎回款项：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1、因不可抗力导致基金管理人不能支付赎回款项。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2、发生基金合同规定的暂停基金资产估值情况时，基金管理人可暂停接受投资人的赎回申请或延缓支付赎回款项。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3、因特殊情况（包括但不限于相关证券/期货交易所依法决定临时停市或证券/期货交易所交易时间非正常停市），导致基金管理人无法计算当日基金资产净值或无法进行证券交易。</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4、连续两个或两个以上开放日发生巨额赎回。</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5、发生继续接受赎回申请将损害现有基金份额持有人利益的情形时，基金管理人可暂停接受基金份额持有人的赎回申请。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7、法律法规规定或中国证监会认定的其他情形。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发生上述情形之一且基金管理人决定暂停赎回或延缓支付赎回款项时，基金管理人应在当日报中国证监会备案，已确认的赎回申请，基金管理人应足额支付；如暂时不能足额支付，应将可支付部分按单个账户申请量占申请总量的比例分配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w:t>
      </w:r>
      <w:r>
        <w:rPr>
          <w:rFonts w:ascii="宋体" w:hAnsi="宋体" w:cs="宋体"/>
          <w:kern w:val="0"/>
          <w:sz w:val="24"/>
          <w:szCs w:val="24"/>
        </w:rPr>
        <w:t>巨额赎回的情形及处理方式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1、巨额赎回的认定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若本基金单个开放日内的基金份额净赎回申请（赎回申请份额总数加上基金转换中转出申请份额总数后扣除申购申请份额总数及基金转换中转入申请份额总数后的余额，不同类别份额合并计算）超过前一开放日的基金总份额的10%，</w:t>
      </w:r>
      <w:r>
        <w:rPr>
          <w:rFonts w:ascii="宋体" w:hAnsi="宋体" w:cs="宋体"/>
          <w:kern w:val="0"/>
          <w:sz w:val="24"/>
          <w:szCs w:val="24"/>
        </w:rPr>
        <w:lastRenderedPageBreak/>
        <w:t>即认为是发生了巨额赎回。</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2、巨额赎回的处理方式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当基金出现巨额赎回时，基金管理人可以根据基金当时的资产组合状况决定全额赎回或部分延期赎回。</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（1）全额赎回：当基金管理人认为有能力支付投资人的全部赎回申请时，按正常赎回程序执行。</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延期的赎回申请与下一开放日赎回申请一并处理，无优先权并以下一开放日的该类基金份额净值为基础计算赎回金额，以此类推，直到全部赎回为止。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如投资人在提交赎回申请时未作明确选择，投资人未能赎回部分作自动延期赎回处理。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（3）如发生单个开放日内单个基金份额持有人申请赎回的基金份额超过前一开放日的基金总份额的30%时，本基金管理人可以对该单个基金份额持有人超过30%比例的赎回申请实施延期办理。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对该单个基金份额持有人不超过30%比例的赎回申请，与当日其他赎回申请一起，按上述（1）、（2）方式处理。如下一开放日，该单一基金份额持有人剩余未赎回部分仍旧超出前一开放日基金总份额的30%时，继续按前述规则处理，直至该单一基金份额持有人单个开放日内申请赎回的基金份额占前一开放日基金总份额的比例低于30%。</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基金管理人在履行适当程序后，有权根据当时市场环境调整前述比例及处理规则，并在规定媒介上进行公告。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（4）暂停赎回：连续2个开放日以上（含本数）发生巨额赎回，如基金管</w:t>
      </w:r>
      <w:r>
        <w:rPr>
          <w:rFonts w:ascii="宋体" w:hAnsi="宋体" w:cs="宋体"/>
          <w:kern w:val="0"/>
          <w:sz w:val="24"/>
          <w:szCs w:val="24"/>
        </w:rPr>
        <w:lastRenderedPageBreak/>
        <w:t>理人认为有必要，可暂停接受基金的赎回申请；已经接受的赎回申请可以延缓支付赎回款项，但不得超过20个工作日，并应当在规定媒介上进行公告。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3、巨额赎回的公告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当发生上述巨额赎回并延期办理时，基金管理人应当通过邮寄、传真或者招募说明书规定的其他方式在3个交易日内通知基金份额持有人，说明有关处理方法，并在2日内在规定媒介上刊登公告。</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十一、</w:t>
      </w:r>
      <w:r>
        <w:rPr>
          <w:rFonts w:ascii="宋体" w:hAnsi="宋体" w:cs="宋体"/>
          <w:kern w:val="0"/>
          <w:sz w:val="24"/>
          <w:szCs w:val="24"/>
        </w:rPr>
        <w:t>暂停申购或赎回的公告和重新开放申购或赎回的公告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1、发生上述暂停申购或赎回情况的，基金管理人应在规定期限内在规定媒介上刊登暂停公告。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管理人可以根据暂停申购或赎回的时间，依照《信息披露办法》的有关规定，最迟于重新开放日在规定媒介刊登重新开放申购或赎回的公告；也可以根据实际情况在暂停公告中明确重新开放申购或赎回的时间，届时可不再另行发布重新开放的公告。</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十二、</w:t>
      </w:r>
      <w:r>
        <w:rPr>
          <w:rFonts w:ascii="宋体" w:hAnsi="宋体" w:cs="宋体"/>
          <w:kern w:val="0"/>
          <w:sz w:val="24"/>
          <w:szCs w:val="24"/>
        </w:rPr>
        <w:t>基金转换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十三、</w:t>
      </w:r>
      <w:r>
        <w:rPr>
          <w:rFonts w:ascii="宋体" w:hAnsi="宋体" w:cs="宋体"/>
          <w:kern w:val="0"/>
          <w:sz w:val="24"/>
          <w:szCs w:val="24"/>
        </w:rPr>
        <w:t>基金份额的转让</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法律法规允许且条件具备的情况下，且对基金份额持有人无实质性不利影响的前提下，履行相关程序后，基金管理人可受理基金份额持有人通过中国证监会认可的交易场所或者交易方式进行基金份额转让的申请并由登记机构办理基金份额的过户登记。基金管理人拟受理基金份额转让业务的，将提前公告，基金份额持有人应根据基金管理人公告的业务规则办理基金份额转让业务。</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十四、</w:t>
      </w:r>
      <w:r>
        <w:rPr>
          <w:rFonts w:ascii="宋体" w:hAnsi="宋体" w:cs="宋体"/>
          <w:kern w:val="0"/>
          <w:sz w:val="24"/>
          <w:szCs w:val="24"/>
        </w:rPr>
        <w:t>基金的非交易过户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的非交易过户是指基金登记机构受理继承、捐赠和司法强制执行等情形而产生的非交易过户以及登记机构认可、符合法律法规的其它非交易过户或者按照相关法律法规或国家有权机关要求的方式进行处理的行为。无论在上述何种情况下，接受划转的主体必须是依法可以持有本基金基金份额的投资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继承是指基金份额持有人死亡，其持有的基金份额由其合法的继承人继承；捐赠是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十五、</w:t>
      </w:r>
      <w:r>
        <w:rPr>
          <w:rFonts w:ascii="宋体" w:hAnsi="宋体" w:cs="宋体"/>
          <w:kern w:val="0"/>
          <w:sz w:val="24"/>
          <w:szCs w:val="24"/>
        </w:rPr>
        <w:t>基金的转托管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基金份额持有人可办理已持有基金份额在不同销售机构之间的转托管，基金销售机构可以按照规定的标准收取转托管费。</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十六、</w:t>
      </w:r>
      <w:r>
        <w:rPr>
          <w:rFonts w:ascii="宋体" w:hAnsi="宋体" w:cs="宋体"/>
          <w:kern w:val="0"/>
          <w:sz w:val="24"/>
          <w:szCs w:val="24"/>
        </w:rPr>
        <w:t>定期定额投资计划</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以为投资人办理定期定额投资计划，具体规则由基金管理人在届时发布的公告或更新的招募说明书中确定。投资人在办理定期定额投资计划时可自行约定每期扣款金额，每期扣款金额必须不低于基金管理人在相关公告或更新的招募说明书中所规定的定期定额投资计划最低申购金额。</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十七、</w:t>
      </w:r>
      <w:r>
        <w:rPr>
          <w:rFonts w:ascii="宋体" w:hAnsi="宋体" w:cs="宋体"/>
          <w:kern w:val="0"/>
          <w:sz w:val="24"/>
          <w:szCs w:val="24"/>
        </w:rPr>
        <w:t>基金份额的冻结和解冻</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基金登记机构只受理国家有权机关依法要求的基金份额的冻结与解冻，以及登记机构认可、符合法律法规的其他情况下的冻结与解冻。</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基金份额被冻结的，被冻结部分产生的权益一并冻结，被冻结部分份额仍然参与收益分配。法律法规或监管机构另有规定的除外。</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十八、</w:t>
      </w:r>
      <w:r>
        <w:rPr>
          <w:rFonts w:ascii="宋体" w:hAnsi="宋体" w:cs="宋体"/>
          <w:kern w:val="0"/>
          <w:sz w:val="24"/>
          <w:szCs w:val="24"/>
        </w:rPr>
        <w:t>实施侧袋机制期间本基金的申购与赎回</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本基金实施侧袋机制的，本基金的申购和赎回安排详见本招募说明书“侧袋机制”章节的规定或相关公告。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十九</w:t>
      </w:r>
      <w:r>
        <w:rPr>
          <w:rFonts w:ascii="宋体" w:hAnsi="宋体" w:cs="宋体"/>
          <w:kern w:val="0"/>
          <w:sz w:val="24"/>
          <w:szCs w:val="24"/>
        </w:rPr>
        <w:t>、如相关法律法规允许基金管理人办理基金份额的质押业务或其他基金业务，基金管理人将制定和实施相应的业务规则。</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二十</w:t>
      </w:r>
      <w:r>
        <w:rPr>
          <w:rFonts w:ascii="宋体" w:hAnsi="宋体" w:cs="宋体"/>
          <w:kern w:val="0"/>
          <w:sz w:val="24"/>
          <w:szCs w:val="24"/>
        </w:rPr>
        <w:t>、基金管理人可在法律法规允许的范围内，在不影响基金份额持有人实质利益的前提下，根据市场情况对上述申购和赎回的安排进行补充和调整并提前公告。</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38" w:name="_Toc256000008"/>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基金的投资</w:t>
      </w:r>
      <w:bookmarkEnd w:id="38"/>
    </w:p>
    <w:p w:rsidR="00D27B31" w:rsidRDefault="00D27B31"/>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一、投资目标</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本基金进行被动式指数化投资，紧密跟踪标的指数，追求跟踪偏离度和跟踪误差的最小化。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二、投资范围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主要投资于标的指数成份股、备选成份股。为更好地实现投资目标，基金还可投资于包括国内依法发行上市的股票（含主板、创业板、科创板及其他经中国证监会允许上市的股票、存托凭证）、债券（包括国债、央行票据、金融债、企业债、公司债、中期票据、短期融资券、超短期融资券、次级债券、政府支持债券、政府支持机构债券、地方政府债券、可交换债券、可转换债券（含分离交易可转债）及其他经中国证监会允许投资的债券）、股指期货、国债期货、股票期权、资产支持证券、债券回购、同业存单、银行存款（包含协议存款、定期存款及其他银行存款）、货币市场工具以及法律法规或中国证监会允许基金投资的其他金融工具（但须符合中国证监会相关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本基金可根据法律法规参与融资及转融通证券出借业务。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如法律法规或监管机构以后允许基金投资其他品种，基金管理人在履行适当程序后，可以将其纳入投资范围。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的投资组合比例为：本基金投资于股票的资产不低于基金资产的90%，投资于标的指数成份股、备选成份股的资产的比例不低于非现金基金资产的80%。每个交易日日终在扣除国债期货、股指期货和股票期权合约需缴纳的交易保证金后，本基金保留的现金或投资于到期日在一年以内的政府债券的比例合计不低于基金资产净值的5%。其中现金不包括结算备付金、存出保证金、应收申购款等。</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如法律法规或监管机构变更投资品种的投资比例限制，基金管理人在履行适当程序后，可以调整上述投资品种的投资比例。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本基金采用被动式指数化投资方法，按照标的指数的成份股及其权重来构建基金的股票投资组合，并根据标的指数成份股及其权重的变动进行相应调整。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当成份股发生配股、增发、分红等行为时，或因基金的申购和赎回等对本基</w:t>
      </w:r>
      <w:r>
        <w:rPr>
          <w:rFonts w:ascii="宋体" w:hAnsi="宋体" w:cs="宋体"/>
          <w:kern w:val="0"/>
          <w:sz w:val="24"/>
          <w:szCs w:val="24"/>
        </w:rPr>
        <w:lastRenderedPageBreak/>
        <w:t>金跟踪标的指数的效果可能带来影响时，或因某些特殊情况导致流动性不足时，或其他原因导致无法有效复制和跟踪标的指数时，基金管理人可以对投资组合管理进行适当变通和调整，以更好地实现本基金的投资目标。</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本基金力争日均跟踪偏离度的绝对值不超过0.35%，年跟踪误差不超过4%。</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本基金运作过程中，当标的指数成份股发生明显负面事件面临退市，且指数编制机构暂未作出调整的，基金管理人应当按照基金份额持有人利益优先的原则，履行内部决策程序后及时对相关成份股进行调整。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1、股票投资策略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主要采用完全复制法来构建股票投资组合，并根据标的指数成份股组成及其权重的变动对其进行适时调整，以拟合、跟踪标的指数的收益表现。同时，本基金还将根据法律法规和基金合同中的投资比例限制、申购赎回变动情况、股票发生增发或配股、成份股停牌或因法律法规原因被限制投资、市场流动性不足等情况，对股票投资组合进行实时调整，以力争实现基金净值增长率与标的指数收益率之间的高度正相关和跟踪误差最小化。</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1）定期调整：根据标的指数的调整规则和备选股票的预期，对股票投资组合及时进行调整。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2）不定期调整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A．当标的指数成份股发生增发、配股等股权变动而影响成份股在指数中权重的行为时，本基金将根据各成份股的权重变化及时调整股票投资组合；</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B．根据基金申购赎回情况，调整股票投资组合，以有效跟踪标的指数；</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C．根据法律、法规规定，成份股在标的指数中的权重因其他原因发生相应变化的，本基金可以对投资组合管理进行适当变通和调整，力求降低跟踪误差。</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2、存托凭证的投资策略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本基金投资存托凭证的策略依照上述境内上市交易的股票投资策略执行。</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3、债券投资策略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管理人将基于对国内外宏观经济形势的深入分析、国内外财政政策与货币市场政策等因素对债券市场的影响，进行合理的利率预期，判断债券市场的基本走势，制定久期控制下的资产类属配置策略。在债券投资组合构建和管理过程中，本基金管理人将具体采用期限结构配置、市场转换、信用利差和相对价值</w:t>
      </w:r>
      <w:r>
        <w:rPr>
          <w:rFonts w:ascii="宋体" w:hAnsi="宋体" w:cs="宋体"/>
          <w:kern w:val="0"/>
          <w:sz w:val="24"/>
          <w:szCs w:val="24"/>
        </w:rPr>
        <w:lastRenderedPageBreak/>
        <w:t>判断、信用风险评估、现金管理等管理手段进行个券选择。</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4、可转债及可交换债投资策略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对于本基金中可转债的投资，本基金主要采用可转债相对价值分析策略。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由于可转债兼具债性和股性，其投资风险和收益介于股票和债券之间，可转债相对价值分析策略通过分析不同市场环境下其股性和债性的相对价值，把握可转债的价值走向，选择相应券种，力争获取较高投资收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其次，在进行可转债筛选时，本基金还对可转债自身的基本面要素进行综合分析，这些基本面要素包括股性特征、债性特征、摊薄率、流动性等，形成对基础股票的价值评估。本基金将可转债自身的基本面分析和其基础股票的基本面分析结合在一起，最终确定投资的品种。</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可交换债券与可转换债券的区别在于换股期间用于交换的股票并非自身新发的股票，而是发行人持有的其他上市公司的股票。可交换债券同样具有债券属性和权益属性，其中债券属性与可转换债券相同，即选择持有可交换债券至到期以获取票面价值和票面利息；而对于权益属性的分析则需关注目标公司的股票价值以及发行人作为股东的换股意愿等。本基金将通过对目标公司股票的投资价值、可交换债券的债券价值、以及条款带来的期权价值等综合分析，进行投资决策。</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5、资产支持证券投资策略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将在宏观经济和基本面分析的基础上，对资产支持证券标的资产的质量和构成、利率风险、信用风险、流动性风险和提前偿付风险等进行分析，评估其相对投资价值并作出相应的投资决策，以在控制风险的前提下尽可能的提高本基金的收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资产支持证券的选择上，本基金将采取“自上而下”和“自下而上”相结合的策略。“自上而下”投资策略指在平均久期配置策略与期限结构配置策略基础上，本基金运用数量化或定性分析方法对资产支持证券的利率风险、提前偿付风险、流动性风险溢价、税收溢价等因素进行分析，对收益率走势及其收益和风险进行判断。“自下而上”投资策略指运用数量化或定性分析方法对资产池信用风险进行分析和度量，选择风险与收益相匹配的更优品种进行配置。</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6、股指期货投资策略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本基金投资股指期货将根据风险管理的原则，以套期保值为目的，充分考虑</w:t>
      </w:r>
      <w:r>
        <w:rPr>
          <w:rFonts w:ascii="宋体" w:hAnsi="宋体" w:cs="宋体"/>
          <w:kern w:val="0"/>
          <w:sz w:val="24"/>
          <w:szCs w:val="24"/>
        </w:rPr>
        <w:lastRenderedPageBreak/>
        <w:t>股指期货的收益性、流动性及风险性特征，运用股指期货对冲系统性风险、对冲特殊情况下的流动性风险，如大额申购赎回等，以降低交易成本和组合风险，提高投资效率。</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7、国债期货投资策略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投资国债期货将根据风险管理的原则，以套期保值为目的，结合对宏观经济形势和政策趋势的判断、对债券市场进行定性和定量分析，对国债期货和现货基差、国债期货的流动性、波动水平等指标进行跟踪监控。</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8、股票期权投资策略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本基金投资股票期权将按照风险管理的原则，以套期保值为主要目的，结合投资目标、比例限制、风险收益特征以及法律法规的相关限定和要求，确定参与股票期权交易的投资时机和投资比例。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未来如法律法规或监管机构允许基金投资股指期权或其他期权品种，本基金将在履行适当程序后，纳入投资范围并制定相应投资策略，并在招募说明书中更新公告。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9、融资投资策略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将在充分考虑风险和收益特征的基础上，审慎参与融资交易。本基金将基于对市场行情和组合风险收益特征的分析，确定投资时机、标的证券以及投资比例。若相关融资业务法律法规和监管要求发生变化，本基金将从其最新规定，在符合本基金投资目标的前提下，依照相关法律法规和监管要求制定融资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10、参与转融通证券出借业务策略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为更好地实现投资目标，在加强风险防范并遵守审慎原则的前提下，本基金可根据投资管理的需要参与转融通证券出借业务。本基金将在分析市场环境、投资者类型与结构、基金历史申赎情况、出借证券流动性情况等因素的基础上，合理确定出借证券的范围、期限和比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未来，随着投资工具的发展和丰富，本基金可在不改变投资目标和风险收益特征的前提下，相应调整和更新相关投资策略，并在招募说明书更新中公告。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四、投资限制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1、组合限制</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基金的投资组合应遵循以下限制：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（1）本基金投资于股票的资产不低于基金资产的90%，投资于标的指数成份股、备选成份股的资产的比例不低于非现金基金资产的80%；</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每个交易日日终在扣除国债期货、股指期货和股票期权合约需缴纳的交易保证金后，本基金保留的现金或投资于到期日在一年以内的政府债券的比例合计不低于基金资产净值的5%。其中现金不包括结算备付金、存出保证金和应收申购款等；</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（3）本基金投资于同一原始权益人的各类资产支持证券的比例，不得超过基金资产净值的10%；</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（4）本基金持有的全部资产支持证券，其市值不得超过基金资产净值的20%；</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（5）本基金持有的同一（指同一信用级别）资产支持证券的比例，不得超过该资产支持证券规模的10%；</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（6）本基金管理人管理的全部基金投资于同一原始权益人的各类资产支持证券，不得超过其各类资产支持证券合计规模的10%；</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（7）本基金应投资于信用级别评级为BBB以上（含BBB）的资产支持证券。基金持有资产支持证券期间，如果其信用等级下降、不再符合投资标准，应在评级报告发布之日起3个月内予以全部卖出；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（8）基金财产参与股票发行申购，本基金所申报的金额不超过本基金的总资产，本基金所申报的股票数量不超过拟发行股票公司本次发行股票的总量；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本基金主动投资于流动性受限资产的市值合计不得超过本基金资产净值的15%；因证券市场波动、上市公司股票停牌、基金规模变动等基金管理人之外的因素致使基金不符合该比例限制的，基金管理人不得主动新增流动性受限资产的投资；</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（10）本基金与私募类证券资管产品及中国证监会认定的其他主体为交易对手开展逆回购交易的，可接受质押品的资质要求应当与基金合同约定的投资范围保持一致；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（11）本基金资产总值不超过基金资产净值的140%；</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（12）本基金参与股指期货和国债期货交易的，应当遵守下列要求：</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1）在任何交易日日终，持有的买入国债期货和股指期货合约价值与有价证券市值之和，不得超过基金资产净值的100%；其中，有价证券指股票、债券（不</w:t>
      </w:r>
      <w:r>
        <w:rPr>
          <w:rFonts w:ascii="宋体" w:hAnsi="宋体" w:cs="宋体"/>
          <w:kern w:val="0"/>
          <w:sz w:val="24"/>
          <w:szCs w:val="24"/>
        </w:rPr>
        <w:lastRenderedPageBreak/>
        <w:t>含到期日在一年以内的政府债券）、资产支持证券、买入返售金融资产（不含质押式回购）等；</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本基金在任何交易日日终，持有的买入国债期货合约价值，不得超过基金资产净值的15%；在任何交易日日终，持有的卖出国债期货合约价值不得超过基金持有的债券总市值的30%；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13）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（14）本基金参与融资的，每个交易日日终，本基金持有的融资买入股票与其他有价证券市值之和，不得超过基金资产净值的95%；</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15）本基金参与转融通证券出借业务的，应当符合下列要求：最近6个月内日均基金资产净值不得低于2亿元；参与转融通证券出借业务的资产不得超过基金资产净值的30%，其中出借期限在10个交易日以上的出借证券归为流动性受限资产；参与转融通证券出借业务的单只证券不得超过基金持有该证券总量的50%；证券出借的平均剩余期限不得超过30天，平均剩余期限按照市值加权平均计算；</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（16）本基金投资存托凭证的比例限制依照境内上市交易的股票执行；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（17）法律法规及中国证监会规定的和《基金合同》约定的其他投资限制。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除上述第（2）、（7）、（9）、（10）、（15）项情形之外，因证券/期货市场波动、证券发行人合并、标的指数成份股调整、标的指数成份股流动性限制、基金规模变动等基金管理人之外的因素致使基金投资比例不符合上述规定投资比例的，基金管理人应当在10个交易日内进行调整，但中国证监会规定的特殊情形除外。因证券市场波动、证券发行人合并、基金规模变动等基金管理人之外的因素致使基金投资不符合第（15）项规定的，基金管理人不得新增出借业务。法律法规另有规定的从其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法律法规或监管部门取消或调整上述限制，如适用于本基金，基金管理人在履行适当程序后，则本基金投资不再受相关限制或以调整以后的规定为准。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2、禁止行为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为维护基金份额持有人的合法权益，基金财产不得用于下列投资或者活动：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（1）承销证券；</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（2）违反规定向他人贷款或者提供担保；</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（3）从事承担无限责任的投资；</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（4）买卖其他基金份额，但是法律法规或中国证监会另有规定的除外；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（5）向其基金管理人、基金托管人出资；</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（6）从事内幕交易、操纵证券交易价格及其他不正当的证券交易活动；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（7）法律、行政法规和中国证监会规定禁止的其他活动。</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法律法规或监管部门取消或调整上述限制，如适用于本基金，基金管理人在履行适当程序后，则本基金投资不再受相关限制或以调整以后的规定为准。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五、标的指数和业绩比较基准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1、标的指数</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本基金的标的指数为上证科创板200指数。</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自指数编制机构停止标的指数的编制及发布至解决方案确定期间，基金管理人应按照指数编制机构提供的最近一个交易日的指数信息遵循基金份额持有人利益优先原则维持基金投资运作。法律法规或监管机构另有规定的，从其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2、业绩比较基准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本基金的业绩比较基准为：上证科创板200指数收益率×95%+银行人民币活期存款利率（税后）×5%</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如本基金标的指数变化，则业绩比较基准中的标的指数将相应调整。业绩比较基准的调整根据标的指数的变更程序执行。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六、风险收益特征</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本基金属于股票型基金，其预期的风险与收益高于混合型基金、债券型基金与货币市场基金。同时本基金为指数基金，具有与标的指数相似的风险收益特征。</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七、基金管理人代表基金行使股东或债权人权利的处理原则及方法</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1、基金管理人按照国家有关规定代表基金独立行使股东或债权人权利，保护基金份额持有人的利益；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2、不谋求对上市公司的控股；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3、有利于基金财产的安全与增值；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4、不通过关联交易为自身、雇员、授权代理人或任何存在利害关系的第三人牟取任何不当利益。</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lastRenderedPageBreak/>
        <w:t>八、侧袋机制的实施和投资运作安排</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侧袋机制实施期间，本部分约定的投资组合比例、投资策略、组合限制、业绩比较基准、风险收益特征等约定仅适用于主袋账户。</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侧袋账户的实施条件、实施程序、运作安排、投资安排、特定资产的处置变现和支付等对投资者权益有重大影响的事项详见本招募说明书“侧袋机制”章节的规定。</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39" w:name="_Toc25600000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基金的财产</w:t>
      </w:r>
      <w:bookmarkEnd w:id="39"/>
    </w:p>
    <w:p w:rsidR="00D27B31" w:rsidRDefault="00D27B31"/>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一、基金资产总值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基金资产总值是指购买的各类有价证券及票据价值、银行存款本息和基金应收的申购基金款以及其他投资所形成的价值总和。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二、基金资产净值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基金资产净值是指基金资产总值减去基金负债后的价值。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三、基金财产的账户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四、基金财产的保管和处分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0" w:name="_Toc25600001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基金资产估值</w:t>
      </w:r>
      <w:bookmarkEnd w:id="40"/>
    </w:p>
    <w:p w:rsidR="00D27B31" w:rsidRDefault="00D27B31"/>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一、估值日</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本基金的估值日为本基金相关的证券交易场所的交易日以及国家法律法规规定需要对外披露基金净值的非交易日。</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二、估值对象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基金所拥有的股票、债券、资产支持证券、股指期货合约、国债期货合约、股票期权合约和银行存款本息、应收款项、其它投资等资产及负债。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三、估值原则</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基金管理人在确定相关金融资产和金融负债的公允价值时，应符合《企业会计准则》、监管部门有关规定。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（三）如经济环境发生重大变化或证券发行人发生影响证券价格的重大事件，使潜在估值调整对前一估值日的基金资产净值的影响在0.25%以上的，应对估值进行调整并确定公允价值。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四、估值方法</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1、证券交易所上市的有价证券的估值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（3）交易所上市不存在活跃市场的有价证券，采用估值技术确定公允价值。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2、处于未上市期间的有价证券应区分如下情况处理：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（1）送股、转增股、配股和公开增发的新股，按估值日在证券交易所挂牌的同一股票的估值方法估值；该日无交易的，以最近一日的市价（收盘价）估值；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（2）首次公开发行未上市的股票，采用估值技术确定公允价值，在估值技术难以可靠计量公允价值的情况下，按成本估值；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3、以公允价值计量的固定收益品种</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（1）对于已上市或已挂牌转让的不含权固定收益品种，选取第三方估值基准服务机构提供的相应品种当日的估值全价；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（2）对于已上市或已挂牌转让的含权固定收益品种，选取第三方估值基准服务机构提供的相应品种当日的唯一估值全价或推荐估值全价；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w:t>
      </w:r>
      <w:r>
        <w:rPr>
          <w:rFonts w:ascii="宋体" w:hAnsi="宋体" w:cs="宋体"/>
          <w:kern w:val="0"/>
          <w:sz w:val="24"/>
          <w:szCs w:val="24"/>
        </w:rPr>
        <w:lastRenderedPageBreak/>
        <w:t>回售登记期截止日（含当日）后未行使回售权的按照长待偿期所对应的价格进行估值；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（4）对于未上市或未挂牌转让且不存在活跃市场的固定收益品种，应采用在当前情况下适用并且有足够可利用数据和其他信息支持的估值技术确定其公允价值。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5、同一证券同时在两个或两个以上市场交易的，按证券所处的市场分别估值。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6、本基金投资股指期货合约，一般以股指期货估值日的结算价进行估值，估值当日无结算价的，且最近交易日后经济环境未发生重大变化的，采用最近交易日结算价估值。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7、本基金投资股票期权合约，一般以股票期权估值日的结算价进行估值，估值当日无结算价的，且最近交易日后经济环境未发生重大变化的，采用最近交易日结算价估值。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8、本基金投资国债期货合约，一般以国债期货估值日的结算价进行估值，估值当日无结算价的，且最近交易日后经济环境未发生重大变化的，采用最近交易日结算价估值。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9、本基金参与融资和转融通证券出借业务的，按照相关法律法规和行业协会的相关规定进行估值。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10、本基金投资存托凭证的估值核算，依照境内上市交易的股票进行。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11、如有确凿证据表明按上述方法进行估值不能客观反映其公允价值的，基金管理人可根据具体情况与基金托管人商定后，按最能反映公允价值的价格估值。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12、当发生大额申购或赎回情形时，基金管理人可以采用摆动定价机制，以确保基金估值的公平性。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13、相关法律法规以及监管部门有强制规定的，从其规定。如有新增事项，</w:t>
      </w:r>
      <w:r>
        <w:rPr>
          <w:rFonts w:ascii="宋体" w:hAnsi="宋体" w:cs="宋体"/>
          <w:kern w:val="0"/>
          <w:sz w:val="24"/>
          <w:szCs w:val="24"/>
        </w:rPr>
        <w:lastRenderedPageBreak/>
        <w:t>按国家最新规定估值。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由此给基金份额持有人和基金造成的损失以及因该交易日基金资产净值计算顺延错误而引起的损失，由基金管理人负责赔付，基金托管人不负责赔付。</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五、估值程序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各类基金份额净值是按照每个估值日闭市后，各类基金资产净值除以当日该类基金份额的余额数量计算，均精确到0.0001元，小数点后第5位四舍五入，由此产生的误差计入基金财产。基金管理人可以设立大额赎回情形下的净值精度应急调整机制。国家另有规定的，从其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基金管理人每个估值日计算基金资产净值及各类基金份额净值，并按规定公告。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基金管理人应每个估值日对基金资产估值。但基金管理人根据法律法规或基金合同的规定暂停估值时除外。基金管理人每个估值日对基金资产估值后，将各类基金份额净值结果发送基金托管人，经基金托管人复核无误后，由基金管理人按约定对外公布。</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六、估值错误的处理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基金管理人和基金托管人将采取必要、适当、合理的措施确保基金资产估值的准确性、及时性。当某类基金份额净值小数点后4位以内（含第4位）发生估值错误时，视为该类基金份额净值错误。</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基金合同的当事人应按照以下约定处理：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1、估值错误类型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本基金运作过程中，如果由于基金管理人或基金托管人、或登记机构、或销售机构、或投资人自身的过错造成估值错误，导致其他当事人遭受损失的，过错</w:t>
      </w:r>
      <w:r>
        <w:rPr>
          <w:rFonts w:ascii="宋体" w:hAnsi="宋体" w:cs="宋体"/>
          <w:kern w:val="0"/>
          <w:sz w:val="24"/>
          <w:szCs w:val="24"/>
        </w:rPr>
        <w:lastRenderedPageBreak/>
        <w:t>的责任人应当对由于该估值错误遭受损失当事人（“受损方”）的直接损失按下述“估值错误处理原则”给予赔偿，承担赔偿责任。</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上述估值错误的主要类型包括但不限于：资料申报差错、数据传输差错、数据计算差错、系统故障差错、下达指令差错等。</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2、估值错误处理原则</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（2）估值错误的责任方对有关当事人的直接损失负责，不对间接损失负责，并且仅对估值错误的有关直接当事人负责，不对第三方负责。</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（4）估值错误调整采用尽量恢复至假设未发生估值错误的正确情形的方式。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3、估值错误处理程序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估值错误被发现后，有关的当事人应当及时进行处理，处理的程序如下：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（1）查明估值错误发生的原因，列明所有的当事人，并根据估值错误发生的原因确定估值错误的责任方；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（2）根据估值错误处理原则或当事人协商的方法对因估值错误造成的损失进行评估；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（3）根据估值错误处理原则或当事人协商的方法由估值错误的责任方进行</w:t>
      </w:r>
      <w:r>
        <w:rPr>
          <w:rFonts w:ascii="宋体" w:hAnsi="宋体" w:cs="宋体"/>
          <w:kern w:val="0"/>
          <w:sz w:val="24"/>
          <w:szCs w:val="24"/>
        </w:rPr>
        <w:lastRenderedPageBreak/>
        <w:t>更正和赔偿损失；</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（4）根据估值错误处理的方法，需要修改基金登记机构交易数据的，由基金登记机构进行更正，并就估值错误的更正向有关当事人进行确认。</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4、基金份额净值估值错误处理的方法如下：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（1）某类基金份额净值计算出现错误时，基金管理人应当立即予以纠正，通报基金托管人，并采取合理的措施防止损失进一步扩大。</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（2）错误偏差达到该类基金份额净值的0.25%时，基金管理人应当通报基金托管人并报中国证监会备案；错误偏差达到该类基金份额净值的0.5%时，基金管理人应当公告，并报中国证监会备案。</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前述内容如法律法规或监管机构另有规定的，从其规定处理。如果行业另有通行做法，在不违反法律法规且不损害投资者利益的前提下，基金管理人和基金托管人应本着平等和保护基金份额持有人利益的原则进行协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七、暂停估值的情形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1、基金投资所涉及的证券/期货交易市场遇法定节假日或因其他原因暂停营业时；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2、因不可抗力或其他情形致使基金管理人、基金托管人无法准确评估基金资产价值时；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3、当特定资产占前一估值日基金资产净值50%以上的，经与基金托管人协商确认后，基金管理人应当暂停估值时；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4、法律法规规定、中国证监会和基金合同认定的其它情形。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八、基金净值的确认</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用于基金信息披露的基金资产净值和各类基金份额净值由基金管理人负责计算，基金托管人负责进行复核。基金管理人应于每个估值日交易结束后计算当日的基金资产净值和各类基金份额净值并发送给基金托管人。基金托管人对净值计算结果复核确认后发送给基金管理人，由基金管理人对基金净值按约定予以公布。</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九、实施侧袋机制期间的基金资产估值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本基金实施侧袋机制的，应根据本部分的约定对主袋账户资产进行估值并披露主袋账户的基金净值信息，暂停披露侧袋账户份额净值。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十、特殊情形的处理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1、基金管理人、基金托管人按本部分有关估值方法约定的第11项进行估值时，所造成的误差不作为基金资产估值错误处理。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由于证券/期货交易所、登记结算公司、指数编制机构等第三方机构发送的数据错误，有关会计制度变化或由于其他不可抗力等原因，基金管理人和基金托管人虽然已经采取必要、适当、合理的措施进行检查，但未能发现错误的，由此造成的基金资产估值错误，基金管理人和基金托管人免除赔偿责任。但基金管理人和基金托管人应当积极采取必要的措施减轻或消除由此造成的影响。</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1" w:name="_Toc256000011"/>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基金的收益与分配</w:t>
      </w:r>
      <w:bookmarkEnd w:id="41"/>
    </w:p>
    <w:p w:rsidR="00D27B31" w:rsidRDefault="00D27B31"/>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一、基金利润的构成</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基金利润指基金利息收入、投资收益、公允价值变动收益和其他收入扣除相关费用后的余额，基金已实现收益指基金利润减去公允价值变动收益后的余额。</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二、基金可供分配利润</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基金可供分配利润指截至收益分配基准日基金未分配利润与未分配利润中已实现收益的孰低数。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三、基金收益分配原则</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1、在符合有关基金分红条件的前提下，本基金可进行基金收益分配，若《基金合同》生效不满3个月可不进行收益分配；</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本基金收益分配方式分两种：现金分红与红利再投资，投资者可选择现金红利或将现金红利自动转为相应类别的基金份额进行再投资，基金份额持有人可对A类、C类基金份额分别选择不同的分红方式；若投资者不选择，本基金默认的收益分配方式是现金分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3、基金管理人可对基金相对业绩比较基准的超额收益率和/或基金的可供分配利润进行评价，当收益评价日核定的超额收益率或者基金可供分配利润金额大于零时，基金管理人可进行收益分配；</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各类基金份额净值不能低于面值，即基金收益分配基准日的各类基金份额净值减去每单位该类基金份额收益分配金额后不能低于面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5、同一类别内每一基金份额享有同等分配权；</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6、法律法规或监管机构另有规定的，从其规定。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在不违反法律法规且对基金份额持有人利益无实质性不利影响的前提下，基金管理人可对基金收益分配原则进行调整，无需召开基金份额持有人大会。</w:t>
      </w:r>
    </w:p>
    <w:p w:rsidR="00D27B31" w:rsidRDefault="00DD08B1">
      <w:pPr>
        <w:pStyle w:val="div"/>
        <w:spacing w:line="360" w:lineRule="auto"/>
        <w:ind w:firstLine="480"/>
        <w:jc w:val="left"/>
        <w:rPr>
          <w:rFonts w:eastAsia="Times New Roman"/>
          <w:kern w:val="0"/>
          <w:sz w:val="24"/>
          <w:szCs w:val="24"/>
        </w:rPr>
      </w:pPr>
      <w:r>
        <w:rPr>
          <w:rFonts w:ascii="宋体" w:hAnsi="宋体" w:cs="宋体"/>
          <w:kern w:val="0"/>
          <w:sz w:val="24"/>
          <w:szCs w:val="24"/>
        </w:rPr>
        <w:t>四、基金相对业绩比较基准的超额收益率计算</w:t>
      </w:r>
    </w:p>
    <w:p w:rsidR="00D27B31" w:rsidRDefault="00DD08B1">
      <w:pPr>
        <w:pStyle w:val="div"/>
        <w:spacing w:line="360" w:lineRule="auto"/>
        <w:ind w:firstLine="480"/>
        <w:jc w:val="left"/>
        <w:rPr>
          <w:rFonts w:eastAsia="Times New Roman"/>
          <w:kern w:val="0"/>
          <w:sz w:val="24"/>
          <w:szCs w:val="24"/>
        </w:rPr>
      </w:pPr>
      <w:r>
        <w:rPr>
          <w:rFonts w:ascii="宋体" w:hAnsi="宋体" w:cs="宋体"/>
          <w:kern w:val="0"/>
          <w:sz w:val="24"/>
          <w:szCs w:val="24"/>
        </w:rPr>
        <w:t>在收益评价日，基金管理人计算基金份额净值增长率、业绩比较基准同期增</w:t>
      </w:r>
      <w:r>
        <w:rPr>
          <w:rFonts w:ascii="宋体" w:hAnsi="宋体" w:cs="宋体"/>
          <w:kern w:val="0"/>
          <w:sz w:val="24"/>
          <w:szCs w:val="24"/>
        </w:rPr>
        <w:lastRenderedPageBreak/>
        <w:t>长率：</w:t>
      </w:r>
    </w:p>
    <w:p w:rsidR="00D27B31" w:rsidRDefault="00DD08B1">
      <w:pPr>
        <w:pStyle w:val="div"/>
        <w:spacing w:line="360" w:lineRule="auto"/>
        <w:ind w:firstLine="480"/>
        <w:jc w:val="left"/>
        <w:rPr>
          <w:rFonts w:eastAsia="Times New Roman"/>
          <w:kern w:val="0"/>
          <w:sz w:val="24"/>
          <w:szCs w:val="24"/>
        </w:rPr>
      </w:pPr>
      <w:r>
        <w:rPr>
          <w:rFonts w:ascii="宋体" w:hAnsi="宋体" w:cs="宋体"/>
          <w:kern w:val="0"/>
          <w:sz w:val="24"/>
          <w:szCs w:val="24"/>
        </w:rPr>
        <w:t>基金份额净值增长率为收益评价日基金份额净值与基金合同生效日所对应的第3个月月度对日的基金份额净值之比减去1后乘以100%（如基金合同生效满3个月后基金份额发生折算，则采用剔除折算因素的基金份额净值；若该月度对日为非工作日或不存在对应日期的，则顺延至下一个工作日，下同）；</w:t>
      </w:r>
    </w:p>
    <w:p w:rsidR="00D27B31" w:rsidRDefault="00DD08B1">
      <w:pPr>
        <w:pStyle w:val="div"/>
        <w:spacing w:line="360" w:lineRule="auto"/>
        <w:ind w:firstLine="480"/>
        <w:jc w:val="left"/>
        <w:rPr>
          <w:rFonts w:eastAsia="Times New Roman"/>
          <w:kern w:val="0"/>
          <w:sz w:val="24"/>
          <w:szCs w:val="24"/>
        </w:rPr>
      </w:pPr>
      <w:r>
        <w:rPr>
          <w:rFonts w:ascii="宋体" w:hAnsi="宋体" w:cs="宋体"/>
          <w:kern w:val="0"/>
          <w:sz w:val="24"/>
          <w:szCs w:val="24"/>
        </w:rPr>
        <w:t>业绩比较基准同期增长率为收益评价日业绩比较基准数值与基金合同生效日所对应的第3个月月度对日业绩比较基准数值之比减去1后乘以100%；</w:t>
      </w:r>
    </w:p>
    <w:p w:rsidR="00D27B31" w:rsidRDefault="00DD08B1">
      <w:pPr>
        <w:pStyle w:val="div"/>
        <w:spacing w:line="360" w:lineRule="auto"/>
        <w:ind w:firstLine="480"/>
        <w:jc w:val="left"/>
        <w:rPr>
          <w:rFonts w:eastAsia="Times New Roman"/>
          <w:kern w:val="0"/>
          <w:sz w:val="24"/>
          <w:szCs w:val="24"/>
        </w:rPr>
      </w:pPr>
      <w:r>
        <w:rPr>
          <w:rFonts w:ascii="宋体" w:hAnsi="宋体" w:cs="宋体"/>
          <w:kern w:val="0"/>
          <w:sz w:val="24"/>
          <w:szCs w:val="24"/>
        </w:rPr>
        <w:t>收益评价日的超额收益率为本基金基金份额净值增长率减去业绩比较基准同期增长率。</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五、收益分配方案</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基金收益分配方案中应载明截至收益分配基准日的可供分配利润、基金收益分配对象、分配时间、分配数额及比例、分配方式等内容。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六、收益分配方案的确定、公告与实施</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本基金收益分配方案由基金管理人拟定，并由基金托管人复核，在2日内在规定媒介公告。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七、基金收益分配中发生的费用</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rsidR="00D27B31" w:rsidRDefault="00674C27">
      <w:pPr>
        <w:pStyle w:val="div"/>
        <w:spacing w:line="360" w:lineRule="auto"/>
        <w:ind w:firstLine="420"/>
        <w:jc w:val="left"/>
        <w:rPr>
          <w:rFonts w:eastAsia="Times New Roman"/>
          <w:kern w:val="0"/>
          <w:sz w:val="24"/>
          <w:szCs w:val="24"/>
        </w:rPr>
      </w:pPr>
      <w:r>
        <w:rPr>
          <w:rFonts w:ascii="宋体" w:hAnsi="宋体" w:cs="宋体" w:hint="eastAsia"/>
          <w:kern w:val="0"/>
          <w:sz w:val="24"/>
          <w:szCs w:val="24"/>
        </w:rPr>
        <w:t>八</w:t>
      </w:r>
      <w:r w:rsidR="00DD08B1">
        <w:rPr>
          <w:rFonts w:ascii="宋体" w:hAnsi="宋体" w:cs="宋体"/>
          <w:kern w:val="0"/>
          <w:sz w:val="24"/>
          <w:szCs w:val="24"/>
        </w:rPr>
        <w:t>、实施侧袋机制期间的收益分配</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本基金实施侧袋机制的，侧袋账户不进行收益分配，详见本招募说明书“侧袋机制”章节的规定。</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2" w:name="_Toc256000012"/>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基金费用与税收</w:t>
      </w:r>
      <w:bookmarkEnd w:id="42"/>
    </w:p>
    <w:p w:rsidR="00D27B31" w:rsidRDefault="00D27B31"/>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一、基金费用的种类</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1、基金管理人的管理费；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2、基金托管人的托管费；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3、销售服务费；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4、《基金合同》生效后与基金相关的信息披露费用（但法律法规、中国证监会另有规定的除外）；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5、《基金合同》生效后与基金相关的会计师费、律师费、仲裁费和诉讼费；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6、基金份额持有人大会费用；</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7、基金的证券、期货等交易费用；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8、基金的银行汇划费用；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9、基金的账户开户费用、账户维护费用；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10、按照国家有关规定和《基金合同》约定，可以在基金财产中列支的其他费用。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二、基金费用计提方法、计提标准和支付方式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1、基金管理人的管理费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本基金的管理费按前一日基金资产净值的0.50%年费率计提。管理费的计算方法如下：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H＝E×0.50%÷当年天数</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H为每日应计提的基金管理费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E为前一日的基金资产净值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费每日计提，逐日累计至每月月末，按月支付。由基金托管人根据与基金管理人核对一致的财务数据，基金托管人按照双方约定的时间，自动在次月按照指定的账户路径从基金财产中一次性支付，基金管理人无需再出具划款指令，支付时间及收款账户信息由基金管理人通过书面形式另行通知基金托管人。若遇法定节假日、公休假等，支付日期顺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2、基金托管人的托管费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本基金的托管费按前一日基金资产净值的0.10%的年费率计提。托管费的计</w:t>
      </w:r>
      <w:r>
        <w:rPr>
          <w:rFonts w:ascii="宋体" w:hAnsi="宋体" w:cs="宋体"/>
          <w:kern w:val="0"/>
          <w:sz w:val="24"/>
          <w:szCs w:val="24"/>
        </w:rPr>
        <w:lastRenderedPageBreak/>
        <w:t>算方法如下：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H＝E×0.10%÷当年天数</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H为每日应计提的基金托管费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E为前一日的基金资产净值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托管费每日计提，逐日累计至每月月末，按月支付。由基金托管人根据与基金管理人核对一致的财务数据，基金托管人按照双方约定的时间，自动在次月按照指定的账户路径从基金财产中一次性支取，基金管理人无需再出具划款指令，支付时间及收款账户信息由基金托管人通过书面形式另行通知基金管理人。若遇法定节假日、公休日等，支付日期顺延。</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3、销售服务费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本基金A类基金份额不收取销售服务费，C类基金份额的销售服务费年费率为0.20%。</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计算方法如下：</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H＝E×0.20%÷当年天数</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H为C类基金份额每日应计提的销售服务费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E为C类基金份额前一日基金资产净值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销售服务费每日计提，逐日累计至每月月末，按月支付，由基金托管人根据与基金管理人核对一致的财务数据，基金托管人按照双方约定的时间，自动在次月按照指定的账户路径从基金财产中一次性支付，基金管理人无需再出具划款指令，支付时间及收款账户信息由基金管理人通过书面形式另行通知基金托管人。销售服务费由登记机构代收，登记机构收到后按相关合同规定支付给基金销售机构。若遇法定节假日、公休假等，支付日期顺延。</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上述“一、基金费用的种类”中第4－10项费用，根据有关法规及相应协议规定，按费用实际支出金额列入当期费用，由基金托管人从基金财产中支付。</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三、不列入基金费用的项目</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下列费用不列入基金费用：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1、基金管理人和基金托管人因未履行或未完全履行义务导致的费用支出或基金财产的损失；</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2、基金管理人和基金托管人处理与基金运作无关的事项发生的费用；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3、《基金合同》生效前的相关费用；</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4、基金的指数许可使用费（该费用由基金管理人承担）；</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5、其他根据相关法律法规及中国证监会的有关规定不得列入基金费用的项目。</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四、实施侧袋机制期间的基金费用</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本基金实施侧袋机制的，与侧袋账户有关的费用可以从侧袋账户中列支，但应待侧袋账户资产变现后方可列支，有关费用可酌情收取或减免，但不得收取管理费，详见本招募说明书“侧袋机制”章节的规定。</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五、基金税收</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3" w:name="_Toc256000013"/>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基金的会计与审计</w:t>
      </w:r>
      <w:bookmarkEnd w:id="43"/>
    </w:p>
    <w:p w:rsidR="00D27B31" w:rsidRDefault="00D27B31"/>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一、基金会计政策</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1、基金管理人为本基金的基金会计责任方；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2、基金的会计年度为公历年度的1月1日至12月31日；基金首次募集的会计年度按如下原则：如果《基金合同》生效少于2个月，可以并入下一个会计年度披露；</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3、基金核算以人民币为记账本位币，以人民币元为记账单位；</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4、会计制度执行国家有关会计制度；</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5、本基金独立建账、独立核算；</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6、基金管理人及基金托管人各自保留完整的会计账目、凭证并进行日常的会计核算，按照有关规定编制基金会计报表；</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7、基金托管人每月与基金管理人就基金的会计核算、报表编制等进行核对并以书面方式确认。</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二、基金的年度审计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1、基金管理人聘请与基金管理人、基金托管人相互独立的符合《中华人民共和国证券法》规定的会计师事务所及其注册会计师对本基金的年度财务报表进行审计。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2、会计师事务所更换经办注册会计师，应事先征得基金管理人同意。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3、基金管理人认为有充足理由更换会计师事务所，须通报基金托管人。更换会计师事务所需在2日内在规定媒介公告。</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4" w:name="_Toc256000014"/>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基金的信息披露</w:t>
      </w:r>
      <w:bookmarkEnd w:id="44"/>
    </w:p>
    <w:p w:rsidR="00D27B31" w:rsidRDefault="00D27B31"/>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一、本基金的信息披露应符合《基金法》、《运作办法》、《信息披露办法》、《流动性风险管理规定》、《基金合同》及其他有关规定。相关法律法规关于信息披露的规定发生变化时，本基金从其最新规定。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二、信息披露义务人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本基金信息披露义务人包括基金管理人、基金托管人、召集基金份额持有人大会的基金份额持有人等法律法规和中国证监会规定的自然人、法人和非法人组织。</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本基金信息披露义务人以保护基金份额持有人利益为根本出发点，按照法律法规和中国证监会的规定披露基金信息，并保证所披露信息的真实性、准确性、完整性、及时性、简明性和易得性。</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信息披露义务人应当在中国证监会规定时间内，将应予披露的基金信息通过符合中国证监会规定条件的全国性报刊（以下简称“规定报刊”）和《信息披露办法》规定的互联网网站（以下简称“规定网站”）等规定媒介披露，并保证基金投资者能够按照《基金合同》约定的时间和方式查阅或者复制公开披露的信息资料。</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三、本基金信息披露义务人承诺公开披露的基金信息，不得有下列行为：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1、虚假记载、误导性陈述或者重大遗漏；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2、对证券投资业绩进行预测；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3、违规承诺收益或者承担损失；</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4、诋毁其他基金管理人、基金托管人或者基金销售机构；</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5、登载任何自然人、法人和非法人组织的祝贺性、恭维性或推荐性的文字；</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6、中国证监会禁止的其他行为。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四、本基金公开披露的信息应采用中文文本。如同时采用外文文本的，基金信息披露义务人应保证不同文本的内容一致。不同文本之间发生歧义的，以中文文本为准。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本基金公开披露的信息采用阿拉伯数字；除特别说明外，货币单位为人民币元。</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五、公开披露的基金信息</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公开披露的基金信息包括：</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（一）基金招募说明书、《基金合同》、基金托管协议、基金产品资料概要</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1、《基金合同》是界定《基金合同》当事人的各项权利、义务关系，明确基金份额持有人大会召开的规则及具体程序，说明基金产品的特性等涉及基金投资者重大利益的事项的法律文件。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3、基金托管协议是界定基金托管人和基金管理人在基金财产保管及基金运作监督等活动中的权利、义务关系的法律文件。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募集申请经中国证监会注册后，基金管理人在基金份额发售的3日前，将基金份额发售公告、基金招募说明书提示性公告、《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（二）基金份额发售公告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基金管理人应当就基金份额发售的具体事宜编制基金份额发售公告，并在披露招募说明书的当日登载于规定媒介上。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（三）《基金合同》生效公告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基金管理人应当在收到中国证监会确认文件的次日在规定媒介上登载《基金合同》生效公告。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《基金合同》生效公告中应当说明基金募集情况及基金管理人、基金管理人高级管理人员、基金经理等人员以及基金管理人股东持有的基金份额、承诺持有的期限等情况。</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（四）基金净值信息</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后，在开始办理基金份额申购或者赎回前，基金管理人应当至少每周在规定网站披露一次各类基金份额净值和基金份额累计净值。在开始办理基金份额申购或者赎回后，基金管理人应当在不晚于每个开放日的次日，通过规定网站、基金销售机构网站或者营业网点，披露开放日的各类基金份额净值和基金份额累计净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基金管理人应当在不晚于半年度和年度最后一日的次日，在规定网站披露半年度和年度最后一日的各类基金份额净值和基金份额累计净值。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（五）基金份额申购、赎回价格</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（六）基金定期报告，包括基金年度报告、基金中期报告和基金季度报告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基金管理人应当在上半年结束之日起两个月内，编制完成基金中期报告，将中期报告登载在规定网站上，并将中期报告提示性公告登载在规定报刊上。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基金管理人应当在季度结束之日起15个工作日内，编制完成基金季度报告，将季度报告登载在规定网站上，并将季度报告提示性公告登载在规定报刊上。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《基金合同》生效不足2个月的，基金管理人可以不编制当期季度报告、中期报告或者年度报告。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基金管理人应当在基金年度报告和中期报告中披露基金组合资产情况及其流动性风险分析等。</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基金管理人应在年度报告、中期报告、季度报告中分别披露基金管理人、基金管理人高级管理人员、基金经理等人员以及基金管理人股东持有基金的份额、期限及期间的变动情况。</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（七）临时报告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本基金发生重大事件，有关信息披露义务人应当在2日内编制临时报告书，并登载在规定报刊和规定网站上。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前款所称重大事件，是指可能对基金份额持有人权益或者基金份额的价格产生重大影响的下列事件：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1、基金份额持有人大会的召开及决定的事项；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2、《基金合同》终止、基金清算；</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3、转换基金运作方式、基金合并；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4、更换基金管理人、基金托管人、基金份额登记机构，基金改聘会计师事务所；</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5、基金管理人委托基金服务机构代为办理基金的份额登记、核算、估值等事项，基金托管人委托基金服务机构代为办理基金的核算、估值、复核等事项；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6、基金管理人、基金托管人的法定名称、住所发生变更；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7、基金管理人变更持有百分之五以上股权的股东、基金管理人的实际控制人变更；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8、基金募集期延长或提前结束募集；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9、基金管理人的高级管理人员、基金经理和基金托管人专门基金托管部门负责人发生变动；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10、基金管理人的董事在最近12个月内变更超过百分之五十，基金管理人、基金托管人专门基金托管部门的主要业务人员在最近12个月内变动超过百分之</w:t>
      </w:r>
      <w:r>
        <w:rPr>
          <w:rFonts w:ascii="宋体" w:hAnsi="宋体" w:cs="宋体"/>
          <w:kern w:val="0"/>
          <w:sz w:val="24"/>
          <w:szCs w:val="24"/>
        </w:rPr>
        <w:lastRenderedPageBreak/>
        <w:t>三十；</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11、涉及基金财产、基金管理业务、基金托管业务的诉讼或仲裁；</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12、基金管理人或其高级管理人员、基金经理因基金管理业务相关行为受到重大行政处罚、刑事处罚，基金托管人或其专门基金托管部门负责人因基金托管业务相关行为受到重大行政处罚、刑事处罚；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14、基金收益分配事项；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15、管理费、托管费、销售服务费、申购费和赎回费等费用计提标准、计提方式和费率发生变更；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16、某类基金份额净值估值错误达该类基金份额净值百分之零点五；</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17、本基金开始办理申购、赎回；</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18、本基金发生巨额赎回并延期办理；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19、本基金连续发生巨额赎回并暂停接受赎回申请或延缓支付赎回款项；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20、本基金暂停接受申购、赎回申请或者重新接受申购、赎回申请；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21、本基金变更标的指数；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22、调整基金份额类别的设置；</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23、本基金推出新业务或服务；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24、发生涉及基金申购、赎回事项调整或潜在影响投资者赎回等重大事项时；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25、基金管理人采用摆动定价机制进行估值；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26、基金信息披露义务人认为可能对基金份额持有人权益或者基金份额的价格产生重大影响的其他事项或中国证监会规定的其他事项。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（八）澄清公告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（九）清算报告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基金合同终止情形发生时，基金管理人应当依法组织基金财产清算小组对基</w:t>
      </w:r>
      <w:r>
        <w:rPr>
          <w:rFonts w:ascii="宋体" w:hAnsi="宋体" w:cs="宋体"/>
          <w:kern w:val="0"/>
          <w:sz w:val="24"/>
          <w:szCs w:val="24"/>
        </w:rPr>
        <w:lastRenderedPageBreak/>
        <w:t>金财产进行清算并作出清算报告。基金财产清算小组应当将清算报告登载在规定网站上，并将清算报告提示性公告登载在规定报刊上。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（十）基金份额持有人大会决议</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基金份额持有人大会决定的事项，应当依法报中国证监会备案，并予以公告。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（十一）投资股指期货的信息披露</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在季度报告、中期报告、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（十二）投资国债期货的信息披露</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（十三）投资股票期权的信息披露</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（十四）投资资产支持证券的信息披露</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投资资产支持证券，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10名资产支持证券明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（十五）参与融资业务的信息披露</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基金管理人应在季度报告、中期报告、年度报告等定期报告和招募说明书（更新）等文件中披露参与融资交易的情况，包括投资策略、业务开展情况、损益情况、风险及管理情况。</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（十六）参与转融通证券出借业务的信息披露</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基金管理人应在季度报告、中期报告、年度报告等定期报告和招募说明书（更新）等文件中披露参与转融通证券出借业务交易的情况，包括投资策略、业务开展情况、损益情况、风险及管理情况，并就报告期内本基金参与转融通证券出借业务发生的重大关联交易事项做详细说明。</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（十</w:t>
      </w:r>
      <w:r>
        <w:rPr>
          <w:rFonts w:ascii="宋体" w:hAnsi="宋体" w:cs="宋体" w:hint="eastAsia"/>
          <w:kern w:val="0"/>
          <w:sz w:val="24"/>
          <w:szCs w:val="24"/>
        </w:rPr>
        <w:t>七</w:t>
      </w:r>
      <w:r>
        <w:rPr>
          <w:rFonts w:ascii="宋体" w:hAnsi="宋体" w:cs="宋体"/>
          <w:kern w:val="0"/>
          <w:sz w:val="24"/>
          <w:szCs w:val="24"/>
        </w:rPr>
        <w:t>）实施侧袋机制期间的信息披露</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本基金实施侧袋机制的，相关信息披露义务人应当根据法律法规、基金合同和招募说明书的规定进行信息披露，详见本招募说明书“侧袋机制”章节的规定。</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（十</w:t>
      </w:r>
      <w:r>
        <w:rPr>
          <w:rFonts w:ascii="宋体" w:hAnsi="宋体" w:cs="宋体" w:hint="eastAsia"/>
          <w:kern w:val="0"/>
          <w:sz w:val="24"/>
          <w:szCs w:val="24"/>
        </w:rPr>
        <w:t>八</w:t>
      </w:r>
      <w:r>
        <w:rPr>
          <w:rFonts w:ascii="宋体" w:hAnsi="宋体" w:cs="宋体"/>
          <w:kern w:val="0"/>
          <w:sz w:val="24"/>
          <w:szCs w:val="24"/>
        </w:rPr>
        <w:t>）中国证监会规定的其他信息。</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六、暂停或延迟信息披露的情形</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1、基金投资所涉及的证券/期货交易所遇法定节假日或因其他原因暂停营业时；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2、因不可抗力或其他情形致使基金管理人、基金托管人无法准确评估基金资产价值时；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3、当特定资产占前一估值日基金资产净值50%以上的，经与基金托管人协商确认后，基金管理人应当暂停估值时；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4、法律法规规定、中国证监会或《基金合同》认定的其他情形。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七、信息披露事务管理</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基金管理人、基金托管人应当建立健全信息披露管理制度，指定专门部门及高级管理人员负责管理信息披露事务。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基金信息披露义务人公开披露基金信息，应当符合中国证监会相关基金信息披露内容与格式准则等法规的规定。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托管人应当按照相关法律法规、中国证监会的规定和《基金合同》的约定，对基金管理人编制的基金资产净值、各类基金份额净值、基金份额申购赎回价格、基金定期报告、更新的招募说明书、更新的基金产品资料概要、基金清算报告等公开披露的相关基金信息进行复核、审查，并向基金管理人进行书面或电子确认。</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基金管理人、基金托管人除依法在规定媒介上披露信息外，还可以根据需要在其他公共媒介披露信息，但是其他公共媒介不得早于规定媒介披露信息，并且在不同媒介上披露同一信息的内容应当一致。</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为基金信息披露义务人公开披露的基金信息出具审计报告、法律意见书的专业机构，应当制作工作底稿，并将相关档案至少保存到《基金合同》终止后10年。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八、信息披露文件的存放与查阅</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依法必须披露的信息发布后，基金管理人、基金托管人应当按照相关法律法规规定将信息置备于各自住所，供社会公众查阅、复制。</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5" w:name="_Toc256000015"/>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风险揭示</w:t>
      </w:r>
      <w:bookmarkEnd w:id="45"/>
    </w:p>
    <w:p w:rsidR="00D27B31" w:rsidRDefault="00D27B31"/>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市场风险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市场风险是指证券市场价格受到经济因素、政治因素、投资心理和交易制度等各种因素的影响而变化，导致收益水平存在的不确定性。市场风险主要包括：</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政策风险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因国家宏观政策（如货币政策、财政政策、行业政策、地区发展政策等）发生变化，导致市场价格波动而产生风险。</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经济周期风险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随经济运行的周期性变化，证券市场的收益水平也呈周期性变化。基金投资于证券，收益水平也会随之变化，从而产生风险。</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利率风险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金融市场利率的波动会导致证券市场价格和收益率的变动。利率直接影响着证券的价格和收益率，影响着企业的融资成本和利润。基金投资于证券，其收益水平会受到利率变化的影响。</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上市公司经营风险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上市公司的经营好坏受多种因素影响，如管理能力、财务状况、市场前景、行业竞争、人员素质等，这些都会导致企业的盈利发生变化。</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如果基金所投资的上市公司经营不善，其股票价格可能下跌，或者能够用于分配的利润减少，使基金投资收益下降。</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虽然基金可以通过投资多样化来分散这种非系统风险，但不能完全规避。</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信用风险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主要是指债务人的违约风险，若债务人经营不善，资不抵债，债权人可能会损失掉大部分的投资，这主要体现在企业债中。</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购买力风险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基金的利润将主要通过现金形式来分配，而现金可能因为通货膨胀的影响而导致购买力下降，从而使基金的实际收益下降。</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债券收益率曲线风险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债券收益率曲线风险是指与收益率曲线非平行移动有关的风险，单一的久期</w:t>
      </w:r>
      <w:r>
        <w:rPr>
          <w:rFonts w:ascii="宋体" w:hAnsi="宋体" w:cs="宋体"/>
          <w:kern w:val="0"/>
          <w:sz w:val="24"/>
          <w:szCs w:val="24"/>
        </w:rPr>
        <w:lastRenderedPageBreak/>
        <w:t>指标并不能充分反映这一风险的存在。</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再投资风险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比之前较少的收益率。</w:t>
      </w:r>
    </w:p>
    <w:p w:rsidR="00D27B31" w:rsidRDefault="00DD08B1">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9、波动性风险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波动性风险主要存在于可转换债券的投资中，具体表现为可转换债券的价格受到其相对应股票价格波动的影响，同时可转换债券还有信用风险与转股风险。转股风险指相对应股票价格跌破转股价，不能获得转股收益，从而无法弥补当初付出的转股期权价值。</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管理风险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在基金管理运作过程中，基金管理人的知识、技能、经验、判断等主观因素会影响其对相关信息和经济形势、证券价格走势的判断，从而影响基金收益水平。</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流动性风险</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流动性风险可视为一种综合性风险，它是其他风险在基金管理和公司整体经营方面的综合体现。中国的证券市场还处在初期发展阶段，在某些情况下某些投资品种的流动性不佳，由此可能影响到基金投资收益的实现。</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要随时应对投资者的赎回，如果基金资产不能迅速转变成现金，或者变现为现金时对基金资产净值产生不利的影响，都会影响基金运作和收益水平。尤其是在发生巨额赎回时，如果基金资产变现能力差，可能会产生基金仓位调整的困难，导致流动性风险，可能影响基金份额净值。</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1、投资市场、行业及资产的流动性风险评估</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为指数型基金，跟踪的标的指数为上证科创板200指数。本基金投资于股票的资产不低于基金资产的90%，投资于标的指数成份股、备选成份股的资产的比例不低于非现金基金资产的80%。因此，本基金面临的流动性风险主要来自跟踪指数的成份股和备选成份股因重大事项等原因引起的停牌。在某些市场环境下，成份股中停牌股票的比例可能比较大。由于停牌股票在停牌期间的流动性受限，无法立即变现，可能会导致本基金的流动性风险增加。</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本基金采用被动式指数化投资方法，按照标的指数的成份股及其权重来构建基金的股票投资组合，并根据标的指数成份股及其权重的变动进行相应调整。标的指数成份股权重分布均衡，集中度低，且成份股均属于流动性较好，交易活跃的股票。当出现特殊原因导致市场整体流动性不足，本基金管理人将对股票投资组合进行实时调整，以满足基金流动性需求。此外，在基金投资运作中，基金管理人严格按照法律法规的有关规定和基金合同约定的投资范围与比例限制实施投资管理，充分做好开放式基金流动性风险的管理工作。</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本基金申购、赎回安排</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投资人可在本基金的开放日办理基金份额的申购和赎回业务。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为切实保护存量基金份额持有人的合法权益，遵循基金份额持有人利益优先原则，本基金管理人将合理控制基金份额持有人集中度，审慎确认申购赎回业务申请，包括但不限于：</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当接受申购申请对存量基金份额持有人利益构成潜在重大不利影响时，基金管理人应当采取设定单一投资者申购金额上限、基金规模上限或基金单日净申购比例上限、拒绝大额申购、暂停基金申购等措施，切实保护存量基金份额持有人的合法权益。</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（2）本基金管理人对持续持有期少于7日的投资者收取不低于1.5%的赎回费，并将上述赎回费全额计入基金财产。</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当发生大额申购或赎回情形时，基金管理人可以采用摆动定价机制，以确保基金估值的公平性。</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当前一估值日基金资产净值50%以上的资产出现无可参考的活跃市场价格且采用估值技术仍导致公允价值存在重大不确定性时，经与基金托管人协商确认后，基金管理人应当暂停接受基金申购申请、赎回申请或延缓支付赎回款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具体措施详见本招募说明书“基金份额的申购与赎回”部分的规定。</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巨额赎回情形下流动性风险管理措施</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当本基金出现巨额赎回情形时，本基金管理人经内部决策，并与基金托管人协商一致后，将运用多种流动性风险管理工具对赎回申请进行适度调整，以应对流动性风险，保护基金份额持有人的利益，包括但不限于：</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延期办理巨额赎回申请；</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（2）暂停接受赎回申请；</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延缓支付赎回款项；</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中国证监会认可的其他措施。</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具体措施详见本招募说明书“基金份额的申购与赎回”部分的规定。</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实施备用的流动性风险管理工具的情形、程序及对投资者的潜在影响</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经与基金托管人协商一致，在确保投资者得到公平对待的前提下，可依照法律法规及基金合同的约定，综合运用各类流动性风险管理工具，对赎回申请进行适度调整，作为特定情形下基金管理人流动性风险管理的辅助措施。</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当基金管理人认为支付投资人的赎回申请有困难或认为因支付投资人的赎回申请而进行的财产变现可能会对基金资产净值造成较大波动时，可综合运用包括延期办理巨额赎回申请</w:t>
      </w:r>
      <w:r>
        <w:rPr>
          <w:rStyle w:val="custom"/>
          <w:rFonts w:ascii="宋体" w:hAnsi="宋体" w:cs="宋体"/>
          <w:kern w:val="0"/>
          <w:sz w:val="24"/>
          <w:szCs w:val="24"/>
        </w:rPr>
        <w:t>、暂停接受赎回申请</w:t>
      </w:r>
      <w:r>
        <w:rPr>
          <w:rFonts w:ascii="宋体" w:hAnsi="宋体" w:cs="宋体"/>
          <w:kern w:val="0"/>
          <w:sz w:val="24"/>
          <w:szCs w:val="24"/>
        </w:rPr>
        <w:t>、延缓支付赎回款项</w:t>
      </w:r>
      <w:r>
        <w:rPr>
          <w:rStyle w:val="custom"/>
          <w:rFonts w:ascii="宋体" w:hAnsi="宋体" w:cs="宋体"/>
          <w:kern w:val="0"/>
          <w:sz w:val="24"/>
          <w:szCs w:val="24"/>
        </w:rPr>
        <w:t>、收取短期赎回费</w:t>
      </w:r>
      <w:r>
        <w:rPr>
          <w:rFonts w:ascii="宋体" w:hAnsi="宋体" w:cs="宋体"/>
          <w:kern w:val="0"/>
          <w:sz w:val="24"/>
          <w:szCs w:val="24"/>
        </w:rPr>
        <w:t>、暂停基金估值、摆动定价、实施侧袋机制等流动性风险管理工具，投资者将面临无法办理申购、其赎回申请被拒绝或延期办理、赎回款项延缓支付，或面临赎回成本或申购成本较高等的风险。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本基金实施备用的流动性风险管理工具包括但不限于：</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延期办理巨额赎回申请；</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（2）暂停接受赎回申请；</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延缓支付赎回款项；</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（4）收取短期赎回费；</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暂停基金估值；</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摆动定价；</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实施侧袋机制；</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中国证监会认定的其他措施。</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特有风险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1、指数化投资风险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（1）标的指数回报与股票市场平均回报偏离的风险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标的指数并不能完全代表整个股票市场。标的指数成份股的平均回报率可能与整个股票市场的平均回报率存在偏离。</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（2）标的指数的流动性风险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本基金持有的股票可能因重大事项等原因停牌，在某些市场环境下，成份股中停牌股票的比例可能比较大。由于停牌股票在停牌期间的流动性受限，无法立即变现，可能会导致本基金的流动性风险增加以及跟踪误差扩大。</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（3）标的指数波动的风险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标的指数成份股的价格可能受到政治因素、经济因素、上市公司经营状况、投资者心理和交易制度等各种因素的影响而波动，导致指数波动，从而使基金收益水平发生变化，产生风险。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（4）基金投资组合回报与标的指数回报偏离的风险及跟踪误差未达约定目标的风险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以下因素可能使基金投资组合的收益率与标的指数的收益率发生偏离：</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1）由于标的指数调整成份股或变更编制方法，使本基金在相应的组合调整中产生跟踪误差。</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2）由于标的指数成份股发生配股、增发等行为导致成份股在标的指数中的权重发生变化，使本基金在相应的组合调整中产生跟踪误差。</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3）成份股派发现金红利、新股收益等将导致基金收益率超过标的指数收益率，产生跟踪误差。</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4）由于成份股停牌、摘牌或流动性差等原因使本基金无法及时调整投资组合或承担冲击成本而产生跟踪误差。</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5）由于基金应对日常赎回保留的少量现金、投资过程中的证券交易成本，以及基金管理费和托管费等费用的存在，使基金投资组合与标的指数产生跟踪误差。</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6）在本基金指数化投资过程中，基金管理人的管理能力，例如跟踪指数的水平、技术手段、买入卖出的时机选择等，都会对本基金的收益产生影响，从而影响本基金对标的指数的跟踪程度。</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7）其他因素产生的跟踪误差。如未来法规允许的情况下的卖空、对冲机制及其他工具造成的指数跟踪误差；因基金申购与赎回带来的现金变动；因指数编制机构指数编制错误等，由此产生跟踪偏离度与跟踪误差。</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2、标的指数变更的风险以及指数编制机构停止服务的风险</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根据基金合同规定，如发生导致标的指数变更的情形，基金管理人可以依据</w:t>
      </w:r>
      <w:r>
        <w:rPr>
          <w:rStyle w:val="custom"/>
          <w:rFonts w:ascii="宋体" w:hAnsi="宋体" w:cs="宋体"/>
          <w:kern w:val="0"/>
          <w:sz w:val="24"/>
          <w:szCs w:val="24"/>
        </w:rPr>
        <w:lastRenderedPageBreak/>
        <w:t>维护投资者合法权益的原则，变更本基金的标的指数。若标的指数发生变更，本基金的投资组合将相应进行调整。届时本基金的风险收益特征可能发生变化，且投资组合调整可能产生交易成本和机会成本。投资者须承担因标的指数变更而产生的风险与成本。</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的标的指数由指数编制机构发布并管理和维护，未来指数编制机构可能由于各种原因停止对指数的管理和维护，本基金将根据基金合同的约定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投资人将面临转换运作方式、与其他基金合并、或者终止基金合同等风险。</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法律法规或监管机构另有规定的，从其规定。</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3、成份股停牌的风险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标的指数成份股可能因各种原因临时或长期停牌，发生成份股停牌时可能面临如下风险：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（1）基金可能因无法及时调整投资组合而导致跟踪偏离度和跟踪误差扩大。</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在极端情况下，标的指数成份股可能大面积停牌，基金可能无法及时卖出成份股以获取足额的符合要求的赎回款，由此基金管理人可能根据基金合同的约定采取暂停赎回或延缓支付赎回款项的措施，投资者将面临无法赎回全部或部分基金份额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4、国债期货投资风险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国债期货，国债期货的投资可能面临市场风险、基差风险、流动性风险。市场风险是因期货市场价格波动使所持有的期货合约价值发生变化的风险。基差风险是期货市场的特有风险之一，是指由于期货与现货间的价差的波动，影响套期保值或套利效果，使之发生意外损益的风险。流动性风险可分为两</w:t>
      </w:r>
      <w:r>
        <w:rPr>
          <w:rStyle w:val="custom"/>
          <w:rFonts w:ascii="宋体" w:hAnsi="宋体" w:cs="宋体"/>
          <w:kern w:val="0"/>
          <w:sz w:val="24"/>
          <w:szCs w:val="24"/>
        </w:rPr>
        <w:lastRenderedPageBreak/>
        <w:t>类：一类为流通量风险，是指期货合约无法及时以所希望的价格建立或了结头寸的风险，此类风险往往是由市场缺乏广度或深度导致的；另一类为资金量风险，是指资金量无法满足保证金要求，使得所持有的头寸面临被强制平仓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5、股指期货投资风险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股指期货，股指期货采用保证金交易制度，由于保证金交易具有杠杆性，当出现不利行情时，股价指数微小的变动就可能会使投资人权益遭受较大损失。股指期货采用每日无负债结算制度，如果没有在规定的时间内补足保证金，按规定将被强制平仓，可能给投资带来重大损失。</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6、股票期权投资风险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本基金的投资范围包括股票期权，股票期权的风险主要包括：</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（1）市场风险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期权定价模型较为复杂，其市值将会受到期权合约价格、标的物价格、标的物波动率等多因素影响。若期权标的价格波动导致期权不具行权价值，期权买方将损失付出的所有权利金；期权卖方由于需承担行权履约义务，因合约标的价格波动导致的损失可能远大于其收取的权利金；</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（2）行权风险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对于期权交易的买方，在合约到期时选择行权的，若行权资金（认购期权）或合约标的不足（认沽期权）将可能导致不足部分对应的行权申报失败的风险。对于期权交易的卖方，如果未能在规定期限内准备好足额的资金（认沽期权）或者证券（认购期权），就会构成行权资金交收违约或者行权证券交割违约，需按照交易所规定支付违约金。此外，由于行权日和证券交割后的可交易日的差异而导致行权后持有现货证券等，还将面临证券价格涨跌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（3）流动性风险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期权业务的流动性风险主要包括流通量风险和无法缴足保证金（现金或现货）的流动性风险；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（4）时间价值风险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期权交易的买方拥有期权的时间价值，时间价值随着期权到期日的临近而不断损耗。上述风险可能增加本基金净值的波动性。</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7、资产支持证券投资风险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本基金可投资资产支持证券，资产支持证券在国内市场尚处发展初期，具有低流动性、高收益的特征，并存在一定的投资风险。资产支持证券的投资与基金资产密切相关，因此会受到特定原始权益人破产风险及现金流预测风险等的影响；当本基金投资的资产支持证券信用评级发生变化时，本基金将需要面对临时调整持仓的风险；此外当资产支持证券相关的发行人、管理人、托管人等出现违规违约时，本基金将面临无法收取投资收益甚至损失本金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8、参与融资交易风险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参与融资交易，融资交易的风险主要包括流动性风险、信用风险等，这些风险可能会给基金净值带来一定的负面影响和损失。为了更好的防范融资交易所面临的各类风险，基金管理人将遵守审慎经营原则，制定科学合理的投资策略和风险管理制度，有效防范和控制风险，切实维护基金财产的安全和基金份额持有人利益。</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9、基金参与转融通证券出借业务的风险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本基金可根据法律法规和基金合同的约定参与转融通证券出借业务，可能存在转融通证券出借业务特有风险，包括但不限于：</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（1）流动性风险，指面临大额赎回时，可能因证券出借原因发生无法及时变现支付赎回款项的风险；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（2）信用风险，指证券出借对手方可能无法及时归还证券、无法支付相应权益补偿及借券费用的风险；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（3）市场风险，指证券出借后可能面临出借期间无法及时处置证券的市场风险；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（4）其他风险，如宏观政策变化、证券市场剧烈波动、个别证券出现重大事件、交易对手方违约、业务规则调整、信息技术不能正常运行等风险。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10、流通受限证券投资风险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流通受限证券，按监管机构或行业协会有关规定确定公允价值，本基金的基金净值可能由于估值方法的原因偏离所持有证券的收盘价所对应的净值，因此，投资者在申购赎回时，需考虑估值方法对基金净值的影响。另外，本基金可能由于投资流通受限证券而面临流动性风险以及流通受限期间内证券价格大幅下跌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11、存托凭证投资风险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本基金可投资存托凭证，除普通股票投资可能面临的宏观经济风险、政策风险、市场风险、流动性风险外，投资存托凭证可能还会面临以下风险：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（1）存托凭证持有人与持有基础股票的股东在法律地位享有权利等方面存在差异可能引发的风险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凭证系由存托人以境外发行的证券为基础，在中国境内发行的代表境外基础证券权益的证券。存托凭证持有人实际享有的权益与境外基础证券持有人的权益虽然基本相当，但并不能等同于直接持有境外基础证券。存托凭证持有人与境外基础证券发行人股东之间在法律地位、享有权利等方面存在一定的差异。境外基础证券发行人股东为公司的直接股东，可以直接享有股东权利（包括但不限于投票权、分红等收益权等）；存托凭证持有人为间接拥有公司相关权益的证券持有人，其投票权、收益权等仅能根据存托协议的约定，通过存托人享有并间接行使分红、投票等权利。若未来发行人或存托人未能履行存托协议的约定，不对存托凭证持有人进行分红派息或者分红派息金额少于应得金额，或者存托人行使股东表决权时未充分代表存托凭证持有人的共同意见，则存托凭证持有人的利益将受到损害，本基金作为存托凭证持有人可能会面临一定的投资损失。</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（2）发行人采用协议控制架构的风险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境外基础证券发行人如采用协议控制架构，可能由于法律、政策变化带来合规、经营等风险，可能面临对境内实体运营企业重大依赖、协议控制架构下相关主体违约等风险。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（3）增发基础证券可能导致的存托凭证持有人权益被摊薄的风险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存托凭证发行时，其对应的净资产已经固定，但未来若发行人增发基础证券，将会导致存托凭证持有人权益被摊薄。</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（4）交易机制相关风险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境外基础证券与境内存托凭证由于时差、交易时间、交易制度、停复牌规则、异常交易情形、做空机制等差异，境内存托凭证的交易价格可能受到境外市场影响，从而出现大幅波动。此外，在境内法律及监管政策允许的情况下，发行人现在及将来境外发行的股票或存托凭证可能转移至境内市场上市交易，从而增加境内市场的存托凭证供给数量，可能引起交易价格大幅波动。</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（5）存托凭证退市风险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如果发行人不再符合上市条件或者发生其他重大违法行为，可能导致存托凭证面临退市。基金作为存托凭证持有人可能面临存托人无法根据存托协议的约定卖出基础证券、持有的存托凭证无法转到境内其他市场进行公开交易或者转让、存托人无法继续按照存托协议的约定为基金提供相应服务等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（6）其它风险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凭证存续期间，存托凭证项目内容可能发生重大、实质变化，包括但不限于存托凭证与基础证券转换比例发生调整、红筹公司和存托人可能对存托协议作出修改、更换存托人、更换托管人、存托凭证主动退市等。部分变化可能仅以事先通知的方式，即对投资者生效。本基金作为存托凭证投资者可能无法对此行使表决权。</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存托凭证存续期间，对应的基础证券等财产可能出现被质押、挪用、司法冻结、强制执行等情形，本基金作为存托凭证投资者可能面临失去应有权利的风险。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存托人可能向存托凭证持有人收取存托凭证相关费用。</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12、科创板股票投资风险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资产投资于科创板股票，会面临科创板机制下因投资标的、市场制度以及交易规则等差异带来的特有风险，包括但不限于市场风险、流动性风险、科创板企业退市风险、政策风险等。基金可根据投资策略需要或市场环境的变化，选择将部分基金资产投资于科创板股票或选择不将基金资产投资于科创板股票，基金资产并非必然投资于科创板股票。</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投资科创板股票存在的风险包括：</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（1）市场风险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科创板股票集中来自新一代信息技术、高端装备、新材料、新能源、节能环保及生物医药等高新技术和战略新兴产业领域。大多数企业为初创型公司，上市门槛略低于A股其他板块，企业未来盈利、现金流、估值等均存在不确定性，与传统二级市场投资存在差异，个股价格风险加大。同时，科创板股票可能存在股价波动较大的风险。科创板企业普遍具有技术性、前景不确定、业绩波动大、风险高的特征，市场可比公司较少，传统估值方法可能不适用，发行定价难度较大。考虑到科创板竞价交易设置较宽的涨跌幅限制（上市前五日无涨跌停限制，其后</w:t>
      </w:r>
      <w:r>
        <w:rPr>
          <w:rStyle w:val="custom"/>
          <w:rFonts w:ascii="宋体" w:hAnsi="宋体" w:cs="宋体"/>
          <w:kern w:val="0"/>
          <w:sz w:val="24"/>
          <w:szCs w:val="24"/>
        </w:rPr>
        <w:lastRenderedPageBreak/>
        <w:t>涨跌幅限制为20%）、科创板股票上市首日即可作为融资融券标的，股票价格波动可能较其他板块更大。</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（2）流动性风险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科创板整体投资门槛较高，投资者数量较少，基金资产存在无法及时或以公允价格变现及其他相关流动性风险。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（3）科创板企业退市风险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科创板退市机制比A股其他板块更严格，且不再设置暂停上市、恢复上市和重新上市环节。一旦所投资的股票进入退市流程，将面临退出难度较大、成本较高的风险。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（4）政策风险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国家对高新技术产业扶持力度及重视程度的变化会对科创板企业带来较大影响，国际经济形势变化对战略新兴产业及科创板个股也会带来政策影响。</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13、基金自动终止的风险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为发起式基金，基金合同生效满三年之日（指自然日），若基金资产净值低于2亿元人民币的，基金合同自动终止，且不得通过召开基金份额持有人大会延续基金合同期限。若届时的法律法规或中国证监会规定发生变化，上述终止规定被取消、更改或补充时，则本基金可以参照届时有效的法律法规或中国证监会规定执行。</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因此，本基金的投资者面临本基金自动终止的风险。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14、未来条件许可情况下的基金模式转换的风险</w:t>
      </w:r>
    </w:p>
    <w:p w:rsidR="00D27B31" w:rsidRDefault="00DD08B1">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若本基金管理人同时管理同一标的指数的交易型开放式指数基金（ETF），则基金管理人在履行适当程序后可使本基金采取ETF联接基金模式并相应修改《基金合同》，届时无需召开基金份额持有人大会。故投资者还可能面临本基金自动转型的风险。</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15、</w:t>
      </w:r>
      <w:r>
        <w:rPr>
          <w:rFonts w:ascii="宋体" w:hAnsi="宋体" w:cs="宋体"/>
          <w:kern w:val="0"/>
          <w:sz w:val="24"/>
          <w:szCs w:val="24"/>
        </w:rPr>
        <w:t>启用侧袋机制的风险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当本基金启用侧袋机制时，实施侧袋机制期间，侧袋账户份额将停止披露基金净值信息，并不得办理申购、赎回和转换，仅主袋账户份额正常开放赎回，因此启用侧袋机制时持有基金份额的持有人将在启用侧袋机制后同时持有主袋账户份额和侧袋账户份额。因特定资产的变现时间具有不确定性，最终变现价格也</w:t>
      </w:r>
      <w:r>
        <w:rPr>
          <w:rFonts w:ascii="宋体" w:hAnsi="宋体" w:cs="宋体"/>
          <w:kern w:val="0"/>
          <w:sz w:val="24"/>
          <w:szCs w:val="24"/>
        </w:rPr>
        <w:lastRenderedPageBreak/>
        <w:t>具有不确定性并且有可能大幅低于启用侧袋机制时的特定资产的估值，基金份额持有人可能因此面临损失。</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实施侧袋机制期间，因本基金不披露侧袋账户的基金净值信息，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基金管理人将根据主袋账户运作情况合理确定申购政策，因此实施侧袋机制后主袋账户份额存在暂停申购的可能。</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以上所述因素可能会给本基金投资带来特殊交易风险。</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税负增加风险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财政部、国家税务总局财政[2016]140号《关于明确金融、房地产开发、教育辅助服务等增值税政策的通知》第四条规定：“资管产品运营过程中发生的增值税应税行为，以资管产品管理人为增值税纳税人。”鉴于基金合同中基金管理人的管理费中不包括产品运营过程中发生的税款，本基金运营过程中需要缴纳增值税应税的，将由基金份额持有人承担并从基金资产中支付，按照税务机关的规定以基金管理人为增值税纳税人履行纳税义务，因此可能增加基金份额持有人的投资税费成本。</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操作或技术风险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相关当事人在业务各环节操作过程中，因内部控制存在缺陷或者人为因素造成操作失误或违反操作规程等引致的风险，例如，越权违规交易、会计部门欺诈、交易错误、IT系统故障等风险。</w:t>
      </w:r>
    </w:p>
    <w:p w:rsidR="00D27B31" w:rsidRDefault="00DD08B1">
      <w:pPr>
        <w:pStyle w:val="div"/>
        <w:spacing w:line="360" w:lineRule="auto"/>
        <w:ind w:firstLine="420"/>
        <w:rPr>
          <w:rFonts w:eastAsia="Times New Roman"/>
          <w:kern w:val="0"/>
          <w:sz w:val="24"/>
          <w:szCs w:val="24"/>
        </w:rPr>
      </w:pPr>
      <w:r>
        <w:rPr>
          <w:rStyle w:val="custom"/>
          <w:rFonts w:ascii="宋体" w:hAnsi="宋体" w:cs="宋体"/>
          <w:kern w:val="0"/>
          <w:sz w:val="24"/>
          <w:szCs w:val="24"/>
        </w:rPr>
        <w:t>在开放式基金的各种交易行为或者后台运作中，可能因为技术系统的故障或者差错而影响交易的正常进行或者导致基金份额持有人的利益受到影响。这种技术风险可能来自基金管理人、登记机构、销售机构、证券、期货交易所、证券登记结算机构等等。</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七、</w:t>
      </w:r>
      <w:r>
        <w:rPr>
          <w:rFonts w:ascii="宋体" w:hAnsi="宋体" w:cs="宋体"/>
          <w:kern w:val="0"/>
          <w:sz w:val="24"/>
          <w:szCs w:val="24"/>
        </w:rPr>
        <w:t>合规性风险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指基金管理或运作过程中，违反国家法律法规的规定，或者基金投资违反法规及基金合同有关规定的风险。</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本基金法律文件风险收益特征表述与销售机构基金风险评价可能不一致的风险</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本基金法律文件投资章节有关风险收益特征的表述是基于投资范围、投资比例、证券市场普遍规律等做出的概述性描述，代表了一般市场情况下本基金的长期风险收益特征。销售机构</w:t>
      </w:r>
      <w:r>
        <w:rPr>
          <w:rFonts w:ascii="宋体" w:hAnsi="宋体" w:cs="宋体" w:hint="eastAsia"/>
          <w:kern w:val="0"/>
          <w:sz w:val="24"/>
          <w:szCs w:val="24"/>
        </w:rPr>
        <w:t>（</w:t>
      </w:r>
      <w:r>
        <w:rPr>
          <w:rFonts w:ascii="宋体" w:hAnsi="宋体" w:cs="宋体"/>
          <w:kern w:val="0"/>
          <w:sz w:val="24"/>
          <w:szCs w:val="24"/>
        </w:rPr>
        <w:t>包括基金管理人直销机构和其他销售机构</w:t>
      </w:r>
      <w:r>
        <w:rPr>
          <w:rFonts w:ascii="宋体" w:hAnsi="宋体" w:cs="宋体" w:hint="eastAsia"/>
          <w:kern w:val="0"/>
          <w:sz w:val="24"/>
          <w:szCs w:val="24"/>
        </w:rPr>
        <w:t>）</w:t>
      </w:r>
      <w:r>
        <w:rPr>
          <w:rFonts w:ascii="宋体" w:hAnsi="宋体" w:cs="宋体"/>
          <w:kern w:val="0"/>
          <w:sz w:val="24"/>
          <w:szCs w:val="24"/>
        </w:rPr>
        <w:t>根据相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九、</w:t>
      </w:r>
      <w:r>
        <w:rPr>
          <w:rFonts w:ascii="宋体" w:hAnsi="宋体" w:cs="宋体"/>
          <w:kern w:val="0"/>
          <w:sz w:val="24"/>
          <w:szCs w:val="24"/>
        </w:rPr>
        <w:t>其他风险</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战争、自然灾害等不可抗力因素的出现，将会严重影响证券市场的运行，可能导致基金资产的损失。</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金融市场危机、行业竞争、代理商违约、基金托管人违约等超出基金管理人自身直接控制能力之外的风险，也可能导致基金或者基金份额持有人利益受损。</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w:t>
      </w:r>
      <w:r>
        <w:rPr>
          <w:rFonts w:ascii="宋体" w:hAnsi="宋体" w:cs="宋体"/>
          <w:kern w:val="0"/>
          <w:sz w:val="24"/>
          <w:szCs w:val="24"/>
        </w:rPr>
        <w:t>声明</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本基金未经任何一级政府、机构及部门担保。投资者自愿投资于本基金，须自行承担投资风险。</w:t>
      </w:r>
    </w:p>
    <w:p w:rsidR="00D27B31" w:rsidRDefault="00DD08B1">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除基金管理人直接办理本基金的销售外，本基金还可通过其他销售机构销售，但是，基金并不是销售机构的存款或负债，也没有经销售机构担保或者背书，销售机构并不能保证其收益或本金安全。</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6" w:name="_Toc256000016"/>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侧袋机制</w:t>
      </w:r>
      <w:bookmarkEnd w:id="46"/>
    </w:p>
    <w:p w:rsidR="00D27B31" w:rsidRDefault="00D27B31"/>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一、侧袋机制的实施条件、实施程序</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基金管理人应当在启用侧袋机制当日报中国证监会及公司所在地中国证监会派出机构备案。</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启用侧袋机制当日，基金管理人应以基金份额持有人的原有账户份额为基础，确认相应侧袋账户基金份额持有人名册和份额。当日收到的申购申请，按照启用侧袋机制后的主袋账户份额办理；当日收到的赎回申请，仅办理主袋账户的赎回申请并支付赎回款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二、侧袋机制实施期间的基金运作安排</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（一）基金份额的申购与赎回</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1、侧袋账户</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侧袋机制实施期间，基金管理人不办理侧袋账户的申购、赎回和转换。基金份额持有人申请申购、赎回或转换侧袋账户基金份额的，该申购、赎回或转换申请将被拒绝。</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2、主袋账户</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基金管理人将依法保障主袋账户份额持有人享有基金合同约定的赎回权利，并根据主袋账户运作情况合理确定申购事项，具体事项届时将由基金管理人在相关公告中规定。</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本招募说明书“基金份额的申购与赎回”部分的申购、赎回规定适用于主袋账户份额。巨额赎回按照单个开放日内主袋账户份额净赎回申请超过前一开放日主袋账户总份额的10%认定。</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（二）基金的投资</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侧袋机制实施期间，招募说明书“基金的投资”部分约定的投资组合比例、投资策略、组合限制、业绩比较基准、风险收益特征等约定仅适用于主袋账户；且本基金的各项投资运作指标和基金业绩指标应当以主袋账户资产为基准。</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lastRenderedPageBreak/>
        <w:t>基金管理人原则上应当在侧袋机制启用后20个交易日内完成对主袋账户投资组合的调整，但因资产流动性受限等中国证监会规定的情形除外。</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基金管理人不得在侧袋账户中进行除特定资产处置变现以外的其他投资操作。</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（三）基金的费用</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侧袋机制实施期间，侧袋账户资产不收取管理费。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基金管理人可以将与侧袋账户有关的费用从侧袋账户资产中列支，但应待特定资产变现后方可列支。</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主袋账户的管理费</w:t>
      </w:r>
      <w:r>
        <w:rPr>
          <w:rFonts w:ascii="宋体" w:hAnsi="宋体" w:cs="宋体" w:hint="eastAsia"/>
          <w:kern w:val="0"/>
          <w:sz w:val="24"/>
          <w:szCs w:val="24"/>
        </w:rPr>
        <w:t>、</w:t>
      </w:r>
      <w:r>
        <w:rPr>
          <w:rFonts w:ascii="宋体" w:hAnsi="宋体" w:cs="宋体"/>
          <w:kern w:val="0"/>
          <w:sz w:val="24"/>
          <w:szCs w:val="24"/>
        </w:rPr>
        <w:t>托管费</w:t>
      </w:r>
      <w:r>
        <w:rPr>
          <w:rFonts w:ascii="宋体" w:hAnsi="宋体" w:cs="宋体" w:hint="eastAsia"/>
          <w:kern w:val="0"/>
          <w:sz w:val="24"/>
          <w:szCs w:val="24"/>
        </w:rPr>
        <w:t>和销售服务费</w:t>
      </w:r>
      <w:r>
        <w:rPr>
          <w:rFonts w:ascii="宋体" w:hAnsi="宋体" w:cs="宋体"/>
          <w:kern w:val="0"/>
          <w:sz w:val="24"/>
          <w:szCs w:val="24"/>
        </w:rPr>
        <w:t>等费用仍按主袋账户基金资产净值作为基数计提。</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（四）基金的收益分配</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侧袋机制实施期间，在主袋账户份额满足基金合同收益分配条件的情形下，基金管理人可对主袋账户份额进行收益分配。侧袋账户不进行收益分配。</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（五）基金的信息披露</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1、基金净值信息</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应按照招募说明书“基金的信息披露”部分规定的基金净值信息披露方式和频率披露主袋账户份额的基金净值信息。侧袋机制实施期间，基金管理人应当暂停披露侧袋账户的基金份额净值和基金份额累计净值。</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2、定期报告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应当在基金定期报告中披露报告期内特定资产处置进展情况，披露报告期末特定资产可变现净值或净值区间的，该净值或净值区间并不代表特定资产最终的变现价格，不作为基金管理人对特定资产最终变现价格的承诺。</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侧袋机制实施期间，基金定期报告中的基金会计报表仅需针对主袋账户进行编制。会计师事务所对基金年度报告进行审计时，应对报告期内基金侧袋机制运行相关的会计核算和年度报告披露等发表审计意见。</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3、临时报告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基金管理人在启用侧袋机制、处置特定资产、终止侧袋机制以及发生其他可能对投资者利益产生重大影响的事项后应及时发布临时公告。</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启用侧袋机制的临时公告内容应当包括启用原因及程序、特定资产流动性和</w:t>
      </w:r>
      <w:r>
        <w:rPr>
          <w:rFonts w:ascii="宋体" w:hAnsi="宋体" w:cs="宋体"/>
          <w:kern w:val="0"/>
          <w:sz w:val="24"/>
          <w:szCs w:val="24"/>
        </w:rPr>
        <w:lastRenderedPageBreak/>
        <w:t>估值情况、对投资者申购赎回的影响、风险提示等重要信息。</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处置特定资产的临时公告内容应当包括特定资产处置价格和时间、向侧袋账户份额持有人支付的款项、相关费用发生情况等重要信息。</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（六）特定资产处置清算</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特定资产以可出售、可转让、恢复交易等方式恢复流动性后，基金管理人将按照基金份额持有人利益最大化原则，采取将特定资产予以处置变现等方式，及时向侧袋账户份额持有人支付的款项。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（七）侧袋的审计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基金管理人应当在启用侧袋机制和终止侧袋机制后，及时聘请符合《中华人民共和国证券法》规定的会计师事务所进行审计并披露专项审计意见。</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三、本部分关于侧袋机制的相关规定，凡是直接引用法律法规或监管规则的部分，如将来法律法规或监管规则修改导致相关内容被取消或变更的，或将来法律法规或监管规则针对侧袋机制的内容有进一步规定的，基金管理人经与基金托管人协商一致并履行适当程序后，可直接对本部分内容进行修改和调整，无需召开基金份额持有人大会审议。</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7" w:name="_Toc256000017"/>
      <w:bookmarkStart w:id="48" w:name="_Hlk201160956"/>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基金合同的变更、终止与基金财产的清算</w:t>
      </w:r>
      <w:bookmarkEnd w:id="47"/>
    </w:p>
    <w:p w:rsidR="00D27B31" w:rsidRDefault="00D27B31"/>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一、《基金合同》的变更</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2、关于《基金合同》变更的基金份额持有人大会决议自生效后方可执行，自决议生效后两日内在规定媒介公告。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二、《基金合同》的终止事由</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有下列情形之一的，经履行相关程序后，《基金合同》应当终止：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1、基金份额持有人大会决定终止的；</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2、基金管理人、基金托管人职责终止，在6个月内没有新基金管理人、新基金托管人承接的；</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3、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4、基金合同生效满三年之日（指自然日），若基金资产净值低于2亿元人民币的；</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5、《基金合同》约定的其他情形；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6、相关法律法规和中国证监会规定的其他情况。</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三、基金财产的清算</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1、基金财产清算小组：自出现《基金合同》终止事由之日起30个工作日内成立清算小组，基金管理人组织基金财产清算小组并在中国证监会的监督下进行基金清算。</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3、基金财产清算小组职责：基金财产清算小组负责基金财产的保管、清理、估价、变现和分配。基金财产清算小组可以依法进行必要的民事活动。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4、基金财产清算程序：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（1）《基金合同》终止情形出现时，由基金财产清算小组统一接管基金；</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（2）对基金财产和债权债务进行清理和确认；</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（3）对基金财产进行估值和变现；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（4）制作清算报告；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（5）聘请符合《中华人民共和国证券法》规定的会计师事务所对清算报告进行外部审计，聘请律师事务所对清算报告出具法律意见书；</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（6）将清算报告报中国证监会备案并公告；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（7）对基金剩余财产进行分配。</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5、基金财产清算的期限为6个月，但因本基金所持证券的流动性受到限制而不能及时变现的，清算期限相应顺延。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四、清算费用</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清算费用是指基金财产清算小组在进行基金财产清算过程中发生的所有合理费用，清算费用由基金财产清算小组优先从基金剩余财产中支付。</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五、基金财产清算剩余资产的分配</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依据基金财产清算的分配方案，将基金财产清算后的全部剩余资产扣除基金财产清算费用、交纳所欠税款并清偿基金债务后，按基金份额持有人持有的</w:t>
      </w:r>
      <w:r>
        <w:rPr>
          <w:rFonts w:ascii="宋体" w:hAnsi="宋体" w:cs="宋体" w:hint="eastAsia"/>
          <w:kern w:val="0"/>
          <w:sz w:val="24"/>
          <w:szCs w:val="24"/>
        </w:rPr>
        <w:t>各类</w:t>
      </w:r>
      <w:r>
        <w:rPr>
          <w:rFonts w:ascii="宋体" w:hAnsi="宋体" w:cs="宋体"/>
          <w:kern w:val="0"/>
          <w:sz w:val="24"/>
          <w:szCs w:val="24"/>
        </w:rPr>
        <w:t>基金份额比例进行分配。</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六、基金财产清算的公告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七、基金财产清算账册及文件的保存</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基金财产清算账册及有关文件由基金托管人保存，保存期限不少于法定最低期限。</w:t>
      </w:r>
      <w:bookmarkEnd w:id="48"/>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49" w:name="_Toc256000018"/>
      <w:r>
        <w:rPr>
          <w:rFonts w:ascii="Times New Roman"/>
          <w:color w:val="auto"/>
          <w:sz w:val="30"/>
        </w:rPr>
        <w:lastRenderedPageBreak/>
        <w:t>第十九部分</w:t>
      </w:r>
      <w:r>
        <w:rPr>
          <w:rFonts w:ascii="Times New Roman"/>
          <w:color w:val="auto"/>
          <w:sz w:val="30"/>
        </w:rPr>
        <w:t xml:space="preserve">  </w:t>
      </w:r>
      <w:r>
        <w:rPr>
          <w:rFonts w:ascii="Times New Roman"/>
          <w:color w:val="auto"/>
          <w:sz w:val="30"/>
        </w:rPr>
        <w:t>基金合同的内容摘要</w:t>
      </w:r>
      <w:bookmarkEnd w:id="49"/>
    </w:p>
    <w:p w:rsidR="00D27B31" w:rsidRDefault="00D27B31"/>
    <w:p w:rsidR="00D27B31" w:rsidRDefault="00DD08B1">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一、基金合同当事人的权利、义务</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（一）基金管理人的权利与义务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1、根据《基金法》、《运作办法》及其他有关规定，基金管理人的权利包括但不限于：</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（1）依法募集资金；</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（2）自《基金合同》生效之日起，根据法律法规和《基金合同》独立运用并管理基金财产；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（3）依照《基金合同》收取基金管理费以及法律法规规定或中国证监会批准的其他费用；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（4）销售基金份额；</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（5）按照规定召集基金份额持有人大会；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（6）依据《基金合同》及有关法律规定监督基金托管人，如认为基金托管人违反了《基金合同》及国家有关法律规定，应呈报中国证监会和其他监管部门，并采取必要措施保护基金投资者的利益；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（7）在基金托管人更换时，提名新的基金托管人；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（8）选择、更换基金销售机构，对基金销售机构的相关行为进行监督和处理；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（9）担任或委托其他符合条件的机构担任基金登记机构办理基金登记业务并获得《基金合同》规定的费用；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（10）依据《基金合同》及有关法律规定决定基金收益的分配方案；</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（11）在《基金合同》约定的范围内，拒绝或暂停受理申购与赎回申请；</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（12）依照法律法规为基金的利益对被投资公司行使股东权利，为基金的利益行使因基金财产投资于证券所产生的权利；</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（13）在法律法规允许的前提下，为基金的利益依法为基金进行融资及转融通证券出借业务；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（14）以基金管理人的名义，代表基金份额持有人的利益行使诉讼权利或者实施其他法律行为；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（15）选择、更换律师事务所、会计师事务所、证券经纪商、期货经纪机构或其他为基金提供服务的外部机构；</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（16）在符合有关法律、法规的前提下，制订和调整有关基金认购、申购、赎回、转换、定期定额投资、转托管和非交易过户等业务规则；</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（17）在法律法规和基金合同规定的范围内决定调整基金费率结构和收费方式；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（18）法律法规及中国证监会规定的和《基金合同》约定的其他权利。</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2、根据《基金法》、《运作办法》及其他有关规定，基金管理人的义务包括但不限于：</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（1）依法募集资金，办理或者委托经中国证监会认定的其他机构代为办理基金份额的发售、申购、赎回和登记事宜；</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（2）办理基金备案手续；</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（3）自《基金合同》生效之日起，以诚实信用、谨慎勤勉的原则管理和运用基金财产；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（4）配备足够的具有专业资格的人员进行基金投资分析、决策，以专业化的经营方式管理和运作基金财产；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（5）建立健全内部风险控制、监察与稽核、财务管理及人事管理等制度，保证所管理的基金财产和基金管理人的财产相互独立，对所管理的不同基金分别管理，分别记账，进行证券投资；</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（6）除依据《基金法》、《基金合同》及其他有关规定外，不得利用基金财产为自己及任何第三人谋取利益，不得委托第三人运作基金财产；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（7）依法接受基金托管人的监督；</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（8）采取适当合理的措施使计算基金份额认购、申购、赎回和注销价格的方法符合《基金合同》等法律文件的规定，按有关规定计算并公告基金净值信息，确定基金份额申购、赎回的价格；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（9）进行基金会计核算并编制基金财务会计报告；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（10）编制季度报告、中期报告和年度报告；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（11）严格按照《基金法》、《基金合同》及其他有关规定，履行信息披露及报告义务；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提供的情况除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（13）按《基金合同》的约定确定基金收益分配方案，及时向基金份额持有人分配基金收益；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（14）按规定受理申购与赎回申请，及时、足额支付赎回款项；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（15）依据《基金法》、《基金合同》及其他有关规定召集基金份额持有人大会或配合基金托管人、基金份额持有人依法召集基金份额持有人大会；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（16）按规定保存基金财产管理业务活动的会计账册、报表、记录和其他相关资料不少于法定最低期限；</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（18）组织并参加基金财产清算小组，参与基金财产的保管、清理、估价、变现和分配；</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（19）面临解散、依法被撤销或者被依法宣告破产时，及时报告中国证监会并通知基金托管人；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（20）因违反《基金合同》导致基金财产的损失或损害基金份额持有人合法权益时，应当承担赔偿责任，其赔偿责任不因其退任而免除；</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（21）监督基金托管人按法律法规和《基金合同》规定履行自己的义务，基金托管人违反《基金合同》造成基金财产损失时，基金管理人应为基金份额持有人利益向基金托管人追偿；</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（22）当基金管理人将其义务委托第三方处理时，应当对第三方处理有关基金事务的行为承担责任；</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（23）以基金管理人名义，代表基金份额持有人利益行使诉讼权利或实施其他法律行为；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（24）基金管理人在募集期间未能达到基金的备案条件，《基金合同》不能生效，基金管理人承担全部募集费用，将已募集资金并加计银行同期活期存款利</w:t>
      </w:r>
      <w:r>
        <w:rPr>
          <w:rFonts w:ascii="宋体" w:hAnsi="宋体" w:cs="宋体"/>
          <w:kern w:val="0"/>
          <w:sz w:val="24"/>
          <w:szCs w:val="24"/>
        </w:rPr>
        <w:lastRenderedPageBreak/>
        <w:t>息在基金募集期结束后30日内退还基金认购人；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（25）执行生效的基金份额持有人大会的决议；</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（26）建立并保存基金份额持有人名册；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（27）法律法规及中国证监会规定的和《基金合同》约定的其他义务。</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（二）基金托管人的权利与义务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1、根据《基金法》、《运作办法》及其他有关规定，基金托管人的权利包括但不限于：</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（1）自《基金合同》生效之日起，依法律法规和《基金合同》的规定安全保管基金财产；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（2）依《基金合同》约定获得基金托管费以及法律法规规定或监管部门批准的其他费用；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（4）根据相关市场规则，为基金开设资金账户和证券账户等投资所需账户，为基金办理证券、期货交易资金清算；</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（5）提议召开或召集基金份额持有人大会；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（6）在基金管理人更换时，提名新的基金管理人；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（7）法律法规及中国证监会规定的和《基金合同》约定的其他权利。</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2、根据《基金法》、《运作办法》及其他有关规定，基金托管人的义务包括但不限于：</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（1）以诚实信用、勤勉尽责的原则持有并安全保管基金财产；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（2）设立专门的基金托管部门，具有符合要求的营业场所，配备足够的、合格的熟悉基金托管业务的专职人员，负责基金财产托管事宜；</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（4）除依据《基金法》、《基金合同》及其他有关规定外，不得利用基金</w:t>
      </w:r>
      <w:r>
        <w:rPr>
          <w:rFonts w:ascii="宋体" w:hAnsi="宋体" w:cs="宋体"/>
          <w:kern w:val="0"/>
          <w:sz w:val="24"/>
          <w:szCs w:val="24"/>
        </w:rPr>
        <w:lastRenderedPageBreak/>
        <w:t>财产为自己及任何第三人谋取利益，不得委托第三人托管基金财产；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（5）保管由基金管理人代表基金签订的与基金有关的重大合同及有关凭证；</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（6）按规定开设基金财产的资金账户和证券账户等投资所需账户，按照《基金合同》的约定，根据基金管理人的投资指令，及时办理清算、交割事宜；</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（8）复核、审查基金管理人计算的基金资产净值、各类基金份额净值、基金份额申购、赎回价格；</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（9）办理与基金托管业务活动有关的信息披露事项；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（11）保存基金托管业务活动的记录、账册、报表和其他相关资料不少于法定最低期限；</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（12）建立并保存基金份额持有人名册；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（13）按规定制作相关账册并与基金管理人核对；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（14）依据基金管理人的指令或有关规定向基金份额持有人支付基金收益和赎回款项；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（15）依据《基金法》、《基金合同》及其他有关规定，召集基金份额持有人大会或配合基金管理人、基金份额持有人依法召集基金份额持有人大会；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（16）按照法律法规和《基金合同》的规定监督基金管理人的投资运作；</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（17）参加基金财产清算小组，参与基金财产的保管、清理、估价、变现和分配；</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（18）面临解散、依法被撤销或者被依法宣告破产时，及时报告中国证监会和银行业监督管理机构，并通知基金管理人；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（19）因违反《基金合同》导致基金财产损失时，应承担赔偿责任，其赔偿</w:t>
      </w:r>
      <w:r>
        <w:rPr>
          <w:rFonts w:ascii="宋体" w:hAnsi="宋体" w:cs="宋体"/>
          <w:kern w:val="0"/>
          <w:sz w:val="24"/>
          <w:szCs w:val="24"/>
        </w:rPr>
        <w:lastRenderedPageBreak/>
        <w:t>责任不因其退任而免除；</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（20）按规定监督基金管理人按法律法规和《基金合同》规定履行自己的义务，基金管理人因违反《基金合同》造成基金财产损失时，应为基金份额持有人利益向基金管理人追偿；</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（21）执行生效的基金份额持有人大会的决议；</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（22）法律法规及中国证监会规定的和《基金合同》约定的其他义务。</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（三）基金份额持有人的权利和义务</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同一类别内每份基金份额具有同等的合法权益。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1、根据《基金法》、《运作办法》及其他有关规定，基金份额持有人的权利包括但不限于：</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（1）分享基金财产收益；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（2）参与分配清算后的剩余基金财产；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（3）依法转让或者申请赎回其持有的基金份额；</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（4）按照规定要求召开基金份额持有人大会或者召集基金份额持有人大会；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（5）出席或者委派代表出席基金份额持有人大会，对基金份额持有人大会审议事项行使表决权；</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（6）查阅或者复制公开披露的基金信息资料；</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（7）监督基金管理人的投资运作；</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（8）对基金管理人、基金托管人、基金服务机构损害其合法权益的行为依法提起诉讼或仲裁；</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（9）法律法规及中国证监会规定的和《基金合同》约定的其他权利。</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2、根据《基金法》、《运作办法》及其他有关规定，基金份额持有人的义务包括但不限于：</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（1）认真阅读并遵守《基金合同》、《招募说明书》等信息披露文件；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（2）了解所投资基金产品，了解自身风险承受能力，自主判断基金的投资</w:t>
      </w:r>
      <w:r>
        <w:rPr>
          <w:rFonts w:ascii="宋体" w:hAnsi="宋体" w:cs="宋体"/>
          <w:kern w:val="0"/>
          <w:sz w:val="24"/>
          <w:szCs w:val="24"/>
        </w:rPr>
        <w:lastRenderedPageBreak/>
        <w:t>价值，自主做出投资决策，自行承担投资风险；</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（3）关注基金信息披露，及时行使权利和履行义务；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（4）交纳基金认购、申购款项及法律法规和《基金合同》所规定的费用；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（5）在其持有的基金份额范围内，承担基金亏损或者《基金合同》终止的有限责任；</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（6）不从事任何有损基金及其他《基金合同》当事人合法权益的活动；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（7）执行生效的基金份额持有人大会的决议；</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（8）返还在基金交易过程中因任何原因获得的不当得利；</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（9）发起资金提供方持有认购的基金份额不少于3年（基金合同生效不满3年提前终止的情况除外）；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（10）提供基金管理人和监管机构依法要求提供的信息，以及不时的更新和补充，并保证其真实性；</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（11）遵守基金管理人、基金托管人、销售机构和登记机构的相关交易及业务规则；</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（12）法律法规及中国证监会规定的和《基金合同》约定的其他义务。</w:t>
      </w:r>
    </w:p>
    <w:p w:rsidR="00D27B31" w:rsidRDefault="00DD08B1">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二、基金份额持有人大会召集、议事及表决的程序和规则</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基金份额持有人大会由基金份额持有人组成，基金份额持有人的合法授权代表有权代表基金份额持有人出席会议并表决。基金份额持有人持有的每一基金份额拥有平等的投票权。</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本基金份额持有人大会不设日常机构。</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（一）召开事由</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1、当出现或需要决定下列事由之一的，应当召开基金份额持有人大会，法律法规、中国证监会另有规定或基金合同另有约定的除外：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（1）终止《基金合同》；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（2）更换基金管理人；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（3）更换基金托管人；</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（4）转换基金运作方式；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（5）调整基金管理人、基金托管人的报酬标准或提高销售服务费率；</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（6）变更基金类别；</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（7）本基金与其他基金的合并；</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（8）变更基金投资目标、范围或策略；</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（9）变更基金份额持有人大会程序；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（10）基金管理人或基金托管人要求召开基金份额持有人大会；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（11）单独或合计持有本基金总份额10%以上（含10%）基金份额的基金份额持有人（以基金管理人收到提议当日的基金份额计算，下同）就同一事项书面要求召开基金份额持有人大会；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（12）对基金合同当事人权利和义务产生重大影响的其他事项；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（13）法律法规、《基金合同》或中国证监会规定的其他应当召开基金份额持有人大会的事项。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2、在法律法规规定和《基金合同》约定的范围内且对基金份额持有人利益无实质性不利影响的前提下，以下情况可由基金管理人和基金托管人协商后修改，不需召开基金份额持有人大会：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（1）法律法规要求增加的基金费用的收取；</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（2）调整本基金的申购费率、调低赎回费率、调低销售服务费率或变更收费方式；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（3）增加、减少或调整基金份额类别设置或者调整基金份额分类办法及规则等；</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（4）因相应的法律法规发生变动而应当对《基金合同》进行修改；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（5）基金管理人和基金登记机构等调整或修改《业务规则》，包括但不限于有关基金认购、申购、赎回、转换、非交易过户、转托管等内容；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（6）对《基金合同》的修改对基金份额持有人利益无实质性不利影响或修改不涉及《基金合同》当事人权利义务关系发生重大变化；</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（7）在履行适当程序后，基金推出新业务或服务；</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（8）基金管理人调整基金收益分配原则；</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（9）若本基金管理人同时管理同一标的指数的交易型开放式指数基金（ETF），履行适当程序后本基金可采取ETF联接基金模式并相应修改《基金合同》；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（10）按照法律法规和《基金合同》规定不需召开基金份额持有人大会的其他情形。</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（二）会议召集人及召集方式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1、除法律法规规定或《基金合同》另有约定外，基金份额持有人大会由基金管理人召集。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2、基金管理人未按规定召集或不能召集时，由基金托管人召集。</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6、基金份额持有人会议的召集人负责选择确定开会时间、地点、方式和权益登记日。</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（三）召开基金份额持有人大会的通知时间、通知内容、通知方式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1、召开基金份额持有人大会，召集人应于会议召开前30日，在规定媒介公告。基金份额持有人大会通知应至少载明以下内容：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（1）会议召开的时间、地点和会议形式；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（2）会议拟审议的事项、议事程序和表决方式；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（3）有权出席基金份额持有人大会的基金份额持有人的权益登记日；</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（4）授权委托证明的内容要求（包括但不限于代理人身份，代理权限和代理有效期限等）、送达时间和地点；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（5）会务常设联系人姓名及联系电话；</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（6）出席会议者必须准备的文件和必须履行的手续；</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（7）召集人需要通知的其他事项。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（四）基金份额持有人出席会议的方式</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基金份额持有人大会可通过现场开会方式、通讯开会方式或法律法规、监管机构允许的其他方式召开，会议的召开方式由会议召集人确定。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（2）经核对，汇总到会者出示的在权益登记日持有基金份额的凭证显示，</w:t>
      </w:r>
      <w:r>
        <w:rPr>
          <w:rFonts w:ascii="宋体" w:hAnsi="宋体" w:cs="宋体"/>
          <w:kern w:val="0"/>
          <w:sz w:val="24"/>
          <w:szCs w:val="24"/>
        </w:rPr>
        <w:lastRenderedPageBreak/>
        <w:t>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通讯开会。通讯开会系指基金份额持有人将其对表决事项的投票以书面形式或大会公告载明的其他方式在表决截止日以前送达至召集人指定的地址或系统。通讯开会应以书面方式或大会公告载明的其他方式进行表决。</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在同时符合以下条件时，通讯开会的方式视为有效：</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（1）会议召集人按《基金合同》约定公布会议通知后，在2个工作日内连续公布相关提示性公告；</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上述第（3）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3、在法律法规和监管机构允许的情况下，本基金亦可采用网络、电话、短信等其他非现场方式或者以非现场方式与现场方式结合的方式召开基金份额持有人大会，或者采用网络、电话、短信或其他方式授权他人代为出席会议并表决，会议程序比照现场开会和通讯方式开会的程序进行。</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（五）议事内容与程序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1、议事内容及提案权</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基金份额持有人大会的召集人发出召集会议的通知后，对原有提案的修改应当在基金份额持有人大会召开前及时公告。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基金份额持有人大会不得对未事先公告的议事内容进行表决。</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2、议事程序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（1）现场开会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在现场开会的方式下，首先由大会主持人按照下列第</w:t>
      </w:r>
      <w:r>
        <w:rPr>
          <w:rFonts w:ascii="宋体" w:hAnsi="宋体" w:cs="宋体" w:hint="eastAsia"/>
          <w:kern w:val="0"/>
          <w:sz w:val="24"/>
          <w:szCs w:val="24"/>
        </w:rPr>
        <w:t>（</w:t>
      </w:r>
      <w:r>
        <w:rPr>
          <w:rFonts w:ascii="宋体" w:hAnsi="宋体" w:cs="宋体"/>
          <w:kern w:val="0"/>
          <w:sz w:val="24"/>
          <w:szCs w:val="24"/>
        </w:rPr>
        <w:t>七</w:t>
      </w:r>
      <w:r>
        <w:rPr>
          <w:rFonts w:ascii="宋体" w:hAnsi="宋体" w:cs="宋体" w:hint="eastAsia"/>
          <w:kern w:val="0"/>
          <w:sz w:val="24"/>
          <w:szCs w:val="24"/>
        </w:rPr>
        <w:t>）</w:t>
      </w:r>
      <w:r>
        <w:rPr>
          <w:rFonts w:ascii="宋体" w:hAnsi="宋体" w:cs="宋体"/>
          <w:kern w:val="0"/>
          <w:sz w:val="24"/>
          <w:szCs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会议召集人应当制作出席会议人员的签名册。签名册载明参加会议人员姓名（或单位名称）、身份证明文件号码、持有或代表有表决权的基金份额、委托人姓名（或单位名称）和联系方式等事项。</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（2）通讯开会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在通讯开会的情况下，首先由召集人提前30日公布提案，在所通知的表决截止日期后2个工作日内在公证机关监督下由召集人统计全部有效表决，在公证</w:t>
      </w:r>
      <w:r>
        <w:rPr>
          <w:rFonts w:ascii="宋体" w:hAnsi="宋体" w:cs="宋体"/>
          <w:kern w:val="0"/>
          <w:sz w:val="24"/>
          <w:szCs w:val="24"/>
        </w:rPr>
        <w:lastRenderedPageBreak/>
        <w:t>机关监督下形成决议。</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（六）表决</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基金份额持有人所持每份基金份额有一票表决权。</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基金份额持有人大会决议分为一般决议和特别决议：</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2、特别决议，特别决议应当经参加大会的基金份额持有人或其代理人所持表决权的三分之二以上（含三分之二）通过方可做出。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除《基金合同》另有约定外，转换基金运作方式、更换基金管理人或者基金托管人、终止《基金合同》、本基金与其他基金合并以特别决议通过方为有效。</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基金份额持有人大会采取记名方式进行投票表决。</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基金份额持有人大会的各项提案或同一项提案内并列的各项议题应当分开审议、逐项表决。</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（七）计票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1、现场开会</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如大会由基金管理人或基金托管人召集，基金份额持有人大会的主持人应当在会议开始后宣布在出席会议的基金份额持有人和代理人中选举一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两名基金份额持有人代表担任监票人。基金管理人或基金托管人不出席大会的，不影响计票的效力。</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（2）监票人应当在基金份额持有人表决后立即进行清点并由大会主持人当</w:t>
      </w:r>
      <w:r>
        <w:rPr>
          <w:rFonts w:ascii="宋体" w:hAnsi="宋体" w:cs="宋体"/>
          <w:kern w:val="0"/>
          <w:sz w:val="24"/>
          <w:szCs w:val="24"/>
        </w:rPr>
        <w:lastRenderedPageBreak/>
        <w:t>场公布计票结果。</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如果会议主持人或基金份额持有人或代理人对于提交的表决结果有异议，可以在宣布表决结果后立即对所投票数要求进行重新清点。监票人应当进行重新清点，重新清点以一次为限。重新清点后，大会主持人应当当场公布重新清点结果。</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（4）计票过程应由公证机关予以公证，基金管理人或基金托管人拒不出席大会的，不影响计票的效力。</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2、通讯开会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（八）生效与公告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基金份额持有人大会的决议，召集人应当自通过之日起5日内报中国证监会备案。</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基金份额持有人大会的决议自表决通过之日起生效。</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基金份额持有人大会决议自生效之日起2日内在规定媒介上公告。如果采用通讯方式进行表决，在公告基金份额持有人大会决议时，必须将公证书全文、公证机构、公证员姓名等一同公告。</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基金管理人、基金托管人和基金份额持有人应当执行生效的基金份额持有人大会的决议。生效的基金份额持有人大会决议对全体基金份额持有人、基金管理人、基金托管人均有约束力。</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（九）实施侧袋机制期间基金份额持有人大会的特殊约定</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1、基金份额持有人行使提议权、召集权、提名权所需单独或合计代表相关基金份额10%以上（含10%）；</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2、现场开会的到会者在权益登记日代表的基金份额不少于本基金在权益登记日相关基金份额的二分之一（含二分之一）；</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3、通讯开会的直接出具书面意见或授权他人代表出具书面意见的基金份额持有人所持有的基金份额不小于在权益登记日相关基金份额的二分之一（含二分之一）；</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5、现场开会由出席大会的基金份额持有人和代理人所持表决权的50%以上（含50%）选举产生一名基金份额持有人作为该次基金份额持有人大会的主持人；</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6、一般决议须经参加大会的基金份额持有人或其代理人所持表决权的二分之一以上（含二分之一）通过；</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7、特别决议应当经参加大会的基金份额持有人或其代理人所持表决权的三分之二以上（含三分之二）通过。</w:t>
      </w:r>
    </w:p>
    <w:p w:rsidR="00D27B31" w:rsidRDefault="00DD08B1">
      <w:pPr>
        <w:pStyle w:val="div"/>
        <w:spacing w:line="360" w:lineRule="auto"/>
        <w:ind w:firstLine="480"/>
        <w:rPr>
          <w:rFonts w:ascii="宋体" w:hAnsi="宋体" w:cs="宋体"/>
          <w:kern w:val="0"/>
          <w:sz w:val="24"/>
          <w:szCs w:val="24"/>
        </w:rPr>
      </w:pPr>
      <w:r>
        <w:rPr>
          <w:rFonts w:ascii="宋体" w:hAnsi="宋体" w:cs="宋体"/>
          <w:kern w:val="0"/>
          <w:sz w:val="24"/>
          <w:szCs w:val="24"/>
        </w:rPr>
        <w:t>同一主侧袋账户内的每份基金份额具有平等的表决权。</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十）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会审议。</w:t>
      </w:r>
    </w:p>
    <w:p w:rsidR="00D27B31" w:rsidRDefault="00DD08B1">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三、基金合同解除和终止的事由、程序以及基金财产清算方式</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（一）《基金合同》的变更</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2、关于《基金合同》变更的基金份额持有人大会决议自生效后方可执行，</w:t>
      </w:r>
      <w:r>
        <w:rPr>
          <w:rFonts w:ascii="宋体" w:hAnsi="宋体" w:cs="宋体"/>
          <w:color w:val="272C36"/>
          <w:kern w:val="0"/>
          <w:sz w:val="24"/>
          <w:szCs w:val="24"/>
        </w:rPr>
        <w:lastRenderedPageBreak/>
        <w:t>自决议生效后两日内在规定媒介公告。</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（二）《基金合同》的终止事由</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有下列情形之一的，经履行相关程序后，《基金合同》应当终止：</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1、基金份额持有人大会决定终止的；</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2、基金管理人、基金托管人职责终止，在6个月内没有新基金管理人、新基金托管人承接的；</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3、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4、基金合同生效满三年之日（指自然日），若基金资产净值低于2亿元人民币的；</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5、《基金合同》约定的其他情形；</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6、相关法律法规和中国证监会规定的其他情况。</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（三）基金财产的清算</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1、基金财产清算小组：自出现《基金合同》终止事由之日起30个工作日内成立清算小组，基金管理人组织基金财产清算小组并在中国证监会的监督下进行基金清算。</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3、基金财产清算小组职责：基金财产清算小组负责基金财产的保管、清理、估价、变现和分配。基金财产清算小组可以依法进行必要的民事活动。</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4、基金财产清算程序：</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（1）《基金合同》终止情形出现时，由基金财产清算小组统一接管基金；</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（2）对基金财产和债权债务进行清理和确认；</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（3）对基金财产进行估值和变现；</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（4）制作清算报告；</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（5）聘请符合《中华人民共和国证券法》规定的会计师事务所对清算报告</w:t>
      </w:r>
      <w:r>
        <w:rPr>
          <w:rFonts w:ascii="宋体" w:hAnsi="宋体" w:cs="宋体"/>
          <w:color w:val="272C36"/>
          <w:kern w:val="0"/>
          <w:sz w:val="24"/>
          <w:szCs w:val="24"/>
        </w:rPr>
        <w:lastRenderedPageBreak/>
        <w:t>进行外部审计，聘请律师事务所对清算报告出具法律意见书；</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（6）将清算报告报中国证监会备案并公告；</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（7）对基金剩余财产进行分配。</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5、基金财产清算的期限为6个月，但因本基金所持证券的流动性受到限制而不能及时变现的，清算期限相应顺延。</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（四）清算费用</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清算费用是指基金财产清算小组在进行基金财产清算过程中发生的所有合理费用，清算费用由基金财产清算小组优先从基金剩余财产中支付。</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（五）基金财产清算剩余资产的分配</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依据基金财产清算的分配方案，将基金财产清算后的全部剩余资产扣除基金财产清算费用、交纳所欠税款并清偿基金债务后，按基金份额持有人持有的</w:t>
      </w:r>
      <w:r>
        <w:rPr>
          <w:rFonts w:ascii="宋体" w:hAnsi="宋体" w:cs="宋体" w:hint="eastAsia"/>
          <w:color w:val="272C36"/>
          <w:kern w:val="0"/>
          <w:sz w:val="24"/>
          <w:szCs w:val="24"/>
        </w:rPr>
        <w:t>各类</w:t>
      </w:r>
      <w:r>
        <w:rPr>
          <w:rFonts w:ascii="宋体" w:hAnsi="宋体" w:cs="宋体"/>
          <w:color w:val="272C36"/>
          <w:kern w:val="0"/>
          <w:sz w:val="24"/>
          <w:szCs w:val="24"/>
        </w:rPr>
        <w:t>基金份额比例进行分配。</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（六）基金财产清算的公告</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rsidR="00D27B31" w:rsidRDefault="00DD08B1">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（七）基金财产清算账册及文件的保存</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基金财产清算账册及有关文件由基金托管人保存，保存期限不少于法定最低期限。</w:t>
      </w:r>
    </w:p>
    <w:p w:rsidR="00D27B31" w:rsidRDefault="00DD08B1">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四、争议解决方式</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各方当事人同意，因《基金合同》而产生的或与《基金合同》有关的一切争议可通过友好协商或者调解解决，如未能协商或者调解解决的，任何一方均有权将争议提交上海国际经济贸易仲裁委员会，按照其届时有效的仲裁规则进行仲裁，仲裁地点为上海市。仲裁裁决是终局的，对各方当事人均有约束力，除非仲裁裁决另有决定，仲裁费用由败诉方承担。</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争议处理期间，基金合同当事人应恪守各自的职责，继续忠实、勤勉、尽责地履行基金合同规定的义务，维护基金份额持有人的合法权益。</w:t>
      </w:r>
    </w:p>
    <w:p w:rsidR="00D27B31" w:rsidRDefault="00DD08B1">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lastRenderedPageBreak/>
        <w:t>《基金合同》受中国法律（为本基金合同之目的，在此不包括香港、澳门特别行政区和台湾地区法律）管辖并从其解释。</w:t>
      </w:r>
    </w:p>
    <w:p w:rsidR="00D27B31" w:rsidRDefault="00DD08B1">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五、基金合同存放地和投资者取得基金合同的方式</w:t>
      </w:r>
    </w:p>
    <w:p w:rsidR="00D27B31" w:rsidRDefault="00DD08B1">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《基金合同》可印制成册，供投资者在基金管理人、基金托管人、销售机构的办公场所和营业场所查阅。</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50" w:name="_Toc256000019"/>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托管协议的内容摘要</w:t>
      </w:r>
      <w:bookmarkEnd w:id="50"/>
    </w:p>
    <w:p w:rsidR="00D27B31" w:rsidRDefault="00D27B31"/>
    <w:p w:rsidR="00D27B31" w:rsidRDefault="00DD08B1">
      <w:pPr>
        <w:pStyle w:val="2"/>
        <w:keepNext w:val="0"/>
        <w:keepLines w:val="0"/>
        <w:spacing w:before="0" w:after="0" w:line="360" w:lineRule="auto"/>
        <w:ind w:firstLine="480"/>
        <w:rPr>
          <w:rFonts w:ascii="宋体" w:eastAsia="宋体" w:hAnsi="宋体" w:cs="宋体"/>
          <w:bCs/>
          <w:sz w:val="24"/>
          <w:szCs w:val="24"/>
        </w:rPr>
      </w:pPr>
      <w:r>
        <w:rPr>
          <w:rFonts w:ascii="宋体" w:eastAsia="宋体" w:hAnsi="宋体" w:cs="宋体"/>
          <w:bCs/>
          <w:sz w:val="24"/>
          <w:szCs w:val="24"/>
        </w:rPr>
        <w:t>一、基金托管协议当事人</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（一）基金管理人</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名称：汇添富基金管理股份有限公司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住所：上海市黄浦区外马路728号9楼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办公地址：上海市黄浦区外马路728号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法定代表人：鲁伟铭</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成立时间：2005年2月3日</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批准设立机关及批准设立文号：中国证监会证监基金字【2005】5号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注册资本：人民币13272.4224万元</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组织形式：股份有限公司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存续期间：持续经营</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（二）基金托管人</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名称：交通银行股份有限公司（简称：交通银行）</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住所：中国（上海）自由贸易试验区银城中路188号（邮政编码：200120）</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办公地址：上海市长宁区仙霞路18号（邮政编码：200336）</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法定代表人：任德奇</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成立时间：1987年3月30日</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批准设立机关及批准设立文号：国务院国发(1986)字第81号文和中国人民银行银发［1987］40号文</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基金托管业务批准文号：中国证监会证监基字［1998］25号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注册资本：742.63亿元人民币</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组织形式：股份有限公司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存续期间：持续经营</w:t>
      </w:r>
    </w:p>
    <w:p w:rsidR="00D27B31" w:rsidRDefault="00DD08B1">
      <w:pPr>
        <w:pStyle w:val="2"/>
        <w:keepNext w:val="0"/>
        <w:keepLines w:val="0"/>
        <w:spacing w:before="0" w:after="0" w:line="360" w:lineRule="auto"/>
        <w:ind w:firstLine="480"/>
        <w:rPr>
          <w:rFonts w:ascii="宋体" w:eastAsia="宋体" w:hAnsi="宋体" w:cs="宋体"/>
          <w:bCs/>
          <w:sz w:val="24"/>
          <w:szCs w:val="24"/>
        </w:rPr>
      </w:pPr>
      <w:r>
        <w:rPr>
          <w:rFonts w:ascii="宋体" w:eastAsia="宋体" w:hAnsi="宋体" w:cs="宋体"/>
          <w:bCs/>
          <w:sz w:val="24"/>
          <w:szCs w:val="24"/>
        </w:rPr>
        <w:t>二、基金托管人对基金管理人的业务监督和核查</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（一）基金托管人对基金管理人的投资行为行使监督权</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1.基金托管人根据有关法律法规的规定及《基金合同》和本协议的约定，对基金的投资范围、投资对象进行监督。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lastRenderedPageBreak/>
        <w:t>本基金主要投资于标的指数成份股、备选成份股。为更好地实现投资目标，基金还可投资于包括国内依法发行上市的股票（含主板、创业板、科创板及其他经中国证监会允许上市的股票、存托凭证）、债券（包括国债、央行票据、金融债、企业债、公司债、中期票据、短期融资券、超短期融资券、次级债券、政府支持债券、政府支持机构债券、地方政府债券、可交换债券、可转换债券（含分离交易可转债）及其他经中国证监会允许投资的债券）、股指期货、国债期货、股票期权、资产支持证券、债券回购、同业存单、银行存款（包含协议存款、定期存款及其他银行存款）、货币市场工具以及法律法规或中国证监会允许基金投资的其他金融工具（但须符合中国证监会相关规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本基金可根据法律法规参与融资及转融通证券出借业务。</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如法律法规或监管机构以后允许基金投资其他品种，基金管理人在履行适当程序后，可以将其纳入投资范围。</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的投资组合比例为：本基金投资于股票的资产不低于基金资产的90%，投资于标的指数成份股、备选成份股的资产的比例不低于非现金基金资产的80%。每个交易日日终在扣除国债期货、股指期货和股票期权合约需缴纳的交易保证金后，本基金保留的现金或投资于到期日在一年以内的政府债券的比例合计不低于基金资产净值的5%。其中现金不包括结算备付金、存出保证金、应收申购款等。</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如法律法规或监管机构变更投资品种的投资比例限制，基金管理人在履行适当程序后，可以调整上述投资品种的投资比例。</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2.基金托管人根据有关法律法规的规定及《基金合同》和本协议的约定，对基金投资、融资比例进行监督。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根据《基金合同》的约定，本基金投资组合比例应符合以下规定：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（1）本基金投资于股票的资产不低于基金资产的90%，投资于标的指数成份股、备选成份股的资产的比例不低于非现金基金资产的80%；</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每个交易日日终在扣除国债期货、股指期货和股票期权合约需缴纳的交易保证金后，本基金保留的现金或投资于到期日在一年以内的政府债券的比例合计不低于基金资产净值的5%。其中现金不包括结算备付金、存出保证金和应收申购款等；</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（3）本基金投资于同一原始权益人的各类资产支持证券的比例，不得超过</w:t>
      </w:r>
      <w:r>
        <w:rPr>
          <w:rFonts w:ascii="宋体" w:hAnsi="宋体" w:cs="宋体" w:hint="eastAsia"/>
          <w:sz w:val="24"/>
          <w:szCs w:val="24"/>
        </w:rPr>
        <w:lastRenderedPageBreak/>
        <w:t>基金资产净值的10%；</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（4）本基金持有的全部资产支持证券，其市值不得超过基金资产净值的20%；</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（5）本基金持有的同一（指同一信用级别）资产支持证券的比例，不得超过该资产支持证券规模的10%；</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（6）本基金管理人管理的全部基金投资于同一原始权益人的各类资产支持证券，不得超过其各类资产支持证券合计规模的10%；</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（7）本基金应投资于信用级别评级为BBB以上（含BBB）的资产支持证券。基金持有资产支持证券期间，如果其信用等级下降、不再符合投资标准，应在评级报告发布之日起3个月内予以全部卖出；</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（8）基金财产参与股票发行申购，本基金所申报的金额不超过本基金的总资产，本基金所申报的股票数量不超过拟发行股票公司本次发行股票的总量；</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9）本基金主动投资于流动性受限资产的市值合计不得超过本基金资产净值的15%；因证券市场波动、上市公司股票停牌、基金规模变动等基金管理人之外的因素致使基金不符合该比例限制的，基金管理人不得主动新增流动性受限资产的投资；</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（10）本基金与私募类证券资管产品及中国证监会认定的其他主体为交易对手开展逆回购交易的，可接受质押品的资质要求应当与基金合同约定的投资范围保持一致；</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（11）本基金资产总值不超过基金资产净值的140%；</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（12）本基金参与股指期货和国债期货交易的，应当遵守下列要求：</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在任何交易日日终，持有的买入国债期货和股指期货合约价值与有价证券市值之和，不得超过基金资产净值的100%；其中，有价证券指股票、债券（不含到期日在一年以内的政府债券）、资产支持证券、买入返售金融资产（不含质押式回购）等；</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w:t>
      </w:r>
      <w:r>
        <w:rPr>
          <w:rFonts w:ascii="宋体" w:hAnsi="宋体" w:cs="宋体" w:hint="eastAsia"/>
          <w:sz w:val="24"/>
          <w:szCs w:val="24"/>
        </w:rPr>
        <w:lastRenderedPageBreak/>
        <w:t>合同》关于股票投资比例的有关约定；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本基金在任何交易日日终，持有的买入国债期货合约价值，不得超过基金资产净值的15%；在任何交易日日终，持有的卖出国债期货合约价值不得超过基金持有的债券总市值的30%；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13）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（14）本基金参与融资的，每个交易日日终，本基金持有的融资买入股票与其他有价证券市值之和，不得超过基金资产净值的95%；</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15）本基金参与转融通证券出借业务的，应当符合下列要求：最近6个月内日均基金资产净值不得低于2亿元；参与转融通证券出借业务的资产不得超过基金资产净值的30%，其中出借期限在10个交易日以上的出借证券归为流动性受限资产；参与转融通证券出借业务的单只证券不得超过基金持有该证券总量的50%；证券出借的平均剩余期限不得超过30天，平均剩余期限按照市值加权平均计算；</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（16）本基金投资存托凭证的比例限制依照境内上市交易的股票执行；</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（17）法律法规及中国证监会规定的和《基金合同》约定的其他投资限制。</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除上述第（2）、（7）、（9）、（10）、（15）项情形之外，因证券/期货市场波动、证券发行人合并、标的指数成份股调整、标的指数成份股流动性限制、基金规模变动等基金管理人之外的因素致使基金投资比例不符合上述规定投资比例的，基金管理人应当在10个交易日内进行调整，但中国证监会规定的特殊情形除外。因证券市场波动、证券发行人合并、基金规模变动等基金管理人之外的因素致使基金投资不符合第（15）项规定的，基金管理人不得新增出借业务。法律法规另有规定的从其规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lastRenderedPageBreak/>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法律法规或监管部门取消或调整上述限制，如适用于本基金，基金管理人在履行适当程序后，则本基金投资不再受相关限制或以调整以后的规定为准。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基金托管人依照上述规定对本基金的投资组合限制及调整期限进行监督。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3.基金托管人根据有关法律法规的规定及基金合同和本协议的约定，对基金投资禁止行为进行监督。基金财产不得用于下列投资或者活动。</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（1）承销证券；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（2）违反规定向他人贷款或者提供担保；</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（3）从事承担无限责任的投资；</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（4）买卖其他基金份额，但是法律法规或中国证监会另有规定的除外；</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（5）向其基金管理人、基金托管人出资；</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（6）从事内幕交易、操纵证券交易价格及其他不正当的证券交易活动；</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（7）法律、行政法规和中国证监会规定禁止的其他活动。</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法律法规或监管部门取消或调整上述限制，如适用于本基金，基金管理人在履行适当程序后，则本基金投资不再受相关限制或以调整以后的规定为准。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在基金合同生效后，基金管理人和基金托管人应相互提供与本机构有控股关系的股东或者与本机构有其他重大利害关系的公司名单，以上名单发生变化的，应及时予以更新并通知对方。</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4.基金托管人根据有关法律法规的规定及基金合同和本协议的约定，对基金</w:t>
      </w:r>
      <w:r>
        <w:rPr>
          <w:rFonts w:ascii="宋体" w:hAnsi="宋体" w:cs="宋体" w:hint="eastAsia"/>
          <w:sz w:val="24"/>
          <w:szCs w:val="24"/>
        </w:rPr>
        <w:lastRenderedPageBreak/>
        <w:t>管理人参与银行间债券市场进行监督。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（1）基金托管人依据有关法律法规的规定和《基金合同》的约定对于基金管理人参与银行间市场交易时面临的交易对手资信风险进行监督。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应向基金托管人提供符合法律法规及行业标准的银行间市场交易对手的名单。基金托管人在收到名单后2个工作日内电话或回函确认收到该名单。基金管理人应定期和不定期对银行间市场现券及回购交易对手的名单进行更新。基金托管人在收到名单后2个工作日内电话或书面回函确认，新名单自基金托管人确认当日生效。新名单生效前已与本次剔除的交易对手所进行但尚未结算的交易，仍应按照协议进行结算。</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（2）基金管理人参与银行间市场交易时，有责任控制交易对手的资信风险，由于交易对手资信风险引起的损失，基金管理人应当负责向相关责任人追偿。</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5.基金托管人根据有关法律法规的规定及基金合同和本协议的约定，对基金管理人银行存款业务进行监督。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本基金投资银行存款应符合如下规定：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（1）基金管理人、基金托管人应当与存款银行建立对账机制，确保基金银行存款业务账目及核算的真实、准确。</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（2）基金托管人应加强对基金银行存款业务的监督与核查，严格审查、复核相关协议、账户资料、投资指令、存款证实书等有关文件，切实履行托管职责。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（3）基金管理人与基金托管人在开展基金存款业务时，应严格遵守《基金法》、《运作办法》等有关法律法规，以及国家有关账户管理、利率管理、支付结算等的各项规定。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6.基金托管人对基金投资流通受限证券的监督。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（1）基金投资流通受限证券，应遵守《关于基金投资非公开发行股票等流通受限证券有关问题的通知》等有关法律法规规定。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流通受限证券与上文所述的流动性受限资产的范围并不完全一致，包括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lastRenderedPageBreak/>
        <w:t>（3）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应至少于拟执行投资指令前两个工作日将上述信息书面发至基金托管人，保证基金托管人有足够的时间进行审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基金托管人应对基金管理人提供的有关书面信息进行审核，基金托管人认为上述资料可能导致基金投资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因拒绝执行该指令造成基金财产损失的，基金托管人不承担任何责任，并有权报告中国证监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如基金管理人和基金托管人无法达成一致，应及时上报中国证监会请求解决。如果基金托管人切实履行监督职责，则不承担任何责任。</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7.基金管理人运用基金财产参与转融通证券出借业务，应当遵守审慎经营原则，配备技术系统和专业人员，制定科学合理的投资策略和风险管理制度，完善业务流程，有效防范和控制风险，基金托管人将对基金参与出借业务进行监督和复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8.基金托管人根据法律法规的规定及《基金合同》和本协议的约定，对基金投资其他方面进行监督。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lastRenderedPageBreak/>
        <w:t>（二）基金托管人应根据有关法律法规的规定及《基金合同》的约定，对基金资产净值计算、各类基金份额净值计算、应收资金到账、基金费用开支及收入确认、基金收益分配、相关信息披露、基金宣传推介材料中登载基金业绩表现数据等进行监督和核查。如果基金管理人未经基金托管人的审核擅自将不实的业绩表现数据印制在宣传推介材料上，则基金托管人对此不承担任何责任，并有权在发现后报告中国证监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三）基金管理人应积极配合和协助基金托管人的监督和核查，在规定时间内答复并改正，就基金托管人的合理疑义进行解释或举证。对基金托管人按照法规要求需向中国证监会报送基金监督报告的，基金管理人应积极配合提供相关数据资料和制度等。</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发现基金管理人的投资指令或实际投资运作违反《基金法》及其他有关法规、《基金合同》和本协议规定的行为，应及时以书面形式通知基金管理人限期纠正，基金管理人收到通知后应及时核对，并以电话或书面形式向基金托管人反馈，说明违规原因及纠正期限，并保证在规定期限内及时改正。在限期内，基金托管人有权随时对通知事项进行复查，督促基金管理人改正。基金管理人对基金托管人通知的违规事项未能在限期内纠正的，基金托管人有权报告中国证监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基金托管人发现基金管理人有重大违规行为，应立即报告中国证监会，同时通知基金管理人在限期内纠正。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基金托管人发现基金管理人的指令违反法律、行政法规和其他有关规定，或者违反《基金合同》约定的，应当拒绝执行，立即通知基金管理人，并按规定向中国证监会报告。</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基金托管人发现基金管理人依据交易程序已经生效的指令违反法律、行政法规和其他有关规定，或者违反《基金合同》约定的，应当立即通知基金管理人，并按规定向中国证监会报告。</w:t>
      </w:r>
    </w:p>
    <w:p w:rsidR="00D27B31" w:rsidRDefault="00DD08B1">
      <w:pPr>
        <w:pStyle w:val="2"/>
        <w:keepNext w:val="0"/>
        <w:keepLines w:val="0"/>
        <w:spacing w:before="0" w:after="0" w:line="360" w:lineRule="auto"/>
        <w:ind w:firstLine="480"/>
        <w:rPr>
          <w:rFonts w:ascii="宋体" w:eastAsia="宋体" w:hAnsi="宋体" w:cs="宋体"/>
          <w:bCs/>
          <w:sz w:val="24"/>
          <w:szCs w:val="24"/>
        </w:rPr>
      </w:pPr>
      <w:r>
        <w:rPr>
          <w:rFonts w:ascii="宋体" w:eastAsia="宋体" w:hAnsi="宋体" w:cs="宋体"/>
          <w:bCs/>
          <w:sz w:val="24"/>
          <w:szCs w:val="24"/>
        </w:rPr>
        <w:t>三、基金管理人对基金托管人的业务核查</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根据《基金法》及其他有关法规、《基金合同》和本协议规定，基金管理人对基金托管人履行托管职责的情况进行核查，核查事项包括但不限于基金托管人是否安全保管基金财产、开立基金财产的资金账户、证券账户及债券托管账户等</w:t>
      </w:r>
      <w:r>
        <w:rPr>
          <w:rFonts w:ascii="宋体" w:hAnsi="宋体" w:cs="宋体" w:hint="eastAsia"/>
          <w:sz w:val="24"/>
          <w:szCs w:val="24"/>
        </w:rPr>
        <w:lastRenderedPageBreak/>
        <w:t>投资所需账户，是否及时、准确复核基金管理人计算的基金资产净值和各类基金份额净值，是否根据基金管理人指令办理清算交收，是否按照法规规定和《基金合同》规定进行相关信息披露和监督基金投资运作等行为。</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定期和不定期地对基金托管人保管的基金资产进行核查。基金托管人应积极配合基金管理人的核查行为，包括但不限于：提交相关资料以供基金管理人核查托管财产的完整性和真实性，在规定时间内答复并改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发现基金托管人未对基金资产实行分账管理、擅自挪用基金资产、未执行或无故延迟执行基金管理人资金划拨指令、泄露基金投资信息等违反《基金法》、《基金合同》、本协议及其他有关规定的，应及时以书面形式通知基金托管人在限期内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报告中国证监会。对基金管理人按照法规要求需向中国证监会报送基金监督报告的，基金托管人应积极配合提供相关数据资料和制度等。</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基金管理人发现基金托管人有重大违规行为，应立即报告中国证监会，同时通知基金托管人在限期内纠正。</w:t>
      </w:r>
    </w:p>
    <w:p w:rsidR="00D27B31" w:rsidRDefault="00DD08B1">
      <w:pPr>
        <w:pStyle w:val="2"/>
        <w:keepNext w:val="0"/>
        <w:keepLines w:val="0"/>
        <w:spacing w:before="0" w:after="0" w:line="360" w:lineRule="auto"/>
        <w:ind w:firstLine="480"/>
        <w:rPr>
          <w:rFonts w:ascii="宋体" w:eastAsia="宋体" w:hAnsi="宋体" w:cs="宋体"/>
          <w:bCs/>
          <w:sz w:val="24"/>
          <w:szCs w:val="24"/>
        </w:rPr>
      </w:pPr>
      <w:r>
        <w:rPr>
          <w:rFonts w:ascii="宋体" w:eastAsia="宋体" w:hAnsi="宋体" w:cs="宋体"/>
          <w:bCs/>
          <w:sz w:val="24"/>
          <w:szCs w:val="24"/>
        </w:rPr>
        <w:t>四、基金财产</w:t>
      </w:r>
      <w:r>
        <w:rPr>
          <w:rFonts w:ascii="宋体" w:eastAsia="宋体" w:hAnsi="宋体" w:cs="宋体" w:hint="eastAsia"/>
          <w:bCs/>
          <w:sz w:val="24"/>
          <w:szCs w:val="24"/>
        </w:rPr>
        <w:t>的</w:t>
      </w:r>
      <w:r>
        <w:rPr>
          <w:rFonts w:ascii="宋体" w:eastAsia="宋体" w:hAnsi="宋体" w:cs="宋体"/>
          <w:bCs/>
          <w:sz w:val="24"/>
          <w:szCs w:val="24"/>
        </w:rPr>
        <w:t>保管</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（一）基金财产保管的原则</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1.基金托管人应安全保管基金财产，未经基金管理人的指令，不得自行运用、处分、分配基金的任何资产，非因基金财产本身承担的债务，不得对基金财产强制执行。</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基金财产应独立于基金管理人、基金托管人的固有财产。基金财产的债权、不得与基金管理人、基金托管人固有财产的债务相抵销，不同基金财产的债权债务，不得相互抵销。基金管理人、基金托管人以其自有资产承担法律责任，其债权人不得对基金财产行使请求冻结、扣押和其他权利。</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3.基金托管人按照规定开立基金财产的资金账户、证券账户和债券托管账户等投资所需账户，基金管理人和基金托管人按照规定开立期货资金账户。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4.基金托管人对所托管的不同基金财产分别设置账户，与基金托管人的其他业务和其他基金的托管业务实行严格的分账管理，独立核算，确保基金财产的完</w:t>
      </w:r>
      <w:r>
        <w:rPr>
          <w:rFonts w:ascii="宋体" w:hAnsi="宋体" w:cs="宋体" w:hint="eastAsia"/>
          <w:sz w:val="24"/>
          <w:szCs w:val="24"/>
        </w:rPr>
        <w:lastRenderedPageBreak/>
        <w:t>整和独立。</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对于因为基金投资产生的应收资产和基金申购过程中产生的应收资产，应由基金管理人负责与有关当事人确定到账日期并通知基金托管人，到账日基金资产没有到达基金银行存款账户（即资金账户，下同）的，基金托管人应及时通知基金管理人采取措施进行催收。由此给基金造成损失的，基金管理人应负责向有关当事人追偿基金的损失。基金托管人对此不承担任何责任。</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（二）基金募集资产的验证</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募集期届满或基金提前结束募集之日起10日内，由基金管理人聘请符合《中华人民共和国证券法》规定的会计师事务所进行验资，出具验资报告，出具的验资报告应由参加验资的2名以上（含2名）中国注册会计师签字有效。会计师事务所提交的验资报告需对发起资金提供方及其持有份额进行专门说明。验资完成，基金管理人应将募集到的全部资金存入基金托管人为基金开立的基金银行存款账户中，基金托管人在收到资金当日出具相关证明文件。</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（三）基金的银行存款账户的开立和管理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1.基金托管人应负责本基金银行存款账户的开立和管理。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基金托管人以本基金的名义在其营业机构开立基金的银行存款账户，并根据基金管理人合法合规的指令办理资金收付。本基金的银行预留印鉴由基金托管人保管和使用。本基金的一切货币收支活动，包括但不限于投资、支付赎回款项、支付基金收益，均需通过本基金的银行存款账户进行。</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本基金银行存款账户的开立和使用，限于满足开展本基金业务的需要。基金托管人和基金管理人不得假借本基金的名义开立其他任何银行存款账户；亦不得使用基金的任何银行存款账户进行本基金业务以外的活动。</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4.基金托管人可以通过申请开通本基金银行存款账户的企业网上银行业务进行资金支付，并使用交通银行企业网上银行（简称“交通银行网银”）办理托管资产的资金结算汇划业务。</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5.基金银行存款账户的管理应符合银行业监督管理机构的有关规定。</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（四）基金证券账户、资金交收账户的开立和管理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基金托管人以基金托管人和本基金联名的方式在中国证券登记结算有限责任公司开立证券账户。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lastRenderedPageBreak/>
        <w:t>基金证券账户的开立和使用，限于满足开展本基金业务的需要。基金托管人和基金管理人不得出借和未经对方同意擅自转让基金的任何证券账户；亦不得使用基金的任何账户进行本基金业务以外的活动。</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基金管理人不得对基金证券账户、资金交收账户进行证券的超卖或超买。基金证券账户资产的管理和运用由基金管理人负责。</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以基金托管人的名义在中国证券登记结算有限责任公司开立结算备付金账户即资金交收账户，用于证券交易资金的结算。基金托管人以本基金的名义在基金托管人处开立基金的证券交易资金结算的二级结算备付金账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（五）债券托管账户的开立和管理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合同生效后，基金管理人负责向中国人民银行进行报备，基金托管人在备案通过后在中央国债登记结算有限责任公司及银行间市场清算所股份有限公司以本基金的名义开立债券托管账户，并由基金托管人负责基金的债券及资金的清算。基金管理人负责申请基金进入全国银行间同业拆借市场进行交易，由基金管理人在中国外汇交易中心开设同业拆借市场交易账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2.基金管理人代表基金签订全国银行间债券市场债券回购主协议，协议正本由基金管理人保存。</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（六）期货相关账户的开立和管理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基金管理人、基金托管人应当按照相关规定开立期货资金账户，在中国金融期货交易所获取交易编码。期货资金账户名称及交易编码对应名称应按照有关规定设立。</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基金托管人已取得期货保证金存管银行资格，基金管理人授权基金托管人办理相关银期转账业务。</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（七）基金投资银行存款账户的开立和管理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存款账户必须以基金名义开立，账户名称为基金名称，存款账户开户文件上加盖预留印鉴（须包括基金托管人印章）及基金管理人公章。</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本基金投资银行存款时，基金管理人应当与存款银行签订具体存款协议/存款确认单据，明确存款的类型、期限、利率、金额、账号、对账方式、支取方式、存款到期指定收款账户等细则。</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为防范特殊情况下的流动性风险，存款协议中应当约定提前支取条款。</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lastRenderedPageBreak/>
        <w:t>（八）其他账户的开立和管理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若中国证监会或其他监管机构在本托管协议订立日之后允许基金从事其他投资品种的投资业务，涉及相关账户的开立、使用的，由基金管理人协助基金托管人根据有关法律法规的规定和《基金合同》的约定，开立有关账户。该账户按有关规则使用并管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（九）基金财产投资的有关实物证券、银行存款定期存单等有价凭证的保管</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实物证券由基金托管人存放于基金托管人的保管库。实物证券的购买和转让，由基金托管人根据基金管理人的指令办理。基金托管人对由基金托管人以外机构实际有效控制的本基金资产不承担保管责任。</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银行存款定期存单等有价凭证由基金托管人负责保管。</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基金托管人只负责对存款证实书进行保管，不负责对存款证实书真伪的辨别，不承担存款证实书对应存款的本金及收益的安全保管责任。</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（十）与基金财产有关的重大合同的保管</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由基金管理人代表基金签署的与基金有关的重大合同的原件分别由基金托管人、基金管理人保管，相关业务程序另有限制除外。除本协议另有规定外，基金管理人在代表基金签署与基金有关的重大合同时应尽可能保证基金一方持有二份以上的正本，以便基金管理人和基金托管人至少各持有一份正本的原件，基金管理人应及时将正本送达基金托管人处。合同的保管期限按照国家有关规定执行。</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对于无法取得二份以上的正本的，基金管理人应向基金托管人提供加盖授权业务章的合同传真件，未经双方协商或未在合同约定范围内，合同原件不得转移。</w:t>
      </w:r>
    </w:p>
    <w:p w:rsidR="00D27B31" w:rsidRDefault="00DD08B1">
      <w:pPr>
        <w:pStyle w:val="2"/>
        <w:keepNext w:val="0"/>
        <w:keepLines w:val="0"/>
        <w:spacing w:before="0" w:after="0" w:line="360" w:lineRule="auto"/>
        <w:ind w:firstLine="480"/>
        <w:rPr>
          <w:rFonts w:ascii="宋体" w:eastAsia="宋体" w:hAnsi="宋体" w:cs="宋体"/>
          <w:bCs/>
          <w:sz w:val="24"/>
          <w:szCs w:val="24"/>
        </w:rPr>
      </w:pPr>
      <w:r>
        <w:rPr>
          <w:rFonts w:ascii="宋体" w:eastAsia="宋体" w:hAnsi="宋体" w:cs="宋体"/>
          <w:bCs/>
          <w:sz w:val="24"/>
          <w:szCs w:val="24"/>
        </w:rPr>
        <w:t>五、基金资产净值计算和会计核算</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（一）基金资产净值及基金份额净值的计算与复核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基金资产净值是指基金资产总值减去基金负债后的价值。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应每个估值日对基金资产估值。估值原则应符合《基金合同》、《中国证监会关于证券投资基金估值业务的指导意见》及其他法律、法规的规定。用于基金信息披露的基金资产净值和各类基金份额净值由基金管理人负责计算，基金托管人复核。基金管理人应于每个估值日交易结束后计算当日的各类基金份额的基金资产净值和基金份额净值，以约定方式发送给基金托管人。基金托管人</w:t>
      </w:r>
      <w:r>
        <w:rPr>
          <w:rFonts w:ascii="宋体" w:hAnsi="宋体" w:cs="宋体" w:hint="eastAsia"/>
          <w:sz w:val="24"/>
          <w:szCs w:val="24"/>
        </w:rPr>
        <w:lastRenderedPageBreak/>
        <w:t>对净值计算结果复核后，将复核结果反馈给基金管理人，由基金管理人对各类基金份额净值按约定予以公布。</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本基金按以下方法估值：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1、证券交易所上市的有价证券的估值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（3）交易所上市不存在活跃市场的有价证券，采用估值技术确定公允价值。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2、处于未上市期间的有价证券应区分如下情况处理：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（1）送股、转增股、配股和公开增发的新股，按估值日在证券交易所挂牌的同一股票的估值方法估值；该日无交易的，以最近一日的市价（收盘价）估值；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（2）首次公开发行未上市的股票，采用估值技术确定公允价值，在估值技术难以可靠计量公允价值的情况下，按成本估值；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3、以公允价值计量的固定收益品种</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（1）对于已上市或已挂牌转让的不含权固定收益品种，选取第三方估值基准服务机构提供的相应品种当日的估值全价；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（2）对于已上市或已挂牌转让的含权固定收益品种，选取第三方估值基准服务机构提供的相应品种当日的唯一估值全价或推荐估值全价；</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（3）对于含投资者回售权的固定收益品种，行使回售权的，在回售登记日</w:t>
      </w:r>
      <w:r>
        <w:rPr>
          <w:rFonts w:ascii="宋体" w:hAnsi="宋体" w:cs="宋体" w:hint="eastAsia"/>
          <w:sz w:val="24"/>
          <w:szCs w:val="24"/>
        </w:rPr>
        <w:lastRenderedPageBreak/>
        <w:t>至实际收款日期间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（4）对于未上市或未挂牌转让且不存在活跃市场的固定收益品种，应采用在当前情况下适用并且有足够可利用数据和其他信息支持的估值技术确定其公允价值。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5、同一证券同时在两个或两个以上市场交易的，按证券所处的市场分别估值。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6、本基金投资股指期货合约，一般以股指期货估值日的结算价进行估值，估值当日无结算价的，且最近交易日后经济环境未发生重大变化的，采用最近交易日结算价估值。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7、本基金投资股票期权合约，一般以股票期权估值日的结算价进行估值，估值当日无结算价的，且最近交易日后经济环境未发生重大变化的，采用最近交易日结算价估值。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8、本基金投资国债期货合约，一般以国债期货估值日的结算价进行估值，估值当日无结算价的，且最近交易日后经济环境未发生重大变化的，采用最近交易日结算价估值。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9、本基金参与融资和转融通证券出借业务的，按照相关法律法规和行业协会的相关规定进行估值。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10、本基金投资存托凭证的估值核算，依照境内上市交易的股票进行。</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11、如有确凿证据表明按上述方法进行估值不能客观反映其公允价值的，基金管理人可根据具体情况与基金托管人商定后，按最能反映公允价值的价格估值。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12、当发生大额申购或赎回情形时，基金管理人可以采用摆动定价机制，以</w:t>
      </w:r>
      <w:r>
        <w:rPr>
          <w:rFonts w:ascii="宋体" w:hAnsi="宋体" w:cs="宋体" w:hint="eastAsia"/>
          <w:sz w:val="24"/>
          <w:szCs w:val="24"/>
        </w:rPr>
        <w:lastRenderedPageBreak/>
        <w:t>确保基金估值的公平性。</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13、相关法律法规以及监管部门有强制规定的，从其规定。如有新增事项，按国家最新规定估值。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由此给基金份额持有人和基金造成的损失以及因该交易日基金资产净值计算顺延错误而引起的损失，由基金管理人负责赔付，基金托管人不负责赔付。</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（二）净值差错处理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当发生净值计算错误时，由基金管理人负责处理，由此给基金份额持有人和基金造成损失的，由基金管理人对基金份额持有人或者基金先行支付赔偿金。基金管理人和基金托管人应根据实际情况界定双方承担的责任，经确认后按以下条款进行赔偿。</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如采用本协议第八章“基金资产净值及基金份额净值的计算与复核”中估值方法的第1－10、12、13进行处理时，若基金管理人净值计算出错，基金托管人在复核过程中没有发现，且造成基金份额持有人损失的，应根据法律法规的规定对投资者或基金支付赔偿金，就实际向投资者或基金支付的赔偿金额，由基金管理人与基金托管人按照管理费率和托管费率的比例各自承担相应的责任；</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以及因该交易日基金资产净值计算顺延错误而引起的损失，由基金管理人负责赔付，基金托管人不负赔偿责任；</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3.基金管理人、基金托管人按估值方法的第11项进行估值时，所造成的误差不作为基金资产估值错误处理。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lastRenderedPageBreak/>
        <w:t>由于证券/期货交易所、登记结算公司、指数编制机构等第三方机构发送的数据错误，有关会计制度变化或由于其他不可抗力等原因，基金管理人和基金托管人虽然已经采取必要、适当、合理的措施进行检查，但未能发现错误的，由此造成的基金资产估值错误，基金管理人和基金托管人免除赔偿责任。但基金管理人和基金托管人应当积极采取必要的措施减轻或消除由此造成的影响。</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针对净值差错处理，如果法律法规或中国证监会有新的规定，则按新的规定执行；如果行业有通行做法，在不违反法律法规且不损害投资者利益的前提下，双方应本着平等和保护基金份额持有人利益的原则重新协商确定处理原则。</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4.实施侧袋机制期间的基金资产估值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本基金实施侧袋机制的，应根据本部分的约定对主袋账户资产进行估值并披露主袋账户的基金净值信息，暂停披露侧袋账户份额净值。</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（三）基金会计制度</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按国家有关部门制定的会计制度执行。</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（四）基金账册的建立</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和基金托管人在《基金合同》生效后，应按照双方约定的同一记账方法和会计处理原则，分别独立地设置、登录和保管本基金的全套账册，对双方各自的账册定期进行核对，互相监督，以保证基金财产的安全。若双方对会计处理方法存在分歧，应以基金管理人的处理方法为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（五）会计数据和财务指标的核对</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双方应每个交易日核对账目，如发现双方的账目存在不符的，基金管理人和基金托管人必须及时查明原因并纠正，确保核对一致。若当日核对不符，暂时无法查找到错账的原因而影响到基金资产净值的计算和公告的，以基金管理人的账册为准。</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（六）基金定期报告的编制和复核</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财务报表由基金管理人和基金托管人每月分别独立编制。月度报表的编制，应于每月结束后5个工作日内完成。定期报告文件应按中国证监会的要求公告。季度报告的编制，应于每季度终了后15个工作日内完成；基金招募说明书、基金产品资料概要的信息发生重大变更的，基金管理人应当在3个工作日内，更新基金招募说明书和基金产品资料概要并登载在规定网站上，基金产品资料概要</w:t>
      </w:r>
      <w:r>
        <w:rPr>
          <w:rFonts w:ascii="宋体" w:hAnsi="宋体" w:cs="宋体" w:hint="eastAsia"/>
          <w:sz w:val="24"/>
          <w:szCs w:val="24"/>
        </w:rPr>
        <w:lastRenderedPageBreak/>
        <w:t>还应登载在基金销售机构网站或营业网点；基金招募说明书、基金产品资料概要的其他信息发生变更的，基金管理人至少每年更新一次。基金终止运作的，基金管理人不再更新基金招募说明书、基金产品资料概要。</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中期报告在上半年结束之日起2个月内公告；年度报告在每年结束之日起3个月内公告。如果基金合同生效不足2个月的，基金管理人可以不编制当期季度报告、中期报告或者年度报告。</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管理人在月初3个工作日内完成上个月月度报表的编制，以约定方式将有关报表提供基金托管人；基金托管人收到后在2个工作日内进行复核，并将复核结果及时书面或以双方约定的其他方式通知基金管理人。对于季度报告、中期报告、年度报告、更新招募说明书、更新基金产品资料概要等，基金管理人和基金托管人应在上述监管部门规定的时间内完成编制、复核及公告。基金托管人在复核过程中，发现双方的报表存在不符时，基金管理人和基金托管人应共同查明原因，进行调整，调整以双方认可的账务处理方式为准。如果基金管理人与基金托管人不能于应当发布公告之日前就相关报表达成一致，基金管理人有权按照其编制的报表对外发布公告，基金托管人有权就相关情况报中国证监会备案。</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基金托管人对上述报告复核完毕后，可以出具复核确认书（盖章）或以其他双方约定的方式确认，以备有权机构对相关文件审核检查。</w:t>
      </w:r>
    </w:p>
    <w:p w:rsidR="00D27B31" w:rsidRDefault="00DD08B1">
      <w:pPr>
        <w:pStyle w:val="2"/>
        <w:keepNext w:val="0"/>
        <w:keepLines w:val="0"/>
        <w:spacing w:before="0" w:after="0" w:line="360" w:lineRule="auto"/>
        <w:ind w:firstLine="480"/>
        <w:rPr>
          <w:rFonts w:ascii="宋体" w:eastAsia="宋体" w:hAnsi="宋体" w:cs="宋体"/>
          <w:bCs/>
          <w:sz w:val="24"/>
          <w:szCs w:val="24"/>
        </w:rPr>
      </w:pPr>
      <w:r>
        <w:rPr>
          <w:rFonts w:ascii="宋体" w:eastAsia="宋体" w:hAnsi="宋体" w:cs="宋体"/>
          <w:bCs/>
          <w:sz w:val="24"/>
          <w:szCs w:val="24"/>
        </w:rPr>
        <w:t>六、基金份额持有人名册的保管</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份额持有人名册至少应包括基金份额持有人的名称和持有的基金份额。基金份额持有人名册由基金登记机构根据基金管理人的指令编制和保管，基金管理人和基金托管人应分别保管基金份额持有人名册，基金登记机构保存期不低于法律法规规定的最低期限。如不能妥善保管，则按相关法规承担责任。</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在基金托管人要求或编制中期报告和年度报告前，基金管理人应将有关资料送交基金托管人，不得无故拒绝或延误提供，并保证其的真实性、准确性和完整性。基金托管人不得将所保管的基金份额持有人名册用于基金托管业务以外的其他用途，并应遵守保密义务。</w:t>
      </w:r>
    </w:p>
    <w:p w:rsidR="00D27B31" w:rsidRDefault="00DD08B1">
      <w:pPr>
        <w:pStyle w:val="2"/>
        <w:keepNext w:val="0"/>
        <w:keepLines w:val="0"/>
        <w:spacing w:before="0" w:after="0" w:line="360" w:lineRule="auto"/>
        <w:ind w:firstLine="480"/>
        <w:rPr>
          <w:rFonts w:ascii="宋体" w:eastAsia="宋体" w:hAnsi="宋体" w:cs="宋体"/>
          <w:bCs/>
          <w:sz w:val="24"/>
          <w:szCs w:val="24"/>
        </w:rPr>
      </w:pPr>
      <w:r>
        <w:rPr>
          <w:rFonts w:ascii="宋体" w:eastAsia="宋体" w:hAnsi="宋体" w:cs="宋体"/>
          <w:bCs/>
          <w:sz w:val="24"/>
          <w:szCs w:val="24"/>
        </w:rPr>
        <w:t>七、争议解决方式</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双方当事人同意，因本协议而产生的或与本协议有关的一切争议，应通过友好协商或者调解解决。托管协议当事人不愿通过协商、调解解决或者协商、调解</w:t>
      </w:r>
      <w:r>
        <w:rPr>
          <w:rFonts w:ascii="宋体" w:hAnsi="宋体" w:cs="宋体" w:hint="eastAsia"/>
          <w:sz w:val="24"/>
          <w:szCs w:val="24"/>
        </w:rPr>
        <w:lastRenderedPageBreak/>
        <w:t>不成的，任何一方当事人均有权将争议提交上海国际经济贸易仲裁委员会，根据该会届时有效的仲裁规则进行仲裁，仲裁的地点在上海市，仲裁裁决是终局的，并对相关各方当事人均有约束力。除非仲裁裁决另有决定，仲裁费用由败诉方承担。</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争议处理期间，双方当事人应恪守基金管理人和基金托管人职责，继续忠实、勤勉、尽责地履行《基金合同》和本协议规定的义务，维护基金份额持有人的合法权益。</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本协议受中华人民共和国法律（为本协议之目的，在此不包括香港、澳门特别行政区和台湾地区法律）管辖并从其解释。</w:t>
      </w:r>
    </w:p>
    <w:p w:rsidR="00D27B31" w:rsidRDefault="00DD08B1">
      <w:pPr>
        <w:pStyle w:val="2"/>
        <w:keepNext w:val="0"/>
        <w:keepLines w:val="0"/>
        <w:spacing w:before="0" w:after="0" w:line="360" w:lineRule="auto"/>
        <w:ind w:firstLine="480"/>
        <w:rPr>
          <w:rFonts w:ascii="宋体" w:eastAsia="宋体" w:hAnsi="宋体" w:cs="宋体"/>
          <w:bCs/>
          <w:sz w:val="24"/>
          <w:szCs w:val="24"/>
        </w:rPr>
      </w:pPr>
      <w:r>
        <w:rPr>
          <w:rFonts w:ascii="宋体" w:eastAsia="宋体" w:hAnsi="宋体" w:cs="宋体"/>
          <w:bCs/>
          <w:sz w:val="24"/>
          <w:szCs w:val="24"/>
        </w:rPr>
        <w:t>八、基金托管协议的变更、终止与基金财产的清算</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（一）基金托管协议的变更</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本协议双方当事人经协商一致，可以对协议进行修改。修改后的新协议，其内容不得与《基金合同》的规定有任何冲突。基金管理人应根据法律法规的规定履行备案程序或根据中国证监会的要求完成变更程序。</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（二）基金托管协议的终止</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1.《基金合同》终止；</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2.基金托管人解散、依法被撤销、破产，被依法取消基金托管资格或因其他事由造成其他基金托管人接管基金财产；</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3.基金管理人解散、依法被撤销、破产，被依法取消基金管理资格或因其他事由造成其他基金管理人接管基金管理权；</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4.发生《基金法》、《运作办法》或其他法律法规规定的终止事项。</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（三）基金财产的清算</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1.基金财产清算小组：自出现《基金合同》终止事由之日起30个工作日内成立清算小组，基金管理人组织基金财产清算小组并在中国证监会的监督下进行基金清算。</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3.基金财产清算小组职责：基金财产清算小组负责基金财产的保管、清理、</w:t>
      </w:r>
      <w:r>
        <w:rPr>
          <w:rFonts w:ascii="宋体" w:hAnsi="宋体" w:cs="宋体" w:hint="eastAsia"/>
          <w:sz w:val="24"/>
          <w:szCs w:val="24"/>
        </w:rPr>
        <w:lastRenderedPageBreak/>
        <w:t>估价、变现和分配。基金财产清算小组可以依法进行必要的民事活动。</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4.基金财产清算程序：</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（1）《基金合同》终止情形出现时，由基金财产清算小组统一接管基金；</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（2）对基金财产和债权债务进行清理和确认；</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（3）对基金财产进行估值和变现；</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（4）制作清算报告；</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（5）聘请符合《中华人民共和国证券法》规定的会计师事务所对清算报告进行外部审计，聘请律师事务所对清算报告出具法律意见书；</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（6）将清算报告报中国证监会备案并公告；</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（7）对基金剩余财产进行分配。</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5.基金财产清算的期限为6个月，但因本基金所持证券的流动性受到限制而不能及时变现的，清算期限相应顺延。</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6.清算费用</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清算费用是指基金财产清算小组在进行基金财产清算过程中发生的所有合理费用，清算费用由基金财产清算小组优先从基金剩余财产中支付。</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7.基金财产清算剩余资产的分配</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依据基金财产清算的分配方案，将基金财产清算后的全部剩余资产扣除基金财产清算费用、交纳所欠税款并清偿基金债务后，按基金份额持有人持有的各类基金份额比例进行分配。</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8.基金财产清算的公告</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9.基金财产清算账册及文件的保存</w:t>
      </w:r>
    </w:p>
    <w:p w:rsidR="00D27B31" w:rsidRDefault="00DD08B1">
      <w:pPr>
        <w:pStyle w:val="div"/>
        <w:spacing w:line="360" w:lineRule="auto"/>
        <w:ind w:firstLine="480"/>
        <w:rPr>
          <w:rFonts w:ascii="宋体" w:hAnsi="宋体" w:cs="宋体"/>
          <w:sz w:val="24"/>
          <w:szCs w:val="24"/>
        </w:rPr>
      </w:pPr>
      <w:r>
        <w:rPr>
          <w:rFonts w:ascii="宋体" w:hAnsi="宋体" w:cs="宋体" w:hint="eastAsia"/>
          <w:sz w:val="24"/>
          <w:szCs w:val="24"/>
        </w:rPr>
        <w:t>基金财产清算账册及有关文件由基金托管人保存，保存期限不少于法定最低期限。</w:t>
      </w:r>
    </w:p>
    <w:p w:rsidR="00D27B31" w:rsidRDefault="00DD08B1">
      <w:pPr>
        <w:pStyle w:val="div"/>
        <w:spacing w:line="360" w:lineRule="auto"/>
        <w:ind w:firstLine="420"/>
        <w:jc w:val="left"/>
        <w:rPr>
          <w:rFonts w:ascii="宋体" w:hAnsi="宋体" w:cs="宋体"/>
          <w:kern w:val="0"/>
          <w:sz w:val="24"/>
          <w:szCs w:val="24"/>
        </w:rPr>
      </w:pP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51" w:name="_Toc256000020"/>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对基金份额持有人的服务</w:t>
      </w:r>
      <w:bookmarkEnd w:id="51"/>
    </w:p>
    <w:p w:rsidR="00D27B31" w:rsidRDefault="00D27B31"/>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对于基金份额持有人，基金管理人将根据具体情况提供一系列的服务，并将根据基金份额持有人的需要和市场的变化，增加或变更服务项目。主要服务内容如下：</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一、基金份额持有人登记服务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为基金份额持有人提供登记服务。基金管理人将配备安全、完善的电脑系统及通讯系统，准确、及时地为基金投资者办理基金账户、基金份额的登记、管理、托管与转托管；基金转换和非交易过户；基金份额持有人名册的管理；权益分配时红利的登记派发；基金交易份额的清算过户和基金交易资金的交收等服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二、基金份额持有人交易信息查询及信息定制服务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1、基金交易确认查询服务：基金投资者在交易申请被受理的2个工作日后，可以到销售网点查询和打印该项交易的确认信息，或者通过基金管理人客服电话及网站进行查询。</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2、基金对账单服务：基金管理人向基金份额持有人提供对账单服务，基金份额持有人可自主选择对账单的发送方式，如纸制对账单、电子邮件对账单或短信对账单，或者通过基金管理人网站进行在线对账单的查询与打印。</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3、信息定制服务：基金份额持有人可以通过基金管理人网站、客服热线电话、手机短信等通道提交信息定制申请。可定制的信息主要有：基金份额净值、交易确认、对账单服务等。基金管理人可根据实际业务需要，调整定制信息的条件、方式和内容。</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三、客户服务中心电话服务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基金管理人客户服务中心提供24小时自动语音查询服务，基金份额持有人可查询基金余额、交易情况、基金产品与服务等相关信息。</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客户服务中心在每一工作日提供不少于12小时的人工咨询服务。基金份额持有人可通过基金管理人全国统一客服热线：400-888-9918（免长途话费）享受业务咨询、信息查询、信息定制、通讯资料修改、投诉建议等多项服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四、网站服务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lastRenderedPageBreak/>
        <w:t>基金份额持有人可以通过基金管理人网站（www.99fund.com）享受理财资讯、信息披露、账户信息、交易信息、在线咨询等多项服务。</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基金份额持有人可以通过基金管理人网站“网上交易”办理开户、交易及查询等业务。有关基金网上交易的协议文本请参见基金管理人网站。</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五、投诉受理服务</w:t>
      </w:r>
    </w:p>
    <w:p w:rsidR="00D27B31" w:rsidRDefault="00DD08B1">
      <w:pPr>
        <w:pStyle w:val="div"/>
        <w:widowControl/>
        <w:spacing w:line="360" w:lineRule="auto"/>
        <w:ind w:firstLine="480"/>
        <w:jc w:val="left"/>
        <w:rPr>
          <w:rFonts w:eastAsia="Times New Roman"/>
          <w:kern w:val="0"/>
          <w:sz w:val="24"/>
          <w:szCs w:val="24"/>
        </w:rPr>
      </w:pPr>
      <w:r>
        <w:rPr>
          <w:rFonts w:ascii="宋体" w:hAnsi="宋体" w:cs="宋体"/>
          <w:kern w:val="0"/>
          <w:sz w:val="24"/>
          <w:szCs w:val="24"/>
        </w:rPr>
        <w:t>基金份额持有人可以通过基金管理人客服电话、网站、信函、电子邮件（客户服务邮箱：</w:t>
      </w:r>
      <w:hyperlink r:id="rId12" w:history="1">
        <w:r>
          <w:rPr>
            <w:rFonts w:ascii="宋体" w:hAnsi="宋体" w:cs="宋体"/>
            <w:color w:val="000000"/>
            <w:kern w:val="0"/>
            <w:sz w:val="24"/>
            <w:szCs w:val="24"/>
            <w:u w:val="single" w:color="0000EE"/>
            <w:lang w:eastAsia="en-US"/>
          </w:rPr>
          <w:t>service@99fund.com</w:t>
        </w:r>
      </w:hyperlink>
      <w:r>
        <w:rPr>
          <w:rFonts w:ascii="宋体" w:hAnsi="宋体" w:cs="宋体"/>
          <w:kern w:val="0"/>
          <w:sz w:val="24"/>
          <w:szCs w:val="24"/>
        </w:rPr>
        <w:t>）、传真（</w:t>
      </w:r>
      <w:r>
        <w:rPr>
          <w:rFonts w:ascii="宋体" w:hAnsi="宋体" w:cs="宋体"/>
          <w:kern w:val="0"/>
          <w:sz w:val="24"/>
          <w:szCs w:val="24"/>
          <w:lang w:eastAsia="en-US"/>
        </w:rPr>
        <w:t>021-28932998</w:t>
      </w:r>
      <w:r>
        <w:rPr>
          <w:rFonts w:ascii="宋体" w:hAnsi="宋体" w:cs="宋体"/>
          <w:kern w:val="0"/>
          <w:sz w:val="24"/>
          <w:szCs w:val="24"/>
        </w:rPr>
        <w:t>）等方式对基金管理人、销售机构所提供的服务进行投诉。现场投诉和意见簿投诉是补充投诉渠道，由基金管理人和各销售机构分别管理。</w:t>
      </w:r>
    </w:p>
    <w:p w:rsidR="00D27B31" w:rsidRDefault="00DD08B1">
      <w:pPr>
        <w:pStyle w:val="div"/>
        <w:widowControl/>
        <w:spacing w:line="360" w:lineRule="auto"/>
        <w:ind w:firstLine="480"/>
        <w:jc w:val="left"/>
        <w:rPr>
          <w:rFonts w:eastAsia="Times New Roman"/>
          <w:kern w:val="0"/>
          <w:sz w:val="24"/>
          <w:szCs w:val="24"/>
        </w:rPr>
      </w:pPr>
      <w:r>
        <w:rPr>
          <w:rFonts w:ascii="宋体" w:hAnsi="宋体" w:cs="宋体"/>
          <w:kern w:val="0"/>
          <w:sz w:val="24"/>
          <w:szCs w:val="24"/>
        </w:rPr>
        <w:t>基金管理人客户服务中心负责受理投诉，并承诺在收到投诉后24小时（工作日）之内做出回应。</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六、如本招募说明书存在任何您/贵机构无法理解的内容，可通过上述方式联系基金管理人。请确保投资前，您/贵机构已经全面理解了本招募说明书。</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52" w:name="_Toc25600002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其他应披露事项</w:t>
      </w:r>
      <w:bookmarkEnd w:id="52"/>
    </w:p>
    <w:p w:rsidR="00D27B31" w:rsidRDefault="00D27B31"/>
    <w:p w:rsidR="00D27B31" w:rsidRDefault="00DD08B1">
      <w:pPr>
        <w:pStyle w:val="div"/>
        <w:widowControl/>
        <w:spacing w:line="360" w:lineRule="auto"/>
        <w:ind w:firstLine="420"/>
        <w:jc w:val="left"/>
        <w:rPr>
          <w:rFonts w:eastAsia="Times New Roman"/>
          <w:kern w:val="0"/>
          <w:sz w:val="24"/>
          <w:szCs w:val="24"/>
        </w:rPr>
      </w:pPr>
      <w:r>
        <w:rPr>
          <w:rFonts w:ascii="宋体" w:hAnsi="宋体" w:cs="宋体"/>
          <w:kern w:val="0"/>
          <w:sz w:val="24"/>
          <w:szCs w:val="24"/>
        </w:rPr>
        <w:t>本基金的其他应披露事项将严格按照《基金法》、《运作办法》、《销售办法》、《信息披露办法》等相关法律法规规定的内容与格式进行披露，并在规定媒介上公告。</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53" w:name="_Toc256000022"/>
      <w:r>
        <w:rPr>
          <w:rFonts w:ascii="Times New Roman"/>
          <w:color w:val="auto"/>
          <w:sz w:val="30"/>
        </w:rPr>
        <w:lastRenderedPageBreak/>
        <w:t>第二十三部分</w:t>
      </w:r>
      <w:r>
        <w:rPr>
          <w:rFonts w:ascii="Times New Roman"/>
          <w:color w:val="auto"/>
          <w:sz w:val="30"/>
        </w:rPr>
        <w:t xml:space="preserve">  </w:t>
      </w:r>
      <w:r>
        <w:rPr>
          <w:rFonts w:ascii="Times New Roman"/>
          <w:color w:val="auto"/>
          <w:sz w:val="30"/>
        </w:rPr>
        <w:t>招募说明书的存放和查阅方式</w:t>
      </w:r>
      <w:bookmarkEnd w:id="53"/>
    </w:p>
    <w:p w:rsidR="00D27B31" w:rsidRDefault="00D27B31"/>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本基金招募说明书存放于基金管理人、基金托管人和基金销售机构的住所，供公众查阅、复制。基金投资者在支付工本费后，可在合理时间内取得招募说明书的复印件。对投资者按上述方式所获得的文件及其复印件，基金管理人和基金托管人保证与所公告文本的内容完全一致。</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t>投资者还可以直接登录基金管理人的网站(www.99fund.com)查阅和下载招募说明书。</w:t>
      </w: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54" w:name="_Toc256000023"/>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标的指数的编制方法及指数信息查阅方式</w:t>
      </w:r>
      <w:bookmarkEnd w:id="54"/>
    </w:p>
    <w:p w:rsidR="00D27B31" w:rsidRDefault="00D27B31"/>
    <w:p w:rsidR="00D27B31" w:rsidRDefault="00DD08B1">
      <w:pPr>
        <w:spacing w:line="360" w:lineRule="auto"/>
        <w:ind w:firstLineChars="200" w:firstLine="480"/>
        <w:rPr>
          <w:bCs/>
          <w:sz w:val="24"/>
        </w:rPr>
      </w:pPr>
      <w:r>
        <w:rPr>
          <w:rFonts w:hint="eastAsia"/>
          <w:bCs/>
          <w:sz w:val="24"/>
        </w:rPr>
        <w:t>一、标的指数编制方法</w:t>
      </w:r>
    </w:p>
    <w:p w:rsidR="00D27B31" w:rsidRDefault="00DD08B1">
      <w:pPr>
        <w:spacing w:line="360" w:lineRule="auto"/>
        <w:ind w:firstLineChars="200" w:firstLine="480"/>
        <w:rPr>
          <w:bCs/>
          <w:sz w:val="24"/>
        </w:rPr>
      </w:pPr>
      <w:r>
        <w:rPr>
          <w:rFonts w:hint="eastAsia"/>
          <w:bCs/>
          <w:sz w:val="24"/>
        </w:rPr>
        <w:t>1</w:t>
      </w:r>
      <w:r>
        <w:rPr>
          <w:rFonts w:hint="eastAsia"/>
          <w:bCs/>
          <w:sz w:val="24"/>
        </w:rPr>
        <w:t>、样本空间</w:t>
      </w:r>
    </w:p>
    <w:p w:rsidR="00D27B31" w:rsidRDefault="00DD08B1">
      <w:pPr>
        <w:spacing w:line="360" w:lineRule="auto"/>
        <w:ind w:firstLineChars="200" w:firstLine="480"/>
        <w:rPr>
          <w:bCs/>
          <w:sz w:val="24"/>
        </w:rPr>
      </w:pPr>
      <w:r>
        <w:rPr>
          <w:rFonts w:hint="eastAsia"/>
          <w:bCs/>
          <w:sz w:val="24"/>
        </w:rPr>
        <w:t>指数样本空间由满足以下条件的科创板上市的股票和红筹企业发行的存托凭证组成：</w:t>
      </w:r>
    </w:p>
    <w:p w:rsidR="00D27B31" w:rsidRDefault="00DD08B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）上市时间超过</w:t>
      </w:r>
      <w:r>
        <w:rPr>
          <w:bCs/>
          <w:sz w:val="24"/>
        </w:rPr>
        <w:t>12</w:t>
      </w:r>
      <w:r>
        <w:rPr>
          <w:rFonts w:hint="eastAsia"/>
          <w:bCs/>
          <w:sz w:val="24"/>
        </w:rPr>
        <w:t>个月；</w:t>
      </w:r>
    </w:p>
    <w:p w:rsidR="00D27B31" w:rsidRDefault="00DD08B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）非退市风险警示证券。</w:t>
      </w:r>
    </w:p>
    <w:p w:rsidR="00D27B31" w:rsidRDefault="00DD08B1">
      <w:pPr>
        <w:spacing w:line="360" w:lineRule="auto"/>
        <w:ind w:firstLineChars="200" w:firstLine="480"/>
        <w:rPr>
          <w:bCs/>
          <w:sz w:val="24"/>
        </w:rPr>
      </w:pPr>
      <w:r>
        <w:rPr>
          <w:rFonts w:hint="eastAsia"/>
          <w:bCs/>
          <w:sz w:val="24"/>
        </w:rPr>
        <w:t>2</w:t>
      </w:r>
      <w:r>
        <w:rPr>
          <w:rFonts w:hint="eastAsia"/>
          <w:bCs/>
          <w:sz w:val="24"/>
        </w:rPr>
        <w:t>、可投资性筛选</w:t>
      </w:r>
    </w:p>
    <w:p w:rsidR="00D27B31" w:rsidRDefault="00DD08B1">
      <w:pPr>
        <w:spacing w:line="360" w:lineRule="auto"/>
        <w:ind w:firstLineChars="200" w:firstLine="480"/>
        <w:rPr>
          <w:bCs/>
          <w:sz w:val="24"/>
        </w:rPr>
      </w:pPr>
      <w:r>
        <w:rPr>
          <w:rFonts w:hint="eastAsia"/>
          <w:bCs/>
          <w:sz w:val="24"/>
        </w:rPr>
        <w:t>过去一年日均成交金额排名位于样本空间前</w:t>
      </w:r>
      <w:r>
        <w:rPr>
          <w:rFonts w:hint="eastAsia"/>
          <w:bCs/>
          <w:sz w:val="24"/>
        </w:rPr>
        <w:t>90%</w:t>
      </w:r>
      <w:r>
        <w:rPr>
          <w:rFonts w:hint="eastAsia"/>
          <w:bCs/>
          <w:sz w:val="24"/>
        </w:rPr>
        <w:t>。</w:t>
      </w:r>
    </w:p>
    <w:p w:rsidR="00D27B31" w:rsidRDefault="00DD08B1">
      <w:pPr>
        <w:spacing w:line="360" w:lineRule="auto"/>
        <w:ind w:firstLineChars="200" w:firstLine="480"/>
        <w:rPr>
          <w:bCs/>
          <w:sz w:val="24"/>
        </w:rPr>
      </w:pPr>
      <w:r>
        <w:rPr>
          <w:rFonts w:hint="eastAsia"/>
          <w:bCs/>
          <w:sz w:val="24"/>
        </w:rPr>
        <w:t>3</w:t>
      </w:r>
      <w:r>
        <w:rPr>
          <w:rFonts w:hint="eastAsia"/>
          <w:bCs/>
          <w:sz w:val="24"/>
        </w:rPr>
        <w:t>、选样方法</w:t>
      </w:r>
    </w:p>
    <w:p w:rsidR="00D27B31" w:rsidRDefault="00DD08B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）对于样本空间内符合可投资性筛选条件的证券，剔除科创</w:t>
      </w:r>
      <w:r>
        <w:rPr>
          <w:rFonts w:hint="eastAsia"/>
          <w:bCs/>
          <w:sz w:val="24"/>
        </w:rPr>
        <w:t>50</w:t>
      </w:r>
      <w:r>
        <w:rPr>
          <w:rFonts w:hint="eastAsia"/>
          <w:bCs/>
          <w:sz w:val="24"/>
        </w:rPr>
        <w:t>和科创</w:t>
      </w:r>
      <w:r>
        <w:rPr>
          <w:rFonts w:hint="eastAsia"/>
          <w:bCs/>
          <w:sz w:val="24"/>
        </w:rPr>
        <w:t>100</w:t>
      </w:r>
      <w:r>
        <w:rPr>
          <w:rFonts w:hint="eastAsia"/>
          <w:bCs/>
          <w:sz w:val="24"/>
        </w:rPr>
        <w:t>指数样本以及样本空间内过去一年日均总市值排名前</w:t>
      </w:r>
      <w:r>
        <w:rPr>
          <w:rFonts w:hint="eastAsia"/>
          <w:bCs/>
          <w:sz w:val="24"/>
        </w:rPr>
        <w:t>130</w:t>
      </w:r>
      <w:r>
        <w:rPr>
          <w:rFonts w:hint="eastAsia"/>
          <w:bCs/>
          <w:sz w:val="24"/>
        </w:rPr>
        <w:t>名的证券，将剩余证券作为待选样本；</w:t>
      </w:r>
    </w:p>
    <w:p w:rsidR="00D27B31" w:rsidRDefault="00DD08B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）对待选样本按照过去一年的日均总市值由高到低排名，选取排名在</w:t>
      </w:r>
      <w:r>
        <w:rPr>
          <w:rFonts w:hint="eastAsia"/>
          <w:bCs/>
          <w:sz w:val="24"/>
        </w:rPr>
        <w:t>200</w:t>
      </w:r>
      <w:r>
        <w:rPr>
          <w:rFonts w:hint="eastAsia"/>
          <w:bCs/>
          <w:sz w:val="24"/>
        </w:rPr>
        <w:t>名之前的证券作为指数样本。</w:t>
      </w:r>
    </w:p>
    <w:p w:rsidR="00D27B31" w:rsidRDefault="00DD08B1">
      <w:pPr>
        <w:spacing w:line="360" w:lineRule="auto"/>
        <w:ind w:firstLineChars="200" w:firstLine="480"/>
        <w:rPr>
          <w:bCs/>
          <w:sz w:val="24"/>
        </w:rPr>
      </w:pPr>
      <w:r>
        <w:rPr>
          <w:rFonts w:hint="eastAsia"/>
          <w:bCs/>
          <w:sz w:val="24"/>
        </w:rPr>
        <w:t>4</w:t>
      </w:r>
      <w:r>
        <w:rPr>
          <w:rFonts w:hint="eastAsia"/>
          <w:bCs/>
          <w:sz w:val="24"/>
        </w:rPr>
        <w:t>、指数计算</w:t>
      </w:r>
    </w:p>
    <w:p w:rsidR="00D27B31" w:rsidRDefault="00DD08B1">
      <w:pPr>
        <w:spacing w:line="360" w:lineRule="auto"/>
        <w:ind w:firstLineChars="200" w:firstLine="480"/>
        <w:rPr>
          <w:bCs/>
          <w:sz w:val="24"/>
        </w:rPr>
      </w:pPr>
      <w:r>
        <w:rPr>
          <w:rFonts w:hint="eastAsia"/>
          <w:bCs/>
          <w:sz w:val="24"/>
        </w:rPr>
        <w:t>指数计算公式为：</w:t>
      </w:r>
    </w:p>
    <w:p w:rsidR="00D27B31" w:rsidRDefault="00DD08B1">
      <w:pPr>
        <w:spacing w:line="360" w:lineRule="auto"/>
        <w:ind w:firstLineChars="200" w:firstLine="480"/>
        <w:rPr>
          <w:bCs/>
          <w:sz w:val="24"/>
        </w:rPr>
      </w:pPr>
      <w:r>
        <w:rPr>
          <w:rFonts w:hint="eastAsia"/>
          <w:bCs/>
          <w:sz w:val="24"/>
        </w:rPr>
        <w:t>报告期指数</w:t>
      </w:r>
      <w:r>
        <w:rPr>
          <w:rFonts w:hint="eastAsia"/>
          <w:bCs/>
          <w:sz w:val="24"/>
        </w:rPr>
        <w:t>=</w:t>
      </w:r>
      <w:r>
        <w:rPr>
          <w:rFonts w:hint="eastAsia"/>
          <w:bCs/>
          <w:sz w:val="24"/>
        </w:rPr>
        <w:t>报告期样本的调整市值／除数×</w:t>
      </w:r>
      <w:r>
        <w:rPr>
          <w:rFonts w:hint="eastAsia"/>
          <w:bCs/>
          <w:sz w:val="24"/>
        </w:rPr>
        <w:t>1000</w:t>
      </w:r>
    </w:p>
    <w:p w:rsidR="00D27B31" w:rsidRDefault="00DD08B1">
      <w:pPr>
        <w:spacing w:line="360" w:lineRule="auto"/>
        <w:ind w:firstLineChars="200" w:firstLine="480"/>
        <w:rPr>
          <w:bCs/>
          <w:sz w:val="24"/>
        </w:rPr>
      </w:pPr>
      <w:r>
        <w:rPr>
          <w:rFonts w:hint="eastAsia"/>
          <w:bCs/>
          <w:sz w:val="24"/>
        </w:rPr>
        <w:t>其中，调整市值＝∑</w:t>
      </w:r>
      <w:r>
        <w:rPr>
          <w:rFonts w:hint="eastAsia"/>
          <w:bCs/>
          <w:sz w:val="24"/>
        </w:rPr>
        <w:t>(</w:t>
      </w:r>
      <w:r>
        <w:rPr>
          <w:rFonts w:hint="eastAsia"/>
          <w:bCs/>
          <w:sz w:val="24"/>
        </w:rPr>
        <w:t>证券价格×调整股本数×权重因子</w:t>
      </w:r>
      <w:r>
        <w:rPr>
          <w:rFonts w:hint="eastAsia"/>
          <w:bCs/>
          <w:sz w:val="24"/>
        </w:rPr>
        <w:t>)</w:t>
      </w:r>
      <w:r>
        <w:rPr>
          <w:rFonts w:hint="eastAsia"/>
          <w:bCs/>
          <w:sz w:val="24"/>
        </w:rPr>
        <w:t>。调整股本数的计算方法、除数修正方法参见计算与维护细则。权重因子介于</w:t>
      </w:r>
      <w:r>
        <w:rPr>
          <w:rFonts w:hint="eastAsia"/>
          <w:bCs/>
          <w:sz w:val="24"/>
        </w:rPr>
        <w:t>0</w:t>
      </w:r>
      <w:r>
        <w:rPr>
          <w:rFonts w:hint="eastAsia"/>
          <w:bCs/>
          <w:sz w:val="24"/>
        </w:rPr>
        <w:t>和</w:t>
      </w:r>
      <w:r>
        <w:rPr>
          <w:rFonts w:hint="eastAsia"/>
          <w:bCs/>
          <w:sz w:val="24"/>
        </w:rPr>
        <w:t>1</w:t>
      </w:r>
      <w:r>
        <w:rPr>
          <w:rFonts w:hint="eastAsia"/>
          <w:bCs/>
          <w:sz w:val="24"/>
        </w:rPr>
        <w:t>之间，以使单个样本权重不超过</w:t>
      </w:r>
      <w:r>
        <w:rPr>
          <w:rFonts w:hint="eastAsia"/>
          <w:bCs/>
          <w:sz w:val="24"/>
        </w:rPr>
        <w:t>10%</w:t>
      </w:r>
      <w:r>
        <w:rPr>
          <w:rFonts w:hint="eastAsia"/>
          <w:bCs/>
          <w:sz w:val="24"/>
        </w:rPr>
        <w:t>，前五大样本合计权重不超过</w:t>
      </w:r>
      <w:r>
        <w:rPr>
          <w:rFonts w:hint="eastAsia"/>
          <w:bCs/>
          <w:sz w:val="24"/>
        </w:rPr>
        <w:t>40%</w:t>
      </w:r>
      <w:r>
        <w:rPr>
          <w:rFonts w:hint="eastAsia"/>
          <w:bCs/>
          <w:sz w:val="24"/>
        </w:rPr>
        <w:t>。</w:t>
      </w:r>
    </w:p>
    <w:p w:rsidR="00D27B31" w:rsidRDefault="00DD08B1">
      <w:pPr>
        <w:spacing w:line="360" w:lineRule="auto"/>
        <w:ind w:firstLineChars="200" w:firstLine="480"/>
        <w:rPr>
          <w:bCs/>
          <w:sz w:val="24"/>
        </w:rPr>
      </w:pPr>
      <w:r>
        <w:rPr>
          <w:rFonts w:hint="eastAsia"/>
          <w:bCs/>
          <w:sz w:val="24"/>
        </w:rPr>
        <w:t>二、标的指数信息查询途径</w:t>
      </w:r>
    </w:p>
    <w:p w:rsidR="00D27B31" w:rsidRDefault="00DD08B1">
      <w:pPr>
        <w:autoSpaceDE w:val="0"/>
        <w:autoSpaceDN w:val="0"/>
        <w:adjustRightInd w:val="0"/>
        <w:spacing w:line="360" w:lineRule="auto"/>
        <w:ind w:firstLineChars="200" w:firstLine="480"/>
        <w:rPr>
          <w:bCs/>
          <w:sz w:val="24"/>
        </w:rPr>
      </w:pPr>
      <w:r>
        <w:rPr>
          <w:rFonts w:hint="eastAsia"/>
          <w:bCs/>
          <w:sz w:val="24"/>
        </w:rPr>
        <w:t>投资者可以直接登录中证指数有限公司的网站（</w:t>
      </w:r>
      <w:r>
        <w:rPr>
          <w:bCs/>
          <w:sz w:val="24"/>
        </w:rPr>
        <w:t>http</w:t>
      </w:r>
      <w:r>
        <w:rPr>
          <w:rFonts w:hint="eastAsia"/>
          <w:bCs/>
          <w:sz w:val="24"/>
        </w:rPr>
        <w:t>s</w:t>
      </w:r>
      <w:r>
        <w:rPr>
          <w:bCs/>
          <w:sz w:val="24"/>
        </w:rPr>
        <w:t>://www.csindex.com.cn/</w:t>
      </w:r>
      <w:r>
        <w:rPr>
          <w:rFonts w:hint="eastAsia"/>
          <w:bCs/>
          <w:sz w:val="24"/>
        </w:rPr>
        <w:t>）免费查询标的指数的相关信息，包括指数概要、编制方法、指数行情、收益表现、临时变动、</w:t>
      </w:r>
      <w:r>
        <w:rPr>
          <w:bCs/>
          <w:sz w:val="24"/>
        </w:rPr>
        <w:t>成份</w:t>
      </w:r>
      <w:r>
        <w:rPr>
          <w:rFonts w:hint="eastAsia"/>
          <w:bCs/>
          <w:sz w:val="24"/>
        </w:rPr>
        <w:t>股列表等。</w:t>
      </w:r>
    </w:p>
    <w:p w:rsidR="00D27B31" w:rsidRDefault="00DD08B1">
      <w:pPr>
        <w:pStyle w:val="div"/>
        <w:spacing w:line="360" w:lineRule="auto"/>
        <w:ind w:firstLine="420"/>
        <w:rPr>
          <w:rFonts w:eastAsia="Times New Roman"/>
          <w:kern w:val="0"/>
          <w:sz w:val="24"/>
          <w:szCs w:val="24"/>
        </w:rPr>
      </w:pPr>
      <w:r>
        <w:rPr>
          <w:rFonts w:ascii="宋体" w:hAnsi="宋体" w:cs="宋体"/>
          <w:kern w:val="0"/>
          <w:sz w:val="24"/>
          <w:szCs w:val="24"/>
        </w:rPr>
        <w:br w:type="page"/>
      </w:r>
    </w:p>
    <w:p w:rsidR="00D27B31" w:rsidRDefault="00DD08B1">
      <w:pPr>
        <w:pStyle w:val="1"/>
        <w:spacing w:before="0" w:after="0"/>
        <w:jc w:val="center"/>
        <w:rPr>
          <w:rFonts w:ascii="Times New Roman"/>
          <w:color w:val="auto"/>
          <w:sz w:val="30"/>
        </w:rPr>
      </w:pPr>
      <w:bookmarkStart w:id="55" w:name="_Toc256000024"/>
      <w:r>
        <w:rPr>
          <w:rFonts w:ascii="Times New Roman"/>
          <w:color w:val="auto"/>
          <w:sz w:val="30"/>
        </w:rPr>
        <w:lastRenderedPageBreak/>
        <w:t>第二十五部分</w:t>
      </w:r>
      <w:r>
        <w:rPr>
          <w:rFonts w:ascii="Times New Roman"/>
          <w:color w:val="auto"/>
          <w:sz w:val="30"/>
        </w:rPr>
        <w:t xml:space="preserve">  </w:t>
      </w:r>
      <w:r>
        <w:rPr>
          <w:rFonts w:ascii="Times New Roman"/>
          <w:color w:val="auto"/>
          <w:sz w:val="30"/>
        </w:rPr>
        <w:t>备查文件</w:t>
      </w:r>
      <w:bookmarkEnd w:id="55"/>
    </w:p>
    <w:p w:rsidR="00D27B31" w:rsidRDefault="00D27B31"/>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一、本基金备查文件包括下列文件：</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1、中国证监会准予汇添富上证科创板200指数型发起式证券投资基金注册的文件；</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2、《汇添富上证科创板200指数型发起式证券投资基金基金合同》；</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3、《汇添富上证科创板200指数型发起式证券投资基金托管协议》；</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4、法律意见书；</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5、基金管理人业务资格批件、营业执照；</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6、基金托管人业务资格批件、营业执照；</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7、中国证监会要求的其他文件。</w:t>
      </w:r>
    </w:p>
    <w:p w:rsidR="00D27B31" w:rsidRDefault="00DD08B1">
      <w:pPr>
        <w:pStyle w:val="div"/>
        <w:spacing w:line="360" w:lineRule="auto"/>
        <w:ind w:firstLine="420"/>
        <w:jc w:val="left"/>
        <w:rPr>
          <w:rFonts w:eastAsia="Times New Roman"/>
          <w:kern w:val="0"/>
          <w:sz w:val="24"/>
          <w:szCs w:val="24"/>
        </w:rPr>
      </w:pPr>
      <w:r>
        <w:rPr>
          <w:rFonts w:ascii="宋体" w:hAnsi="宋体" w:cs="宋体"/>
          <w:kern w:val="0"/>
          <w:sz w:val="24"/>
          <w:szCs w:val="24"/>
        </w:rPr>
        <w:t>二、备查文件的存放地点和投资者查阅方式：</w:t>
      </w:r>
    </w:p>
    <w:p w:rsidR="00D27B31" w:rsidRDefault="00DD08B1">
      <w:pPr>
        <w:pStyle w:val="div"/>
        <w:spacing w:line="360" w:lineRule="auto"/>
        <w:ind w:firstLine="420"/>
        <w:rPr>
          <w:rFonts w:ascii="宋体" w:hAnsi="宋体" w:cs="宋体"/>
          <w:kern w:val="0"/>
          <w:sz w:val="24"/>
          <w:szCs w:val="24"/>
        </w:rPr>
      </w:pPr>
      <w:r>
        <w:rPr>
          <w:rFonts w:ascii="宋体" w:hAnsi="宋体" w:cs="宋体"/>
          <w:kern w:val="0"/>
          <w:sz w:val="24"/>
          <w:szCs w:val="24"/>
        </w:rPr>
        <w:t>以上备查文件存放在基金管理人和基金托管人的办公场所，在办公时间可供免费查阅。</w:t>
      </w:r>
    </w:p>
    <w:p w:rsidR="00D27B31" w:rsidRDefault="00D27B31">
      <w:pPr>
        <w:pStyle w:val="div"/>
        <w:spacing w:line="360" w:lineRule="auto"/>
        <w:ind w:firstLine="420"/>
        <w:rPr>
          <w:rFonts w:ascii="宋体" w:hAnsi="宋体" w:cs="宋体"/>
          <w:kern w:val="0"/>
          <w:sz w:val="24"/>
          <w:szCs w:val="24"/>
        </w:rPr>
      </w:pPr>
    </w:p>
    <w:p w:rsidR="00D27B31" w:rsidRDefault="00DD08B1">
      <w:pPr>
        <w:pStyle w:val="div"/>
        <w:spacing w:line="360" w:lineRule="auto"/>
        <w:ind w:firstLine="420"/>
        <w:jc w:val="right"/>
        <w:rPr>
          <w:rFonts w:eastAsia="Times New Roman"/>
          <w:kern w:val="0"/>
          <w:sz w:val="24"/>
          <w:szCs w:val="24"/>
        </w:rPr>
      </w:pPr>
      <w:r>
        <w:rPr>
          <w:rFonts w:ascii="宋体" w:hAnsi="宋体" w:cs="宋体"/>
          <w:kern w:val="0"/>
          <w:sz w:val="24"/>
          <w:szCs w:val="24"/>
        </w:rPr>
        <w:t>汇添富基金管理股份有限公司</w:t>
      </w:r>
    </w:p>
    <w:p w:rsidR="00D27B31" w:rsidRDefault="00A94EA7">
      <w:pPr>
        <w:pStyle w:val="div"/>
        <w:spacing w:line="360" w:lineRule="auto"/>
        <w:ind w:firstLine="420"/>
        <w:jc w:val="right"/>
        <w:rPr>
          <w:rFonts w:eastAsia="Times New Roman"/>
          <w:kern w:val="0"/>
          <w:sz w:val="24"/>
          <w:szCs w:val="24"/>
        </w:rPr>
      </w:pPr>
      <w:r>
        <w:rPr>
          <w:rFonts w:ascii="宋体" w:hAnsi="宋体" w:cs="宋体"/>
          <w:kern w:val="0"/>
          <w:sz w:val="24"/>
          <w:szCs w:val="24"/>
        </w:rPr>
        <w:t>2025</w:t>
      </w:r>
      <w:r w:rsidR="00DD08B1">
        <w:rPr>
          <w:rFonts w:ascii="宋体" w:hAnsi="宋体" w:cs="宋体"/>
          <w:kern w:val="0"/>
          <w:sz w:val="24"/>
          <w:szCs w:val="24"/>
        </w:rPr>
        <w:t>年</w:t>
      </w:r>
      <w:r>
        <w:rPr>
          <w:rFonts w:ascii="宋体" w:hAnsi="宋体" w:cs="宋体"/>
          <w:kern w:val="0"/>
          <w:sz w:val="24"/>
          <w:szCs w:val="24"/>
        </w:rPr>
        <w:t>11</w:t>
      </w:r>
      <w:r w:rsidR="00DD08B1">
        <w:rPr>
          <w:rFonts w:ascii="宋体" w:hAnsi="宋体" w:cs="宋体"/>
          <w:kern w:val="0"/>
          <w:sz w:val="24"/>
          <w:szCs w:val="24"/>
        </w:rPr>
        <w:t>月</w:t>
      </w:r>
      <w:r>
        <w:rPr>
          <w:rFonts w:ascii="宋体" w:hAnsi="宋体" w:cs="宋体"/>
          <w:kern w:val="0"/>
          <w:sz w:val="24"/>
          <w:szCs w:val="24"/>
        </w:rPr>
        <w:t>2</w:t>
      </w:r>
      <w:r w:rsidR="00C66268">
        <w:rPr>
          <w:rFonts w:ascii="宋体" w:hAnsi="宋体" w:cs="宋体"/>
          <w:kern w:val="0"/>
          <w:sz w:val="24"/>
          <w:szCs w:val="24"/>
        </w:rPr>
        <w:t>4</w:t>
      </w:r>
      <w:r w:rsidR="00DD08B1">
        <w:rPr>
          <w:rFonts w:ascii="宋体" w:hAnsi="宋体" w:cs="宋体"/>
          <w:kern w:val="0"/>
          <w:sz w:val="24"/>
          <w:szCs w:val="24"/>
        </w:rPr>
        <w:t>日</w:t>
      </w:r>
    </w:p>
    <w:sectPr w:rsidR="00D27B31" w:rsidSect="0049578C">
      <w:footerReference w:type="default" r:id="rId13"/>
      <w:pgSz w:w="11906" w:h="16838"/>
      <w:pgMar w:top="1440" w:right="1800" w:bottom="1440" w:left="1800" w:header="851" w:footer="992" w:gutter="0"/>
      <w:pgNumType w:start="2"/>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FB9" w:rsidRDefault="000C5FB9">
      <w:r>
        <w:separator/>
      </w:r>
    </w:p>
  </w:endnote>
  <w:endnote w:type="continuationSeparator" w:id="0">
    <w:p w:rsidR="000C5FB9" w:rsidRDefault="000C5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仿宋_gbk">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B1" w:rsidRDefault="00DD08B1">
    <w:pPr>
      <w:pStyle w:val="a9"/>
      <w:jc w:val="center"/>
      <w:rPr>
        <w:color w:val="000000" w:themeColor="text1"/>
        <w14:shadow w14:blurRad="38100" w14:dist="19050" w14:dir="2700000" w14:sx="100000" w14:sy="100000" w14:kx="0" w14:ky="0" w14:algn="tl">
          <w14:schemeClr w14:val="dk1">
            <w14:alpha w14:val="60000"/>
          </w14:schemeClr>
        </w14:shadow>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6742254"/>
    </w:sdtPr>
    <w:sdtEndPr/>
    <w:sdtContent>
      <w:p w:rsidR="00DD08B1" w:rsidRDefault="00DD08B1">
        <w:pPr>
          <w:pStyle w:val="a9"/>
          <w:jc w:val="center"/>
        </w:pPr>
        <w:r>
          <w:fldChar w:fldCharType="begin"/>
        </w:r>
        <w:r>
          <w:instrText>PAGE   \* MERGEFORMAT</w:instrText>
        </w:r>
        <w:r>
          <w:fldChar w:fldCharType="separate"/>
        </w:r>
        <w:r w:rsidR="0049578C" w:rsidRPr="0049578C">
          <w:rPr>
            <w:noProof/>
            <w:lang w:val="zh-CN"/>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8887220"/>
    </w:sdtPr>
    <w:sdtEndPr/>
    <w:sdtContent>
      <w:p w:rsidR="00DD08B1" w:rsidRDefault="00DD08B1">
        <w:pPr>
          <w:pStyle w:val="a9"/>
          <w:jc w:val="center"/>
        </w:pPr>
        <w:r>
          <w:fldChar w:fldCharType="begin"/>
        </w:r>
        <w:r>
          <w:instrText>PAGE   \* MERGEFORMAT</w:instrText>
        </w:r>
        <w:r>
          <w:fldChar w:fldCharType="separate"/>
        </w:r>
        <w:r w:rsidR="0049578C" w:rsidRPr="0049578C">
          <w:rPr>
            <w:noProof/>
            <w:lang w:val="zh-CN"/>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FB9" w:rsidRDefault="000C5FB9">
      <w:r>
        <w:separator/>
      </w:r>
    </w:p>
  </w:footnote>
  <w:footnote w:type="continuationSeparator" w:id="0">
    <w:p w:rsidR="000C5FB9" w:rsidRDefault="000C5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B1" w:rsidRDefault="00DD08B1">
    <w:pPr>
      <w:pStyle w:val="aa"/>
      <w:tabs>
        <w:tab w:val="clear" w:pos="4153"/>
      </w:tabs>
      <w:jc w:val="left"/>
    </w:pPr>
    <w:r>
      <w:t>汇添富上证科创板</w:t>
    </w:r>
    <w:r>
      <w:t>200</w:t>
    </w:r>
    <w:r>
      <w:t>指数型发起式证券投资基金</w:t>
    </w:r>
    <w:r>
      <w:tab/>
    </w:r>
    <w:r>
      <w:rPr>
        <w:rFonts w:hint="eastAsia"/>
      </w:rPr>
      <w:t>招募说明书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81C"/>
    <w:rsid w:val="00001954"/>
    <w:rsid w:val="000028C2"/>
    <w:rsid w:val="00002AF1"/>
    <w:rsid w:val="00002B2F"/>
    <w:rsid w:val="00004542"/>
    <w:rsid w:val="00011FA0"/>
    <w:rsid w:val="00014CA0"/>
    <w:rsid w:val="000150FF"/>
    <w:rsid w:val="000155E7"/>
    <w:rsid w:val="0001599A"/>
    <w:rsid w:val="000159FE"/>
    <w:rsid w:val="00015B61"/>
    <w:rsid w:val="00016D49"/>
    <w:rsid w:val="000175EB"/>
    <w:rsid w:val="00017955"/>
    <w:rsid w:val="00017E0A"/>
    <w:rsid w:val="0002079A"/>
    <w:rsid w:val="00020F04"/>
    <w:rsid w:val="00022669"/>
    <w:rsid w:val="0002292E"/>
    <w:rsid w:val="000231E0"/>
    <w:rsid w:val="00026323"/>
    <w:rsid w:val="00032906"/>
    <w:rsid w:val="00032A5E"/>
    <w:rsid w:val="00035B3D"/>
    <w:rsid w:val="000402C2"/>
    <w:rsid w:val="00040E8E"/>
    <w:rsid w:val="000421FF"/>
    <w:rsid w:val="000425E1"/>
    <w:rsid w:val="00044193"/>
    <w:rsid w:val="0004568D"/>
    <w:rsid w:val="000464E5"/>
    <w:rsid w:val="000466DC"/>
    <w:rsid w:val="0005235A"/>
    <w:rsid w:val="00055194"/>
    <w:rsid w:val="00056035"/>
    <w:rsid w:val="00056089"/>
    <w:rsid w:val="00056B5C"/>
    <w:rsid w:val="0005789D"/>
    <w:rsid w:val="0006098B"/>
    <w:rsid w:val="0006588B"/>
    <w:rsid w:val="000658E8"/>
    <w:rsid w:val="00067658"/>
    <w:rsid w:val="000700C4"/>
    <w:rsid w:val="00072899"/>
    <w:rsid w:val="0007536D"/>
    <w:rsid w:val="00080338"/>
    <w:rsid w:val="0008313D"/>
    <w:rsid w:val="00085738"/>
    <w:rsid w:val="0008618A"/>
    <w:rsid w:val="00087617"/>
    <w:rsid w:val="00090C27"/>
    <w:rsid w:val="00093C4F"/>
    <w:rsid w:val="00093E3D"/>
    <w:rsid w:val="000946A7"/>
    <w:rsid w:val="00094E37"/>
    <w:rsid w:val="000A0044"/>
    <w:rsid w:val="000A08CB"/>
    <w:rsid w:val="000A34D2"/>
    <w:rsid w:val="000A4208"/>
    <w:rsid w:val="000A5432"/>
    <w:rsid w:val="000A5CA1"/>
    <w:rsid w:val="000A62B2"/>
    <w:rsid w:val="000B0373"/>
    <w:rsid w:val="000B2297"/>
    <w:rsid w:val="000B2B5D"/>
    <w:rsid w:val="000B2D11"/>
    <w:rsid w:val="000B2E1D"/>
    <w:rsid w:val="000B3A83"/>
    <w:rsid w:val="000B4B44"/>
    <w:rsid w:val="000B7698"/>
    <w:rsid w:val="000C24FA"/>
    <w:rsid w:val="000C3747"/>
    <w:rsid w:val="000C5FB9"/>
    <w:rsid w:val="000C7015"/>
    <w:rsid w:val="000C718F"/>
    <w:rsid w:val="000C7F98"/>
    <w:rsid w:val="000D214C"/>
    <w:rsid w:val="000D5B88"/>
    <w:rsid w:val="000E01C9"/>
    <w:rsid w:val="000E1B21"/>
    <w:rsid w:val="000E379A"/>
    <w:rsid w:val="000E46DC"/>
    <w:rsid w:val="000E7118"/>
    <w:rsid w:val="000E7443"/>
    <w:rsid w:val="000F1390"/>
    <w:rsid w:val="000F2D8B"/>
    <w:rsid w:val="00100D07"/>
    <w:rsid w:val="00101D37"/>
    <w:rsid w:val="00103ED6"/>
    <w:rsid w:val="001079D9"/>
    <w:rsid w:val="001104AD"/>
    <w:rsid w:val="0011068C"/>
    <w:rsid w:val="00110ABD"/>
    <w:rsid w:val="00112932"/>
    <w:rsid w:val="00113269"/>
    <w:rsid w:val="001134B3"/>
    <w:rsid w:val="001220F7"/>
    <w:rsid w:val="00123EB0"/>
    <w:rsid w:val="00126AE2"/>
    <w:rsid w:val="00126E79"/>
    <w:rsid w:val="001342AC"/>
    <w:rsid w:val="00134954"/>
    <w:rsid w:val="00136D1F"/>
    <w:rsid w:val="00137FA4"/>
    <w:rsid w:val="00141EF4"/>
    <w:rsid w:val="001514B8"/>
    <w:rsid w:val="001531D8"/>
    <w:rsid w:val="00153D01"/>
    <w:rsid w:val="00153E62"/>
    <w:rsid w:val="00154395"/>
    <w:rsid w:val="00154557"/>
    <w:rsid w:val="00156A25"/>
    <w:rsid w:val="00157A3D"/>
    <w:rsid w:val="00157ABD"/>
    <w:rsid w:val="00163549"/>
    <w:rsid w:val="00164D53"/>
    <w:rsid w:val="00171C27"/>
    <w:rsid w:val="00172A27"/>
    <w:rsid w:val="0017353E"/>
    <w:rsid w:val="001737E4"/>
    <w:rsid w:val="00174D1A"/>
    <w:rsid w:val="00174FAF"/>
    <w:rsid w:val="0017558A"/>
    <w:rsid w:val="00176BF4"/>
    <w:rsid w:val="0017750B"/>
    <w:rsid w:val="001813A6"/>
    <w:rsid w:val="00182814"/>
    <w:rsid w:val="00184368"/>
    <w:rsid w:val="00184A75"/>
    <w:rsid w:val="00184B76"/>
    <w:rsid w:val="00187BCF"/>
    <w:rsid w:val="001945E9"/>
    <w:rsid w:val="00194664"/>
    <w:rsid w:val="00194873"/>
    <w:rsid w:val="00194E95"/>
    <w:rsid w:val="0019565B"/>
    <w:rsid w:val="0019649B"/>
    <w:rsid w:val="001A3218"/>
    <w:rsid w:val="001A4100"/>
    <w:rsid w:val="001A7E11"/>
    <w:rsid w:val="001B0ACB"/>
    <w:rsid w:val="001B1027"/>
    <w:rsid w:val="001B23B7"/>
    <w:rsid w:val="001B325B"/>
    <w:rsid w:val="001B6BAC"/>
    <w:rsid w:val="001C101B"/>
    <w:rsid w:val="001C1B8F"/>
    <w:rsid w:val="001C2331"/>
    <w:rsid w:val="001C4009"/>
    <w:rsid w:val="001C4B60"/>
    <w:rsid w:val="001C5537"/>
    <w:rsid w:val="001C6D6A"/>
    <w:rsid w:val="001C7B68"/>
    <w:rsid w:val="001D57AF"/>
    <w:rsid w:val="001E094C"/>
    <w:rsid w:val="001E0FF2"/>
    <w:rsid w:val="001E2C2E"/>
    <w:rsid w:val="001E505C"/>
    <w:rsid w:val="001E5A8A"/>
    <w:rsid w:val="001E5F81"/>
    <w:rsid w:val="001E5F9D"/>
    <w:rsid w:val="001F0926"/>
    <w:rsid w:val="001F0940"/>
    <w:rsid w:val="001F4B18"/>
    <w:rsid w:val="001F50E1"/>
    <w:rsid w:val="00204621"/>
    <w:rsid w:val="00206016"/>
    <w:rsid w:val="00210EF2"/>
    <w:rsid w:val="002172E3"/>
    <w:rsid w:val="002178D8"/>
    <w:rsid w:val="0022040F"/>
    <w:rsid w:val="00222562"/>
    <w:rsid w:val="00222DE4"/>
    <w:rsid w:val="0022533D"/>
    <w:rsid w:val="002254B5"/>
    <w:rsid w:val="002256A5"/>
    <w:rsid w:val="00226C42"/>
    <w:rsid w:val="0022787F"/>
    <w:rsid w:val="002306FB"/>
    <w:rsid w:val="00232C19"/>
    <w:rsid w:val="00236F6C"/>
    <w:rsid w:val="00237FE2"/>
    <w:rsid w:val="00244337"/>
    <w:rsid w:val="0024488F"/>
    <w:rsid w:val="00245AE5"/>
    <w:rsid w:val="0024674D"/>
    <w:rsid w:val="002505B6"/>
    <w:rsid w:val="00251CDE"/>
    <w:rsid w:val="0026130F"/>
    <w:rsid w:val="00265178"/>
    <w:rsid w:val="00265761"/>
    <w:rsid w:val="00265EF4"/>
    <w:rsid w:val="00266093"/>
    <w:rsid w:val="0026618B"/>
    <w:rsid w:val="00270BAA"/>
    <w:rsid w:val="00270F39"/>
    <w:rsid w:val="00272A4E"/>
    <w:rsid w:val="002732E9"/>
    <w:rsid w:val="00273649"/>
    <w:rsid w:val="00273B12"/>
    <w:rsid w:val="0027418C"/>
    <w:rsid w:val="0027425C"/>
    <w:rsid w:val="0027450C"/>
    <w:rsid w:val="00276450"/>
    <w:rsid w:val="00280098"/>
    <w:rsid w:val="002807DE"/>
    <w:rsid w:val="00284E2E"/>
    <w:rsid w:val="00287487"/>
    <w:rsid w:val="0028782A"/>
    <w:rsid w:val="00290F25"/>
    <w:rsid w:val="00291175"/>
    <w:rsid w:val="00291A05"/>
    <w:rsid w:val="00291FEB"/>
    <w:rsid w:val="00292622"/>
    <w:rsid w:val="00294077"/>
    <w:rsid w:val="00296254"/>
    <w:rsid w:val="00296F4D"/>
    <w:rsid w:val="002A05A3"/>
    <w:rsid w:val="002A0C0C"/>
    <w:rsid w:val="002A1130"/>
    <w:rsid w:val="002A20A0"/>
    <w:rsid w:val="002A2661"/>
    <w:rsid w:val="002A7FE4"/>
    <w:rsid w:val="002B0550"/>
    <w:rsid w:val="002B2641"/>
    <w:rsid w:val="002B3231"/>
    <w:rsid w:val="002B72E5"/>
    <w:rsid w:val="002B7554"/>
    <w:rsid w:val="002C077B"/>
    <w:rsid w:val="002C28E2"/>
    <w:rsid w:val="002C3395"/>
    <w:rsid w:val="002C3D58"/>
    <w:rsid w:val="002C59D2"/>
    <w:rsid w:val="002C7792"/>
    <w:rsid w:val="002C7A62"/>
    <w:rsid w:val="002D179A"/>
    <w:rsid w:val="002D1C65"/>
    <w:rsid w:val="002E0E13"/>
    <w:rsid w:val="002E3842"/>
    <w:rsid w:val="002E426E"/>
    <w:rsid w:val="002E5101"/>
    <w:rsid w:val="002E6AA0"/>
    <w:rsid w:val="002F0CE1"/>
    <w:rsid w:val="002F0DB6"/>
    <w:rsid w:val="002F1A4D"/>
    <w:rsid w:val="002F2B69"/>
    <w:rsid w:val="002F4328"/>
    <w:rsid w:val="002F6E80"/>
    <w:rsid w:val="00303634"/>
    <w:rsid w:val="00303F10"/>
    <w:rsid w:val="003055ED"/>
    <w:rsid w:val="00311061"/>
    <w:rsid w:val="00313741"/>
    <w:rsid w:val="003150F0"/>
    <w:rsid w:val="00315C67"/>
    <w:rsid w:val="00317491"/>
    <w:rsid w:val="003211EB"/>
    <w:rsid w:val="00321B94"/>
    <w:rsid w:val="003228DF"/>
    <w:rsid w:val="0032387B"/>
    <w:rsid w:val="00323CC5"/>
    <w:rsid w:val="00326283"/>
    <w:rsid w:val="00327601"/>
    <w:rsid w:val="00330637"/>
    <w:rsid w:val="00331C52"/>
    <w:rsid w:val="00331EA2"/>
    <w:rsid w:val="003326C2"/>
    <w:rsid w:val="00341D5C"/>
    <w:rsid w:val="00343C18"/>
    <w:rsid w:val="00343C28"/>
    <w:rsid w:val="00351F38"/>
    <w:rsid w:val="003528FF"/>
    <w:rsid w:val="00352A25"/>
    <w:rsid w:val="00353D96"/>
    <w:rsid w:val="00357A08"/>
    <w:rsid w:val="0036095B"/>
    <w:rsid w:val="003610DF"/>
    <w:rsid w:val="00361178"/>
    <w:rsid w:val="00362023"/>
    <w:rsid w:val="003641E7"/>
    <w:rsid w:val="00365108"/>
    <w:rsid w:val="00365EDD"/>
    <w:rsid w:val="00370B76"/>
    <w:rsid w:val="00370BD6"/>
    <w:rsid w:val="003713B6"/>
    <w:rsid w:val="003714C1"/>
    <w:rsid w:val="003740DF"/>
    <w:rsid w:val="003767F5"/>
    <w:rsid w:val="00376907"/>
    <w:rsid w:val="00376F9E"/>
    <w:rsid w:val="00377337"/>
    <w:rsid w:val="00381934"/>
    <w:rsid w:val="003824C3"/>
    <w:rsid w:val="003867ED"/>
    <w:rsid w:val="00386F6A"/>
    <w:rsid w:val="003879AF"/>
    <w:rsid w:val="003923A1"/>
    <w:rsid w:val="0039392C"/>
    <w:rsid w:val="00394BC7"/>
    <w:rsid w:val="00394DD2"/>
    <w:rsid w:val="00394E0E"/>
    <w:rsid w:val="0039604F"/>
    <w:rsid w:val="003964CB"/>
    <w:rsid w:val="003A0664"/>
    <w:rsid w:val="003A0ABC"/>
    <w:rsid w:val="003A10C0"/>
    <w:rsid w:val="003A12CE"/>
    <w:rsid w:val="003A1D99"/>
    <w:rsid w:val="003A4187"/>
    <w:rsid w:val="003A4239"/>
    <w:rsid w:val="003A7966"/>
    <w:rsid w:val="003B1DF6"/>
    <w:rsid w:val="003B46E8"/>
    <w:rsid w:val="003B6E3D"/>
    <w:rsid w:val="003C19BF"/>
    <w:rsid w:val="003C4530"/>
    <w:rsid w:val="003C5B82"/>
    <w:rsid w:val="003C6467"/>
    <w:rsid w:val="003C716B"/>
    <w:rsid w:val="003C776C"/>
    <w:rsid w:val="003D04B3"/>
    <w:rsid w:val="003D1894"/>
    <w:rsid w:val="003D3631"/>
    <w:rsid w:val="003D449F"/>
    <w:rsid w:val="003D4BDD"/>
    <w:rsid w:val="003D5619"/>
    <w:rsid w:val="003D6D72"/>
    <w:rsid w:val="003E125D"/>
    <w:rsid w:val="003E1A42"/>
    <w:rsid w:val="003E26B4"/>
    <w:rsid w:val="003E34DD"/>
    <w:rsid w:val="003E4FDF"/>
    <w:rsid w:val="003E5C66"/>
    <w:rsid w:val="003E64EF"/>
    <w:rsid w:val="003E7D71"/>
    <w:rsid w:val="003F33E0"/>
    <w:rsid w:val="003F47B0"/>
    <w:rsid w:val="003F485F"/>
    <w:rsid w:val="003F4C16"/>
    <w:rsid w:val="004013CD"/>
    <w:rsid w:val="004030CE"/>
    <w:rsid w:val="00412396"/>
    <w:rsid w:val="00415036"/>
    <w:rsid w:val="00416D22"/>
    <w:rsid w:val="00421136"/>
    <w:rsid w:val="00424437"/>
    <w:rsid w:val="00425210"/>
    <w:rsid w:val="00425551"/>
    <w:rsid w:val="0043083F"/>
    <w:rsid w:val="004356A1"/>
    <w:rsid w:val="004421C9"/>
    <w:rsid w:val="00443E05"/>
    <w:rsid w:val="00443F0B"/>
    <w:rsid w:val="004455DC"/>
    <w:rsid w:val="0045064E"/>
    <w:rsid w:val="004514D2"/>
    <w:rsid w:val="00451712"/>
    <w:rsid w:val="004523BC"/>
    <w:rsid w:val="00454167"/>
    <w:rsid w:val="00456A74"/>
    <w:rsid w:val="004630AA"/>
    <w:rsid w:val="00463C2E"/>
    <w:rsid w:val="0046493A"/>
    <w:rsid w:val="004663BB"/>
    <w:rsid w:val="004748B5"/>
    <w:rsid w:val="00476147"/>
    <w:rsid w:val="00477B2F"/>
    <w:rsid w:val="00481428"/>
    <w:rsid w:val="004817AB"/>
    <w:rsid w:val="00482449"/>
    <w:rsid w:val="00483A5A"/>
    <w:rsid w:val="004850E4"/>
    <w:rsid w:val="00485743"/>
    <w:rsid w:val="00485D6C"/>
    <w:rsid w:val="00490162"/>
    <w:rsid w:val="00493E9A"/>
    <w:rsid w:val="00493F38"/>
    <w:rsid w:val="0049407A"/>
    <w:rsid w:val="004945FC"/>
    <w:rsid w:val="0049578C"/>
    <w:rsid w:val="004A065C"/>
    <w:rsid w:val="004A23AD"/>
    <w:rsid w:val="004A3A39"/>
    <w:rsid w:val="004A44C9"/>
    <w:rsid w:val="004B0446"/>
    <w:rsid w:val="004B0880"/>
    <w:rsid w:val="004B0FF1"/>
    <w:rsid w:val="004B342D"/>
    <w:rsid w:val="004B404F"/>
    <w:rsid w:val="004B638A"/>
    <w:rsid w:val="004B7E43"/>
    <w:rsid w:val="004C101A"/>
    <w:rsid w:val="004C27BF"/>
    <w:rsid w:val="004C5BE8"/>
    <w:rsid w:val="004D00B8"/>
    <w:rsid w:val="004D087E"/>
    <w:rsid w:val="004D3CB7"/>
    <w:rsid w:val="004D3E32"/>
    <w:rsid w:val="004D4076"/>
    <w:rsid w:val="004D4597"/>
    <w:rsid w:val="004D4B2E"/>
    <w:rsid w:val="004D7EE6"/>
    <w:rsid w:val="004E2FB8"/>
    <w:rsid w:val="004E71CB"/>
    <w:rsid w:val="004E7693"/>
    <w:rsid w:val="004F235D"/>
    <w:rsid w:val="004F2BF3"/>
    <w:rsid w:val="004F67DD"/>
    <w:rsid w:val="004F69E8"/>
    <w:rsid w:val="004F7634"/>
    <w:rsid w:val="0050234F"/>
    <w:rsid w:val="00503385"/>
    <w:rsid w:val="005042D7"/>
    <w:rsid w:val="005043A3"/>
    <w:rsid w:val="0050527D"/>
    <w:rsid w:val="005071AC"/>
    <w:rsid w:val="00510629"/>
    <w:rsid w:val="00510B3C"/>
    <w:rsid w:val="005143CF"/>
    <w:rsid w:val="00517CC1"/>
    <w:rsid w:val="00521E6C"/>
    <w:rsid w:val="0052235B"/>
    <w:rsid w:val="005232C1"/>
    <w:rsid w:val="00523C59"/>
    <w:rsid w:val="00523C71"/>
    <w:rsid w:val="00523FEC"/>
    <w:rsid w:val="0052416A"/>
    <w:rsid w:val="00524736"/>
    <w:rsid w:val="005250A6"/>
    <w:rsid w:val="0052660B"/>
    <w:rsid w:val="00530000"/>
    <w:rsid w:val="0053172D"/>
    <w:rsid w:val="00531E8F"/>
    <w:rsid w:val="00533313"/>
    <w:rsid w:val="00540F6C"/>
    <w:rsid w:val="00541E09"/>
    <w:rsid w:val="00542910"/>
    <w:rsid w:val="005465C9"/>
    <w:rsid w:val="00546837"/>
    <w:rsid w:val="005501BA"/>
    <w:rsid w:val="005509A2"/>
    <w:rsid w:val="00551A51"/>
    <w:rsid w:val="00552979"/>
    <w:rsid w:val="00552F78"/>
    <w:rsid w:val="005538E7"/>
    <w:rsid w:val="00554DDC"/>
    <w:rsid w:val="00555AAE"/>
    <w:rsid w:val="00555F55"/>
    <w:rsid w:val="005600B0"/>
    <w:rsid w:val="0056021E"/>
    <w:rsid w:val="00560C71"/>
    <w:rsid w:val="00563105"/>
    <w:rsid w:val="00563823"/>
    <w:rsid w:val="00563EDF"/>
    <w:rsid w:val="00565504"/>
    <w:rsid w:val="0056786D"/>
    <w:rsid w:val="0057121F"/>
    <w:rsid w:val="0057438E"/>
    <w:rsid w:val="00574A8F"/>
    <w:rsid w:val="005754B9"/>
    <w:rsid w:val="00580F61"/>
    <w:rsid w:val="00581C8A"/>
    <w:rsid w:val="0058322B"/>
    <w:rsid w:val="00584CC5"/>
    <w:rsid w:val="00586283"/>
    <w:rsid w:val="00586CEE"/>
    <w:rsid w:val="005940EA"/>
    <w:rsid w:val="00597C83"/>
    <w:rsid w:val="005A1356"/>
    <w:rsid w:val="005A5B49"/>
    <w:rsid w:val="005A6629"/>
    <w:rsid w:val="005A7366"/>
    <w:rsid w:val="005B6D99"/>
    <w:rsid w:val="005C0E89"/>
    <w:rsid w:val="005C4915"/>
    <w:rsid w:val="005C5F32"/>
    <w:rsid w:val="005C7536"/>
    <w:rsid w:val="005C7EF8"/>
    <w:rsid w:val="005D24E6"/>
    <w:rsid w:val="005D357F"/>
    <w:rsid w:val="005D4FDD"/>
    <w:rsid w:val="005D59A2"/>
    <w:rsid w:val="005E32FD"/>
    <w:rsid w:val="005E4871"/>
    <w:rsid w:val="005E55B6"/>
    <w:rsid w:val="005E6D9B"/>
    <w:rsid w:val="005F295D"/>
    <w:rsid w:val="005F5458"/>
    <w:rsid w:val="005F6173"/>
    <w:rsid w:val="005F6A5D"/>
    <w:rsid w:val="006011D2"/>
    <w:rsid w:val="00603D0B"/>
    <w:rsid w:val="00604F22"/>
    <w:rsid w:val="00605A97"/>
    <w:rsid w:val="00606858"/>
    <w:rsid w:val="00607E89"/>
    <w:rsid w:val="006103F2"/>
    <w:rsid w:val="0061051E"/>
    <w:rsid w:val="006136FE"/>
    <w:rsid w:val="00614B17"/>
    <w:rsid w:val="006152B7"/>
    <w:rsid w:val="00616766"/>
    <w:rsid w:val="00624BF6"/>
    <w:rsid w:val="006273F7"/>
    <w:rsid w:val="00632B7F"/>
    <w:rsid w:val="00632C60"/>
    <w:rsid w:val="0063350D"/>
    <w:rsid w:val="00640B38"/>
    <w:rsid w:val="00647016"/>
    <w:rsid w:val="00647A6D"/>
    <w:rsid w:val="00647C44"/>
    <w:rsid w:val="0065082F"/>
    <w:rsid w:val="006552E2"/>
    <w:rsid w:val="00657286"/>
    <w:rsid w:val="00657D3A"/>
    <w:rsid w:val="00657FE9"/>
    <w:rsid w:val="006606FE"/>
    <w:rsid w:val="00661030"/>
    <w:rsid w:val="00662BED"/>
    <w:rsid w:val="00663D33"/>
    <w:rsid w:val="00664530"/>
    <w:rsid w:val="006664CC"/>
    <w:rsid w:val="006701B3"/>
    <w:rsid w:val="006702F3"/>
    <w:rsid w:val="00670F9A"/>
    <w:rsid w:val="006722F4"/>
    <w:rsid w:val="0067274B"/>
    <w:rsid w:val="00673663"/>
    <w:rsid w:val="00673AB4"/>
    <w:rsid w:val="00673FAE"/>
    <w:rsid w:val="00674B1A"/>
    <w:rsid w:val="00674C27"/>
    <w:rsid w:val="00674F82"/>
    <w:rsid w:val="006762BB"/>
    <w:rsid w:val="00676302"/>
    <w:rsid w:val="0067672B"/>
    <w:rsid w:val="006806D8"/>
    <w:rsid w:val="00682C24"/>
    <w:rsid w:val="0068352C"/>
    <w:rsid w:val="00683692"/>
    <w:rsid w:val="0068450B"/>
    <w:rsid w:val="00685D12"/>
    <w:rsid w:val="00690CAC"/>
    <w:rsid w:val="00693FD0"/>
    <w:rsid w:val="00695E69"/>
    <w:rsid w:val="00697450"/>
    <w:rsid w:val="006A0656"/>
    <w:rsid w:val="006A3901"/>
    <w:rsid w:val="006A6358"/>
    <w:rsid w:val="006B12D5"/>
    <w:rsid w:val="006B1598"/>
    <w:rsid w:val="006B233E"/>
    <w:rsid w:val="006B3B2A"/>
    <w:rsid w:val="006B40EE"/>
    <w:rsid w:val="006B4786"/>
    <w:rsid w:val="006B561D"/>
    <w:rsid w:val="006C15DB"/>
    <w:rsid w:val="006C2B3B"/>
    <w:rsid w:val="006C2FDA"/>
    <w:rsid w:val="006C374A"/>
    <w:rsid w:val="006C37EA"/>
    <w:rsid w:val="006C3A3D"/>
    <w:rsid w:val="006C5211"/>
    <w:rsid w:val="006C53C8"/>
    <w:rsid w:val="006C55EB"/>
    <w:rsid w:val="006C5EAA"/>
    <w:rsid w:val="006C6740"/>
    <w:rsid w:val="006D0092"/>
    <w:rsid w:val="006D1817"/>
    <w:rsid w:val="006D4A86"/>
    <w:rsid w:val="006D6702"/>
    <w:rsid w:val="006D73F3"/>
    <w:rsid w:val="006E0DF1"/>
    <w:rsid w:val="006E19F8"/>
    <w:rsid w:val="006E2E24"/>
    <w:rsid w:val="006E2EE7"/>
    <w:rsid w:val="006E51E3"/>
    <w:rsid w:val="006E6751"/>
    <w:rsid w:val="006F0EAB"/>
    <w:rsid w:val="006F367C"/>
    <w:rsid w:val="006F58F9"/>
    <w:rsid w:val="006F6CF3"/>
    <w:rsid w:val="006F7791"/>
    <w:rsid w:val="00700086"/>
    <w:rsid w:val="0070265C"/>
    <w:rsid w:val="0070377A"/>
    <w:rsid w:val="00704AD1"/>
    <w:rsid w:val="00705388"/>
    <w:rsid w:val="007067D5"/>
    <w:rsid w:val="00706B2C"/>
    <w:rsid w:val="00707F30"/>
    <w:rsid w:val="00711976"/>
    <w:rsid w:val="007123BE"/>
    <w:rsid w:val="00713766"/>
    <w:rsid w:val="00713AC7"/>
    <w:rsid w:val="00716341"/>
    <w:rsid w:val="00717B1F"/>
    <w:rsid w:val="00720089"/>
    <w:rsid w:val="00720353"/>
    <w:rsid w:val="00720B4C"/>
    <w:rsid w:val="00722540"/>
    <w:rsid w:val="0072493D"/>
    <w:rsid w:val="0072734B"/>
    <w:rsid w:val="00730D8B"/>
    <w:rsid w:val="00733D7A"/>
    <w:rsid w:val="0073694A"/>
    <w:rsid w:val="00737276"/>
    <w:rsid w:val="00740E45"/>
    <w:rsid w:val="00742CD2"/>
    <w:rsid w:val="00743628"/>
    <w:rsid w:val="00743F3A"/>
    <w:rsid w:val="00745B02"/>
    <w:rsid w:val="0074618C"/>
    <w:rsid w:val="0074622F"/>
    <w:rsid w:val="00750672"/>
    <w:rsid w:val="00750958"/>
    <w:rsid w:val="00751D0B"/>
    <w:rsid w:val="007521DD"/>
    <w:rsid w:val="00753830"/>
    <w:rsid w:val="00756F36"/>
    <w:rsid w:val="00762D25"/>
    <w:rsid w:val="00763F7A"/>
    <w:rsid w:val="00766335"/>
    <w:rsid w:val="00766F9D"/>
    <w:rsid w:val="0077581E"/>
    <w:rsid w:val="00776A3D"/>
    <w:rsid w:val="00777266"/>
    <w:rsid w:val="007777FF"/>
    <w:rsid w:val="00783AC6"/>
    <w:rsid w:val="007864FC"/>
    <w:rsid w:val="00794106"/>
    <w:rsid w:val="00794462"/>
    <w:rsid w:val="007A0C54"/>
    <w:rsid w:val="007A101D"/>
    <w:rsid w:val="007A1A99"/>
    <w:rsid w:val="007A2B34"/>
    <w:rsid w:val="007A3944"/>
    <w:rsid w:val="007A3D17"/>
    <w:rsid w:val="007A67D9"/>
    <w:rsid w:val="007A6E51"/>
    <w:rsid w:val="007A7475"/>
    <w:rsid w:val="007A7AFA"/>
    <w:rsid w:val="007B016B"/>
    <w:rsid w:val="007B032F"/>
    <w:rsid w:val="007B102F"/>
    <w:rsid w:val="007B141F"/>
    <w:rsid w:val="007B162A"/>
    <w:rsid w:val="007B1F6E"/>
    <w:rsid w:val="007B217A"/>
    <w:rsid w:val="007B5B0D"/>
    <w:rsid w:val="007B7A3D"/>
    <w:rsid w:val="007C03F5"/>
    <w:rsid w:val="007C0B84"/>
    <w:rsid w:val="007C36EF"/>
    <w:rsid w:val="007D114A"/>
    <w:rsid w:val="007D12A7"/>
    <w:rsid w:val="007D24FC"/>
    <w:rsid w:val="007D4FC2"/>
    <w:rsid w:val="007E0C49"/>
    <w:rsid w:val="007E1CEB"/>
    <w:rsid w:val="007E53EB"/>
    <w:rsid w:val="007E5EDC"/>
    <w:rsid w:val="007E6761"/>
    <w:rsid w:val="007E73E5"/>
    <w:rsid w:val="007F0B88"/>
    <w:rsid w:val="007F100A"/>
    <w:rsid w:val="007F116F"/>
    <w:rsid w:val="007F2532"/>
    <w:rsid w:val="007F317B"/>
    <w:rsid w:val="007F5032"/>
    <w:rsid w:val="007F74BB"/>
    <w:rsid w:val="007F7644"/>
    <w:rsid w:val="0080005F"/>
    <w:rsid w:val="008023A4"/>
    <w:rsid w:val="0080292B"/>
    <w:rsid w:val="008034F4"/>
    <w:rsid w:val="0080365D"/>
    <w:rsid w:val="00803E5F"/>
    <w:rsid w:val="00804D8A"/>
    <w:rsid w:val="00805681"/>
    <w:rsid w:val="00811539"/>
    <w:rsid w:val="00811A98"/>
    <w:rsid w:val="00812BE2"/>
    <w:rsid w:val="008157DE"/>
    <w:rsid w:val="008160D9"/>
    <w:rsid w:val="008161AC"/>
    <w:rsid w:val="00816F47"/>
    <w:rsid w:val="00817FDD"/>
    <w:rsid w:val="00820176"/>
    <w:rsid w:val="008215E7"/>
    <w:rsid w:val="0082282E"/>
    <w:rsid w:val="00823C3C"/>
    <w:rsid w:val="008279AF"/>
    <w:rsid w:val="00830F84"/>
    <w:rsid w:val="00831C63"/>
    <w:rsid w:val="008349B9"/>
    <w:rsid w:val="00835199"/>
    <w:rsid w:val="008367AC"/>
    <w:rsid w:val="0084171C"/>
    <w:rsid w:val="008420CD"/>
    <w:rsid w:val="00845783"/>
    <w:rsid w:val="00846146"/>
    <w:rsid w:val="00847110"/>
    <w:rsid w:val="00847DAC"/>
    <w:rsid w:val="0085381D"/>
    <w:rsid w:val="00860643"/>
    <w:rsid w:val="0086158D"/>
    <w:rsid w:val="00862569"/>
    <w:rsid w:val="00862736"/>
    <w:rsid w:val="00866A73"/>
    <w:rsid w:val="00871345"/>
    <w:rsid w:val="00871A2B"/>
    <w:rsid w:val="008736AF"/>
    <w:rsid w:val="0087576D"/>
    <w:rsid w:val="008768E9"/>
    <w:rsid w:val="0087743D"/>
    <w:rsid w:val="00880897"/>
    <w:rsid w:val="00880D13"/>
    <w:rsid w:val="008822BE"/>
    <w:rsid w:val="00883CD5"/>
    <w:rsid w:val="00885664"/>
    <w:rsid w:val="0088605E"/>
    <w:rsid w:val="008863E5"/>
    <w:rsid w:val="008867E2"/>
    <w:rsid w:val="00886F29"/>
    <w:rsid w:val="008872D3"/>
    <w:rsid w:val="00893D84"/>
    <w:rsid w:val="00894D35"/>
    <w:rsid w:val="00896085"/>
    <w:rsid w:val="008960D3"/>
    <w:rsid w:val="008972FF"/>
    <w:rsid w:val="008977DD"/>
    <w:rsid w:val="008A0C44"/>
    <w:rsid w:val="008A1936"/>
    <w:rsid w:val="008A29AF"/>
    <w:rsid w:val="008A3C1F"/>
    <w:rsid w:val="008A664D"/>
    <w:rsid w:val="008B2C8B"/>
    <w:rsid w:val="008B377E"/>
    <w:rsid w:val="008B50F1"/>
    <w:rsid w:val="008B5538"/>
    <w:rsid w:val="008B69A5"/>
    <w:rsid w:val="008C2DB4"/>
    <w:rsid w:val="008C3F2C"/>
    <w:rsid w:val="008C5E8F"/>
    <w:rsid w:val="008D13E6"/>
    <w:rsid w:val="008D1538"/>
    <w:rsid w:val="008D4520"/>
    <w:rsid w:val="008E1E18"/>
    <w:rsid w:val="008E46DA"/>
    <w:rsid w:val="008E4ED9"/>
    <w:rsid w:val="008F2229"/>
    <w:rsid w:val="008F6482"/>
    <w:rsid w:val="008F6EDD"/>
    <w:rsid w:val="008F70D1"/>
    <w:rsid w:val="008F74FC"/>
    <w:rsid w:val="008F7AF3"/>
    <w:rsid w:val="00901A11"/>
    <w:rsid w:val="00901A71"/>
    <w:rsid w:val="00902A83"/>
    <w:rsid w:val="0090469D"/>
    <w:rsid w:val="009068AA"/>
    <w:rsid w:val="00906972"/>
    <w:rsid w:val="009101C5"/>
    <w:rsid w:val="00910434"/>
    <w:rsid w:val="0091238F"/>
    <w:rsid w:val="00913DA3"/>
    <w:rsid w:val="00913F4F"/>
    <w:rsid w:val="00913F7B"/>
    <w:rsid w:val="00916542"/>
    <w:rsid w:val="00920BE7"/>
    <w:rsid w:val="00923276"/>
    <w:rsid w:val="00923E84"/>
    <w:rsid w:val="00925CE2"/>
    <w:rsid w:val="00932558"/>
    <w:rsid w:val="0093355C"/>
    <w:rsid w:val="00937205"/>
    <w:rsid w:val="00937C1D"/>
    <w:rsid w:val="00940EDA"/>
    <w:rsid w:val="00942271"/>
    <w:rsid w:val="00943759"/>
    <w:rsid w:val="009503C7"/>
    <w:rsid w:val="00950B05"/>
    <w:rsid w:val="00953B50"/>
    <w:rsid w:val="00957CC9"/>
    <w:rsid w:val="00963AB1"/>
    <w:rsid w:val="009667E1"/>
    <w:rsid w:val="00970AC2"/>
    <w:rsid w:val="00970CA9"/>
    <w:rsid w:val="00971A90"/>
    <w:rsid w:val="00971EF9"/>
    <w:rsid w:val="009727EA"/>
    <w:rsid w:val="00972A6E"/>
    <w:rsid w:val="009732FF"/>
    <w:rsid w:val="00976551"/>
    <w:rsid w:val="00976BDA"/>
    <w:rsid w:val="00990F3B"/>
    <w:rsid w:val="00991559"/>
    <w:rsid w:val="009920F3"/>
    <w:rsid w:val="0099256E"/>
    <w:rsid w:val="009928AE"/>
    <w:rsid w:val="00992F6A"/>
    <w:rsid w:val="00995394"/>
    <w:rsid w:val="00996C25"/>
    <w:rsid w:val="009975BB"/>
    <w:rsid w:val="009A025A"/>
    <w:rsid w:val="009A278E"/>
    <w:rsid w:val="009A3A3C"/>
    <w:rsid w:val="009A40E8"/>
    <w:rsid w:val="009A6A18"/>
    <w:rsid w:val="009B112D"/>
    <w:rsid w:val="009B6E72"/>
    <w:rsid w:val="009B6EE2"/>
    <w:rsid w:val="009B7163"/>
    <w:rsid w:val="009B7ED3"/>
    <w:rsid w:val="009C2AB5"/>
    <w:rsid w:val="009C2F87"/>
    <w:rsid w:val="009C639F"/>
    <w:rsid w:val="009C66AD"/>
    <w:rsid w:val="009D0008"/>
    <w:rsid w:val="009D0482"/>
    <w:rsid w:val="009D1365"/>
    <w:rsid w:val="009D3B83"/>
    <w:rsid w:val="009D60D5"/>
    <w:rsid w:val="009D63C8"/>
    <w:rsid w:val="009E1B30"/>
    <w:rsid w:val="009E24C1"/>
    <w:rsid w:val="009E26D0"/>
    <w:rsid w:val="009E3B0F"/>
    <w:rsid w:val="009E4A27"/>
    <w:rsid w:val="009E5EC6"/>
    <w:rsid w:val="009F19ED"/>
    <w:rsid w:val="009F3032"/>
    <w:rsid w:val="009F3FC3"/>
    <w:rsid w:val="009F55A0"/>
    <w:rsid w:val="009F5843"/>
    <w:rsid w:val="00A00CA5"/>
    <w:rsid w:val="00A04077"/>
    <w:rsid w:val="00A040FC"/>
    <w:rsid w:val="00A0476B"/>
    <w:rsid w:val="00A04EA3"/>
    <w:rsid w:val="00A101F6"/>
    <w:rsid w:val="00A10B1C"/>
    <w:rsid w:val="00A11684"/>
    <w:rsid w:val="00A127F2"/>
    <w:rsid w:val="00A14248"/>
    <w:rsid w:val="00A15ACF"/>
    <w:rsid w:val="00A16B61"/>
    <w:rsid w:val="00A16F99"/>
    <w:rsid w:val="00A17CCE"/>
    <w:rsid w:val="00A17CE4"/>
    <w:rsid w:val="00A21E18"/>
    <w:rsid w:val="00A2402C"/>
    <w:rsid w:val="00A247DD"/>
    <w:rsid w:val="00A264EE"/>
    <w:rsid w:val="00A2663F"/>
    <w:rsid w:val="00A26828"/>
    <w:rsid w:val="00A30DC0"/>
    <w:rsid w:val="00A31230"/>
    <w:rsid w:val="00A35B5E"/>
    <w:rsid w:val="00A373BD"/>
    <w:rsid w:val="00A43A9A"/>
    <w:rsid w:val="00A43AD4"/>
    <w:rsid w:val="00A43CEF"/>
    <w:rsid w:val="00A448FB"/>
    <w:rsid w:val="00A45211"/>
    <w:rsid w:val="00A46E4F"/>
    <w:rsid w:val="00A47C76"/>
    <w:rsid w:val="00A52567"/>
    <w:rsid w:val="00A53761"/>
    <w:rsid w:val="00A53CE6"/>
    <w:rsid w:val="00A65193"/>
    <w:rsid w:val="00A67AD3"/>
    <w:rsid w:val="00A73902"/>
    <w:rsid w:val="00A73925"/>
    <w:rsid w:val="00A756D5"/>
    <w:rsid w:val="00A75908"/>
    <w:rsid w:val="00A75C27"/>
    <w:rsid w:val="00A76B1E"/>
    <w:rsid w:val="00A77A39"/>
    <w:rsid w:val="00A77AE9"/>
    <w:rsid w:val="00A814A0"/>
    <w:rsid w:val="00A81503"/>
    <w:rsid w:val="00A8233D"/>
    <w:rsid w:val="00A85D20"/>
    <w:rsid w:val="00A86DD4"/>
    <w:rsid w:val="00A91504"/>
    <w:rsid w:val="00A92F62"/>
    <w:rsid w:val="00A93449"/>
    <w:rsid w:val="00A946EB"/>
    <w:rsid w:val="00A94EA7"/>
    <w:rsid w:val="00AA1A0C"/>
    <w:rsid w:val="00AA1CAC"/>
    <w:rsid w:val="00AA2810"/>
    <w:rsid w:val="00AA3C89"/>
    <w:rsid w:val="00AA6315"/>
    <w:rsid w:val="00AB26E0"/>
    <w:rsid w:val="00AB27CB"/>
    <w:rsid w:val="00AB2C05"/>
    <w:rsid w:val="00AB4A8C"/>
    <w:rsid w:val="00AB71F2"/>
    <w:rsid w:val="00AB7A20"/>
    <w:rsid w:val="00AC49A3"/>
    <w:rsid w:val="00AC4A36"/>
    <w:rsid w:val="00AC5613"/>
    <w:rsid w:val="00AC759D"/>
    <w:rsid w:val="00AD490B"/>
    <w:rsid w:val="00AE1E32"/>
    <w:rsid w:val="00AE3458"/>
    <w:rsid w:val="00AE36DC"/>
    <w:rsid w:val="00AE6A6D"/>
    <w:rsid w:val="00AF00F9"/>
    <w:rsid w:val="00AF0888"/>
    <w:rsid w:val="00AF0D99"/>
    <w:rsid w:val="00AF30BD"/>
    <w:rsid w:val="00AF31D5"/>
    <w:rsid w:val="00AF6810"/>
    <w:rsid w:val="00B0001B"/>
    <w:rsid w:val="00B034AA"/>
    <w:rsid w:val="00B03EB7"/>
    <w:rsid w:val="00B0594C"/>
    <w:rsid w:val="00B05FC7"/>
    <w:rsid w:val="00B06E05"/>
    <w:rsid w:val="00B13ECD"/>
    <w:rsid w:val="00B172BA"/>
    <w:rsid w:val="00B17B36"/>
    <w:rsid w:val="00B2034A"/>
    <w:rsid w:val="00B2097F"/>
    <w:rsid w:val="00B22512"/>
    <w:rsid w:val="00B244A2"/>
    <w:rsid w:val="00B277C1"/>
    <w:rsid w:val="00B3323E"/>
    <w:rsid w:val="00B342DE"/>
    <w:rsid w:val="00B34F9B"/>
    <w:rsid w:val="00B36F96"/>
    <w:rsid w:val="00B42022"/>
    <w:rsid w:val="00B459FB"/>
    <w:rsid w:val="00B50249"/>
    <w:rsid w:val="00B50840"/>
    <w:rsid w:val="00B54994"/>
    <w:rsid w:val="00B5539B"/>
    <w:rsid w:val="00B574DB"/>
    <w:rsid w:val="00B60816"/>
    <w:rsid w:val="00B60C8A"/>
    <w:rsid w:val="00B610A6"/>
    <w:rsid w:val="00B63FF0"/>
    <w:rsid w:val="00B6498C"/>
    <w:rsid w:val="00B70F05"/>
    <w:rsid w:val="00B76C5D"/>
    <w:rsid w:val="00B77B33"/>
    <w:rsid w:val="00B77E6E"/>
    <w:rsid w:val="00B80F15"/>
    <w:rsid w:val="00B820B0"/>
    <w:rsid w:val="00B83268"/>
    <w:rsid w:val="00B83905"/>
    <w:rsid w:val="00B84510"/>
    <w:rsid w:val="00B92430"/>
    <w:rsid w:val="00B92EB2"/>
    <w:rsid w:val="00B9384A"/>
    <w:rsid w:val="00B96267"/>
    <w:rsid w:val="00B97730"/>
    <w:rsid w:val="00BA10E0"/>
    <w:rsid w:val="00BA5954"/>
    <w:rsid w:val="00BA66B6"/>
    <w:rsid w:val="00BA6891"/>
    <w:rsid w:val="00BA6DDE"/>
    <w:rsid w:val="00BA7DD7"/>
    <w:rsid w:val="00BB3744"/>
    <w:rsid w:val="00BB378E"/>
    <w:rsid w:val="00BB4EF7"/>
    <w:rsid w:val="00BB5CE1"/>
    <w:rsid w:val="00BB73A2"/>
    <w:rsid w:val="00BB778B"/>
    <w:rsid w:val="00BC072A"/>
    <w:rsid w:val="00BC0911"/>
    <w:rsid w:val="00BC117A"/>
    <w:rsid w:val="00BC289B"/>
    <w:rsid w:val="00BC498A"/>
    <w:rsid w:val="00BD100A"/>
    <w:rsid w:val="00BD119E"/>
    <w:rsid w:val="00BD1BD8"/>
    <w:rsid w:val="00BD1D83"/>
    <w:rsid w:val="00BD4B19"/>
    <w:rsid w:val="00BD4D60"/>
    <w:rsid w:val="00BD719F"/>
    <w:rsid w:val="00BE0549"/>
    <w:rsid w:val="00BE1AF4"/>
    <w:rsid w:val="00BE2BB3"/>
    <w:rsid w:val="00BE3099"/>
    <w:rsid w:val="00BE4003"/>
    <w:rsid w:val="00BE4C2F"/>
    <w:rsid w:val="00BE4FD6"/>
    <w:rsid w:val="00BE5D46"/>
    <w:rsid w:val="00BE66C4"/>
    <w:rsid w:val="00BE685E"/>
    <w:rsid w:val="00BE6E15"/>
    <w:rsid w:val="00BF1F0A"/>
    <w:rsid w:val="00BF223F"/>
    <w:rsid w:val="00BF4C43"/>
    <w:rsid w:val="00BF78C9"/>
    <w:rsid w:val="00C00027"/>
    <w:rsid w:val="00C00695"/>
    <w:rsid w:val="00C00CBF"/>
    <w:rsid w:val="00C018F5"/>
    <w:rsid w:val="00C019B9"/>
    <w:rsid w:val="00C01A01"/>
    <w:rsid w:val="00C04501"/>
    <w:rsid w:val="00C0710F"/>
    <w:rsid w:val="00C07BA4"/>
    <w:rsid w:val="00C17D71"/>
    <w:rsid w:val="00C20C6E"/>
    <w:rsid w:val="00C2130B"/>
    <w:rsid w:val="00C21371"/>
    <w:rsid w:val="00C21495"/>
    <w:rsid w:val="00C23AC6"/>
    <w:rsid w:val="00C23E97"/>
    <w:rsid w:val="00C25578"/>
    <w:rsid w:val="00C26CB0"/>
    <w:rsid w:val="00C30381"/>
    <w:rsid w:val="00C360FE"/>
    <w:rsid w:val="00C4213E"/>
    <w:rsid w:val="00C44D73"/>
    <w:rsid w:val="00C47105"/>
    <w:rsid w:val="00C47560"/>
    <w:rsid w:val="00C4784C"/>
    <w:rsid w:val="00C526B4"/>
    <w:rsid w:val="00C5320A"/>
    <w:rsid w:val="00C53D24"/>
    <w:rsid w:val="00C55CEE"/>
    <w:rsid w:val="00C61C6F"/>
    <w:rsid w:val="00C65273"/>
    <w:rsid w:val="00C66268"/>
    <w:rsid w:val="00C66418"/>
    <w:rsid w:val="00C66692"/>
    <w:rsid w:val="00C66C7B"/>
    <w:rsid w:val="00C7320E"/>
    <w:rsid w:val="00C73369"/>
    <w:rsid w:val="00C73ADA"/>
    <w:rsid w:val="00C74069"/>
    <w:rsid w:val="00C741DA"/>
    <w:rsid w:val="00C74259"/>
    <w:rsid w:val="00C75746"/>
    <w:rsid w:val="00C768D1"/>
    <w:rsid w:val="00C81211"/>
    <w:rsid w:val="00C81B0F"/>
    <w:rsid w:val="00C826CC"/>
    <w:rsid w:val="00C842FD"/>
    <w:rsid w:val="00C84DE6"/>
    <w:rsid w:val="00C867B4"/>
    <w:rsid w:val="00C87382"/>
    <w:rsid w:val="00C912C3"/>
    <w:rsid w:val="00C918E4"/>
    <w:rsid w:val="00C92258"/>
    <w:rsid w:val="00C922B7"/>
    <w:rsid w:val="00C92A27"/>
    <w:rsid w:val="00C92AE6"/>
    <w:rsid w:val="00C9344B"/>
    <w:rsid w:val="00C94EA1"/>
    <w:rsid w:val="00C95BA3"/>
    <w:rsid w:val="00C9787F"/>
    <w:rsid w:val="00C97932"/>
    <w:rsid w:val="00C97D3B"/>
    <w:rsid w:val="00C97ED7"/>
    <w:rsid w:val="00CA11E1"/>
    <w:rsid w:val="00CA1800"/>
    <w:rsid w:val="00CB0EBD"/>
    <w:rsid w:val="00CB1D5F"/>
    <w:rsid w:val="00CC0712"/>
    <w:rsid w:val="00CC0EBA"/>
    <w:rsid w:val="00CC1A14"/>
    <w:rsid w:val="00CC22D6"/>
    <w:rsid w:val="00CC2C72"/>
    <w:rsid w:val="00CC3CEF"/>
    <w:rsid w:val="00CC4558"/>
    <w:rsid w:val="00CC5521"/>
    <w:rsid w:val="00CC55EB"/>
    <w:rsid w:val="00CC65E9"/>
    <w:rsid w:val="00CD17F0"/>
    <w:rsid w:val="00CD26F0"/>
    <w:rsid w:val="00CD2A9F"/>
    <w:rsid w:val="00CD2ABA"/>
    <w:rsid w:val="00CD401C"/>
    <w:rsid w:val="00CE017B"/>
    <w:rsid w:val="00CE0517"/>
    <w:rsid w:val="00CE3418"/>
    <w:rsid w:val="00CE3851"/>
    <w:rsid w:val="00CE4BD7"/>
    <w:rsid w:val="00CE5B53"/>
    <w:rsid w:val="00CE641C"/>
    <w:rsid w:val="00CF06E2"/>
    <w:rsid w:val="00CF1F08"/>
    <w:rsid w:val="00CF2C35"/>
    <w:rsid w:val="00CF2EBA"/>
    <w:rsid w:val="00CF2FC1"/>
    <w:rsid w:val="00CF5873"/>
    <w:rsid w:val="00D00F42"/>
    <w:rsid w:val="00D03DB7"/>
    <w:rsid w:val="00D04541"/>
    <w:rsid w:val="00D048E8"/>
    <w:rsid w:val="00D057A2"/>
    <w:rsid w:val="00D059D7"/>
    <w:rsid w:val="00D07CF1"/>
    <w:rsid w:val="00D1180D"/>
    <w:rsid w:val="00D138FA"/>
    <w:rsid w:val="00D14200"/>
    <w:rsid w:val="00D146B0"/>
    <w:rsid w:val="00D15392"/>
    <w:rsid w:val="00D17421"/>
    <w:rsid w:val="00D208B0"/>
    <w:rsid w:val="00D21B7C"/>
    <w:rsid w:val="00D27105"/>
    <w:rsid w:val="00D27B31"/>
    <w:rsid w:val="00D27E40"/>
    <w:rsid w:val="00D30937"/>
    <w:rsid w:val="00D345EB"/>
    <w:rsid w:val="00D40ACF"/>
    <w:rsid w:val="00D425C1"/>
    <w:rsid w:val="00D517C0"/>
    <w:rsid w:val="00D53CBF"/>
    <w:rsid w:val="00D54E76"/>
    <w:rsid w:val="00D56097"/>
    <w:rsid w:val="00D57FB4"/>
    <w:rsid w:val="00D60175"/>
    <w:rsid w:val="00D603B4"/>
    <w:rsid w:val="00D6219D"/>
    <w:rsid w:val="00D6225B"/>
    <w:rsid w:val="00D63801"/>
    <w:rsid w:val="00D6456C"/>
    <w:rsid w:val="00D7179F"/>
    <w:rsid w:val="00D72128"/>
    <w:rsid w:val="00D74235"/>
    <w:rsid w:val="00D74BA6"/>
    <w:rsid w:val="00D74DD5"/>
    <w:rsid w:val="00D769E8"/>
    <w:rsid w:val="00D7798C"/>
    <w:rsid w:val="00D809B2"/>
    <w:rsid w:val="00D80BD2"/>
    <w:rsid w:val="00D8240B"/>
    <w:rsid w:val="00D917AA"/>
    <w:rsid w:val="00D960B9"/>
    <w:rsid w:val="00D96A71"/>
    <w:rsid w:val="00D9751D"/>
    <w:rsid w:val="00DA1106"/>
    <w:rsid w:val="00DA3198"/>
    <w:rsid w:val="00DA369A"/>
    <w:rsid w:val="00DA638A"/>
    <w:rsid w:val="00DA63D9"/>
    <w:rsid w:val="00DA6D09"/>
    <w:rsid w:val="00DA7439"/>
    <w:rsid w:val="00DB3C13"/>
    <w:rsid w:val="00DB526D"/>
    <w:rsid w:val="00DB5E02"/>
    <w:rsid w:val="00DB7A97"/>
    <w:rsid w:val="00DC539C"/>
    <w:rsid w:val="00DD0467"/>
    <w:rsid w:val="00DD08B1"/>
    <w:rsid w:val="00DD273B"/>
    <w:rsid w:val="00DD2BEA"/>
    <w:rsid w:val="00DD37F2"/>
    <w:rsid w:val="00DE42D6"/>
    <w:rsid w:val="00DE5BF1"/>
    <w:rsid w:val="00DE5C4B"/>
    <w:rsid w:val="00DE6386"/>
    <w:rsid w:val="00DF1B61"/>
    <w:rsid w:val="00DF4B7F"/>
    <w:rsid w:val="00DF62B4"/>
    <w:rsid w:val="00DF6CF0"/>
    <w:rsid w:val="00E0176F"/>
    <w:rsid w:val="00E07B47"/>
    <w:rsid w:val="00E07D18"/>
    <w:rsid w:val="00E143BF"/>
    <w:rsid w:val="00E1661D"/>
    <w:rsid w:val="00E20617"/>
    <w:rsid w:val="00E20AE4"/>
    <w:rsid w:val="00E223F9"/>
    <w:rsid w:val="00E22A22"/>
    <w:rsid w:val="00E242BB"/>
    <w:rsid w:val="00E249F1"/>
    <w:rsid w:val="00E24F4F"/>
    <w:rsid w:val="00E2616B"/>
    <w:rsid w:val="00E27023"/>
    <w:rsid w:val="00E31FDD"/>
    <w:rsid w:val="00E322B4"/>
    <w:rsid w:val="00E3728B"/>
    <w:rsid w:val="00E372AD"/>
    <w:rsid w:val="00E37971"/>
    <w:rsid w:val="00E37D54"/>
    <w:rsid w:val="00E409A6"/>
    <w:rsid w:val="00E40F32"/>
    <w:rsid w:val="00E421C1"/>
    <w:rsid w:val="00E4245F"/>
    <w:rsid w:val="00E4287B"/>
    <w:rsid w:val="00E4411D"/>
    <w:rsid w:val="00E44BCC"/>
    <w:rsid w:val="00E45FA9"/>
    <w:rsid w:val="00E5297C"/>
    <w:rsid w:val="00E568FB"/>
    <w:rsid w:val="00E60498"/>
    <w:rsid w:val="00E60E89"/>
    <w:rsid w:val="00E63A24"/>
    <w:rsid w:val="00E63BED"/>
    <w:rsid w:val="00E64934"/>
    <w:rsid w:val="00E649D8"/>
    <w:rsid w:val="00E6569A"/>
    <w:rsid w:val="00E6694F"/>
    <w:rsid w:val="00E72494"/>
    <w:rsid w:val="00E72B77"/>
    <w:rsid w:val="00E72BE2"/>
    <w:rsid w:val="00E739A6"/>
    <w:rsid w:val="00E73AC4"/>
    <w:rsid w:val="00E742BE"/>
    <w:rsid w:val="00E74484"/>
    <w:rsid w:val="00E754DE"/>
    <w:rsid w:val="00E75A64"/>
    <w:rsid w:val="00E75D28"/>
    <w:rsid w:val="00E809AB"/>
    <w:rsid w:val="00E817A1"/>
    <w:rsid w:val="00E83DDB"/>
    <w:rsid w:val="00E83FC3"/>
    <w:rsid w:val="00E843E1"/>
    <w:rsid w:val="00E85F8A"/>
    <w:rsid w:val="00E8685D"/>
    <w:rsid w:val="00E86A72"/>
    <w:rsid w:val="00E9123E"/>
    <w:rsid w:val="00E91E01"/>
    <w:rsid w:val="00E9201B"/>
    <w:rsid w:val="00E92A9D"/>
    <w:rsid w:val="00E94635"/>
    <w:rsid w:val="00E94AED"/>
    <w:rsid w:val="00E94E19"/>
    <w:rsid w:val="00E9574F"/>
    <w:rsid w:val="00E959C5"/>
    <w:rsid w:val="00E95BD9"/>
    <w:rsid w:val="00E97D4D"/>
    <w:rsid w:val="00EA0DF0"/>
    <w:rsid w:val="00EA1731"/>
    <w:rsid w:val="00EA1BCB"/>
    <w:rsid w:val="00EA510A"/>
    <w:rsid w:val="00EA7699"/>
    <w:rsid w:val="00EB0F58"/>
    <w:rsid w:val="00EB22B0"/>
    <w:rsid w:val="00EB4528"/>
    <w:rsid w:val="00EB4987"/>
    <w:rsid w:val="00EB5A25"/>
    <w:rsid w:val="00EB7E47"/>
    <w:rsid w:val="00EC0720"/>
    <w:rsid w:val="00EC1F01"/>
    <w:rsid w:val="00EC7309"/>
    <w:rsid w:val="00ED2461"/>
    <w:rsid w:val="00ED6959"/>
    <w:rsid w:val="00ED7C5D"/>
    <w:rsid w:val="00EE0AAC"/>
    <w:rsid w:val="00EE0F8E"/>
    <w:rsid w:val="00EE2D8D"/>
    <w:rsid w:val="00EE4FCC"/>
    <w:rsid w:val="00EE5325"/>
    <w:rsid w:val="00EE59DF"/>
    <w:rsid w:val="00EE6ED5"/>
    <w:rsid w:val="00EF454C"/>
    <w:rsid w:val="00F00E3A"/>
    <w:rsid w:val="00F020FA"/>
    <w:rsid w:val="00F021A7"/>
    <w:rsid w:val="00F03624"/>
    <w:rsid w:val="00F04A60"/>
    <w:rsid w:val="00F04B0C"/>
    <w:rsid w:val="00F04CBC"/>
    <w:rsid w:val="00F05186"/>
    <w:rsid w:val="00F05B4B"/>
    <w:rsid w:val="00F067B1"/>
    <w:rsid w:val="00F07ACC"/>
    <w:rsid w:val="00F10AF9"/>
    <w:rsid w:val="00F12513"/>
    <w:rsid w:val="00F13154"/>
    <w:rsid w:val="00F14601"/>
    <w:rsid w:val="00F1497B"/>
    <w:rsid w:val="00F1511F"/>
    <w:rsid w:val="00F15308"/>
    <w:rsid w:val="00F1542E"/>
    <w:rsid w:val="00F160FC"/>
    <w:rsid w:val="00F16121"/>
    <w:rsid w:val="00F17477"/>
    <w:rsid w:val="00F21E29"/>
    <w:rsid w:val="00F240C3"/>
    <w:rsid w:val="00F2510E"/>
    <w:rsid w:val="00F26717"/>
    <w:rsid w:val="00F30019"/>
    <w:rsid w:val="00F319E1"/>
    <w:rsid w:val="00F3325C"/>
    <w:rsid w:val="00F33507"/>
    <w:rsid w:val="00F3405A"/>
    <w:rsid w:val="00F340CE"/>
    <w:rsid w:val="00F34AE8"/>
    <w:rsid w:val="00F37A92"/>
    <w:rsid w:val="00F41A59"/>
    <w:rsid w:val="00F4489F"/>
    <w:rsid w:val="00F46BDF"/>
    <w:rsid w:val="00F47FCF"/>
    <w:rsid w:val="00F51791"/>
    <w:rsid w:val="00F560DB"/>
    <w:rsid w:val="00F57C1D"/>
    <w:rsid w:val="00F60672"/>
    <w:rsid w:val="00F6076D"/>
    <w:rsid w:val="00F61A6A"/>
    <w:rsid w:val="00F62920"/>
    <w:rsid w:val="00F666CA"/>
    <w:rsid w:val="00F7142F"/>
    <w:rsid w:val="00F7275B"/>
    <w:rsid w:val="00F732DE"/>
    <w:rsid w:val="00F75A5D"/>
    <w:rsid w:val="00F7689C"/>
    <w:rsid w:val="00F800CB"/>
    <w:rsid w:val="00F80661"/>
    <w:rsid w:val="00F8212D"/>
    <w:rsid w:val="00F84049"/>
    <w:rsid w:val="00F93D1B"/>
    <w:rsid w:val="00F94848"/>
    <w:rsid w:val="00F95E09"/>
    <w:rsid w:val="00FA4736"/>
    <w:rsid w:val="00FA61FC"/>
    <w:rsid w:val="00FA6673"/>
    <w:rsid w:val="00FA6FBF"/>
    <w:rsid w:val="00FB272A"/>
    <w:rsid w:val="00FB3BE3"/>
    <w:rsid w:val="00FB42F8"/>
    <w:rsid w:val="00FB4359"/>
    <w:rsid w:val="00FB47CC"/>
    <w:rsid w:val="00FB4C97"/>
    <w:rsid w:val="00FB508E"/>
    <w:rsid w:val="00FB5469"/>
    <w:rsid w:val="00FC1898"/>
    <w:rsid w:val="00FC6AFF"/>
    <w:rsid w:val="00FD07A4"/>
    <w:rsid w:val="00FD32E4"/>
    <w:rsid w:val="00FD4BA6"/>
    <w:rsid w:val="00FD6030"/>
    <w:rsid w:val="00FD743D"/>
    <w:rsid w:val="00FE04EE"/>
    <w:rsid w:val="00FE13E2"/>
    <w:rsid w:val="00FE42E5"/>
    <w:rsid w:val="00FE66B1"/>
    <w:rsid w:val="00FE769B"/>
    <w:rsid w:val="00FF2104"/>
    <w:rsid w:val="00FF3B47"/>
    <w:rsid w:val="00FF41B3"/>
    <w:rsid w:val="00FF516D"/>
    <w:rsid w:val="00FF5DC4"/>
    <w:rsid w:val="00FF7C1F"/>
    <w:rsid w:val="00FF7CBD"/>
    <w:rsid w:val="13085FE7"/>
    <w:rsid w:val="15E01303"/>
    <w:rsid w:val="1AD05C8E"/>
    <w:rsid w:val="2C197455"/>
    <w:rsid w:val="2E8357E0"/>
    <w:rsid w:val="331F03D5"/>
    <w:rsid w:val="461B55AC"/>
    <w:rsid w:val="5500665A"/>
    <w:rsid w:val="58355F9A"/>
    <w:rsid w:val="5AF4198F"/>
    <w:rsid w:val="67E70521"/>
    <w:rsid w:val="68F4687F"/>
    <w:rsid w:val="6C3E34F9"/>
    <w:rsid w:val="71A55FFE"/>
    <w:rsid w:val="73C04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976C54-11D5-40AC-A2D0-45923C68D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pPr>
    <w:rPr>
      <w:sz w:val="22"/>
    </w:r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autoRedefine/>
    <w:qFormat/>
    <w:pPr>
      <w:ind w:left="240"/>
    </w:pPr>
    <w:rPr>
      <w:sz w:val="22"/>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rPr>
      <w:sz w:val="21"/>
    </w:rPr>
  </w:style>
  <w:style w:type="character" w:styleId="af2">
    <w:name w:val="footnote reference"/>
    <w:qFormat/>
    <w:rPr>
      <w:vertAlign w:val="superscript"/>
    </w:rPr>
  </w:style>
  <w:style w:type="character" w:customStyle="1" w:styleId="Char0">
    <w:name w:val="正文文本 Char"/>
    <w:link w:val="a6"/>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3">
    <w:name w:val="标题 Char"/>
    <w:link w:val="ad"/>
    <w:qFormat/>
    <w:rPr>
      <w:rFonts w:ascii="Cambria" w:hAnsi="Cambria"/>
      <w:b/>
      <w:kern w:val="2"/>
      <w:sz w:val="32"/>
      <w:lang w:val="zh-CN" w:eastAsia="zh-CN"/>
    </w:rPr>
  </w:style>
  <w:style w:type="character" w:customStyle="1" w:styleId="Char2">
    <w:name w:val="页眉 Char"/>
    <w:link w:val="aa"/>
    <w:uiPriority w:val="99"/>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00">
    <w:name w:val="Char_0"/>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paragraph" w:customStyle="1" w:styleId="CharChar0">
    <w:name w:val="Char Char_0"/>
    <w:basedOn w:val="a"/>
    <w:qFormat/>
  </w:style>
  <w:style w:type="paragraph" w:customStyle="1" w:styleId="CharChar10">
    <w:name w:val="Char Char_1"/>
    <w:basedOn w:val="a"/>
    <w:qFormat/>
  </w:style>
  <w:style w:type="paragraph" w:customStyle="1" w:styleId="Char10">
    <w:name w:val="Char_1"/>
    <w:basedOn w:val="a"/>
    <w:qFormat/>
  </w:style>
  <w:style w:type="paragraph" w:customStyle="1" w:styleId="CharCharChar0">
    <w:name w:val="Char Char Char_0"/>
    <w:basedOn w:val="a"/>
    <w:qFormat/>
  </w:style>
  <w:style w:type="paragraph" w:customStyle="1" w:styleId="CharCharCharChar0">
    <w:name w:val="Char Char Char Char_0"/>
    <w:basedOn w:val="a"/>
    <w:qFormat/>
    <w:pPr>
      <w:tabs>
        <w:tab w:val="left" w:pos="360"/>
      </w:tabs>
    </w:pPr>
  </w:style>
  <w:style w:type="paragraph" w:customStyle="1" w:styleId="CharChar100">
    <w:name w:val="Char Char1_0"/>
    <w:basedOn w:val="a"/>
    <w:qFormat/>
  </w:style>
  <w:style w:type="paragraph" w:customStyle="1" w:styleId="CharChar2">
    <w:name w:val="Char Char_2"/>
    <w:basedOn w:val="a"/>
    <w:qFormat/>
  </w:style>
  <w:style w:type="paragraph" w:styleId="af5">
    <w:name w:val="List Paragraph"/>
    <w:basedOn w:val="a"/>
    <w:uiPriority w:val="34"/>
    <w:qFormat/>
    <w:pPr>
      <w:ind w:firstLineChars="200" w:firstLine="420"/>
    </w:pPr>
  </w:style>
  <w:style w:type="paragraph" w:customStyle="1" w:styleId="CharChar11">
    <w:name w:val="Char Char1_1"/>
    <w:basedOn w:val="a"/>
    <w:qFormat/>
  </w:style>
  <w:style w:type="paragraph" w:customStyle="1" w:styleId="Char20">
    <w:name w:val="Char_2"/>
    <w:basedOn w:val="a"/>
    <w:qFormat/>
  </w:style>
  <w:style w:type="paragraph" w:customStyle="1" w:styleId="CharChar12">
    <w:name w:val="Char Char1_2"/>
    <w:basedOn w:val="a"/>
    <w:qFormat/>
  </w:style>
  <w:style w:type="paragraph" w:customStyle="1" w:styleId="Char30">
    <w:name w:val="Char_3"/>
    <w:basedOn w:val="a"/>
    <w:qFormat/>
  </w:style>
  <w:style w:type="paragraph" w:customStyle="1" w:styleId="CharChar13">
    <w:name w:val="Char Char1_3"/>
    <w:basedOn w:val="a"/>
    <w:qFormat/>
  </w:style>
  <w:style w:type="paragraph" w:customStyle="1" w:styleId="Char40">
    <w:name w:val="Char_4"/>
    <w:basedOn w:val="a"/>
    <w:qFormat/>
  </w:style>
  <w:style w:type="paragraph" w:customStyle="1" w:styleId="CharChar3">
    <w:name w:val="Char Char_3"/>
    <w:basedOn w:val="a"/>
    <w:qFormat/>
  </w:style>
  <w:style w:type="character" w:customStyle="1" w:styleId="Char1">
    <w:name w:val="页脚 Char"/>
    <w:basedOn w:val="a0"/>
    <w:link w:val="a9"/>
    <w:uiPriority w:val="99"/>
    <w:qFormat/>
    <w:rPr>
      <w:kern w:val="2"/>
      <w:sz w:val="18"/>
    </w:rPr>
  </w:style>
  <w:style w:type="paragraph" w:customStyle="1" w:styleId="div">
    <w:name w:val="div"/>
    <w:basedOn w:val="a"/>
    <w:qFormat/>
  </w:style>
  <w:style w:type="character" w:customStyle="1" w:styleId="custom">
    <w:name w:val="custom"/>
    <w:basedOn w:val="a0"/>
    <w:qFormat/>
  </w:style>
  <w:style w:type="paragraph" w:customStyle="1" w:styleId="table">
    <w:name w:val="table"/>
    <w:basedOn w:val="a"/>
    <w:qFormat/>
  </w:style>
  <w:style w:type="table" w:customStyle="1" w:styleId="tableTable">
    <w:name w:val="table Table"/>
    <w:basedOn w:val="a1"/>
    <w:qFormat/>
    <w:tblPr>
      <w:tblInd w:w="0" w:type="dxa"/>
      <w:tblCellMar>
        <w:top w:w="0" w:type="dxa"/>
        <w:left w:w="108" w:type="dxa"/>
        <w:bottom w:w="0" w:type="dxa"/>
        <w:right w:w="108" w:type="dxa"/>
      </w:tblCellMar>
    </w:tblPr>
  </w:style>
  <w:style w:type="paragraph" w:customStyle="1" w:styleId="imageimageresized">
    <w:name w:val="image_image_resized"/>
    <w:basedOn w:val="a"/>
    <w:qFormat/>
  </w:style>
  <w:style w:type="paragraph" w:customStyle="1" w:styleId="p">
    <w:name w:val="p"/>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vice@99fun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2E811-4C75-4A02-8E8D-7B5737BEC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142</Pages>
  <Words>15304</Words>
  <Characters>87234</Characters>
  <Application>Microsoft Office Word</Application>
  <DocSecurity>0</DocSecurity>
  <Lines>726</Lines>
  <Paragraphs>204</Paragraphs>
  <ScaleCrop>false</ScaleCrop>
  <Company/>
  <LinksUpToDate>false</LinksUpToDate>
  <CharactersWithSpaces>102334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wangxinghan</dc:creator>
  <cp:lastModifiedBy>谭蓉</cp:lastModifiedBy>
  <cp:revision>88</cp:revision>
  <cp:lastPrinted>2020-07-16T11:58:00Z</cp:lastPrinted>
  <dcterms:created xsi:type="dcterms:W3CDTF">2020-07-09T02:06:00Z</dcterms:created>
  <dcterms:modified xsi:type="dcterms:W3CDTF">2025-11-21T08:19:00Z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28B269FBC0C74E1BB0E7F407818ACE21_13</vt:lpwstr>
  </property>
</Properties>
</file>