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7EA06" w14:textId="77777777" w:rsidR="00E635E0" w:rsidRDefault="00E635E0">
      <w:pPr>
        <w:spacing w:line="360" w:lineRule="auto"/>
        <w:ind w:firstLineChars="200" w:firstLine="964"/>
        <w:rPr>
          <w:rFonts w:ascii="宋体" w:hAnsi="宋体"/>
          <w:b/>
          <w:bCs/>
          <w:color w:val="000000"/>
          <w:sz w:val="48"/>
          <w:szCs w:val="48"/>
        </w:rPr>
      </w:pPr>
      <w:bookmarkStart w:id="0" w:name="_GoBack"/>
      <w:bookmarkEnd w:id="0"/>
    </w:p>
    <w:p w14:paraId="2CCC1EAE" w14:textId="77777777" w:rsidR="00E635E0" w:rsidRDefault="00E635E0">
      <w:pPr>
        <w:spacing w:line="360" w:lineRule="auto"/>
        <w:ind w:firstLineChars="200" w:firstLine="964"/>
        <w:rPr>
          <w:rFonts w:ascii="宋体" w:hAnsi="宋体"/>
          <w:b/>
          <w:bCs/>
          <w:color w:val="000000"/>
          <w:sz w:val="48"/>
          <w:szCs w:val="48"/>
        </w:rPr>
      </w:pPr>
    </w:p>
    <w:p w14:paraId="27597999" w14:textId="77777777" w:rsidR="00E635E0" w:rsidRDefault="00E635E0">
      <w:pPr>
        <w:spacing w:line="360" w:lineRule="auto"/>
        <w:ind w:firstLineChars="200" w:firstLine="964"/>
        <w:rPr>
          <w:rFonts w:ascii="宋体" w:hAnsi="宋体"/>
          <w:b/>
          <w:bCs/>
          <w:color w:val="000000"/>
          <w:sz w:val="48"/>
          <w:szCs w:val="48"/>
        </w:rPr>
      </w:pPr>
    </w:p>
    <w:p w14:paraId="2C15658C" w14:textId="77777777" w:rsidR="00E635E0" w:rsidRDefault="00E635E0">
      <w:pPr>
        <w:spacing w:line="360" w:lineRule="auto"/>
        <w:ind w:firstLineChars="200" w:firstLine="964"/>
        <w:rPr>
          <w:rFonts w:ascii="宋体" w:hAnsi="宋体"/>
          <w:b/>
          <w:bCs/>
          <w:color w:val="000000"/>
          <w:sz w:val="48"/>
          <w:szCs w:val="48"/>
        </w:rPr>
      </w:pPr>
    </w:p>
    <w:p w14:paraId="72094C0E" w14:textId="77777777" w:rsidR="00E635E0" w:rsidRDefault="00E635E0">
      <w:pPr>
        <w:spacing w:line="360" w:lineRule="auto"/>
        <w:ind w:firstLineChars="200" w:firstLine="964"/>
        <w:rPr>
          <w:rFonts w:ascii="宋体" w:hAnsi="宋体"/>
          <w:b/>
          <w:bCs/>
          <w:color w:val="000000"/>
          <w:sz w:val="48"/>
          <w:szCs w:val="48"/>
        </w:rPr>
      </w:pPr>
    </w:p>
    <w:p w14:paraId="54965A8F" w14:textId="77777777" w:rsidR="00E635E0" w:rsidRDefault="00A70FAE">
      <w:pPr>
        <w:spacing w:line="360" w:lineRule="auto"/>
        <w:jc w:val="center"/>
        <w:rPr>
          <w:rFonts w:ascii="宋体" w:hAnsi="宋体"/>
          <w:b/>
          <w:bCs/>
          <w:color w:val="000000"/>
          <w:sz w:val="48"/>
          <w:szCs w:val="48"/>
        </w:rPr>
      </w:pPr>
      <w:r>
        <w:rPr>
          <w:rFonts w:ascii="宋体" w:hAnsi="宋体" w:hint="eastAsia"/>
          <w:b/>
          <w:bCs/>
          <w:color w:val="000000"/>
          <w:sz w:val="48"/>
          <w:szCs w:val="48"/>
        </w:rPr>
        <w:t>南方中证港股通互联网交易型开放式</w:t>
      </w:r>
    </w:p>
    <w:p w14:paraId="210A407D" w14:textId="77777777" w:rsidR="00E635E0" w:rsidRDefault="00A70FAE">
      <w:pPr>
        <w:spacing w:line="360" w:lineRule="auto"/>
        <w:jc w:val="center"/>
        <w:rPr>
          <w:rFonts w:ascii="宋体" w:hAnsi="宋体"/>
          <w:b/>
          <w:bCs/>
          <w:color w:val="000000"/>
          <w:sz w:val="48"/>
          <w:szCs w:val="48"/>
        </w:rPr>
      </w:pPr>
      <w:r>
        <w:rPr>
          <w:rFonts w:ascii="宋体" w:hAnsi="宋体" w:hint="eastAsia"/>
          <w:b/>
          <w:bCs/>
          <w:color w:val="000000"/>
          <w:sz w:val="48"/>
          <w:szCs w:val="48"/>
        </w:rPr>
        <w:t>指数证券投资基金发起式联接基金</w:t>
      </w:r>
    </w:p>
    <w:p w14:paraId="01C23300" w14:textId="28B9C7FF" w:rsidR="00E635E0" w:rsidRDefault="00A70FAE">
      <w:pPr>
        <w:spacing w:line="360" w:lineRule="auto"/>
        <w:jc w:val="center"/>
        <w:rPr>
          <w:rFonts w:ascii="宋体" w:hAnsi="宋体"/>
          <w:b/>
          <w:bCs/>
          <w:color w:val="000000"/>
          <w:sz w:val="48"/>
          <w:szCs w:val="48"/>
        </w:rPr>
      </w:pPr>
      <w:r>
        <w:rPr>
          <w:rFonts w:ascii="宋体" w:hAnsi="宋体" w:hint="eastAsia"/>
          <w:b/>
          <w:bCs/>
          <w:color w:val="000000"/>
          <w:sz w:val="48"/>
          <w:szCs w:val="48"/>
        </w:rPr>
        <w:t>托管协议</w:t>
      </w:r>
    </w:p>
    <w:p w14:paraId="330D9DCC" w14:textId="77777777" w:rsidR="00E635E0" w:rsidRDefault="00E635E0">
      <w:pPr>
        <w:autoSpaceDE w:val="0"/>
        <w:autoSpaceDN w:val="0"/>
        <w:spacing w:line="360" w:lineRule="auto"/>
        <w:ind w:firstLineChars="200" w:firstLine="883"/>
        <w:textAlignment w:val="bottom"/>
        <w:rPr>
          <w:rFonts w:ascii="宋体" w:hAnsi="宋体"/>
          <w:b/>
          <w:bCs/>
          <w:color w:val="000000"/>
          <w:sz w:val="44"/>
        </w:rPr>
      </w:pPr>
    </w:p>
    <w:p w14:paraId="6EB7AEE3" w14:textId="77777777" w:rsidR="00E635E0" w:rsidRDefault="00E635E0">
      <w:pPr>
        <w:spacing w:line="360" w:lineRule="auto"/>
        <w:ind w:firstLineChars="200" w:firstLine="602"/>
        <w:rPr>
          <w:rFonts w:ascii="宋体" w:hAnsi="宋体"/>
          <w:b/>
          <w:color w:val="000000"/>
          <w:sz w:val="30"/>
          <w:szCs w:val="30"/>
        </w:rPr>
      </w:pPr>
    </w:p>
    <w:p w14:paraId="11D17C1D" w14:textId="77777777" w:rsidR="00E635E0" w:rsidRDefault="00E635E0">
      <w:pPr>
        <w:spacing w:line="360" w:lineRule="auto"/>
        <w:ind w:firstLineChars="200" w:firstLine="602"/>
        <w:rPr>
          <w:rFonts w:ascii="宋体" w:hAnsi="宋体"/>
          <w:b/>
          <w:color w:val="000000"/>
          <w:sz w:val="30"/>
          <w:szCs w:val="30"/>
        </w:rPr>
      </w:pPr>
    </w:p>
    <w:p w14:paraId="45A21953" w14:textId="77777777" w:rsidR="00E635E0" w:rsidRDefault="00E635E0">
      <w:pPr>
        <w:spacing w:line="360" w:lineRule="auto"/>
        <w:ind w:firstLineChars="200" w:firstLine="602"/>
        <w:rPr>
          <w:rFonts w:ascii="宋体" w:hAnsi="宋体"/>
          <w:b/>
          <w:color w:val="000000"/>
          <w:sz w:val="30"/>
          <w:szCs w:val="30"/>
        </w:rPr>
      </w:pPr>
    </w:p>
    <w:p w14:paraId="7D6F19B3" w14:textId="77777777" w:rsidR="00E635E0" w:rsidRDefault="00E635E0">
      <w:pPr>
        <w:spacing w:line="360" w:lineRule="auto"/>
        <w:ind w:firstLineChars="200" w:firstLine="602"/>
        <w:rPr>
          <w:rFonts w:ascii="宋体" w:hAnsi="宋体"/>
          <w:b/>
          <w:color w:val="000000"/>
          <w:sz w:val="30"/>
          <w:szCs w:val="30"/>
        </w:rPr>
      </w:pPr>
    </w:p>
    <w:p w14:paraId="5CDCBB9E" w14:textId="77777777" w:rsidR="00E635E0" w:rsidRDefault="00E635E0">
      <w:pPr>
        <w:spacing w:line="360" w:lineRule="auto"/>
        <w:ind w:firstLineChars="200" w:firstLine="602"/>
        <w:rPr>
          <w:rFonts w:ascii="宋体" w:hAnsi="宋体"/>
          <w:b/>
          <w:color w:val="000000"/>
          <w:sz w:val="30"/>
          <w:szCs w:val="30"/>
        </w:rPr>
      </w:pPr>
    </w:p>
    <w:p w14:paraId="528F8479" w14:textId="77777777" w:rsidR="00E635E0" w:rsidRDefault="00E635E0">
      <w:pPr>
        <w:spacing w:line="360" w:lineRule="auto"/>
        <w:ind w:firstLineChars="200" w:firstLine="602"/>
        <w:rPr>
          <w:rFonts w:ascii="宋体" w:hAnsi="宋体"/>
          <w:b/>
          <w:color w:val="000000"/>
          <w:sz w:val="30"/>
          <w:szCs w:val="30"/>
        </w:rPr>
      </w:pPr>
    </w:p>
    <w:p w14:paraId="3CE704A0" w14:textId="77777777" w:rsidR="00E635E0" w:rsidRDefault="00A70FAE">
      <w:pPr>
        <w:tabs>
          <w:tab w:val="left" w:pos="6255"/>
        </w:tabs>
        <w:spacing w:line="360" w:lineRule="auto"/>
        <w:ind w:firstLineChars="200" w:firstLine="602"/>
        <w:rPr>
          <w:rFonts w:ascii="宋体" w:hAnsi="宋体"/>
          <w:b/>
          <w:color w:val="000000"/>
          <w:sz w:val="30"/>
          <w:szCs w:val="30"/>
        </w:rPr>
      </w:pPr>
      <w:r>
        <w:rPr>
          <w:rFonts w:ascii="宋体" w:hAnsi="宋体"/>
          <w:b/>
          <w:color w:val="000000"/>
          <w:sz w:val="30"/>
          <w:szCs w:val="30"/>
        </w:rPr>
        <w:tab/>
      </w:r>
    </w:p>
    <w:p w14:paraId="5FC6129D" w14:textId="77777777" w:rsidR="00E635E0" w:rsidRDefault="00A70FAE">
      <w:pPr>
        <w:spacing w:line="360" w:lineRule="auto"/>
        <w:jc w:val="center"/>
        <w:rPr>
          <w:rFonts w:ascii="宋体" w:hAnsi="宋体"/>
          <w:b/>
          <w:bCs/>
          <w:color w:val="000000"/>
          <w:sz w:val="36"/>
          <w:szCs w:val="36"/>
        </w:rPr>
      </w:pPr>
      <w:r>
        <w:rPr>
          <w:rFonts w:ascii="宋体" w:hAnsi="宋体" w:hint="eastAsia"/>
          <w:b/>
          <w:bCs/>
          <w:color w:val="000000"/>
          <w:sz w:val="36"/>
          <w:szCs w:val="36"/>
        </w:rPr>
        <w:t>基金管理人：南方基金管理股份有限公司</w:t>
      </w:r>
    </w:p>
    <w:p w14:paraId="43CC10E7" w14:textId="77777777" w:rsidR="00E635E0" w:rsidRDefault="00A70FAE">
      <w:pPr>
        <w:spacing w:line="360" w:lineRule="auto"/>
        <w:jc w:val="center"/>
        <w:rPr>
          <w:rFonts w:ascii="宋体" w:hAnsi="宋体"/>
          <w:b/>
          <w:bCs/>
          <w:color w:val="000000"/>
          <w:sz w:val="36"/>
          <w:szCs w:val="36"/>
        </w:rPr>
      </w:pPr>
      <w:r>
        <w:rPr>
          <w:rFonts w:ascii="宋体" w:hAnsi="宋体" w:hint="eastAsia"/>
          <w:b/>
          <w:bCs/>
          <w:color w:val="000000"/>
          <w:sz w:val="36"/>
          <w:szCs w:val="36"/>
        </w:rPr>
        <w:t>基金托管人：国泰海通证券股份有限公司</w:t>
      </w:r>
    </w:p>
    <w:p w14:paraId="6AC45442" w14:textId="77777777" w:rsidR="00E635E0" w:rsidRDefault="00E635E0">
      <w:pPr>
        <w:spacing w:line="360" w:lineRule="auto"/>
        <w:ind w:firstLine="602"/>
        <w:jc w:val="center"/>
        <w:rPr>
          <w:rFonts w:ascii="宋体" w:hAnsi="宋体"/>
          <w:color w:val="000000"/>
        </w:rPr>
      </w:pPr>
    </w:p>
    <w:p w14:paraId="72E2C186" w14:textId="77777777" w:rsidR="00E635E0" w:rsidRDefault="00E635E0">
      <w:pPr>
        <w:spacing w:line="360" w:lineRule="auto"/>
        <w:ind w:firstLineChars="200" w:firstLine="420"/>
        <w:rPr>
          <w:color w:val="000000"/>
        </w:rPr>
      </w:pPr>
    </w:p>
    <w:p w14:paraId="79AEC74C" w14:textId="77777777" w:rsidR="00E635E0" w:rsidRDefault="00A70FAE">
      <w:pPr>
        <w:tabs>
          <w:tab w:val="left" w:pos="7185"/>
        </w:tabs>
        <w:sectPr w:rsidR="00E635E0">
          <w:footerReference w:type="even" r:id="rId9"/>
          <w:headerReference w:type="first" r:id="rId10"/>
          <w:pgSz w:w="11906" w:h="16838"/>
          <w:pgMar w:top="1440" w:right="1800" w:bottom="1440" w:left="1800" w:header="851" w:footer="992" w:gutter="0"/>
          <w:pgNumType w:start="1"/>
          <w:cols w:space="425"/>
          <w:docGrid w:type="lines" w:linePitch="312"/>
        </w:sectPr>
      </w:pPr>
      <w:r>
        <w:tab/>
      </w:r>
    </w:p>
    <w:p w14:paraId="1F9AA2E2" w14:textId="77777777" w:rsidR="00E635E0" w:rsidRDefault="00A70FAE">
      <w:pPr>
        <w:spacing w:line="360" w:lineRule="auto"/>
        <w:jc w:val="center"/>
        <w:rPr>
          <w:b/>
          <w:color w:val="000000"/>
          <w:sz w:val="28"/>
          <w:szCs w:val="28"/>
        </w:rPr>
      </w:pPr>
      <w:r>
        <w:rPr>
          <w:b/>
          <w:color w:val="000000"/>
          <w:sz w:val="28"/>
          <w:szCs w:val="28"/>
        </w:rPr>
        <w:lastRenderedPageBreak/>
        <w:t>目录</w:t>
      </w:r>
    </w:p>
    <w:p w14:paraId="069DDF41" w14:textId="7CA39BDB" w:rsidR="00E635E0" w:rsidRDefault="00A70FAE" w:rsidP="00EB4037">
      <w:pPr>
        <w:pStyle w:val="11"/>
        <w:ind w:firstLineChars="0" w:firstLine="0"/>
        <w:rPr>
          <w:b w:val="0"/>
          <w:noProof/>
          <w:sz w:val="21"/>
          <w:szCs w:val="21"/>
        </w:rPr>
      </w:pPr>
      <w:r>
        <w:rPr>
          <w:rStyle w:val="af4"/>
          <w:b w:val="0"/>
          <w:bCs/>
          <w:color w:val="000000"/>
          <w:sz w:val="21"/>
          <w:szCs w:val="21"/>
        </w:rPr>
        <w:fldChar w:fldCharType="begin"/>
      </w:r>
      <w:r>
        <w:rPr>
          <w:rStyle w:val="af4"/>
          <w:b w:val="0"/>
          <w:bCs/>
          <w:color w:val="000000"/>
          <w:sz w:val="21"/>
          <w:szCs w:val="21"/>
        </w:rPr>
        <w:instrText xml:space="preserve"> TOC \h \z \t "</w:instrText>
      </w:r>
      <w:r>
        <w:rPr>
          <w:rStyle w:val="af4"/>
          <w:b w:val="0"/>
          <w:bCs/>
          <w:color w:val="000000"/>
          <w:sz w:val="21"/>
          <w:szCs w:val="21"/>
        </w:rPr>
        <w:instrText>标题</w:instrText>
      </w:r>
      <w:r>
        <w:rPr>
          <w:rStyle w:val="af4"/>
          <w:b w:val="0"/>
          <w:bCs/>
          <w:color w:val="000000"/>
          <w:sz w:val="21"/>
          <w:szCs w:val="21"/>
        </w:rPr>
        <w:instrText xml:space="preserve"> 1,1"</w:instrText>
      </w:r>
      <w:r>
        <w:rPr>
          <w:rStyle w:val="af4"/>
          <w:b w:val="0"/>
          <w:bCs/>
          <w:color w:val="000000"/>
          <w:sz w:val="21"/>
          <w:szCs w:val="21"/>
        </w:rPr>
        <w:fldChar w:fldCharType="separate"/>
      </w:r>
      <w:hyperlink w:anchor="_Toc508720679" w:history="1">
        <w:r>
          <w:rPr>
            <w:rStyle w:val="af4"/>
            <w:b w:val="0"/>
            <w:noProof/>
            <w:sz w:val="21"/>
            <w:szCs w:val="21"/>
          </w:rPr>
          <w:t>一、基金托管协议当事人</w:t>
        </w:r>
        <w:r>
          <w:rPr>
            <w:b w:val="0"/>
            <w:noProof/>
            <w:sz w:val="21"/>
            <w:szCs w:val="21"/>
          </w:rPr>
          <w:tab/>
        </w:r>
        <w:r>
          <w:rPr>
            <w:b w:val="0"/>
            <w:noProof/>
            <w:sz w:val="21"/>
            <w:szCs w:val="21"/>
          </w:rPr>
          <w:fldChar w:fldCharType="begin"/>
        </w:r>
        <w:r>
          <w:rPr>
            <w:b w:val="0"/>
            <w:noProof/>
            <w:sz w:val="21"/>
            <w:szCs w:val="21"/>
          </w:rPr>
          <w:instrText xml:space="preserve"> PAGEREF _Toc508720679 \h </w:instrText>
        </w:r>
        <w:r>
          <w:rPr>
            <w:b w:val="0"/>
            <w:noProof/>
            <w:sz w:val="21"/>
            <w:szCs w:val="21"/>
          </w:rPr>
        </w:r>
        <w:r>
          <w:rPr>
            <w:b w:val="0"/>
            <w:noProof/>
            <w:sz w:val="21"/>
            <w:szCs w:val="21"/>
          </w:rPr>
          <w:fldChar w:fldCharType="separate"/>
        </w:r>
        <w:r w:rsidR="00985735">
          <w:rPr>
            <w:b w:val="0"/>
            <w:noProof/>
            <w:sz w:val="21"/>
            <w:szCs w:val="21"/>
          </w:rPr>
          <w:t>2</w:t>
        </w:r>
        <w:r>
          <w:rPr>
            <w:b w:val="0"/>
            <w:noProof/>
            <w:sz w:val="21"/>
            <w:szCs w:val="21"/>
          </w:rPr>
          <w:fldChar w:fldCharType="end"/>
        </w:r>
      </w:hyperlink>
    </w:p>
    <w:p w14:paraId="5C9F88C4" w14:textId="57680341" w:rsidR="00E635E0" w:rsidRDefault="002B2EC5" w:rsidP="00EB4037">
      <w:pPr>
        <w:pStyle w:val="11"/>
        <w:ind w:firstLineChars="0" w:firstLine="0"/>
        <w:rPr>
          <w:b w:val="0"/>
          <w:noProof/>
          <w:sz w:val="21"/>
          <w:szCs w:val="21"/>
        </w:rPr>
      </w:pPr>
      <w:hyperlink w:anchor="_Toc508720680" w:history="1">
        <w:r w:rsidR="00A70FAE">
          <w:rPr>
            <w:rStyle w:val="af4"/>
            <w:b w:val="0"/>
            <w:noProof/>
            <w:sz w:val="21"/>
            <w:szCs w:val="21"/>
          </w:rPr>
          <w:t>二、基金托管协议的依据、目的和原则</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_Toc508720680 \h </w:instrText>
        </w:r>
        <w:r w:rsidR="00A70FAE">
          <w:rPr>
            <w:b w:val="0"/>
            <w:noProof/>
            <w:sz w:val="21"/>
            <w:szCs w:val="21"/>
          </w:rPr>
        </w:r>
        <w:r w:rsidR="00A70FAE">
          <w:rPr>
            <w:b w:val="0"/>
            <w:noProof/>
            <w:sz w:val="21"/>
            <w:szCs w:val="21"/>
          </w:rPr>
          <w:fldChar w:fldCharType="separate"/>
        </w:r>
        <w:r w:rsidR="00985735">
          <w:rPr>
            <w:b w:val="0"/>
            <w:noProof/>
            <w:sz w:val="21"/>
            <w:szCs w:val="21"/>
          </w:rPr>
          <w:t>3</w:t>
        </w:r>
        <w:r w:rsidR="00A70FAE">
          <w:rPr>
            <w:b w:val="0"/>
            <w:noProof/>
            <w:sz w:val="21"/>
            <w:szCs w:val="21"/>
          </w:rPr>
          <w:fldChar w:fldCharType="end"/>
        </w:r>
      </w:hyperlink>
    </w:p>
    <w:p w14:paraId="4BD37477" w14:textId="311D94F6" w:rsidR="00E635E0" w:rsidRDefault="002B2EC5" w:rsidP="00EB4037">
      <w:pPr>
        <w:pStyle w:val="11"/>
        <w:ind w:firstLineChars="0" w:firstLine="0"/>
        <w:rPr>
          <w:b w:val="0"/>
          <w:noProof/>
          <w:sz w:val="21"/>
          <w:szCs w:val="21"/>
        </w:rPr>
      </w:pPr>
      <w:hyperlink w:anchor="_Toc508720681" w:history="1">
        <w:r w:rsidR="00A70FAE">
          <w:rPr>
            <w:rStyle w:val="af4"/>
            <w:b w:val="0"/>
            <w:noProof/>
            <w:sz w:val="21"/>
            <w:szCs w:val="21"/>
          </w:rPr>
          <w:t>三、基金托管人对基金管理人的业务监督和核查</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_Toc508720681 \h </w:instrText>
        </w:r>
        <w:r w:rsidR="00A70FAE">
          <w:rPr>
            <w:b w:val="0"/>
            <w:noProof/>
            <w:sz w:val="21"/>
            <w:szCs w:val="21"/>
          </w:rPr>
        </w:r>
        <w:r w:rsidR="00A70FAE">
          <w:rPr>
            <w:b w:val="0"/>
            <w:noProof/>
            <w:sz w:val="21"/>
            <w:szCs w:val="21"/>
          </w:rPr>
          <w:fldChar w:fldCharType="separate"/>
        </w:r>
        <w:r w:rsidR="00985735">
          <w:rPr>
            <w:b w:val="0"/>
            <w:noProof/>
            <w:sz w:val="21"/>
            <w:szCs w:val="21"/>
          </w:rPr>
          <w:t>3</w:t>
        </w:r>
        <w:r w:rsidR="00A70FAE">
          <w:rPr>
            <w:b w:val="0"/>
            <w:noProof/>
            <w:sz w:val="21"/>
            <w:szCs w:val="21"/>
          </w:rPr>
          <w:fldChar w:fldCharType="end"/>
        </w:r>
      </w:hyperlink>
    </w:p>
    <w:p w14:paraId="79207767" w14:textId="42E83E53" w:rsidR="00E635E0" w:rsidRDefault="002B2EC5" w:rsidP="00EB4037">
      <w:pPr>
        <w:pStyle w:val="11"/>
        <w:ind w:firstLineChars="0" w:firstLine="0"/>
        <w:rPr>
          <w:b w:val="0"/>
          <w:noProof/>
          <w:sz w:val="21"/>
          <w:szCs w:val="21"/>
        </w:rPr>
      </w:pPr>
      <w:hyperlink w:anchor="_Toc508720682" w:history="1">
        <w:r w:rsidR="00A70FAE">
          <w:rPr>
            <w:rStyle w:val="af4"/>
            <w:b w:val="0"/>
            <w:noProof/>
            <w:sz w:val="21"/>
            <w:szCs w:val="21"/>
          </w:rPr>
          <w:t>四、基金管理人对基金托管人的业务核查</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_Toc508720682 \h </w:instrText>
        </w:r>
        <w:r w:rsidR="00A70FAE">
          <w:rPr>
            <w:b w:val="0"/>
            <w:noProof/>
            <w:sz w:val="21"/>
            <w:szCs w:val="21"/>
          </w:rPr>
        </w:r>
        <w:r w:rsidR="00A70FAE">
          <w:rPr>
            <w:b w:val="0"/>
            <w:noProof/>
            <w:sz w:val="21"/>
            <w:szCs w:val="21"/>
          </w:rPr>
          <w:fldChar w:fldCharType="separate"/>
        </w:r>
        <w:r w:rsidR="00985735">
          <w:rPr>
            <w:b w:val="0"/>
            <w:noProof/>
            <w:sz w:val="21"/>
            <w:szCs w:val="21"/>
          </w:rPr>
          <w:t>12</w:t>
        </w:r>
        <w:r w:rsidR="00A70FAE">
          <w:rPr>
            <w:b w:val="0"/>
            <w:noProof/>
            <w:sz w:val="21"/>
            <w:szCs w:val="21"/>
          </w:rPr>
          <w:fldChar w:fldCharType="end"/>
        </w:r>
      </w:hyperlink>
    </w:p>
    <w:p w14:paraId="1297DCBB" w14:textId="1901F778" w:rsidR="00E635E0" w:rsidRDefault="002B2EC5" w:rsidP="00EB4037">
      <w:pPr>
        <w:pStyle w:val="11"/>
        <w:ind w:firstLineChars="0" w:firstLine="0"/>
        <w:rPr>
          <w:b w:val="0"/>
          <w:noProof/>
          <w:sz w:val="21"/>
          <w:szCs w:val="21"/>
        </w:rPr>
      </w:pPr>
      <w:hyperlink w:anchor="_Toc508720683" w:history="1">
        <w:r w:rsidR="00A70FAE">
          <w:rPr>
            <w:rStyle w:val="af4"/>
            <w:b w:val="0"/>
            <w:noProof/>
            <w:sz w:val="21"/>
            <w:szCs w:val="21"/>
          </w:rPr>
          <w:t>五、基金财产的保管</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_Toc508720683 \h </w:instrText>
        </w:r>
        <w:r w:rsidR="00A70FAE">
          <w:rPr>
            <w:b w:val="0"/>
            <w:noProof/>
            <w:sz w:val="21"/>
            <w:szCs w:val="21"/>
          </w:rPr>
        </w:r>
        <w:r w:rsidR="00A70FAE">
          <w:rPr>
            <w:b w:val="0"/>
            <w:noProof/>
            <w:sz w:val="21"/>
            <w:szCs w:val="21"/>
          </w:rPr>
          <w:fldChar w:fldCharType="separate"/>
        </w:r>
        <w:r w:rsidR="00985735">
          <w:rPr>
            <w:b w:val="0"/>
            <w:noProof/>
            <w:sz w:val="21"/>
            <w:szCs w:val="21"/>
          </w:rPr>
          <w:t>13</w:t>
        </w:r>
        <w:r w:rsidR="00A70FAE">
          <w:rPr>
            <w:b w:val="0"/>
            <w:noProof/>
            <w:sz w:val="21"/>
            <w:szCs w:val="21"/>
          </w:rPr>
          <w:fldChar w:fldCharType="end"/>
        </w:r>
      </w:hyperlink>
    </w:p>
    <w:p w14:paraId="2F2C8414" w14:textId="3F8648FB" w:rsidR="00E635E0" w:rsidRDefault="002B2EC5" w:rsidP="00EB4037">
      <w:pPr>
        <w:pStyle w:val="11"/>
        <w:ind w:firstLineChars="0" w:firstLine="0"/>
        <w:rPr>
          <w:b w:val="0"/>
          <w:noProof/>
          <w:sz w:val="21"/>
          <w:szCs w:val="21"/>
        </w:rPr>
      </w:pPr>
      <w:hyperlink w:anchor="_Toc508720684" w:history="1">
        <w:r w:rsidR="00A70FAE">
          <w:rPr>
            <w:rStyle w:val="af4"/>
            <w:b w:val="0"/>
            <w:noProof/>
            <w:sz w:val="21"/>
            <w:szCs w:val="21"/>
          </w:rPr>
          <w:t>六、指令的发送、确认和执行</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_Toc508720684 \h </w:instrText>
        </w:r>
        <w:r w:rsidR="00A70FAE">
          <w:rPr>
            <w:b w:val="0"/>
            <w:noProof/>
            <w:sz w:val="21"/>
            <w:szCs w:val="21"/>
          </w:rPr>
        </w:r>
        <w:r w:rsidR="00A70FAE">
          <w:rPr>
            <w:b w:val="0"/>
            <w:noProof/>
            <w:sz w:val="21"/>
            <w:szCs w:val="21"/>
          </w:rPr>
          <w:fldChar w:fldCharType="separate"/>
        </w:r>
        <w:r w:rsidR="00985735">
          <w:rPr>
            <w:b w:val="0"/>
            <w:noProof/>
            <w:sz w:val="21"/>
            <w:szCs w:val="21"/>
          </w:rPr>
          <w:t>16</w:t>
        </w:r>
        <w:r w:rsidR="00A70FAE">
          <w:rPr>
            <w:b w:val="0"/>
            <w:noProof/>
            <w:sz w:val="21"/>
            <w:szCs w:val="21"/>
          </w:rPr>
          <w:fldChar w:fldCharType="end"/>
        </w:r>
      </w:hyperlink>
    </w:p>
    <w:p w14:paraId="35096DA7" w14:textId="034B2242" w:rsidR="00E635E0" w:rsidRDefault="002B2EC5" w:rsidP="00EB4037">
      <w:pPr>
        <w:pStyle w:val="11"/>
        <w:ind w:firstLineChars="0" w:firstLine="0"/>
        <w:rPr>
          <w:b w:val="0"/>
          <w:noProof/>
          <w:sz w:val="21"/>
          <w:szCs w:val="21"/>
        </w:rPr>
      </w:pPr>
      <w:hyperlink w:anchor="_Toc508720685" w:history="1">
        <w:r w:rsidR="00A70FAE">
          <w:rPr>
            <w:rStyle w:val="af4"/>
            <w:b w:val="0"/>
            <w:noProof/>
            <w:sz w:val="21"/>
            <w:szCs w:val="21"/>
          </w:rPr>
          <w:t>七、交易及清算交收安排</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_Toc508720685 \h </w:instrText>
        </w:r>
        <w:r w:rsidR="00A70FAE">
          <w:rPr>
            <w:b w:val="0"/>
            <w:noProof/>
            <w:sz w:val="21"/>
            <w:szCs w:val="21"/>
          </w:rPr>
        </w:r>
        <w:r w:rsidR="00A70FAE">
          <w:rPr>
            <w:b w:val="0"/>
            <w:noProof/>
            <w:sz w:val="21"/>
            <w:szCs w:val="21"/>
          </w:rPr>
          <w:fldChar w:fldCharType="separate"/>
        </w:r>
        <w:r w:rsidR="00985735">
          <w:rPr>
            <w:b w:val="0"/>
            <w:noProof/>
            <w:sz w:val="21"/>
            <w:szCs w:val="21"/>
          </w:rPr>
          <w:t>19</w:t>
        </w:r>
        <w:r w:rsidR="00A70FAE">
          <w:rPr>
            <w:b w:val="0"/>
            <w:noProof/>
            <w:sz w:val="21"/>
            <w:szCs w:val="21"/>
          </w:rPr>
          <w:fldChar w:fldCharType="end"/>
        </w:r>
      </w:hyperlink>
    </w:p>
    <w:p w14:paraId="16D35B9B" w14:textId="633F0155" w:rsidR="00E635E0" w:rsidRDefault="002B2EC5" w:rsidP="00EB4037">
      <w:pPr>
        <w:pStyle w:val="11"/>
        <w:ind w:firstLineChars="0" w:firstLine="0"/>
        <w:rPr>
          <w:b w:val="0"/>
          <w:noProof/>
          <w:sz w:val="21"/>
          <w:szCs w:val="21"/>
        </w:rPr>
      </w:pPr>
      <w:hyperlink w:anchor="_Toc508720686" w:history="1">
        <w:r w:rsidR="00A70FAE">
          <w:rPr>
            <w:rStyle w:val="af4"/>
            <w:b w:val="0"/>
            <w:noProof/>
            <w:sz w:val="21"/>
            <w:szCs w:val="21"/>
          </w:rPr>
          <w:t>八、基金资产净值计算和会计核算</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_Toc508720686 \h </w:instrText>
        </w:r>
        <w:r w:rsidR="00A70FAE">
          <w:rPr>
            <w:b w:val="0"/>
            <w:noProof/>
            <w:sz w:val="21"/>
            <w:szCs w:val="21"/>
          </w:rPr>
        </w:r>
        <w:r w:rsidR="00A70FAE">
          <w:rPr>
            <w:b w:val="0"/>
            <w:noProof/>
            <w:sz w:val="21"/>
            <w:szCs w:val="21"/>
          </w:rPr>
          <w:fldChar w:fldCharType="separate"/>
        </w:r>
        <w:r w:rsidR="00985735">
          <w:rPr>
            <w:b w:val="0"/>
            <w:noProof/>
            <w:sz w:val="21"/>
            <w:szCs w:val="21"/>
          </w:rPr>
          <w:t>21</w:t>
        </w:r>
        <w:r w:rsidR="00A70FAE">
          <w:rPr>
            <w:b w:val="0"/>
            <w:noProof/>
            <w:sz w:val="21"/>
            <w:szCs w:val="21"/>
          </w:rPr>
          <w:fldChar w:fldCharType="end"/>
        </w:r>
      </w:hyperlink>
    </w:p>
    <w:p w14:paraId="33DE9789" w14:textId="221020ED" w:rsidR="00E635E0" w:rsidRDefault="002B2EC5" w:rsidP="00EB4037">
      <w:pPr>
        <w:pStyle w:val="11"/>
        <w:ind w:firstLineChars="0" w:firstLine="0"/>
        <w:rPr>
          <w:b w:val="0"/>
          <w:noProof/>
          <w:sz w:val="21"/>
          <w:szCs w:val="21"/>
        </w:rPr>
      </w:pPr>
      <w:hyperlink w:anchor="_Toc508720687" w:history="1">
        <w:r w:rsidR="00A70FAE">
          <w:rPr>
            <w:rStyle w:val="af4"/>
            <w:b w:val="0"/>
            <w:noProof/>
            <w:sz w:val="21"/>
            <w:szCs w:val="21"/>
          </w:rPr>
          <w:t>九、基金收益分配</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_Toc508720687 \h </w:instrText>
        </w:r>
        <w:r w:rsidR="00A70FAE">
          <w:rPr>
            <w:b w:val="0"/>
            <w:noProof/>
            <w:sz w:val="21"/>
            <w:szCs w:val="21"/>
          </w:rPr>
        </w:r>
        <w:r w:rsidR="00A70FAE">
          <w:rPr>
            <w:b w:val="0"/>
            <w:noProof/>
            <w:sz w:val="21"/>
            <w:szCs w:val="21"/>
          </w:rPr>
          <w:fldChar w:fldCharType="separate"/>
        </w:r>
        <w:r w:rsidR="00985735">
          <w:rPr>
            <w:b w:val="0"/>
            <w:noProof/>
            <w:sz w:val="21"/>
            <w:szCs w:val="21"/>
          </w:rPr>
          <w:t>24</w:t>
        </w:r>
        <w:r w:rsidR="00A70FAE">
          <w:rPr>
            <w:b w:val="0"/>
            <w:noProof/>
            <w:sz w:val="21"/>
            <w:szCs w:val="21"/>
          </w:rPr>
          <w:fldChar w:fldCharType="end"/>
        </w:r>
      </w:hyperlink>
    </w:p>
    <w:p w14:paraId="383B0FBD" w14:textId="28AB8275" w:rsidR="00E635E0" w:rsidRDefault="002B2EC5" w:rsidP="00EB4037">
      <w:pPr>
        <w:pStyle w:val="11"/>
        <w:ind w:firstLineChars="0" w:firstLine="0"/>
        <w:rPr>
          <w:b w:val="0"/>
          <w:noProof/>
          <w:sz w:val="21"/>
          <w:szCs w:val="21"/>
        </w:rPr>
      </w:pPr>
      <w:hyperlink w:anchor="_Toc508720688" w:history="1">
        <w:r w:rsidR="00A70FAE">
          <w:rPr>
            <w:rStyle w:val="af4"/>
            <w:b w:val="0"/>
            <w:noProof/>
            <w:sz w:val="21"/>
            <w:szCs w:val="21"/>
          </w:rPr>
          <w:t>十、基金信息披露</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_Toc508720688 \h </w:instrText>
        </w:r>
        <w:r w:rsidR="00A70FAE">
          <w:rPr>
            <w:b w:val="0"/>
            <w:noProof/>
            <w:sz w:val="21"/>
            <w:szCs w:val="21"/>
          </w:rPr>
        </w:r>
        <w:r w:rsidR="00A70FAE">
          <w:rPr>
            <w:b w:val="0"/>
            <w:noProof/>
            <w:sz w:val="21"/>
            <w:szCs w:val="21"/>
          </w:rPr>
          <w:fldChar w:fldCharType="separate"/>
        </w:r>
        <w:r w:rsidR="00985735">
          <w:rPr>
            <w:b w:val="0"/>
            <w:noProof/>
            <w:sz w:val="21"/>
            <w:szCs w:val="21"/>
          </w:rPr>
          <w:t>24</w:t>
        </w:r>
        <w:r w:rsidR="00A70FAE">
          <w:rPr>
            <w:b w:val="0"/>
            <w:noProof/>
            <w:sz w:val="21"/>
            <w:szCs w:val="21"/>
          </w:rPr>
          <w:fldChar w:fldCharType="end"/>
        </w:r>
      </w:hyperlink>
    </w:p>
    <w:p w14:paraId="3C9803A4" w14:textId="3F6175B3" w:rsidR="00E635E0" w:rsidRDefault="002B2EC5" w:rsidP="00EB4037">
      <w:pPr>
        <w:pStyle w:val="11"/>
        <w:ind w:firstLineChars="0" w:firstLine="0"/>
        <w:rPr>
          <w:b w:val="0"/>
          <w:noProof/>
          <w:sz w:val="21"/>
          <w:szCs w:val="21"/>
        </w:rPr>
      </w:pPr>
      <w:hyperlink w:anchor="_Toc508720689" w:history="1">
        <w:r w:rsidR="00A70FAE">
          <w:rPr>
            <w:rStyle w:val="af4"/>
            <w:b w:val="0"/>
            <w:noProof/>
            <w:sz w:val="21"/>
            <w:szCs w:val="21"/>
          </w:rPr>
          <w:t>十一、基金费用</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_Toc508720689 \h </w:instrText>
        </w:r>
        <w:r w:rsidR="00A70FAE">
          <w:rPr>
            <w:b w:val="0"/>
            <w:noProof/>
            <w:sz w:val="21"/>
            <w:szCs w:val="21"/>
          </w:rPr>
        </w:r>
        <w:r w:rsidR="00A70FAE">
          <w:rPr>
            <w:b w:val="0"/>
            <w:noProof/>
            <w:sz w:val="21"/>
            <w:szCs w:val="21"/>
          </w:rPr>
          <w:fldChar w:fldCharType="separate"/>
        </w:r>
        <w:r w:rsidR="00985735">
          <w:rPr>
            <w:b w:val="0"/>
            <w:noProof/>
            <w:sz w:val="21"/>
            <w:szCs w:val="21"/>
          </w:rPr>
          <w:t>25</w:t>
        </w:r>
        <w:r w:rsidR="00A70FAE">
          <w:rPr>
            <w:b w:val="0"/>
            <w:noProof/>
            <w:sz w:val="21"/>
            <w:szCs w:val="21"/>
          </w:rPr>
          <w:fldChar w:fldCharType="end"/>
        </w:r>
      </w:hyperlink>
    </w:p>
    <w:p w14:paraId="6685168B" w14:textId="2CCA8819" w:rsidR="00E635E0" w:rsidRDefault="002B2EC5" w:rsidP="00EB4037">
      <w:pPr>
        <w:pStyle w:val="11"/>
        <w:ind w:firstLineChars="0" w:firstLine="0"/>
        <w:rPr>
          <w:b w:val="0"/>
          <w:noProof/>
          <w:sz w:val="21"/>
          <w:szCs w:val="21"/>
        </w:rPr>
      </w:pPr>
      <w:hyperlink w:anchor="_Toc508720690" w:history="1">
        <w:r w:rsidR="00A70FAE">
          <w:rPr>
            <w:rStyle w:val="af4"/>
            <w:b w:val="0"/>
            <w:noProof/>
            <w:sz w:val="21"/>
            <w:szCs w:val="21"/>
          </w:rPr>
          <w:t>十二、基金份额持有人名册的保管</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_Toc508720690 \h </w:instrText>
        </w:r>
        <w:r w:rsidR="00A70FAE">
          <w:rPr>
            <w:b w:val="0"/>
            <w:noProof/>
            <w:sz w:val="21"/>
            <w:szCs w:val="21"/>
          </w:rPr>
        </w:r>
        <w:r w:rsidR="00A70FAE">
          <w:rPr>
            <w:b w:val="0"/>
            <w:noProof/>
            <w:sz w:val="21"/>
            <w:szCs w:val="21"/>
          </w:rPr>
          <w:fldChar w:fldCharType="separate"/>
        </w:r>
        <w:r w:rsidR="00985735">
          <w:rPr>
            <w:b w:val="0"/>
            <w:noProof/>
            <w:sz w:val="21"/>
            <w:szCs w:val="21"/>
          </w:rPr>
          <w:t>26</w:t>
        </w:r>
        <w:r w:rsidR="00A70FAE">
          <w:rPr>
            <w:b w:val="0"/>
            <w:noProof/>
            <w:sz w:val="21"/>
            <w:szCs w:val="21"/>
          </w:rPr>
          <w:fldChar w:fldCharType="end"/>
        </w:r>
      </w:hyperlink>
    </w:p>
    <w:p w14:paraId="72589472" w14:textId="393DBA32" w:rsidR="00E635E0" w:rsidRDefault="002B2EC5" w:rsidP="00EB4037">
      <w:pPr>
        <w:pStyle w:val="11"/>
        <w:ind w:firstLineChars="0" w:firstLine="0"/>
        <w:rPr>
          <w:b w:val="0"/>
          <w:noProof/>
          <w:sz w:val="21"/>
          <w:szCs w:val="21"/>
        </w:rPr>
      </w:pPr>
      <w:hyperlink w:anchor="_Toc508720691" w:history="1">
        <w:r w:rsidR="00A70FAE">
          <w:rPr>
            <w:rStyle w:val="af4"/>
            <w:b w:val="0"/>
            <w:noProof/>
            <w:sz w:val="21"/>
            <w:szCs w:val="21"/>
          </w:rPr>
          <w:t>十三、基金有关文件档案的保存</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_Toc508720691 \h </w:instrText>
        </w:r>
        <w:r w:rsidR="00A70FAE">
          <w:rPr>
            <w:b w:val="0"/>
            <w:noProof/>
            <w:sz w:val="21"/>
            <w:szCs w:val="21"/>
          </w:rPr>
        </w:r>
        <w:r w:rsidR="00A70FAE">
          <w:rPr>
            <w:b w:val="0"/>
            <w:noProof/>
            <w:sz w:val="21"/>
            <w:szCs w:val="21"/>
          </w:rPr>
          <w:fldChar w:fldCharType="separate"/>
        </w:r>
        <w:r w:rsidR="00985735">
          <w:rPr>
            <w:b w:val="0"/>
            <w:noProof/>
            <w:sz w:val="21"/>
            <w:szCs w:val="21"/>
          </w:rPr>
          <w:t>26</w:t>
        </w:r>
        <w:r w:rsidR="00A70FAE">
          <w:rPr>
            <w:b w:val="0"/>
            <w:noProof/>
            <w:sz w:val="21"/>
            <w:szCs w:val="21"/>
          </w:rPr>
          <w:fldChar w:fldCharType="end"/>
        </w:r>
      </w:hyperlink>
    </w:p>
    <w:p w14:paraId="4F311285" w14:textId="388BEEA2" w:rsidR="00E635E0" w:rsidRDefault="002B2EC5" w:rsidP="00EB4037">
      <w:pPr>
        <w:pStyle w:val="11"/>
        <w:ind w:firstLineChars="0" w:firstLine="0"/>
        <w:rPr>
          <w:b w:val="0"/>
          <w:noProof/>
          <w:sz w:val="21"/>
          <w:szCs w:val="21"/>
        </w:rPr>
      </w:pPr>
      <w:hyperlink w:anchor="_Toc508720692" w:history="1">
        <w:r w:rsidR="00A70FAE">
          <w:rPr>
            <w:rStyle w:val="af4"/>
            <w:b w:val="0"/>
            <w:noProof/>
            <w:sz w:val="21"/>
            <w:szCs w:val="21"/>
          </w:rPr>
          <w:t>十四、基金管理人和基金托管人的更换</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_Toc508720692 \h </w:instrText>
        </w:r>
        <w:r w:rsidR="00A70FAE">
          <w:rPr>
            <w:b w:val="0"/>
            <w:noProof/>
            <w:sz w:val="21"/>
            <w:szCs w:val="21"/>
          </w:rPr>
        </w:r>
        <w:r w:rsidR="00A70FAE">
          <w:rPr>
            <w:b w:val="0"/>
            <w:noProof/>
            <w:sz w:val="21"/>
            <w:szCs w:val="21"/>
          </w:rPr>
          <w:fldChar w:fldCharType="separate"/>
        </w:r>
        <w:r w:rsidR="00985735">
          <w:rPr>
            <w:b w:val="0"/>
            <w:noProof/>
            <w:sz w:val="21"/>
            <w:szCs w:val="21"/>
          </w:rPr>
          <w:t>27</w:t>
        </w:r>
        <w:r w:rsidR="00A70FAE">
          <w:rPr>
            <w:b w:val="0"/>
            <w:noProof/>
            <w:sz w:val="21"/>
            <w:szCs w:val="21"/>
          </w:rPr>
          <w:fldChar w:fldCharType="end"/>
        </w:r>
      </w:hyperlink>
    </w:p>
    <w:p w14:paraId="09FDAA60" w14:textId="463B57DC" w:rsidR="00E635E0" w:rsidRDefault="002B2EC5" w:rsidP="00EB4037">
      <w:pPr>
        <w:pStyle w:val="11"/>
        <w:ind w:firstLineChars="0" w:firstLine="0"/>
        <w:rPr>
          <w:b w:val="0"/>
          <w:noProof/>
          <w:sz w:val="21"/>
          <w:szCs w:val="21"/>
        </w:rPr>
      </w:pPr>
      <w:hyperlink w:anchor="_Toc508720693" w:history="1">
        <w:r w:rsidR="00A70FAE">
          <w:rPr>
            <w:rStyle w:val="af4"/>
            <w:b w:val="0"/>
            <w:noProof/>
            <w:sz w:val="21"/>
            <w:szCs w:val="21"/>
          </w:rPr>
          <w:t>十五、禁止行为</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_Toc508720693 \h </w:instrText>
        </w:r>
        <w:r w:rsidR="00A70FAE">
          <w:rPr>
            <w:b w:val="0"/>
            <w:noProof/>
            <w:sz w:val="21"/>
            <w:szCs w:val="21"/>
          </w:rPr>
        </w:r>
        <w:r w:rsidR="00A70FAE">
          <w:rPr>
            <w:b w:val="0"/>
            <w:noProof/>
            <w:sz w:val="21"/>
            <w:szCs w:val="21"/>
          </w:rPr>
          <w:fldChar w:fldCharType="separate"/>
        </w:r>
        <w:r w:rsidR="00985735">
          <w:rPr>
            <w:b w:val="0"/>
            <w:noProof/>
            <w:sz w:val="21"/>
            <w:szCs w:val="21"/>
          </w:rPr>
          <w:t>29</w:t>
        </w:r>
        <w:r w:rsidR="00A70FAE">
          <w:rPr>
            <w:b w:val="0"/>
            <w:noProof/>
            <w:sz w:val="21"/>
            <w:szCs w:val="21"/>
          </w:rPr>
          <w:fldChar w:fldCharType="end"/>
        </w:r>
      </w:hyperlink>
    </w:p>
    <w:p w14:paraId="7666195A" w14:textId="2639140D" w:rsidR="00E635E0" w:rsidRDefault="002B2EC5" w:rsidP="00EB4037">
      <w:pPr>
        <w:pStyle w:val="11"/>
        <w:ind w:firstLineChars="0" w:firstLine="0"/>
        <w:rPr>
          <w:b w:val="0"/>
          <w:noProof/>
          <w:sz w:val="21"/>
          <w:szCs w:val="21"/>
        </w:rPr>
      </w:pPr>
      <w:hyperlink w:anchor="_Toc508720694" w:history="1">
        <w:r w:rsidR="00A70FAE">
          <w:rPr>
            <w:rStyle w:val="af4"/>
            <w:b w:val="0"/>
            <w:noProof/>
            <w:sz w:val="21"/>
            <w:szCs w:val="21"/>
          </w:rPr>
          <w:t>十六、基金托管协议的变更、终止与基金财产的清算</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_Toc508720694 \h </w:instrText>
        </w:r>
        <w:r w:rsidR="00A70FAE">
          <w:rPr>
            <w:b w:val="0"/>
            <w:noProof/>
            <w:sz w:val="21"/>
            <w:szCs w:val="21"/>
          </w:rPr>
        </w:r>
        <w:r w:rsidR="00A70FAE">
          <w:rPr>
            <w:b w:val="0"/>
            <w:noProof/>
            <w:sz w:val="21"/>
            <w:szCs w:val="21"/>
          </w:rPr>
          <w:fldChar w:fldCharType="separate"/>
        </w:r>
        <w:r w:rsidR="00985735">
          <w:rPr>
            <w:b w:val="0"/>
            <w:noProof/>
            <w:sz w:val="21"/>
            <w:szCs w:val="21"/>
          </w:rPr>
          <w:t>31</w:t>
        </w:r>
        <w:r w:rsidR="00A70FAE">
          <w:rPr>
            <w:b w:val="0"/>
            <w:noProof/>
            <w:sz w:val="21"/>
            <w:szCs w:val="21"/>
          </w:rPr>
          <w:fldChar w:fldCharType="end"/>
        </w:r>
      </w:hyperlink>
    </w:p>
    <w:p w14:paraId="661A2C46" w14:textId="65CEB7B3" w:rsidR="00E635E0" w:rsidRDefault="002B2EC5" w:rsidP="00EB4037">
      <w:pPr>
        <w:pStyle w:val="11"/>
        <w:ind w:firstLineChars="0" w:firstLine="0"/>
        <w:rPr>
          <w:b w:val="0"/>
          <w:noProof/>
          <w:sz w:val="21"/>
          <w:szCs w:val="21"/>
        </w:rPr>
      </w:pPr>
      <w:hyperlink w:anchor="_Toc508720695" w:history="1">
        <w:r w:rsidR="00A70FAE">
          <w:rPr>
            <w:rStyle w:val="af4"/>
            <w:b w:val="0"/>
            <w:noProof/>
            <w:sz w:val="21"/>
            <w:szCs w:val="21"/>
          </w:rPr>
          <w:t>十七、违约责任</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_Toc508720695 \h </w:instrText>
        </w:r>
        <w:r w:rsidR="00A70FAE">
          <w:rPr>
            <w:b w:val="0"/>
            <w:noProof/>
            <w:sz w:val="21"/>
            <w:szCs w:val="21"/>
          </w:rPr>
        </w:r>
        <w:r w:rsidR="00A70FAE">
          <w:rPr>
            <w:b w:val="0"/>
            <w:noProof/>
            <w:sz w:val="21"/>
            <w:szCs w:val="21"/>
          </w:rPr>
          <w:fldChar w:fldCharType="separate"/>
        </w:r>
        <w:r w:rsidR="00985735">
          <w:rPr>
            <w:b w:val="0"/>
            <w:noProof/>
            <w:sz w:val="21"/>
            <w:szCs w:val="21"/>
          </w:rPr>
          <w:t>33</w:t>
        </w:r>
        <w:r w:rsidR="00A70FAE">
          <w:rPr>
            <w:b w:val="0"/>
            <w:noProof/>
            <w:sz w:val="21"/>
            <w:szCs w:val="21"/>
          </w:rPr>
          <w:fldChar w:fldCharType="end"/>
        </w:r>
      </w:hyperlink>
    </w:p>
    <w:p w14:paraId="375156BE" w14:textId="3C477B7C" w:rsidR="00E635E0" w:rsidRDefault="002B2EC5" w:rsidP="00EB4037">
      <w:pPr>
        <w:pStyle w:val="11"/>
        <w:ind w:firstLineChars="0" w:firstLine="0"/>
        <w:rPr>
          <w:b w:val="0"/>
          <w:noProof/>
          <w:sz w:val="21"/>
          <w:szCs w:val="21"/>
        </w:rPr>
      </w:pPr>
      <w:hyperlink w:anchor="_Toc508720696" w:history="1">
        <w:r w:rsidR="00A70FAE">
          <w:rPr>
            <w:rStyle w:val="af4"/>
            <w:b w:val="0"/>
            <w:noProof/>
            <w:sz w:val="21"/>
            <w:szCs w:val="21"/>
          </w:rPr>
          <w:t>十八、争议解决方式</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_Toc508720696 \h </w:instrText>
        </w:r>
        <w:r w:rsidR="00A70FAE">
          <w:rPr>
            <w:b w:val="0"/>
            <w:noProof/>
            <w:sz w:val="21"/>
            <w:szCs w:val="21"/>
          </w:rPr>
        </w:r>
        <w:r w:rsidR="00A70FAE">
          <w:rPr>
            <w:b w:val="0"/>
            <w:noProof/>
            <w:sz w:val="21"/>
            <w:szCs w:val="21"/>
          </w:rPr>
          <w:fldChar w:fldCharType="separate"/>
        </w:r>
        <w:r w:rsidR="00985735">
          <w:rPr>
            <w:b w:val="0"/>
            <w:noProof/>
            <w:sz w:val="21"/>
            <w:szCs w:val="21"/>
          </w:rPr>
          <w:t>34</w:t>
        </w:r>
        <w:r w:rsidR="00A70FAE">
          <w:rPr>
            <w:b w:val="0"/>
            <w:noProof/>
            <w:sz w:val="21"/>
            <w:szCs w:val="21"/>
          </w:rPr>
          <w:fldChar w:fldCharType="end"/>
        </w:r>
      </w:hyperlink>
    </w:p>
    <w:p w14:paraId="31BE1FC1" w14:textId="561C9687" w:rsidR="00E635E0" w:rsidRDefault="002B2EC5" w:rsidP="00EB4037">
      <w:pPr>
        <w:pStyle w:val="11"/>
        <w:ind w:firstLineChars="0" w:firstLine="0"/>
        <w:rPr>
          <w:b w:val="0"/>
          <w:noProof/>
          <w:sz w:val="21"/>
          <w:szCs w:val="21"/>
        </w:rPr>
      </w:pPr>
      <w:hyperlink w:anchor="_Toc508720697" w:history="1">
        <w:r w:rsidR="00A70FAE">
          <w:rPr>
            <w:rStyle w:val="af4"/>
            <w:b w:val="0"/>
            <w:noProof/>
            <w:sz w:val="21"/>
            <w:szCs w:val="21"/>
          </w:rPr>
          <w:t>十九、基金托管协议的效力</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_Toc508720697 \h </w:instrText>
        </w:r>
        <w:r w:rsidR="00A70FAE">
          <w:rPr>
            <w:b w:val="0"/>
            <w:noProof/>
            <w:sz w:val="21"/>
            <w:szCs w:val="21"/>
          </w:rPr>
        </w:r>
        <w:r w:rsidR="00A70FAE">
          <w:rPr>
            <w:b w:val="0"/>
            <w:noProof/>
            <w:sz w:val="21"/>
            <w:szCs w:val="21"/>
          </w:rPr>
          <w:fldChar w:fldCharType="separate"/>
        </w:r>
        <w:r w:rsidR="00985735">
          <w:rPr>
            <w:b w:val="0"/>
            <w:noProof/>
            <w:sz w:val="21"/>
            <w:szCs w:val="21"/>
          </w:rPr>
          <w:t>35</w:t>
        </w:r>
        <w:r w:rsidR="00A70FAE">
          <w:rPr>
            <w:b w:val="0"/>
            <w:noProof/>
            <w:sz w:val="21"/>
            <w:szCs w:val="21"/>
          </w:rPr>
          <w:fldChar w:fldCharType="end"/>
        </w:r>
      </w:hyperlink>
    </w:p>
    <w:p w14:paraId="7F574FD9" w14:textId="3AF3105D" w:rsidR="00E635E0" w:rsidRDefault="002B2EC5" w:rsidP="00EB4037">
      <w:pPr>
        <w:pStyle w:val="11"/>
        <w:ind w:firstLineChars="0" w:firstLine="0"/>
        <w:rPr>
          <w:b w:val="0"/>
          <w:noProof/>
          <w:sz w:val="21"/>
          <w:szCs w:val="21"/>
        </w:rPr>
      </w:pPr>
      <w:hyperlink w:anchor="_Toc508720698" w:history="1">
        <w:r w:rsidR="00A70FAE">
          <w:rPr>
            <w:rStyle w:val="af4"/>
            <w:b w:val="0"/>
            <w:noProof/>
            <w:sz w:val="21"/>
            <w:szCs w:val="21"/>
          </w:rPr>
          <w:t>二十、其他事项</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_Toc508720698 \h </w:instrText>
        </w:r>
        <w:r w:rsidR="00A70FAE">
          <w:rPr>
            <w:b w:val="0"/>
            <w:noProof/>
            <w:sz w:val="21"/>
            <w:szCs w:val="21"/>
          </w:rPr>
        </w:r>
        <w:r w:rsidR="00A70FAE">
          <w:rPr>
            <w:b w:val="0"/>
            <w:noProof/>
            <w:sz w:val="21"/>
            <w:szCs w:val="21"/>
          </w:rPr>
          <w:fldChar w:fldCharType="separate"/>
        </w:r>
        <w:r w:rsidR="00985735">
          <w:rPr>
            <w:b w:val="0"/>
            <w:noProof/>
            <w:sz w:val="21"/>
            <w:szCs w:val="21"/>
          </w:rPr>
          <w:t>35</w:t>
        </w:r>
        <w:r w:rsidR="00A70FAE">
          <w:rPr>
            <w:b w:val="0"/>
            <w:noProof/>
            <w:sz w:val="21"/>
            <w:szCs w:val="21"/>
          </w:rPr>
          <w:fldChar w:fldCharType="end"/>
        </w:r>
      </w:hyperlink>
    </w:p>
    <w:p w14:paraId="63F91769" w14:textId="680C8498" w:rsidR="00E635E0" w:rsidRDefault="002B2EC5" w:rsidP="00EB4037">
      <w:pPr>
        <w:pStyle w:val="11"/>
        <w:ind w:firstLineChars="0" w:firstLine="0"/>
        <w:rPr>
          <w:b w:val="0"/>
          <w:noProof/>
          <w:sz w:val="21"/>
          <w:szCs w:val="21"/>
        </w:rPr>
      </w:pPr>
      <w:hyperlink w:anchor="_Toc508720699" w:history="1">
        <w:r w:rsidR="00A70FAE">
          <w:rPr>
            <w:rStyle w:val="af4"/>
            <w:b w:val="0"/>
            <w:noProof/>
            <w:sz w:val="21"/>
            <w:szCs w:val="21"/>
          </w:rPr>
          <w:t>二十一、基金托管协议的签订</w:t>
        </w:r>
        <w:r w:rsidR="00A70FAE">
          <w:rPr>
            <w:b w:val="0"/>
            <w:noProof/>
            <w:sz w:val="21"/>
            <w:szCs w:val="21"/>
          </w:rPr>
          <w:tab/>
        </w:r>
        <w:r w:rsidR="00A70FAE">
          <w:rPr>
            <w:b w:val="0"/>
            <w:noProof/>
            <w:sz w:val="21"/>
            <w:szCs w:val="21"/>
          </w:rPr>
          <w:fldChar w:fldCharType="begin"/>
        </w:r>
        <w:r w:rsidR="00A70FAE">
          <w:rPr>
            <w:b w:val="0"/>
            <w:noProof/>
            <w:sz w:val="21"/>
            <w:szCs w:val="21"/>
          </w:rPr>
          <w:instrText xml:space="preserve"> PAGEREF _Toc508720699 \h </w:instrText>
        </w:r>
        <w:r w:rsidR="00A70FAE">
          <w:rPr>
            <w:b w:val="0"/>
            <w:noProof/>
            <w:sz w:val="21"/>
            <w:szCs w:val="21"/>
          </w:rPr>
        </w:r>
        <w:r w:rsidR="00A70FAE">
          <w:rPr>
            <w:b w:val="0"/>
            <w:noProof/>
            <w:sz w:val="21"/>
            <w:szCs w:val="21"/>
          </w:rPr>
          <w:fldChar w:fldCharType="separate"/>
        </w:r>
        <w:r w:rsidR="00985735">
          <w:rPr>
            <w:b w:val="0"/>
            <w:noProof/>
            <w:sz w:val="21"/>
            <w:szCs w:val="21"/>
          </w:rPr>
          <w:t>35</w:t>
        </w:r>
        <w:r w:rsidR="00A70FAE">
          <w:rPr>
            <w:b w:val="0"/>
            <w:noProof/>
            <w:sz w:val="21"/>
            <w:szCs w:val="21"/>
          </w:rPr>
          <w:fldChar w:fldCharType="end"/>
        </w:r>
      </w:hyperlink>
    </w:p>
    <w:p w14:paraId="703B954B" w14:textId="2C2FB26B" w:rsidR="00E635E0" w:rsidRDefault="00A70FAE">
      <w:pPr>
        <w:pStyle w:val="11"/>
        <w:ind w:firstLine="420"/>
        <w:rPr>
          <w:rStyle w:val="af4"/>
          <w:b w:val="0"/>
          <w:bCs/>
          <w:color w:val="000000"/>
          <w:sz w:val="21"/>
          <w:szCs w:val="21"/>
        </w:rPr>
      </w:pPr>
      <w:r>
        <w:rPr>
          <w:rStyle w:val="af4"/>
          <w:b w:val="0"/>
          <w:bCs/>
          <w:color w:val="000000"/>
          <w:sz w:val="21"/>
          <w:szCs w:val="21"/>
        </w:rPr>
        <w:fldChar w:fldCharType="end"/>
      </w:r>
    </w:p>
    <w:p w14:paraId="49009427" w14:textId="77777777" w:rsidR="00EB4037" w:rsidRDefault="00EB4037" w:rsidP="00EB4037">
      <w:pPr>
        <w:sectPr w:rsidR="00EB4037">
          <w:headerReference w:type="default" r:id="rId11"/>
          <w:footerReference w:type="default" r:id="rId12"/>
          <w:footerReference w:type="first" r:id="rId13"/>
          <w:pgSz w:w="11906" w:h="16838"/>
          <w:pgMar w:top="1440" w:right="1797" w:bottom="1440" w:left="1797" w:header="851" w:footer="992" w:gutter="0"/>
          <w:pgNumType w:start="1"/>
          <w:cols w:space="425"/>
          <w:titlePg/>
          <w:docGrid w:type="linesAndChars" w:linePitch="312"/>
        </w:sectPr>
      </w:pPr>
    </w:p>
    <w:p w14:paraId="67B76FAE" w14:textId="34B61D19" w:rsidR="00E635E0" w:rsidRDefault="00A70FAE">
      <w:pPr>
        <w:spacing w:line="360" w:lineRule="auto"/>
        <w:ind w:firstLineChars="200" w:firstLine="480"/>
        <w:rPr>
          <w:rFonts w:ascii="宋体" w:hAnsi="宋体"/>
          <w:color w:val="000000"/>
          <w:kern w:val="0"/>
          <w:sz w:val="24"/>
        </w:rPr>
      </w:pPr>
      <w:bookmarkStart w:id="1" w:name="_Toc125892432"/>
      <w:bookmarkStart w:id="2" w:name="_Toc22454432"/>
      <w:bookmarkStart w:id="3" w:name="_Toc523829992"/>
      <w:r>
        <w:rPr>
          <w:rFonts w:ascii="宋体" w:hAnsi="宋体" w:hint="eastAsia"/>
          <w:color w:val="000000"/>
          <w:kern w:val="0"/>
          <w:sz w:val="24"/>
        </w:rPr>
        <w:t>鉴于南方基金管理股份有限公司系一家依照中国法律合法成立并有效存续的股份有限公司，按照相关法律法规的规定具备担任基金管理人的资格和能力，拟募集发行南方中证港股通互联网交易型开放式指数证券投资基金发起式联接基金（以下简称“本基金”或“基金”）；</w:t>
      </w:r>
      <w:bookmarkEnd w:id="1"/>
    </w:p>
    <w:p w14:paraId="3AD4A661" w14:textId="77777777" w:rsidR="00E635E0" w:rsidRDefault="00A70FAE">
      <w:pPr>
        <w:spacing w:line="360" w:lineRule="auto"/>
        <w:ind w:firstLineChars="200" w:firstLine="480"/>
        <w:rPr>
          <w:rFonts w:ascii="宋体" w:hAnsi="宋体"/>
          <w:color w:val="000000"/>
          <w:kern w:val="0"/>
          <w:sz w:val="24"/>
        </w:rPr>
      </w:pPr>
      <w:bookmarkStart w:id="4" w:name="_Toc125892433"/>
      <w:r>
        <w:rPr>
          <w:rFonts w:ascii="宋体" w:hAnsi="宋体" w:hint="eastAsia"/>
          <w:color w:val="000000"/>
          <w:kern w:val="0"/>
          <w:sz w:val="24"/>
        </w:rPr>
        <w:t>鉴于国泰海通证券股份有限公司系一家依照中国法律合法成立并有效存续的证券公司，按照相关法律法规的规定具备担任基金托管人的资格和能力；</w:t>
      </w:r>
      <w:bookmarkEnd w:id="4"/>
    </w:p>
    <w:p w14:paraId="30364340" w14:textId="4BF2A47F" w:rsidR="00E635E0" w:rsidRDefault="00A70FAE">
      <w:pPr>
        <w:spacing w:line="360" w:lineRule="auto"/>
        <w:ind w:firstLineChars="200" w:firstLine="480"/>
        <w:rPr>
          <w:rFonts w:ascii="宋体" w:hAnsi="宋体"/>
          <w:color w:val="000000"/>
          <w:kern w:val="0"/>
          <w:sz w:val="24"/>
        </w:rPr>
      </w:pPr>
      <w:bookmarkStart w:id="5" w:name="_Toc125892434"/>
      <w:r>
        <w:rPr>
          <w:rFonts w:ascii="宋体" w:hAnsi="宋体" w:hint="eastAsia"/>
          <w:color w:val="000000"/>
          <w:kern w:val="0"/>
          <w:sz w:val="24"/>
        </w:rPr>
        <w:t>鉴于南方基金管理股份有限公司拟担任南方中证港股通互联网交易型开放式指数证券投资基金发起式联接基金的基金管理人，国泰海通证券股份有限公司拟担任南方中证港股通互联网交易型开放式指数证券投资基金发起式联接基金的基金托管人；</w:t>
      </w:r>
      <w:bookmarkEnd w:id="5"/>
    </w:p>
    <w:p w14:paraId="2CCD2C5E" w14:textId="369D6E09" w:rsidR="00E635E0" w:rsidRDefault="00A70FAE">
      <w:pPr>
        <w:spacing w:line="360" w:lineRule="auto"/>
        <w:ind w:firstLineChars="200" w:firstLine="480"/>
        <w:rPr>
          <w:rFonts w:ascii="宋体" w:hAnsi="宋体"/>
          <w:color w:val="000000"/>
          <w:kern w:val="0"/>
          <w:sz w:val="24"/>
        </w:rPr>
      </w:pPr>
      <w:bookmarkStart w:id="6" w:name="_Toc125892435"/>
      <w:r>
        <w:rPr>
          <w:rFonts w:ascii="宋体" w:hAnsi="宋体" w:hint="eastAsia"/>
          <w:color w:val="000000"/>
          <w:kern w:val="0"/>
          <w:sz w:val="24"/>
        </w:rPr>
        <w:t>为明确南方中证港股通互联网交易型开放式指数证券投资基金发起式联接基金的基金管理人和基金托管人之间的权利义务关系，特制订本协议；</w:t>
      </w:r>
      <w:bookmarkEnd w:id="6"/>
    </w:p>
    <w:p w14:paraId="654167C4" w14:textId="50931733" w:rsidR="00E635E0" w:rsidRDefault="00A70FAE">
      <w:pPr>
        <w:spacing w:line="360" w:lineRule="auto"/>
        <w:ind w:firstLineChars="200" w:firstLine="480"/>
        <w:rPr>
          <w:rFonts w:ascii="宋体" w:hAnsi="宋体"/>
          <w:color w:val="000000"/>
          <w:kern w:val="0"/>
          <w:sz w:val="24"/>
        </w:rPr>
      </w:pPr>
      <w:bookmarkStart w:id="7" w:name="_Toc125892436"/>
      <w:r>
        <w:rPr>
          <w:rFonts w:ascii="宋体" w:hAnsi="宋体" w:hint="eastAsia"/>
          <w:color w:val="000000"/>
          <w:kern w:val="0"/>
          <w:sz w:val="24"/>
        </w:rPr>
        <w:t>除非文义另有所指，本协议的所有术语与《南方中证港股通互联网交易型开放式指数证券投资基金发起式联接基金基金合同》（以下简称《基金合同》</w:t>
      </w:r>
      <w:r>
        <w:rPr>
          <w:rFonts w:ascii="宋体" w:hAnsi="宋体" w:hint="eastAsia"/>
          <w:kern w:val="0"/>
          <w:sz w:val="24"/>
        </w:rPr>
        <w:t>或“基金合同”</w:t>
      </w:r>
      <w:r>
        <w:rPr>
          <w:rFonts w:ascii="宋体" w:hAnsi="宋体" w:hint="eastAsia"/>
          <w:color w:val="000000"/>
          <w:kern w:val="0"/>
          <w:sz w:val="24"/>
        </w:rPr>
        <w:t>）中定义的相应术语具有相同的含义。若有抵触应以《基金合同》为准，并依其条款解释。</w:t>
      </w:r>
      <w:bookmarkStart w:id="8" w:name="_Toc125892437"/>
      <w:bookmarkEnd w:id="7"/>
    </w:p>
    <w:p w14:paraId="586ADA6E" w14:textId="77777777" w:rsidR="00E635E0" w:rsidRDefault="00A70FAE">
      <w:pPr>
        <w:tabs>
          <w:tab w:val="left" w:pos="3780"/>
        </w:tabs>
        <w:autoSpaceDE w:val="0"/>
        <w:autoSpaceDN w:val="0"/>
        <w:spacing w:line="360" w:lineRule="auto"/>
        <w:ind w:firstLineChars="200" w:firstLine="420"/>
        <w:textAlignment w:val="bottom"/>
        <w:outlineLvl w:val="0"/>
        <w:rPr>
          <w:rFonts w:ascii="宋体" w:hAnsi="宋体"/>
          <w:color w:val="000000"/>
          <w:kern w:val="0"/>
          <w:sz w:val="24"/>
        </w:rPr>
      </w:pPr>
      <w:r>
        <w:br w:type="page"/>
      </w:r>
      <w:bookmarkStart w:id="9" w:name="_Toc508720679"/>
    </w:p>
    <w:p w14:paraId="7DB7584B" w14:textId="77777777" w:rsidR="00E635E0" w:rsidRDefault="00A70FAE">
      <w:pPr>
        <w:pStyle w:val="1"/>
        <w:spacing w:before="0" w:after="0"/>
        <w:ind w:firstLineChars="200" w:firstLine="482"/>
      </w:pPr>
      <w:r>
        <w:rPr>
          <w:rFonts w:hint="eastAsia"/>
        </w:rPr>
        <w:t>一、基金托管协议当事人</w:t>
      </w:r>
      <w:bookmarkEnd w:id="2"/>
      <w:bookmarkEnd w:id="3"/>
      <w:bookmarkEnd w:id="8"/>
      <w:bookmarkEnd w:id="9"/>
    </w:p>
    <w:p w14:paraId="61DBD57E"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10" w:name="_Toc22454433"/>
      <w:bookmarkStart w:id="11" w:name="_Toc77662992"/>
      <w:r>
        <w:rPr>
          <w:rFonts w:ascii="宋体" w:hAnsi="宋体" w:hint="eastAsia"/>
          <w:b/>
          <w:bCs/>
          <w:color w:val="000000"/>
          <w:sz w:val="24"/>
        </w:rPr>
        <w:t>（一）基金管理人</w:t>
      </w:r>
      <w:bookmarkEnd w:id="10"/>
      <w:bookmarkEnd w:id="11"/>
    </w:p>
    <w:p w14:paraId="6447D273"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名称：南方基金管理股份有限公司</w:t>
      </w:r>
    </w:p>
    <w:p w14:paraId="156145A4"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注册地址：</w:t>
      </w:r>
      <w:r>
        <w:rPr>
          <w:rFonts w:ascii="宋体" w:hAnsi="宋体" w:hint="eastAsia"/>
          <w:color w:val="000000"/>
          <w:kern w:val="0"/>
          <w:sz w:val="24"/>
        </w:rPr>
        <w:t>深圳市福田区莲花街道益田路5999号基金大厦32-42楼</w:t>
      </w:r>
    </w:p>
    <w:p w14:paraId="4D0F6E29"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办公地址：</w:t>
      </w:r>
      <w:r>
        <w:rPr>
          <w:rFonts w:ascii="宋体" w:hAnsi="宋体" w:hint="eastAsia"/>
          <w:color w:val="000000"/>
          <w:kern w:val="0"/>
          <w:sz w:val="24"/>
        </w:rPr>
        <w:t>深圳市福田区莲花街道益田路5999号基金大厦32-42楼</w:t>
      </w:r>
    </w:p>
    <w:p w14:paraId="7D6F72DC"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邮政编码：</w:t>
      </w:r>
      <w:r>
        <w:rPr>
          <w:rFonts w:ascii="宋体" w:hAnsi="宋体" w:hint="eastAsia"/>
          <w:color w:val="000000"/>
          <w:kern w:val="0"/>
          <w:sz w:val="24"/>
        </w:rPr>
        <w:t>518017</w:t>
      </w:r>
    </w:p>
    <w:p w14:paraId="72CAB572"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法定代表人：</w:t>
      </w:r>
      <w:r>
        <w:rPr>
          <w:rFonts w:ascii="宋体" w:hAnsi="宋体" w:hint="eastAsia"/>
          <w:color w:val="000000"/>
          <w:kern w:val="0"/>
          <w:sz w:val="24"/>
        </w:rPr>
        <w:t>周易</w:t>
      </w:r>
    </w:p>
    <w:p w14:paraId="387A7A8C"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成立日期：</w:t>
      </w:r>
      <w:r>
        <w:rPr>
          <w:rFonts w:ascii="宋体" w:hAnsi="宋体" w:hint="eastAsia"/>
          <w:color w:val="000000"/>
          <w:kern w:val="0"/>
          <w:sz w:val="24"/>
        </w:rPr>
        <w:t>1998年3月6日</w:t>
      </w:r>
    </w:p>
    <w:p w14:paraId="76ACED47"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批准设立机关及批准设立文号：</w:t>
      </w:r>
      <w:r>
        <w:rPr>
          <w:rFonts w:ascii="宋体" w:hAnsi="宋体" w:hint="eastAsia"/>
          <w:color w:val="000000"/>
          <w:kern w:val="0"/>
          <w:sz w:val="24"/>
        </w:rPr>
        <w:t>中国证券监督管理委员会证监基字[1998]4号</w:t>
      </w:r>
    </w:p>
    <w:p w14:paraId="7540035B"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组织形式：</w:t>
      </w:r>
      <w:r>
        <w:rPr>
          <w:rFonts w:ascii="宋体" w:hAnsi="宋体" w:hint="eastAsia"/>
          <w:color w:val="000000"/>
          <w:kern w:val="0"/>
          <w:sz w:val="24"/>
        </w:rPr>
        <w:t>股份有限公司</w:t>
      </w:r>
    </w:p>
    <w:p w14:paraId="234B5608"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注册资本：</w:t>
      </w:r>
      <w:r>
        <w:rPr>
          <w:rFonts w:ascii="宋体" w:hAnsi="宋体" w:hint="eastAsia"/>
          <w:color w:val="000000"/>
          <w:kern w:val="0"/>
          <w:sz w:val="24"/>
        </w:rPr>
        <w:t>3.6172亿元人民币</w:t>
      </w:r>
    </w:p>
    <w:p w14:paraId="24958BA0"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存续期间：</w:t>
      </w:r>
      <w:r>
        <w:rPr>
          <w:rFonts w:ascii="宋体" w:hAnsi="宋体" w:hint="eastAsia"/>
          <w:color w:val="000000"/>
          <w:kern w:val="0"/>
          <w:sz w:val="24"/>
        </w:rPr>
        <w:t>持续经营</w:t>
      </w:r>
    </w:p>
    <w:p w14:paraId="7994E07F" w14:textId="77777777" w:rsidR="00E635E0" w:rsidRDefault="00A70FAE">
      <w:pPr>
        <w:spacing w:line="360" w:lineRule="auto"/>
        <w:ind w:firstLineChars="200" w:firstLine="480"/>
        <w:rPr>
          <w:rFonts w:ascii="宋体" w:hAnsi="宋体"/>
          <w:color w:val="000000"/>
          <w:kern w:val="0"/>
          <w:sz w:val="24"/>
        </w:rPr>
      </w:pPr>
      <w:r>
        <w:rPr>
          <w:rFonts w:ascii="宋体" w:hAnsi="宋体"/>
          <w:color w:val="000000"/>
          <w:kern w:val="0"/>
          <w:sz w:val="24"/>
        </w:rPr>
        <w:t>经营范围：</w:t>
      </w:r>
      <w:r>
        <w:rPr>
          <w:rFonts w:ascii="宋体" w:hAnsi="宋体" w:hint="eastAsia"/>
          <w:color w:val="000000"/>
          <w:kern w:val="0"/>
          <w:sz w:val="24"/>
        </w:rPr>
        <w:t>基金募集；基金销售；资产管理以及中国证监会许可的其它业务。</w:t>
      </w:r>
      <w:bookmarkStart w:id="12" w:name="_Toc22454434"/>
      <w:bookmarkStart w:id="13" w:name="_Toc77662993"/>
    </w:p>
    <w:p w14:paraId="0113EAAF" w14:textId="77777777" w:rsidR="00E635E0" w:rsidRDefault="00E635E0">
      <w:pPr>
        <w:spacing w:line="360" w:lineRule="auto"/>
        <w:ind w:firstLineChars="200" w:firstLine="480"/>
        <w:rPr>
          <w:rFonts w:ascii="宋体" w:hAnsi="宋体"/>
          <w:color w:val="000000"/>
          <w:kern w:val="0"/>
          <w:sz w:val="24"/>
        </w:rPr>
      </w:pPr>
    </w:p>
    <w:p w14:paraId="26B0A7A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（二）基金托管人</w:t>
      </w:r>
    </w:p>
    <w:p w14:paraId="362BE2DC"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名称：国泰海通证券股份有限公司</w:t>
      </w:r>
    </w:p>
    <w:p w14:paraId="589BA773"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住所：中国（上海）自由贸易试验区商城路618号</w:t>
      </w:r>
    </w:p>
    <w:p w14:paraId="2FB3B4C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办公地址：上海市静安区新闸路669号19楼</w:t>
      </w:r>
    </w:p>
    <w:p w14:paraId="76383250"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法定代表人：朱健</w:t>
      </w:r>
    </w:p>
    <w:p w14:paraId="6DCE5E3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成立时间：1999年8月18日</w:t>
      </w:r>
    </w:p>
    <w:p w14:paraId="2A2FB7C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批准设立机关及批准设立文号：中国证监会证监机构字[1999]77号</w:t>
      </w:r>
    </w:p>
    <w:p w14:paraId="64017E77"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组织形式：其他股份有限公司（上市）</w:t>
      </w:r>
    </w:p>
    <w:p w14:paraId="2EA8CDCA"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注册资本：人民币17,629,708,696元整</w:t>
      </w:r>
    </w:p>
    <w:p w14:paraId="70193B3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存续期间：持续经营</w:t>
      </w:r>
    </w:p>
    <w:p w14:paraId="34438609"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基金托管业务批准文号：中国证监会证监许可[2014]511号</w:t>
      </w:r>
    </w:p>
    <w:p w14:paraId="00E4146E"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联系人：丛艳</w:t>
      </w:r>
    </w:p>
    <w:p w14:paraId="5A03D76F"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联系电话：021-38677336</w:t>
      </w:r>
    </w:p>
    <w:p w14:paraId="2D27A1D3" w14:textId="77777777" w:rsidR="00E635E0" w:rsidRDefault="00E635E0">
      <w:pPr>
        <w:spacing w:line="360" w:lineRule="auto"/>
        <w:ind w:firstLineChars="200" w:firstLine="480"/>
        <w:rPr>
          <w:rFonts w:ascii="宋体" w:hAnsi="宋体"/>
          <w:color w:val="000000"/>
          <w:kern w:val="0"/>
          <w:sz w:val="24"/>
        </w:rPr>
      </w:pPr>
    </w:p>
    <w:p w14:paraId="6D3A9240" w14:textId="77777777" w:rsidR="00E635E0" w:rsidRDefault="00A70FAE">
      <w:pPr>
        <w:pStyle w:val="1"/>
        <w:spacing w:before="0" w:after="0"/>
        <w:ind w:firstLineChars="200" w:firstLine="482"/>
      </w:pPr>
      <w:bookmarkStart w:id="14" w:name="_Toc466788852"/>
      <w:bookmarkStart w:id="15" w:name="_Toc22454435"/>
      <w:bookmarkStart w:id="16" w:name="_Toc523829993"/>
      <w:bookmarkStart w:id="17" w:name="_Toc125892438"/>
      <w:bookmarkStart w:id="18" w:name="_Toc508720680"/>
      <w:bookmarkEnd w:id="12"/>
      <w:bookmarkEnd w:id="13"/>
      <w:r>
        <w:rPr>
          <w:rFonts w:hint="eastAsia"/>
        </w:rPr>
        <w:t>二、基金托管协议的依据、目的和原则</w:t>
      </w:r>
      <w:bookmarkEnd w:id="14"/>
      <w:bookmarkEnd w:id="15"/>
      <w:bookmarkEnd w:id="16"/>
      <w:bookmarkEnd w:id="17"/>
      <w:bookmarkEnd w:id="18"/>
    </w:p>
    <w:p w14:paraId="22FDDD9A" w14:textId="02C7268F"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本协议依据《中华人民共和国民法典》、《中华人民共和国证券投资基金法》（以下简称</w:t>
      </w:r>
      <w:r>
        <w:rPr>
          <w:rFonts w:ascii="宋体" w:hAnsi="宋体" w:hint="eastAsia"/>
          <w:sz w:val="24"/>
        </w:rPr>
        <w:t>“</w:t>
      </w:r>
      <w:r>
        <w:rPr>
          <w:rFonts w:ascii="宋体" w:hAnsi="宋体" w:hint="eastAsia"/>
          <w:color w:val="000000"/>
          <w:kern w:val="0"/>
          <w:sz w:val="24"/>
        </w:rPr>
        <w:t>《基金法》</w:t>
      </w:r>
      <w:r>
        <w:rPr>
          <w:rFonts w:ascii="宋体" w:hAnsi="宋体" w:hint="eastAsia"/>
          <w:sz w:val="24"/>
        </w:rPr>
        <w:t>”</w:t>
      </w:r>
      <w:r>
        <w:rPr>
          <w:rFonts w:ascii="宋体" w:hAnsi="宋体" w:hint="eastAsia"/>
          <w:color w:val="000000"/>
          <w:kern w:val="0"/>
          <w:sz w:val="24"/>
        </w:rPr>
        <w:t>）、《公开募集证券投资基金销售机构监督管理办法》（以下简称</w:t>
      </w:r>
      <w:r>
        <w:rPr>
          <w:rFonts w:ascii="宋体" w:hAnsi="宋体" w:hint="eastAsia"/>
          <w:sz w:val="24"/>
        </w:rPr>
        <w:t>“</w:t>
      </w:r>
      <w:r>
        <w:rPr>
          <w:rFonts w:ascii="宋体" w:hAnsi="宋体" w:hint="eastAsia"/>
          <w:color w:val="000000"/>
          <w:kern w:val="0"/>
          <w:sz w:val="24"/>
        </w:rPr>
        <w:t>《销售办法》</w:t>
      </w:r>
      <w:r>
        <w:rPr>
          <w:rFonts w:ascii="宋体" w:hAnsi="宋体" w:hint="eastAsia"/>
          <w:sz w:val="24"/>
        </w:rPr>
        <w:t>”</w:t>
      </w:r>
      <w:r>
        <w:rPr>
          <w:rFonts w:ascii="宋体" w:hAnsi="宋体" w:hint="eastAsia"/>
          <w:color w:val="000000"/>
          <w:kern w:val="0"/>
          <w:sz w:val="24"/>
        </w:rPr>
        <w:t>）、《公开募集证券投资基金运作管理办法》（以下简称</w:t>
      </w:r>
      <w:r>
        <w:rPr>
          <w:rFonts w:ascii="宋体" w:hAnsi="宋体" w:hint="eastAsia"/>
          <w:sz w:val="24"/>
        </w:rPr>
        <w:t>“</w:t>
      </w:r>
      <w:r>
        <w:rPr>
          <w:rFonts w:ascii="宋体" w:hAnsi="宋体" w:hint="eastAsia"/>
          <w:color w:val="000000"/>
          <w:kern w:val="0"/>
          <w:sz w:val="24"/>
        </w:rPr>
        <w:t>《运作办法》</w:t>
      </w:r>
      <w:r>
        <w:rPr>
          <w:rFonts w:ascii="宋体" w:hAnsi="宋体" w:hint="eastAsia"/>
          <w:sz w:val="24"/>
        </w:rPr>
        <w:t>”</w:t>
      </w:r>
      <w:r>
        <w:rPr>
          <w:rFonts w:ascii="宋体" w:hAnsi="宋体" w:hint="eastAsia"/>
          <w:color w:val="000000"/>
          <w:kern w:val="0"/>
          <w:sz w:val="24"/>
        </w:rPr>
        <w:t>）、《证券投资基金信息披露内容与格式准则第7号〈托管协议的内容与格式〉》、《公开募集证券投资基金信息披露管理办法》（以下简称“《信息披露办法》”）、</w:t>
      </w:r>
      <w:r>
        <w:rPr>
          <w:rFonts w:ascii="宋体" w:hAnsi="宋体" w:hint="eastAsia"/>
          <w:sz w:val="24"/>
        </w:rPr>
        <w:t>《公开募集开放式证券投资基金流动性风险管理规定》（以下简称“《流动性风险管理规定》”）、</w:t>
      </w:r>
      <w:r>
        <w:rPr>
          <w:rFonts w:ascii="宋体" w:hAnsi="宋体" w:hint="eastAsia"/>
          <w:color w:val="000000"/>
          <w:kern w:val="0"/>
          <w:sz w:val="24"/>
        </w:rPr>
        <w:t>《南方中证港股通互联网交易型开放式指数证券投资基金发起式联接基金基金合同》及其他有关规定订立。</w:t>
      </w:r>
    </w:p>
    <w:p w14:paraId="6425B99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14:paraId="736E89BF"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基金管理人和基金托管人遵循平等自愿、诚实信用、充分保护投资者合法利益的原则，经协商一致，签订本协议。</w:t>
      </w:r>
    </w:p>
    <w:p w14:paraId="76C0AC1F"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若本基金实施侧袋机制的，侧袋机制实施期间的相关安排见基金合同和招募说明书的规定。</w:t>
      </w:r>
    </w:p>
    <w:p w14:paraId="249960E8" w14:textId="77777777" w:rsidR="00E635E0" w:rsidRDefault="00E635E0">
      <w:pPr>
        <w:spacing w:line="360" w:lineRule="auto"/>
        <w:ind w:firstLineChars="200" w:firstLine="480"/>
        <w:rPr>
          <w:rFonts w:ascii="宋体" w:hAnsi="宋体"/>
          <w:color w:val="000000"/>
          <w:kern w:val="0"/>
          <w:sz w:val="24"/>
        </w:rPr>
      </w:pPr>
    </w:p>
    <w:p w14:paraId="1D254804" w14:textId="77777777" w:rsidR="00E635E0" w:rsidRDefault="00A70FAE">
      <w:pPr>
        <w:pStyle w:val="1"/>
        <w:spacing w:before="0" w:after="0"/>
        <w:ind w:firstLineChars="200" w:firstLine="482"/>
      </w:pPr>
      <w:bookmarkStart w:id="19" w:name="_Toc466788853"/>
      <w:bookmarkStart w:id="20" w:name="_Toc508720681"/>
      <w:bookmarkStart w:id="21" w:name="_Toc523829994"/>
      <w:bookmarkStart w:id="22" w:name="_Toc125892439"/>
      <w:bookmarkStart w:id="23" w:name="_Toc22454436"/>
      <w:r>
        <w:rPr>
          <w:rFonts w:hint="eastAsia"/>
        </w:rPr>
        <w:t>三、基金托管人对基金管理人</w:t>
      </w:r>
      <w:bookmarkEnd w:id="19"/>
      <w:r>
        <w:rPr>
          <w:rFonts w:hint="eastAsia"/>
        </w:rPr>
        <w:t>的业务监督和核查</w:t>
      </w:r>
      <w:bookmarkEnd w:id="20"/>
      <w:bookmarkEnd w:id="21"/>
      <w:bookmarkEnd w:id="22"/>
      <w:bookmarkEnd w:id="23"/>
    </w:p>
    <w:p w14:paraId="75C9126A"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（一）基金托管人对基金管理人的投资行为行使监督权</w:t>
      </w:r>
    </w:p>
    <w:p w14:paraId="133630AB" w14:textId="77777777" w:rsidR="00E635E0" w:rsidRDefault="00A70FAE">
      <w:pPr>
        <w:spacing w:line="360" w:lineRule="auto"/>
        <w:ind w:firstLineChars="200" w:firstLine="482"/>
        <w:rPr>
          <w:rFonts w:ascii="宋体" w:hAnsi="宋体"/>
          <w:b/>
          <w:bCs/>
          <w:color w:val="000000"/>
          <w:sz w:val="24"/>
        </w:rPr>
      </w:pPr>
      <w:r>
        <w:rPr>
          <w:rFonts w:ascii="宋体" w:hAnsi="宋体" w:hint="eastAsia"/>
          <w:b/>
          <w:bCs/>
          <w:color w:val="000000"/>
          <w:sz w:val="24"/>
        </w:rPr>
        <w:t>1、基金托管人根据有关法律法规的规定及《基金合同》和本协议的约定，对基金的投资范围、投资对象进行监督。</w:t>
      </w:r>
    </w:p>
    <w:p w14:paraId="3A17B690"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本基金主要投资于目标ETF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14:paraId="69AFF62E"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本基金根据相关规定可参与融资、转融通证券出借业务。</w:t>
      </w:r>
    </w:p>
    <w:p w14:paraId="54F2E955"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如法律法规或监管机构以后允许基金投资其他品种，基金管理人在履行适当程序后，可以将其纳入投资范围。</w:t>
      </w:r>
    </w:p>
    <w:p w14:paraId="3322179F"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基金的投资组合比例为：在建仓完成后，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w:t>
      </w:r>
    </w:p>
    <w:p w14:paraId="51AAB517" w14:textId="13BA1CAD" w:rsidR="00E635E0" w:rsidRDefault="00A70FAE">
      <w:pPr>
        <w:spacing w:line="360" w:lineRule="auto"/>
        <w:ind w:firstLineChars="200" w:firstLine="480"/>
        <w:rPr>
          <w:rFonts w:ascii="宋体" w:hAnsi="宋体"/>
          <w:b/>
          <w:bCs/>
          <w:color w:val="000000"/>
          <w:sz w:val="24"/>
        </w:rPr>
      </w:pPr>
      <w:r>
        <w:rPr>
          <w:rFonts w:ascii="宋体" w:hAnsi="宋体" w:hint="eastAsia"/>
          <w:bCs/>
          <w:color w:val="000000"/>
          <w:sz w:val="24"/>
        </w:rPr>
        <w:t>如法律法规或监管机构变更投资品种的投资比例限制，基金管理人在履行适当程序后，可以调整上述投资品种的投资比例。</w:t>
      </w:r>
    </w:p>
    <w:p w14:paraId="5CCF8A70" w14:textId="77777777" w:rsidR="00E635E0" w:rsidRDefault="00A70FAE">
      <w:pPr>
        <w:spacing w:line="360" w:lineRule="auto"/>
        <w:ind w:firstLineChars="200" w:firstLine="482"/>
        <w:rPr>
          <w:rFonts w:ascii="宋体" w:hAnsi="宋体"/>
          <w:b/>
          <w:bCs/>
          <w:color w:val="000000"/>
          <w:sz w:val="24"/>
        </w:rPr>
      </w:pPr>
      <w:r>
        <w:rPr>
          <w:rFonts w:ascii="宋体" w:hAnsi="宋体" w:hint="eastAsia"/>
          <w:b/>
          <w:bCs/>
          <w:color w:val="000000"/>
          <w:sz w:val="24"/>
        </w:rPr>
        <w:t>2、基金托管人根据有关法律法规的规定及《基金合同》和本协议的约定，对基金投资、融资比例进行监督。</w:t>
      </w:r>
    </w:p>
    <w:p w14:paraId="11B3D4B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（1）本基金投资于目标ETF的比例不低于基金资产净值的90%；</w:t>
      </w:r>
    </w:p>
    <w:p w14:paraId="62181DC9"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（2）每个交易日日终在扣除金融衍生品合约需缴纳的交易保证金后，现金或到期日在一年以内的政府债券的投资比例不低于基金资产净值的5％，其中现金不包括结算备付金、存出保证金、应收申购款等；</w:t>
      </w:r>
    </w:p>
    <w:p w14:paraId="1768774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（3）本基金投资于同一原始权益人的各类资产支持证券的比例，不得超过基金资产净值的10％；</w:t>
      </w:r>
    </w:p>
    <w:p w14:paraId="738B3977"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（4）本基金持有的全部资产支持证券，其市值不得超过基金资产净值的20％；</w:t>
      </w:r>
    </w:p>
    <w:p w14:paraId="6C13C59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（5）本基金持有的同一（指同一信用级别）资产支持证券的比例，不得超过该资产支持证券规模的10％；</w:t>
      </w:r>
    </w:p>
    <w:p w14:paraId="0AC9409F"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（6）本基金管理人管理的全部基金投资于同一原始权益人的各类资产支持证券，不得超过其各类资产支持证券合计规模的10％；</w:t>
      </w:r>
    </w:p>
    <w:p w14:paraId="732780E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（7）本基金应投资于信用级别评级为BBB以上（含BBB）的资产支持证券。基金持有资产支持证券期间，如果其信用等级下降、不再符合投资标准，应在评级报告发布之日起3个月内予以全部卖出；</w:t>
      </w:r>
    </w:p>
    <w:p w14:paraId="1DA7589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（8）基金财产参与股票发行申购，本基金所申报的金额不超过本基金的总资产，本基金所申报的股票数量不超过拟发行股票公司本次发行股票的总量；</w:t>
      </w:r>
    </w:p>
    <w:p w14:paraId="5A86D42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9）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6681563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（10）本基金与私募类证券资管产品及中国证监会认定的其他主体为交易对手开展逆回购交易的，可接受质押品的资质要求应当与基金合同约定的投资范围保持一致；</w:t>
      </w:r>
    </w:p>
    <w:p w14:paraId="7500F5EC"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（11）本基金资产总值不超过基金资产净值的140%；</w:t>
      </w:r>
    </w:p>
    <w:p w14:paraId="0DE9A709"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（12）本基金参与股指期货交易，应当符合下列投资限制：</w:t>
      </w:r>
    </w:p>
    <w:p w14:paraId="3C023B26"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1）本基金在任何交易日日终，持有的买入股指期货合约价值，不得超过基金资产净值的10%；</w:t>
      </w:r>
    </w:p>
    <w:p w14:paraId="6F66C62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5E2A4E80"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3）本基金在任何交易日日终，持有的卖出股指期货合约价值不得超过基金持有的股票总市值的20%；</w:t>
      </w:r>
    </w:p>
    <w:p w14:paraId="5EA520B3"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4）本基金所持有的股票市值和买入、卖出股指期货合约价值，合计（轧差计算）应当符合基金合同关于股票投资比例的有关约定；</w:t>
      </w:r>
    </w:p>
    <w:p w14:paraId="0DD3AB1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5）本基金在任何交易日内交易（不包括平仓）的股指期货合约的成交金额不得超过上一交易日基金资产净值的20%；</w:t>
      </w:r>
    </w:p>
    <w:p w14:paraId="3D11C7CE"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（13）本基金参与股票期权交易，应当符合下列投资限制：</w:t>
      </w:r>
    </w:p>
    <w:p w14:paraId="0BA02EB9"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1）基金因未平仓的期权合约支付和收取的权利金总额不得超过基金资产净值的10%；</w:t>
      </w:r>
    </w:p>
    <w:p w14:paraId="69A36973"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2）开仓卖出认购期权的，应持有足额标的证券；开仓卖出认沽期权的，应持有合约行权所需的全额现金或交易所规则认可的可冲抵期权保证金的现金等价物；</w:t>
      </w:r>
    </w:p>
    <w:p w14:paraId="63576A6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3）未平仓的期权合约面值不得超过基金资产净值的20%。其中，合约面值按照行权价乘以合约乘数计算；</w:t>
      </w:r>
    </w:p>
    <w:p w14:paraId="74FB9D2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（14）本基金参与转融通证券出借业务的，应当符合下列要求：</w:t>
      </w:r>
    </w:p>
    <w:p w14:paraId="4DB7C07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1）本基金在任何交易日日终，参与转融通证券出借业务的资产不得超过基金资产净值的30%，其中出借期限在10个交易日以上的出借证券应纳入《流动性风险管理规定》所述流动性受限证券的范围；</w:t>
      </w:r>
    </w:p>
    <w:p w14:paraId="55A3FF5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2）本基金在任何交易日日终，参与出借业务的单只证券不得超过基金持有该证券总量的50%；</w:t>
      </w:r>
    </w:p>
    <w:p w14:paraId="55D336EC"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3）证券出借的平均剩余期限不得超过30天，平均剩余期限按市值加权平均计算；</w:t>
      </w:r>
    </w:p>
    <w:p w14:paraId="08B12076"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4）最近6个月内日均基金资产净值不得低于2亿元；</w:t>
      </w:r>
    </w:p>
    <w:p w14:paraId="33C8BA72"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（15）本基金投资存托凭证的比例限制依照境内上市交易的股票执行，与境内上市交易的股票合并计算，法律法规或监管部门另有要求的除外；</w:t>
      </w:r>
    </w:p>
    <w:p w14:paraId="40669B6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（16）本基金参与融资，每个交易日日终，本基金持有的融资买入股票与其他有价证券市值之和，不得超过基金资产净值的95%；</w:t>
      </w:r>
    </w:p>
    <w:p w14:paraId="66A69C6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（17）法律法规及中国证监会规定的和《基金合同》约定的其他投资限制。</w:t>
      </w:r>
    </w:p>
    <w:p w14:paraId="3FD80386" w14:textId="27941856"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但中国证监会规定的特殊情形除外；除上述第（1）、（2）、（7）、（9）、（10）、（14）项另有约定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但中国证监会规定的特殊情形除外。法律法规另有规定的，从其规定。</w:t>
      </w:r>
    </w:p>
    <w:p w14:paraId="45453F0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本基金参与转融通证券出借业务，因证券/期货市场波动、证券发行人合并、基金规模变动等基金管理人之外的因素致使基金投资不符合上述第（14）项规定的，基金管理人不得新增出借业务。</w:t>
      </w:r>
    </w:p>
    <w:p w14:paraId="4FF59BA2"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C76C7E0" w14:textId="45A81632"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法律法规或监管部门取消或变更上述限制，如适用于本基金，基金管理人在履行适当程序后，则本基金投资不再受相关限制或按变更后的规定执行。</w:t>
      </w:r>
    </w:p>
    <w:p w14:paraId="1A22B4A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基金托管人依照上述规定对本基金的投资组合限制及调整期限进行监督。</w:t>
      </w:r>
    </w:p>
    <w:p w14:paraId="654320AD" w14:textId="77777777" w:rsidR="00E635E0" w:rsidRDefault="00A70FAE">
      <w:pPr>
        <w:spacing w:line="360" w:lineRule="auto"/>
        <w:ind w:firstLineChars="200" w:firstLine="482"/>
        <w:rPr>
          <w:rFonts w:ascii="宋体" w:hAnsi="宋体"/>
          <w:b/>
          <w:bCs/>
          <w:color w:val="000000"/>
          <w:sz w:val="24"/>
        </w:rPr>
      </w:pPr>
      <w:r>
        <w:rPr>
          <w:rFonts w:ascii="宋体" w:hAnsi="宋体" w:hint="eastAsia"/>
          <w:b/>
          <w:bCs/>
          <w:color w:val="000000"/>
          <w:sz w:val="24"/>
        </w:rPr>
        <w:t>3、基金托管人根据有关法律、法规的规定及基金合同和本协议的约定，对基金投资禁止行为进行监督。基金财产不得用于下列投资或者活动。</w:t>
      </w:r>
    </w:p>
    <w:p w14:paraId="59ABCED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（1）承销证券； </w:t>
      </w:r>
    </w:p>
    <w:p w14:paraId="266D4A2E"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（2）违反规定向他人贷款或者提供担保； </w:t>
      </w:r>
    </w:p>
    <w:p w14:paraId="671774DA"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（3）从事承担无限责任的投资； </w:t>
      </w:r>
    </w:p>
    <w:p w14:paraId="068B1CA7"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（4）买卖除目标ETF以外的其他基金份额，但是中国证监会另有规定的除外；</w:t>
      </w:r>
    </w:p>
    <w:p w14:paraId="6AF090E7"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（5）向其基金管理人、基金托管人出资； </w:t>
      </w:r>
    </w:p>
    <w:p w14:paraId="3E0B829C"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（6）从事内幕交易、操纵证券交易价格及其他不正当的证券交易活动； </w:t>
      </w:r>
    </w:p>
    <w:p w14:paraId="00A3BB63" w14:textId="5C6865D0"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（7）</w:t>
      </w:r>
      <w:r>
        <w:rPr>
          <w:rFonts w:hint="eastAsia"/>
          <w:bCs/>
          <w:sz w:val="24"/>
        </w:rPr>
        <w:t>法律、行政法规和中国证监会规定禁止的其他活动</w:t>
      </w:r>
      <w:r>
        <w:rPr>
          <w:rFonts w:ascii="宋体" w:hAnsi="宋体" w:hint="eastAsia"/>
          <w:color w:val="000000"/>
          <w:kern w:val="0"/>
          <w:sz w:val="24"/>
        </w:rPr>
        <w:t>。</w:t>
      </w:r>
    </w:p>
    <w:p w14:paraId="023F9776"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C0F530" w14:textId="7F071796"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法律、行政法规或监管部门取消或变更上述限制，如适用于本基金，基金管理人在履行适当程序后，则本基金投资不再受相关限制或按变更后的规定执行。</w:t>
      </w:r>
    </w:p>
    <w:p w14:paraId="4678C4FF" w14:textId="77777777" w:rsidR="00E635E0" w:rsidRDefault="00A70FAE">
      <w:pPr>
        <w:tabs>
          <w:tab w:val="left" w:pos="1260"/>
        </w:tabs>
        <w:spacing w:line="360" w:lineRule="auto"/>
        <w:ind w:firstLineChars="200" w:firstLine="480"/>
        <w:rPr>
          <w:rFonts w:ascii="宋体" w:hAnsi="宋体"/>
          <w:bCs/>
          <w:color w:val="000000"/>
          <w:kern w:val="0"/>
          <w:sz w:val="24"/>
        </w:rPr>
      </w:pPr>
      <w:r>
        <w:rPr>
          <w:rFonts w:ascii="宋体" w:hAnsi="宋体" w:hint="eastAsia"/>
          <w:bCs/>
          <w:color w:val="000000"/>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并负责及时将更新后的名单发送给对方。</w:t>
      </w:r>
    </w:p>
    <w:p w14:paraId="5EC2CCEC" w14:textId="77777777" w:rsidR="00E635E0" w:rsidRDefault="00A70FAE">
      <w:pPr>
        <w:spacing w:line="360" w:lineRule="auto"/>
        <w:ind w:firstLineChars="200" w:firstLine="482"/>
        <w:rPr>
          <w:rFonts w:ascii="宋体" w:hAnsi="宋体"/>
          <w:b/>
          <w:bCs/>
          <w:color w:val="000000"/>
          <w:sz w:val="24"/>
        </w:rPr>
      </w:pPr>
      <w:bookmarkStart w:id="24" w:name="OLE_LINK4"/>
      <w:bookmarkStart w:id="25" w:name="OLE_LINK2"/>
      <w:r>
        <w:rPr>
          <w:rFonts w:ascii="宋体" w:hAnsi="宋体" w:hint="eastAsia"/>
          <w:b/>
          <w:bCs/>
          <w:color w:val="000000"/>
          <w:sz w:val="24"/>
        </w:rPr>
        <w:t>4、基金托管人根据有关法律、法规规定及基金合同和本协议约定，对基金管理人参与银行间债券市场进行监督。</w:t>
      </w:r>
    </w:p>
    <w:bookmarkEnd w:id="24"/>
    <w:bookmarkEnd w:id="25"/>
    <w:p w14:paraId="0200643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基金托管人依据有关法律、法规规定和《基金合同》约定对基金管理人参与银行间市场交易时面临的交易对手资信风险进行监督。</w:t>
      </w:r>
    </w:p>
    <w:p w14:paraId="0DD385B8"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在基金投资运作之前向基金托管人提供符合法律、法规及行业标准的、经慎重选择的、本基金适用的银行间市场交易对手的名单。基金管理人应严格按照交易对手名单的范围在银行间债券市场选择交易对手。基金托管人监督基金管理人是否按事前提供的银行间债券市场交易对手名单进行交易。</w:t>
      </w:r>
    </w:p>
    <w:p w14:paraId="48994255"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基金管理人可以定期（每半年）和不定期对银行间市场现券及回购交易对手的名单进行更新。新名单生效前已与本次剔除的交易对手所进行但尚未结算的交易，仍应按照协议进行结算。</w:t>
      </w:r>
    </w:p>
    <w:p w14:paraId="0FFF598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参与银行间市场交易时，应按银行间债券市场的交易规则进行交易，并有责任控制交易对手的资信风险，由于交易对手资信风险引起的损失,基金管理人应当负责向相关责任人追偿。基金托管人不承担由此造成的相应法律责任及损失。</w:t>
      </w:r>
    </w:p>
    <w:p w14:paraId="7E8BDEF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如基金托管人事后发现基金管理人没有按照事先约定的交易对手进行交易时，基金托管人应及时提醒基金管理人，但基金托管人不承担由此造成的相应损失和责任。</w:t>
      </w:r>
    </w:p>
    <w:p w14:paraId="6DC1DA73" w14:textId="77777777" w:rsidR="00E635E0" w:rsidRDefault="00A70FAE">
      <w:pPr>
        <w:spacing w:line="360" w:lineRule="auto"/>
        <w:ind w:firstLineChars="200" w:firstLine="482"/>
        <w:rPr>
          <w:rFonts w:ascii="宋体" w:hAnsi="宋体"/>
          <w:b/>
          <w:bCs/>
          <w:color w:val="000000"/>
          <w:sz w:val="24"/>
        </w:rPr>
      </w:pPr>
      <w:r>
        <w:rPr>
          <w:rFonts w:ascii="宋体" w:hAnsi="宋体" w:hint="eastAsia"/>
          <w:b/>
          <w:bCs/>
          <w:color w:val="000000"/>
          <w:sz w:val="24"/>
        </w:rPr>
        <w:t>5、基金托管人根据有关法律、法规的规定及基金合同和本协议的约定，对基金管理人选择存款银行进行监督。</w:t>
      </w:r>
    </w:p>
    <w:p w14:paraId="08D14BF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基金投资银行定期存款的，基金管理人应根据法律、法规的规定及基金合同的约定选择存款银行。</w:t>
      </w:r>
    </w:p>
    <w:p w14:paraId="5B6590BD"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本基金投资银行存款应符合如下规定：</w:t>
      </w:r>
    </w:p>
    <w:p w14:paraId="06A3880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（1）基金管理人、基金托管人应当与存款银行建立定期对账机制，确保基金银行存款业务账目及核算的真实、准确。</w:t>
      </w:r>
    </w:p>
    <w:p w14:paraId="60B3B76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（2）基金托管人应加强对基金银行存款业务的监督与核查，严格审查、复核相关协议、账户资料、投资指令、存款证实书等有关文件，切实履行托管职责。</w:t>
      </w:r>
    </w:p>
    <w:p w14:paraId="0840342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（3）基金管理人与基金托管人在开展基金存款业务时，应严格遵守《基金法》、《运作办法》等有关法律、法规，以及国家有关账户管理、利率管理、支付结算等的各项规定。</w:t>
      </w:r>
    </w:p>
    <w:p w14:paraId="14FE1FB4" w14:textId="77777777" w:rsidR="00E635E0" w:rsidRDefault="00A70FAE">
      <w:pPr>
        <w:spacing w:line="360" w:lineRule="auto"/>
        <w:ind w:firstLineChars="200" w:firstLine="480"/>
        <w:rPr>
          <w:rFonts w:ascii="宋体" w:hAnsi="宋体"/>
          <w:b/>
          <w:bCs/>
          <w:color w:val="000000"/>
          <w:sz w:val="24"/>
        </w:rPr>
      </w:pPr>
      <w:r>
        <w:rPr>
          <w:rFonts w:ascii="宋体" w:hAnsi="宋体" w:hint="eastAsia"/>
          <w:color w:val="000000"/>
          <w:kern w:val="0"/>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r>
        <w:rPr>
          <w:rFonts w:ascii="宋体" w:hAnsi="宋体"/>
          <w:color w:val="000000"/>
          <w:kern w:val="0"/>
          <w:sz w:val="24"/>
        </w:rPr>
        <w:cr/>
      </w:r>
      <w:r>
        <w:rPr>
          <w:rFonts w:ascii="宋体" w:hAnsi="宋体"/>
          <w:b/>
          <w:bCs/>
          <w:color w:val="000000"/>
          <w:sz w:val="24"/>
        </w:rPr>
        <w:t>6</w:t>
      </w:r>
      <w:r>
        <w:rPr>
          <w:rFonts w:ascii="宋体" w:hAnsi="宋体" w:hint="eastAsia"/>
          <w:b/>
          <w:bCs/>
          <w:color w:val="000000"/>
          <w:sz w:val="24"/>
        </w:rPr>
        <w:t>、基金托管人根据有关法律法规的规定及《基金合同》的约定，对基金管理人投资流通受限证券进行监督。</w:t>
      </w:r>
    </w:p>
    <w:p w14:paraId="128A2A06"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（1）基金管理人投资流通受限证券，应遵守《关于基金投资非公开发行股票等流通受限证券有关问题的通知》等有关法律法规规定。</w:t>
      </w:r>
    </w:p>
    <w:p w14:paraId="3EBC2A02"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流通受限证券与上文所述的流动性受限资产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27309F4"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基金管理人应保证本基金投资的流通受限证券登记存管在本基金名下，并确保基金托管人能够正常查询。因基金管理人原因产生的流通受限证券登记存管问题，造成基金托管人无法安全保管本基金资产的责任与损失，及基金财产的损失，由基金管理人承担。</w:t>
      </w:r>
    </w:p>
    <w:p w14:paraId="648D2F14"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4711D1B4"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在投资流通受限证券之前，基金管理人应至少提前一个交易日向基金托管人提供有关流通受限证券的相关信息，具体应当包括但不限于如下文件（如有）：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552C2550" w14:textId="77777777" w:rsidR="00E635E0" w:rsidRDefault="00A70FAE">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（6）</w:t>
      </w:r>
      <w:r>
        <w:rPr>
          <w:rFonts w:ascii="宋体" w:hAnsi="宋体" w:cs="宋体"/>
          <w:color w:val="000000"/>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w:t>
      </w:r>
      <w:r>
        <w:rPr>
          <w:rFonts w:ascii="宋体" w:hAnsi="宋体" w:cs="宋体" w:hint="eastAsia"/>
          <w:color w:val="000000"/>
          <w:kern w:val="0"/>
          <w:sz w:val="24"/>
        </w:rPr>
        <w:t>相应</w:t>
      </w:r>
      <w:r>
        <w:rPr>
          <w:rFonts w:ascii="宋体" w:hAnsi="宋体" w:cs="宋体"/>
          <w:color w:val="000000"/>
          <w:kern w:val="0"/>
          <w:sz w:val="24"/>
        </w:rPr>
        <w:t>责任，并有权报告中国证监会。</w:t>
      </w:r>
    </w:p>
    <w:p w14:paraId="1BDD1D61"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71469FE3"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（8）基金托管人根据有关规定有权对基金管理人进行以下事项监督：</w:t>
      </w:r>
    </w:p>
    <w:p w14:paraId="5521D288"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1）本基金投资流通受限证券时的法律法规遵守情况。</w:t>
      </w:r>
    </w:p>
    <w:p w14:paraId="25A0E889"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2）在基金投资流通受限证券管理工作方面有关制度、流动性风险处置预案的建立与完善情况。</w:t>
      </w:r>
    </w:p>
    <w:p w14:paraId="7929963A"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3）有关比例限制的执行情况。</w:t>
      </w:r>
    </w:p>
    <w:p w14:paraId="00B3F422"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4）信息披露情况。</w:t>
      </w:r>
    </w:p>
    <w:p w14:paraId="3701F3EB" w14:textId="77777777" w:rsidR="00E635E0" w:rsidRDefault="00A70FAE">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（9）相关法律法规对基金投资流通受限证券有新规定的，从其规定。</w:t>
      </w:r>
    </w:p>
    <w:p w14:paraId="5079D8F3" w14:textId="77777777" w:rsidR="00E635E0" w:rsidRDefault="00A70FAE">
      <w:pPr>
        <w:spacing w:line="360" w:lineRule="auto"/>
        <w:ind w:firstLineChars="200" w:firstLine="482"/>
        <w:rPr>
          <w:rFonts w:ascii="宋体" w:hAnsi="宋体"/>
          <w:b/>
          <w:bCs/>
          <w:color w:val="000000"/>
          <w:sz w:val="24"/>
        </w:rPr>
      </w:pPr>
      <w:r>
        <w:rPr>
          <w:rFonts w:ascii="宋体" w:hAnsi="宋体" w:hint="eastAsia"/>
          <w:b/>
          <w:bCs/>
          <w:color w:val="000000"/>
          <w:sz w:val="24"/>
        </w:rPr>
        <w:t>7、基金托管人根据有关法律、法规的规定及基金合同和本协议的约定，对基金管理人产品禁投池进行监督。</w:t>
      </w:r>
    </w:p>
    <w:p w14:paraId="05DD8F7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基金管理人可以向基金托管人提供基金禁投池清单。基金管理人可以定期和不定期对基金禁投池清单进行更新。新清单生效前基金托管人仍按原禁投池清单进行监督。</w:t>
      </w:r>
    </w:p>
    <w:p w14:paraId="48F4787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基金管理人超越名单范围进行投资的，基金托管人应及时提醒基金管理人，但基金托管人不承担由此造成的相应损失和责任。</w:t>
      </w:r>
    </w:p>
    <w:p w14:paraId="7A5823B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color w:val="000000"/>
          <w:kern w:val="0"/>
          <w:sz w:val="24"/>
        </w:rPr>
        <w:t>8</w:t>
      </w:r>
      <w:r>
        <w:rPr>
          <w:rFonts w:ascii="宋体" w:hAnsi="宋体" w:hint="eastAsia"/>
          <w:color w:val="000000"/>
          <w:kern w:val="0"/>
          <w:sz w:val="24"/>
        </w:rPr>
        <w:t>、基金托管人对基金管理人转融通证券出借业务进行监督</w:t>
      </w:r>
    </w:p>
    <w:p w14:paraId="76528E7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运用基金财产参与出借业务，应当遵守审慎经营原则，配备技术系统和专业人员，制定科学合理的投资策略和风险管理制度，完善业务流程，有效防范和控制风险，基金托管人将对基金参与出借业务进行监督和复核。</w:t>
      </w:r>
    </w:p>
    <w:p w14:paraId="3522A9B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托管人应根据有关法律、法规的规定及基金合同的约定，对基金资产净值计算、各类基金份额净值计算、应收资金到账、基金费用开支及收入确认、基金收益分配、相关信息披露、基金宣传推介材料中登载基金业绩表现数据等进行监督和核查。</w:t>
      </w:r>
    </w:p>
    <w:p w14:paraId="701EAE8E"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6124BFA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14:paraId="63CC19F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若基金托管人发现基金管理人依据交易程序已经生效的指令违反法律、行政法规和其他有关规定，或者违反《基金合同》约定的，应当立即通知基金管理人，并报告中国证监会。</w:t>
      </w:r>
    </w:p>
    <w:p w14:paraId="06CCAC43"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发现基金管理人有重大违规行为，应及时报告中国证监会，同时通知基金管理人限期纠正，并有权将纠正结果报告中国证监会。基金管理人无正当理由，拒绝、阻挠对方根据本托管协议规定行使监督权，或采取拖延、欺诈等手段妨碍对方进行有效监督，情节严重或经基金托管人提出警告仍不改正的，基金托管人有权报告中国证监会。</w:t>
      </w:r>
      <w:bookmarkStart w:id="26" w:name="_Toc125892440"/>
    </w:p>
    <w:p w14:paraId="423F913F" w14:textId="77777777" w:rsidR="00E635E0" w:rsidRDefault="00E635E0">
      <w:pPr>
        <w:tabs>
          <w:tab w:val="left" w:pos="1260"/>
        </w:tabs>
        <w:spacing w:line="360" w:lineRule="auto"/>
        <w:ind w:firstLineChars="200" w:firstLine="480"/>
        <w:rPr>
          <w:rFonts w:ascii="宋体" w:hAnsi="宋体"/>
          <w:color w:val="000000"/>
          <w:kern w:val="0"/>
          <w:sz w:val="24"/>
        </w:rPr>
      </w:pPr>
    </w:p>
    <w:p w14:paraId="159E590E" w14:textId="77777777" w:rsidR="00E635E0" w:rsidRDefault="00A70FAE">
      <w:pPr>
        <w:pStyle w:val="1"/>
        <w:spacing w:before="0" w:after="0"/>
        <w:ind w:firstLineChars="200" w:firstLine="482"/>
      </w:pPr>
      <w:bookmarkStart w:id="27" w:name="_Toc508720682"/>
      <w:r>
        <w:rPr>
          <w:rFonts w:hint="eastAsia"/>
        </w:rPr>
        <w:t>四、基金管理人对基金托管人的业务核查</w:t>
      </w:r>
      <w:bookmarkEnd w:id="26"/>
      <w:bookmarkEnd w:id="27"/>
    </w:p>
    <w:p w14:paraId="7CE46E2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根据《基金法》及其他有关法规、《基金合同》和本协议规定，基金管理人对基金托管人履行托管职责的情况进行核查，核查事项包括但不限于基金托管人是否安全保管基金财产，是否开立基金财产的托管账户、证券账户、债券托管账户等投资所需账户，是否协助提供开立股指期货业务相关账户及交易编码的基金托管人相关信息，是否及时、准确复核基金管理人计算的基金资产净值和各类基金份额净值，是否根据基金管理人指令办理清算交收，是否按照法规规定和《基金合同》规定进行相关信息披露和监督基金投资运作等行为。</w:t>
      </w:r>
    </w:p>
    <w:p w14:paraId="30662032"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定期（每半年）和不定期地对基金托管人保管的基金资产进行核查。基金托管人应积极配合基金管理人的核查行为，包括但不限于：提交相关资料以供基金管理人核查托管财产的完整性和真实性，在规定时间内答复并改正。</w:t>
      </w:r>
    </w:p>
    <w:p w14:paraId="2B009F6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在下一工作日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r>
        <w:rPr>
          <w:rFonts w:ascii="宋体" w:hAnsi="宋体" w:hint="eastAsia"/>
          <w:color w:val="000000"/>
          <w:sz w:val="24"/>
        </w:rPr>
        <w:t>对基金管理人按照法规要求需向中国证监会报送基金监督报告的，基金托管人应积极配合提供相关数据资料和制度等。</w:t>
      </w:r>
    </w:p>
    <w:p w14:paraId="0423E6E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p>
    <w:p w14:paraId="20FB8BF2" w14:textId="77777777" w:rsidR="00E635E0" w:rsidRDefault="00E635E0">
      <w:pPr>
        <w:tabs>
          <w:tab w:val="left" w:pos="1260"/>
        </w:tabs>
        <w:spacing w:line="360" w:lineRule="auto"/>
        <w:ind w:firstLineChars="200" w:firstLine="420"/>
      </w:pPr>
      <w:bookmarkStart w:id="28" w:name="_Toc523829995"/>
      <w:bookmarkStart w:id="29" w:name="_Toc125892441"/>
      <w:bookmarkStart w:id="30" w:name="_Toc466788854"/>
      <w:bookmarkStart w:id="31" w:name="_Toc22454437"/>
      <w:bookmarkStart w:id="32" w:name="_Toc508720683"/>
    </w:p>
    <w:p w14:paraId="5FA2F232" w14:textId="77777777" w:rsidR="00E635E0" w:rsidRDefault="00A70FAE">
      <w:pPr>
        <w:pStyle w:val="1"/>
        <w:spacing w:before="0" w:after="0"/>
        <w:ind w:firstLineChars="200" w:firstLine="482"/>
      </w:pPr>
      <w:r>
        <w:rPr>
          <w:rFonts w:hint="eastAsia"/>
        </w:rPr>
        <w:t>五、基金财产的保管</w:t>
      </w:r>
      <w:bookmarkEnd w:id="28"/>
      <w:bookmarkEnd w:id="29"/>
      <w:bookmarkEnd w:id="30"/>
      <w:bookmarkEnd w:id="31"/>
      <w:bookmarkEnd w:id="32"/>
    </w:p>
    <w:p w14:paraId="4A85B8BF"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33" w:name="_Toc37159173"/>
      <w:bookmarkStart w:id="34" w:name="_Toc77662997"/>
      <w:r>
        <w:rPr>
          <w:rFonts w:ascii="宋体" w:hAnsi="宋体" w:hint="eastAsia"/>
          <w:b/>
          <w:bCs/>
          <w:color w:val="000000"/>
          <w:sz w:val="24"/>
        </w:rPr>
        <w:t>（一）基金财产保管的原则</w:t>
      </w:r>
      <w:bookmarkEnd w:id="33"/>
      <w:bookmarkEnd w:id="34"/>
    </w:p>
    <w:p w14:paraId="60E703A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1、基金托管人应安全保管基金财产，未经基金管理人的指令，不得自行运用、处分、分配基金的任何资产。</w:t>
      </w:r>
    </w:p>
    <w:p w14:paraId="1DC5F4F8" w14:textId="6B16550F"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2、基金财产应独立于基金管理人、基金托管人的固有财产。</w:t>
      </w:r>
    </w:p>
    <w:p w14:paraId="735594EF"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3、基金托管人按照规定开立基金财产的托管账户、证券账户、债券托管账户等投资所需账户。</w:t>
      </w:r>
    </w:p>
    <w:p w14:paraId="406E3C1F"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4、基金托管人对所托管的不同基金财产分别设置账户，与基金托管人的其他业务和其他基金的托管业务实行严格的分账管理，独立核算，确保基金财产的完整和独立。</w:t>
      </w:r>
    </w:p>
    <w:p w14:paraId="1403F619" w14:textId="52CA08D3"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bookmarkStart w:id="35" w:name="_Toc37159174"/>
      <w:bookmarkStart w:id="36" w:name="_Toc77662998"/>
      <w:r>
        <w:rPr>
          <w:rFonts w:ascii="宋体" w:hAnsi="宋体" w:hint="eastAsia"/>
          <w:color w:val="000000"/>
          <w:kern w:val="0"/>
          <w:sz w:val="24"/>
        </w:rPr>
        <w:t>基金托管人对此予以必要的配合与协助，但不承担相关责任。</w:t>
      </w:r>
    </w:p>
    <w:p w14:paraId="3D86B3D2"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6、除依据法律法规和《基金合同》的规定外，基金托管人不得委托第三人托管基金财产。</w:t>
      </w:r>
    </w:p>
    <w:p w14:paraId="25E8B49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（二）基金合同生效时募集资产的验证</w:t>
      </w:r>
      <w:bookmarkEnd w:id="35"/>
      <w:bookmarkEnd w:id="36"/>
    </w:p>
    <w:p w14:paraId="3689487D"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基金募集期间募集的资金应存于在具有托管资格的商业银行开设的基金募集专用账户。该账户由基金管理人或基金管理人委托的登记机构开立并管理。</w:t>
      </w:r>
    </w:p>
    <w:p w14:paraId="1EAA1B4E" w14:textId="31412A7F"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募集期满或基金停止募集时，发起资金提供方认购金额及承诺持有期限符合《基金法》、《运作办法》等有关规定后，基金管理人应将属于基金财产的全部资金划入基金银行存款账户，同时在规定时间内，聘请符合《中华人民共和国证券法》规定的会计师事务所进行验资，出具验资报告。出具的验资报告由参加验资的2名或2名以上中国注册会计师签字方为有效。验资报告需对发起资金提供方及其持有份额进行专门说明。</w:t>
      </w:r>
    </w:p>
    <w:p w14:paraId="6D0BD2A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若基金募集期限届满，未能达到基金备案的条件，由基金管理人按规定办理相关资金退还等事宜</w:t>
      </w:r>
      <w:r>
        <w:rPr>
          <w:rFonts w:ascii="宋体" w:hAnsi="宋体" w:hint="eastAsia"/>
          <w:kern w:val="0"/>
          <w:sz w:val="24"/>
        </w:rPr>
        <w:t>，基金托管人应提供充分协助</w:t>
      </w:r>
      <w:r>
        <w:rPr>
          <w:rFonts w:ascii="宋体" w:hAnsi="宋体" w:hint="eastAsia"/>
          <w:color w:val="000000"/>
          <w:kern w:val="0"/>
          <w:sz w:val="24"/>
        </w:rPr>
        <w:t>。</w:t>
      </w:r>
      <w:bookmarkStart w:id="37" w:name="_Toc37159176"/>
      <w:bookmarkStart w:id="38" w:name="_Toc77663000"/>
    </w:p>
    <w:p w14:paraId="7DF40AA5"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（三）基金的银行存款账户的开立和管理</w:t>
      </w:r>
      <w:bookmarkEnd w:id="37"/>
      <w:bookmarkEnd w:id="38"/>
    </w:p>
    <w:p w14:paraId="60059835"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1、基金托管人应负责本基金银行存款账户（即托管账户）的开立和管理。</w:t>
      </w:r>
    </w:p>
    <w:p w14:paraId="16608095" w14:textId="4C39E372"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2、基金托管人在</w:t>
      </w:r>
      <w:r>
        <w:rPr>
          <w:rFonts w:ascii="宋体" w:hAnsi="宋体" w:hint="eastAsia"/>
          <w:kern w:val="0"/>
          <w:sz w:val="24"/>
        </w:rPr>
        <w:t>具有证券投资基金托管资格的</w:t>
      </w:r>
      <w:r>
        <w:rPr>
          <w:rFonts w:ascii="宋体" w:hAnsi="宋体" w:hint="eastAsia"/>
          <w:color w:val="000000"/>
          <w:kern w:val="0"/>
          <w:sz w:val="24"/>
        </w:rPr>
        <w:t>商业银行开立基金的银行存款账户，并根据中国人民银行规定计息，根据基金管理人合法合规的指令办理资金收付。本基金的银行预留印鉴由基金托管人制作、保管和使用。本基金的一切货币收支活动，包括但不限于投资、支付赎回金额、支付基金收益、收取申购款，均需通过本基金的银行存款账户进行。</w:t>
      </w:r>
    </w:p>
    <w:p w14:paraId="5B89087D"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6B06873D" w14:textId="77777777" w:rsidR="00E635E0" w:rsidRDefault="00A70FAE">
      <w:pPr>
        <w:tabs>
          <w:tab w:val="left" w:pos="1260"/>
        </w:tabs>
        <w:spacing w:line="360" w:lineRule="auto"/>
        <w:ind w:firstLineChars="200" w:firstLine="480"/>
        <w:rPr>
          <w:rFonts w:ascii="宋体" w:hAnsi="宋体"/>
          <w:color w:val="000000"/>
          <w:kern w:val="0"/>
          <w:sz w:val="24"/>
        </w:rPr>
      </w:pPr>
      <w:bookmarkStart w:id="39" w:name="_Hlk180590434"/>
      <w:r>
        <w:rPr>
          <w:rFonts w:ascii="宋体" w:hAnsi="宋体" w:hint="eastAsia"/>
          <w:color w:val="000000"/>
          <w:kern w:val="0"/>
          <w:sz w:val="24"/>
        </w:rPr>
        <w:t>4、基金托管人可以通过本基金银行存款账户的企业网上银行（简称“网银”）等方式进行资金支付，并使用网银等方式办理托管资产的资金结算汇划业务。</w:t>
      </w:r>
    </w:p>
    <w:p w14:paraId="42F440B7"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5、基金银行存款账户的管理应符合法律、法规以及银行业监督管理机构的其他规定。</w:t>
      </w:r>
      <w:bookmarkStart w:id="40" w:name="_Toc77663001"/>
      <w:bookmarkStart w:id="41" w:name="_Toc37159177"/>
    </w:p>
    <w:p w14:paraId="077D0D74" w14:textId="63D7608F"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（四）基金的证券账户和</w:t>
      </w:r>
      <w:r>
        <w:rPr>
          <w:rFonts w:ascii="宋体" w:hAnsi="宋体" w:hint="eastAsia"/>
          <w:b/>
          <w:color w:val="000000"/>
          <w:kern w:val="0"/>
          <w:sz w:val="24"/>
        </w:rPr>
        <w:t>结算备付金账户</w:t>
      </w:r>
      <w:r>
        <w:rPr>
          <w:rFonts w:ascii="宋体" w:hAnsi="宋体" w:hint="eastAsia"/>
          <w:b/>
          <w:bCs/>
          <w:color w:val="000000"/>
          <w:sz w:val="24"/>
        </w:rPr>
        <w:t>的开立和管理</w:t>
      </w:r>
      <w:bookmarkEnd w:id="39"/>
      <w:bookmarkEnd w:id="40"/>
      <w:bookmarkEnd w:id="41"/>
    </w:p>
    <w:p w14:paraId="167E89A7"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基金托管人为本基金在中国证券登记结算有限责任公司开立证券账户。</w:t>
      </w:r>
    </w:p>
    <w:p w14:paraId="7AA2276D" w14:textId="440249A8"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bookmarkStart w:id="42" w:name="_Toc77663003"/>
      <w:bookmarkStart w:id="43" w:name="_Toc37159179"/>
    </w:p>
    <w:p w14:paraId="32C7894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基金证券账户的开立由基金托管人负责，账户资产的管理和运用由基金管理人负责。</w:t>
      </w:r>
    </w:p>
    <w:p w14:paraId="6E976125"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以托管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3DAE2DE7" w14:textId="26D0928A"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在本托管协议生效日之后，本基金被允许从事其他投资品种的投资业务的，涉及相关账户的开设、使用的，若无相关规定，则基金托管人及管理人应当比照并遵守上述关于账户开设、使用的规定。</w:t>
      </w:r>
    </w:p>
    <w:p w14:paraId="19E23736"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（五）债券托管账户的开立和管理</w:t>
      </w:r>
    </w:p>
    <w:p w14:paraId="463B01CD" w14:textId="77777777" w:rsidR="00E635E0" w:rsidRDefault="00A70FAE">
      <w:pPr>
        <w:tabs>
          <w:tab w:val="left" w:pos="1260"/>
        </w:tabs>
        <w:spacing w:line="360" w:lineRule="auto"/>
        <w:ind w:firstLineChars="200" w:firstLine="480"/>
        <w:rPr>
          <w:rFonts w:ascii="宋体" w:hAnsi="宋体"/>
          <w:color w:val="000000"/>
          <w:kern w:val="0"/>
          <w:sz w:val="24"/>
          <w:szCs w:val="21"/>
        </w:rPr>
      </w:pPr>
      <w:r>
        <w:rPr>
          <w:rFonts w:ascii="宋体" w:hAnsi="宋体" w:hint="eastAsia"/>
          <w:color w:val="000000"/>
          <w:kern w:val="0"/>
          <w:sz w:val="24"/>
        </w:rPr>
        <w:t>基金合同生效后，基金托管人负责在中央国债登记结算有限责任公司及</w:t>
      </w:r>
      <w:r>
        <w:rPr>
          <w:rFonts w:ascii="宋体" w:hAnsi="宋体"/>
          <w:color w:val="000000"/>
          <w:kern w:val="0"/>
          <w:sz w:val="24"/>
        </w:rPr>
        <w:t>银行间市场清算所股份有限公司</w:t>
      </w:r>
      <w:r>
        <w:rPr>
          <w:rFonts w:ascii="宋体" w:hAnsi="宋体" w:hint="eastAsia"/>
          <w:color w:val="000000"/>
          <w:kern w:val="0"/>
          <w:sz w:val="24"/>
        </w:rPr>
        <w:t>以本基金的名义开立债券托管账户</w:t>
      </w:r>
      <w:bookmarkStart w:id="44" w:name="_Hlk180590467"/>
      <w:r>
        <w:rPr>
          <w:rFonts w:ascii="宋体" w:hAnsi="宋体" w:hint="eastAsia"/>
          <w:color w:val="000000"/>
          <w:kern w:val="0"/>
          <w:sz w:val="24"/>
        </w:rPr>
        <w:t>和资金结算账户</w:t>
      </w:r>
      <w:bookmarkEnd w:id="44"/>
      <w:r>
        <w:rPr>
          <w:rFonts w:ascii="宋体" w:hAnsi="宋体" w:hint="eastAsia"/>
          <w:color w:val="000000"/>
          <w:kern w:val="0"/>
          <w:sz w:val="24"/>
        </w:rPr>
        <w:t>，并由基金托管人负责基金的债券及资金的清算。</w:t>
      </w:r>
      <w:r>
        <w:rPr>
          <w:rFonts w:ascii="宋体" w:hAnsi="宋体" w:hint="eastAsia"/>
          <w:color w:val="000000"/>
          <w:kern w:val="0"/>
          <w:sz w:val="24"/>
          <w:szCs w:val="21"/>
        </w:rPr>
        <w:t>基金管理人代表基金签订全国银行间债券市场债券回购主协议。</w:t>
      </w:r>
    </w:p>
    <w:p w14:paraId="07B9B36C"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45" w:name="_Hlk180590479"/>
      <w:r>
        <w:rPr>
          <w:rFonts w:ascii="宋体" w:hAnsi="宋体" w:hint="eastAsia"/>
          <w:b/>
          <w:bCs/>
          <w:color w:val="000000"/>
          <w:sz w:val="24"/>
        </w:rPr>
        <w:t>（六）期货的相关账户的开立和管理</w:t>
      </w:r>
    </w:p>
    <w:p w14:paraId="53D51EE0" w14:textId="77777777" w:rsidR="00E635E0" w:rsidRDefault="00A70FAE">
      <w:pPr>
        <w:tabs>
          <w:tab w:val="left" w:pos="1260"/>
        </w:tabs>
        <w:spacing w:line="360" w:lineRule="auto"/>
        <w:ind w:firstLineChars="200" w:firstLine="480"/>
        <w:rPr>
          <w:rFonts w:ascii="宋体"/>
          <w:color w:val="000000"/>
          <w:kern w:val="0"/>
          <w:sz w:val="24"/>
        </w:rPr>
      </w:pPr>
      <w:r>
        <w:rPr>
          <w:rFonts w:ascii="宋体" w:hint="eastAsia"/>
          <w:kern w:val="0"/>
          <w:sz w:val="24"/>
        </w:rPr>
        <w:t>基金管理人应当按照相关规定开立期货账户及交易编码。期货账户名称及交易编码对应名称应按照有关规定设立。基金托管人和基金管理人应当在开户过程中相互配合，并提供所需资料。</w:t>
      </w:r>
    </w:p>
    <w:p w14:paraId="6D733DB3" w14:textId="77777777" w:rsidR="00E635E0" w:rsidRDefault="00A70FAE">
      <w:pPr>
        <w:tabs>
          <w:tab w:val="left" w:pos="3780"/>
        </w:tabs>
        <w:autoSpaceDE w:val="0"/>
        <w:autoSpaceDN w:val="0"/>
        <w:spacing w:beforeLines="50" w:before="156" w:afterLines="50" w:after="156" w:line="360" w:lineRule="auto"/>
        <w:ind w:firstLine="482"/>
        <w:textAlignment w:val="bottom"/>
        <w:outlineLvl w:val="0"/>
        <w:rPr>
          <w:rFonts w:ascii="宋体" w:hAnsi="宋体"/>
          <w:b/>
          <w:bCs/>
          <w:sz w:val="24"/>
        </w:rPr>
      </w:pPr>
      <w:r>
        <w:rPr>
          <w:rFonts w:ascii="宋体" w:hAnsi="宋体" w:hint="eastAsia"/>
          <w:b/>
          <w:bCs/>
          <w:color w:val="000000"/>
          <w:sz w:val="24"/>
        </w:rPr>
        <w:t>（七）</w:t>
      </w:r>
      <w:r>
        <w:rPr>
          <w:rFonts w:ascii="宋体" w:hAnsi="宋体" w:hint="eastAsia"/>
          <w:b/>
          <w:bCs/>
          <w:sz w:val="24"/>
        </w:rPr>
        <w:t>基金投资银行存款账户的开立和管理</w:t>
      </w:r>
    </w:p>
    <w:p w14:paraId="0589788B" w14:textId="2A92902D" w:rsidR="00E635E0" w:rsidRDefault="00A70FAE">
      <w:pPr>
        <w:tabs>
          <w:tab w:val="left" w:pos="1260"/>
        </w:tabs>
        <w:spacing w:line="360" w:lineRule="auto"/>
        <w:ind w:firstLineChars="200" w:firstLine="480"/>
        <w:rPr>
          <w:rFonts w:ascii="宋体"/>
          <w:kern w:val="0"/>
          <w:sz w:val="24"/>
        </w:rPr>
      </w:pPr>
      <w:r>
        <w:rPr>
          <w:rFonts w:ascii="宋体" w:hint="eastAsia"/>
          <w:kern w:val="0"/>
          <w:sz w:val="24"/>
        </w:rPr>
        <w:t>存款账户名称应</w:t>
      </w:r>
      <w:r>
        <w:rPr>
          <w:rFonts w:ascii="宋体"/>
          <w:kern w:val="0"/>
          <w:sz w:val="24"/>
        </w:rPr>
        <w:t>为</w:t>
      </w:r>
      <w:r>
        <w:rPr>
          <w:rFonts w:ascii="宋体" w:hint="eastAsia"/>
          <w:kern w:val="0"/>
          <w:sz w:val="24"/>
        </w:rPr>
        <w:t>基金名称（具体名称以实际开立为准），存款账户开户文件中的预留印鉴须为基金托管人印章。</w:t>
      </w:r>
    </w:p>
    <w:p w14:paraId="05E42F68" w14:textId="77777777" w:rsidR="00E635E0" w:rsidRDefault="00A70FAE">
      <w:pPr>
        <w:tabs>
          <w:tab w:val="left" w:pos="1260"/>
        </w:tabs>
        <w:spacing w:line="360" w:lineRule="auto"/>
        <w:ind w:firstLineChars="200" w:firstLine="480"/>
        <w:rPr>
          <w:rFonts w:ascii="宋体"/>
          <w:kern w:val="0"/>
          <w:sz w:val="24"/>
        </w:rPr>
      </w:pPr>
      <w:r>
        <w:rPr>
          <w:rFonts w:ascii="宋体" w:hint="eastAsia"/>
          <w:kern w:val="0"/>
          <w:sz w:val="24"/>
        </w:rPr>
        <w:t>本基金投资银行存款时，基金管理人应当与存款银行签订具体存款协议或存款确认单据，明确存款的类型、期限、利率、金额、账号、对账方式、支取方式、存款到期指定收款账户等细则。</w:t>
      </w:r>
    </w:p>
    <w:p w14:paraId="65D28363"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int="eastAsia"/>
          <w:kern w:val="0"/>
          <w:sz w:val="24"/>
        </w:rPr>
        <w:t>为防范特殊情况下的流动性风险，定期存款协议中应当约定提前支取条款。</w:t>
      </w:r>
      <w:bookmarkEnd w:id="45"/>
    </w:p>
    <w:p w14:paraId="6077460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（八）其他账户的开立和管理</w:t>
      </w:r>
    </w:p>
    <w:p w14:paraId="4221394B" w14:textId="77777777" w:rsidR="00E635E0" w:rsidRDefault="00A70FAE">
      <w:pPr>
        <w:pStyle w:val="21"/>
        <w:rPr>
          <w:color w:val="000000"/>
        </w:rPr>
      </w:pPr>
      <w:bookmarkStart w:id="46" w:name="_Hlk180592403"/>
      <w:r>
        <w:rPr>
          <w:rFonts w:hint="eastAsia"/>
          <w:color w:val="000000"/>
        </w:rPr>
        <w:t>若中国证监会或其他监管机构在本托管协议订立日之后允许基金从事其他投资品种的投资业务，涉及相关账户的开立、使用的，根据有关法律、法规的规定和《基金合同》的约定，基金管理与基金托管人协商后开立有关账户。该账户按有关规则使用并管理。</w:t>
      </w:r>
      <w:bookmarkEnd w:id="46"/>
    </w:p>
    <w:p w14:paraId="1E9FD54F" w14:textId="77777777" w:rsidR="00E635E0" w:rsidRDefault="00A70FAE">
      <w:pPr>
        <w:pStyle w:val="21"/>
        <w:rPr>
          <w:color w:val="000000"/>
        </w:rPr>
      </w:pPr>
      <w:r>
        <w:rPr>
          <w:rFonts w:hint="eastAsia"/>
          <w:color w:val="000000"/>
        </w:rPr>
        <w:t>法律法规等</w:t>
      </w:r>
      <w:r>
        <w:rPr>
          <w:color w:val="000000"/>
        </w:rPr>
        <w:t>有关规定对相关账户的开立和管理另</w:t>
      </w:r>
      <w:r>
        <w:rPr>
          <w:rFonts w:hint="eastAsia"/>
          <w:color w:val="000000"/>
        </w:rPr>
        <w:t>有</w:t>
      </w:r>
      <w:r>
        <w:rPr>
          <w:color w:val="000000"/>
        </w:rPr>
        <w:t>规定的，从其规定办理。</w:t>
      </w:r>
    </w:p>
    <w:p w14:paraId="5BA78BAF"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（九）基金财产投资的有关实物证券、银行存款定期存单等有价凭证的保管</w:t>
      </w:r>
      <w:bookmarkEnd w:id="42"/>
      <w:bookmarkEnd w:id="43"/>
    </w:p>
    <w:p w14:paraId="74BE124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实物证券由基金托管人存放于基金托管人或其他基金管理人与基金托管人协商一致的第三方机构的保管库，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由基金托管人以外机构实际有效控制的本基金资产不承担保管责任。</w:t>
      </w:r>
    </w:p>
    <w:p w14:paraId="1DE6F3F7"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银行存款定期存单等有价凭证由基金托管人负责保管。</w:t>
      </w:r>
    </w:p>
    <w:p w14:paraId="304FDB12"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47" w:name="_Toc37159180"/>
      <w:bookmarkStart w:id="48" w:name="_Toc77663004"/>
      <w:r>
        <w:rPr>
          <w:rFonts w:ascii="宋体" w:hAnsi="宋体" w:hint="eastAsia"/>
          <w:b/>
          <w:bCs/>
          <w:color w:val="000000"/>
          <w:sz w:val="24"/>
        </w:rPr>
        <w:t>（十）与基金财产有关的重大合同的保管</w:t>
      </w:r>
      <w:bookmarkEnd w:id="47"/>
      <w:bookmarkEnd w:id="48"/>
    </w:p>
    <w:p w14:paraId="31F3D298" w14:textId="6709C7AD"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基金一方持有二份及以上的正本，以便基金管理人和基金托管人至少各持有一份正本的原件，基金管理人在合同签署后15个工作日内通过专人送达、挂号邮寄等安全方式将合同原件送达基金托管人处。重大合同的保管期限不低于</w:t>
      </w:r>
      <w:r>
        <w:rPr>
          <w:rFonts w:ascii="宋体" w:hAnsi="宋体"/>
          <w:color w:val="000000"/>
          <w:kern w:val="0"/>
          <w:sz w:val="24"/>
        </w:rPr>
        <w:t>法律法规规定的</w:t>
      </w:r>
      <w:r>
        <w:rPr>
          <w:rFonts w:ascii="宋体" w:hAnsi="宋体" w:hint="eastAsia"/>
          <w:color w:val="000000"/>
          <w:kern w:val="0"/>
          <w:sz w:val="24"/>
        </w:rPr>
        <w:t>最低期限。</w:t>
      </w:r>
    </w:p>
    <w:p w14:paraId="7C93A73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对于无法取得二份以上正本的，基金管理人应向基金托管人提供合同复印件，并在复印件上加盖公章，未经双方协商或未在合同约定范围内，合同原件不得转移。</w:t>
      </w:r>
    </w:p>
    <w:p w14:paraId="1B1AB165"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因基金管理人未按本协议约定及时向基金托管人送达重大合同原件或传真件导致的法律责任，基金托管人不予承担。</w:t>
      </w:r>
    </w:p>
    <w:p w14:paraId="4FB20AF9" w14:textId="77777777" w:rsidR="00E635E0" w:rsidRDefault="00E635E0">
      <w:pPr>
        <w:tabs>
          <w:tab w:val="left" w:pos="1260"/>
        </w:tabs>
        <w:spacing w:line="360" w:lineRule="auto"/>
        <w:ind w:firstLineChars="200" w:firstLine="480"/>
        <w:rPr>
          <w:rFonts w:ascii="宋体" w:hAnsi="宋体"/>
          <w:color w:val="000000"/>
          <w:kern w:val="0"/>
          <w:sz w:val="24"/>
        </w:rPr>
      </w:pPr>
    </w:p>
    <w:p w14:paraId="6E4B70AE" w14:textId="77777777" w:rsidR="00E635E0" w:rsidRDefault="00A70FAE">
      <w:pPr>
        <w:pStyle w:val="1"/>
        <w:spacing w:before="0" w:after="0"/>
        <w:ind w:firstLineChars="200" w:firstLine="482"/>
      </w:pPr>
      <w:bookmarkStart w:id="49" w:name="_Toc125892442"/>
      <w:bookmarkStart w:id="50" w:name="_Toc523829996"/>
      <w:bookmarkStart w:id="51" w:name="_Toc466788855"/>
      <w:bookmarkStart w:id="52" w:name="_Toc508720684"/>
      <w:r>
        <w:rPr>
          <w:rFonts w:hint="eastAsia"/>
        </w:rPr>
        <w:t>六、指令的发送、确认和执行</w:t>
      </w:r>
      <w:bookmarkEnd w:id="49"/>
      <w:bookmarkEnd w:id="50"/>
      <w:bookmarkEnd w:id="51"/>
      <w:bookmarkEnd w:id="52"/>
    </w:p>
    <w:p w14:paraId="7C3D0637"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53" w:name="_Toc77663006"/>
      <w:r>
        <w:rPr>
          <w:rFonts w:ascii="宋体" w:hAnsi="宋体" w:hint="eastAsia"/>
          <w:b/>
          <w:bCs/>
          <w:color w:val="000000"/>
          <w:sz w:val="24"/>
        </w:rPr>
        <w:t>（一）基金管理人对发送指令人员的书面授权</w:t>
      </w:r>
      <w:bookmarkEnd w:id="53"/>
    </w:p>
    <w:p w14:paraId="126DC54B" w14:textId="7D3E1EDF"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向基金托管人提供预留印鉴和授权人签字样本，事先书面通知（以下称“授权通知”）基金托管人有权发送指令的人员名单，注明相应的交易权限，并规定基金管理人向基金托管人发送指令时基金托管人确认有权发送人员身份的方法。</w:t>
      </w:r>
      <w:r>
        <w:rPr>
          <w:rFonts w:ascii="宋体" w:hAnsi="宋体" w:hint="eastAsia"/>
          <w:sz w:val="24"/>
        </w:rPr>
        <w:t>基金管理人应通过邮件或双方认可的其他形式向基金托管人发出加盖公章的授权通知扫描件。基金管理人应在此后三个工作日内将授权通知的正本送交基金托管人。</w:t>
      </w:r>
      <w:r>
        <w:rPr>
          <w:rFonts w:ascii="宋体" w:hAnsi="宋体" w:hint="eastAsia"/>
          <w:kern w:val="0"/>
          <w:sz w:val="24"/>
        </w:rPr>
        <w:t>扫描件如与正本不一致，基金托管人以扫描件为准并及时通知基金管理人。</w:t>
      </w:r>
      <w:r>
        <w:rPr>
          <w:rFonts w:ascii="宋体" w:hAnsi="宋体" w:hint="eastAsia"/>
          <w:color w:val="000000"/>
          <w:kern w:val="0"/>
          <w:sz w:val="24"/>
        </w:rPr>
        <w:t>基金管理人和基金托管人对授权通知负有保密义务，其内容不得向授权人及相关操作人员以外的任何人泄露。但法律法规规定或有权机关要求的除外。</w:t>
      </w:r>
    </w:p>
    <w:p w14:paraId="071EAD1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54" w:name="_Toc77663007"/>
      <w:r>
        <w:rPr>
          <w:rFonts w:ascii="宋体" w:hAnsi="宋体" w:hint="eastAsia"/>
          <w:b/>
          <w:bCs/>
          <w:color w:val="000000"/>
          <w:sz w:val="24"/>
        </w:rPr>
        <w:t>（二）指令的内容</w:t>
      </w:r>
      <w:bookmarkEnd w:id="54"/>
    </w:p>
    <w:p w14:paraId="147D3359" w14:textId="77777777" w:rsidR="00E635E0" w:rsidRDefault="00A70FAE">
      <w:pPr>
        <w:tabs>
          <w:tab w:val="left" w:pos="1260"/>
        </w:tabs>
        <w:spacing w:line="360" w:lineRule="auto"/>
        <w:ind w:firstLineChars="200" w:firstLine="480"/>
        <w:rPr>
          <w:rFonts w:ascii="宋体" w:hAnsi="宋体"/>
          <w:color w:val="000000"/>
          <w:kern w:val="0"/>
          <w:sz w:val="24"/>
        </w:rPr>
      </w:pPr>
      <w:bookmarkStart w:id="55" w:name="_Hlk180592471"/>
      <w:r>
        <w:rPr>
          <w:rFonts w:ascii="宋体" w:hAnsi="宋体" w:hint="eastAsia"/>
          <w:color w:val="000000"/>
          <w:kern w:val="0"/>
          <w:sz w:val="24"/>
        </w:rPr>
        <w:t>指令是基金管理人在运用基金资产时，向基金托管人发出的资金划拨及其他款项收付的指令。</w:t>
      </w:r>
      <w:bookmarkStart w:id="56" w:name="_Toc77663008"/>
      <w:r>
        <w:rPr>
          <w:rFonts w:ascii="宋体" w:hAnsi="宋体" w:hint="eastAsia"/>
          <w:color w:val="000000"/>
          <w:kern w:val="0"/>
          <w:sz w:val="24"/>
        </w:rPr>
        <w:t>指令应写明款项事由、支付时间、金额、账户等执行支付所需内容，加盖预留印鉴。</w:t>
      </w:r>
    </w:p>
    <w:p w14:paraId="3EA0E6B1"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cs="宋体"/>
          <w:sz w:val="24"/>
        </w:rPr>
        <w:t>基金托管人</w:t>
      </w:r>
      <w:r>
        <w:rPr>
          <w:rFonts w:ascii="宋体" w:hAnsi="宋体" w:cs="宋体" w:hint="eastAsia"/>
          <w:sz w:val="24"/>
        </w:rPr>
        <w:t>根据基金管理人的授权，</w:t>
      </w:r>
      <w:r>
        <w:rPr>
          <w:rFonts w:ascii="宋体" w:hAnsi="宋体" w:cs="宋体"/>
          <w:sz w:val="24"/>
        </w:rPr>
        <w:t>基于双方协商一致所设定的业务规则、登记结算机构数据等形成的指令</w:t>
      </w:r>
      <w:r>
        <w:rPr>
          <w:rFonts w:ascii="宋体" w:hAnsi="宋体" w:cs="宋体" w:hint="eastAsia"/>
          <w:sz w:val="24"/>
        </w:rPr>
        <w:t>，</w:t>
      </w:r>
      <w:r>
        <w:rPr>
          <w:rFonts w:ascii="宋体" w:hAnsi="宋体" w:hint="eastAsia"/>
          <w:color w:val="000000"/>
          <w:sz w:val="24"/>
        </w:rPr>
        <w:t>也视为基金管理人向基金托管人发出的有效指令，无须基金管理人向基金托管人另行出具指令</w:t>
      </w:r>
      <w:r>
        <w:rPr>
          <w:rFonts w:ascii="宋体" w:hAnsi="宋体" w:cs="宋体" w:hint="eastAsia"/>
          <w:sz w:val="24"/>
        </w:rPr>
        <w:t>。</w:t>
      </w:r>
      <w:r>
        <w:rPr>
          <w:rFonts w:ascii="宋体" w:hAnsi="宋体" w:cs="宋体"/>
          <w:sz w:val="24"/>
        </w:rPr>
        <w:t>具体适用条件、确认和执行等相关要求均由双方根据业务需要另行协商确定。</w:t>
      </w:r>
    </w:p>
    <w:p w14:paraId="2790267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sz w:val="24"/>
        </w:rPr>
        <w:t>本基金银行账户发生的银行结算费用等银行费用，由基金资产承担。</w:t>
      </w:r>
      <w:bookmarkEnd w:id="55"/>
    </w:p>
    <w:p w14:paraId="1435B42B"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（三）指令的发送、确认和执行</w:t>
      </w:r>
      <w:bookmarkEnd w:id="56"/>
      <w:r>
        <w:rPr>
          <w:rFonts w:ascii="宋体" w:hAnsi="宋体" w:hint="eastAsia"/>
          <w:b/>
          <w:bCs/>
          <w:color w:val="000000"/>
          <w:sz w:val="24"/>
        </w:rPr>
        <w:t>的时间和程序</w:t>
      </w:r>
    </w:p>
    <w:p w14:paraId="4E9B94B2" w14:textId="77777777" w:rsidR="00E635E0" w:rsidRDefault="00A70FAE">
      <w:pPr>
        <w:tabs>
          <w:tab w:val="left" w:pos="1260"/>
        </w:tabs>
        <w:spacing w:line="360" w:lineRule="auto"/>
        <w:ind w:firstLineChars="200" w:firstLine="480"/>
        <w:rPr>
          <w:rFonts w:ascii="宋体" w:hAnsi="宋体" w:cs="Arial"/>
          <w:color w:val="000000"/>
          <w:sz w:val="24"/>
        </w:rPr>
      </w:pPr>
      <w:r>
        <w:rPr>
          <w:rFonts w:ascii="宋体" w:hAnsi="宋体" w:hint="eastAsia"/>
          <w:color w:val="000000"/>
          <w:kern w:val="0"/>
          <w:sz w:val="24"/>
        </w:rPr>
        <w:t>基金管理人应按照《基金法》及其他有关法规、《基金合同》和本协议的规定，在其合法的经营权限和交易权限内发送指令，被授权人应按照其授权权限发送指令。指令由基金管理人通过基金托管</w:t>
      </w:r>
      <w:r>
        <w:rPr>
          <w:rFonts w:ascii="宋体" w:hAnsi="宋体"/>
          <w:color w:val="000000"/>
          <w:kern w:val="0"/>
          <w:sz w:val="24"/>
        </w:rPr>
        <w:t>人</w:t>
      </w:r>
      <w:r>
        <w:rPr>
          <w:rFonts w:ascii="宋体" w:hAnsi="宋体" w:hint="eastAsia"/>
          <w:color w:val="000000"/>
          <w:kern w:val="0"/>
          <w:sz w:val="24"/>
        </w:rPr>
        <w:t>电子平台提交，若特殊情况下需“授权通知”确定的被授权人代表基金管理人用邮件的方式向基金托管人发送。发送后基金管理人</w:t>
      </w:r>
      <w:r>
        <w:rPr>
          <w:rFonts w:ascii="宋体" w:hAnsi="宋体" w:hint="eastAsia"/>
          <w:color w:val="000000"/>
          <w:sz w:val="24"/>
        </w:rPr>
        <w:t>需</w:t>
      </w:r>
      <w:r>
        <w:rPr>
          <w:rFonts w:ascii="宋体" w:hAnsi="宋体" w:hint="eastAsia"/>
          <w:color w:val="000000"/>
          <w:kern w:val="0"/>
          <w:sz w:val="24"/>
        </w:rPr>
        <w:t>及时通过电话或者双方约定一致的方式与基金托管人确认指令内容。除需考虑资金在途时间外，基金管理人还需为基金托管人留有</w:t>
      </w:r>
      <w:r>
        <w:rPr>
          <w:rFonts w:ascii="宋体" w:hAnsi="宋体"/>
          <w:color w:val="000000"/>
          <w:kern w:val="0"/>
          <w:sz w:val="24"/>
        </w:rPr>
        <w:t>2</w:t>
      </w:r>
      <w:r>
        <w:rPr>
          <w:rFonts w:ascii="宋体" w:hAnsi="宋体" w:hint="eastAsia"/>
          <w:color w:val="000000"/>
          <w:kern w:val="0"/>
          <w:sz w:val="24"/>
        </w:rPr>
        <w:t>个工作小时的复核和审批时间。在每个交易日的</w:t>
      </w:r>
      <w:r>
        <w:rPr>
          <w:rFonts w:ascii="宋体" w:hAnsi="宋体"/>
          <w:color w:val="000000"/>
          <w:kern w:val="0"/>
          <w:sz w:val="24"/>
        </w:rPr>
        <w:t>13</w:t>
      </w:r>
      <w:r>
        <w:rPr>
          <w:rFonts w:ascii="宋体" w:hAnsi="宋体" w:hint="eastAsia"/>
          <w:color w:val="000000"/>
          <w:kern w:val="0"/>
          <w:sz w:val="24"/>
        </w:rPr>
        <w:t>：</w:t>
      </w:r>
      <w:r>
        <w:rPr>
          <w:rFonts w:ascii="宋体" w:hAnsi="宋体"/>
          <w:color w:val="000000"/>
          <w:kern w:val="0"/>
          <w:sz w:val="24"/>
        </w:rPr>
        <w:t>30</w:t>
      </w:r>
      <w:r>
        <w:rPr>
          <w:rFonts w:ascii="宋体" w:hAnsi="宋体" w:hint="eastAsia"/>
          <w:color w:val="000000"/>
          <w:kern w:val="0"/>
          <w:sz w:val="24"/>
        </w:rPr>
        <w:t>以后接收基金管理人发出的场内交易转账划款指令的，基金托管人</w:t>
      </w:r>
      <w:r>
        <w:rPr>
          <w:rFonts w:ascii="宋体" w:hAnsi="宋体" w:hint="eastAsia"/>
          <w:kern w:val="0"/>
          <w:sz w:val="24"/>
        </w:rPr>
        <w:t>应尽力配合，但</w:t>
      </w:r>
      <w:r>
        <w:rPr>
          <w:rFonts w:ascii="宋体" w:hAnsi="宋体" w:hint="eastAsia"/>
          <w:color w:val="000000"/>
          <w:kern w:val="0"/>
          <w:sz w:val="24"/>
        </w:rPr>
        <w:t>不保证当日完成划转流程；在每个交易日的</w:t>
      </w:r>
      <w:r>
        <w:rPr>
          <w:rFonts w:ascii="宋体" w:hAnsi="宋体"/>
          <w:color w:val="000000"/>
          <w:kern w:val="0"/>
          <w:sz w:val="24"/>
        </w:rPr>
        <w:t>15</w:t>
      </w:r>
      <w:r>
        <w:rPr>
          <w:rFonts w:ascii="宋体" w:hAnsi="宋体" w:hint="eastAsia"/>
          <w:color w:val="000000"/>
          <w:kern w:val="0"/>
          <w:sz w:val="24"/>
        </w:rPr>
        <w:t>：</w:t>
      </w:r>
      <w:r>
        <w:rPr>
          <w:rFonts w:ascii="宋体" w:hAnsi="宋体"/>
          <w:color w:val="000000"/>
          <w:kern w:val="0"/>
          <w:sz w:val="24"/>
        </w:rPr>
        <w:t>00</w:t>
      </w:r>
      <w:r>
        <w:rPr>
          <w:rFonts w:ascii="宋体" w:hAnsi="宋体" w:hint="eastAsia"/>
          <w:color w:val="000000"/>
          <w:kern w:val="0"/>
          <w:sz w:val="24"/>
        </w:rPr>
        <w:t>以后接收基金管理人发出的其他划款指令的，基金托管人不保证当日完成划付流程。基金管理人指令传输不及时，未能留出足够的执行时间，致使指令未能及时执行的，基金托管人不承担由此导致的损失</w:t>
      </w:r>
      <w:r>
        <w:rPr>
          <w:rFonts w:ascii="宋体" w:hAnsi="宋体" w:hint="eastAsia"/>
          <w:kern w:val="0"/>
          <w:sz w:val="24"/>
        </w:rPr>
        <w:t>，但应及时通知基金管理人</w:t>
      </w:r>
      <w:r>
        <w:rPr>
          <w:rFonts w:ascii="宋体" w:hAnsi="宋体" w:hint="eastAsia"/>
          <w:color w:val="000000"/>
          <w:kern w:val="0"/>
          <w:sz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基金管理人应将银行间市场成交单扫描给基金托管人。对于被授权人发出的指令，基金管理人不得否认其效力。基金托管人依照“授权通知”规定的方法确认指令的有效后，方可执行指令。</w:t>
      </w:r>
      <w:r>
        <w:rPr>
          <w:rFonts w:cs="Arial" w:hint="eastAsia"/>
          <w:color w:val="000000"/>
          <w:sz w:val="24"/>
        </w:rPr>
        <w:t>指令</w:t>
      </w:r>
      <w:r>
        <w:rPr>
          <w:rFonts w:ascii="宋体" w:hAnsi="宋体" w:cs="Arial" w:hint="eastAsia"/>
          <w:color w:val="000000"/>
          <w:sz w:val="24"/>
        </w:rPr>
        <w:t>执行完毕后，基金托管人应及时通知基金管理人。</w:t>
      </w:r>
      <w:r>
        <w:rPr>
          <w:rFonts w:ascii="宋体" w:hAnsi="宋体" w:hint="eastAsia"/>
          <w:color w:val="000000"/>
          <w:kern w:val="0"/>
          <w:sz w:val="24"/>
        </w:rPr>
        <w:t>对基金管理人的资金划拨指令，基金托管人在复核无误后应在规定期限内执行，不得延误。</w:t>
      </w:r>
    </w:p>
    <w:p w14:paraId="0B927133"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cs="Arial" w:hint="eastAsia"/>
          <w:color w:val="000000"/>
          <w:sz w:val="24"/>
        </w:rPr>
        <w:t>基金托管人仅根据基金管理人的授权文件对指令进行表面相符性的形式审查，对其真实性不承担责任。基金托管人对准确执行基金管理人的指令对基金财产造成的损失不承担赔偿责任。</w:t>
      </w:r>
    </w:p>
    <w:p w14:paraId="7F3DBADD"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（四）基金管理人发送错误指令的情形和处理程序</w:t>
      </w:r>
    </w:p>
    <w:p w14:paraId="34A516D0"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 </w:t>
      </w:r>
    </w:p>
    <w:p w14:paraId="0CA33A88"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（五）基金托管人依照法律、法规暂缓、拒绝执行指令的情形和处理程序</w:t>
      </w:r>
    </w:p>
    <w:p w14:paraId="26FE658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发现基金管理人发送的指令违反《基金法》、《基金合同》、本协议或有关基金法律法规的有关规定，应当暂缓或不予执行，并应及时以书面形式通知基金管理人纠正，基金管理人收到通知后应及时核对，并以书面形式对基金托管人发出回函确认，由此造成的损失由基金管理人承担。</w:t>
      </w:r>
    </w:p>
    <w:p w14:paraId="66BD9DB7"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（六）基金托管人未按照基金管理人指令执行的处理方法</w:t>
      </w:r>
    </w:p>
    <w:p w14:paraId="4279AFF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对于基金管理人的有效指令和通知，除非违反法律法规、基金合同、托管协议，基金托管人不得无故拒绝或拖延执行。基金托管人由于自身原因造成未按照基金管理人发送的正常指令执行，给基金份额持有人</w:t>
      </w:r>
      <w:r>
        <w:rPr>
          <w:rFonts w:ascii="宋体" w:hAnsi="宋体" w:hint="eastAsia"/>
          <w:kern w:val="0"/>
          <w:sz w:val="24"/>
        </w:rPr>
        <w:t>、基金财产或基金管理人</w:t>
      </w:r>
      <w:r>
        <w:rPr>
          <w:rFonts w:ascii="宋体" w:hAnsi="宋体" w:hint="eastAsia"/>
          <w:color w:val="000000"/>
          <w:kern w:val="0"/>
          <w:sz w:val="24"/>
        </w:rPr>
        <w:t>造成损失的，对由此造成的直接经济损失负赔偿责任。</w:t>
      </w:r>
      <w:bookmarkStart w:id="57" w:name="_Toc77663009"/>
    </w:p>
    <w:p w14:paraId="03AC3FAF"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（七）被授权人</w:t>
      </w:r>
      <w:bookmarkEnd w:id="57"/>
      <w:r>
        <w:rPr>
          <w:rFonts w:ascii="宋体" w:hAnsi="宋体" w:hint="eastAsia"/>
          <w:b/>
          <w:bCs/>
          <w:color w:val="000000"/>
          <w:sz w:val="24"/>
        </w:rPr>
        <w:t>员的更换</w:t>
      </w:r>
    </w:p>
    <w:p w14:paraId="01A37AB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基金管理人撤换被授权人员或改变被授权人员的权限，必须提前至少三个工作日，使用邮件</w:t>
      </w:r>
      <w:r>
        <w:rPr>
          <w:rFonts w:ascii="宋体" w:hAnsi="宋体"/>
          <w:color w:val="000000"/>
          <w:kern w:val="0"/>
          <w:sz w:val="24"/>
        </w:rPr>
        <w:t>形式</w:t>
      </w:r>
      <w:r>
        <w:rPr>
          <w:rFonts w:ascii="宋体" w:hAnsi="宋体" w:hint="eastAsia"/>
          <w:color w:val="000000"/>
          <w:kern w:val="0"/>
          <w:sz w:val="24"/>
        </w:rPr>
        <w:t>或其他双方认可的方式向基金托管人发出加盖公章的被授权人变更通知（包括姓名、权限、预留印鉴和签字样本等），注明启用日期，同时电话通知基金托管人。被授权人变更通知自基金托管人收到邮件或其他双方认可的方式并电话确认后，方视为通知送达。被授权人变更通知在送达后</w:t>
      </w:r>
      <w:r>
        <w:rPr>
          <w:rFonts w:ascii="??" w:hAnsi="??" w:hint="eastAsia"/>
          <w:color w:val="000000"/>
          <w:sz w:val="18"/>
          <w:szCs w:val="18"/>
        </w:rPr>
        <w:t>，</w:t>
      </w:r>
      <w:r>
        <w:rPr>
          <w:rFonts w:ascii="宋体" w:hAnsi="宋体" w:hint="eastAsia"/>
          <w:color w:val="000000"/>
          <w:kern w:val="0"/>
          <w:sz w:val="24"/>
        </w:rPr>
        <w:t>自其上面注明的启用日期起开始生效。如通知送达的日期晚于通知中注明的启用日期的，则被授权人变更通知自通知送达时生效。被授权人变更通知生效前，基金托管人仍应按原约定执行指令，基金管理人不得否认其效力。基金管理人在此后七个工作日内将被授权人变更通知的正本送交基金托管人。基金托管人收到的扫描件与正本不一致时，以扫描件为准。</w:t>
      </w:r>
    </w:p>
    <w:p w14:paraId="74C0FE6B" w14:textId="77777777" w:rsidR="00E635E0" w:rsidRDefault="00A70FAE">
      <w:pPr>
        <w:tabs>
          <w:tab w:val="left" w:pos="1260"/>
        </w:tabs>
        <w:spacing w:line="360" w:lineRule="auto"/>
        <w:ind w:firstLineChars="200" w:firstLine="480"/>
        <w:rPr>
          <w:rFonts w:ascii="宋体"/>
          <w:color w:val="000000"/>
          <w:kern w:val="0"/>
          <w:sz w:val="24"/>
        </w:rPr>
      </w:pPr>
      <w:r>
        <w:rPr>
          <w:rFonts w:ascii="宋体" w:hint="eastAsia"/>
          <w:color w:val="000000"/>
          <w:kern w:val="0"/>
          <w:sz w:val="24"/>
        </w:rPr>
        <w:t>基金托管人更改接收基金管理人指令的人员及联系方式，应至少提前1个工作日以邮件或其他双方认可的方式发送基金管理人。基金托管人更改接收基金管理人指令的人员及联系方式自基金管理人电话确认后生效。</w:t>
      </w:r>
    </w:p>
    <w:p w14:paraId="6D48A6A3" w14:textId="77777777" w:rsidR="00E635E0" w:rsidRDefault="00E635E0">
      <w:pPr>
        <w:tabs>
          <w:tab w:val="left" w:pos="1260"/>
        </w:tabs>
        <w:spacing w:line="360" w:lineRule="auto"/>
        <w:ind w:firstLineChars="200" w:firstLine="480"/>
        <w:rPr>
          <w:rFonts w:ascii="宋体"/>
          <w:color w:val="000000"/>
          <w:kern w:val="0"/>
          <w:sz w:val="24"/>
        </w:rPr>
      </w:pPr>
    </w:p>
    <w:p w14:paraId="5390FAAF" w14:textId="77777777" w:rsidR="00E635E0" w:rsidRDefault="00A70FAE">
      <w:pPr>
        <w:pStyle w:val="1"/>
        <w:spacing w:before="0" w:after="0"/>
        <w:ind w:firstLineChars="200" w:firstLine="482"/>
      </w:pPr>
      <w:bookmarkStart w:id="58" w:name="_Toc508720685"/>
      <w:bookmarkStart w:id="59" w:name="_Toc22454451"/>
      <w:bookmarkStart w:id="60" w:name="_Toc523829997"/>
      <w:bookmarkStart w:id="61" w:name="_Toc125892443"/>
      <w:bookmarkStart w:id="62" w:name="_Toc466788856"/>
      <w:r>
        <w:rPr>
          <w:rFonts w:hint="eastAsia"/>
        </w:rPr>
        <w:t>七、交易及清算交收安排</w:t>
      </w:r>
      <w:bookmarkEnd w:id="58"/>
      <w:bookmarkEnd w:id="59"/>
      <w:bookmarkEnd w:id="60"/>
      <w:bookmarkEnd w:id="61"/>
      <w:bookmarkEnd w:id="62"/>
    </w:p>
    <w:p w14:paraId="52D76E97"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63" w:name="_Toc77663011"/>
      <w:bookmarkStart w:id="64" w:name="_Toc22454452"/>
      <w:r>
        <w:rPr>
          <w:rFonts w:ascii="宋体" w:hAnsi="宋体" w:hint="eastAsia"/>
          <w:b/>
          <w:bCs/>
          <w:color w:val="000000"/>
          <w:sz w:val="24"/>
        </w:rPr>
        <w:t>（一）代理证券、期货买卖的证券经营机构</w:t>
      </w:r>
      <w:bookmarkEnd w:id="63"/>
      <w:bookmarkEnd w:id="64"/>
      <w:r>
        <w:rPr>
          <w:rFonts w:ascii="宋体" w:hAnsi="宋体" w:hint="eastAsia"/>
          <w:b/>
          <w:bCs/>
          <w:color w:val="000000"/>
          <w:sz w:val="24"/>
        </w:rPr>
        <w:t>和期货经纪机构</w:t>
      </w:r>
    </w:p>
    <w:p w14:paraId="3D00292C" w14:textId="71582CF7" w:rsidR="00E635E0" w:rsidRDefault="00A70FAE">
      <w:pPr>
        <w:tabs>
          <w:tab w:val="left" w:pos="1260"/>
        </w:tabs>
        <w:spacing w:line="360" w:lineRule="auto"/>
        <w:ind w:firstLine="420"/>
        <w:rPr>
          <w:rFonts w:ascii="宋体" w:hAnsi="宋体"/>
          <w:color w:val="000000"/>
          <w:kern w:val="0"/>
          <w:sz w:val="24"/>
        </w:rPr>
      </w:pPr>
      <w:r>
        <w:rPr>
          <w:rFonts w:ascii="宋体" w:hAnsi="宋体" w:hint="eastAsia"/>
          <w:color w:val="000000"/>
          <w:kern w:val="0"/>
          <w:sz w:val="24"/>
        </w:rPr>
        <w:t>基金管理人应制定选择的标准和程序，并负责根据相关标准以及内部管理制度对有关证券经营机构进行考察后确定代理本基金证券买卖证券经营机构，并承担相应责任。基金管理人和被选择的证券经营机构签订交易单元使用协议或其他约定的形式，由基金管理人通知基金托管人，并法律法规要求在法定信息披露报告中披露有关内容。</w:t>
      </w:r>
    </w:p>
    <w:p w14:paraId="1B68FCE0" w14:textId="77777777" w:rsidR="00E635E0" w:rsidRDefault="00A70FAE">
      <w:pPr>
        <w:tabs>
          <w:tab w:val="left" w:pos="1260"/>
        </w:tabs>
        <w:spacing w:line="360" w:lineRule="auto"/>
        <w:ind w:firstLine="420"/>
        <w:rPr>
          <w:rFonts w:ascii="宋体" w:hAnsi="宋体"/>
          <w:color w:val="000000"/>
          <w:kern w:val="0"/>
          <w:sz w:val="24"/>
        </w:rPr>
      </w:pPr>
      <w:r>
        <w:rPr>
          <w:rFonts w:ascii="宋体" w:hAnsi="宋体" w:hint="eastAsia"/>
          <w:color w:val="000000"/>
          <w:kern w:val="0"/>
          <w:sz w:val="24"/>
        </w:rPr>
        <w:t>基金管理人应及时将基金佣金费率等基本信息以及变更情况及时以书面形式通知基金托管人。</w:t>
      </w:r>
    </w:p>
    <w:p w14:paraId="46D0571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基金管理人负责选择代理本基金期货交易的期货经纪机构，并与其签订期货经纪合同。</w:t>
      </w:r>
      <w:r>
        <w:rPr>
          <w:rFonts w:ascii="宋体" w:hAnsi="宋体" w:hint="eastAsia"/>
          <w:bCs/>
          <w:color w:val="000000"/>
          <w:sz w:val="24"/>
        </w:rPr>
        <w:t>基金管理人、基金托管人和期货经纪机构可就本基金参与期货交易的具体事项另行签订协议。</w:t>
      </w:r>
      <w:r>
        <w:rPr>
          <w:rFonts w:ascii="宋体" w:hAnsi="宋体" w:hint="eastAsia"/>
          <w:color w:val="000000"/>
          <w:kern w:val="0"/>
          <w:sz w:val="24"/>
        </w:rPr>
        <w:t>其他事宜根据法律法规、《基金合同》的相关规定执行，若无明确规定的，可参照有关证券买卖、证券经纪机构选择的规则执行。</w:t>
      </w:r>
    </w:p>
    <w:p w14:paraId="120EAC85"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65" w:name="_Toc77663012"/>
      <w:r>
        <w:rPr>
          <w:rFonts w:ascii="宋体" w:hAnsi="宋体" w:hint="eastAsia"/>
          <w:b/>
          <w:bCs/>
          <w:color w:val="000000"/>
          <w:sz w:val="24"/>
        </w:rPr>
        <w:t>（二）基金投资证券后的清算</w:t>
      </w:r>
      <w:bookmarkEnd w:id="65"/>
      <w:r>
        <w:rPr>
          <w:rFonts w:ascii="宋体" w:hAnsi="宋体" w:hint="eastAsia"/>
          <w:b/>
          <w:bCs/>
          <w:color w:val="000000"/>
          <w:sz w:val="24"/>
        </w:rPr>
        <w:t>交收安排</w:t>
      </w:r>
    </w:p>
    <w:p w14:paraId="110F4B88" w14:textId="4DC46023"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针对投资于交易所证券后的清算交收安排，基金管理人与基金托管人应签署《托管人证券资金结算协议》，共同遵守中国证券登记结算公司（下称“中登公司”）制定的相关业务规则和规定，该等规则和规定以及《托管人证券资金结算协议》自动成为本协议约定的内容。投资者和基金管理人知悉并认可，如果本协议与中登公司相关业务规则、规定以及《托管人证券资金结算协议》的约定相冲突的，以中登公司相关业务规则、规定以及《托管人证券资金结算协议》的约定为准。</w:t>
      </w:r>
    </w:p>
    <w:p w14:paraId="4D900355"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投资于交易所证券发生的资金清算交割由基金托管人负责办理。本基金所有场内证券交易的清算交割由基金托管人作为结算参与人代理所托管的基金与中登公司进行结算，场内证券投资的应付清算款由基金托管人根据中登公司的交收数据主动从托管账户中扣收。</w:t>
      </w:r>
    </w:p>
    <w:p w14:paraId="3C11637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基金托管人承担由基金托管人过错造成的正常结算、交收业务无法完成的责任；若由于基金管理人原因造成的正常结算业务无法完成，责任由基金管理人承担。 </w:t>
      </w:r>
    </w:p>
    <w:p w14:paraId="445A5050" w14:textId="111D0786"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2、对于任何原因发生的证券资金交收违约事件，相关各方应当及时协商解决。</w:t>
      </w:r>
    </w:p>
    <w:p w14:paraId="0E98A2AF"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66" w:name="_Toc77663013"/>
      <w:r>
        <w:rPr>
          <w:rFonts w:ascii="宋体" w:hAnsi="宋体" w:hint="eastAsia"/>
          <w:b/>
          <w:bCs/>
          <w:color w:val="000000"/>
          <w:sz w:val="24"/>
        </w:rPr>
        <w:t>（三）基金管理人与基金托管人进行资金、证券账目和交易记录的核对</w:t>
      </w:r>
      <w:bookmarkEnd w:id="66"/>
    </w:p>
    <w:p w14:paraId="3CE46EC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基金的交易记录，由基金管理人和基金托管人按日进行核对。每个工作日对外披露各类基金份额净值之前，必须保证当天所有实际交易记录与基金会计账簿上的交易记录完全一致。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14:paraId="4202E5B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对实物券账目，相关各方定期进行账实核对。</w:t>
      </w:r>
    </w:p>
    <w:p w14:paraId="1E551055" w14:textId="77777777" w:rsidR="00E635E0" w:rsidRDefault="00A70FAE">
      <w:pPr>
        <w:tabs>
          <w:tab w:val="left" w:pos="1260"/>
        </w:tabs>
        <w:spacing w:line="360" w:lineRule="auto"/>
        <w:ind w:firstLineChars="200" w:firstLine="480"/>
        <w:rPr>
          <w:rFonts w:ascii="宋体" w:hAnsi="宋体"/>
          <w:b/>
          <w:bCs/>
          <w:color w:val="000000"/>
          <w:kern w:val="0"/>
          <w:sz w:val="24"/>
        </w:rPr>
      </w:pPr>
      <w:r>
        <w:rPr>
          <w:rFonts w:ascii="宋体" w:hAnsi="宋体" w:hint="eastAsia"/>
          <w:color w:val="000000"/>
          <w:kern w:val="0"/>
          <w:sz w:val="24"/>
        </w:rPr>
        <w:t>基金托管人应按定期核对证券账户中的证券数量和种类。</w:t>
      </w:r>
    </w:p>
    <w:p w14:paraId="1E07FCB3"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双方可协商采用电子对账方式进行账目核对。</w:t>
      </w:r>
    </w:p>
    <w:p w14:paraId="0A4B68F6"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67" w:name="_Toc466788858"/>
      <w:bookmarkStart w:id="68" w:name="_Toc523829999"/>
      <w:r>
        <w:rPr>
          <w:rFonts w:ascii="宋体" w:hAnsi="宋体" w:hint="eastAsia"/>
          <w:b/>
          <w:bCs/>
          <w:color w:val="000000"/>
          <w:sz w:val="24"/>
        </w:rPr>
        <w:t>（四）申购、赎回、转换开放式基金的资金清算和数据传递的时间、程序及托管协议当事人的责任界定</w:t>
      </w:r>
    </w:p>
    <w:p w14:paraId="3442F4AD"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1、托管协议当事人在开放式基金的申购赎回、转换中的责任 </w:t>
      </w:r>
    </w:p>
    <w:p w14:paraId="66532FE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bCs/>
          <w:color w:val="000000"/>
          <w:kern w:val="0"/>
          <w:sz w:val="24"/>
        </w:rPr>
        <w:t>本基金的申购与赎回将通过销售机构进行。具体的销售</w:t>
      </w:r>
      <w:r>
        <w:rPr>
          <w:rFonts w:ascii="宋体" w:hAnsi="宋体" w:hint="eastAsia"/>
          <w:bCs/>
          <w:color w:val="000000"/>
          <w:kern w:val="0"/>
          <w:sz w:val="24"/>
        </w:rPr>
        <w:t>机构</w:t>
      </w:r>
      <w:r>
        <w:rPr>
          <w:rFonts w:ascii="宋体" w:hAnsi="宋体"/>
          <w:bCs/>
          <w:color w:val="000000"/>
          <w:kern w:val="0"/>
          <w:sz w:val="24"/>
        </w:rPr>
        <w:t>将由基金管理人在招募说明书或其他相关公告中列明。</w:t>
      </w:r>
      <w:r>
        <w:rPr>
          <w:rFonts w:ascii="宋体" w:hAnsi="宋体" w:hint="eastAsia"/>
          <w:color w:val="000000"/>
          <w:kern w:val="0"/>
          <w:sz w:val="24"/>
        </w:rPr>
        <w:t xml:space="preserve">由基金管理人或基金管理人委托的登记机构办理基金份额的过户和登记，基金托管人负责接收并确认资金的到账情况，以及依照基金管理人的指令来划付赎回款项。 </w:t>
      </w:r>
    </w:p>
    <w:p w14:paraId="5CAD6D8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2、本基金的数据传递 </w:t>
      </w:r>
    </w:p>
    <w:p w14:paraId="491F12E8"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基金管理人应保证本基金（或本基金管理人委托）的登记机构每个工作日15:00前向基金托管人发送前一开放日上述有关数据。基金管理人应对传递的申购、赎回、转换数据的真实性、准确性和完整性负责。 </w:t>
      </w:r>
    </w:p>
    <w:p w14:paraId="544BAD20"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3、本基金的资金清算 </w:t>
      </w:r>
    </w:p>
    <w:p w14:paraId="37FC8E3F"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基金申购、赎回等款项采用轧差交收的结算方式，净额在最晚不迟于交收当日15：00前在基金管理人总清算账户和资产托管专户之间交收。</w:t>
      </w:r>
    </w:p>
    <w:p w14:paraId="09BFFE1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如果当日基金为净应收款，基金托管人应及时查收资金是否到账，对于未准时到账的资金，应及时通知基金管理人划付。对于未准时划付的资金，基金托管人应及时通知基金管理人划付，由此产生的责任应由基金管理人承担。后果严重的基金托管人应向中国证监会报告。 </w:t>
      </w:r>
    </w:p>
    <w:p w14:paraId="36F7F54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如果当日基金为净应付款，基金托管人应根据基金管理人的指令及时进行划付。对于未准时划付的资金，基金管理人应及时通知基金托管人划付，由此产生的责任应由基金托管人承担。后果严重的基金管理人应向中国证监会报告。</w:t>
      </w:r>
    </w:p>
    <w:p w14:paraId="0B79CBF3" w14:textId="77777777" w:rsidR="00E635E0" w:rsidRDefault="00A70FAE">
      <w:pPr>
        <w:tabs>
          <w:tab w:val="left" w:pos="3780"/>
        </w:tabs>
        <w:autoSpaceDE w:val="0"/>
        <w:autoSpaceDN w:val="0"/>
        <w:spacing w:line="360" w:lineRule="auto"/>
        <w:ind w:firstLineChars="150" w:firstLine="361"/>
        <w:textAlignment w:val="bottom"/>
        <w:outlineLvl w:val="0"/>
        <w:rPr>
          <w:rFonts w:ascii="宋体" w:hAnsi="宋体"/>
          <w:b/>
          <w:bCs/>
          <w:color w:val="000000"/>
          <w:sz w:val="24"/>
        </w:rPr>
      </w:pPr>
      <w:r>
        <w:rPr>
          <w:rFonts w:ascii="宋体" w:hAnsi="宋体" w:hint="eastAsia"/>
          <w:b/>
          <w:bCs/>
          <w:color w:val="000000"/>
          <w:sz w:val="24"/>
        </w:rPr>
        <w:t>（五）基金收益分配的清算交收安排</w:t>
      </w:r>
    </w:p>
    <w:p w14:paraId="66DFFC0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hint="eastAsia"/>
          <w:bCs/>
          <w:color w:val="000000"/>
          <w:sz w:val="24"/>
        </w:rPr>
        <w:t>、</w:t>
      </w:r>
      <w:r>
        <w:rPr>
          <w:rFonts w:ascii="宋体" w:hAnsi="宋体" w:hint="eastAsia"/>
          <w:color w:val="000000"/>
          <w:kern w:val="0"/>
          <w:sz w:val="24"/>
        </w:rPr>
        <w:t>基金管理人决定收益分配方案并通知基金托管人，经基金托管人复核后依照《信息披露办法》的有关规定在中国证监会规定媒介上公告。</w:t>
      </w:r>
    </w:p>
    <w:p w14:paraId="5635344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hint="eastAsia"/>
          <w:bCs/>
          <w:color w:val="000000"/>
          <w:sz w:val="24"/>
        </w:rPr>
        <w:t>、</w:t>
      </w:r>
      <w:r>
        <w:rPr>
          <w:rFonts w:ascii="宋体" w:hAnsi="宋体" w:hint="eastAsia"/>
          <w:color w:val="000000"/>
          <w:kern w:val="0"/>
          <w:sz w:val="24"/>
        </w:rPr>
        <w:t>基金托管人和基金管理人对基金收益分配进行账务处理并核对后，基金管理人应及时向基金托管人发送分发现金红利的划款指令，基金托管人依据划款指令在指定划付日及时将资金划至基金管理人指定账户。</w:t>
      </w:r>
    </w:p>
    <w:p w14:paraId="5E59ADE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w:t>
      </w:r>
      <w:r>
        <w:rPr>
          <w:rFonts w:ascii="宋体" w:hAnsi="宋体" w:hint="eastAsia"/>
          <w:bCs/>
          <w:color w:val="000000"/>
          <w:sz w:val="24"/>
        </w:rPr>
        <w:t>、</w:t>
      </w:r>
      <w:r>
        <w:rPr>
          <w:rFonts w:ascii="宋体" w:hAnsi="宋体" w:hint="eastAsia"/>
          <w:color w:val="000000"/>
          <w:kern w:val="0"/>
          <w:sz w:val="24"/>
        </w:rPr>
        <w:t>基金管理人在下达分红款支付指令时，应给基金托管人留出必需的划款时间。</w:t>
      </w:r>
      <w:bookmarkStart w:id="69" w:name="_Toc125892444"/>
    </w:p>
    <w:p w14:paraId="403201AA" w14:textId="77777777" w:rsidR="00E635E0" w:rsidRDefault="00A70FAE">
      <w:pPr>
        <w:tabs>
          <w:tab w:val="left" w:pos="1260"/>
        </w:tabs>
        <w:spacing w:line="360" w:lineRule="auto"/>
        <w:ind w:firstLineChars="200" w:firstLine="482"/>
        <w:rPr>
          <w:rFonts w:ascii="宋体" w:hAnsi="宋体"/>
          <w:b/>
          <w:color w:val="000000"/>
          <w:kern w:val="0"/>
          <w:sz w:val="24"/>
          <w:lang w:val="en-GB"/>
        </w:rPr>
      </w:pPr>
      <w:r>
        <w:rPr>
          <w:rFonts w:ascii="宋体" w:hAnsi="宋体"/>
          <w:b/>
          <w:color w:val="000000"/>
          <w:kern w:val="0"/>
          <w:sz w:val="24"/>
          <w:lang w:val="en-GB"/>
        </w:rPr>
        <w:t>（</w:t>
      </w:r>
      <w:r>
        <w:rPr>
          <w:rFonts w:ascii="宋体" w:hAnsi="宋体" w:hint="eastAsia"/>
          <w:b/>
          <w:color w:val="000000"/>
          <w:kern w:val="0"/>
          <w:sz w:val="24"/>
          <w:lang w:val="en-GB"/>
        </w:rPr>
        <w:t>六</w:t>
      </w:r>
      <w:r>
        <w:rPr>
          <w:rFonts w:ascii="宋体" w:hAnsi="宋体"/>
          <w:b/>
          <w:color w:val="000000"/>
          <w:kern w:val="0"/>
          <w:sz w:val="24"/>
          <w:lang w:val="en-GB"/>
        </w:rPr>
        <w:t>）</w:t>
      </w:r>
      <w:r>
        <w:rPr>
          <w:rFonts w:ascii="宋体" w:hAnsi="宋体" w:hint="eastAsia"/>
          <w:b/>
          <w:color w:val="000000"/>
          <w:kern w:val="0"/>
          <w:sz w:val="24"/>
          <w:lang w:val="en-GB"/>
        </w:rPr>
        <w:t>基金的融资、转融通</w:t>
      </w:r>
    </w:p>
    <w:p w14:paraId="58408978" w14:textId="77777777" w:rsidR="00E635E0" w:rsidRDefault="00A70FAE">
      <w:pPr>
        <w:tabs>
          <w:tab w:val="left" w:pos="1260"/>
        </w:tabs>
        <w:spacing w:line="360" w:lineRule="auto"/>
        <w:ind w:firstLineChars="200" w:firstLine="480"/>
        <w:rPr>
          <w:rFonts w:ascii="宋体" w:hAnsi="宋体"/>
          <w:color w:val="000000"/>
          <w:kern w:val="0"/>
          <w:sz w:val="24"/>
          <w:lang w:val="en-GB"/>
        </w:rPr>
      </w:pPr>
      <w:r>
        <w:rPr>
          <w:rFonts w:ascii="宋体" w:hAnsi="宋体" w:hint="eastAsia"/>
          <w:color w:val="000000"/>
          <w:kern w:val="0"/>
          <w:sz w:val="24"/>
          <w:lang w:val="en-GB"/>
        </w:rPr>
        <w:t>如本基金按国家有关规定进行融资、转融通业务时，基金托管人应为基金</w:t>
      </w:r>
      <w:r>
        <w:rPr>
          <w:rFonts w:ascii="宋体" w:hAnsi="宋体" w:hint="eastAsia"/>
          <w:color w:val="000000"/>
          <w:kern w:val="0"/>
          <w:sz w:val="24"/>
        </w:rPr>
        <w:t>参与</w:t>
      </w:r>
      <w:r>
        <w:rPr>
          <w:rFonts w:ascii="宋体" w:hAnsi="宋体" w:hint="eastAsia"/>
          <w:color w:val="000000"/>
          <w:kern w:val="0"/>
          <w:sz w:val="24"/>
          <w:lang w:val="en-GB"/>
        </w:rPr>
        <w:t>融资、转融通提供必要的协助。</w:t>
      </w:r>
    </w:p>
    <w:p w14:paraId="5FFD671F" w14:textId="77777777" w:rsidR="00E635E0" w:rsidRDefault="00E635E0">
      <w:pPr>
        <w:tabs>
          <w:tab w:val="left" w:pos="1260"/>
        </w:tabs>
        <w:spacing w:line="360" w:lineRule="auto"/>
        <w:ind w:firstLineChars="200" w:firstLine="480"/>
        <w:rPr>
          <w:rFonts w:ascii="宋体" w:hAnsi="宋体"/>
          <w:color w:val="000000"/>
          <w:kern w:val="0"/>
          <w:sz w:val="24"/>
        </w:rPr>
      </w:pPr>
    </w:p>
    <w:p w14:paraId="6BFEC4AD" w14:textId="77777777" w:rsidR="00E635E0" w:rsidRDefault="00A70FAE">
      <w:pPr>
        <w:pStyle w:val="1"/>
        <w:spacing w:before="0" w:after="0"/>
        <w:ind w:firstLineChars="200" w:firstLine="482"/>
      </w:pPr>
      <w:bookmarkStart w:id="70" w:name="_Toc508720686"/>
      <w:r>
        <w:rPr>
          <w:rFonts w:hint="eastAsia"/>
        </w:rPr>
        <w:t>八、基金资产净值计算和会计核算</w:t>
      </w:r>
      <w:bookmarkEnd w:id="67"/>
      <w:bookmarkEnd w:id="68"/>
      <w:bookmarkEnd w:id="69"/>
      <w:bookmarkEnd w:id="70"/>
    </w:p>
    <w:p w14:paraId="74352DCC"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71" w:name="_Toc77663017"/>
      <w:r>
        <w:rPr>
          <w:rFonts w:ascii="宋体" w:hAnsi="宋体" w:hint="eastAsia"/>
          <w:b/>
          <w:bCs/>
          <w:color w:val="000000"/>
          <w:sz w:val="24"/>
        </w:rPr>
        <w:t>（一）基金资产净值及基金份额净值的计算与复核</w:t>
      </w:r>
      <w:bookmarkEnd w:id="71"/>
    </w:p>
    <w:p w14:paraId="1F612271" w14:textId="77777777" w:rsidR="00E635E0" w:rsidRDefault="00A70FAE">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基金资产净值是指基金资产总值减去基金负债后的价值。各类基金份额净值是按照每个估值日闭市后，各类基金份额的基金资产净值除以当日该类基金份额的余额数量计算，均精确到0.0001元，小数点后第5位四舍五入。基金管理人可以设立大额赎回情形下的净值精度应急调整机制。国家另有规定的，从其规定。</w:t>
      </w:r>
    </w:p>
    <w:p w14:paraId="399731DC" w14:textId="77777777" w:rsidR="00E635E0" w:rsidRDefault="00A70FAE">
      <w:pPr>
        <w:autoSpaceDE w:val="0"/>
        <w:autoSpaceDN w:val="0"/>
        <w:adjustRightInd w:val="0"/>
        <w:spacing w:line="360" w:lineRule="auto"/>
        <w:ind w:firstLineChars="200" w:firstLine="480"/>
        <w:rPr>
          <w:rFonts w:ascii="宋体" w:cs="宋体"/>
          <w:color w:val="000000"/>
          <w:kern w:val="0"/>
          <w:sz w:val="24"/>
        </w:rPr>
      </w:pPr>
      <w:r>
        <w:rPr>
          <w:rFonts w:ascii="宋体" w:hAnsi="宋体" w:hint="eastAsia"/>
          <w:color w:val="000000"/>
          <w:kern w:val="0"/>
          <w:sz w:val="24"/>
        </w:rPr>
        <w:t>基金管理人应每个估值日计算基金资产净值及各类基金份额的基金份额净值，并按规定披露。</w:t>
      </w:r>
    </w:p>
    <w:p w14:paraId="23266E3D"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基金管理人应每个工作日对基金资产估值。但基金管理人根据法律法规或基金合同的规定暂停估值时除外。</w:t>
      </w:r>
      <w:r>
        <w:rPr>
          <w:rFonts w:ascii="宋体" w:hAnsi="宋体"/>
          <w:color w:val="000000"/>
          <w:kern w:val="0"/>
          <w:sz w:val="24"/>
        </w:rPr>
        <w:t>估值原则应符合《基金合同》、</w:t>
      </w:r>
      <w:r>
        <w:rPr>
          <w:rFonts w:ascii="宋体" w:hAnsi="宋体" w:hint="eastAsia"/>
          <w:color w:val="000000"/>
          <w:kern w:val="0"/>
          <w:sz w:val="24"/>
        </w:rPr>
        <w:t>《</w:t>
      </w:r>
      <w:r>
        <w:rPr>
          <w:rFonts w:ascii="黑体" w:hAnsi="宋体" w:hint="eastAsia"/>
          <w:color w:val="000000"/>
          <w:sz w:val="24"/>
        </w:rPr>
        <w:t>中国证券监督管理委员会</w:t>
      </w:r>
      <w:r>
        <w:rPr>
          <w:rFonts w:ascii="黑体" w:hAnsi="宋体"/>
          <w:color w:val="000000"/>
          <w:sz w:val="24"/>
        </w:rPr>
        <w:t>关于证券投资基金估值业务的指导意见》</w:t>
      </w:r>
      <w:r>
        <w:rPr>
          <w:rFonts w:ascii="宋体" w:hAnsi="宋体"/>
          <w:color w:val="000000"/>
          <w:kern w:val="0"/>
          <w:sz w:val="24"/>
        </w:rPr>
        <w:t>及其他法律、法规的规定。</w:t>
      </w:r>
      <w:r>
        <w:rPr>
          <w:rFonts w:ascii="宋体" w:hAnsi="宋体" w:hint="eastAsia"/>
          <w:color w:val="000000"/>
          <w:kern w:val="0"/>
          <w:sz w:val="24"/>
        </w:rPr>
        <w:t>基金资产净值和各类基金份额净值由基金管理人负责计算，基金托管人复核。基金管理人应于每个工作日交易结束后计算当日的基金资产净值及</w:t>
      </w:r>
      <w:r>
        <w:rPr>
          <w:rFonts w:hint="eastAsia"/>
          <w:bCs/>
          <w:sz w:val="24"/>
        </w:rPr>
        <w:t>各类基金份额的基金份额净值</w:t>
      </w:r>
      <w:r>
        <w:rPr>
          <w:rFonts w:ascii="宋体" w:hAnsi="宋体" w:hint="eastAsia"/>
          <w:color w:val="000000"/>
          <w:kern w:val="0"/>
          <w:sz w:val="24"/>
        </w:rPr>
        <w:t>，以约定方式发送给基金托管人。基金托管人对净值计算结果复核后，将复核结果反馈给基金管理人，经基金托管人复核无误后，由基金管理人对基金份额净值予以公布。</w:t>
      </w:r>
    </w:p>
    <w:p w14:paraId="74FC9CB4"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（二）基金资产的估值</w:t>
      </w:r>
    </w:p>
    <w:p w14:paraId="29EBF1BF" w14:textId="77777777" w:rsidR="00E635E0" w:rsidRDefault="00A70FAE">
      <w:pPr>
        <w:adjustRightInd w:val="0"/>
        <w:snapToGrid w:val="0"/>
        <w:spacing w:line="360" w:lineRule="auto"/>
        <w:ind w:firstLineChars="200" w:firstLine="480"/>
        <w:rPr>
          <w:color w:val="000000"/>
          <w:kern w:val="0"/>
          <w:sz w:val="24"/>
        </w:rPr>
      </w:pPr>
      <w:r>
        <w:rPr>
          <w:rFonts w:ascii="宋体" w:hAnsi="宋体" w:hint="eastAsia"/>
          <w:color w:val="000000"/>
          <w:kern w:val="0"/>
          <w:sz w:val="24"/>
        </w:rPr>
        <w:t>基金管理人及基金托管人应当按照《基金合同》的约定进行估值。</w:t>
      </w:r>
    </w:p>
    <w:p w14:paraId="76BEA8C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（三）基金份额净值错误的处理方式</w:t>
      </w:r>
    </w:p>
    <w:p w14:paraId="6DADBB09" w14:textId="77777777" w:rsidR="00E635E0" w:rsidRDefault="00A70FAE">
      <w:pPr>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基金管理人及基金托管人应当按照《基金合同》的约定处理基金份额净值错误。</w:t>
      </w:r>
    </w:p>
    <w:p w14:paraId="049CB4EC"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72" w:name="OLE_LINK5"/>
      <w:bookmarkStart w:id="73" w:name="OLE_LINK6"/>
      <w:r>
        <w:rPr>
          <w:rFonts w:ascii="宋体" w:hAnsi="宋体" w:hint="eastAsia"/>
          <w:b/>
          <w:bCs/>
          <w:color w:val="000000"/>
          <w:sz w:val="24"/>
        </w:rPr>
        <w:t>（四）暂停估值的情形</w:t>
      </w:r>
    </w:p>
    <w:bookmarkEnd w:id="72"/>
    <w:bookmarkEnd w:id="73"/>
    <w:p w14:paraId="3D28241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1、基金投资所涉及的证券/期货交易市场或外汇市场遇法定节假日或因其他原因暂停营业时；</w:t>
      </w:r>
    </w:p>
    <w:p w14:paraId="0CD5D20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2、基金所投资的目标ETF发生暂停估值、暂停公告基金份额净值的情形；</w:t>
      </w:r>
    </w:p>
    <w:p w14:paraId="2EBAD32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3、因不可抗力致使基金管理人、基金托管人无法准确评估基金资产价值时；</w:t>
      </w:r>
    </w:p>
    <w:p w14:paraId="4EE89F66" w14:textId="5F2CC543"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color w:val="000000"/>
          <w:kern w:val="0"/>
          <w:sz w:val="24"/>
        </w:rPr>
        <w:t>4</w:t>
      </w:r>
      <w:r>
        <w:rPr>
          <w:rFonts w:ascii="宋体" w:hAnsi="宋体" w:hint="eastAsia"/>
          <w:color w:val="000000"/>
          <w:kern w:val="0"/>
          <w:sz w:val="24"/>
        </w:rPr>
        <w:t>、当特定资产占前一估值日基金资产净值50%以上的，经与基金托管人协商确认后，基金管理人应当暂停估值；</w:t>
      </w:r>
    </w:p>
    <w:p w14:paraId="7217AA5C" w14:textId="4DFB42C1"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color w:val="000000"/>
          <w:kern w:val="0"/>
          <w:sz w:val="24"/>
        </w:rPr>
        <w:t>5</w:t>
      </w:r>
      <w:r>
        <w:rPr>
          <w:rFonts w:ascii="宋体" w:hAnsi="宋体" w:hint="eastAsia"/>
          <w:color w:val="000000"/>
          <w:kern w:val="0"/>
          <w:sz w:val="24"/>
        </w:rPr>
        <w:t>、中国证监会和基金合同认定的其他情形。</w:t>
      </w:r>
    </w:p>
    <w:p w14:paraId="467C6727"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（五）基金会计制度</w:t>
      </w:r>
    </w:p>
    <w:p w14:paraId="7B6CB496" w14:textId="77777777" w:rsidR="00E635E0" w:rsidRDefault="00A70FAE">
      <w:pPr>
        <w:autoSpaceDE w:val="0"/>
        <w:autoSpaceDN w:val="0"/>
        <w:adjustRightInd w:val="0"/>
        <w:spacing w:line="360" w:lineRule="auto"/>
        <w:ind w:firstLineChars="200" w:firstLine="480"/>
        <w:rPr>
          <w:rFonts w:ascii="宋体" w:cs="宋体"/>
          <w:color w:val="000000"/>
          <w:kern w:val="0"/>
          <w:sz w:val="20"/>
          <w:szCs w:val="20"/>
        </w:rPr>
      </w:pPr>
      <w:r>
        <w:rPr>
          <w:rFonts w:ascii="宋体" w:cs="宋体" w:hint="eastAsia"/>
          <w:color w:val="000000"/>
          <w:kern w:val="0"/>
          <w:sz w:val="24"/>
        </w:rPr>
        <w:t>按国家有关部门制定的会计制度执行。</w:t>
      </w:r>
    </w:p>
    <w:p w14:paraId="5A1491DB"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w:t>
      </w:r>
      <w:r>
        <w:rPr>
          <w:rFonts w:ascii="宋体" w:hAnsi="宋体"/>
          <w:b/>
          <w:bCs/>
          <w:color w:val="000000"/>
          <w:sz w:val="24"/>
        </w:rPr>
        <w:t>六</w:t>
      </w:r>
      <w:r>
        <w:rPr>
          <w:rFonts w:ascii="宋体" w:hAnsi="宋体" w:hint="eastAsia"/>
          <w:b/>
          <w:bCs/>
          <w:color w:val="000000"/>
          <w:sz w:val="24"/>
        </w:rPr>
        <w:t>）基金账册的建立</w:t>
      </w:r>
    </w:p>
    <w:p w14:paraId="5FF5B8B0"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42123478"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w:t>
      </w:r>
      <w:r>
        <w:rPr>
          <w:rFonts w:ascii="宋体" w:hAnsi="宋体"/>
          <w:b/>
          <w:bCs/>
          <w:color w:val="000000"/>
          <w:sz w:val="24"/>
        </w:rPr>
        <w:t>七</w:t>
      </w:r>
      <w:r>
        <w:rPr>
          <w:rFonts w:ascii="宋体" w:hAnsi="宋体" w:hint="eastAsia"/>
          <w:b/>
          <w:bCs/>
          <w:color w:val="000000"/>
          <w:sz w:val="24"/>
        </w:rPr>
        <w:t>）会计数据和财务指标的核对</w:t>
      </w:r>
    </w:p>
    <w:p w14:paraId="7770765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双方应每个交易日核对账目，如发现双方的账目存在不符的，基金管理人和基金托管人必须及时查明原因并纠正，确保核对一致。若当日核对不符，暂时无法查找到错账的原因而影响到基金净值的计算和公告的，以基金管理人的账册为准。</w:t>
      </w:r>
    </w:p>
    <w:p w14:paraId="1965ABB5"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w:t>
      </w:r>
      <w:r>
        <w:rPr>
          <w:rFonts w:ascii="宋体" w:hAnsi="宋体"/>
          <w:b/>
          <w:bCs/>
          <w:color w:val="000000"/>
          <w:sz w:val="24"/>
        </w:rPr>
        <w:t>八</w:t>
      </w:r>
      <w:r>
        <w:rPr>
          <w:rFonts w:ascii="宋体" w:hAnsi="宋体" w:hint="eastAsia"/>
          <w:b/>
          <w:bCs/>
          <w:color w:val="000000"/>
          <w:sz w:val="24"/>
        </w:rPr>
        <w:t>）基金定期报告、招募说明书的编制和复核</w:t>
      </w:r>
    </w:p>
    <w:p w14:paraId="1B884FFB" w14:textId="77777777" w:rsidR="00E635E0" w:rsidRDefault="00A70FAE">
      <w:pPr>
        <w:tabs>
          <w:tab w:val="left" w:pos="1260"/>
        </w:tabs>
        <w:spacing w:before="93" w:line="360" w:lineRule="auto"/>
        <w:ind w:firstLineChars="200" w:firstLine="480"/>
        <w:rPr>
          <w:rFonts w:ascii="宋体" w:hAnsi="宋体"/>
          <w:color w:val="000000"/>
          <w:kern w:val="0"/>
          <w:sz w:val="24"/>
        </w:rPr>
      </w:pPr>
      <w:r>
        <w:rPr>
          <w:rFonts w:ascii="宋体" w:hAnsi="宋体" w:hint="eastAsia"/>
          <w:color w:val="000000"/>
          <w:kern w:val="0"/>
          <w:sz w:val="24"/>
        </w:rPr>
        <w:t>基金财务报表由基金管理人和基金托管人每月分别独立编制。月度报表的编制，应于每月结束后</w:t>
      </w:r>
      <w:r>
        <w:rPr>
          <w:rFonts w:ascii="宋体" w:hAnsi="宋体"/>
          <w:color w:val="000000"/>
          <w:kern w:val="0"/>
          <w:sz w:val="24"/>
        </w:rPr>
        <w:t>5个工作日内完成。定期报告文件应按中国证监会</w:t>
      </w:r>
      <w:r>
        <w:rPr>
          <w:rFonts w:ascii="宋体" w:hAnsi="宋体" w:hint="eastAsia"/>
          <w:color w:val="000000"/>
          <w:kern w:val="0"/>
          <w:sz w:val="24"/>
        </w:rPr>
        <w:t>的要求公告。季度报表的编制，应于季度结束后</w:t>
      </w:r>
      <w:r>
        <w:rPr>
          <w:rFonts w:ascii="宋体" w:hAnsi="宋体"/>
          <w:color w:val="000000"/>
          <w:kern w:val="0"/>
          <w:sz w:val="24"/>
        </w:rPr>
        <w:t>15</w:t>
      </w:r>
      <w:r>
        <w:rPr>
          <w:rFonts w:ascii="宋体" w:hAnsi="宋体" w:hint="eastAsia"/>
          <w:color w:val="000000"/>
          <w:kern w:val="0"/>
          <w:sz w:val="24"/>
        </w:rPr>
        <w:t>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上半年结束之日起两个月内完成中期报告编制并公告；在每年结束之日起三个月内完成年度报告编制并公告。</w:t>
      </w:r>
    </w:p>
    <w:p w14:paraId="799F67D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基金管理人在月度报表完成当日，以约定方式将有关报表提供基金托管人；基金托管人在</w:t>
      </w:r>
      <w:r>
        <w:rPr>
          <w:rFonts w:ascii="宋体" w:hAnsi="宋体"/>
          <w:color w:val="000000"/>
          <w:kern w:val="0"/>
          <w:sz w:val="24"/>
        </w:rPr>
        <w:t>2个工作日内</w:t>
      </w:r>
      <w:r>
        <w:rPr>
          <w:rFonts w:ascii="宋体" w:hAnsi="宋体" w:hint="eastAsia"/>
          <w:kern w:val="0"/>
          <w:sz w:val="24"/>
        </w:rPr>
        <w:t>对有关基金财务报告等信息</w:t>
      </w:r>
      <w:r>
        <w:rPr>
          <w:rFonts w:ascii="宋体" w:hAnsi="宋体"/>
          <w:color w:val="000000"/>
          <w:kern w:val="0"/>
          <w:sz w:val="24"/>
        </w:rPr>
        <w:t>进行复核，并将复核结果</w:t>
      </w:r>
      <w:r>
        <w:rPr>
          <w:rFonts w:ascii="宋体" w:hAnsi="宋体" w:hint="eastAsia"/>
          <w:color w:val="000000"/>
          <w:kern w:val="0"/>
          <w:sz w:val="24"/>
        </w:rPr>
        <w:t>反馈给基金管理人。</w:t>
      </w:r>
      <w:r>
        <w:rPr>
          <w:rFonts w:ascii="宋体" w:hAnsi="宋体" w:hint="eastAsia"/>
          <w:kern w:val="0"/>
          <w:sz w:val="24"/>
        </w:rPr>
        <w:t>对于季度报告、中期报告、年度报告等定期报告，基金管理人和基金托管人应在上述监管部门规定的时间内完成编制、复核及公告。基金托管人在对有关基金财务报告等信息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14:paraId="7310137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基金托管人在对财务报表、季度报告、中期报告或年度报告</w:t>
      </w:r>
      <w:r>
        <w:rPr>
          <w:rFonts w:ascii="宋体" w:hAnsi="宋体" w:hint="eastAsia"/>
          <w:kern w:val="0"/>
          <w:sz w:val="24"/>
        </w:rPr>
        <w:t>中有关基金财务报告等信息</w:t>
      </w:r>
      <w:r>
        <w:rPr>
          <w:rFonts w:ascii="宋体" w:hAnsi="宋体" w:hint="eastAsia"/>
          <w:color w:val="000000"/>
          <w:kern w:val="0"/>
          <w:sz w:val="24"/>
        </w:rPr>
        <w:t>复核完毕后，可以出具复核确认书（盖章）或以其他双方约定的方式确认，以备有权机构对相关文件审核检查。</w:t>
      </w:r>
      <w:bookmarkStart w:id="74" w:name="_Toc523830000"/>
      <w:bookmarkStart w:id="75" w:name="_Toc125892445"/>
      <w:bookmarkStart w:id="76" w:name="_Toc466788859"/>
      <w:bookmarkStart w:id="77" w:name="_Toc22454461"/>
    </w:p>
    <w:p w14:paraId="524C3F6E" w14:textId="77777777" w:rsidR="00E635E0" w:rsidRDefault="00E635E0">
      <w:pPr>
        <w:tabs>
          <w:tab w:val="left" w:pos="1260"/>
        </w:tabs>
        <w:spacing w:line="360" w:lineRule="auto"/>
        <w:ind w:firstLineChars="200" w:firstLine="480"/>
        <w:rPr>
          <w:rFonts w:ascii="宋体" w:hAnsi="宋体"/>
          <w:color w:val="000000"/>
          <w:kern w:val="0"/>
          <w:sz w:val="24"/>
        </w:rPr>
      </w:pPr>
    </w:p>
    <w:p w14:paraId="03C4C09C" w14:textId="77777777" w:rsidR="00E635E0" w:rsidRDefault="00A70FAE">
      <w:pPr>
        <w:pStyle w:val="1"/>
        <w:spacing w:before="0" w:after="0"/>
        <w:ind w:firstLineChars="200" w:firstLine="482"/>
      </w:pPr>
      <w:bookmarkStart w:id="78" w:name="_Toc508720687"/>
      <w:r>
        <w:rPr>
          <w:rFonts w:hint="eastAsia"/>
        </w:rPr>
        <w:t>九、基金收益分配</w:t>
      </w:r>
      <w:bookmarkEnd w:id="74"/>
      <w:bookmarkEnd w:id="75"/>
      <w:bookmarkEnd w:id="76"/>
      <w:bookmarkEnd w:id="77"/>
      <w:bookmarkEnd w:id="78"/>
    </w:p>
    <w:p w14:paraId="105530FF"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基金管理人与基金托管人按照《基金合同》的约定处理基金收益分配。</w:t>
      </w:r>
    </w:p>
    <w:p w14:paraId="6A899AD9" w14:textId="77777777" w:rsidR="00E635E0" w:rsidRDefault="00E635E0">
      <w:pPr>
        <w:tabs>
          <w:tab w:val="left" w:pos="1260"/>
        </w:tabs>
        <w:spacing w:line="360" w:lineRule="auto"/>
        <w:ind w:firstLineChars="200" w:firstLine="420"/>
        <w:rPr>
          <w:rFonts w:ascii="宋体" w:hAnsi="宋体" w:cs="Arial"/>
          <w:szCs w:val="21"/>
        </w:rPr>
      </w:pPr>
    </w:p>
    <w:p w14:paraId="31846EF9" w14:textId="77777777" w:rsidR="00E635E0" w:rsidRDefault="00A70FAE">
      <w:pPr>
        <w:pStyle w:val="1"/>
        <w:spacing w:before="0" w:after="0"/>
        <w:ind w:firstLineChars="200" w:firstLine="482"/>
      </w:pPr>
      <w:bookmarkStart w:id="79" w:name="_Toc22454465"/>
      <w:bookmarkStart w:id="80" w:name="_Toc508720688"/>
      <w:bookmarkStart w:id="81" w:name="_Toc523830002"/>
      <w:bookmarkStart w:id="82" w:name="_Toc125892446"/>
      <w:bookmarkStart w:id="83" w:name="_Toc466788861"/>
      <w:r>
        <w:rPr>
          <w:rFonts w:hint="eastAsia"/>
        </w:rPr>
        <w:t>十、基金信息披露</w:t>
      </w:r>
      <w:bookmarkEnd w:id="79"/>
      <w:bookmarkEnd w:id="80"/>
      <w:bookmarkEnd w:id="81"/>
      <w:bookmarkEnd w:id="82"/>
      <w:bookmarkEnd w:id="83"/>
    </w:p>
    <w:p w14:paraId="25A21552"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84" w:name="_Toc22454466"/>
      <w:bookmarkStart w:id="85" w:name="_Toc77663026"/>
      <w:r>
        <w:rPr>
          <w:rFonts w:ascii="宋体" w:hAnsi="宋体" w:hint="eastAsia"/>
          <w:b/>
          <w:bCs/>
          <w:color w:val="000000"/>
          <w:sz w:val="24"/>
        </w:rPr>
        <w:t>（一）保密义务</w:t>
      </w:r>
      <w:bookmarkEnd w:id="84"/>
      <w:bookmarkEnd w:id="85"/>
    </w:p>
    <w:p w14:paraId="4E1BA4D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除按照《基金法》、《基金合同》、《信息披露办法》</w:t>
      </w:r>
      <w:r>
        <w:rPr>
          <w:rFonts w:ascii="宋体" w:hAnsi="宋体" w:hint="eastAsia"/>
          <w:kern w:val="0"/>
          <w:sz w:val="24"/>
        </w:rPr>
        <w:t>、</w:t>
      </w:r>
      <w:r>
        <w:rPr>
          <w:rFonts w:ascii="宋体" w:hAnsi="宋体"/>
          <w:kern w:val="0"/>
          <w:sz w:val="24"/>
        </w:rPr>
        <w:t>《</w:t>
      </w:r>
      <w:r>
        <w:rPr>
          <w:rFonts w:ascii="宋体" w:hAnsi="宋体" w:hint="eastAsia"/>
          <w:kern w:val="0"/>
          <w:sz w:val="24"/>
        </w:rPr>
        <w:t>流动性</w:t>
      </w:r>
      <w:r>
        <w:rPr>
          <w:rFonts w:ascii="宋体" w:hAnsi="宋体"/>
          <w:kern w:val="0"/>
          <w:sz w:val="24"/>
        </w:rPr>
        <w:t>风险管理规定》</w:t>
      </w:r>
      <w:r>
        <w:rPr>
          <w:rFonts w:ascii="宋体" w:hAnsi="宋体" w:hint="eastAsia"/>
          <w:color w:val="000000"/>
          <w:kern w:val="0"/>
          <w:sz w:val="24"/>
        </w:rPr>
        <w:t>及中国证监会关于基金信息披露的有关规定进行披露以外，基金管理人和基金托管人对公开披露前的基金信息、从对方获得的业务信息及其他不宜公开披露的基金信息应予保密。法律、法规另有规定的以及审计需要的除外。</w:t>
      </w:r>
    </w:p>
    <w:p w14:paraId="42E4076C"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如下情况不应视为基金管理人或基金托管人违反保密义务：</w:t>
      </w:r>
    </w:p>
    <w:p w14:paraId="2A43ED62"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1、非因基金管理人和基金托管人的原因导致保密信息被披露、泄露或公开；</w:t>
      </w:r>
    </w:p>
    <w:p w14:paraId="6D4F5042"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2、基金管理人和基金托管人为遵守和服从法院判决、仲裁裁决或中国证监会等监管机构的命令决定所做出的信息披露或公开。</w:t>
      </w:r>
      <w:bookmarkStart w:id="86" w:name="_Toc22454467"/>
      <w:bookmarkStart w:id="87" w:name="_Toc77663027"/>
    </w:p>
    <w:p w14:paraId="2450406E"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（二）基金管理人和基金托管人在基金信息披露中的职责和信息披露程序</w:t>
      </w:r>
      <w:bookmarkEnd w:id="86"/>
      <w:bookmarkEnd w:id="87"/>
    </w:p>
    <w:p w14:paraId="5ECBF910"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应根据相关法律、法规、《基金合同》的规定各自承担相应的信息披露职责。基金托管人和基金管理人在信息披露过程中应以保护基金份额持有人利益为宗旨，诚实信用，严守秘密。基金管理人和基金托管人负有积极配合、互相督促、彼此监督，保证其履行按照法定方式和时限披露的义务。</w:t>
      </w:r>
    </w:p>
    <w:p w14:paraId="55EF9F7F"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信息披露的文件，包括《基金合同》规定的定期报告、临时报告、基金净值公告及中国证监会规定的其他必要的公告文件，由基金管理人拟定并公布。对于不需要基金托管人(或基金管理人)复核的信息，基金管理人(或基金托管人)在公告前应告知基金托管人(或基金管理人)。</w:t>
      </w:r>
    </w:p>
    <w:p w14:paraId="0FEEDB31"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基金托管人应按本协议第八条第（八）款的规定对相关报告进行复核。基金</w:t>
      </w:r>
      <w:r>
        <w:rPr>
          <w:rFonts w:ascii="宋体" w:hAnsi="宋体" w:hint="eastAsia"/>
          <w:kern w:val="0"/>
          <w:sz w:val="24"/>
        </w:rPr>
        <w:t>年度报告</w:t>
      </w:r>
      <w:r>
        <w:rPr>
          <w:rFonts w:ascii="宋体" w:hAnsi="宋体"/>
          <w:kern w:val="0"/>
          <w:sz w:val="24"/>
        </w:rPr>
        <w:t>中的财务</w:t>
      </w:r>
      <w:r>
        <w:rPr>
          <w:rFonts w:ascii="宋体" w:hAnsi="宋体" w:hint="eastAsia"/>
          <w:kern w:val="0"/>
          <w:sz w:val="24"/>
        </w:rPr>
        <w:t>会计</w:t>
      </w:r>
      <w:r>
        <w:rPr>
          <w:rFonts w:ascii="宋体" w:hAnsi="宋体"/>
          <w:kern w:val="0"/>
          <w:sz w:val="24"/>
        </w:rPr>
        <w:t>报告</w:t>
      </w:r>
      <w:r>
        <w:rPr>
          <w:rFonts w:ascii="宋体" w:hAnsi="宋体" w:hint="eastAsia"/>
          <w:color w:val="000000"/>
          <w:kern w:val="0"/>
          <w:sz w:val="24"/>
        </w:rPr>
        <w:t>经符合《中华人民</w:t>
      </w:r>
      <w:r>
        <w:rPr>
          <w:rFonts w:ascii="宋体" w:hAnsi="宋体"/>
          <w:color w:val="000000"/>
          <w:kern w:val="0"/>
          <w:sz w:val="24"/>
        </w:rPr>
        <w:t>共和国证券法</w:t>
      </w:r>
      <w:r>
        <w:rPr>
          <w:rFonts w:ascii="宋体" w:hAnsi="宋体" w:hint="eastAsia"/>
          <w:color w:val="000000"/>
          <w:kern w:val="0"/>
          <w:sz w:val="24"/>
        </w:rPr>
        <w:t>》规定的会计师事务所审计后方可披露。</w:t>
      </w:r>
    </w:p>
    <w:p w14:paraId="0E3CDF31"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本基金的信息披露公告，必须通过证监会规定媒介发布。</w:t>
      </w:r>
      <w:bookmarkStart w:id="88" w:name="_Toc466788862"/>
    </w:p>
    <w:p w14:paraId="768B3DD9"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（三）暂停或延迟信息披露的情形</w:t>
      </w:r>
    </w:p>
    <w:p w14:paraId="07E83DE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当出现下述情况时，基金管理人和基金托管人可暂停或延迟披露基金相关信息：</w:t>
      </w:r>
    </w:p>
    <w:p w14:paraId="0183503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1、不可抗力；</w:t>
      </w:r>
    </w:p>
    <w:p w14:paraId="38622A4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2、基金投资所涉及的证券/期货交易市场或外汇市场遇法定节假日或因其他原因暂停营业时；</w:t>
      </w:r>
    </w:p>
    <w:p w14:paraId="35BF055E"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3、当特定资产占前一估值日基金资产净值50%以上的，经与基金托管人协商确认后暂停估值的；</w:t>
      </w:r>
    </w:p>
    <w:p w14:paraId="461A4D05"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4、法律法规、基金合同或中国证监会规定的情况。</w:t>
      </w:r>
    </w:p>
    <w:p w14:paraId="528A5574"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（四）基金托管人报告</w:t>
      </w:r>
    </w:p>
    <w:p w14:paraId="2DC11580"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基金托管人应按《基金法》和中国证监会的有关规定出具基金托管情况报告。基金托管人报告说明该半年度/年度基金托管人和基金管理人履行《基金合同》的情况，是基金中期报告和年度报告的组成部分。</w:t>
      </w:r>
      <w:bookmarkStart w:id="89" w:name="_Toc125892447"/>
    </w:p>
    <w:p w14:paraId="490C7102" w14:textId="77777777" w:rsidR="00E635E0" w:rsidRDefault="00E635E0">
      <w:pPr>
        <w:tabs>
          <w:tab w:val="left" w:pos="1260"/>
        </w:tabs>
        <w:spacing w:line="360" w:lineRule="auto"/>
        <w:ind w:firstLineChars="200" w:firstLine="480"/>
        <w:rPr>
          <w:rFonts w:ascii="宋体" w:hAnsi="宋体"/>
          <w:color w:val="000000"/>
          <w:kern w:val="0"/>
          <w:sz w:val="24"/>
        </w:rPr>
      </w:pPr>
    </w:p>
    <w:p w14:paraId="6BD69064" w14:textId="77777777" w:rsidR="00E635E0" w:rsidRDefault="00A70FAE">
      <w:pPr>
        <w:pStyle w:val="1"/>
        <w:spacing w:before="0" w:after="0"/>
        <w:ind w:firstLineChars="200" w:firstLine="482"/>
      </w:pPr>
      <w:bookmarkStart w:id="90" w:name="_Toc508720689"/>
      <w:r>
        <w:rPr>
          <w:rFonts w:hint="eastAsia"/>
        </w:rPr>
        <w:t>十一、基金费用</w:t>
      </w:r>
      <w:bookmarkEnd w:id="89"/>
      <w:bookmarkEnd w:id="90"/>
    </w:p>
    <w:p w14:paraId="1CF62EC6" w14:textId="77777777" w:rsidR="00E635E0" w:rsidRDefault="00A70FAE">
      <w:pPr>
        <w:tabs>
          <w:tab w:val="left" w:pos="1260"/>
        </w:tabs>
        <w:spacing w:line="360" w:lineRule="auto"/>
        <w:ind w:firstLineChars="200" w:firstLine="482"/>
        <w:rPr>
          <w:rFonts w:ascii="宋体" w:hAnsi="宋体"/>
          <w:b/>
          <w:color w:val="000000"/>
          <w:kern w:val="0"/>
          <w:sz w:val="24"/>
        </w:rPr>
      </w:pPr>
      <w:r>
        <w:rPr>
          <w:rFonts w:ascii="宋体" w:hAnsi="宋体" w:hint="eastAsia"/>
          <w:b/>
          <w:color w:val="000000"/>
          <w:kern w:val="0"/>
          <w:sz w:val="24"/>
        </w:rPr>
        <w:t>（一）基金托管人的托管费</w:t>
      </w:r>
    </w:p>
    <w:p w14:paraId="0A1F925B" w14:textId="0441AC2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本基金基金财产中投资于目标ETF的部分不收取托管费。本基金的托管费按前一日基金资产净值扣除所持有目标ETF基金份额部分基金资产后的余额（若为负数，则取0）的0.05%的年费率计提。托管费的计算方法如下：</w:t>
      </w:r>
    </w:p>
    <w:p w14:paraId="02525ED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H＝E×0.05%÷当年天数</w:t>
      </w:r>
    </w:p>
    <w:p w14:paraId="34C3F9F0"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H为每日应计提的基金托管费</w:t>
      </w:r>
    </w:p>
    <w:p w14:paraId="5D61EA5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E为前一日的基金资产净值扣除前一日所持有目标ETF基金份额部分基金资产后的余额（若为负数，则E取0）</w:t>
      </w:r>
    </w:p>
    <w:p w14:paraId="0E38B203"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14:paraId="4B4584F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（二）基金费用按照《基金合同》的约定计提和支付。</w:t>
      </w:r>
    </w:p>
    <w:p w14:paraId="6EF3418C" w14:textId="77777777" w:rsidR="00E635E0" w:rsidRDefault="00E635E0">
      <w:pPr>
        <w:tabs>
          <w:tab w:val="left" w:pos="1260"/>
        </w:tabs>
        <w:spacing w:line="360" w:lineRule="auto"/>
        <w:ind w:firstLineChars="200" w:firstLine="420"/>
        <w:rPr>
          <w:rFonts w:hAnsi="宋体"/>
        </w:rPr>
      </w:pPr>
    </w:p>
    <w:p w14:paraId="7E128963" w14:textId="77777777" w:rsidR="00E635E0" w:rsidRDefault="00A70FAE">
      <w:pPr>
        <w:pStyle w:val="1"/>
        <w:spacing w:before="0" w:after="0"/>
        <w:ind w:firstLineChars="200" w:firstLine="482"/>
      </w:pPr>
      <w:bookmarkStart w:id="91" w:name="_Toc508720690"/>
      <w:bookmarkStart w:id="92" w:name="_Toc125892448"/>
      <w:r>
        <w:rPr>
          <w:rFonts w:hint="eastAsia"/>
        </w:rPr>
        <w:t>十二、基金份额持有人名册的保管</w:t>
      </w:r>
      <w:bookmarkEnd w:id="91"/>
      <w:bookmarkEnd w:id="92"/>
    </w:p>
    <w:p w14:paraId="5B499B2A"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基金管理人可委托基金登记机构登记和保管基金份额持有人名册。基金份额持有人名册的内容包括但不限于基金份额持有人的名称和持有的基金份额。</w:t>
      </w:r>
    </w:p>
    <w:p w14:paraId="5E9638B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份额持有人名册，包括基金合同生效日的基金份额持有人名册、基金合同终止日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33D6C544"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基金管理人应根据基金托管人的要求定期和不定期向基金托管人提供基金份额持有人名册。</w:t>
      </w:r>
    </w:p>
    <w:p w14:paraId="746520B1"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（一）基金管理人于《基金合同》生效日及《基金合同》终止日后10个工作日内向基金托管人提供由登记机构编制的基金份额持有人名册；</w:t>
      </w:r>
    </w:p>
    <w:p w14:paraId="42387D59"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（二）基金管理人于基金份额持有人大会权益登记日后5个工作日内向基金托管人提供由登记机构编制的基金份额持有人名册；</w:t>
      </w:r>
    </w:p>
    <w:p w14:paraId="0244AFA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（三）基金管理人于每年最后一个交易日后10个工作日内向基金托管人提供由登记机构编制的基金份额持有人名册；</w:t>
      </w:r>
    </w:p>
    <w:p w14:paraId="2415FD2B"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（四）除上述约定时间外，如果确因业务需要，基金托管人与基金管理人商议一致后，由基金管理人向基金托管人提供由登记机构编制的基金份额持有人名册。</w:t>
      </w:r>
    </w:p>
    <w:p w14:paraId="688D892A" w14:textId="667608B1"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基金托管人以电子版形式妥善保管基金份额持有人名册，并定期刻成光盘备份，保存期限</w:t>
      </w:r>
      <w:r>
        <w:rPr>
          <w:bCs/>
          <w:color w:val="000000"/>
          <w:sz w:val="24"/>
        </w:rPr>
        <w:t>不低于</w:t>
      </w:r>
      <w:r>
        <w:rPr>
          <w:color w:val="000000"/>
          <w:sz w:val="24"/>
        </w:rPr>
        <w:t>法律法规规定的</w:t>
      </w:r>
      <w:r>
        <w:rPr>
          <w:bCs/>
          <w:color w:val="000000"/>
          <w:sz w:val="24"/>
        </w:rPr>
        <w:t>最低</w:t>
      </w:r>
      <w:r>
        <w:rPr>
          <w:rFonts w:hint="eastAsia"/>
          <w:bCs/>
          <w:color w:val="000000"/>
          <w:sz w:val="24"/>
        </w:rPr>
        <w:t>期限</w:t>
      </w:r>
      <w:r>
        <w:rPr>
          <w:rFonts w:ascii="宋体" w:hAnsi="宋体" w:hint="eastAsia"/>
          <w:color w:val="000000"/>
          <w:kern w:val="0"/>
          <w:sz w:val="24"/>
        </w:rPr>
        <w:t>。基金托管人不得将所保管的基金份额持有人名册用于基金托管业务以外的其他用途，并应遵守保密义务。</w:t>
      </w:r>
      <w:bookmarkStart w:id="93" w:name="_Toc22454468"/>
      <w:bookmarkStart w:id="94" w:name="_Toc125892449"/>
      <w:bookmarkStart w:id="95" w:name="_Toc523830003"/>
      <w:r>
        <w:rPr>
          <w:rFonts w:ascii="宋体" w:hAnsi="宋体" w:hint="eastAsia"/>
          <w:color w:val="000000"/>
          <w:kern w:val="0"/>
          <w:sz w:val="24"/>
        </w:rPr>
        <w:t>若基金管理人或基金托管人由于自身原因无法妥善保管基金份额持有人名册，应按有关法规规定各自承担相应的责任。</w:t>
      </w:r>
    </w:p>
    <w:p w14:paraId="29D1EF05" w14:textId="77777777" w:rsidR="00E635E0" w:rsidRDefault="00E635E0">
      <w:pPr>
        <w:tabs>
          <w:tab w:val="left" w:pos="1260"/>
        </w:tabs>
        <w:spacing w:line="360" w:lineRule="auto"/>
        <w:ind w:firstLineChars="200" w:firstLine="480"/>
        <w:rPr>
          <w:rFonts w:ascii="宋体" w:hAnsi="宋体"/>
          <w:color w:val="000000"/>
          <w:kern w:val="0"/>
          <w:sz w:val="24"/>
        </w:rPr>
      </w:pPr>
    </w:p>
    <w:p w14:paraId="18318E9F" w14:textId="77777777" w:rsidR="00E635E0" w:rsidRDefault="00A70FAE">
      <w:pPr>
        <w:pStyle w:val="1"/>
        <w:spacing w:before="0" w:after="0"/>
        <w:ind w:firstLineChars="200" w:firstLine="482"/>
      </w:pPr>
      <w:bookmarkStart w:id="96" w:name="_Toc508720691"/>
      <w:r>
        <w:rPr>
          <w:rFonts w:hint="eastAsia"/>
        </w:rPr>
        <w:t>十三、基金有关文件档案的保存</w:t>
      </w:r>
      <w:bookmarkEnd w:id="88"/>
      <w:bookmarkEnd w:id="93"/>
      <w:bookmarkEnd w:id="94"/>
      <w:bookmarkEnd w:id="95"/>
      <w:bookmarkEnd w:id="96"/>
    </w:p>
    <w:p w14:paraId="75CF2563"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基金管理人应保存基金财产管理业务活动的记录、账册、报表和其他相关资料，基金托管人应保存基金托管业务活动的记录、账册、报表和其他相关资料。</w:t>
      </w:r>
    </w:p>
    <w:p w14:paraId="5EE3FF80" w14:textId="08562DF1"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基金管理人和基金托管人应按各自职责完整保存原始凭证、记账凭证、基金账册、会计报告、交易记录和重要合同等，保存期限</w:t>
      </w:r>
      <w:r>
        <w:rPr>
          <w:bCs/>
          <w:color w:val="000000"/>
          <w:sz w:val="24"/>
        </w:rPr>
        <w:t>不低于</w:t>
      </w:r>
      <w:r>
        <w:rPr>
          <w:color w:val="000000"/>
          <w:sz w:val="24"/>
        </w:rPr>
        <w:t>法律法规规定的</w:t>
      </w:r>
      <w:r>
        <w:rPr>
          <w:bCs/>
          <w:color w:val="000000"/>
          <w:sz w:val="24"/>
        </w:rPr>
        <w:t>最低</w:t>
      </w:r>
      <w:r>
        <w:rPr>
          <w:rFonts w:hint="eastAsia"/>
          <w:bCs/>
          <w:color w:val="000000"/>
          <w:sz w:val="24"/>
        </w:rPr>
        <w:t>期限</w:t>
      </w:r>
      <w:r>
        <w:rPr>
          <w:rFonts w:ascii="宋体" w:hAnsi="宋体" w:hint="eastAsia"/>
          <w:color w:val="000000"/>
          <w:kern w:val="0"/>
          <w:sz w:val="24"/>
        </w:rPr>
        <w:t>。</w:t>
      </w:r>
    </w:p>
    <w:p w14:paraId="48AF4506"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基金管理人签署重大合同文本后，应及时将合同文本正本送达基金托管人处。基金管理人应及时将与本基金账务处理、资金划拨等有关的合同、协议传真给基金托管人。</w:t>
      </w:r>
    </w:p>
    <w:p w14:paraId="64BDD87D" w14:textId="77777777" w:rsidR="00E635E0" w:rsidRDefault="00A70FAE">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基金管理人或基金托管人变更后，未变更的一方有义务协助接任人接收基金的有关文件。</w:t>
      </w:r>
      <w:bookmarkStart w:id="97" w:name="_Toc125892450"/>
      <w:bookmarkStart w:id="98" w:name="_Toc22454470"/>
      <w:bookmarkStart w:id="99" w:name="_Toc466788864"/>
      <w:bookmarkStart w:id="100" w:name="_Toc523830005"/>
    </w:p>
    <w:p w14:paraId="7A166FB0" w14:textId="77777777" w:rsidR="00E635E0" w:rsidRDefault="00E635E0">
      <w:pPr>
        <w:tabs>
          <w:tab w:val="left" w:pos="1260"/>
        </w:tabs>
        <w:spacing w:line="360" w:lineRule="auto"/>
        <w:ind w:firstLineChars="200" w:firstLine="480"/>
        <w:rPr>
          <w:rFonts w:ascii="宋体" w:hAnsi="宋体"/>
          <w:color w:val="000000"/>
          <w:kern w:val="0"/>
          <w:sz w:val="24"/>
        </w:rPr>
      </w:pPr>
    </w:p>
    <w:p w14:paraId="5E0D31D3" w14:textId="77777777" w:rsidR="00E635E0" w:rsidRDefault="00A70FAE">
      <w:pPr>
        <w:pStyle w:val="1"/>
        <w:spacing w:before="0" w:after="0"/>
        <w:ind w:firstLineChars="200" w:firstLine="482"/>
      </w:pPr>
      <w:bookmarkStart w:id="101" w:name="_Toc508720692"/>
      <w:r>
        <w:rPr>
          <w:rFonts w:hint="eastAsia"/>
        </w:rPr>
        <w:t>十四、基金管理人和基金托管人的更换</w:t>
      </w:r>
      <w:bookmarkEnd w:id="97"/>
      <w:bookmarkEnd w:id="98"/>
      <w:bookmarkEnd w:id="99"/>
      <w:bookmarkEnd w:id="100"/>
      <w:bookmarkEnd w:id="101"/>
    </w:p>
    <w:p w14:paraId="26A002A0" w14:textId="77777777" w:rsidR="00E635E0" w:rsidRDefault="00A70FAE">
      <w:pPr>
        <w:spacing w:line="360" w:lineRule="auto"/>
        <w:ind w:firstLineChars="200" w:firstLine="480"/>
        <w:rPr>
          <w:bCs/>
          <w:sz w:val="24"/>
        </w:rPr>
      </w:pPr>
      <w:bookmarkStart w:id="102" w:name="_Toc77663031"/>
      <w:bookmarkStart w:id="103" w:name="_Toc22454471"/>
      <w:r>
        <w:rPr>
          <w:rFonts w:hint="eastAsia"/>
          <w:bCs/>
          <w:sz w:val="24"/>
        </w:rPr>
        <w:t>（</w:t>
      </w:r>
      <w:r>
        <w:rPr>
          <w:bCs/>
          <w:sz w:val="24"/>
        </w:rPr>
        <w:t>一</w:t>
      </w:r>
      <w:r>
        <w:rPr>
          <w:rFonts w:hint="eastAsia"/>
          <w:bCs/>
          <w:sz w:val="24"/>
        </w:rPr>
        <w:t>）</w:t>
      </w:r>
      <w:r>
        <w:rPr>
          <w:bCs/>
          <w:sz w:val="24"/>
        </w:rPr>
        <w:t>基金管理人和基金托管人职责终止的情形</w:t>
      </w:r>
    </w:p>
    <w:p w14:paraId="45247C1A" w14:textId="77777777" w:rsidR="00E635E0" w:rsidRDefault="00A70FAE">
      <w:pPr>
        <w:spacing w:line="360" w:lineRule="auto"/>
        <w:ind w:firstLineChars="200" w:firstLine="480"/>
        <w:rPr>
          <w:bCs/>
          <w:sz w:val="24"/>
        </w:rPr>
      </w:pPr>
      <w:bookmarkStart w:id="104" w:name="_Toc22005971"/>
      <w:r>
        <w:rPr>
          <w:rFonts w:hint="eastAsia"/>
          <w:bCs/>
          <w:sz w:val="24"/>
        </w:rPr>
        <w:t>1</w:t>
      </w:r>
      <w:r>
        <w:rPr>
          <w:rFonts w:hint="eastAsia"/>
          <w:bCs/>
          <w:sz w:val="24"/>
        </w:rPr>
        <w:t>、</w:t>
      </w:r>
      <w:r>
        <w:rPr>
          <w:bCs/>
          <w:sz w:val="24"/>
        </w:rPr>
        <w:t>基金管理人职责终止的情形</w:t>
      </w:r>
      <w:bookmarkEnd w:id="104"/>
    </w:p>
    <w:p w14:paraId="359B8D85" w14:textId="77777777" w:rsidR="00E635E0" w:rsidRDefault="00A70FAE">
      <w:pPr>
        <w:spacing w:line="360" w:lineRule="auto"/>
        <w:ind w:firstLineChars="200" w:firstLine="480"/>
        <w:rPr>
          <w:bCs/>
          <w:sz w:val="24"/>
        </w:rPr>
      </w:pPr>
      <w:r>
        <w:rPr>
          <w:bCs/>
          <w:sz w:val="24"/>
        </w:rPr>
        <w:t>有下列情形之一的，基金管理人职责终止：</w:t>
      </w:r>
    </w:p>
    <w:p w14:paraId="236C6D3F" w14:textId="77777777" w:rsidR="00E635E0" w:rsidRDefault="00A70FAE">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被依法取消基金管理资格；</w:t>
      </w:r>
    </w:p>
    <w:p w14:paraId="3DC2742F" w14:textId="77777777" w:rsidR="00E635E0" w:rsidRDefault="00A70FAE">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被基金份额持有人大会解任；</w:t>
      </w:r>
    </w:p>
    <w:p w14:paraId="54B4E941" w14:textId="77777777" w:rsidR="00E635E0" w:rsidRDefault="00A70FAE">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依法解散、被依法撤销或被依法宣告破产；</w:t>
      </w:r>
    </w:p>
    <w:p w14:paraId="458A6C38" w14:textId="77777777" w:rsidR="00E635E0" w:rsidRDefault="00A70FAE">
      <w:pPr>
        <w:spacing w:line="360" w:lineRule="auto"/>
        <w:ind w:firstLineChars="200" w:firstLine="480"/>
        <w:rPr>
          <w:bCs/>
          <w:sz w:val="24"/>
        </w:rPr>
      </w:pPr>
      <w:r>
        <w:rPr>
          <w:rFonts w:hint="eastAsia"/>
          <w:bCs/>
          <w:sz w:val="24"/>
        </w:rPr>
        <w:t>（</w:t>
      </w:r>
      <w:r>
        <w:rPr>
          <w:bCs/>
          <w:sz w:val="24"/>
        </w:rPr>
        <w:t>4</w:t>
      </w:r>
      <w:r>
        <w:rPr>
          <w:rFonts w:hint="eastAsia"/>
          <w:bCs/>
          <w:sz w:val="24"/>
        </w:rPr>
        <w:t>）法律法规及中国证监会规定的和《基金合同》约定的其他</w:t>
      </w:r>
      <w:r>
        <w:rPr>
          <w:bCs/>
          <w:sz w:val="24"/>
        </w:rPr>
        <w:t>情形。</w:t>
      </w:r>
    </w:p>
    <w:p w14:paraId="4FB52030" w14:textId="77777777" w:rsidR="00E635E0" w:rsidRDefault="00A70FAE">
      <w:pPr>
        <w:spacing w:line="360" w:lineRule="auto"/>
        <w:ind w:firstLineChars="200" w:firstLine="480"/>
        <w:rPr>
          <w:bCs/>
          <w:sz w:val="24"/>
        </w:rPr>
      </w:pPr>
      <w:bookmarkStart w:id="105" w:name="_Toc22005972"/>
      <w:r>
        <w:rPr>
          <w:rFonts w:hint="eastAsia"/>
          <w:bCs/>
          <w:sz w:val="24"/>
        </w:rPr>
        <w:t>2</w:t>
      </w:r>
      <w:r>
        <w:rPr>
          <w:rFonts w:hint="eastAsia"/>
          <w:bCs/>
          <w:sz w:val="24"/>
        </w:rPr>
        <w:t>、</w:t>
      </w:r>
      <w:r>
        <w:rPr>
          <w:bCs/>
          <w:sz w:val="24"/>
        </w:rPr>
        <w:t>基金托管人职责终止的情形</w:t>
      </w:r>
      <w:bookmarkEnd w:id="105"/>
    </w:p>
    <w:p w14:paraId="75A8D785" w14:textId="77777777" w:rsidR="00E635E0" w:rsidRDefault="00A70FAE">
      <w:pPr>
        <w:spacing w:line="360" w:lineRule="auto"/>
        <w:ind w:firstLineChars="200" w:firstLine="480"/>
        <w:rPr>
          <w:bCs/>
          <w:sz w:val="24"/>
        </w:rPr>
      </w:pPr>
      <w:r>
        <w:rPr>
          <w:bCs/>
          <w:sz w:val="24"/>
        </w:rPr>
        <w:t>有下列情形之一的，基金托管人职责终止：</w:t>
      </w:r>
    </w:p>
    <w:p w14:paraId="325E0DBB" w14:textId="77777777" w:rsidR="00E635E0" w:rsidRDefault="00A70FAE">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被依法取消基金托管资格；</w:t>
      </w:r>
    </w:p>
    <w:p w14:paraId="6BA0BA4F" w14:textId="77777777" w:rsidR="00E635E0" w:rsidRDefault="00A70FAE">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被基金份额持有人大会解任；</w:t>
      </w:r>
    </w:p>
    <w:p w14:paraId="7F9E9FB7" w14:textId="77777777" w:rsidR="00E635E0" w:rsidRDefault="00A70FAE">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依法解散、被依法撤销或被依法宣告破产；</w:t>
      </w:r>
    </w:p>
    <w:p w14:paraId="467A4D21" w14:textId="77777777" w:rsidR="00E635E0" w:rsidRDefault="00A70FAE">
      <w:pPr>
        <w:spacing w:line="360" w:lineRule="auto"/>
        <w:ind w:firstLineChars="200" w:firstLine="480"/>
        <w:rPr>
          <w:bCs/>
          <w:sz w:val="24"/>
        </w:rPr>
      </w:pPr>
      <w:r>
        <w:rPr>
          <w:rFonts w:hint="eastAsia"/>
          <w:bCs/>
          <w:sz w:val="24"/>
        </w:rPr>
        <w:t>（</w:t>
      </w:r>
      <w:r>
        <w:rPr>
          <w:bCs/>
          <w:sz w:val="24"/>
        </w:rPr>
        <w:t>4</w:t>
      </w:r>
      <w:r>
        <w:rPr>
          <w:rFonts w:hint="eastAsia"/>
          <w:bCs/>
          <w:sz w:val="24"/>
        </w:rPr>
        <w:t>）法律法规及中国证监会规定的和《基金合同》约定的其他</w:t>
      </w:r>
      <w:r>
        <w:rPr>
          <w:bCs/>
          <w:sz w:val="24"/>
        </w:rPr>
        <w:t>情形。</w:t>
      </w:r>
    </w:p>
    <w:p w14:paraId="4B28A269" w14:textId="77777777" w:rsidR="00E635E0" w:rsidRDefault="00A70FAE">
      <w:pPr>
        <w:spacing w:line="360" w:lineRule="auto"/>
        <w:ind w:firstLineChars="200" w:firstLine="480"/>
        <w:rPr>
          <w:bCs/>
          <w:sz w:val="24"/>
        </w:rPr>
      </w:pPr>
      <w:bookmarkStart w:id="106" w:name="_Toc79392594"/>
      <w:bookmarkStart w:id="107" w:name="_Toc15118246"/>
      <w:bookmarkStart w:id="108" w:name="_Toc57530253"/>
      <w:r>
        <w:rPr>
          <w:rFonts w:hint="eastAsia"/>
          <w:bCs/>
          <w:sz w:val="24"/>
        </w:rPr>
        <w:t>（</w:t>
      </w:r>
      <w:r>
        <w:rPr>
          <w:bCs/>
          <w:sz w:val="24"/>
        </w:rPr>
        <w:t>二</w:t>
      </w:r>
      <w:r>
        <w:rPr>
          <w:rFonts w:hint="eastAsia"/>
          <w:bCs/>
          <w:sz w:val="24"/>
        </w:rPr>
        <w:t>）</w:t>
      </w:r>
      <w:r>
        <w:rPr>
          <w:bCs/>
          <w:sz w:val="24"/>
        </w:rPr>
        <w:t>基金管理人和基金托管人的更换程序</w:t>
      </w:r>
      <w:bookmarkEnd w:id="106"/>
      <w:bookmarkEnd w:id="107"/>
      <w:bookmarkEnd w:id="108"/>
    </w:p>
    <w:p w14:paraId="6450B550" w14:textId="77777777" w:rsidR="00E635E0" w:rsidRDefault="00A70FAE">
      <w:pPr>
        <w:spacing w:line="360" w:lineRule="auto"/>
        <w:ind w:firstLineChars="200" w:firstLine="480"/>
        <w:rPr>
          <w:bCs/>
          <w:sz w:val="24"/>
        </w:rPr>
      </w:pPr>
      <w:bookmarkStart w:id="109" w:name="_Toc22005974"/>
      <w:r>
        <w:rPr>
          <w:rFonts w:hint="eastAsia"/>
          <w:bCs/>
          <w:sz w:val="24"/>
        </w:rPr>
        <w:t>1</w:t>
      </w:r>
      <w:r>
        <w:rPr>
          <w:rFonts w:hint="eastAsia"/>
          <w:bCs/>
          <w:sz w:val="24"/>
        </w:rPr>
        <w:t>、</w:t>
      </w:r>
      <w:r>
        <w:rPr>
          <w:bCs/>
          <w:sz w:val="24"/>
        </w:rPr>
        <w:t>基金管理人的更换程序</w:t>
      </w:r>
      <w:bookmarkEnd w:id="109"/>
    </w:p>
    <w:p w14:paraId="2356FD91" w14:textId="77777777" w:rsidR="00E635E0" w:rsidRDefault="00A70FA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）提名：新任基金管理人由基金托管人或由单独或合计持有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w:t>
      </w:r>
    </w:p>
    <w:p w14:paraId="3936C563" w14:textId="77777777" w:rsidR="00E635E0" w:rsidRDefault="00A70FA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）决议：基金份额持有人大会在基金管理人职责终止后</w:t>
      </w:r>
      <w:r>
        <w:rPr>
          <w:rFonts w:hint="eastAsia"/>
          <w:bCs/>
          <w:sz w:val="24"/>
        </w:rPr>
        <w:t>6</w:t>
      </w:r>
      <w:r>
        <w:rPr>
          <w:rFonts w:hint="eastAsia"/>
          <w:bCs/>
          <w:sz w:val="24"/>
        </w:rPr>
        <w:t>个月内对被提名的基金管理人形成决议，该决议需经参加大会的基金份额持有人所持表决权的三分之二以上（含三分之二）表决通过，决议自表决通过之日起生效；</w:t>
      </w:r>
    </w:p>
    <w:p w14:paraId="12B31DF8" w14:textId="77777777" w:rsidR="00E635E0" w:rsidRDefault="00A70FA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）临时基金管理人：新任基金管理人产生之前，由中国证监会指定临时基金管理人；</w:t>
      </w:r>
    </w:p>
    <w:p w14:paraId="68992E17" w14:textId="77777777" w:rsidR="00E635E0" w:rsidRDefault="00A70FA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）备案：基金份额持有人大会更换基金管理人的决议须报中国证监会备案；</w:t>
      </w:r>
    </w:p>
    <w:p w14:paraId="0162791F" w14:textId="77777777" w:rsidR="00E635E0" w:rsidRDefault="00A70FA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）公告：基金管理人更换后，由基金托管人在更换基金管理人的基金份额持有人大会决议生效后</w:t>
      </w:r>
      <w:r>
        <w:rPr>
          <w:rFonts w:hint="eastAsia"/>
          <w:bCs/>
          <w:sz w:val="24"/>
        </w:rPr>
        <w:t>2</w:t>
      </w:r>
      <w:r>
        <w:rPr>
          <w:rFonts w:hint="eastAsia"/>
          <w:bCs/>
          <w:sz w:val="24"/>
        </w:rPr>
        <w:t>日内在规定媒介公告；</w:t>
      </w:r>
    </w:p>
    <w:p w14:paraId="6B72A58C" w14:textId="77777777" w:rsidR="00E635E0" w:rsidRDefault="00A70FA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1E1C5D37" w14:textId="77777777" w:rsidR="00E635E0" w:rsidRDefault="00A70FA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）审计：基金管理人职责终止的，应当按照法律法规规定聘请符合《</w:t>
      </w:r>
      <w:r>
        <w:rPr>
          <w:rFonts w:ascii="宋体" w:hAnsi="宋体" w:hint="eastAsia"/>
          <w:color w:val="000000"/>
          <w:kern w:val="0"/>
          <w:sz w:val="24"/>
        </w:rPr>
        <w:t>中华人民共和国</w:t>
      </w:r>
      <w:r>
        <w:rPr>
          <w:rFonts w:hint="eastAsia"/>
          <w:bCs/>
          <w:sz w:val="24"/>
        </w:rPr>
        <w:t>证券法》规定的会计师事务所对基金财产进行审计，并将审计结果予以公告，同时报中国证监会备案。审计费用在基金财产中列支；</w:t>
      </w:r>
    </w:p>
    <w:p w14:paraId="530283B4" w14:textId="77777777" w:rsidR="00E635E0" w:rsidRDefault="00A70FA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）基金名称变更：基金管理人更换后，如果原任或新任基金管理人要求，应按其要求替换或删除基金名称中与原任基金管理人有关的名称字样。</w:t>
      </w:r>
    </w:p>
    <w:p w14:paraId="4C313C59" w14:textId="77777777" w:rsidR="00E635E0" w:rsidRDefault="00A70FAE">
      <w:pPr>
        <w:spacing w:line="360" w:lineRule="auto"/>
        <w:ind w:firstLineChars="200" w:firstLine="480"/>
        <w:rPr>
          <w:bCs/>
          <w:sz w:val="24"/>
        </w:rPr>
      </w:pPr>
      <w:bookmarkStart w:id="110" w:name="_Toc22005975"/>
      <w:r>
        <w:rPr>
          <w:rFonts w:hint="eastAsia"/>
          <w:bCs/>
          <w:sz w:val="24"/>
        </w:rPr>
        <w:t>2</w:t>
      </w:r>
      <w:r>
        <w:rPr>
          <w:rFonts w:hint="eastAsia"/>
          <w:bCs/>
          <w:sz w:val="24"/>
        </w:rPr>
        <w:t>、</w:t>
      </w:r>
      <w:r>
        <w:rPr>
          <w:bCs/>
          <w:sz w:val="24"/>
        </w:rPr>
        <w:t>基金托管人的更换程序</w:t>
      </w:r>
      <w:bookmarkEnd w:id="110"/>
    </w:p>
    <w:p w14:paraId="538937F4" w14:textId="77777777" w:rsidR="00E635E0" w:rsidRDefault="00A70FA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）提名：新任基金托管人由基金管理人或由单独或合计持有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w:t>
      </w:r>
    </w:p>
    <w:p w14:paraId="07524871" w14:textId="77777777" w:rsidR="00E635E0" w:rsidRDefault="00A70FA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）决议：基金份额持有人大会在基金托管人职责终止后</w:t>
      </w:r>
      <w:r>
        <w:rPr>
          <w:rFonts w:hint="eastAsia"/>
          <w:bCs/>
          <w:sz w:val="24"/>
        </w:rPr>
        <w:t>6</w:t>
      </w:r>
      <w:r>
        <w:rPr>
          <w:rFonts w:hint="eastAsia"/>
          <w:bCs/>
          <w:sz w:val="24"/>
        </w:rPr>
        <w:t>个月内对被提名的基金托管人形成决议，该决议需经参加大会的基金份额持有人所持表决权的三分之二以上（含三分之二）表决通过，决议自表决通过之日起生效；</w:t>
      </w:r>
    </w:p>
    <w:p w14:paraId="7997A0B9" w14:textId="77777777" w:rsidR="00E635E0" w:rsidRDefault="00A70FAE">
      <w:pPr>
        <w:spacing w:line="360" w:lineRule="auto"/>
        <w:ind w:firstLineChars="200" w:firstLine="480"/>
        <w:rPr>
          <w:bCs/>
          <w:sz w:val="24"/>
        </w:rPr>
      </w:pPr>
      <w:r>
        <w:rPr>
          <w:rFonts w:hint="eastAsia"/>
          <w:bCs/>
          <w:sz w:val="24"/>
        </w:rPr>
        <w:t>（</w:t>
      </w:r>
      <w:r>
        <w:rPr>
          <w:bCs/>
          <w:sz w:val="24"/>
        </w:rPr>
        <w:t>3</w:t>
      </w:r>
      <w:r>
        <w:rPr>
          <w:rFonts w:hint="eastAsia"/>
          <w:bCs/>
          <w:sz w:val="24"/>
        </w:rPr>
        <w:t>）临时基金托管人：新任基金托管人产生之前，由中国证监会指定临时基金托管人；</w:t>
      </w:r>
    </w:p>
    <w:p w14:paraId="619826DD" w14:textId="77777777" w:rsidR="00E635E0" w:rsidRDefault="00A70FA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）备案：基金份额持有人大会更换基金托管人的决议须报中国证监会备案；</w:t>
      </w:r>
    </w:p>
    <w:p w14:paraId="1FC50266" w14:textId="77777777" w:rsidR="00E635E0" w:rsidRDefault="00A70FA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）公告：基金托管人更换后，由基金管理人在更换基金托管人的基金份额持有人大会决议生效后</w:t>
      </w:r>
      <w:r>
        <w:rPr>
          <w:rFonts w:hint="eastAsia"/>
          <w:bCs/>
          <w:sz w:val="24"/>
        </w:rPr>
        <w:t>2</w:t>
      </w:r>
      <w:r>
        <w:rPr>
          <w:rFonts w:hint="eastAsia"/>
          <w:bCs/>
          <w:sz w:val="24"/>
        </w:rPr>
        <w:t>日内在规定媒介公告；</w:t>
      </w:r>
    </w:p>
    <w:p w14:paraId="46C73879" w14:textId="77777777" w:rsidR="00E635E0" w:rsidRDefault="00A70FA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基金资产净值；</w:t>
      </w:r>
    </w:p>
    <w:p w14:paraId="3F286107" w14:textId="77777777" w:rsidR="00E635E0" w:rsidRDefault="00A70FA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）审计：基金托管人职责终止的，应当按照法律法规规定聘请符合《</w:t>
      </w:r>
      <w:r>
        <w:rPr>
          <w:rFonts w:ascii="宋体" w:hAnsi="宋体" w:hint="eastAsia"/>
          <w:color w:val="000000"/>
          <w:kern w:val="0"/>
          <w:sz w:val="24"/>
        </w:rPr>
        <w:t>中华人民共和国</w:t>
      </w:r>
      <w:r>
        <w:rPr>
          <w:rFonts w:hint="eastAsia"/>
          <w:bCs/>
          <w:sz w:val="24"/>
        </w:rPr>
        <w:t>证券法》规定的会计师事务所对基金财产进行审计，并将审计结果予以公告，同时报中国证监会备案，审计费用在基金财产中列支。</w:t>
      </w:r>
    </w:p>
    <w:p w14:paraId="55D50491" w14:textId="6D2D3C3B" w:rsidR="00E635E0" w:rsidRDefault="00A70FAE">
      <w:pPr>
        <w:spacing w:line="360" w:lineRule="auto"/>
        <w:ind w:firstLineChars="200" w:firstLine="480"/>
        <w:rPr>
          <w:bCs/>
          <w:sz w:val="24"/>
        </w:rPr>
      </w:pPr>
      <w:bookmarkStart w:id="111" w:name="_Toc1357"/>
      <w:r>
        <w:rPr>
          <w:rFonts w:hint="eastAsia"/>
          <w:bCs/>
          <w:sz w:val="24"/>
        </w:rPr>
        <w:t>3</w:t>
      </w:r>
      <w:r>
        <w:rPr>
          <w:rFonts w:hint="eastAsia"/>
          <w:bCs/>
          <w:sz w:val="24"/>
        </w:rPr>
        <w:t>、</w:t>
      </w:r>
      <w:r>
        <w:rPr>
          <w:bCs/>
          <w:sz w:val="24"/>
        </w:rPr>
        <w:t>基金管理人与基金托管人同时更换的条件和程序</w:t>
      </w:r>
      <w:bookmarkEnd w:id="111"/>
    </w:p>
    <w:p w14:paraId="38825CD2" w14:textId="77777777" w:rsidR="00E635E0" w:rsidRDefault="00A70FA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）提名：如果基金管理人和基金托管人同时更换，由单独或合计持有基金总份额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）的基金份额持有人提名新的基金管理人和基金托管人；</w:t>
      </w:r>
    </w:p>
    <w:p w14:paraId="3264EBE2" w14:textId="77777777" w:rsidR="00E635E0" w:rsidRDefault="00A70FA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）基金管理人和基金托管人的更换分别按上述程序进行；</w:t>
      </w:r>
    </w:p>
    <w:p w14:paraId="37189E02" w14:textId="77777777" w:rsidR="00E635E0" w:rsidRDefault="00A70FA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）公告：新任或临时基金管理人和新任或临时基金托管人应在更换基金管理人和基金托管人的基金份额持有人大会决议生效后</w:t>
      </w:r>
      <w:r>
        <w:rPr>
          <w:rFonts w:hint="eastAsia"/>
          <w:bCs/>
          <w:sz w:val="24"/>
        </w:rPr>
        <w:t>2</w:t>
      </w:r>
      <w:r>
        <w:rPr>
          <w:rFonts w:hint="eastAsia"/>
          <w:bCs/>
          <w:sz w:val="24"/>
        </w:rPr>
        <w:t>日内在规定媒介上联合公告。</w:t>
      </w:r>
    </w:p>
    <w:p w14:paraId="3E775BF8" w14:textId="77777777" w:rsidR="00E635E0" w:rsidRDefault="00A70FAE">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或基金托管费。</w:t>
      </w:r>
    </w:p>
    <w:p w14:paraId="6571734E" w14:textId="7B6CA0C9" w:rsidR="00E635E0" w:rsidRDefault="00A70FAE">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102"/>
    <w:bookmarkEnd w:id="103"/>
    <w:p w14:paraId="04ED5CB9" w14:textId="77777777" w:rsidR="00E635E0" w:rsidRDefault="00E635E0">
      <w:pPr>
        <w:spacing w:line="360" w:lineRule="auto"/>
        <w:ind w:firstLineChars="200" w:firstLine="480"/>
        <w:rPr>
          <w:rFonts w:ascii="宋体" w:hAnsi="宋体"/>
          <w:bCs/>
          <w:color w:val="000000"/>
          <w:kern w:val="0"/>
          <w:sz w:val="24"/>
        </w:rPr>
      </w:pPr>
    </w:p>
    <w:p w14:paraId="6F996AC6" w14:textId="77777777" w:rsidR="00E635E0" w:rsidRDefault="00A70FAE">
      <w:pPr>
        <w:pStyle w:val="1"/>
        <w:spacing w:before="0" w:after="0"/>
        <w:ind w:firstLineChars="200" w:firstLine="482"/>
      </w:pPr>
      <w:bookmarkStart w:id="112" w:name="_Toc508720693"/>
      <w:bookmarkStart w:id="113" w:name="_Toc466788866"/>
      <w:bookmarkStart w:id="114" w:name="_Toc523830007"/>
      <w:bookmarkStart w:id="115" w:name="_Toc125892451"/>
      <w:bookmarkStart w:id="116" w:name="_Toc22454478"/>
      <w:r>
        <w:rPr>
          <w:rFonts w:hint="eastAsia"/>
        </w:rPr>
        <w:t>十五、禁止行为</w:t>
      </w:r>
      <w:bookmarkEnd w:id="112"/>
      <w:bookmarkEnd w:id="113"/>
      <w:bookmarkEnd w:id="114"/>
      <w:bookmarkEnd w:id="115"/>
      <w:bookmarkEnd w:id="116"/>
    </w:p>
    <w:p w14:paraId="6FF7F69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本协议项下的基金管理人和基金托管人禁止行为如下：</w:t>
      </w:r>
    </w:p>
    <w:p w14:paraId="77D8FC0B"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（一）基金管理人、基金托管人将其固有财产或者他人财产混同于基金财产从事证券投资。</w:t>
      </w:r>
    </w:p>
    <w:p w14:paraId="665D5157"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（二）基金管理人不公平地对待其管理的不同基金财产。基金托管人不公平地对待其托管的不同基金财产。</w:t>
      </w:r>
    </w:p>
    <w:p w14:paraId="72FCF5F5"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（三）基金管理人、基金托管人利用基金财产为基金份额持有人以外的第三人牟取利益。</w:t>
      </w:r>
    </w:p>
    <w:p w14:paraId="278571EC"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（四）基金管理人、基金托管人向基金份额持有人违规承诺收益或者承担损失。</w:t>
      </w:r>
    </w:p>
    <w:p w14:paraId="3F18AF02"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（五）基金管理人、基金托管人侵占、挪用基金财产。</w:t>
      </w:r>
    </w:p>
    <w:p w14:paraId="0FA3C5EF"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（六）基金管理人、基金托管人对他人泄露基金经营过程中任何尚未按法律法规规定的方式公开披露的信息。</w:t>
      </w:r>
    </w:p>
    <w:p w14:paraId="6ECE9801"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（七）基金管理人、基金托管人玩忽职守，不按照规定履行职责。</w:t>
      </w:r>
    </w:p>
    <w:p w14:paraId="11D6D4C3"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（八）基金管理人在没有充足资金的情况下向基金托管人发出投资指令和付款指令，或违规向基金托管人发出指令；基金托管人对基金管理人的正常有效指令拖延或拒绝执行。</w:t>
      </w:r>
    </w:p>
    <w:p w14:paraId="343D61A2"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（九）基金管理人、基金托管人在行政上、财务上不独立，其高级管理人员和其他从业人员相互兼职。</w:t>
      </w:r>
    </w:p>
    <w:p w14:paraId="1B569018"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（十）基金托管人私自动用或处分基金资产，根据基金管理人的合法指令、基金合同或托管协议的规定进行处分的除外。</w:t>
      </w:r>
    </w:p>
    <w:p w14:paraId="6307986D"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（十一）基金财产用于下列投资或者活动：</w:t>
      </w:r>
    </w:p>
    <w:p w14:paraId="303952CD"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1、承销证券；</w:t>
      </w:r>
    </w:p>
    <w:p w14:paraId="2D3C44E7"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2、违反规定向他人贷款或者提供担保；</w:t>
      </w:r>
    </w:p>
    <w:p w14:paraId="51A877CA"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3、从事承担无限责任的投资；</w:t>
      </w:r>
    </w:p>
    <w:p w14:paraId="4D27DF1D"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4、买卖</w:t>
      </w:r>
      <w:r>
        <w:rPr>
          <w:rFonts w:ascii="宋体" w:hAnsi="宋体" w:hint="eastAsia"/>
          <w:color w:val="000000"/>
          <w:kern w:val="0"/>
          <w:sz w:val="24"/>
        </w:rPr>
        <w:t>除目标ETF以外的</w:t>
      </w:r>
      <w:r>
        <w:rPr>
          <w:rFonts w:ascii="宋体" w:hAnsi="宋体" w:hint="eastAsia"/>
          <w:bCs/>
          <w:color w:val="000000"/>
          <w:sz w:val="24"/>
        </w:rPr>
        <w:t>其他基金份额，但是中国证监会另有规定的除外；</w:t>
      </w:r>
    </w:p>
    <w:p w14:paraId="74164F33"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5、向其基金管理人、基金托管人出资；</w:t>
      </w:r>
    </w:p>
    <w:p w14:paraId="15FC376B"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6、从事内幕交易、操纵证券交易价格及其他不正当的证券交易活动；</w:t>
      </w:r>
    </w:p>
    <w:p w14:paraId="1D38B807"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7、法律、行政法规和中国证监会规定禁止的其他活动。</w:t>
      </w:r>
    </w:p>
    <w:p w14:paraId="533D336D"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（十二）法律法规和基金合同禁止的其他行为，以及法律、行政法规和中国证监会规定禁止基金管理人、基金托管人从事的其他行为。</w:t>
      </w:r>
    </w:p>
    <w:p w14:paraId="58D065FE" w14:textId="77777777" w:rsidR="00E635E0" w:rsidRDefault="00A70FAE">
      <w:pPr>
        <w:spacing w:line="360" w:lineRule="auto"/>
        <w:ind w:firstLineChars="200" w:firstLine="480"/>
        <w:rPr>
          <w:rFonts w:ascii="宋体" w:hAnsi="宋体"/>
          <w:bCs/>
          <w:color w:val="000000"/>
          <w:sz w:val="24"/>
        </w:rPr>
      </w:pPr>
      <w:r>
        <w:rPr>
          <w:rFonts w:ascii="宋体" w:hAnsi="宋体" w:hint="eastAsia"/>
          <w:bCs/>
          <w:color w:val="000000"/>
          <w:sz w:val="24"/>
        </w:rPr>
        <w:t>法律、行政法规或监管部门取消或变更上述限制，如适用于本基金，基金管理人在履行适当程序后，则本基金投资不再受相关限制或按变更后的规定执行。</w:t>
      </w:r>
    </w:p>
    <w:p w14:paraId="3DEC6813" w14:textId="77777777" w:rsidR="00E635E0" w:rsidRDefault="00E635E0">
      <w:pPr>
        <w:spacing w:line="360" w:lineRule="auto"/>
        <w:ind w:firstLineChars="200" w:firstLine="480"/>
        <w:rPr>
          <w:rFonts w:ascii="宋体" w:hAnsi="宋体"/>
          <w:bCs/>
          <w:color w:val="000000"/>
          <w:sz w:val="24"/>
        </w:rPr>
      </w:pPr>
    </w:p>
    <w:p w14:paraId="38F3037E" w14:textId="77777777" w:rsidR="00E635E0" w:rsidRDefault="00A70FAE">
      <w:pPr>
        <w:pStyle w:val="1"/>
        <w:spacing w:before="0" w:after="0"/>
        <w:ind w:firstLineChars="200" w:firstLine="482"/>
      </w:pPr>
      <w:bookmarkStart w:id="117" w:name="_Toc125892452"/>
      <w:bookmarkStart w:id="118" w:name="_Toc508720694"/>
      <w:bookmarkStart w:id="119" w:name="_Toc22454479"/>
      <w:bookmarkStart w:id="120" w:name="_Toc523830008"/>
      <w:bookmarkStart w:id="121" w:name="_Toc466788867"/>
      <w:r>
        <w:rPr>
          <w:rFonts w:hint="eastAsia"/>
        </w:rPr>
        <w:t>十六、基金托管协议的变更、终止与基金财产的清算</w:t>
      </w:r>
      <w:bookmarkEnd w:id="117"/>
      <w:bookmarkEnd w:id="118"/>
    </w:p>
    <w:p w14:paraId="6847B62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122" w:name="_Toc510842757"/>
      <w:r>
        <w:rPr>
          <w:rFonts w:ascii="宋体" w:hAnsi="宋体" w:hint="eastAsia"/>
          <w:b/>
          <w:bCs/>
          <w:color w:val="000000"/>
          <w:sz w:val="24"/>
        </w:rPr>
        <w:t>（一）基金托管协议的变更</w:t>
      </w:r>
    </w:p>
    <w:bookmarkEnd w:id="122"/>
    <w:p w14:paraId="4AD79CF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1、本协议双方当事人经协商一致，可以对协议进行修改。修改后的新协议，其内容不得与《基金合同》的规定有任何冲突。</w:t>
      </w:r>
    </w:p>
    <w:p w14:paraId="292DA30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管理人知悉并认可，若托管人根据相关法律法规设立专门基金托管子公司（包括独资子公司或与其他机构成立合资子公司）的，托管人可直接变更为该等基金托管子公司，而无需再按照上文中约定的方式（包括签署补充协议）进行合同变更。</w:t>
      </w:r>
    </w:p>
    <w:p w14:paraId="2F74DC3D" w14:textId="0C003EC3"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如决定变更托管人为基金托管子公司的，托管人、基金托管子公司应发布公告，该等变更自托管人公告中载明的生效日起生效。自变更生效时起，托管人于本协议项下的全部权利、义务、责任将由基金托管子公司继承，基金托管子公司应当依据法律法规和本协议约定履行义务。</w:t>
      </w:r>
    </w:p>
    <w:p w14:paraId="4AAB4218" w14:textId="007486B3" w:rsidR="00E635E0" w:rsidRDefault="00A70FAE">
      <w:pPr>
        <w:spacing w:line="360" w:lineRule="auto"/>
        <w:ind w:firstLineChars="200" w:firstLine="480"/>
        <w:rPr>
          <w:rFonts w:ascii="宋体" w:hAnsi="宋体"/>
          <w:color w:val="000000"/>
          <w:kern w:val="0"/>
          <w:sz w:val="24"/>
        </w:rPr>
      </w:pPr>
      <w:r>
        <w:rPr>
          <w:rFonts w:ascii="宋体" w:hAnsi="宋体" w:hint="eastAsia"/>
          <w:sz w:val="24"/>
        </w:rPr>
        <w:t>为免疑义，若本协议中其他条款与本条款不一致或存在矛盾的，以本条款约定为准。</w:t>
      </w:r>
    </w:p>
    <w:p w14:paraId="13B92773"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（二）基金托管协议的终止</w:t>
      </w:r>
    </w:p>
    <w:p w14:paraId="10853A9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1、《基金合同》终止；</w:t>
      </w:r>
    </w:p>
    <w:p w14:paraId="4BA2FA9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2、基金托管人解散、依法被撤销、破产，被依法取消基金托管资格或因其他事由造成其他基金托管人接管基金财产；</w:t>
      </w:r>
    </w:p>
    <w:p w14:paraId="440491E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3、基金管理人解散、依法被撤销、破产，被依法取消基金管理资格或因其他事由造成其他基金管理人接管基金管理权；</w:t>
      </w:r>
    </w:p>
    <w:p w14:paraId="32982B8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4、发生《基金法》、《销售办法》、《运作办法》或其他法律、法规规定的终止事项。</w:t>
      </w:r>
    </w:p>
    <w:p w14:paraId="1ED15BF4" w14:textId="77777777" w:rsidR="00E635E0" w:rsidRDefault="00A70FAE">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（三）基金财产的清算</w:t>
      </w:r>
    </w:p>
    <w:p w14:paraId="0ED57C4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1、基金财产清算小组：自出现《基金合同》终止事由之日起30个工作日内成立清算小组，基金管理人组织基金财产清算小组并在中国证监会的监督下进行基金清算。</w:t>
      </w:r>
    </w:p>
    <w:p w14:paraId="2A8BA837" w14:textId="77777777" w:rsidR="00E635E0" w:rsidRDefault="00A70FAE">
      <w:pPr>
        <w:tabs>
          <w:tab w:val="left" w:pos="1701"/>
        </w:tabs>
        <w:spacing w:line="360" w:lineRule="auto"/>
        <w:ind w:firstLineChars="200" w:firstLine="480"/>
        <w:rPr>
          <w:rFonts w:ascii="宋体" w:hAnsi="宋体"/>
          <w:color w:val="000000"/>
          <w:kern w:val="0"/>
          <w:sz w:val="24"/>
        </w:rPr>
      </w:pPr>
      <w:r>
        <w:rPr>
          <w:rFonts w:ascii="宋体" w:hAnsi="宋体" w:hint="eastAsia"/>
          <w:color w:val="000000"/>
          <w:kern w:val="0"/>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D972011"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3、基金财产清算小组职责：基金财产清算小组负责基金财产的保管、清理、估价、变现和分配。基金财产清算小组可以依法进行必要的民事活动。</w:t>
      </w:r>
    </w:p>
    <w:p w14:paraId="61BA95C0"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4、基金财产清算程序：</w:t>
      </w:r>
    </w:p>
    <w:p w14:paraId="5EBA4BA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（1）《基金合同》终止情形出现时，由基金财产清算小组统一接管基金；</w:t>
      </w:r>
    </w:p>
    <w:p w14:paraId="69F6B427"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（2）对基金财产和债权债务进行清理和确认；</w:t>
      </w:r>
    </w:p>
    <w:p w14:paraId="60300B65"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（3）对基金财产进行估值和变现；</w:t>
      </w:r>
    </w:p>
    <w:p w14:paraId="79410FE2"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（4）制作清算报告；</w:t>
      </w:r>
    </w:p>
    <w:p w14:paraId="150E07C9"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（5）聘请符合《中华人民共和国证券法》规定的会计师事务所对清算报告进行外部审计，聘请律师事务所对清算报告出具法律意见书；</w:t>
      </w:r>
    </w:p>
    <w:p w14:paraId="19F63FD6"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（6）将清算报告报中国证监会备案并公告；</w:t>
      </w:r>
    </w:p>
    <w:p w14:paraId="5E4E2460"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（7）对基金剩余财产进行分配。</w:t>
      </w:r>
    </w:p>
    <w:p w14:paraId="6A7AFD0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5、基金财产清算的期限为6个月，</w:t>
      </w:r>
      <w:r>
        <w:rPr>
          <w:rFonts w:ascii="宋体" w:hAnsi="宋体" w:hint="eastAsia"/>
          <w:bCs/>
          <w:color w:val="000000"/>
          <w:kern w:val="0"/>
          <w:sz w:val="24"/>
        </w:rPr>
        <w:t>但因本基金所持证券的流动性受到限制而不能及时变现的，清算期限相应顺延</w:t>
      </w:r>
      <w:r>
        <w:rPr>
          <w:rFonts w:ascii="宋体" w:hAnsi="宋体"/>
          <w:bCs/>
          <w:color w:val="000000"/>
          <w:kern w:val="0"/>
          <w:sz w:val="24"/>
        </w:rPr>
        <w:t>。</w:t>
      </w:r>
    </w:p>
    <w:p w14:paraId="1BBB7B4E"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5C90A045" w14:textId="77777777" w:rsidR="00E635E0" w:rsidRDefault="00A70FAE">
      <w:pPr>
        <w:spacing w:line="360" w:lineRule="auto"/>
        <w:ind w:firstLineChars="200" w:firstLine="480"/>
        <w:rPr>
          <w:bCs/>
          <w:sz w:val="24"/>
        </w:rPr>
      </w:pPr>
      <w:r>
        <w:rPr>
          <w:rFonts w:ascii="宋体" w:hAnsi="宋体" w:hint="eastAsia"/>
          <w:color w:val="000000"/>
          <w:kern w:val="0"/>
          <w:sz w:val="24"/>
        </w:rPr>
        <w:t>6、</w:t>
      </w:r>
      <w:r>
        <w:rPr>
          <w:rFonts w:hint="eastAsia"/>
          <w:bCs/>
          <w:sz w:val="24"/>
        </w:rPr>
        <w:t>清算费用</w:t>
      </w:r>
    </w:p>
    <w:p w14:paraId="5FC9054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清算费用是指基金财产清算小组在进行基金清算过程中发生的所有合理费用，清算费用由基金财产清算小组优先从基金财产中支付。</w:t>
      </w:r>
    </w:p>
    <w:p w14:paraId="5957E8A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7、基金财产清算剩余资产的分配</w:t>
      </w:r>
    </w:p>
    <w:p w14:paraId="3A0221DC"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68292640"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8、基金财产清算的公告</w:t>
      </w:r>
    </w:p>
    <w:p w14:paraId="66D4B559"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清算过程中的有关重大事项须及时公告；基金财产清算报告经符合《中华人民</w:t>
      </w:r>
      <w:r>
        <w:rPr>
          <w:rFonts w:ascii="宋体" w:hAnsi="宋体"/>
          <w:color w:val="000000"/>
          <w:kern w:val="0"/>
          <w:sz w:val="24"/>
        </w:rPr>
        <w:t>共和国证券法</w:t>
      </w:r>
      <w:r>
        <w:rPr>
          <w:rFonts w:ascii="宋体" w:hAnsi="宋体" w:hint="eastAsia"/>
          <w:color w:val="000000"/>
          <w:kern w:val="0"/>
          <w:sz w:val="24"/>
        </w:rPr>
        <w:t>》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1437104"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9、基金财产清算账册及文件的保存</w:t>
      </w:r>
    </w:p>
    <w:p w14:paraId="2F5D1EA7" w14:textId="11603BED"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基金财产清算账册及有关文件由基金托管人保存，保存期限</w:t>
      </w:r>
      <w:r>
        <w:rPr>
          <w:bCs/>
          <w:color w:val="000000"/>
          <w:sz w:val="24"/>
        </w:rPr>
        <w:t>不低于</w:t>
      </w:r>
      <w:r>
        <w:rPr>
          <w:color w:val="000000"/>
          <w:sz w:val="24"/>
        </w:rPr>
        <w:t>法律法规规定的</w:t>
      </w:r>
      <w:r>
        <w:rPr>
          <w:bCs/>
          <w:color w:val="000000"/>
          <w:sz w:val="24"/>
        </w:rPr>
        <w:t>最低</w:t>
      </w:r>
      <w:r>
        <w:rPr>
          <w:rFonts w:hint="eastAsia"/>
          <w:bCs/>
          <w:color w:val="000000"/>
          <w:sz w:val="24"/>
        </w:rPr>
        <w:t>期限</w:t>
      </w:r>
      <w:r>
        <w:rPr>
          <w:rFonts w:ascii="宋体" w:hAnsi="宋体" w:hint="eastAsia"/>
          <w:color w:val="000000"/>
          <w:kern w:val="0"/>
          <w:sz w:val="24"/>
        </w:rPr>
        <w:t>。</w:t>
      </w:r>
      <w:bookmarkStart w:id="123" w:name="_Toc125892453"/>
    </w:p>
    <w:p w14:paraId="68C62D95" w14:textId="77777777" w:rsidR="00E635E0" w:rsidRDefault="00E635E0">
      <w:pPr>
        <w:spacing w:line="360" w:lineRule="auto"/>
        <w:ind w:firstLineChars="200" w:firstLine="480"/>
        <w:rPr>
          <w:rFonts w:ascii="宋体" w:hAnsi="宋体"/>
          <w:color w:val="000000"/>
          <w:kern w:val="0"/>
          <w:sz w:val="24"/>
        </w:rPr>
      </w:pPr>
    </w:p>
    <w:p w14:paraId="7F07ADC4" w14:textId="77777777" w:rsidR="00E635E0" w:rsidRDefault="00A70FAE">
      <w:pPr>
        <w:pStyle w:val="1"/>
        <w:spacing w:before="0" w:after="0"/>
        <w:ind w:firstLineChars="200" w:firstLine="482"/>
      </w:pPr>
      <w:bookmarkStart w:id="124" w:name="_Toc508720695"/>
      <w:r>
        <w:rPr>
          <w:rFonts w:hint="eastAsia"/>
        </w:rPr>
        <w:t>十七、违约责任</w:t>
      </w:r>
      <w:bookmarkEnd w:id="119"/>
      <w:bookmarkEnd w:id="120"/>
      <w:bookmarkEnd w:id="121"/>
      <w:bookmarkEnd w:id="123"/>
      <w:bookmarkEnd w:id="124"/>
    </w:p>
    <w:p w14:paraId="7F4BDF0A" w14:textId="77777777" w:rsidR="00E635E0" w:rsidRDefault="00A70FAE">
      <w:pPr>
        <w:spacing w:line="360" w:lineRule="auto"/>
        <w:ind w:firstLineChars="200" w:firstLine="480"/>
        <w:rPr>
          <w:b/>
          <w:color w:val="000000"/>
          <w:sz w:val="24"/>
        </w:rPr>
      </w:pPr>
      <w:r>
        <w:rPr>
          <w:rFonts w:hint="eastAsia"/>
          <w:color w:val="000000"/>
          <w:sz w:val="24"/>
        </w:rPr>
        <w:t>（一）基金管理人或基金托管人不履行本协议或履行本协议不符合约定的，应当承担违约责任；</w:t>
      </w:r>
    </w:p>
    <w:p w14:paraId="324DBDC7" w14:textId="77777777" w:rsidR="00E635E0" w:rsidRDefault="00A70FAE">
      <w:pPr>
        <w:spacing w:line="360" w:lineRule="auto"/>
        <w:ind w:firstLineChars="200" w:firstLine="480"/>
        <w:rPr>
          <w:color w:val="000000"/>
          <w:sz w:val="24"/>
        </w:rPr>
      </w:pPr>
      <w:r>
        <w:rPr>
          <w:rFonts w:hint="eastAsia"/>
          <w:color w:val="000000"/>
          <w:sz w:val="24"/>
        </w:rPr>
        <w:t>（二）</w:t>
      </w:r>
      <w:bookmarkStart w:id="125" w:name="OLE_LINK3"/>
      <w:r>
        <w:rPr>
          <w:color w:val="000000"/>
          <w:sz w:val="24"/>
        </w:rPr>
        <w:t>基金管理人、基金托管人在履行各自职责的过程中，违反</w:t>
      </w:r>
      <w:r>
        <w:rPr>
          <w:rFonts w:hint="eastAsia"/>
          <w:color w:val="000000"/>
          <w:sz w:val="24"/>
        </w:rPr>
        <w:t>《基金法》等法律法规的</w:t>
      </w:r>
      <w:r>
        <w:rPr>
          <w:color w:val="000000"/>
          <w:sz w:val="24"/>
        </w:rPr>
        <w:t>规定或者</w:t>
      </w:r>
      <w:r>
        <w:rPr>
          <w:rFonts w:hint="eastAsia"/>
          <w:color w:val="000000"/>
          <w:sz w:val="24"/>
        </w:rPr>
        <w:t>本托管协议</w:t>
      </w:r>
      <w:r>
        <w:rPr>
          <w:color w:val="000000"/>
          <w:sz w:val="24"/>
        </w:rPr>
        <w:t>约定，给基金财产或者基金份额持有人造成损害的，应当分别对各自的行为依法承担赔偿责任；因共同行为给基金财产或者基金份额持有人造成损害的，应当承担连带赔偿责任</w:t>
      </w:r>
      <w:r>
        <w:rPr>
          <w:rFonts w:hint="eastAsia"/>
          <w:color w:val="000000"/>
          <w:sz w:val="24"/>
        </w:rPr>
        <w:t>，</w:t>
      </w:r>
      <w:r>
        <w:rPr>
          <w:color w:val="000000"/>
          <w:sz w:val="24"/>
        </w:rPr>
        <w:t>对损失的赔偿，仅限于直接损失</w:t>
      </w:r>
      <w:r>
        <w:rPr>
          <w:rFonts w:hint="eastAsia"/>
          <w:color w:val="000000"/>
          <w:sz w:val="24"/>
        </w:rPr>
        <w:t>。</w:t>
      </w:r>
      <w:bookmarkEnd w:id="125"/>
      <w:r>
        <w:rPr>
          <w:rFonts w:hint="eastAsia"/>
          <w:color w:val="000000"/>
          <w:sz w:val="24"/>
        </w:rPr>
        <w:t>但是发生下列情况，</w:t>
      </w:r>
      <w:r>
        <w:rPr>
          <w:rFonts w:hint="eastAsia"/>
          <w:bCs/>
          <w:sz w:val="24"/>
        </w:rPr>
        <w:t>相应</w:t>
      </w:r>
      <w:r>
        <w:rPr>
          <w:rFonts w:hint="eastAsia"/>
          <w:color w:val="000000"/>
          <w:sz w:val="24"/>
        </w:rPr>
        <w:t>当事人免责：</w:t>
      </w:r>
    </w:p>
    <w:p w14:paraId="7BBC859F"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1、不可抗力；</w:t>
      </w:r>
    </w:p>
    <w:p w14:paraId="4D805FAE"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2、基金管理人和</w:t>
      </w:r>
      <w:r>
        <w:rPr>
          <w:rFonts w:ascii="宋体" w:hAnsi="宋体"/>
          <w:color w:val="000000"/>
          <w:kern w:val="0"/>
          <w:sz w:val="24"/>
        </w:rPr>
        <w:t>/</w:t>
      </w:r>
      <w:r>
        <w:rPr>
          <w:rFonts w:ascii="宋体" w:hAnsi="宋体" w:hint="eastAsia"/>
          <w:color w:val="000000"/>
          <w:kern w:val="0"/>
          <w:sz w:val="24"/>
        </w:rPr>
        <w:t>或基金托管人按照</w:t>
      </w:r>
      <w:r>
        <w:rPr>
          <w:bCs/>
          <w:sz w:val="24"/>
        </w:rPr>
        <w:t>当时有效的法律法规或中国证监会的规定</w:t>
      </w:r>
      <w:r>
        <w:rPr>
          <w:rFonts w:ascii="宋体" w:hAnsi="宋体" w:hint="eastAsia"/>
          <w:color w:val="000000"/>
          <w:kern w:val="0"/>
          <w:sz w:val="24"/>
        </w:rPr>
        <w:t>作为或不作为而造成的损失等；</w:t>
      </w:r>
    </w:p>
    <w:p w14:paraId="5BDF453F"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3、基金管理人由于按照《基金合同》规定的投资原则</w:t>
      </w:r>
      <w:r>
        <w:rPr>
          <w:bCs/>
          <w:sz w:val="24"/>
        </w:rPr>
        <w:t>行使或不行使其投资权</w:t>
      </w:r>
      <w:r>
        <w:rPr>
          <w:rFonts w:ascii="宋体" w:hAnsi="宋体" w:hint="eastAsia"/>
          <w:color w:val="000000"/>
          <w:kern w:val="0"/>
          <w:sz w:val="24"/>
        </w:rPr>
        <w:t>而造成的损失等；</w:t>
      </w:r>
    </w:p>
    <w:p w14:paraId="2C35B25C" w14:textId="23E022EF" w:rsidR="00E635E0" w:rsidRDefault="00A70FAE">
      <w:pPr>
        <w:spacing w:line="360" w:lineRule="auto"/>
        <w:ind w:firstLineChars="200" w:firstLine="480"/>
        <w:rPr>
          <w:bCs/>
          <w:sz w:val="24"/>
        </w:rPr>
      </w:pPr>
      <w:r>
        <w:rPr>
          <w:rFonts w:hint="eastAsia"/>
          <w:bCs/>
          <w:sz w:val="24"/>
        </w:rPr>
        <w:t>4</w:t>
      </w:r>
      <w:r>
        <w:rPr>
          <w:rFonts w:hint="eastAsia"/>
          <w:bCs/>
          <w:sz w:val="24"/>
        </w:rPr>
        <w:t>、计算机系统故障、网络故障、通讯故障、电力故障、计算机病毒攻击及其他非基金管理人、基金托管人故意或重大过失造成的意外事故；</w:t>
      </w:r>
    </w:p>
    <w:p w14:paraId="2815CBC6" w14:textId="77777777" w:rsidR="00E635E0" w:rsidRDefault="00A70FAE">
      <w:pPr>
        <w:spacing w:line="360" w:lineRule="auto"/>
        <w:ind w:firstLineChars="200" w:firstLine="480"/>
        <w:rPr>
          <w:bCs/>
          <w:sz w:val="24"/>
        </w:rPr>
      </w:pPr>
      <w:r>
        <w:rPr>
          <w:bCs/>
          <w:sz w:val="24"/>
        </w:rPr>
        <w:t>5</w:t>
      </w:r>
      <w:r>
        <w:rPr>
          <w:rFonts w:hint="eastAsia"/>
          <w:bCs/>
          <w:sz w:val="24"/>
        </w:rPr>
        <w:t>、基金托管人由于按基金管理人符合《基金合同》及托管协议约定的有效指令执行而造成的损失等；</w:t>
      </w:r>
    </w:p>
    <w:p w14:paraId="06E0764E" w14:textId="77777777" w:rsidR="00E635E0" w:rsidRDefault="00A70FAE">
      <w:pPr>
        <w:spacing w:line="360" w:lineRule="auto"/>
        <w:ind w:firstLineChars="200" w:firstLine="480"/>
        <w:rPr>
          <w:bCs/>
          <w:sz w:val="24"/>
        </w:rPr>
      </w:pPr>
      <w:r>
        <w:rPr>
          <w:bCs/>
          <w:sz w:val="24"/>
        </w:rPr>
        <w:t>6</w:t>
      </w:r>
      <w:r>
        <w:rPr>
          <w:rFonts w:hint="eastAsia"/>
          <w:bCs/>
          <w:sz w:val="24"/>
        </w:rPr>
        <w:t>、基金托管人对存放或存管在基金托管人以外机构的基金资产，或交由商业银行、证券</w:t>
      </w:r>
      <w:r>
        <w:rPr>
          <w:rFonts w:hint="eastAsia"/>
          <w:bCs/>
          <w:sz w:val="24"/>
        </w:rPr>
        <w:t>/</w:t>
      </w:r>
      <w:r>
        <w:rPr>
          <w:rFonts w:hint="eastAsia"/>
          <w:bCs/>
          <w:sz w:val="24"/>
        </w:rPr>
        <w:t>期货经纪机构等其他机构负责清算交收的委托资产及其收益，因该等机构欺诈、疏忽、过失、破产等原因给委托资产带来的损失等，但由于基金托管人过错造成的除外；</w:t>
      </w:r>
    </w:p>
    <w:p w14:paraId="3E2AFE84" w14:textId="77777777" w:rsidR="00E635E0" w:rsidRDefault="00A70FAE">
      <w:pPr>
        <w:spacing w:line="360" w:lineRule="auto"/>
        <w:ind w:firstLineChars="200" w:firstLine="480"/>
        <w:rPr>
          <w:bCs/>
          <w:sz w:val="24"/>
        </w:rPr>
      </w:pPr>
      <w:r>
        <w:rPr>
          <w:bCs/>
          <w:sz w:val="24"/>
        </w:rPr>
        <w:t>7</w:t>
      </w:r>
      <w:r>
        <w:rPr>
          <w:rFonts w:hint="eastAsia"/>
          <w:bCs/>
          <w:sz w:val="24"/>
        </w:rPr>
        <w:t>、基金管理人、基金托管人对由于第三方（包括但不限于证券、</w:t>
      </w:r>
      <w:r>
        <w:rPr>
          <w:bCs/>
          <w:sz w:val="24"/>
        </w:rPr>
        <w:t>期货</w:t>
      </w:r>
      <w:r>
        <w:rPr>
          <w:rFonts w:hint="eastAsia"/>
          <w:bCs/>
          <w:sz w:val="24"/>
        </w:rPr>
        <w:t>交易所、中登公司等）发送或提供的数据错误给本基金资产造成的损失等。</w:t>
      </w:r>
    </w:p>
    <w:p w14:paraId="1F630607"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（三）当事人违约，给另一方当事人造成损失的，应就直接损失进行赔偿；给基金资产造成损失的，应就直接损失进行赔偿，另一方当事人有权利及义务代表基金向违约方追偿。</w:t>
      </w:r>
    </w:p>
    <w:p w14:paraId="2A6372AD"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四）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14:paraId="2F430174" w14:textId="77777777" w:rsidR="00E635E0" w:rsidRDefault="00A70FAE">
      <w:pPr>
        <w:spacing w:line="360" w:lineRule="auto"/>
        <w:ind w:firstLineChars="200" w:firstLine="480"/>
        <w:rPr>
          <w:color w:val="000000"/>
          <w:sz w:val="24"/>
        </w:rPr>
      </w:pPr>
      <w:r>
        <w:rPr>
          <w:rFonts w:ascii="宋体" w:hAnsi="宋体" w:hint="eastAsia"/>
          <w:color w:val="000000"/>
          <w:kern w:val="0"/>
          <w:sz w:val="24"/>
        </w:rPr>
        <w:t>（五）</w:t>
      </w:r>
      <w:r>
        <w:rPr>
          <w:rFonts w:hint="eastAsia"/>
          <w:color w:val="000000"/>
          <w:sz w:val="24"/>
        </w:rPr>
        <w:t>违约行为虽已发生，但本托管协议能够继续履行的，在最大限度地保护基金份额持有人利益的前提下，基金管理人和基金托管人应当继续履行本协议；</w:t>
      </w:r>
      <w:bookmarkStart w:id="126" w:name="_Toc466788868"/>
      <w:bookmarkStart w:id="127" w:name="_Toc523830010"/>
      <w:bookmarkStart w:id="128" w:name="_Toc22454480"/>
      <w:bookmarkStart w:id="129" w:name="_Toc125892454"/>
      <w:r>
        <w:rPr>
          <w:rFonts w:hint="eastAsia"/>
          <w:color w:val="000000"/>
          <w:sz w:val="24"/>
        </w:rPr>
        <w:t>若基金管理人或基金托管人因履行本协议而被起诉，另一方应提供合理的必要支持。</w:t>
      </w:r>
    </w:p>
    <w:p w14:paraId="2B002294" w14:textId="77777777" w:rsidR="00E635E0" w:rsidRDefault="00A70FAE">
      <w:pPr>
        <w:spacing w:line="360" w:lineRule="auto"/>
        <w:ind w:firstLineChars="200" w:firstLine="480"/>
        <w:rPr>
          <w:color w:val="000000"/>
          <w:sz w:val="24"/>
        </w:rPr>
      </w:pPr>
      <w:r>
        <w:rPr>
          <w:rFonts w:hint="eastAsia"/>
          <w:color w:val="000000"/>
          <w:sz w:val="24"/>
        </w:rPr>
        <w:t>（六）由于基金管理人、基金托管人不可控制的因素导致业务出现差错，基金管理人和基金托管人虽然已经采取必要、适当、合理的措施进行检查，但是未能发现该错误或因前述原因未能避免或更正错误的，由此造成基金财产或基金投资者损失，基金管理人和基金托管人免除赔偿责任。但基金管理人和基金托管人应当积极采取必要的措施消除或减轻由此造成的影响。</w:t>
      </w:r>
    </w:p>
    <w:p w14:paraId="7006B21C" w14:textId="77777777" w:rsidR="00E635E0" w:rsidRDefault="00A70FAE">
      <w:pPr>
        <w:spacing w:line="360" w:lineRule="auto"/>
        <w:ind w:firstLineChars="200" w:firstLine="480"/>
        <w:rPr>
          <w:color w:val="000000"/>
          <w:sz w:val="24"/>
        </w:rPr>
      </w:pPr>
      <w:r>
        <w:rPr>
          <w:rFonts w:hint="eastAsia"/>
          <w:color w:val="000000"/>
          <w:sz w:val="24"/>
        </w:rPr>
        <w:t>（七）本协议所指损失均为直接损失。</w:t>
      </w:r>
    </w:p>
    <w:p w14:paraId="13C9E245" w14:textId="77777777" w:rsidR="00E635E0" w:rsidRDefault="00E635E0">
      <w:pPr>
        <w:spacing w:line="360" w:lineRule="auto"/>
        <w:ind w:firstLineChars="200" w:firstLine="482"/>
        <w:rPr>
          <w:b/>
          <w:color w:val="000000"/>
          <w:sz w:val="24"/>
        </w:rPr>
      </w:pPr>
    </w:p>
    <w:p w14:paraId="519ECE4B" w14:textId="77777777" w:rsidR="00E635E0" w:rsidRDefault="00A70FAE">
      <w:pPr>
        <w:pStyle w:val="1"/>
        <w:spacing w:before="0" w:after="0"/>
        <w:ind w:firstLineChars="200" w:firstLine="482"/>
      </w:pPr>
      <w:bookmarkStart w:id="130" w:name="_Toc508720696"/>
      <w:r>
        <w:rPr>
          <w:rFonts w:hint="eastAsia"/>
        </w:rPr>
        <w:t>十八、争议</w:t>
      </w:r>
      <w:bookmarkEnd w:id="126"/>
      <w:bookmarkEnd w:id="127"/>
      <w:bookmarkEnd w:id="128"/>
      <w:r>
        <w:rPr>
          <w:rFonts w:hint="eastAsia"/>
        </w:rPr>
        <w:t>解决方式</w:t>
      </w:r>
      <w:bookmarkEnd w:id="129"/>
      <w:bookmarkEnd w:id="130"/>
    </w:p>
    <w:p w14:paraId="15982648" w14:textId="1A3410D8"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当事人均有约束力。除非仲裁裁决另有决定，仲裁费、律师费由败诉方承担。</w:t>
      </w:r>
    </w:p>
    <w:p w14:paraId="15371EA8"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争议处理期间，双方当事人应恪守基金管理人和基金托管人职责，继续忠实、勤勉、尽责地履行《基金合同》和本协议规定的义务，维护基金份额持有人的合法权益。</w:t>
      </w:r>
    </w:p>
    <w:p w14:paraId="20FC522B" w14:textId="77777777" w:rsidR="00E635E0" w:rsidRDefault="00A70FAE">
      <w:pPr>
        <w:spacing w:line="360" w:lineRule="auto"/>
        <w:ind w:firstLineChars="200" w:firstLine="480"/>
        <w:rPr>
          <w:rFonts w:ascii="宋体" w:hAnsi="宋体"/>
          <w:color w:val="000000"/>
          <w:kern w:val="0"/>
          <w:sz w:val="24"/>
        </w:rPr>
      </w:pPr>
      <w:r>
        <w:rPr>
          <w:rFonts w:ascii="宋体" w:hAnsi="宋体" w:hint="eastAsia"/>
          <w:color w:val="000000"/>
          <w:kern w:val="0"/>
          <w:sz w:val="24"/>
        </w:rPr>
        <w:t>本协议受中华人民共和国法律</w:t>
      </w:r>
      <w:r>
        <w:rPr>
          <w:rFonts w:ascii="宋体" w:hAnsi="宋体" w:hint="eastAsia"/>
          <w:sz w:val="24"/>
        </w:rPr>
        <w:t>（为本协议之目的，不包括香港、澳门特别行政区及台湾地区法律</w:t>
      </w:r>
      <w:r>
        <w:rPr>
          <w:rFonts w:ascii="宋体" w:hAnsi="宋体" w:hint="eastAsia"/>
          <w:color w:val="000000"/>
          <w:kern w:val="0"/>
          <w:sz w:val="24"/>
        </w:rPr>
        <w:t>）管辖并从其解释。</w:t>
      </w:r>
      <w:bookmarkStart w:id="131" w:name="_Toc466788869"/>
      <w:bookmarkStart w:id="132" w:name="_Toc523830011"/>
      <w:bookmarkStart w:id="133" w:name="_Toc22454481"/>
      <w:bookmarkStart w:id="134" w:name="_Toc125892455"/>
    </w:p>
    <w:p w14:paraId="47DC75C5" w14:textId="77777777" w:rsidR="00E635E0" w:rsidRDefault="00E635E0">
      <w:pPr>
        <w:spacing w:line="360" w:lineRule="auto"/>
        <w:ind w:firstLineChars="200" w:firstLine="480"/>
        <w:rPr>
          <w:rFonts w:ascii="宋体" w:hAnsi="宋体"/>
          <w:color w:val="000000"/>
          <w:kern w:val="0"/>
          <w:sz w:val="24"/>
        </w:rPr>
      </w:pPr>
    </w:p>
    <w:p w14:paraId="1786094B" w14:textId="77777777" w:rsidR="00E635E0" w:rsidRDefault="00A70FAE">
      <w:pPr>
        <w:pStyle w:val="1"/>
        <w:spacing w:before="0" w:after="0"/>
        <w:ind w:firstLineChars="200" w:firstLine="482"/>
      </w:pPr>
      <w:bookmarkStart w:id="135" w:name="_Toc508720697"/>
      <w:r>
        <w:rPr>
          <w:rFonts w:hint="eastAsia"/>
        </w:rPr>
        <w:t>十九、基金托管协议的效力</w:t>
      </w:r>
      <w:bookmarkEnd w:id="131"/>
      <w:bookmarkEnd w:id="132"/>
      <w:bookmarkEnd w:id="133"/>
      <w:bookmarkEnd w:id="134"/>
      <w:bookmarkEnd w:id="135"/>
    </w:p>
    <w:p w14:paraId="67E9E869" w14:textId="77777777" w:rsidR="00E635E0" w:rsidRDefault="00A70FAE">
      <w:pPr>
        <w:spacing w:line="360" w:lineRule="auto"/>
        <w:ind w:firstLineChars="200" w:firstLine="480"/>
        <w:rPr>
          <w:color w:val="000000"/>
          <w:sz w:val="24"/>
        </w:rPr>
      </w:pPr>
      <w:r>
        <w:rPr>
          <w:rFonts w:hint="eastAsia"/>
          <w:color w:val="000000"/>
          <w:sz w:val="24"/>
        </w:rPr>
        <w:t>（一）基金管理人在向中国证监会申请基金募集注册时提交的基金托管协议草案，应经托管协议当事人双方盖章以及双方法定代表人或授权代表签章，协议当事人双方根据中国证监会的意见修改托管协议草案。托管协议以报中国证监会注册的文本为正式文本。</w:t>
      </w:r>
    </w:p>
    <w:p w14:paraId="499B69C4" w14:textId="77777777" w:rsidR="00E635E0" w:rsidRDefault="00A70FAE">
      <w:pPr>
        <w:spacing w:line="360" w:lineRule="auto"/>
        <w:ind w:firstLineChars="200" w:firstLine="480"/>
        <w:rPr>
          <w:color w:val="000000"/>
          <w:sz w:val="24"/>
        </w:rPr>
      </w:pPr>
      <w:r>
        <w:rPr>
          <w:rFonts w:hint="eastAsia"/>
          <w:color w:val="000000"/>
          <w:sz w:val="24"/>
        </w:rPr>
        <w:t>（二）基金托管协议自《基金合同》成立之日起成立，自《基金合同》生效之日起生效。基金托管协议的有效期自其生效之日起至基金财产清算结果报中国证监会备案并公告之日止。</w:t>
      </w:r>
    </w:p>
    <w:p w14:paraId="64F53AEF" w14:textId="77777777" w:rsidR="00E635E0" w:rsidRDefault="00A70FAE">
      <w:pPr>
        <w:spacing w:line="360" w:lineRule="auto"/>
        <w:ind w:firstLineChars="200" w:firstLine="480"/>
        <w:rPr>
          <w:color w:val="000000"/>
          <w:sz w:val="24"/>
        </w:rPr>
      </w:pPr>
      <w:r>
        <w:rPr>
          <w:rFonts w:hint="eastAsia"/>
          <w:color w:val="000000"/>
          <w:sz w:val="24"/>
        </w:rPr>
        <w:t>（三）基金托管协议自生效之日起对托管协议当事人具有同等的法律约束力。</w:t>
      </w:r>
    </w:p>
    <w:p w14:paraId="4C85103D" w14:textId="77777777" w:rsidR="00E635E0" w:rsidRDefault="00A70FAE">
      <w:pPr>
        <w:spacing w:line="360" w:lineRule="auto"/>
        <w:ind w:firstLineChars="200" w:firstLine="480"/>
        <w:rPr>
          <w:color w:val="000000"/>
          <w:sz w:val="24"/>
        </w:rPr>
      </w:pPr>
      <w:r>
        <w:rPr>
          <w:rFonts w:hint="eastAsia"/>
          <w:color w:val="000000"/>
          <w:sz w:val="24"/>
        </w:rPr>
        <w:t>（四）基金托管协议一式三份，除上报中国证监会一份外，基金管理人和基金托管人分别持有一份，每份具有同等的法律效力。</w:t>
      </w:r>
    </w:p>
    <w:p w14:paraId="754A516F" w14:textId="77777777" w:rsidR="00E635E0" w:rsidRDefault="00E635E0">
      <w:pPr>
        <w:spacing w:line="360" w:lineRule="auto"/>
        <w:ind w:firstLineChars="200" w:firstLine="482"/>
        <w:rPr>
          <w:b/>
          <w:color w:val="000000"/>
          <w:sz w:val="24"/>
        </w:rPr>
      </w:pPr>
    </w:p>
    <w:p w14:paraId="6DA36E07" w14:textId="77777777" w:rsidR="00E635E0" w:rsidRDefault="00A70FAE">
      <w:pPr>
        <w:pStyle w:val="1"/>
        <w:spacing w:before="0" w:after="0"/>
        <w:ind w:firstLineChars="200" w:firstLine="482"/>
      </w:pPr>
      <w:bookmarkStart w:id="136" w:name="_Toc508720698"/>
      <w:r>
        <w:rPr>
          <w:rFonts w:hint="eastAsia"/>
        </w:rPr>
        <w:t>二十、其他事项</w:t>
      </w:r>
      <w:bookmarkEnd w:id="136"/>
    </w:p>
    <w:p w14:paraId="540DB2D5" w14:textId="77777777" w:rsidR="00E635E0" w:rsidRDefault="00A70FAE">
      <w:pPr>
        <w:spacing w:line="360" w:lineRule="auto"/>
        <w:ind w:firstLineChars="200" w:firstLine="480"/>
        <w:rPr>
          <w:color w:val="000000"/>
          <w:sz w:val="24"/>
        </w:rPr>
      </w:pPr>
      <w:r>
        <w:rPr>
          <w:rFonts w:hint="eastAsia"/>
          <w:color w:val="000000"/>
          <w:sz w:val="24"/>
        </w:rPr>
        <w:t>本协议未尽事宜，当事人依据基金合同、有关法律、法规等规定协商办理。</w:t>
      </w:r>
    </w:p>
    <w:p w14:paraId="60E3EE95" w14:textId="77777777" w:rsidR="00E635E0" w:rsidRDefault="00E635E0">
      <w:pPr>
        <w:spacing w:line="360" w:lineRule="auto"/>
        <w:ind w:firstLineChars="200" w:firstLine="480"/>
        <w:rPr>
          <w:color w:val="000000"/>
          <w:sz w:val="24"/>
        </w:rPr>
      </w:pPr>
    </w:p>
    <w:p w14:paraId="7D7E27FE" w14:textId="77777777" w:rsidR="00E635E0" w:rsidRDefault="00A70FAE">
      <w:pPr>
        <w:pStyle w:val="1"/>
        <w:spacing w:before="0" w:after="0"/>
        <w:ind w:firstLineChars="200" w:firstLine="482"/>
      </w:pPr>
      <w:bookmarkStart w:id="137" w:name="_Toc523830014"/>
      <w:bookmarkStart w:id="138" w:name="_Toc22454484"/>
      <w:bookmarkStart w:id="139" w:name="_Toc508720699"/>
      <w:r>
        <w:rPr>
          <w:rFonts w:hint="eastAsia"/>
        </w:rPr>
        <w:t>二十一、基金托管协议的签订</w:t>
      </w:r>
      <w:bookmarkEnd w:id="137"/>
      <w:bookmarkEnd w:id="138"/>
      <w:bookmarkEnd w:id="139"/>
    </w:p>
    <w:p w14:paraId="065C15BD" w14:textId="77777777" w:rsidR="00E635E0" w:rsidRDefault="00A70FAE">
      <w:pPr>
        <w:spacing w:line="360" w:lineRule="auto"/>
        <w:ind w:firstLineChars="200" w:firstLine="480"/>
        <w:rPr>
          <w:color w:val="000000"/>
          <w:sz w:val="24"/>
        </w:rPr>
      </w:pPr>
      <w:r>
        <w:rPr>
          <w:rFonts w:hint="eastAsia"/>
          <w:color w:val="000000"/>
          <w:sz w:val="24"/>
        </w:rPr>
        <w:t>本托管协议双方法定代表人或授权代表签章、签订地、签订日，见签署页。</w:t>
      </w:r>
    </w:p>
    <w:p w14:paraId="3AE7CC2C" w14:textId="77777777" w:rsidR="00E635E0" w:rsidRDefault="00E635E0"/>
    <w:p w14:paraId="24F34364" w14:textId="77777777" w:rsidR="00E635E0" w:rsidRDefault="00E635E0">
      <w:pPr>
        <w:spacing w:line="360" w:lineRule="auto"/>
        <w:rPr>
          <w:color w:val="000000"/>
          <w:sz w:val="24"/>
        </w:rPr>
        <w:sectPr w:rsidR="00E635E0">
          <w:footerReference w:type="first" r:id="rId14"/>
          <w:pgSz w:w="11906" w:h="16838"/>
          <w:pgMar w:top="1440" w:right="1797" w:bottom="1440" w:left="1797" w:header="851" w:footer="992" w:gutter="0"/>
          <w:pgNumType w:start="1"/>
          <w:cols w:space="425"/>
          <w:titlePg/>
          <w:docGrid w:type="linesAndChars" w:linePitch="312"/>
        </w:sectPr>
      </w:pPr>
    </w:p>
    <w:p w14:paraId="005E455E" w14:textId="298F831E" w:rsidR="00E635E0" w:rsidRDefault="00A70FAE">
      <w:pPr>
        <w:spacing w:line="360" w:lineRule="auto"/>
        <w:rPr>
          <w:color w:val="000000"/>
          <w:sz w:val="24"/>
        </w:rPr>
      </w:pPr>
      <w:r>
        <w:rPr>
          <w:rFonts w:hint="eastAsia"/>
          <w:color w:val="000000"/>
          <w:sz w:val="24"/>
        </w:rPr>
        <w:t>（本页无正文，为《南方中证港股通互联网交易型开放式指数证券投资基金发起式联接基金托管协议》签署页）</w:t>
      </w:r>
    </w:p>
    <w:p w14:paraId="140B7A91" w14:textId="77777777" w:rsidR="00E635E0" w:rsidRDefault="00E635E0">
      <w:pPr>
        <w:spacing w:line="360" w:lineRule="auto"/>
        <w:ind w:firstLineChars="200" w:firstLine="480"/>
        <w:rPr>
          <w:color w:val="000000"/>
          <w:sz w:val="24"/>
        </w:rPr>
      </w:pPr>
    </w:p>
    <w:p w14:paraId="66B42970" w14:textId="77777777" w:rsidR="00E635E0" w:rsidRDefault="00E635E0">
      <w:pPr>
        <w:spacing w:line="360" w:lineRule="auto"/>
        <w:ind w:firstLineChars="200" w:firstLine="480"/>
        <w:rPr>
          <w:color w:val="000000"/>
          <w:sz w:val="24"/>
        </w:rPr>
      </w:pPr>
    </w:p>
    <w:p w14:paraId="4AFED348" w14:textId="77777777" w:rsidR="00E635E0" w:rsidRDefault="00E635E0">
      <w:pPr>
        <w:spacing w:line="360" w:lineRule="auto"/>
        <w:ind w:firstLineChars="200" w:firstLine="480"/>
        <w:rPr>
          <w:color w:val="000000"/>
          <w:sz w:val="24"/>
        </w:rPr>
      </w:pPr>
    </w:p>
    <w:p w14:paraId="57194D68" w14:textId="77777777" w:rsidR="00E635E0" w:rsidRDefault="00A70FAE" w:rsidP="005D2957">
      <w:pPr>
        <w:spacing w:line="360" w:lineRule="auto"/>
        <w:rPr>
          <w:color w:val="000000"/>
          <w:sz w:val="24"/>
        </w:rPr>
      </w:pPr>
      <w:r>
        <w:rPr>
          <w:rFonts w:hint="eastAsia"/>
          <w:color w:val="000000"/>
          <w:sz w:val="24"/>
        </w:rPr>
        <w:t>基金管理人：南方基金管理股份有限公司（盖章）</w:t>
      </w:r>
    </w:p>
    <w:p w14:paraId="593F13C3" w14:textId="77777777" w:rsidR="00E635E0" w:rsidRDefault="00E635E0">
      <w:pPr>
        <w:spacing w:line="360" w:lineRule="auto"/>
        <w:ind w:firstLineChars="200" w:firstLine="480"/>
        <w:rPr>
          <w:color w:val="000000"/>
          <w:sz w:val="24"/>
        </w:rPr>
      </w:pPr>
    </w:p>
    <w:p w14:paraId="6BC8B217" w14:textId="77777777" w:rsidR="00E635E0" w:rsidRDefault="00E635E0">
      <w:pPr>
        <w:spacing w:line="360" w:lineRule="auto"/>
        <w:ind w:firstLineChars="200" w:firstLine="480"/>
        <w:rPr>
          <w:color w:val="000000"/>
          <w:sz w:val="24"/>
        </w:rPr>
      </w:pPr>
    </w:p>
    <w:p w14:paraId="78B15554" w14:textId="77777777" w:rsidR="00E635E0" w:rsidRDefault="00E635E0">
      <w:pPr>
        <w:spacing w:line="360" w:lineRule="auto"/>
        <w:ind w:firstLineChars="200" w:firstLine="480"/>
        <w:rPr>
          <w:color w:val="000000"/>
          <w:sz w:val="24"/>
        </w:rPr>
      </w:pPr>
    </w:p>
    <w:p w14:paraId="46A00665" w14:textId="20B510D6" w:rsidR="00E635E0" w:rsidRDefault="00A70FAE" w:rsidP="005D2957">
      <w:pPr>
        <w:spacing w:line="360" w:lineRule="auto"/>
        <w:rPr>
          <w:color w:val="000000"/>
          <w:sz w:val="24"/>
        </w:rPr>
      </w:pPr>
      <w:r>
        <w:rPr>
          <w:rFonts w:hint="eastAsia"/>
          <w:color w:val="000000"/>
          <w:sz w:val="24"/>
        </w:rPr>
        <w:t>法定代表人或授权代表（签章）</w:t>
      </w:r>
    </w:p>
    <w:p w14:paraId="4CB49176" w14:textId="77777777" w:rsidR="00E635E0" w:rsidRDefault="00E635E0">
      <w:pPr>
        <w:spacing w:line="360" w:lineRule="auto"/>
        <w:ind w:firstLineChars="200" w:firstLine="480"/>
        <w:rPr>
          <w:color w:val="000000"/>
          <w:sz w:val="24"/>
        </w:rPr>
      </w:pPr>
    </w:p>
    <w:p w14:paraId="7FC1979F" w14:textId="77777777" w:rsidR="00E635E0" w:rsidRDefault="00E635E0">
      <w:pPr>
        <w:spacing w:line="360" w:lineRule="auto"/>
        <w:ind w:firstLineChars="200" w:firstLine="480"/>
        <w:rPr>
          <w:color w:val="000000"/>
          <w:sz w:val="24"/>
        </w:rPr>
      </w:pPr>
    </w:p>
    <w:p w14:paraId="4C81E7B9" w14:textId="77777777" w:rsidR="00E635E0" w:rsidRDefault="00E635E0">
      <w:pPr>
        <w:spacing w:line="360" w:lineRule="auto"/>
        <w:ind w:firstLineChars="200" w:firstLine="480"/>
        <w:rPr>
          <w:color w:val="000000"/>
          <w:sz w:val="24"/>
        </w:rPr>
      </w:pPr>
    </w:p>
    <w:p w14:paraId="7B98718F" w14:textId="77777777" w:rsidR="00E635E0" w:rsidRDefault="00A70FAE" w:rsidP="005D2957">
      <w:pPr>
        <w:spacing w:line="360" w:lineRule="auto"/>
        <w:rPr>
          <w:color w:val="000000"/>
          <w:sz w:val="24"/>
        </w:rPr>
      </w:pPr>
      <w:r>
        <w:rPr>
          <w:rFonts w:hint="eastAsia"/>
          <w:color w:val="000000"/>
          <w:sz w:val="24"/>
        </w:rPr>
        <w:t>签订地点：</w:t>
      </w:r>
    </w:p>
    <w:p w14:paraId="1639CD07" w14:textId="77777777" w:rsidR="00E635E0" w:rsidRDefault="00A70FAE" w:rsidP="005D2957">
      <w:pPr>
        <w:spacing w:line="360" w:lineRule="auto"/>
        <w:rPr>
          <w:color w:val="000000"/>
          <w:sz w:val="24"/>
        </w:rPr>
      </w:pPr>
      <w:r>
        <w:rPr>
          <w:rFonts w:hint="eastAsia"/>
          <w:color w:val="000000"/>
          <w:sz w:val="24"/>
        </w:rPr>
        <w:t>签订日期：</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14:paraId="2F376692" w14:textId="77777777" w:rsidR="00E635E0" w:rsidRDefault="00E635E0">
      <w:pPr>
        <w:spacing w:line="360" w:lineRule="auto"/>
        <w:ind w:firstLineChars="200" w:firstLine="480"/>
        <w:rPr>
          <w:color w:val="000000"/>
          <w:sz w:val="24"/>
        </w:rPr>
      </w:pPr>
    </w:p>
    <w:p w14:paraId="23BA3910" w14:textId="77777777" w:rsidR="00E635E0" w:rsidRDefault="00E635E0">
      <w:pPr>
        <w:spacing w:line="360" w:lineRule="auto"/>
        <w:ind w:firstLineChars="200" w:firstLine="480"/>
        <w:rPr>
          <w:color w:val="000000"/>
          <w:sz w:val="24"/>
        </w:rPr>
      </w:pPr>
    </w:p>
    <w:p w14:paraId="74932C36" w14:textId="77777777" w:rsidR="00E635E0" w:rsidRDefault="00E635E0">
      <w:pPr>
        <w:spacing w:line="360" w:lineRule="auto"/>
        <w:ind w:firstLineChars="200" w:firstLine="480"/>
        <w:rPr>
          <w:color w:val="000000"/>
          <w:sz w:val="24"/>
        </w:rPr>
      </w:pPr>
    </w:p>
    <w:p w14:paraId="1B021D00" w14:textId="77777777" w:rsidR="00E635E0" w:rsidRDefault="00A70FAE" w:rsidP="005D2957">
      <w:pPr>
        <w:spacing w:line="360" w:lineRule="auto"/>
        <w:rPr>
          <w:color w:val="000000"/>
          <w:sz w:val="24"/>
        </w:rPr>
      </w:pPr>
      <w:r>
        <w:rPr>
          <w:rFonts w:hint="eastAsia"/>
          <w:color w:val="000000"/>
          <w:sz w:val="24"/>
        </w:rPr>
        <w:t>基金托管人：国泰海通证券股份有限公司（盖章）</w:t>
      </w:r>
    </w:p>
    <w:p w14:paraId="0439DB2D" w14:textId="77777777" w:rsidR="00E635E0" w:rsidRDefault="00E635E0">
      <w:pPr>
        <w:spacing w:line="360" w:lineRule="auto"/>
        <w:ind w:firstLineChars="200" w:firstLine="480"/>
        <w:rPr>
          <w:color w:val="000000"/>
          <w:sz w:val="24"/>
        </w:rPr>
      </w:pPr>
    </w:p>
    <w:p w14:paraId="746E1BB8" w14:textId="77777777" w:rsidR="00E635E0" w:rsidRDefault="00E635E0">
      <w:pPr>
        <w:spacing w:line="360" w:lineRule="auto"/>
        <w:ind w:firstLineChars="200" w:firstLine="480"/>
        <w:rPr>
          <w:color w:val="000000"/>
          <w:sz w:val="24"/>
        </w:rPr>
      </w:pPr>
    </w:p>
    <w:p w14:paraId="4FA5CA67" w14:textId="77777777" w:rsidR="00E635E0" w:rsidRDefault="00E635E0">
      <w:pPr>
        <w:spacing w:line="360" w:lineRule="auto"/>
        <w:rPr>
          <w:color w:val="000000"/>
          <w:sz w:val="24"/>
        </w:rPr>
      </w:pPr>
    </w:p>
    <w:p w14:paraId="6CFD6A08" w14:textId="5D539358" w:rsidR="00E635E0" w:rsidRDefault="00A70FAE" w:rsidP="005D2957">
      <w:pPr>
        <w:spacing w:line="360" w:lineRule="auto"/>
        <w:rPr>
          <w:color w:val="000000"/>
          <w:sz w:val="24"/>
        </w:rPr>
      </w:pPr>
      <w:r>
        <w:rPr>
          <w:rFonts w:hint="eastAsia"/>
          <w:color w:val="000000"/>
          <w:sz w:val="24"/>
        </w:rPr>
        <w:t>法定代表人或授权代表（签章）</w:t>
      </w:r>
    </w:p>
    <w:p w14:paraId="75FCEA4B" w14:textId="77777777" w:rsidR="00E635E0" w:rsidRDefault="00E635E0">
      <w:pPr>
        <w:spacing w:line="360" w:lineRule="auto"/>
        <w:ind w:firstLineChars="200" w:firstLine="480"/>
        <w:rPr>
          <w:color w:val="000000"/>
          <w:sz w:val="24"/>
        </w:rPr>
      </w:pPr>
    </w:p>
    <w:p w14:paraId="269C0FA8" w14:textId="77777777" w:rsidR="00E635E0" w:rsidRDefault="00E635E0">
      <w:pPr>
        <w:spacing w:line="360" w:lineRule="auto"/>
        <w:ind w:firstLineChars="200" w:firstLine="480"/>
        <w:rPr>
          <w:color w:val="000000"/>
          <w:sz w:val="24"/>
        </w:rPr>
      </w:pPr>
    </w:p>
    <w:p w14:paraId="0E7FD8D8" w14:textId="77777777" w:rsidR="00E635E0" w:rsidRDefault="00E635E0">
      <w:pPr>
        <w:spacing w:line="360" w:lineRule="auto"/>
        <w:ind w:firstLineChars="200" w:firstLine="480"/>
        <w:rPr>
          <w:color w:val="000000"/>
          <w:sz w:val="24"/>
        </w:rPr>
      </w:pPr>
    </w:p>
    <w:p w14:paraId="3EDA3BBC" w14:textId="77777777" w:rsidR="00E635E0" w:rsidRDefault="00A70FAE" w:rsidP="005D2957">
      <w:pPr>
        <w:spacing w:line="360" w:lineRule="auto"/>
        <w:rPr>
          <w:color w:val="000000"/>
          <w:sz w:val="24"/>
        </w:rPr>
      </w:pPr>
      <w:r>
        <w:rPr>
          <w:rFonts w:hint="eastAsia"/>
          <w:color w:val="000000"/>
          <w:sz w:val="24"/>
        </w:rPr>
        <w:t>签订地点：</w:t>
      </w:r>
    </w:p>
    <w:p w14:paraId="2ECC18EC" w14:textId="77777777" w:rsidR="00E635E0" w:rsidRDefault="00A70FAE" w:rsidP="005D2957">
      <w:pPr>
        <w:spacing w:line="360" w:lineRule="auto"/>
        <w:rPr>
          <w:color w:val="000000"/>
        </w:rPr>
      </w:pPr>
      <w:r>
        <w:rPr>
          <w:rFonts w:hint="eastAsia"/>
          <w:color w:val="000000"/>
          <w:sz w:val="24"/>
        </w:rPr>
        <w:t>签订日期：</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14:paraId="3EBE139F" w14:textId="3AAEEF6B" w:rsidR="00EB4037" w:rsidRDefault="00EB4037">
      <w:pPr>
        <w:spacing w:line="360" w:lineRule="auto"/>
        <w:ind w:firstLineChars="200" w:firstLine="420"/>
        <w:rPr>
          <w:color w:val="000000"/>
        </w:rPr>
      </w:pPr>
    </w:p>
    <w:p w14:paraId="6423BE40" w14:textId="77777777" w:rsidR="00E635E0" w:rsidRPr="00EB4037" w:rsidRDefault="00E635E0" w:rsidP="00EB4037">
      <w:pPr>
        <w:jc w:val="center"/>
      </w:pPr>
    </w:p>
    <w:sectPr w:rsidR="00E635E0" w:rsidRPr="00EB4037">
      <w:footerReference w:type="first" r:id="rId15"/>
      <w:pgSz w:w="11906" w:h="16838"/>
      <w:pgMar w:top="1440" w:right="1797" w:bottom="1440" w:left="1797" w:header="851" w:footer="992" w:gutter="0"/>
      <w:pgNumType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7CA83" w14:textId="77777777" w:rsidR="002B2EC5" w:rsidRDefault="002B2EC5">
      <w:r>
        <w:separator/>
      </w:r>
    </w:p>
  </w:endnote>
  <w:endnote w:type="continuationSeparator" w:id="0">
    <w:p w14:paraId="50A5D6E4" w14:textId="77777777" w:rsidR="002B2EC5" w:rsidRDefault="002B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Times New Roman"/>
    <w:charset w:val="00"/>
    <w:family w:val="moder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1FA86" w14:textId="77777777" w:rsidR="00E523EB" w:rsidRDefault="00E523EB">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AE334EB" w14:textId="77777777" w:rsidR="00E523EB" w:rsidRDefault="00E523E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910020"/>
      <w:docPartObj>
        <w:docPartGallery w:val="Page Numbers (Bottom of Page)"/>
        <w:docPartUnique/>
      </w:docPartObj>
    </w:sdtPr>
    <w:sdtEndPr/>
    <w:sdtContent>
      <w:p w14:paraId="20C9EEBA" w14:textId="17909D86" w:rsidR="00E523EB" w:rsidRDefault="00E523EB">
        <w:pPr>
          <w:pStyle w:val="ad"/>
          <w:spacing w:before="60" w:after="60"/>
          <w:jc w:val="center"/>
        </w:pPr>
        <w:r>
          <w:fldChar w:fldCharType="begin"/>
        </w:r>
        <w:r>
          <w:instrText>PAGE   \* MERGEFORMAT</w:instrText>
        </w:r>
        <w:r>
          <w:fldChar w:fldCharType="separate"/>
        </w:r>
        <w:r w:rsidR="00AC4D89" w:rsidRPr="00AC4D89">
          <w:rPr>
            <w:noProof/>
            <w:lang w:val="zh-CN"/>
          </w:rPr>
          <w:t>19</w:t>
        </w:r>
        <w:r>
          <w:fldChar w:fldCharType="end"/>
        </w:r>
      </w:p>
    </w:sdtContent>
  </w:sdt>
  <w:p w14:paraId="39E32E0F" w14:textId="77777777" w:rsidR="00E523EB" w:rsidRDefault="00E523EB">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F026" w14:textId="77777777" w:rsidR="00E523EB" w:rsidRDefault="00E523EB">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612209"/>
      <w:docPartObj>
        <w:docPartGallery w:val="Page Numbers (Bottom of Page)"/>
        <w:docPartUnique/>
      </w:docPartObj>
    </w:sdtPr>
    <w:sdtEndPr/>
    <w:sdtContent>
      <w:p w14:paraId="02AD7009" w14:textId="6D875A6E" w:rsidR="00E523EB" w:rsidRDefault="00E523EB">
        <w:pPr>
          <w:pStyle w:val="ad"/>
          <w:spacing w:before="60" w:after="60"/>
          <w:jc w:val="center"/>
        </w:pPr>
        <w:r>
          <w:fldChar w:fldCharType="begin"/>
        </w:r>
        <w:r>
          <w:instrText>PAGE   \* MERGEFORMAT</w:instrText>
        </w:r>
        <w:r>
          <w:fldChar w:fldCharType="separate"/>
        </w:r>
        <w:r w:rsidR="00AC4D89" w:rsidRPr="00AC4D89">
          <w:rPr>
            <w:noProof/>
            <w:lang w:val="zh-CN"/>
          </w:rPr>
          <w:t>1</w:t>
        </w:r>
        <w:r>
          <w:fldChar w:fldCharType="end"/>
        </w:r>
      </w:p>
    </w:sdtContent>
  </w:sdt>
  <w:p w14:paraId="7CEC7C18" w14:textId="77777777" w:rsidR="00E523EB" w:rsidRDefault="00E523EB">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EEE8" w14:textId="77777777" w:rsidR="00E523EB" w:rsidRDefault="00E523E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B0AB" w14:textId="77777777" w:rsidR="002B2EC5" w:rsidRDefault="002B2EC5">
      <w:r>
        <w:separator/>
      </w:r>
    </w:p>
  </w:footnote>
  <w:footnote w:type="continuationSeparator" w:id="0">
    <w:p w14:paraId="39F4643F" w14:textId="77777777" w:rsidR="002B2EC5" w:rsidRDefault="002B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C507" w14:textId="01A5E3C1" w:rsidR="00E523EB" w:rsidRDefault="00E523EB">
    <w:pPr>
      <w:pStyle w:val="af"/>
      <w:tabs>
        <w:tab w:val="clear" w:pos="4153"/>
      </w:tabs>
      <w:jc w:val="right"/>
    </w:pPr>
    <w:r>
      <w:rPr>
        <w:rFonts w:hint="eastAsia"/>
      </w:rPr>
      <w:t>南方中证港股通互联网交易型开放式指数证券投资基金发起式联接基金托管协议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6FF1" w14:textId="541F0C06" w:rsidR="00E523EB" w:rsidRDefault="00E523EB">
    <w:pPr>
      <w:pStyle w:val="af"/>
      <w:jc w:val="right"/>
    </w:pPr>
    <w:r>
      <w:rPr>
        <w:rFonts w:hint="eastAsia"/>
      </w:rPr>
      <w:t>南方中证港股通互联网交易型开放式指数证券投资基金发起式联接基金托管协议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CDB"/>
    <w:multiLevelType w:val="multilevel"/>
    <w:tmpl w:val="06786CDB"/>
    <w:lvl w:ilvl="0">
      <w:start w:val="1"/>
      <w:numFmt w:val="decimal"/>
      <w:pStyle w:val="UCAlpha2"/>
      <w:lvlText w:val="(%1)"/>
      <w:lvlJc w:val="left"/>
      <w:pPr>
        <w:tabs>
          <w:tab w:val="left" w:pos="1941"/>
        </w:tabs>
        <w:ind w:left="1941" w:hanging="681"/>
      </w:pPr>
      <w:rPr>
        <w:rFonts w:ascii="Arial" w:hAnsi="Arial" w:hint="default"/>
        <w:b w:val="0"/>
        <w:i w:val="0"/>
        <w:sz w:val="20"/>
      </w:rPr>
    </w:lvl>
    <w:lvl w:ilvl="1">
      <w:start w:val="1"/>
      <w:numFmt w:val="lowerLetter"/>
      <w:lvlText w:val="%2."/>
      <w:lvlJc w:val="left"/>
      <w:pPr>
        <w:tabs>
          <w:tab w:val="left" w:pos="1620"/>
        </w:tabs>
        <w:ind w:left="1620" w:hanging="360"/>
      </w:pPr>
      <w:rPr>
        <w:rFonts w:hint="default"/>
      </w:rPr>
    </w:lvl>
    <w:lvl w:ilvl="2">
      <w:start w:val="1"/>
      <w:numFmt w:val="lowerRoman"/>
      <w:lvlText w:val="%3."/>
      <w:lvlJc w:val="right"/>
      <w:pPr>
        <w:tabs>
          <w:tab w:val="left" w:pos="2340"/>
        </w:tabs>
        <w:ind w:left="2340" w:hanging="180"/>
      </w:pPr>
      <w:rPr>
        <w:rFonts w:hint="default"/>
      </w:rPr>
    </w:lvl>
    <w:lvl w:ilvl="3">
      <w:start w:val="1"/>
      <w:numFmt w:val="decimal"/>
      <w:lvlText w:val="%4."/>
      <w:lvlJc w:val="left"/>
      <w:pPr>
        <w:tabs>
          <w:tab w:val="left" w:pos="3060"/>
        </w:tabs>
        <w:ind w:left="3060" w:hanging="360"/>
      </w:pPr>
      <w:rPr>
        <w:rFonts w:hint="default"/>
      </w:rPr>
    </w:lvl>
    <w:lvl w:ilvl="4">
      <w:start w:val="1"/>
      <w:numFmt w:val="lowerLetter"/>
      <w:lvlText w:val="%5."/>
      <w:lvlJc w:val="left"/>
      <w:pPr>
        <w:tabs>
          <w:tab w:val="left" w:pos="3780"/>
        </w:tabs>
        <w:ind w:left="3780" w:hanging="360"/>
      </w:pPr>
      <w:rPr>
        <w:rFonts w:hint="default"/>
      </w:rPr>
    </w:lvl>
    <w:lvl w:ilvl="5">
      <w:start w:val="1"/>
      <w:numFmt w:val="lowerRoman"/>
      <w:lvlText w:val="%6."/>
      <w:lvlJc w:val="right"/>
      <w:pPr>
        <w:tabs>
          <w:tab w:val="left" w:pos="4500"/>
        </w:tabs>
        <w:ind w:left="4500" w:hanging="180"/>
      </w:pPr>
      <w:rPr>
        <w:rFonts w:hint="default"/>
      </w:rPr>
    </w:lvl>
    <w:lvl w:ilvl="6">
      <w:start w:val="1"/>
      <w:numFmt w:val="decimal"/>
      <w:lvlText w:val="%7."/>
      <w:lvlJc w:val="left"/>
      <w:pPr>
        <w:tabs>
          <w:tab w:val="left" w:pos="5220"/>
        </w:tabs>
        <w:ind w:left="5220" w:hanging="360"/>
      </w:pPr>
      <w:rPr>
        <w:rFonts w:hint="default"/>
      </w:rPr>
    </w:lvl>
    <w:lvl w:ilvl="7">
      <w:start w:val="1"/>
      <w:numFmt w:val="lowerLetter"/>
      <w:lvlText w:val="%8."/>
      <w:lvlJc w:val="left"/>
      <w:pPr>
        <w:tabs>
          <w:tab w:val="left" w:pos="5940"/>
        </w:tabs>
        <w:ind w:left="5940" w:hanging="360"/>
      </w:pPr>
      <w:rPr>
        <w:rFonts w:hint="default"/>
      </w:rPr>
    </w:lvl>
    <w:lvl w:ilvl="8">
      <w:start w:val="1"/>
      <w:numFmt w:val="lowerRoman"/>
      <w:lvlText w:val="%9."/>
      <w:lvlJc w:val="right"/>
      <w:pPr>
        <w:tabs>
          <w:tab w:val="left" w:pos="6660"/>
        </w:tabs>
        <w:ind w:left="666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33"/>
    <w:rsid w:val="00000EF0"/>
    <w:rsid w:val="0001327B"/>
    <w:rsid w:val="00026343"/>
    <w:rsid w:val="00030126"/>
    <w:rsid w:val="000305E9"/>
    <w:rsid w:val="00045A1A"/>
    <w:rsid w:val="00050722"/>
    <w:rsid w:val="0006347F"/>
    <w:rsid w:val="000761DD"/>
    <w:rsid w:val="0007642D"/>
    <w:rsid w:val="000D1280"/>
    <w:rsid w:val="000D1F82"/>
    <w:rsid w:val="000E27C5"/>
    <w:rsid w:val="000E4093"/>
    <w:rsid w:val="0011449F"/>
    <w:rsid w:val="001207C5"/>
    <w:rsid w:val="00136D76"/>
    <w:rsid w:val="00187C1B"/>
    <w:rsid w:val="00196821"/>
    <w:rsid w:val="001A6F48"/>
    <w:rsid w:val="001B0004"/>
    <w:rsid w:val="001C3A9D"/>
    <w:rsid w:val="00201D24"/>
    <w:rsid w:val="0022192C"/>
    <w:rsid w:val="00227CAA"/>
    <w:rsid w:val="00257B12"/>
    <w:rsid w:val="00266E5E"/>
    <w:rsid w:val="00272221"/>
    <w:rsid w:val="00290D12"/>
    <w:rsid w:val="002A1B7F"/>
    <w:rsid w:val="002A22E9"/>
    <w:rsid w:val="002B0A4B"/>
    <w:rsid w:val="002B2EC5"/>
    <w:rsid w:val="002C729A"/>
    <w:rsid w:val="002D2601"/>
    <w:rsid w:val="002E79D7"/>
    <w:rsid w:val="0032481C"/>
    <w:rsid w:val="00326EF0"/>
    <w:rsid w:val="003533F8"/>
    <w:rsid w:val="0036485F"/>
    <w:rsid w:val="00385E0D"/>
    <w:rsid w:val="003A4FAE"/>
    <w:rsid w:val="003C683F"/>
    <w:rsid w:val="003D19AC"/>
    <w:rsid w:val="003D1F2A"/>
    <w:rsid w:val="003E3C33"/>
    <w:rsid w:val="003E7B82"/>
    <w:rsid w:val="003F1B1C"/>
    <w:rsid w:val="003F20B3"/>
    <w:rsid w:val="003F52B8"/>
    <w:rsid w:val="004024F3"/>
    <w:rsid w:val="0043374C"/>
    <w:rsid w:val="004428C1"/>
    <w:rsid w:val="00465670"/>
    <w:rsid w:val="00467F5C"/>
    <w:rsid w:val="00470E2F"/>
    <w:rsid w:val="004B0122"/>
    <w:rsid w:val="004D4BB6"/>
    <w:rsid w:val="004E3953"/>
    <w:rsid w:val="00511F9E"/>
    <w:rsid w:val="005238D5"/>
    <w:rsid w:val="005244B8"/>
    <w:rsid w:val="00540B95"/>
    <w:rsid w:val="00552A1D"/>
    <w:rsid w:val="005534BC"/>
    <w:rsid w:val="0057216B"/>
    <w:rsid w:val="005A3BB1"/>
    <w:rsid w:val="005A4BEE"/>
    <w:rsid w:val="005B3407"/>
    <w:rsid w:val="005C6603"/>
    <w:rsid w:val="005D2957"/>
    <w:rsid w:val="005D70F2"/>
    <w:rsid w:val="005D7EED"/>
    <w:rsid w:val="005E06C6"/>
    <w:rsid w:val="005E3FEF"/>
    <w:rsid w:val="005F0B6F"/>
    <w:rsid w:val="005F7429"/>
    <w:rsid w:val="005F7578"/>
    <w:rsid w:val="005F7C80"/>
    <w:rsid w:val="00626D8B"/>
    <w:rsid w:val="00626F30"/>
    <w:rsid w:val="00632A51"/>
    <w:rsid w:val="006342FC"/>
    <w:rsid w:val="0063498A"/>
    <w:rsid w:val="00661E5B"/>
    <w:rsid w:val="0067380B"/>
    <w:rsid w:val="00674B10"/>
    <w:rsid w:val="006761E8"/>
    <w:rsid w:val="00677363"/>
    <w:rsid w:val="00680E38"/>
    <w:rsid w:val="00682B4D"/>
    <w:rsid w:val="00697B6D"/>
    <w:rsid w:val="006A2960"/>
    <w:rsid w:val="006B54E3"/>
    <w:rsid w:val="006C5881"/>
    <w:rsid w:val="006D00AC"/>
    <w:rsid w:val="006E05BA"/>
    <w:rsid w:val="00702326"/>
    <w:rsid w:val="00723FF8"/>
    <w:rsid w:val="00727C89"/>
    <w:rsid w:val="007311B2"/>
    <w:rsid w:val="00743BAC"/>
    <w:rsid w:val="0079343D"/>
    <w:rsid w:val="00794081"/>
    <w:rsid w:val="007A5F2E"/>
    <w:rsid w:val="007E1854"/>
    <w:rsid w:val="007E59AD"/>
    <w:rsid w:val="00805E71"/>
    <w:rsid w:val="00811EA9"/>
    <w:rsid w:val="00840693"/>
    <w:rsid w:val="008429CA"/>
    <w:rsid w:val="00844548"/>
    <w:rsid w:val="00856DCE"/>
    <w:rsid w:val="00887981"/>
    <w:rsid w:val="008937E1"/>
    <w:rsid w:val="008A45D8"/>
    <w:rsid w:val="008A7F6A"/>
    <w:rsid w:val="008B7545"/>
    <w:rsid w:val="008D7AA2"/>
    <w:rsid w:val="009136A2"/>
    <w:rsid w:val="0093347D"/>
    <w:rsid w:val="00936781"/>
    <w:rsid w:val="009500DF"/>
    <w:rsid w:val="00964241"/>
    <w:rsid w:val="009672FF"/>
    <w:rsid w:val="00985735"/>
    <w:rsid w:val="009877D9"/>
    <w:rsid w:val="009A3D68"/>
    <w:rsid w:val="009A7928"/>
    <w:rsid w:val="009B37C7"/>
    <w:rsid w:val="009D249E"/>
    <w:rsid w:val="00A336FF"/>
    <w:rsid w:val="00A345BF"/>
    <w:rsid w:val="00A44EB0"/>
    <w:rsid w:val="00A4794A"/>
    <w:rsid w:val="00A5598C"/>
    <w:rsid w:val="00A60EEA"/>
    <w:rsid w:val="00A62A80"/>
    <w:rsid w:val="00A70FAE"/>
    <w:rsid w:val="00A73A42"/>
    <w:rsid w:val="00A91335"/>
    <w:rsid w:val="00A9761B"/>
    <w:rsid w:val="00AA5604"/>
    <w:rsid w:val="00AB6342"/>
    <w:rsid w:val="00AC3774"/>
    <w:rsid w:val="00AC4D89"/>
    <w:rsid w:val="00AD3B16"/>
    <w:rsid w:val="00AE4CFB"/>
    <w:rsid w:val="00B259AA"/>
    <w:rsid w:val="00B4115F"/>
    <w:rsid w:val="00B42DDB"/>
    <w:rsid w:val="00B75BE0"/>
    <w:rsid w:val="00B83918"/>
    <w:rsid w:val="00BA6B7F"/>
    <w:rsid w:val="00BB2319"/>
    <w:rsid w:val="00BD7DA9"/>
    <w:rsid w:val="00BE183A"/>
    <w:rsid w:val="00C36FAC"/>
    <w:rsid w:val="00C665C2"/>
    <w:rsid w:val="00C85E74"/>
    <w:rsid w:val="00CB44A6"/>
    <w:rsid w:val="00CC3625"/>
    <w:rsid w:val="00CC6E2C"/>
    <w:rsid w:val="00CF516F"/>
    <w:rsid w:val="00D04AF3"/>
    <w:rsid w:val="00D17528"/>
    <w:rsid w:val="00D4746F"/>
    <w:rsid w:val="00D5529E"/>
    <w:rsid w:val="00D8429D"/>
    <w:rsid w:val="00D962C5"/>
    <w:rsid w:val="00DB0829"/>
    <w:rsid w:val="00E01102"/>
    <w:rsid w:val="00E05733"/>
    <w:rsid w:val="00E127F8"/>
    <w:rsid w:val="00E270D9"/>
    <w:rsid w:val="00E32C72"/>
    <w:rsid w:val="00E50886"/>
    <w:rsid w:val="00E523EB"/>
    <w:rsid w:val="00E527B8"/>
    <w:rsid w:val="00E52DA0"/>
    <w:rsid w:val="00E635E0"/>
    <w:rsid w:val="00E96609"/>
    <w:rsid w:val="00EB0531"/>
    <w:rsid w:val="00EB237C"/>
    <w:rsid w:val="00EB4037"/>
    <w:rsid w:val="00EC4121"/>
    <w:rsid w:val="00EC5BDE"/>
    <w:rsid w:val="00EC7BDB"/>
    <w:rsid w:val="00EE1344"/>
    <w:rsid w:val="00EE56DB"/>
    <w:rsid w:val="00F1547E"/>
    <w:rsid w:val="00F441C2"/>
    <w:rsid w:val="00F45B3E"/>
    <w:rsid w:val="00F514B6"/>
    <w:rsid w:val="00F85D07"/>
    <w:rsid w:val="00F87DF8"/>
    <w:rsid w:val="00FA21D6"/>
    <w:rsid w:val="00FD2856"/>
    <w:rsid w:val="00FD36FD"/>
    <w:rsid w:val="00FD53A0"/>
    <w:rsid w:val="00FF543C"/>
    <w:rsid w:val="08934B1E"/>
    <w:rsid w:val="0B7A0C56"/>
    <w:rsid w:val="0B7A2363"/>
    <w:rsid w:val="10441F3B"/>
    <w:rsid w:val="115C0A42"/>
    <w:rsid w:val="140E57F5"/>
    <w:rsid w:val="16DD383D"/>
    <w:rsid w:val="1A1224C3"/>
    <w:rsid w:val="1C690BFF"/>
    <w:rsid w:val="1CA02ED8"/>
    <w:rsid w:val="1F167A11"/>
    <w:rsid w:val="21B82483"/>
    <w:rsid w:val="25E50777"/>
    <w:rsid w:val="29204723"/>
    <w:rsid w:val="295E6CA6"/>
    <w:rsid w:val="2E2271A7"/>
    <w:rsid w:val="2E6A488F"/>
    <w:rsid w:val="38EC035C"/>
    <w:rsid w:val="39D468C3"/>
    <w:rsid w:val="3ECA20B0"/>
    <w:rsid w:val="45915326"/>
    <w:rsid w:val="45F9186F"/>
    <w:rsid w:val="49F153DD"/>
    <w:rsid w:val="4E5B7EB7"/>
    <w:rsid w:val="5BA10761"/>
    <w:rsid w:val="5DF356C5"/>
    <w:rsid w:val="61AC2FF1"/>
    <w:rsid w:val="67867E22"/>
    <w:rsid w:val="682F7FFB"/>
    <w:rsid w:val="69D24114"/>
    <w:rsid w:val="6A621215"/>
    <w:rsid w:val="6F593ECC"/>
    <w:rsid w:val="70AB4321"/>
    <w:rsid w:val="71667E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2914"/>
  <w15:docId w15:val="{637116C4-FC44-48E3-A5B0-D44E9371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120" w:after="120" w:line="360" w:lineRule="auto"/>
      <w:jc w:val="center"/>
      <w:outlineLvl w:val="0"/>
    </w:pPr>
    <w:rPr>
      <w:rFonts w:ascii="宋体"/>
      <w:b/>
      <w:color w:val="000000"/>
      <w:kern w:val="0"/>
      <w:sz w:val="24"/>
      <w:szCs w:val="20"/>
    </w:rPr>
  </w:style>
  <w:style w:type="paragraph" w:styleId="2">
    <w:name w:val="heading 2"/>
    <w:basedOn w:val="a"/>
    <w:next w:val="a"/>
    <w:link w:val="20"/>
    <w:uiPriority w:val="9"/>
    <w:semiHidden/>
    <w:unhideWhenUsed/>
    <w:qFormat/>
    <w:pPr>
      <w:keepNext/>
      <w:keepLines/>
      <w:spacing w:before="120" w:after="120" w:line="360" w:lineRule="auto"/>
      <w:outlineLvl w:val="1"/>
    </w:pPr>
    <w:rPr>
      <w:rFonts w:ascii="宋体"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Document Map"/>
    <w:basedOn w:val="a"/>
    <w:link w:val="a4"/>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tabs>
        <w:tab w:val="left" w:pos="3780"/>
      </w:tabs>
      <w:autoSpaceDE w:val="0"/>
      <w:autoSpaceDN w:val="0"/>
      <w:spacing w:beforeLines="50" w:afterLines="50" w:line="360" w:lineRule="auto"/>
      <w:textAlignment w:val="bottom"/>
      <w:outlineLvl w:val="0"/>
    </w:pPr>
    <w:rPr>
      <w:rFonts w:ascii="宋体" w:hAnsi="宋体"/>
      <w:b/>
      <w:bCs/>
      <w:color w:val="FF0000"/>
      <w:sz w:val="24"/>
    </w:rPr>
  </w:style>
  <w:style w:type="paragraph" w:styleId="a9">
    <w:name w:val="Body Text Indent"/>
    <w:basedOn w:val="a"/>
    <w:link w:val="aa"/>
    <w:qFormat/>
    <w:pPr>
      <w:spacing w:line="360" w:lineRule="auto"/>
      <w:ind w:firstLine="420"/>
    </w:pPr>
    <w:rPr>
      <w:szCs w:val="2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1">
    <w:name w:val="Body Text Indent 2"/>
    <w:basedOn w:val="a"/>
    <w:link w:val="22"/>
    <w:qFormat/>
    <w:pPr>
      <w:tabs>
        <w:tab w:val="left" w:pos="1260"/>
      </w:tabs>
      <w:spacing w:line="360" w:lineRule="auto"/>
      <w:ind w:firstLineChars="200" w:firstLine="480"/>
    </w:pPr>
    <w:rPr>
      <w:rFonts w:ascii="宋体" w:hAnsi="宋体"/>
      <w:kern w:val="0"/>
      <w:sz w:val="24"/>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line="360" w:lineRule="auto"/>
      <w:ind w:firstLineChars="200" w:firstLine="482"/>
    </w:pPr>
    <w:rPr>
      <w:b/>
      <w:caps/>
      <w:sz w:val="20"/>
      <w:szCs w:val="20"/>
    </w:rPr>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23">
    <w:name w:val="toc 2"/>
    <w:basedOn w:val="a"/>
    <w:next w:val="a"/>
    <w:qFormat/>
    <w:pPr>
      <w:ind w:leftChars="200" w:left="420"/>
    </w:pPr>
  </w:style>
  <w:style w:type="paragraph" w:styleId="9">
    <w:name w:val="toc 9"/>
    <w:basedOn w:val="a"/>
    <w:next w:val="a"/>
    <w:qFormat/>
    <w:pPr>
      <w:ind w:leftChars="1600" w:left="3360"/>
    </w:pPr>
  </w:style>
  <w:style w:type="paragraph" w:styleId="24">
    <w:name w:val="Body Text 2"/>
    <w:basedOn w:val="a"/>
    <w:link w:val="25"/>
    <w:qFormat/>
    <w:pPr>
      <w:tabs>
        <w:tab w:val="left" w:pos="3780"/>
      </w:tabs>
      <w:autoSpaceDE w:val="0"/>
      <w:autoSpaceDN w:val="0"/>
      <w:spacing w:beforeLines="50" w:afterLines="50" w:line="300" w:lineRule="auto"/>
      <w:textAlignment w:val="bottom"/>
      <w:outlineLvl w:val="0"/>
    </w:pPr>
    <w:rPr>
      <w:rFonts w:ascii="宋体" w:hAnsi="宋体"/>
      <w:b/>
      <w:bCs/>
      <w:sz w:val="24"/>
    </w:rPr>
  </w:style>
  <w:style w:type="paragraph" w:styleId="af1">
    <w:name w:val="annotation subject"/>
    <w:basedOn w:val="a5"/>
    <w:next w:val="a5"/>
    <w:link w:val="af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10">
    <w:name w:val="标题 1 字符"/>
    <w:link w:val="1"/>
    <w:qFormat/>
    <w:rPr>
      <w:rFonts w:ascii="宋体" w:eastAsia="宋体" w:hAnsi="Times New Roman" w:cs="Times New Roman"/>
      <w:b/>
      <w:color w:val="000000"/>
      <w:sz w:val="24"/>
      <w:szCs w:val="20"/>
    </w:rPr>
  </w:style>
  <w:style w:type="character" w:customStyle="1" w:styleId="20">
    <w:name w:val="标题 2 字符"/>
    <w:link w:val="2"/>
    <w:qFormat/>
    <w:rPr>
      <w:rFonts w:ascii="宋体" w:eastAsia="宋体" w:hAnsi="Arial" w:cs="Times New Roman"/>
      <w:b/>
      <w:kern w:val="2"/>
      <w:sz w:val="21"/>
      <w:szCs w:val="20"/>
    </w:rPr>
  </w:style>
  <w:style w:type="character" w:customStyle="1" w:styleId="af0">
    <w:name w:val="页眉 字符"/>
    <w:link w:val="af"/>
    <w:qFormat/>
    <w:rPr>
      <w:rFonts w:ascii="Times New Roman" w:eastAsia="宋体" w:hAnsi="Times New Roman" w:cs="Times New Roman"/>
      <w:kern w:val="2"/>
      <w:sz w:val="18"/>
      <w:szCs w:val="18"/>
    </w:rPr>
  </w:style>
  <w:style w:type="character" w:customStyle="1" w:styleId="ae">
    <w:name w:val="页脚 字符"/>
    <w:link w:val="ad"/>
    <w:uiPriority w:val="99"/>
    <w:qFormat/>
    <w:rPr>
      <w:rFonts w:ascii="Times New Roman" w:eastAsia="宋体" w:hAnsi="Times New Roman" w:cs="Times New Roman"/>
      <w:kern w:val="2"/>
      <w:sz w:val="18"/>
      <w:szCs w:val="18"/>
    </w:rPr>
  </w:style>
  <w:style w:type="character" w:customStyle="1" w:styleId="aa">
    <w:name w:val="正文文本缩进 字符"/>
    <w:link w:val="a9"/>
    <w:qFormat/>
    <w:rPr>
      <w:rFonts w:ascii="Times New Roman" w:eastAsia="宋体" w:hAnsi="Times New Roman" w:cs="Times New Roman"/>
      <w:kern w:val="2"/>
      <w:sz w:val="21"/>
      <w:szCs w:val="20"/>
    </w:rPr>
  </w:style>
  <w:style w:type="paragraph" w:customStyle="1" w:styleId="af6">
    <w:name w:val="正文所"/>
    <w:basedOn w:val="a"/>
    <w:qFormat/>
    <w:pPr>
      <w:spacing w:line="360" w:lineRule="auto"/>
      <w:ind w:firstLine="420"/>
    </w:pPr>
  </w:style>
  <w:style w:type="paragraph" w:customStyle="1" w:styleId="2025025">
    <w:name w:val="样式 首行缩进:  2 字符 段前: 0.25 行 段后: 0.25 行"/>
    <w:basedOn w:val="a"/>
    <w:qFormat/>
    <w:pPr>
      <w:spacing w:beforeLines="25" w:afterLines="25" w:line="300" w:lineRule="auto"/>
      <w:ind w:firstLineChars="200" w:firstLine="420"/>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c">
    <w:name w:val="批注框文本 字符"/>
    <w:link w:val="ab"/>
    <w:qFormat/>
    <w:rPr>
      <w:rFonts w:ascii="Times New Roman" w:eastAsia="宋体" w:hAnsi="Times New Roman" w:cs="Times New Roman"/>
      <w:kern w:val="2"/>
      <w:sz w:val="18"/>
      <w:szCs w:val="18"/>
    </w:rPr>
  </w:style>
  <w:style w:type="paragraph" w:customStyle="1" w:styleId="ParaChar">
    <w:name w:val="默认段落字体 Para Char"/>
    <w:basedOn w:val="a"/>
    <w:qFormat/>
  </w:style>
  <w:style w:type="character" w:customStyle="1" w:styleId="a4">
    <w:name w:val="文档结构图 字符"/>
    <w:link w:val="a3"/>
    <w:qFormat/>
    <w:rPr>
      <w:rFonts w:ascii="Times New Roman" w:eastAsia="宋体" w:hAnsi="Times New Roman" w:cs="Times New Roman"/>
      <w:kern w:val="2"/>
      <w:sz w:val="21"/>
      <w:szCs w:val="24"/>
      <w:shd w:val="clear" w:color="auto" w:fill="000080"/>
    </w:rPr>
  </w:style>
  <w:style w:type="character" w:customStyle="1" w:styleId="a6">
    <w:name w:val="批注文字 字符"/>
    <w:link w:val="a5"/>
    <w:qFormat/>
    <w:rPr>
      <w:rFonts w:ascii="Times New Roman" w:eastAsia="宋体" w:hAnsi="Times New Roman" w:cs="Times New Roman"/>
      <w:kern w:val="2"/>
      <w:sz w:val="21"/>
      <w:szCs w:val="24"/>
    </w:rPr>
  </w:style>
  <w:style w:type="character" w:customStyle="1" w:styleId="af2">
    <w:name w:val="批注主题 字符"/>
    <w:link w:val="af1"/>
    <w:qFormat/>
    <w:rPr>
      <w:rFonts w:ascii="Times New Roman" w:eastAsia="宋体" w:hAnsi="Times New Roman" w:cs="Times New Roman"/>
      <w:b/>
      <w:bCs/>
      <w:kern w:val="2"/>
      <w:sz w:val="21"/>
      <w:szCs w:val="24"/>
    </w:rPr>
  </w:style>
  <w:style w:type="paragraph" w:customStyle="1" w:styleId="Char">
    <w:name w:val="Char"/>
    <w:basedOn w:val="a"/>
    <w:qFormat/>
  </w:style>
  <w:style w:type="character" w:customStyle="1" w:styleId="22">
    <w:name w:val="正文文本缩进 2 字符"/>
    <w:link w:val="21"/>
    <w:qFormat/>
    <w:rPr>
      <w:rFonts w:ascii="宋体" w:eastAsia="宋体" w:hAnsi="宋体" w:cs="Times New Roman"/>
      <w:sz w:val="24"/>
      <w:szCs w:val="24"/>
    </w:rPr>
  </w:style>
  <w:style w:type="character" w:customStyle="1" w:styleId="a8">
    <w:name w:val="正文文本 字符"/>
    <w:link w:val="a7"/>
    <w:qFormat/>
    <w:rPr>
      <w:rFonts w:ascii="宋体" w:eastAsia="宋体" w:hAnsi="宋体" w:cs="Times New Roman"/>
      <w:b/>
      <w:bCs/>
      <w:color w:val="FF0000"/>
      <w:kern w:val="2"/>
      <w:sz w:val="24"/>
      <w:szCs w:val="24"/>
    </w:rPr>
  </w:style>
  <w:style w:type="character" w:customStyle="1" w:styleId="25">
    <w:name w:val="正文文本 2 字符"/>
    <w:link w:val="24"/>
    <w:qFormat/>
    <w:rPr>
      <w:rFonts w:ascii="宋体" w:eastAsia="宋体" w:hAnsi="宋体" w:cs="Times New Roman"/>
      <w:b/>
      <w:bCs/>
      <w:kern w:val="2"/>
      <w:sz w:val="24"/>
      <w:szCs w:val="24"/>
    </w:rPr>
  </w:style>
  <w:style w:type="paragraph" w:customStyle="1" w:styleId="UCAlpha2">
    <w:name w:val="UCAlpha 2"/>
    <w:basedOn w:val="a"/>
    <w:qFormat/>
    <w:pPr>
      <w:widowControl/>
      <w:numPr>
        <w:numId w:val="1"/>
      </w:numPr>
      <w:spacing w:after="140" w:line="290" w:lineRule="auto"/>
    </w:pPr>
    <w:rPr>
      <w:rFonts w:ascii="Arial" w:hAnsi="Arial"/>
      <w:kern w:val="20"/>
      <w:sz w:val="20"/>
      <w:lang w:val="en-GB" w:eastAsia="en-US"/>
    </w:rPr>
  </w:style>
  <w:style w:type="paragraph" w:customStyle="1" w:styleId="12">
    <w:name w:val="修订1"/>
    <w:uiPriority w:val="99"/>
    <w:qFormat/>
    <w:rPr>
      <w:kern w:val="2"/>
      <w:sz w:val="21"/>
      <w:szCs w:val="24"/>
    </w:rPr>
  </w:style>
  <w:style w:type="paragraph" w:customStyle="1" w:styleId="13">
    <w:name w:val="列出段落1"/>
    <w:basedOn w:val="a"/>
    <w:uiPriority w:val="34"/>
    <w:qFormat/>
    <w:pPr>
      <w:ind w:firstLineChars="200" w:firstLine="420"/>
    </w:pPr>
  </w:style>
  <w:style w:type="character" w:customStyle="1" w:styleId="read">
    <w:name w:val="read"/>
    <w:basedOn w:val="a0"/>
    <w:qFormat/>
  </w:style>
  <w:style w:type="paragraph" w:customStyle="1" w:styleId="26">
    <w:name w:val="修订2"/>
    <w:uiPriority w:val="99"/>
    <w:qFormat/>
    <w:rPr>
      <w:kern w:val="2"/>
      <w:sz w:val="21"/>
      <w:szCs w:val="24"/>
    </w:rPr>
  </w:style>
  <w:style w:type="paragraph" w:customStyle="1" w:styleId="30">
    <w:name w:val="修订3"/>
    <w:hidden/>
    <w:uiPriority w:val="99"/>
    <w:semiHidden/>
    <w:qFormat/>
    <w:rPr>
      <w:kern w:val="2"/>
      <w:sz w:val="21"/>
      <w:szCs w:val="24"/>
    </w:rPr>
  </w:style>
  <w:style w:type="paragraph" w:customStyle="1" w:styleId="40">
    <w:name w:val="修订4"/>
    <w:hidden/>
    <w:uiPriority w:val="99"/>
    <w:unhideWhenUsed/>
    <w:qFormat/>
    <w:rPr>
      <w:kern w:val="2"/>
      <w:sz w:val="21"/>
      <w:szCs w:val="24"/>
    </w:rPr>
  </w:style>
  <w:style w:type="paragraph" w:customStyle="1" w:styleId="50">
    <w:name w:val="修订5"/>
    <w:hidden/>
    <w:uiPriority w:val="99"/>
    <w:semiHidden/>
    <w:qFormat/>
    <w:rPr>
      <w:kern w:val="2"/>
      <w:sz w:val="21"/>
      <w:szCs w:val="24"/>
    </w:rPr>
  </w:style>
  <w:style w:type="paragraph" w:customStyle="1" w:styleId="60">
    <w:name w:val="修订6"/>
    <w:hidden/>
    <w:uiPriority w:val="99"/>
    <w:semiHidden/>
    <w:qFormat/>
    <w:rPr>
      <w:kern w:val="2"/>
      <w:sz w:val="21"/>
      <w:szCs w:val="24"/>
    </w:rPr>
  </w:style>
  <w:style w:type="paragraph" w:styleId="af7">
    <w:name w:val="Revision"/>
    <w:hidden/>
    <w:uiPriority w:val="99"/>
    <w:semiHidden/>
    <w:rsid w:val="005D29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7DB4-C801-4A60-8768-4E233B9BCC78}">
  <ds:schemaRefs>
    <ds:schemaRef ds:uri="http://www.wps.cn/android/officeDocument/2013/mofficeCustomData"/>
  </ds:schemaRefs>
</ds:datastoreItem>
</file>

<file path=customXml/itemProps2.xml><?xml version="1.0" encoding="utf-8"?>
<ds:datastoreItem xmlns:ds="http://schemas.openxmlformats.org/officeDocument/2006/customXml" ds:itemID="{53A48C02-FD90-4EEB-B78E-0CE170D2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4206</Words>
  <Characters>23978</Characters>
  <Application>Microsoft Office Word</Application>
  <DocSecurity>0</DocSecurity>
  <Lines>199</Lines>
  <Paragraphs>56</Paragraphs>
  <ScaleCrop>false</ScaleCrop>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刘梵溪</dc:creator>
  <cp:lastModifiedBy>刘梵溪</cp:lastModifiedBy>
  <cp:revision>2</cp:revision>
  <cp:lastPrinted>2018-03-13T01:20:00Z</cp:lastPrinted>
  <dcterms:created xsi:type="dcterms:W3CDTF">2026-01-29T10:11:00Z</dcterms:created>
  <dcterms:modified xsi:type="dcterms:W3CDTF">2026-01-29T10:11:00Z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351243E0F1B24D89A313CDF5DC79A966_13</vt:lpwstr>
  </property>
</Properties>
</file>