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3FB1F7A" w14:textId="10D1B601" w:rsidR="00AE3DA6" w:rsidRDefault="00AE3DA6">
      <w:pPr>
        <w:widowControl/>
        <w:autoSpaceDE w:val="0"/>
        <w:autoSpaceDN w:val="0"/>
        <w:spacing w:line="360" w:lineRule="auto"/>
        <w:jc w:val="center"/>
        <w:textAlignment w:val="bottom"/>
        <w:rPr>
          <w:rFonts w:ascii="宋体" w:cs="Times New Roman"/>
          <w:b/>
          <w:bCs/>
          <w:sz w:val="44"/>
          <w:szCs w:val="44"/>
        </w:rPr>
      </w:pPr>
      <w:bookmarkStart w:id="0" w:name="_GoBack"/>
      <w:bookmarkEnd w:id="0"/>
    </w:p>
    <w:p w14:paraId="73F33FFE" w14:textId="77777777" w:rsidR="00AE3DA6" w:rsidRDefault="00AE3DA6">
      <w:pPr>
        <w:widowControl/>
        <w:autoSpaceDE w:val="0"/>
        <w:autoSpaceDN w:val="0"/>
        <w:spacing w:line="360" w:lineRule="auto"/>
        <w:jc w:val="center"/>
        <w:textAlignment w:val="bottom"/>
        <w:rPr>
          <w:rFonts w:ascii="宋体" w:cs="Times New Roman"/>
          <w:b/>
          <w:bCs/>
          <w:sz w:val="44"/>
          <w:szCs w:val="44"/>
        </w:rPr>
      </w:pPr>
    </w:p>
    <w:p w14:paraId="55EAE7B6" w14:textId="77777777" w:rsidR="00AE3DA6" w:rsidRDefault="00AE3DA6">
      <w:pPr>
        <w:widowControl/>
        <w:autoSpaceDE w:val="0"/>
        <w:autoSpaceDN w:val="0"/>
        <w:spacing w:line="360" w:lineRule="auto"/>
        <w:jc w:val="center"/>
        <w:textAlignment w:val="bottom"/>
        <w:rPr>
          <w:rFonts w:ascii="宋体" w:cs="Times New Roman"/>
          <w:b/>
          <w:bCs/>
          <w:sz w:val="44"/>
          <w:szCs w:val="44"/>
        </w:rPr>
      </w:pPr>
    </w:p>
    <w:p w14:paraId="2FC81573" w14:textId="77777777" w:rsidR="00AE3DA6" w:rsidRDefault="00AE3DA6">
      <w:pPr>
        <w:widowControl/>
        <w:autoSpaceDE w:val="0"/>
        <w:autoSpaceDN w:val="0"/>
        <w:spacing w:line="360" w:lineRule="auto"/>
        <w:jc w:val="center"/>
        <w:textAlignment w:val="bottom"/>
        <w:rPr>
          <w:rFonts w:ascii="宋体" w:cs="Times New Roman"/>
          <w:b/>
          <w:bCs/>
          <w:sz w:val="44"/>
          <w:szCs w:val="44"/>
        </w:rPr>
      </w:pPr>
    </w:p>
    <w:p w14:paraId="29EB9892" w14:textId="77777777" w:rsidR="00AE3DA6" w:rsidRDefault="00AE3DA6">
      <w:pPr>
        <w:widowControl/>
        <w:autoSpaceDE w:val="0"/>
        <w:autoSpaceDN w:val="0"/>
        <w:spacing w:line="360" w:lineRule="auto"/>
        <w:jc w:val="center"/>
        <w:textAlignment w:val="bottom"/>
        <w:rPr>
          <w:rFonts w:ascii="宋体" w:cs="Times New Roman"/>
          <w:b/>
          <w:bCs/>
          <w:sz w:val="44"/>
          <w:szCs w:val="44"/>
        </w:rPr>
      </w:pPr>
    </w:p>
    <w:p w14:paraId="60EFEDF5" w14:textId="125E8245" w:rsidR="000A553B" w:rsidRPr="000A553B" w:rsidRDefault="00795E23" w:rsidP="000A553B">
      <w:pPr>
        <w:jc w:val="center"/>
        <w:rPr>
          <w:b/>
          <w:sz w:val="44"/>
          <w:szCs w:val="44"/>
        </w:rPr>
      </w:pPr>
      <w:bookmarkStart w:id="1" w:name="_Toc360192746"/>
      <w:bookmarkStart w:id="2" w:name="_Toc360794094"/>
      <w:bookmarkStart w:id="3" w:name="_Toc416453788"/>
      <w:bookmarkStart w:id="4" w:name="_Toc48900067"/>
      <w:bookmarkStart w:id="5" w:name="_Toc360793492"/>
      <w:bookmarkStart w:id="6" w:name="_Toc416453839"/>
      <w:bookmarkStart w:id="7" w:name="_Toc360194761"/>
      <w:bookmarkStart w:id="8" w:name="_Toc360787431"/>
      <w:bookmarkStart w:id="9" w:name="_Toc360786949"/>
      <w:bookmarkStart w:id="10" w:name="_Toc360191555"/>
      <w:bookmarkStart w:id="11" w:name="_Toc362533449"/>
      <w:bookmarkStart w:id="12" w:name="_Toc360794402"/>
      <w:bookmarkStart w:id="13" w:name="_Toc360195006"/>
      <w:bookmarkStart w:id="14" w:name="_Toc360195350"/>
      <w:r w:rsidRPr="000A553B">
        <w:rPr>
          <w:rFonts w:hint="eastAsia"/>
          <w:b/>
          <w:sz w:val="44"/>
          <w:szCs w:val="44"/>
        </w:rPr>
        <w:t>南方</w:t>
      </w:r>
      <w:r>
        <w:rPr>
          <w:rFonts w:hint="eastAsia"/>
          <w:b/>
          <w:sz w:val="44"/>
          <w:szCs w:val="44"/>
        </w:rPr>
        <w:t>中证港股通互联网</w:t>
      </w:r>
      <w:r w:rsidRPr="000A553B">
        <w:rPr>
          <w:rFonts w:hint="eastAsia"/>
          <w:b/>
          <w:sz w:val="44"/>
          <w:szCs w:val="44"/>
        </w:rPr>
        <w:t>交易型开放式指数证券投资基金发起式联接基金</w:t>
      </w:r>
    </w:p>
    <w:p w14:paraId="4E48F0EE" w14:textId="50029F72" w:rsidR="00AE3DA6" w:rsidRPr="000A553B" w:rsidRDefault="00795E23" w:rsidP="000A553B">
      <w:pPr>
        <w:jc w:val="center"/>
      </w:pPr>
      <w:r w:rsidRPr="000A553B">
        <w:rPr>
          <w:rFonts w:hint="eastAsia"/>
          <w:b/>
          <w:sz w:val="44"/>
          <w:szCs w:val="44"/>
        </w:rPr>
        <w:t>招募说明书</w:t>
      </w:r>
      <w:bookmarkEnd w:id="1"/>
      <w:bookmarkEnd w:id="2"/>
      <w:bookmarkEnd w:id="3"/>
      <w:bookmarkEnd w:id="4"/>
      <w:bookmarkEnd w:id="5"/>
      <w:bookmarkEnd w:id="6"/>
      <w:bookmarkEnd w:id="7"/>
      <w:bookmarkEnd w:id="8"/>
      <w:bookmarkEnd w:id="9"/>
      <w:bookmarkEnd w:id="10"/>
      <w:bookmarkEnd w:id="11"/>
      <w:bookmarkEnd w:id="12"/>
      <w:bookmarkEnd w:id="13"/>
      <w:bookmarkEnd w:id="14"/>
    </w:p>
    <w:p w14:paraId="5F4FB6C5" w14:textId="77777777" w:rsidR="00AE3DA6" w:rsidRPr="002E1E35" w:rsidRDefault="00AE3DA6">
      <w:pPr>
        <w:spacing w:line="400" w:lineRule="atLeast"/>
        <w:rPr>
          <w:rFonts w:ascii="宋体" w:cs="Times New Roman"/>
        </w:rPr>
      </w:pPr>
    </w:p>
    <w:p w14:paraId="10239B61" w14:textId="77777777" w:rsidR="00AE3DA6" w:rsidRDefault="00AE3DA6">
      <w:pPr>
        <w:spacing w:line="400" w:lineRule="atLeast"/>
        <w:rPr>
          <w:rFonts w:ascii="宋体" w:cs="Times New Roman"/>
        </w:rPr>
      </w:pPr>
    </w:p>
    <w:p w14:paraId="410C9CB9" w14:textId="77777777" w:rsidR="00AE3DA6" w:rsidRDefault="00AE3DA6">
      <w:pPr>
        <w:spacing w:line="400" w:lineRule="atLeast"/>
        <w:rPr>
          <w:rFonts w:ascii="宋体" w:cs="Times New Roman"/>
        </w:rPr>
      </w:pPr>
    </w:p>
    <w:p w14:paraId="1BE53FCC" w14:textId="77777777" w:rsidR="00AE3DA6" w:rsidRDefault="00AE3DA6">
      <w:pPr>
        <w:spacing w:line="400" w:lineRule="atLeast"/>
        <w:rPr>
          <w:rFonts w:ascii="宋体" w:cs="Times New Roman"/>
        </w:rPr>
      </w:pPr>
    </w:p>
    <w:p w14:paraId="44CD3FBD" w14:textId="77777777" w:rsidR="00AE3DA6" w:rsidRDefault="00AE3DA6">
      <w:pPr>
        <w:spacing w:line="400" w:lineRule="atLeast"/>
        <w:rPr>
          <w:rFonts w:ascii="宋体" w:cs="Times New Roman"/>
        </w:rPr>
      </w:pPr>
    </w:p>
    <w:p w14:paraId="11130C35" w14:textId="77777777" w:rsidR="00AE3DA6" w:rsidRDefault="00AE3DA6">
      <w:pPr>
        <w:spacing w:line="400" w:lineRule="atLeast"/>
        <w:rPr>
          <w:rFonts w:ascii="宋体" w:cs="Times New Roman"/>
        </w:rPr>
      </w:pPr>
    </w:p>
    <w:p w14:paraId="22C7F8DD" w14:textId="77777777" w:rsidR="00AE3DA6" w:rsidRDefault="00AE3DA6">
      <w:pPr>
        <w:spacing w:line="400" w:lineRule="atLeast"/>
        <w:rPr>
          <w:rFonts w:ascii="宋体" w:cs="Times New Roman"/>
        </w:rPr>
      </w:pPr>
    </w:p>
    <w:p w14:paraId="6CA3052F" w14:textId="77777777" w:rsidR="00AE3DA6" w:rsidRDefault="00AE3DA6">
      <w:pPr>
        <w:spacing w:line="400" w:lineRule="atLeast"/>
        <w:rPr>
          <w:rFonts w:ascii="宋体" w:cs="Times New Roman"/>
        </w:rPr>
      </w:pPr>
    </w:p>
    <w:p w14:paraId="450AC02E" w14:textId="77777777" w:rsidR="00AE3DA6" w:rsidRDefault="00AE3DA6">
      <w:pPr>
        <w:spacing w:line="400" w:lineRule="atLeast"/>
        <w:rPr>
          <w:rFonts w:ascii="宋体" w:cs="Times New Roman"/>
        </w:rPr>
      </w:pPr>
    </w:p>
    <w:p w14:paraId="487B71F6" w14:textId="77777777" w:rsidR="00AE3DA6" w:rsidRDefault="00AE3DA6">
      <w:pPr>
        <w:tabs>
          <w:tab w:val="left" w:pos="540"/>
        </w:tabs>
        <w:adjustRightInd w:val="0"/>
        <w:snapToGrid w:val="0"/>
        <w:spacing w:line="360" w:lineRule="auto"/>
        <w:ind w:firstLineChars="200" w:firstLine="600"/>
        <w:jc w:val="center"/>
        <w:rPr>
          <w:rFonts w:ascii="宋体" w:cs="Times New Roman"/>
          <w:sz w:val="30"/>
          <w:szCs w:val="30"/>
        </w:rPr>
      </w:pPr>
    </w:p>
    <w:p w14:paraId="42CFCE9F" w14:textId="77777777" w:rsidR="00AE3DA6" w:rsidRDefault="00795E23">
      <w:pPr>
        <w:tabs>
          <w:tab w:val="left" w:pos="540"/>
        </w:tabs>
        <w:adjustRightInd w:val="0"/>
        <w:snapToGrid w:val="0"/>
        <w:spacing w:line="360" w:lineRule="auto"/>
        <w:jc w:val="center"/>
        <w:rPr>
          <w:rFonts w:ascii="宋体" w:cs="Times New Roman"/>
          <w:b/>
          <w:bCs/>
          <w:sz w:val="30"/>
          <w:szCs w:val="30"/>
        </w:rPr>
      </w:pPr>
      <w:r>
        <w:rPr>
          <w:rFonts w:ascii="宋体" w:hAnsi="宋体" w:cs="宋体" w:hint="eastAsia"/>
          <w:b/>
          <w:bCs/>
          <w:sz w:val="30"/>
          <w:szCs w:val="30"/>
        </w:rPr>
        <w:t>基金管理人：南方基金管理股份有限公司</w:t>
      </w:r>
    </w:p>
    <w:p w14:paraId="393684F3" w14:textId="125FA397" w:rsidR="00AE3DA6" w:rsidRDefault="00795E23">
      <w:pPr>
        <w:tabs>
          <w:tab w:val="left" w:pos="540"/>
        </w:tabs>
        <w:adjustRightInd w:val="0"/>
        <w:snapToGrid w:val="0"/>
        <w:spacing w:line="360" w:lineRule="auto"/>
        <w:jc w:val="center"/>
        <w:rPr>
          <w:rFonts w:ascii="宋体" w:cs="Times New Roman"/>
          <w:b/>
          <w:bCs/>
          <w:sz w:val="30"/>
          <w:szCs w:val="30"/>
        </w:rPr>
      </w:pPr>
      <w:r>
        <w:rPr>
          <w:rFonts w:ascii="宋体" w:hAnsi="宋体" w:cs="宋体" w:hint="eastAsia"/>
          <w:b/>
          <w:bCs/>
          <w:sz w:val="30"/>
          <w:szCs w:val="30"/>
        </w:rPr>
        <w:t>基金托管人：国泰海通证券股份有限公司</w:t>
      </w:r>
    </w:p>
    <w:p w14:paraId="7B973A49" w14:textId="77777777" w:rsidR="00AE3DA6" w:rsidRDefault="00AE3DA6">
      <w:pPr>
        <w:tabs>
          <w:tab w:val="left" w:pos="540"/>
        </w:tabs>
        <w:adjustRightInd w:val="0"/>
        <w:snapToGrid w:val="0"/>
        <w:spacing w:line="360" w:lineRule="auto"/>
        <w:jc w:val="center"/>
        <w:rPr>
          <w:rFonts w:hAnsi="宋体" w:cs="Times New Roman"/>
        </w:rPr>
      </w:pPr>
    </w:p>
    <w:p w14:paraId="73A404D1" w14:textId="77777777" w:rsidR="00AE3DA6" w:rsidRDefault="00795E23">
      <w:pPr>
        <w:jc w:val="center"/>
        <w:rPr>
          <w:rFonts w:cs="Times New Roman"/>
          <w:sz w:val="28"/>
          <w:szCs w:val="28"/>
        </w:rPr>
      </w:pPr>
      <w:r>
        <w:rPr>
          <w:rFonts w:ascii="宋体" w:cs="Times New Roman"/>
          <w:sz w:val="30"/>
          <w:szCs w:val="30"/>
        </w:rPr>
        <w:br w:type="page"/>
      </w:r>
    </w:p>
    <w:p w14:paraId="7659C154" w14:textId="77777777" w:rsidR="00AE3DA6" w:rsidRDefault="00795E23">
      <w:pPr>
        <w:snapToGrid w:val="0"/>
        <w:spacing w:line="360" w:lineRule="auto"/>
        <w:jc w:val="center"/>
        <w:rPr>
          <w:rFonts w:ascii="宋体" w:cs="Times New Roman"/>
          <w:b/>
          <w:bCs/>
          <w:color w:val="000000"/>
        </w:rPr>
      </w:pPr>
      <w:r>
        <w:rPr>
          <w:rFonts w:ascii="宋体" w:hAnsi="宋体" w:cs="宋体" w:hint="eastAsia"/>
          <w:b/>
          <w:bCs/>
          <w:color w:val="000000"/>
        </w:rPr>
        <w:lastRenderedPageBreak/>
        <w:t>重要提示</w:t>
      </w:r>
    </w:p>
    <w:p w14:paraId="6C5ABA02" w14:textId="77777777" w:rsidR="00AE3DA6" w:rsidRDefault="00AE3DA6">
      <w:pPr>
        <w:snapToGrid w:val="0"/>
        <w:spacing w:line="360" w:lineRule="auto"/>
        <w:jc w:val="center"/>
        <w:rPr>
          <w:rFonts w:ascii="宋体" w:cs="Times New Roman"/>
          <w:b/>
          <w:bCs/>
          <w:color w:val="000000"/>
        </w:rPr>
      </w:pPr>
    </w:p>
    <w:p w14:paraId="6F9EE0B9" w14:textId="190188AE" w:rsidR="00AE3DA6" w:rsidRDefault="00795E23">
      <w:pPr>
        <w:numPr>
          <w:ilvl w:val="12"/>
          <w:numId w:val="0"/>
        </w:numPr>
        <w:snapToGrid w:val="0"/>
        <w:spacing w:line="360" w:lineRule="auto"/>
        <w:ind w:firstLineChars="196" w:firstLine="412"/>
        <w:rPr>
          <w:rFonts w:ascii="宋体" w:cs="Times New Roman"/>
        </w:rPr>
      </w:pPr>
      <w:r>
        <w:rPr>
          <w:rFonts w:ascii="宋体" w:hAnsi="宋体" w:cs="宋体" w:hint="eastAsia"/>
        </w:rPr>
        <w:t>本基金经中国证监会</w:t>
      </w:r>
      <w:r w:rsidR="000A07C8">
        <w:rPr>
          <w:rFonts w:ascii="宋体" w:hAnsi="宋体" w:cs="宋体" w:hint="eastAsia"/>
        </w:rPr>
        <w:t>20</w:t>
      </w:r>
      <w:r w:rsidR="000A07C8">
        <w:rPr>
          <w:rFonts w:ascii="宋体" w:hAnsi="宋体" w:cs="宋体"/>
        </w:rPr>
        <w:t>25</w:t>
      </w:r>
      <w:r>
        <w:rPr>
          <w:rFonts w:ascii="宋体" w:hAnsi="宋体" w:cs="宋体" w:hint="eastAsia"/>
        </w:rPr>
        <w:t>年</w:t>
      </w:r>
      <w:r w:rsidR="000A07C8">
        <w:rPr>
          <w:rFonts w:ascii="宋体" w:hAnsi="宋体" w:cs="宋体"/>
        </w:rPr>
        <w:t>12</w:t>
      </w:r>
      <w:r>
        <w:rPr>
          <w:rFonts w:ascii="宋体" w:hAnsi="宋体" w:cs="宋体" w:hint="eastAsia"/>
        </w:rPr>
        <w:t>月</w:t>
      </w:r>
      <w:r w:rsidR="000A07C8">
        <w:rPr>
          <w:rFonts w:ascii="宋体" w:hAnsi="宋体" w:cs="宋体"/>
        </w:rPr>
        <w:t>19</w:t>
      </w:r>
      <w:r>
        <w:rPr>
          <w:rFonts w:ascii="宋体" w:hAnsi="宋体" w:cs="宋体" w:hint="eastAsia"/>
        </w:rPr>
        <w:t>日证监许可〔20</w:t>
      </w:r>
      <w:r w:rsidR="000A07C8">
        <w:rPr>
          <w:rFonts w:ascii="宋体" w:hAnsi="宋体" w:cs="宋体"/>
        </w:rPr>
        <w:t>25</w:t>
      </w:r>
      <w:r>
        <w:rPr>
          <w:rFonts w:ascii="宋体" w:hAnsi="宋体" w:cs="宋体" w:hint="eastAsia"/>
        </w:rPr>
        <w:t>〕</w:t>
      </w:r>
      <w:r w:rsidR="000A07C8">
        <w:rPr>
          <w:rFonts w:ascii="宋体" w:hAnsi="宋体" w:cs="宋体"/>
        </w:rPr>
        <w:t>2833</w:t>
      </w:r>
      <w:r>
        <w:rPr>
          <w:rFonts w:ascii="宋体" w:hAnsi="宋体" w:cs="宋体" w:hint="eastAsia"/>
        </w:rPr>
        <w:t>号</w:t>
      </w:r>
      <w:r>
        <w:rPr>
          <w:rFonts w:ascii="宋体" w:hAnsi="宋体" w:cs="宋体"/>
        </w:rPr>
        <w:t>文</w:t>
      </w:r>
      <w:r>
        <w:rPr>
          <w:rFonts w:ascii="宋体" w:hAnsi="宋体" w:cs="宋体" w:hint="eastAsia"/>
        </w:rPr>
        <w:t>注册募集。</w:t>
      </w:r>
    </w:p>
    <w:p w14:paraId="3D201F1B" w14:textId="77777777" w:rsidR="00AE3DA6" w:rsidRDefault="00795E23">
      <w:pPr>
        <w:numPr>
          <w:ilvl w:val="12"/>
          <w:numId w:val="0"/>
        </w:numPr>
        <w:snapToGrid w:val="0"/>
        <w:spacing w:line="360" w:lineRule="auto"/>
        <w:ind w:firstLineChars="196" w:firstLine="412"/>
        <w:rPr>
          <w:rFonts w:ascii="宋体" w:cs="Times New Roman"/>
        </w:rPr>
      </w:pPr>
      <w:r>
        <w:rPr>
          <w:rFonts w:ascii="宋体" w:hAnsi="宋体" w:cs="宋体" w:hint="eastAsia"/>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14:paraId="2F48B388" w14:textId="441BB50A" w:rsidR="00795E23" w:rsidRDefault="00795E23">
      <w:pPr>
        <w:snapToGrid w:val="0"/>
        <w:spacing w:line="360" w:lineRule="auto"/>
        <w:ind w:firstLineChars="200" w:firstLine="420"/>
        <w:rPr>
          <w:rFonts w:ascii="宋体" w:hAnsi="宋体" w:cs="宋体"/>
        </w:rPr>
      </w:pPr>
      <w:r>
        <w:rPr>
          <w:rFonts w:ascii="宋体" w:hAnsi="宋体" w:cs="宋体"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w:t>
      </w:r>
      <w:r w:rsidR="00F97BE3">
        <w:rPr>
          <w:rFonts w:ascii="宋体" w:hAnsi="宋体" w:cs="宋体" w:hint="eastAsia"/>
        </w:rPr>
        <w:t>市场</w:t>
      </w:r>
      <w:r>
        <w:rPr>
          <w:rFonts w:ascii="宋体" w:hAnsi="宋体" w:cs="宋体" w:hint="eastAsia"/>
        </w:rPr>
        <w:t>风险，由于基金投资人连续大量赎回基金产生的流动性风险，基金管理人在基金管理实施过程中产生的基金管理风险，本基金特有的风险，其他风险，基金风险评价不一致的风险等。</w:t>
      </w:r>
    </w:p>
    <w:p w14:paraId="702FEAB0" w14:textId="50995142" w:rsidR="00795E23" w:rsidRDefault="00795E23" w:rsidP="00795E23">
      <w:pPr>
        <w:snapToGrid w:val="0"/>
        <w:spacing w:line="360" w:lineRule="auto"/>
        <w:ind w:firstLineChars="200" w:firstLine="420"/>
        <w:rPr>
          <w:rFonts w:ascii="宋体" w:cs="Times New Roman"/>
        </w:rPr>
      </w:pPr>
      <w:r>
        <w:rPr>
          <w:rFonts w:ascii="宋体" w:hAnsi="宋体" w:cs="宋体" w:hint="eastAsia"/>
        </w:rPr>
        <w:t>本基金为南方中证港股通互联网交易型开放式指数证券投资基金（简称“</w:t>
      </w:r>
      <w:r>
        <w:rPr>
          <w:rFonts w:ascii="宋体" w:hAnsi="宋体" w:cs="宋体"/>
        </w:rPr>
        <w:t>目标</w:t>
      </w:r>
      <w:r>
        <w:rPr>
          <w:rFonts w:ascii="宋体" w:hAnsi="宋体" w:cs="宋体" w:hint="eastAsia"/>
        </w:rPr>
        <w:t>ETF</w:t>
      </w:r>
      <w:r>
        <w:rPr>
          <w:rFonts w:ascii="宋体" w:hAnsi="宋体" w:cs="宋体"/>
        </w:rPr>
        <w:t>”）</w:t>
      </w:r>
      <w:r>
        <w:rPr>
          <w:rFonts w:ascii="宋体" w:hAnsi="宋体" w:cs="宋体" w:hint="eastAsia"/>
        </w:rPr>
        <w:t>的联接基金，通过投资于目标ETF跟踪标的指数表现，具有与标的指数以及标的指数所代表的市场相似的风险收益特征。本基金的目标ETF为股票型基金，一般而言，其长期平均风险与预期收益高于混合型基金、债券型基金与货币市场基金。</w:t>
      </w:r>
      <w:r w:rsidRPr="00795E23">
        <w:rPr>
          <w:rFonts w:ascii="宋体" w:hAnsi="宋体" w:cs="宋体" w:hint="eastAsia"/>
        </w:rPr>
        <w:t>本基金资产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r>
        <w:rPr>
          <w:rFonts w:ascii="宋体" w:cs="Times New Roman" w:hint="eastAsia"/>
        </w:rPr>
        <w:t>本基金可参与存托凭证的投资，存托凭证有可能出现股价波动较大的情况，投资者有可能面临存托凭证价格大幅波动甚至出现较大亏损的风险，以及与中国存托凭证发行机制相关的风险。但基金资产并非必然参与存托凭证的投资，基金可根据投资策略需要或不同市场环境的变化，选择是否采用存托凭证投资策略。本基金投资范围包括股指期货、股票期权等金融衍生品，可能给本基金带来额外风险。投资股指期货的风险包括但不限于杠杆风险、保证金风险、</w:t>
      </w:r>
      <w:r>
        <w:rPr>
          <w:rFonts w:ascii="宋体" w:cs="Times New Roman" w:hint="eastAsia"/>
          <w:bCs/>
        </w:rPr>
        <w:t>基差</w:t>
      </w:r>
      <w:r>
        <w:rPr>
          <w:rFonts w:ascii="宋体" w:cs="Times New Roman" w:hint="eastAsia"/>
        </w:rPr>
        <w:t>风险等；投资股票期权的风险包括但不限于</w:t>
      </w:r>
      <w:r>
        <w:rPr>
          <w:rFonts w:ascii="宋体" w:cs="Times New Roman" w:hint="eastAsia"/>
          <w:bCs/>
        </w:rPr>
        <w:t>流动性风险、信用风险、操作风险</w:t>
      </w:r>
      <w:r>
        <w:rPr>
          <w:rFonts w:ascii="宋体" w:cs="Times New Roman" w:hint="eastAsia"/>
        </w:rPr>
        <w:t>等；由此可能增加本基金净值的波动性。</w:t>
      </w:r>
      <w:r>
        <w:rPr>
          <w:rFonts w:ascii="宋体" w:hAnsi="宋体" w:cs="宋体" w:hint="eastAsia"/>
        </w:rPr>
        <w:t>本基金可投资于资产支持证券，因此可能面临资产支持证券的信用风险、利率风险、流动性风险、提前偿付风险、法律风险和操作风险。</w:t>
      </w:r>
      <w:r>
        <w:rPr>
          <w:rFonts w:ascii="宋体" w:cs="Times New Roman" w:hint="eastAsia"/>
        </w:rPr>
        <w:t>本基金可根据法律法规和基金合同的约定参与转融通证券出借业务，可能存在流动性风险、市场风险、信用风险、操作风险等转融通业务特有风险。</w:t>
      </w:r>
      <w:r>
        <w:rPr>
          <w:rFonts w:ascii="宋体" w:hAnsi="宋体" w:cs="宋体" w:hint="eastAsia"/>
        </w:rPr>
        <w:t>基金投资中出现的各类风险详见招募说明书“风险揭示”章节等。</w:t>
      </w:r>
    </w:p>
    <w:p w14:paraId="15C68900" w14:textId="77777777" w:rsidR="00795E23" w:rsidRDefault="00795E23" w:rsidP="00795E23">
      <w:pPr>
        <w:numPr>
          <w:ilvl w:val="12"/>
          <w:numId w:val="0"/>
        </w:numPr>
        <w:snapToGrid w:val="0"/>
        <w:spacing w:line="360" w:lineRule="auto"/>
        <w:ind w:firstLineChars="196" w:firstLine="412"/>
        <w:rPr>
          <w:rFonts w:ascii="宋体" w:hAnsi="宋体" w:cs="宋体"/>
        </w:rPr>
      </w:pPr>
      <w:r>
        <w:rPr>
          <w:rFonts w:ascii="宋体" w:hAnsi="宋体" w:cs="宋体" w:hint="eastAsia"/>
        </w:rPr>
        <w:t>本基金为指数基金，投资者投资于本基金面临跟踪误差控制未达约定目标、指数编制机构停止服务、成份股停牌、摘牌等潜在风险。</w:t>
      </w:r>
    </w:p>
    <w:p w14:paraId="3449ABDC" w14:textId="6616DA6E" w:rsidR="00795E23" w:rsidRDefault="00795E23" w:rsidP="00795E23">
      <w:pPr>
        <w:numPr>
          <w:ilvl w:val="12"/>
          <w:numId w:val="0"/>
        </w:numPr>
        <w:snapToGrid w:val="0"/>
        <w:spacing w:line="360" w:lineRule="auto"/>
        <w:ind w:firstLineChars="196" w:firstLine="412"/>
        <w:rPr>
          <w:rFonts w:ascii="宋体" w:hAnsi="宋体" w:cs="宋体"/>
        </w:rPr>
      </w:pPr>
      <w:r>
        <w:rPr>
          <w:rFonts w:ascii="宋体" w:hAnsi="宋体" w:cs="宋体" w:hint="eastAsia"/>
        </w:rPr>
        <w:t>本基金为发起式基金，《基金合同》生效之日起3年后的对应日，若基金资产净值低于2亿元，基金合同自动终止，且不得通过召开基金份额持有人大会延续基金合同期限。法律法规或中国证监会另有规定的，从其规定。基金份额持有人可能面临基金合同提前终止的风险。</w:t>
      </w:r>
    </w:p>
    <w:p w14:paraId="1F192BCA" w14:textId="2B32959B" w:rsidR="00795E23" w:rsidRPr="00795E23" w:rsidRDefault="00795E23">
      <w:pPr>
        <w:snapToGrid w:val="0"/>
        <w:spacing w:line="360" w:lineRule="auto"/>
        <w:ind w:firstLineChars="200" w:firstLine="420"/>
        <w:rPr>
          <w:rFonts w:ascii="宋体" w:hAnsi="宋体" w:cs="宋体"/>
        </w:rPr>
      </w:pPr>
      <w:r>
        <w:rPr>
          <w:rFonts w:ascii="宋体" w:hAnsi="宋体" w:cs="宋体" w:hint="eastAsia"/>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14561911" w14:textId="77777777" w:rsidR="00AE3DA6" w:rsidRDefault="00795E23">
      <w:pPr>
        <w:snapToGrid w:val="0"/>
        <w:spacing w:line="360" w:lineRule="auto"/>
        <w:ind w:firstLineChars="200" w:firstLine="420"/>
        <w:rPr>
          <w:rFonts w:ascii="宋体" w:hAnsi="宋体" w:cs="宋体"/>
        </w:rPr>
      </w:pPr>
      <w:r>
        <w:rPr>
          <w:rFonts w:ascii="宋体" w:hAnsi="宋体" w:cs="宋体" w:hint="eastAsia"/>
        </w:rPr>
        <w:t>投资有风险，投资人认购（或申购）基金时应认真阅读本基金的《招募说明书》、《基金合同》及基金产品资料概要，全面认识本基金的风险收益特征和产品特性，并充分考虑自身的风险承受能力，理性判断市场，谨慎做出投资决策。</w:t>
      </w:r>
    </w:p>
    <w:p w14:paraId="374E82A8" w14:textId="77777777" w:rsidR="00AE3DA6" w:rsidRDefault="00795E23">
      <w:pPr>
        <w:numPr>
          <w:ilvl w:val="12"/>
          <w:numId w:val="0"/>
        </w:numPr>
        <w:snapToGrid w:val="0"/>
        <w:spacing w:line="360" w:lineRule="auto"/>
        <w:ind w:firstLineChars="196" w:firstLine="412"/>
        <w:rPr>
          <w:rFonts w:ascii="宋体" w:cs="Times New Roman"/>
        </w:rPr>
      </w:pPr>
      <w:r>
        <w:rPr>
          <w:rFonts w:ascii="宋体" w:hAnsi="宋体" w:cs="宋体" w:hint="eastAsia"/>
        </w:rPr>
        <w:t>基金的过往业绩并不预示其未来表现，基金管理人管理的其他基金的业绩也不构成对本基金业绩表现的保证。基金管理人提醒投资人基金投资的“买者自负”原则，在作出投资决策后，基金运营状况与基金净值变化引致的投资风险，由投资人自行负担。</w:t>
      </w:r>
    </w:p>
    <w:p w14:paraId="59F73B40" w14:textId="77777777" w:rsidR="00AE3DA6" w:rsidRDefault="00795E23">
      <w:pPr>
        <w:numPr>
          <w:ilvl w:val="12"/>
          <w:numId w:val="0"/>
        </w:numPr>
        <w:snapToGrid w:val="0"/>
        <w:spacing w:line="360" w:lineRule="auto"/>
        <w:ind w:firstLineChars="196" w:firstLine="412"/>
        <w:rPr>
          <w:rFonts w:cs="宋体"/>
        </w:rPr>
      </w:pPr>
      <w:r>
        <w:rPr>
          <w:rFonts w:ascii="宋体" w:hAnsi="宋体" w:cs="宋体" w:hint="eastAsia"/>
        </w:rPr>
        <w:t>基金管理人依照恪尽职守、诚实信用、谨慎勤勉的原则管理和运用基金资产，但不保证基金一定盈利，也不保证最低收益。</w:t>
      </w:r>
      <w:r>
        <w:rPr>
          <w:rFonts w:cs="宋体" w:hint="eastAsia"/>
        </w:rPr>
        <w:t>投资人应当认真阅读基金合同、基金招募说明书等信息披露文件，自主判断基金的投资价值，自主做出投资决策，自行承担投资风险。</w:t>
      </w:r>
    </w:p>
    <w:p w14:paraId="769B1929" w14:textId="0D8AA7D7" w:rsidR="00AE3DA6" w:rsidRDefault="00795E23" w:rsidP="00795E23">
      <w:pPr>
        <w:numPr>
          <w:ilvl w:val="12"/>
          <w:numId w:val="0"/>
        </w:numPr>
        <w:snapToGrid w:val="0"/>
        <w:spacing w:line="360" w:lineRule="auto"/>
        <w:ind w:firstLineChars="196" w:firstLine="412"/>
        <w:rPr>
          <w:rFonts w:cs="宋体"/>
        </w:rPr>
      </w:pPr>
      <w:r>
        <w:rPr>
          <w:rFonts w:cs="宋体" w:hint="eastAsia"/>
        </w:rPr>
        <w:t>本基金标的指数为中证港股通互联网指数。</w:t>
      </w:r>
      <w:r w:rsidRPr="00795E23">
        <w:rPr>
          <w:rFonts w:cs="宋体" w:hint="eastAsia"/>
        </w:rPr>
        <w:t>中证港股通互联网指数从港股通范围内选取</w:t>
      </w:r>
      <w:r w:rsidRPr="00795E23">
        <w:rPr>
          <w:rFonts w:cs="宋体" w:hint="eastAsia"/>
        </w:rPr>
        <w:t>30</w:t>
      </w:r>
      <w:r w:rsidRPr="00795E23">
        <w:rPr>
          <w:rFonts w:cs="宋体" w:hint="eastAsia"/>
        </w:rPr>
        <w:t>家涉及互联网相关业务的上市公司证券作为指数样本，以反映港股通内互联网主题上市公司证券的整体表现</w:t>
      </w:r>
      <w:r>
        <w:rPr>
          <w:rFonts w:cs="宋体" w:hint="eastAsia"/>
        </w:rPr>
        <w:t>。</w:t>
      </w:r>
    </w:p>
    <w:p w14:paraId="372138E6" w14:textId="77777777" w:rsidR="00AE3DA6" w:rsidRDefault="00795E23">
      <w:pPr>
        <w:numPr>
          <w:ilvl w:val="12"/>
          <w:numId w:val="0"/>
        </w:numPr>
        <w:snapToGrid w:val="0"/>
        <w:spacing w:line="360" w:lineRule="auto"/>
        <w:ind w:firstLineChars="196" w:firstLine="412"/>
        <w:rPr>
          <w:rFonts w:cs="宋体"/>
        </w:rPr>
      </w:pPr>
      <w:r>
        <w:rPr>
          <w:rFonts w:cs="宋体" w:hint="eastAsia"/>
        </w:rPr>
        <w:t>有关标的指数具体编制方案及成份股信息详见中证指数有限公司网站，网址：</w:t>
      </w:r>
      <w:r>
        <w:rPr>
          <w:rFonts w:cs="宋体"/>
        </w:rPr>
        <w:t>www.csindex.com.cn</w:t>
      </w:r>
      <w:r>
        <w:rPr>
          <w:rFonts w:cs="宋体" w:hint="eastAsia"/>
        </w:rPr>
        <w:t>。</w:t>
      </w:r>
    </w:p>
    <w:p w14:paraId="1090A4E7" w14:textId="77777777" w:rsidR="00AE3DA6" w:rsidRDefault="00795E23">
      <w:pPr>
        <w:widowControl/>
        <w:jc w:val="left"/>
        <w:rPr>
          <w:rFonts w:ascii="宋体" w:cs="Times New Roman"/>
        </w:rPr>
      </w:pPr>
      <w:r>
        <w:rPr>
          <w:rFonts w:ascii="宋体" w:cs="Times New Roman"/>
        </w:rPr>
        <w:br w:type="page"/>
      </w:r>
    </w:p>
    <w:p w14:paraId="1812E120" w14:textId="77777777" w:rsidR="00AE3DA6" w:rsidRDefault="00AE3DA6">
      <w:pPr>
        <w:numPr>
          <w:ilvl w:val="12"/>
          <w:numId w:val="0"/>
        </w:numPr>
        <w:snapToGrid w:val="0"/>
        <w:spacing w:line="360" w:lineRule="auto"/>
        <w:ind w:firstLineChars="196" w:firstLine="412"/>
        <w:rPr>
          <w:rFonts w:ascii="宋体" w:cs="Times New Roman"/>
        </w:rPr>
      </w:pPr>
    </w:p>
    <w:p w14:paraId="27534CBD" w14:textId="77777777" w:rsidR="00AE3DA6" w:rsidRDefault="00795E23">
      <w:pPr>
        <w:jc w:val="center"/>
        <w:rPr>
          <w:rFonts w:cs="Times New Roman"/>
          <w:b/>
          <w:bCs/>
          <w:sz w:val="28"/>
          <w:szCs w:val="28"/>
        </w:rPr>
      </w:pPr>
      <w:r>
        <w:rPr>
          <w:rFonts w:cs="宋体" w:hint="eastAsia"/>
          <w:b/>
          <w:bCs/>
          <w:sz w:val="28"/>
          <w:szCs w:val="28"/>
        </w:rPr>
        <w:t>目录</w:t>
      </w:r>
    </w:p>
    <w:p w14:paraId="41B3A668" w14:textId="77777777" w:rsidR="00AE3DA6" w:rsidRDefault="00795E23">
      <w:pPr>
        <w:pStyle w:val="11"/>
        <w:rPr>
          <w:rFonts w:asciiTheme="minorHAnsi" w:eastAsiaTheme="minorEastAsia" w:hAnsiTheme="minorHAnsi" w:cstheme="minorBidi"/>
          <w:b w:val="0"/>
          <w:bCs w:val="0"/>
          <w:noProof/>
          <w:color w:val="auto"/>
          <w:szCs w:val="22"/>
        </w:rPr>
      </w:pPr>
      <w:r>
        <w:fldChar w:fldCharType="begin"/>
      </w:r>
      <w:r>
        <w:instrText xml:space="preserve"> TOC \o "1-3" \h \z \u </w:instrText>
      </w:r>
      <w:r>
        <w:fldChar w:fldCharType="separate"/>
      </w:r>
    </w:p>
    <w:p w14:paraId="2403C304" w14:textId="15AE701B" w:rsidR="00AE3DA6" w:rsidRDefault="00AB5E5E">
      <w:pPr>
        <w:pStyle w:val="25"/>
        <w:spacing w:line="360" w:lineRule="auto"/>
        <w:rPr>
          <w:rFonts w:asciiTheme="minorHAnsi" w:eastAsiaTheme="minorEastAsia" w:hAnsiTheme="minorHAnsi" w:cstheme="minorBidi"/>
          <w:noProof/>
          <w:szCs w:val="22"/>
        </w:rPr>
      </w:pPr>
      <w:hyperlink w:anchor="_Toc48900068" w:history="1">
        <w:r w:rsidR="00795E23">
          <w:rPr>
            <w:rStyle w:val="afff2"/>
            <w:rFonts w:ascii="宋体" w:hAnsi="宋体"/>
            <w:noProof/>
          </w:rPr>
          <w:t>一、</w:t>
        </w:r>
        <w:r w:rsidR="00795E23">
          <w:rPr>
            <w:rFonts w:asciiTheme="minorHAnsi" w:eastAsiaTheme="minorEastAsia" w:hAnsiTheme="minorHAnsi" w:cstheme="minorBidi"/>
            <w:noProof/>
            <w:szCs w:val="22"/>
          </w:rPr>
          <w:tab/>
        </w:r>
        <w:r w:rsidR="00795E23">
          <w:rPr>
            <w:rStyle w:val="afff2"/>
            <w:rFonts w:ascii="宋体" w:hAnsi="宋体" w:cs="宋体"/>
            <w:noProof/>
          </w:rPr>
          <w:t>绪言</w:t>
        </w:r>
        <w:r w:rsidR="00795E23">
          <w:rPr>
            <w:noProof/>
          </w:rPr>
          <w:tab/>
        </w:r>
        <w:r w:rsidR="00795E23">
          <w:rPr>
            <w:noProof/>
          </w:rPr>
          <w:fldChar w:fldCharType="begin"/>
        </w:r>
        <w:r w:rsidR="00795E23">
          <w:rPr>
            <w:noProof/>
          </w:rPr>
          <w:instrText xml:space="preserve"> PAGEREF _Toc48900068 \h </w:instrText>
        </w:r>
        <w:r w:rsidR="00795E23">
          <w:rPr>
            <w:noProof/>
          </w:rPr>
        </w:r>
        <w:r w:rsidR="00795E23">
          <w:rPr>
            <w:noProof/>
          </w:rPr>
          <w:fldChar w:fldCharType="separate"/>
        </w:r>
        <w:r w:rsidR="000E2B84">
          <w:rPr>
            <w:noProof/>
          </w:rPr>
          <w:t>1</w:t>
        </w:r>
        <w:r w:rsidR="00795E23">
          <w:rPr>
            <w:noProof/>
          </w:rPr>
          <w:fldChar w:fldCharType="end"/>
        </w:r>
      </w:hyperlink>
    </w:p>
    <w:p w14:paraId="3F5D451F" w14:textId="52492143" w:rsidR="00AE3DA6" w:rsidRDefault="00AB5E5E">
      <w:pPr>
        <w:pStyle w:val="25"/>
        <w:spacing w:line="360" w:lineRule="auto"/>
        <w:rPr>
          <w:rFonts w:asciiTheme="minorHAnsi" w:eastAsiaTheme="minorEastAsia" w:hAnsiTheme="minorHAnsi" w:cstheme="minorBidi"/>
          <w:noProof/>
          <w:szCs w:val="22"/>
        </w:rPr>
      </w:pPr>
      <w:hyperlink w:anchor="_Toc48900069" w:history="1">
        <w:r w:rsidR="00795E23">
          <w:rPr>
            <w:rStyle w:val="afff2"/>
            <w:rFonts w:ascii="宋体" w:hAnsi="宋体"/>
            <w:noProof/>
          </w:rPr>
          <w:t>二、</w:t>
        </w:r>
        <w:r w:rsidR="00795E23">
          <w:rPr>
            <w:rFonts w:asciiTheme="minorHAnsi" w:eastAsiaTheme="minorEastAsia" w:hAnsiTheme="minorHAnsi" w:cstheme="minorBidi"/>
            <w:noProof/>
            <w:szCs w:val="22"/>
          </w:rPr>
          <w:tab/>
        </w:r>
        <w:r w:rsidR="00795E23">
          <w:rPr>
            <w:rStyle w:val="afff2"/>
            <w:rFonts w:ascii="宋体" w:hAnsi="宋体" w:cs="宋体"/>
            <w:noProof/>
          </w:rPr>
          <w:t>释义</w:t>
        </w:r>
        <w:r w:rsidR="00795E23">
          <w:rPr>
            <w:noProof/>
          </w:rPr>
          <w:tab/>
        </w:r>
        <w:r w:rsidR="00795E23">
          <w:rPr>
            <w:noProof/>
          </w:rPr>
          <w:fldChar w:fldCharType="begin"/>
        </w:r>
        <w:r w:rsidR="00795E23">
          <w:rPr>
            <w:noProof/>
          </w:rPr>
          <w:instrText xml:space="preserve"> PAGEREF _Toc48900069 \h </w:instrText>
        </w:r>
        <w:r w:rsidR="00795E23">
          <w:rPr>
            <w:noProof/>
          </w:rPr>
        </w:r>
        <w:r w:rsidR="00795E23">
          <w:rPr>
            <w:noProof/>
          </w:rPr>
          <w:fldChar w:fldCharType="separate"/>
        </w:r>
        <w:r w:rsidR="000E2B84">
          <w:rPr>
            <w:noProof/>
          </w:rPr>
          <w:t>2</w:t>
        </w:r>
        <w:r w:rsidR="00795E23">
          <w:rPr>
            <w:noProof/>
          </w:rPr>
          <w:fldChar w:fldCharType="end"/>
        </w:r>
      </w:hyperlink>
    </w:p>
    <w:p w14:paraId="783199D7" w14:textId="49112E41" w:rsidR="00AE3DA6" w:rsidRDefault="00AB5E5E">
      <w:pPr>
        <w:pStyle w:val="25"/>
        <w:spacing w:line="360" w:lineRule="auto"/>
        <w:rPr>
          <w:rFonts w:asciiTheme="minorHAnsi" w:eastAsiaTheme="minorEastAsia" w:hAnsiTheme="minorHAnsi" w:cstheme="minorBidi"/>
          <w:noProof/>
          <w:szCs w:val="22"/>
        </w:rPr>
      </w:pPr>
      <w:hyperlink w:anchor="_Toc48900070" w:history="1">
        <w:r w:rsidR="00795E23">
          <w:rPr>
            <w:rStyle w:val="afff2"/>
            <w:rFonts w:ascii="宋体" w:hAnsi="宋体"/>
            <w:noProof/>
          </w:rPr>
          <w:t>三、</w:t>
        </w:r>
        <w:r w:rsidR="00795E23">
          <w:rPr>
            <w:rFonts w:asciiTheme="minorHAnsi" w:eastAsiaTheme="minorEastAsia" w:hAnsiTheme="minorHAnsi" w:cstheme="minorBidi"/>
            <w:noProof/>
            <w:szCs w:val="22"/>
          </w:rPr>
          <w:tab/>
        </w:r>
        <w:r w:rsidR="00795E23">
          <w:rPr>
            <w:rStyle w:val="afff2"/>
            <w:rFonts w:ascii="宋体" w:hAnsi="宋体" w:cs="宋体"/>
            <w:noProof/>
          </w:rPr>
          <w:t>基金管理人</w:t>
        </w:r>
        <w:r w:rsidR="00795E23">
          <w:rPr>
            <w:noProof/>
          </w:rPr>
          <w:tab/>
        </w:r>
        <w:r w:rsidR="00795E23">
          <w:rPr>
            <w:noProof/>
          </w:rPr>
          <w:fldChar w:fldCharType="begin"/>
        </w:r>
        <w:r w:rsidR="00795E23">
          <w:rPr>
            <w:noProof/>
          </w:rPr>
          <w:instrText xml:space="preserve"> PAGEREF _Toc48900070 \h </w:instrText>
        </w:r>
        <w:r w:rsidR="00795E23">
          <w:rPr>
            <w:noProof/>
          </w:rPr>
        </w:r>
        <w:r w:rsidR="00795E23">
          <w:rPr>
            <w:noProof/>
          </w:rPr>
          <w:fldChar w:fldCharType="separate"/>
        </w:r>
        <w:r w:rsidR="000E2B84">
          <w:rPr>
            <w:noProof/>
          </w:rPr>
          <w:t>7</w:t>
        </w:r>
        <w:r w:rsidR="00795E23">
          <w:rPr>
            <w:noProof/>
          </w:rPr>
          <w:fldChar w:fldCharType="end"/>
        </w:r>
      </w:hyperlink>
    </w:p>
    <w:p w14:paraId="21E7B64F" w14:textId="17C3033E" w:rsidR="00AE3DA6" w:rsidRDefault="00AB5E5E">
      <w:pPr>
        <w:pStyle w:val="25"/>
        <w:spacing w:line="360" w:lineRule="auto"/>
        <w:rPr>
          <w:rFonts w:asciiTheme="minorHAnsi" w:eastAsiaTheme="minorEastAsia" w:hAnsiTheme="minorHAnsi" w:cstheme="minorBidi"/>
          <w:noProof/>
          <w:szCs w:val="22"/>
        </w:rPr>
      </w:pPr>
      <w:hyperlink w:anchor="_Toc48900071" w:history="1">
        <w:r w:rsidR="00795E23">
          <w:rPr>
            <w:rStyle w:val="afff2"/>
            <w:rFonts w:ascii="宋体" w:hAnsi="宋体"/>
            <w:noProof/>
          </w:rPr>
          <w:t>四、</w:t>
        </w:r>
        <w:r w:rsidR="00795E23">
          <w:rPr>
            <w:rFonts w:asciiTheme="minorHAnsi" w:eastAsiaTheme="minorEastAsia" w:hAnsiTheme="minorHAnsi" w:cstheme="minorBidi"/>
            <w:noProof/>
            <w:szCs w:val="22"/>
          </w:rPr>
          <w:tab/>
        </w:r>
        <w:r w:rsidR="00795E23">
          <w:rPr>
            <w:rStyle w:val="afff2"/>
            <w:rFonts w:ascii="宋体" w:hAnsi="宋体" w:cs="宋体"/>
            <w:noProof/>
          </w:rPr>
          <w:t>基金托管人</w:t>
        </w:r>
        <w:r w:rsidR="00795E23">
          <w:rPr>
            <w:noProof/>
          </w:rPr>
          <w:tab/>
        </w:r>
        <w:r w:rsidR="00795E23">
          <w:rPr>
            <w:noProof/>
          </w:rPr>
          <w:fldChar w:fldCharType="begin"/>
        </w:r>
        <w:r w:rsidR="00795E23">
          <w:rPr>
            <w:noProof/>
          </w:rPr>
          <w:instrText xml:space="preserve"> PAGEREF _Toc48900071 \h </w:instrText>
        </w:r>
        <w:r w:rsidR="00795E23">
          <w:rPr>
            <w:noProof/>
          </w:rPr>
        </w:r>
        <w:r w:rsidR="00795E23">
          <w:rPr>
            <w:noProof/>
          </w:rPr>
          <w:fldChar w:fldCharType="separate"/>
        </w:r>
        <w:r w:rsidR="000E2B84">
          <w:rPr>
            <w:noProof/>
          </w:rPr>
          <w:t>15</w:t>
        </w:r>
        <w:r w:rsidR="00795E23">
          <w:rPr>
            <w:noProof/>
          </w:rPr>
          <w:fldChar w:fldCharType="end"/>
        </w:r>
      </w:hyperlink>
    </w:p>
    <w:p w14:paraId="5149A913" w14:textId="3C1B303D" w:rsidR="00AE3DA6" w:rsidRDefault="00AB5E5E">
      <w:pPr>
        <w:pStyle w:val="25"/>
        <w:spacing w:line="360" w:lineRule="auto"/>
        <w:rPr>
          <w:rFonts w:asciiTheme="minorHAnsi" w:eastAsiaTheme="minorEastAsia" w:hAnsiTheme="minorHAnsi" w:cstheme="minorBidi"/>
          <w:noProof/>
          <w:szCs w:val="22"/>
        </w:rPr>
      </w:pPr>
      <w:hyperlink w:anchor="_Toc48900072" w:history="1">
        <w:r w:rsidR="00795E23">
          <w:rPr>
            <w:rStyle w:val="afff2"/>
            <w:rFonts w:ascii="宋体" w:hAnsi="宋体"/>
            <w:noProof/>
          </w:rPr>
          <w:t>五、</w:t>
        </w:r>
        <w:r w:rsidR="00795E23">
          <w:rPr>
            <w:rFonts w:asciiTheme="minorHAnsi" w:eastAsiaTheme="minorEastAsia" w:hAnsiTheme="minorHAnsi" w:cstheme="minorBidi"/>
            <w:noProof/>
            <w:szCs w:val="22"/>
          </w:rPr>
          <w:tab/>
        </w:r>
        <w:r w:rsidR="00795E23">
          <w:rPr>
            <w:rStyle w:val="afff2"/>
            <w:rFonts w:ascii="宋体" w:hAnsi="宋体" w:cs="宋体"/>
            <w:noProof/>
          </w:rPr>
          <w:t>相关服务机构</w:t>
        </w:r>
        <w:r w:rsidR="00795E23">
          <w:rPr>
            <w:noProof/>
          </w:rPr>
          <w:tab/>
        </w:r>
        <w:r w:rsidR="00795E23">
          <w:rPr>
            <w:noProof/>
          </w:rPr>
          <w:fldChar w:fldCharType="begin"/>
        </w:r>
        <w:r w:rsidR="00795E23">
          <w:rPr>
            <w:noProof/>
          </w:rPr>
          <w:instrText xml:space="preserve"> PAGEREF _Toc48900072 \h </w:instrText>
        </w:r>
        <w:r w:rsidR="00795E23">
          <w:rPr>
            <w:noProof/>
          </w:rPr>
        </w:r>
        <w:r w:rsidR="00795E23">
          <w:rPr>
            <w:noProof/>
          </w:rPr>
          <w:fldChar w:fldCharType="separate"/>
        </w:r>
        <w:r w:rsidR="000E2B84">
          <w:rPr>
            <w:noProof/>
          </w:rPr>
          <w:t>18</w:t>
        </w:r>
        <w:r w:rsidR="00795E23">
          <w:rPr>
            <w:noProof/>
          </w:rPr>
          <w:fldChar w:fldCharType="end"/>
        </w:r>
      </w:hyperlink>
    </w:p>
    <w:p w14:paraId="11E81679" w14:textId="7FDAC5C6" w:rsidR="00AE3DA6" w:rsidRDefault="00AB5E5E">
      <w:pPr>
        <w:pStyle w:val="25"/>
        <w:spacing w:line="360" w:lineRule="auto"/>
        <w:rPr>
          <w:rFonts w:asciiTheme="minorHAnsi" w:eastAsiaTheme="minorEastAsia" w:hAnsiTheme="minorHAnsi" w:cstheme="minorBidi"/>
          <w:noProof/>
          <w:szCs w:val="22"/>
        </w:rPr>
      </w:pPr>
      <w:hyperlink w:anchor="_Toc48900073" w:history="1">
        <w:r w:rsidR="00795E23">
          <w:rPr>
            <w:rStyle w:val="afff2"/>
            <w:rFonts w:ascii="宋体" w:hAnsi="宋体"/>
            <w:noProof/>
          </w:rPr>
          <w:t>六、</w:t>
        </w:r>
        <w:r w:rsidR="00795E23">
          <w:rPr>
            <w:rFonts w:asciiTheme="minorHAnsi" w:eastAsiaTheme="minorEastAsia" w:hAnsiTheme="minorHAnsi" w:cstheme="minorBidi"/>
            <w:noProof/>
            <w:szCs w:val="22"/>
          </w:rPr>
          <w:tab/>
        </w:r>
        <w:r w:rsidR="00795E23">
          <w:rPr>
            <w:rStyle w:val="afff2"/>
            <w:rFonts w:ascii="宋体" w:hAnsi="宋体" w:cs="宋体"/>
            <w:noProof/>
          </w:rPr>
          <w:t>基金募集</w:t>
        </w:r>
        <w:r w:rsidR="00795E23">
          <w:rPr>
            <w:noProof/>
          </w:rPr>
          <w:tab/>
        </w:r>
        <w:r w:rsidR="00795E23">
          <w:rPr>
            <w:noProof/>
          </w:rPr>
          <w:fldChar w:fldCharType="begin"/>
        </w:r>
        <w:r w:rsidR="00795E23">
          <w:rPr>
            <w:noProof/>
          </w:rPr>
          <w:instrText xml:space="preserve"> PAGEREF _Toc48900073 \h </w:instrText>
        </w:r>
        <w:r w:rsidR="00795E23">
          <w:rPr>
            <w:noProof/>
          </w:rPr>
        </w:r>
        <w:r w:rsidR="00795E23">
          <w:rPr>
            <w:noProof/>
          </w:rPr>
          <w:fldChar w:fldCharType="separate"/>
        </w:r>
        <w:r w:rsidR="000E2B84">
          <w:rPr>
            <w:noProof/>
          </w:rPr>
          <w:t>19</w:t>
        </w:r>
        <w:r w:rsidR="00795E23">
          <w:rPr>
            <w:noProof/>
          </w:rPr>
          <w:fldChar w:fldCharType="end"/>
        </w:r>
      </w:hyperlink>
    </w:p>
    <w:p w14:paraId="0FB2C7E6" w14:textId="3AB2B6A9" w:rsidR="00AE3DA6" w:rsidRDefault="00AB5E5E">
      <w:pPr>
        <w:pStyle w:val="25"/>
        <w:spacing w:line="360" w:lineRule="auto"/>
        <w:rPr>
          <w:rFonts w:asciiTheme="minorHAnsi" w:eastAsiaTheme="minorEastAsia" w:hAnsiTheme="minorHAnsi" w:cstheme="minorBidi"/>
          <w:noProof/>
          <w:szCs w:val="22"/>
        </w:rPr>
      </w:pPr>
      <w:hyperlink w:anchor="_Toc48900074" w:history="1">
        <w:r w:rsidR="00795E23">
          <w:rPr>
            <w:rStyle w:val="afff2"/>
            <w:rFonts w:ascii="宋体" w:hAnsi="宋体"/>
            <w:noProof/>
          </w:rPr>
          <w:t>七、</w:t>
        </w:r>
        <w:r w:rsidR="00795E23">
          <w:rPr>
            <w:rFonts w:asciiTheme="minorHAnsi" w:eastAsiaTheme="minorEastAsia" w:hAnsiTheme="minorHAnsi" w:cstheme="minorBidi"/>
            <w:noProof/>
            <w:szCs w:val="22"/>
          </w:rPr>
          <w:tab/>
        </w:r>
        <w:r w:rsidR="00795E23">
          <w:rPr>
            <w:rStyle w:val="afff2"/>
            <w:rFonts w:ascii="宋体" w:hAnsi="宋体" w:cs="宋体"/>
            <w:noProof/>
          </w:rPr>
          <w:t>基金合同的生效</w:t>
        </w:r>
        <w:r w:rsidR="00795E23">
          <w:rPr>
            <w:noProof/>
          </w:rPr>
          <w:tab/>
        </w:r>
        <w:r w:rsidR="00795E23">
          <w:rPr>
            <w:noProof/>
          </w:rPr>
          <w:fldChar w:fldCharType="begin"/>
        </w:r>
        <w:r w:rsidR="00795E23">
          <w:rPr>
            <w:noProof/>
          </w:rPr>
          <w:instrText xml:space="preserve"> PAGEREF _Toc48900074 \h </w:instrText>
        </w:r>
        <w:r w:rsidR="00795E23">
          <w:rPr>
            <w:noProof/>
          </w:rPr>
        </w:r>
        <w:r w:rsidR="00795E23">
          <w:rPr>
            <w:noProof/>
          </w:rPr>
          <w:fldChar w:fldCharType="separate"/>
        </w:r>
        <w:r w:rsidR="000E2B84">
          <w:rPr>
            <w:noProof/>
          </w:rPr>
          <w:t>23</w:t>
        </w:r>
        <w:r w:rsidR="00795E23">
          <w:rPr>
            <w:noProof/>
          </w:rPr>
          <w:fldChar w:fldCharType="end"/>
        </w:r>
      </w:hyperlink>
    </w:p>
    <w:p w14:paraId="58AB6EE9" w14:textId="75CC37C4" w:rsidR="00AE3DA6" w:rsidRDefault="00AB5E5E">
      <w:pPr>
        <w:pStyle w:val="25"/>
        <w:spacing w:line="360" w:lineRule="auto"/>
        <w:rPr>
          <w:rFonts w:asciiTheme="minorHAnsi" w:eastAsiaTheme="minorEastAsia" w:hAnsiTheme="minorHAnsi" w:cstheme="minorBidi"/>
          <w:noProof/>
          <w:szCs w:val="22"/>
        </w:rPr>
      </w:pPr>
      <w:hyperlink w:anchor="_Toc48900075" w:history="1">
        <w:r w:rsidR="00795E23">
          <w:rPr>
            <w:rStyle w:val="afff2"/>
            <w:rFonts w:ascii="宋体" w:hAnsi="宋体"/>
            <w:noProof/>
          </w:rPr>
          <w:t>八、</w:t>
        </w:r>
        <w:r w:rsidR="00795E23">
          <w:rPr>
            <w:rFonts w:asciiTheme="minorHAnsi" w:eastAsiaTheme="minorEastAsia" w:hAnsiTheme="minorHAnsi" w:cstheme="minorBidi"/>
            <w:noProof/>
            <w:szCs w:val="22"/>
          </w:rPr>
          <w:tab/>
        </w:r>
        <w:r w:rsidR="00795E23">
          <w:rPr>
            <w:rStyle w:val="afff2"/>
            <w:rFonts w:ascii="宋体" w:hAnsi="宋体" w:cs="宋体"/>
            <w:noProof/>
          </w:rPr>
          <w:t>基金份额的申购和赎回</w:t>
        </w:r>
        <w:r w:rsidR="00795E23">
          <w:rPr>
            <w:noProof/>
          </w:rPr>
          <w:tab/>
        </w:r>
        <w:r w:rsidR="00795E23">
          <w:rPr>
            <w:noProof/>
          </w:rPr>
          <w:fldChar w:fldCharType="begin"/>
        </w:r>
        <w:r w:rsidR="00795E23">
          <w:rPr>
            <w:noProof/>
          </w:rPr>
          <w:instrText xml:space="preserve"> PAGEREF _Toc48900075 \h </w:instrText>
        </w:r>
        <w:r w:rsidR="00795E23">
          <w:rPr>
            <w:noProof/>
          </w:rPr>
        </w:r>
        <w:r w:rsidR="00795E23">
          <w:rPr>
            <w:noProof/>
          </w:rPr>
          <w:fldChar w:fldCharType="separate"/>
        </w:r>
        <w:r w:rsidR="000E2B84">
          <w:rPr>
            <w:noProof/>
          </w:rPr>
          <w:t>24</w:t>
        </w:r>
        <w:r w:rsidR="00795E23">
          <w:rPr>
            <w:noProof/>
          </w:rPr>
          <w:fldChar w:fldCharType="end"/>
        </w:r>
      </w:hyperlink>
    </w:p>
    <w:p w14:paraId="43CACEDD" w14:textId="19AE3524" w:rsidR="00AE3DA6" w:rsidRDefault="00AB5E5E">
      <w:pPr>
        <w:pStyle w:val="25"/>
        <w:spacing w:line="360" w:lineRule="auto"/>
        <w:rPr>
          <w:rFonts w:asciiTheme="minorHAnsi" w:eastAsiaTheme="minorEastAsia" w:hAnsiTheme="minorHAnsi" w:cstheme="minorBidi"/>
          <w:noProof/>
          <w:szCs w:val="22"/>
        </w:rPr>
      </w:pPr>
      <w:hyperlink w:anchor="_Toc48900076" w:history="1">
        <w:r w:rsidR="00795E23">
          <w:rPr>
            <w:rStyle w:val="afff2"/>
            <w:rFonts w:ascii="宋体" w:hAnsi="宋体"/>
            <w:noProof/>
          </w:rPr>
          <w:t>九、</w:t>
        </w:r>
        <w:r w:rsidR="00795E23">
          <w:rPr>
            <w:rFonts w:asciiTheme="minorHAnsi" w:eastAsiaTheme="minorEastAsia" w:hAnsiTheme="minorHAnsi" w:cstheme="minorBidi"/>
            <w:noProof/>
            <w:szCs w:val="22"/>
          </w:rPr>
          <w:tab/>
        </w:r>
        <w:r w:rsidR="00795E23">
          <w:rPr>
            <w:rStyle w:val="afff2"/>
            <w:rFonts w:ascii="宋体" w:hAnsi="宋体" w:cs="宋体"/>
            <w:noProof/>
          </w:rPr>
          <w:t>基金的投资</w:t>
        </w:r>
        <w:r w:rsidR="00795E23">
          <w:rPr>
            <w:noProof/>
          </w:rPr>
          <w:tab/>
        </w:r>
        <w:r w:rsidR="00795E23">
          <w:rPr>
            <w:noProof/>
          </w:rPr>
          <w:fldChar w:fldCharType="begin"/>
        </w:r>
        <w:r w:rsidR="00795E23">
          <w:rPr>
            <w:noProof/>
          </w:rPr>
          <w:instrText xml:space="preserve"> PAGEREF _Toc48900076 \h </w:instrText>
        </w:r>
        <w:r w:rsidR="00795E23">
          <w:rPr>
            <w:noProof/>
          </w:rPr>
        </w:r>
        <w:r w:rsidR="00795E23">
          <w:rPr>
            <w:noProof/>
          </w:rPr>
          <w:fldChar w:fldCharType="separate"/>
        </w:r>
        <w:r w:rsidR="000E2B84">
          <w:rPr>
            <w:noProof/>
          </w:rPr>
          <w:t>34</w:t>
        </w:r>
        <w:r w:rsidR="00795E23">
          <w:rPr>
            <w:noProof/>
          </w:rPr>
          <w:fldChar w:fldCharType="end"/>
        </w:r>
      </w:hyperlink>
    </w:p>
    <w:p w14:paraId="566ED58B" w14:textId="63610E17" w:rsidR="00AE3DA6" w:rsidRDefault="00AB5E5E">
      <w:pPr>
        <w:pStyle w:val="25"/>
        <w:spacing w:line="360" w:lineRule="auto"/>
        <w:rPr>
          <w:rFonts w:asciiTheme="minorHAnsi" w:eastAsiaTheme="minorEastAsia" w:hAnsiTheme="minorHAnsi" w:cstheme="minorBidi"/>
          <w:noProof/>
          <w:szCs w:val="22"/>
        </w:rPr>
      </w:pPr>
      <w:hyperlink w:anchor="_Toc48900077" w:history="1">
        <w:r w:rsidR="00795E23">
          <w:rPr>
            <w:rStyle w:val="afff2"/>
            <w:rFonts w:ascii="宋体" w:hAnsi="宋体"/>
            <w:noProof/>
          </w:rPr>
          <w:t>十、</w:t>
        </w:r>
        <w:r w:rsidR="00795E23">
          <w:rPr>
            <w:rFonts w:asciiTheme="minorHAnsi" w:eastAsiaTheme="minorEastAsia" w:hAnsiTheme="minorHAnsi" w:cstheme="minorBidi"/>
            <w:noProof/>
            <w:szCs w:val="22"/>
          </w:rPr>
          <w:tab/>
        </w:r>
        <w:r w:rsidR="00795E23">
          <w:rPr>
            <w:rStyle w:val="afff2"/>
            <w:rFonts w:ascii="宋体" w:hAnsi="宋体" w:cs="宋体"/>
            <w:noProof/>
          </w:rPr>
          <w:t>基金的财产</w:t>
        </w:r>
        <w:r w:rsidR="00795E23">
          <w:rPr>
            <w:noProof/>
          </w:rPr>
          <w:tab/>
        </w:r>
        <w:r w:rsidR="00795E23">
          <w:rPr>
            <w:noProof/>
          </w:rPr>
          <w:fldChar w:fldCharType="begin"/>
        </w:r>
        <w:r w:rsidR="00795E23">
          <w:rPr>
            <w:noProof/>
          </w:rPr>
          <w:instrText xml:space="preserve"> PAGEREF _Toc48900077 \h </w:instrText>
        </w:r>
        <w:r w:rsidR="00795E23">
          <w:rPr>
            <w:noProof/>
          </w:rPr>
        </w:r>
        <w:r w:rsidR="00795E23">
          <w:rPr>
            <w:noProof/>
          </w:rPr>
          <w:fldChar w:fldCharType="separate"/>
        </w:r>
        <w:r w:rsidR="000E2B84">
          <w:rPr>
            <w:noProof/>
          </w:rPr>
          <w:t>42</w:t>
        </w:r>
        <w:r w:rsidR="00795E23">
          <w:rPr>
            <w:noProof/>
          </w:rPr>
          <w:fldChar w:fldCharType="end"/>
        </w:r>
      </w:hyperlink>
    </w:p>
    <w:p w14:paraId="7503067E" w14:textId="291FDA93" w:rsidR="00AE3DA6" w:rsidRDefault="00AB5E5E">
      <w:pPr>
        <w:pStyle w:val="25"/>
        <w:spacing w:line="360" w:lineRule="auto"/>
        <w:rPr>
          <w:rFonts w:asciiTheme="minorHAnsi" w:eastAsiaTheme="minorEastAsia" w:hAnsiTheme="minorHAnsi" w:cstheme="minorBidi"/>
          <w:noProof/>
          <w:szCs w:val="22"/>
        </w:rPr>
      </w:pPr>
      <w:hyperlink w:anchor="_Toc48900078" w:history="1">
        <w:r w:rsidR="00795E23">
          <w:rPr>
            <w:rStyle w:val="afff2"/>
            <w:rFonts w:ascii="宋体" w:hAnsi="宋体"/>
            <w:noProof/>
          </w:rPr>
          <w:t>十一、</w:t>
        </w:r>
        <w:r w:rsidR="00795E23">
          <w:rPr>
            <w:rFonts w:asciiTheme="minorHAnsi" w:eastAsiaTheme="minorEastAsia" w:hAnsiTheme="minorHAnsi" w:cstheme="minorBidi"/>
            <w:noProof/>
            <w:szCs w:val="22"/>
          </w:rPr>
          <w:tab/>
        </w:r>
        <w:r w:rsidR="00795E23">
          <w:rPr>
            <w:rStyle w:val="afff2"/>
            <w:rFonts w:ascii="宋体" w:hAnsi="宋体" w:cs="宋体"/>
            <w:noProof/>
          </w:rPr>
          <w:t>基金资产估值</w:t>
        </w:r>
        <w:r w:rsidR="00795E23">
          <w:rPr>
            <w:noProof/>
          </w:rPr>
          <w:tab/>
        </w:r>
        <w:r w:rsidR="00795E23">
          <w:rPr>
            <w:noProof/>
          </w:rPr>
          <w:fldChar w:fldCharType="begin"/>
        </w:r>
        <w:r w:rsidR="00795E23">
          <w:rPr>
            <w:noProof/>
          </w:rPr>
          <w:instrText xml:space="preserve"> PAGEREF _Toc48900078 \h </w:instrText>
        </w:r>
        <w:r w:rsidR="00795E23">
          <w:rPr>
            <w:noProof/>
          </w:rPr>
        </w:r>
        <w:r w:rsidR="00795E23">
          <w:rPr>
            <w:noProof/>
          </w:rPr>
          <w:fldChar w:fldCharType="separate"/>
        </w:r>
        <w:r w:rsidR="000E2B84">
          <w:rPr>
            <w:noProof/>
          </w:rPr>
          <w:t>43</w:t>
        </w:r>
        <w:r w:rsidR="00795E23">
          <w:rPr>
            <w:noProof/>
          </w:rPr>
          <w:fldChar w:fldCharType="end"/>
        </w:r>
      </w:hyperlink>
    </w:p>
    <w:p w14:paraId="101CF72D" w14:textId="350C6796" w:rsidR="00AE3DA6" w:rsidRDefault="00AB5E5E">
      <w:pPr>
        <w:pStyle w:val="25"/>
        <w:spacing w:line="360" w:lineRule="auto"/>
        <w:rPr>
          <w:rFonts w:asciiTheme="minorHAnsi" w:eastAsiaTheme="minorEastAsia" w:hAnsiTheme="minorHAnsi" w:cstheme="minorBidi"/>
          <w:noProof/>
          <w:szCs w:val="22"/>
        </w:rPr>
      </w:pPr>
      <w:hyperlink w:anchor="_Toc48900079" w:history="1">
        <w:r w:rsidR="00795E23">
          <w:rPr>
            <w:rStyle w:val="afff2"/>
            <w:rFonts w:ascii="宋体" w:hAnsi="宋体"/>
            <w:noProof/>
          </w:rPr>
          <w:t>十二、</w:t>
        </w:r>
        <w:r w:rsidR="00795E23">
          <w:rPr>
            <w:rFonts w:asciiTheme="minorHAnsi" w:eastAsiaTheme="minorEastAsia" w:hAnsiTheme="minorHAnsi" w:cstheme="minorBidi"/>
            <w:noProof/>
            <w:szCs w:val="22"/>
          </w:rPr>
          <w:tab/>
        </w:r>
        <w:r w:rsidR="00795E23">
          <w:rPr>
            <w:rStyle w:val="afff2"/>
            <w:rFonts w:ascii="宋体" w:hAnsi="宋体" w:cs="宋体"/>
            <w:noProof/>
          </w:rPr>
          <w:t>基金的收益与分配</w:t>
        </w:r>
        <w:r w:rsidR="00795E23">
          <w:rPr>
            <w:noProof/>
          </w:rPr>
          <w:tab/>
        </w:r>
        <w:r w:rsidR="00795E23">
          <w:rPr>
            <w:noProof/>
          </w:rPr>
          <w:fldChar w:fldCharType="begin"/>
        </w:r>
        <w:r w:rsidR="00795E23">
          <w:rPr>
            <w:noProof/>
          </w:rPr>
          <w:instrText xml:space="preserve"> PAGEREF _Toc48900079 \h </w:instrText>
        </w:r>
        <w:r w:rsidR="00795E23">
          <w:rPr>
            <w:noProof/>
          </w:rPr>
        </w:r>
        <w:r w:rsidR="00795E23">
          <w:rPr>
            <w:noProof/>
          </w:rPr>
          <w:fldChar w:fldCharType="separate"/>
        </w:r>
        <w:r w:rsidR="000E2B84">
          <w:rPr>
            <w:noProof/>
          </w:rPr>
          <w:t>49</w:t>
        </w:r>
        <w:r w:rsidR="00795E23">
          <w:rPr>
            <w:noProof/>
          </w:rPr>
          <w:fldChar w:fldCharType="end"/>
        </w:r>
      </w:hyperlink>
    </w:p>
    <w:p w14:paraId="4243464D" w14:textId="151047B6" w:rsidR="00AE3DA6" w:rsidRDefault="00AB5E5E">
      <w:pPr>
        <w:pStyle w:val="25"/>
        <w:spacing w:line="360" w:lineRule="auto"/>
        <w:rPr>
          <w:rFonts w:asciiTheme="minorHAnsi" w:eastAsiaTheme="minorEastAsia" w:hAnsiTheme="minorHAnsi" w:cstheme="minorBidi"/>
          <w:noProof/>
          <w:szCs w:val="22"/>
        </w:rPr>
      </w:pPr>
      <w:hyperlink w:anchor="_Toc48900080" w:history="1">
        <w:r w:rsidR="00795E23">
          <w:rPr>
            <w:rStyle w:val="afff2"/>
            <w:rFonts w:ascii="宋体" w:hAnsi="宋体"/>
            <w:noProof/>
          </w:rPr>
          <w:t>十三、</w:t>
        </w:r>
        <w:r w:rsidR="00795E23">
          <w:rPr>
            <w:rFonts w:asciiTheme="minorHAnsi" w:eastAsiaTheme="minorEastAsia" w:hAnsiTheme="minorHAnsi" w:cstheme="minorBidi"/>
            <w:noProof/>
            <w:szCs w:val="22"/>
          </w:rPr>
          <w:tab/>
        </w:r>
        <w:r w:rsidR="00795E23">
          <w:rPr>
            <w:rStyle w:val="afff2"/>
            <w:rFonts w:ascii="宋体" w:hAnsi="宋体" w:cs="宋体"/>
            <w:noProof/>
          </w:rPr>
          <w:t>基金的费用与税收</w:t>
        </w:r>
        <w:r w:rsidR="00795E23">
          <w:rPr>
            <w:noProof/>
          </w:rPr>
          <w:tab/>
        </w:r>
        <w:r w:rsidR="00795E23">
          <w:rPr>
            <w:noProof/>
          </w:rPr>
          <w:fldChar w:fldCharType="begin"/>
        </w:r>
        <w:r w:rsidR="00795E23">
          <w:rPr>
            <w:noProof/>
          </w:rPr>
          <w:instrText xml:space="preserve"> PAGEREF _Toc48900080 \h </w:instrText>
        </w:r>
        <w:r w:rsidR="00795E23">
          <w:rPr>
            <w:noProof/>
          </w:rPr>
        </w:r>
        <w:r w:rsidR="00795E23">
          <w:rPr>
            <w:noProof/>
          </w:rPr>
          <w:fldChar w:fldCharType="separate"/>
        </w:r>
        <w:r w:rsidR="000E2B84">
          <w:rPr>
            <w:noProof/>
          </w:rPr>
          <w:t>51</w:t>
        </w:r>
        <w:r w:rsidR="00795E23">
          <w:rPr>
            <w:noProof/>
          </w:rPr>
          <w:fldChar w:fldCharType="end"/>
        </w:r>
      </w:hyperlink>
    </w:p>
    <w:p w14:paraId="29ECC05B" w14:textId="38E0E3B8" w:rsidR="00AE3DA6" w:rsidRDefault="00AB5E5E">
      <w:pPr>
        <w:pStyle w:val="25"/>
        <w:spacing w:line="360" w:lineRule="auto"/>
        <w:rPr>
          <w:rFonts w:asciiTheme="minorHAnsi" w:eastAsiaTheme="minorEastAsia" w:hAnsiTheme="minorHAnsi" w:cstheme="minorBidi"/>
          <w:noProof/>
          <w:szCs w:val="22"/>
        </w:rPr>
      </w:pPr>
      <w:hyperlink w:anchor="_Toc48900081" w:history="1">
        <w:r w:rsidR="00795E23">
          <w:rPr>
            <w:rStyle w:val="afff2"/>
            <w:rFonts w:ascii="宋体" w:hAnsi="宋体"/>
            <w:noProof/>
          </w:rPr>
          <w:t>十四、</w:t>
        </w:r>
        <w:r w:rsidR="00795E23">
          <w:rPr>
            <w:rFonts w:asciiTheme="minorHAnsi" w:eastAsiaTheme="minorEastAsia" w:hAnsiTheme="minorHAnsi" w:cstheme="minorBidi"/>
            <w:noProof/>
            <w:szCs w:val="22"/>
          </w:rPr>
          <w:tab/>
        </w:r>
        <w:r w:rsidR="00795E23">
          <w:rPr>
            <w:rStyle w:val="afff2"/>
            <w:rFonts w:ascii="宋体" w:hAnsi="宋体" w:cs="宋体"/>
            <w:noProof/>
          </w:rPr>
          <w:t>基金的会计与审计</w:t>
        </w:r>
        <w:r w:rsidR="00795E23">
          <w:rPr>
            <w:noProof/>
          </w:rPr>
          <w:tab/>
        </w:r>
        <w:r w:rsidR="00795E23">
          <w:rPr>
            <w:noProof/>
          </w:rPr>
          <w:fldChar w:fldCharType="begin"/>
        </w:r>
        <w:r w:rsidR="00795E23">
          <w:rPr>
            <w:noProof/>
          </w:rPr>
          <w:instrText xml:space="preserve"> PAGEREF _Toc48900081 \h </w:instrText>
        </w:r>
        <w:r w:rsidR="00795E23">
          <w:rPr>
            <w:noProof/>
          </w:rPr>
        </w:r>
        <w:r w:rsidR="00795E23">
          <w:rPr>
            <w:noProof/>
          </w:rPr>
          <w:fldChar w:fldCharType="separate"/>
        </w:r>
        <w:r w:rsidR="000E2B84">
          <w:rPr>
            <w:noProof/>
          </w:rPr>
          <w:t>54</w:t>
        </w:r>
        <w:r w:rsidR="00795E23">
          <w:rPr>
            <w:noProof/>
          </w:rPr>
          <w:fldChar w:fldCharType="end"/>
        </w:r>
      </w:hyperlink>
    </w:p>
    <w:p w14:paraId="7A9C285D" w14:textId="26BEA29C" w:rsidR="00AE3DA6" w:rsidRDefault="00AB5E5E">
      <w:pPr>
        <w:pStyle w:val="25"/>
        <w:spacing w:line="360" w:lineRule="auto"/>
        <w:rPr>
          <w:rFonts w:asciiTheme="minorHAnsi" w:eastAsiaTheme="minorEastAsia" w:hAnsiTheme="minorHAnsi" w:cstheme="minorBidi"/>
          <w:noProof/>
          <w:szCs w:val="22"/>
        </w:rPr>
      </w:pPr>
      <w:hyperlink w:anchor="_Toc48900082" w:history="1">
        <w:r w:rsidR="00795E23">
          <w:rPr>
            <w:rStyle w:val="afff2"/>
            <w:rFonts w:ascii="宋体" w:hAnsi="宋体"/>
            <w:noProof/>
          </w:rPr>
          <w:t>十五、</w:t>
        </w:r>
        <w:r w:rsidR="00795E23">
          <w:rPr>
            <w:rFonts w:asciiTheme="minorHAnsi" w:eastAsiaTheme="minorEastAsia" w:hAnsiTheme="minorHAnsi" w:cstheme="minorBidi"/>
            <w:noProof/>
            <w:szCs w:val="22"/>
          </w:rPr>
          <w:tab/>
        </w:r>
        <w:r w:rsidR="00795E23">
          <w:rPr>
            <w:rStyle w:val="afff2"/>
            <w:rFonts w:ascii="宋体" w:hAnsi="宋体" w:cs="宋体"/>
            <w:noProof/>
          </w:rPr>
          <w:t>基金的信息披露</w:t>
        </w:r>
        <w:r w:rsidR="00795E23">
          <w:rPr>
            <w:noProof/>
          </w:rPr>
          <w:tab/>
        </w:r>
        <w:r w:rsidR="00795E23">
          <w:rPr>
            <w:noProof/>
          </w:rPr>
          <w:fldChar w:fldCharType="begin"/>
        </w:r>
        <w:r w:rsidR="00795E23">
          <w:rPr>
            <w:noProof/>
          </w:rPr>
          <w:instrText xml:space="preserve"> PAGEREF _Toc48900082 \h </w:instrText>
        </w:r>
        <w:r w:rsidR="00795E23">
          <w:rPr>
            <w:noProof/>
          </w:rPr>
        </w:r>
        <w:r w:rsidR="00795E23">
          <w:rPr>
            <w:noProof/>
          </w:rPr>
          <w:fldChar w:fldCharType="separate"/>
        </w:r>
        <w:r w:rsidR="000E2B84">
          <w:rPr>
            <w:noProof/>
          </w:rPr>
          <w:t>55</w:t>
        </w:r>
        <w:r w:rsidR="00795E23">
          <w:rPr>
            <w:noProof/>
          </w:rPr>
          <w:fldChar w:fldCharType="end"/>
        </w:r>
      </w:hyperlink>
    </w:p>
    <w:p w14:paraId="53C578A9" w14:textId="6AF5A9B0" w:rsidR="00AE3DA6" w:rsidRDefault="00AB5E5E">
      <w:pPr>
        <w:pStyle w:val="25"/>
        <w:spacing w:line="360" w:lineRule="auto"/>
        <w:rPr>
          <w:rFonts w:asciiTheme="minorHAnsi" w:eastAsiaTheme="minorEastAsia" w:hAnsiTheme="minorHAnsi" w:cstheme="minorBidi"/>
          <w:noProof/>
          <w:szCs w:val="22"/>
        </w:rPr>
      </w:pPr>
      <w:hyperlink w:anchor="_Toc48900083" w:history="1">
        <w:r w:rsidR="00795E23">
          <w:rPr>
            <w:rStyle w:val="afff2"/>
            <w:rFonts w:ascii="宋体" w:hAnsi="宋体"/>
            <w:noProof/>
          </w:rPr>
          <w:t>十六、</w:t>
        </w:r>
        <w:r w:rsidR="00795E23">
          <w:rPr>
            <w:rFonts w:asciiTheme="minorHAnsi" w:eastAsiaTheme="minorEastAsia" w:hAnsiTheme="minorHAnsi" w:cstheme="minorBidi"/>
            <w:noProof/>
            <w:szCs w:val="22"/>
          </w:rPr>
          <w:tab/>
        </w:r>
        <w:r w:rsidR="00795E23">
          <w:rPr>
            <w:rStyle w:val="afff2"/>
            <w:rFonts w:ascii="宋体" w:hAnsi="宋体" w:cs="宋体"/>
            <w:noProof/>
          </w:rPr>
          <w:t>侧袋机制</w:t>
        </w:r>
        <w:r w:rsidR="00795E23">
          <w:rPr>
            <w:noProof/>
          </w:rPr>
          <w:tab/>
        </w:r>
        <w:r w:rsidR="00795E23">
          <w:rPr>
            <w:noProof/>
          </w:rPr>
          <w:fldChar w:fldCharType="begin"/>
        </w:r>
        <w:r w:rsidR="00795E23">
          <w:rPr>
            <w:noProof/>
          </w:rPr>
          <w:instrText xml:space="preserve"> PAGEREF _Toc48900083 \h </w:instrText>
        </w:r>
        <w:r w:rsidR="00795E23">
          <w:rPr>
            <w:noProof/>
          </w:rPr>
        </w:r>
        <w:r w:rsidR="00795E23">
          <w:rPr>
            <w:noProof/>
          </w:rPr>
          <w:fldChar w:fldCharType="separate"/>
        </w:r>
        <w:r w:rsidR="000E2B84">
          <w:rPr>
            <w:noProof/>
          </w:rPr>
          <w:t>62</w:t>
        </w:r>
        <w:r w:rsidR="00795E23">
          <w:rPr>
            <w:noProof/>
          </w:rPr>
          <w:fldChar w:fldCharType="end"/>
        </w:r>
      </w:hyperlink>
    </w:p>
    <w:p w14:paraId="59B2D56B" w14:textId="768EC70F" w:rsidR="00AE3DA6" w:rsidRDefault="00AB5E5E">
      <w:pPr>
        <w:pStyle w:val="25"/>
        <w:spacing w:line="360" w:lineRule="auto"/>
        <w:rPr>
          <w:rFonts w:asciiTheme="minorHAnsi" w:eastAsiaTheme="minorEastAsia" w:hAnsiTheme="minorHAnsi" w:cstheme="minorBidi"/>
          <w:noProof/>
          <w:szCs w:val="22"/>
        </w:rPr>
      </w:pPr>
      <w:hyperlink w:anchor="_Toc48900084" w:history="1">
        <w:r w:rsidR="00795E23">
          <w:rPr>
            <w:rStyle w:val="afff2"/>
            <w:rFonts w:ascii="宋体" w:hAnsi="宋体"/>
            <w:noProof/>
          </w:rPr>
          <w:t>十七、</w:t>
        </w:r>
        <w:r w:rsidR="00795E23">
          <w:rPr>
            <w:rFonts w:asciiTheme="minorHAnsi" w:eastAsiaTheme="minorEastAsia" w:hAnsiTheme="minorHAnsi" w:cstheme="minorBidi"/>
            <w:noProof/>
            <w:szCs w:val="22"/>
          </w:rPr>
          <w:tab/>
        </w:r>
        <w:r w:rsidR="00795E23">
          <w:rPr>
            <w:rStyle w:val="afff2"/>
            <w:rFonts w:ascii="宋体" w:hAnsi="宋体" w:cs="宋体"/>
            <w:noProof/>
          </w:rPr>
          <w:t>风险揭示</w:t>
        </w:r>
        <w:r w:rsidR="00795E23">
          <w:rPr>
            <w:noProof/>
          </w:rPr>
          <w:tab/>
        </w:r>
        <w:r w:rsidR="00795E23">
          <w:rPr>
            <w:noProof/>
          </w:rPr>
          <w:fldChar w:fldCharType="begin"/>
        </w:r>
        <w:r w:rsidR="00795E23">
          <w:rPr>
            <w:noProof/>
          </w:rPr>
          <w:instrText xml:space="preserve"> PAGEREF _Toc48900084 \h </w:instrText>
        </w:r>
        <w:r w:rsidR="00795E23">
          <w:rPr>
            <w:noProof/>
          </w:rPr>
        </w:r>
        <w:r w:rsidR="00795E23">
          <w:rPr>
            <w:noProof/>
          </w:rPr>
          <w:fldChar w:fldCharType="separate"/>
        </w:r>
        <w:r w:rsidR="000E2B84">
          <w:rPr>
            <w:noProof/>
          </w:rPr>
          <w:t>65</w:t>
        </w:r>
        <w:r w:rsidR="00795E23">
          <w:rPr>
            <w:noProof/>
          </w:rPr>
          <w:fldChar w:fldCharType="end"/>
        </w:r>
      </w:hyperlink>
    </w:p>
    <w:p w14:paraId="3CB24489" w14:textId="6ECCA918" w:rsidR="00AE3DA6" w:rsidRDefault="00AB5E5E">
      <w:pPr>
        <w:pStyle w:val="25"/>
        <w:spacing w:line="360" w:lineRule="auto"/>
        <w:rPr>
          <w:rFonts w:asciiTheme="minorHAnsi" w:eastAsiaTheme="minorEastAsia" w:hAnsiTheme="minorHAnsi" w:cstheme="minorBidi"/>
          <w:noProof/>
          <w:szCs w:val="22"/>
        </w:rPr>
      </w:pPr>
      <w:hyperlink w:anchor="_Toc48900085" w:history="1">
        <w:r w:rsidR="00795E23">
          <w:rPr>
            <w:rStyle w:val="afff2"/>
            <w:rFonts w:ascii="宋体" w:hAnsi="宋体"/>
            <w:noProof/>
          </w:rPr>
          <w:t>十八、</w:t>
        </w:r>
        <w:r w:rsidR="00795E23">
          <w:rPr>
            <w:rFonts w:asciiTheme="minorHAnsi" w:eastAsiaTheme="minorEastAsia" w:hAnsiTheme="minorHAnsi" w:cstheme="minorBidi"/>
            <w:noProof/>
            <w:szCs w:val="22"/>
          </w:rPr>
          <w:tab/>
        </w:r>
        <w:r w:rsidR="00795E23">
          <w:rPr>
            <w:rStyle w:val="afff2"/>
            <w:rFonts w:ascii="宋体" w:hAnsi="宋体" w:cs="宋体"/>
            <w:noProof/>
          </w:rPr>
          <w:t>基金合同的变更、终止和基金财产的清算</w:t>
        </w:r>
        <w:r w:rsidR="00795E23">
          <w:rPr>
            <w:noProof/>
          </w:rPr>
          <w:tab/>
        </w:r>
        <w:r w:rsidR="00795E23">
          <w:rPr>
            <w:noProof/>
          </w:rPr>
          <w:fldChar w:fldCharType="begin"/>
        </w:r>
        <w:r w:rsidR="00795E23">
          <w:rPr>
            <w:noProof/>
          </w:rPr>
          <w:instrText xml:space="preserve"> PAGEREF _Toc48900085 \h </w:instrText>
        </w:r>
        <w:r w:rsidR="00795E23">
          <w:rPr>
            <w:noProof/>
          </w:rPr>
        </w:r>
        <w:r w:rsidR="00795E23">
          <w:rPr>
            <w:noProof/>
          </w:rPr>
          <w:fldChar w:fldCharType="separate"/>
        </w:r>
        <w:r w:rsidR="000E2B84">
          <w:rPr>
            <w:noProof/>
          </w:rPr>
          <w:t>75</w:t>
        </w:r>
        <w:r w:rsidR="00795E23">
          <w:rPr>
            <w:noProof/>
          </w:rPr>
          <w:fldChar w:fldCharType="end"/>
        </w:r>
      </w:hyperlink>
    </w:p>
    <w:p w14:paraId="1DFC0D5E" w14:textId="0B9E6FD2" w:rsidR="00AE3DA6" w:rsidRDefault="00AB5E5E">
      <w:pPr>
        <w:pStyle w:val="25"/>
        <w:spacing w:line="360" w:lineRule="auto"/>
        <w:rPr>
          <w:rFonts w:asciiTheme="minorHAnsi" w:eastAsiaTheme="minorEastAsia" w:hAnsiTheme="minorHAnsi" w:cstheme="minorBidi"/>
          <w:noProof/>
          <w:szCs w:val="22"/>
        </w:rPr>
      </w:pPr>
      <w:hyperlink w:anchor="_Toc48900086" w:history="1">
        <w:r w:rsidR="00795E23">
          <w:rPr>
            <w:rStyle w:val="afff2"/>
            <w:rFonts w:ascii="宋体" w:hAnsi="宋体"/>
            <w:noProof/>
          </w:rPr>
          <w:t>十九、</w:t>
        </w:r>
        <w:r w:rsidR="00795E23">
          <w:rPr>
            <w:rFonts w:asciiTheme="minorHAnsi" w:eastAsiaTheme="minorEastAsia" w:hAnsiTheme="minorHAnsi" w:cstheme="minorBidi"/>
            <w:noProof/>
            <w:szCs w:val="22"/>
          </w:rPr>
          <w:tab/>
        </w:r>
        <w:r w:rsidR="00795E23">
          <w:rPr>
            <w:rStyle w:val="afff2"/>
            <w:rFonts w:ascii="宋体" w:hAnsi="宋体" w:cs="宋体"/>
            <w:noProof/>
          </w:rPr>
          <w:t>基金合同的内容摘要</w:t>
        </w:r>
        <w:r w:rsidR="00795E23">
          <w:rPr>
            <w:noProof/>
          </w:rPr>
          <w:tab/>
        </w:r>
        <w:r w:rsidR="00795E23">
          <w:rPr>
            <w:noProof/>
          </w:rPr>
          <w:fldChar w:fldCharType="begin"/>
        </w:r>
        <w:r w:rsidR="00795E23">
          <w:rPr>
            <w:noProof/>
          </w:rPr>
          <w:instrText xml:space="preserve"> PAGEREF _Toc48900086 \h </w:instrText>
        </w:r>
        <w:r w:rsidR="00795E23">
          <w:rPr>
            <w:noProof/>
          </w:rPr>
        </w:r>
        <w:r w:rsidR="00795E23">
          <w:rPr>
            <w:noProof/>
          </w:rPr>
          <w:fldChar w:fldCharType="separate"/>
        </w:r>
        <w:r w:rsidR="000E2B84">
          <w:rPr>
            <w:noProof/>
          </w:rPr>
          <w:t>77</w:t>
        </w:r>
        <w:r w:rsidR="00795E23">
          <w:rPr>
            <w:noProof/>
          </w:rPr>
          <w:fldChar w:fldCharType="end"/>
        </w:r>
      </w:hyperlink>
    </w:p>
    <w:p w14:paraId="6999A191" w14:textId="2B7687A3" w:rsidR="00AE3DA6" w:rsidRDefault="00AB5E5E">
      <w:pPr>
        <w:pStyle w:val="25"/>
        <w:spacing w:line="360" w:lineRule="auto"/>
        <w:rPr>
          <w:rFonts w:asciiTheme="minorHAnsi" w:eastAsiaTheme="minorEastAsia" w:hAnsiTheme="minorHAnsi" w:cstheme="minorBidi"/>
          <w:noProof/>
          <w:szCs w:val="22"/>
        </w:rPr>
      </w:pPr>
      <w:hyperlink w:anchor="_Toc48900087" w:history="1">
        <w:r w:rsidR="00795E23">
          <w:rPr>
            <w:rStyle w:val="afff2"/>
            <w:rFonts w:ascii="宋体" w:hAnsi="宋体"/>
            <w:noProof/>
          </w:rPr>
          <w:t>二十、</w:t>
        </w:r>
        <w:r w:rsidR="00795E23">
          <w:rPr>
            <w:rFonts w:asciiTheme="minorHAnsi" w:eastAsiaTheme="minorEastAsia" w:hAnsiTheme="minorHAnsi" w:cstheme="minorBidi"/>
            <w:noProof/>
            <w:szCs w:val="22"/>
          </w:rPr>
          <w:tab/>
        </w:r>
        <w:r w:rsidR="00795E23">
          <w:rPr>
            <w:rStyle w:val="afff2"/>
            <w:rFonts w:ascii="宋体" w:hAnsi="宋体" w:cs="宋体"/>
            <w:noProof/>
          </w:rPr>
          <w:t>基金托管协议的内容摘要</w:t>
        </w:r>
        <w:r w:rsidR="00795E23">
          <w:rPr>
            <w:noProof/>
          </w:rPr>
          <w:tab/>
        </w:r>
        <w:r w:rsidR="00795E23">
          <w:rPr>
            <w:noProof/>
          </w:rPr>
          <w:fldChar w:fldCharType="begin"/>
        </w:r>
        <w:r w:rsidR="00795E23">
          <w:rPr>
            <w:noProof/>
          </w:rPr>
          <w:instrText xml:space="preserve"> PAGEREF _Toc48900087 \h </w:instrText>
        </w:r>
        <w:r w:rsidR="00795E23">
          <w:rPr>
            <w:noProof/>
          </w:rPr>
        </w:r>
        <w:r w:rsidR="00795E23">
          <w:rPr>
            <w:noProof/>
          </w:rPr>
          <w:fldChar w:fldCharType="separate"/>
        </w:r>
        <w:r w:rsidR="000E2B84">
          <w:rPr>
            <w:noProof/>
          </w:rPr>
          <w:t>98</w:t>
        </w:r>
        <w:r w:rsidR="00795E23">
          <w:rPr>
            <w:noProof/>
          </w:rPr>
          <w:fldChar w:fldCharType="end"/>
        </w:r>
      </w:hyperlink>
    </w:p>
    <w:p w14:paraId="45D83063" w14:textId="78381F12" w:rsidR="00AE3DA6" w:rsidRDefault="00AB5E5E">
      <w:pPr>
        <w:pStyle w:val="25"/>
        <w:spacing w:line="360" w:lineRule="auto"/>
        <w:rPr>
          <w:rFonts w:asciiTheme="minorHAnsi" w:eastAsiaTheme="minorEastAsia" w:hAnsiTheme="minorHAnsi" w:cstheme="minorBidi"/>
          <w:noProof/>
          <w:szCs w:val="22"/>
        </w:rPr>
      </w:pPr>
      <w:hyperlink w:anchor="_Toc48900088" w:history="1">
        <w:r w:rsidR="00795E23">
          <w:rPr>
            <w:rStyle w:val="afff2"/>
            <w:rFonts w:ascii="宋体" w:hAnsi="宋体"/>
            <w:noProof/>
          </w:rPr>
          <w:t>二十一、</w:t>
        </w:r>
        <w:r w:rsidR="00795E23">
          <w:rPr>
            <w:rFonts w:asciiTheme="minorHAnsi" w:eastAsiaTheme="minorEastAsia" w:hAnsiTheme="minorHAnsi" w:cstheme="minorBidi"/>
            <w:noProof/>
            <w:szCs w:val="22"/>
          </w:rPr>
          <w:tab/>
        </w:r>
        <w:r w:rsidR="00795E23">
          <w:rPr>
            <w:rStyle w:val="afff2"/>
            <w:rFonts w:ascii="宋体" w:hAnsi="宋体" w:cs="宋体"/>
            <w:noProof/>
          </w:rPr>
          <w:t>基金份额持有人服务</w:t>
        </w:r>
        <w:r w:rsidR="00795E23">
          <w:rPr>
            <w:noProof/>
          </w:rPr>
          <w:tab/>
        </w:r>
        <w:r w:rsidR="00795E23">
          <w:rPr>
            <w:noProof/>
          </w:rPr>
          <w:fldChar w:fldCharType="begin"/>
        </w:r>
        <w:r w:rsidR="00795E23">
          <w:rPr>
            <w:noProof/>
          </w:rPr>
          <w:instrText xml:space="preserve"> PAGEREF _Toc48900088 \h </w:instrText>
        </w:r>
        <w:r w:rsidR="00795E23">
          <w:rPr>
            <w:noProof/>
          </w:rPr>
        </w:r>
        <w:r w:rsidR="00795E23">
          <w:rPr>
            <w:noProof/>
          </w:rPr>
          <w:fldChar w:fldCharType="separate"/>
        </w:r>
        <w:r w:rsidR="000E2B84">
          <w:rPr>
            <w:noProof/>
          </w:rPr>
          <w:t>113</w:t>
        </w:r>
        <w:r w:rsidR="00795E23">
          <w:rPr>
            <w:noProof/>
          </w:rPr>
          <w:fldChar w:fldCharType="end"/>
        </w:r>
      </w:hyperlink>
    </w:p>
    <w:p w14:paraId="11C51159" w14:textId="5739CBD5" w:rsidR="00AE3DA6" w:rsidRDefault="00AB5E5E">
      <w:pPr>
        <w:pStyle w:val="25"/>
        <w:spacing w:line="360" w:lineRule="auto"/>
        <w:rPr>
          <w:rFonts w:asciiTheme="minorHAnsi" w:eastAsiaTheme="minorEastAsia" w:hAnsiTheme="minorHAnsi" w:cstheme="minorBidi"/>
          <w:noProof/>
          <w:szCs w:val="22"/>
        </w:rPr>
      </w:pPr>
      <w:hyperlink w:anchor="_Toc48900089" w:history="1">
        <w:r w:rsidR="00795E23">
          <w:rPr>
            <w:rStyle w:val="afff2"/>
            <w:rFonts w:ascii="宋体" w:hAnsi="宋体"/>
            <w:noProof/>
          </w:rPr>
          <w:t>二十二、</w:t>
        </w:r>
        <w:r w:rsidR="00795E23">
          <w:rPr>
            <w:rFonts w:asciiTheme="minorHAnsi" w:eastAsiaTheme="minorEastAsia" w:hAnsiTheme="minorHAnsi" w:cstheme="minorBidi"/>
            <w:noProof/>
            <w:szCs w:val="22"/>
          </w:rPr>
          <w:tab/>
        </w:r>
        <w:r w:rsidR="00795E23">
          <w:rPr>
            <w:rStyle w:val="afff2"/>
            <w:rFonts w:ascii="宋体" w:hAnsi="宋体" w:cs="宋体"/>
            <w:noProof/>
          </w:rPr>
          <w:t>其它应披露事项</w:t>
        </w:r>
        <w:r w:rsidR="00795E23">
          <w:rPr>
            <w:noProof/>
          </w:rPr>
          <w:tab/>
        </w:r>
        <w:r w:rsidR="00795E23">
          <w:rPr>
            <w:noProof/>
          </w:rPr>
          <w:fldChar w:fldCharType="begin"/>
        </w:r>
        <w:r w:rsidR="00795E23">
          <w:rPr>
            <w:noProof/>
          </w:rPr>
          <w:instrText xml:space="preserve"> PAGEREF _Toc48900089 \h </w:instrText>
        </w:r>
        <w:r w:rsidR="00795E23">
          <w:rPr>
            <w:noProof/>
          </w:rPr>
        </w:r>
        <w:r w:rsidR="00795E23">
          <w:rPr>
            <w:noProof/>
          </w:rPr>
          <w:fldChar w:fldCharType="separate"/>
        </w:r>
        <w:r w:rsidR="000E2B84">
          <w:rPr>
            <w:noProof/>
          </w:rPr>
          <w:t>115</w:t>
        </w:r>
        <w:r w:rsidR="00795E23">
          <w:rPr>
            <w:noProof/>
          </w:rPr>
          <w:fldChar w:fldCharType="end"/>
        </w:r>
      </w:hyperlink>
    </w:p>
    <w:p w14:paraId="50372C78" w14:textId="68BED310" w:rsidR="00AE3DA6" w:rsidRDefault="00AB5E5E">
      <w:pPr>
        <w:pStyle w:val="25"/>
        <w:spacing w:line="360" w:lineRule="auto"/>
        <w:rPr>
          <w:rFonts w:asciiTheme="minorHAnsi" w:eastAsiaTheme="minorEastAsia" w:hAnsiTheme="minorHAnsi" w:cstheme="minorBidi"/>
          <w:noProof/>
          <w:szCs w:val="22"/>
        </w:rPr>
      </w:pPr>
      <w:hyperlink w:anchor="_Toc48900090" w:history="1">
        <w:r w:rsidR="00795E23">
          <w:rPr>
            <w:rStyle w:val="afff2"/>
            <w:rFonts w:ascii="宋体" w:hAnsi="宋体"/>
            <w:noProof/>
          </w:rPr>
          <w:t>二十三、</w:t>
        </w:r>
        <w:r w:rsidR="00795E23">
          <w:rPr>
            <w:rFonts w:asciiTheme="minorHAnsi" w:eastAsiaTheme="minorEastAsia" w:hAnsiTheme="minorHAnsi" w:cstheme="minorBidi"/>
            <w:noProof/>
            <w:szCs w:val="22"/>
          </w:rPr>
          <w:tab/>
        </w:r>
        <w:r w:rsidR="00795E23">
          <w:rPr>
            <w:rStyle w:val="afff2"/>
            <w:rFonts w:ascii="宋体" w:hAnsi="宋体" w:cs="宋体"/>
            <w:noProof/>
          </w:rPr>
          <w:t>招募说明书存放及其查阅方式</w:t>
        </w:r>
        <w:r w:rsidR="00795E23">
          <w:rPr>
            <w:noProof/>
          </w:rPr>
          <w:tab/>
        </w:r>
        <w:r w:rsidR="00795E23">
          <w:rPr>
            <w:noProof/>
          </w:rPr>
          <w:fldChar w:fldCharType="begin"/>
        </w:r>
        <w:r w:rsidR="00795E23">
          <w:rPr>
            <w:noProof/>
          </w:rPr>
          <w:instrText xml:space="preserve"> PAGEREF _Toc48900090 \h </w:instrText>
        </w:r>
        <w:r w:rsidR="00795E23">
          <w:rPr>
            <w:noProof/>
          </w:rPr>
        </w:r>
        <w:r w:rsidR="00795E23">
          <w:rPr>
            <w:noProof/>
          </w:rPr>
          <w:fldChar w:fldCharType="separate"/>
        </w:r>
        <w:r w:rsidR="000E2B84">
          <w:rPr>
            <w:noProof/>
          </w:rPr>
          <w:t>116</w:t>
        </w:r>
        <w:r w:rsidR="00795E23">
          <w:rPr>
            <w:noProof/>
          </w:rPr>
          <w:fldChar w:fldCharType="end"/>
        </w:r>
      </w:hyperlink>
    </w:p>
    <w:p w14:paraId="6FB1C6B7" w14:textId="3D9D6B23" w:rsidR="00AE3DA6" w:rsidRDefault="00AB5E5E">
      <w:pPr>
        <w:pStyle w:val="25"/>
        <w:spacing w:line="360" w:lineRule="auto"/>
        <w:rPr>
          <w:rFonts w:asciiTheme="minorHAnsi" w:eastAsiaTheme="minorEastAsia" w:hAnsiTheme="minorHAnsi" w:cstheme="minorBidi"/>
          <w:noProof/>
          <w:szCs w:val="22"/>
        </w:rPr>
      </w:pPr>
      <w:hyperlink w:anchor="_Toc48900091" w:history="1">
        <w:r w:rsidR="00795E23">
          <w:rPr>
            <w:rStyle w:val="afff2"/>
            <w:rFonts w:ascii="宋体" w:hAnsi="宋体"/>
            <w:noProof/>
          </w:rPr>
          <w:t>二十四、</w:t>
        </w:r>
        <w:r w:rsidR="00795E23">
          <w:rPr>
            <w:rFonts w:asciiTheme="minorHAnsi" w:eastAsiaTheme="minorEastAsia" w:hAnsiTheme="minorHAnsi" w:cstheme="minorBidi"/>
            <w:noProof/>
            <w:szCs w:val="22"/>
          </w:rPr>
          <w:tab/>
        </w:r>
        <w:r w:rsidR="00795E23">
          <w:rPr>
            <w:rStyle w:val="afff2"/>
            <w:rFonts w:ascii="宋体" w:hAnsi="宋体" w:cs="宋体"/>
            <w:noProof/>
          </w:rPr>
          <w:t>备查文件</w:t>
        </w:r>
        <w:r w:rsidR="00795E23">
          <w:rPr>
            <w:noProof/>
          </w:rPr>
          <w:tab/>
        </w:r>
        <w:r w:rsidR="00795E23">
          <w:rPr>
            <w:noProof/>
          </w:rPr>
          <w:fldChar w:fldCharType="begin"/>
        </w:r>
        <w:r w:rsidR="00795E23">
          <w:rPr>
            <w:noProof/>
          </w:rPr>
          <w:instrText xml:space="preserve"> PAGEREF _Toc48900091 \h </w:instrText>
        </w:r>
        <w:r w:rsidR="00795E23">
          <w:rPr>
            <w:noProof/>
          </w:rPr>
        </w:r>
        <w:r w:rsidR="00795E23">
          <w:rPr>
            <w:noProof/>
          </w:rPr>
          <w:fldChar w:fldCharType="separate"/>
        </w:r>
        <w:r w:rsidR="000E2B84">
          <w:rPr>
            <w:noProof/>
          </w:rPr>
          <w:t>117</w:t>
        </w:r>
        <w:r w:rsidR="00795E23">
          <w:rPr>
            <w:noProof/>
          </w:rPr>
          <w:fldChar w:fldCharType="end"/>
        </w:r>
      </w:hyperlink>
    </w:p>
    <w:p w14:paraId="1221537E" w14:textId="77777777" w:rsidR="00AE3DA6" w:rsidRDefault="00795E23">
      <w:pPr>
        <w:rPr>
          <w:rFonts w:cs="Times New Roman"/>
        </w:rPr>
      </w:pPr>
      <w:r>
        <w:fldChar w:fldCharType="end"/>
      </w:r>
    </w:p>
    <w:p w14:paraId="238CC9BD" w14:textId="77777777" w:rsidR="00AE3DA6" w:rsidRDefault="00AE3DA6">
      <w:pPr>
        <w:jc w:val="center"/>
        <w:rPr>
          <w:rFonts w:cs="Times New Roman"/>
          <w:sz w:val="28"/>
          <w:szCs w:val="28"/>
        </w:rPr>
      </w:pPr>
    </w:p>
    <w:p w14:paraId="7471F3AC" w14:textId="77777777" w:rsidR="00AE3DA6" w:rsidRDefault="00AE3DA6">
      <w:pPr>
        <w:snapToGrid w:val="0"/>
        <w:spacing w:line="360" w:lineRule="auto"/>
        <w:jc w:val="center"/>
        <w:rPr>
          <w:rFonts w:ascii="宋体" w:cs="Times New Roman"/>
          <w:sz w:val="30"/>
          <w:szCs w:val="30"/>
        </w:rPr>
        <w:sectPr w:rsidR="00AE3DA6">
          <w:footerReference w:type="default" r:id="rId8"/>
          <w:pgSz w:w="11906" w:h="16838"/>
          <w:pgMar w:top="1440" w:right="1800" w:bottom="1440" w:left="1800" w:header="851" w:footer="992" w:gutter="0"/>
          <w:cols w:space="720"/>
          <w:docGrid w:type="lines" w:linePitch="312"/>
        </w:sectPr>
      </w:pPr>
    </w:p>
    <w:p w14:paraId="529E0691"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15" w:name="_Toc362533450"/>
      <w:bookmarkStart w:id="16" w:name="_Toc48900068"/>
      <w:bookmarkStart w:id="17" w:name="_Toc360794511"/>
      <w:bookmarkStart w:id="18" w:name="_Toc362455178"/>
      <w:bookmarkStart w:id="19" w:name="_Toc360793493"/>
      <w:bookmarkStart w:id="20" w:name="_Toc350789211"/>
      <w:bookmarkStart w:id="21" w:name="_Toc360794095"/>
      <w:bookmarkStart w:id="22" w:name="_Toc360794403"/>
      <w:bookmarkStart w:id="23" w:name="_Toc360793845"/>
      <w:bookmarkStart w:id="24" w:name="_Toc215629791"/>
      <w:bookmarkStart w:id="25" w:name="_Toc73936074"/>
      <w:bookmarkStart w:id="26" w:name="_Toc80103054"/>
      <w:bookmarkStart w:id="27" w:name="_Toc79132642"/>
      <w:bookmarkStart w:id="28" w:name="_Toc454720091"/>
      <w:bookmarkStart w:id="29" w:name="_Toc10604981"/>
      <w:bookmarkStart w:id="30" w:name="_Toc4917378"/>
      <w:r>
        <w:rPr>
          <w:rFonts w:ascii="宋体" w:eastAsia="宋体" w:hAnsi="宋体" w:cs="宋体" w:hint="eastAsia"/>
        </w:rPr>
        <w:t>绪言</w:t>
      </w:r>
      <w:bookmarkEnd w:id="15"/>
      <w:bookmarkEnd w:id="16"/>
      <w:bookmarkEnd w:id="17"/>
      <w:bookmarkEnd w:id="18"/>
      <w:bookmarkEnd w:id="19"/>
      <w:bookmarkEnd w:id="20"/>
      <w:bookmarkEnd w:id="21"/>
      <w:bookmarkEnd w:id="22"/>
      <w:bookmarkEnd w:id="23"/>
      <w:bookmarkEnd w:id="24"/>
    </w:p>
    <w:bookmarkEnd w:id="25"/>
    <w:bookmarkEnd w:id="26"/>
    <w:bookmarkEnd w:id="27"/>
    <w:p w14:paraId="136ED6E6" w14:textId="77777777" w:rsidR="00AE3DA6" w:rsidRDefault="00AE3DA6">
      <w:pPr>
        <w:adjustRightInd w:val="0"/>
        <w:snapToGrid w:val="0"/>
        <w:spacing w:line="360" w:lineRule="auto"/>
        <w:ind w:firstLine="539"/>
        <w:rPr>
          <w:rFonts w:ascii="宋体" w:cs="Times New Roman"/>
          <w:color w:val="000000"/>
        </w:rPr>
      </w:pPr>
    </w:p>
    <w:p w14:paraId="1E36F073" w14:textId="57B3EF3A" w:rsidR="00AE3DA6" w:rsidRDefault="00795E23">
      <w:pPr>
        <w:adjustRightInd w:val="0"/>
        <w:snapToGrid w:val="0"/>
        <w:spacing w:line="360" w:lineRule="auto"/>
        <w:ind w:firstLineChars="200" w:firstLine="420"/>
        <w:rPr>
          <w:rFonts w:ascii="宋体" w:cs="Times New Roman"/>
          <w:color w:val="000000"/>
        </w:rPr>
      </w:pPr>
      <w:r>
        <w:rPr>
          <w:rFonts w:ascii="宋体" w:hAnsi="宋体" w:cs="宋体" w:hint="eastAsia"/>
          <w:color w:val="000000"/>
        </w:rPr>
        <w:t>本招募说明书依据《中华人民共和国民法典》、《中华人民共和国证券法》（以下简称“《证券法》”）、《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2号——基金中基金指引》、《公开募集证券投资基金运作指引第3号——指数基金指引》（以下简称“《指数基金指引》”）和其他有关法律法规，以及</w:t>
      </w:r>
      <w:r>
        <w:rPr>
          <w:rFonts w:ascii="宋体" w:hAnsi="宋体" w:cs="宋体" w:hint="eastAsia"/>
        </w:rPr>
        <w:t>《</w:t>
      </w:r>
      <w:r>
        <w:rPr>
          <w:rFonts w:ascii="宋体" w:hAnsi="宋体" w:hint="eastAsia"/>
          <w:bCs/>
        </w:rPr>
        <w:t>南方中证港股通互联网交易型开放式指数证券投资基金发起式联接基金</w:t>
      </w:r>
      <w:r>
        <w:rPr>
          <w:rFonts w:ascii="宋体" w:hAnsi="宋体" w:cs="宋体" w:hint="eastAsia"/>
        </w:rPr>
        <w:t>基金合同</w:t>
      </w:r>
      <w:r>
        <w:rPr>
          <w:rFonts w:ascii="宋体" w:hAnsi="宋体" w:cs="宋体" w:hint="eastAsia"/>
          <w:color w:val="000000"/>
        </w:rPr>
        <w:t>》编写。</w:t>
      </w:r>
    </w:p>
    <w:p w14:paraId="3CB33CC6" w14:textId="77777777" w:rsidR="00AE3DA6" w:rsidRDefault="00795E23">
      <w:pPr>
        <w:adjustRightInd w:val="0"/>
        <w:snapToGrid w:val="0"/>
        <w:spacing w:line="360" w:lineRule="auto"/>
        <w:ind w:firstLineChars="200" w:firstLine="420"/>
        <w:rPr>
          <w:rFonts w:ascii="宋体" w:cs="Times New Roman"/>
          <w:color w:val="000000"/>
        </w:rPr>
      </w:pPr>
      <w:r>
        <w:rPr>
          <w:rFonts w:ascii="宋体" w:hAnsi="宋体" w:cs="宋体"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ascii="宋体" w:cs="宋体"/>
        </w:rPr>
        <w:t>，</w:t>
      </w:r>
      <w:r>
        <w:rPr>
          <w:rFonts w:ascii="宋体" w:hAnsi="宋体" w:cs="宋体" w:hint="eastAsia"/>
        </w:rPr>
        <w:t>或对本招募说明书作任何解释或者说明</w:t>
      </w:r>
      <w:r>
        <w:rPr>
          <w:rFonts w:ascii="宋体" w:hAnsi="宋体" w:cs="宋体" w:hint="eastAsia"/>
          <w:color w:val="000000"/>
        </w:rPr>
        <w:t>。</w:t>
      </w:r>
    </w:p>
    <w:p w14:paraId="432F5F55" w14:textId="77777777" w:rsidR="00AE3DA6" w:rsidRDefault="00795E23">
      <w:pPr>
        <w:adjustRightInd w:val="0"/>
        <w:snapToGrid w:val="0"/>
        <w:spacing w:line="360" w:lineRule="auto"/>
        <w:ind w:firstLineChars="200" w:firstLine="420"/>
        <w:rPr>
          <w:rFonts w:ascii="宋体" w:hAnsi="宋体" w:cs="宋体"/>
          <w:color w:val="000000"/>
        </w:rPr>
      </w:pPr>
      <w:r>
        <w:rPr>
          <w:rFonts w:ascii="宋体" w:hAnsi="宋体" w:cs="宋体"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Pr>
          <w:rFonts w:ascii="宋体" w:hAnsi="宋体" w:cs="宋体" w:hint="eastAsia"/>
          <w:color w:val="000000"/>
        </w:rPr>
        <w:t>。</w:t>
      </w:r>
    </w:p>
    <w:p w14:paraId="0B690CD5" w14:textId="77777777" w:rsidR="00AE3DA6" w:rsidRDefault="00795E23">
      <w:pPr>
        <w:adjustRightInd w:val="0"/>
        <w:snapToGrid w:val="0"/>
        <w:spacing w:line="360" w:lineRule="auto"/>
        <w:ind w:firstLineChars="200" w:firstLine="420"/>
        <w:rPr>
          <w:rFonts w:ascii="宋体" w:cs="Times New Roman"/>
          <w:color w:val="000000"/>
        </w:rPr>
      </w:pPr>
      <w:r>
        <w:rPr>
          <w:rFonts w:ascii="宋体" w:cs="Times New Roman" w:hint="eastAsia"/>
          <w:color w:val="000000"/>
        </w:rPr>
        <w:t>本基金按照中国法律法规成立并运作，若基金合同、招募说明书的内容与届时有效的法律法规的强制性规定不一致，应当以届时有效的法律法规的规定为准。</w:t>
      </w:r>
    </w:p>
    <w:p w14:paraId="581E0FC2" w14:textId="77777777" w:rsidR="00AE3DA6" w:rsidRDefault="00AE3DA6">
      <w:pPr>
        <w:snapToGrid w:val="0"/>
        <w:spacing w:line="360" w:lineRule="auto"/>
        <w:ind w:firstLineChars="200" w:firstLine="420"/>
        <w:rPr>
          <w:rFonts w:ascii="宋体" w:cs="Times New Roman"/>
          <w:color w:val="000000"/>
        </w:rPr>
      </w:pPr>
    </w:p>
    <w:p w14:paraId="144F7127" w14:textId="77777777" w:rsidR="00AE3DA6" w:rsidRDefault="00795E23">
      <w:pPr>
        <w:pStyle w:val="ab"/>
        <w:snapToGrid w:val="0"/>
        <w:spacing w:line="360" w:lineRule="auto"/>
        <w:ind w:firstLineChars="200"/>
        <w:rPr>
          <w:rFonts w:ascii="宋体"/>
          <w:color w:val="000000"/>
        </w:rPr>
      </w:pPr>
      <w:r>
        <w:rPr>
          <w:rFonts w:ascii="宋体"/>
          <w:color w:val="000000"/>
        </w:rPr>
        <w:br w:type="page"/>
      </w:r>
    </w:p>
    <w:p w14:paraId="46B49951"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31" w:name="_Toc360794096"/>
      <w:bookmarkStart w:id="32" w:name="_Toc360794512"/>
      <w:bookmarkStart w:id="33" w:name="_Toc362533451"/>
      <w:bookmarkStart w:id="34" w:name="_Toc362455179"/>
      <w:bookmarkStart w:id="35" w:name="_Toc360793846"/>
      <w:bookmarkStart w:id="36" w:name="_Toc360794404"/>
      <w:bookmarkStart w:id="37" w:name="_Toc360793494"/>
      <w:bookmarkStart w:id="38" w:name="_Toc48900069"/>
      <w:r>
        <w:rPr>
          <w:rFonts w:ascii="宋体" w:eastAsia="宋体" w:hAnsi="宋体" w:cs="宋体" w:hint="eastAsia"/>
        </w:rPr>
        <w:t>释义</w:t>
      </w:r>
      <w:bookmarkEnd w:id="31"/>
      <w:bookmarkEnd w:id="32"/>
      <w:bookmarkEnd w:id="33"/>
      <w:bookmarkEnd w:id="34"/>
      <w:bookmarkEnd w:id="35"/>
      <w:bookmarkEnd w:id="36"/>
      <w:bookmarkEnd w:id="37"/>
      <w:bookmarkEnd w:id="38"/>
    </w:p>
    <w:p w14:paraId="196AA274" w14:textId="77777777" w:rsidR="00AE3DA6" w:rsidRDefault="00AE3DA6">
      <w:pPr>
        <w:snapToGrid w:val="0"/>
        <w:spacing w:line="360" w:lineRule="auto"/>
        <w:ind w:firstLineChars="200" w:firstLine="420"/>
        <w:rPr>
          <w:rFonts w:ascii="宋体" w:cs="Times New Roman"/>
          <w:color w:val="000000"/>
        </w:rPr>
      </w:pPr>
    </w:p>
    <w:p w14:paraId="2AE6F071" w14:textId="77777777" w:rsidR="00AE3DA6" w:rsidRDefault="00795E23">
      <w:pPr>
        <w:snapToGrid w:val="0"/>
        <w:spacing w:line="360" w:lineRule="auto"/>
        <w:ind w:firstLineChars="200" w:firstLine="420"/>
        <w:rPr>
          <w:rFonts w:ascii="宋体" w:cs="Times New Roman"/>
        </w:rPr>
      </w:pPr>
      <w:bookmarkStart w:id="39" w:name="_Hlk496537677"/>
      <w:r>
        <w:rPr>
          <w:rFonts w:ascii="宋体" w:hAnsi="宋体" w:cs="宋体" w:hint="eastAsia"/>
        </w:rPr>
        <w:t>在本招募说明书中，除非文意另有所指，下列词语或简称具有如下含义：</w:t>
      </w:r>
    </w:p>
    <w:p w14:paraId="33FC45DA" w14:textId="77777777" w:rsidR="00EC1914" w:rsidRPr="00EC1914" w:rsidRDefault="00EC1914" w:rsidP="00EC1914">
      <w:pPr>
        <w:snapToGrid w:val="0"/>
        <w:spacing w:line="360" w:lineRule="auto"/>
        <w:ind w:firstLineChars="200" w:firstLine="420"/>
        <w:rPr>
          <w:rFonts w:ascii="宋体" w:hAnsi="宋体"/>
          <w:bCs/>
        </w:rPr>
      </w:pPr>
      <w:r w:rsidRPr="00EC1914">
        <w:rPr>
          <w:rFonts w:ascii="宋体" w:hAnsi="宋体" w:hint="eastAsia"/>
          <w:bCs/>
        </w:rPr>
        <w:t>1、基金或本基金：指南方中证港股通互联网交易型开放式指数证券投资基金发起式联接基金</w:t>
      </w:r>
    </w:p>
    <w:p w14:paraId="70108C4B" w14:textId="77777777" w:rsidR="00EC1914" w:rsidRPr="00EC1914" w:rsidRDefault="00EC1914" w:rsidP="00EC1914">
      <w:pPr>
        <w:snapToGrid w:val="0"/>
        <w:spacing w:line="360" w:lineRule="auto"/>
        <w:ind w:firstLineChars="200" w:firstLine="420"/>
        <w:rPr>
          <w:rFonts w:ascii="宋体" w:hAnsi="宋体"/>
          <w:bCs/>
        </w:rPr>
      </w:pPr>
      <w:r w:rsidRPr="00EC1914">
        <w:rPr>
          <w:rFonts w:ascii="宋体" w:hAnsi="宋体" w:hint="eastAsia"/>
          <w:bCs/>
        </w:rPr>
        <w:t>2、基金管理人：指南方基金管理股份有限公司</w:t>
      </w:r>
    </w:p>
    <w:p w14:paraId="2364CBEB" w14:textId="45E2F9C1" w:rsidR="00AE3DA6" w:rsidRDefault="00EC1914" w:rsidP="00EC1914">
      <w:pPr>
        <w:snapToGrid w:val="0"/>
        <w:spacing w:line="360" w:lineRule="auto"/>
        <w:ind w:firstLineChars="200" w:firstLine="420"/>
        <w:rPr>
          <w:rFonts w:ascii="宋体" w:hAnsi="宋体"/>
          <w:bCs/>
        </w:rPr>
      </w:pPr>
      <w:r w:rsidRPr="00EC1914">
        <w:rPr>
          <w:rFonts w:ascii="宋体" w:hAnsi="宋体" w:hint="eastAsia"/>
          <w:bCs/>
        </w:rPr>
        <w:t>3、基金托管人：指国泰海通证券股份有限公司</w:t>
      </w:r>
    </w:p>
    <w:p w14:paraId="6CEFC1BF" w14:textId="25932892" w:rsidR="00AE3DA6" w:rsidRDefault="00795E23">
      <w:pPr>
        <w:snapToGrid w:val="0"/>
        <w:spacing w:line="360" w:lineRule="auto"/>
        <w:ind w:firstLineChars="200" w:firstLine="420"/>
        <w:rPr>
          <w:rFonts w:ascii="宋体" w:hAnsi="宋体"/>
          <w:bCs/>
        </w:rPr>
      </w:pPr>
      <w:r>
        <w:rPr>
          <w:rFonts w:ascii="宋体" w:hAnsi="宋体" w:hint="eastAsia"/>
          <w:bCs/>
        </w:rPr>
        <w:t>4、基金合同：指《南方中证港股通互联网交易型开放式指数证券投资基金发起式联接基金基金合同》及对基金合同的任何有效修订和补充</w:t>
      </w:r>
    </w:p>
    <w:p w14:paraId="44E8B240" w14:textId="0DFFB8EC" w:rsidR="00AE3DA6" w:rsidRDefault="00663A03">
      <w:pPr>
        <w:snapToGrid w:val="0"/>
        <w:spacing w:line="360" w:lineRule="auto"/>
        <w:ind w:firstLineChars="200" w:firstLine="420"/>
        <w:rPr>
          <w:rFonts w:ascii="宋体" w:hAnsi="宋体"/>
          <w:bCs/>
        </w:rPr>
      </w:pPr>
      <w:r w:rsidRPr="00663A03">
        <w:rPr>
          <w:rFonts w:ascii="宋体" w:hAnsi="宋体" w:hint="eastAsia"/>
          <w:bCs/>
        </w:rPr>
        <w:t>5、托管协议：指基金管理人与基金托管人就本基金签订之《南方中证港股通互联网交易型开放式指数证券投资基金发起式联接基金托管协议》及对该托管协议的任何有效修订和补充</w:t>
      </w:r>
    </w:p>
    <w:p w14:paraId="2E0B1073" w14:textId="16AF1AA3" w:rsidR="00AE3DA6" w:rsidRDefault="00795E23">
      <w:pPr>
        <w:snapToGrid w:val="0"/>
        <w:spacing w:line="360" w:lineRule="auto"/>
        <w:ind w:firstLineChars="200" w:firstLine="420"/>
        <w:rPr>
          <w:rFonts w:ascii="宋体" w:hAnsi="宋体"/>
          <w:bCs/>
        </w:rPr>
      </w:pPr>
      <w:r>
        <w:rPr>
          <w:rFonts w:ascii="宋体" w:hAnsi="宋体" w:hint="eastAsia"/>
          <w:bCs/>
        </w:rPr>
        <w:t>6、招募说明书或本招募说明书：指《南方中证港股通互联网交易型开放式指数证券投资基金发起式联接基金招募说明书》及其更新</w:t>
      </w:r>
    </w:p>
    <w:p w14:paraId="6944310C"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7、基金产品资料概要：指《南方中证港股通互联网交易型开放式指数证券投资基金发起式联接基金基金产品资料概要》及其更新</w:t>
      </w:r>
    </w:p>
    <w:p w14:paraId="781A85ED"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8、基金份额发售公告：指《南方中证港股通互联网交易型开放式指数证券投资基金发起式联接基金基金份额发售公告》</w:t>
      </w:r>
    </w:p>
    <w:p w14:paraId="2C90DCDF"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9、法律法规：指中国现行有效并公布实施的法律、行政法规、规范性文件、司法解释、行政规章以及其他对基金合同当事人有约束力的决定、决议、通知等</w:t>
      </w:r>
    </w:p>
    <w:p w14:paraId="4C760F95"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10、《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6840A649"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13383296"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12、《销售办法》：指中国证监会2020年8月28日颁布、同年10月1日实施的《公开募集证券投资基金销售机构监督管理办法》及颁布机关对其不时做出的修订</w:t>
      </w:r>
    </w:p>
    <w:p w14:paraId="6DF965D4"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13、《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13C45ED8"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14、《运作办法》：指中国证监会2014年7月7日颁布、同年8月8日实施的《公开募集证券投资基金运作管理办法》及颁布机关对其不时做出的修订</w:t>
      </w:r>
    </w:p>
    <w:p w14:paraId="6F773C70"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15、《流动性风险管理规定》：指中国证监会2017年8月31日颁布、同年10月1日实施的《公开募集开放式证券投资基金流动性风险管理规定》及颁布机关对其不时做出的修订</w:t>
      </w:r>
    </w:p>
    <w:p w14:paraId="4C5688D3"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16、《指数基金指引》：指中国证监会2021年1月22日颁布、同年2月1日实施的《公开募集证券投资基金运作指引第3号——指数基金指引》及颁布机关对其不时做出的修订</w:t>
      </w:r>
    </w:p>
    <w:p w14:paraId="2ECBF579"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17、中国证监会：指中国证券监督管理委员会</w:t>
      </w:r>
    </w:p>
    <w:p w14:paraId="6194EF3B"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18、基金合同当事人：指受基金合同约束，根据基金合同享有权利并承担义务的法律主体，包括基金管理人、基金托管人和基金份额持有人</w:t>
      </w:r>
    </w:p>
    <w:p w14:paraId="29AAA731"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19、个人投资者：指依据有关法律法规规定可投资于证券投资基金的自然人</w:t>
      </w:r>
    </w:p>
    <w:p w14:paraId="12DCC6D7"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20、机构投资者：指依法可以投资证券投资基金的、在中华人民共和国境内合法登记并存续或经有关政府部门批准设立并存续的企业法人、事业法人、社会团体或其他组织</w:t>
      </w:r>
    </w:p>
    <w:p w14:paraId="3AC4D6E2"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21、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2C747F75"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22、投资人、投资者：指个人投资者、机构投资者、合格境外投资者、发起资金提供方以及法律法规或中国证监会允许购买证券投资基金的其他投资人的合称</w:t>
      </w:r>
    </w:p>
    <w:p w14:paraId="0C4A7FCD"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23、基金份额持有人：指依基金合同和招募说明书合法取得基金份额的投资人</w:t>
      </w:r>
    </w:p>
    <w:p w14:paraId="21159C37"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24、交易型开放式证券投资基金：指《中国证券登记结算有限责任公司关于交易所交易型开放式证券投资基金登记结算业务实施细则》定义的“交易型开放式证券投资基金”，简称ETF</w:t>
      </w:r>
    </w:p>
    <w:p w14:paraId="55169B0F"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25、ETF联接基金：指将其绝大部分基金财产投资于跟踪同一标的指数的ETF（以下简称目标ETF），紧密跟踪标的指数表现，追求跟踪偏离度和跟踪误差最小化，采用开放式运作方式的基金，简称联接基金</w:t>
      </w:r>
    </w:p>
    <w:p w14:paraId="5F476750"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26、基金销售业务：指基金管理人或销售机构宣传推介基金，发售基金份额，办理基金份额的申购、赎回、转换、转托管及定投等业务</w:t>
      </w:r>
    </w:p>
    <w:p w14:paraId="5153523C"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27、销售机构：指南方基金管理股份有限公司以及符合《销售办法》和中国证监会规定的其他条件，取得基金销售业务资格并与基金管理人签订了基金销售服务协议，办理基金销售业务的机构</w:t>
      </w:r>
    </w:p>
    <w:p w14:paraId="0486B067"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28、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3E2A0269"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29、登记机构：指办理登记业务的机构。基金的登记机构为南方基金管理股份有限公司或接受南方基金管理股份有限公司委托代为办理登记业务的机构，本基金的登记机构为南方基金管理股份有限公司</w:t>
      </w:r>
    </w:p>
    <w:p w14:paraId="6CAB4950"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30、基金账户：指登记机构为投资人开立的、记录其持有的、基金管理人所管理的基金份额余额及其变动情况的账户</w:t>
      </w:r>
    </w:p>
    <w:p w14:paraId="022873BC"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31、基金交易账户：指销售机构为投资人开立的、记录投资人通过该销售机构办理基金业务而引起的基金份额变动及结余情况的账户</w:t>
      </w:r>
    </w:p>
    <w:p w14:paraId="64EC958A"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32、基金合同生效日：指基金募集达到法律法规规定及基金合同规定的条件，基金管理人向中国证监会办理基金备案手续完毕，并获得中国证监会书面确认的日期</w:t>
      </w:r>
    </w:p>
    <w:p w14:paraId="6331A959"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33、基金合同终止日：指基金合同规定的基金合同终止事由出现后，基金财产清算完毕，清算结果报中国证监会备案并予以公告的日期</w:t>
      </w:r>
    </w:p>
    <w:p w14:paraId="033AA07D"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34、基金募集期：指自基金份额发售之日起至发售结束之日止的期间，最长不得超过3个月</w:t>
      </w:r>
    </w:p>
    <w:p w14:paraId="7B2B9720"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35、存续期：指基金合同生效至终止之间的不定期期限</w:t>
      </w:r>
    </w:p>
    <w:p w14:paraId="52519DEA"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36、工作日：指上海证券交易所、深圳证券交易所的正常交易日</w:t>
      </w:r>
    </w:p>
    <w:p w14:paraId="2023EB28"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37、T日：指销售机构在规定时间受理投资人申购、赎回或其他业务申请的开放日</w:t>
      </w:r>
    </w:p>
    <w:p w14:paraId="1D012C82"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38、T+n日：指自T日起第n个工作日(不包含T日)，n为自然数</w:t>
      </w:r>
    </w:p>
    <w:p w14:paraId="51153BEF"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39、开放日：指为投资人办理基金份额申购、赎回或其他业务的工作日（若该交易日非港股通交易日，则本基金不开放申购和赎回）</w:t>
      </w:r>
    </w:p>
    <w:p w14:paraId="36A92F52"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40、开放时间：指开放日基金接受申购、赎回或其他交易的时间段</w:t>
      </w:r>
    </w:p>
    <w:p w14:paraId="13891B0F"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41、《业务规则》：指《南方基金管理股份有限公司开放式基金业务规则》，是规范基金管理人所管理的开放式证券投资基金登记方面的业务规则，由基金管理人和投资人共同遵守</w:t>
      </w:r>
    </w:p>
    <w:p w14:paraId="0DDFBFC1"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42、认购：指在基金募集期内，投资人根据基金合同、招募说明书和相关公告的规定申请购买基金份额的行为</w:t>
      </w:r>
    </w:p>
    <w:p w14:paraId="5BCC1685"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43、申购：指基金合同生效后，投资人根据基金合同、招募说明书和相关公告的规定申请购买基金份额的行为</w:t>
      </w:r>
    </w:p>
    <w:p w14:paraId="3F88CA21"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44、赎回：指基金合同生效后，基金份额持有人按基金合同、招募说明书和相关公告规定的条件要求将基金份额兑换为现金的行为</w:t>
      </w:r>
    </w:p>
    <w:p w14:paraId="7DBF1758" w14:textId="0EA6403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45</w:t>
      </w:r>
      <w:r w:rsidR="00717D28">
        <w:rPr>
          <w:rFonts w:ascii="宋体" w:hAnsi="宋体" w:hint="eastAsia"/>
          <w:bCs/>
        </w:rPr>
        <w:t>、基金转换：指基金份额持有人按照</w:t>
      </w:r>
      <w:r w:rsidRPr="00663A03">
        <w:rPr>
          <w:rFonts w:ascii="宋体" w:hAnsi="宋体" w:hint="eastAsia"/>
          <w:bCs/>
        </w:rPr>
        <w:t>基金合同和基金管理人届时有效公告规定的条件，申请将其持有基金管理人管理的、某一基金的基金份额转换为基金管理人管理的其他基金基金份额的行为</w:t>
      </w:r>
    </w:p>
    <w:p w14:paraId="26EF967D"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46、转托管：指基金份额持有人在本基金的不同销售机构之间实施的变更所持基金份额销售机构的操作</w:t>
      </w:r>
    </w:p>
    <w:p w14:paraId="506CF547"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47、定投计划：指投资人通过有关销售机构提出申请，约定每期申购日、扣款金额及扣款方式，由销售机构于每期约定扣款日在投资人指定银行账户内自动完成扣款及受理基金申购申请的一种投资方式</w:t>
      </w:r>
    </w:p>
    <w:p w14:paraId="7F0A83A6"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48、巨额赎回：指本基金单个开放日，基金净赎回申请（赎回申请份额总数加上基金转换中转出申请份额总数后扣除申购申请份额总数及基金转换中转入申请份额总数后的余额）超过上一开放日基金总份额的10%</w:t>
      </w:r>
    </w:p>
    <w:p w14:paraId="516975DC"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49、元：指人民币元</w:t>
      </w:r>
    </w:p>
    <w:p w14:paraId="55DB4AD1"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50、基金利润：指基金利息收入、汇兑损益、投资收益、公允价值变动收益和其他收入扣除相关费用后的余额</w:t>
      </w:r>
    </w:p>
    <w:p w14:paraId="58D22238"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51、基金资产总值：指基金拥有的目标ETF基金份额、各类有价证券及票据价值、银行存款本息、基金应收申购款及其他资产的价值总和</w:t>
      </w:r>
    </w:p>
    <w:p w14:paraId="1077A692"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52、基金资产净值：指基金资产总值减去基金负债后的价值</w:t>
      </w:r>
    </w:p>
    <w:p w14:paraId="593DFBEA"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53、基金份额净值：指计算日基金资产净值除以计算日基金份额总数</w:t>
      </w:r>
    </w:p>
    <w:p w14:paraId="39F627C9"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54、基金资产估值：指计算评估基金资产和负债的价值，以确定基金资产净值和基金份额净值的过程</w:t>
      </w:r>
    </w:p>
    <w:p w14:paraId="33611373"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55、规定媒介：指符合中国证监会规定条件的用以进行信息披露的全国性报刊、《信息披露办法》规定的互联网网站（包括基金管理人网站、基金托管人网站、中国证监会基金电子披露网站）等媒介</w:t>
      </w:r>
    </w:p>
    <w:p w14:paraId="2E33FCEB"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56、销售服务费：指从基金财产中计提的，用于本基金市场推广、销售以及基金份额持有人服务的费用</w:t>
      </w:r>
    </w:p>
    <w:p w14:paraId="1B7A8A8E" w14:textId="4FD8F158"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57、A类基金份额：</w:t>
      </w:r>
      <w:r w:rsidR="001F466F" w:rsidRPr="001F466F">
        <w:rPr>
          <w:rFonts w:ascii="宋体" w:hAnsi="宋体" w:hint="eastAsia"/>
          <w:bCs/>
        </w:rPr>
        <w:t>指在投资人认购/申购时按规定收取前端认购/申购费用并在赎回时根据持有期限收取赎回费用，但不从本类别基金资产净值中计提销售服务费的基金份额</w:t>
      </w:r>
    </w:p>
    <w:p w14:paraId="4722327E" w14:textId="47A82D9C"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58、C类基金份额：</w:t>
      </w:r>
      <w:r w:rsidR="001F466F" w:rsidRPr="001F466F">
        <w:rPr>
          <w:rFonts w:ascii="宋体" w:hAnsi="宋体" w:hint="eastAsia"/>
          <w:bCs/>
        </w:rPr>
        <w:t>指从本类别基金资产净值中计提销售服务费并按规定收取或返还，不收取认购/申购费用并在赎回时根据持有期限收取赎回费用的基金份额</w:t>
      </w:r>
    </w:p>
    <w:p w14:paraId="05F7DB80"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59、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但法律法规或中国证监会另有规定的，从其规定</w:t>
      </w:r>
    </w:p>
    <w:p w14:paraId="10AC7B2B"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60、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3FDE6E7"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61、转融通证券出借业务：指基金以一定的费率通过证券交易所综合业务平台向中国证券金融股份有限公司（以下简称证券金融公司）出借证券，证券金融公司到期归还所借证券及相应权益补偿并支付费用的业务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7E90144A"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62、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8675C0E"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63、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30438AFC"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64、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的投研人员，下同）等人员承诺认购一定金额并持有一定期限的证券投资基金</w:t>
      </w:r>
    </w:p>
    <w:p w14:paraId="2A37AFCD"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65、发起资金：指基金管理人股东资金、基金管理人固有资金、基金管理人高级管理人员或者基金经理等人员参与认购的资金。发起资金认购本基金的金额不低于1000万元，且发起资金认购的基金份额持有期限不低于三年</w:t>
      </w:r>
    </w:p>
    <w:p w14:paraId="3560258A"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66、发起资金提供方：指以发起资金认购本基金且承诺以发起资金认购的基金份额持有期限不少于三年的基金管理人股东、基金管理人、基金管理人高级管理人员或基金经理等人员</w:t>
      </w:r>
    </w:p>
    <w:p w14:paraId="448CDF59"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67、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6B61265B"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68、港股通：指内地投资者委托内地证券公司，经由境内证券交易所在香港设立的证券交易服务公司，向香港联合交易所进行申报，买卖规定范围内的香港联合交易所上市的股票。沪港通下的港股通和深港通下的港股通统称港股通</w:t>
      </w:r>
    </w:p>
    <w:p w14:paraId="090966C6" w14:textId="653D6B80"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69</w:t>
      </w:r>
      <w:r>
        <w:rPr>
          <w:rFonts w:ascii="宋体" w:hAnsi="宋体" w:hint="eastAsia"/>
          <w:bCs/>
        </w:rPr>
        <w:t>、不可抗力：指</w:t>
      </w:r>
      <w:r w:rsidRPr="00663A03">
        <w:rPr>
          <w:rFonts w:ascii="宋体" w:hAnsi="宋体" w:hint="eastAsia"/>
          <w:bCs/>
        </w:rPr>
        <w:t>基金合同当事人不能预见、不能避免且不能克服的客观事件</w:t>
      </w:r>
    </w:p>
    <w:p w14:paraId="48B87B31"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r w:rsidRPr="00663A03">
        <w:rPr>
          <w:rFonts w:ascii="宋体" w:hAnsi="宋体" w:hint="eastAsia"/>
          <w:bCs/>
        </w:rPr>
        <w:t>70、标的指数：指中证港股通互联网指数</w:t>
      </w:r>
    </w:p>
    <w:p w14:paraId="685AE8A8" w14:textId="77777777" w:rsidR="00663A03" w:rsidRPr="00663A03" w:rsidRDefault="00663A03" w:rsidP="00663A03">
      <w:pPr>
        <w:autoSpaceDE w:val="0"/>
        <w:autoSpaceDN w:val="0"/>
        <w:adjustRightInd w:val="0"/>
        <w:snapToGrid w:val="0"/>
        <w:spacing w:line="360" w:lineRule="auto"/>
        <w:ind w:firstLineChars="200" w:firstLine="420"/>
        <w:rPr>
          <w:rFonts w:ascii="宋体" w:hAnsi="宋体"/>
          <w:bCs/>
        </w:rPr>
      </w:pPr>
    </w:p>
    <w:p w14:paraId="3ABF6263" w14:textId="029C576B" w:rsidR="00AE3DA6" w:rsidRDefault="00663A03" w:rsidP="00663A03">
      <w:pPr>
        <w:autoSpaceDE w:val="0"/>
        <w:autoSpaceDN w:val="0"/>
        <w:adjustRightInd w:val="0"/>
        <w:snapToGrid w:val="0"/>
        <w:spacing w:line="360" w:lineRule="auto"/>
        <w:ind w:firstLineChars="200" w:firstLine="420"/>
        <w:rPr>
          <w:rFonts w:ascii="宋体" w:cs="Times New Roman"/>
          <w:color w:val="000000"/>
          <w:kern w:val="0"/>
        </w:rPr>
      </w:pPr>
      <w:r w:rsidRPr="00663A03">
        <w:rPr>
          <w:rFonts w:ascii="宋体" w:hAnsi="宋体" w:hint="eastAsia"/>
          <w:bCs/>
        </w:rPr>
        <w:t>以上释义中涉及法律法规、业务规则的内容，法律法规、业务规则修订后，如适用本基金，相关内容以修订后法律法规、业务规则为准</w:t>
      </w:r>
      <w:r w:rsidR="00795E23">
        <w:rPr>
          <w:rFonts w:ascii="宋体" w:hAnsi="宋体" w:hint="eastAsia"/>
          <w:bCs/>
        </w:rPr>
        <w:t>。</w:t>
      </w:r>
      <w:bookmarkEnd w:id="39"/>
      <w:r w:rsidR="00795E23">
        <w:rPr>
          <w:rFonts w:ascii="宋体" w:cs="Times New Roman"/>
          <w:color w:val="000000"/>
          <w:kern w:val="0"/>
        </w:rPr>
        <w:br w:type="page"/>
      </w:r>
    </w:p>
    <w:p w14:paraId="5B2E4289"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40" w:name="_Toc362455180"/>
      <w:bookmarkStart w:id="41" w:name="_Toc360793495"/>
      <w:bookmarkStart w:id="42" w:name="_Toc360794405"/>
      <w:bookmarkStart w:id="43" w:name="_Toc360793847"/>
      <w:bookmarkStart w:id="44" w:name="_Toc360794513"/>
      <w:bookmarkStart w:id="45" w:name="_Toc48900070"/>
      <w:bookmarkStart w:id="46" w:name="_Toc362533452"/>
      <w:bookmarkStart w:id="47" w:name="_Toc360794097"/>
      <w:r>
        <w:rPr>
          <w:rFonts w:ascii="宋体" w:eastAsia="宋体" w:hAnsi="宋体" w:cs="宋体" w:hint="eastAsia"/>
        </w:rPr>
        <w:t>基金管理人</w:t>
      </w:r>
      <w:bookmarkEnd w:id="40"/>
      <w:bookmarkEnd w:id="41"/>
      <w:bookmarkEnd w:id="42"/>
      <w:bookmarkEnd w:id="43"/>
      <w:bookmarkEnd w:id="44"/>
      <w:bookmarkEnd w:id="45"/>
      <w:bookmarkEnd w:id="46"/>
      <w:bookmarkEnd w:id="47"/>
    </w:p>
    <w:p w14:paraId="18BB790F" w14:textId="77777777" w:rsidR="00AE3DA6" w:rsidRDefault="00AE3DA6">
      <w:pPr>
        <w:adjustRightInd w:val="0"/>
        <w:snapToGrid w:val="0"/>
        <w:spacing w:line="360" w:lineRule="auto"/>
        <w:rPr>
          <w:rFonts w:ascii="宋体" w:cs="Times New Roman"/>
          <w:b/>
          <w:bCs/>
          <w:color w:val="000000"/>
        </w:rPr>
      </w:pPr>
    </w:p>
    <w:p w14:paraId="6B1FEE84"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一、基金管理人概况</w:t>
      </w:r>
    </w:p>
    <w:p w14:paraId="430E3564"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名称：南方基金管理股份有限公司</w:t>
      </w:r>
    </w:p>
    <w:p w14:paraId="1323057D"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住所及办公地址：深圳市福田区莲花街道益田路5999号基金大厦32-42楼</w:t>
      </w:r>
    </w:p>
    <w:p w14:paraId="41963CD0"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成立时间：1998年3月6日</w:t>
      </w:r>
    </w:p>
    <w:p w14:paraId="3BA7DE71"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法定代表人：周易</w:t>
      </w:r>
    </w:p>
    <w:p w14:paraId="320D5797"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注册资本：3.6172亿元人民币</w:t>
      </w:r>
    </w:p>
    <w:p w14:paraId="44E5FAB8"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电话：（0755）82763888</w:t>
      </w:r>
    </w:p>
    <w:p w14:paraId="45D04DE5"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传真：（0755）82763889</w:t>
      </w:r>
    </w:p>
    <w:p w14:paraId="634916FE"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联系人：鲍文革</w:t>
      </w:r>
    </w:p>
    <w:p w14:paraId="7EF517EC"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14:paraId="1BA3A4A2"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2018年1月，公司整体变更设立为南方基金管理股份有限公司,注册资本金3亿元人民币。</w:t>
      </w:r>
    </w:p>
    <w:p w14:paraId="3F7AAC7A"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2019年7月30日，公司注册资本增至3.6172亿元。2021年10月19日，公司股权结构调整为华泰证券股份有限公司41.16%、深圳市投资控股有限公司27.44%、厦门国际信托有限公司13.72%、兴业证券股份有限公司9.15%、厦门合泽吉企业管理合伙企业（有限合伙）1.72%、厦门合泽祥企业管理合伙企业（有限合伙）2.24%、厦门合泽益企业管理合伙企业（有限合伙）2.25%、厦门合泽盈企业管理合伙企业（有限合伙）2.32%。</w:t>
      </w:r>
    </w:p>
    <w:p w14:paraId="60378F06"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二、主要人员情况</w:t>
      </w:r>
    </w:p>
    <w:p w14:paraId="4E76B6B1"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1、董事会成员</w:t>
      </w:r>
    </w:p>
    <w:p w14:paraId="0723CE5C"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周易先生，工学学士，中国籍。曾任江苏贝尔通信系统有限公司董事长，南京欣网视讯科技股份有限公司董事长，华泰证券党委副书记、总裁、党委书记、董事长、党委委员。现任华泰证券股份有限公司首席执行官、执行委员会主任、董事，南方基金管理股份有限公司董事长，南方东英资产管理有限公司董事长，华泰金融控股（香港）有限公司董事，Huatai Securities (Sin gap or e) Pte. Limited董事。</w:t>
      </w:r>
    </w:p>
    <w:p w14:paraId="03B04869"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张辉先生，管理学博士，中国籍。曾任华泰证券资产管理总部高级经理、南通姚港路营业部副总经理、上海瑞金一路营业部总经理、证券投资部副总经理、综合事务部总经理、人力资源部总经理、党委组织部部长。现任华泰证券股份有限公司执行委员会委员、董事会秘书、党委委员，南方基金管理股份有限公司董事。</w:t>
      </w:r>
    </w:p>
    <w:p w14:paraId="1CD6A556"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陈莉女士，法学硕士，中国籍，无境外永久居留权。曾任华泰证券研究员、证券营业部总经理、研究所副所长、研究所所长、执行委员会主任助理等职务。现任南方基金管理股份有限公司董事、党委书记、副总经理，南方东英资产管理有限公司董事。</w:t>
      </w:r>
    </w:p>
    <w:p w14:paraId="719188C4"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杜秀峰先生，经济学、经济法学研究生毕业，中国籍。曾任广东省深圳市监察局政策法规处副主任科员、办公室主任科员，深圳市国资委监督稽查处副处长，深圳市国有资产监督管理局监督稽查处副处长、办公室（信访室）副主任、企业领导人员管理处副处长，深圳市人民政府国有资产监督管理委员会企业领导人员管理处副处长、处长，深圳市投资控股有限公司党委委员、副总经理。现任深圳市投资控股有限公司党委副书记、董事，兼任深圳市高新投集团有限公司董事，中国南山开发（集团）股份有限公司副董事长，深圳市赤湾产业发展有限公司副董事长，南方基金管理股份有限公司董事。</w:t>
      </w:r>
    </w:p>
    <w:p w14:paraId="7738ADB4"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李平先生，工商管理硕士，中国籍。曾任深圳市城市建设开发（集团）有限公司办公室、董办主管，深圳市投资控股有限公司办公室高级主管、企业三部高级主管、金融发展部副部长。现任深圳市投资控股有限公司金融发展部部长，兼任深圳市高新投集团有限公司董事，深圳市高新投融资担保有限公司董事，深圳市城市建设开发（集团）有限公司董事，深圳市投控资本有限公司董事，深圳市投控东海投资有限公司董事，招商局仁和人寿保险股份有限公司监事，金融稳定发展研究院理事，深圳市鹏联投资有限公司执行董事、总经理，深圳市投控联投有限公司执行董事、总经理，南方基金管理股份有限公司董事。</w:t>
      </w:r>
    </w:p>
    <w:p w14:paraId="546CBED0"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陈明雅女士，管理学学士，注册会计师，中国籍。曾任厦门国际信托有限公司财务部副总经理、财务部总经理、投资发展部总经理，现任厦门国际信托有限公司财务总监、财务部总经理，南方基金管理股份有限公司董事。</w:t>
      </w:r>
    </w:p>
    <w:p w14:paraId="6AE1051B"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王斌先生，医学博士，中国籍。曾任安徽泗县人民医院临床医生，瑞金医院感染科临床医生，兴业证券研究所医药行业研究员、总经理助理、副总监、副总经理（主持工作）、总经理。现任兴业证券总裁助理、经济与金融研究院院长、兴证智库主任，南方基金管理股份有限公司董事。</w:t>
      </w:r>
    </w:p>
    <w:p w14:paraId="558DCAF4"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杨小松先生，经济学硕士，中国注册会计师，中国籍，无境外永久居留权。曾在德勤国际会计师行、光大银行证券部、中国证监会等机构任职，曾任南方基金督察长。现任南方基金管理股份有限公司董事、总经理、首席信息官，南方东英资产管理有限公司董事。</w:t>
      </w:r>
    </w:p>
    <w:p w14:paraId="3BAFCD14"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李心丹先生，金融学博士，国务院特殊津贴专家，教育部长江学者特聘教授，中国籍。曾任东南大学经济管理学院教授，南京大学工程管理学院院长。现任南京大学新金融研究院院长、金融工程研究中心主任，南京大学教授、博士生导师，中国金融学年会常务理事、秘书长，江苏省资本市场研究会荣誉会长，江苏银行独立董事，汇丰银行（中国）独立董事，东吴证券股份有限公司独立董事，上海证券交易所科创板制度评估专家委员会主任，南方基金管理股份有限公司独立董事。</w:t>
      </w:r>
    </w:p>
    <w:p w14:paraId="625B5B52"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张忠先生，法学硕士，中国籍。曾任北京市人民政府公务员。现任北京市中伦律师事务所一级合伙人、资本市场业务负责人、证券业务内核负责人，中国东方红卫星股份有限公司独立董事，中国重汽（香港）有限公司独立非执行董事，协和新能源（香港）有限公司独立非执行董事，南方基金管理股份有限公司独立董事。</w:t>
      </w:r>
    </w:p>
    <w:p w14:paraId="65CB3792"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林斌先生，会计学博士，澳大利亚资深注册会计师，中国籍。曾任中山大学管理学院会计学系主任，MPAcc教育中心主任，广东省审计学会副会长，广东省资产评估协会副会长，广东省内部审计协会副会长，广东省总工会经审会常委。现任广东管理会计师协会会长，广东省内部控制协会副会长，长城证券股份有限公司独立董事，中船海洋与防务装备股份有限公司独立董事，南方基金管理股份有限公司独立董事。</w:t>
      </w:r>
    </w:p>
    <w:p w14:paraId="401FD3A0"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郑建彪先生，经济学硕士，高级工商管理硕士，中国注册会计师，中国籍。曾任北京市财政局干部，深圳蛇口中华会计师事务所经理，京都会计师事务所副主任，北京注册会计师协会副会长。现任致同会计师事务所（特殊普通合伙）合伙人，全国工商联并购公会监事长，中国上市公司协会财务总监委员会副主任、并购融资委员会委员，南方基金管理股份有限公司独立董事。</w:t>
      </w:r>
    </w:p>
    <w:p w14:paraId="1486AC6B" w14:textId="506A07EA" w:rsidR="00AE3DA6"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徐浩萍女士，会计学博士，中国籍。曾任职江苏省丝绸进出口股份有限公司、南京环球杰必克有限责任公司、南京国电南自股份有限公司，复旦大学教师。现任复旦大学管理学院副教授，无锡林泰克斯新材料科技股份有限公司独立董事，苏州海光芯创光电科技股份有限公司独立董事，苏州</w:t>
      </w:r>
      <w:r>
        <w:rPr>
          <w:rFonts w:ascii="宋体" w:hAnsi="宋体" w:cs="Times New Roman" w:hint="eastAsia"/>
          <w:bCs/>
          <w:szCs w:val="24"/>
        </w:rPr>
        <w:t>汇科技术股份有限公司独立董事，南方基金管理股份有限公司独立董事</w:t>
      </w:r>
      <w:r w:rsidR="00795E23">
        <w:rPr>
          <w:rFonts w:ascii="宋体" w:hAnsi="宋体" w:cs="Times New Roman" w:hint="eastAsia"/>
          <w:bCs/>
          <w:szCs w:val="24"/>
        </w:rPr>
        <w:t>。</w:t>
      </w:r>
    </w:p>
    <w:p w14:paraId="77A1A17A" w14:textId="457ECB57" w:rsidR="00AE3DA6" w:rsidRDefault="0090740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bCs/>
          <w:szCs w:val="24"/>
        </w:rPr>
        <w:t>2</w:t>
      </w:r>
      <w:r w:rsidR="00795E23">
        <w:rPr>
          <w:rFonts w:ascii="宋体" w:hAnsi="宋体" w:cs="Times New Roman" w:hint="eastAsia"/>
          <w:bCs/>
          <w:szCs w:val="24"/>
        </w:rPr>
        <w:t>、公司高级管理人员</w:t>
      </w:r>
    </w:p>
    <w:p w14:paraId="6EDD7D5B"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杨小松先生，总经理、首席信息官，经济学硕士，中国注册会计师，中国籍，无境外永久居留权。曾在德勤国际会计师行、光大银行证券部、中国证监会等机构任职，曾任南方基金督察长。现任南方基金管理股份有限公司董事、总经理、首席信息官，南方东英资产管理有限公司董事。</w:t>
      </w:r>
    </w:p>
    <w:p w14:paraId="421EEF90"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陈莉女士，副总经理，法学硕士，中国籍，无境外永久居留权。曾任华泰证券研究员、证券营业部总经理、研究所副所长、研究所所长、执行委员会主任助理等职务。现任南方基金管理股份有限公司董事、党委书记、副总经理，南方东英资产管理有限公司董事。</w:t>
      </w:r>
    </w:p>
    <w:p w14:paraId="37D9498B"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俞文宏先生，副总经理、董事会秘书，工商管理硕士，经济师，中国籍，无境外永久居留权。曾在江苏国信集团任职，曾任南方资本管理有限公司董事长、总经理，深圳南方股权投资基金管理有限公司董事长等职务。现任南方基金管理股份有限公司党委副书记、副总经理、董事会秘书。</w:t>
      </w:r>
    </w:p>
    <w:p w14:paraId="25E7385B"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李海鹏先生，副总经理，工商管理硕士，特许金融分析师（CFA），中国籍，无境外永久居留权。曾任美国AXA Fin ancial公司投资部高级分析师，南方基金高级研究员、基金经理助理、基金经理、全国社保及国际业务部执行总监、全国社保业务部总监、固定收益部总监、总裁助理兼固定收益投资总监，南方东英资产管理有限公司董事等职务。现任南方基金管理股份有限公司党委委员、副总经理、首席投资官（固定收益）。</w:t>
      </w:r>
    </w:p>
    <w:p w14:paraId="3269D340"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鲍文革先生，督察长，经济学硕士，中国籍，无境外永久居留权。曾任财政部中华会计师事务所审计师，南方证券有限公司投行部及计划财务部总经理助理，南方基金运作保障部总监、公司监事、财务负责人、总裁助理等职务。现任南方基金管理股份有限公司督察长，南方资本管理有限公司董事。</w:t>
      </w:r>
    </w:p>
    <w:p w14:paraId="20DA1013"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蔡忠评先生，财务负责人，经济学硕士，中国注册会计师、特许公认会计师公会资深会员（FCCA），中国籍，无境外永久居留权。曾任中南财经大学助教，招商局蛇口工业区总会计师室会计，国信证券有限责任公司资金财务部高级经理，普华永道会计师事务所高级审计师，国投瑞银基金管理有限公司财务部总监等职务。现任南方基金管理股份有限公司财务负责人兼财务部总经理，南方东英资产管理有限公司董事，深圳南方股权投资基金管理有限公司董事。</w:t>
      </w:r>
    </w:p>
    <w:p w14:paraId="68A769DD"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孙鲁闽先生，副总经理，会计商学、基金管理商学硕士，中国籍，无境外永久居留权。曾任厦门国际银行福州分行电脑部主管，南方基金研究员、投资经理、基金经理、投资部副总监等职务。现任南方基金管理股份有限公司副总经理、联席首席投资官、基金经理兼任私募资管计划投资经理。</w:t>
      </w:r>
    </w:p>
    <w:p w14:paraId="79952FA1" w14:textId="77777777" w:rsidR="001534BE" w:rsidRPr="001534BE"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侯利鹏先生，副总经理，工商管理硕士，中国籍，无境外永久居留权。曾任沈阳财政证券公司交易部经理、客户服务部经理，中融基金管理有限公司副总经理，南方基金零售服务部总经理、公司总经理助理、首席市场官等职务。现任南方基金管理股份有限公司副总经理。</w:t>
      </w:r>
    </w:p>
    <w:p w14:paraId="3C7D42E7" w14:textId="6B51265A" w:rsidR="00AE3DA6" w:rsidRDefault="001534BE" w:rsidP="001534BE">
      <w:pPr>
        <w:tabs>
          <w:tab w:val="left" w:pos="2160"/>
        </w:tabs>
        <w:adjustRightInd w:val="0"/>
        <w:snapToGrid w:val="0"/>
        <w:spacing w:line="360" w:lineRule="auto"/>
        <w:ind w:firstLineChars="200" w:firstLine="420"/>
        <w:rPr>
          <w:rFonts w:ascii="宋体" w:hAnsi="宋体" w:cs="Times New Roman"/>
          <w:bCs/>
          <w:szCs w:val="24"/>
        </w:rPr>
      </w:pPr>
      <w:r w:rsidRPr="001534BE">
        <w:rPr>
          <w:rFonts w:ascii="宋体" w:hAnsi="宋体" w:cs="Times New Roman" w:hint="eastAsia"/>
          <w:bCs/>
          <w:szCs w:val="24"/>
        </w:rPr>
        <w:t>茅炜先生，副总经理，经济学学士，中国籍，无境外永久居留权。曾任东方人寿保险股份有限公司保险精算员，生命人寿保险股份有限公司保险精算员，国金证券股份有限公司研究员，南方基金研究员、投资经理、基金经理、研究部负责人、权益研究部总经理、权益投资部总经理等职务。现任南方基金管理股份有限公司副总经理、首席投资官（权益）</w:t>
      </w:r>
      <w:r w:rsidR="00795E23">
        <w:rPr>
          <w:rFonts w:ascii="宋体" w:hAnsi="宋体" w:cs="Times New Roman" w:hint="eastAsia"/>
          <w:bCs/>
          <w:szCs w:val="24"/>
        </w:rPr>
        <w:t>。</w:t>
      </w:r>
    </w:p>
    <w:p w14:paraId="2C7C5C1B" w14:textId="4B18B69C" w:rsidR="00AE3DA6" w:rsidRDefault="0090740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bCs/>
          <w:szCs w:val="24"/>
        </w:rPr>
        <w:t>3</w:t>
      </w:r>
      <w:r w:rsidR="00795E23">
        <w:rPr>
          <w:rFonts w:ascii="宋体" w:hAnsi="宋体" w:cs="Times New Roman" w:hint="eastAsia"/>
          <w:bCs/>
          <w:szCs w:val="24"/>
        </w:rPr>
        <w:t>、基金经理</w:t>
      </w:r>
    </w:p>
    <w:p w14:paraId="39E63686" w14:textId="3DF53293" w:rsidR="00AE3DA6" w:rsidRDefault="00186F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王鑫</w:t>
      </w:r>
      <w:r w:rsidR="00795E23">
        <w:rPr>
          <w:rFonts w:ascii="宋体" w:hAnsi="宋体" w:cs="Times New Roman" w:hint="eastAsia"/>
          <w:bCs/>
          <w:szCs w:val="24"/>
        </w:rPr>
        <w:t>先生，</w:t>
      </w:r>
      <w:r w:rsidR="001534BE" w:rsidRPr="001534BE">
        <w:rPr>
          <w:rFonts w:ascii="宋体" w:hAnsi="宋体" w:cs="Times New Roman" w:hint="eastAsia"/>
          <w:bCs/>
          <w:szCs w:val="24"/>
        </w:rPr>
        <w:t>北京大学理学与经济学学士，美国约翰霍普金斯大学金融学硕士，特许金融分析师（CFA），具有基金从业资格。2018年5月加入南方基金，先后任职于战略与产品开发部、产品开发部；2022年6月加入国际业务部，任研究员；2024年5月31日至2025年4月11日，任南方亚洲美元收益债券（QDII）基金经理助理；2025年4月11日至今，任南方标普500ETF（QDII）、南方顶峰TOPIX ETF（QDII）、南方中证香港科技ETF（QDII）基金经理；2025年4月18日至今，任南方基金南方东英富时亚太低碳精选ETF（QDII）、南方富时亚太低碳精选ETF发起联接（QDII）基金经理；2025年10月22日至今，任南方中证港股通50ETF基金经理；2025年10月29日至今，任南方中证港股通互联网ETF基金经理</w:t>
      </w:r>
      <w:r w:rsidR="00795E23">
        <w:rPr>
          <w:rFonts w:ascii="宋体" w:hAnsi="宋体" w:cs="Times New Roman" w:hint="eastAsia"/>
          <w:bCs/>
          <w:szCs w:val="24"/>
        </w:rPr>
        <w:t>。</w:t>
      </w:r>
    </w:p>
    <w:p w14:paraId="4FC68DCB" w14:textId="7E6DD5A7" w:rsidR="00AE3DA6" w:rsidRDefault="0090740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bCs/>
          <w:szCs w:val="24"/>
        </w:rPr>
        <w:t>4</w:t>
      </w:r>
      <w:r w:rsidR="00795E23">
        <w:rPr>
          <w:rFonts w:ascii="宋体" w:hAnsi="宋体" w:cs="Times New Roman" w:hint="eastAsia"/>
          <w:bCs/>
          <w:szCs w:val="24"/>
        </w:rPr>
        <w:t>、投资决策委员会成员</w:t>
      </w:r>
    </w:p>
    <w:p w14:paraId="0F3A79CB" w14:textId="636DDB9A" w:rsidR="00AE3DA6" w:rsidRDefault="00907401">
      <w:pPr>
        <w:tabs>
          <w:tab w:val="left" w:pos="2160"/>
        </w:tabs>
        <w:adjustRightInd w:val="0"/>
        <w:snapToGrid w:val="0"/>
        <w:spacing w:line="360" w:lineRule="auto"/>
        <w:ind w:firstLineChars="200" w:firstLine="420"/>
        <w:rPr>
          <w:rFonts w:ascii="宋体" w:hAnsi="宋体" w:cs="Times New Roman"/>
          <w:bCs/>
          <w:szCs w:val="24"/>
        </w:rPr>
      </w:pPr>
      <w:r w:rsidRPr="00907401">
        <w:rPr>
          <w:rFonts w:ascii="宋体" w:hAnsi="宋体" w:cs="Times New Roman" w:hint="eastAsia"/>
          <w:bCs/>
          <w:szCs w:val="24"/>
        </w:rPr>
        <w:t>南方基金管理股份有限公司副总经理兼首席投资官（固定收益）李海鹏先生，副总经理兼联席首席投资官孙鲁闽先生，副总经理兼首席投资官（权益）茅炜先生，指数投资部部门负责人罗文杰女士，现金及债券指数投资部部门负责人夏晨曦先生，固定收益投资部部门负责人李璇女士，混合资产投资部部门负责人林乐峰先生，固定收益研究部部门负责人陶铄先生，交易管理部部门负责人王珂女士，宏观策略部联席部门负责人兼数量化投资部部门负责人唐小东先生，风险管理部部门负责人严旺光先生，权益投资部部门负责人张延闽先生，国际业务部部门负</w:t>
      </w:r>
      <w:r>
        <w:rPr>
          <w:rFonts w:ascii="宋体" w:hAnsi="宋体" w:cs="Times New Roman" w:hint="eastAsia"/>
          <w:bCs/>
          <w:szCs w:val="24"/>
        </w:rPr>
        <w:t>责人恽雷先生，权益研究部部门负责人郑诗韵女士，基金经理李健女士</w:t>
      </w:r>
      <w:r w:rsidR="00795E23">
        <w:rPr>
          <w:rFonts w:ascii="宋体" w:hAnsi="宋体" w:cs="Times New Roman" w:hint="eastAsia"/>
          <w:bCs/>
          <w:szCs w:val="24"/>
        </w:rPr>
        <w:t>。</w:t>
      </w:r>
    </w:p>
    <w:p w14:paraId="515F1A71" w14:textId="088E7F8F" w:rsidR="00AE3DA6" w:rsidRDefault="0090740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bCs/>
          <w:szCs w:val="24"/>
        </w:rPr>
        <w:t>5</w:t>
      </w:r>
      <w:r w:rsidR="00795E23">
        <w:rPr>
          <w:rFonts w:ascii="宋体" w:hAnsi="宋体" w:cs="Times New Roman" w:hint="eastAsia"/>
          <w:bCs/>
          <w:szCs w:val="24"/>
        </w:rPr>
        <w:t>、上述人员之间不存在近亲属关系。</w:t>
      </w:r>
    </w:p>
    <w:p w14:paraId="488635A5" w14:textId="77777777" w:rsidR="00AE3DA6" w:rsidRDefault="00AE3DA6">
      <w:pPr>
        <w:tabs>
          <w:tab w:val="left" w:pos="2160"/>
        </w:tabs>
        <w:adjustRightInd w:val="0"/>
        <w:snapToGrid w:val="0"/>
        <w:spacing w:line="360" w:lineRule="auto"/>
        <w:ind w:firstLineChars="200" w:firstLine="420"/>
        <w:rPr>
          <w:rFonts w:ascii="宋体" w:hAnsi="宋体" w:cs="Times New Roman"/>
          <w:bCs/>
          <w:szCs w:val="24"/>
        </w:rPr>
      </w:pPr>
    </w:p>
    <w:p w14:paraId="5FC4D78D"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三、基金管理人的职责</w:t>
      </w:r>
    </w:p>
    <w:p w14:paraId="1D8E298C"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（1）依法募集资金，办理或者委托经中国证监会认定的其他机构代为办理基金份额的发售、申购、赎回和登记事宜；</w:t>
      </w:r>
    </w:p>
    <w:p w14:paraId="71DC93DB"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（2）办理基金备案手续；</w:t>
      </w:r>
    </w:p>
    <w:p w14:paraId="36213B02"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（3）对所管理的不同基金财产分别管理、分别记账，进行证券投资；</w:t>
      </w:r>
    </w:p>
    <w:p w14:paraId="33E19EB5"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（4）按照基金合同的约定确定基金收益分配方案，及时向基金份额持有人分配收益；</w:t>
      </w:r>
    </w:p>
    <w:p w14:paraId="71925D91"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（5）进行基金会计核算并编制基金财务会计报告；</w:t>
      </w:r>
    </w:p>
    <w:p w14:paraId="171C7F63"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（6）编制季度报告、中期报告和年度报告；</w:t>
      </w:r>
    </w:p>
    <w:p w14:paraId="3B4FA83F"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（7）计算并披露基金净值信息，确定基金份额申购、赎回价格；</w:t>
      </w:r>
    </w:p>
    <w:p w14:paraId="79F643F6"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（8）办理与基金财产管理业务活动有关的信息披露事项；</w:t>
      </w:r>
    </w:p>
    <w:p w14:paraId="779A34B7"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（9）按照规定召集基金份额持有人大会；</w:t>
      </w:r>
    </w:p>
    <w:p w14:paraId="71E55686"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（10）保存基金财产管理业务活动的记录、账册、报表和其他相关资料；</w:t>
      </w:r>
    </w:p>
    <w:p w14:paraId="0635513D"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（11）以基金管理人名义，代表基金份额持有人利益行使诉讼权利或者实施其他法律行为；</w:t>
      </w:r>
    </w:p>
    <w:p w14:paraId="467A3CB2"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（12）法律法规及中国证监会规定的和基金合同约定的其他职责。</w:t>
      </w:r>
    </w:p>
    <w:p w14:paraId="5A774098" w14:textId="77777777" w:rsidR="00AE3DA6" w:rsidRDefault="00AE3DA6">
      <w:pPr>
        <w:tabs>
          <w:tab w:val="left" w:pos="2160"/>
        </w:tabs>
        <w:adjustRightInd w:val="0"/>
        <w:snapToGrid w:val="0"/>
        <w:spacing w:line="360" w:lineRule="auto"/>
        <w:ind w:firstLineChars="200" w:firstLine="420"/>
        <w:rPr>
          <w:rFonts w:ascii="宋体" w:hAnsi="宋体" w:cs="Times New Roman"/>
          <w:bCs/>
          <w:szCs w:val="24"/>
        </w:rPr>
      </w:pPr>
    </w:p>
    <w:p w14:paraId="2BF5EF72"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四、基金管理人关于遵守法律法规的承诺</w:t>
      </w:r>
    </w:p>
    <w:p w14:paraId="14EFB54B"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1、基金管理人承诺遵守《基金法》及其他相关法律法规的规定，建立健全的内部控制制度，采取有效措施，防止违反《基金法》及其他相关法律法规行为的发生。</w:t>
      </w:r>
    </w:p>
    <w:p w14:paraId="4B0ABFA8"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2、基金管理人承诺不从事下列行为：</w:t>
      </w:r>
    </w:p>
    <w:p w14:paraId="76677FD2"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（1）将基金管理人固有财产或者他人财产混同于基金财产从事证券投资；</w:t>
      </w:r>
    </w:p>
    <w:p w14:paraId="7B9F9BCA"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（2）不公平地对待管理的不同基金财产；</w:t>
      </w:r>
    </w:p>
    <w:p w14:paraId="35288201"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（3）利用基金财产或者职务之便为基金份额持有人以外的人牟取利益；</w:t>
      </w:r>
    </w:p>
    <w:p w14:paraId="6E10304F"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（4）向基金份额持有人违规承诺收益或者承担损失；</w:t>
      </w:r>
    </w:p>
    <w:p w14:paraId="7E1A3FA1"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（5）侵占、挪用基金财产；</w:t>
      </w:r>
    </w:p>
    <w:p w14:paraId="50080A49"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（6）泄露因职务便利获取的未公开信息、利用该信息从事或者明示、暗示他人从事相关的交易活动；</w:t>
      </w:r>
    </w:p>
    <w:p w14:paraId="5F7F63AA"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（7）玩忽职守，不按照规定履行职责；</w:t>
      </w:r>
    </w:p>
    <w:p w14:paraId="351F6619"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（8）法律、行政法规和中国证监会规定禁止的其他行为。</w:t>
      </w:r>
    </w:p>
    <w:p w14:paraId="109C91CB" w14:textId="77777777" w:rsidR="00AE3DA6" w:rsidRDefault="00AE3DA6">
      <w:pPr>
        <w:tabs>
          <w:tab w:val="left" w:pos="2160"/>
        </w:tabs>
        <w:adjustRightInd w:val="0"/>
        <w:snapToGrid w:val="0"/>
        <w:spacing w:line="360" w:lineRule="auto"/>
        <w:ind w:firstLineChars="200" w:firstLine="420"/>
        <w:rPr>
          <w:rFonts w:ascii="宋体" w:hAnsi="宋体" w:cs="Times New Roman"/>
          <w:bCs/>
          <w:szCs w:val="24"/>
        </w:rPr>
      </w:pPr>
    </w:p>
    <w:p w14:paraId="6191E1E0"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五、基金管理人关于禁止性行为的承诺</w:t>
      </w:r>
    </w:p>
    <w:p w14:paraId="34933301"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为维护基金份额持有人的合法权益，本基金禁止从事下列行为：</w:t>
      </w:r>
    </w:p>
    <w:p w14:paraId="0E188508"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（1）承销证券；</w:t>
      </w:r>
    </w:p>
    <w:p w14:paraId="5DB44B50"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（2）违反规定向他人贷款或者提供担保；</w:t>
      </w:r>
    </w:p>
    <w:p w14:paraId="68BA19DF"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（3）从事承担无限责任的投资；</w:t>
      </w:r>
    </w:p>
    <w:p w14:paraId="467F69BC"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（4）买卖除目标ETF以外的其他基金份额，但是中国证监会另有规定的除外；</w:t>
      </w:r>
    </w:p>
    <w:p w14:paraId="21083674"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（5）向其基金管理人、基金托管人出资；</w:t>
      </w:r>
    </w:p>
    <w:p w14:paraId="531DBBDC"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（6）从事内幕交易、操纵证券交易价格及其他不正当的证券交易活动；</w:t>
      </w:r>
    </w:p>
    <w:p w14:paraId="36BCB7D8"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（7）法律、行政法规和中国证监会规定禁止的其他活动。</w:t>
      </w:r>
    </w:p>
    <w:p w14:paraId="00E5B9E8"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819A3FE"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法律、行政法规或监管部门取消或变更上述限制，如适用于本基金</w:t>
      </w:r>
      <w:r>
        <w:rPr>
          <w:rFonts w:ascii="宋体" w:hAnsi="宋体" w:cs="宋体" w:hint="eastAsia"/>
          <w:bCs/>
          <w:color w:val="000000"/>
        </w:rPr>
        <w:t>，基金管理人与基金托管人协商一致，在履行适当程序后</w:t>
      </w:r>
      <w:r>
        <w:rPr>
          <w:rFonts w:ascii="宋体" w:hAnsi="宋体" w:cs="Times New Roman" w:hint="eastAsia"/>
          <w:bCs/>
          <w:szCs w:val="24"/>
        </w:rPr>
        <w:t>，则本基金投资不再受相关限制或按变更后的规定执行。</w:t>
      </w:r>
    </w:p>
    <w:p w14:paraId="5AB50F48" w14:textId="77777777" w:rsidR="00AE3DA6" w:rsidRDefault="00AE3DA6">
      <w:pPr>
        <w:tabs>
          <w:tab w:val="left" w:pos="2160"/>
        </w:tabs>
        <w:adjustRightInd w:val="0"/>
        <w:snapToGrid w:val="0"/>
        <w:spacing w:line="360" w:lineRule="auto"/>
        <w:ind w:firstLineChars="200" w:firstLine="420"/>
        <w:rPr>
          <w:rFonts w:ascii="宋体" w:hAnsi="宋体" w:cs="Times New Roman"/>
          <w:bCs/>
          <w:szCs w:val="24"/>
        </w:rPr>
      </w:pPr>
    </w:p>
    <w:p w14:paraId="6F18117C"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六、基金经理承诺</w:t>
      </w:r>
    </w:p>
    <w:p w14:paraId="0963BFC8"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1、依照有关法律、法规和基金合同的规定，本着勤勉尽责的原则为基金份额持有人谋取最大利益；</w:t>
      </w:r>
    </w:p>
    <w:p w14:paraId="52C10757"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2、不能利用职务之便为自己、受雇人或基金份额持有人以外的人谋取利益；</w:t>
      </w:r>
    </w:p>
    <w:p w14:paraId="52436A79"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3、不泄露在任职期间知悉的有关证券、基金的商业秘密，尚未依法公开的基金投资内容、基金投资计划等信息，或利用该信息从事或者明示、暗示他人从事相关的交易活动；</w:t>
      </w:r>
    </w:p>
    <w:p w14:paraId="7F5883F0"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4、不以任何形式为其他组织或个人进行证券交易。</w:t>
      </w:r>
    </w:p>
    <w:p w14:paraId="01CA822E" w14:textId="77777777" w:rsidR="00AE3DA6" w:rsidRDefault="00AE3DA6">
      <w:pPr>
        <w:tabs>
          <w:tab w:val="left" w:pos="2160"/>
        </w:tabs>
        <w:adjustRightInd w:val="0"/>
        <w:snapToGrid w:val="0"/>
        <w:spacing w:line="360" w:lineRule="auto"/>
        <w:ind w:firstLineChars="200" w:firstLine="420"/>
        <w:rPr>
          <w:rFonts w:ascii="宋体" w:hAnsi="宋体" w:cs="Times New Roman"/>
          <w:bCs/>
          <w:szCs w:val="24"/>
        </w:rPr>
      </w:pPr>
    </w:p>
    <w:p w14:paraId="50F0D914"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七、基金管理人的内部控制制度</w:t>
      </w:r>
    </w:p>
    <w:p w14:paraId="42C4C137"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1、内部控制制度概述</w:t>
      </w:r>
    </w:p>
    <w:p w14:paraId="11352982"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3F86217D"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内部控制制度是指公司为实现内部控制目标而建立的一系列组织机制、管理方法、操作程序与控制措施的总称。内部控制制度由内部控制大纲、基本管理制度、部门业务规章等组成。</w:t>
      </w:r>
    </w:p>
    <w:p w14:paraId="17BF9A45"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公司内部控制大纲是对公司章程规定的内控原则的细化和展开，是对各项基本管理制度的总揽和指导，内部控制大纲明确了内控目标、内控原则、控制环境、内控措施等内容。</w:t>
      </w:r>
    </w:p>
    <w:p w14:paraId="2C8E0516"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基本管理制度包括内部会计控制制度、风险控制制度、投资管理制度、监察稽核制度、基金会计制度、信息披露制度、信息技术管理制度、资料档案管理制度、业绩评估考核制度和紧急应变制度等。</w:t>
      </w:r>
    </w:p>
    <w:p w14:paraId="5F65E36C"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部门业务规章是在基本管理制度的基础上，对各部门的主要职责、岗位设置、岗位责任、操作守则等的具体说明。</w:t>
      </w:r>
    </w:p>
    <w:p w14:paraId="62D29C8B"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2、内部控制原则</w:t>
      </w:r>
    </w:p>
    <w:p w14:paraId="44CC796E"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健全性原则。内部控制机制必须覆盖公司的各项业务、各个部门或机构和各级人员，并涵盖到决策、执行、监督、反馈等各个运作环节。</w:t>
      </w:r>
    </w:p>
    <w:p w14:paraId="735B513E"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有效性原则。通过科学的内控手段和方法，建立合理的内控程序，维护内控制度的有效执行。</w:t>
      </w:r>
    </w:p>
    <w:p w14:paraId="1148A107"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独立性原则。公司各机构、部门和岗位在职能上应当保持相对独立，公司基金资产、自有资产、其他资产的运作应当分离。</w:t>
      </w:r>
    </w:p>
    <w:p w14:paraId="2A56336E"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相互制约原则。公司内部部门和岗位的设置必须权责分明、相互制衡，并通过切实可行的措施来实行。</w:t>
      </w:r>
    </w:p>
    <w:p w14:paraId="47FFCB0B"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成本效益原则。公司应充分发挥各机构、各部门及各级员工的工作积极性，运用科学化的方法尽量降低经营运作成本，提高经济效益，以合理的控制成本达到最佳的内部控制效果。</w:t>
      </w:r>
    </w:p>
    <w:p w14:paraId="3B1D34CC"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3、主要内部控制制度</w:t>
      </w:r>
    </w:p>
    <w:p w14:paraId="6A7F3ABE"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（1）内部会计控制制度</w:t>
      </w:r>
    </w:p>
    <w:p w14:paraId="2DFD738D"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公司依据《中华人民共和国会计法》等国家有关法律、法规制订了基金会计制度、公司财务会计制度、会计工作操作流程和会计岗位职责，并针对各个风险控制点建立严密的会计系统控制。</w:t>
      </w:r>
    </w:p>
    <w:p w14:paraId="6F46AA9B"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14:paraId="050BF9F8"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（2）风险管理控制制度</w:t>
      </w:r>
    </w:p>
    <w:p w14:paraId="378143BC"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风险控制制度由风险控制委员会组织各部门制定，风险控制制度由风险控制的机构设置、风险控制的程序、风险控制的具体制度、风险控制制度执行情况的监督等部分组成。</w:t>
      </w:r>
    </w:p>
    <w:p w14:paraId="75105651"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风险控制的具体制度主要包括投资风险管理制度、交易风险管理制度、财务风险控制制度、信息技术系统风险控制制度以及岗位分离制度、防火墙制度、反馈制度、保密制度等程序性风险管理制度。</w:t>
      </w:r>
    </w:p>
    <w:p w14:paraId="0ECC4529"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（3）监察稽核制度</w:t>
      </w:r>
    </w:p>
    <w:p w14:paraId="4D85E061"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公司设立督察长，负责监督检查基金和公司运作的合法合规情况及公司内部风险控制情况。督察长由总经理提名，董事会聘任，并经全体独立董事同意。</w:t>
      </w:r>
    </w:p>
    <w:p w14:paraId="23FDC2B4"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14:paraId="59234895"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公司设立监察稽核部门，具体执行监察稽核工作。公司配备了充足合格的监察稽核人员，明确规定了监察稽核部门及内部各岗位的职责和工作流程。</w:t>
      </w:r>
    </w:p>
    <w:p w14:paraId="39A46A20" w14:textId="77777777" w:rsidR="00AE3DA6" w:rsidRDefault="00795E23">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14:paraId="738819F9" w14:textId="77777777" w:rsidR="00AE3DA6" w:rsidRDefault="00795E23">
      <w:pPr>
        <w:widowControl/>
        <w:jc w:val="left"/>
        <w:rPr>
          <w:rFonts w:ascii="宋体" w:hAnsi="宋体" w:cs="宋体"/>
          <w:color w:val="000000"/>
        </w:rPr>
      </w:pPr>
      <w:r>
        <w:rPr>
          <w:rFonts w:ascii="宋体" w:hAnsi="宋体" w:cs="宋体"/>
          <w:color w:val="000000"/>
        </w:rPr>
        <w:br w:type="page"/>
      </w:r>
    </w:p>
    <w:p w14:paraId="4759692E"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48" w:name="_Toc360794098"/>
      <w:bookmarkStart w:id="49" w:name="_Toc360794514"/>
      <w:bookmarkStart w:id="50" w:name="_Toc362455181"/>
      <w:bookmarkStart w:id="51" w:name="_Toc48900071"/>
      <w:bookmarkStart w:id="52" w:name="_Toc360793496"/>
      <w:bookmarkStart w:id="53" w:name="_Toc360794406"/>
      <w:bookmarkStart w:id="54" w:name="_Toc362533453"/>
      <w:bookmarkStart w:id="55" w:name="_Toc360793848"/>
      <w:r>
        <w:rPr>
          <w:rFonts w:ascii="宋体" w:eastAsia="宋体" w:hAnsi="宋体" w:cs="宋体" w:hint="eastAsia"/>
        </w:rPr>
        <w:t>基金托管人</w:t>
      </w:r>
      <w:bookmarkEnd w:id="48"/>
      <w:bookmarkEnd w:id="49"/>
      <w:bookmarkEnd w:id="50"/>
      <w:bookmarkEnd w:id="51"/>
      <w:bookmarkEnd w:id="52"/>
      <w:bookmarkEnd w:id="53"/>
      <w:bookmarkEnd w:id="54"/>
      <w:bookmarkEnd w:id="55"/>
    </w:p>
    <w:p w14:paraId="4C24F023" w14:textId="77777777" w:rsidR="00AE3DA6" w:rsidRDefault="00AE3DA6">
      <w:pPr>
        <w:tabs>
          <w:tab w:val="left" w:pos="2160"/>
        </w:tabs>
        <w:adjustRightInd w:val="0"/>
        <w:snapToGrid w:val="0"/>
        <w:spacing w:line="360" w:lineRule="auto"/>
        <w:ind w:firstLineChars="200" w:firstLine="420"/>
        <w:rPr>
          <w:rFonts w:ascii="宋体" w:cs="Times New Roman"/>
          <w:color w:val="000000"/>
        </w:rPr>
      </w:pPr>
    </w:p>
    <w:p w14:paraId="7FE35224"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一、基金托管人简况</w:t>
      </w:r>
    </w:p>
    <w:p w14:paraId="4ED331C1"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名称：国泰海通证券股份有限公司（简称“国泰海通证券”）</w:t>
      </w:r>
    </w:p>
    <w:p w14:paraId="17288A90"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住所：中国（上海）自由贸易试验区商城路618号</w:t>
      </w:r>
    </w:p>
    <w:p w14:paraId="09587ACD"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法定代表人：朱健</w:t>
      </w:r>
    </w:p>
    <w:p w14:paraId="226BBEB3"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成立时间：1999年8月18日</w:t>
      </w:r>
    </w:p>
    <w:p w14:paraId="1A7FA3A9"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批准设立机关：中国证监会</w:t>
      </w:r>
    </w:p>
    <w:p w14:paraId="2DB63A93"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批准设立文号：证监机构字[1999]77号</w:t>
      </w:r>
    </w:p>
    <w:p w14:paraId="42F1EB60"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组织形式：其他股份有限公司（上市）</w:t>
      </w:r>
    </w:p>
    <w:p w14:paraId="55DF90C6"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注册资本：人民币 17,629,708,696 元整</w:t>
      </w:r>
    </w:p>
    <w:p w14:paraId="7CC1E008"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存续期间：持续经营</w:t>
      </w:r>
    </w:p>
    <w:p w14:paraId="34BC8686"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基金托管资格批文及文号：证监许可[2014]511号</w:t>
      </w:r>
    </w:p>
    <w:p w14:paraId="3F8180A5"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联系人：丛艳</w:t>
      </w:r>
    </w:p>
    <w:p w14:paraId="66311C18"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通讯地址：上海市静安区新闸路669号博华广场19楼</w:t>
      </w:r>
    </w:p>
    <w:p w14:paraId="050FC2FA"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联系电话：021-38677336</w:t>
      </w:r>
    </w:p>
    <w:p w14:paraId="48B7A6C5"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1.拟任基金托管人简介</w:t>
      </w:r>
    </w:p>
    <w:p w14:paraId="4885A503" w14:textId="6FA69A8A" w:rsidR="00186F23" w:rsidRPr="00186F23" w:rsidRDefault="00D4170B"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国泰海通证券</w:t>
      </w:r>
      <w:r w:rsidR="00186F23" w:rsidRPr="00186F23">
        <w:rPr>
          <w:rFonts w:ascii="宋体" w:hAnsi="宋体" w:hint="eastAsia"/>
          <w:bCs/>
        </w:rPr>
        <w:t>是中国证券行业长期、持续、全面领先的综合金融服务商。集团跨越了中国资本市场发展的全部历程和多个周期，历经风雨，锐意进取，始终屹立在资本市场的最前列，资本规模、盈利水平、业务实力和风险管理能力一直位居行业领先水平。截至2024年12月31日，公司直接拥有6家境内子公司和1家境外子公司，并在境内设有37家证券分公司和346家证券营业部。</w:t>
      </w:r>
    </w:p>
    <w:p w14:paraId="4A184EF0"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2.主要人员情况</w:t>
      </w:r>
    </w:p>
    <w:p w14:paraId="219927C7"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国泰海通证券设资产托管部，下设市场管理组、产品管理组、投资绩效分析组、托管中心、非公募运营服务中心、公募运营服务中心、国际运营组、客户服务组、数据运行组、系统运行组、合规风控组、规划管理组、人力资源组13个职能组及大湾区业务部，在北京、上海、深圳设有办公场所，共有员工200余人。部门团队人员平均从业年限5年以上，估值、风控等核心岗位人员具备10年以上大型托管行、基金公司相关工作经验。</w:t>
      </w:r>
    </w:p>
    <w:p w14:paraId="0B97C7ED"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3.基金托管业务经营情况</w:t>
      </w:r>
    </w:p>
    <w:p w14:paraId="58DD7F46"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国泰海通证券已取得证券投资基金托管资格，可为各类公开募集基金、非公开募集基金提供托管服务。国泰海通证券坚守“诚信专业、质量为本”的服务宗旨，通过组建经验丰富的专业团队、搭建安全高效的业务系统，为基金份额持有人提供值得信赖的托管服务。国泰海通证券获得证券投资基金托管资格以来，广泛开展了公募基金、基金专户、券商资管计划、私募基金等基金托管业务，与易方达、华泰柏瑞、嘉实、华夏、建信、天弘、富国、华安等多家基金公司及其子公司建立了托管合作关系。截至2024年12月31日，托管与基金服务业务规模逾30,000亿元，其中，托管公募基金规模逾2,000亿元，继续排名证券行业第1位,托管公募基金逾70只，产品类型涉及货币市场基金、债券型证券投资基金、指数型证券投资基金、混合型证券投资基金等，专业的服务和可靠的运营获得了管理人的一致认可。</w:t>
      </w:r>
    </w:p>
    <w:p w14:paraId="446898C4"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p>
    <w:p w14:paraId="7BB96619"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二、基金托管人的内部控制制度</w:t>
      </w:r>
    </w:p>
    <w:p w14:paraId="128ED78D"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1、内部控制目标</w:t>
      </w:r>
    </w:p>
    <w:p w14:paraId="0CF0097A"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严格遵守国家法律法规相关规定，保障业务合法合规、资产托管部规章制度健全与有效执行。通过对托管业务风险进行识别、评估与管理，确保托管业务稳健运行，保护基金份额持有人及相关当事人合法权益。</w:t>
      </w:r>
    </w:p>
    <w:p w14:paraId="6FA84B35"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2、内部控制组织结构</w:t>
      </w:r>
    </w:p>
    <w:p w14:paraId="265A31CF"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（1）公司董事会是公司风险管理的最高决策机构，对公司全面风险管理负有最终责任。公司董事会下设风险控制委员会，负责审议风险管理的总体目标、基本政策，评估重大决策的风险和重大风险的解决方案。</w:t>
      </w:r>
    </w:p>
    <w:p w14:paraId="6D3587EC"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（2）公司经营管理层对公司全面风险管理承担主要责任。公司经营层设立合规与风险管理委员会，对公司经营风险实行统筹管理，对风险管理重大事项进行审议与决策。</w:t>
      </w:r>
    </w:p>
    <w:p w14:paraId="39AC4BA4"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（3）履行风险管理职责的部门包括风险管理部、法律合规部、集团稽核审计中心等专职履行风险管理职责的部门，以及计划财务部、信息技术部、营运中心等其他履行风险管理职责的部门。</w:t>
      </w:r>
    </w:p>
    <w:p w14:paraId="21DEA36E"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4）资产托管部设置合规风控组，负责牵头制定本部门风险管理规章制度，分析报告部门整体风险管理状况，评估检查风险管理执行情况并提出改进建议，抓住关键风险，协助业务运营岗位进行专项化解，监督风险薄弱环节的整改情况。同时部门设置风险评估及处置小组，由资产托管部负责人及各小组负责人组成，负责对重大风险事项进行评估、确定风险事件的处理意见、突发事件应急管理等事项。</w:t>
      </w:r>
    </w:p>
    <w:p w14:paraId="7530660F"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3、内部控制制度及措施</w:t>
      </w:r>
    </w:p>
    <w:p w14:paraId="5CC84901" w14:textId="56DFA13C"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根据《基金法》、《运作办法》、《证券投资基金托管业务管理办法》等法律法规，基金托管人制定了一整套严密、高效的证券投资基金托管规章制度，确保基金托管业务运行的规范、安全、高效，包括《国泰海通证券股份有限公司资产托管业务管理办法》、《国泰海通证券资产托管部内部控制与风险管理办法》、《国泰海通证券资产托管部稽核监控管理办法》、《国泰海通证券资产托管部突发事件与危机处理规程》、《国泰海通证券资产托管部保密管理办法》、《国泰海通证券资产托管部资产保管规程》、《国泰海通证券资产托管部档案管理办法》等，并根据监管要求和基金托管业务的发展不断加以完善。</w:t>
      </w:r>
    </w:p>
    <w:p w14:paraId="0AA59970"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基金托管人通过基金托管业务各环节风险的事前提示、事中控制和事后稽核的动态管理过程来实施内部风险控制；安全保管基金财产，确保基金财产完整与独立；实行办公场所多重门禁管理，并配备录音和录像监控系统；配备独立的托管业务技术系统并进行防火墙设置；岗位设置权责分明，通过岗位设置和适当授权等措施有效实施相互制衡；关键业务环节设置经办复核机制，建立严格有效的操作制约体系；深入进行职业道德教育，树立风险管理是首要核心竞争力的理念，培养部门全体员工的风险防范和保密意识；配备专门的稽核监控岗对基金托管业务运行进行检查、评价，以保障基金托管业务内部控制的有效性。</w:t>
      </w:r>
    </w:p>
    <w:p w14:paraId="0DFC0AA6"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p>
    <w:p w14:paraId="1931352F"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三、基金托管人对基金管理人运作基金进行监督的方法和程序</w:t>
      </w:r>
    </w:p>
    <w:p w14:paraId="0FD20C5E"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1、监督方法</w:t>
      </w:r>
    </w:p>
    <w:p w14:paraId="08311FC9"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基金托管人根据法律法规的规定及基金合同、托管协议的约定，对投资范围、投资比例、投资限制等进行严格监督，及时提示管理人违规风险，并按要求向证监会报告。在日常为基金投资运作所提供的基金清算和核算服务环节中，对基金管理人发送的投资指令、基金管理人对基金资产的核算、基金资产净值的计算、对各基金费用的提取与开支情况、基金的申购资金的到账与赎回资金的划付、基金收益分配等行为的合法性、合规性进行监督和核查。</w:t>
      </w:r>
    </w:p>
    <w:p w14:paraId="5F9D06E2" w14:textId="77777777" w:rsidR="00186F23" w:rsidRPr="00186F23" w:rsidRDefault="00186F23" w:rsidP="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2、监督程序</w:t>
      </w:r>
    </w:p>
    <w:p w14:paraId="7735D68E" w14:textId="59FF2084" w:rsidR="00AE3DA6" w:rsidRDefault="00186F23">
      <w:pPr>
        <w:tabs>
          <w:tab w:val="left" w:pos="2160"/>
        </w:tabs>
        <w:adjustRightInd w:val="0"/>
        <w:snapToGrid w:val="0"/>
        <w:spacing w:line="360" w:lineRule="auto"/>
        <w:ind w:firstLineChars="200" w:firstLine="420"/>
        <w:rPr>
          <w:rFonts w:ascii="宋体" w:hAnsi="宋体"/>
          <w:bCs/>
        </w:rPr>
      </w:pPr>
      <w:r w:rsidRPr="00186F23">
        <w:rPr>
          <w:rFonts w:ascii="宋体" w:hAnsi="宋体" w:hint="eastAsia"/>
          <w:bCs/>
        </w:rPr>
        <w:t>基金托管人发现基金管理人有违反法律法规规定及基金合同、托管协议约定的，应当及时通知基金管理人予以纠正，基金管理人收到通知后及时核对确认并进行调整。基金托管人有权随时对通知事项进行复查，督促基金管理人改正。基金管理人对基金托管人通知的违规事项未能在限期内纠正的，基金托管人应根据要求及时报告中国证监会</w:t>
      </w:r>
      <w:r w:rsidR="00795E23">
        <w:rPr>
          <w:rFonts w:ascii="宋体" w:hAnsi="宋体" w:hint="eastAsia"/>
          <w:bCs/>
        </w:rPr>
        <w:t>。</w:t>
      </w:r>
    </w:p>
    <w:p w14:paraId="6774F839" w14:textId="77777777" w:rsidR="00AE3DA6" w:rsidRDefault="00795E23">
      <w:pPr>
        <w:tabs>
          <w:tab w:val="left" w:pos="2160"/>
        </w:tabs>
        <w:adjustRightInd w:val="0"/>
        <w:snapToGrid w:val="0"/>
        <w:spacing w:line="360" w:lineRule="auto"/>
        <w:ind w:firstLineChars="200" w:firstLine="420"/>
        <w:rPr>
          <w:rFonts w:ascii="宋体" w:hAnsi="宋体"/>
          <w:bCs/>
        </w:rPr>
      </w:pPr>
      <w:r>
        <w:rPr>
          <w:rFonts w:ascii="宋体" w:hAnsi="宋体"/>
          <w:bCs/>
        </w:rPr>
        <w:br w:type="page"/>
      </w:r>
    </w:p>
    <w:p w14:paraId="0D639F9E"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56" w:name="_Toc360794099"/>
      <w:bookmarkStart w:id="57" w:name="_Toc362455182"/>
      <w:bookmarkStart w:id="58" w:name="_Toc360794407"/>
      <w:bookmarkStart w:id="59" w:name="_Toc362533454"/>
      <w:bookmarkStart w:id="60" w:name="_Toc360794515"/>
      <w:bookmarkStart w:id="61" w:name="_Toc360793497"/>
      <w:bookmarkStart w:id="62" w:name="_Toc48900072"/>
      <w:bookmarkStart w:id="63" w:name="_Toc360793849"/>
      <w:r>
        <w:rPr>
          <w:rFonts w:ascii="宋体" w:eastAsia="宋体" w:hAnsi="宋体" w:cs="宋体" w:hint="eastAsia"/>
        </w:rPr>
        <w:t>相关服务机构</w:t>
      </w:r>
      <w:bookmarkEnd w:id="56"/>
      <w:bookmarkEnd w:id="57"/>
      <w:bookmarkEnd w:id="58"/>
      <w:bookmarkEnd w:id="59"/>
      <w:bookmarkEnd w:id="60"/>
      <w:bookmarkEnd w:id="61"/>
      <w:bookmarkEnd w:id="62"/>
      <w:bookmarkEnd w:id="63"/>
    </w:p>
    <w:p w14:paraId="41EF1C02" w14:textId="77777777" w:rsidR="00AE3DA6" w:rsidRDefault="00AE3DA6">
      <w:pPr>
        <w:autoSpaceDE w:val="0"/>
        <w:autoSpaceDN w:val="0"/>
        <w:adjustRightInd w:val="0"/>
        <w:snapToGrid w:val="0"/>
        <w:spacing w:line="360" w:lineRule="auto"/>
        <w:ind w:firstLine="420"/>
        <w:rPr>
          <w:rFonts w:ascii="宋体" w:cs="Times New Roman"/>
          <w:b/>
          <w:bCs/>
          <w:color w:val="000000"/>
          <w:kern w:val="0"/>
        </w:rPr>
      </w:pPr>
    </w:p>
    <w:p w14:paraId="0D1247A1" w14:textId="77777777" w:rsidR="00AE3DA6" w:rsidRDefault="00795E23">
      <w:pPr>
        <w:autoSpaceDE w:val="0"/>
        <w:autoSpaceDN w:val="0"/>
        <w:adjustRightInd w:val="0"/>
        <w:snapToGrid w:val="0"/>
        <w:spacing w:line="360" w:lineRule="auto"/>
        <w:ind w:firstLine="420"/>
        <w:rPr>
          <w:rFonts w:ascii="宋体" w:cs="Times New Roman"/>
          <w:bCs/>
          <w:color w:val="000000"/>
          <w:kern w:val="0"/>
        </w:rPr>
      </w:pPr>
      <w:r>
        <w:rPr>
          <w:rFonts w:ascii="宋体" w:hAnsi="宋体" w:cs="宋体" w:hint="eastAsia"/>
          <w:bCs/>
          <w:color w:val="000000"/>
          <w:kern w:val="0"/>
        </w:rPr>
        <w:t>一、销售机构</w:t>
      </w:r>
    </w:p>
    <w:p w14:paraId="082254BE" w14:textId="77777777" w:rsidR="00AE3DA6" w:rsidRDefault="00795E23">
      <w:pPr>
        <w:tabs>
          <w:tab w:val="left" w:pos="840"/>
        </w:tabs>
        <w:adjustRightInd w:val="0"/>
        <w:snapToGrid w:val="0"/>
        <w:spacing w:line="360" w:lineRule="auto"/>
        <w:ind w:firstLineChars="200" w:firstLine="420"/>
        <w:rPr>
          <w:rFonts w:ascii="宋体" w:hAnsi="宋体" w:cs="宋体"/>
          <w:color w:val="000000"/>
        </w:rPr>
      </w:pPr>
      <w:r>
        <w:rPr>
          <w:rFonts w:ascii="宋体" w:hAnsi="宋体" w:cs="宋体" w:hint="eastAsia"/>
          <w:color w:val="000000"/>
        </w:rPr>
        <w:t>销售机构情况详见基金份额发售公告及基金管理人网站。</w:t>
      </w:r>
    </w:p>
    <w:p w14:paraId="25F4C135" w14:textId="77777777" w:rsidR="00AE3DA6" w:rsidRDefault="00AE3DA6">
      <w:pPr>
        <w:tabs>
          <w:tab w:val="left" w:pos="840"/>
        </w:tabs>
        <w:adjustRightInd w:val="0"/>
        <w:snapToGrid w:val="0"/>
        <w:spacing w:line="360" w:lineRule="auto"/>
        <w:ind w:firstLineChars="200" w:firstLine="420"/>
        <w:rPr>
          <w:rFonts w:ascii="宋体" w:cs="Times New Roman"/>
        </w:rPr>
      </w:pPr>
    </w:p>
    <w:p w14:paraId="600762D4" w14:textId="77777777" w:rsidR="00AE3DA6" w:rsidRDefault="00795E23">
      <w:pPr>
        <w:autoSpaceDE w:val="0"/>
        <w:autoSpaceDN w:val="0"/>
        <w:adjustRightInd w:val="0"/>
        <w:snapToGrid w:val="0"/>
        <w:spacing w:line="360" w:lineRule="auto"/>
        <w:ind w:firstLine="420"/>
        <w:rPr>
          <w:rFonts w:ascii="宋体" w:cs="Times New Roman"/>
          <w:bCs/>
          <w:color w:val="000000"/>
          <w:kern w:val="0"/>
        </w:rPr>
      </w:pPr>
      <w:r>
        <w:rPr>
          <w:rFonts w:ascii="宋体" w:hAnsi="宋体" w:cs="宋体" w:hint="eastAsia"/>
          <w:bCs/>
          <w:color w:val="000000"/>
          <w:kern w:val="0"/>
        </w:rPr>
        <w:t>二、登记机构</w:t>
      </w:r>
    </w:p>
    <w:p w14:paraId="16673A35" w14:textId="77777777" w:rsidR="00AE3DA6" w:rsidRDefault="00795E23">
      <w:pPr>
        <w:adjustRightInd w:val="0"/>
        <w:snapToGrid w:val="0"/>
        <w:spacing w:line="360" w:lineRule="auto"/>
        <w:ind w:firstLineChars="200" w:firstLine="420"/>
        <w:rPr>
          <w:rFonts w:ascii="宋体" w:cs="Times New Roman"/>
          <w:color w:val="000000"/>
          <w:kern w:val="0"/>
        </w:rPr>
      </w:pPr>
      <w:r>
        <w:rPr>
          <w:rFonts w:ascii="宋体" w:cs="Times New Roman" w:hint="eastAsia"/>
          <w:color w:val="000000"/>
          <w:kern w:val="0"/>
        </w:rPr>
        <w:t>名称：南方基金管理股份有限公司</w:t>
      </w:r>
    </w:p>
    <w:p w14:paraId="1130B8E8" w14:textId="77777777" w:rsidR="00AE3DA6" w:rsidRDefault="00795E23">
      <w:pPr>
        <w:adjustRightInd w:val="0"/>
        <w:snapToGrid w:val="0"/>
        <w:spacing w:line="360" w:lineRule="auto"/>
        <w:ind w:firstLineChars="200" w:firstLine="420"/>
        <w:rPr>
          <w:rFonts w:ascii="宋体" w:cs="Times New Roman"/>
          <w:color w:val="000000"/>
          <w:kern w:val="0"/>
        </w:rPr>
      </w:pPr>
      <w:r>
        <w:rPr>
          <w:rFonts w:ascii="宋体" w:cs="Times New Roman" w:hint="eastAsia"/>
          <w:color w:val="000000"/>
          <w:kern w:val="0"/>
        </w:rPr>
        <w:t>住所及办公地址：深圳市福田区莲花街道益田路5999号基金大厦32-42楼</w:t>
      </w:r>
    </w:p>
    <w:p w14:paraId="153251DC" w14:textId="77777777" w:rsidR="00AE3DA6" w:rsidRDefault="00795E23">
      <w:pPr>
        <w:adjustRightInd w:val="0"/>
        <w:snapToGrid w:val="0"/>
        <w:spacing w:line="360" w:lineRule="auto"/>
        <w:ind w:firstLineChars="200" w:firstLine="420"/>
        <w:rPr>
          <w:rFonts w:ascii="宋体" w:cs="Times New Roman"/>
          <w:color w:val="000000"/>
          <w:kern w:val="0"/>
        </w:rPr>
      </w:pPr>
      <w:r>
        <w:rPr>
          <w:rFonts w:ascii="宋体" w:cs="Times New Roman" w:hint="eastAsia"/>
          <w:color w:val="000000"/>
          <w:kern w:val="0"/>
        </w:rPr>
        <w:t>法定代表人：周易</w:t>
      </w:r>
    </w:p>
    <w:p w14:paraId="467B1387" w14:textId="77777777" w:rsidR="00AE3DA6" w:rsidRDefault="00795E23">
      <w:pPr>
        <w:adjustRightInd w:val="0"/>
        <w:snapToGrid w:val="0"/>
        <w:spacing w:line="360" w:lineRule="auto"/>
        <w:ind w:firstLineChars="200" w:firstLine="420"/>
        <w:rPr>
          <w:rFonts w:ascii="宋体" w:cs="Times New Roman"/>
          <w:color w:val="000000"/>
          <w:kern w:val="0"/>
        </w:rPr>
      </w:pPr>
      <w:r>
        <w:rPr>
          <w:rFonts w:ascii="宋体" w:cs="Times New Roman" w:hint="eastAsia"/>
          <w:color w:val="000000"/>
          <w:kern w:val="0"/>
        </w:rPr>
        <w:t>电话：4008898899</w:t>
      </w:r>
    </w:p>
    <w:p w14:paraId="2E8C45D8" w14:textId="77777777" w:rsidR="00AE3DA6" w:rsidRDefault="00795E23">
      <w:pPr>
        <w:adjustRightInd w:val="0"/>
        <w:snapToGrid w:val="0"/>
        <w:spacing w:line="360" w:lineRule="auto"/>
        <w:ind w:firstLineChars="200" w:firstLine="420"/>
        <w:rPr>
          <w:rFonts w:ascii="宋体" w:cs="Times New Roman"/>
          <w:color w:val="000000"/>
          <w:kern w:val="0"/>
        </w:rPr>
      </w:pPr>
      <w:r>
        <w:rPr>
          <w:rFonts w:ascii="宋体" w:cs="Times New Roman" w:hint="eastAsia"/>
          <w:color w:val="000000"/>
          <w:kern w:val="0"/>
        </w:rPr>
        <w:t>联系人：古和鹏</w:t>
      </w:r>
    </w:p>
    <w:p w14:paraId="0B84927B" w14:textId="77777777" w:rsidR="00AE3DA6" w:rsidRDefault="00AE3DA6">
      <w:pPr>
        <w:adjustRightInd w:val="0"/>
        <w:snapToGrid w:val="0"/>
        <w:spacing w:line="360" w:lineRule="auto"/>
        <w:ind w:firstLineChars="200" w:firstLine="420"/>
        <w:rPr>
          <w:rFonts w:ascii="宋体" w:cs="Times New Roman"/>
          <w:color w:val="000000"/>
        </w:rPr>
      </w:pPr>
    </w:p>
    <w:p w14:paraId="44B90B1F" w14:textId="77777777" w:rsidR="00AE3DA6" w:rsidRDefault="00795E23">
      <w:pPr>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三、出具法律意见书的律师事务所</w:t>
      </w:r>
    </w:p>
    <w:p w14:paraId="09EC890B" w14:textId="77777777" w:rsidR="00AE3DA6" w:rsidRDefault="00795E23">
      <w:pPr>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名称：上海市通力律师事务所</w:t>
      </w:r>
    </w:p>
    <w:p w14:paraId="52522A3C" w14:textId="77777777" w:rsidR="00AE3DA6" w:rsidRDefault="00795E23">
      <w:pPr>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注册地址：上海市银城中路68号时代金融中心19楼</w:t>
      </w:r>
    </w:p>
    <w:p w14:paraId="352B2553" w14:textId="77777777" w:rsidR="00AE3DA6" w:rsidRDefault="00795E23">
      <w:pPr>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负责人：韩炯</w:t>
      </w:r>
    </w:p>
    <w:p w14:paraId="5343BFB6" w14:textId="77777777" w:rsidR="00AE3DA6" w:rsidRDefault="00795E23">
      <w:pPr>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联系人：丁媛</w:t>
      </w:r>
    </w:p>
    <w:p w14:paraId="691E8BCC" w14:textId="77777777" w:rsidR="00AE3DA6" w:rsidRDefault="00795E23">
      <w:pPr>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电话: （86 21） 3135 8666</w:t>
      </w:r>
    </w:p>
    <w:p w14:paraId="53E5F36A" w14:textId="77777777" w:rsidR="00AE3DA6" w:rsidRDefault="00795E23">
      <w:pPr>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传真: （86 21） 3135 8600</w:t>
      </w:r>
    </w:p>
    <w:p w14:paraId="15F4C359" w14:textId="77777777" w:rsidR="00AE3DA6" w:rsidRDefault="00795E23">
      <w:pPr>
        <w:tabs>
          <w:tab w:val="left" w:pos="840"/>
        </w:tabs>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经办律师：丁媛、高妍斐</w:t>
      </w:r>
    </w:p>
    <w:p w14:paraId="4CC40E26" w14:textId="77777777" w:rsidR="00AE3DA6" w:rsidRDefault="00AE3DA6">
      <w:pPr>
        <w:tabs>
          <w:tab w:val="left" w:pos="840"/>
        </w:tabs>
        <w:adjustRightInd w:val="0"/>
        <w:snapToGrid w:val="0"/>
        <w:spacing w:line="360" w:lineRule="auto"/>
        <w:ind w:firstLineChars="200" w:firstLine="420"/>
        <w:rPr>
          <w:rFonts w:ascii="宋体" w:hAnsi="宋体" w:cs="宋体"/>
          <w:bCs/>
          <w:color w:val="000000"/>
        </w:rPr>
      </w:pPr>
    </w:p>
    <w:p w14:paraId="4D55A547" w14:textId="77777777" w:rsidR="00AE3DA6" w:rsidRDefault="00795E23">
      <w:pPr>
        <w:tabs>
          <w:tab w:val="left" w:pos="840"/>
        </w:tabs>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四、审计基金财产的会计师事务所</w:t>
      </w:r>
    </w:p>
    <w:p w14:paraId="56786536" w14:textId="77777777" w:rsidR="00392F1F" w:rsidRPr="00392F1F" w:rsidRDefault="00392F1F" w:rsidP="00392F1F">
      <w:pPr>
        <w:tabs>
          <w:tab w:val="left" w:pos="840"/>
        </w:tabs>
        <w:adjustRightInd w:val="0"/>
        <w:snapToGrid w:val="0"/>
        <w:spacing w:line="360" w:lineRule="auto"/>
        <w:ind w:firstLineChars="200" w:firstLine="420"/>
        <w:rPr>
          <w:rFonts w:ascii="宋体" w:hAnsi="宋体" w:cs="宋体"/>
          <w:bCs/>
          <w:color w:val="000000"/>
        </w:rPr>
      </w:pPr>
      <w:r w:rsidRPr="00392F1F">
        <w:rPr>
          <w:rFonts w:ascii="宋体" w:hAnsi="宋体" w:cs="宋体" w:hint="eastAsia"/>
          <w:bCs/>
          <w:color w:val="000000"/>
        </w:rPr>
        <w:t>名称：容诚会计师事务所（特殊普通合伙）</w:t>
      </w:r>
    </w:p>
    <w:p w14:paraId="63CFA8E6" w14:textId="77777777" w:rsidR="00392F1F" w:rsidRPr="00392F1F" w:rsidRDefault="00392F1F" w:rsidP="00392F1F">
      <w:pPr>
        <w:tabs>
          <w:tab w:val="left" w:pos="840"/>
        </w:tabs>
        <w:adjustRightInd w:val="0"/>
        <w:snapToGrid w:val="0"/>
        <w:spacing w:line="360" w:lineRule="auto"/>
        <w:ind w:firstLineChars="200" w:firstLine="420"/>
        <w:rPr>
          <w:rFonts w:ascii="宋体" w:hAnsi="宋体" w:cs="宋体"/>
          <w:bCs/>
          <w:color w:val="000000"/>
        </w:rPr>
      </w:pPr>
      <w:r w:rsidRPr="00392F1F">
        <w:rPr>
          <w:rFonts w:ascii="宋体" w:hAnsi="宋体" w:cs="宋体" w:hint="eastAsia"/>
          <w:bCs/>
          <w:color w:val="000000"/>
        </w:rPr>
        <w:t>住所：北京市西城区阜成门外大街22号1幢10层1001-1至1001-26</w:t>
      </w:r>
    </w:p>
    <w:p w14:paraId="308F690E" w14:textId="77777777" w:rsidR="00392F1F" w:rsidRPr="00392F1F" w:rsidRDefault="00392F1F" w:rsidP="00392F1F">
      <w:pPr>
        <w:tabs>
          <w:tab w:val="left" w:pos="840"/>
        </w:tabs>
        <w:adjustRightInd w:val="0"/>
        <w:snapToGrid w:val="0"/>
        <w:spacing w:line="360" w:lineRule="auto"/>
        <w:ind w:firstLineChars="200" w:firstLine="420"/>
        <w:rPr>
          <w:rFonts w:ascii="宋体" w:hAnsi="宋体" w:cs="宋体"/>
          <w:bCs/>
          <w:color w:val="000000"/>
        </w:rPr>
      </w:pPr>
      <w:r w:rsidRPr="00392F1F">
        <w:rPr>
          <w:rFonts w:ascii="宋体" w:hAnsi="宋体" w:cs="宋体" w:hint="eastAsia"/>
          <w:bCs/>
          <w:color w:val="000000"/>
        </w:rPr>
        <w:t>办公地址：北京市西城区阜成门外大街22号1幢10层1001-1至1001-26</w:t>
      </w:r>
    </w:p>
    <w:p w14:paraId="08BE0E56" w14:textId="77777777" w:rsidR="00392F1F" w:rsidRPr="00392F1F" w:rsidRDefault="00392F1F" w:rsidP="00392F1F">
      <w:pPr>
        <w:tabs>
          <w:tab w:val="left" w:pos="840"/>
        </w:tabs>
        <w:adjustRightInd w:val="0"/>
        <w:snapToGrid w:val="0"/>
        <w:spacing w:line="360" w:lineRule="auto"/>
        <w:ind w:firstLineChars="200" w:firstLine="420"/>
        <w:rPr>
          <w:rFonts w:ascii="宋体" w:hAnsi="宋体" w:cs="宋体"/>
          <w:bCs/>
          <w:color w:val="000000"/>
        </w:rPr>
      </w:pPr>
      <w:r w:rsidRPr="00392F1F">
        <w:rPr>
          <w:rFonts w:ascii="宋体" w:hAnsi="宋体" w:cs="宋体" w:hint="eastAsia"/>
          <w:bCs/>
          <w:color w:val="000000"/>
        </w:rPr>
        <w:t>执行事务合伙人：肖厚发、刘维</w:t>
      </w:r>
    </w:p>
    <w:p w14:paraId="7E38C152" w14:textId="77777777" w:rsidR="00392F1F" w:rsidRPr="00392F1F" w:rsidRDefault="00392F1F" w:rsidP="00392F1F">
      <w:pPr>
        <w:tabs>
          <w:tab w:val="left" w:pos="840"/>
        </w:tabs>
        <w:adjustRightInd w:val="0"/>
        <w:snapToGrid w:val="0"/>
        <w:spacing w:line="360" w:lineRule="auto"/>
        <w:ind w:firstLineChars="200" w:firstLine="420"/>
        <w:rPr>
          <w:rFonts w:ascii="宋体" w:hAnsi="宋体" w:cs="宋体"/>
          <w:bCs/>
          <w:color w:val="000000"/>
        </w:rPr>
      </w:pPr>
      <w:r w:rsidRPr="00392F1F">
        <w:rPr>
          <w:rFonts w:ascii="宋体" w:hAnsi="宋体" w:cs="宋体" w:hint="eastAsia"/>
          <w:bCs/>
          <w:color w:val="000000"/>
        </w:rPr>
        <w:t>联系人：成磊</w:t>
      </w:r>
    </w:p>
    <w:p w14:paraId="625D5CF3" w14:textId="77777777" w:rsidR="00392F1F" w:rsidRPr="00392F1F" w:rsidRDefault="00392F1F" w:rsidP="00392F1F">
      <w:pPr>
        <w:tabs>
          <w:tab w:val="left" w:pos="840"/>
        </w:tabs>
        <w:adjustRightInd w:val="0"/>
        <w:snapToGrid w:val="0"/>
        <w:spacing w:line="360" w:lineRule="auto"/>
        <w:ind w:firstLineChars="200" w:firstLine="420"/>
        <w:rPr>
          <w:rFonts w:ascii="宋体" w:hAnsi="宋体" w:cs="宋体"/>
          <w:bCs/>
          <w:color w:val="000000"/>
        </w:rPr>
      </w:pPr>
      <w:r w:rsidRPr="00392F1F">
        <w:rPr>
          <w:rFonts w:ascii="宋体" w:hAnsi="宋体" w:cs="宋体" w:hint="eastAsia"/>
          <w:bCs/>
          <w:color w:val="000000"/>
        </w:rPr>
        <w:t>联系电话：010-66001391</w:t>
      </w:r>
    </w:p>
    <w:p w14:paraId="32C3C15A" w14:textId="77777777" w:rsidR="00392F1F" w:rsidRPr="00392F1F" w:rsidRDefault="00392F1F" w:rsidP="00392F1F">
      <w:pPr>
        <w:tabs>
          <w:tab w:val="left" w:pos="840"/>
        </w:tabs>
        <w:adjustRightInd w:val="0"/>
        <w:snapToGrid w:val="0"/>
        <w:spacing w:line="360" w:lineRule="auto"/>
        <w:ind w:firstLineChars="200" w:firstLine="420"/>
        <w:rPr>
          <w:rFonts w:ascii="宋体" w:hAnsi="宋体" w:cs="宋体"/>
          <w:bCs/>
          <w:color w:val="000000"/>
        </w:rPr>
      </w:pPr>
      <w:r w:rsidRPr="00392F1F">
        <w:rPr>
          <w:rFonts w:ascii="宋体" w:hAnsi="宋体" w:cs="宋体" w:hint="eastAsia"/>
          <w:bCs/>
          <w:color w:val="000000"/>
        </w:rPr>
        <w:t>传真：010-66001392</w:t>
      </w:r>
    </w:p>
    <w:p w14:paraId="13228D0B" w14:textId="0FA971C8" w:rsidR="00AE3DA6" w:rsidRDefault="00392F1F">
      <w:pPr>
        <w:tabs>
          <w:tab w:val="left" w:pos="840"/>
        </w:tabs>
        <w:adjustRightInd w:val="0"/>
        <w:snapToGrid w:val="0"/>
        <w:spacing w:line="360" w:lineRule="auto"/>
        <w:ind w:firstLineChars="200" w:firstLine="420"/>
        <w:rPr>
          <w:rFonts w:ascii="宋体" w:cs="Times New Roman"/>
          <w:color w:val="000000"/>
        </w:rPr>
      </w:pPr>
      <w:r w:rsidRPr="00392F1F">
        <w:rPr>
          <w:rFonts w:ascii="宋体" w:hAnsi="宋体" w:cs="宋体" w:hint="eastAsia"/>
          <w:bCs/>
          <w:color w:val="000000"/>
        </w:rPr>
        <w:t>经办注册会计师：陈熹、成磊</w:t>
      </w:r>
    </w:p>
    <w:p w14:paraId="2F899F5C" w14:textId="77777777" w:rsidR="00AE3DA6" w:rsidRDefault="00795E23">
      <w:pPr>
        <w:tabs>
          <w:tab w:val="left" w:pos="840"/>
        </w:tabs>
        <w:adjustRightInd w:val="0"/>
        <w:snapToGrid w:val="0"/>
        <w:spacing w:line="360" w:lineRule="auto"/>
        <w:ind w:firstLineChars="200" w:firstLine="420"/>
        <w:rPr>
          <w:rFonts w:ascii="宋体" w:cs="Times New Roman"/>
        </w:rPr>
      </w:pPr>
      <w:r>
        <w:rPr>
          <w:rFonts w:ascii="宋体" w:cs="Times New Roman"/>
          <w:color w:val="000000"/>
        </w:rPr>
        <w:br w:type="page"/>
      </w:r>
    </w:p>
    <w:p w14:paraId="4DB36762"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64" w:name="_Toc360794408"/>
      <w:bookmarkStart w:id="65" w:name="_Toc362455183"/>
      <w:bookmarkStart w:id="66" w:name="_Toc48900073"/>
      <w:bookmarkStart w:id="67" w:name="_Toc360793850"/>
      <w:bookmarkStart w:id="68" w:name="_Toc362533455"/>
      <w:bookmarkStart w:id="69" w:name="_Toc360794516"/>
      <w:bookmarkStart w:id="70" w:name="_Toc360794100"/>
      <w:bookmarkStart w:id="71" w:name="_Toc360793498"/>
      <w:r>
        <w:rPr>
          <w:rFonts w:ascii="宋体" w:eastAsia="宋体" w:hAnsi="宋体" w:cs="宋体" w:hint="eastAsia"/>
        </w:rPr>
        <w:t>基金募集</w:t>
      </w:r>
      <w:bookmarkEnd w:id="64"/>
      <w:bookmarkEnd w:id="65"/>
      <w:bookmarkEnd w:id="66"/>
      <w:bookmarkEnd w:id="67"/>
      <w:bookmarkEnd w:id="68"/>
      <w:bookmarkEnd w:id="69"/>
      <w:bookmarkEnd w:id="70"/>
      <w:bookmarkEnd w:id="71"/>
    </w:p>
    <w:p w14:paraId="76920812" w14:textId="77777777" w:rsidR="00AE3DA6" w:rsidRDefault="00AE3DA6">
      <w:pPr>
        <w:pStyle w:val="34"/>
        <w:snapToGrid w:val="0"/>
        <w:spacing w:line="360" w:lineRule="auto"/>
        <w:ind w:firstLineChars="200" w:firstLine="420"/>
        <w:rPr>
          <w:rFonts w:hAnsi="宋体" w:cs="Times New Roman"/>
          <w:sz w:val="21"/>
          <w:szCs w:val="21"/>
        </w:rPr>
      </w:pPr>
    </w:p>
    <w:p w14:paraId="5B4C82D7" w14:textId="1A602ECF" w:rsidR="00AE3DA6" w:rsidRDefault="00795E23">
      <w:pPr>
        <w:pStyle w:val="34"/>
        <w:snapToGrid w:val="0"/>
        <w:spacing w:line="360" w:lineRule="auto"/>
        <w:ind w:firstLineChars="200" w:firstLine="420"/>
        <w:rPr>
          <w:rFonts w:hAnsi="宋体" w:cs="Times New Roman"/>
          <w:sz w:val="21"/>
          <w:szCs w:val="21"/>
        </w:rPr>
      </w:pPr>
      <w:bookmarkStart w:id="72" w:name="_Hlk496537711"/>
      <w:r>
        <w:rPr>
          <w:rFonts w:hAnsi="宋体" w:hint="eastAsia"/>
          <w:sz w:val="21"/>
          <w:szCs w:val="21"/>
        </w:rPr>
        <w:t>本基金由基金管理人依照《基金法》、《运作办法》、《销售办法》、基金合同及其他有关规定，并经中国证监会20</w:t>
      </w:r>
      <w:r w:rsidR="000A07C8">
        <w:rPr>
          <w:rFonts w:hAnsi="宋体"/>
          <w:sz w:val="21"/>
          <w:szCs w:val="21"/>
        </w:rPr>
        <w:t>25</w:t>
      </w:r>
      <w:r>
        <w:rPr>
          <w:rFonts w:hAnsi="宋体" w:hint="eastAsia"/>
          <w:sz w:val="21"/>
          <w:szCs w:val="21"/>
        </w:rPr>
        <w:t>年</w:t>
      </w:r>
      <w:r w:rsidR="000A07C8">
        <w:rPr>
          <w:rFonts w:hAnsi="宋体"/>
          <w:sz w:val="21"/>
          <w:szCs w:val="21"/>
        </w:rPr>
        <w:t>12</w:t>
      </w:r>
      <w:r>
        <w:rPr>
          <w:rFonts w:hAnsi="宋体" w:hint="eastAsia"/>
          <w:sz w:val="21"/>
          <w:szCs w:val="21"/>
        </w:rPr>
        <w:t>月</w:t>
      </w:r>
      <w:r w:rsidR="000A07C8">
        <w:rPr>
          <w:rFonts w:hAnsi="宋体"/>
          <w:sz w:val="21"/>
          <w:szCs w:val="21"/>
        </w:rPr>
        <w:t>19</w:t>
      </w:r>
      <w:r>
        <w:rPr>
          <w:rFonts w:hAnsi="宋体" w:hint="eastAsia"/>
          <w:sz w:val="21"/>
          <w:szCs w:val="21"/>
        </w:rPr>
        <w:t>日证监许可〔20</w:t>
      </w:r>
      <w:r w:rsidR="000A07C8">
        <w:rPr>
          <w:rFonts w:hAnsi="宋体"/>
          <w:sz w:val="21"/>
          <w:szCs w:val="21"/>
        </w:rPr>
        <w:t>25</w:t>
      </w:r>
      <w:r>
        <w:rPr>
          <w:rFonts w:hAnsi="宋体" w:hint="eastAsia"/>
          <w:sz w:val="21"/>
          <w:szCs w:val="21"/>
        </w:rPr>
        <w:t>〕</w:t>
      </w:r>
      <w:r w:rsidR="000A07C8">
        <w:rPr>
          <w:rFonts w:hAnsi="宋体"/>
          <w:sz w:val="21"/>
          <w:szCs w:val="21"/>
        </w:rPr>
        <w:t>2833</w:t>
      </w:r>
      <w:r>
        <w:rPr>
          <w:rFonts w:hAnsi="宋体" w:hint="eastAsia"/>
          <w:sz w:val="21"/>
          <w:szCs w:val="21"/>
        </w:rPr>
        <w:t>号文注册募集。</w:t>
      </w:r>
    </w:p>
    <w:p w14:paraId="214445F4" w14:textId="77777777" w:rsidR="00AE3DA6" w:rsidRDefault="00795E23">
      <w:pPr>
        <w:snapToGrid w:val="0"/>
        <w:spacing w:line="360" w:lineRule="auto"/>
        <w:ind w:firstLineChars="200" w:firstLine="420"/>
        <w:rPr>
          <w:rFonts w:ascii="宋体" w:hAnsi="宋体" w:cs="宋体"/>
          <w:color w:val="000000"/>
        </w:rPr>
      </w:pPr>
      <w:r>
        <w:rPr>
          <w:rFonts w:ascii="宋体" w:hAnsi="宋体" w:cs="宋体" w:hint="eastAsia"/>
        </w:rPr>
        <w:t>本基金的</w:t>
      </w:r>
      <w:r>
        <w:rPr>
          <w:rFonts w:ascii="宋体" w:hAnsi="宋体" w:cs="宋体"/>
        </w:rPr>
        <w:t>类别</w:t>
      </w:r>
      <w:r>
        <w:rPr>
          <w:rFonts w:ascii="宋体" w:hAnsi="宋体" w:cs="宋体" w:hint="eastAsia"/>
        </w:rPr>
        <w:t>为ETF联接</w:t>
      </w:r>
      <w:r>
        <w:rPr>
          <w:rFonts w:ascii="宋体" w:hAnsi="宋体" w:cs="宋体"/>
        </w:rPr>
        <w:t>基金</w:t>
      </w:r>
      <w:r>
        <w:rPr>
          <w:rFonts w:ascii="宋体" w:hAnsi="宋体" w:cs="宋体" w:hint="eastAsia"/>
        </w:rPr>
        <w:t>，运作方式</w:t>
      </w:r>
      <w:r>
        <w:rPr>
          <w:rFonts w:ascii="宋体" w:hAnsi="宋体" w:cs="宋体"/>
        </w:rPr>
        <w:t>为</w:t>
      </w:r>
      <w:r>
        <w:rPr>
          <w:rFonts w:ascii="宋体" w:hAnsi="宋体" w:cs="宋体" w:hint="eastAsia"/>
        </w:rPr>
        <w:t>契约型开放式，基金存续期限为不定期</w:t>
      </w:r>
      <w:r>
        <w:rPr>
          <w:rFonts w:ascii="宋体" w:hAnsi="宋体" w:cs="宋体" w:hint="eastAsia"/>
          <w:color w:val="000000"/>
        </w:rPr>
        <w:t>。</w:t>
      </w:r>
    </w:p>
    <w:p w14:paraId="533C5EEE" w14:textId="77777777" w:rsidR="00AE3DA6" w:rsidRDefault="00795E23">
      <w:pPr>
        <w:snapToGrid w:val="0"/>
        <w:spacing w:line="360" w:lineRule="auto"/>
        <w:ind w:firstLineChars="200" w:firstLine="420"/>
        <w:rPr>
          <w:rFonts w:ascii="宋体" w:cs="Times New Roman"/>
          <w:color w:val="000000"/>
        </w:rPr>
      </w:pPr>
      <w:r>
        <w:rPr>
          <w:rFonts w:ascii="宋体" w:cs="Times New Roman" w:hint="eastAsia"/>
          <w:color w:val="000000"/>
        </w:rPr>
        <w:t>本基金发起资金认购本基金的金额不低于1000万元，且发起资金认购的基金份额持有期限不少于三年。其中发起资金指基金管理人股东资金、基金管理人固有资金、基金管理人高级管理人员或者基金经理等人员参与认购的资金。</w:t>
      </w:r>
    </w:p>
    <w:p w14:paraId="4074B71B" w14:textId="77777777" w:rsidR="00AE3DA6" w:rsidRDefault="00795E23">
      <w:pPr>
        <w:snapToGrid w:val="0"/>
        <w:spacing w:line="360" w:lineRule="auto"/>
        <w:ind w:firstLineChars="200" w:firstLine="420"/>
        <w:rPr>
          <w:rFonts w:ascii="宋体" w:cs="Times New Roman"/>
          <w:color w:val="000000"/>
        </w:rPr>
      </w:pPr>
      <w:r>
        <w:rPr>
          <w:rFonts w:ascii="宋体" w:cs="Times New Roman" w:hint="eastAsia"/>
          <w:color w:val="000000"/>
        </w:rPr>
        <w:t>本基金发起资金的认购情况见基金管理人届时发布的公告。</w:t>
      </w:r>
    </w:p>
    <w:p w14:paraId="58A15FBF" w14:textId="77777777" w:rsidR="00AE3DA6" w:rsidRDefault="00795E23">
      <w:pPr>
        <w:tabs>
          <w:tab w:val="left" w:pos="840"/>
        </w:tabs>
        <w:adjustRightInd w:val="0"/>
        <w:snapToGrid w:val="0"/>
        <w:spacing w:line="360" w:lineRule="auto"/>
        <w:ind w:firstLineChars="200" w:firstLine="420"/>
        <w:rPr>
          <w:rFonts w:ascii="宋体" w:cs="Times New Roman"/>
          <w:bCs/>
          <w:color w:val="000000"/>
        </w:rPr>
      </w:pPr>
      <w:r>
        <w:rPr>
          <w:rFonts w:ascii="宋体" w:hAnsi="宋体" w:cs="宋体" w:hint="eastAsia"/>
          <w:bCs/>
          <w:color w:val="000000"/>
        </w:rPr>
        <w:t>一、募集期</w:t>
      </w:r>
    </w:p>
    <w:p w14:paraId="3F710686" w14:textId="77777777" w:rsidR="00AE3DA6" w:rsidRDefault="00795E23">
      <w:pPr>
        <w:pStyle w:val="34"/>
        <w:snapToGrid w:val="0"/>
        <w:spacing w:line="360" w:lineRule="auto"/>
        <w:ind w:firstLineChars="200" w:firstLine="420"/>
        <w:rPr>
          <w:rFonts w:hAnsi="宋体" w:cs="Times New Roman"/>
          <w:sz w:val="21"/>
          <w:szCs w:val="21"/>
        </w:rPr>
      </w:pPr>
      <w:r>
        <w:rPr>
          <w:rFonts w:hAnsi="宋体" w:hint="eastAsia"/>
          <w:sz w:val="21"/>
          <w:szCs w:val="21"/>
        </w:rPr>
        <w:t>自基金份额发售之日起最长不得超过</w:t>
      </w:r>
      <w:r>
        <w:rPr>
          <w:rFonts w:hAnsi="宋体"/>
          <w:sz w:val="21"/>
          <w:szCs w:val="21"/>
        </w:rPr>
        <w:t>3</w:t>
      </w:r>
      <w:r>
        <w:rPr>
          <w:rFonts w:hAnsi="宋体" w:hint="eastAsia"/>
          <w:sz w:val="21"/>
          <w:szCs w:val="21"/>
        </w:rPr>
        <w:t>个月，具体发售时间见基金份额发售公告。</w:t>
      </w:r>
    </w:p>
    <w:p w14:paraId="6E140C68" w14:textId="77777777" w:rsidR="00AE3DA6" w:rsidRDefault="00795E23">
      <w:pPr>
        <w:tabs>
          <w:tab w:val="left" w:pos="840"/>
        </w:tabs>
        <w:adjustRightInd w:val="0"/>
        <w:snapToGrid w:val="0"/>
        <w:spacing w:line="360" w:lineRule="auto"/>
        <w:ind w:firstLineChars="200" w:firstLine="420"/>
        <w:rPr>
          <w:rFonts w:ascii="宋体" w:cs="Times New Roman"/>
          <w:bCs/>
          <w:color w:val="000000"/>
        </w:rPr>
      </w:pPr>
      <w:r>
        <w:rPr>
          <w:rFonts w:ascii="宋体" w:hAnsi="宋体" w:cs="宋体" w:hint="eastAsia"/>
          <w:bCs/>
          <w:color w:val="000000"/>
        </w:rPr>
        <w:t>二、发售对象</w:t>
      </w:r>
    </w:p>
    <w:p w14:paraId="5FC533E1" w14:textId="77777777" w:rsidR="00AE3DA6" w:rsidRDefault="00795E23">
      <w:pPr>
        <w:pStyle w:val="34"/>
        <w:snapToGrid w:val="0"/>
        <w:spacing w:line="360" w:lineRule="auto"/>
        <w:ind w:firstLineChars="200" w:firstLine="420"/>
        <w:rPr>
          <w:rFonts w:hAnsi="宋体" w:cs="Times New Roman"/>
          <w:sz w:val="21"/>
          <w:szCs w:val="21"/>
        </w:rPr>
      </w:pPr>
      <w:r>
        <w:rPr>
          <w:rFonts w:hAnsi="宋体" w:hint="eastAsia"/>
          <w:sz w:val="21"/>
          <w:szCs w:val="21"/>
        </w:rPr>
        <w:t>符合法律法规规定的可投资于证券投资基金的个人投资者、机构投资者、合格境外投资者、发起资金提供方以及法律法规或中国证监会允许购买证券投资基金的其他投资人。</w:t>
      </w:r>
    </w:p>
    <w:p w14:paraId="2B64367A" w14:textId="77777777" w:rsidR="00AE3DA6" w:rsidRDefault="00795E23">
      <w:pPr>
        <w:tabs>
          <w:tab w:val="left" w:pos="840"/>
        </w:tabs>
        <w:adjustRightInd w:val="0"/>
        <w:snapToGrid w:val="0"/>
        <w:spacing w:line="360" w:lineRule="auto"/>
        <w:ind w:firstLineChars="200" w:firstLine="420"/>
        <w:rPr>
          <w:rFonts w:ascii="宋体" w:cs="Times New Roman"/>
          <w:bCs/>
          <w:color w:val="000000"/>
        </w:rPr>
      </w:pPr>
      <w:r>
        <w:rPr>
          <w:rFonts w:ascii="宋体" w:hAnsi="宋体" w:cs="宋体" w:hint="eastAsia"/>
          <w:bCs/>
          <w:color w:val="000000"/>
        </w:rPr>
        <w:t>三、发售方式和销售渠道</w:t>
      </w:r>
    </w:p>
    <w:p w14:paraId="3E8AA3D6" w14:textId="77777777" w:rsidR="00AE3DA6" w:rsidRDefault="00795E23">
      <w:pPr>
        <w:pStyle w:val="34"/>
        <w:snapToGrid w:val="0"/>
        <w:spacing w:line="360" w:lineRule="auto"/>
        <w:ind w:firstLineChars="200" w:firstLine="420"/>
        <w:rPr>
          <w:rFonts w:hAnsi="宋体" w:cs="Times New Roman"/>
          <w:sz w:val="21"/>
          <w:szCs w:val="21"/>
        </w:rPr>
      </w:pPr>
      <w:r>
        <w:rPr>
          <w:rFonts w:hAnsi="宋体" w:hint="eastAsia"/>
          <w:sz w:val="21"/>
          <w:szCs w:val="21"/>
        </w:rPr>
        <w:t>本基金将通过各销售机构的基金销售网点或按基金管理人、销售机构提供的其他方式公开发售，各销售机构的具体名单见基金份额发售公告以及基金管理人网站。基金管理人可根据情况变更或增减销售机构。</w:t>
      </w:r>
    </w:p>
    <w:p w14:paraId="67BC2773" w14:textId="77777777" w:rsidR="00AE3DA6" w:rsidRDefault="00795E23">
      <w:pPr>
        <w:pStyle w:val="af5"/>
        <w:snapToGrid w:val="0"/>
        <w:spacing w:line="360" w:lineRule="auto"/>
        <w:ind w:firstLineChars="200" w:firstLine="420"/>
        <w:rPr>
          <w:rFonts w:hAnsi="宋体" w:cs="Times New Roman"/>
        </w:rPr>
      </w:pPr>
      <w:r>
        <w:rPr>
          <w:rFonts w:hAnsi="宋体" w:hint="eastAsia"/>
        </w:rPr>
        <w:t>本基金认购采取全额缴款认购的方式。若资金未全额到账则认购无效，基金管理人将认购无效的款项退回。基金投资人在募集期内可多次认购，认购一经确认不得撤销。</w:t>
      </w:r>
    </w:p>
    <w:p w14:paraId="38425765" w14:textId="77777777" w:rsidR="00AE3DA6" w:rsidRDefault="00795E23">
      <w:pPr>
        <w:pStyle w:val="af5"/>
        <w:snapToGrid w:val="0"/>
        <w:spacing w:line="360" w:lineRule="auto"/>
        <w:ind w:firstLineChars="200" w:firstLine="420"/>
        <w:rPr>
          <w:rFonts w:hAnsi="宋体" w:cs="Times New Roman"/>
        </w:rPr>
      </w:pPr>
      <w:r>
        <w:rPr>
          <w:rFonts w:hAnsi="宋体" w:hint="eastAsia"/>
        </w:rPr>
        <w:t>基金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641F97C1" w14:textId="77777777" w:rsidR="00AE3DA6" w:rsidRDefault="00795E23">
      <w:pPr>
        <w:pStyle w:val="af5"/>
        <w:snapToGrid w:val="0"/>
        <w:spacing w:line="360" w:lineRule="auto"/>
        <w:ind w:firstLineChars="200" w:firstLine="420"/>
        <w:rPr>
          <w:rFonts w:hAnsi="宋体"/>
        </w:rPr>
      </w:pPr>
      <w:r>
        <w:rPr>
          <w:rFonts w:hAnsi="宋体" w:hint="eastAsia"/>
        </w:rPr>
        <w:t>本基金认购的申请方式为书面申请或各销售机构规定的其他方式</w:t>
      </w:r>
      <w:bookmarkStart w:id="73" w:name="OLE_LINK275"/>
      <w:r>
        <w:rPr>
          <w:rFonts w:hAnsi="宋体" w:hint="eastAsia"/>
        </w:rPr>
        <w:t>，认购本基金所应提交的文件和具体办理手续详见本基金的基金份额发售公告或基金销售机构的相关业务办理规则。</w:t>
      </w:r>
    </w:p>
    <w:p w14:paraId="2B0DADB1" w14:textId="77777777" w:rsidR="00AE3DA6" w:rsidRDefault="00795E23">
      <w:pPr>
        <w:pStyle w:val="af5"/>
        <w:snapToGrid w:val="0"/>
        <w:spacing w:line="360" w:lineRule="auto"/>
        <w:ind w:firstLineChars="200" w:firstLine="420"/>
        <w:rPr>
          <w:rFonts w:hAnsi="宋体"/>
        </w:rPr>
      </w:pPr>
      <w:r>
        <w:rPr>
          <w:rFonts w:hAnsi="宋体" w:hint="eastAsia"/>
        </w:rPr>
        <w:t>投资人认购本基金基金份额的具体业务办理时间由基金管理人和基金销售机构确定，请参见本基金的基金份额发售公告或基金销售机构的相关公告。</w:t>
      </w:r>
    </w:p>
    <w:bookmarkEnd w:id="73"/>
    <w:p w14:paraId="46CD2C54" w14:textId="77777777" w:rsidR="00AE3DA6" w:rsidRDefault="00795E23">
      <w:pPr>
        <w:pStyle w:val="34"/>
        <w:snapToGrid w:val="0"/>
        <w:spacing w:line="360" w:lineRule="auto"/>
        <w:ind w:firstLineChars="200" w:firstLine="420"/>
        <w:rPr>
          <w:rFonts w:hAnsi="宋体" w:cs="Times New Roman"/>
          <w:sz w:val="21"/>
          <w:szCs w:val="21"/>
        </w:rPr>
      </w:pPr>
      <w:r>
        <w:rPr>
          <w:rFonts w:hAnsi="宋体" w:hint="eastAsia"/>
          <w:sz w:val="21"/>
          <w:szCs w:val="21"/>
        </w:rPr>
        <w:t>本基金基金份额发售面值为人民币</w:t>
      </w:r>
      <w:r>
        <w:rPr>
          <w:rFonts w:hAnsi="宋体"/>
          <w:sz w:val="21"/>
          <w:szCs w:val="21"/>
        </w:rPr>
        <w:t>1.00</w:t>
      </w:r>
      <w:r>
        <w:rPr>
          <w:rFonts w:hAnsi="宋体" w:hint="eastAsia"/>
          <w:sz w:val="21"/>
          <w:szCs w:val="21"/>
        </w:rPr>
        <w:t>元，按面值发售。</w:t>
      </w:r>
    </w:p>
    <w:p w14:paraId="1CF942D7" w14:textId="77777777" w:rsidR="00AE3DA6" w:rsidRDefault="00795E23">
      <w:pPr>
        <w:pStyle w:val="34"/>
        <w:snapToGrid w:val="0"/>
        <w:spacing w:line="360" w:lineRule="auto"/>
        <w:ind w:firstLineChars="200" w:firstLine="420"/>
        <w:rPr>
          <w:rFonts w:hAnsi="宋体" w:cs="Times New Roman"/>
          <w:sz w:val="21"/>
          <w:szCs w:val="21"/>
        </w:rPr>
      </w:pPr>
      <w:r>
        <w:rPr>
          <w:rFonts w:hAnsi="宋体" w:hint="eastAsia"/>
          <w:sz w:val="21"/>
          <w:szCs w:val="21"/>
        </w:rPr>
        <w:t>当日（</w:t>
      </w:r>
      <w:r>
        <w:rPr>
          <w:rFonts w:hAnsi="宋体"/>
          <w:sz w:val="21"/>
          <w:szCs w:val="21"/>
        </w:rPr>
        <w:t>T</w:t>
      </w:r>
      <w:r>
        <w:rPr>
          <w:rFonts w:hAnsi="宋体" w:hint="eastAsia"/>
          <w:sz w:val="21"/>
          <w:szCs w:val="21"/>
        </w:rPr>
        <w:t>日）在规定时间内提交的申请，投资人通常可在</w:t>
      </w:r>
      <w:r>
        <w:rPr>
          <w:rFonts w:hAnsi="宋体"/>
          <w:sz w:val="21"/>
          <w:szCs w:val="21"/>
        </w:rPr>
        <w:t>T+2</w:t>
      </w:r>
      <w:r>
        <w:rPr>
          <w:rFonts w:hAnsi="宋体" w:hint="eastAsia"/>
          <w:sz w:val="21"/>
          <w:szCs w:val="21"/>
        </w:rPr>
        <w:t>日到网点查询交易情况，在募集截止日后</w:t>
      </w:r>
      <w:r>
        <w:rPr>
          <w:rFonts w:hAnsi="宋体"/>
          <w:sz w:val="21"/>
          <w:szCs w:val="21"/>
        </w:rPr>
        <w:t>3</w:t>
      </w:r>
      <w:r>
        <w:rPr>
          <w:rFonts w:hAnsi="宋体" w:hint="eastAsia"/>
          <w:sz w:val="21"/>
          <w:szCs w:val="21"/>
        </w:rPr>
        <w:t>个工作日内可以到网点打印交易确认书。</w:t>
      </w:r>
    </w:p>
    <w:p w14:paraId="2185E6A2" w14:textId="77777777" w:rsidR="00AE3DA6" w:rsidRDefault="00795E23">
      <w:pPr>
        <w:autoSpaceDE w:val="0"/>
        <w:autoSpaceDN w:val="0"/>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四、募集规模上限</w:t>
      </w:r>
    </w:p>
    <w:p w14:paraId="3D799A55" w14:textId="77777777" w:rsidR="00AE3DA6" w:rsidRDefault="00795E23">
      <w:pPr>
        <w:autoSpaceDE w:val="0"/>
        <w:autoSpaceDN w:val="0"/>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本基金可设置募集规模上限，具体募集上限及规模控制的方案详见基金份额发售公告或其他公告。若本基金设置募集规模上限，基金合同生效后不受此募集规模的限制。</w:t>
      </w:r>
    </w:p>
    <w:p w14:paraId="7D228258" w14:textId="77777777" w:rsidR="00AE3DA6" w:rsidRDefault="00795E23">
      <w:pPr>
        <w:autoSpaceDE w:val="0"/>
        <w:autoSpaceDN w:val="0"/>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五、基金份额的类别</w:t>
      </w:r>
    </w:p>
    <w:p w14:paraId="2FEF7782" w14:textId="486904E2" w:rsidR="00AE3DA6" w:rsidRDefault="00E1640D">
      <w:pPr>
        <w:tabs>
          <w:tab w:val="left" w:pos="840"/>
        </w:tabs>
        <w:adjustRightInd w:val="0"/>
        <w:snapToGrid w:val="0"/>
        <w:spacing w:line="360" w:lineRule="auto"/>
        <w:ind w:firstLineChars="200" w:firstLine="420"/>
        <w:rPr>
          <w:rFonts w:ascii="宋体" w:hAnsi="宋体" w:cs="宋体"/>
          <w:bCs/>
          <w:color w:val="000000"/>
        </w:rPr>
      </w:pPr>
      <w:r w:rsidRPr="00E1640D">
        <w:rPr>
          <w:rFonts w:ascii="宋体" w:hAnsi="宋体" w:cs="宋体" w:hint="eastAsia"/>
          <w:bCs/>
          <w:color w:val="000000"/>
        </w:rPr>
        <w:t>本基金将基金份额分为不同的类别。在投资人认购/申购时按规定收取前端认购/申购费用并在赎回时根据持有期限收取赎回费用，但不从本类别基金资产净值中计提销售服务费的基金份额，称为A类基金份额；从本类别基金资产净值中计提销售服务费并按规定收取或返还，不收取认购/申购费用并在赎回时根据持有期限收取赎回费用的基金份额，称为C类基金份额</w:t>
      </w:r>
      <w:r w:rsidR="00795E23">
        <w:rPr>
          <w:rFonts w:ascii="宋体" w:hAnsi="宋体" w:cs="宋体"/>
          <w:bCs/>
          <w:color w:val="000000"/>
        </w:rPr>
        <w:t>。</w:t>
      </w:r>
    </w:p>
    <w:p w14:paraId="10C894B7" w14:textId="77777777" w:rsidR="00AE3DA6" w:rsidRDefault="00795E23">
      <w:pPr>
        <w:tabs>
          <w:tab w:val="left" w:pos="840"/>
        </w:tabs>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本基金</w:t>
      </w:r>
      <w:r>
        <w:rPr>
          <w:rFonts w:ascii="宋体" w:hAnsi="宋体" w:cs="宋体"/>
          <w:bCs/>
          <w:color w:val="000000"/>
        </w:rPr>
        <w:t>A类和C类基金份额分别设置代码。由于基金费用的不同，本基金A类基金份额和C类基金份额将分别计算基金份额净值，计算公式为计算日各类别基金资产净值除以计算日发售在外的该类别基金份额总数。</w:t>
      </w:r>
    </w:p>
    <w:p w14:paraId="1C66DC72" w14:textId="77777777" w:rsidR="00AE3DA6" w:rsidRDefault="00795E23">
      <w:pPr>
        <w:tabs>
          <w:tab w:val="left" w:pos="840"/>
        </w:tabs>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在不违反法律法规、基金合同的规定以及对基金份额持有人利益无实质性不利影响的情况下，经与基金托管人协商一致，基金管理人可增加、减少或调整基金份额类别设置、停止现有基金份额类别的销售、对基金份额分类办法及规则进行调整，并在调整实施之日前</w:t>
      </w:r>
      <w:r>
        <w:rPr>
          <w:rFonts w:ascii="宋体" w:hAnsi="宋体" w:cs="宋体"/>
          <w:bCs/>
          <w:color w:val="000000"/>
        </w:rPr>
        <w:t>依照《信息披露办法》的有关规定在规定媒介上公告</w:t>
      </w:r>
      <w:r>
        <w:rPr>
          <w:rFonts w:ascii="宋体" w:hAnsi="宋体" w:cs="宋体" w:hint="eastAsia"/>
          <w:bCs/>
          <w:color w:val="000000"/>
        </w:rPr>
        <w:t>，不需要召开基金份额持有人大会。</w:t>
      </w:r>
    </w:p>
    <w:p w14:paraId="3123C094" w14:textId="77777777" w:rsidR="00AE3DA6" w:rsidRDefault="00795E23">
      <w:pPr>
        <w:tabs>
          <w:tab w:val="left" w:pos="840"/>
        </w:tabs>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六、认购费用</w:t>
      </w:r>
    </w:p>
    <w:p w14:paraId="439FCC53" w14:textId="17898398" w:rsidR="00AE3DA6" w:rsidRDefault="00795E23">
      <w:pPr>
        <w:pStyle w:val="af5"/>
        <w:snapToGrid w:val="0"/>
        <w:spacing w:line="360" w:lineRule="auto"/>
        <w:ind w:firstLineChars="200" w:firstLine="420"/>
        <w:rPr>
          <w:rFonts w:hAnsi="宋体" w:cs="Times New Roman"/>
        </w:rPr>
      </w:pPr>
      <w:r>
        <w:rPr>
          <w:rFonts w:hAnsi="宋体"/>
        </w:rPr>
        <w:t>1</w:t>
      </w:r>
      <w:r>
        <w:rPr>
          <w:rFonts w:hAnsi="宋体" w:hint="eastAsia"/>
        </w:rPr>
        <w:t>、</w:t>
      </w:r>
      <w:r w:rsidR="00E1640D" w:rsidRPr="00E1640D">
        <w:rPr>
          <w:rFonts w:hAnsi="宋体" w:hint="eastAsia"/>
        </w:rPr>
        <w:t>通过直销机构认购本基金A类基金份额不收取认购费。通过其他销售机构认购A类基金份额的</w:t>
      </w:r>
      <w:r>
        <w:rPr>
          <w:rFonts w:hAnsi="宋体" w:hint="eastAsia"/>
        </w:rPr>
        <w:t>，认购费率最高不高于</w:t>
      </w:r>
      <w:r w:rsidR="00907401">
        <w:rPr>
          <w:rFonts w:hAnsi="宋体"/>
        </w:rPr>
        <w:t>0.3</w:t>
      </w:r>
      <w:r>
        <w:rPr>
          <w:rFonts w:hAnsi="宋体" w:hint="eastAsia"/>
        </w:rPr>
        <w:t>%，如下表所示：</w:t>
      </w:r>
    </w:p>
    <w:tbl>
      <w:tblPr>
        <w:tblW w:w="7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3726"/>
      </w:tblGrid>
      <w:tr w:rsidR="00AE3DA6" w14:paraId="14C5F668" w14:textId="77777777" w:rsidTr="00186F23">
        <w:trPr>
          <w:trHeight w:val="397"/>
          <w:jc w:val="center"/>
        </w:trPr>
        <w:tc>
          <w:tcPr>
            <w:tcW w:w="3726" w:type="dxa"/>
            <w:tcBorders>
              <w:top w:val="single" w:sz="4" w:space="0" w:color="auto"/>
              <w:left w:val="single" w:sz="4" w:space="0" w:color="auto"/>
              <w:bottom w:val="single" w:sz="4" w:space="0" w:color="auto"/>
              <w:right w:val="single" w:sz="4" w:space="0" w:color="auto"/>
            </w:tcBorders>
            <w:vAlign w:val="center"/>
          </w:tcPr>
          <w:p w14:paraId="646E6ED5" w14:textId="77777777" w:rsidR="00AE3DA6" w:rsidRDefault="00795E23">
            <w:pPr>
              <w:pStyle w:val="23"/>
              <w:adjustRightInd w:val="0"/>
              <w:snapToGrid w:val="0"/>
              <w:spacing w:line="240" w:lineRule="auto"/>
              <w:ind w:firstLineChars="0" w:firstLine="0"/>
              <w:jc w:val="center"/>
              <w:rPr>
                <w:rFonts w:ascii="宋体" w:eastAsia="宋体" w:hAnsi="宋体"/>
                <w:sz w:val="21"/>
                <w:szCs w:val="21"/>
              </w:rPr>
            </w:pPr>
            <w:r>
              <w:rPr>
                <w:rFonts w:ascii="宋体" w:eastAsia="宋体" w:hAnsi="宋体" w:hint="eastAsia"/>
                <w:sz w:val="21"/>
                <w:szCs w:val="21"/>
              </w:rPr>
              <w:t>认购金额（M）</w:t>
            </w:r>
          </w:p>
        </w:tc>
        <w:tc>
          <w:tcPr>
            <w:tcW w:w="3726" w:type="dxa"/>
            <w:tcBorders>
              <w:top w:val="single" w:sz="4" w:space="0" w:color="auto"/>
              <w:left w:val="single" w:sz="4" w:space="0" w:color="auto"/>
              <w:bottom w:val="single" w:sz="4" w:space="0" w:color="auto"/>
              <w:right w:val="single" w:sz="4" w:space="0" w:color="auto"/>
            </w:tcBorders>
            <w:vAlign w:val="center"/>
          </w:tcPr>
          <w:p w14:paraId="7B9EC3AE" w14:textId="77777777" w:rsidR="00AE3DA6" w:rsidRDefault="00795E23">
            <w:pPr>
              <w:pStyle w:val="23"/>
              <w:adjustRightInd w:val="0"/>
              <w:snapToGrid w:val="0"/>
              <w:spacing w:line="240" w:lineRule="auto"/>
              <w:ind w:firstLineChars="0" w:firstLine="0"/>
              <w:jc w:val="center"/>
              <w:rPr>
                <w:rFonts w:ascii="宋体" w:eastAsia="宋体" w:hAnsi="宋体"/>
                <w:sz w:val="21"/>
                <w:szCs w:val="21"/>
              </w:rPr>
            </w:pPr>
            <w:r>
              <w:rPr>
                <w:rFonts w:ascii="宋体" w:eastAsia="宋体" w:hAnsi="宋体" w:hint="eastAsia"/>
                <w:sz w:val="21"/>
                <w:szCs w:val="21"/>
              </w:rPr>
              <w:t>认购费率</w:t>
            </w:r>
          </w:p>
        </w:tc>
      </w:tr>
      <w:tr w:rsidR="00AE3DA6" w14:paraId="08842A02" w14:textId="77777777" w:rsidTr="00186F23">
        <w:trPr>
          <w:trHeight w:val="397"/>
          <w:jc w:val="center"/>
        </w:trPr>
        <w:tc>
          <w:tcPr>
            <w:tcW w:w="3726" w:type="dxa"/>
            <w:tcBorders>
              <w:top w:val="single" w:sz="4" w:space="0" w:color="auto"/>
              <w:left w:val="single" w:sz="4" w:space="0" w:color="auto"/>
              <w:bottom w:val="single" w:sz="4" w:space="0" w:color="auto"/>
              <w:right w:val="single" w:sz="4" w:space="0" w:color="auto"/>
            </w:tcBorders>
            <w:vAlign w:val="center"/>
          </w:tcPr>
          <w:p w14:paraId="098AA191" w14:textId="118A281A" w:rsidR="00AE3DA6" w:rsidRDefault="00795E23" w:rsidP="00907401">
            <w:pPr>
              <w:pStyle w:val="23"/>
              <w:adjustRightInd w:val="0"/>
              <w:snapToGrid w:val="0"/>
              <w:spacing w:line="240" w:lineRule="auto"/>
              <w:ind w:firstLineChars="0" w:firstLine="0"/>
              <w:jc w:val="center"/>
              <w:rPr>
                <w:rFonts w:ascii="宋体" w:eastAsia="宋体" w:hAnsi="宋体"/>
                <w:sz w:val="21"/>
                <w:szCs w:val="21"/>
              </w:rPr>
            </w:pPr>
            <w:r>
              <w:rPr>
                <w:rFonts w:ascii="宋体" w:eastAsia="宋体" w:hAnsi="宋体" w:hint="eastAsia"/>
                <w:sz w:val="21"/>
                <w:szCs w:val="21"/>
              </w:rPr>
              <w:t>M＜</w:t>
            </w:r>
            <w:r w:rsidR="00907401">
              <w:rPr>
                <w:rFonts w:ascii="宋体" w:eastAsia="宋体" w:hAnsi="宋体"/>
                <w:sz w:val="21"/>
                <w:szCs w:val="21"/>
              </w:rPr>
              <w:t>5</w:t>
            </w:r>
            <w:r>
              <w:rPr>
                <w:rFonts w:ascii="宋体" w:eastAsia="宋体" w:hAnsi="宋体" w:hint="eastAsia"/>
                <w:sz w:val="21"/>
                <w:szCs w:val="21"/>
              </w:rPr>
              <w:t>00万</w:t>
            </w:r>
          </w:p>
        </w:tc>
        <w:tc>
          <w:tcPr>
            <w:tcW w:w="3726" w:type="dxa"/>
            <w:tcBorders>
              <w:top w:val="single" w:sz="4" w:space="0" w:color="auto"/>
              <w:left w:val="single" w:sz="4" w:space="0" w:color="auto"/>
              <w:bottom w:val="single" w:sz="4" w:space="0" w:color="auto"/>
              <w:right w:val="single" w:sz="4" w:space="0" w:color="auto"/>
            </w:tcBorders>
            <w:vAlign w:val="center"/>
          </w:tcPr>
          <w:p w14:paraId="2664EA7B" w14:textId="7C3124AA" w:rsidR="00AE3DA6" w:rsidRDefault="00907401">
            <w:pPr>
              <w:pStyle w:val="23"/>
              <w:adjustRightInd w:val="0"/>
              <w:snapToGrid w:val="0"/>
              <w:spacing w:line="240" w:lineRule="auto"/>
              <w:ind w:firstLineChars="0" w:firstLine="0"/>
              <w:jc w:val="center"/>
              <w:rPr>
                <w:rFonts w:ascii="宋体" w:eastAsia="宋体" w:hAnsi="宋体"/>
                <w:sz w:val="21"/>
                <w:szCs w:val="21"/>
              </w:rPr>
            </w:pPr>
            <w:r>
              <w:rPr>
                <w:rFonts w:ascii="宋体" w:eastAsia="宋体" w:hAnsi="宋体"/>
                <w:sz w:val="21"/>
                <w:szCs w:val="21"/>
              </w:rPr>
              <w:t>0.3</w:t>
            </w:r>
            <w:r w:rsidR="00795E23">
              <w:rPr>
                <w:rFonts w:ascii="宋体" w:eastAsia="宋体" w:hAnsi="宋体" w:hint="eastAsia"/>
                <w:sz w:val="21"/>
                <w:szCs w:val="21"/>
              </w:rPr>
              <w:t>%</w:t>
            </w:r>
          </w:p>
        </w:tc>
      </w:tr>
      <w:tr w:rsidR="00AE3DA6" w14:paraId="1E04FEF6" w14:textId="77777777" w:rsidTr="00186F23">
        <w:trPr>
          <w:trHeight w:val="397"/>
          <w:jc w:val="center"/>
        </w:trPr>
        <w:tc>
          <w:tcPr>
            <w:tcW w:w="3726" w:type="dxa"/>
            <w:tcBorders>
              <w:top w:val="single" w:sz="4" w:space="0" w:color="auto"/>
              <w:left w:val="single" w:sz="4" w:space="0" w:color="auto"/>
              <w:bottom w:val="single" w:sz="4" w:space="0" w:color="auto"/>
              <w:right w:val="single" w:sz="4" w:space="0" w:color="auto"/>
            </w:tcBorders>
            <w:vAlign w:val="center"/>
          </w:tcPr>
          <w:p w14:paraId="4D158611" w14:textId="77777777" w:rsidR="00AE3DA6" w:rsidRDefault="00795E23">
            <w:pPr>
              <w:pStyle w:val="23"/>
              <w:adjustRightInd w:val="0"/>
              <w:snapToGrid w:val="0"/>
              <w:spacing w:line="240" w:lineRule="auto"/>
              <w:ind w:firstLineChars="0" w:firstLine="0"/>
              <w:jc w:val="center"/>
              <w:rPr>
                <w:rFonts w:ascii="宋体" w:eastAsia="宋体" w:hAnsi="宋体"/>
                <w:sz w:val="21"/>
                <w:szCs w:val="21"/>
              </w:rPr>
            </w:pPr>
            <w:r>
              <w:rPr>
                <w:rFonts w:ascii="宋体" w:eastAsia="宋体" w:hAnsi="宋体" w:hint="eastAsia"/>
                <w:sz w:val="21"/>
                <w:szCs w:val="21"/>
              </w:rPr>
              <w:t>M≥500万</w:t>
            </w:r>
          </w:p>
        </w:tc>
        <w:tc>
          <w:tcPr>
            <w:tcW w:w="3726" w:type="dxa"/>
            <w:tcBorders>
              <w:top w:val="single" w:sz="4" w:space="0" w:color="auto"/>
              <w:left w:val="single" w:sz="4" w:space="0" w:color="auto"/>
              <w:bottom w:val="single" w:sz="4" w:space="0" w:color="auto"/>
              <w:right w:val="single" w:sz="4" w:space="0" w:color="auto"/>
            </w:tcBorders>
            <w:vAlign w:val="center"/>
          </w:tcPr>
          <w:p w14:paraId="4DC51D61" w14:textId="77777777" w:rsidR="00AE3DA6" w:rsidRDefault="00795E23">
            <w:pPr>
              <w:pStyle w:val="23"/>
              <w:adjustRightInd w:val="0"/>
              <w:snapToGrid w:val="0"/>
              <w:spacing w:line="240" w:lineRule="auto"/>
              <w:ind w:firstLineChars="0" w:firstLine="0"/>
              <w:jc w:val="center"/>
              <w:rPr>
                <w:rFonts w:ascii="宋体" w:eastAsia="宋体" w:hAnsi="宋体"/>
                <w:sz w:val="21"/>
                <w:szCs w:val="21"/>
              </w:rPr>
            </w:pPr>
            <w:r>
              <w:rPr>
                <w:rFonts w:ascii="宋体" w:eastAsia="宋体" w:hAnsi="宋体" w:hint="eastAsia"/>
                <w:sz w:val="21"/>
                <w:szCs w:val="21"/>
              </w:rPr>
              <w:t>每笔1,000元</w:t>
            </w:r>
          </w:p>
        </w:tc>
      </w:tr>
    </w:tbl>
    <w:p w14:paraId="40B5EC59" w14:textId="77777777" w:rsidR="00AE3DA6" w:rsidRDefault="00795E23">
      <w:pPr>
        <w:autoSpaceDE w:val="0"/>
        <w:autoSpaceDN w:val="0"/>
        <w:adjustRightInd w:val="0"/>
        <w:snapToGrid w:val="0"/>
        <w:spacing w:line="360" w:lineRule="auto"/>
        <w:ind w:firstLineChars="200" w:firstLine="420"/>
        <w:rPr>
          <w:rFonts w:hAnsi="宋体" w:cs="Times New Roman"/>
        </w:rPr>
      </w:pPr>
      <w:r>
        <w:rPr>
          <w:rFonts w:hAnsi="宋体"/>
        </w:rPr>
        <w:t>2</w:t>
      </w:r>
      <w:r>
        <w:rPr>
          <w:rFonts w:hAnsi="宋体" w:cs="宋体" w:hint="eastAsia"/>
        </w:rPr>
        <w:t>、对于认购本基金</w:t>
      </w:r>
      <w:r>
        <w:rPr>
          <w:rFonts w:hAnsi="宋体"/>
        </w:rPr>
        <w:t>C</w:t>
      </w:r>
      <w:r>
        <w:rPr>
          <w:rFonts w:hAnsi="宋体" w:cs="宋体" w:hint="eastAsia"/>
        </w:rPr>
        <w:t>类基金份额的投资人，认购费率为零。</w:t>
      </w:r>
    </w:p>
    <w:p w14:paraId="1E38E907" w14:textId="77777777" w:rsidR="00AE3DA6" w:rsidRDefault="00795E23">
      <w:pPr>
        <w:pStyle w:val="af5"/>
        <w:snapToGrid w:val="0"/>
        <w:spacing w:line="360" w:lineRule="auto"/>
        <w:ind w:firstLineChars="200" w:firstLine="420"/>
        <w:rPr>
          <w:rFonts w:hAnsi="宋体" w:cs="Times New Roman"/>
        </w:rPr>
      </w:pPr>
      <w:r>
        <w:rPr>
          <w:rFonts w:hAnsi="宋体" w:hint="eastAsia"/>
        </w:rPr>
        <w:t>投资人重复认购，须按每次认购所对应的费率档次分别计费。</w:t>
      </w:r>
    </w:p>
    <w:p w14:paraId="08506B17" w14:textId="479933D2" w:rsidR="00AE3DA6" w:rsidRDefault="00E1640D">
      <w:pPr>
        <w:pStyle w:val="af5"/>
        <w:snapToGrid w:val="0"/>
        <w:spacing w:line="360" w:lineRule="auto"/>
        <w:ind w:firstLineChars="200" w:firstLine="420"/>
        <w:rPr>
          <w:rFonts w:hAnsi="宋体" w:cs="Times New Roman"/>
        </w:rPr>
      </w:pPr>
      <w:r w:rsidRPr="00E1640D">
        <w:rPr>
          <w:rFonts w:hAnsi="宋体" w:hint="eastAsia"/>
        </w:rPr>
        <w:t>本基金A类基金份额的认购费用由通过直销机构以外的其他销售机构认购A类基金份额的投资人承担，不列入基金财产，主要用于基金的市场推广、销售、登记等募集期间发生的各项费用</w:t>
      </w:r>
      <w:r w:rsidR="00795E23">
        <w:rPr>
          <w:rFonts w:hAnsi="宋体" w:hint="eastAsia"/>
        </w:rPr>
        <w:t>。</w:t>
      </w:r>
    </w:p>
    <w:p w14:paraId="138B0FF2" w14:textId="77777777" w:rsidR="00AE3DA6" w:rsidRDefault="00795E23">
      <w:pPr>
        <w:pStyle w:val="af5"/>
        <w:snapToGrid w:val="0"/>
        <w:spacing w:line="360" w:lineRule="auto"/>
        <w:ind w:firstLineChars="200" w:firstLine="420"/>
      </w:pPr>
      <w:r>
        <w:rPr>
          <w:rFonts w:hAnsi="宋体" w:hint="eastAsia"/>
        </w:rPr>
        <w:t>3、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14:paraId="58EF7D1F" w14:textId="77777777" w:rsidR="00AE3DA6" w:rsidRDefault="00795E23">
      <w:pPr>
        <w:tabs>
          <w:tab w:val="left" w:pos="840"/>
        </w:tabs>
        <w:adjustRightInd w:val="0"/>
        <w:snapToGrid w:val="0"/>
        <w:spacing w:line="360" w:lineRule="auto"/>
        <w:ind w:firstLineChars="200" w:firstLine="420"/>
        <w:rPr>
          <w:rFonts w:ascii="宋体" w:cs="Times New Roman"/>
          <w:bCs/>
          <w:color w:val="000000"/>
        </w:rPr>
      </w:pPr>
      <w:r>
        <w:rPr>
          <w:rFonts w:ascii="宋体" w:hAnsi="宋体" w:cs="宋体" w:hint="eastAsia"/>
          <w:bCs/>
          <w:color w:val="000000"/>
        </w:rPr>
        <w:t>七、募集期利息的处理方式</w:t>
      </w:r>
    </w:p>
    <w:p w14:paraId="70BA520D" w14:textId="77777777" w:rsidR="00AE3DA6" w:rsidRDefault="00795E23">
      <w:pPr>
        <w:pStyle w:val="34"/>
        <w:snapToGrid w:val="0"/>
        <w:spacing w:line="360" w:lineRule="auto"/>
        <w:ind w:firstLineChars="200" w:firstLine="420"/>
        <w:rPr>
          <w:rFonts w:hAnsi="宋体" w:cs="Times New Roman"/>
          <w:sz w:val="21"/>
          <w:szCs w:val="21"/>
        </w:rPr>
      </w:pPr>
      <w:r>
        <w:rPr>
          <w:rFonts w:hAnsi="宋体" w:hint="eastAsia"/>
          <w:sz w:val="21"/>
          <w:szCs w:val="21"/>
        </w:rPr>
        <w:t>《基金合同》生效前，投资人的认购款项只能存入专门账户，不得动用。有效认购款项在募集期间产生的利息将折算为基金份额归基金份额持有人所有，其中利息转份额的</w:t>
      </w:r>
      <w:r>
        <w:rPr>
          <w:rFonts w:hAnsi="宋体"/>
          <w:sz w:val="21"/>
          <w:szCs w:val="21"/>
        </w:rPr>
        <w:t>数额</w:t>
      </w:r>
      <w:r>
        <w:rPr>
          <w:rFonts w:hAnsi="宋体" w:hint="eastAsia"/>
          <w:sz w:val="21"/>
          <w:szCs w:val="21"/>
        </w:rPr>
        <w:t>以登记机构的记录为准。</w:t>
      </w:r>
    </w:p>
    <w:p w14:paraId="36EAC252" w14:textId="77777777" w:rsidR="00AE3DA6" w:rsidRDefault="00795E23">
      <w:pPr>
        <w:tabs>
          <w:tab w:val="left" w:pos="840"/>
        </w:tabs>
        <w:adjustRightInd w:val="0"/>
        <w:snapToGrid w:val="0"/>
        <w:spacing w:line="360" w:lineRule="auto"/>
        <w:ind w:firstLineChars="200" w:firstLine="420"/>
        <w:rPr>
          <w:rFonts w:ascii="宋体" w:cs="Times New Roman"/>
          <w:bCs/>
          <w:color w:val="000000"/>
        </w:rPr>
      </w:pPr>
      <w:r>
        <w:rPr>
          <w:rFonts w:ascii="宋体" w:hAnsi="宋体" w:cs="宋体" w:hint="eastAsia"/>
          <w:bCs/>
          <w:color w:val="000000"/>
        </w:rPr>
        <w:t>八、基金认购份额的计算</w:t>
      </w:r>
    </w:p>
    <w:p w14:paraId="3D74C2DE"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1、基金认购采用“金额认购、份额确认”的方式。</w:t>
      </w:r>
    </w:p>
    <w:p w14:paraId="436499B0"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认购份额的计算公式为：</w:t>
      </w:r>
    </w:p>
    <w:p w14:paraId="0568C304"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 xml:space="preserve">（1）若投资者通过直销机构认购A类基金份额： </w:t>
      </w:r>
    </w:p>
    <w:p w14:paraId="1F0E2E45"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认购份额＝（认购金额＋认购利息）/基金份额发售面值</w:t>
      </w:r>
    </w:p>
    <w:p w14:paraId="7E11E148"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（2）若投资者通过其他销售机构认购A类基金份额：</w:t>
      </w:r>
    </w:p>
    <w:p w14:paraId="0EFC8DA8"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认购金额包括认购费用和净认购金额。</w:t>
      </w:r>
    </w:p>
    <w:p w14:paraId="09D31B4F"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1）适用于比例费率</w:t>
      </w:r>
    </w:p>
    <w:p w14:paraId="02CB5ECC"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净认购金额＝认购金额/（1+认购费率）</w:t>
      </w:r>
    </w:p>
    <w:p w14:paraId="4F007B52"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认购费用＝认购金额－净认购金额</w:t>
      </w:r>
    </w:p>
    <w:p w14:paraId="6087D002"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认购份额＝（净认购金额+认购利息）/基金份额发售面值</w:t>
      </w:r>
    </w:p>
    <w:p w14:paraId="5543B7B0"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2）适用于固定费用</w:t>
      </w:r>
    </w:p>
    <w:p w14:paraId="21EAC869"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净认购金额＝认购金额-固定认购费用</w:t>
      </w:r>
    </w:p>
    <w:p w14:paraId="47172615"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认购份额＝（净认购金额＋认购利息）/基金份额发售面值</w:t>
      </w:r>
    </w:p>
    <w:p w14:paraId="5E1CC779"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（3）若投资者认购C类基金份额：</w:t>
      </w:r>
    </w:p>
    <w:p w14:paraId="111D509D"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C类基金份额认购费率为0，认购份额的计算公式为：</w:t>
      </w:r>
    </w:p>
    <w:p w14:paraId="2CAA60D7"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认购份额＝（认购金额＋认购利息）/基金份额发售面值</w:t>
      </w:r>
    </w:p>
    <w:p w14:paraId="1F51EEBA"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例：某投资人通过直销机构投资10万元认购本基金A类基金份额，该笔认购产生利息50元，无认购费用，则其可得到的认购份额为：</w:t>
      </w:r>
    </w:p>
    <w:p w14:paraId="25400826"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认购份额＝（10,000.00＋50.00）/1.00＝10,050.00份</w:t>
      </w:r>
    </w:p>
    <w:p w14:paraId="24856496"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例：某投资人通过其他销售机构投资10万元认购A类基金份额，该笔认购产生利息50元，对应认购费率为0.3%，则其可得到的认购份额为：</w:t>
      </w:r>
    </w:p>
    <w:p w14:paraId="2C708C9C"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净认购金额＝100,000/(1+0.3%）＝99,700.90元</w:t>
      </w:r>
    </w:p>
    <w:p w14:paraId="74CF0666"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认购费用＝100,000－99,700.90＝299.10元</w:t>
      </w:r>
    </w:p>
    <w:p w14:paraId="45356D11"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认购份额＝（99,700.90＋50）/1.00＝99,750.90份</w:t>
      </w:r>
    </w:p>
    <w:p w14:paraId="2DA60250"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例：某投资人投资10万元认购C类基金份额，该笔认购产生利息50元，则其可得到的认购份额为：</w:t>
      </w:r>
    </w:p>
    <w:p w14:paraId="222F8A47" w14:textId="54B3886F" w:rsidR="00907401" w:rsidRPr="00907401"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认购份额＝（100,000＋50）/1.00＝100,050.00份</w:t>
      </w:r>
    </w:p>
    <w:p w14:paraId="40135ADE"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2、认购份额的计算中，涉及基金份额和金额的计算结果均按四舍五入法，保留到小数点后两位，由此产生的收益或损失由基金财产承担。</w:t>
      </w:r>
    </w:p>
    <w:p w14:paraId="4191BDE8"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3、利息折算的基金份额保留到小数点后两位，小数点后两位以后部分舍去，余额计入基金财产。</w:t>
      </w:r>
    </w:p>
    <w:p w14:paraId="0F2F3D28"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九、基金认购金额的限制</w:t>
      </w:r>
    </w:p>
    <w:p w14:paraId="2249F323"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本基金首次认购和追加认购最低金额均为人民币1元（含认购费，如有），具体认购金额以各基金销售机构的公告为准。</w:t>
      </w:r>
    </w:p>
    <w:p w14:paraId="0A0143C2" w14:textId="77777777" w:rsidR="00E1640D" w:rsidRPr="00E1640D" w:rsidRDefault="00E1640D" w:rsidP="00E1640D">
      <w:pPr>
        <w:tabs>
          <w:tab w:val="left" w:pos="840"/>
        </w:tabs>
        <w:adjustRightInd w:val="0"/>
        <w:snapToGrid w:val="0"/>
        <w:spacing w:line="360" w:lineRule="auto"/>
        <w:ind w:firstLineChars="200" w:firstLine="420"/>
        <w:rPr>
          <w:rFonts w:ascii="宋体" w:hAnsi="宋体" w:cs="宋体"/>
        </w:rPr>
      </w:pPr>
      <w:r w:rsidRPr="00E1640D">
        <w:rPr>
          <w:rFonts w:ascii="宋体" w:hAnsi="宋体" w:cs="宋体" w:hint="eastAsia"/>
        </w:rPr>
        <w:t>十、基金份额的认购和持有限额</w:t>
      </w:r>
    </w:p>
    <w:p w14:paraId="1EED4438" w14:textId="5B3CF85E" w:rsidR="00AE3DA6" w:rsidRDefault="00E1640D">
      <w:pPr>
        <w:tabs>
          <w:tab w:val="left" w:pos="840"/>
        </w:tabs>
        <w:adjustRightInd w:val="0"/>
        <w:snapToGrid w:val="0"/>
        <w:spacing w:line="360" w:lineRule="auto"/>
        <w:ind w:firstLineChars="200" w:firstLine="420"/>
        <w:rPr>
          <w:rFonts w:ascii="宋体" w:cs="Times New Roman"/>
        </w:rPr>
      </w:pPr>
      <w:r w:rsidRPr="00E1640D">
        <w:rPr>
          <w:rFonts w:hAnsi="宋体" w:hint="eastAsia"/>
        </w:rPr>
        <w:t>基金管理人不对募集期间的单个投资人的累计认购金额进行限制，但法律法规或监管要求另有规定的除外</w:t>
      </w:r>
      <w:r w:rsidR="00795E23">
        <w:rPr>
          <w:rFonts w:ascii="宋体" w:hAnsi="宋体" w:cs="宋体" w:hint="eastAsia"/>
          <w:color w:val="000000"/>
        </w:rPr>
        <w:t>。</w:t>
      </w:r>
      <w:r w:rsidR="00795E23">
        <w:rPr>
          <w:rFonts w:ascii="宋体" w:cs="Times New Roman"/>
        </w:rPr>
        <w:br w:type="page"/>
      </w:r>
    </w:p>
    <w:p w14:paraId="0F5EE034"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74" w:name="_Toc360794409"/>
      <w:bookmarkStart w:id="75" w:name="_Toc48900074"/>
      <w:bookmarkStart w:id="76" w:name="_Toc360793851"/>
      <w:bookmarkStart w:id="77" w:name="_Toc362533456"/>
      <w:bookmarkStart w:id="78" w:name="_Toc360793499"/>
      <w:bookmarkStart w:id="79" w:name="_Toc360794517"/>
      <w:bookmarkStart w:id="80" w:name="_Toc362455184"/>
      <w:bookmarkStart w:id="81" w:name="_Toc360794101"/>
      <w:r>
        <w:rPr>
          <w:rFonts w:ascii="宋体" w:eastAsia="宋体" w:hAnsi="宋体" w:cs="宋体" w:hint="eastAsia"/>
        </w:rPr>
        <w:t>基金合同的生效</w:t>
      </w:r>
      <w:bookmarkEnd w:id="74"/>
      <w:bookmarkEnd w:id="75"/>
      <w:bookmarkEnd w:id="76"/>
      <w:bookmarkEnd w:id="77"/>
      <w:bookmarkEnd w:id="78"/>
      <w:bookmarkEnd w:id="79"/>
      <w:bookmarkEnd w:id="80"/>
      <w:bookmarkEnd w:id="81"/>
    </w:p>
    <w:p w14:paraId="45CBE5C9" w14:textId="77777777" w:rsidR="00AE3DA6" w:rsidRDefault="00AE3DA6">
      <w:pPr>
        <w:pStyle w:val="34"/>
        <w:snapToGrid w:val="0"/>
        <w:spacing w:line="360" w:lineRule="auto"/>
        <w:ind w:firstLineChars="200" w:firstLine="420"/>
        <w:rPr>
          <w:rFonts w:hAnsi="宋体" w:cs="Times New Roman"/>
          <w:sz w:val="21"/>
          <w:szCs w:val="21"/>
        </w:rPr>
      </w:pPr>
    </w:p>
    <w:p w14:paraId="05E2702C" w14:textId="77777777" w:rsidR="00663A03" w:rsidRPr="00663A03" w:rsidRDefault="00663A03" w:rsidP="00663A03">
      <w:pPr>
        <w:snapToGrid w:val="0"/>
        <w:spacing w:line="360" w:lineRule="auto"/>
        <w:ind w:firstLineChars="200" w:firstLine="420"/>
        <w:rPr>
          <w:rFonts w:ascii="宋体" w:hAnsi="宋体" w:cs="Times New Roman"/>
          <w:bCs/>
        </w:rPr>
      </w:pPr>
      <w:r w:rsidRPr="00663A03">
        <w:rPr>
          <w:rFonts w:ascii="宋体" w:hAnsi="宋体" w:cs="Times New Roman" w:hint="eastAsia"/>
          <w:bCs/>
        </w:rPr>
        <w:t>一、基金备案的条件</w:t>
      </w:r>
    </w:p>
    <w:p w14:paraId="5AF5F324" w14:textId="77777777" w:rsidR="00663A03" w:rsidRPr="00663A03" w:rsidRDefault="00663A03" w:rsidP="00663A03">
      <w:pPr>
        <w:snapToGrid w:val="0"/>
        <w:spacing w:line="360" w:lineRule="auto"/>
        <w:ind w:firstLineChars="200" w:firstLine="420"/>
        <w:rPr>
          <w:rFonts w:ascii="宋体" w:hAnsi="宋体" w:cs="Times New Roman"/>
          <w:bCs/>
        </w:rPr>
      </w:pPr>
      <w:r w:rsidRPr="00663A03">
        <w:rPr>
          <w:rFonts w:ascii="宋体" w:hAnsi="宋体" w:cs="Times New Roman" w:hint="eastAsia"/>
          <w:bCs/>
        </w:rPr>
        <w:t>本基金自基金份额发售之日起3个月内，在发起资金提供方使用发起资金认购本基金的金额不少于1000万元，且发起资金提供方承诺认购的基金份额持有期限不少于3年的条件下，基金募集期届满或基金管理人依据法律法规及招募说明书可以决定停止基金发售，并在10日内聘请法定验资机构验资，自收到验资报告之日起10日内，向中国证监会办理基金备案手续。验资报告需对发起资金提供方及其持有份额进行专门说明。</w:t>
      </w:r>
    </w:p>
    <w:p w14:paraId="287D9DE5" w14:textId="77777777" w:rsidR="00663A03" w:rsidRPr="00663A03" w:rsidRDefault="00663A03" w:rsidP="00663A03">
      <w:pPr>
        <w:snapToGrid w:val="0"/>
        <w:spacing w:line="360" w:lineRule="auto"/>
        <w:ind w:firstLineChars="200" w:firstLine="420"/>
        <w:rPr>
          <w:rFonts w:ascii="宋体" w:hAnsi="宋体" w:cs="Times New Roman"/>
          <w:bCs/>
        </w:rPr>
      </w:pPr>
      <w:r w:rsidRPr="00663A03">
        <w:rPr>
          <w:rFonts w:ascii="宋体" w:hAnsi="宋体" w:cs="Times New Roman" w:hint="eastAsia"/>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61F30A8" w14:textId="77777777" w:rsidR="00663A03" w:rsidRPr="00663A03" w:rsidRDefault="00663A03" w:rsidP="00663A03">
      <w:pPr>
        <w:snapToGrid w:val="0"/>
        <w:spacing w:line="360" w:lineRule="auto"/>
        <w:ind w:firstLineChars="200" w:firstLine="420"/>
        <w:rPr>
          <w:rFonts w:ascii="宋体" w:hAnsi="宋体" w:cs="Times New Roman"/>
          <w:bCs/>
        </w:rPr>
      </w:pPr>
    </w:p>
    <w:p w14:paraId="259A8E66" w14:textId="77777777" w:rsidR="00663A03" w:rsidRPr="00663A03" w:rsidRDefault="00663A03" w:rsidP="00663A03">
      <w:pPr>
        <w:snapToGrid w:val="0"/>
        <w:spacing w:line="360" w:lineRule="auto"/>
        <w:ind w:firstLineChars="200" w:firstLine="420"/>
        <w:rPr>
          <w:rFonts w:ascii="宋体" w:hAnsi="宋体" w:cs="Times New Roman"/>
          <w:bCs/>
        </w:rPr>
      </w:pPr>
      <w:r w:rsidRPr="00663A03">
        <w:rPr>
          <w:rFonts w:ascii="宋体" w:hAnsi="宋体" w:cs="Times New Roman" w:hint="eastAsia"/>
          <w:bCs/>
        </w:rPr>
        <w:t>二、基金合同不能生效时募集资金的处理方式</w:t>
      </w:r>
    </w:p>
    <w:p w14:paraId="3555B227" w14:textId="77777777" w:rsidR="00663A03" w:rsidRPr="00663A03" w:rsidRDefault="00663A03" w:rsidP="00663A03">
      <w:pPr>
        <w:snapToGrid w:val="0"/>
        <w:spacing w:line="360" w:lineRule="auto"/>
        <w:ind w:firstLineChars="200" w:firstLine="420"/>
        <w:rPr>
          <w:rFonts w:ascii="宋体" w:hAnsi="宋体" w:cs="Times New Roman"/>
          <w:bCs/>
        </w:rPr>
      </w:pPr>
      <w:r w:rsidRPr="00663A03">
        <w:rPr>
          <w:rFonts w:ascii="宋体" w:hAnsi="宋体" w:cs="Times New Roman" w:hint="eastAsia"/>
          <w:bCs/>
        </w:rPr>
        <w:t>如果募集期限届满，未满足基金备案条件，基金管理人应当承担下列责任：</w:t>
      </w:r>
    </w:p>
    <w:p w14:paraId="33A04681" w14:textId="77777777" w:rsidR="00663A03" w:rsidRPr="00663A03" w:rsidRDefault="00663A03" w:rsidP="00663A03">
      <w:pPr>
        <w:snapToGrid w:val="0"/>
        <w:spacing w:line="360" w:lineRule="auto"/>
        <w:ind w:firstLineChars="200" w:firstLine="420"/>
        <w:rPr>
          <w:rFonts w:ascii="宋体" w:hAnsi="宋体" w:cs="Times New Roman"/>
          <w:bCs/>
        </w:rPr>
      </w:pPr>
      <w:r w:rsidRPr="00663A03">
        <w:rPr>
          <w:rFonts w:ascii="宋体" w:hAnsi="宋体" w:cs="Times New Roman" w:hint="eastAsia"/>
          <w:bCs/>
        </w:rPr>
        <w:t>1、以其固有财产承担因募集行为而产生的债务和费用；</w:t>
      </w:r>
    </w:p>
    <w:p w14:paraId="26BD8F84" w14:textId="77777777" w:rsidR="00663A03" w:rsidRPr="00663A03" w:rsidRDefault="00663A03" w:rsidP="00663A03">
      <w:pPr>
        <w:snapToGrid w:val="0"/>
        <w:spacing w:line="360" w:lineRule="auto"/>
        <w:ind w:firstLineChars="200" w:firstLine="396"/>
        <w:rPr>
          <w:rFonts w:ascii="宋体" w:hAnsi="宋体" w:cs="Times New Roman"/>
          <w:bCs/>
          <w:spacing w:val="-6"/>
        </w:rPr>
      </w:pPr>
      <w:r w:rsidRPr="00663A03">
        <w:rPr>
          <w:rFonts w:ascii="宋体" w:hAnsi="宋体" w:cs="Times New Roman" w:hint="eastAsia"/>
          <w:bCs/>
          <w:spacing w:val="-6"/>
        </w:rPr>
        <w:t>2、在基金募集期限届满后30日内返还投资者已缴纳的款项，并加计银行同期活期存款利息；</w:t>
      </w:r>
    </w:p>
    <w:p w14:paraId="51378DD3" w14:textId="77777777" w:rsidR="00663A03" w:rsidRPr="00663A03" w:rsidRDefault="00663A03" w:rsidP="00663A03">
      <w:pPr>
        <w:snapToGrid w:val="0"/>
        <w:spacing w:line="360" w:lineRule="auto"/>
        <w:ind w:firstLineChars="200" w:firstLine="420"/>
        <w:rPr>
          <w:rFonts w:ascii="宋体" w:hAnsi="宋体" w:cs="Times New Roman"/>
          <w:bCs/>
        </w:rPr>
      </w:pPr>
      <w:r w:rsidRPr="00663A03">
        <w:rPr>
          <w:rFonts w:ascii="宋体" w:hAnsi="宋体" w:cs="Times New Roman" w:hint="eastAsia"/>
          <w:bCs/>
        </w:rPr>
        <w:t>3、如基金募集失败，基金管理人、基金托管人及销售机构不得请求报酬。基金管理人、基金托管人和销售机构为基金募集支付之一切费用应由各方各自承担。</w:t>
      </w:r>
    </w:p>
    <w:p w14:paraId="5B48AD72" w14:textId="77777777" w:rsidR="00663A03" w:rsidRPr="00663A03" w:rsidRDefault="00663A03" w:rsidP="00663A03">
      <w:pPr>
        <w:snapToGrid w:val="0"/>
        <w:spacing w:line="360" w:lineRule="auto"/>
        <w:ind w:firstLineChars="200" w:firstLine="420"/>
        <w:rPr>
          <w:rFonts w:ascii="宋体" w:hAnsi="宋体" w:cs="Times New Roman"/>
          <w:bCs/>
        </w:rPr>
      </w:pPr>
    </w:p>
    <w:p w14:paraId="0E32C76F" w14:textId="77777777" w:rsidR="00663A03" w:rsidRPr="00663A03" w:rsidRDefault="00663A03" w:rsidP="00663A03">
      <w:pPr>
        <w:snapToGrid w:val="0"/>
        <w:spacing w:line="360" w:lineRule="auto"/>
        <w:ind w:firstLineChars="200" w:firstLine="420"/>
        <w:rPr>
          <w:rFonts w:ascii="宋体" w:hAnsi="宋体" w:cs="Times New Roman"/>
          <w:bCs/>
        </w:rPr>
      </w:pPr>
      <w:r w:rsidRPr="00663A03">
        <w:rPr>
          <w:rFonts w:ascii="宋体" w:hAnsi="宋体" w:cs="Times New Roman" w:hint="eastAsia"/>
          <w:bCs/>
        </w:rPr>
        <w:t>三、基金存续期内的基金份额持有人数量和资产规模</w:t>
      </w:r>
    </w:p>
    <w:p w14:paraId="4D1998B5" w14:textId="77777777" w:rsidR="00663A03" w:rsidRPr="00663A03" w:rsidRDefault="00663A03" w:rsidP="00663A03">
      <w:pPr>
        <w:snapToGrid w:val="0"/>
        <w:spacing w:line="360" w:lineRule="auto"/>
        <w:ind w:firstLineChars="200" w:firstLine="420"/>
        <w:rPr>
          <w:rFonts w:ascii="宋体" w:hAnsi="宋体" w:cs="Times New Roman"/>
          <w:bCs/>
        </w:rPr>
      </w:pPr>
      <w:r w:rsidRPr="00663A03">
        <w:rPr>
          <w:rFonts w:ascii="宋体" w:hAnsi="宋体" w:cs="Times New Roman" w:hint="eastAsia"/>
          <w:bCs/>
        </w:rPr>
        <w:t>《基金合同》生效之日起3年后的对应日，若基金资产净值低于2亿元，基金合同自动终止，且不得通过召开基金份额持有人大会延续基金合同期限。法律法规或中国证监会另有规定的，从其规定。</w:t>
      </w:r>
    </w:p>
    <w:p w14:paraId="6A04381C" w14:textId="77777777" w:rsidR="00663A03" w:rsidRPr="00663A03" w:rsidRDefault="00663A03" w:rsidP="00663A03">
      <w:pPr>
        <w:snapToGrid w:val="0"/>
        <w:spacing w:line="360" w:lineRule="auto"/>
        <w:ind w:firstLineChars="200" w:firstLine="420"/>
        <w:rPr>
          <w:rFonts w:ascii="宋体" w:hAnsi="宋体" w:cs="Times New Roman"/>
          <w:bCs/>
        </w:rPr>
      </w:pPr>
      <w:r w:rsidRPr="00663A03">
        <w:rPr>
          <w:rFonts w:ascii="宋体" w:hAnsi="宋体" w:cs="Times New Roman" w:hint="eastAsia"/>
          <w:bCs/>
        </w:rPr>
        <w:t>如本基金在《基金合同》生效3年后继续存续的，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解决方案包括持续运作、转换运作方式、与其他基金合并或者终止基金合同等，并在6个月内召集基金份额持有人大会。法律法规或中国证监会另有规定时，从其规定。</w:t>
      </w:r>
    </w:p>
    <w:p w14:paraId="6A816E62" w14:textId="7FD71AAB" w:rsidR="00AE3DA6" w:rsidRDefault="00663A03">
      <w:pPr>
        <w:snapToGrid w:val="0"/>
        <w:spacing w:line="360" w:lineRule="auto"/>
        <w:ind w:firstLineChars="200" w:firstLine="420"/>
        <w:rPr>
          <w:rFonts w:ascii="宋体" w:cs="Times New Roman"/>
        </w:rPr>
      </w:pPr>
      <w:r w:rsidRPr="00663A03">
        <w:rPr>
          <w:rFonts w:ascii="宋体" w:hAnsi="宋体" w:cs="Times New Roman" w:hint="eastAsia"/>
          <w:bCs/>
        </w:rPr>
        <w:t>如法律法规或监管部门对上述规定进行变更的，以变更后的规定为准。法律、行政法规或监管部门取消上述规定，如适用于本基金，基金管理人在履行适当程序后，则本基金不再受相关限制</w:t>
      </w:r>
      <w:r w:rsidR="00CE329B" w:rsidRPr="00CE329B">
        <w:rPr>
          <w:rFonts w:cs="Times New Roman" w:hint="eastAsia"/>
        </w:rPr>
        <w:t>。</w:t>
      </w:r>
      <w:r w:rsidR="00795E23">
        <w:rPr>
          <w:rFonts w:ascii="宋体" w:cs="Times New Roman"/>
        </w:rPr>
        <w:br w:type="page"/>
      </w:r>
    </w:p>
    <w:p w14:paraId="02749553"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82" w:name="_Toc360793852"/>
      <w:bookmarkStart w:id="83" w:name="_Toc362455185"/>
      <w:bookmarkStart w:id="84" w:name="_Toc362533457"/>
      <w:bookmarkStart w:id="85" w:name="_Toc360793500"/>
      <w:bookmarkStart w:id="86" w:name="_Toc360794102"/>
      <w:bookmarkStart w:id="87" w:name="_Toc360794410"/>
      <w:bookmarkStart w:id="88" w:name="_Toc360794518"/>
      <w:bookmarkStart w:id="89" w:name="_Toc48900075"/>
      <w:r>
        <w:rPr>
          <w:rFonts w:ascii="宋体" w:eastAsia="宋体" w:hAnsi="宋体" w:cs="宋体" w:hint="eastAsia"/>
        </w:rPr>
        <w:t>基金份额的申购和赎回</w:t>
      </w:r>
      <w:bookmarkEnd w:id="82"/>
      <w:bookmarkEnd w:id="83"/>
      <w:bookmarkEnd w:id="84"/>
      <w:bookmarkEnd w:id="85"/>
      <w:bookmarkEnd w:id="86"/>
      <w:bookmarkEnd w:id="87"/>
      <w:bookmarkEnd w:id="88"/>
      <w:bookmarkEnd w:id="89"/>
    </w:p>
    <w:p w14:paraId="4D913DF5" w14:textId="77777777" w:rsidR="00AE3DA6" w:rsidRDefault="00AE3DA6">
      <w:pPr>
        <w:pStyle w:val="a9"/>
        <w:snapToGrid w:val="0"/>
        <w:ind w:firstLineChars="196" w:firstLine="413"/>
        <w:rPr>
          <w:rFonts w:ascii="宋体"/>
          <w:b/>
          <w:bCs/>
          <w:color w:val="000000"/>
          <w:sz w:val="21"/>
          <w:szCs w:val="21"/>
        </w:rPr>
      </w:pPr>
    </w:p>
    <w:p w14:paraId="5802D1AC" w14:textId="77777777" w:rsidR="00AE3DA6" w:rsidRDefault="00795E23">
      <w:pPr>
        <w:pStyle w:val="a9"/>
        <w:snapToGrid w:val="0"/>
        <w:ind w:firstLineChars="196" w:firstLine="412"/>
        <w:rPr>
          <w:rFonts w:ascii="宋体"/>
          <w:bCs/>
          <w:color w:val="000000"/>
          <w:sz w:val="21"/>
          <w:szCs w:val="21"/>
        </w:rPr>
      </w:pPr>
      <w:r>
        <w:rPr>
          <w:rFonts w:ascii="宋体" w:hAnsi="宋体" w:cs="宋体" w:hint="eastAsia"/>
          <w:bCs/>
          <w:color w:val="000000"/>
          <w:sz w:val="21"/>
          <w:szCs w:val="21"/>
        </w:rPr>
        <w:t>一、申购与赎回场所</w:t>
      </w:r>
    </w:p>
    <w:p w14:paraId="523EF0FF" w14:textId="77777777" w:rsidR="00AE3DA6" w:rsidRDefault="00795E23">
      <w:pPr>
        <w:snapToGrid w:val="0"/>
        <w:spacing w:line="360" w:lineRule="auto"/>
        <w:ind w:firstLineChars="200" w:firstLine="420"/>
        <w:rPr>
          <w:rFonts w:ascii="宋体" w:cs="Times New Roman"/>
          <w:color w:val="000000"/>
        </w:rPr>
      </w:pPr>
      <w:r>
        <w:rPr>
          <w:rFonts w:ascii="宋体" w:hAnsi="宋体" w:cs="宋体" w:hint="eastAsia"/>
        </w:rPr>
        <w:t>本基金的申购与赎回将通过销售机构进行。具体的销售机构将由基金管理人在招募说明书中或规定网站上列明。基金管理人可根据情况变更或增减销售机构。基金投资者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14:paraId="53B039E2" w14:textId="77777777" w:rsidR="00AE3DA6" w:rsidRDefault="00795E23">
      <w:pPr>
        <w:pStyle w:val="a9"/>
        <w:snapToGrid w:val="0"/>
        <w:ind w:firstLineChars="196" w:firstLine="412"/>
        <w:rPr>
          <w:rFonts w:ascii="宋体"/>
          <w:bCs/>
          <w:sz w:val="21"/>
          <w:szCs w:val="21"/>
        </w:rPr>
      </w:pPr>
      <w:r>
        <w:rPr>
          <w:rFonts w:ascii="宋体" w:hAnsi="宋体" w:cs="宋体" w:hint="eastAsia"/>
          <w:bCs/>
          <w:sz w:val="21"/>
          <w:szCs w:val="21"/>
        </w:rPr>
        <w:t>二、申购与赎回的开放日及时间</w:t>
      </w:r>
    </w:p>
    <w:p w14:paraId="2AA96560" w14:textId="77777777" w:rsidR="00AE3DA6" w:rsidRDefault="00795E23">
      <w:pPr>
        <w:pStyle w:val="a9"/>
        <w:snapToGrid w:val="0"/>
        <w:ind w:firstLineChars="196" w:firstLine="412"/>
        <w:rPr>
          <w:rFonts w:ascii="Calibri" w:hAnsi="Calibri" w:cs="Calibri"/>
          <w:sz w:val="21"/>
          <w:szCs w:val="21"/>
        </w:rPr>
      </w:pPr>
      <w:r>
        <w:rPr>
          <w:rFonts w:ascii="Calibri" w:hAnsi="Calibri" w:cs="Calibri" w:hint="eastAsia"/>
          <w:sz w:val="21"/>
          <w:szCs w:val="21"/>
        </w:rPr>
        <w:t>1</w:t>
      </w:r>
      <w:r>
        <w:rPr>
          <w:rFonts w:ascii="Calibri" w:hAnsi="Calibri" w:cs="Calibri" w:hint="eastAsia"/>
          <w:sz w:val="21"/>
          <w:szCs w:val="21"/>
        </w:rPr>
        <w:t>、开放日及开放时间</w:t>
      </w:r>
    </w:p>
    <w:p w14:paraId="3FA2D849" w14:textId="252DF32C" w:rsidR="00AE3DA6" w:rsidRDefault="00795E23">
      <w:pPr>
        <w:pStyle w:val="a9"/>
        <w:snapToGrid w:val="0"/>
        <w:ind w:firstLineChars="196" w:firstLine="412"/>
        <w:rPr>
          <w:rFonts w:ascii="Calibri" w:hAnsi="Calibri" w:cs="Calibri"/>
          <w:sz w:val="21"/>
          <w:szCs w:val="21"/>
        </w:rPr>
      </w:pPr>
      <w:r>
        <w:rPr>
          <w:rFonts w:ascii="Calibri" w:hAnsi="Calibri" w:cs="Calibri" w:hint="eastAsia"/>
          <w:sz w:val="21"/>
          <w:szCs w:val="21"/>
        </w:rPr>
        <w:t>投资人在开放日办理基金份额的申购和赎回，具体办理时间为上海证券交易所、深圳证券交易所的正常交易日的交易时间</w:t>
      </w:r>
      <w:r w:rsidR="00F82469" w:rsidRPr="00F82469">
        <w:rPr>
          <w:rFonts w:ascii="Calibri" w:hAnsi="Calibri" w:cs="Calibri" w:hint="eastAsia"/>
          <w:sz w:val="21"/>
          <w:szCs w:val="21"/>
        </w:rPr>
        <w:t>（若该交易日非港股通交易日，则本基金不开放申购和赎回）</w:t>
      </w:r>
      <w:r>
        <w:rPr>
          <w:rFonts w:ascii="Calibri" w:hAnsi="Calibri" w:cs="Calibri" w:hint="eastAsia"/>
          <w:sz w:val="21"/>
          <w:szCs w:val="21"/>
        </w:rPr>
        <w:t>，但基金管理人根据法律法规、中国证监会的要求或基金合同的规定公告暂停申购、赎回时除外。</w:t>
      </w:r>
    </w:p>
    <w:p w14:paraId="65503C23" w14:textId="66713C51" w:rsidR="00AE3DA6" w:rsidRDefault="00795E23">
      <w:pPr>
        <w:pStyle w:val="a9"/>
        <w:snapToGrid w:val="0"/>
        <w:ind w:firstLineChars="196" w:firstLine="412"/>
        <w:rPr>
          <w:rFonts w:ascii="Calibri" w:hAnsi="Calibri" w:cs="Calibri"/>
          <w:sz w:val="21"/>
          <w:szCs w:val="21"/>
        </w:rPr>
      </w:pPr>
      <w:r>
        <w:rPr>
          <w:rFonts w:ascii="Calibri" w:hAnsi="Calibri" w:cs="Calibri" w:hint="eastAsia"/>
          <w:sz w:val="21"/>
          <w:szCs w:val="21"/>
        </w:rPr>
        <w:t>基金合同生效后，若出现新的证券</w:t>
      </w:r>
      <w:r>
        <w:rPr>
          <w:rFonts w:ascii="Calibri" w:hAnsi="Calibri" w:cs="Calibri" w:hint="eastAsia"/>
          <w:sz w:val="21"/>
          <w:szCs w:val="21"/>
        </w:rPr>
        <w:t>/</w:t>
      </w:r>
      <w:r>
        <w:rPr>
          <w:rFonts w:ascii="Calibri" w:hAnsi="Calibri" w:cs="Calibri" w:hint="eastAsia"/>
          <w:sz w:val="21"/>
          <w:szCs w:val="21"/>
        </w:rPr>
        <w:t>期货交易市场、证券</w:t>
      </w:r>
      <w:r>
        <w:rPr>
          <w:rFonts w:ascii="Calibri" w:hAnsi="Calibri" w:cs="Calibri" w:hint="eastAsia"/>
          <w:sz w:val="21"/>
          <w:szCs w:val="21"/>
        </w:rPr>
        <w:t>/</w:t>
      </w:r>
      <w:r>
        <w:rPr>
          <w:rFonts w:ascii="Calibri" w:hAnsi="Calibri" w:cs="Calibri" w:hint="eastAsia"/>
          <w:sz w:val="21"/>
          <w:szCs w:val="21"/>
        </w:rPr>
        <w:t>期货交易所交易时间</w:t>
      </w:r>
      <w:r w:rsidR="00340B37">
        <w:rPr>
          <w:rFonts w:ascii="Calibri" w:hAnsi="Calibri" w:cs="Calibri" w:hint="eastAsia"/>
          <w:sz w:val="21"/>
          <w:szCs w:val="21"/>
        </w:rPr>
        <w:t>变更</w:t>
      </w:r>
      <w:r w:rsidR="00F82469" w:rsidRPr="00F82469">
        <w:rPr>
          <w:rFonts w:ascii="Calibri" w:hAnsi="Calibri" w:cs="Calibri" w:hint="eastAsia"/>
          <w:sz w:val="21"/>
          <w:szCs w:val="21"/>
        </w:rPr>
        <w:t>、港股通交易规则</w:t>
      </w:r>
      <w:r>
        <w:rPr>
          <w:rFonts w:ascii="Calibri" w:hAnsi="Calibri" w:cs="Calibri" w:hint="eastAsia"/>
          <w:sz w:val="21"/>
          <w:szCs w:val="21"/>
        </w:rPr>
        <w:t>变更或其他特殊情况，基金管理人将视情况对前述开放日及开放时间进行相应的调整，但应在实施日前依照《信息披露办法》的有关规定在规定媒介上公告。</w:t>
      </w:r>
    </w:p>
    <w:p w14:paraId="521FFFD4" w14:textId="77777777" w:rsidR="00AE3DA6" w:rsidRDefault="00795E23">
      <w:pPr>
        <w:pStyle w:val="a9"/>
        <w:snapToGrid w:val="0"/>
        <w:ind w:firstLineChars="196" w:firstLine="412"/>
        <w:rPr>
          <w:rFonts w:ascii="Calibri" w:hAnsi="Calibri" w:cs="Calibri"/>
          <w:sz w:val="21"/>
          <w:szCs w:val="21"/>
        </w:rPr>
      </w:pPr>
      <w:r>
        <w:rPr>
          <w:rFonts w:ascii="Calibri" w:hAnsi="Calibri" w:cs="Calibri" w:hint="eastAsia"/>
          <w:sz w:val="21"/>
          <w:szCs w:val="21"/>
        </w:rPr>
        <w:t>2</w:t>
      </w:r>
      <w:r>
        <w:rPr>
          <w:rFonts w:ascii="Calibri" w:hAnsi="Calibri" w:cs="Calibri" w:hint="eastAsia"/>
          <w:sz w:val="21"/>
          <w:szCs w:val="21"/>
        </w:rPr>
        <w:t>、申购、赎回开始日及业务办理时间</w:t>
      </w:r>
    </w:p>
    <w:p w14:paraId="30A63E2F" w14:textId="77777777" w:rsidR="00AE3DA6" w:rsidRDefault="00795E23">
      <w:pPr>
        <w:pStyle w:val="a9"/>
        <w:snapToGrid w:val="0"/>
        <w:ind w:firstLineChars="196" w:firstLine="412"/>
        <w:rPr>
          <w:rFonts w:ascii="Calibri" w:hAnsi="Calibri" w:cs="Calibri"/>
          <w:sz w:val="21"/>
          <w:szCs w:val="21"/>
        </w:rPr>
      </w:pPr>
      <w:r>
        <w:rPr>
          <w:rFonts w:ascii="Calibri" w:hAnsi="Calibri" w:cs="Calibri" w:hint="eastAsia"/>
          <w:sz w:val="21"/>
          <w:szCs w:val="21"/>
        </w:rPr>
        <w:t>基金管理人</w:t>
      </w:r>
      <w:r>
        <w:rPr>
          <w:rFonts w:ascii="Calibri" w:hAnsi="Calibri" w:cs="Calibri" w:hint="eastAsia"/>
          <w:bCs/>
          <w:sz w:val="21"/>
          <w:szCs w:val="21"/>
        </w:rPr>
        <w:t>可根据实际情况依法决定本基金开始办理申购的具体日期</w:t>
      </w:r>
      <w:r>
        <w:rPr>
          <w:rFonts w:ascii="Calibri" w:hAnsi="Calibri" w:cs="Calibri" w:hint="eastAsia"/>
          <w:sz w:val="21"/>
          <w:szCs w:val="21"/>
        </w:rPr>
        <w:t>，具体业务办理时间在申购开始公告中规定。</w:t>
      </w:r>
    </w:p>
    <w:p w14:paraId="74AC6691" w14:textId="77777777" w:rsidR="00AE3DA6" w:rsidRDefault="00795E23">
      <w:pPr>
        <w:pStyle w:val="a9"/>
        <w:snapToGrid w:val="0"/>
        <w:ind w:firstLineChars="196" w:firstLine="412"/>
        <w:rPr>
          <w:rFonts w:ascii="Calibri" w:hAnsi="Calibri" w:cs="Calibri"/>
          <w:sz w:val="21"/>
          <w:szCs w:val="21"/>
        </w:rPr>
      </w:pPr>
      <w:r>
        <w:rPr>
          <w:rFonts w:ascii="Calibri" w:hAnsi="Calibri" w:cs="Calibri" w:hint="eastAsia"/>
          <w:sz w:val="21"/>
          <w:szCs w:val="21"/>
        </w:rPr>
        <w:t>基金管理人自基金合同生效之日起不超过三个月开始办理赎回，具体业务办理时间在赎回开始公告中规定。</w:t>
      </w:r>
    </w:p>
    <w:p w14:paraId="14E7AC2F" w14:textId="77777777" w:rsidR="00AE3DA6" w:rsidRDefault="00795E23">
      <w:pPr>
        <w:pStyle w:val="a9"/>
        <w:snapToGrid w:val="0"/>
        <w:ind w:firstLineChars="196" w:firstLine="412"/>
        <w:rPr>
          <w:rFonts w:ascii="Calibri" w:hAnsi="Calibri" w:cs="Calibri"/>
          <w:sz w:val="21"/>
          <w:szCs w:val="21"/>
        </w:rPr>
      </w:pPr>
      <w:r>
        <w:rPr>
          <w:rFonts w:ascii="Calibri" w:hAnsi="Calibri" w:cs="Calibri" w:hint="eastAsia"/>
          <w:sz w:val="21"/>
          <w:szCs w:val="21"/>
        </w:rPr>
        <w:t>在确定申购开始与赎回开始时间后，基金管理人应在申购、赎回开放日前依照《信息披露办法》的有关规定在规定媒介上公告申购与赎回的开始时间。</w:t>
      </w:r>
    </w:p>
    <w:p w14:paraId="28A5F669" w14:textId="77777777" w:rsidR="00AE3DA6" w:rsidRDefault="00795E23">
      <w:pPr>
        <w:snapToGrid w:val="0"/>
        <w:spacing w:line="360" w:lineRule="auto"/>
        <w:ind w:firstLineChars="200" w:firstLine="420"/>
        <w:rPr>
          <w:rFonts w:ascii="宋体" w:cs="Times New Roman"/>
          <w:color w:val="000000"/>
        </w:rPr>
      </w:pPr>
      <w:r>
        <w:rPr>
          <w:rFonts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14:paraId="01EAF257" w14:textId="77777777" w:rsidR="00AE3DA6" w:rsidRDefault="00795E23">
      <w:pPr>
        <w:pStyle w:val="a9"/>
        <w:snapToGrid w:val="0"/>
        <w:ind w:firstLineChars="196" w:firstLine="412"/>
        <w:rPr>
          <w:rFonts w:ascii="宋体"/>
          <w:bCs/>
          <w:color w:val="000000"/>
          <w:sz w:val="21"/>
          <w:szCs w:val="21"/>
        </w:rPr>
      </w:pPr>
      <w:r>
        <w:rPr>
          <w:rFonts w:ascii="宋体" w:hAnsi="宋体" w:cs="宋体" w:hint="eastAsia"/>
          <w:bCs/>
          <w:color w:val="000000"/>
          <w:sz w:val="21"/>
          <w:szCs w:val="21"/>
        </w:rPr>
        <w:t>三、申购与赎回的原则</w:t>
      </w:r>
    </w:p>
    <w:p w14:paraId="2D5F9F11" w14:textId="77777777" w:rsidR="00AE3DA6" w:rsidRDefault="00795E23">
      <w:pPr>
        <w:snapToGrid w:val="0"/>
        <w:spacing w:line="360" w:lineRule="auto"/>
        <w:ind w:firstLineChars="200" w:firstLine="420"/>
        <w:rPr>
          <w:rFonts w:cs="Times New Roman"/>
        </w:rPr>
      </w:pPr>
      <w:r>
        <w:t>1</w:t>
      </w:r>
      <w:r>
        <w:rPr>
          <w:rFonts w:cs="宋体" w:hint="eastAsia"/>
        </w:rPr>
        <w:t>、“未知价”原则，即申购、赎回价格以申请当日收市后计算的该类基金份额净值为基准进行计算；</w:t>
      </w:r>
    </w:p>
    <w:p w14:paraId="48661024" w14:textId="77777777" w:rsidR="00AE3DA6" w:rsidRDefault="00795E23">
      <w:pPr>
        <w:snapToGrid w:val="0"/>
        <w:spacing w:line="360" w:lineRule="auto"/>
        <w:ind w:firstLineChars="200" w:firstLine="420"/>
        <w:rPr>
          <w:rFonts w:cs="Times New Roman"/>
        </w:rPr>
      </w:pPr>
      <w:r>
        <w:t>2</w:t>
      </w:r>
      <w:r>
        <w:rPr>
          <w:rFonts w:cs="宋体" w:hint="eastAsia"/>
        </w:rPr>
        <w:t>、“金额申购、份额赎回”原则，即申购以金额申请，赎回以份额申请；</w:t>
      </w:r>
    </w:p>
    <w:p w14:paraId="0E861211" w14:textId="77777777" w:rsidR="00AE3DA6" w:rsidRDefault="00795E23">
      <w:pPr>
        <w:snapToGrid w:val="0"/>
        <w:spacing w:line="360" w:lineRule="auto"/>
        <w:ind w:firstLineChars="200" w:firstLine="420"/>
        <w:rPr>
          <w:rFonts w:cs="Times New Roman"/>
        </w:rPr>
      </w:pPr>
      <w:r>
        <w:t>3</w:t>
      </w:r>
      <w:r>
        <w:rPr>
          <w:rFonts w:cs="宋体" w:hint="eastAsia"/>
        </w:rPr>
        <w:t>、当日的申购与赎回申请可以在基金管理人规定的时间以内撤销；</w:t>
      </w:r>
    </w:p>
    <w:p w14:paraId="486FD99C" w14:textId="77777777" w:rsidR="00AE3DA6" w:rsidRDefault="00795E23">
      <w:pPr>
        <w:snapToGrid w:val="0"/>
        <w:spacing w:line="360" w:lineRule="auto"/>
        <w:ind w:firstLineChars="200" w:firstLine="420"/>
        <w:rPr>
          <w:rFonts w:cs="Times New Roman"/>
        </w:rPr>
      </w:pPr>
      <w:r>
        <w:t>4</w:t>
      </w:r>
      <w:r>
        <w:rPr>
          <w:rFonts w:cs="宋体" w:hint="eastAsia"/>
        </w:rPr>
        <w:t>、赎回遵循“先进先出”原则，即按照投资人认购、申购的先后次序进行顺序赎回；</w:t>
      </w:r>
    </w:p>
    <w:p w14:paraId="05FC21CC" w14:textId="77777777" w:rsidR="00AE3DA6" w:rsidRDefault="00795E23">
      <w:pPr>
        <w:adjustRightInd w:val="0"/>
        <w:snapToGrid w:val="0"/>
        <w:spacing w:line="360" w:lineRule="auto"/>
        <w:ind w:firstLineChars="200" w:firstLine="420"/>
        <w:rPr>
          <w:rFonts w:ascii="宋体" w:hAnsi="宋体" w:cs="Times New Roman"/>
          <w:bCs/>
        </w:rPr>
      </w:pPr>
      <w:r>
        <w:rPr>
          <w:rFonts w:ascii="Times New Roman" w:hAnsi="Times New Roman" w:cs="Times New Roman" w:hint="eastAsia"/>
          <w:szCs w:val="20"/>
        </w:rPr>
        <w:t>5</w:t>
      </w:r>
      <w:r>
        <w:rPr>
          <w:rFonts w:ascii="Times New Roman" w:hAnsi="Times New Roman" w:cs="Times New Roman" w:hint="eastAsia"/>
          <w:szCs w:val="20"/>
        </w:rPr>
        <w:t>、办理申购、赎回业务时，应当遵循基金份额持有人利益优先原则，确保投资者的合法权益不受损害并得到公平对待。</w:t>
      </w:r>
    </w:p>
    <w:p w14:paraId="5D0A5F0D" w14:textId="77777777" w:rsidR="00AE3DA6" w:rsidRDefault="00795E23">
      <w:pPr>
        <w:snapToGrid w:val="0"/>
        <w:spacing w:line="360" w:lineRule="auto"/>
        <w:ind w:firstLineChars="200" w:firstLine="420"/>
        <w:rPr>
          <w:rFonts w:cs="Times New Roman"/>
        </w:rPr>
      </w:pPr>
      <w:r>
        <w:rPr>
          <w:rFonts w:cs="宋体" w:hint="eastAsia"/>
        </w:rPr>
        <w:t>基金管理人可在法律法规允许的情况下，对上述原则进行调整。基金管理人必须在新规则开始实施前依照《信息披露办法》的有关规定在规定媒介上公告。</w:t>
      </w:r>
    </w:p>
    <w:p w14:paraId="71ED52A2" w14:textId="77777777" w:rsidR="00AE3DA6" w:rsidRDefault="00795E23">
      <w:pPr>
        <w:snapToGrid w:val="0"/>
        <w:spacing w:line="360" w:lineRule="auto"/>
        <w:ind w:firstLineChars="200" w:firstLine="420"/>
        <w:rPr>
          <w:rFonts w:cs="Times New Roman"/>
          <w:bCs/>
        </w:rPr>
      </w:pPr>
      <w:r>
        <w:rPr>
          <w:rFonts w:cs="宋体" w:hint="eastAsia"/>
          <w:bCs/>
        </w:rPr>
        <w:t>四、申购与赎回的程序</w:t>
      </w:r>
    </w:p>
    <w:p w14:paraId="3887F3AF" w14:textId="77777777" w:rsidR="00AE3DA6" w:rsidRDefault="00795E23">
      <w:pPr>
        <w:snapToGrid w:val="0"/>
        <w:spacing w:line="360" w:lineRule="auto"/>
        <w:ind w:firstLineChars="200" w:firstLine="420"/>
        <w:rPr>
          <w:rFonts w:cs="Times New Roman"/>
        </w:rPr>
      </w:pPr>
      <w:r>
        <w:t>1</w:t>
      </w:r>
      <w:r>
        <w:rPr>
          <w:rFonts w:cs="宋体" w:hint="eastAsia"/>
        </w:rPr>
        <w:t>、申购和赎回的申请方式</w:t>
      </w:r>
    </w:p>
    <w:p w14:paraId="529C4A87" w14:textId="77777777" w:rsidR="00AE3DA6" w:rsidRDefault="00795E23">
      <w:pPr>
        <w:snapToGrid w:val="0"/>
        <w:spacing w:line="360" w:lineRule="auto"/>
        <w:ind w:firstLineChars="200" w:firstLine="420"/>
        <w:rPr>
          <w:rFonts w:cs="宋体"/>
        </w:rPr>
      </w:pPr>
      <w:r>
        <w:rPr>
          <w:rFonts w:cs="宋体" w:hint="eastAsia"/>
        </w:rPr>
        <w:t>投资人必须根据销售机构规定的程序，在开放日的具体业务办理时间内提出申购或赎回的申请。</w:t>
      </w:r>
    </w:p>
    <w:p w14:paraId="50E40199" w14:textId="77777777" w:rsidR="00AE3DA6" w:rsidRDefault="00795E23">
      <w:pPr>
        <w:snapToGrid w:val="0"/>
        <w:spacing w:line="360" w:lineRule="auto"/>
        <w:ind w:firstLineChars="200" w:firstLine="420"/>
        <w:rPr>
          <w:rFonts w:cs="Times New Roman"/>
        </w:rPr>
      </w:pPr>
      <w:r>
        <w:t>2</w:t>
      </w:r>
      <w:r>
        <w:rPr>
          <w:rFonts w:cs="宋体" w:hint="eastAsia"/>
        </w:rPr>
        <w:t>、申购和赎回的款项支付</w:t>
      </w:r>
    </w:p>
    <w:p w14:paraId="561E1B47" w14:textId="77777777" w:rsidR="00AE3DA6" w:rsidRDefault="00795E23">
      <w:pPr>
        <w:snapToGrid w:val="0"/>
        <w:spacing w:line="360" w:lineRule="auto"/>
        <w:ind w:firstLineChars="200" w:firstLine="420"/>
        <w:rPr>
          <w:rFonts w:cs="Times New Roman"/>
        </w:rPr>
      </w:pPr>
      <w:r>
        <w:rPr>
          <w:rFonts w:cs="宋体" w:hint="eastAsia"/>
          <w:lang w:val="zh-CN"/>
        </w:rPr>
        <w:t>投资人申购基金份额时，必须</w:t>
      </w:r>
      <w:r>
        <w:rPr>
          <w:rFonts w:cs="宋体" w:hint="eastAsia"/>
        </w:rPr>
        <w:t>在规定的时间内</w:t>
      </w:r>
      <w:r>
        <w:rPr>
          <w:rFonts w:cs="宋体" w:hint="eastAsia"/>
          <w:lang w:val="zh-CN"/>
        </w:rPr>
        <w:t>全额交付申购款项，</w:t>
      </w:r>
      <w:r>
        <w:rPr>
          <w:rFonts w:ascii="宋体" w:hAnsi="宋体" w:cs="宋体" w:hint="eastAsia"/>
        </w:rPr>
        <w:t>否则所提交的申购申请不成立。投资人在提交赎回申请时须持有足够的基金份额余额，否则所提交的赎回申请不成立。投资人交付申购款项，申购成立；基金份额登记机构确认基金份额时，申购生效。基金份额持有人递交赎回申请，赎回成立；基金份额登记机构确认赎回时，赎回生效</w:t>
      </w:r>
      <w:r>
        <w:rPr>
          <w:rFonts w:cs="宋体" w:hint="eastAsia"/>
          <w:lang w:val="zh-CN"/>
        </w:rPr>
        <w:t>。</w:t>
      </w:r>
    </w:p>
    <w:p w14:paraId="5C0964AF" w14:textId="26652AB8" w:rsidR="00AE3DA6" w:rsidRDefault="00F82469">
      <w:pPr>
        <w:snapToGrid w:val="0"/>
        <w:spacing w:line="360" w:lineRule="auto"/>
        <w:ind w:firstLineChars="200" w:firstLine="420"/>
        <w:rPr>
          <w:rFonts w:cs="Times New Roman"/>
        </w:rPr>
      </w:pPr>
      <w:r w:rsidRPr="00F82469">
        <w:rPr>
          <w:rFonts w:cs="宋体" w:hint="eastAsia"/>
        </w:rPr>
        <w:t>投资者赎回申请生效后，基金管理人将在</w:t>
      </w:r>
      <w:r w:rsidRPr="00F82469">
        <w:rPr>
          <w:rFonts w:cs="宋体" w:hint="eastAsia"/>
        </w:rPr>
        <w:t>T</w:t>
      </w:r>
      <w:r w:rsidRPr="00F82469">
        <w:rPr>
          <w:rFonts w:cs="宋体" w:hint="eastAsia"/>
        </w:rPr>
        <w:t>＋</w:t>
      </w:r>
      <w:r w:rsidRPr="00F82469">
        <w:rPr>
          <w:rFonts w:cs="宋体" w:hint="eastAsia"/>
        </w:rPr>
        <w:t>7</w:t>
      </w:r>
      <w:r w:rsidRPr="00F82469">
        <w:rPr>
          <w:rFonts w:cs="宋体" w:hint="eastAsia"/>
        </w:rPr>
        <w:t>日</w:t>
      </w:r>
      <w:r w:rsidRPr="00F82469">
        <w:rPr>
          <w:rFonts w:cs="宋体" w:hint="eastAsia"/>
        </w:rPr>
        <w:t>(</w:t>
      </w:r>
      <w:r w:rsidRPr="00F82469">
        <w:rPr>
          <w:rFonts w:cs="宋体" w:hint="eastAsia"/>
        </w:rPr>
        <w:t>包括该日</w:t>
      </w:r>
      <w:r w:rsidRPr="00F82469">
        <w:rPr>
          <w:rFonts w:cs="宋体" w:hint="eastAsia"/>
        </w:rPr>
        <w:t>)</w:t>
      </w:r>
      <w:r w:rsidRPr="00F82469">
        <w:rPr>
          <w:rFonts w:cs="宋体" w:hint="eastAsia"/>
        </w:rPr>
        <w:t>内支付赎回款项。如遇港股通暂停交易或交收、证券</w:t>
      </w:r>
      <w:r w:rsidRPr="00F82469">
        <w:rPr>
          <w:rFonts w:cs="宋体" w:hint="eastAsia"/>
        </w:rPr>
        <w:t>/</w:t>
      </w:r>
      <w:r w:rsidRPr="00F82469">
        <w:rPr>
          <w:rFonts w:cs="宋体" w:hint="eastAsia"/>
        </w:rPr>
        <w:t>期货交易所或交易市场数据传输延迟、通讯系统故障、银行数据交换系统故障、港股通交易系统或港股通资金交收规则限制或其他非基金管理人及基金托管人所能控制的因素影响业务流程时，则赎回款项划付时间相应顺延。在发生巨额赎回或基金合同载明的其他暂停赎回或延缓支付赎回款项的情形时，款项的支付办法参照基金合同有关条款处理</w:t>
      </w:r>
      <w:r w:rsidR="00795E23">
        <w:rPr>
          <w:rFonts w:cs="宋体" w:hint="eastAsia"/>
          <w:bCs/>
        </w:rPr>
        <w:t>。</w:t>
      </w:r>
    </w:p>
    <w:p w14:paraId="6F686B02" w14:textId="77777777" w:rsidR="00AE3DA6" w:rsidRDefault="00795E23">
      <w:pPr>
        <w:snapToGrid w:val="0"/>
        <w:spacing w:line="360" w:lineRule="auto"/>
        <w:ind w:firstLineChars="200" w:firstLine="420"/>
        <w:rPr>
          <w:rFonts w:cs="Times New Roman"/>
        </w:rPr>
      </w:pPr>
      <w:r>
        <w:t>3</w:t>
      </w:r>
      <w:r>
        <w:rPr>
          <w:rFonts w:cs="宋体" w:hint="eastAsia"/>
        </w:rPr>
        <w:t>、申购和赎回申请的确认</w:t>
      </w:r>
    </w:p>
    <w:p w14:paraId="13DE18FA" w14:textId="77777777" w:rsidR="00AE3DA6" w:rsidRDefault="00795E23">
      <w:pPr>
        <w:snapToGrid w:val="0"/>
        <w:spacing w:line="360" w:lineRule="auto"/>
        <w:ind w:firstLineChars="200" w:firstLine="420"/>
        <w:rPr>
          <w:rFonts w:cs="Times New Roman"/>
        </w:rPr>
      </w:pPr>
      <w:r>
        <w:rPr>
          <w:rFonts w:cs="宋体" w:hint="eastAsia"/>
        </w:rPr>
        <w:t>基金管理人应以交易时间结束前受理有效申购和赎回申请的当天作为申购或赎回申请日</w:t>
      </w:r>
      <w:r>
        <w:t>(T</w:t>
      </w:r>
      <w:r>
        <w:rPr>
          <w:rFonts w:cs="宋体" w:hint="eastAsia"/>
        </w:rPr>
        <w:t>日</w:t>
      </w:r>
      <w:r>
        <w:t>)</w:t>
      </w:r>
      <w:r>
        <w:rPr>
          <w:rFonts w:cs="宋体" w:hint="eastAsia"/>
        </w:rPr>
        <w:t>，在正常情况下，本基金登记机构在</w:t>
      </w:r>
      <w:r>
        <w:t>T+1</w:t>
      </w:r>
      <w:r>
        <w:rPr>
          <w:rFonts w:cs="宋体" w:hint="eastAsia"/>
        </w:rPr>
        <w:t>日内对该交易的有效性进行确认。</w:t>
      </w:r>
      <w:r>
        <w:t>T</w:t>
      </w:r>
      <w:r>
        <w:rPr>
          <w:rFonts w:cs="宋体" w:hint="eastAsia"/>
        </w:rPr>
        <w:t>日提交的有效申请，投资人</w:t>
      </w:r>
      <w:r>
        <w:rPr>
          <w:rFonts w:cs="宋体"/>
        </w:rPr>
        <w:t>应</w:t>
      </w:r>
      <w:r>
        <w:rPr>
          <w:rFonts w:cs="宋体" w:hint="eastAsia"/>
        </w:rPr>
        <w:t>在</w:t>
      </w:r>
      <w:r>
        <w:t>T+2</w:t>
      </w:r>
      <w:r>
        <w:rPr>
          <w:rFonts w:cs="宋体" w:hint="eastAsia"/>
        </w:rPr>
        <w:t>日后</w:t>
      </w:r>
      <w:r>
        <w:t>(</w:t>
      </w:r>
      <w:r>
        <w:rPr>
          <w:rFonts w:cs="宋体" w:hint="eastAsia"/>
        </w:rPr>
        <w:t>包括该日</w:t>
      </w:r>
      <w:r>
        <w:t>)</w:t>
      </w:r>
      <w:r>
        <w:rPr>
          <w:rFonts w:hint="eastAsia"/>
        </w:rPr>
        <w:t>及时</w:t>
      </w:r>
      <w:r>
        <w:rPr>
          <w:rFonts w:cs="宋体" w:hint="eastAsia"/>
        </w:rPr>
        <w:t>到销售网点柜台或以销售机构规定的其他方式查询申请的确认情况。若申购不成功，则申购款项退还给投资人。</w:t>
      </w:r>
    </w:p>
    <w:p w14:paraId="4A70DC00" w14:textId="77777777" w:rsidR="00AE3DA6" w:rsidRDefault="00795E23">
      <w:pPr>
        <w:snapToGrid w:val="0"/>
        <w:spacing w:line="360" w:lineRule="auto"/>
        <w:ind w:firstLineChars="200" w:firstLine="420"/>
        <w:rPr>
          <w:rFonts w:cs="宋体"/>
        </w:rPr>
      </w:pPr>
      <w:r>
        <w:rPr>
          <w:rFonts w:cs="宋体" w:hint="eastAsia"/>
        </w:rPr>
        <w:t>基金销售机构对申购、赎回申请的受理并不代表申请一定成功，而仅代表销售机构</w:t>
      </w:r>
      <w:r>
        <w:rPr>
          <w:rFonts w:cs="宋体"/>
        </w:rPr>
        <w:t>已经</w:t>
      </w:r>
      <w:r>
        <w:rPr>
          <w:rFonts w:cs="宋体" w:hint="eastAsia"/>
        </w:rPr>
        <w:t>接收到申请。申购、赎回申请的确认以登记机构或基金管理人的确认结果为准。对于申请的确认情况，投资人应及时查询并妥善行使合法权利。</w:t>
      </w:r>
    </w:p>
    <w:p w14:paraId="432197BB" w14:textId="77777777" w:rsidR="00AE3DA6" w:rsidRDefault="00795E23">
      <w:pPr>
        <w:snapToGrid w:val="0"/>
        <w:spacing w:line="360" w:lineRule="auto"/>
        <w:ind w:firstLineChars="200" w:firstLine="420"/>
        <w:rPr>
          <w:rFonts w:ascii="宋体" w:cs="Times New Roman"/>
          <w:color w:val="000000"/>
        </w:rPr>
      </w:pPr>
      <w:r>
        <w:rPr>
          <w:rFonts w:ascii="宋体" w:cs="Times New Roman" w:hint="eastAsia"/>
        </w:rPr>
        <w:t>基金管理人可在法律法规允许的情况下，对上述原则进行调整。基金管理人必须在新规则开始实施前依照《信息披露办法》的有关规定在规定媒介上公告。</w:t>
      </w:r>
    </w:p>
    <w:p w14:paraId="7AC6B60D" w14:textId="77777777" w:rsidR="00AE3DA6" w:rsidRDefault="00795E23">
      <w:pPr>
        <w:pStyle w:val="a9"/>
        <w:snapToGrid w:val="0"/>
        <w:ind w:firstLineChars="196" w:firstLine="412"/>
        <w:rPr>
          <w:rFonts w:ascii="宋体"/>
          <w:bCs/>
          <w:color w:val="000000"/>
          <w:sz w:val="21"/>
          <w:szCs w:val="21"/>
        </w:rPr>
      </w:pPr>
      <w:r>
        <w:rPr>
          <w:rFonts w:ascii="宋体" w:hAnsi="宋体" w:cs="宋体" w:hint="eastAsia"/>
          <w:bCs/>
          <w:color w:val="000000"/>
          <w:sz w:val="21"/>
          <w:szCs w:val="21"/>
        </w:rPr>
        <w:t>五、申购与赎回的数额限制</w:t>
      </w:r>
    </w:p>
    <w:p w14:paraId="3442F7C0" w14:textId="1B25FF87" w:rsidR="00AE3DA6" w:rsidRDefault="00795E23">
      <w:pPr>
        <w:snapToGrid w:val="0"/>
        <w:spacing w:line="360" w:lineRule="auto"/>
        <w:ind w:firstLineChars="200" w:firstLine="420"/>
        <w:rPr>
          <w:rFonts w:ascii="宋体" w:cs="Times New Roman"/>
        </w:rPr>
      </w:pPr>
      <w:r>
        <w:rPr>
          <w:rFonts w:ascii="宋体" w:hAnsi="宋体" w:cs="宋体"/>
        </w:rPr>
        <w:t>1</w:t>
      </w:r>
      <w:r>
        <w:rPr>
          <w:rFonts w:ascii="宋体" w:hAnsi="宋体" w:cs="宋体" w:hint="eastAsia"/>
        </w:rPr>
        <w:t>、本基金首次申购和追加申购的最低金额均为</w:t>
      </w:r>
      <w:r>
        <w:rPr>
          <w:rFonts w:ascii="宋体" w:hAnsi="宋体" w:cs="宋体"/>
        </w:rPr>
        <w:t>1</w:t>
      </w:r>
      <w:r>
        <w:rPr>
          <w:rFonts w:ascii="宋体" w:hAnsi="宋体" w:cs="宋体" w:hint="eastAsia"/>
        </w:rPr>
        <w:t>元（含申购费</w:t>
      </w:r>
      <w:r w:rsidR="00E1640D">
        <w:rPr>
          <w:rFonts w:ascii="宋体" w:hAnsi="宋体" w:cs="宋体" w:hint="eastAsia"/>
        </w:rPr>
        <w:t>，如有</w:t>
      </w:r>
      <w:r>
        <w:rPr>
          <w:rFonts w:ascii="宋体" w:hAnsi="宋体" w:cs="宋体" w:hint="eastAsia"/>
        </w:rPr>
        <w:t>），基金销售机构另有规定的，以基金销售机构的规定为准。本基金单笔赎回申请不低于</w:t>
      </w:r>
      <w:r>
        <w:rPr>
          <w:rFonts w:ascii="宋体" w:hAnsi="宋体" w:cs="宋体"/>
        </w:rPr>
        <w:t>1</w:t>
      </w:r>
      <w:r>
        <w:rPr>
          <w:rFonts w:ascii="宋体" w:hAnsi="宋体" w:cs="宋体" w:hint="eastAsia"/>
        </w:rPr>
        <w:t>份，投资人全额赎回时不受上述限制。各销售机构在符合上述规定的前提下，可根据情况调高单笔最低赎回份额要求，具体以销售机构公布的为准，投资人需遵循销售机构的相关规定；</w:t>
      </w:r>
    </w:p>
    <w:p w14:paraId="0827514D" w14:textId="77777777" w:rsidR="00AE3DA6" w:rsidRDefault="00795E23">
      <w:pPr>
        <w:snapToGrid w:val="0"/>
        <w:spacing w:line="360" w:lineRule="auto"/>
        <w:ind w:firstLineChars="200" w:firstLine="420"/>
        <w:rPr>
          <w:rFonts w:ascii="宋体" w:hAnsi="宋体" w:cs="宋体"/>
        </w:rPr>
      </w:pPr>
      <w:r>
        <w:rPr>
          <w:rFonts w:ascii="宋体" w:hAnsi="宋体" w:cs="宋体"/>
        </w:rPr>
        <w:t>2</w:t>
      </w:r>
      <w:r>
        <w:rPr>
          <w:rFonts w:ascii="宋体" w:hAnsi="宋体" w:cs="宋体" w:hint="eastAsia"/>
        </w:rPr>
        <w:t>、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766B490" w14:textId="77777777" w:rsidR="00AE3DA6" w:rsidRDefault="00795E23">
      <w:pPr>
        <w:snapToGrid w:val="0"/>
        <w:spacing w:line="360" w:lineRule="auto"/>
        <w:ind w:firstLineChars="200" w:firstLine="420"/>
        <w:rPr>
          <w:rFonts w:ascii="宋体" w:cs="Times New Roman"/>
        </w:rPr>
      </w:pPr>
      <w:r>
        <w:rPr>
          <w:rFonts w:ascii="宋体" w:hAnsi="宋体" w:cs="宋体" w:hint="eastAsia"/>
        </w:rPr>
        <w:t>3、本基金不对投资人每个基金交易账户的最低基金份额余额进行限制；</w:t>
      </w:r>
    </w:p>
    <w:p w14:paraId="6A29DDFD" w14:textId="77777777" w:rsidR="00AE3DA6" w:rsidRDefault="00795E23">
      <w:pPr>
        <w:snapToGrid w:val="0"/>
        <w:spacing w:line="360" w:lineRule="auto"/>
        <w:ind w:firstLineChars="200" w:firstLine="420"/>
        <w:rPr>
          <w:rFonts w:ascii="宋体" w:cs="Times New Roman"/>
        </w:rPr>
      </w:pPr>
      <w:r>
        <w:rPr>
          <w:rFonts w:ascii="宋体" w:hAnsi="宋体" w:cs="宋体"/>
        </w:rPr>
        <w:t>4</w:t>
      </w:r>
      <w:r>
        <w:rPr>
          <w:rFonts w:ascii="宋体" w:hAnsi="宋体" w:cs="宋体" w:hint="eastAsia"/>
        </w:rPr>
        <w:t>、本基金不对单个投资人累计持有的基金份额上限进行限制</w:t>
      </w:r>
      <w:r>
        <w:rPr>
          <w:rFonts w:ascii="宋体" w:hAnsi="宋体" w:cs="宋体"/>
        </w:rPr>
        <w:t>，但法律法规或监管要求另有规定的除外</w:t>
      </w:r>
      <w:r>
        <w:rPr>
          <w:rFonts w:ascii="宋体" w:hAnsi="宋体" w:cs="宋体" w:hint="eastAsia"/>
        </w:rPr>
        <w:t>；</w:t>
      </w:r>
    </w:p>
    <w:p w14:paraId="63361F68" w14:textId="77777777" w:rsidR="00AE3DA6" w:rsidRDefault="00795E23">
      <w:pPr>
        <w:snapToGrid w:val="0"/>
        <w:spacing w:line="360" w:lineRule="auto"/>
        <w:ind w:firstLineChars="200" w:firstLine="420"/>
        <w:rPr>
          <w:rFonts w:ascii="宋体" w:hAnsi="宋体" w:cs="宋体"/>
        </w:rPr>
      </w:pPr>
      <w:r>
        <w:rPr>
          <w:rFonts w:ascii="宋体" w:hAnsi="宋体" w:cs="宋体"/>
        </w:rPr>
        <w:t>5</w:t>
      </w:r>
      <w:r>
        <w:rPr>
          <w:rFonts w:ascii="宋体" w:hAnsi="宋体" w:cs="宋体" w:hint="eastAsia"/>
        </w:rPr>
        <w:t>、基金管理人可以规定基金总规模上限、当日申购金额上限、单日净申购比例上限、单个投资人单日或单笔申购金额上限，具体规定请参见相关公告；</w:t>
      </w:r>
    </w:p>
    <w:p w14:paraId="286B4E67" w14:textId="77777777" w:rsidR="00AE3DA6" w:rsidRDefault="00795E23">
      <w:pPr>
        <w:snapToGrid w:val="0"/>
        <w:spacing w:line="360" w:lineRule="auto"/>
        <w:ind w:firstLineChars="200" w:firstLine="420"/>
        <w:rPr>
          <w:rFonts w:ascii="宋体" w:cs="Times New Roman"/>
          <w:color w:val="000000"/>
        </w:rPr>
      </w:pPr>
      <w:r>
        <w:rPr>
          <w:rFonts w:ascii="宋体" w:hAnsi="宋体" w:cs="宋体" w:hint="eastAsia"/>
        </w:rPr>
        <w:t>6、基金管理人可在法律法规允许的情况下，调整上述规定申购金额和赎回份额的数量限制。基金管理人必须在调整实施前依照《信息披露办法》的有关规定在规定媒介上公告。</w:t>
      </w:r>
    </w:p>
    <w:p w14:paraId="184CF51D" w14:textId="77777777" w:rsidR="00907401" w:rsidRPr="00D419D2" w:rsidRDefault="00907401" w:rsidP="00907401">
      <w:pPr>
        <w:pStyle w:val="a9"/>
        <w:snapToGrid w:val="0"/>
        <w:ind w:firstLineChars="196" w:firstLine="412"/>
        <w:rPr>
          <w:bCs/>
          <w:color w:val="000000"/>
          <w:sz w:val="21"/>
          <w:szCs w:val="21"/>
        </w:rPr>
      </w:pPr>
      <w:r w:rsidRPr="00D419D2">
        <w:rPr>
          <w:rFonts w:cs="宋体" w:hint="eastAsia"/>
          <w:bCs/>
          <w:color w:val="000000"/>
          <w:sz w:val="21"/>
          <w:szCs w:val="21"/>
        </w:rPr>
        <w:t>六、申购费用和赎回费用</w:t>
      </w:r>
    </w:p>
    <w:p w14:paraId="5B640657" w14:textId="77777777" w:rsidR="00907401" w:rsidRPr="00D419D2" w:rsidRDefault="00907401" w:rsidP="00907401">
      <w:pPr>
        <w:adjustRightInd w:val="0"/>
        <w:snapToGrid w:val="0"/>
        <w:spacing w:line="360" w:lineRule="auto"/>
        <w:ind w:firstLineChars="200" w:firstLine="420"/>
        <w:rPr>
          <w:rFonts w:ascii="Times New Roman" w:hAnsi="Times New Roman" w:cs="Times New Roman"/>
        </w:rPr>
      </w:pPr>
      <w:r w:rsidRPr="00D419D2">
        <w:rPr>
          <w:rFonts w:ascii="Times New Roman" w:hAnsi="Times New Roman" w:cs="宋体"/>
          <w:color w:val="000000"/>
        </w:rPr>
        <w:t>1</w:t>
      </w:r>
      <w:r w:rsidRPr="00D419D2">
        <w:rPr>
          <w:rFonts w:ascii="Times New Roman" w:hAnsi="Times New Roman" w:cs="宋体" w:hint="eastAsia"/>
          <w:color w:val="000000"/>
        </w:rPr>
        <w:t>、</w:t>
      </w:r>
      <w:r w:rsidRPr="00681D3B">
        <w:rPr>
          <w:rFonts w:ascii="Times New Roman" w:hAnsi="Times New Roman" w:cs="宋体" w:hint="eastAsia"/>
        </w:rPr>
        <w:t>申购费用</w:t>
      </w:r>
    </w:p>
    <w:p w14:paraId="27542946" w14:textId="1E6F08BD" w:rsidR="00907401" w:rsidRPr="00D419D2" w:rsidRDefault="00E1640D" w:rsidP="00907401">
      <w:pPr>
        <w:snapToGrid w:val="0"/>
        <w:spacing w:line="360" w:lineRule="auto"/>
        <w:ind w:firstLineChars="200" w:firstLine="420"/>
        <w:rPr>
          <w:rFonts w:ascii="Times New Roman" w:hAnsi="Times New Roman" w:cs="Times New Roman"/>
          <w:color w:val="000000"/>
        </w:rPr>
      </w:pPr>
      <w:r w:rsidRPr="00E1640D">
        <w:rPr>
          <w:rFonts w:ascii="Times New Roman" w:hAnsi="Times New Roman" w:cs="宋体" w:hint="eastAsia"/>
          <w:kern w:val="0"/>
        </w:rPr>
        <w:t>通过直销机构申购本基金</w:t>
      </w:r>
      <w:r w:rsidRPr="00E1640D">
        <w:rPr>
          <w:rFonts w:ascii="Times New Roman" w:hAnsi="Times New Roman" w:cs="宋体" w:hint="eastAsia"/>
          <w:kern w:val="0"/>
        </w:rPr>
        <w:t>A</w:t>
      </w:r>
      <w:r w:rsidRPr="00E1640D">
        <w:rPr>
          <w:rFonts w:ascii="Times New Roman" w:hAnsi="Times New Roman" w:cs="宋体" w:hint="eastAsia"/>
          <w:kern w:val="0"/>
        </w:rPr>
        <w:t>类基金份额不收取申购费。通过其他销售机构申购本基金</w:t>
      </w:r>
      <w:r w:rsidRPr="00E1640D">
        <w:rPr>
          <w:rFonts w:ascii="Times New Roman" w:hAnsi="Times New Roman" w:cs="宋体" w:hint="eastAsia"/>
          <w:kern w:val="0"/>
        </w:rPr>
        <w:t>A</w:t>
      </w:r>
      <w:r w:rsidRPr="00E1640D">
        <w:rPr>
          <w:rFonts w:ascii="Times New Roman" w:hAnsi="Times New Roman" w:cs="宋体" w:hint="eastAsia"/>
          <w:kern w:val="0"/>
        </w:rPr>
        <w:t>类基金份额的投资人，申购费率最高不高于</w:t>
      </w:r>
      <w:r w:rsidRPr="00E1640D">
        <w:rPr>
          <w:rFonts w:ascii="Times New Roman" w:hAnsi="Times New Roman" w:cs="宋体" w:hint="eastAsia"/>
          <w:kern w:val="0"/>
        </w:rPr>
        <w:t>0.3%</w:t>
      </w:r>
      <w:r w:rsidRPr="00E1640D">
        <w:rPr>
          <w:rFonts w:ascii="Times New Roman" w:hAnsi="Times New Roman" w:cs="宋体" w:hint="eastAsia"/>
          <w:kern w:val="0"/>
        </w:rPr>
        <w:t>，如下表所示</w:t>
      </w:r>
      <w:r w:rsidR="00907401" w:rsidRPr="00D419D2">
        <w:rPr>
          <w:rFonts w:ascii="Times New Roman" w:hAnsi="Times New Roman" w:cs="宋体" w:hint="eastAsia"/>
          <w:color w:val="000000"/>
        </w:rPr>
        <w:t>：</w:t>
      </w:r>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2996"/>
      </w:tblGrid>
      <w:tr w:rsidR="00907401" w:rsidRPr="00D419D2" w14:paraId="1A34434F" w14:textId="77777777" w:rsidTr="00907401">
        <w:trPr>
          <w:trHeight w:val="397"/>
          <w:jc w:val="center"/>
        </w:trPr>
        <w:tc>
          <w:tcPr>
            <w:tcW w:w="2420" w:type="pct"/>
            <w:tcBorders>
              <w:top w:val="single" w:sz="4" w:space="0" w:color="auto"/>
              <w:left w:val="single" w:sz="4" w:space="0" w:color="auto"/>
              <w:bottom w:val="single" w:sz="4" w:space="0" w:color="auto"/>
              <w:right w:val="single" w:sz="4" w:space="0" w:color="auto"/>
            </w:tcBorders>
            <w:vAlign w:val="center"/>
          </w:tcPr>
          <w:p w14:paraId="62C02AF5"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D419D2">
              <w:rPr>
                <w:rFonts w:eastAsia="宋体" w:hint="eastAsia"/>
                <w:sz w:val="21"/>
                <w:szCs w:val="21"/>
              </w:rPr>
              <w:t>申购金额（</w:t>
            </w:r>
            <w:r w:rsidRPr="00D419D2">
              <w:rPr>
                <w:rFonts w:eastAsia="宋体" w:hint="eastAsia"/>
                <w:sz w:val="21"/>
                <w:szCs w:val="21"/>
              </w:rPr>
              <w:t>M</w:t>
            </w:r>
            <w:r w:rsidRPr="00D419D2">
              <w:rPr>
                <w:rFonts w:eastAsia="宋体" w:hint="eastAsia"/>
                <w:sz w:val="21"/>
                <w:szCs w:val="21"/>
              </w:rPr>
              <w:t>）</w:t>
            </w:r>
          </w:p>
        </w:tc>
        <w:tc>
          <w:tcPr>
            <w:tcW w:w="2580" w:type="pct"/>
            <w:tcBorders>
              <w:top w:val="single" w:sz="4" w:space="0" w:color="auto"/>
              <w:left w:val="single" w:sz="4" w:space="0" w:color="auto"/>
              <w:bottom w:val="single" w:sz="4" w:space="0" w:color="auto"/>
              <w:right w:val="single" w:sz="4" w:space="0" w:color="auto"/>
            </w:tcBorders>
            <w:vAlign w:val="center"/>
          </w:tcPr>
          <w:p w14:paraId="013CF29E"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D419D2">
              <w:rPr>
                <w:rFonts w:eastAsia="宋体" w:hint="eastAsia"/>
                <w:sz w:val="21"/>
                <w:szCs w:val="21"/>
              </w:rPr>
              <w:t>申购费率</w:t>
            </w:r>
          </w:p>
        </w:tc>
      </w:tr>
      <w:tr w:rsidR="00907401" w:rsidRPr="00D419D2" w14:paraId="1EEF499C" w14:textId="77777777" w:rsidTr="00907401">
        <w:trPr>
          <w:trHeight w:val="397"/>
          <w:jc w:val="center"/>
        </w:trPr>
        <w:tc>
          <w:tcPr>
            <w:tcW w:w="2420" w:type="pct"/>
            <w:tcBorders>
              <w:top w:val="single" w:sz="4" w:space="0" w:color="auto"/>
              <w:left w:val="single" w:sz="4" w:space="0" w:color="auto"/>
              <w:bottom w:val="single" w:sz="4" w:space="0" w:color="auto"/>
              <w:right w:val="single" w:sz="4" w:space="0" w:color="auto"/>
            </w:tcBorders>
            <w:vAlign w:val="center"/>
          </w:tcPr>
          <w:p w14:paraId="6206F21C"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D419D2">
              <w:rPr>
                <w:rFonts w:eastAsia="宋体" w:hint="eastAsia"/>
                <w:sz w:val="21"/>
                <w:szCs w:val="21"/>
              </w:rPr>
              <w:t>M</w:t>
            </w:r>
            <w:r w:rsidRPr="00D419D2">
              <w:rPr>
                <w:rFonts w:eastAsia="宋体" w:hint="eastAsia"/>
                <w:sz w:val="21"/>
                <w:szCs w:val="21"/>
              </w:rPr>
              <w:t>＜</w:t>
            </w:r>
            <w:r>
              <w:rPr>
                <w:rFonts w:eastAsia="宋体" w:hint="eastAsia"/>
                <w:sz w:val="21"/>
                <w:szCs w:val="21"/>
              </w:rPr>
              <w:t>5</w:t>
            </w:r>
            <w:r w:rsidRPr="00D419D2">
              <w:rPr>
                <w:rFonts w:eastAsia="宋体" w:hint="eastAsia"/>
                <w:sz w:val="21"/>
                <w:szCs w:val="21"/>
              </w:rPr>
              <w:t>00</w:t>
            </w:r>
            <w:r w:rsidRPr="00D419D2">
              <w:rPr>
                <w:rFonts w:eastAsia="宋体" w:hint="eastAsia"/>
                <w:sz w:val="21"/>
                <w:szCs w:val="21"/>
              </w:rPr>
              <w:t>万</w:t>
            </w:r>
          </w:p>
        </w:tc>
        <w:tc>
          <w:tcPr>
            <w:tcW w:w="2580" w:type="pct"/>
            <w:tcBorders>
              <w:top w:val="single" w:sz="4" w:space="0" w:color="auto"/>
              <w:left w:val="single" w:sz="4" w:space="0" w:color="auto"/>
              <w:bottom w:val="single" w:sz="4" w:space="0" w:color="auto"/>
              <w:right w:val="single" w:sz="4" w:space="0" w:color="auto"/>
            </w:tcBorders>
            <w:vAlign w:val="center"/>
          </w:tcPr>
          <w:p w14:paraId="3F82FB4B"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Pr>
                <w:rFonts w:eastAsia="宋体" w:hint="eastAsia"/>
                <w:sz w:val="21"/>
                <w:szCs w:val="21"/>
              </w:rPr>
              <w:t>0.3</w:t>
            </w:r>
            <w:r w:rsidRPr="00D419D2">
              <w:rPr>
                <w:rFonts w:eastAsia="宋体" w:hint="eastAsia"/>
                <w:sz w:val="21"/>
                <w:szCs w:val="21"/>
              </w:rPr>
              <w:t>%</w:t>
            </w:r>
          </w:p>
        </w:tc>
      </w:tr>
      <w:tr w:rsidR="00907401" w:rsidRPr="00D419D2" w14:paraId="46BF838F" w14:textId="77777777" w:rsidTr="00907401">
        <w:trPr>
          <w:trHeight w:val="397"/>
          <w:jc w:val="center"/>
        </w:trPr>
        <w:tc>
          <w:tcPr>
            <w:tcW w:w="2420" w:type="pct"/>
            <w:tcBorders>
              <w:top w:val="single" w:sz="4" w:space="0" w:color="auto"/>
              <w:left w:val="single" w:sz="4" w:space="0" w:color="auto"/>
              <w:bottom w:val="single" w:sz="4" w:space="0" w:color="auto"/>
              <w:right w:val="single" w:sz="4" w:space="0" w:color="auto"/>
            </w:tcBorders>
            <w:vAlign w:val="center"/>
          </w:tcPr>
          <w:p w14:paraId="5CE7A596"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D419D2">
              <w:rPr>
                <w:rFonts w:eastAsia="宋体" w:hint="eastAsia"/>
                <w:sz w:val="21"/>
                <w:szCs w:val="21"/>
              </w:rPr>
              <w:t>M</w:t>
            </w:r>
            <w:r w:rsidRPr="00D419D2">
              <w:rPr>
                <w:rFonts w:eastAsia="宋体" w:hint="eastAsia"/>
                <w:sz w:val="21"/>
                <w:szCs w:val="21"/>
              </w:rPr>
              <w:t>≥</w:t>
            </w:r>
            <w:r w:rsidRPr="00D419D2">
              <w:rPr>
                <w:rFonts w:eastAsia="宋体" w:hint="eastAsia"/>
                <w:sz w:val="21"/>
                <w:szCs w:val="21"/>
              </w:rPr>
              <w:t>500</w:t>
            </w:r>
            <w:r w:rsidRPr="00D419D2">
              <w:rPr>
                <w:rFonts w:eastAsia="宋体" w:hint="eastAsia"/>
                <w:sz w:val="21"/>
                <w:szCs w:val="21"/>
              </w:rPr>
              <w:t>万</w:t>
            </w:r>
          </w:p>
        </w:tc>
        <w:tc>
          <w:tcPr>
            <w:tcW w:w="2580" w:type="pct"/>
            <w:tcBorders>
              <w:top w:val="single" w:sz="4" w:space="0" w:color="auto"/>
              <w:left w:val="single" w:sz="4" w:space="0" w:color="auto"/>
              <w:bottom w:val="single" w:sz="4" w:space="0" w:color="auto"/>
              <w:right w:val="single" w:sz="4" w:space="0" w:color="auto"/>
            </w:tcBorders>
            <w:vAlign w:val="center"/>
          </w:tcPr>
          <w:p w14:paraId="3DC84302"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D419D2">
              <w:rPr>
                <w:rFonts w:eastAsia="宋体" w:hint="eastAsia"/>
                <w:sz w:val="21"/>
                <w:szCs w:val="21"/>
              </w:rPr>
              <w:t>每笔</w:t>
            </w:r>
            <w:r w:rsidRPr="00D419D2">
              <w:rPr>
                <w:rFonts w:eastAsia="宋体" w:hint="eastAsia"/>
                <w:sz w:val="21"/>
                <w:szCs w:val="21"/>
              </w:rPr>
              <w:t>1,000</w:t>
            </w:r>
            <w:r w:rsidRPr="00D419D2">
              <w:rPr>
                <w:rFonts w:eastAsia="宋体" w:hint="eastAsia"/>
                <w:sz w:val="21"/>
                <w:szCs w:val="21"/>
              </w:rPr>
              <w:t>元</w:t>
            </w:r>
          </w:p>
        </w:tc>
      </w:tr>
    </w:tbl>
    <w:p w14:paraId="04381638" w14:textId="77777777" w:rsidR="00E1640D" w:rsidRPr="00E1640D" w:rsidRDefault="00E1640D" w:rsidP="00E1640D">
      <w:pPr>
        <w:snapToGrid w:val="0"/>
        <w:spacing w:line="360" w:lineRule="auto"/>
        <w:ind w:firstLineChars="200" w:firstLine="420"/>
        <w:rPr>
          <w:rFonts w:ascii="Times New Roman" w:hAnsi="Times New Roman" w:cs="宋体"/>
        </w:rPr>
      </w:pPr>
      <w:r w:rsidRPr="00E1640D">
        <w:rPr>
          <w:rFonts w:ascii="Times New Roman" w:hAnsi="Times New Roman" w:cs="宋体" w:hint="eastAsia"/>
        </w:rPr>
        <w:t>对于申购本基金</w:t>
      </w:r>
      <w:r w:rsidRPr="00E1640D">
        <w:rPr>
          <w:rFonts w:ascii="Times New Roman" w:hAnsi="Times New Roman" w:cs="宋体" w:hint="eastAsia"/>
        </w:rPr>
        <w:t>C</w:t>
      </w:r>
      <w:r w:rsidRPr="00E1640D">
        <w:rPr>
          <w:rFonts w:ascii="Times New Roman" w:hAnsi="Times New Roman" w:cs="宋体" w:hint="eastAsia"/>
        </w:rPr>
        <w:t>类基金份额的投资人，申购费率为零。</w:t>
      </w:r>
    </w:p>
    <w:p w14:paraId="76B92075" w14:textId="77777777" w:rsidR="00E1640D" w:rsidRPr="00E1640D" w:rsidRDefault="00E1640D" w:rsidP="00E1640D">
      <w:pPr>
        <w:snapToGrid w:val="0"/>
        <w:spacing w:line="360" w:lineRule="auto"/>
        <w:ind w:firstLineChars="200" w:firstLine="420"/>
        <w:rPr>
          <w:rFonts w:ascii="Times New Roman" w:hAnsi="Times New Roman" w:cs="宋体"/>
        </w:rPr>
      </w:pPr>
      <w:r w:rsidRPr="00E1640D">
        <w:rPr>
          <w:rFonts w:ascii="Times New Roman" w:hAnsi="Times New Roman" w:cs="宋体" w:hint="eastAsia"/>
        </w:rPr>
        <w:t>投资人重复申购，须按每次申购所对应的费率档次分别计费。</w:t>
      </w:r>
    </w:p>
    <w:p w14:paraId="246007A8" w14:textId="371F1899" w:rsidR="00907401" w:rsidRPr="00D419D2" w:rsidRDefault="00E1640D" w:rsidP="00E1640D">
      <w:pPr>
        <w:snapToGrid w:val="0"/>
        <w:spacing w:line="360" w:lineRule="auto"/>
        <w:ind w:firstLineChars="200" w:firstLine="420"/>
        <w:rPr>
          <w:rFonts w:ascii="Times New Roman" w:hAnsi="Times New Roman" w:cs="Times New Roman"/>
          <w:color w:val="000000"/>
        </w:rPr>
      </w:pPr>
      <w:r w:rsidRPr="00E1640D">
        <w:rPr>
          <w:rFonts w:ascii="Times New Roman" w:hAnsi="Times New Roman" w:cs="宋体" w:hint="eastAsia"/>
        </w:rPr>
        <w:t>本基金</w:t>
      </w:r>
      <w:r w:rsidRPr="00E1640D">
        <w:rPr>
          <w:rFonts w:ascii="Times New Roman" w:hAnsi="Times New Roman" w:cs="宋体" w:hint="eastAsia"/>
        </w:rPr>
        <w:t>A</w:t>
      </w:r>
      <w:r w:rsidRPr="00E1640D">
        <w:rPr>
          <w:rFonts w:ascii="Times New Roman" w:hAnsi="Times New Roman" w:cs="宋体" w:hint="eastAsia"/>
        </w:rPr>
        <w:t>类基金份额的申购费用由通过直销机构以外的其他销售机构申购</w:t>
      </w:r>
      <w:r w:rsidRPr="00E1640D">
        <w:rPr>
          <w:rFonts w:ascii="Times New Roman" w:hAnsi="Times New Roman" w:cs="宋体" w:hint="eastAsia"/>
        </w:rPr>
        <w:t>A</w:t>
      </w:r>
      <w:r w:rsidRPr="00E1640D">
        <w:rPr>
          <w:rFonts w:ascii="Times New Roman" w:hAnsi="Times New Roman" w:cs="宋体" w:hint="eastAsia"/>
        </w:rPr>
        <w:t>类基金份额的投资人承担，不列入基金财产，主要用于本基金的市场推广、销售、登记等各项费用</w:t>
      </w:r>
      <w:r w:rsidR="00907401" w:rsidRPr="00D419D2">
        <w:rPr>
          <w:rFonts w:ascii="Times New Roman" w:hAnsi="Times New Roman" w:cs="宋体" w:hint="eastAsia"/>
          <w:color w:val="000000"/>
        </w:rPr>
        <w:t>。</w:t>
      </w:r>
    </w:p>
    <w:p w14:paraId="13127699" w14:textId="77777777" w:rsidR="00907401" w:rsidRDefault="00907401" w:rsidP="00907401">
      <w:pPr>
        <w:snapToGrid w:val="0"/>
        <w:spacing w:line="360" w:lineRule="auto"/>
        <w:ind w:firstLineChars="200" w:firstLine="420"/>
        <w:rPr>
          <w:rFonts w:ascii="Times New Roman" w:hAnsi="Times New Roman" w:cs="宋体"/>
          <w:color w:val="000000"/>
        </w:rPr>
      </w:pPr>
      <w:r w:rsidRPr="00D419D2">
        <w:rPr>
          <w:rFonts w:ascii="Times New Roman" w:hAnsi="Times New Roman" w:cs="宋体"/>
          <w:color w:val="000000"/>
        </w:rPr>
        <w:t>2</w:t>
      </w:r>
      <w:r w:rsidRPr="00D419D2">
        <w:rPr>
          <w:rFonts w:ascii="Times New Roman" w:hAnsi="Times New Roman" w:cs="宋体" w:hint="eastAsia"/>
          <w:color w:val="000000"/>
        </w:rPr>
        <w:t>、</w:t>
      </w:r>
      <w:r w:rsidRPr="00681D3B">
        <w:rPr>
          <w:rFonts w:ascii="Times New Roman" w:hAnsi="Times New Roman" w:cs="宋体" w:hint="eastAsia"/>
          <w:color w:val="000000"/>
        </w:rPr>
        <w:t>赎回费用</w:t>
      </w:r>
    </w:p>
    <w:p w14:paraId="465C98C2" w14:textId="4C14E7BF" w:rsidR="00907401" w:rsidRPr="00D419D2" w:rsidRDefault="00E1640D" w:rsidP="00907401">
      <w:pPr>
        <w:snapToGrid w:val="0"/>
        <w:spacing w:line="360" w:lineRule="auto"/>
        <w:ind w:firstLineChars="200" w:firstLine="420"/>
        <w:rPr>
          <w:rFonts w:ascii="Times New Roman" w:hAnsi="Times New Roman" w:cs="宋体"/>
          <w:color w:val="000000"/>
        </w:rPr>
      </w:pPr>
      <w:r w:rsidRPr="00E1640D">
        <w:rPr>
          <w:rFonts w:ascii="Times New Roman" w:hAnsi="Times New Roman" w:cs="宋体" w:hint="eastAsia"/>
          <w:color w:val="000000"/>
        </w:rPr>
        <w:t>（</w:t>
      </w:r>
      <w:r w:rsidRPr="00E1640D">
        <w:rPr>
          <w:rFonts w:ascii="Times New Roman" w:hAnsi="Times New Roman" w:cs="宋体" w:hint="eastAsia"/>
          <w:color w:val="000000"/>
        </w:rPr>
        <w:t>1</w:t>
      </w:r>
      <w:r w:rsidRPr="00E1640D">
        <w:rPr>
          <w:rFonts w:ascii="Times New Roman" w:hAnsi="Times New Roman" w:cs="宋体" w:hint="eastAsia"/>
          <w:color w:val="000000"/>
        </w:rPr>
        <w:t>）对于个人投资者，本基金各类基金份额的赎回费率如下</w:t>
      </w:r>
      <w:r w:rsidR="00907401" w:rsidRPr="00ED1FDF">
        <w:rPr>
          <w:rFonts w:ascii="Times New Roman" w:hAnsi="Times New Roman" w:cs="宋体" w:hint="eastAsia"/>
          <w:color w:val="000000"/>
        </w:rPr>
        <w:t>：</w:t>
      </w:r>
    </w:p>
    <w:tbl>
      <w:tblPr>
        <w:tblW w:w="37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7"/>
      </w:tblGrid>
      <w:tr w:rsidR="00907401" w:rsidRPr="00D419D2" w14:paraId="51DBE471" w14:textId="77777777" w:rsidTr="00907401">
        <w:trPr>
          <w:trHeight w:val="397"/>
          <w:jc w:val="center"/>
        </w:trPr>
        <w:tc>
          <w:tcPr>
            <w:tcW w:w="3118" w:type="dxa"/>
            <w:vAlign w:val="center"/>
          </w:tcPr>
          <w:p w14:paraId="695D27C3"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D419D2">
              <w:rPr>
                <w:rFonts w:eastAsia="宋体" w:hint="eastAsia"/>
                <w:sz w:val="21"/>
                <w:szCs w:val="21"/>
              </w:rPr>
              <w:t>持有期限（</w:t>
            </w:r>
            <w:r w:rsidRPr="00D419D2">
              <w:rPr>
                <w:rFonts w:eastAsia="宋体" w:hint="eastAsia"/>
                <w:sz w:val="21"/>
                <w:szCs w:val="21"/>
              </w:rPr>
              <w:t>N</w:t>
            </w:r>
            <w:r w:rsidRPr="00D419D2">
              <w:rPr>
                <w:rFonts w:eastAsia="宋体" w:hint="eastAsia"/>
                <w:sz w:val="21"/>
                <w:szCs w:val="21"/>
              </w:rPr>
              <w:t>）</w:t>
            </w:r>
          </w:p>
        </w:tc>
        <w:tc>
          <w:tcPr>
            <w:tcW w:w="3117" w:type="dxa"/>
            <w:vAlign w:val="center"/>
          </w:tcPr>
          <w:p w14:paraId="35CB4326"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D419D2">
              <w:rPr>
                <w:rFonts w:eastAsia="宋体"/>
                <w:sz w:val="21"/>
                <w:szCs w:val="21"/>
              </w:rPr>
              <w:t>赎回费率</w:t>
            </w:r>
          </w:p>
        </w:tc>
      </w:tr>
      <w:tr w:rsidR="00907401" w:rsidRPr="00D419D2" w14:paraId="11B015C4" w14:textId="77777777" w:rsidTr="00907401">
        <w:trPr>
          <w:trHeight w:val="397"/>
          <w:jc w:val="center"/>
        </w:trPr>
        <w:tc>
          <w:tcPr>
            <w:tcW w:w="3118" w:type="dxa"/>
            <w:vAlign w:val="center"/>
          </w:tcPr>
          <w:p w14:paraId="7BD7A282"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D419D2">
              <w:rPr>
                <w:rFonts w:eastAsia="宋体"/>
                <w:sz w:val="21"/>
                <w:szCs w:val="21"/>
              </w:rPr>
              <w:t>N</w:t>
            </w:r>
            <w:r w:rsidRPr="00D419D2">
              <w:rPr>
                <w:rFonts w:eastAsia="宋体"/>
                <w:sz w:val="21"/>
                <w:szCs w:val="21"/>
              </w:rPr>
              <w:t>＜</w:t>
            </w:r>
            <w:r w:rsidRPr="00D419D2">
              <w:rPr>
                <w:rFonts w:eastAsia="宋体"/>
                <w:sz w:val="21"/>
                <w:szCs w:val="21"/>
              </w:rPr>
              <w:t>7</w:t>
            </w:r>
            <w:r w:rsidRPr="00D419D2">
              <w:rPr>
                <w:rFonts w:eastAsia="宋体" w:hint="eastAsia"/>
                <w:sz w:val="21"/>
                <w:szCs w:val="21"/>
              </w:rPr>
              <w:t>天</w:t>
            </w:r>
          </w:p>
        </w:tc>
        <w:tc>
          <w:tcPr>
            <w:tcW w:w="3117" w:type="dxa"/>
            <w:vAlign w:val="center"/>
          </w:tcPr>
          <w:p w14:paraId="1A823ECE"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D419D2">
              <w:rPr>
                <w:rFonts w:eastAsia="宋体"/>
                <w:sz w:val="21"/>
                <w:szCs w:val="21"/>
              </w:rPr>
              <w:t>1.5%</w:t>
            </w:r>
          </w:p>
        </w:tc>
      </w:tr>
      <w:tr w:rsidR="00907401" w:rsidRPr="00D419D2" w14:paraId="1B698E45" w14:textId="77777777" w:rsidTr="00907401">
        <w:trPr>
          <w:trHeight w:val="397"/>
          <w:jc w:val="center"/>
        </w:trPr>
        <w:tc>
          <w:tcPr>
            <w:tcW w:w="3118" w:type="dxa"/>
            <w:vAlign w:val="center"/>
          </w:tcPr>
          <w:p w14:paraId="2B3FCB22"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D419D2">
              <w:rPr>
                <w:rFonts w:eastAsia="宋体"/>
                <w:sz w:val="21"/>
                <w:szCs w:val="21"/>
              </w:rPr>
              <w:t>N≥</w:t>
            </w:r>
            <w:r>
              <w:rPr>
                <w:rFonts w:eastAsia="宋体" w:hint="eastAsia"/>
                <w:sz w:val="21"/>
                <w:szCs w:val="21"/>
              </w:rPr>
              <w:t>7</w:t>
            </w:r>
            <w:r w:rsidRPr="00D419D2">
              <w:rPr>
                <w:rFonts w:eastAsia="宋体" w:hint="eastAsia"/>
                <w:sz w:val="21"/>
                <w:szCs w:val="21"/>
              </w:rPr>
              <w:t>天</w:t>
            </w:r>
          </w:p>
        </w:tc>
        <w:tc>
          <w:tcPr>
            <w:tcW w:w="3117" w:type="dxa"/>
            <w:vAlign w:val="center"/>
          </w:tcPr>
          <w:p w14:paraId="4960A367"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D419D2">
              <w:rPr>
                <w:rFonts w:eastAsia="宋体"/>
                <w:sz w:val="21"/>
                <w:szCs w:val="21"/>
              </w:rPr>
              <w:t>0</w:t>
            </w:r>
          </w:p>
        </w:tc>
      </w:tr>
    </w:tbl>
    <w:p w14:paraId="3B83BD77" w14:textId="79CFF0DE" w:rsidR="00907401" w:rsidRPr="00D419D2" w:rsidRDefault="00E1640D" w:rsidP="00907401">
      <w:pPr>
        <w:snapToGrid w:val="0"/>
        <w:spacing w:line="360" w:lineRule="auto"/>
        <w:ind w:firstLineChars="200" w:firstLine="420"/>
        <w:rPr>
          <w:rFonts w:ascii="Times New Roman" w:hAnsi="Times New Roman" w:cs="宋体"/>
          <w:color w:val="000000"/>
        </w:rPr>
      </w:pPr>
      <w:r w:rsidRPr="00E1640D">
        <w:rPr>
          <w:rFonts w:ascii="Times New Roman" w:hAnsi="Times New Roman" w:cs="宋体" w:hint="eastAsia"/>
          <w:color w:val="000000"/>
        </w:rPr>
        <w:t>（</w:t>
      </w:r>
      <w:r w:rsidRPr="00E1640D">
        <w:rPr>
          <w:rFonts w:ascii="Times New Roman" w:hAnsi="Times New Roman" w:cs="宋体" w:hint="eastAsia"/>
          <w:color w:val="000000"/>
        </w:rPr>
        <w:t>2</w:t>
      </w:r>
      <w:r w:rsidRPr="00E1640D">
        <w:rPr>
          <w:rFonts w:ascii="Times New Roman" w:hAnsi="Times New Roman" w:cs="宋体" w:hint="eastAsia"/>
          <w:color w:val="000000"/>
        </w:rPr>
        <w:t>）对于个人投资者以外的其他投资者，本基金各类基金份额的赎回费率如下</w:t>
      </w:r>
      <w:r w:rsidR="00907401" w:rsidRPr="000C65F4">
        <w:rPr>
          <w:rFonts w:ascii="Times New Roman" w:hAnsi="Times New Roman" w:cs="宋体" w:hint="eastAsia"/>
          <w:color w:val="000000"/>
        </w:rPr>
        <w:t>：</w:t>
      </w:r>
    </w:p>
    <w:tbl>
      <w:tblPr>
        <w:tblW w:w="37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7"/>
        <w:gridCol w:w="3118"/>
      </w:tblGrid>
      <w:tr w:rsidR="00907401" w:rsidRPr="00D419D2" w14:paraId="24CDE496" w14:textId="77777777" w:rsidTr="00907401">
        <w:trPr>
          <w:trHeight w:val="397"/>
          <w:jc w:val="center"/>
        </w:trPr>
        <w:tc>
          <w:tcPr>
            <w:tcW w:w="2500" w:type="pct"/>
            <w:vAlign w:val="center"/>
          </w:tcPr>
          <w:p w14:paraId="4808543F" w14:textId="77777777" w:rsidR="00907401" w:rsidRPr="00D419D2" w:rsidRDefault="00907401" w:rsidP="00907401">
            <w:pPr>
              <w:pStyle w:val="23"/>
              <w:adjustRightInd w:val="0"/>
              <w:spacing w:line="240" w:lineRule="auto"/>
              <w:ind w:firstLineChars="0" w:firstLine="0"/>
              <w:jc w:val="center"/>
              <w:rPr>
                <w:rFonts w:eastAsia="宋体"/>
                <w:sz w:val="21"/>
                <w:szCs w:val="21"/>
              </w:rPr>
            </w:pPr>
            <w:r w:rsidRPr="00D419D2">
              <w:rPr>
                <w:rFonts w:eastAsia="宋体" w:hint="eastAsia"/>
                <w:sz w:val="21"/>
                <w:szCs w:val="21"/>
              </w:rPr>
              <w:t>持有期限（</w:t>
            </w:r>
            <w:r w:rsidRPr="00D419D2">
              <w:rPr>
                <w:rFonts w:eastAsia="宋体" w:hint="eastAsia"/>
                <w:sz w:val="21"/>
                <w:szCs w:val="21"/>
              </w:rPr>
              <w:t>N</w:t>
            </w:r>
            <w:r w:rsidRPr="00D419D2">
              <w:rPr>
                <w:rFonts w:eastAsia="宋体" w:hint="eastAsia"/>
                <w:sz w:val="21"/>
                <w:szCs w:val="21"/>
              </w:rPr>
              <w:t>）</w:t>
            </w:r>
          </w:p>
        </w:tc>
        <w:tc>
          <w:tcPr>
            <w:tcW w:w="2500" w:type="pct"/>
            <w:vAlign w:val="center"/>
          </w:tcPr>
          <w:p w14:paraId="0294E2D0" w14:textId="77777777" w:rsidR="00907401" w:rsidRPr="00D419D2" w:rsidRDefault="00907401" w:rsidP="00907401">
            <w:pPr>
              <w:pStyle w:val="23"/>
              <w:adjustRightInd w:val="0"/>
              <w:spacing w:line="240" w:lineRule="auto"/>
              <w:ind w:firstLineChars="0" w:firstLine="0"/>
              <w:jc w:val="center"/>
              <w:rPr>
                <w:rFonts w:eastAsia="宋体"/>
                <w:sz w:val="21"/>
                <w:szCs w:val="21"/>
              </w:rPr>
            </w:pPr>
            <w:r w:rsidRPr="00D419D2">
              <w:rPr>
                <w:rFonts w:eastAsia="宋体"/>
                <w:sz w:val="21"/>
                <w:szCs w:val="21"/>
              </w:rPr>
              <w:t>赎回费率</w:t>
            </w:r>
          </w:p>
        </w:tc>
      </w:tr>
      <w:tr w:rsidR="00907401" w:rsidRPr="00D419D2" w14:paraId="3311D9BD" w14:textId="77777777" w:rsidTr="00907401">
        <w:trPr>
          <w:trHeight w:val="397"/>
          <w:jc w:val="center"/>
        </w:trPr>
        <w:tc>
          <w:tcPr>
            <w:tcW w:w="2500" w:type="pct"/>
            <w:vAlign w:val="center"/>
          </w:tcPr>
          <w:p w14:paraId="09C7099E"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3636D8">
              <w:rPr>
                <w:rFonts w:eastAsia="宋体"/>
                <w:sz w:val="21"/>
                <w:szCs w:val="21"/>
              </w:rPr>
              <w:t>N</w:t>
            </w:r>
            <w:r w:rsidRPr="003636D8">
              <w:rPr>
                <w:rFonts w:eastAsia="宋体" w:hint="eastAsia"/>
                <w:sz w:val="21"/>
                <w:szCs w:val="21"/>
              </w:rPr>
              <w:t>＜</w:t>
            </w:r>
            <w:r w:rsidRPr="003636D8">
              <w:rPr>
                <w:rFonts w:eastAsia="宋体"/>
                <w:sz w:val="21"/>
                <w:szCs w:val="21"/>
              </w:rPr>
              <w:t>7</w:t>
            </w:r>
            <w:r w:rsidRPr="003636D8">
              <w:rPr>
                <w:rFonts w:eastAsia="宋体" w:hint="eastAsia"/>
                <w:sz w:val="21"/>
                <w:szCs w:val="21"/>
              </w:rPr>
              <w:t>天</w:t>
            </w:r>
          </w:p>
        </w:tc>
        <w:tc>
          <w:tcPr>
            <w:tcW w:w="2500" w:type="pct"/>
            <w:vAlign w:val="center"/>
          </w:tcPr>
          <w:p w14:paraId="33C8A294"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3636D8">
              <w:rPr>
                <w:rFonts w:eastAsia="宋体"/>
                <w:sz w:val="21"/>
                <w:szCs w:val="21"/>
              </w:rPr>
              <w:t>1.5%</w:t>
            </w:r>
          </w:p>
        </w:tc>
      </w:tr>
      <w:tr w:rsidR="00907401" w:rsidRPr="00D419D2" w14:paraId="2A3BD657" w14:textId="77777777" w:rsidTr="00907401">
        <w:trPr>
          <w:trHeight w:val="397"/>
          <w:jc w:val="center"/>
        </w:trPr>
        <w:tc>
          <w:tcPr>
            <w:tcW w:w="2500" w:type="pct"/>
            <w:vAlign w:val="center"/>
          </w:tcPr>
          <w:p w14:paraId="4EDAF68F"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3636D8">
              <w:rPr>
                <w:rFonts w:eastAsia="宋体"/>
                <w:sz w:val="21"/>
                <w:szCs w:val="21"/>
              </w:rPr>
              <w:t>7</w:t>
            </w:r>
            <w:r w:rsidRPr="003636D8">
              <w:rPr>
                <w:rFonts w:eastAsia="宋体" w:hint="eastAsia"/>
                <w:sz w:val="21"/>
                <w:szCs w:val="21"/>
              </w:rPr>
              <w:t>天≤</w:t>
            </w:r>
            <w:r w:rsidRPr="003636D8">
              <w:rPr>
                <w:rFonts w:eastAsia="宋体"/>
                <w:sz w:val="21"/>
                <w:szCs w:val="21"/>
              </w:rPr>
              <w:t>N</w:t>
            </w:r>
            <w:r w:rsidRPr="003636D8">
              <w:rPr>
                <w:rFonts w:eastAsia="宋体" w:hint="eastAsia"/>
                <w:sz w:val="21"/>
                <w:szCs w:val="21"/>
              </w:rPr>
              <w:t>＜</w:t>
            </w:r>
            <w:r w:rsidRPr="003636D8">
              <w:rPr>
                <w:rFonts w:eastAsia="宋体"/>
                <w:sz w:val="21"/>
                <w:szCs w:val="21"/>
              </w:rPr>
              <w:t>30</w:t>
            </w:r>
            <w:r w:rsidRPr="003636D8">
              <w:rPr>
                <w:rFonts w:eastAsia="宋体" w:hint="eastAsia"/>
                <w:sz w:val="21"/>
                <w:szCs w:val="21"/>
              </w:rPr>
              <w:t>天</w:t>
            </w:r>
          </w:p>
        </w:tc>
        <w:tc>
          <w:tcPr>
            <w:tcW w:w="2500" w:type="pct"/>
            <w:vAlign w:val="center"/>
          </w:tcPr>
          <w:p w14:paraId="4131B00E"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3636D8">
              <w:rPr>
                <w:rFonts w:eastAsia="宋体"/>
                <w:sz w:val="21"/>
                <w:szCs w:val="21"/>
              </w:rPr>
              <w:t>1.0%</w:t>
            </w:r>
          </w:p>
        </w:tc>
      </w:tr>
      <w:tr w:rsidR="00907401" w:rsidRPr="00D419D2" w14:paraId="6DE43029" w14:textId="77777777" w:rsidTr="00907401">
        <w:trPr>
          <w:trHeight w:val="397"/>
          <w:jc w:val="center"/>
        </w:trPr>
        <w:tc>
          <w:tcPr>
            <w:tcW w:w="2500" w:type="pct"/>
            <w:vAlign w:val="center"/>
          </w:tcPr>
          <w:p w14:paraId="549A857F"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3636D8">
              <w:rPr>
                <w:rFonts w:eastAsia="宋体"/>
                <w:sz w:val="21"/>
                <w:szCs w:val="21"/>
              </w:rPr>
              <w:t>30</w:t>
            </w:r>
            <w:r w:rsidRPr="003636D8">
              <w:rPr>
                <w:rFonts w:eastAsia="宋体" w:hint="eastAsia"/>
                <w:sz w:val="21"/>
                <w:szCs w:val="21"/>
              </w:rPr>
              <w:t>天≤</w:t>
            </w:r>
            <w:r w:rsidRPr="003636D8">
              <w:rPr>
                <w:rFonts w:eastAsia="宋体"/>
                <w:sz w:val="21"/>
                <w:szCs w:val="21"/>
              </w:rPr>
              <w:t>N</w:t>
            </w:r>
            <w:r w:rsidRPr="003636D8">
              <w:rPr>
                <w:rFonts w:eastAsia="宋体" w:hint="eastAsia"/>
                <w:sz w:val="21"/>
                <w:szCs w:val="21"/>
              </w:rPr>
              <w:t>＜</w:t>
            </w:r>
            <w:r w:rsidRPr="003636D8">
              <w:rPr>
                <w:rFonts w:eastAsia="宋体"/>
                <w:sz w:val="21"/>
                <w:szCs w:val="21"/>
              </w:rPr>
              <w:t>180</w:t>
            </w:r>
            <w:r w:rsidRPr="003636D8">
              <w:rPr>
                <w:rFonts w:eastAsia="宋体" w:hint="eastAsia"/>
                <w:sz w:val="21"/>
                <w:szCs w:val="21"/>
              </w:rPr>
              <w:t>天</w:t>
            </w:r>
          </w:p>
        </w:tc>
        <w:tc>
          <w:tcPr>
            <w:tcW w:w="2500" w:type="pct"/>
            <w:vAlign w:val="center"/>
          </w:tcPr>
          <w:p w14:paraId="47003453"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3636D8">
              <w:rPr>
                <w:rFonts w:eastAsia="宋体"/>
                <w:sz w:val="21"/>
                <w:szCs w:val="21"/>
              </w:rPr>
              <w:t>0.5%</w:t>
            </w:r>
          </w:p>
        </w:tc>
      </w:tr>
      <w:tr w:rsidR="00907401" w:rsidRPr="00D419D2" w14:paraId="6F92874F" w14:textId="77777777" w:rsidTr="00907401">
        <w:trPr>
          <w:trHeight w:val="397"/>
          <w:jc w:val="center"/>
        </w:trPr>
        <w:tc>
          <w:tcPr>
            <w:tcW w:w="2500" w:type="pct"/>
            <w:vAlign w:val="center"/>
          </w:tcPr>
          <w:p w14:paraId="66189731"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3636D8">
              <w:rPr>
                <w:rFonts w:eastAsia="宋体"/>
                <w:sz w:val="21"/>
                <w:szCs w:val="21"/>
              </w:rPr>
              <w:t>N</w:t>
            </w:r>
            <w:r w:rsidRPr="003636D8">
              <w:rPr>
                <w:rFonts w:eastAsia="宋体" w:hint="eastAsia"/>
                <w:sz w:val="21"/>
                <w:szCs w:val="21"/>
              </w:rPr>
              <w:t>≥</w:t>
            </w:r>
            <w:r w:rsidRPr="003636D8">
              <w:rPr>
                <w:rFonts w:eastAsia="宋体"/>
                <w:sz w:val="21"/>
                <w:szCs w:val="21"/>
              </w:rPr>
              <w:t>180</w:t>
            </w:r>
            <w:r w:rsidRPr="003636D8">
              <w:rPr>
                <w:rFonts w:eastAsia="宋体" w:hint="eastAsia"/>
                <w:sz w:val="21"/>
                <w:szCs w:val="21"/>
              </w:rPr>
              <w:t>天</w:t>
            </w:r>
          </w:p>
        </w:tc>
        <w:tc>
          <w:tcPr>
            <w:tcW w:w="2500" w:type="pct"/>
            <w:vAlign w:val="center"/>
          </w:tcPr>
          <w:p w14:paraId="586D2E35" w14:textId="77777777" w:rsidR="00907401" w:rsidRPr="00D419D2" w:rsidRDefault="00907401" w:rsidP="00907401">
            <w:pPr>
              <w:pStyle w:val="23"/>
              <w:adjustRightInd w:val="0"/>
              <w:snapToGrid w:val="0"/>
              <w:spacing w:line="240" w:lineRule="auto"/>
              <w:ind w:firstLineChars="0" w:firstLine="0"/>
              <w:jc w:val="center"/>
              <w:rPr>
                <w:rFonts w:eastAsia="宋体"/>
                <w:sz w:val="21"/>
                <w:szCs w:val="21"/>
              </w:rPr>
            </w:pPr>
            <w:r w:rsidRPr="003636D8">
              <w:rPr>
                <w:rFonts w:eastAsia="宋体"/>
                <w:sz w:val="21"/>
                <w:szCs w:val="21"/>
              </w:rPr>
              <w:t>0%</w:t>
            </w:r>
          </w:p>
        </w:tc>
      </w:tr>
    </w:tbl>
    <w:p w14:paraId="1181557D" w14:textId="77777777" w:rsidR="00E1640D" w:rsidRPr="00E1640D" w:rsidRDefault="00E1640D" w:rsidP="00E1640D">
      <w:pPr>
        <w:snapToGrid w:val="0"/>
        <w:spacing w:line="360" w:lineRule="auto"/>
        <w:ind w:firstLineChars="200" w:firstLine="420"/>
        <w:rPr>
          <w:rFonts w:ascii="Times New Roman" w:hAnsi="Times New Roman" w:cs="宋体"/>
          <w:color w:val="000000"/>
        </w:rPr>
      </w:pPr>
      <w:r w:rsidRPr="00E1640D">
        <w:rPr>
          <w:rFonts w:ascii="Times New Roman" w:hAnsi="Times New Roman" w:cs="宋体" w:hint="eastAsia"/>
          <w:color w:val="000000"/>
        </w:rPr>
        <w:t>赎回费用由赎回基金份额的基金份额持有人承担，在基金份额持有人赎回基金份额时收取。赎回费全额归入基金财产。</w:t>
      </w:r>
    </w:p>
    <w:p w14:paraId="29B95788" w14:textId="77777777" w:rsidR="00E1640D" w:rsidRPr="00E1640D" w:rsidRDefault="00E1640D" w:rsidP="00E1640D">
      <w:pPr>
        <w:snapToGrid w:val="0"/>
        <w:spacing w:line="360" w:lineRule="auto"/>
        <w:ind w:firstLineChars="200" w:firstLine="420"/>
        <w:rPr>
          <w:rFonts w:ascii="Times New Roman" w:hAnsi="Times New Roman" w:cs="宋体"/>
          <w:color w:val="000000"/>
        </w:rPr>
      </w:pPr>
      <w:r w:rsidRPr="00E1640D">
        <w:rPr>
          <w:rFonts w:ascii="Times New Roman" w:hAnsi="Times New Roman" w:cs="宋体" w:hint="eastAsia"/>
          <w:color w:val="000000"/>
        </w:rPr>
        <w:t>3</w:t>
      </w:r>
      <w:r w:rsidRPr="00E1640D">
        <w:rPr>
          <w:rFonts w:ascii="Times New Roman" w:hAnsi="Times New Roman" w:cs="宋体" w:hint="eastAsia"/>
          <w:color w:val="000000"/>
        </w:rPr>
        <w:t>、基金管理人可以在基金合同约定的范围内调整费率或收费方式，并最迟应于新的费率或收费方式实施日前依照《信息披露办法》的有关规定在规定媒介上公告。</w:t>
      </w:r>
    </w:p>
    <w:p w14:paraId="116D61C6" w14:textId="465FBBF2" w:rsidR="00907401" w:rsidRPr="00D419D2" w:rsidRDefault="00E1640D" w:rsidP="00E1640D">
      <w:pPr>
        <w:snapToGrid w:val="0"/>
        <w:spacing w:line="360" w:lineRule="auto"/>
        <w:ind w:firstLineChars="200" w:firstLine="420"/>
        <w:rPr>
          <w:rFonts w:ascii="Times New Roman" w:hAnsi="Times New Roman" w:cs="Times New Roman"/>
          <w:color w:val="000000"/>
        </w:rPr>
      </w:pPr>
      <w:r w:rsidRPr="00E1640D">
        <w:rPr>
          <w:rFonts w:ascii="Times New Roman" w:hAnsi="Times New Roman" w:cs="宋体" w:hint="eastAsia"/>
          <w:color w:val="000000"/>
        </w:rPr>
        <w:t>4</w:t>
      </w:r>
      <w:r w:rsidRPr="00E1640D">
        <w:rPr>
          <w:rFonts w:ascii="Times New Roman" w:hAnsi="Times New Roman" w:cs="宋体" w:hint="eastAsia"/>
          <w:color w:val="000000"/>
        </w:rPr>
        <w:t>、基金管理人及其他基金销售机构可以在不违背法律法规规定及《基金合同》约定、对基金份额持有人利益无实质性不利影响的情形下，对除赎回费外的基金销售费用实行一定的优惠，费率优惠的相关规则和流程详见基金管理人或其他基金销售机构届时发布的相关公告或通知</w:t>
      </w:r>
      <w:r w:rsidR="00907401" w:rsidRPr="00D419D2">
        <w:rPr>
          <w:rFonts w:ascii="Times New Roman" w:hAnsi="Times New Roman" w:cs="宋体" w:hint="eastAsia"/>
          <w:color w:val="000000"/>
        </w:rPr>
        <w:t>。</w:t>
      </w:r>
    </w:p>
    <w:p w14:paraId="0A31382C"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七、申购份额与赎回金额的计算</w:t>
      </w:r>
    </w:p>
    <w:p w14:paraId="1D449839"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1</w:t>
      </w:r>
      <w:r w:rsidRPr="00E1640D">
        <w:rPr>
          <w:rFonts w:ascii="Times New Roman" w:hAnsi="Times New Roman" w:cs="宋体" w:hint="eastAsia"/>
          <w:bCs/>
          <w:color w:val="000000"/>
        </w:rPr>
        <w:t>、基金申购份额的计算</w:t>
      </w:r>
    </w:p>
    <w:p w14:paraId="6B908AF0"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申购份额的计算公式为：</w:t>
      </w:r>
    </w:p>
    <w:p w14:paraId="232EF6ED"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w:t>
      </w:r>
      <w:r w:rsidRPr="00E1640D">
        <w:rPr>
          <w:rFonts w:ascii="Times New Roman" w:hAnsi="Times New Roman" w:cs="宋体" w:hint="eastAsia"/>
          <w:bCs/>
          <w:color w:val="000000"/>
        </w:rPr>
        <w:t>1</w:t>
      </w:r>
      <w:r w:rsidRPr="00E1640D">
        <w:rPr>
          <w:rFonts w:ascii="Times New Roman" w:hAnsi="Times New Roman" w:cs="宋体" w:hint="eastAsia"/>
          <w:bCs/>
          <w:color w:val="000000"/>
        </w:rPr>
        <w:t>）若投资者通过直销机构申购</w:t>
      </w:r>
      <w:r w:rsidRPr="00E1640D">
        <w:rPr>
          <w:rFonts w:ascii="Times New Roman" w:hAnsi="Times New Roman" w:cs="宋体" w:hint="eastAsia"/>
          <w:bCs/>
          <w:color w:val="000000"/>
        </w:rPr>
        <w:t>A</w:t>
      </w:r>
      <w:r w:rsidRPr="00E1640D">
        <w:rPr>
          <w:rFonts w:ascii="Times New Roman" w:hAnsi="Times New Roman" w:cs="宋体" w:hint="eastAsia"/>
          <w:bCs/>
          <w:color w:val="000000"/>
        </w:rPr>
        <w:t>类基金份额：</w:t>
      </w:r>
    </w:p>
    <w:p w14:paraId="5BC39E90"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申购份额＝申购金额</w:t>
      </w:r>
      <w:r w:rsidRPr="00E1640D">
        <w:rPr>
          <w:rFonts w:ascii="Times New Roman" w:hAnsi="Times New Roman" w:cs="宋体" w:hint="eastAsia"/>
          <w:bCs/>
          <w:color w:val="000000"/>
        </w:rPr>
        <w:t>/</w:t>
      </w:r>
      <w:r w:rsidRPr="00E1640D">
        <w:rPr>
          <w:rFonts w:ascii="Times New Roman" w:hAnsi="Times New Roman" w:cs="宋体" w:hint="eastAsia"/>
          <w:bCs/>
          <w:color w:val="000000"/>
        </w:rPr>
        <w:t>申购当日</w:t>
      </w:r>
      <w:r w:rsidRPr="00E1640D">
        <w:rPr>
          <w:rFonts w:ascii="Times New Roman" w:hAnsi="Times New Roman" w:cs="宋体" w:hint="eastAsia"/>
          <w:bCs/>
          <w:color w:val="000000"/>
        </w:rPr>
        <w:t>A</w:t>
      </w:r>
      <w:r w:rsidRPr="00E1640D">
        <w:rPr>
          <w:rFonts w:ascii="Times New Roman" w:hAnsi="Times New Roman" w:cs="宋体" w:hint="eastAsia"/>
          <w:bCs/>
          <w:color w:val="000000"/>
        </w:rPr>
        <w:t>类基金份额净值</w:t>
      </w:r>
    </w:p>
    <w:p w14:paraId="7AA6EA8D"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w:t>
      </w:r>
      <w:r w:rsidRPr="00E1640D">
        <w:rPr>
          <w:rFonts w:ascii="Times New Roman" w:hAnsi="Times New Roman" w:cs="宋体" w:hint="eastAsia"/>
          <w:bCs/>
          <w:color w:val="000000"/>
        </w:rPr>
        <w:t>2</w:t>
      </w:r>
      <w:r w:rsidRPr="00E1640D">
        <w:rPr>
          <w:rFonts w:ascii="Times New Roman" w:hAnsi="Times New Roman" w:cs="宋体" w:hint="eastAsia"/>
          <w:bCs/>
          <w:color w:val="000000"/>
        </w:rPr>
        <w:t>）若投资者通过其他销售机构申购</w:t>
      </w:r>
      <w:r w:rsidRPr="00E1640D">
        <w:rPr>
          <w:rFonts w:ascii="Times New Roman" w:hAnsi="Times New Roman" w:cs="宋体" w:hint="eastAsia"/>
          <w:bCs/>
          <w:color w:val="000000"/>
        </w:rPr>
        <w:t>A</w:t>
      </w:r>
      <w:r w:rsidRPr="00E1640D">
        <w:rPr>
          <w:rFonts w:ascii="Times New Roman" w:hAnsi="Times New Roman" w:cs="宋体" w:hint="eastAsia"/>
          <w:bCs/>
          <w:color w:val="000000"/>
        </w:rPr>
        <w:t>类基金份额：</w:t>
      </w:r>
    </w:p>
    <w:p w14:paraId="7081272B"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申购金额包括申购费用和净申购金额。</w:t>
      </w:r>
    </w:p>
    <w:p w14:paraId="25C897E1"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1</w:t>
      </w:r>
      <w:r w:rsidRPr="00E1640D">
        <w:rPr>
          <w:rFonts w:ascii="Times New Roman" w:hAnsi="Times New Roman" w:cs="宋体" w:hint="eastAsia"/>
          <w:bCs/>
          <w:color w:val="000000"/>
        </w:rPr>
        <w:t>）适用于比例费率</w:t>
      </w:r>
    </w:p>
    <w:p w14:paraId="1B7764F0"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净申购金额＝申购金额</w:t>
      </w:r>
      <w:r w:rsidRPr="00E1640D">
        <w:rPr>
          <w:rFonts w:ascii="Times New Roman" w:hAnsi="Times New Roman" w:cs="宋体" w:hint="eastAsia"/>
          <w:bCs/>
          <w:color w:val="000000"/>
        </w:rPr>
        <w:t>/</w:t>
      </w:r>
      <w:r w:rsidRPr="00E1640D">
        <w:rPr>
          <w:rFonts w:ascii="Times New Roman" w:hAnsi="Times New Roman" w:cs="宋体" w:hint="eastAsia"/>
          <w:bCs/>
          <w:color w:val="000000"/>
        </w:rPr>
        <w:t>（</w:t>
      </w:r>
      <w:r w:rsidRPr="00E1640D">
        <w:rPr>
          <w:rFonts w:ascii="Times New Roman" w:hAnsi="Times New Roman" w:cs="宋体" w:hint="eastAsia"/>
          <w:bCs/>
          <w:color w:val="000000"/>
        </w:rPr>
        <w:t>1+</w:t>
      </w:r>
      <w:r w:rsidRPr="00E1640D">
        <w:rPr>
          <w:rFonts w:ascii="Times New Roman" w:hAnsi="Times New Roman" w:cs="宋体" w:hint="eastAsia"/>
          <w:bCs/>
          <w:color w:val="000000"/>
        </w:rPr>
        <w:t>申购费率）</w:t>
      </w:r>
    </w:p>
    <w:p w14:paraId="4E6808A1"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申购费用＝申购金额－净申购金额</w:t>
      </w:r>
    </w:p>
    <w:p w14:paraId="081FE03C"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申购份额＝净申购金额</w:t>
      </w:r>
      <w:r w:rsidRPr="00E1640D">
        <w:rPr>
          <w:rFonts w:ascii="Times New Roman" w:hAnsi="Times New Roman" w:cs="宋体" w:hint="eastAsia"/>
          <w:bCs/>
          <w:color w:val="000000"/>
        </w:rPr>
        <w:t>/</w:t>
      </w:r>
      <w:r w:rsidRPr="00E1640D">
        <w:rPr>
          <w:rFonts w:ascii="Times New Roman" w:hAnsi="Times New Roman" w:cs="宋体" w:hint="eastAsia"/>
          <w:bCs/>
          <w:color w:val="000000"/>
        </w:rPr>
        <w:t>申购当日</w:t>
      </w:r>
      <w:r w:rsidRPr="00E1640D">
        <w:rPr>
          <w:rFonts w:ascii="Times New Roman" w:hAnsi="Times New Roman" w:cs="宋体" w:hint="eastAsia"/>
          <w:bCs/>
          <w:color w:val="000000"/>
        </w:rPr>
        <w:t>A</w:t>
      </w:r>
      <w:r w:rsidRPr="00E1640D">
        <w:rPr>
          <w:rFonts w:ascii="Times New Roman" w:hAnsi="Times New Roman" w:cs="宋体" w:hint="eastAsia"/>
          <w:bCs/>
          <w:color w:val="000000"/>
        </w:rPr>
        <w:t>类基金份额净值</w:t>
      </w:r>
    </w:p>
    <w:p w14:paraId="49EA05CF"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2</w:t>
      </w:r>
      <w:r w:rsidRPr="00E1640D">
        <w:rPr>
          <w:rFonts w:ascii="Times New Roman" w:hAnsi="Times New Roman" w:cs="宋体" w:hint="eastAsia"/>
          <w:bCs/>
          <w:color w:val="000000"/>
        </w:rPr>
        <w:t>）适用于固定费用</w:t>
      </w:r>
    </w:p>
    <w:p w14:paraId="31EDAFE4"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净申购金额＝申购金额</w:t>
      </w:r>
      <w:r w:rsidRPr="00E1640D">
        <w:rPr>
          <w:rFonts w:ascii="Times New Roman" w:hAnsi="Times New Roman" w:cs="宋体" w:hint="eastAsia"/>
          <w:bCs/>
          <w:color w:val="000000"/>
        </w:rPr>
        <w:t>-</w:t>
      </w:r>
      <w:r w:rsidRPr="00E1640D">
        <w:rPr>
          <w:rFonts w:ascii="Times New Roman" w:hAnsi="Times New Roman" w:cs="宋体" w:hint="eastAsia"/>
          <w:bCs/>
          <w:color w:val="000000"/>
        </w:rPr>
        <w:t>固定申购费用</w:t>
      </w:r>
    </w:p>
    <w:p w14:paraId="06818191"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申购份额＝净申购金额</w:t>
      </w:r>
      <w:r w:rsidRPr="00E1640D">
        <w:rPr>
          <w:rFonts w:ascii="Times New Roman" w:hAnsi="Times New Roman" w:cs="宋体" w:hint="eastAsia"/>
          <w:bCs/>
          <w:color w:val="000000"/>
        </w:rPr>
        <w:t>/</w:t>
      </w:r>
      <w:r w:rsidRPr="00E1640D">
        <w:rPr>
          <w:rFonts w:ascii="Times New Roman" w:hAnsi="Times New Roman" w:cs="宋体" w:hint="eastAsia"/>
          <w:bCs/>
          <w:color w:val="000000"/>
        </w:rPr>
        <w:t>申购当日</w:t>
      </w:r>
      <w:r w:rsidRPr="00E1640D">
        <w:rPr>
          <w:rFonts w:ascii="Times New Roman" w:hAnsi="Times New Roman" w:cs="宋体" w:hint="eastAsia"/>
          <w:bCs/>
          <w:color w:val="000000"/>
        </w:rPr>
        <w:t>A</w:t>
      </w:r>
      <w:r w:rsidRPr="00E1640D">
        <w:rPr>
          <w:rFonts w:ascii="Times New Roman" w:hAnsi="Times New Roman" w:cs="宋体" w:hint="eastAsia"/>
          <w:bCs/>
          <w:color w:val="000000"/>
        </w:rPr>
        <w:t>类基金份额净值</w:t>
      </w:r>
    </w:p>
    <w:p w14:paraId="315452F2"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w:t>
      </w:r>
      <w:r w:rsidRPr="00E1640D">
        <w:rPr>
          <w:rFonts w:ascii="Times New Roman" w:hAnsi="Times New Roman" w:cs="宋体" w:hint="eastAsia"/>
          <w:bCs/>
          <w:color w:val="000000"/>
        </w:rPr>
        <w:t>3</w:t>
      </w:r>
      <w:r w:rsidRPr="00E1640D">
        <w:rPr>
          <w:rFonts w:ascii="Times New Roman" w:hAnsi="Times New Roman" w:cs="宋体" w:hint="eastAsia"/>
          <w:bCs/>
          <w:color w:val="000000"/>
        </w:rPr>
        <w:t>）若投资者申购</w:t>
      </w:r>
      <w:r w:rsidRPr="00E1640D">
        <w:rPr>
          <w:rFonts w:ascii="Times New Roman" w:hAnsi="Times New Roman" w:cs="宋体" w:hint="eastAsia"/>
          <w:bCs/>
          <w:color w:val="000000"/>
        </w:rPr>
        <w:t>C</w:t>
      </w:r>
      <w:r w:rsidRPr="00E1640D">
        <w:rPr>
          <w:rFonts w:ascii="Times New Roman" w:hAnsi="Times New Roman" w:cs="宋体" w:hint="eastAsia"/>
          <w:bCs/>
          <w:color w:val="000000"/>
        </w:rPr>
        <w:t>类基金份额：</w:t>
      </w:r>
    </w:p>
    <w:p w14:paraId="0AFEDB65"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C</w:t>
      </w:r>
      <w:r w:rsidRPr="00E1640D">
        <w:rPr>
          <w:rFonts w:ascii="Times New Roman" w:hAnsi="Times New Roman" w:cs="宋体" w:hint="eastAsia"/>
          <w:bCs/>
          <w:color w:val="000000"/>
        </w:rPr>
        <w:t>类基金份额申购费率为</w:t>
      </w:r>
      <w:r w:rsidRPr="00E1640D">
        <w:rPr>
          <w:rFonts w:ascii="Times New Roman" w:hAnsi="Times New Roman" w:cs="宋体" w:hint="eastAsia"/>
          <w:bCs/>
          <w:color w:val="000000"/>
        </w:rPr>
        <w:t>0</w:t>
      </w:r>
      <w:r w:rsidRPr="00E1640D">
        <w:rPr>
          <w:rFonts w:ascii="Times New Roman" w:hAnsi="Times New Roman" w:cs="宋体" w:hint="eastAsia"/>
          <w:bCs/>
          <w:color w:val="000000"/>
        </w:rPr>
        <w:t>，申购份额的计算公式为：</w:t>
      </w:r>
    </w:p>
    <w:p w14:paraId="6E335E1F"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申购份额＝申购金额</w:t>
      </w:r>
      <w:r w:rsidRPr="00E1640D">
        <w:rPr>
          <w:rFonts w:ascii="Times New Roman" w:hAnsi="Times New Roman" w:cs="宋体" w:hint="eastAsia"/>
          <w:bCs/>
          <w:color w:val="000000"/>
        </w:rPr>
        <w:t>/</w:t>
      </w:r>
      <w:r w:rsidRPr="00E1640D">
        <w:rPr>
          <w:rFonts w:ascii="Times New Roman" w:hAnsi="Times New Roman" w:cs="宋体" w:hint="eastAsia"/>
          <w:bCs/>
          <w:color w:val="000000"/>
        </w:rPr>
        <w:t>申购当日</w:t>
      </w:r>
      <w:r w:rsidRPr="00E1640D">
        <w:rPr>
          <w:rFonts w:ascii="Times New Roman" w:hAnsi="Times New Roman" w:cs="宋体" w:hint="eastAsia"/>
          <w:bCs/>
          <w:color w:val="000000"/>
        </w:rPr>
        <w:t>C</w:t>
      </w:r>
      <w:r w:rsidRPr="00E1640D">
        <w:rPr>
          <w:rFonts w:ascii="Times New Roman" w:hAnsi="Times New Roman" w:cs="宋体" w:hint="eastAsia"/>
          <w:bCs/>
          <w:color w:val="000000"/>
        </w:rPr>
        <w:t>类基金份额净值</w:t>
      </w:r>
    </w:p>
    <w:p w14:paraId="43AEC073"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例：某投资人通过直销机构投资</w:t>
      </w:r>
      <w:r w:rsidRPr="00E1640D">
        <w:rPr>
          <w:rFonts w:ascii="Times New Roman" w:hAnsi="Times New Roman" w:cs="宋体" w:hint="eastAsia"/>
          <w:bCs/>
          <w:color w:val="000000"/>
        </w:rPr>
        <w:t>10</w:t>
      </w:r>
      <w:r w:rsidRPr="00E1640D">
        <w:rPr>
          <w:rFonts w:ascii="Times New Roman" w:hAnsi="Times New Roman" w:cs="宋体" w:hint="eastAsia"/>
          <w:bCs/>
          <w:color w:val="000000"/>
        </w:rPr>
        <w:t>万元申购本基金</w:t>
      </w:r>
      <w:r w:rsidRPr="00E1640D">
        <w:rPr>
          <w:rFonts w:ascii="Times New Roman" w:hAnsi="Times New Roman" w:cs="宋体" w:hint="eastAsia"/>
          <w:bCs/>
          <w:color w:val="000000"/>
        </w:rPr>
        <w:t>A</w:t>
      </w:r>
      <w:r w:rsidRPr="00E1640D">
        <w:rPr>
          <w:rFonts w:ascii="Times New Roman" w:hAnsi="Times New Roman" w:cs="宋体" w:hint="eastAsia"/>
          <w:bCs/>
          <w:color w:val="000000"/>
        </w:rPr>
        <w:t>类基金份额，无申购费用，假设申购当日</w:t>
      </w:r>
      <w:r w:rsidRPr="00E1640D">
        <w:rPr>
          <w:rFonts w:ascii="Times New Roman" w:hAnsi="Times New Roman" w:cs="宋体" w:hint="eastAsia"/>
          <w:bCs/>
          <w:color w:val="000000"/>
        </w:rPr>
        <w:t>A</w:t>
      </w:r>
      <w:r w:rsidRPr="00E1640D">
        <w:rPr>
          <w:rFonts w:ascii="Times New Roman" w:hAnsi="Times New Roman" w:cs="宋体" w:hint="eastAsia"/>
          <w:bCs/>
          <w:color w:val="000000"/>
        </w:rPr>
        <w:t>类基金份额净值为</w:t>
      </w:r>
      <w:r w:rsidRPr="00E1640D">
        <w:rPr>
          <w:rFonts w:ascii="Times New Roman" w:hAnsi="Times New Roman" w:cs="宋体" w:hint="eastAsia"/>
          <w:bCs/>
          <w:color w:val="000000"/>
        </w:rPr>
        <w:t>1.0170</w:t>
      </w:r>
      <w:r w:rsidRPr="00E1640D">
        <w:rPr>
          <w:rFonts w:ascii="Times New Roman" w:hAnsi="Times New Roman" w:cs="宋体" w:hint="eastAsia"/>
          <w:bCs/>
          <w:color w:val="000000"/>
        </w:rPr>
        <w:t>元，则其可得到的申购份额为：</w:t>
      </w:r>
    </w:p>
    <w:p w14:paraId="2219D8EA"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申购份额＝</w:t>
      </w:r>
      <w:r w:rsidRPr="00E1640D">
        <w:rPr>
          <w:rFonts w:ascii="Times New Roman" w:hAnsi="Times New Roman" w:cs="宋体" w:hint="eastAsia"/>
          <w:bCs/>
          <w:color w:val="000000"/>
        </w:rPr>
        <w:t>100,000.00/1.0170</w:t>
      </w:r>
      <w:r w:rsidRPr="00E1640D">
        <w:rPr>
          <w:rFonts w:ascii="Times New Roman" w:hAnsi="Times New Roman" w:cs="宋体" w:hint="eastAsia"/>
          <w:bCs/>
          <w:color w:val="000000"/>
        </w:rPr>
        <w:t>＝</w:t>
      </w:r>
      <w:r w:rsidRPr="00E1640D">
        <w:rPr>
          <w:rFonts w:ascii="Times New Roman" w:hAnsi="Times New Roman" w:cs="宋体" w:hint="eastAsia"/>
          <w:bCs/>
          <w:color w:val="000000"/>
        </w:rPr>
        <w:t>98,328.42</w:t>
      </w:r>
      <w:r w:rsidRPr="00E1640D">
        <w:rPr>
          <w:rFonts w:ascii="Times New Roman" w:hAnsi="Times New Roman" w:cs="宋体" w:hint="eastAsia"/>
          <w:bCs/>
          <w:color w:val="000000"/>
        </w:rPr>
        <w:t>份</w:t>
      </w:r>
    </w:p>
    <w:p w14:paraId="54A35A61"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例：某投资人通过其他销售机构投资</w:t>
      </w:r>
      <w:r w:rsidRPr="00E1640D">
        <w:rPr>
          <w:rFonts w:ascii="Times New Roman" w:hAnsi="Times New Roman" w:cs="宋体" w:hint="eastAsia"/>
          <w:bCs/>
          <w:color w:val="000000"/>
        </w:rPr>
        <w:t>10</w:t>
      </w:r>
      <w:r w:rsidRPr="00E1640D">
        <w:rPr>
          <w:rFonts w:ascii="Times New Roman" w:hAnsi="Times New Roman" w:cs="宋体" w:hint="eastAsia"/>
          <w:bCs/>
          <w:color w:val="000000"/>
        </w:rPr>
        <w:t>万元申购本基金</w:t>
      </w:r>
      <w:r w:rsidRPr="00E1640D">
        <w:rPr>
          <w:rFonts w:ascii="Times New Roman" w:hAnsi="Times New Roman" w:cs="宋体" w:hint="eastAsia"/>
          <w:bCs/>
          <w:color w:val="000000"/>
        </w:rPr>
        <w:t>A</w:t>
      </w:r>
      <w:r w:rsidRPr="00E1640D">
        <w:rPr>
          <w:rFonts w:ascii="Times New Roman" w:hAnsi="Times New Roman" w:cs="宋体" w:hint="eastAsia"/>
          <w:bCs/>
          <w:color w:val="000000"/>
        </w:rPr>
        <w:t>类基金份额，假设申购当日</w:t>
      </w:r>
      <w:r w:rsidRPr="00E1640D">
        <w:rPr>
          <w:rFonts w:ascii="Times New Roman" w:hAnsi="Times New Roman" w:cs="宋体" w:hint="eastAsia"/>
          <w:bCs/>
          <w:color w:val="000000"/>
        </w:rPr>
        <w:t>A</w:t>
      </w:r>
      <w:r w:rsidRPr="00E1640D">
        <w:rPr>
          <w:rFonts w:ascii="Times New Roman" w:hAnsi="Times New Roman" w:cs="宋体" w:hint="eastAsia"/>
          <w:bCs/>
          <w:color w:val="000000"/>
        </w:rPr>
        <w:t>类基金份额净值为</w:t>
      </w:r>
      <w:r w:rsidRPr="00E1640D">
        <w:rPr>
          <w:rFonts w:ascii="Times New Roman" w:hAnsi="Times New Roman" w:cs="宋体" w:hint="eastAsia"/>
          <w:bCs/>
          <w:color w:val="000000"/>
        </w:rPr>
        <w:t>1.0170</w:t>
      </w:r>
      <w:r w:rsidRPr="00E1640D">
        <w:rPr>
          <w:rFonts w:ascii="Times New Roman" w:hAnsi="Times New Roman" w:cs="宋体" w:hint="eastAsia"/>
          <w:bCs/>
          <w:color w:val="000000"/>
        </w:rPr>
        <w:t>元，对应申购费率为</w:t>
      </w:r>
      <w:r w:rsidRPr="00E1640D">
        <w:rPr>
          <w:rFonts w:ascii="Times New Roman" w:hAnsi="Times New Roman" w:cs="宋体" w:hint="eastAsia"/>
          <w:bCs/>
          <w:color w:val="000000"/>
        </w:rPr>
        <w:t>0.3%</w:t>
      </w:r>
      <w:r w:rsidRPr="00E1640D">
        <w:rPr>
          <w:rFonts w:ascii="Times New Roman" w:hAnsi="Times New Roman" w:cs="宋体" w:hint="eastAsia"/>
          <w:bCs/>
          <w:color w:val="000000"/>
        </w:rPr>
        <w:t>，则其可得到的申购份额为：</w:t>
      </w:r>
    </w:p>
    <w:p w14:paraId="19CF1F1F"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净申购金额＝</w:t>
      </w:r>
      <w:r w:rsidRPr="00E1640D">
        <w:rPr>
          <w:rFonts w:ascii="Times New Roman" w:hAnsi="Times New Roman" w:cs="宋体" w:hint="eastAsia"/>
          <w:bCs/>
          <w:color w:val="000000"/>
        </w:rPr>
        <w:t>100,000/(1+0.3%</w:t>
      </w:r>
      <w:r w:rsidRPr="00E1640D">
        <w:rPr>
          <w:rFonts w:ascii="Times New Roman" w:hAnsi="Times New Roman" w:cs="宋体" w:hint="eastAsia"/>
          <w:bCs/>
          <w:color w:val="000000"/>
        </w:rPr>
        <w:t>）＝</w:t>
      </w:r>
      <w:r w:rsidRPr="00E1640D">
        <w:rPr>
          <w:rFonts w:ascii="Times New Roman" w:hAnsi="Times New Roman" w:cs="宋体" w:hint="eastAsia"/>
          <w:bCs/>
          <w:color w:val="000000"/>
        </w:rPr>
        <w:t>99,700.90</w:t>
      </w:r>
      <w:r w:rsidRPr="00E1640D">
        <w:rPr>
          <w:rFonts w:ascii="Times New Roman" w:hAnsi="Times New Roman" w:cs="宋体" w:hint="eastAsia"/>
          <w:bCs/>
          <w:color w:val="000000"/>
        </w:rPr>
        <w:t>元</w:t>
      </w:r>
    </w:p>
    <w:p w14:paraId="39E9A09C"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申购费用＝</w:t>
      </w:r>
      <w:r w:rsidRPr="00E1640D">
        <w:rPr>
          <w:rFonts w:ascii="Times New Roman" w:hAnsi="Times New Roman" w:cs="宋体" w:hint="eastAsia"/>
          <w:bCs/>
          <w:color w:val="000000"/>
        </w:rPr>
        <w:t>100,000</w:t>
      </w:r>
      <w:r w:rsidRPr="00E1640D">
        <w:rPr>
          <w:rFonts w:ascii="Times New Roman" w:hAnsi="Times New Roman" w:cs="宋体" w:hint="eastAsia"/>
          <w:bCs/>
          <w:color w:val="000000"/>
        </w:rPr>
        <w:t>－</w:t>
      </w:r>
      <w:r w:rsidRPr="00E1640D">
        <w:rPr>
          <w:rFonts w:ascii="Times New Roman" w:hAnsi="Times New Roman" w:cs="宋体" w:hint="eastAsia"/>
          <w:bCs/>
          <w:color w:val="000000"/>
        </w:rPr>
        <w:t>99,700.90</w:t>
      </w:r>
      <w:r w:rsidRPr="00E1640D">
        <w:rPr>
          <w:rFonts w:ascii="Times New Roman" w:hAnsi="Times New Roman" w:cs="宋体" w:hint="eastAsia"/>
          <w:bCs/>
          <w:color w:val="000000"/>
        </w:rPr>
        <w:t>＝</w:t>
      </w:r>
      <w:r w:rsidRPr="00E1640D">
        <w:rPr>
          <w:rFonts w:ascii="Times New Roman" w:hAnsi="Times New Roman" w:cs="宋体" w:hint="eastAsia"/>
          <w:bCs/>
          <w:color w:val="000000"/>
        </w:rPr>
        <w:t>299.10</w:t>
      </w:r>
      <w:r w:rsidRPr="00E1640D">
        <w:rPr>
          <w:rFonts w:ascii="Times New Roman" w:hAnsi="Times New Roman" w:cs="宋体" w:hint="eastAsia"/>
          <w:bCs/>
          <w:color w:val="000000"/>
        </w:rPr>
        <w:t>元</w:t>
      </w:r>
    </w:p>
    <w:p w14:paraId="52C34AED"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申购份额＝</w:t>
      </w:r>
      <w:r w:rsidRPr="00E1640D">
        <w:rPr>
          <w:rFonts w:ascii="Times New Roman" w:hAnsi="Times New Roman" w:cs="宋体" w:hint="eastAsia"/>
          <w:bCs/>
          <w:color w:val="000000"/>
        </w:rPr>
        <w:t>99,700.90/1.0170</w:t>
      </w:r>
      <w:r w:rsidRPr="00E1640D">
        <w:rPr>
          <w:rFonts w:ascii="Times New Roman" w:hAnsi="Times New Roman" w:cs="宋体" w:hint="eastAsia"/>
          <w:bCs/>
          <w:color w:val="000000"/>
        </w:rPr>
        <w:t>＝</w:t>
      </w:r>
      <w:r w:rsidRPr="00E1640D">
        <w:rPr>
          <w:rFonts w:ascii="Times New Roman" w:hAnsi="Times New Roman" w:cs="宋体" w:hint="eastAsia"/>
          <w:bCs/>
          <w:color w:val="000000"/>
        </w:rPr>
        <w:t>98,034.32</w:t>
      </w:r>
      <w:r w:rsidRPr="00E1640D">
        <w:rPr>
          <w:rFonts w:ascii="Times New Roman" w:hAnsi="Times New Roman" w:cs="宋体" w:hint="eastAsia"/>
          <w:bCs/>
          <w:color w:val="000000"/>
        </w:rPr>
        <w:t>份</w:t>
      </w:r>
    </w:p>
    <w:p w14:paraId="291E402A"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例：某投资人投资</w:t>
      </w:r>
      <w:r w:rsidRPr="00E1640D">
        <w:rPr>
          <w:rFonts w:ascii="Times New Roman" w:hAnsi="Times New Roman" w:cs="宋体" w:hint="eastAsia"/>
          <w:bCs/>
          <w:color w:val="000000"/>
        </w:rPr>
        <w:t>10</w:t>
      </w:r>
      <w:r w:rsidRPr="00E1640D">
        <w:rPr>
          <w:rFonts w:ascii="Times New Roman" w:hAnsi="Times New Roman" w:cs="宋体" w:hint="eastAsia"/>
          <w:bCs/>
          <w:color w:val="000000"/>
        </w:rPr>
        <w:t>万元申购本基金</w:t>
      </w:r>
      <w:r w:rsidRPr="00E1640D">
        <w:rPr>
          <w:rFonts w:ascii="Times New Roman" w:hAnsi="Times New Roman" w:cs="宋体" w:hint="eastAsia"/>
          <w:bCs/>
          <w:color w:val="000000"/>
        </w:rPr>
        <w:t>C</w:t>
      </w:r>
      <w:r w:rsidRPr="00E1640D">
        <w:rPr>
          <w:rFonts w:ascii="Times New Roman" w:hAnsi="Times New Roman" w:cs="宋体" w:hint="eastAsia"/>
          <w:bCs/>
          <w:color w:val="000000"/>
        </w:rPr>
        <w:t>类基金份额，假设申购当日</w:t>
      </w:r>
      <w:r w:rsidRPr="00E1640D">
        <w:rPr>
          <w:rFonts w:ascii="Times New Roman" w:hAnsi="Times New Roman" w:cs="宋体" w:hint="eastAsia"/>
          <w:bCs/>
          <w:color w:val="000000"/>
        </w:rPr>
        <w:t>C</w:t>
      </w:r>
      <w:r w:rsidRPr="00E1640D">
        <w:rPr>
          <w:rFonts w:ascii="Times New Roman" w:hAnsi="Times New Roman" w:cs="宋体" w:hint="eastAsia"/>
          <w:bCs/>
          <w:color w:val="000000"/>
        </w:rPr>
        <w:t>类基金份额净值为</w:t>
      </w:r>
      <w:r w:rsidRPr="00E1640D">
        <w:rPr>
          <w:rFonts w:ascii="Times New Roman" w:hAnsi="Times New Roman" w:cs="宋体" w:hint="eastAsia"/>
          <w:bCs/>
          <w:color w:val="000000"/>
        </w:rPr>
        <w:t>1.0170</w:t>
      </w:r>
      <w:r w:rsidRPr="00E1640D">
        <w:rPr>
          <w:rFonts w:ascii="Times New Roman" w:hAnsi="Times New Roman" w:cs="宋体" w:hint="eastAsia"/>
          <w:bCs/>
          <w:color w:val="000000"/>
        </w:rPr>
        <w:t>元，则其可得到的申购份额为：</w:t>
      </w:r>
    </w:p>
    <w:p w14:paraId="08904B7A"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申购份额＝</w:t>
      </w:r>
      <w:r w:rsidRPr="00E1640D">
        <w:rPr>
          <w:rFonts w:ascii="Times New Roman" w:hAnsi="Times New Roman" w:cs="宋体" w:hint="eastAsia"/>
          <w:bCs/>
          <w:color w:val="000000"/>
        </w:rPr>
        <w:t>100,000/1.0170</w:t>
      </w:r>
      <w:r w:rsidRPr="00E1640D">
        <w:rPr>
          <w:rFonts w:ascii="Times New Roman" w:hAnsi="Times New Roman" w:cs="宋体" w:hint="eastAsia"/>
          <w:bCs/>
          <w:color w:val="000000"/>
        </w:rPr>
        <w:t>＝</w:t>
      </w:r>
      <w:r w:rsidRPr="00E1640D">
        <w:rPr>
          <w:rFonts w:ascii="Times New Roman" w:hAnsi="Times New Roman" w:cs="宋体" w:hint="eastAsia"/>
          <w:bCs/>
          <w:color w:val="000000"/>
        </w:rPr>
        <w:t>98,328.42</w:t>
      </w:r>
      <w:r w:rsidRPr="00E1640D">
        <w:rPr>
          <w:rFonts w:ascii="Times New Roman" w:hAnsi="Times New Roman" w:cs="宋体" w:hint="eastAsia"/>
          <w:bCs/>
          <w:color w:val="000000"/>
        </w:rPr>
        <w:t>份</w:t>
      </w:r>
    </w:p>
    <w:p w14:paraId="22AC2DFC"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2</w:t>
      </w:r>
      <w:r w:rsidRPr="00E1640D">
        <w:rPr>
          <w:rFonts w:ascii="Times New Roman" w:hAnsi="Times New Roman" w:cs="宋体" w:hint="eastAsia"/>
          <w:bCs/>
          <w:color w:val="000000"/>
        </w:rPr>
        <w:t>、基金赎回金额的计算</w:t>
      </w:r>
    </w:p>
    <w:p w14:paraId="426CEBE5"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本基金的赎回金额计算公式为：</w:t>
      </w:r>
    </w:p>
    <w:p w14:paraId="67A297BD"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赎回费用＝赎回份额</w:t>
      </w:r>
      <w:r w:rsidRPr="00E1640D">
        <w:rPr>
          <w:rFonts w:ascii="Times New Roman" w:hAnsi="Times New Roman" w:cs="宋体"/>
          <w:bCs/>
          <w:color w:val="000000"/>
        </w:rPr>
        <w:t></w:t>
      </w:r>
      <w:r w:rsidRPr="00E1640D">
        <w:rPr>
          <w:rFonts w:ascii="Times New Roman" w:hAnsi="Times New Roman" w:cs="宋体" w:hint="eastAsia"/>
          <w:bCs/>
          <w:color w:val="000000"/>
        </w:rPr>
        <w:t>赎回当日该类基金份额净值</w:t>
      </w:r>
      <w:r w:rsidRPr="00E1640D">
        <w:rPr>
          <w:rFonts w:ascii="Times New Roman" w:hAnsi="Times New Roman" w:cs="宋体"/>
          <w:bCs/>
          <w:color w:val="000000"/>
        </w:rPr>
        <w:t></w:t>
      </w:r>
      <w:r w:rsidRPr="00E1640D">
        <w:rPr>
          <w:rFonts w:ascii="Times New Roman" w:hAnsi="Times New Roman" w:cs="宋体" w:hint="eastAsia"/>
          <w:bCs/>
          <w:color w:val="000000"/>
        </w:rPr>
        <w:t>赎回费率</w:t>
      </w:r>
    </w:p>
    <w:p w14:paraId="63A42EE9"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赎回金额＝赎回份额</w:t>
      </w:r>
      <w:r w:rsidRPr="00E1640D">
        <w:rPr>
          <w:rFonts w:ascii="Times New Roman" w:hAnsi="Times New Roman" w:cs="宋体"/>
          <w:bCs/>
          <w:color w:val="000000"/>
        </w:rPr>
        <w:t></w:t>
      </w:r>
      <w:r w:rsidRPr="00E1640D">
        <w:rPr>
          <w:rFonts w:ascii="Times New Roman" w:hAnsi="Times New Roman" w:cs="宋体" w:hint="eastAsia"/>
          <w:bCs/>
          <w:color w:val="000000"/>
        </w:rPr>
        <w:t>赎回当日该类基金份额净值</w:t>
      </w:r>
      <w:r w:rsidRPr="00E1640D">
        <w:rPr>
          <w:rFonts w:ascii="Times New Roman" w:hAnsi="Times New Roman" w:cs="宋体"/>
          <w:bCs/>
          <w:color w:val="000000"/>
        </w:rPr>
        <w:t></w:t>
      </w:r>
      <w:r w:rsidRPr="00E1640D">
        <w:rPr>
          <w:rFonts w:ascii="Times New Roman" w:hAnsi="Times New Roman" w:cs="宋体" w:hint="eastAsia"/>
          <w:bCs/>
          <w:color w:val="000000"/>
        </w:rPr>
        <w:t>赎回费用</w:t>
      </w:r>
      <w:r w:rsidRPr="00E1640D">
        <w:rPr>
          <w:rFonts w:ascii="Times New Roman" w:hAnsi="Times New Roman" w:cs="宋体"/>
          <w:bCs/>
          <w:color w:val="000000"/>
        </w:rPr>
        <w:t>+</w:t>
      </w:r>
      <w:r w:rsidRPr="00E1640D">
        <w:rPr>
          <w:rFonts w:ascii="Times New Roman" w:hAnsi="Times New Roman" w:cs="宋体" w:hint="eastAsia"/>
          <w:bCs/>
          <w:color w:val="000000"/>
        </w:rPr>
        <w:t>该笔赎回确认应返还的销售服务费（如有）</w:t>
      </w:r>
    </w:p>
    <w:p w14:paraId="2CA88726"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其中，对于投资者通过直销机构认购、申购的</w:t>
      </w:r>
      <w:r w:rsidRPr="00E1640D">
        <w:rPr>
          <w:rFonts w:ascii="Times New Roman" w:hAnsi="Times New Roman" w:cs="宋体" w:hint="eastAsia"/>
          <w:bCs/>
          <w:color w:val="000000"/>
        </w:rPr>
        <w:t>C</w:t>
      </w:r>
      <w:r w:rsidRPr="00E1640D">
        <w:rPr>
          <w:rFonts w:ascii="Times New Roman" w:hAnsi="Times New Roman" w:cs="宋体" w:hint="eastAsia"/>
          <w:bCs/>
          <w:color w:val="000000"/>
        </w:rPr>
        <w:t>类基金份额计提的销售服务费，或者通过其他销售机构认购、申购且持续持有期限超过一年的</w:t>
      </w:r>
      <w:r w:rsidRPr="00E1640D">
        <w:rPr>
          <w:rFonts w:ascii="Times New Roman" w:hAnsi="Times New Roman" w:cs="宋体" w:hint="eastAsia"/>
          <w:bCs/>
          <w:color w:val="000000"/>
        </w:rPr>
        <w:t>C</w:t>
      </w:r>
      <w:r w:rsidRPr="00E1640D">
        <w:rPr>
          <w:rFonts w:ascii="Times New Roman" w:hAnsi="Times New Roman" w:cs="宋体" w:hint="eastAsia"/>
          <w:bCs/>
          <w:color w:val="000000"/>
        </w:rPr>
        <w:t>类基金份额继续计提的销售服务费，都将在投资者赎回相应基金份额时随赎回款一并返还给投资者。</w:t>
      </w:r>
    </w:p>
    <w:p w14:paraId="585582DD"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例：某个人投资人申购本基金</w:t>
      </w:r>
      <w:r w:rsidRPr="00E1640D">
        <w:rPr>
          <w:rFonts w:ascii="Times New Roman" w:hAnsi="Times New Roman" w:cs="宋体" w:hint="eastAsia"/>
          <w:bCs/>
          <w:color w:val="000000"/>
        </w:rPr>
        <w:t>A</w:t>
      </w:r>
      <w:r w:rsidRPr="00E1640D">
        <w:rPr>
          <w:rFonts w:ascii="Times New Roman" w:hAnsi="Times New Roman" w:cs="宋体" w:hint="eastAsia"/>
          <w:bCs/>
          <w:color w:val="000000"/>
        </w:rPr>
        <w:t>类基金份额，持有</w:t>
      </w:r>
      <w:r w:rsidRPr="00E1640D">
        <w:rPr>
          <w:rFonts w:ascii="Times New Roman" w:hAnsi="Times New Roman" w:cs="宋体" w:hint="eastAsia"/>
          <w:bCs/>
          <w:color w:val="000000"/>
        </w:rPr>
        <w:t>5</w:t>
      </w:r>
      <w:r w:rsidRPr="00E1640D">
        <w:rPr>
          <w:rFonts w:ascii="Times New Roman" w:hAnsi="Times New Roman" w:cs="宋体" w:hint="eastAsia"/>
          <w:bCs/>
          <w:color w:val="000000"/>
        </w:rPr>
        <w:t>天赎回</w:t>
      </w:r>
      <w:r w:rsidRPr="00E1640D">
        <w:rPr>
          <w:rFonts w:ascii="Times New Roman" w:hAnsi="Times New Roman" w:cs="宋体" w:hint="eastAsia"/>
          <w:bCs/>
          <w:color w:val="000000"/>
        </w:rPr>
        <w:t>10</w:t>
      </w:r>
      <w:r w:rsidRPr="00E1640D">
        <w:rPr>
          <w:rFonts w:ascii="Times New Roman" w:hAnsi="Times New Roman" w:cs="宋体" w:hint="eastAsia"/>
          <w:bCs/>
          <w:color w:val="000000"/>
        </w:rPr>
        <w:t>万份，对应赎回费率为</w:t>
      </w:r>
      <w:r w:rsidRPr="00E1640D">
        <w:rPr>
          <w:rFonts w:ascii="Times New Roman" w:hAnsi="Times New Roman" w:cs="宋体" w:hint="eastAsia"/>
          <w:bCs/>
          <w:color w:val="000000"/>
        </w:rPr>
        <w:t>1.5%</w:t>
      </w:r>
      <w:r w:rsidRPr="00E1640D">
        <w:rPr>
          <w:rFonts w:ascii="Times New Roman" w:hAnsi="Times New Roman" w:cs="宋体" w:hint="eastAsia"/>
          <w:bCs/>
          <w:color w:val="000000"/>
        </w:rPr>
        <w:t>，假设赎回当日</w:t>
      </w:r>
      <w:r w:rsidRPr="00E1640D">
        <w:rPr>
          <w:rFonts w:ascii="Times New Roman" w:hAnsi="Times New Roman" w:cs="宋体" w:hint="eastAsia"/>
          <w:bCs/>
          <w:color w:val="000000"/>
        </w:rPr>
        <w:t>A</w:t>
      </w:r>
      <w:r w:rsidRPr="00E1640D">
        <w:rPr>
          <w:rFonts w:ascii="Times New Roman" w:hAnsi="Times New Roman" w:cs="宋体" w:hint="eastAsia"/>
          <w:bCs/>
          <w:color w:val="000000"/>
        </w:rPr>
        <w:t>类基金份额净值是</w:t>
      </w:r>
      <w:r w:rsidRPr="00E1640D">
        <w:rPr>
          <w:rFonts w:ascii="Times New Roman" w:hAnsi="Times New Roman" w:cs="宋体" w:hint="eastAsia"/>
          <w:bCs/>
          <w:color w:val="000000"/>
        </w:rPr>
        <w:t>1.0170</w:t>
      </w:r>
      <w:r w:rsidRPr="00E1640D">
        <w:rPr>
          <w:rFonts w:ascii="Times New Roman" w:hAnsi="Times New Roman" w:cs="宋体" w:hint="eastAsia"/>
          <w:bCs/>
          <w:color w:val="000000"/>
        </w:rPr>
        <w:t>元，则其可得到的赎回金额为：</w:t>
      </w:r>
    </w:p>
    <w:p w14:paraId="638A2BC1"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赎回费用＝</w:t>
      </w:r>
      <w:r w:rsidRPr="00E1640D">
        <w:rPr>
          <w:rFonts w:ascii="Times New Roman" w:hAnsi="Times New Roman" w:cs="宋体" w:hint="eastAsia"/>
          <w:bCs/>
          <w:color w:val="000000"/>
        </w:rPr>
        <w:t>100,000</w:t>
      </w:r>
      <w:r w:rsidRPr="00E1640D">
        <w:rPr>
          <w:rFonts w:ascii="Times New Roman" w:hAnsi="Times New Roman" w:cs="宋体" w:hint="eastAsia"/>
          <w:bCs/>
          <w:color w:val="000000"/>
        </w:rPr>
        <w:t>×</w:t>
      </w:r>
      <w:r w:rsidRPr="00E1640D">
        <w:rPr>
          <w:rFonts w:ascii="Times New Roman" w:hAnsi="Times New Roman" w:cs="宋体" w:hint="eastAsia"/>
          <w:bCs/>
          <w:color w:val="000000"/>
        </w:rPr>
        <w:t>1.0170</w:t>
      </w:r>
      <w:r w:rsidRPr="00E1640D">
        <w:rPr>
          <w:rFonts w:ascii="Times New Roman" w:hAnsi="Times New Roman" w:cs="宋体" w:hint="eastAsia"/>
          <w:bCs/>
          <w:color w:val="000000"/>
        </w:rPr>
        <w:t>×</w:t>
      </w:r>
      <w:r w:rsidRPr="00E1640D">
        <w:rPr>
          <w:rFonts w:ascii="Times New Roman" w:hAnsi="Times New Roman" w:cs="宋体" w:hint="eastAsia"/>
          <w:bCs/>
          <w:color w:val="000000"/>
        </w:rPr>
        <w:t>1.5%</w:t>
      </w:r>
      <w:r w:rsidRPr="00E1640D">
        <w:rPr>
          <w:rFonts w:ascii="Times New Roman" w:hAnsi="Times New Roman" w:cs="宋体" w:hint="eastAsia"/>
          <w:bCs/>
          <w:color w:val="000000"/>
        </w:rPr>
        <w:t>＝</w:t>
      </w:r>
      <w:r w:rsidRPr="00E1640D">
        <w:rPr>
          <w:rFonts w:ascii="Times New Roman" w:hAnsi="Times New Roman" w:cs="宋体" w:hint="eastAsia"/>
          <w:bCs/>
          <w:color w:val="000000"/>
        </w:rPr>
        <w:t>1,525.50</w:t>
      </w:r>
      <w:r w:rsidRPr="00E1640D">
        <w:rPr>
          <w:rFonts w:ascii="Times New Roman" w:hAnsi="Times New Roman" w:cs="宋体" w:hint="eastAsia"/>
          <w:bCs/>
          <w:color w:val="000000"/>
        </w:rPr>
        <w:t>元</w:t>
      </w:r>
    </w:p>
    <w:p w14:paraId="46BD724A"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赎回金额＝</w:t>
      </w:r>
      <w:r w:rsidRPr="00E1640D">
        <w:rPr>
          <w:rFonts w:ascii="Times New Roman" w:hAnsi="Times New Roman" w:cs="宋体" w:hint="eastAsia"/>
          <w:bCs/>
          <w:color w:val="000000"/>
        </w:rPr>
        <w:t>100,000</w:t>
      </w:r>
      <w:r w:rsidRPr="00E1640D">
        <w:rPr>
          <w:rFonts w:ascii="Times New Roman" w:hAnsi="Times New Roman" w:cs="宋体" w:hint="eastAsia"/>
          <w:bCs/>
          <w:color w:val="000000"/>
        </w:rPr>
        <w:t>×</w:t>
      </w:r>
      <w:r w:rsidRPr="00E1640D">
        <w:rPr>
          <w:rFonts w:ascii="Times New Roman" w:hAnsi="Times New Roman" w:cs="宋体" w:hint="eastAsia"/>
          <w:bCs/>
          <w:color w:val="000000"/>
        </w:rPr>
        <w:t>1.0170</w:t>
      </w:r>
      <w:r w:rsidRPr="00E1640D">
        <w:rPr>
          <w:rFonts w:ascii="Times New Roman" w:hAnsi="Times New Roman" w:cs="宋体" w:hint="eastAsia"/>
          <w:bCs/>
          <w:color w:val="000000"/>
        </w:rPr>
        <w:t>－</w:t>
      </w:r>
      <w:r w:rsidRPr="00E1640D">
        <w:rPr>
          <w:rFonts w:ascii="Times New Roman" w:hAnsi="Times New Roman" w:cs="宋体" w:hint="eastAsia"/>
          <w:bCs/>
          <w:color w:val="000000"/>
        </w:rPr>
        <w:t>1,525.50</w:t>
      </w:r>
      <w:r w:rsidRPr="00E1640D">
        <w:rPr>
          <w:rFonts w:ascii="Times New Roman" w:hAnsi="Times New Roman" w:cs="宋体" w:hint="eastAsia"/>
          <w:bCs/>
          <w:color w:val="000000"/>
        </w:rPr>
        <w:t>＝</w:t>
      </w:r>
      <w:r w:rsidRPr="00E1640D">
        <w:rPr>
          <w:rFonts w:ascii="Times New Roman" w:hAnsi="Times New Roman" w:cs="宋体" w:hint="eastAsia"/>
          <w:bCs/>
          <w:color w:val="000000"/>
        </w:rPr>
        <w:t>100,174.50</w:t>
      </w:r>
      <w:r w:rsidRPr="00E1640D">
        <w:rPr>
          <w:rFonts w:ascii="Times New Roman" w:hAnsi="Times New Roman" w:cs="宋体" w:hint="eastAsia"/>
          <w:bCs/>
          <w:color w:val="000000"/>
        </w:rPr>
        <w:t>元</w:t>
      </w:r>
    </w:p>
    <w:p w14:paraId="6CD65F4A"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例：某个人投资人通过直销机构申购本基金</w:t>
      </w:r>
      <w:r w:rsidRPr="00E1640D">
        <w:rPr>
          <w:rFonts w:ascii="Times New Roman" w:hAnsi="Times New Roman" w:cs="宋体" w:hint="eastAsia"/>
          <w:bCs/>
          <w:color w:val="000000"/>
        </w:rPr>
        <w:t>C</w:t>
      </w:r>
      <w:r w:rsidRPr="00E1640D">
        <w:rPr>
          <w:rFonts w:ascii="Times New Roman" w:hAnsi="Times New Roman" w:cs="宋体" w:hint="eastAsia"/>
          <w:bCs/>
          <w:color w:val="000000"/>
        </w:rPr>
        <w:t>类基金份额，持有</w:t>
      </w:r>
      <w:r w:rsidRPr="00E1640D">
        <w:rPr>
          <w:rFonts w:ascii="Times New Roman" w:hAnsi="Times New Roman" w:cs="宋体" w:hint="eastAsia"/>
          <w:bCs/>
          <w:color w:val="000000"/>
        </w:rPr>
        <w:t>9</w:t>
      </w:r>
      <w:r w:rsidRPr="00E1640D">
        <w:rPr>
          <w:rFonts w:ascii="Times New Roman" w:hAnsi="Times New Roman" w:cs="宋体" w:hint="eastAsia"/>
          <w:bCs/>
          <w:color w:val="000000"/>
        </w:rPr>
        <w:t>个月赎回</w:t>
      </w:r>
      <w:r w:rsidRPr="00E1640D">
        <w:rPr>
          <w:rFonts w:ascii="Times New Roman" w:hAnsi="Times New Roman" w:cs="宋体" w:hint="eastAsia"/>
          <w:bCs/>
          <w:color w:val="000000"/>
        </w:rPr>
        <w:t>10</w:t>
      </w:r>
      <w:r w:rsidRPr="00E1640D">
        <w:rPr>
          <w:rFonts w:ascii="Times New Roman" w:hAnsi="Times New Roman" w:cs="宋体" w:hint="eastAsia"/>
          <w:bCs/>
          <w:color w:val="000000"/>
        </w:rPr>
        <w:t>万份，对应赎回费率为</w:t>
      </w:r>
      <w:r w:rsidRPr="00E1640D">
        <w:rPr>
          <w:rFonts w:ascii="Times New Roman" w:hAnsi="Times New Roman" w:cs="宋体" w:hint="eastAsia"/>
          <w:bCs/>
          <w:color w:val="000000"/>
        </w:rPr>
        <w:t>0</w:t>
      </w:r>
      <w:r w:rsidRPr="00E1640D">
        <w:rPr>
          <w:rFonts w:ascii="Times New Roman" w:hAnsi="Times New Roman" w:cs="宋体" w:hint="eastAsia"/>
          <w:bCs/>
          <w:color w:val="000000"/>
        </w:rPr>
        <w:t>，假设赎回当日</w:t>
      </w:r>
      <w:r w:rsidRPr="00E1640D">
        <w:rPr>
          <w:rFonts w:ascii="Times New Roman" w:hAnsi="Times New Roman" w:cs="宋体" w:hint="eastAsia"/>
          <w:bCs/>
          <w:color w:val="000000"/>
        </w:rPr>
        <w:t>C</w:t>
      </w:r>
      <w:r w:rsidRPr="00E1640D">
        <w:rPr>
          <w:rFonts w:ascii="Times New Roman" w:hAnsi="Times New Roman" w:cs="宋体" w:hint="eastAsia"/>
          <w:bCs/>
          <w:color w:val="000000"/>
        </w:rPr>
        <w:t>类基金份额净值是</w:t>
      </w:r>
      <w:r w:rsidRPr="00E1640D">
        <w:rPr>
          <w:rFonts w:ascii="Times New Roman" w:hAnsi="Times New Roman" w:cs="宋体" w:hint="eastAsia"/>
          <w:bCs/>
          <w:color w:val="000000"/>
        </w:rPr>
        <w:t>1.0170</w:t>
      </w:r>
      <w:r w:rsidRPr="00E1640D">
        <w:rPr>
          <w:rFonts w:ascii="Times New Roman" w:hAnsi="Times New Roman" w:cs="宋体" w:hint="eastAsia"/>
          <w:bCs/>
          <w:color w:val="000000"/>
        </w:rPr>
        <w:t>元，且假设该笔赎回确认应返还的销售服务费为</w:t>
      </w:r>
      <w:r w:rsidRPr="00E1640D">
        <w:rPr>
          <w:rFonts w:ascii="Times New Roman" w:hAnsi="Times New Roman" w:cs="宋体" w:hint="eastAsia"/>
          <w:bCs/>
          <w:color w:val="000000"/>
        </w:rPr>
        <w:t>10.00</w:t>
      </w:r>
      <w:r w:rsidRPr="00E1640D">
        <w:rPr>
          <w:rFonts w:ascii="Times New Roman" w:hAnsi="Times New Roman" w:cs="宋体" w:hint="eastAsia"/>
          <w:bCs/>
          <w:color w:val="000000"/>
        </w:rPr>
        <w:t>元（即通过直销机构认购、申购的</w:t>
      </w:r>
      <w:r w:rsidRPr="00E1640D">
        <w:rPr>
          <w:rFonts w:ascii="Times New Roman" w:hAnsi="Times New Roman" w:cs="宋体" w:hint="eastAsia"/>
          <w:bCs/>
          <w:color w:val="000000"/>
        </w:rPr>
        <w:t>C</w:t>
      </w:r>
      <w:r w:rsidRPr="00E1640D">
        <w:rPr>
          <w:rFonts w:ascii="Times New Roman" w:hAnsi="Times New Roman" w:cs="宋体" w:hint="eastAsia"/>
          <w:bCs/>
          <w:color w:val="000000"/>
        </w:rPr>
        <w:t>类基金份额计提的销售服务费，在投资者赎回相应基金份额时随赎回款一并返还），则其可得到的赎回金额为：</w:t>
      </w:r>
    </w:p>
    <w:p w14:paraId="771294FD"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赎回费用＝</w:t>
      </w:r>
      <w:r w:rsidRPr="00E1640D">
        <w:rPr>
          <w:rFonts w:ascii="Times New Roman" w:hAnsi="Times New Roman" w:cs="宋体" w:hint="eastAsia"/>
          <w:bCs/>
          <w:color w:val="000000"/>
        </w:rPr>
        <w:t>0.00</w:t>
      </w:r>
      <w:r w:rsidRPr="00E1640D">
        <w:rPr>
          <w:rFonts w:ascii="Times New Roman" w:hAnsi="Times New Roman" w:cs="宋体" w:hint="eastAsia"/>
          <w:bCs/>
          <w:color w:val="000000"/>
        </w:rPr>
        <w:t>元</w:t>
      </w:r>
    </w:p>
    <w:p w14:paraId="1EEA9889"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赎回金额＝</w:t>
      </w:r>
      <w:r w:rsidRPr="00E1640D">
        <w:rPr>
          <w:rFonts w:ascii="Times New Roman" w:hAnsi="Times New Roman" w:cs="宋体" w:hint="eastAsia"/>
          <w:bCs/>
          <w:color w:val="000000"/>
        </w:rPr>
        <w:t>100,000</w:t>
      </w:r>
      <w:r w:rsidRPr="00E1640D">
        <w:rPr>
          <w:rFonts w:ascii="Times New Roman" w:hAnsi="Times New Roman" w:cs="宋体" w:hint="eastAsia"/>
          <w:bCs/>
          <w:color w:val="000000"/>
        </w:rPr>
        <w:t>×</w:t>
      </w:r>
      <w:r w:rsidRPr="00E1640D">
        <w:rPr>
          <w:rFonts w:ascii="Times New Roman" w:hAnsi="Times New Roman" w:cs="宋体" w:hint="eastAsia"/>
          <w:bCs/>
          <w:color w:val="000000"/>
        </w:rPr>
        <w:t>1.0170</w:t>
      </w:r>
      <w:r w:rsidRPr="00E1640D">
        <w:rPr>
          <w:rFonts w:ascii="Times New Roman" w:hAnsi="Times New Roman" w:cs="宋体" w:hint="eastAsia"/>
          <w:bCs/>
          <w:color w:val="000000"/>
        </w:rPr>
        <w:t>－</w:t>
      </w:r>
      <w:r w:rsidRPr="00E1640D">
        <w:rPr>
          <w:rFonts w:ascii="Times New Roman" w:hAnsi="Times New Roman" w:cs="宋体" w:hint="eastAsia"/>
          <w:bCs/>
          <w:color w:val="000000"/>
        </w:rPr>
        <w:t>0.00+10.00</w:t>
      </w:r>
      <w:r w:rsidRPr="00E1640D">
        <w:rPr>
          <w:rFonts w:ascii="Times New Roman" w:hAnsi="Times New Roman" w:cs="宋体" w:hint="eastAsia"/>
          <w:bCs/>
          <w:color w:val="000000"/>
        </w:rPr>
        <w:t>＝</w:t>
      </w:r>
      <w:r w:rsidRPr="00E1640D">
        <w:rPr>
          <w:rFonts w:ascii="Times New Roman" w:hAnsi="Times New Roman" w:cs="宋体" w:hint="eastAsia"/>
          <w:bCs/>
          <w:color w:val="000000"/>
        </w:rPr>
        <w:t>101,710.00</w:t>
      </w:r>
      <w:r w:rsidRPr="00E1640D">
        <w:rPr>
          <w:rFonts w:ascii="Times New Roman" w:hAnsi="Times New Roman" w:cs="宋体" w:hint="eastAsia"/>
          <w:bCs/>
          <w:color w:val="000000"/>
        </w:rPr>
        <w:t>元</w:t>
      </w:r>
    </w:p>
    <w:p w14:paraId="28EA8588"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例：某个人投资人通过其他销售机构申购本基金</w:t>
      </w:r>
      <w:r w:rsidRPr="00E1640D">
        <w:rPr>
          <w:rFonts w:ascii="Times New Roman" w:hAnsi="Times New Roman" w:cs="宋体" w:hint="eastAsia"/>
          <w:bCs/>
          <w:color w:val="000000"/>
        </w:rPr>
        <w:t>C</w:t>
      </w:r>
      <w:r w:rsidRPr="00E1640D">
        <w:rPr>
          <w:rFonts w:ascii="Times New Roman" w:hAnsi="Times New Roman" w:cs="宋体" w:hint="eastAsia"/>
          <w:bCs/>
          <w:color w:val="000000"/>
        </w:rPr>
        <w:t>类基金份额，持有</w:t>
      </w:r>
      <w:r w:rsidRPr="00E1640D">
        <w:rPr>
          <w:rFonts w:ascii="Times New Roman" w:hAnsi="Times New Roman" w:cs="宋体" w:hint="eastAsia"/>
          <w:bCs/>
          <w:color w:val="000000"/>
        </w:rPr>
        <w:t>730</w:t>
      </w:r>
      <w:r w:rsidRPr="00E1640D">
        <w:rPr>
          <w:rFonts w:ascii="Times New Roman" w:hAnsi="Times New Roman" w:cs="宋体" w:hint="eastAsia"/>
          <w:bCs/>
          <w:color w:val="000000"/>
        </w:rPr>
        <w:t>日赎回</w:t>
      </w:r>
      <w:r w:rsidRPr="00E1640D">
        <w:rPr>
          <w:rFonts w:ascii="Times New Roman" w:hAnsi="Times New Roman" w:cs="宋体" w:hint="eastAsia"/>
          <w:bCs/>
          <w:color w:val="000000"/>
        </w:rPr>
        <w:t>10</w:t>
      </w:r>
      <w:r w:rsidRPr="00E1640D">
        <w:rPr>
          <w:rFonts w:ascii="Times New Roman" w:hAnsi="Times New Roman" w:cs="宋体" w:hint="eastAsia"/>
          <w:bCs/>
          <w:color w:val="000000"/>
        </w:rPr>
        <w:t>万份，对应赎回费率为</w:t>
      </w:r>
      <w:r w:rsidRPr="00E1640D">
        <w:rPr>
          <w:rFonts w:ascii="Times New Roman" w:hAnsi="Times New Roman" w:cs="宋体" w:hint="eastAsia"/>
          <w:bCs/>
          <w:color w:val="000000"/>
        </w:rPr>
        <w:t>0</w:t>
      </w:r>
      <w:r w:rsidRPr="00E1640D">
        <w:rPr>
          <w:rFonts w:ascii="Times New Roman" w:hAnsi="Times New Roman" w:cs="宋体" w:hint="eastAsia"/>
          <w:bCs/>
          <w:color w:val="000000"/>
        </w:rPr>
        <w:t>，假设赎回当日</w:t>
      </w:r>
      <w:r w:rsidRPr="00E1640D">
        <w:rPr>
          <w:rFonts w:ascii="Times New Roman" w:hAnsi="Times New Roman" w:cs="宋体" w:hint="eastAsia"/>
          <w:bCs/>
          <w:color w:val="000000"/>
        </w:rPr>
        <w:t>C</w:t>
      </w:r>
      <w:r w:rsidRPr="00E1640D">
        <w:rPr>
          <w:rFonts w:ascii="Times New Roman" w:hAnsi="Times New Roman" w:cs="宋体" w:hint="eastAsia"/>
          <w:bCs/>
          <w:color w:val="000000"/>
        </w:rPr>
        <w:t>类基金份额净值是</w:t>
      </w:r>
      <w:r w:rsidRPr="00E1640D">
        <w:rPr>
          <w:rFonts w:ascii="Times New Roman" w:hAnsi="Times New Roman" w:cs="宋体" w:hint="eastAsia"/>
          <w:bCs/>
          <w:color w:val="000000"/>
        </w:rPr>
        <w:t>1.0170</w:t>
      </w:r>
      <w:r w:rsidRPr="00E1640D">
        <w:rPr>
          <w:rFonts w:ascii="Times New Roman" w:hAnsi="Times New Roman" w:cs="宋体" w:hint="eastAsia"/>
          <w:bCs/>
          <w:color w:val="000000"/>
        </w:rPr>
        <w:t>元，且假设该笔赎回确认应返还的销售服务费为</w:t>
      </w:r>
      <w:r w:rsidRPr="00E1640D">
        <w:rPr>
          <w:rFonts w:ascii="Times New Roman" w:hAnsi="Times New Roman" w:cs="宋体" w:hint="eastAsia"/>
          <w:bCs/>
          <w:color w:val="000000"/>
        </w:rPr>
        <w:t>20.00</w:t>
      </w:r>
      <w:r w:rsidRPr="00E1640D">
        <w:rPr>
          <w:rFonts w:ascii="Times New Roman" w:hAnsi="Times New Roman" w:cs="宋体" w:hint="eastAsia"/>
          <w:bCs/>
          <w:color w:val="000000"/>
        </w:rPr>
        <w:t>元（即通过其他销售机构认购、申购且持续持有期限超过一年的</w:t>
      </w:r>
      <w:r w:rsidRPr="00E1640D">
        <w:rPr>
          <w:rFonts w:ascii="Times New Roman" w:hAnsi="Times New Roman" w:cs="宋体" w:hint="eastAsia"/>
          <w:bCs/>
          <w:color w:val="000000"/>
        </w:rPr>
        <w:t>C</w:t>
      </w:r>
      <w:r w:rsidRPr="00E1640D">
        <w:rPr>
          <w:rFonts w:ascii="Times New Roman" w:hAnsi="Times New Roman" w:cs="宋体" w:hint="eastAsia"/>
          <w:bCs/>
          <w:color w:val="000000"/>
        </w:rPr>
        <w:t>类基金份额继续计提的销售服务费，在投资者赎回相应基金份额时随赎回款一并返还），则其可得到的赎回金额为：</w:t>
      </w:r>
    </w:p>
    <w:p w14:paraId="48116A01"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赎回费用＝</w:t>
      </w:r>
      <w:r w:rsidRPr="00E1640D">
        <w:rPr>
          <w:rFonts w:ascii="Times New Roman" w:hAnsi="Times New Roman" w:cs="宋体" w:hint="eastAsia"/>
          <w:bCs/>
          <w:color w:val="000000"/>
        </w:rPr>
        <w:t>0.00</w:t>
      </w:r>
      <w:r w:rsidRPr="00E1640D">
        <w:rPr>
          <w:rFonts w:ascii="Times New Roman" w:hAnsi="Times New Roman" w:cs="宋体" w:hint="eastAsia"/>
          <w:bCs/>
          <w:color w:val="000000"/>
        </w:rPr>
        <w:t>元</w:t>
      </w:r>
    </w:p>
    <w:p w14:paraId="5F1C79A9"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赎回金额＝</w:t>
      </w:r>
      <w:r w:rsidRPr="00E1640D">
        <w:rPr>
          <w:rFonts w:ascii="Times New Roman" w:hAnsi="Times New Roman" w:cs="宋体" w:hint="eastAsia"/>
          <w:bCs/>
          <w:color w:val="000000"/>
        </w:rPr>
        <w:t>100,000</w:t>
      </w:r>
      <w:r w:rsidRPr="00E1640D">
        <w:rPr>
          <w:rFonts w:ascii="Times New Roman" w:hAnsi="Times New Roman" w:cs="宋体" w:hint="eastAsia"/>
          <w:bCs/>
          <w:color w:val="000000"/>
        </w:rPr>
        <w:t>×</w:t>
      </w:r>
      <w:r w:rsidRPr="00E1640D">
        <w:rPr>
          <w:rFonts w:ascii="Times New Roman" w:hAnsi="Times New Roman" w:cs="宋体" w:hint="eastAsia"/>
          <w:bCs/>
          <w:color w:val="000000"/>
        </w:rPr>
        <w:t>1.0170</w:t>
      </w:r>
      <w:r w:rsidRPr="00E1640D">
        <w:rPr>
          <w:rFonts w:ascii="Times New Roman" w:hAnsi="Times New Roman" w:cs="宋体" w:hint="eastAsia"/>
          <w:bCs/>
          <w:color w:val="000000"/>
        </w:rPr>
        <w:t>－</w:t>
      </w:r>
      <w:r w:rsidRPr="00E1640D">
        <w:rPr>
          <w:rFonts w:ascii="Times New Roman" w:hAnsi="Times New Roman" w:cs="宋体" w:hint="eastAsia"/>
          <w:bCs/>
          <w:color w:val="000000"/>
        </w:rPr>
        <w:t>0.00+20.00</w:t>
      </w:r>
      <w:r w:rsidRPr="00E1640D">
        <w:rPr>
          <w:rFonts w:ascii="Times New Roman" w:hAnsi="Times New Roman" w:cs="宋体" w:hint="eastAsia"/>
          <w:bCs/>
          <w:color w:val="000000"/>
        </w:rPr>
        <w:t>＝</w:t>
      </w:r>
      <w:r w:rsidRPr="00E1640D">
        <w:rPr>
          <w:rFonts w:ascii="Times New Roman" w:hAnsi="Times New Roman" w:cs="宋体" w:hint="eastAsia"/>
          <w:bCs/>
          <w:color w:val="000000"/>
        </w:rPr>
        <w:t>101,720.00</w:t>
      </w:r>
      <w:r w:rsidRPr="00E1640D">
        <w:rPr>
          <w:rFonts w:ascii="Times New Roman" w:hAnsi="Times New Roman" w:cs="宋体" w:hint="eastAsia"/>
          <w:bCs/>
          <w:color w:val="000000"/>
        </w:rPr>
        <w:t>元</w:t>
      </w:r>
    </w:p>
    <w:p w14:paraId="6274254E"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3</w:t>
      </w:r>
      <w:r w:rsidRPr="00E1640D">
        <w:rPr>
          <w:rFonts w:ascii="Times New Roman" w:hAnsi="Times New Roman" w:cs="宋体" w:hint="eastAsia"/>
          <w:bCs/>
          <w:color w:val="000000"/>
        </w:rPr>
        <w:t>、基金份额净值的计算</w:t>
      </w:r>
    </w:p>
    <w:p w14:paraId="1CC8042B"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T</w:t>
      </w:r>
      <w:r w:rsidRPr="00E1640D">
        <w:rPr>
          <w:rFonts w:ascii="Times New Roman" w:hAnsi="Times New Roman" w:cs="宋体" w:hint="eastAsia"/>
          <w:bCs/>
          <w:color w:val="000000"/>
        </w:rPr>
        <w:t>日的各类基金份额净值在当天收市后计算，并在</w:t>
      </w:r>
      <w:r w:rsidRPr="00E1640D">
        <w:rPr>
          <w:rFonts w:ascii="Times New Roman" w:hAnsi="Times New Roman" w:cs="宋体" w:hint="eastAsia"/>
          <w:bCs/>
          <w:color w:val="000000"/>
        </w:rPr>
        <w:t>T+1</w:t>
      </w:r>
      <w:r w:rsidRPr="00E1640D">
        <w:rPr>
          <w:rFonts w:ascii="Times New Roman" w:hAnsi="Times New Roman" w:cs="宋体" w:hint="eastAsia"/>
          <w:bCs/>
          <w:color w:val="000000"/>
        </w:rPr>
        <w:t>日内披露。遇特殊情况，经履行适当程序，可以适当延迟计算或公告。本基金各类基金份额净值的计算，均保留到小数点后</w:t>
      </w:r>
      <w:r w:rsidRPr="00E1640D">
        <w:rPr>
          <w:rFonts w:ascii="Times New Roman" w:hAnsi="Times New Roman" w:cs="宋体" w:hint="eastAsia"/>
          <w:bCs/>
          <w:color w:val="000000"/>
        </w:rPr>
        <w:t>4</w:t>
      </w:r>
      <w:r w:rsidRPr="00E1640D">
        <w:rPr>
          <w:rFonts w:ascii="Times New Roman" w:hAnsi="Times New Roman" w:cs="宋体" w:hint="eastAsia"/>
          <w:bCs/>
          <w:color w:val="000000"/>
        </w:rPr>
        <w:t>位，小数点后第</w:t>
      </w:r>
      <w:r w:rsidRPr="00E1640D">
        <w:rPr>
          <w:rFonts w:ascii="Times New Roman" w:hAnsi="Times New Roman" w:cs="宋体" w:hint="eastAsia"/>
          <w:bCs/>
          <w:color w:val="000000"/>
        </w:rPr>
        <w:t>5</w:t>
      </w:r>
      <w:r w:rsidRPr="00E1640D">
        <w:rPr>
          <w:rFonts w:ascii="Times New Roman" w:hAnsi="Times New Roman" w:cs="宋体" w:hint="eastAsia"/>
          <w:bCs/>
          <w:color w:val="000000"/>
        </w:rPr>
        <w:t>位四舍五入，由此产生的收益或损失由基金财产承担。</w:t>
      </w:r>
    </w:p>
    <w:p w14:paraId="4054AF80"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4</w:t>
      </w:r>
      <w:r w:rsidRPr="00E1640D">
        <w:rPr>
          <w:rFonts w:ascii="Times New Roman" w:hAnsi="Times New Roman" w:cs="宋体" w:hint="eastAsia"/>
          <w:bCs/>
          <w:color w:val="000000"/>
        </w:rPr>
        <w:t>、申购份额、余额的处理方式</w:t>
      </w:r>
    </w:p>
    <w:p w14:paraId="0BDD9F17"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申购的有效份额为按实际确认的申购金额在扣除相应的费用后，以当日该类基金份额净值为基准计算。申购涉及基金份额、金额的计算结果均保留到小数点后</w:t>
      </w:r>
      <w:r w:rsidRPr="00E1640D">
        <w:rPr>
          <w:rFonts w:ascii="Times New Roman" w:hAnsi="Times New Roman" w:cs="宋体" w:hint="eastAsia"/>
          <w:bCs/>
          <w:color w:val="000000"/>
        </w:rPr>
        <w:t>2</w:t>
      </w:r>
      <w:r w:rsidRPr="00E1640D">
        <w:rPr>
          <w:rFonts w:ascii="Times New Roman" w:hAnsi="Times New Roman" w:cs="宋体" w:hint="eastAsia"/>
          <w:bCs/>
          <w:color w:val="000000"/>
        </w:rPr>
        <w:t>位，小数点后</w:t>
      </w:r>
      <w:r w:rsidRPr="00E1640D">
        <w:rPr>
          <w:rFonts w:ascii="Times New Roman" w:hAnsi="Times New Roman" w:cs="宋体" w:hint="eastAsia"/>
          <w:bCs/>
          <w:color w:val="000000"/>
        </w:rPr>
        <w:t>2</w:t>
      </w:r>
      <w:r w:rsidRPr="00E1640D">
        <w:rPr>
          <w:rFonts w:ascii="Times New Roman" w:hAnsi="Times New Roman" w:cs="宋体" w:hint="eastAsia"/>
          <w:bCs/>
          <w:color w:val="000000"/>
        </w:rPr>
        <w:t>位以后的部分四舍五入，由此产生的收益或损失由基金财产承担。</w:t>
      </w:r>
    </w:p>
    <w:p w14:paraId="502CE3CF"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5</w:t>
      </w:r>
      <w:r w:rsidRPr="00E1640D">
        <w:rPr>
          <w:rFonts w:ascii="Times New Roman" w:hAnsi="Times New Roman" w:cs="宋体" w:hint="eastAsia"/>
          <w:bCs/>
          <w:color w:val="000000"/>
        </w:rPr>
        <w:t>、赎回金额的处理方式</w:t>
      </w:r>
    </w:p>
    <w:p w14:paraId="652C6DB7" w14:textId="77777777" w:rsidR="00E1640D" w:rsidRPr="00E1640D" w:rsidRDefault="00E1640D" w:rsidP="00E1640D">
      <w:pPr>
        <w:snapToGrid w:val="0"/>
        <w:spacing w:line="360" w:lineRule="auto"/>
        <w:ind w:firstLineChars="200" w:firstLine="420"/>
        <w:rPr>
          <w:rFonts w:ascii="Times New Roman" w:hAnsi="Times New Roman" w:cs="宋体"/>
          <w:bCs/>
          <w:color w:val="000000"/>
        </w:rPr>
      </w:pPr>
      <w:r w:rsidRPr="00E1640D">
        <w:rPr>
          <w:rFonts w:ascii="Times New Roman" w:hAnsi="Times New Roman" w:cs="宋体" w:hint="eastAsia"/>
          <w:bCs/>
          <w:color w:val="000000"/>
        </w:rPr>
        <w:t>赎回金额为按实际确认的有效赎回份额以当日该类基金份额净值为基准并扣除或加上相应的费用（如有），计算结果保留到小数点后</w:t>
      </w:r>
      <w:r w:rsidRPr="00E1640D">
        <w:rPr>
          <w:rFonts w:ascii="Times New Roman" w:hAnsi="Times New Roman" w:cs="宋体" w:hint="eastAsia"/>
          <w:bCs/>
          <w:color w:val="000000"/>
        </w:rPr>
        <w:t>2</w:t>
      </w:r>
      <w:r w:rsidRPr="00E1640D">
        <w:rPr>
          <w:rFonts w:ascii="Times New Roman" w:hAnsi="Times New Roman" w:cs="宋体" w:hint="eastAsia"/>
          <w:bCs/>
          <w:color w:val="000000"/>
        </w:rPr>
        <w:t>位，小数点后</w:t>
      </w:r>
      <w:r w:rsidRPr="00E1640D">
        <w:rPr>
          <w:rFonts w:ascii="Times New Roman" w:hAnsi="Times New Roman" w:cs="宋体" w:hint="eastAsia"/>
          <w:bCs/>
          <w:color w:val="000000"/>
        </w:rPr>
        <w:t>2</w:t>
      </w:r>
      <w:r w:rsidRPr="00E1640D">
        <w:rPr>
          <w:rFonts w:ascii="Times New Roman" w:hAnsi="Times New Roman" w:cs="宋体" w:hint="eastAsia"/>
          <w:bCs/>
          <w:color w:val="000000"/>
        </w:rPr>
        <w:t>位以后的部分四舍五入，由此产生的收益或损失由基金财产承担。</w:t>
      </w:r>
    </w:p>
    <w:p w14:paraId="2C2B6801" w14:textId="2144EDE8" w:rsidR="00AE3DA6" w:rsidRDefault="00E1640D" w:rsidP="003B2451">
      <w:pPr>
        <w:snapToGrid w:val="0"/>
        <w:spacing w:line="360" w:lineRule="auto"/>
        <w:ind w:firstLineChars="200" w:firstLine="420"/>
        <w:rPr>
          <w:rFonts w:ascii="宋体"/>
          <w:bCs/>
          <w:color w:val="000000"/>
        </w:rPr>
      </w:pPr>
      <w:r w:rsidRPr="00E1640D">
        <w:rPr>
          <w:rFonts w:cs="宋体" w:hint="eastAsia"/>
          <w:bCs/>
          <w:color w:val="000000"/>
        </w:rPr>
        <w:t>6</w:t>
      </w:r>
      <w:r w:rsidRPr="00E1640D">
        <w:rPr>
          <w:rFonts w:cs="宋体" w:hint="eastAsia"/>
          <w:bCs/>
          <w:color w:val="000000"/>
        </w:rPr>
        <w:t>、当本基金发生大额申购或赎回情形时，基金管理人可以采用摆动定价机制，以确保基金估值的公平性。具体处理原则与操作规范遵循相关法律法规以及监管部门、自律规则的规定</w:t>
      </w:r>
      <w:r w:rsidR="00907401">
        <w:rPr>
          <w:rFonts w:hint="eastAsia"/>
          <w:color w:val="000000"/>
        </w:rPr>
        <w:t>。</w:t>
      </w:r>
      <w:r w:rsidR="00795E23">
        <w:rPr>
          <w:rFonts w:ascii="宋体" w:hAnsi="宋体" w:cs="宋体" w:hint="eastAsia"/>
          <w:bCs/>
          <w:color w:val="000000"/>
        </w:rPr>
        <w:t>八、申购和赎回的登记</w:t>
      </w:r>
    </w:p>
    <w:p w14:paraId="1841BC24" w14:textId="77777777" w:rsidR="00AE3DA6" w:rsidRDefault="00795E23">
      <w:pPr>
        <w:snapToGrid w:val="0"/>
        <w:spacing w:line="360" w:lineRule="auto"/>
        <w:ind w:firstLineChars="200" w:firstLine="420"/>
        <w:rPr>
          <w:rFonts w:ascii="宋体" w:cs="Times New Roman"/>
          <w:color w:val="000000"/>
        </w:rPr>
      </w:pPr>
      <w:r>
        <w:rPr>
          <w:rFonts w:ascii="宋体" w:hAnsi="宋体" w:cs="宋体" w:hint="eastAsia"/>
          <w:color w:val="000000"/>
        </w:rPr>
        <w:t>投资</w:t>
      </w:r>
      <w:r>
        <w:rPr>
          <w:rFonts w:ascii="宋体" w:hAnsi="宋体" w:cs="宋体" w:hint="eastAsia"/>
        </w:rPr>
        <w:t>人</w:t>
      </w:r>
      <w:r>
        <w:rPr>
          <w:rFonts w:ascii="宋体" w:hAnsi="宋体" w:cs="宋体" w:hint="eastAsia"/>
          <w:color w:val="000000"/>
        </w:rPr>
        <w:t>申购基金成功后，基金登记机构在</w:t>
      </w:r>
      <w:r>
        <w:rPr>
          <w:rFonts w:ascii="宋体" w:hAnsi="宋体" w:cs="宋体"/>
          <w:color w:val="000000"/>
        </w:rPr>
        <w:t>T+1</w:t>
      </w:r>
      <w:r>
        <w:rPr>
          <w:rFonts w:ascii="宋体" w:hAnsi="宋体" w:cs="宋体" w:hint="eastAsia"/>
          <w:color w:val="000000"/>
        </w:rPr>
        <w:t>日为投资</w:t>
      </w:r>
      <w:r>
        <w:rPr>
          <w:rFonts w:ascii="宋体" w:hAnsi="宋体" w:cs="宋体" w:hint="eastAsia"/>
        </w:rPr>
        <w:t>人</w:t>
      </w:r>
      <w:r>
        <w:rPr>
          <w:rFonts w:ascii="宋体" w:hAnsi="宋体" w:cs="宋体" w:hint="eastAsia"/>
          <w:color w:val="000000"/>
        </w:rPr>
        <w:t>登记权益并办理登记手续，投资</w:t>
      </w:r>
      <w:r>
        <w:rPr>
          <w:rFonts w:ascii="宋体" w:hAnsi="宋体" w:cs="宋体" w:hint="eastAsia"/>
        </w:rPr>
        <w:t>人</w:t>
      </w:r>
      <w:r>
        <w:rPr>
          <w:rFonts w:ascii="宋体" w:hAnsi="宋体" w:cs="宋体" w:hint="eastAsia"/>
          <w:color w:val="000000"/>
        </w:rPr>
        <w:t>自</w:t>
      </w:r>
      <w:r>
        <w:rPr>
          <w:rFonts w:ascii="宋体" w:hAnsi="宋体" w:cs="宋体"/>
          <w:color w:val="000000"/>
        </w:rPr>
        <w:t>T+2</w:t>
      </w:r>
      <w:r>
        <w:rPr>
          <w:rFonts w:ascii="宋体" w:hAnsi="宋体" w:cs="宋体" w:hint="eastAsia"/>
          <w:color w:val="000000"/>
        </w:rPr>
        <w:t>日（含该日）后有权赎回该部分基金份额。</w:t>
      </w:r>
    </w:p>
    <w:p w14:paraId="2CDB7963" w14:textId="77777777" w:rsidR="00AE3DA6" w:rsidRDefault="00795E23">
      <w:pPr>
        <w:snapToGrid w:val="0"/>
        <w:spacing w:line="360" w:lineRule="auto"/>
        <w:ind w:firstLineChars="200" w:firstLine="420"/>
        <w:rPr>
          <w:rFonts w:ascii="宋体" w:cs="Times New Roman"/>
          <w:color w:val="000000"/>
        </w:rPr>
      </w:pPr>
      <w:r>
        <w:rPr>
          <w:rFonts w:ascii="宋体" w:hAnsi="宋体" w:cs="宋体" w:hint="eastAsia"/>
          <w:color w:val="000000"/>
        </w:rPr>
        <w:t>投资</w:t>
      </w:r>
      <w:r>
        <w:rPr>
          <w:rFonts w:ascii="宋体" w:hAnsi="宋体" w:cs="宋体" w:hint="eastAsia"/>
        </w:rPr>
        <w:t>人</w:t>
      </w:r>
      <w:r>
        <w:rPr>
          <w:rFonts w:ascii="宋体" w:hAnsi="宋体" w:cs="宋体" w:hint="eastAsia"/>
          <w:color w:val="000000"/>
        </w:rPr>
        <w:t>赎回基金成功后，基金登记机构在</w:t>
      </w:r>
      <w:r>
        <w:rPr>
          <w:rFonts w:ascii="宋体" w:hAnsi="宋体" w:cs="宋体"/>
          <w:color w:val="000000"/>
        </w:rPr>
        <w:t>T+1</w:t>
      </w:r>
      <w:r>
        <w:rPr>
          <w:rFonts w:ascii="宋体" w:hAnsi="宋体" w:cs="宋体" w:hint="eastAsia"/>
          <w:color w:val="000000"/>
        </w:rPr>
        <w:t>日为投资</w:t>
      </w:r>
      <w:r>
        <w:rPr>
          <w:rFonts w:ascii="宋体" w:hAnsi="宋体" w:cs="宋体" w:hint="eastAsia"/>
        </w:rPr>
        <w:t>人</w:t>
      </w:r>
      <w:r>
        <w:rPr>
          <w:rFonts w:ascii="宋体" w:hAnsi="宋体" w:cs="宋体" w:hint="eastAsia"/>
          <w:color w:val="000000"/>
        </w:rPr>
        <w:t>办理扣除权益的登记手续。</w:t>
      </w:r>
    </w:p>
    <w:p w14:paraId="13BC53F9" w14:textId="77777777" w:rsidR="00AE3DA6" w:rsidRDefault="00795E23">
      <w:pPr>
        <w:snapToGrid w:val="0"/>
        <w:spacing w:line="360" w:lineRule="auto"/>
        <w:ind w:firstLineChars="200" w:firstLine="420"/>
        <w:rPr>
          <w:rFonts w:ascii="宋体" w:cs="Times New Roman"/>
          <w:color w:val="000000"/>
          <w:kern w:val="0"/>
        </w:rPr>
      </w:pPr>
      <w:r>
        <w:rPr>
          <w:rFonts w:ascii="宋体" w:hAnsi="宋体" w:cs="宋体" w:hint="eastAsia"/>
          <w:color w:val="000000"/>
        </w:rPr>
        <w:t>基金管理人可以在法律法规允许的范围内，对上述登记办理时间进行调整，但不得实质影响投资</w:t>
      </w:r>
      <w:r>
        <w:rPr>
          <w:rFonts w:ascii="宋体" w:hAnsi="宋体" w:cs="宋体" w:hint="eastAsia"/>
        </w:rPr>
        <w:t>人</w:t>
      </w:r>
      <w:r>
        <w:rPr>
          <w:rFonts w:ascii="宋体" w:hAnsi="宋体" w:cs="宋体" w:hint="eastAsia"/>
          <w:color w:val="000000"/>
        </w:rPr>
        <w:t>的合法权益，并最迟于实施前</w:t>
      </w:r>
      <w:r>
        <w:rPr>
          <w:rFonts w:ascii="宋体" w:hAnsi="宋体" w:cs="宋体" w:hint="eastAsia"/>
        </w:rPr>
        <w:t>依照《信息披露办法》的有关规定</w:t>
      </w:r>
      <w:r>
        <w:rPr>
          <w:rFonts w:ascii="宋体" w:hAnsi="宋体" w:cs="宋体" w:hint="eastAsia"/>
          <w:color w:val="000000"/>
        </w:rPr>
        <w:t>在规定媒介公告。</w:t>
      </w:r>
    </w:p>
    <w:p w14:paraId="3AEE3AD1" w14:textId="77777777" w:rsidR="00AE3DA6" w:rsidRDefault="00795E23">
      <w:pPr>
        <w:pStyle w:val="a9"/>
        <w:snapToGrid w:val="0"/>
        <w:ind w:firstLineChars="196" w:firstLine="412"/>
        <w:rPr>
          <w:rFonts w:ascii="宋体"/>
          <w:bCs/>
          <w:color w:val="000000"/>
          <w:sz w:val="21"/>
          <w:szCs w:val="21"/>
        </w:rPr>
      </w:pPr>
      <w:r>
        <w:rPr>
          <w:rFonts w:ascii="宋体" w:hAnsi="宋体" w:cs="宋体" w:hint="eastAsia"/>
          <w:bCs/>
          <w:color w:val="000000"/>
          <w:sz w:val="21"/>
          <w:szCs w:val="21"/>
        </w:rPr>
        <w:t>九、拒绝或暂停申购的情形及处理方式</w:t>
      </w:r>
    </w:p>
    <w:p w14:paraId="60534914"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bCs/>
        </w:rPr>
        <w:t>发生下列情况时，基金管理人可拒绝或暂停接受投资人的申购申请：</w:t>
      </w:r>
    </w:p>
    <w:p w14:paraId="76276658"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1、因不可抗力导致基金无法正常运作。</w:t>
      </w:r>
    </w:p>
    <w:p w14:paraId="608E3541"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2、发生基金合同规定的暂停基金资产估值情况时，基金管理人可暂停接受投资人的申购申请。</w:t>
      </w:r>
    </w:p>
    <w:p w14:paraId="4A9DDF0C" w14:textId="68951445"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3、证券/期货交易所</w:t>
      </w:r>
      <w:r w:rsidR="00A46F63" w:rsidRPr="00A46F63">
        <w:rPr>
          <w:rFonts w:ascii="宋体" w:hAnsi="宋体" w:cs="Times New Roman" w:hint="eastAsia"/>
          <w:bCs/>
        </w:rPr>
        <w:t>或外汇市场</w:t>
      </w:r>
      <w:r>
        <w:rPr>
          <w:rFonts w:ascii="宋体" w:hAnsi="宋体" w:cs="Times New Roman" w:hint="eastAsia"/>
          <w:bCs/>
        </w:rPr>
        <w:t>交易时间非正常停市</w:t>
      </w:r>
      <w:r w:rsidR="00F82469" w:rsidRPr="00F82469">
        <w:rPr>
          <w:rFonts w:ascii="宋体" w:hAnsi="宋体" w:cs="Times New Roman" w:hint="eastAsia"/>
          <w:bCs/>
        </w:rPr>
        <w:t>或港股通临时停市</w:t>
      </w:r>
      <w:r>
        <w:rPr>
          <w:rFonts w:ascii="宋体" w:hAnsi="宋体" w:cs="Times New Roman" w:hint="eastAsia"/>
          <w:bCs/>
        </w:rPr>
        <w:t>，导致基金管理人无法计算当日基金资产净值或者无法办理申购业务。</w:t>
      </w:r>
    </w:p>
    <w:p w14:paraId="2582A06F"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4、接受某笔或某些申购申请可能会影响或损害现有基金份额持有人利益时。</w:t>
      </w:r>
    </w:p>
    <w:p w14:paraId="1F518A55"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5、基金资产规模过大，使基金管理人无法找到合适的投资品种，或其他可能对基金业绩产生负面影响，或发生其他损害现有基金份额持有人利益的情形。</w:t>
      </w:r>
    </w:p>
    <w:p w14:paraId="1634A7B6"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6、当前一估值日基金资产净值50%以上的资产出现无可参考的活跃市场价格且采用估值技术仍导致公允价值存在重大不确定性时，经与基金托管人协商确认后，基金管理人应当暂停接受基金申购申请。</w:t>
      </w:r>
    </w:p>
    <w:p w14:paraId="7D12B9DF"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7、目标ETF暂停基金资产估值，导致基金管理人无法计算当日基金资产净值。</w:t>
      </w:r>
    </w:p>
    <w:p w14:paraId="52718829"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bCs/>
        </w:rPr>
        <w:t>8</w:t>
      </w:r>
      <w:r>
        <w:rPr>
          <w:rFonts w:ascii="宋体" w:hAnsi="宋体" w:cs="Times New Roman" w:hint="eastAsia"/>
          <w:bCs/>
        </w:rPr>
        <w:t>、目标ETF暂停申购、暂停上市或二级市场交易停牌、达到或接近申购上限，基金管理人认为有必要暂停本基金申购的情形。</w:t>
      </w:r>
    </w:p>
    <w:p w14:paraId="68817950"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9、基金管理人、基金托管人、基金销售机构或登记机构因技术故障或异常情况导致基金销售系统、基金登记系统、基金会计系统或证券登记结算系统无法正常运行。</w:t>
      </w:r>
    </w:p>
    <w:p w14:paraId="4A17EBE5" w14:textId="66B708C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bCs/>
        </w:rPr>
        <w:t>10</w:t>
      </w:r>
      <w:r>
        <w:rPr>
          <w:rFonts w:ascii="宋体" w:hAnsi="宋体" w:cs="Times New Roman" w:hint="eastAsia"/>
          <w:bCs/>
        </w:rPr>
        <w:t>、当一笔新的申购申请被确认成功，使本基金总规模超过基金管理人规定的总规模上限时；或使本基金当日申购金额超过基金管理人规定的当日申购金额/净申购比例上限时；或该投资者累计持有的份额超过单个投资者累计持有的份额上限时；或该投资者当日/单笔申购金额超过单个投资者单日或单笔申购金额上限时。</w:t>
      </w:r>
    </w:p>
    <w:p w14:paraId="0E3C26C6" w14:textId="77777777" w:rsidR="00F82469" w:rsidRPr="00F82469" w:rsidRDefault="00F82469" w:rsidP="00F82469">
      <w:pPr>
        <w:adjustRightInd w:val="0"/>
        <w:snapToGrid w:val="0"/>
        <w:spacing w:line="360" w:lineRule="auto"/>
        <w:ind w:firstLineChars="200" w:firstLine="420"/>
        <w:rPr>
          <w:rFonts w:ascii="宋体" w:hAnsi="宋体" w:cs="Times New Roman"/>
          <w:bCs/>
        </w:rPr>
      </w:pPr>
      <w:r w:rsidRPr="00F82469">
        <w:rPr>
          <w:rFonts w:ascii="宋体" w:hAnsi="宋体" w:cs="Times New Roman" w:hint="eastAsia"/>
          <w:bCs/>
        </w:rPr>
        <w:t>11、因港股通每日额度等原因需要控制基金申购规模（基金管理人可根据市场情况进行调整）。</w:t>
      </w:r>
    </w:p>
    <w:p w14:paraId="16D89FC0" w14:textId="34A82F34" w:rsidR="00F82469" w:rsidRDefault="00F82469" w:rsidP="00F82469">
      <w:pPr>
        <w:adjustRightInd w:val="0"/>
        <w:snapToGrid w:val="0"/>
        <w:spacing w:line="360" w:lineRule="auto"/>
        <w:ind w:firstLineChars="200" w:firstLine="420"/>
        <w:rPr>
          <w:rFonts w:ascii="宋体" w:hAnsi="宋体" w:cs="Times New Roman"/>
          <w:bCs/>
        </w:rPr>
      </w:pPr>
      <w:r w:rsidRPr="00F82469">
        <w:rPr>
          <w:rFonts w:ascii="宋体" w:hAnsi="宋体" w:cs="Times New Roman" w:hint="eastAsia"/>
          <w:bCs/>
        </w:rPr>
        <w:t>12、本基金进行交易的主要证券/期货市场或本基金的资产组合中的重要部分发生暂停交易或其他重大事件，继续接受申购可能会影响或损害其他基金份额持有人利益时。</w:t>
      </w:r>
    </w:p>
    <w:p w14:paraId="12C1975F" w14:textId="4B01121C"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bCs/>
        </w:rPr>
        <w:t>1</w:t>
      </w:r>
      <w:r w:rsidR="00F82469">
        <w:rPr>
          <w:rFonts w:ascii="宋体" w:hAnsi="宋体" w:cs="Times New Roman"/>
          <w:bCs/>
        </w:rPr>
        <w:t>3</w:t>
      </w:r>
      <w:r>
        <w:rPr>
          <w:rFonts w:ascii="宋体" w:hAnsi="宋体" w:cs="Times New Roman" w:hint="eastAsia"/>
          <w:bCs/>
        </w:rPr>
        <w:t>、法律法规规定或中国证监会认定的其他情形。</w:t>
      </w:r>
    </w:p>
    <w:p w14:paraId="439F75B1" w14:textId="6CF60434" w:rsidR="00AE3DA6" w:rsidRDefault="00795E23">
      <w:pPr>
        <w:adjustRightInd w:val="0"/>
        <w:snapToGrid w:val="0"/>
        <w:spacing w:line="360" w:lineRule="auto"/>
        <w:ind w:firstLineChars="200" w:firstLine="420"/>
        <w:rPr>
          <w:rFonts w:cs="Times New Roman"/>
        </w:rPr>
      </w:pPr>
      <w:r>
        <w:rPr>
          <w:rFonts w:ascii="宋体" w:hAnsi="宋体" w:cs="Times New Roman" w:hint="eastAsia"/>
          <w:bCs/>
        </w:rPr>
        <w:t>发生上述第1、2、3、5、6、7、8、9、1</w:t>
      </w:r>
      <w:r>
        <w:rPr>
          <w:rFonts w:ascii="宋体" w:hAnsi="宋体" w:cs="Times New Roman"/>
          <w:bCs/>
        </w:rPr>
        <w:t>1</w:t>
      </w:r>
      <w:r w:rsidR="00F82469">
        <w:rPr>
          <w:rFonts w:ascii="宋体" w:hAnsi="宋体" w:cs="Times New Roman" w:hint="eastAsia"/>
          <w:bCs/>
        </w:rPr>
        <w:t>、1</w:t>
      </w:r>
      <w:r w:rsidR="00F82469">
        <w:rPr>
          <w:rFonts w:ascii="宋体" w:hAnsi="宋体" w:cs="Times New Roman"/>
          <w:bCs/>
        </w:rPr>
        <w:t>2</w:t>
      </w:r>
      <w:r w:rsidR="00F82469">
        <w:rPr>
          <w:rFonts w:ascii="宋体" w:hAnsi="宋体" w:cs="Times New Roman" w:hint="eastAsia"/>
          <w:bCs/>
        </w:rPr>
        <w:t>、1</w:t>
      </w:r>
      <w:r w:rsidR="00F82469">
        <w:rPr>
          <w:rFonts w:ascii="宋体" w:hAnsi="宋体" w:cs="Times New Roman"/>
          <w:bCs/>
        </w:rPr>
        <w:t>3</w:t>
      </w:r>
      <w:r>
        <w:rPr>
          <w:rFonts w:ascii="宋体" w:hAnsi="宋体" w:cs="Times New Roman" w:hint="eastAsia"/>
          <w:bCs/>
        </w:rPr>
        <w:t>项暂停申购情形之一且基金管理人决定暂停接受投资人申购申请时，基金管理人应当根据有关规定在规定媒介上刊登暂停申购公告。发生上述第</w:t>
      </w:r>
      <w:r>
        <w:rPr>
          <w:rFonts w:ascii="宋体" w:hAnsi="宋体" w:cs="Times New Roman"/>
          <w:bCs/>
        </w:rPr>
        <w:t>10</w:t>
      </w:r>
      <w:r>
        <w:rPr>
          <w:rFonts w:ascii="宋体" w:hAnsi="宋体" w:cs="Times New Roman" w:hint="eastAsia"/>
          <w:bCs/>
        </w:rPr>
        <w:t>项情形时，基金管理人可以采取比例确认等方式对该投资人的申购申请进行限制，基金管理人有权拒绝该等全部或者部分申购申请。如果投资人的申购申请被全部或部分拒绝，被拒绝的申购款项将退还给投资人。在暂停申购的情况消除时，基金管理人应及时恢复申购业务的办理。</w:t>
      </w:r>
      <w:bookmarkStart w:id="90" w:name="_Hlt70481650"/>
      <w:bookmarkEnd w:id="90"/>
    </w:p>
    <w:p w14:paraId="5772F1D9" w14:textId="77777777" w:rsidR="00AE3DA6" w:rsidRDefault="00795E23">
      <w:pPr>
        <w:snapToGrid w:val="0"/>
        <w:spacing w:line="360" w:lineRule="auto"/>
        <w:ind w:firstLineChars="200" w:firstLine="420"/>
        <w:rPr>
          <w:rFonts w:cs="Times New Roman"/>
          <w:bCs/>
        </w:rPr>
      </w:pPr>
      <w:r>
        <w:rPr>
          <w:rFonts w:cs="宋体" w:hint="eastAsia"/>
          <w:bCs/>
        </w:rPr>
        <w:t>十、暂停赎回或延缓支付赎回款项的情形</w:t>
      </w:r>
    </w:p>
    <w:p w14:paraId="6FB4F6E8"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bCs/>
        </w:rPr>
        <w:t>发生下列情形时，基金管理人可暂停接受投资人的赎回申请或延缓支付赎回款项：</w:t>
      </w:r>
    </w:p>
    <w:p w14:paraId="0C7123C3"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1、因不可抗力导致基金管理人不能支付赎回款项。</w:t>
      </w:r>
    </w:p>
    <w:p w14:paraId="6B759E85"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2、发生基金合同规定的暂停基金资产估值情况时，基金管理人可暂停接受投资人的赎回申请或延缓支付赎回款项。</w:t>
      </w:r>
    </w:p>
    <w:p w14:paraId="1A4F3461" w14:textId="71E5BF32"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3、证券/期货交易所</w:t>
      </w:r>
      <w:r w:rsidR="00905AF3" w:rsidRPr="00905AF3">
        <w:rPr>
          <w:rFonts w:ascii="宋体" w:hAnsi="宋体" w:cs="Times New Roman" w:hint="eastAsia"/>
          <w:bCs/>
        </w:rPr>
        <w:t>或外汇市场</w:t>
      </w:r>
      <w:r>
        <w:rPr>
          <w:rFonts w:ascii="宋体" w:hAnsi="宋体" w:cs="Times New Roman" w:hint="eastAsia"/>
          <w:bCs/>
        </w:rPr>
        <w:t>交易时间非正常停市</w:t>
      </w:r>
      <w:r w:rsidR="00F82469" w:rsidRPr="00F82469">
        <w:rPr>
          <w:rFonts w:ascii="宋体" w:hAnsi="宋体" w:cs="Times New Roman" w:hint="eastAsia"/>
          <w:bCs/>
        </w:rPr>
        <w:t>或港股通临时停市</w:t>
      </w:r>
      <w:r>
        <w:rPr>
          <w:rFonts w:ascii="宋体" w:hAnsi="宋体" w:cs="Times New Roman" w:hint="eastAsia"/>
          <w:bCs/>
        </w:rPr>
        <w:t>，导致基金管理人无法计算当日基金资产净值或者无法办理赎回业务。</w:t>
      </w:r>
    </w:p>
    <w:p w14:paraId="6B991B9E"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4、连续两个或两个以上开放日发生巨额赎回。</w:t>
      </w:r>
    </w:p>
    <w:p w14:paraId="6BC566F2"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5、发生继续接受赎回申请将损害现有基金份额持有人利益的情形时，基金管理人可暂停接受基金份额持有人的赎回申请。</w:t>
      </w:r>
    </w:p>
    <w:p w14:paraId="0F0B3725"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3C4F4934"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7、目标ETF暂停基金资产估值，导致基金管理人无法计算当日基金资产净值。</w:t>
      </w:r>
    </w:p>
    <w:p w14:paraId="48B823A9"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8、目标ETF暂停赎回、暂停上市或二级市场交易停牌或延缓支付赎回对价，基金管理人认为有必要暂停本基金赎回的情形。</w:t>
      </w:r>
    </w:p>
    <w:p w14:paraId="5B3CE714" w14:textId="77777777" w:rsidR="00AE3DA6" w:rsidRDefault="00795E23">
      <w:pPr>
        <w:adjustRightInd w:val="0"/>
        <w:snapToGrid w:val="0"/>
        <w:spacing w:line="360" w:lineRule="auto"/>
        <w:ind w:firstLineChars="200" w:firstLine="420"/>
        <w:rPr>
          <w:rFonts w:ascii="宋体" w:hAnsi="宋体" w:cs="Times New Roman"/>
          <w:bCs/>
        </w:rPr>
      </w:pPr>
      <w:r>
        <w:rPr>
          <w:rFonts w:ascii="宋体" w:hAnsi="宋体" w:cs="Times New Roman" w:hint="eastAsia"/>
          <w:bCs/>
        </w:rPr>
        <w:t>9、法律法规规定或中国证监会认定的其他情形。</w:t>
      </w:r>
    </w:p>
    <w:p w14:paraId="405BC3D4" w14:textId="77777777" w:rsidR="00AE3DA6" w:rsidRDefault="00795E23">
      <w:pPr>
        <w:adjustRightInd w:val="0"/>
        <w:snapToGrid w:val="0"/>
        <w:spacing w:line="360" w:lineRule="auto"/>
        <w:ind w:firstLineChars="200" w:firstLine="420"/>
        <w:rPr>
          <w:rFonts w:ascii="宋体" w:cs="Times New Roman"/>
          <w:color w:val="000000"/>
        </w:rPr>
      </w:pPr>
      <w:r>
        <w:rPr>
          <w:rFonts w:ascii="宋体" w:hAnsi="宋体" w:cs="Times New Roman" w:hint="eastAsia"/>
          <w:bCs/>
        </w:rPr>
        <w:t>发生上述情形之一且基金管理人决定暂停接受基金份额持有人的赎回申请或延缓支付赎回款项时，基金管理人应当根据有关规定在规定媒介上刊登暂停赎回公告。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1B74787B" w14:textId="77777777" w:rsidR="00AE3DA6" w:rsidRDefault="00795E23">
      <w:pPr>
        <w:pStyle w:val="a9"/>
        <w:snapToGrid w:val="0"/>
        <w:ind w:firstLineChars="196" w:firstLine="412"/>
        <w:rPr>
          <w:rFonts w:ascii="宋体"/>
          <w:bCs/>
          <w:color w:val="000000"/>
          <w:sz w:val="21"/>
          <w:szCs w:val="21"/>
        </w:rPr>
      </w:pPr>
      <w:r>
        <w:rPr>
          <w:rFonts w:ascii="宋体" w:hAnsi="宋体" w:cs="宋体" w:hint="eastAsia"/>
          <w:bCs/>
          <w:color w:val="000000"/>
          <w:sz w:val="21"/>
          <w:szCs w:val="21"/>
        </w:rPr>
        <w:t>十一、巨额赎回的情形及处理方式</w:t>
      </w:r>
    </w:p>
    <w:p w14:paraId="5E3EBFB4" w14:textId="77777777" w:rsidR="00AE3DA6" w:rsidRDefault="00795E23">
      <w:pPr>
        <w:pStyle w:val="a9"/>
        <w:snapToGrid w:val="0"/>
        <w:ind w:firstLineChars="196" w:firstLine="412"/>
        <w:rPr>
          <w:rFonts w:ascii="Calibri" w:hAnsi="Calibri" w:cs="Calibri"/>
          <w:sz w:val="21"/>
          <w:szCs w:val="21"/>
        </w:rPr>
      </w:pPr>
      <w:r>
        <w:rPr>
          <w:rFonts w:ascii="Calibri" w:hAnsi="Calibri" w:cs="Calibri" w:hint="eastAsia"/>
          <w:sz w:val="21"/>
          <w:szCs w:val="21"/>
        </w:rPr>
        <w:t>1</w:t>
      </w:r>
      <w:r>
        <w:rPr>
          <w:rFonts w:ascii="Calibri" w:hAnsi="Calibri" w:cs="Calibri" w:hint="eastAsia"/>
          <w:sz w:val="21"/>
          <w:szCs w:val="21"/>
        </w:rPr>
        <w:t>、巨额赎回的认定</w:t>
      </w:r>
    </w:p>
    <w:p w14:paraId="284D3EFF" w14:textId="77777777" w:rsidR="00AE3DA6" w:rsidRDefault="00795E23">
      <w:pPr>
        <w:pStyle w:val="a9"/>
        <w:snapToGrid w:val="0"/>
        <w:ind w:firstLineChars="196" w:firstLine="412"/>
        <w:rPr>
          <w:rFonts w:ascii="Calibri" w:hAnsi="Calibri" w:cs="Calibri"/>
          <w:sz w:val="21"/>
          <w:szCs w:val="21"/>
        </w:rPr>
      </w:pPr>
      <w:r>
        <w:rPr>
          <w:rFonts w:ascii="Calibri" w:hAnsi="Calibri" w:cs="Calibri" w:hint="eastAsia"/>
          <w:sz w:val="21"/>
          <w:szCs w:val="21"/>
        </w:rPr>
        <w:t>若本基金单个开放日内的基金份额净赎回申请</w:t>
      </w:r>
      <w:r>
        <w:rPr>
          <w:rFonts w:ascii="Calibri" w:hAnsi="Calibri" w:cs="Calibri" w:hint="eastAsia"/>
          <w:sz w:val="21"/>
          <w:szCs w:val="21"/>
        </w:rPr>
        <w:t>(</w:t>
      </w:r>
      <w:r>
        <w:rPr>
          <w:rFonts w:ascii="Calibri" w:hAnsi="Calibri" w:cs="Calibri" w:hint="eastAsia"/>
          <w:sz w:val="21"/>
          <w:szCs w:val="21"/>
        </w:rPr>
        <w:t>赎回申请份额总数加上基金转换中转出申请份额总数后扣除申购申请份额总数及基金转换中转入申请份额总数后的余额</w:t>
      </w:r>
      <w:r>
        <w:rPr>
          <w:rFonts w:ascii="Calibri" w:hAnsi="Calibri" w:cs="Calibri" w:hint="eastAsia"/>
          <w:sz w:val="21"/>
          <w:szCs w:val="21"/>
        </w:rPr>
        <w:t>)</w:t>
      </w:r>
      <w:r>
        <w:rPr>
          <w:rFonts w:ascii="Calibri" w:hAnsi="Calibri" w:cs="Calibri" w:hint="eastAsia"/>
          <w:sz w:val="21"/>
          <w:szCs w:val="21"/>
        </w:rPr>
        <w:t>超过前一开放日的基金总份额的</w:t>
      </w:r>
      <w:r>
        <w:rPr>
          <w:rFonts w:ascii="Calibri" w:hAnsi="Calibri" w:cs="Calibri" w:hint="eastAsia"/>
          <w:sz w:val="21"/>
          <w:szCs w:val="21"/>
        </w:rPr>
        <w:t>10%</w:t>
      </w:r>
      <w:r>
        <w:rPr>
          <w:rFonts w:ascii="Calibri" w:hAnsi="Calibri" w:cs="Calibri" w:hint="eastAsia"/>
          <w:sz w:val="21"/>
          <w:szCs w:val="21"/>
        </w:rPr>
        <w:t>，即认为是发生了巨额赎回。</w:t>
      </w:r>
    </w:p>
    <w:p w14:paraId="367697FA" w14:textId="77777777" w:rsidR="00AE3DA6" w:rsidRDefault="00795E23">
      <w:pPr>
        <w:pStyle w:val="a9"/>
        <w:snapToGrid w:val="0"/>
        <w:ind w:firstLineChars="196" w:firstLine="412"/>
        <w:rPr>
          <w:rFonts w:ascii="Calibri" w:hAnsi="Calibri" w:cs="Calibri"/>
          <w:sz w:val="21"/>
          <w:szCs w:val="21"/>
        </w:rPr>
      </w:pPr>
      <w:bookmarkStart w:id="91" w:name="_Hlk34143402"/>
      <w:r>
        <w:rPr>
          <w:rFonts w:ascii="Calibri" w:hAnsi="Calibri" w:cs="Calibri" w:hint="eastAsia"/>
          <w:sz w:val="21"/>
          <w:szCs w:val="21"/>
        </w:rPr>
        <w:t>2</w:t>
      </w:r>
      <w:r>
        <w:rPr>
          <w:rFonts w:ascii="Calibri" w:hAnsi="Calibri" w:cs="Calibri" w:hint="eastAsia"/>
          <w:sz w:val="21"/>
          <w:szCs w:val="21"/>
        </w:rPr>
        <w:t>、巨额赎回的处理方式</w:t>
      </w:r>
    </w:p>
    <w:p w14:paraId="7EB11567" w14:textId="77777777" w:rsidR="00AE3DA6" w:rsidRDefault="00795E23">
      <w:pPr>
        <w:pStyle w:val="a9"/>
        <w:snapToGrid w:val="0"/>
        <w:ind w:firstLineChars="196" w:firstLine="412"/>
        <w:rPr>
          <w:rFonts w:ascii="Calibri" w:hAnsi="Calibri" w:cs="Calibri"/>
          <w:sz w:val="21"/>
          <w:szCs w:val="21"/>
        </w:rPr>
      </w:pPr>
      <w:r>
        <w:rPr>
          <w:rFonts w:ascii="Calibri" w:hAnsi="Calibri" w:cs="Calibri" w:hint="eastAsia"/>
          <w:sz w:val="21"/>
          <w:szCs w:val="21"/>
        </w:rPr>
        <w:t>当基金出现巨额赎回时，基金管理人可以根据基金当时的资产组合状况决定全额赎回或部分延期赎回。</w:t>
      </w:r>
    </w:p>
    <w:p w14:paraId="6A8F0A79" w14:textId="77777777" w:rsidR="00AE3DA6" w:rsidRDefault="00795E23">
      <w:pPr>
        <w:pStyle w:val="a9"/>
        <w:snapToGrid w:val="0"/>
        <w:ind w:firstLineChars="196" w:firstLine="412"/>
        <w:rPr>
          <w:rFonts w:ascii="Calibri" w:hAnsi="Calibri" w:cs="Calibri"/>
          <w:sz w:val="21"/>
          <w:szCs w:val="21"/>
        </w:rPr>
      </w:pPr>
      <w:r>
        <w:rPr>
          <w:rFonts w:ascii="Calibri" w:hAnsi="Calibri" w:cs="Calibri" w:hint="eastAsia"/>
          <w:sz w:val="21"/>
          <w:szCs w:val="21"/>
        </w:rPr>
        <w:t>（</w:t>
      </w:r>
      <w:r>
        <w:rPr>
          <w:rFonts w:ascii="Calibri" w:hAnsi="Calibri" w:cs="Calibri" w:hint="eastAsia"/>
          <w:sz w:val="21"/>
          <w:szCs w:val="21"/>
        </w:rPr>
        <w:t>1</w:t>
      </w:r>
      <w:r>
        <w:rPr>
          <w:rFonts w:ascii="Calibri" w:hAnsi="Calibri" w:cs="Calibri" w:hint="eastAsia"/>
          <w:sz w:val="21"/>
          <w:szCs w:val="21"/>
        </w:rPr>
        <w:t>）全额赎回：当基金管理人认为有能力支付投资人的全部赎回申请时，按正常赎回程序执行。</w:t>
      </w:r>
    </w:p>
    <w:p w14:paraId="0C91C01E" w14:textId="77777777" w:rsidR="00AE3DA6" w:rsidRDefault="00795E23">
      <w:pPr>
        <w:pStyle w:val="a9"/>
        <w:snapToGrid w:val="0"/>
        <w:ind w:firstLineChars="196" w:firstLine="412"/>
        <w:rPr>
          <w:rFonts w:ascii="Calibri" w:hAnsi="Calibri" w:cs="Calibri"/>
          <w:sz w:val="21"/>
          <w:szCs w:val="21"/>
        </w:rPr>
      </w:pPr>
      <w:r>
        <w:rPr>
          <w:rFonts w:ascii="Calibri" w:hAnsi="Calibri" w:cs="Calibri" w:hint="eastAsia"/>
          <w:sz w:val="21"/>
          <w:szCs w:val="21"/>
        </w:rPr>
        <w:t>（</w:t>
      </w:r>
      <w:r>
        <w:rPr>
          <w:rFonts w:ascii="Calibri" w:hAnsi="Calibri" w:cs="Calibri" w:hint="eastAsia"/>
          <w:sz w:val="21"/>
          <w:szCs w:val="21"/>
        </w:rPr>
        <w:t>2</w:t>
      </w:r>
      <w:r>
        <w:rPr>
          <w:rFonts w:ascii="Calibri" w:hAnsi="Calibri" w:cs="Calibri" w:hint="eastAsia"/>
          <w:sz w:val="21"/>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Calibri" w:hAnsi="Calibri" w:cs="Calibri" w:hint="eastAsia"/>
          <w:sz w:val="21"/>
          <w:szCs w:val="21"/>
        </w:rPr>
        <w:t>10%</w:t>
      </w:r>
      <w:r>
        <w:rPr>
          <w:rFonts w:ascii="Calibri" w:hAnsi="Calibri" w:cs="Calibri" w:hint="eastAsia"/>
          <w:sz w:val="21"/>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ascii="Calibri" w:hAnsi="Calibri" w:cs="Calibri" w:hint="eastAsia"/>
          <w:bCs/>
          <w:sz w:val="21"/>
          <w:szCs w:val="21"/>
        </w:rPr>
        <w:t>该类</w:t>
      </w:r>
      <w:r>
        <w:rPr>
          <w:rFonts w:ascii="Calibri" w:hAnsi="Calibri" w:cs="Calibri" w:hint="eastAsia"/>
          <w:sz w:val="21"/>
          <w:szCs w:val="21"/>
        </w:rPr>
        <w:t>基金份额净值为基础计算赎回金额，以此类推，直到全部赎回为止。如投资人在提交赎回申请时未作明确选择，投资人未能赎回部分作自动延期赎回处理。</w:t>
      </w:r>
    </w:p>
    <w:p w14:paraId="4E83F18D" w14:textId="77777777" w:rsidR="00AE3DA6" w:rsidRDefault="00795E23">
      <w:pPr>
        <w:pStyle w:val="a9"/>
        <w:snapToGrid w:val="0"/>
        <w:ind w:firstLineChars="196" w:firstLine="412"/>
        <w:rPr>
          <w:rFonts w:ascii="Calibri" w:hAnsi="Calibri" w:cs="Calibri"/>
          <w:sz w:val="21"/>
          <w:szCs w:val="21"/>
        </w:rPr>
      </w:pPr>
      <w:r>
        <w:rPr>
          <w:rFonts w:ascii="Calibri" w:hAnsi="Calibri" w:cs="Calibri" w:hint="eastAsia"/>
          <w:sz w:val="21"/>
          <w:szCs w:val="21"/>
        </w:rPr>
        <w:t>（</w:t>
      </w:r>
      <w:r>
        <w:rPr>
          <w:rFonts w:ascii="Calibri" w:hAnsi="Calibri" w:cs="Calibri" w:hint="eastAsia"/>
          <w:sz w:val="21"/>
          <w:szCs w:val="21"/>
        </w:rPr>
        <w:t>3</w:t>
      </w:r>
      <w:r>
        <w:rPr>
          <w:rFonts w:ascii="Calibri" w:hAnsi="Calibri" w:cs="Calibri" w:hint="eastAsia"/>
          <w:sz w:val="21"/>
          <w:szCs w:val="21"/>
        </w:rPr>
        <w:t>）如发生单个开放日内单个基金份额持有人申请赎回的基金份额超过前一开放日的基金总份额的</w:t>
      </w:r>
      <w:r>
        <w:rPr>
          <w:rFonts w:ascii="Calibri" w:hAnsi="Calibri" w:cs="Calibri" w:hint="eastAsia"/>
          <w:sz w:val="21"/>
          <w:szCs w:val="21"/>
        </w:rPr>
        <w:t>30%</w:t>
      </w:r>
      <w:r>
        <w:rPr>
          <w:rFonts w:ascii="Calibri" w:hAnsi="Calibri" w:cs="Calibri" w:hint="eastAsia"/>
          <w:sz w:val="21"/>
          <w:szCs w:val="21"/>
        </w:rPr>
        <w:t>时，本基金管理人可以对该单个基金份额持有人持有的赎回申请实施延期办理。如基金管理人对于其超过基金总份额</w:t>
      </w:r>
      <w:r>
        <w:rPr>
          <w:rFonts w:ascii="Calibri" w:hAnsi="Calibri" w:cs="Calibri" w:hint="eastAsia"/>
          <w:sz w:val="21"/>
          <w:szCs w:val="21"/>
        </w:rPr>
        <w:t>30%</w:t>
      </w:r>
      <w:r>
        <w:rPr>
          <w:rFonts w:ascii="Calibri" w:hAnsi="Calibri" w:cs="Calibri" w:hint="eastAsia"/>
          <w:sz w:val="21"/>
          <w:szCs w:val="21"/>
        </w:rPr>
        <w:t>以上部分的赎回申请实施延期办理，延期的赎回申请与下一开放日赎回申请一并处理，无优先权并以下一开放日的</w:t>
      </w:r>
      <w:r>
        <w:rPr>
          <w:rFonts w:ascii="Calibri" w:hAnsi="Calibri" w:cs="Calibri" w:hint="eastAsia"/>
          <w:bCs/>
          <w:sz w:val="21"/>
          <w:szCs w:val="21"/>
        </w:rPr>
        <w:t>该类</w:t>
      </w:r>
      <w:r>
        <w:rPr>
          <w:rFonts w:ascii="Calibri" w:hAnsi="Calibri" w:cs="Calibri" w:hint="eastAsia"/>
          <w:sz w:val="21"/>
          <w:szCs w:val="21"/>
        </w:rPr>
        <w:t>基金份额净值为基础计算赎回金额，以此类推，直到全部赎回为止；如基金管理人只接受其基金总份额</w:t>
      </w:r>
      <w:r>
        <w:rPr>
          <w:rFonts w:ascii="Calibri" w:hAnsi="Calibri" w:cs="Calibri" w:hint="eastAsia"/>
          <w:sz w:val="21"/>
          <w:szCs w:val="21"/>
        </w:rPr>
        <w:t>30%</w:t>
      </w:r>
      <w:r>
        <w:rPr>
          <w:rFonts w:ascii="Calibri" w:hAnsi="Calibri" w:cs="Calibri" w:hint="eastAsia"/>
          <w:sz w:val="21"/>
          <w:szCs w:val="21"/>
        </w:rPr>
        <w:t>部分作为当日有效赎回申请，基金管理人可以根据前述“（</w:t>
      </w:r>
      <w:r>
        <w:rPr>
          <w:rFonts w:ascii="Calibri" w:hAnsi="Calibri" w:cs="Calibri" w:hint="eastAsia"/>
          <w:sz w:val="21"/>
          <w:szCs w:val="21"/>
        </w:rPr>
        <w:t>1</w:t>
      </w:r>
      <w:r>
        <w:rPr>
          <w:rFonts w:ascii="Calibri" w:hAnsi="Calibri" w:cs="Calibri" w:hint="eastAsia"/>
          <w:sz w:val="21"/>
          <w:szCs w:val="21"/>
        </w:rPr>
        <w:t>）全额赎回”或“（</w:t>
      </w:r>
      <w:r>
        <w:rPr>
          <w:rFonts w:ascii="Calibri" w:hAnsi="Calibri" w:cs="Calibri" w:hint="eastAsia"/>
          <w:sz w:val="21"/>
          <w:szCs w:val="21"/>
        </w:rPr>
        <w:t>2</w:t>
      </w:r>
      <w:r>
        <w:rPr>
          <w:rFonts w:ascii="Calibri" w:hAnsi="Calibri" w:cs="Calibri" w:hint="eastAsia"/>
          <w:sz w:val="21"/>
          <w:szCs w:val="21"/>
        </w:rPr>
        <w:t>）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36D67FF8" w14:textId="77777777" w:rsidR="00AE3DA6" w:rsidRDefault="00795E23">
      <w:pPr>
        <w:pStyle w:val="a9"/>
        <w:snapToGrid w:val="0"/>
        <w:ind w:firstLineChars="196" w:firstLine="412"/>
        <w:rPr>
          <w:rFonts w:ascii="Calibri" w:hAnsi="Calibri" w:cs="Calibri"/>
          <w:sz w:val="21"/>
          <w:szCs w:val="21"/>
        </w:rPr>
      </w:pPr>
      <w:r>
        <w:rPr>
          <w:rFonts w:ascii="Calibri" w:hAnsi="Calibri" w:cs="Calibri" w:hint="eastAsia"/>
          <w:sz w:val="21"/>
          <w:szCs w:val="21"/>
        </w:rPr>
        <w:t>（</w:t>
      </w:r>
      <w:r>
        <w:rPr>
          <w:rFonts w:ascii="Calibri" w:hAnsi="Calibri" w:cs="Calibri" w:hint="eastAsia"/>
          <w:sz w:val="21"/>
          <w:szCs w:val="21"/>
        </w:rPr>
        <w:t>4</w:t>
      </w:r>
      <w:r>
        <w:rPr>
          <w:rFonts w:ascii="Calibri" w:hAnsi="Calibri" w:cs="Calibri" w:hint="eastAsia"/>
          <w:sz w:val="21"/>
          <w:szCs w:val="21"/>
        </w:rPr>
        <w:t>）暂停赎回：连续</w:t>
      </w:r>
      <w:r>
        <w:rPr>
          <w:rFonts w:ascii="Calibri" w:hAnsi="Calibri" w:cs="Calibri" w:hint="eastAsia"/>
          <w:sz w:val="21"/>
          <w:szCs w:val="21"/>
        </w:rPr>
        <w:t>2</w:t>
      </w:r>
      <w:r>
        <w:rPr>
          <w:rFonts w:ascii="Calibri" w:hAnsi="Calibri" w:cs="Calibri" w:hint="eastAsia"/>
          <w:sz w:val="21"/>
          <w:szCs w:val="21"/>
        </w:rPr>
        <w:t>个开放日以上（含本数）发生巨额赎回，如基金管理人认为有必要，可暂停接受基金的赎回申请；已经接受的赎回申请可以延缓支付赎回款项，但不得超过</w:t>
      </w:r>
      <w:r>
        <w:rPr>
          <w:rFonts w:ascii="Calibri" w:hAnsi="Calibri" w:cs="Calibri" w:hint="eastAsia"/>
          <w:sz w:val="21"/>
          <w:szCs w:val="21"/>
        </w:rPr>
        <w:t>20</w:t>
      </w:r>
      <w:r>
        <w:rPr>
          <w:rFonts w:ascii="Calibri" w:hAnsi="Calibri" w:cs="Calibri" w:hint="eastAsia"/>
          <w:sz w:val="21"/>
          <w:szCs w:val="21"/>
        </w:rPr>
        <w:t>个工作日，并应当在规定媒介上进行公告。</w:t>
      </w:r>
      <w:bookmarkEnd w:id="91"/>
    </w:p>
    <w:p w14:paraId="5DF82D73" w14:textId="77777777" w:rsidR="00AE3DA6" w:rsidRDefault="00795E23">
      <w:pPr>
        <w:pStyle w:val="a9"/>
        <w:snapToGrid w:val="0"/>
        <w:ind w:firstLineChars="196" w:firstLine="412"/>
        <w:rPr>
          <w:rFonts w:ascii="Calibri" w:hAnsi="Calibri" w:cs="Calibri"/>
          <w:sz w:val="21"/>
          <w:szCs w:val="21"/>
        </w:rPr>
      </w:pPr>
      <w:r>
        <w:rPr>
          <w:rFonts w:ascii="Calibri" w:hAnsi="Calibri" w:cs="Calibri" w:hint="eastAsia"/>
          <w:sz w:val="21"/>
          <w:szCs w:val="21"/>
        </w:rPr>
        <w:t>3</w:t>
      </w:r>
      <w:r>
        <w:rPr>
          <w:rFonts w:ascii="Calibri" w:hAnsi="Calibri" w:cs="Calibri" w:hint="eastAsia"/>
          <w:sz w:val="21"/>
          <w:szCs w:val="21"/>
        </w:rPr>
        <w:t>、巨额赎回的公告</w:t>
      </w:r>
    </w:p>
    <w:p w14:paraId="03A88E05" w14:textId="77777777" w:rsidR="00AE3DA6" w:rsidRDefault="00795E23">
      <w:pPr>
        <w:snapToGrid w:val="0"/>
        <w:spacing w:line="360" w:lineRule="auto"/>
        <w:ind w:firstLineChars="200" w:firstLine="420"/>
        <w:rPr>
          <w:rFonts w:cs="Times New Roman"/>
        </w:rPr>
      </w:pPr>
      <w:r>
        <w:rPr>
          <w:rFonts w:hint="eastAsia"/>
        </w:rPr>
        <w:t>当发生上述巨额赎回并延期办理时，基金管理人应当通过邮寄、传真或者其他方式（包括但不限于短信、公告、电子邮件或由基金销售机构通知等方式）在</w:t>
      </w:r>
      <w:r>
        <w:rPr>
          <w:rFonts w:hint="eastAsia"/>
        </w:rPr>
        <w:t>3</w:t>
      </w:r>
      <w:r>
        <w:rPr>
          <w:rFonts w:hint="eastAsia"/>
        </w:rPr>
        <w:t>个交易日内通知基金份额持有人，说明有关处理方法，并在两日内在规定媒介上刊登公告。</w:t>
      </w:r>
    </w:p>
    <w:p w14:paraId="745CF7E8" w14:textId="77777777" w:rsidR="00AE3DA6" w:rsidRDefault="00795E23">
      <w:pPr>
        <w:snapToGrid w:val="0"/>
        <w:spacing w:line="360" w:lineRule="auto"/>
        <w:ind w:firstLineChars="200" w:firstLine="420"/>
        <w:rPr>
          <w:rFonts w:cs="Times New Roman"/>
          <w:bCs/>
        </w:rPr>
      </w:pPr>
      <w:r>
        <w:rPr>
          <w:rFonts w:cs="宋体" w:hint="eastAsia"/>
          <w:bCs/>
        </w:rPr>
        <w:t>十二、暂停申购或赎回的公告和重新开放申购或赎回的公告</w:t>
      </w:r>
    </w:p>
    <w:p w14:paraId="2D9F71EC" w14:textId="77777777" w:rsidR="00AE3DA6" w:rsidRDefault="00795E23">
      <w:pPr>
        <w:snapToGrid w:val="0"/>
        <w:spacing w:line="360" w:lineRule="auto"/>
        <w:ind w:firstLineChars="200" w:firstLine="420"/>
      </w:pPr>
      <w:r>
        <w:rPr>
          <w:rFonts w:hint="eastAsia"/>
        </w:rPr>
        <w:t>1</w:t>
      </w:r>
      <w:r>
        <w:rPr>
          <w:rFonts w:hint="eastAsia"/>
        </w:rPr>
        <w:t>、发生上述暂停申购或赎回情况的，基金管理人应在规定期限内在规定媒介上刊登暂停公告。</w:t>
      </w:r>
    </w:p>
    <w:p w14:paraId="7AEF12C3" w14:textId="77777777" w:rsidR="00AE3DA6" w:rsidRDefault="00795E23">
      <w:pPr>
        <w:snapToGrid w:val="0"/>
        <w:spacing w:line="360" w:lineRule="auto"/>
        <w:ind w:firstLineChars="200" w:firstLine="420"/>
        <w:rPr>
          <w:rFonts w:ascii="宋体" w:cs="Times New Roman"/>
        </w:rPr>
      </w:pPr>
      <w:r>
        <w:rPr>
          <w:rFonts w:hint="eastAsia"/>
        </w:rPr>
        <w:t>2</w:t>
      </w:r>
      <w:r>
        <w:rPr>
          <w:rFonts w:hint="eastAsia"/>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40AFB81A" w14:textId="77777777" w:rsidR="00AE3DA6" w:rsidRDefault="00795E23">
      <w:pPr>
        <w:snapToGrid w:val="0"/>
        <w:spacing w:line="360" w:lineRule="auto"/>
        <w:ind w:firstLineChars="200" w:firstLine="420"/>
        <w:rPr>
          <w:rFonts w:cs="Times New Roman"/>
          <w:bCs/>
        </w:rPr>
      </w:pPr>
      <w:r>
        <w:rPr>
          <w:rFonts w:cs="宋体" w:hint="eastAsia"/>
          <w:bCs/>
        </w:rPr>
        <w:t>十三、基金转换</w:t>
      </w:r>
    </w:p>
    <w:p w14:paraId="3AE34B58" w14:textId="77777777" w:rsidR="00AE3DA6" w:rsidRDefault="00795E23">
      <w:pPr>
        <w:snapToGrid w:val="0"/>
        <w:spacing w:line="360" w:lineRule="auto"/>
        <w:ind w:firstLineChars="200" w:firstLine="420"/>
        <w:rPr>
          <w:rFonts w:cs="Times New Roman"/>
        </w:rPr>
      </w:pPr>
      <w:r>
        <w:rPr>
          <w:rFonts w:cs="宋体" w:hint="eastAsia"/>
        </w:rPr>
        <w:t>基金管理人可以根据相关法律法规以及基金合同的规定决定开办本基金与基金管理人管理的其他基金份额之间的转换业务，基金转换可以收取一定的转换费，相关规则由基金管理人届时根据相关法律法规及基金合同的规定制定并公告，并提前告知基金托管人与相关机构。</w:t>
      </w:r>
    </w:p>
    <w:p w14:paraId="3CCE4F1A" w14:textId="77777777" w:rsidR="00AE3DA6" w:rsidRDefault="00795E23">
      <w:pPr>
        <w:snapToGrid w:val="0"/>
        <w:spacing w:line="360" w:lineRule="auto"/>
        <w:ind w:firstLineChars="200" w:firstLine="420"/>
        <w:rPr>
          <w:rFonts w:cs="Times New Roman"/>
          <w:bCs/>
        </w:rPr>
      </w:pPr>
      <w:r>
        <w:rPr>
          <w:rFonts w:cs="宋体" w:hint="eastAsia"/>
          <w:bCs/>
        </w:rPr>
        <w:t>十四、基金的非交易过户</w:t>
      </w:r>
    </w:p>
    <w:p w14:paraId="51BD7402" w14:textId="77777777" w:rsidR="00AE3DA6" w:rsidRDefault="00795E23">
      <w:pPr>
        <w:snapToGrid w:val="0"/>
        <w:spacing w:line="360" w:lineRule="auto"/>
        <w:ind w:firstLineChars="200" w:firstLine="420"/>
        <w:rPr>
          <w:rFonts w:cs="宋体"/>
        </w:rPr>
      </w:pPr>
      <w:r>
        <w:rPr>
          <w:rFonts w:cs="宋体" w:hint="eastAsia"/>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7ABDB0AC" w14:textId="77777777" w:rsidR="00AE3DA6" w:rsidRDefault="00795E23">
      <w:pPr>
        <w:snapToGrid w:val="0"/>
        <w:spacing w:line="360" w:lineRule="auto"/>
        <w:ind w:firstLineChars="200" w:firstLine="420"/>
        <w:rPr>
          <w:rFonts w:cs="Times New Roman"/>
        </w:rPr>
      </w:pPr>
      <w:r>
        <w:rPr>
          <w:rFonts w:cs="宋体"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A2FB3B0" w14:textId="77777777" w:rsidR="00AE3DA6" w:rsidRDefault="00795E23">
      <w:pPr>
        <w:snapToGrid w:val="0"/>
        <w:spacing w:line="360" w:lineRule="auto"/>
        <w:ind w:firstLineChars="200" w:firstLine="420"/>
        <w:rPr>
          <w:rFonts w:cs="Times New Roman"/>
          <w:bCs/>
        </w:rPr>
      </w:pPr>
      <w:r>
        <w:rPr>
          <w:rFonts w:cs="宋体" w:hint="eastAsia"/>
          <w:bCs/>
        </w:rPr>
        <w:t>十五、基金的转托管</w:t>
      </w:r>
    </w:p>
    <w:p w14:paraId="617D414E" w14:textId="77777777" w:rsidR="00AE3DA6" w:rsidRDefault="00795E23">
      <w:pPr>
        <w:snapToGrid w:val="0"/>
        <w:spacing w:line="360" w:lineRule="auto"/>
        <w:ind w:firstLineChars="200" w:firstLine="420"/>
        <w:rPr>
          <w:rFonts w:cs="Times New Roman"/>
        </w:rPr>
      </w:pPr>
      <w:r>
        <w:rPr>
          <w:rFonts w:cs="宋体" w:hint="eastAsia"/>
        </w:rPr>
        <w:t>基金份额持有人可办理已持有基金份额在不同销售机构之间的转托管，基金销售机构可以按照规定的标准收取转托管费。</w:t>
      </w:r>
    </w:p>
    <w:p w14:paraId="1D3F2EF8" w14:textId="77777777" w:rsidR="00AE3DA6" w:rsidRDefault="00795E23">
      <w:pPr>
        <w:snapToGrid w:val="0"/>
        <w:spacing w:line="360" w:lineRule="auto"/>
        <w:ind w:firstLineChars="200" w:firstLine="420"/>
        <w:rPr>
          <w:rFonts w:cs="Times New Roman"/>
          <w:bCs/>
        </w:rPr>
      </w:pPr>
      <w:r>
        <w:rPr>
          <w:rFonts w:cs="宋体" w:hint="eastAsia"/>
          <w:bCs/>
        </w:rPr>
        <w:t>十六、定投计划</w:t>
      </w:r>
    </w:p>
    <w:p w14:paraId="54848CD5" w14:textId="77777777" w:rsidR="00AE3DA6" w:rsidRDefault="00795E23">
      <w:pPr>
        <w:snapToGrid w:val="0"/>
        <w:spacing w:line="360" w:lineRule="auto"/>
        <w:ind w:firstLineChars="200" w:firstLine="420"/>
        <w:rPr>
          <w:rFonts w:cs="Times New Roman"/>
        </w:rPr>
      </w:pPr>
      <w:r>
        <w:rPr>
          <w:rFonts w:cs="宋体"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14:paraId="7C1BBC90" w14:textId="77777777" w:rsidR="00AE3DA6" w:rsidRDefault="00795E23">
      <w:pPr>
        <w:snapToGrid w:val="0"/>
        <w:spacing w:line="360" w:lineRule="auto"/>
        <w:ind w:firstLineChars="200" w:firstLine="420"/>
        <w:rPr>
          <w:rFonts w:cs="Times New Roman"/>
          <w:bCs/>
        </w:rPr>
      </w:pPr>
      <w:r>
        <w:rPr>
          <w:rFonts w:cs="宋体" w:hint="eastAsia"/>
          <w:bCs/>
        </w:rPr>
        <w:t>十七、基金份额的冻结和解冻</w:t>
      </w:r>
    </w:p>
    <w:p w14:paraId="48B97402" w14:textId="77777777" w:rsidR="00AE3DA6" w:rsidRDefault="00795E23">
      <w:pPr>
        <w:snapToGrid w:val="0"/>
        <w:spacing w:line="360" w:lineRule="auto"/>
        <w:ind w:firstLineChars="200" w:firstLine="420"/>
        <w:rPr>
          <w:rFonts w:ascii="宋体" w:cs="Times New Roman"/>
        </w:rPr>
      </w:pPr>
      <w:r>
        <w:rPr>
          <w:rFonts w:cs="宋体" w:hint="eastAsia"/>
        </w:rPr>
        <w:t>基金登记机构只受理国家有权机关依法要求的基金份额的冻结与解冻，以及登记机构认可、符合法律法规的其他情况下的冻结与解冻。</w:t>
      </w:r>
      <w:r>
        <w:rPr>
          <w:rFonts w:ascii="宋体" w:hAnsi="宋体" w:cs="宋体" w:hint="eastAsia"/>
        </w:rPr>
        <w:t>基金份额的冻结手续、冻结方式按照登记机构的相关规定办理。基金份额被冻结的，被冻结部分产生的权益按照我国法律法规、监管规章及国家有权机关的要求以及登记机构业务规定处理。</w:t>
      </w:r>
    </w:p>
    <w:p w14:paraId="0DA45B94" w14:textId="77777777" w:rsidR="00AE3DA6" w:rsidRDefault="00795E23">
      <w:pPr>
        <w:snapToGrid w:val="0"/>
        <w:spacing w:line="360" w:lineRule="auto"/>
        <w:ind w:firstLineChars="200" w:firstLine="420"/>
        <w:rPr>
          <w:rFonts w:ascii="宋体" w:cs="Times New Roman"/>
          <w:bCs/>
        </w:rPr>
      </w:pPr>
      <w:r>
        <w:rPr>
          <w:rFonts w:ascii="宋体" w:hAnsi="宋体" w:cs="宋体" w:hint="eastAsia"/>
          <w:bCs/>
        </w:rPr>
        <w:t>十八、基金份额的转让</w:t>
      </w:r>
    </w:p>
    <w:p w14:paraId="167F0AE8" w14:textId="77777777" w:rsidR="00AE3DA6" w:rsidRDefault="00795E23">
      <w:pPr>
        <w:snapToGrid w:val="0"/>
        <w:spacing w:line="360" w:lineRule="auto"/>
        <w:ind w:firstLineChars="200" w:firstLine="420"/>
        <w:rPr>
          <w:rFonts w:ascii="宋体" w:cs="Times New Roman"/>
        </w:rPr>
      </w:pPr>
      <w:r>
        <w:rPr>
          <w:rFonts w:ascii="宋体" w:hAnsi="宋体" w:cs="宋体" w:hint="eastAsia"/>
          <w:color w:val="000000"/>
        </w:rPr>
        <w:t>在法律法规允许且条件具备的情况下，基金管理人可受理基金份额持有人通过中国证监会认可的交易场所或者</w:t>
      </w:r>
      <w:r>
        <w:rPr>
          <w:rFonts w:ascii="宋体" w:hAnsi="宋体" w:cs="宋体" w:hint="eastAsia"/>
          <w:bCs/>
          <w:color w:val="000000"/>
        </w:rPr>
        <w:t>通过</w:t>
      </w:r>
      <w:r>
        <w:rPr>
          <w:rFonts w:ascii="宋体" w:hAnsi="宋体" w:cs="宋体"/>
          <w:bCs/>
          <w:color w:val="000000"/>
        </w:rPr>
        <w:t>其他</w:t>
      </w:r>
      <w:r>
        <w:rPr>
          <w:rFonts w:ascii="宋体" w:hAnsi="宋体" w:cs="宋体" w:hint="eastAsia"/>
          <w:color w:val="000000"/>
        </w:rPr>
        <w:t>方式进行份额转让的申请并由登记机构办理基金份额的过户登记。基金管理人拟受理基金份额转让业务的，将提前公告，基金份额持有人应根据基金管理人公告的业务规则办理基金份额转让业务。</w:t>
      </w:r>
    </w:p>
    <w:p w14:paraId="22D21676" w14:textId="77777777" w:rsidR="00AE3DA6" w:rsidRDefault="00795E23">
      <w:pPr>
        <w:snapToGrid w:val="0"/>
        <w:spacing w:line="360" w:lineRule="auto"/>
        <w:ind w:firstLineChars="200" w:firstLine="420"/>
        <w:rPr>
          <w:rFonts w:ascii="宋体" w:cs="Times New Roman"/>
          <w:bCs/>
        </w:rPr>
      </w:pPr>
      <w:r>
        <w:rPr>
          <w:rFonts w:ascii="宋体" w:cs="Times New Roman" w:hint="eastAsia"/>
          <w:bCs/>
        </w:rPr>
        <w:t>十九、实施侧袋机制期间本基金的申购与赎回</w:t>
      </w:r>
    </w:p>
    <w:p w14:paraId="5772CD01" w14:textId="77777777" w:rsidR="00AE3DA6" w:rsidRDefault="00795E23">
      <w:pPr>
        <w:snapToGrid w:val="0"/>
        <w:spacing w:line="360" w:lineRule="auto"/>
        <w:ind w:firstLineChars="200" w:firstLine="420"/>
        <w:rPr>
          <w:rFonts w:ascii="宋体" w:cs="Times New Roman"/>
          <w:bCs/>
        </w:rPr>
      </w:pPr>
      <w:r>
        <w:rPr>
          <w:rFonts w:ascii="宋体" w:cs="Times New Roman" w:hint="eastAsia"/>
          <w:bCs/>
        </w:rPr>
        <w:t>本基金实施侧袋机制的，本基金的申购与赎回安排详见招募说明书“侧袋机制”部分的规定或相关公告。</w:t>
      </w:r>
    </w:p>
    <w:p w14:paraId="6A2F838A" w14:textId="77777777" w:rsidR="00AE3DA6" w:rsidRDefault="00795E23">
      <w:pPr>
        <w:snapToGrid w:val="0"/>
        <w:spacing w:line="360" w:lineRule="auto"/>
        <w:ind w:firstLineChars="200" w:firstLine="420"/>
        <w:rPr>
          <w:rFonts w:ascii="宋体" w:cs="Times New Roman"/>
          <w:bCs/>
        </w:rPr>
      </w:pPr>
      <w:r>
        <w:rPr>
          <w:rFonts w:ascii="宋体" w:cs="Times New Roman" w:hint="eastAsia"/>
          <w:bCs/>
        </w:rPr>
        <w:t>二十、其他业务</w:t>
      </w:r>
    </w:p>
    <w:p w14:paraId="3BD63FB7" w14:textId="77777777" w:rsidR="00AE3DA6" w:rsidRDefault="00795E23">
      <w:pPr>
        <w:snapToGrid w:val="0"/>
        <w:spacing w:line="360" w:lineRule="auto"/>
        <w:ind w:firstLineChars="200" w:firstLine="420"/>
        <w:rPr>
          <w:rFonts w:ascii="宋体" w:cs="Times New Roman"/>
          <w:bCs/>
        </w:rPr>
      </w:pPr>
      <w:r>
        <w:rPr>
          <w:rFonts w:ascii="宋体" w:cs="Times New Roman" w:hint="eastAsia"/>
          <w:bCs/>
        </w:rPr>
        <w:t>在相关法律法规允许的条件下，基金登记机构可依据其业务规则，受理基金份额质押等业务，并收取一定的手续费用。</w:t>
      </w:r>
    </w:p>
    <w:p w14:paraId="25572F9E" w14:textId="77777777" w:rsidR="00AE3DA6" w:rsidRDefault="00AE3DA6">
      <w:pPr>
        <w:snapToGrid w:val="0"/>
        <w:spacing w:line="360" w:lineRule="auto"/>
        <w:ind w:firstLineChars="200" w:firstLine="420"/>
        <w:rPr>
          <w:rFonts w:ascii="宋体" w:cs="Times New Roman"/>
        </w:rPr>
      </w:pPr>
    </w:p>
    <w:p w14:paraId="1CCA759A" w14:textId="77777777" w:rsidR="00AE3DA6" w:rsidRDefault="00795E23">
      <w:pPr>
        <w:pStyle w:val="ab"/>
        <w:snapToGrid w:val="0"/>
        <w:spacing w:line="360" w:lineRule="auto"/>
        <w:ind w:firstLineChars="200"/>
        <w:rPr>
          <w:rFonts w:ascii="宋体"/>
          <w:color w:val="000000"/>
        </w:rPr>
      </w:pPr>
      <w:r>
        <w:rPr>
          <w:rFonts w:ascii="宋体"/>
          <w:color w:val="000000"/>
        </w:rPr>
        <w:br w:type="page"/>
      </w:r>
    </w:p>
    <w:p w14:paraId="1E0E4713"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92" w:name="_Toc48900076"/>
      <w:bookmarkStart w:id="93" w:name="_Toc360794519"/>
      <w:bookmarkStart w:id="94" w:name="_Toc360793853"/>
      <w:bookmarkStart w:id="95" w:name="_Toc360794103"/>
      <w:bookmarkStart w:id="96" w:name="_Toc362533458"/>
      <w:bookmarkStart w:id="97" w:name="_Toc360793501"/>
      <w:bookmarkStart w:id="98" w:name="_Toc360794411"/>
      <w:bookmarkStart w:id="99" w:name="_Toc362455186"/>
      <w:r>
        <w:rPr>
          <w:rFonts w:ascii="宋体" w:eastAsia="宋体" w:hAnsi="宋体" w:cs="宋体" w:hint="eastAsia"/>
        </w:rPr>
        <w:t>基金的投资</w:t>
      </w:r>
      <w:bookmarkEnd w:id="92"/>
      <w:bookmarkEnd w:id="93"/>
      <w:bookmarkEnd w:id="94"/>
      <w:bookmarkEnd w:id="95"/>
      <w:bookmarkEnd w:id="96"/>
      <w:bookmarkEnd w:id="97"/>
      <w:bookmarkEnd w:id="98"/>
      <w:bookmarkEnd w:id="99"/>
    </w:p>
    <w:p w14:paraId="24C96B3C" w14:textId="77777777" w:rsidR="00AE3DA6" w:rsidRDefault="00AE3DA6">
      <w:pPr>
        <w:pStyle w:val="a9"/>
        <w:snapToGrid w:val="0"/>
        <w:ind w:firstLineChars="196" w:firstLine="412"/>
        <w:rPr>
          <w:rFonts w:ascii="宋体" w:hAnsi="宋体" w:cs="宋体"/>
          <w:bCs/>
          <w:color w:val="000000"/>
          <w:sz w:val="21"/>
          <w:szCs w:val="21"/>
        </w:rPr>
      </w:pPr>
    </w:p>
    <w:p w14:paraId="53E1C89D"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一、投资目标</w:t>
      </w:r>
    </w:p>
    <w:p w14:paraId="17DA1324"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本基金通过投资于目标ETF，紧密跟踪标的指数，追求与业绩比较基准相似的回报。</w:t>
      </w:r>
    </w:p>
    <w:p w14:paraId="241D1955"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二、投资范围</w:t>
      </w:r>
    </w:p>
    <w:p w14:paraId="0B618FC6"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主要投资于目标ETF基金份额、标的指数成份股、备选成份股（包含内地与香港股票市场交易互联互通机制允许买卖的规定范围内的香港联合交易所上市的股票（简称“港股通股票”）、存托凭证，下同）。为更好地实现投资目标，本基金可少量投资于非成份股（包含主板、创业板、科创板及其他经中国证监会核准或注册发行的股票、港股通股票、存托凭证）、金融衍生品（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法律法规或中国证监会允许基金投资的其他金融工具（但须符合中国证监会的相关规定）。</w:t>
      </w:r>
    </w:p>
    <w:p w14:paraId="38D553C1"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本基金根据相关规定可参与融资、转融通证券出借业务。</w:t>
      </w:r>
    </w:p>
    <w:p w14:paraId="6AFAEF1F"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如法律法规或监管机构以后允许基金投资其他品种，基金管理人在履行适当程序后，可以将其纳入投资范围。</w:t>
      </w:r>
    </w:p>
    <w:p w14:paraId="37B47A90"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基金的投资组合比例为：在建仓完成后，本基金投资于目标ETF的比例不低于基金资产净值的90%。每个交易日日终在扣除金融衍生品合约需缴纳的交易保证金后，现金或到期日在一年以内的政府债券的投资比例不低于基金资产净值的5%，其中现金不包括结算备付金、存出保证金、应收申购款等。</w:t>
      </w:r>
    </w:p>
    <w:p w14:paraId="21CEBB5C"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如法律法规或监管机构变更投资品种的投资比例限制，基金管理人在履行适当程序后，可以调整上述投资品种的投资比例。</w:t>
      </w:r>
    </w:p>
    <w:p w14:paraId="12F6721F"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三、投资策略</w:t>
      </w:r>
    </w:p>
    <w:p w14:paraId="1384BD7F"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为被动式指数基金，主要投资于目标ETF。本基金并不参与目标ETF的管理。在正常市场情况下，本基金力争净值增长率与业绩比较基准之间的日均跟踪偏离度不超过0.35%，年跟踪误差不超过4%。如因指数编制规则调整或其他因素导致跟踪偏离度和跟踪误差超过上述范围，基金管理人应采取合理措施避免跟踪偏离度、跟踪误差进一步扩大。</w:t>
      </w:r>
    </w:p>
    <w:p w14:paraId="66666762"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1、资产配置策略</w:t>
      </w:r>
    </w:p>
    <w:p w14:paraId="019907ED"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为实现紧密跟踪标的指数的投资目标，本基金将以不低于基金资产净值90%的资产投资于目标ETF。为更好地实现投资目标，本基金可少量投资于非成份股、债券、资产支持证券、债券回购、银行存款、货币市场工具、股指期货、股票期权等以及经中国证监会允许基金投资的其他金融工具，但需符合中国证监会的相关规定。</w:t>
      </w:r>
    </w:p>
    <w:p w14:paraId="66D1C319"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2、目标ETF投资策略</w:t>
      </w:r>
    </w:p>
    <w:p w14:paraId="1836722C"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本基金投资目标ETF的方式如下：</w:t>
      </w:r>
    </w:p>
    <w:p w14:paraId="7BC6C9FD"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（1）申购和赎回：目标ETF开放申购赎回后，按照目标ETF法律文件约定的方式申赎目标ETF。</w:t>
      </w:r>
    </w:p>
    <w:p w14:paraId="143FDE1B"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（2）二级市场方式：目标ETF上市交易后，在二级市场进行目标ETF基金份额的交易。</w:t>
      </w:r>
    </w:p>
    <w:p w14:paraId="71387A90"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当目标ETF申购、赎回或交易模式进行了变更或调整，本基金也将作相应的变更或调整，无须召开基金份额持有人大会。</w:t>
      </w:r>
    </w:p>
    <w:p w14:paraId="1EC2CE77"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3、成份股、备选成份股投资策略</w:t>
      </w:r>
    </w:p>
    <w:p w14:paraId="3277714A"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可以通过投资成份股、备选成份股以跟踪标的指数，在条件允许的情况下也可以通过投资成份股、备选成份股构建股票组合以申购目标ETF。因此对可投资于成份股、备选成份股的资金头寸，主要采取完全复制法，即按照标的指数的成份股组成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14:paraId="2B41F75B"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4、金融衍生品投资策略</w:t>
      </w:r>
    </w:p>
    <w:p w14:paraId="1CBB1EE0"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为更好地实现投资目标，本基金可投资股指期货、股票期权和其他经中国证监会允许的金融衍生品，如与标的指数或标的指数成份股、备选成份股相关的金融衍生品。本基金将根据风险管理的原则，主要选择流动性好、交易活跃的衍生品合约进行交易。</w:t>
      </w:r>
    </w:p>
    <w:p w14:paraId="519C2F6C"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（1）股指期货投资策略</w:t>
      </w:r>
    </w:p>
    <w:p w14:paraId="6FD416FA"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投资股指期货，将根据风险管理的原则，以套期保值为目的，主要选择流动性好、交易活跃的股指期货合约。本基金力争利用股指期货，降低股票仓位频繁调整的交易成本和跟踪误差，达到有效跟踪标的指数的目的。</w:t>
      </w:r>
    </w:p>
    <w:p w14:paraId="36825F5F"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（2）股票期权投资策略</w:t>
      </w:r>
    </w:p>
    <w:p w14:paraId="42917E60"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本基金投资股票期权，将根据风险管理的原则，以套期保值为目的，充分考虑股票期权的流动性和风险收益特征。</w:t>
      </w:r>
    </w:p>
    <w:p w14:paraId="62AA11EC"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待基金参与股指期权或其他期权品种的相关规定颁布后，基金管理人可以在不改变本基金既有投资策略和风险收益特征并有效控制风险的前提下，参与该类业务，以提高投资效率及进行风险管理。届时，基金参与股指期权或其他期权品种的风险控制原则、具体参与比例限制、费用收支、信息披露、估值方法及其他相关事项，将按照中国证监会的规定及其他相关法律法规的要求执行，在对基金份额持有人利益无实质性不利影响的情况下，无需召开基金份额持有人大会。</w:t>
      </w:r>
    </w:p>
    <w:p w14:paraId="317E7DE6"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5、债券投资策略</w:t>
      </w:r>
    </w:p>
    <w:p w14:paraId="5CB0C15C"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03F6DA57"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6、可转换债券及可交换债券投资策略</w:t>
      </w:r>
    </w:p>
    <w:p w14:paraId="3022EF02"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在可转换债券和可交换债券投资中预期运用仓位策略、类属策略、个券挖掘策略、条款价值策略、行权套利策略等多种策略，构建风险收益比佳、基本面稳健的组合。其中仓位策略和类属策略，将根据基本面环境、股债性价比，确定整体仓位水平、偏股型和偏债型可转债占比。个券挖掘策略，从基本面视角来挖掘可转债的机会，选择基本面景气向上、估值不高的偏股型转债作为获取超额收益的品种。条款价值策略，即深入分析修正转股价条款、回售条款和赎回条款等对转债价值的影响，挖掘各条款对应的投资机会。行权套利策略，可转债具备按照约定的价格转换为标的股票的权利，本基金将综合分析正股的基本面和估值水平、可转债的转股溢价率水平、可转债和标的股票的流动性、可转债转股对标的股票稀释和抛售压力等因素，确定是否行使将可转债转换为标的股票的权利，以及转股的时机和转股后标的股票的持有时间。</w:t>
      </w:r>
    </w:p>
    <w:p w14:paraId="4737EA6E"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7、资产支持证券投资策略</w:t>
      </w:r>
    </w:p>
    <w:p w14:paraId="47295B79"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资产支持证券投资关键在于对基础资产质量及未来现金流的分析，本基金将采用基本面分析和数量化模型相结合，对个券进行风险分析和价值评估后进行投资。本基金将严格控制资产支持证券的总体投资规模并进行分散投资，以降低流动性风险。</w:t>
      </w:r>
    </w:p>
    <w:p w14:paraId="18A6FECF"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8、融资及转融通证券出借业务投资策略</w:t>
      </w:r>
    </w:p>
    <w:p w14:paraId="598A1A79"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为更好地实现投资目标，在加强风险防范并遵守审慎原则的前提下，本基金可根据投资管理的需要参与融资及转融通证券出借业务。本基金将在分析市场情况、投资者类型与结构、基金历史申赎情况、出借证券流动性情况等因素的基础上，合理确定出借证券的范围、期限和比例。</w:t>
      </w:r>
    </w:p>
    <w:p w14:paraId="2226748B"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9、存托凭证投资策略</w:t>
      </w:r>
    </w:p>
    <w:p w14:paraId="3851B125"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本基金在综合考虑预期收益、风险、流动性等因素的基础上，根据审慎原则合理参与存托凭证的投资，以更好地跟踪标的指数，追求与业绩比较基准相似的回报。</w:t>
      </w:r>
    </w:p>
    <w:p w14:paraId="31059835"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3EACF2D5"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四、投资限制</w:t>
      </w:r>
    </w:p>
    <w:p w14:paraId="0BECBD75"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1、组合限制</w:t>
      </w:r>
    </w:p>
    <w:p w14:paraId="142CF072"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基金的投资组合应遵循以下限制：</w:t>
      </w:r>
    </w:p>
    <w:p w14:paraId="1B110F12"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（1）本基金投资于目标ETF的比例不低于基金资产净值的90%；</w:t>
      </w:r>
    </w:p>
    <w:p w14:paraId="787BEE37"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（2）每个交易日日终在扣除金融衍生品合约需缴纳的交易保证金后，现金或到期日在一年以内的政府债券的投资比例不低于基金资产净值的5％，其中现金不包括结算备付金、存出保证金、应收申购款等；</w:t>
      </w:r>
    </w:p>
    <w:p w14:paraId="456EBB87"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（3）本基金投资于同一原始权益人的各类资产支持证券的比例，不得超过基金资产净值的10％；</w:t>
      </w:r>
    </w:p>
    <w:p w14:paraId="441CF426"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（4）本基金持有的全部资产支持证券，其市值不得超过基金资产净值的20％；</w:t>
      </w:r>
    </w:p>
    <w:p w14:paraId="25CF21EF"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（5）本基金持有的同一（指同一信用级别）资产支持证券的比例，不得超过该资产支持证券规模的10％；</w:t>
      </w:r>
    </w:p>
    <w:p w14:paraId="16559648"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（6）本基金管理人管理的全部基金投资于同一原始权益人的各类资产支持证券，不得超过其各类资产支持证券合计规模的10％；</w:t>
      </w:r>
    </w:p>
    <w:p w14:paraId="6C73146E"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（7）本基金应投资于信用级别评级为BBB以上（含BBB）的资产支持证券。基金持有资产支持证券期间，如果其信用等级下降、不再符合投资标准，应在评级报告发布之日起3个月内予以全部卖出；</w:t>
      </w:r>
    </w:p>
    <w:p w14:paraId="15E3BCB8"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（8）基金财产参与股票发行申购，本基金所申报的金额不超过本基金的总资产，本基金所申报的股票数量不超过拟发行股票公司本次发行股票的总量；</w:t>
      </w:r>
    </w:p>
    <w:p w14:paraId="5CCBA2F4"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9）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14:paraId="0B3748C1"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（10）本基金与私募类证券资管产品及中国证监会认定的其他主体为交易对手开展逆回购交易的，可接受质押品的资质要求应当与基金合同约定的投资范围保持一致；</w:t>
      </w:r>
    </w:p>
    <w:p w14:paraId="62EECCFB"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（11）本基金资产总值不超过基金资产净值的140%；</w:t>
      </w:r>
    </w:p>
    <w:p w14:paraId="7E3AB436"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（12）本基金参与股指期货交易，应当符合下列投资限制：</w:t>
      </w:r>
    </w:p>
    <w:p w14:paraId="2D208590"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1）本基金在任何交易日日终，持有的买入股指期货合约价值，不得超过基金资产净值的10%；</w:t>
      </w:r>
    </w:p>
    <w:p w14:paraId="53B0A839"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3B32746A"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3）本基金在任何交易日日终，持有的卖出股指期货合约价值不得超过基金持有的股票总市值的20%；</w:t>
      </w:r>
    </w:p>
    <w:p w14:paraId="19A8DAF4"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4）本基金所持有的股票市值和买入、卖出股指期货合约价值，合计（轧差计算）应当符合基金合同关于股票投资比例的有关约定；</w:t>
      </w:r>
    </w:p>
    <w:p w14:paraId="7DE49150"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5）本基金在任何交易日内交易（不包括平仓）的股指期货合约的成交金额不得超过上一交易日基金资产净值的20%；</w:t>
      </w:r>
    </w:p>
    <w:p w14:paraId="44A79FA0"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（13）本基金参与股票期权交易，应当符合下列投资限制：</w:t>
      </w:r>
    </w:p>
    <w:p w14:paraId="6DA396D0"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1）基金因未平仓的期权合约支付和收取的权利金总额不得超过基金资产净值的10%；</w:t>
      </w:r>
    </w:p>
    <w:p w14:paraId="37DD93A9"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2）开仓卖出认购期权的，应持有足额标的证券；开仓卖出认沽期权的，应持有合约行权所需的全额现金或交易所规则认可的可冲抵期权保证金的现金等价物；</w:t>
      </w:r>
    </w:p>
    <w:p w14:paraId="4A769C07"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3）未平仓的期权合约面值不得超过基金资产净值的20%。其中，合约面值按照行权价乘以合约乘数计算；</w:t>
      </w:r>
    </w:p>
    <w:p w14:paraId="434C8605"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（14）本基金参与转融通证券出借业务的，应当符合下列要求：</w:t>
      </w:r>
    </w:p>
    <w:p w14:paraId="69BE409C"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1）本基金在任何交易日日终，参与转融通证券出借业务的资产不得超过基金资产净值的30%，其中出借期限在10个交易日以上的出借证券应纳入《流动性风险管理规定》所述流动性受限证券的范围；</w:t>
      </w:r>
    </w:p>
    <w:p w14:paraId="42C195DC"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2）本基金在任何交易日日终，参与出借业务的单只证券不得超过基金持有该证券总量的50%；</w:t>
      </w:r>
    </w:p>
    <w:p w14:paraId="179EF60F"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3）证券出借的平均剩余期限不得超过30天，平均剩余期限按市值加权平均计算；</w:t>
      </w:r>
    </w:p>
    <w:p w14:paraId="48526ED2"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4）最近6个月内日均基金资产净值不得低于2亿元；</w:t>
      </w:r>
    </w:p>
    <w:p w14:paraId="1D72522C"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（15）本基金投资存托凭证的比例限制依照境内上市交易的股票执行，与境内上市交易的股票合并计算，法律法规或监管部门另有要求的除外；</w:t>
      </w:r>
    </w:p>
    <w:p w14:paraId="45C71A55"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（16）本基金参与融资，每个交易日日终，本基金持有的融资买入股票与其他有价证券市值之和，不得超过基金资产净值的95%；</w:t>
      </w:r>
    </w:p>
    <w:p w14:paraId="0249F923"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（17）法律法规及中国证监会规定的和《基金合同》约定的其他投资限制。</w:t>
      </w:r>
    </w:p>
    <w:p w14:paraId="6AE7676A"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因证券/期货市场波动、证券发行人合并、基金规模变动、标的指数成份股调整、标的指数成份股流动性限制、目标ETF暂停申购、赎回或二级市场交易停牌等基金管理人之外的因素致使基金投资比例不符合上述第（1）项规定投资比例的，基金管理人应当在20个交易日内进行调整，但中国证监会规定的特殊情形除外；除上述第（1）、（2）、（7）、（9）、（10）、（14）项另有约定外，因证券/期货市场波动、证券发行人合并、基金规模变动、标的指数成份股调整、标的指数成份股流动性限制、目标 ETF 暂停申购、赎回或二级市场交易停牌等基金管理人之外的因素致使基金投资比例不符合上述规定投资比例的，基金管理人应当在10个交易日内进行调整，但中国证监会规定的特殊情形除外。法律法规另有规定的，从其规定。</w:t>
      </w:r>
    </w:p>
    <w:p w14:paraId="4A773416"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本基金参与转融通证券出借业务，因证券/期货市场波动、证券发行人合并、基金规模变动等基金管理人之外的因素致使基金投资不符合上述第（14）项规定的，基金管理人不得新增出借业务。</w:t>
      </w:r>
    </w:p>
    <w:p w14:paraId="5A161405" w14:textId="09433ED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C0AF077"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法律法规或监管部门取消或变更上述限制，如适用于本基金，基金管理人在履行适当程序后，则本基金投资不再受相关限制或按变更后的规定执行。</w:t>
      </w:r>
    </w:p>
    <w:p w14:paraId="6AB7C73D"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2、禁止行为</w:t>
      </w:r>
    </w:p>
    <w:p w14:paraId="27637057"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为维护基金份额持有人的合法权益，基金财产不得用于下列投资或者活动：</w:t>
      </w:r>
    </w:p>
    <w:p w14:paraId="2CD972C7"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（1）承销证券；</w:t>
      </w:r>
    </w:p>
    <w:p w14:paraId="2D150679"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（2）违反规定向他人贷款或者提供担保；</w:t>
      </w:r>
    </w:p>
    <w:p w14:paraId="1AA6230E"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（3）从事承担无限责任的投资；</w:t>
      </w:r>
    </w:p>
    <w:p w14:paraId="729B946B"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（4）买卖除目标ETF以外的其他基金份额，但是中国证监会另有规定的除外；</w:t>
      </w:r>
    </w:p>
    <w:p w14:paraId="5599BFE3"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 xml:space="preserve">（5）向其基金管理人、基金托管人出资； </w:t>
      </w:r>
    </w:p>
    <w:p w14:paraId="06633A6A"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 xml:space="preserve">（6）从事内幕交易、操纵证券交易价格及其他不正当的证券交易活动； </w:t>
      </w:r>
    </w:p>
    <w:p w14:paraId="27C4AAE8"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（7）法律、行政法规和中国证监会规定禁止的其他活动。</w:t>
      </w:r>
    </w:p>
    <w:p w14:paraId="3EDD5B2D"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CFF9F78"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法律、行政法规或监管部门取消或变更上述限制，如适用于本基金，基金管理人在履行适当程序后，则本基金投资不再受相关限制或按变更后的规定执行。</w:t>
      </w:r>
    </w:p>
    <w:p w14:paraId="05959B6F"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五、标的指数和业绩比较基准</w:t>
      </w:r>
    </w:p>
    <w:p w14:paraId="5778A6D2"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本基金的标的指数为中证港股通互联网指数。</w:t>
      </w:r>
    </w:p>
    <w:p w14:paraId="4AA4BAA7"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本基金业绩比较基准为中证港股通互联网指数（经估值汇率调整后）收益率×95%+银行人民币活期存款利率（税后）×5%。</w:t>
      </w:r>
    </w:p>
    <w:p w14:paraId="2C9975E1"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投资于目标ETF的比例不低于基金资产净值的90%。每个交易日日终在扣除金融衍生品合约需缴纳的交易保证金后，现金或到期日在一年以内的政府债券的投资比例不低于基金资产净值的5%，其中现金不包括结算备付金、存出保证金、应收申购款等。业绩比较基准与投资比例相符。</w:t>
      </w:r>
    </w:p>
    <w:p w14:paraId="164C1115" w14:textId="4890DBEA"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w:t>
      </w:r>
      <w:r w:rsidR="00717D28">
        <w:rPr>
          <w:rFonts w:ascii="宋体" w:hAnsi="宋体" w:cs="宋体" w:hint="eastAsia"/>
          <w:bCs/>
          <w:color w:val="000000"/>
          <w:sz w:val="21"/>
          <w:szCs w:val="21"/>
        </w:rPr>
        <w:t>行表决，基金份额持有人大会未成功召开或就上述事项表决未通过的，</w:t>
      </w:r>
      <w:r w:rsidRPr="00663A03">
        <w:rPr>
          <w:rFonts w:ascii="宋体" w:hAnsi="宋体" w:cs="宋体" w:hint="eastAsia"/>
          <w:bCs/>
          <w:color w:val="000000"/>
          <w:sz w:val="21"/>
          <w:szCs w:val="21"/>
        </w:rPr>
        <w:t>基金合同终止，但下文“八、目标ETF发生相关变更情形时的处理”另有约定的除外。</w:t>
      </w:r>
    </w:p>
    <w:p w14:paraId="7F380C05"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24322144"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法律法规或监管机构另有规定的，从其规定。</w:t>
      </w:r>
    </w:p>
    <w:p w14:paraId="3232F483"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风险收益特征</w:t>
      </w:r>
    </w:p>
    <w:p w14:paraId="67DB1204"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的目标ETF为股票型基金，一般而言，其长期平均风险与预期收益高于混合型基金、债券型基金与货币市场基金。本基金为ETF联接基金，通过投资于目标ETF跟踪标的指数表现，具有与标的指数以及标的指数所代表的市场相似的风险收益特征。</w:t>
      </w:r>
    </w:p>
    <w:p w14:paraId="5A4F07C8"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投资港股通股票，除了需要承担与境内证券投资基金类似的市场波动风险等一般投资风险之外，本基金还面临汇率风险和港股通机制下因投资环境、投资标的、市场制度以及交易规则等差异带来的特有风险。</w:t>
      </w:r>
    </w:p>
    <w:p w14:paraId="24EA65D0"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七、基金管理人代表基金行使股东或债权人权利的处理原则及方法</w:t>
      </w:r>
    </w:p>
    <w:p w14:paraId="4F50B474"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 xml:space="preserve">1、基金管理人按照国家有关规定代表基金独立行使股东或债权人权利，保护基金份额持有人的利益； </w:t>
      </w:r>
    </w:p>
    <w:p w14:paraId="6627A273"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 xml:space="preserve">2、不谋求对上市公司的控股； </w:t>
      </w:r>
    </w:p>
    <w:p w14:paraId="19900D97"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 xml:space="preserve">3、有利于基金财产的安全与增值； </w:t>
      </w:r>
    </w:p>
    <w:p w14:paraId="46661E57"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4、不通过关联交易为自身、雇员、授权代理人或任何存在利害关系的第三人牟取任何不当利益。</w:t>
      </w:r>
    </w:p>
    <w:p w14:paraId="56A6CA31"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八、目标ETF发生相关变更情形时的处理</w:t>
      </w:r>
    </w:p>
    <w:p w14:paraId="57A7AACB"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目标ETF出现下述情形之一的，本基金将由投资于目标ETF的联接基金变更为直接投资该标的指数的指数基金，无需召开基金份额持有人大会；若届时本基金管理人已有以该指数作为标的指数的指数基金，则本基金将本着维护投资人合法权益的原则，履行适当的程序后与该指数基金合并。相应地，本基金基金合同中将删除关于目标ETF的表述部分，或将变更目标ETF，届时将由基金管理人另行公告。</w:t>
      </w:r>
    </w:p>
    <w:p w14:paraId="5650044A"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1、目标ETF交易方式发生重大变更致使本基金的投资策略难以实现；</w:t>
      </w:r>
    </w:p>
    <w:p w14:paraId="56C15CDA"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2、目标ETF终止上市；</w:t>
      </w:r>
    </w:p>
    <w:p w14:paraId="53140C75"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3、目标ETF基金合同终止；</w:t>
      </w:r>
    </w:p>
    <w:p w14:paraId="432EC89C"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4、目标ETF的基金管理人发生变更（但变更后的本基金与目标ETF的基金管理人相同的除外）。</w:t>
      </w:r>
    </w:p>
    <w:p w14:paraId="74D2D5EC" w14:textId="77777777" w:rsidR="00663A03" w:rsidRPr="00663A03"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九、港股通股票投资的代理投票</w:t>
      </w:r>
    </w:p>
    <w:p w14:paraId="2EAC7412" w14:textId="5765A2FD" w:rsidR="00F82469" w:rsidRDefault="00663A03" w:rsidP="00663A03">
      <w:pPr>
        <w:pStyle w:val="a9"/>
        <w:snapToGrid w:val="0"/>
        <w:ind w:firstLineChars="196" w:firstLine="412"/>
        <w:rPr>
          <w:rFonts w:ascii="宋体" w:hAnsi="宋体" w:cs="宋体"/>
          <w:bCs/>
          <w:color w:val="000000"/>
          <w:sz w:val="21"/>
          <w:szCs w:val="21"/>
        </w:rPr>
      </w:pPr>
      <w:r w:rsidRPr="00663A03">
        <w:rPr>
          <w:rFonts w:ascii="宋体" w:hAnsi="宋体" w:cs="宋体" w:hint="eastAsia"/>
          <w:bCs/>
          <w:color w:val="000000"/>
          <w:sz w:val="21"/>
          <w:szCs w:val="21"/>
        </w:rPr>
        <w:t>本基金通过港股通买入的股票记录在中国证券登记结算有限责任公司在香港中央结算有限公司开立的证券账户。中国证券登记结算有限责任公司以自己的名义，通过香港中央结算有限公司行使对该股票发行人的权利。中国证券登记结算有限责任公司行使对该股票发行人的权利，将通过证券公司事先征求包括基金管理人在内的内地投资者的意见，并按照其意见办理。法律法规另有规定的，从其规定</w:t>
      </w:r>
      <w:r w:rsidR="00F82469" w:rsidRPr="00F82469">
        <w:rPr>
          <w:rFonts w:ascii="宋体" w:hAnsi="宋体" w:cs="宋体" w:hint="eastAsia"/>
          <w:bCs/>
          <w:color w:val="000000"/>
          <w:sz w:val="21"/>
          <w:szCs w:val="21"/>
        </w:rPr>
        <w:t>。</w:t>
      </w:r>
    </w:p>
    <w:p w14:paraId="54DC4FA1" w14:textId="097B1761" w:rsidR="00AE3DA6" w:rsidRDefault="00F82469">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十</w:t>
      </w:r>
      <w:r w:rsidR="00795E23">
        <w:rPr>
          <w:rFonts w:ascii="宋体" w:hAnsi="宋体" w:cs="宋体" w:hint="eastAsia"/>
          <w:bCs/>
          <w:color w:val="000000"/>
          <w:sz w:val="21"/>
          <w:szCs w:val="21"/>
        </w:rPr>
        <w:t>、侧袋机制的实施和投资运作安排</w:t>
      </w:r>
    </w:p>
    <w:p w14:paraId="22E7A83C" w14:textId="77777777" w:rsidR="00AE3DA6" w:rsidRDefault="00795E23">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C2DC9FC" w14:textId="77777777" w:rsidR="00AE3DA6" w:rsidRDefault="00795E23">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侧袋机制实施期间，本部分约定的投资组合比例、投资策略、组合限制、业绩比较基准、风险收益特征等约定仅适用于主袋账户。</w:t>
      </w:r>
    </w:p>
    <w:p w14:paraId="7013F073" w14:textId="523CAC78" w:rsidR="00AE3DA6" w:rsidRDefault="00795E23">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侧袋账户的实施条件、实施程序、运作安排、投资安排、特定资产的处置变现和支付等对投资者权益有重大影响的事项详见招募说明书“侧袋机制”部分的规定。</w:t>
      </w:r>
    </w:p>
    <w:p w14:paraId="47FC672F" w14:textId="77777777" w:rsidR="00AE3DA6" w:rsidRDefault="00795E23">
      <w:pPr>
        <w:snapToGrid w:val="0"/>
        <w:spacing w:line="360" w:lineRule="auto"/>
        <w:ind w:firstLineChars="200" w:firstLine="420"/>
        <w:rPr>
          <w:rFonts w:ascii="宋体" w:cs="Times New Roman"/>
          <w:color w:val="000000"/>
        </w:rPr>
      </w:pPr>
      <w:r>
        <w:rPr>
          <w:rFonts w:ascii="宋体" w:cs="Times New Roman"/>
          <w:color w:val="000000"/>
        </w:rPr>
        <w:br w:type="page"/>
      </w:r>
    </w:p>
    <w:p w14:paraId="390F5635"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100" w:name="_Toc360794412"/>
      <w:bookmarkStart w:id="101" w:name="_Toc362533459"/>
      <w:bookmarkStart w:id="102" w:name="_Toc362455187"/>
      <w:bookmarkStart w:id="103" w:name="_Toc360793854"/>
      <w:bookmarkStart w:id="104" w:name="_Toc360794520"/>
      <w:bookmarkStart w:id="105" w:name="_Toc360793502"/>
      <w:bookmarkStart w:id="106" w:name="_Toc360794104"/>
      <w:bookmarkStart w:id="107" w:name="_Toc48900077"/>
      <w:r>
        <w:rPr>
          <w:rFonts w:ascii="宋体" w:eastAsia="宋体" w:hAnsi="宋体" w:cs="宋体" w:hint="eastAsia"/>
        </w:rPr>
        <w:t>基金的财产</w:t>
      </w:r>
      <w:bookmarkEnd w:id="100"/>
      <w:bookmarkEnd w:id="101"/>
      <w:bookmarkEnd w:id="102"/>
      <w:bookmarkEnd w:id="103"/>
      <w:bookmarkEnd w:id="104"/>
      <w:bookmarkEnd w:id="105"/>
      <w:bookmarkEnd w:id="106"/>
      <w:bookmarkEnd w:id="107"/>
    </w:p>
    <w:p w14:paraId="1C6B0AD2" w14:textId="77777777" w:rsidR="00AE3DA6" w:rsidRDefault="00AE3DA6">
      <w:pPr>
        <w:snapToGrid w:val="0"/>
        <w:spacing w:line="360" w:lineRule="auto"/>
        <w:rPr>
          <w:rFonts w:ascii="宋体" w:cs="Times New Roman"/>
        </w:rPr>
      </w:pPr>
      <w:bookmarkStart w:id="108" w:name="_Hlt88900062"/>
      <w:bookmarkStart w:id="109" w:name="_Hlt88841837"/>
      <w:bookmarkEnd w:id="108"/>
      <w:bookmarkEnd w:id="109"/>
    </w:p>
    <w:p w14:paraId="2FE78860"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一、基金资产总值</w:t>
      </w:r>
    </w:p>
    <w:p w14:paraId="60679B0C"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基金资产总值是指基金拥有的目标ETF基金份额、各类有价证券及票据价值、银行存款本息和基金应收的申购基金款以及其他投资所形成的价值总和。</w:t>
      </w:r>
    </w:p>
    <w:p w14:paraId="01B402D7"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二、基金资产净值</w:t>
      </w:r>
    </w:p>
    <w:p w14:paraId="71DD9FA9"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基金资产净值是指基金资产总值减去基金负债后的价值。</w:t>
      </w:r>
    </w:p>
    <w:p w14:paraId="5E430105"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三、基金财产的账户</w:t>
      </w:r>
    </w:p>
    <w:p w14:paraId="4B8AF981"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D9297CA"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四、基金财产的保管和处分</w:t>
      </w:r>
    </w:p>
    <w:p w14:paraId="6BD5F69F"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31D6344" w14:textId="0A633497" w:rsidR="00AE3DA6" w:rsidRDefault="00663A03" w:rsidP="00663A03">
      <w:pPr>
        <w:snapToGrid w:val="0"/>
        <w:spacing w:line="360" w:lineRule="auto"/>
        <w:ind w:firstLineChars="200" w:firstLine="420"/>
        <w:rPr>
          <w:rFonts w:ascii="宋体" w:cs="Times New Roman"/>
        </w:rPr>
      </w:pPr>
      <w:r w:rsidRPr="00663A03">
        <w:rPr>
          <w:rFonts w:ascii="宋体" w:cs="Times New Roman"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r w:rsidR="00795E23">
        <w:rPr>
          <w:rFonts w:ascii="宋体" w:cs="Times New Roman" w:hint="eastAsia"/>
        </w:rPr>
        <w:t>。</w:t>
      </w:r>
    </w:p>
    <w:p w14:paraId="49762A01" w14:textId="77777777" w:rsidR="00AE3DA6" w:rsidRDefault="00AE3DA6">
      <w:pPr>
        <w:snapToGrid w:val="0"/>
        <w:spacing w:line="360" w:lineRule="auto"/>
        <w:ind w:firstLineChars="200" w:firstLine="420"/>
        <w:rPr>
          <w:rFonts w:ascii="宋体" w:cs="Times New Roman"/>
        </w:rPr>
      </w:pPr>
    </w:p>
    <w:p w14:paraId="55363D68" w14:textId="77777777" w:rsidR="00AE3DA6" w:rsidRDefault="00AE3DA6">
      <w:pPr>
        <w:snapToGrid w:val="0"/>
        <w:spacing w:line="360" w:lineRule="auto"/>
        <w:ind w:firstLineChars="200" w:firstLine="420"/>
        <w:rPr>
          <w:rFonts w:ascii="宋体" w:cs="Times New Roman"/>
          <w:color w:val="000000"/>
        </w:rPr>
      </w:pPr>
    </w:p>
    <w:p w14:paraId="1CDE9ED7" w14:textId="77777777" w:rsidR="00AE3DA6" w:rsidRDefault="00795E23">
      <w:pPr>
        <w:pStyle w:val="ab"/>
        <w:snapToGrid w:val="0"/>
        <w:spacing w:line="360" w:lineRule="auto"/>
        <w:ind w:firstLineChars="200"/>
        <w:rPr>
          <w:rFonts w:ascii="宋体"/>
          <w:color w:val="000000"/>
        </w:rPr>
      </w:pPr>
      <w:r>
        <w:rPr>
          <w:rFonts w:ascii="宋体"/>
          <w:color w:val="000000"/>
          <w:kern w:val="0"/>
        </w:rPr>
        <w:br w:type="page"/>
      </w:r>
    </w:p>
    <w:p w14:paraId="238072B4"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110" w:name="_Toc360793503"/>
      <w:bookmarkStart w:id="111" w:name="_Toc362455188"/>
      <w:bookmarkStart w:id="112" w:name="_Toc360793855"/>
      <w:bookmarkStart w:id="113" w:name="_Toc360794521"/>
      <w:bookmarkStart w:id="114" w:name="_Toc48900078"/>
      <w:bookmarkStart w:id="115" w:name="_Toc362533460"/>
      <w:bookmarkStart w:id="116" w:name="_Toc360794105"/>
      <w:bookmarkStart w:id="117" w:name="_Toc360794413"/>
      <w:r>
        <w:rPr>
          <w:rFonts w:ascii="宋体" w:eastAsia="宋体" w:hAnsi="宋体" w:cs="宋体" w:hint="eastAsia"/>
        </w:rPr>
        <w:t>基金资产估值</w:t>
      </w:r>
      <w:bookmarkEnd w:id="110"/>
      <w:bookmarkEnd w:id="111"/>
      <w:bookmarkEnd w:id="112"/>
      <w:bookmarkEnd w:id="113"/>
      <w:bookmarkEnd w:id="114"/>
      <w:bookmarkEnd w:id="115"/>
      <w:bookmarkEnd w:id="116"/>
      <w:bookmarkEnd w:id="117"/>
    </w:p>
    <w:p w14:paraId="11BD19A4" w14:textId="77777777" w:rsidR="00AE3DA6" w:rsidRDefault="00AE3DA6">
      <w:pPr>
        <w:snapToGrid w:val="0"/>
        <w:spacing w:line="360" w:lineRule="auto"/>
        <w:ind w:firstLineChars="200" w:firstLine="420"/>
        <w:rPr>
          <w:rFonts w:ascii="宋体" w:cs="Times New Roman"/>
        </w:rPr>
      </w:pPr>
    </w:p>
    <w:p w14:paraId="656E819E"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一、估值日</w:t>
      </w:r>
    </w:p>
    <w:p w14:paraId="5B6F6715"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本基金的估值日为本基金相关的证券交易场所的交易日以及国家法律法规规定需要对外披露基金净值的非交易日。</w:t>
      </w:r>
    </w:p>
    <w:p w14:paraId="5BD284EB"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二、估值对象</w:t>
      </w:r>
    </w:p>
    <w:p w14:paraId="3642019D"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基金所拥有的目标</w:t>
      </w:r>
      <w:r w:rsidRPr="00663A03">
        <w:rPr>
          <w:rFonts w:ascii="Times New Roman" w:hAnsi="Times New Roman" w:cs="Times New Roman" w:hint="eastAsia"/>
        </w:rPr>
        <w:t>ETF</w:t>
      </w:r>
      <w:r w:rsidRPr="00663A03">
        <w:rPr>
          <w:rFonts w:ascii="Times New Roman" w:hAnsi="Times New Roman" w:cs="Times New Roman" w:hint="eastAsia"/>
        </w:rPr>
        <w:t>基金份额、股票、债券、银行存款本息、应收款项、金融衍生品、资产支持证券和其他投资等资产及负债。</w:t>
      </w:r>
    </w:p>
    <w:p w14:paraId="1D44C080"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三、估值原则</w:t>
      </w:r>
    </w:p>
    <w:p w14:paraId="7199A785"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基金管理人在确定相关金融资产和金融负债的公允价值时，应符合《企业会计准则》、监管部门有关规定。</w:t>
      </w:r>
    </w:p>
    <w:p w14:paraId="2EBC7BEC"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FEAE813"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1D5E47D"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5AB631B"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（三）如经济环境发生重大变化或证券发行人发生影响证券价格的重大事件，使潜在估值调整对前一估值日的基金资产净值的影响在</w:t>
      </w:r>
      <w:r w:rsidRPr="00663A03">
        <w:rPr>
          <w:rFonts w:ascii="Times New Roman" w:hAnsi="Times New Roman" w:cs="Times New Roman" w:hint="eastAsia"/>
        </w:rPr>
        <w:t>0.25%</w:t>
      </w:r>
      <w:r w:rsidRPr="00663A03">
        <w:rPr>
          <w:rFonts w:ascii="Times New Roman" w:hAnsi="Times New Roman" w:cs="Times New Roman" w:hint="eastAsia"/>
        </w:rPr>
        <w:t>以上的，应对估值进行调整并确定公允价值。</w:t>
      </w:r>
    </w:p>
    <w:p w14:paraId="5B05D886"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四、估值方法</w:t>
      </w:r>
    </w:p>
    <w:p w14:paraId="0A508518"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1</w:t>
      </w:r>
      <w:r w:rsidRPr="00663A03">
        <w:rPr>
          <w:rFonts w:ascii="Times New Roman" w:hAnsi="Times New Roman" w:cs="Times New Roman" w:hint="eastAsia"/>
        </w:rPr>
        <w:t>、目标</w:t>
      </w:r>
      <w:r w:rsidRPr="00663A03">
        <w:rPr>
          <w:rFonts w:ascii="Times New Roman" w:hAnsi="Times New Roman" w:cs="Times New Roman" w:hint="eastAsia"/>
        </w:rPr>
        <w:t>ETF</w:t>
      </w:r>
      <w:r w:rsidRPr="00663A03">
        <w:rPr>
          <w:rFonts w:ascii="Times New Roman" w:hAnsi="Times New Roman" w:cs="Times New Roman" w:hint="eastAsia"/>
        </w:rPr>
        <w:t>的估值</w:t>
      </w:r>
    </w:p>
    <w:p w14:paraId="4E0E9939"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本基金投资的目标</w:t>
      </w:r>
      <w:r w:rsidRPr="00663A03">
        <w:rPr>
          <w:rFonts w:ascii="Times New Roman" w:hAnsi="Times New Roman" w:cs="Times New Roman" w:hint="eastAsia"/>
        </w:rPr>
        <w:t>ETF</w:t>
      </w:r>
      <w:r w:rsidRPr="00663A03">
        <w:rPr>
          <w:rFonts w:ascii="Times New Roman" w:hAnsi="Times New Roman" w:cs="Times New Roman" w:hint="eastAsia"/>
        </w:rPr>
        <w:t>份额以其估值日基金份额净值估值，如该日目标</w:t>
      </w:r>
      <w:r w:rsidRPr="00663A03">
        <w:rPr>
          <w:rFonts w:ascii="Times New Roman" w:hAnsi="Times New Roman" w:cs="Times New Roman" w:hint="eastAsia"/>
        </w:rPr>
        <w:t>ETF</w:t>
      </w:r>
      <w:r w:rsidRPr="00663A03">
        <w:rPr>
          <w:rFonts w:ascii="Times New Roman" w:hAnsi="Times New Roman" w:cs="Times New Roman" w:hint="eastAsia"/>
        </w:rPr>
        <w:t>未公布净值，则按目标</w:t>
      </w:r>
      <w:r w:rsidRPr="00663A03">
        <w:rPr>
          <w:rFonts w:ascii="Times New Roman" w:hAnsi="Times New Roman" w:cs="Times New Roman" w:hint="eastAsia"/>
        </w:rPr>
        <w:t>ETF</w:t>
      </w:r>
      <w:r w:rsidRPr="00663A03">
        <w:rPr>
          <w:rFonts w:ascii="Times New Roman" w:hAnsi="Times New Roman" w:cs="Times New Roman" w:hint="eastAsia"/>
        </w:rPr>
        <w:t>最近公布的净值估值。</w:t>
      </w:r>
    </w:p>
    <w:p w14:paraId="2118FFB1"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2</w:t>
      </w:r>
      <w:r w:rsidRPr="00663A03">
        <w:rPr>
          <w:rFonts w:ascii="Times New Roman" w:hAnsi="Times New Roman" w:cs="Times New Roman" w:hint="eastAsia"/>
        </w:rPr>
        <w:t>、以公允价值计量的权益品种的估值</w:t>
      </w:r>
    </w:p>
    <w:p w14:paraId="5715F6ED"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1</w:t>
      </w:r>
      <w:r w:rsidRPr="00663A03">
        <w:rPr>
          <w:rFonts w:ascii="Times New Roman" w:hAnsi="Times New Roman" w:cs="Times New Roman" w:hint="eastAsia"/>
        </w:rPr>
        <w:t>）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00AEC2D6"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2</w:t>
      </w:r>
      <w:r w:rsidRPr="00663A03">
        <w:rPr>
          <w:rFonts w:ascii="Times New Roman" w:hAnsi="Times New Roman" w:cs="Times New Roman" w:hint="eastAsia"/>
        </w:rPr>
        <w:t>）交易所处于未上市期间的有价权益证券应区分如下情况处理：</w:t>
      </w:r>
    </w:p>
    <w:p w14:paraId="4B752BF6"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1</w:t>
      </w:r>
      <w:r w:rsidRPr="00663A03">
        <w:rPr>
          <w:rFonts w:ascii="Times New Roman" w:hAnsi="Times New Roman" w:cs="Times New Roman" w:hint="eastAsia"/>
        </w:rPr>
        <w:t>）送股、转增股、配股和公开增发的新股，按估值日在证券交易所挂牌的同一股票的估值方法估值；该日无交易的，以最近一日的市价（收盘价）估值。</w:t>
      </w:r>
    </w:p>
    <w:p w14:paraId="69245A40"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2</w:t>
      </w:r>
      <w:r w:rsidRPr="00663A03">
        <w:rPr>
          <w:rFonts w:ascii="Times New Roman" w:hAnsi="Times New Roman" w:cs="Times New Roman" w:hint="eastAsia"/>
        </w:rPr>
        <w:t>）首次公开发行未上市的股票，采用估值技术确定公允价值，在估值技术难以可靠计量公允价值的情况下，按成本估值。</w:t>
      </w:r>
    </w:p>
    <w:p w14:paraId="32A74568"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3</w:t>
      </w:r>
      <w:r w:rsidRPr="00663A03">
        <w:rPr>
          <w:rFonts w:ascii="Times New Roman" w:hAnsi="Times New Roman" w:cs="Times New Roman" w:hint="eastAsia"/>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61E7FCC"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3</w:t>
      </w:r>
      <w:r w:rsidRPr="00663A03">
        <w:rPr>
          <w:rFonts w:ascii="Times New Roman" w:hAnsi="Times New Roman" w:cs="Times New Roman" w:hint="eastAsia"/>
        </w:rPr>
        <w:t>、以公允价值计量的固定收益品种的估值</w:t>
      </w:r>
    </w:p>
    <w:p w14:paraId="6B1986DB"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1</w:t>
      </w:r>
      <w:r w:rsidRPr="00663A03">
        <w:rPr>
          <w:rFonts w:ascii="Times New Roman" w:hAnsi="Times New Roman" w:cs="Times New Roman" w:hint="eastAsia"/>
        </w:rPr>
        <w:t>）对于已上市或已挂牌转让的不含权固定收益品种（另有规定的除外），选取第三方估值基准服务机构提供的相应品种当日的估值全价，基金管理人应根据相关法律、法规的规定进行涉税处理（下同）。</w:t>
      </w:r>
    </w:p>
    <w:p w14:paraId="4D575FEA"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2</w:t>
      </w:r>
      <w:r w:rsidRPr="00663A03">
        <w:rPr>
          <w:rFonts w:ascii="Times New Roman" w:hAnsi="Times New Roman" w:cs="Times New Roman" w:hint="eastAsia"/>
        </w:rPr>
        <w:t>）对于已上市或已挂牌转让的含权固定收益品种（另有规定的除外），选取第三方估值基准服务机构提供的相应品种当日的唯一估值全价或推荐估值全价。</w:t>
      </w:r>
    </w:p>
    <w:p w14:paraId="2C0784A0"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3777C831"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3</w:t>
      </w:r>
      <w:r w:rsidRPr="00663A03">
        <w:rPr>
          <w:rFonts w:ascii="Times New Roman" w:hAnsi="Times New Roman" w:cs="Times New Roman" w:hint="eastAsia"/>
        </w:rPr>
        <w:t>）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0947C005"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4</w:t>
      </w:r>
      <w:r w:rsidRPr="00663A03">
        <w:rPr>
          <w:rFonts w:ascii="Times New Roman" w:hAnsi="Times New Roman" w:cs="Times New Roman" w:hint="eastAsia"/>
        </w:rPr>
        <w:t>）对于未上市或未挂牌转让且不存在活跃市场的固定收益品种，应采用在当前情况下适用并且有足够可利用数据和其他信息支持的估值技术确定其公允价值。</w:t>
      </w:r>
    </w:p>
    <w:p w14:paraId="209E267B"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5</w:t>
      </w:r>
      <w:r w:rsidRPr="00663A03">
        <w:rPr>
          <w:rFonts w:ascii="Times New Roman" w:hAnsi="Times New Roman" w:cs="Times New Roman" w:hint="eastAsia"/>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E370C08"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6</w:t>
      </w:r>
      <w:r w:rsidRPr="00663A03">
        <w:rPr>
          <w:rFonts w:ascii="Times New Roman" w:hAnsi="Times New Roman" w:cs="Times New Roman" w:hint="eastAsia"/>
        </w:rPr>
        <w:t>）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14:paraId="50D57675"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4</w:t>
      </w:r>
      <w:r w:rsidRPr="00663A03">
        <w:rPr>
          <w:rFonts w:ascii="Times New Roman" w:hAnsi="Times New Roman" w:cs="Times New Roman" w:hint="eastAsia"/>
        </w:rPr>
        <w:t>、同一证券同时在两个或两个以上市场交易的，按证券所处的市场分别估值。</w:t>
      </w:r>
    </w:p>
    <w:p w14:paraId="282E418B"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5</w:t>
      </w:r>
      <w:r w:rsidRPr="00663A03">
        <w:rPr>
          <w:rFonts w:ascii="Times New Roman" w:hAnsi="Times New Roman" w:cs="Times New Roman" w:hint="eastAsia"/>
        </w:rPr>
        <w:t>、本基金投资股指期货合约，一般以估值当日结算价进行估值，估值当日无结算价的，且最近交易日后经济环境未发生重大变化的，采用最近交易日结算价估值。如法律法规今后另有规定的，从其规定。</w:t>
      </w:r>
    </w:p>
    <w:p w14:paraId="11953F93"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本基金投资股票期权合约，根据相关法律法规以及监管部门的规定估值。</w:t>
      </w:r>
    </w:p>
    <w:p w14:paraId="25B4A838"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6</w:t>
      </w:r>
      <w:r w:rsidRPr="00663A03">
        <w:rPr>
          <w:rFonts w:ascii="Times New Roman" w:hAnsi="Times New Roman" w:cs="Times New Roman" w:hint="eastAsia"/>
        </w:rPr>
        <w:t>、港股通投资持有外币证券资产估值涉及到的主要货币对人民币汇率，以估值日中国人民银行或其授权机构公布的人民币汇率中间价为准。</w:t>
      </w:r>
    </w:p>
    <w:p w14:paraId="1EA64091"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7</w:t>
      </w:r>
      <w:r w:rsidRPr="00663A03">
        <w:rPr>
          <w:rFonts w:ascii="Times New Roman" w:hAnsi="Times New Roman" w:cs="Times New Roman" w:hint="eastAsia"/>
        </w:rPr>
        <w:t>、基金参与融资和转融通证券出借业务的，应参照相关法律法规和中国证券投资基金业协会发布的相关规定进行估值，确保估值的公允性。</w:t>
      </w:r>
    </w:p>
    <w:p w14:paraId="6B07B471"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8</w:t>
      </w:r>
      <w:r w:rsidRPr="00663A03">
        <w:rPr>
          <w:rFonts w:ascii="Times New Roman" w:hAnsi="Times New Roman" w:cs="Times New Roman" w:hint="eastAsia"/>
        </w:rPr>
        <w:t>、当发生大额申购或赎回情形时，基金管理人可以采用摆动定价机制，以确保基金估值的公平性。具体处理原则与操作规范遵循相关法律法规以及监管部门、自律组织的规定。</w:t>
      </w:r>
    </w:p>
    <w:p w14:paraId="21A254FB"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9</w:t>
      </w:r>
      <w:r w:rsidRPr="00663A03">
        <w:rPr>
          <w:rFonts w:ascii="Times New Roman" w:hAnsi="Times New Roman" w:cs="Times New Roman" w:hint="eastAsia"/>
        </w:rPr>
        <w:t>、本基金投资存托凭证的估值核算依照境内上市交易的股票执行。</w:t>
      </w:r>
    </w:p>
    <w:p w14:paraId="6BA2D375"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10</w:t>
      </w:r>
      <w:r w:rsidRPr="00663A03">
        <w:rPr>
          <w:rFonts w:ascii="Times New Roman" w:hAnsi="Times New Roman" w:cs="Times New Roman" w:hint="eastAsia"/>
        </w:rPr>
        <w:t>、如有确凿证据表明按原有方法进行估值不能客观反映上述资产或负债公允价值的，基金管理人可根据具体情况与基金托管人商定后，按最能反映公允价值的方法估值。</w:t>
      </w:r>
    </w:p>
    <w:p w14:paraId="60972B22"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11</w:t>
      </w:r>
      <w:r w:rsidRPr="00663A03">
        <w:rPr>
          <w:rFonts w:ascii="Times New Roman" w:hAnsi="Times New Roman" w:cs="Times New Roman" w:hint="eastAsia"/>
        </w:rPr>
        <w:t>、税收：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25EAC77"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12</w:t>
      </w:r>
      <w:r w:rsidRPr="00663A03">
        <w:rPr>
          <w:rFonts w:ascii="Times New Roman" w:hAnsi="Times New Roman" w:cs="Times New Roman" w:hint="eastAsia"/>
        </w:rPr>
        <w:t>、相关法律法规以及监管部门、自律规则另有规定的，从其规定。如有新增事项，按国家最新规定估值。</w:t>
      </w:r>
    </w:p>
    <w:p w14:paraId="250B2766"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37F3498C"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0B59635E"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五、估值程序</w:t>
      </w:r>
    </w:p>
    <w:p w14:paraId="7F45C903"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1</w:t>
      </w:r>
      <w:r w:rsidRPr="00663A03">
        <w:rPr>
          <w:rFonts w:ascii="Times New Roman" w:hAnsi="Times New Roman" w:cs="Times New Roman" w:hint="eastAsia"/>
        </w:rPr>
        <w:t>、各类基金份额净值是按照每个估值日闭市后，各类基金份额的基金资产净值除以当日该类基金份额的余额数量计算，均精确到</w:t>
      </w:r>
      <w:r w:rsidRPr="00663A03">
        <w:rPr>
          <w:rFonts w:ascii="Times New Roman" w:hAnsi="Times New Roman" w:cs="Times New Roman" w:hint="eastAsia"/>
        </w:rPr>
        <w:t>0.0001</w:t>
      </w:r>
      <w:r w:rsidRPr="00663A03">
        <w:rPr>
          <w:rFonts w:ascii="Times New Roman" w:hAnsi="Times New Roman" w:cs="Times New Roman" w:hint="eastAsia"/>
        </w:rPr>
        <w:t>元，小数点后第</w:t>
      </w:r>
      <w:r w:rsidRPr="00663A03">
        <w:rPr>
          <w:rFonts w:ascii="Times New Roman" w:hAnsi="Times New Roman" w:cs="Times New Roman" w:hint="eastAsia"/>
        </w:rPr>
        <w:t>5</w:t>
      </w:r>
      <w:r w:rsidRPr="00663A03">
        <w:rPr>
          <w:rFonts w:ascii="Times New Roman" w:hAnsi="Times New Roman" w:cs="Times New Roman" w:hint="eastAsia"/>
        </w:rPr>
        <w:t>位四舍五入。基金管理人可以设立大额赎回情形下的净值精度应急调整机制。国家另有规定的，从其规定。</w:t>
      </w:r>
    </w:p>
    <w:p w14:paraId="333D7D50"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基金管理人应每个估值日计算基金资产净值及各类基金份额的基金份额净值，并按规定披露。</w:t>
      </w:r>
    </w:p>
    <w:p w14:paraId="58FD3E67" w14:textId="48FEEC13"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2</w:t>
      </w:r>
      <w:r w:rsidRPr="00663A03">
        <w:rPr>
          <w:rFonts w:ascii="Times New Roman" w:hAnsi="Times New Roman" w:cs="Times New Roman" w:hint="eastAsia"/>
        </w:rPr>
        <w:t>、基</w:t>
      </w:r>
      <w:r w:rsidR="00717D28">
        <w:rPr>
          <w:rFonts w:ascii="Times New Roman" w:hAnsi="Times New Roman" w:cs="Times New Roman" w:hint="eastAsia"/>
        </w:rPr>
        <w:t>金管理人应每个估值日对基金资产估值，但基金管理人根据法律法规或</w:t>
      </w:r>
      <w:r w:rsidRPr="00663A03">
        <w:rPr>
          <w:rFonts w:ascii="Times New Roman" w:hAnsi="Times New Roman" w:cs="Times New Roman" w:hint="eastAsia"/>
        </w:rPr>
        <w:t>基金合同的规定暂停估值时除外。基金管理人每个估值日对基金资产估值后，将基金资产净值、各类基金份额的基金份额净值结果发送基金托管人，经基金托管人复核无误后，由基金管理人按规定对外公布。</w:t>
      </w:r>
    </w:p>
    <w:p w14:paraId="064FD52E"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六、估值错误的处理</w:t>
      </w:r>
    </w:p>
    <w:p w14:paraId="3FB1FE6F"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基金管理人和基金托管人将采取必要、适当、合理的措施确保基金资产估值的准确性、及时性。当任一类基金份额净值小数点后</w:t>
      </w:r>
      <w:r w:rsidRPr="00663A03">
        <w:rPr>
          <w:rFonts w:ascii="Times New Roman" w:hAnsi="Times New Roman" w:cs="Times New Roman" w:hint="eastAsia"/>
        </w:rPr>
        <w:t>4</w:t>
      </w:r>
      <w:r w:rsidRPr="00663A03">
        <w:rPr>
          <w:rFonts w:ascii="Times New Roman" w:hAnsi="Times New Roman" w:cs="Times New Roman" w:hint="eastAsia"/>
        </w:rPr>
        <w:t>位以内（含第</w:t>
      </w:r>
      <w:r w:rsidRPr="00663A03">
        <w:rPr>
          <w:rFonts w:ascii="Times New Roman" w:hAnsi="Times New Roman" w:cs="Times New Roman" w:hint="eastAsia"/>
        </w:rPr>
        <w:t>4</w:t>
      </w:r>
      <w:r w:rsidRPr="00663A03">
        <w:rPr>
          <w:rFonts w:ascii="Times New Roman" w:hAnsi="Times New Roman" w:cs="Times New Roman" w:hint="eastAsia"/>
        </w:rPr>
        <w:t>位）发生估值错误时，视为该类基金份额净值错误。</w:t>
      </w:r>
    </w:p>
    <w:p w14:paraId="2A7AAF0F" w14:textId="39E8ED08"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基金合同的当事人应按照以下约定处理：</w:t>
      </w:r>
    </w:p>
    <w:p w14:paraId="3F9A97E8"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1</w:t>
      </w:r>
      <w:r w:rsidRPr="00663A03">
        <w:rPr>
          <w:rFonts w:ascii="Times New Roman" w:hAnsi="Times New Roman" w:cs="Times New Roman" w:hint="eastAsia"/>
        </w:rPr>
        <w:t>、估值错误类型</w:t>
      </w:r>
    </w:p>
    <w:p w14:paraId="28C287BC"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49DDF2B7"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62B531E4"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C47E8BE"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2</w:t>
      </w:r>
      <w:r w:rsidRPr="00663A03">
        <w:rPr>
          <w:rFonts w:ascii="Times New Roman" w:hAnsi="Times New Roman" w:cs="Times New Roman" w:hint="eastAsia"/>
        </w:rPr>
        <w:t>、估值错误处理原则</w:t>
      </w:r>
    </w:p>
    <w:p w14:paraId="4DB8B6F6"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1</w:t>
      </w:r>
      <w:r w:rsidRPr="00663A03">
        <w:rPr>
          <w:rFonts w:ascii="Times New Roman" w:hAnsi="Times New Roman" w:cs="Times New Roman"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24FD176"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2</w:t>
      </w:r>
      <w:r w:rsidRPr="00663A03">
        <w:rPr>
          <w:rFonts w:ascii="Times New Roman" w:hAnsi="Times New Roman" w:cs="Times New Roman" w:hint="eastAsia"/>
        </w:rPr>
        <w:t>）估值错误的责任方对有关当事人的直接损失负责，不对间接损失负责，并且仅对估值错误的有关直接当事人负责，不对第三方负责。</w:t>
      </w:r>
    </w:p>
    <w:p w14:paraId="0B236A65"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3</w:t>
      </w:r>
      <w:r w:rsidRPr="00663A03">
        <w:rPr>
          <w:rFonts w:ascii="Times New Roman" w:hAnsi="Times New Roman" w:cs="Times New Roman" w:hint="eastAsia"/>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8B565F4"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4</w:t>
      </w:r>
      <w:r w:rsidRPr="00663A03">
        <w:rPr>
          <w:rFonts w:ascii="Times New Roman" w:hAnsi="Times New Roman" w:cs="Times New Roman" w:hint="eastAsia"/>
        </w:rPr>
        <w:t>）估值错误调整采用尽量恢复至假设未发生估值错误的正确情形的方式。</w:t>
      </w:r>
    </w:p>
    <w:p w14:paraId="12152380"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3</w:t>
      </w:r>
      <w:r w:rsidRPr="00663A03">
        <w:rPr>
          <w:rFonts w:ascii="Times New Roman" w:hAnsi="Times New Roman" w:cs="Times New Roman" w:hint="eastAsia"/>
        </w:rPr>
        <w:t>、估值错误处理程序</w:t>
      </w:r>
    </w:p>
    <w:p w14:paraId="4FFFA184"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估值错误被发现后，有关的当事人应当及时进行处理，处理的程序如下：</w:t>
      </w:r>
    </w:p>
    <w:p w14:paraId="1CE431C0"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1</w:t>
      </w:r>
      <w:r w:rsidRPr="00663A03">
        <w:rPr>
          <w:rFonts w:ascii="Times New Roman" w:hAnsi="Times New Roman" w:cs="Times New Roman" w:hint="eastAsia"/>
        </w:rPr>
        <w:t>）查明估值错误发生的原因，列明所有的当事人，并根据估值错误发生的原因确定估值错误的责任方；</w:t>
      </w:r>
    </w:p>
    <w:p w14:paraId="795562B2"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2</w:t>
      </w:r>
      <w:r w:rsidRPr="00663A03">
        <w:rPr>
          <w:rFonts w:ascii="Times New Roman" w:hAnsi="Times New Roman" w:cs="Times New Roman" w:hint="eastAsia"/>
        </w:rPr>
        <w:t>）根据估值错误处理原则或当事人协商的方法对因估值错误造成的损失进行评估；</w:t>
      </w:r>
    </w:p>
    <w:p w14:paraId="5BB83F99"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3</w:t>
      </w:r>
      <w:r w:rsidRPr="00663A03">
        <w:rPr>
          <w:rFonts w:ascii="Times New Roman" w:hAnsi="Times New Roman" w:cs="Times New Roman" w:hint="eastAsia"/>
        </w:rPr>
        <w:t>）根据估值错误处理原则或当事人协商的方法由估值错误的责任方进行更正和赔偿损失；</w:t>
      </w:r>
    </w:p>
    <w:p w14:paraId="466CB104"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4</w:t>
      </w:r>
      <w:r w:rsidRPr="00663A03">
        <w:rPr>
          <w:rFonts w:ascii="Times New Roman" w:hAnsi="Times New Roman" w:cs="Times New Roman" w:hint="eastAsia"/>
        </w:rPr>
        <w:t>）根据估值错误处理的方法，需要修改基金登记机构交易数据的，由基金登记机构进行更正，并就估值错误的更正向有关当事人进行确认。</w:t>
      </w:r>
    </w:p>
    <w:p w14:paraId="52CFB786"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4</w:t>
      </w:r>
      <w:r w:rsidRPr="00663A03">
        <w:rPr>
          <w:rFonts w:ascii="Times New Roman" w:hAnsi="Times New Roman" w:cs="Times New Roman" w:hint="eastAsia"/>
        </w:rPr>
        <w:t>、基金份额净值估值错误处理的方法如下：</w:t>
      </w:r>
    </w:p>
    <w:p w14:paraId="05C07E0E"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1</w:t>
      </w:r>
      <w:r w:rsidRPr="00663A03">
        <w:rPr>
          <w:rFonts w:ascii="Times New Roman" w:hAnsi="Times New Roman" w:cs="Times New Roman" w:hint="eastAsia"/>
        </w:rPr>
        <w:t>）基金份额净值计算出现错误时，基金管理人应当立即予以纠正，通报基金托管人，并采取合理的措施防止损失进一步扩大。</w:t>
      </w:r>
    </w:p>
    <w:p w14:paraId="44B0818E"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2</w:t>
      </w:r>
      <w:r w:rsidRPr="00663A03">
        <w:rPr>
          <w:rFonts w:ascii="Times New Roman" w:hAnsi="Times New Roman" w:cs="Times New Roman" w:hint="eastAsia"/>
        </w:rPr>
        <w:t>）错误偏差达到该类基金份额净值的</w:t>
      </w:r>
      <w:r w:rsidRPr="00663A03">
        <w:rPr>
          <w:rFonts w:ascii="Times New Roman" w:hAnsi="Times New Roman" w:cs="Times New Roman" w:hint="eastAsia"/>
        </w:rPr>
        <w:t>0.25%</w:t>
      </w:r>
      <w:r w:rsidRPr="00663A03">
        <w:rPr>
          <w:rFonts w:ascii="Times New Roman" w:hAnsi="Times New Roman" w:cs="Times New Roman" w:hint="eastAsia"/>
        </w:rPr>
        <w:t>时，基金管理人应当通报基金托管人并报中国证监会备案；错误偏差达到该类基金份额净值的</w:t>
      </w:r>
      <w:r w:rsidRPr="00663A03">
        <w:rPr>
          <w:rFonts w:ascii="Times New Roman" w:hAnsi="Times New Roman" w:cs="Times New Roman" w:hint="eastAsia"/>
        </w:rPr>
        <w:t>0.5%</w:t>
      </w:r>
      <w:r w:rsidRPr="00663A03">
        <w:rPr>
          <w:rFonts w:ascii="Times New Roman" w:hAnsi="Times New Roman" w:cs="Times New Roman" w:hint="eastAsia"/>
        </w:rPr>
        <w:t>时，基金管理人应当公告，并报中国证监会备案。</w:t>
      </w:r>
    </w:p>
    <w:p w14:paraId="4266ED57"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w:t>
      </w:r>
      <w:r w:rsidRPr="00663A03">
        <w:rPr>
          <w:rFonts w:ascii="Times New Roman" w:hAnsi="Times New Roman" w:cs="Times New Roman" w:hint="eastAsia"/>
        </w:rPr>
        <w:t>3</w:t>
      </w:r>
      <w:r w:rsidRPr="00663A03">
        <w:rPr>
          <w:rFonts w:ascii="Times New Roman" w:hAnsi="Times New Roman" w:cs="Times New Roman" w:hint="eastAsia"/>
        </w:rPr>
        <w:t>）前述内容如法律法规或监管机关另有规定的，从其规定处理。如果行业另有通行做法，基金管理人与基金托管人应本着平等和保护基金份额持有人利益的原则进行协商。</w:t>
      </w:r>
    </w:p>
    <w:p w14:paraId="01AC0AC3"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七、暂停估值的情形</w:t>
      </w:r>
    </w:p>
    <w:p w14:paraId="40257A63"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1</w:t>
      </w:r>
      <w:r w:rsidRPr="00663A03">
        <w:rPr>
          <w:rFonts w:ascii="Times New Roman" w:hAnsi="Times New Roman" w:cs="Times New Roman" w:hint="eastAsia"/>
        </w:rPr>
        <w:t>、基金投资所涉及的证券</w:t>
      </w:r>
      <w:r w:rsidRPr="00663A03">
        <w:rPr>
          <w:rFonts w:ascii="Times New Roman" w:hAnsi="Times New Roman" w:cs="Times New Roman" w:hint="eastAsia"/>
        </w:rPr>
        <w:t>/</w:t>
      </w:r>
      <w:r w:rsidRPr="00663A03">
        <w:rPr>
          <w:rFonts w:ascii="Times New Roman" w:hAnsi="Times New Roman" w:cs="Times New Roman" w:hint="eastAsia"/>
        </w:rPr>
        <w:t>期货交易市场或外汇市场遇法定节假日或因其他原因暂停营业时；</w:t>
      </w:r>
    </w:p>
    <w:p w14:paraId="78D4ED7F"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2</w:t>
      </w:r>
      <w:r w:rsidRPr="00663A03">
        <w:rPr>
          <w:rFonts w:ascii="Times New Roman" w:hAnsi="Times New Roman" w:cs="Times New Roman" w:hint="eastAsia"/>
        </w:rPr>
        <w:t>、基金所投资的目标</w:t>
      </w:r>
      <w:r w:rsidRPr="00663A03">
        <w:rPr>
          <w:rFonts w:ascii="Times New Roman" w:hAnsi="Times New Roman" w:cs="Times New Roman" w:hint="eastAsia"/>
        </w:rPr>
        <w:t>ETF</w:t>
      </w:r>
      <w:r w:rsidRPr="00663A03">
        <w:rPr>
          <w:rFonts w:ascii="Times New Roman" w:hAnsi="Times New Roman" w:cs="Times New Roman" w:hint="eastAsia"/>
        </w:rPr>
        <w:t>发生暂停估值、暂停公告基金份额净值的情形；</w:t>
      </w:r>
    </w:p>
    <w:p w14:paraId="1BA82790"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3</w:t>
      </w:r>
      <w:r w:rsidRPr="00663A03">
        <w:rPr>
          <w:rFonts w:ascii="Times New Roman" w:hAnsi="Times New Roman" w:cs="Times New Roman" w:hint="eastAsia"/>
        </w:rPr>
        <w:t>、因不可抗力致使基金管理人、基金托管人无法准确评估基金资产价值时；</w:t>
      </w:r>
    </w:p>
    <w:p w14:paraId="1D026DB2"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4</w:t>
      </w:r>
      <w:r w:rsidRPr="00663A03">
        <w:rPr>
          <w:rFonts w:ascii="Times New Roman" w:hAnsi="Times New Roman" w:cs="Times New Roman" w:hint="eastAsia"/>
        </w:rPr>
        <w:t>、当特定资产占前一估值日基金资产净值</w:t>
      </w:r>
      <w:r w:rsidRPr="00663A03">
        <w:rPr>
          <w:rFonts w:ascii="Times New Roman" w:hAnsi="Times New Roman" w:cs="Times New Roman" w:hint="eastAsia"/>
        </w:rPr>
        <w:t>50%</w:t>
      </w:r>
      <w:r w:rsidRPr="00663A03">
        <w:rPr>
          <w:rFonts w:ascii="Times New Roman" w:hAnsi="Times New Roman" w:cs="Times New Roman" w:hint="eastAsia"/>
        </w:rPr>
        <w:t>以上的，经与基金托管人协商确认后，基金管理人应当暂停估值；</w:t>
      </w:r>
    </w:p>
    <w:p w14:paraId="013709DA"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5</w:t>
      </w:r>
      <w:r w:rsidRPr="00663A03">
        <w:rPr>
          <w:rFonts w:ascii="Times New Roman" w:hAnsi="Times New Roman" w:cs="Times New Roman" w:hint="eastAsia"/>
        </w:rPr>
        <w:t>、中国证监会和基金合同认定的其他情形。</w:t>
      </w:r>
    </w:p>
    <w:p w14:paraId="3781AEE9"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八、基金净值的确认</w:t>
      </w:r>
    </w:p>
    <w:p w14:paraId="051FFBC3"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基金资产净值和各类基金份额的基金份额净值由基金管理人负责计算，基金托管人负责进行复核。基金管理人应于每个估值日交易结束后计算当日的基金资产净值和各类基金份额的基金份额净值并发送给基金托管人。基金托管人对净值计算结果复核确认后发送给基金管理人，由基金管理人对基金净值予以公布。</w:t>
      </w:r>
    </w:p>
    <w:p w14:paraId="370A21FC"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九、特殊情况的处理</w:t>
      </w:r>
    </w:p>
    <w:p w14:paraId="1AC69897"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1</w:t>
      </w:r>
      <w:r w:rsidRPr="00663A03">
        <w:rPr>
          <w:rFonts w:ascii="Times New Roman" w:hAnsi="Times New Roman" w:cs="Times New Roman" w:hint="eastAsia"/>
        </w:rPr>
        <w:t>、基金管理人或基金托管人按估值方法的第</w:t>
      </w:r>
      <w:r w:rsidRPr="00663A03">
        <w:rPr>
          <w:rFonts w:ascii="Times New Roman" w:hAnsi="Times New Roman" w:cs="Times New Roman" w:hint="eastAsia"/>
        </w:rPr>
        <w:t>10</w:t>
      </w:r>
      <w:r w:rsidRPr="00663A03">
        <w:rPr>
          <w:rFonts w:ascii="Times New Roman" w:hAnsi="Times New Roman" w:cs="Times New Roman" w:hint="eastAsia"/>
        </w:rPr>
        <w:t>项进行估值时，所造成的误差不作为基金资产估值错误处理。</w:t>
      </w:r>
    </w:p>
    <w:p w14:paraId="4FD89CBD" w14:textId="77777777" w:rsidR="00663A03" w:rsidRPr="00663A03"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2</w:t>
      </w:r>
      <w:r w:rsidRPr="00663A03">
        <w:rPr>
          <w:rFonts w:ascii="Times New Roman" w:hAnsi="Times New Roman" w:cs="Times New Roman" w:hint="eastAsia"/>
        </w:rPr>
        <w:t>、由于不可抗力，或由于证券</w:t>
      </w:r>
      <w:r w:rsidRPr="00663A03">
        <w:rPr>
          <w:rFonts w:ascii="Times New Roman" w:hAnsi="Times New Roman" w:cs="Times New Roman" w:hint="eastAsia"/>
        </w:rPr>
        <w:t>/</w:t>
      </w:r>
      <w:r w:rsidRPr="00663A03">
        <w:rPr>
          <w:rFonts w:ascii="Times New Roman" w:hAnsi="Times New Roman" w:cs="Times New Roman" w:hint="eastAsia"/>
        </w:rPr>
        <w:t>期货交易所、登记机构、指数编制机构、估值基准服务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58190BF8" w14:textId="4401EE3A" w:rsidR="00C90290" w:rsidRDefault="00663A03" w:rsidP="00663A03">
      <w:pPr>
        <w:numPr>
          <w:ilvl w:val="12"/>
          <w:numId w:val="0"/>
        </w:numPr>
        <w:snapToGrid w:val="0"/>
        <w:spacing w:line="360" w:lineRule="auto"/>
        <w:ind w:firstLineChars="200" w:firstLine="420"/>
        <w:rPr>
          <w:rFonts w:ascii="Times New Roman" w:hAnsi="Times New Roman" w:cs="Times New Roman"/>
        </w:rPr>
      </w:pPr>
      <w:r w:rsidRPr="00663A03">
        <w:rPr>
          <w:rFonts w:ascii="Times New Roman" w:hAnsi="Times New Roman" w:cs="Times New Roman" w:hint="eastAsia"/>
        </w:rPr>
        <w:t>3</w:t>
      </w:r>
      <w:r w:rsidRPr="00663A03">
        <w:rPr>
          <w:rFonts w:ascii="Times New Roman" w:hAnsi="Times New Roman" w:cs="Times New Roman" w:hint="eastAsia"/>
        </w:rPr>
        <w:t>、对于因税收规定调整或其他原因导致基金实际交纳税金与基金按照权责发生制进行估值的应交税金有差异的，相关估值调整不作为基金资产估值错误处理</w:t>
      </w:r>
      <w:r w:rsidR="00C90290" w:rsidRPr="00C90290">
        <w:rPr>
          <w:rFonts w:ascii="Times New Roman" w:hAnsi="Times New Roman" w:cs="Times New Roman" w:hint="eastAsia"/>
        </w:rPr>
        <w:t>。</w:t>
      </w:r>
    </w:p>
    <w:p w14:paraId="70F16CE3" w14:textId="35C4C07B"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十、实施侧袋机制期间的基金资产估值</w:t>
      </w:r>
    </w:p>
    <w:p w14:paraId="78EB3640"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本基金实施侧袋机制的，</w:t>
      </w:r>
      <w:r>
        <w:rPr>
          <w:rFonts w:ascii="Times New Roman" w:hAnsi="Times New Roman" w:cs="Times New Roman" w:hint="eastAsia"/>
          <w:bCs/>
        </w:rPr>
        <w:t>本基金的估值安排详见招募说明书“侧袋机制”部分的规定</w:t>
      </w:r>
      <w:r>
        <w:rPr>
          <w:rFonts w:ascii="Times New Roman" w:hAnsi="Times New Roman" w:cs="Times New Roman" w:hint="eastAsia"/>
        </w:rPr>
        <w:t>。</w:t>
      </w:r>
    </w:p>
    <w:p w14:paraId="728D23C4" w14:textId="77777777" w:rsidR="00AE3DA6" w:rsidRDefault="00795E23">
      <w:pPr>
        <w:snapToGrid w:val="0"/>
        <w:spacing w:line="360" w:lineRule="auto"/>
        <w:ind w:firstLineChars="200" w:firstLine="482"/>
        <w:rPr>
          <w:rFonts w:ascii="宋体" w:cs="Times New Roman"/>
          <w:color w:val="000000"/>
        </w:rPr>
      </w:pPr>
      <w:r>
        <w:rPr>
          <w:rFonts w:ascii="宋体" w:cs="Times New Roman"/>
          <w:b/>
          <w:bCs/>
          <w:color w:val="000000"/>
          <w:kern w:val="0"/>
          <w:sz w:val="24"/>
          <w:szCs w:val="24"/>
        </w:rPr>
        <w:br w:type="page"/>
      </w:r>
    </w:p>
    <w:p w14:paraId="2BA21369"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118" w:name="_Toc360793856"/>
      <w:bookmarkStart w:id="119" w:name="_Toc48900079"/>
      <w:bookmarkStart w:id="120" w:name="_Toc362533461"/>
      <w:bookmarkStart w:id="121" w:name="_Toc360793504"/>
      <w:bookmarkStart w:id="122" w:name="_Toc360794522"/>
      <w:bookmarkStart w:id="123" w:name="_Toc360794106"/>
      <w:bookmarkStart w:id="124" w:name="_Toc362455189"/>
      <w:bookmarkStart w:id="125" w:name="_Toc360794414"/>
      <w:r>
        <w:rPr>
          <w:rFonts w:ascii="宋体" w:eastAsia="宋体" w:hAnsi="宋体" w:cs="宋体" w:hint="eastAsia"/>
        </w:rPr>
        <w:t>基金的收益与分配</w:t>
      </w:r>
      <w:bookmarkEnd w:id="118"/>
      <w:bookmarkEnd w:id="119"/>
      <w:bookmarkEnd w:id="120"/>
      <w:bookmarkEnd w:id="121"/>
      <w:bookmarkEnd w:id="122"/>
      <w:bookmarkEnd w:id="123"/>
      <w:bookmarkEnd w:id="124"/>
      <w:bookmarkEnd w:id="125"/>
    </w:p>
    <w:p w14:paraId="03CF6AB4" w14:textId="77777777" w:rsidR="00AE3DA6" w:rsidRDefault="00AE3DA6">
      <w:pPr>
        <w:snapToGrid w:val="0"/>
        <w:spacing w:line="360" w:lineRule="auto"/>
        <w:ind w:firstLineChars="200" w:firstLine="422"/>
        <w:rPr>
          <w:rFonts w:ascii="宋体" w:cs="Times New Roman"/>
          <w:b/>
          <w:bCs/>
          <w:color w:val="000000"/>
        </w:rPr>
      </w:pPr>
    </w:p>
    <w:p w14:paraId="121FA758" w14:textId="77777777" w:rsidR="00663A03" w:rsidRPr="00663A03" w:rsidRDefault="00663A03" w:rsidP="00663A03">
      <w:pPr>
        <w:snapToGrid w:val="0"/>
        <w:spacing w:line="360" w:lineRule="auto"/>
        <w:ind w:firstLineChars="200" w:firstLine="420"/>
        <w:rPr>
          <w:rFonts w:cs="宋体"/>
        </w:rPr>
      </w:pPr>
      <w:r w:rsidRPr="00663A03">
        <w:rPr>
          <w:rFonts w:cs="宋体" w:hint="eastAsia"/>
        </w:rPr>
        <w:t>一、基金利润的构成</w:t>
      </w:r>
    </w:p>
    <w:p w14:paraId="636392DD" w14:textId="77777777" w:rsidR="00663A03" w:rsidRPr="00663A03" w:rsidRDefault="00663A03" w:rsidP="00663A03">
      <w:pPr>
        <w:snapToGrid w:val="0"/>
        <w:spacing w:line="360" w:lineRule="auto"/>
        <w:ind w:firstLineChars="200" w:firstLine="420"/>
        <w:rPr>
          <w:rFonts w:cs="宋体"/>
        </w:rPr>
      </w:pPr>
      <w:r w:rsidRPr="00663A03">
        <w:rPr>
          <w:rFonts w:cs="宋体" w:hint="eastAsia"/>
        </w:rPr>
        <w:t>基金利润指基金利息收入、投资收益、公允价值变动收益和其他收入扣除相关费用后的余额，基金已实现收益指基金利润减去公允价值变动收益后的余额。</w:t>
      </w:r>
    </w:p>
    <w:p w14:paraId="7E061574" w14:textId="77777777" w:rsidR="00663A03" w:rsidRPr="00663A03" w:rsidRDefault="00663A03" w:rsidP="00663A03">
      <w:pPr>
        <w:snapToGrid w:val="0"/>
        <w:spacing w:line="360" w:lineRule="auto"/>
        <w:ind w:firstLineChars="200" w:firstLine="420"/>
        <w:rPr>
          <w:rFonts w:cs="宋体"/>
        </w:rPr>
      </w:pPr>
      <w:r w:rsidRPr="00663A03">
        <w:rPr>
          <w:rFonts w:cs="宋体" w:hint="eastAsia"/>
        </w:rPr>
        <w:t>二、基金可供分配利润</w:t>
      </w:r>
    </w:p>
    <w:p w14:paraId="4A71F5EE" w14:textId="77777777" w:rsidR="00663A03" w:rsidRPr="00663A03" w:rsidRDefault="00663A03" w:rsidP="00663A03">
      <w:pPr>
        <w:snapToGrid w:val="0"/>
        <w:spacing w:line="360" w:lineRule="auto"/>
        <w:ind w:firstLineChars="200" w:firstLine="420"/>
        <w:rPr>
          <w:rFonts w:cs="宋体"/>
        </w:rPr>
      </w:pPr>
      <w:r w:rsidRPr="00663A03">
        <w:rPr>
          <w:rFonts w:cs="宋体" w:hint="eastAsia"/>
        </w:rPr>
        <w:t>基金可供分配利润指截至收益分配基准日基金未分配利润与未分配利润中已实现收益的孰低数。</w:t>
      </w:r>
    </w:p>
    <w:p w14:paraId="10F48FCB" w14:textId="77777777" w:rsidR="00663A03" w:rsidRPr="00663A03" w:rsidRDefault="00663A03" w:rsidP="00663A03">
      <w:pPr>
        <w:snapToGrid w:val="0"/>
        <w:spacing w:line="360" w:lineRule="auto"/>
        <w:ind w:firstLineChars="200" w:firstLine="420"/>
        <w:rPr>
          <w:rFonts w:cs="宋体"/>
        </w:rPr>
      </w:pPr>
      <w:r w:rsidRPr="00663A03">
        <w:rPr>
          <w:rFonts w:cs="宋体" w:hint="eastAsia"/>
        </w:rPr>
        <w:t>三、基金收益分配原则</w:t>
      </w:r>
    </w:p>
    <w:p w14:paraId="113D1A8B" w14:textId="77777777" w:rsidR="00663A03" w:rsidRPr="00663A03" w:rsidRDefault="00663A03" w:rsidP="00663A03">
      <w:pPr>
        <w:snapToGrid w:val="0"/>
        <w:spacing w:line="360" w:lineRule="auto"/>
        <w:ind w:firstLineChars="200" w:firstLine="420"/>
        <w:rPr>
          <w:rFonts w:cs="宋体"/>
        </w:rPr>
      </w:pPr>
      <w:r w:rsidRPr="00663A03">
        <w:rPr>
          <w:rFonts w:cs="宋体" w:hint="eastAsia"/>
        </w:rPr>
        <w:t>1</w:t>
      </w:r>
      <w:r w:rsidRPr="00663A03">
        <w:rPr>
          <w:rFonts w:cs="宋体" w:hint="eastAsia"/>
        </w:rPr>
        <w:t>、在符合有关基金分红条件的前提下，基金管理人可以根据实际情况进行收益分配，具体分配方案详见届时基金管理人发布的公告，若《基金合同》生效不满</w:t>
      </w:r>
      <w:r w:rsidRPr="00663A03">
        <w:rPr>
          <w:rFonts w:cs="宋体" w:hint="eastAsia"/>
        </w:rPr>
        <w:t>3</w:t>
      </w:r>
      <w:r w:rsidRPr="00663A03">
        <w:rPr>
          <w:rFonts w:cs="宋体" w:hint="eastAsia"/>
        </w:rPr>
        <w:t>个月可不进行收益分配；</w:t>
      </w:r>
    </w:p>
    <w:p w14:paraId="702FF805" w14:textId="77777777" w:rsidR="00663A03" w:rsidRPr="00663A03" w:rsidRDefault="00663A03" w:rsidP="00663A03">
      <w:pPr>
        <w:snapToGrid w:val="0"/>
        <w:spacing w:line="360" w:lineRule="auto"/>
        <w:ind w:firstLineChars="200" w:firstLine="420"/>
        <w:rPr>
          <w:rFonts w:cs="宋体"/>
        </w:rPr>
      </w:pPr>
      <w:r w:rsidRPr="00663A03">
        <w:rPr>
          <w:rFonts w:cs="宋体" w:hint="eastAsia"/>
        </w:rPr>
        <w:t>2</w:t>
      </w:r>
      <w:r w:rsidRPr="00663A03">
        <w:rPr>
          <w:rFonts w:cs="宋体" w:hint="eastAsia"/>
        </w:rPr>
        <w:t>、基金管理人可每季度评估是否进行收益分配。基金管理人可每季度对基金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7B4ADA7D" w14:textId="77777777" w:rsidR="00663A03" w:rsidRPr="00663A03" w:rsidRDefault="00663A03" w:rsidP="00663A03">
      <w:pPr>
        <w:snapToGrid w:val="0"/>
        <w:spacing w:line="360" w:lineRule="auto"/>
        <w:ind w:firstLineChars="200" w:firstLine="420"/>
        <w:rPr>
          <w:rFonts w:cs="宋体"/>
        </w:rPr>
      </w:pPr>
      <w:r w:rsidRPr="00663A03">
        <w:rPr>
          <w:rFonts w:cs="宋体" w:hint="eastAsia"/>
        </w:rPr>
        <w:t>3</w:t>
      </w:r>
      <w:r w:rsidRPr="00663A03">
        <w:rPr>
          <w:rFonts w:cs="宋体" w:hint="eastAsia"/>
        </w:rPr>
        <w:t>、本基金收益分配方式分两种：现金分红与红利再投资，投资者可选择现金红利或将现金红利自动转为相应类别的基金份额进行再投资；若投资者不选择，本基金默认的收益分配方式是现金分红；</w:t>
      </w:r>
    </w:p>
    <w:p w14:paraId="01ACE53A" w14:textId="77777777" w:rsidR="00663A03" w:rsidRPr="00663A03" w:rsidRDefault="00663A03" w:rsidP="00663A03">
      <w:pPr>
        <w:snapToGrid w:val="0"/>
        <w:spacing w:line="360" w:lineRule="auto"/>
        <w:ind w:firstLineChars="200" w:firstLine="420"/>
        <w:rPr>
          <w:rFonts w:cs="宋体"/>
        </w:rPr>
      </w:pPr>
      <w:r w:rsidRPr="00663A03">
        <w:rPr>
          <w:rFonts w:cs="宋体" w:hint="eastAsia"/>
        </w:rPr>
        <w:t>4</w:t>
      </w:r>
      <w:r w:rsidRPr="00663A03">
        <w:rPr>
          <w:rFonts w:cs="宋体" w:hint="eastAsia"/>
        </w:rPr>
        <w:t>、由于本基金</w:t>
      </w:r>
      <w:r w:rsidRPr="00663A03">
        <w:rPr>
          <w:rFonts w:cs="宋体" w:hint="eastAsia"/>
        </w:rPr>
        <w:t>A</w:t>
      </w:r>
      <w:r w:rsidRPr="00663A03">
        <w:rPr>
          <w:rFonts w:cs="宋体" w:hint="eastAsia"/>
        </w:rPr>
        <w:t>类基金份额不收取销售服务费，而</w:t>
      </w:r>
      <w:r w:rsidRPr="00663A03">
        <w:rPr>
          <w:rFonts w:cs="宋体" w:hint="eastAsia"/>
        </w:rPr>
        <w:t>C</w:t>
      </w:r>
      <w:r w:rsidRPr="00663A03">
        <w:rPr>
          <w:rFonts w:cs="宋体" w:hint="eastAsia"/>
        </w:rPr>
        <w:t>类基金份额收取销售服务费，各基金份额类别对应的可供分配利润将有所不同。本基金同一类别的每一基金份额享有同等分配权；</w:t>
      </w:r>
    </w:p>
    <w:p w14:paraId="60E28044" w14:textId="77777777" w:rsidR="00663A03" w:rsidRPr="00663A03" w:rsidRDefault="00663A03" w:rsidP="00663A03">
      <w:pPr>
        <w:snapToGrid w:val="0"/>
        <w:spacing w:line="360" w:lineRule="auto"/>
        <w:ind w:firstLineChars="200" w:firstLine="420"/>
        <w:rPr>
          <w:rFonts w:cs="宋体"/>
        </w:rPr>
      </w:pPr>
      <w:r w:rsidRPr="00663A03">
        <w:rPr>
          <w:rFonts w:cs="宋体" w:hint="eastAsia"/>
        </w:rPr>
        <w:t>5</w:t>
      </w:r>
      <w:r w:rsidRPr="00663A03">
        <w:rPr>
          <w:rFonts w:cs="宋体" w:hint="eastAsia"/>
        </w:rPr>
        <w:t>、法律法规或监管机关另有规定的，从其规定。</w:t>
      </w:r>
    </w:p>
    <w:p w14:paraId="48B1928B" w14:textId="6C5F9242" w:rsidR="00AE3DA6" w:rsidRDefault="00663A03" w:rsidP="00663A03">
      <w:pPr>
        <w:snapToGrid w:val="0"/>
        <w:spacing w:line="360" w:lineRule="auto"/>
        <w:ind w:firstLineChars="200" w:firstLine="420"/>
        <w:rPr>
          <w:rFonts w:cs="宋体"/>
        </w:rPr>
      </w:pPr>
      <w:r w:rsidRPr="00663A03">
        <w:rPr>
          <w:rFonts w:cs="宋体" w:hint="eastAsia"/>
        </w:rPr>
        <w:t>基金管理人、登记机构可在法律法规允许、对基金份额持有人利益无实质性不利影响的前提下，按照监管部门要求履行适当程序后，经与基金托管人协商一致酌情调整以上基金收益分配原则，应于变更实施日前在规定媒介公告</w:t>
      </w:r>
      <w:r w:rsidR="00795E23">
        <w:rPr>
          <w:rFonts w:cs="宋体" w:hint="eastAsia"/>
        </w:rPr>
        <w:t>。</w:t>
      </w:r>
    </w:p>
    <w:p w14:paraId="5DA9B07C" w14:textId="2D257FC5" w:rsidR="00AE3DA6" w:rsidRDefault="00795E23">
      <w:pPr>
        <w:snapToGrid w:val="0"/>
        <w:spacing w:line="360" w:lineRule="auto"/>
        <w:ind w:firstLineChars="200" w:firstLine="420"/>
        <w:rPr>
          <w:rFonts w:cs="宋体"/>
        </w:rPr>
      </w:pPr>
      <w:r>
        <w:rPr>
          <w:rFonts w:cs="宋体" w:hint="eastAsia"/>
        </w:rPr>
        <w:t>四、收益分配条件</w:t>
      </w:r>
    </w:p>
    <w:p w14:paraId="51E45AFD" w14:textId="77777777" w:rsidR="00AE3DA6" w:rsidRDefault="00795E23">
      <w:pPr>
        <w:snapToGrid w:val="0"/>
        <w:spacing w:line="360" w:lineRule="auto"/>
        <w:ind w:firstLineChars="200" w:firstLine="420"/>
        <w:rPr>
          <w:rFonts w:cs="宋体"/>
        </w:rPr>
      </w:pPr>
      <w:r>
        <w:rPr>
          <w:rFonts w:cs="宋体" w:hint="eastAsia"/>
        </w:rPr>
        <w:t>1</w:t>
      </w:r>
      <w:r>
        <w:rPr>
          <w:rFonts w:cs="宋体" w:hint="eastAsia"/>
        </w:rPr>
        <w:t>、本基金在基金收益评价日对基金相对业绩比较基准的超额收益率以及基金的可供分配利润进行评价，收益评价日核定的基金累计报酬率超过业绩比较基准同期累计报酬率或者基金可供分配利润金额大于零时，基金管理人可进行收益分配；</w:t>
      </w:r>
    </w:p>
    <w:p w14:paraId="408382DD" w14:textId="77777777" w:rsidR="00AE3DA6" w:rsidRDefault="00795E23">
      <w:pPr>
        <w:snapToGrid w:val="0"/>
        <w:spacing w:line="360" w:lineRule="auto"/>
        <w:ind w:firstLineChars="200" w:firstLine="420"/>
        <w:rPr>
          <w:rFonts w:cs="宋体"/>
        </w:rPr>
      </w:pPr>
      <w:r>
        <w:rPr>
          <w:rFonts w:cs="宋体" w:hint="eastAsia"/>
        </w:rPr>
        <w:t>2</w:t>
      </w:r>
      <w:r>
        <w:rPr>
          <w:rFonts w:cs="宋体" w:hint="eastAsia"/>
        </w:rPr>
        <w:t>、当基金收益分配根据基金相对业绩比较基准的超额收益率决定时，基于本基金的特点，本基金收益分配无需以弥补亏损为前提，收益分配后各类基金份额净值有可能低于面值；当基金收益分配根据基金可供分配利润金额决定时，本基金收益分配后各类基金份额净值不能低于面值，即基金收益分配基准日的各类基金份额净值减去每单位该类基金份额收益分配金额后不能低于面值；</w:t>
      </w:r>
    </w:p>
    <w:p w14:paraId="104021CB" w14:textId="77777777" w:rsidR="00AE3DA6" w:rsidRDefault="00795E23">
      <w:pPr>
        <w:snapToGrid w:val="0"/>
        <w:spacing w:line="360" w:lineRule="auto"/>
        <w:ind w:firstLineChars="200" w:firstLine="420"/>
        <w:rPr>
          <w:rFonts w:cs="宋体"/>
        </w:rPr>
      </w:pPr>
      <w:r>
        <w:rPr>
          <w:rFonts w:cs="宋体" w:hint="eastAsia"/>
        </w:rPr>
        <w:t>3</w:t>
      </w:r>
      <w:r>
        <w:rPr>
          <w:rFonts w:cs="宋体" w:hint="eastAsia"/>
        </w:rPr>
        <w:t>、基金相对业绩比较基准的超额收益率计算</w:t>
      </w:r>
    </w:p>
    <w:p w14:paraId="075D237E" w14:textId="77777777" w:rsidR="00AE3DA6" w:rsidRDefault="00795E23">
      <w:pPr>
        <w:snapToGrid w:val="0"/>
        <w:spacing w:line="360" w:lineRule="auto"/>
        <w:ind w:firstLineChars="200" w:firstLine="420"/>
        <w:rPr>
          <w:rFonts w:cs="宋体"/>
        </w:rPr>
      </w:pPr>
      <w:r>
        <w:rPr>
          <w:rFonts w:cs="宋体" w:hint="eastAsia"/>
        </w:rPr>
        <w:t>在收益评价日，基金管理人计算基金累计报酬率、业绩比较基准同期累计报酬率。</w:t>
      </w:r>
    </w:p>
    <w:p w14:paraId="1B275BD6" w14:textId="77777777" w:rsidR="00AE3DA6" w:rsidRDefault="00795E23">
      <w:pPr>
        <w:snapToGrid w:val="0"/>
        <w:spacing w:line="360" w:lineRule="auto"/>
        <w:ind w:firstLineChars="200" w:firstLine="420"/>
        <w:rPr>
          <w:rFonts w:cs="宋体"/>
        </w:rPr>
      </w:pPr>
      <w:r>
        <w:rPr>
          <w:rFonts w:cs="宋体" w:hint="eastAsia"/>
        </w:rPr>
        <w:t>基金收益评价日本基金相对业绩比较基准的超额收益率＝基金累计报酬率</w:t>
      </w:r>
      <w:r>
        <w:rPr>
          <w:rFonts w:cs="宋体" w:hint="eastAsia"/>
        </w:rPr>
        <w:t>-</w:t>
      </w:r>
      <w:r>
        <w:rPr>
          <w:rFonts w:cs="宋体" w:hint="eastAsia"/>
        </w:rPr>
        <w:t>业绩比较基准同期累计报酬率</w:t>
      </w:r>
    </w:p>
    <w:p w14:paraId="4FFAEA05" w14:textId="77777777" w:rsidR="00AE3DA6" w:rsidRDefault="00795E23">
      <w:pPr>
        <w:snapToGrid w:val="0"/>
        <w:spacing w:line="360" w:lineRule="auto"/>
        <w:ind w:firstLineChars="200" w:firstLine="420"/>
        <w:rPr>
          <w:rFonts w:cs="宋体"/>
        </w:rPr>
      </w:pPr>
      <w:r>
        <w:rPr>
          <w:rFonts w:cs="宋体" w:hint="eastAsia"/>
        </w:rPr>
        <w:t>基金累计报酬率</w:t>
      </w:r>
      <w:r>
        <w:rPr>
          <w:rFonts w:cs="宋体" w:hint="eastAsia"/>
        </w:rPr>
        <w:t>=</w:t>
      </w:r>
      <w:r>
        <w:rPr>
          <w:rFonts w:cs="宋体" w:hint="eastAsia"/>
        </w:rPr>
        <w:t>收益评价日基金份额净值</w:t>
      </w:r>
      <w:r>
        <w:rPr>
          <w:rFonts w:cs="宋体" w:hint="eastAsia"/>
        </w:rPr>
        <w:t>/</w:t>
      </w:r>
      <w:r>
        <w:rPr>
          <w:rFonts w:cs="宋体" w:hint="eastAsia"/>
        </w:rPr>
        <w:t>基金合同生效日所对应的</w:t>
      </w:r>
      <w:r>
        <w:rPr>
          <w:rFonts w:cs="宋体" w:hint="eastAsia"/>
        </w:rPr>
        <w:t>3</w:t>
      </w:r>
      <w:r>
        <w:rPr>
          <w:rFonts w:cs="宋体" w:hint="eastAsia"/>
        </w:rPr>
        <w:t>个月月度对日的前一工作日基金份额净值</w:t>
      </w:r>
      <w:r>
        <w:rPr>
          <w:rFonts w:cs="宋体" w:hint="eastAsia"/>
        </w:rPr>
        <w:t>-100%</w:t>
      </w:r>
    </w:p>
    <w:p w14:paraId="67F0B461" w14:textId="77777777" w:rsidR="00AE3DA6" w:rsidRDefault="00795E23">
      <w:pPr>
        <w:snapToGrid w:val="0"/>
        <w:spacing w:line="360" w:lineRule="auto"/>
        <w:ind w:firstLineChars="200" w:firstLine="420"/>
        <w:rPr>
          <w:rFonts w:cs="宋体"/>
        </w:rPr>
      </w:pPr>
      <w:r>
        <w:rPr>
          <w:rFonts w:cs="宋体" w:hint="eastAsia"/>
        </w:rPr>
        <w:t>业绩比较基准同期累计报酬率</w:t>
      </w:r>
      <w:r>
        <w:rPr>
          <w:rFonts w:cs="宋体" w:hint="eastAsia"/>
        </w:rPr>
        <w:t>=</w:t>
      </w:r>
      <w:r>
        <w:rPr>
          <w:rFonts w:cs="宋体" w:hint="eastAsia"/>
        </w:rPr>
        <w:t>收益评价日业绩比较基准数值</w:t>
      </w:r>
      <w:r>
        <w:rPr>
          <w:rFonts w:cs="宋体" w:hint="eastAsia"/>
        </w:rPr>
        <w:t>/</w:t>
      </w:r>
      <w:r>
        <w:rPr>
          <w:rFonts w:cs="宋体" w:hint="eastAsia"/>
        </w:rPr>
        <w:t>基金合同生效日所对应的</w:t>
      </w:r>
      <w:r>
        <w:rPr>
          <w:rFonts w:cs="宋体" w:hint="eastAsia"/>
        </w:rPr>
        <w:t>3</w:t>
      </w:r>
      <w:r>
        <w:rPr>
          <w:rFonts w:cs="宋体" w:hint="eastAsia"/>
        </w:rPr>
        <w:t>个月月度对日的前一工作日业绩比较基准数值</w:t>
      </w:r>
      <w:r>
        <w:rPr>
          <w:rFonts w:cs="宋体" w:hint="eastAsia"/>
        </w:rPr>
        <w:t>-100%</w:t>
      </w:r>
    </w:p>
    <w:p w14:paraId="1844E307" w14:textId="77777777" w:rsidR="00AE3DA6" w:rsidRDefault="00795E23">
      <w:pPr>
        <w:snapToGrid w:val="0"/>
        <w:spacing w:line="360" w:lineRule="auto"/>
        <w:ind w:firstLineChars="200" w:firstLine="420"/>
        <w:rPr>
          <w:rFonts w:cs="宋体"/>
        </w:rPr>
      </w:pPr>
      <w:r>
        <w:rPr>
          <w:rFonts w:cs="宋体" w:hint="eastAsia"/>
        </w:rPr>
        <w:t>月度对日指某一特定日期在后续日历月度中的对应日期，若该日历月度中不存在对应日期，则取该月最后一日。</w:t>
      </w:r>
    </w:p>
    <w:p w14:paraId="25C64BB3" w14:textId="77777777" w:rsidR="00AE3DA6" w:rsidRDefault="00795E23">
      <w:pPr>
        <w:snapToGrid w:val="0"/>
        <w:spacing w:line="360" w:lineRule="auto"/>
        <w:ind w:firstLineChars="200" w:firstLine="420"/>
        <w:rPr>
          <w:rFonts w:cs="宋体"/>
        </w:rPr>
      </w:pPr>
      <w:r>
        <w:rPr>
          <w:rFonts w:cs="宋体" w:hint="eastAsia"/>
        </w:rPr>
        <w:t>如基金份额发生折算，则采用剔除折算因素的基金份额净值，详见届时基金管理人发布的相关公告。</w:t>
      </w:r>
    </w:p>
    <w:p w14:paraId="1B7917D7" w14:textId="25343A46" w:rsidR="00663A03" w:rsidRPr="00663A03" w:rsidRDefault="00663A03" w:rsidP="00663A03">
      <w:pPr>
        <w:snapToGrid w:val="0"/>
        <w:spacing w:line="360" w:lineRule="auto"/>
        <w:ind w:firstLineChars="200" w:firstLine="420"/>
        <w:rPr>
          <w:rFonts w:cs="宋体"/>
        </w:rPr>
      </w:pPr>
      <w:r>
        <w:rPr>
          <w:rFonts w:cs="宋体" w:hint="eastAsia"/>
        </w:rPr>
        <w:t>五</w:t>
      </w:r>
      <w:r w:rsidRPr="00663A03">
        <w:rPr>
          <w:rFonts w:cs="宋体" w:hint="eastAsia"/>
        </w:rPr>
        <w:t>、收益分配方案</w:t>
      </w:r>
    </w:p>
    <w:p w14:paraId="0F945220" w14:textId="77777777" w:rsidR="00663A03" w:rsidRPr="00663A03" w:rsidRDefault="00663A03" w:rsidP="00663A03">
      <w:pPr>
        <w:snapToGrid w:val="0"/>
        <w:spacing w:line="360" w:lineRule="auto"/>
        <w:ind w:firstLineChars="200" w:firstLine="420"/>
        <w:rPr>
          <w:rFonts w:cs="宋体"/>
        </w:rPr>
      </w:pPr>
      <w:r w:rsidRPr="00663A03">
        <w:rPr>
          <w:rFonts w:cs="宋体" w:hint="eastAsia"/>
        </w:rPr>
        <w:t>基金收益分配方案中应载明截止收益分配基准日的可供分配利润、基金收益分配对象、分配时间、分配数额及比例、分配方式等内容。</w:t>
      </w:r>
    </w:p>
    <w:p w14:paraId="481F3FE2" w14:textId="031A71D3" w:rsidR="00663A03" w:rsidRPr="00663A03" w:rsidRDefault="00663A03" w:rsidP="00663A03">
      <w:pPr>
        <w:snapToGrid w:val="0"/>
        <w:spacing w:line="360" w:lineRule="auto"/>
        <w:ind w:firstLineChars="200" w:firstLine="420"/>
        <w:rPr>
          <w:rFonts w:cs="宋体"/>
        </w:rPr>
      </w:pPr>
      <w:r>
        <w:rPr>
          <w:rFonts w:cs="宋体" w:hint="eastAsia"/>
        </w:rPr>
        <w:t>六</w:t>
      </w:r>
      <w:r w:rsidRPr="00663A03">
        <w:rPr>
          <w:rFonts w:cs="宋体" w:hint="eastAsia"/>
        </w:rPr>
        <w:t>、收益分配方案的确定、公告与实施</w:t>
      </w:r>
    </w:p>
    <w:p w14:paraId="71E2AC06" w14:textId="77777777" w:rsidR="00663A03" w:rsidRPr="00663A03" w:rsidRDefault="00663A03" w:rsidP="00663A03">
      <w:pPr>
        <w:snapToGrid w:val="0"/>
        <w:spacing w:line="360" w:lineRule="auto"/>
        <w:ind w:firstLineChars="200" w:firstLine="420"/>
        <w:rPr>
          <w:rFonts w:cs="宋体"/>
        </w:rPr>
      </w:pPr>
      <w:r w:rsidRPr="00663A03">
        <w:rPr>
          <w:rFonts w:cs="宋体" w:hint="eastAsia"/>
        </w:rPr>
        <w:t>本基金收益分配方案由基金管理人拟定，并由基金托管人复核，在</w:t>
      </w:r>
      <w:r w:rsidRPr="00663A03">
        <w:rPr>
          <w:rFonts w:cs="宋体" w:hint="eastAsia"/>
        </w:rPr>
        <w:t>2</w:t>
      </w:r>
      <w:r w:rsidRPr="00663A03">
        <w:rPr>
          <w:rFonts w:cs="宋体" w:hint="eastAsia"/>
        </w:rPr>
        <w:t>日内在规定媒介公告。</w:t>
      </w:r>
    </w:p>
    <w:p w14:paraId="1FEE43BD" w14:textId="73A55AAA" w:rsidR="00663A03" w:rsidRPr="00663A03" w:rsidRDefault="00663A03" w:rsidP="00663A03">
      <w:pPr>
        <w:snapToGrid w:val="0"/>
        <w:spacing w:line="360" w:lineRule="auto"/>
        <w:ind w:firstLineChars="200" w:firstLine="420"/>
        <w:rPr>
          <w:rFonts w:cs="宋体"/>
        </w:rPr>
      </w:pPr>
      <w:r>
        <w:rPr>
          <w:rFonts w:cs="宋体" w:hint="eastAsia"/>
        </w:rPr>
        <w:t>七</w:t>
      </w:r>
      <w:r w:rsidRPr="00663A03">
        <w:rPr>
          <w:rFonts w:cs="宋体" w:hint="eastAsia"/>
        </w:rPr>
        <w:t>、基金收益分配中发生的费用</w:t>
      </w:r>
    </w:p>
    <w:p w14:paraId="110ACF8D" w14:textId="12A97052" w:rsidR="00AE3DA6" w:rsidRDefault="00663A03" w:rsidP="00663A03">
      <w:pPr>
        <w:snapToGrid w:val="0"/>
        <w:spacing w:line="360" w:lineRule="auto"/>
        <w:ind w:firstLineChars="200" w:firstLine="420"/>
        <w:rPr>
          <w:rFonts w:cs="宋体"/>
        </w:rPr>
      </w:pPr>
      <w:r w:rsidRPr="00663A03">
        <w:rPr>
          <w:rFonts w:cs="宋体"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登记机构相关业务规则执行</w:t>
      </w:r>
      <w:r w:rsidR="00795E23">
        <w:rPr>
          <w:rFonts w:cs="宋体" w:hint="eastAsia"/>
        </w:rPr>
        <w:t>。</w:t>
      </w:r>
    </w:p>
    <w:p w14:paraId="66C91209" w14:textId="77777777" w:rsidR="00AE3DA6" w:rsidRDefault="00795E23">
      <w:pPr>
        <w:snapToGrid w:val="0"/>
        <w:spacing w:line="360" w:lineRule="auto"/>
        <w:ind w:firstLineChars="200" w:firstLine="420"/>
        <w:rPr>
          <w:rFonts w:cs="宋体"/>
        </w:rPr>
      </w:pPr>
      <w:r>
        <w:rPr>
          <w:rFonts w:cs="宋体" w:hint="eastAsia"/>
        </w:rPr>
        <w:t>八、实施侧袋机制期间的收益分配</w:t>
      </w:r>
    </w:p>
    <w:p w14:paraId="4AC5DDDA" w14:textId="77777777" w:rsidR="00AE3DA6" w:rsidRDefault="00795E23">
      <w:pPr>
        <w:snapToGrid w:val="0"/>
        <w:spacing w:line="360" w:lineRule="auto"/>
        <w:ind w:firstLineChars="200" w:firstLine="420"/>
        <w:rPr>
          <w:rFonts w:cs="宋体"/>
        </w:rPr>
      </w:pPr>
      <w:r>
        <w:rPr>
          <w:rFonts w:cs="宋体" w:hint="eastAsia"/>
        </w:rPr>
        <w:t>本基金实施侧袋机制的，侧袋账户不进行收益分配，详见招募说明书“侧袋机制”部分的规定。</w:t>
      </w:r>
    </w:p>
    <w:p w14:paraId="23DCD455" w14:textId="77777777" w:rsidR="00AE3DA6" w:rsidRDefault="00795E23">
      <w:pPr>
        <w:snapToGrid w:val="0"/>
        <w:spacing w:line="360" w:lineRule="auto"/>
        <w:ind w:firstLineChars="200" w:firstLine="420"/>
        <w:rPr>
          <w:rFonts w:ascii="宋体" w:cs="Times New Roman"/>
          <w:color w:val="000000"/>
        </w:rPr>
      </w:pPr>
      <w:r>
        <w:rPr>
          <w:rFonts w:ascii="宋体" w:cs="Times New Roman"/>
          <w:color w:val="000000"/>
        </w:rPr>
        <w:br w:type="page"/>
      </w:r>
    </w:p>
    <w:p w14:paraId="69CA7613"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126" w:name="_Toc360794107"/>
      <w:bookmarkStart w:id="127" w:name="_Toc362455190"/>
      <w:bookmarkStart w:id="128" w:name="_Toc360793857"/>
      <w:bookmarkStart w:id="129" w:name="_Toc362533462"/>
      <w:bookmarkStart w:id="130" w:name="_Toc360794523"/>
      <w:bookmarkStart w:id="131" w:name="_Toc360794415"/>
      <w:bookmarkStart w:id="132" w:name="_Toc360793505"/>
      <w:bookmarkStart w:id="133" w:name="_Toc48900080"/>
      <w:r>
        <w:rPr>
          <w:rFonts w:ascii="宋体" w:eastAsia="宋体" w:hAnsi="宋体" w:cs="宋体" w:hint="eastAsia"/>
        </w:rPr>
        <w:t>基金的费用与税收</w:t>
      </w:r>
      <w:bookmarkEnd w:id="126"/>
      <w:bookmarkEnd w:id="127"/>
      <w:bookmarkEnd w:id="128"/>
      <w:bookmarkEnd w:id="129"/>
      <w:bookmarkEnd w:id="130"/>
      <w:bookmarkEnd w:id="131"/>
      <w:bookmarkEnd w:id="132"/>
      <w:bookmarkEnd w:id="133"/>
    </w:p>
    <w:p w14:paraId="1720B5C2" w14:textId="77777777" w:rsidR="00AE3DA6" w:rsidRDefault="00AE3DA6">
      <w:pPr>
        <w:snapToGrid w:val="0"/>
        <w:spacing w:line="360" w:lineRule="auto"/>
        <w:ind w:firstLineChars="200" w:firstLine="422"/>
        <w:rPr>
          <w:rFonts w:ascii="宋体" w:cs="Times New Roman"/>
          <w:b/>
          <w:bCs/>
          <w:color w:val="000000"/>
        </w:rPr>
      </w:pPr>
    </w:p>
    <w:p w14:paraId="1FE97E31"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一、基金费用的种类</w:t>
      </w:r>
    </w:p>
    <w:p w14:paraId="5B9AD89E"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1、基金管理人的管理费；</w:t>
      </w:r>
    </w:p>
    <w:p w14:paraId="5E7515CA"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2、基金托管人的托管费；</w:t>
      </w:r>
    </w:p>
    <w:p w14:paraId="4CD1D1E8"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3、从C类基金份额的基金财产中计提的销售服务费；</w:t>
      </w:r>
    </w:p>
    <w:p w14:paraId="286E7DDC"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4、《基金合同》生效后与基金相关的信息披露费用；</w:t>
      </w:r>
    </w:p>
    <w:p w14:paraId="31DF2CD3"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5、《基金合同》生效后与基金相关的会计师费、律师费、公证费、诉讼费和仲裁费；</w:t>
      </w:r>
    </w:p>
    <w:p w14:paraId="59C77491"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6、基金份额持有人大会费用；</w:t>
      </w:r>
    </w:p>
    <w:p w14:paraId="53CFB751"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7、基金的证券/期货/期权交易费用；</w:t>
      </w:r>
    </w:p>
    <w:p w14:paraId="62B873B1"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8、基金的银行汇划费用；</w:t>
      </w:r>
    </w:p>
    <w:p w14:paraId="593B4243"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9、基金相关账户的开户及维护费用；</w:t>
      </w:r>
    </w:p>
    <w:p w14:paraId="5169F2EF"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10、因参与融资及转融通证券出借业务而产生的各项合理费用；</w:t>
      </w:r>
    </w:p>
    <w:p w14:paraId="6899988F"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11、基金投资目标ETF的相关费用（包括但不限于目标ETF的交易费用、申赎费用等）；</w:t>
      </w:r>
    </w:p>
    <w:p w14:paraId="677E88B4"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12、因投资港股通股票而产生的各项合理费用；</w:t>
      </w:r>
    </w:p>
    <w:p w14:paraId="7C4F4AA9"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13、按照国家有关规定和《基金合同》约定，可以在基金财产中列支的其他费用。</w:t>
      </w:r>
    </w:p>
    <w:p w14:paraId="08F03D78"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二、基金费用计提方法、计提标准和支付方式</w:t>
      </w:r>
    </w:p>
    <w:p w14:paraId="0372D2AE"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 xml:space="preserve">1、基金管理人的管理费 </w:t>
      </w:r>
    </w:p>
    <w:p w14:paraId="67090585" w14:textId="33F09A53"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本基金基金财产中投资于目标ETF的部分不收取管理费。本基金的管理费按前一日基金资产净值扣除所持有目标ETF基金份额部分基金资产后的余额（若为负数，则取0）的</w:t>
      </w:r>
      <w:r w:rsidR="003360B2">
        <w:rPr>
          <w:rFonts w:ascii="宋体" w:hAnsi="宋体" w:hint="eastAsia"/>
          <w:bCs/>
        </w:rPr>
        <w:t>0.</w:t>
      </w:r>
      <w:r w:rsidR="003360B2">
        <w:rPr>
          <w:rFonts w:ascii="宋体" w:hAnsi="宋体"/>
          <w:bCs/>
        </w:rPr>
        <w:t>15</w:t>
      </w:r>
      <w:r w:rsidRPr="00663A03">
        <w:rPr>
          <w:rFonts w:ascii="宋体" w:hAnsi="宋体" w:hint="eastAsia"/>
          <w:bCs/>
        </w:rPr>
        <w:t>%年费率计提。管理费的计算方法如下：</w:t>
      </w:r>
    </w:p>
    <w:p w14:paraId="6025B4E1" w14:textId="2123580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H＝E×0.</w:t>
      </w:r>
      <w:r w:rsidR="003360B2">
        <w:rPr>
          <w:rFonts w:ascii="宋体" w:hAnsi="宋体"/>
          <w:bCs/>
        </w:rPr>
        <w:t>15</w:t>
      </w:r>
      <w:r w:rsidRPr="00663A03">
        <w:rPr>
          <w:rFonts w:ascii="宋体" w:hAnsi="宋体" w:hint="eastAsia"/>
          <w:bCs/>
        </w:rPr>
        <w:t>%÷当年天数</w:t>
      </w:r>
    </w:p>
    <w:p w14:paraId="2198F55B"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H为每日应计提的基金管理费</w:t>
      </w:r>
    </w:p>
    <w:p w14:paraId="040960D4"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E为前一日的基金资产净值扣除前一日所持有目标ETF基金份额部分基金资产后的余额（若为负数，则E取0）</w:t>
      </w:r>
    </w:p>
    <w:p w14:paraId="76D46467"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基金管理费每日计提，逐日累计至每月月末，按月支付，经基金管理人与基金托管人双方核对无误后，基金托管人按照与基金管理人协商一致的方式于次月前5个工作日内从基金财产中一次性支付。若遇法定节假日、公休假或不可抗力等，支付日期顺延。</w:t>
      </w:r>
    </w:p>
    <w:p w14:paraId="4D1CB6E2"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2、基金托管人的托管费</w:t>
      </w:r>
    </w:p>
    <w:p w14:paraId="61A0D27E"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本基金基金财产中投资于目标ETF的部分不收取托管费。本基金的托管费按前一日基金资产净值扣除所持有目标ETF基金份额部分基金资产后的余额（若为负数，则取0）的0.05%的年费率计提。托管费的计算方法如下：</w:t>
      </w:r>
    </w:p>
    <w:p w14:paraId="71B8162B"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H＝E×0.05%÷当年天数</w:t>
      </w:r>
    </w:p>
    <w:p w14:paraId="3E376D20"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H为每日应计提的基金托管费</w:t>
      </w:r>
    </w:p>
    <w:p w14:paraId="6F62480D"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E为前一日的基金资产净值扣除前一日所持有目标ETF基金份额部分基金资产后的余额（若为负数，则E取0）</w:t>
      </w:r>
    </w:p>
    <w:p w14:paraId="28731C5A"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基金托管费每日计提，逐日累计至每月月末，按月支付，经基金管理人与基金托管人双方核对无误后，基金托管人按照与基金管理人协商一致的方式于次月前5个工作日内从基金财产中一次性支付。若遇法定节假日、公休假或不可抗力等，支付日期顺延。</w:t>
      </w:r>
    </w:p>
    <w:p w14:paraId="63136576"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3、从C类基金份额的基金财产中计提的销售服务费</w:t>
      </w:r>
    </w:p>
    <w:p w14:paraId="7A28459E"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本基金A类基金份额不收取销售服务费，C类基金份额的销售服务费年费率为0.20%。本基金销售服务费按前一日C类基金份额的基金资产净值的0.20%年费率计提。销售服务费的计算方法如下：</w:t>
      </w:r>
    </w:p>
    <w:p w14:paraId="7603B1DC"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H＝E×年销售服务费率÷当年天数</w:t>
      </w:r>
    </w:p>
    <w:p w14:paraId="06CB41AE"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H为C类基金份额每日应计提的基金销售服务费</w:t>
      </w:r>
    </w:p>
    <w:p w14:paraId="3EA37452"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E为C类基金份额前一日基金资产净值</w:t>
      </w:r>
    </w:p>
    <w:p w14:paraId="176339F0" w14:textId="6C67915B" w:rsidR="00E1640D" w:rsidRPr="00E1640D" w:rsidRDefault="00E1640D" w:rsidP="00E1640D">
      <w:pPr>
        <w:adjustRightInd w:val="0"/>
        <w:snapToGrid w:val="0"/>
        <w:spacing w:line="360" w:lineRule="auto"/>
        <w:ind w:firstLineChars="200" w:firstLine="420"/>
        <w:rPr>
          <w:rFonts w:ascii="宋体" w:hAnsi="宋体"/>
          <w:bCs/>
        </w:rPr>
      </w:pPr>
      <w:r w:rsidRPr="00E1640D">
        <w:rPr>
          <w:rFonts w:ascii="宋体" w:hAnsi="宋体" w:hint="eastAsia"/>
          <w:bCs/>
        </w:rPr>
        <w:t>C类基金份额的销售服务费</w:t>
      </w:r>
      <w:r w:rsidR="005F351B">
        <w:rPr>
          <w:rFonts w:ascii="宋体" w:hAnsi="宋体" w:hint="eastAsia"/>
          <w:bCs/>
        </w:rPr>
        <w:t>每日</w:t>
      </w:r>
      <w:r w:rsidRPr="00E1640D">
        <w:rPr>
          <w:rFonts w:ascii="宋体" w:hAnsi="宋体" w:hint="eastAsia"/>
          <w:bCs/>
        </w:rPr>
        <w:t>计提</w:t>
      </w:r>
      <w:r w:rsidR="005F351B">
        <w:rPr>
          <w:rFonts w:ascii="宋体" w:hAnsi="宋体" w:hint="eastAsia"/>
          <w:bCs/>
        </w:rPr>
        <w:t>，</w:t>
      </w:r>
      <w:r w:rsidRPr="00E1640D">
        <w:rPr>
          <w:rFonts w:ascii="宋体" w:hAnsi="宋体" w:hint="eastAsia"/>
          <w:bCs/>
        </w:rPr>
        <w:t>具体收取/返还方式</w:t>
      </w:r>
      <w:r w:rsidR="005F351B">
        <w:rPr>
          <w:rFonts w:ascii="宋体" w:hAnsi="宋体" w:hint="eastAsia"/>
          <w:bCs/>
        </w:rPr>
        <w:t>如下</w:t>
      </w:r>
      <w:r w:rsidRPr="00E1640D">
        <w:rPr>
          <w:rFonts w:ascii="宋体" w:hAnsi="宋体" w:hint="eastAsia"/>
          <w:bCs/>
        </w:rPr>
        <w:t>：</w:t>
      </w:r>
    </w:p>
    <w:p w14:paraId="54B26E6C" w14:textId="795E0F4B" w:rsidR="00E1640D" w:rsidRPr="00E1640D" w:rsidRDefault="00E1640D" w:rsidP="00E1640D">
      <w:pPr>
        <w:adjustRightInd w:val="0"/>
        <w:snapToGrid w:val="0"/>
        <w:spacing w:line="360" w:lineRule="auto"/>
        <w:ind w:firstLineChars="200" w:firstLine="420"/>
        <w:rPr>
          <w:rFonts w:ascii="宋体" w:hAnsi="宋体"/>
          <w:bCs/>
        </w:rPr>
      </w:pPr>
      <w:r w:rsidRPr="00E1640D">
        <w:rPr>
          <w:rFonts w:ascii="宋体" w:hAnsi="宋体" w:hint="eastAsia"/>
          <w:bCs/>
        </w:rPr>
        <w:t>（1）</w:t>
      </w:r>
      <w:r w:rsidR="005F351B">
        <w:rPr>
          <w:rFonts w:ascii="宋体" w:hAnsi="宋体" w:hint="eastAsia"/>
          <w:bCs/>
        </w:rPr>
        <w:t>通过</w:t>
      </w:r>
      <w:r w:rsidRPr="00E1640D">
        <w:rPr>
          <w:rFonts w:ascii="宋体" w:hAnsi="宋体" w:hint="eastAsia"/>
          <w:bCs/>
        </w:rPr>
        <w:t>直销机构</w:t>
      </w:r>
      <w:r w:rsidR="005F351B">
        <w:rPr>
          <w:rFonts w:ascii="宋体" w:hAnsi="宋体" w:hint="eastAsia"/>
          <w:bCs/>
        </w:rPr>
        <w:t>认购/申购的C类基金份额</w:t>
      </w:r>
    </w:p>
    <w:p w14:paraId="5C4314F3" w14:textId="77777777" w:rsidR="00E1640D" w:rsidRPr="00E1640D" w:rsidRDefault="00E1640D" w:rsidP="00E1640D">
      <w:pPr>
        <w:adjustRightInd w:val="0"/>
        <w:snapToGrid w:val="0"/>
        <w:spacing w:line="360" w:lineRule="auto"/>
        <w:ind w:firstLineChars="200" w:firstLine="420"/>
        <w:rPr>
          <w:rFonts w:ascii="宋体" w:hAnsi="宋体"/>
          <w:bCs/>
        </w:rPr>
      </w:pPr>
      <w:r w:rsidRPr="00E1640D">
        <w:rPr>
          <w:rFonts w:ascii="宋体" w:hAnsi="宋体" w:hint="eastAsia"/>
          <w:bCs/>
        </w:rPr>
        <w:t>对于C类基金份额计提的销售服务费，在投资人赎回相应基金份额或基金合同终止时随赎回款或清算款一并返还给投资人。</w:t>
      </w:r>
    </w:p>
    <w:p w14:paraId="1487A7D0" w14:textId="3F9B9B56" w:rsidR="00E1640D" w:rsidRPr="00E1640D" w:rsidRDefault="00E1640D" w:rsidP="00E1640D">
      <w:pPr>
        <w:adjustRightInd w:val="0"/>
        <w:snapToGrid w:val="0"/>
        <w:spacing w:line="360" w:lineRule="auto"/>
        <w:ind w:firstLineChars="200" w:firstLine="420"/>
        <w:rPr>
          <w:rFonts w:ascii="宋体" w:hAnsi="宋体"/>
          <w:bCs/>
        </w:rPr>
      </w:pPr>
      <w:r w:rsidRPr="00E1640D">
        <w:rPr>
          <w:rFonts w:ascii="宋体" w:hAnsi="宋体" w:hint="eastAsia"/>
          <w:bCs/>
        </w:rPr>
        <w:t>（2）</w:t>
      </w:r>
      <w:r w:rsidR="005F351B">
        <w:rPr>
          <w:rFonts w:ascii="宋体" w:hAnsi="宋体" w:hint="eastAsia"/>
          <w:bCs/>
        </w:rPr>
        <w:t>通过</w:t>
      </w:r>
      <w:r w:rsidRPr="00E1640D">
        <w:rPr>
          <w:rFonts w:ascii="宋体" w:hAnsi="宋体" w:hint="eastAsia"/>
          <w:bCs/>
        </w:rPr>
        <w:t>其他销售机构</w:t>
      </w:r>
      <w:r w:rsidR="005F351B">
        <w:rPr>
          <w:rFonts w:ascii="宋体" w:hAnsi="宋体" w:hint="eastAsia"/>
          <w:bCs/>
        </w:rPr>
        <w:t>认购/申购的C类基金份额</w:t>
      </w:r>
    </w:p>
    <w:p w14:paraId="333DA1DE" w14:textId="5C40331D" w:rsidR="00E1640D" w:rsidRPr="00E1640D" w:rsidRDefault="00E1640D" w:rsidP="00E1640D">
      <w:pPr>
        <w:adjustRightInd w:val="0"/>
        <w:snapToGrid w:val="0"/>
        <w:spacing w:line="360" w:lineRule="auto"/>
        <w:ind w:firstLineChars="200" w:firstLine="420"/>
        <w:rPr>
          <w:rFonts w:ascii="宋体" w:hAnsi="宋体"/>
          <w:bCs/>
        </w:rPr>
      </w:pPr>
      <w:r w:rsidRPr="00E1640D">
        <w:rPr>
          <w:rFonts w:ascii="宋体" w:hAnsi="宋体" w:hint="eastAsia"/>
          <w:bCs/>
        </w:rPr>
        <w:t>对于投资人持续持有期限未超过一年的C类基金份额收取的销售服务费每日</w:t>
      </w:r>
      <w:r w:rsidR="005F351B">
        <w:rPr>
          <w:rFonts w:ascii="宋体" w:hAnsi="宋体" w:hint="eastAsia"/>
          <w:bCs/>
        </w:rPr>
        <w:t>计提</w:t>
      </w:r>
      <w:r w:rsidRPr="00E1640D">
        <w:rPr>
          <w:rFonts w:ascii="宋体" w:hAnsi="宋体" w:hint="eastAsia"/>
          <w:bCs/>
        </w:rPr>
        <w:t>，逐日累计至每月月末，按月支付。由基金管理人与基金托管人核对一致后，由基金托管人于次月首日起第3个工作日内从基金财产中一次性支付给基金管理人并由基金管理人代付给各基金销售机构。若遇法定节假日、休息日或不可抗力致使无法按时支付的，支付日期顺延。</w:t>
      </w:r>
    </w:p>
    <w:p w14:paraId="5E778A2D" w14:textId="77777777" w:rsidR="00E1640D" w:rsidRPr="00E1640D" w:rsidRDefault="00E1640D" w:rsidP="00E1640D">
      <w:pPr>
        <w:adjustRightInd w:val="0"/>
        <w:snapToGrid w:val="0"/>
        <w:spacing w:line="360" w:lineRule="auto"/>
        <w:ind w:firstLineChars="200" w:firstLine="420"/>
        <w:rPr>
          <w:rFonts w:ascii="宋体" w:hAnsi="宋体"/>
          <w:bCs/>
        </w:rPr>
      </w:pPr>
      <w:r w:rsidRPr="00E1640D">
        <w:rPr>
          <w:rFonts w:ascii="宋体" w:hAnsi="宋体" w:hint="eastAsia"/>
          <w:bCs/>
        </w:rPr>
        <w:t>对于投资人持续持有期限超过一年的C类基金份额，继续计提的销售服务费将在投资人赎回相应基金份额或基金合同终止时随赎回款或清算款一并返还给投资人。</w:t>
      </w:r>
    </w:p>
    <w:p w14:paraId="1FB24BE7" w14:textId="37322844" w:rsidR="00663A03" w:rsidRPr="00663A03" w:rsidRDefault="00E1640D" w:rsidP="00E1640D">
      <w:pPr>
        <w:adjustRightInd w:val="0"/>
        <w:snapToGrid w:val="0"/>
        <w:spacing w:line="360" w:lineRule="auto"/>
        <w:ind w:firstLineChars="200" w:firstLine="420"/>
        <w:rPr>
          <w:rFonts w:ascii="宋体" w:hAnsi="宋体"/>
          <w:bCs/>
        </w:rPr>
      </w:pPr>
      <w:r w:rsidRPr="00E1640D">
        <w:rPr>
          <w:rFonts w:ascii="宋体" w:hAnsi="宋体" w:hint="eastAsia"/>
          <w:bCs/>
        </w:rPr>
        <w:t>销售服务费计提后按规定收取或返还投资者的金额以登记机构的计算结果为准</w:t>
      </w:r>
      <w:r w:rsidR="00663A03" w:rsidRPr="00663A03">
        <w:rPr>
          <w:rFonts w:ascii="宋体" w:hAnsi="宋体" w:hint="eastAsia"/>
          <w:bCs/>
        </w:rPr>
        <w:t>。</w:t>
      </w:r>
    </w:p>
    <w:p w14:paraId="161695CB"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上述“一、基金费用的种类”中第4-13项费用，根据有关法规及相应协议规定，按费用实际支出金额列入当期费用，由基金托管人从基金财产中支付。</w:t>
      </w:r>
    </w:p>
    <w:p w14:paraId="7B7D3B0C"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三、不列入基金费用的项目</w:t>
      </w:r>
    </w:p>
    <w:p w14:paraId="0E4F454E"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下列费用不列入基金费用：</w:t>
      </w:r>
    </w:p>
    <w:p w14:paraId="12228440"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1、基金管理人和基金托管人因未履行或未完全履行义务导致的费用支出或基金财产的损失；</w:t>
      </w:r>
    </w:p>
    <w:p w14:paraId="51384698"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2、基金管理人和基金托管人处理与基金运作无关的事项发生的费用；</w:t>
      </w:r>
    </w:p>
    <w:p w14:paraId="76F909A9"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3、《基金合同》生效前的相关费用；</w:t>
      </w:r>
    </w:p>
    <w:p w14:paraId="4AF48D6F"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4、标的指数许可使用费；</w:t>
      </w:r>
    </w:p>
    <w:p w14:paraId="22E2AAAD"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5、其他根据相关法律法规及中国证监会的有关规定不得列入基金费用的项目。</w:t>
      </w:r>
    </w:p>
    <w:p w14:paraId="6CBA7008" w14:textId="77777777" w:rsidR="00663A03" w:rsidRPr="00663A03"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四、基金税收</w:t>
      </w:r>
    </w:p>
    <w:p w14:paraId="758E4E0F" w14:textId="4768E428" w:rsidR="00AE3DA6" w:rsidRDefault="00663A03" w:rsidP="00663A03">
      <w:pPr>
        <w:adjustRightInd w:val="0"/>
        <w:snapToGrid w:val="0"/>
        <w:spacing w:line="360" w:lineRule="auto"/>
        <w:ind w:firstLineChars="200" w:firstLine="420"/>
        <w:rPr>
          <w:rFonts w:ascii="宋体" w:hAnsi="宋体"/>
          <w:bCs/>
        </w:rPr>
      </w:pPr>
      <w:r w:rsidRPr="00663A03">
        <w:rPr>
          <w:rFonts w:ascii="宋体" w:hAnsi="宋体" w:hint="eastAsia"/>
          <w:bCs/>
        </w:rPr>
        <w:t>本基金运作过程中涉及的各纳税主体，其纳税义务按国家税收法律、法规执行。基金财产投资的相关税收，由基金份额持有人承担，基金管理人或者其他扣缴义务人按照国家有关税收征收的规定代扣代缴</w:t>
      </w:r>
      <w:r w:rsidR="00795E23">
        <w:rPr>
          <w:rFonts w:ascii="宋体" w:hAnsi="宋体" w:hint="eastAsia"/>
          <w:bCs/>
        </w:rPr>
        <w:t>。</w:t>
      </w:r>
    </w:p>
    <w:p w14:paraId="6F558A09" w14:textId="77777777" w:rsidR="00AE3DA6" w:rsidRDefault="00795E23">
      <w:pPr>
        <w:adjustRightInd w:val="0"/>
        <w:snapToGrid w:val="0"/>
        <w:spacing w:line="360" w:lineRule="auto"/>
        <w:ind w:firstLineChars="200" w:firstLine="420"/>
        <w:rPr>
          <w:rFonts w:ascii="宋体" w:hAnsi="宋体"/>
          <w:bCs/>
        </w:rPr>
      </w:pPr>
      <w:r>
        <w:rPr>
          <w:rFonts w:ascii="宋体" w:hAnsi="宋体" w:hint="eastAsia"/>
          <w:bCs/>
        </w:rPr>
        <w:t>五、实施侧袋机制期间的基金费用</w:t>
      </w:r>
    </w:p>
    <w:p w14:paraId="3F9D6D63" w14:textId="77777777" w:rsidR="00AE3DA6" w:rsidRDefault="00795E23">
      <w:pPr>
        <w:snapToGrid w:val="0"/>
        <w:spacing w:line="360" w:lineRule="auto"/>
        <w:ind w:firstLineChars="200" w:firstLine="420"/>
        <w:rPr>
          <w:rFonts w:ascii="宋体" w:cs="Times New Roman"/>
          <w:b/>
          <w:bCs/>
          <w:color w:val="000000"/>
        </w:rPr>
      </w:pPr>
      <w:r>
        <w:rPr>
          <w:rFonts w:ascii="宋体" w:hAnsi="宋体" w:hint="eastAsia"/>
          <w:bCs/>
        </w:rPr>
        <w:t>本基金实施侧袋机制的，与侧袋账户有关的费用可以从侧袋账户中列支，但应待侧袋账户资产变现后方可列支，有关费用可酌情收取或减免，但不得收取管理费，详见招募说明书“侧袋机制”部分的规定。</w:t>
      </w:r>
      <w:bookmarkEnd w:id="72"/>
      <w:r>
        <w:rPr>
          <w:rFonts w:hAnsi="宋体"/>
          <w:bCs/>
        </w:rPr>
        <w:br w:type="page"/>
      </w:r>
    </w:p>
    <w:p w14:paraId="157A3B05"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134" w:name="_Toc362533463"/>
      <w:bookmarkStart w:id="135" w:name="_Toc360793858"/>
      <w:bookmarkStart w:id="136" w:name="_Toc360794108"/>
      <w:bookmarkStart w:id="137" w:name="_Toc360793506"/>
      <w:bookmarkStart w:id="138" w:name="_Toc362455191"/>
      <w:bookmarkStart w:id="139" w:name="_Toc360794416"/>
      <w:bookmarkStart w:id="140" w:name="_Toc360794524"/>
      <w:bookmarkStart w:id="141" w:name="_Toc48900081"/>
      <w:bookmarkStart w:id="142" w:name="_Hlk496537733"/>
      <w:r>
        <w:rPr>
          <w:rFonts w:ascii="宋体" w:eastAsia="宋体" w:hAnsi="宋体" w:cs="宋体" w:hint="eastAsia"/>
        </w:rPr>
        <w:t>基金的会计与审计</w:t>
      </w:r>
      <w:bookmarkEnd w:id="134"/>
      <w:bookmarkEnd w:id="135"/>
      <w:bookmarkEnd w:id="136"/>
      <w:bookmarkEnd w:id="137"/>
      <w:bookmarkEnd w:id="138"/>
      <w:bookmarkEnd w:id="139"/>
      <w:bookmarkEnd w:id="140"/>
      <w:bookmarkEnd w:id="141"/>
    </w:p>
    <w:p w14:paraId="0D36F04F" w14:textId="77777777" w:rsidR="00AE3DA6" w:rsidRDefault="00AE3DA6">
      <w:pPr>
        <w:snapToGrid w:val="0"/>
        <w:spacing w:line="360" w:lineRule="auto"/>
        <w:ind w:firstLineChars="200" w:firstLine="422"/>
        <w:rPr>
          <w:rFonts w:ascii="宋体" w:cs="Times New Roman"/>
          <w:b/>
          <w:bCs/>
          <w:color w:val="000000"/>
        </w:rPr>
      </w:pPr>
    </w:p>
    <w:p w14:paraId="38B11DA7"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一、基金会计政策</w:t>
      </w:r>
    </w:p>
    <w:p w14:paraId="7DCB6CCD"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1、基金管理人为本基金的基金会计责任方；</w:t>
      </w:r>
    </w:p>
    <w:p w14:paraId="0019EC36"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2、基金的会计年度为公历年度的1月1日至12月31日；基金首次募集的会计年度按如下原则：如果《基金合同》生效少于2个月，可以并入下一个会计年度披露；</w:t>
      </w:r>
    </w:p>
    <w:p w14:paraId="7D879148"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3、基金核算以人民币为记账本位币，以人民币元为记账单位；</w:t>
      </w:r>
    </w:p>
    <w:p w14:paraId="54DD63CD"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4、会计制度执行国家有关会计制度；</w:t>
      </w:r>
    </w:p>
    <w:p w14:paraId="4C4AA5A2"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5、本基金独立建账、独立核算；</w:t>
      </w:r>
    </w:p>
    <w:p w14:paraId="66C122D9"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6、基金管理人及基金托管人各自保留完整的会计账目、凭证并进行日常的会计核算，按照有关规定编制基金会计报表；</w:t>
      </w:r>
    </w:p>
    <w:p w14:paraId="1A62C75C"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7、基金托管人每月与基金管理人就基金的会计核算、报表编制等进行核对并以书面方式确认。</w:t>
      </w:r>
    </w:p>
    <w:p w14:paraId="5A86D6CF"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二、基金的年度审计</w:t>
      </w:r>
    </w:p>
    <w:p w14:paraId="01EB9A7F"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1、基金管理人聘请与基金管理人、基金托管人相互独立的符合《证券法》规定的会计师事务所及其注册会计师对本基金的年度财务报表进行审计。</w:t>
      </w:r>
    </w:p>
    <w:p w14:paraId="46929EB4"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2、会计师事务所更换经办注册会计师，应事先征得基金管理人同意。</w:t>
      </w:r>
    </w:p>
    <w:p w14:paraId="7901BCF3" w14:textId="01DF2B73" w:rsidR="00AE3DA6" w:rsidRDefault="00663A03" w:rsidP="00663A03">
      <w:pPr>
        <w:snapToGrid w:val="0"/>
        <w:spacing w:line="360" w:lineRule="auto"/>
        <w:ind w:firstLineChars="200" w:firstLine="420"/>
        <w:rPr>
          <w:rFonts w:ascii="宋体" w:cs="Times New Roman"/>
          <w:color w:val="000000"/>
        </w:rPr>
      </w:pPr>
      <w:r w:rsidRPr="00663A03">
        <w:rPr>
          <w:rFonts w:ascii="宋体" w:cs="Times New Roman" w:hint="eastAsia"/>
        </w:rPr>
        <w:t>3、基金管理人认为有充足理由更换会计师事务所，须通报基金托管人。更换会计师事务所需在2日内在规定媒介公告</w:t>
      </w:r>
      <w:r w:rsidR="00795E23">
        <w:rPr>
          <w:rFonts w:ascii="宋体" w:cs="Times New Roman" w:hint="eastAsia"/>
        </w:rPr>
        <w:t>。</w:t>
      </w:r>
    </w:p>
    <w:p w14:paraId="52BABC19" w14:textId="77777777" w:rsidR="00AE3DA6" w:rsidRDefault="00795E23">
      <w:pPr>
        <w:pStyle w:val="ab"/>
        <w:snapToGrid w:val="0"/>
        <w:spacing w:line="360" w:lineRule="auto"/>
        <w:ind w:firstLineChars="200"/>
        <w:rPr>
          <w:rFonts w:ascii="宋体"/>
          <w:color w:val="000000"/>
        </w:rPr>
      </w:pPr>
      <w:r>
        <w:rPr>
          <w:rFonts w:ascii="宋体"/>
          <w:color w:val="000000"/>
          <w:kern w:val="0"/>
        </w:rPr>
        <w:br w:type="page"/>
      </w:r>
    </w:p>
    <w:p w14:paraId="60CEF4CE"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143" w:name="_Toc360794525"/>
      <w:bookmarkStart w:id="144" w:name="_Toc48900082"/>
      <w:bookmarkStart w:id="145" w:name="_Toc360793859"/>
      <w:bookmarkStart w:id="146" w:name="_Toc360793507"/>
      <w:bookmarkStart w:id="147" w:name="_Toc362533464"/>
      <w:bookmarkStart w:id="148" w:name="_Toc360794109"/>
      <w:bookmarkStart w:id="149" w:name="_Toc360794417"/>
      <w:bookmarkStart w:id="150" w:name="_Toc362455192"/>
      <w:r>
        <w:rPr>
          <w:rFonts w:ascii="宋体" w:eastAsia="宋体" w:hAnsi="宋体" w:cs="宋体" w:hint="eastAsia"/>
        </w:rPr>
        <w:t>基金的信息披露</w:t>
      </w:r>
      <w:bookmarkEnd w:id="143"/>
      <w:bookmarkEnd w:id="144"/>
      <w:bookmarkEnd w:id="145"/>
      <w:bookmarkEnd w:id="146"/>
      <w:bookmarkEnd w:id="147"/>
      <w:bookmarkEnd w:id="148"/>
      <w:bookmarkEnd w:id="149"/>
      <w:bookmarkEnd w:id="150"/>
    </w:p>
    <w:p w14:paraId="7E9267FC" w14:textId="77777777" w:rsidR="00AE3DA6" w:rsidRDefault="00AE3DA6">
      <w:pPr>
        <w:snapToGrid w:val="0"/>
        <w:spacing w:line="360" w:lineRule="auto"/>
        <w:ind w:firstLineChars="200" w:firstLine="420"/>
        <w:rPr>
          <w:rFonts w:cs="Times New Roman"/>
        </w:rPr>
      </w:pPr>
    </w:p>
    <w:bookmarkEnd w:id="142"/>
    <w:p w14:paraId="56C67F45" w14:textId="77777777" w:rsidR="00AE3DA6" w:rsidRDefault="00795E23">
      <w:pPr>
        <w:snapToGrid w:val="0"/>
        <w:spacing w:line="360" w:lineRule="auto"/>
        <w:ind w:firstLineChars="200" w:firstLine="420"/>
        <w:rPr>
          <w:rFonts w:ascii="宋体" w:cs="Times New Roman"/>
        </w:rPr>
      </w:pPr>
      <w:r>
        <w:rPr>
          <w:rFonts w:ascii="宋体" w:cs="Times New Roman" w:hint="eastAsia"/>
        </w:rPr>
        <w:t>一、本基金的信息披露应符合《基金法》、《运作办法》、《信息披露办法》、《流动性风险管理规定》、《基金合同》及其他有关规定。相关法律法规关于信息披露的披露方式、披露内容、登载媒介、报备方式等规定发生变化时，本基金从其最新规定。</w:t>
      </w:r>
    </w:p>
    <w:p w14:paraId="180D6178" w14:textId="77777777" w:rsidR="00AE3DA6" w:rsidRDefault="00795E23">
      <w:pPr>
        <w:snapToGrid w:val="0"/>
        <w:spacing w:line="360" w:lineRule="auto"/>
        <w:ind w:firstLineChars="200" w:firstLine="420"/>
        <w:rPr>
          <w:rFonts w:ascii="宋体" w:cs="Times New Roman"/>
        </w:rPr>
      </w:pPr>
      <w:r>
        <w:rPr>
          <w:rFonts w:ascii="宋体" w:cs="Times New Roman" w:hint="eastAsia"/>
        </w:rPr>
        <w:t>二、信息披露义务人</w:t>
      </w:r>
    </w:p>
    <w:p w14:paraId="5461058B" w14:textId="77777777" w:rsidR="00AE3DA6" w:rsidRDefault="00795E23">
      <w:pPr>
        <w:snapToGrid w:val="0"/>
        <w:spacing w:line="360" w:lineRule="auto"/>
        <w:ind w:firstLineChars="200" w:firstLine="420"/>
        <w:rPr>
          <w:rFonts w:ascii="宋体" w:cs="Times New Roman"/>
        </w:rPr>
      </w:pPr>
      <w:r>
        <w:rPr>
          <w:rFonts w:ascii="宋体" w:cs="Times New Roman" w:hint="eastAsia"/>
        </w:rPr>
        <w:t>本基金信息披露义务人包括基金管理人、基金托管人、召集基金份额持有人大会的基金份额持有人等法律法规和中国证监会规定的自然人、法人和非法人组织。</w:t>
      </w:r>
    </w:p>
    <w:p w14:paraId="291E943E" w14:textId="77777777" w:rsidR="00AE3DA6" w:rsidRDefault="00795E23">
      <w:pPr>
        <w:snapToGrid w:val="0"/>
        <w:spacing w:line="360" w:lineRule="auto"/>
        <w:ind w:firstLineChars="200" w:firstLine="420"/>
        <w:rPr>
          <w:rFonts w:ascii="宋体" w:cs="Times New Roman"/>
        </w:rPr>
      </w:pPr>
      <w:r>
        <w:rPr>
          <w:rFonts w:ascii="宋体" w:cs="Times New Roman" w:hint="eastAsia"/>
        </w:rPr>
        <w:t>本基金信息披露义务人以保护基金份额持有人利益为根本出发点，按照法律法规和中国证监会的规定披露基金信息，并保证所披露信息的真实性、准确性、完整性、及时性、简明性和易得性。</w:t>
      </w:r>
    </w:p>
    <w:p w14:paraId="00B06CE5" w14:textId="77777777" w:rsidR="00AE3DA6" w:rsidRDefault="00795E23">
      <w:pPr>
        <w:snapToGrid w:val="0"/>
        <w:spacing w:line="360" w:lineRule="auto"/>
        <w:ind w:firstLineChars="200" w:firstLine="420"/>
        <w:rPr>
          <w:rFonts w:ascii="宋体" w:cs="Times New Roman"/>
        </w:rPr>
      </w:pPr>
      <w:r>
        <w:rPr>
          <w:rFonts w:ascii="宋体" w:cs="Times New Roman"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0B4E50DB" w14:textId="77777777" w:rsidR="00AE3DA6" w:rsidRDefault="00795E23">
      <w:pPr>
        <w:snapToGrid w:val="0"/>
        <w:spacing w:line="360" w:lineRule="auto"/>
        <w:ind w:firstLineChars="200" w:firstLine="420"/>
        <w:rPr>
          <w:rFonts w:ascii="宋体" w:cs="Times New Roman"/>
        </w:rPr>
      </w:pPr>
      <w:r>
        <w:rPr>
          <w:rFonts w:ascii="宋体" w:cs="Times New Roman" w:hint="eastAsia"/>
        </w:rPr>
        <w:t>三、本基金信息披露义务人承诺公开披露的基金信息，不得有下列行为：</w:t>
      </w:r>
    </w:p>
    <w:p w14:paraId="568095DC" w14:textId="77777777" w:rsidR="00AE3DA6" w:rsidRDefault="00795E23">
      <w:pPr>
        <w:snapToGrid w:val="0"/>
        <w:spacing w:line="360" w:lineRule="auto"/>
        <w:ind w:firstLineChars="200" w:firstLine="420"/>
        <w:rPr>
          <w:rFonts w:ascii="宋体" w:cs="Times New Roman"/>
        </w:rPr>
      </w:pPr>
      <w:r>
        <w:rPr>
          <w:rFonts w:ascii="宋体" w:cs="Times New Roman" w:hint="eastAsia"/>
        </w:rPr>
        <w:t>1、虚假记载、误导性陈述或者重大遗漏；</w:t>
      </w:r>
    </w:p>
    <w:p w14:paraId="1E01F606" w14:textId="77777777" w:rsidR="00AE3DA6" w:rsidRDefault="00795E23">
      <w:pPr>
        <w:snapToGrid w:val="0"/>
        <w:spacing w:line="360" w:lineRule="auto"/>
        <w:ind w:firstLineChars="200" w:firstLine="420"/>
        <w:rPr>
          <w:rFonts w:ascii="宋体" w:cs="Times New Roman"/>
        </w:rPr>
      </w:pPr>
      <w:r>
        <w:rPr>
          <w:rFonts w:ascii="宋体" w:cs="Times New Roman" w:hint="eastAsia"/>
        </w:rPr>
        <w:t>2、对证券投资业绩进行预测；</w:t>
      </w:r>
    </w:p>
    <w:p w14:paraId="4C47FEEC" w14:textId="77777777" w:rsidR="00AE3DA6" w:rsidRDefault="00795E23">
      <w:pPr>
        <w:snapToGrid w:val="0"/>
        <w:spacing w:line="360" w:lineRule="auto"/>
        <w:ind w:firstLineChars="200" w:firstLine="420"/>
        <w:rPr>
          <w:rFonts w:ascii="宋体" w:cs="Times New Roman"/>
        </w:rPr>
      </w:pPr>
      <w:r>
        <w:rPr>
          <w:rFonts w:ascii="宋体" w:cs="Times New Roman" w:hint="eastAsia"/>
        </w:rPr>
        <w:t>3、违规承诺收益或者承担损失；</w:t>
      </w:r>
    </w:p>
    <w:p w14:paraId="010B8D2A" w14:textId="77777777" w:rsidR="00AE3DA6" w:rsidRDefault="00795E23">
      <w:pPr>
        <w:snapToGrid w:val="0"/>
        <w:spacing w:line="360" w:lineRule="auto"/>
        <w:ind w:firstLineChars="200" w:firstLine="420"/>
        <w:rPr>
          <w:rFonts w:ascii="宋体" w:cs="Times New Roman"/>
        </w:rPr>
      </w:pPr>
      <w:r>
        <w:rPr>
          <w:rFonts w:ascii="宋体" w:cs="Times New Roman" w:hint="eastAsia"/>
        </w:rPr>
        <w:t>4、诋毁其他基金管理人、基金托管人或者基金销售机构；</w:t>
      </w:r>
    </w:p>
    <w:p w14:paraId="3333272D" w14:textId="77777777" w:rsidR="00AE3DA6" w:rsidRDefault="00795E23">
      <w:pPr>
        <w:snapToGrid w:val="0"/>
        <w:spacing w:line="360" w:lineRule="auto"/>
        <w:ind w:firstLineChars="200" w:firstLine="420"/>
        <w:rPr>
          <w:rFonts w:ascii="宋体" w:cs="Times New Roman"/>
        </w:rPr>
      </w:pPr>
      <w:r>
        <w:rPr>
          <w:rFonts w:ascii="宋体" w:cs="Times New Roman" w:hint="eastAsia"/>
        </w:rPr>
        <w:t>5、登载任何自然人、法人或者非法人组织的祝贺性、恭维性或推荐性的文字；</w:t>
      </w:r>
    </w:p>
    <w:p w14:paraId="67ABBD25" w14:textId="77777777" w:rsidR="00AE3DA6" w:rsidRDefault="00795E23">
      <w:pPr>
        <w:snapToGrid w:val="0"/>
        <w:spacing w:line="360" w:lineRule="auto"/>
        <w:ind w:firstLineChars="200" w:firstLine="420"/>
        <w:rPr>
          <w:rFonts w:ascii="宋体" w:cs="Times New Roman"/>
        </w:rPr>
      </w:pPr>
      <w:r>
        <w:rPr>
          <w:rFonts w:ascii="宋体" w:cs="Times New Roman" w:hint="eastAsia"/>
        </w:rPr>
        <w:t>6、中国证监会禁止的其他行为。</w:t>
      </w:r>
    </w:p>
    <w:p w14:paraId="42843192" w14:textId="77777777" w:rsidR="00AE3DA6" w:rsidRDefault="00795E23">
      <w:pPr>
        <w:snapToGrid w:val="0"/>
        <w:spacing w:line="360" w:lineRule="auto"/>
        <w:ind w:firstLineChars="200" w:firstLine="420"/>
        <w:rPr>
          <w:rFonts w:ascii="宋体" w:cs="Times New Roman"/>
        </w:rPr>
      </w:pPr>
      <w:r>
        <w:rPr>
          <w:rFonts w:ascii="宋体" w:cs="Times New Roman" w:hint="eastAsia"/>
        </w:rPr>
        <w:t>四、本基金公开披露的信息应采用中文文本。如同时采用外文文本的，基金信息披露义务人应保证不同文本的内容一致。不同文本发生歧义的，以中文文本为准。</w:t>
      </w:r>
    </w:p>
    <w:p w14:paraId="0153BDE9" w14:textId="77777777" w:rsidR="00AE3DA6" w:rsidRDefault="00795E23">
      <w:pPr>
        <w:snapToGrid w:val="0"/>
        <w:spacing w:line="360" w:lineRule="auto"/>
        <w:ind w:firstLineChars="200" w:firstLine="420"/>
        <w:rPr>
          <w:rFonts w:ascii="宋体" w:cs="Times New Roman"/>
        </w:rPr>
      </w:pPr>
      <w:r>
        <w:rPr>
          <w:rFonts w:ascii="宋体" w:cs="Times New Roman" w:hint="eastAsia"/>
        </w:rPr>
        <w:t>本基金公开披露的信息采用阿拉伯数字；除特别说明外，货币单位为人民币元。</w:t>
      </w:r>
    </w:p>
    <w:p w14:paraId="04A95283" w14:textId="77777777" w:rsidR="00AE3DA6" w:rsidRDefault="00795E23">
      <w:pPr>
        <w:snapToGrid w:val="0"/>
        <w:spacing w:line="360" w:lineRule="auto"/>
        <w:ind w:firstLineChars="200" w:firstLine="420"/>
        <w:rPr>
          <w:rFonts w:ascii="宋体" w:cs="Times New Roman"/>
        </w:rPr>
      </w:pPr>
      <w:r>
        <w:rPr>
          <w:rFonts w:ascii="宋体" w:cs="Times New Roman" w:hint="eastAsia"/>
        </w:rPr>
        <w:t>五、公开披露的基金信息</w:t>
      </w:r>
    </w:p>
    <w:p w14:paraId="6ECF2E46" w14:textId="77777777" w:rsidR="00AE3DA6" w:rsidRDefault="00795E23">
      <w:pPr>
        <w:snapToGrid w:val="0"/>
        <w:spacing w:line="360" w:lineRule="auto"/>
        <w:ind w:firstLineChars="200" w:firstLine="420"/>
        <w:rPr>
          <w:rFonts w:ascii="宋体" w:cs="Times New Roman"/>
        </w:rPr>
      </w:pPr>
      <w:r>
        <w:rPr>
          <w:rFonts w:ascii="宋体" w:cs="Times New Roman" w:hint="eastAsia"/>
        </w:rPr>
        <w:t>公开披露的基金信息包括：</w:t>
      </w:r>
    </w:p>
    <w:p w14:paraId="1D2F3218" w14:textId="77777777" w:rsidR="00AE3DA6" w:rsidRDefault="00795E23">
      <w:pPr>
        <w:snapToGrid w:val="0"/>
        <w:spacing w:line="360" w:lineRule="auto"/>
        <w:ind w:firstLineChars="200" w:firstLine="420"/>
        <w:rPr>
          <w:rFonts w:ascii="宋体" w:cs="Times New Roman"/>
        </w:rPr>
      </w:pPr>
      <w:r>
        <w:rPr>
          <w:rFonts w:ascii="宋体" w:cs="Times New Roman" w:hint="eastAsia"/>
        </w:rPr>
        <w:t>（一）基金招募说明书、《基金合同》、基金托管协议、基金产品资料概要</w:t>
      </w:r>
    </w:p>
    <w:p w14:paraId="36A18448" w14:textId="77777777" w:rsidR="00AE3DA6" w:rsidRDefault="00795E23">
      <w:pPr>
        <w:snapToGrid w:val="0"/>
        <w:spacing w:line="360" w:lineRule="auto"/>
        <w:ind w:firstLineChars="200" w:firstLine="420"/>
        <w:rPr>
          <w:rFonts w:ascii="宋体" w:cs="Times New Roman"/>
        </w:rPr>
      </w:pPr>
      <w:r>
        <w:rPr>
          <w:rFonts w:ascii="宋体" w:cs="Times New Roman" w:hint="eastAsia"/>
        </w:rPr>
        <w:t>1、《基金合同》是界定《基金合同》当事人的各项权利、义务关系，明确基金份额持有人大会召开的规则及具体程序，说明基金产品的特性等涉及基金投资者重大利益的事项的法律文件。</w:t>
      </w:r>
    </w:p>
    <w:p w14:paraId="6D5C9585" w14:textId="77777777" w:rsidR="00AE3DA6" w:rsidRDefault="00795E23">
      <w:pPr>
        <w:snapToGrid w:val="0"/>
        <w:spacing w:line="360" w:lineRule="auto"/>
        <w:ind w:firstLineChars="200" w:firstLine="420"/>
        <w:rPr>
          <w:rFonts w:ascii="宋体" w:cs="Times New Roman"/>
        </w:rPr>
      </w:pPr>
      <w:r>
        <w:rPr>
          <w:rFonts w:ascii="宋体" w:cs="Times New Roman" w:hint="eastAsia"/>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3E10794" w14:textId="77777777" w:rsidR="00AE3DA6" w:rsidRDefault="00795E23">
      <w:pPr>
        <w:snapToGrid w:val="0"/>
        <w:spacing w:line="360" w:lineRule="auto"/>
        <w:ind w:firstLineChars="200" w:firstLine="420"/>
        <w:rPr>
          <w:rFonts w:ascii="宋体" w:cs="Times New Roman"/>
        </w:rPr>
      </w:pPr>
      <w:r>
        <w:rPr>
          <w:rFonts w:ascii="宋体" w:cs="Times New Roman" w:hint="eastAsia"/>
        </w:rPr>
        <w:t>3、基金托管协议是界定基金托管人和基金管理人在基金财产保管及基金运作监督等活动中的权利、义务关系的法律文件。</w:t>
      </w:r>
    </w:p>
    <w:p w14:paraId="3AEC80C6" w14:textId="77777777" w:rsidR="00AE3DA6" w:rsidRDefault="00795E23">
      <w:pPr>
        <w:snapToGrid w:val="0"/>
        <w:spacing w:line="360" w:lineRule="auto"/>
        <w:ind w:firstLineChars="200" w:firstLine="420"/>
        <w:rPr>
          <w:rFonts w:ascii="宋体" w:cs="Times New Roman"/>
        </w:rPr>
      </w:pPr>
      <w:r>
        <w:rPr>
          <w:rFonts w:ascii="宋体" w:cs="Times New Roman"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产品资料概要的正文应当包括产品概况、基金投资与净值表现、投资本基金涉及的费用、风险揭示与重要提示等中国证监会规定的披露事项，相关内容不得与基金合同、招募说明书有实质性差异。基金管理人按照《信息披露办法》、《基金合同》及基金招募说明书规定的基金产品资料概要编制、披露与更新要求执行。基金终止运作的，基金管理人不再更新基金产品资料概要。</w:t>
      </w:r>
    </w:p>
    <w:p w14:paraId="1E14F4C3" w14:textId="77777777" w:rsidR="00AE3DA6" w:rsidRDefault="00795E23">
      <w:pPr>
        <w:snapToGrid w:val="0"/>
        <w:spacing w:line="360" w:lineRule="auto"/>
        <w:ind w:firstLineChars="200" w:firstLine="420"/>
        <w:rPr>
          <w:rFonts w:ascii="宋体" w:cs="Times New Roman"/>
        </w:rPr>
      </w:pPr>
      <w:r>
        <w:rPr>
          <w:rFonts w:ascii="宋体" w:cs="Times New Roman" w:hint="eastAsia"/>
        </w:rPr>
        <w:t>基金募集申请经中国证监会注册后，基金管理人在基金份额发售的3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24FEA599" w14:textId="77777777" w:rsidR="00AE3DA6" w:rsidRDefault="00795E23">
      <w:pPr>
        <w:snapToGrid w:val="0"/>
        <w:spacing w:line="360" w:lineRule="auto"/>
        <w:ind w:firstLineChars="200" w:firstLine="420"/>
        <w:rPr>
          <w:rFonts w:ascii="宋体" w:cs="Times New Roman"/>
        </w:rPr>
      </w:pPr>
      <w:r>
        <w:rPr>
          <w:rFonts w:ascii="宋体" w:cs="Times New Roman" w:hint="eastAsia"/>
        </w:rPr>
        <w:t>（二）基金份额发售公告</w:t>
      </w:r>
    </w:p>
    <w:p w14:paraId="5823A05E" w14:textId="77777777" w:rsidR="00AE3DA6" w:rsidRDefault="00795E23">
      <w:pPr>
        <w:snapToGrid w:val="0"/>
        <w:spacing w:line="360" w:lineRule="auto"/>
        <w:ind w:firstLineChars="200" w:firstLine="420"/>
        <w:rPr>
          <w:rFonts w:ascii="宋体" w:cs="Times New Roman"/>
        </w:rPr>
      </w:pPr>
      <w:r>
        <w:rPr>
          <w:rFonts w:ascii="宋体" w:cs="Times New Roman" w:hint="eastAsia"/>
        </w:rPr>
        <w:t>基金管理人应当就基金份额发售的具体事宜编制基金份额发售公告，并在披露招募说明书的当日登载于规定媒介上。</w:t>
      </w:r>
    </w:p>
    <w:p w14:paraId="69CC226B" w14:textId="77777777" w:rsidR="00AE3DA6" w:rsidRDefault="00795E23">
      <w:pPr>
        <w:snapToGrid w:val="0"/>
        <w:spacing w:line="360" w:lineRule="auto"/>
        <w:ind w:firstLineChars="200" w:firstLine="420"/>
        <w:rPr>
          <w:rFonts w:ascii="宋体" w:cs="Times New Roman"/>
        </w:rPr>
      </w:pPr>
      <w:r>
        <w:rPr>
          <w:rFonts w:ascii="宋体" w:cs="Times New Roman" w:hint="eastAsia"/>
        </w:rPr>
        <w:t>（三）《基金合同》生效公告</w:t>
      </w:r>
    </w:p>
    <w:p w14:paraId="57514EC4" w14:textId="77777777" w:rsidR="00AE3DA6" w:rsidRDefault="00795E23">
      <w:pPr>
        <w:snapToGrid w:val="0"/>
        <w:spacing w:line="360" w:lineRule="auto"/>
        <w:ind w:firstLineChars="200" w:firstLine="420"/>
        <w:rPr>
          <w:rFonts w:ascii="宋体" w:cs="Times New Roman"/>
        </w:rPr>
      </w:pPr>
      <w:r>
        <w:rPr>
          <w:rFonts w:ascii="宋体" w:cs="Times New Roman" w:hint="eastAsia"/>
        </w:rPr>
        <w:t>基金管理人应当在收到中国证监会确认文件的次日在规定媒介上登载《基金合同》生效公告。</w:t>
      </w:r>
    </w:p>
    <w:p w14:paraId="6547A49F" w14:textId="77777777" w:rsidR="00AE3DA6" w:rsidRDefault="00795E23">
      <w:pPr>
        <w:snapToGrid w:val="0"/>
        <w:spacing w:line="360" w:lineRule="auto"/>
        <w:ind w:firstLineChars="200" w:firstLine="420"/>
        <w:rPr>
          <w:rFonts w:ascii="宋体" w:cs="Times New Roman"/>
        </w:rPr>
      </w:pPr>
      <w:r>
        <w:rPr>
          <w:rFonts w:ascii="宋体" w:cs="Times New Roman" w:hint="eastAsia"/>
        </w:rPr>
        <w:t>基金合同生效公告中将说明基金募集情况及基金管理人、基金管理人高级管理人员、基金经理等人员以及基金管理人股东持有的基金份额、承诺持有的期限等情况。</w:t>
      </w:r>
    </w:p>
    <w:p w14:paraId="0883456D" w14:textId="77777777" w:rsidR="00AE3DA6" w:rsidRDefault="00795E23">
      <w:pPr>
        <w:snapToGrid w:val="0"/>
        <w:spacing w:line="360" w:lineRule="auto"/>
        <w:ind w:firstLineChars="200" w:firstLine="420"/>
        <w:rPr>
          <w:rFonts w:ascii="宋体" w:cs="Times New Roman"/>
        </w:rPr>
      </w:pPr>
      <w:r>
        <w:rPr>
          <w:rFonts w:ascii="宋体" w:cs="Times New Roman" w:hint="eastAsia"/>
        </w:rPr>
        <w:t>（四）基金净值信息</w:t>
      </w:r>
    </w:p>
    <w:p w14:paraId="2F0B1C06" w14:textId="77777777" w:rsidR="00AE3DA6" w:rsidRDefault="00795E23">
      <w:pPr>
        <w:snapToGrid w:val="0"/>
        <w:spacing w:line="360" w:lineRule="auto"/>
        <w:ind w:firstLineChars="200" w:firstLine="420"/>
        <w:rPr>
          <w:rFonts w:ascii="宋体" w:cs="Times New Roman"/>
        </w:rPr>
      </w:pPr>
      <w:r>
        <w:rPr>
          <w:rFonts w:ascii="宋体" w:cs="Times New Roman" w:hint="eastAsia"/>
        </w:rPr>
        <w:t>《基金合同》生效后，在开始办理基金份额申购或者赎回前，基金管理人应当至少每周在规定网站披露一次各类基金份额净值和基金份额累计净值。</w:t>
      </w:r>
    </w:p>
    <w:p w14:paraId="583ED936" w14:textId="77777777" w:rsidR="00AE3DA6" w:rsidRDefault="00795E23">
      <w:pPr>
        <w:snapToGrid w:val="0"/>
        <w:spacing w:line="360" w:lineRule="auto"/>
        <w:ind w:firstLineChars="200" w:firstLine="420"/>
        <w:rPr>
          <w:rFonts w:ascii="宋体" w:cs="Times New Roman"/>
        </w:rPr>
      </w:pPr>
      <w:r>
        <w:rPr>
          <w:rFonts w:ascii="宋体" w:cs="Times New Roman" w:hint="eastAsia"/>
        </w:rPr>
        <w:t>在开始办理基金份额申购或者赎回后，基金管理人应当在不晚于每个开放日的次日，通过规定网站、基金销售机构网站或者营业网点披露开放日的各类基金份额净值和基金份额累计净值。</w:t>
      </w:r>
    </w:p>
    <w:p w14:paraId="7E1FCDF2" w14:textId="77777777" w:rsidR="00AE3DA6" w:rsidRDefault="00795E23">
      <w:pPr>
        <w:snapToGrid w:val="0"/>
        <w:spacing w:line="360" w:lineRule="auto"/>
        <w:ind w:firstLineChars="200" w:firstLine="420"/>
        <w:rPr>
          <w:rFonts w:ascii="宋体" w:cs="Times New Roman"/>
        </w:rPr>
      </w:pPr>
      <w:r>
        <w:rPr>
          <w:rFonts w:ascii="宋体" w:cs="Times New Roman" w:hint="eastAsia"/>
        </w:rPr>
        <w:t>基金管理人应当在不晚于半年度和年度最后一日的次日，在规定网站披露半年度和年度最后一日的各类基金份额净值和基金份额累计净值。</w:t>
      </w:r>
    </w:p>
    <w:p w14:paraId="252CBB3F" w14:textId="77777777" w:rsidR="00AE3DA6" w:rsidRDefault="00795E23">
      <w:pPr>
        <w:snapToGrid w:val="0"/>
        <w:spacing w:line="360" w:lineRule="auto"/>
        <w:ind w:firstLineChars="200" w:firstLine="420"/>
        <w:rPr>
          <w:rFonts w:ascii="宋体" w:cs="Times New Roman"/>
        </w:rPr>
      </w:pPr>
      <w:r>
        <w:rPr>
          <w:rFonts w:ascii="宋体" w:cs="Times New Roman" w:hint="eastAsia"/>
        </w:rPr>
        <w:t>（五）基金份额申购、赎回价格</w:t>
      </w:r>
    </w:p>
    <w:p w14:paraId="40181CF4" w14:textId="77777777" w:rsidR="00AE3DA6" w:rsidRDefault="00795E23">
      <w:pPr>
        <w:snapToGrid w:val="0"/>
        <w:spacing w:line="360" w:lineRule="auto"/>
        <w:ind w:firstLineChars="200" w:firstLine="420"/>
        <w:rPr>
          <w:rFonts w:ascii="宋体" w:cs="Times New Roman"/>
        </w:rPr>
      </w:pPr>
      <w:r>
        <w:rPr>
          <w:rFonts w:ascii="宋体" w:cs="Times New Roman" w:hint="eastAsia"/>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781B97E6" w14:textId="77777777" w:rsidR="00AE3DA6" w:rsidRDefault="00795E23">
      <w:pPr>
        <w:snapToGrid w:val="0"/>
        <w:spacing w:line="360" w:lineRule="auto"/>
        <w:ind w:firstLineChars="200" w:firstLine="420"/>
        <w:rPr>
          <w:rFonts w:ascii="宋体" w:cs="Times New Roman"/>
        </w:rPr>
      </w:pPr>
      <w:r>
        <w:rPr>
          <w:rFonts w:ascii="宋体" w:cs="Times New Roman" w:hint="eastAsia"/>
        </w:rPr>
        <w:t>（六）基金定期报告，包括基金年度报告、基金中期报告和基金季度报告</w:t>
      </w:r>
    </w:p>
    <w:p w14:paraId="559F5BE6" w14:textId="77777777" w:rsidR="00AE3DA6" w:rsidRDefault="00795E23">
      <w:pPr>
        <w:snapToGrid w:val="0"/>
        <w:spacing w:line="360" w:lineRule="auto"/>
        <w:ind w:firstLineChars="200" w:firstLine="420"/>
        <w:rPr>
          <w:rFonts w:ascii="宋体" w:cs="Times New Roman"/>
        </w:rPr>
      </w:pPr>
      <w:r>
        <w:rPr>
          <w:rFonts w:ascii="宋体" w:cs="Times New Roman" w:hint="eastAsia"/>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5D955E72" w14:textId="77777777" w:rsidR="00AE3DA6" w:rsidRDefault="00795E23">
      <w:pPr>
        <w:snapToGrid w:val="0"/>
        <w:spacing w:line="360" w:lineRule="auto"/>
        <w:ind w:firstLineChars="200" w:firstLine="420"/>
        <w:rPr>
          <w:rFonts w:ascii="宋体" w:cs="Times New Roman"/>
        </w:rPr>
      </w:pPr>
      <w:r>
        <w:rPr>
          <w:rFonts w:ascii="宋体" w:cs="Times New Roman" w:hint="eastAsia"/>
        </w:rPr>
        <w:t>基金管理人应当在上半年结束之日起两个月内，编制完成基金中期报告，将中期报告登载在规定网站上，并将中期报告提示性公告登载在规定报刊上。</w:t>
      </w:r>
    </w:p>
    <w:p w14:paraId="465517BA" w14:textId="77777777" w:rsidR="00AE3DA6" w:rsidRDefault="00795E23">
      <w:pPr>
        <w:snapToGrid w:val="0"/>
        <w:spacing w:line="360" w:lineRule="auto"/>
        <w:ind w:firstLineChars="200" w:firstLine="420"/>
        <w:rPr>
          <w:rFonts w:ascii="宋体" w:cs="Times New Roman"/>
        </w:rPr>
      </w:pPr>
      <w:r>
        <w:rPr>
          <w:rFonts w:ascii="宋体" w:cs="Times New Roman" w:hint="eastAsia"/>
        </w:rPr>
        <w:t>基金管理人应当在季度结束之日起15个工作日内，编制完成基金季度报告，将季度报告登载在规定网站上，并将季度报告提示性公告登载在规定报刊上。</w:t>
      </w:r>
    </w:p>
    <w:p w14:paraId="497C0C04" w14:textId="77777777" w:rsidR="00AE3DA6" w:rsidRDefault="00795E23">
      <w:pPr>
        <w:snapToGrid w:val="0"/>
        <w:spacing w:line="360" w:lineRule="auto"/>
        <w:ind w:firstLineChars="200" w:firstLine="420"/>
        <w:rPr>
          <w:rFonts w:ascii="宋体" w:cs="Times New Roman"/>
        </w:rPr>
      </w:pPr>
      <w:r>
        <w:rPr>
          <w:rFonts w:ascii="宋体" w:cs="Times New Roman" w:hint="eastAsia"/>
        </w:rPr>
        <w:t>《基金合同》生效不足2个月的，基金管理人可以不编制当期季度报告、中期报告或者年度报告。</w:t>
      </w:r>
    </w:p>
    <w:p w14:paraId="36E5E04D" w14:textId="77777777" w:rsidR="00AE3DA6" w:rsidRDefault="00795E23">
      <w:pPr>
        <w:snapToGrid w:val="0"/>
        <w:spacing w:line="360" w:lineRule="auto"/>
        <w:ind w:firstLineChars="200" w:firstLine="420"/>
        <w:rPr>
          <w:rFonts w:ascii="宋体" w:cs="Times New Roman"/>
        </w:rPr>
      </w:pPr>
      <w:r>
        <w:rPr>
          <w:rFonts w:ascii="宋体" w:cs="Times New Roman" w:hint="eastAsia"/>
        </w:rPr>
        <w:t>基金管理人应在年度报告、中期报告、季度报告中分别披露基金管理人、基金管理人高级管理人员、基金经理等人员以及基金管理人股东持有基金的份额、期限及期间的变动情况。</w:t>
      </w:r>
    </w:p>
    <w:p w14:paraId="2BDAC490" w14:textId="77777777" w:rsidR="00AE3DA6" w:rsidRDefault="00795E23">
      <w:pPr>
        <w:snapToGrid w:val="0"/>
        <w:spacing w:line="360" w:lineRule="auto"/>
        <w:ind w:firstLineChars="200" w:firstLine="420"/>
        <w:rPr>
          <w:rFonts w:ascii="宋体" w:cs="Times New Roman"/>
        </w:rPr>
      </w:pPr>
      <w:r>
        <w:rPr>
          <w:rFonts w:ascii="宋体" w:cs="Times New Roman" w:hint="eastAsia"/>
        </w:rPr>
        <w:t>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02B392F2" w14:textId="77777777" w:rsidR="00AE3DA6" w:rsidRDefault="00795E23">
      <w:pPr>
        <w:snapToGrid w:val="0"/>
        <w:spacing w:line="360" w:lineRule="auto"/>
        <w:ind w:firstLineChars="200" w:firstLine="420"/>
        <w:rPr>
          <w:rFonts w:ascii="宋体" w:cs="Times New Roman"/>
        </w:rPr>
      </w:pPr>
      <w:r>
        <w:rPr>
          <w:rFonts w:ascii="宋体" w:cs="Times New Roman" w:hint="eastAsia"/>
        </w:rPr>
        <w:t>基金管理人应当在基金年度报告和中期报告中披露基金组合资产情况及其流动性风险分析等。</w:t>
      </w:r>
    </w:p>
    <w:p w14:paraId="3E18FE18" w14:textId="77777777" w:rsidR="00AE3DA6" w:rsidRDefault="00795E23">
      <w:pPr>
        <w:snapToGrid w:val="0"/>
        <w:spacing w:line="360" w:lineRule="auto"/>
        <w:ind w:firstLineChars="200" w:firstLine="420"/>
        <w:rPr>
          <w:rFonts w:ascii="宋体" w:cs="Times New Roman"/>
        </w:rPr>
      </w:pPr>
      <w:r>
        <w:rPr>
          <w:rFonts w:ascii="宋体" w:cs="Times New Roman" w:hint="eastAsia"/>
        </w:rPr>
        <w:t>（七）临时报告</w:t>
      </w:r>
    </w:p>
    <w:p w14:paraId="5FD8B0B1" w14:textId="77777777" w:rsidR="00AE3DA6" w:rsidRDefault="00795E23">
      <w:pPr>
        <w:snapToGrid w:val="0"/>
        <w:spacing w:line="360" w:lineRule="auto"/>
        <w:ind w:firstLineChars="200" w:firstLine="420"/>
        <w:rPr>
          <w:rFonts w:ascii="宋体" w:cs="Times New Roman"/>
        </w:rPr>
      </w:pPr>
      <w:r>
        <w:rPr>
          <w:rFonts w:ascii="宋体" w:cs="Times New Roman" w:hint="eastAsia"/>
        </w:rPr>
        <w:t>本基金发生重大事件，有关信息披露义务人应当在2日内编制临时报告书，并登载在规定报刊和规定网站上。</w:t>
      </w:r>
    </w:p>
    <w:p w14:paraId="16FF5C35" w14:textId="77777777" w:rsidR="00AE3DA6" w:rsidRDefault="00795E23">
      <w:pPr>
        <w:snapToGrid w:val="0"/>
        <w:spacing w:line="360" w:lineRule="auto"/>
        <w:ind w:firstLineChars="200" w:firstLine="420"/>
        <w:rPr>
          <w:rFonts w:ascii="宋体" w:cs="Times New Roman"/>
        </w:rPr>
      </w:pPr>
      <w:r>
        <w:rPr>
          <w:rFonts w:ascii="宋体" w:cs="Times New Roman" w:hint="eastAsia"/>
        </w:rPr>
        <w:t>前款所称重大事件，是指可能对基金份额持有人权益或者基金份额的价格产生重大影响的下列事件：</w:t>
      </w:r>
    </w:p>
    <w:p w14:paraId="5D8111ED" w14:textId="77777777" w:rsidR="00AE3DA6" w:rsidRDefault="00795E23">
      <w:pPr>
        <w:snapToGrid w:val="0"/>
        <w:spacing w:line="360" w:lineRule="auto"/>
        <w:ind w:firstLineChars="200" w:firstLine="420"/>
        <w:rPr>
          <w:rFonts w:ascii="宋体" w:cs="Times New Roman"/>
        </w:rPr>
      </w:pPr>
      <w:r>
        <w:rPr>
          <w:rFonts w:ascii="宋体" w:cs="Times New Roman" w:hint="eastAsia"/>
        </w:rPr>
        <w:t>1、基金份额持有人大会的召开及决定的事项；</w:t>
      </w:r>
    </w:p>
    <w:p w14:paraId="3B99A589" w14:textId="77777777" w:rsidR="00AE3DA6" w:rsidRDefault="00795E23">
      <w:pPr>
        <w:snapToGrid w:val="0"/>
        <w:spacing w:line="360" w:lineRule="auto"/>
        <w:ind w:firstLineChars="200" w:firstLine="420"/>
        <w:rPr>
          <w:rFonts w:ascii="宋体" w:cs="Times New Roman"/>
        </w:rPr>
      </w:pPr>
      <w:r>
        <w:rPr>
          <w:rFonts w:ascii="宋体" w:cs="Times New Roman" w:hint="eastAsia"/>
        </w:rPr>
        <w:t>2、《基金合同》终止、基金清算；</w:t>
      </w:r>
    </w:p>
    <w:p w14:paraId="10705CF4" w14:textId="77777777" w:rsidR="00AE3DA6" w:rsidRDefault="00795E23">
      <w:pPr>
        <w:snapToGrid w:val="0"/>
        <w:spacing w:line="360" w:lineRule="auto"/>
        <w:ind w:firstLineChars="200" w:firstLine="420"/>
        <w:rPr>
          <w:rFonts w:ascii="宋体" w:cs="Times New Roman"/>
        </w:rPr>
      </w:pPr>
      <w:r>
        <w:rPr>
          <w:rFonts w:ascii="宋体" w:cs="Times New Roman" w:hint="eastAsia"/>
        </w:rPr>
        <w:t>3、转换基金运作方式、基金合并；</w:t>
      </w:r>
    </w:p>
    <w:p w14:paraId="41AAAA7F" w14:textId="77777777" w:rsidR="00AE3DA6" w:rsidRDefault="00795E23">
      <w:pPr>
        <w:snapToGrid w:val="0"/>
        <w:spacing w:line="360" w:lineRule="auto"/>
        <w:ind w:firstLineChars="200" w:firstLine="420"/>
        <w:rPr>
          <w:rFonts w:ascii="宋体" w:cs="Times New Roman"/>
        </w:rPr>
      </w:pPr>
      <w:r>
        <w:rPr>
          <w:rFonts w:ascii="宋体" w:cs="Times New Roman" w:hint="eastAsia"/>
        </w:rPr>
        <w:t>4、更换基金管理人、基金托管人、基金份额登记机构，基金改聘会计师事务所；</w:t>
      </w:r>
    </w:p>
    <w:p w14:paraId="4B5BAA45" w14:textId="77777777" w:rsidR="00AE3DA6" w:rsidRDefault="00795E23">
      <w:pPr>
        <w:snapToGrid w:val="0"/>
        <w:spacing w:line="360" w:lineRule="auto"/>
        <w:ind w:firstLineChars="200" w:firstLine="420"/>
        <w:rPr>
          <w:rFonts w:ascii="宋体" w:cs="Times New Roman"/>
        </w:rPr>
      </w:pPr>
      <w:r>
        <w:rPr>
          <w:rFonts w:ascii="宋体" w:cs="Times New Roman" w:hint="eastAsia"/>
        </w:rPr>
        <w:t>5、基金管理人委托基金服务机构代为办理基金的份额登记、核算、估值等事项，基金托管人委托基金服务机构代为办理基金的核算、估值、复核等事项；</w:t>
      </w:r>
    </w:p>
    <w:p w14:paraId="169FF4A2" w14:textId="77777777" w:rsidR="00AE3DA6" w:rsidRDefault="00795E23">
      <w:pPr>
        <w:snapToGrid w:val="0"/>
        <w:spacing w:line="360" w:lineRule="auto"/>
        <w:ind w:firstLineChars="200" w:firstLine="420"/>
        <w:rPr>
          <w:rFonts w:ascii="宋体" w:cs="Times New Roman"/>
        </w:rPr>
      </w:pPr>
      <w:r>
        <w:rPr>
          <w:rFonts w:ascii="宋体" w:cs="Times New Roman" w:hint="eastAsia"/>
        </w:rPr>
        <w:t>6、基金管理人、基金托管人的法定名称、住所发生变更；</w:t>
      </w:r>
    </w:p>
    <w:p w14:paraId="11789CFB" w14:textId="77777777" w:rsidR="00AE3DA6" w:rsidRDefault="00795E23">
      <w:pPr>
        <w:snapToGrid w:val="0"/>
        <w:spacing w:line="360" w:lineRule="auto"/>
        <w:ind w:firstLineChars="200" w:firstLine="420"/>
        <w:rPr>
          <w:rFonts w:ascii="宋体" w:cs="Times New Roman"/>
        </w:rPr>
      </w:pPr>
      <w:r>
        <w:rPr>
          <w:rFonts w:ascii="宋体" w:cs="Times New Roman" w:hint="eastAsia"/>
        </w:rPr>
        <w:t>7、基金管理人变更持有百分之五以上股权的股东、基金管理人的实际控制人变更；</w:t>
      </w:r>
    </w:p>
    <w:p w14:paraId="5B2B1084" w14:textId="77777777" w:rsidR="00AE3DA6" w:rsidRDefault="00795E23">
      <w:pPr>
        <w:snapToGrid w:val="0"/>
        <w:spacing w:line="360" w:lineRule="auto"/>
        <w:ind w:firstLineChars="200" w:firstLine="420"/>
        <w:rPr>
          <w:rFonts w:ascii="宋体" w:cs="Times New Roman"/>
        </w:rPr>
      </w:pPr>
      <w:r>
        <w:rPr>
          <w:rFonts w:ascii="宋体" w:cs="Times New Roman" w:hint="eastAsia"/>
        </w:rPr>
        <w:t>8、基金募集期延长或提前结束募集；</w:t>
      </w:r>
    </w:p>
    <w:p w14:paraId="1E256ECC" w14:textId="77777777" w:rsidR="00AE3DA6" w:rsidRDefault="00795E23">
      <w:pPr>
        <w:snapToGrid w:val="0"/>
        <w:spacing w:line="360" w:lineRule="auto"/>
        <w:ind w:firstLineChars="200" w:firstLine="420"/>
        <w:rPr>
          <w:rFonts w:ascii="宋体" w:cs="Times New Roman"/>
        </w:rPr>
      </w:pPr>
      <w:r>
        <w:rPr>
          <w:rFonts w:ascii="宋体" w:cs="Times New Roman" w:hint="eastAsia"/>
        </w:rPr>
        <w:t>9、基金管理人的高级管理人员、基金经理和基金托管人专门基金托管部门负责人发生变动；</w:t>
      </w:r>
    </w:p>
    <w:p w14:paraId="1D184F98" w14:textId="77777777" w:rsidR="00AE3DA6" w:rsidRDefault="00795E23">
      <w:pPr>
        <w:snapToGrid w:val="0"/>
        <w:spacing w:line="360" w:lineRule="auto"/>
        <w:ind w:firstLineChars="200" w:firstLine="420"/>
        <w:rPr>
          <w:rFonts w:ascii="宋体" w:cs="Times New Roman"/>
        </w:rPr>
      </w:pPr>
      <w:r>
        <w:rPr>
          <w:rFonts w:ascii="宋体" w:cs="Times New Roman" w:hint="eastAsia"/>
        </w:rPr>
        <w:t>10、基金管理人的董事在最近12个月内变更超过百分之五十，基金管理人、基金托管人专门基金托管部门的主要业务人员在最近12个月内变动超过百分之三十；</w:t>
      </w:r>
    </w:p>
    <w:p w14:paraId="48B238A2" w14:textId="77777777" w:rsidR="00AE3DA6" w:rsidRDefault="00795E23">
      <w:pPr>
        <w:snapToGrid w:val="0"/>
        <w:spacing w:line="360" w:lineRule="auto"/>
        <w:ind w:firstLineChars="200" w:firstLine="420"/>
        <w:rPr>
          <w:rFonts w:ascii="宋体" w:cs="Times New Roman"/>
        </w:rPr>
      </w:pPr>
      <w:r>
        <w:rPr>
          <w:rFonts w:ascii="宋体" w:cs="Times New Roman" w:hint="eastAsia"/>
        </w:rPr>
        <w:t>11、涉及基金管理业务、基金财产、基金托管业务的诉讼或仲裁；</w:t>
      </w:r>
    </w:p>
    <w:p w14:paraId="78338474" w14:textId="77777777" w:rsidR="00AE3DA6" w:rsidRDefault="00795E23">
      <w:pPr>
        <w:snapToGrid w:val="0"/>
        <w:spacing w:line="360" w:lineRule="auto"/>
        <w:ind w:firstLineChars="200" w:firstLine="420"/>
        <w:rPr>
          <w:rFonts w:ascii="宋体" w:cs="Times New Roman"/>
        </w:rPr>
      </w:pPr>
      <w:r>
        <w:rPr>
          <w:rFonts w:ascii="宋体" w:cs="Times New Roman" w:hint="eastAsia"/>
        </w:rPr>
        <w:t>12、基金管理人或其高级管理人员、基金经理因基金管理业务相关行为受到重大行政处罚、刑事处罚；基金托管人或其专门基金托管部门负责人因基金托管业务相关行为受到重大行政处罚、刑事处罚；</w:t>
      </w:r>
    </w:p>
    <w:p w14:paraId="6B6D3BAB" w14:textId="77777777" w:rsidR="00AE3DA6" w:rsidRDefault="00795E23">
      <w:pPr>
        <w:snapToGrid w:val="0"/>
        <w:spacing w:line="360" w:lineRule="auto"/>
        <w:ind w:firstLineChars="200" w:firstLine="420"/>
        <w:rPr>
          <w:rFonts w:ascii="宋体" w:cs="Times New Roman"/>
        </w:rPr>
      </w:pPr>
      <w:r>
        <w:rPr>
          <w:rFonts w:ascii="宋体" w:cs="Times New Roman" w:hint="eastAsia"/>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896EDC1" w14:textId="77777777" w:rsidR="00AE3DA6" w:rsidRDefault="00795E23">
      <w:pPr>
        <w:snapToGrid w:val="0"/>
        <w:spacing w:line="360" w:lineRule="auto"/>
        <w:ind w:firstLineChars="200" w:firstLine="420"/>
        <w:rPr>
          <w:rFonts w:ascii="宋体" w:cs="Times New Roman"/>
        </w:rPr>
      </w:pPr>
      <w:r>
        <w:rPr>
          <w:rFonts w:ascii="宋体" w:cs="Times New Roman" w:hint="eastAsia"/>
        </w:rPr>
        <w:t>14、基金收益分配事项；</w:t>
      </w:r>
    </w:p>
    <w:p w14:paraId="312BEED7" w14:textId="77777777" w:rsidR="00AE3DA6" w:rsidRDefault="00795E23">
      <w:pPr>
        <w:snapToGrid w:val="0"/>
        <w:spacing w:line="360" w:lineRule="auto"/>
        <w:ind w:firstLineChars="200" w:firstLine="420"/>
        <w:rPr>
          <w:rFonts w:ascii="宋体" w:cs="Times New Roman"/>
        </w:rPr>
      </w:pPr>
      <w:r>
        <w:rPr>
          <w:rFonts w:ascii="宋体" w:cs="Times New Roman" w:hint="eastAsia"/>
        </w:rPr>
        <w:t>15、管理费、托管费、销售服务费、申购费、赎回费等费用计提标准、计提方式和费率发生变更；</w:t>
      </w:r>
    </w:p>
    <w:p w14:paraId="7D766CE4" w14:textId="77777777" w:rsidR="00AE3DA6" w:rsidRDefault="00795E23">
      <w:pPr>
        <w:snapToGrid w:val="0"/>
        <w:spacing w:line="360" w:lineRule="auto"/>
        <w:ind w:firstLineChars="200" w:firstLine="420"/>
        <w:rPr>
          <w:rFonts w:ascii="宋体" w:cs="Times New Roman"/>
        </w:rPr>
      </w:pPr>
      <w:r>
        <w:rPr>
          <w:rFonts w:ascii="宋体" w:cs="Times New Roman" w:hint="eastAsia"/>
        </w:rPr>
        <w:t>16、任一类基金份额净值计价错误达该类基金份额净值百分之零点五；</w:t>
      </w:r>
    </w:p>
    <w:p w14:paraId="433C6F46" w14:textId="77777777" w:rsidR="00AE3DA6" w:rsidRDefault="00795E23">
      <w:pPr>
        <w:snapToGrid w:val="0"/>
        <w:spacing w:line="360" w:lineRule="auto"/>
        <w:ind w:firstLineChars="200" w:firstLine="420"/>
        <w:rPr>
          <w:rFonts w:ascii="宋体" w:cs="Times New Roman"/>
        </w:rPr>
      </w:pPr>
      <w:r>
        <w:rPr>
          <w:rFonts w:ascii="宋体" w:cs="Times New Roman" w:hint="eastAsia"/>
        </w:rPr>
        <w:t>17、本基金开始办理申购、赎回；</w:t>
      </w:r>
    </w:p>
    <w:p w14:paraId="0085A16E" w14:textId="77777777" w:rsidR="00AE3DA6" w:rsidRDefault="00795E23">
      <w:pPr>
        <w:snapToGrid w:val="0"/>
        <w:spacing w:line="360" w:lineRule="auto"/>
        <w:ind w:firstLineChars="200" w:firstLine="420"/>
        <w:rPr>
          <w:rFonts w:ascii="宋体" w:cs="Times New Roman"/>
        </w:rPr>
      </w:pPr>
      <w:r>
        <w:rPr>
          <w:rFonts w:ascii="宋体" w:cs="Times New Roman" w:hint="eastAsia"/>
        </w:rPr>
        <w:t>18、本基金发生巨额赎回并延期办理；</w:t>
      </w:r>
    </w:p>
    <w:p w14:paraId="218EBA00" w14:textId="77777777" w:rsidR="00AE3DA6" w:rsidRDefault="00795E23">
      <w:pPr>
        <w:snapToGrid w:val="0"/>
        <w:spacing w:line="360" w:lineRule="auto"/>
        <w:ind w:firstLineChars="200" w:firstLine="420"/>
        <w:rPr>
          <w:rFonts w:ascii="宋体" w:cs="Times New Roman"/>
        </w:rPr>
      </w:pPr>
      <w:r>
        <w:rPr>
          <w:rFonts w:ascii="宋体" w:cs="Times New Roman" w:hint="eastAsia"/>
        </w:rPr>
        <w:t>19、本基金连续发生巨额赎回并暂停接受赎回申请或延缓支付赎回款项；</w:t>
      </w:r>
    </w:p>
    <w:p w14:paraId="7B825EF3" w14:textId="77777777" w:rsidR="00AE3DA6" w:rsidRDefault="00795E23">
      <w:pPr>
        <w:snapToGrid w:val="0"/>
        <w:spacing w:line="360" w:lineRule="auto"/>
        <w:ind w:firstLineChars="200" w:firstLine="420"/>
        <w:rPr>
          <w:rFonts w:ascii="宋体" w:cs="Times New Roman"/>
        </w:rPr>
      </w:pPr>
      <w:r>
        <w:rPr>
          <w:rFonts w:ascii="宋体" w:cs="Times New Roman" w:hint="eastAsia"/>
        </w:rPr>
        <w:t>20、本基金暂停接受申购、赎回申请或重新接受申购、赎回申请；</w:t>
      </w:r>
    </w:p>
    <w:p w14:paraId="53818A86" w14:textId="77777777" w:rsidR="00AE3DA6" w:rsidRDefault="00795E23">
      <w:pPr>
        <w:snapToGrid w:val="0"/>
        <w:spacing w:line="360" w:lineRule="auto"/>
        <w:ind w:firstLineChars="200" w:firstLine="420"/>
        <w:rPr>
          <w:rFonts w:ascii="宋体" w:cs="Times New Roman"/>
        </w:rPr>
      </w:pPr>
      <w:r>
        <w:rPr>
          <w:rFonts w:ascii="宋体" w:cs="Times New Roman" w:hint="eastAsia"/>
        </w:rPr>
        <w:t>21、目标ETF变更；</w:t>
      </w:r>
    </w:p>
    <w:p w14:paraId="2BAC0AAD" w14:textId="77777777" w:rsidR="00AE3DA6" w:rsidRDefault="00795E23">
      <w:pPr>
        <w:snapToGrid w:val="0"/>
        <w:spacing w:line="360" w:lineRule="auto"/>
        <w:ind w:firstLineChars="200" w:firstLine="420"/>
        <w:rPr>
          <w:rFonts w:ascii="宋体" w:cs="Times New Roman"/>
        </w:rPr>
      </w:pPr>
      <w:r>
        <w:rPr>
          <w:rFonts w:ascii="宋体" w:cs="Times New Roman" w:hint="eastAsia"/>
        </w:rPr>
        <w:t>22、发生涉及基金申购、赎回事项调整或潜在影响投资者赎回等重大事项时；</w:t>
      </w:r>
    </w:p>
    <w:p w14:paraId="02225A14" w14:textId="77777777" w:rsidR="00AE3DA6" w:rsidRDefault="00795E23">
      <w:pPr>
        <w:snapToGrid w:val="0"/>
        <w:spacing w:line="360" w:lineRule="auto"/>
        <w:ind w:firstLineChars="200" w:firstLine="420"/>
        <w:rPr>
          <w:rFonts w:ascii="宋体" w:cs="Times New Roman"/>
        </w:rPr>
      </w:pPr>
      <w:r>
        <w:rPr>
          <w:rFonts w:ascii="宋体" w:cs="Times New Roman" w:hint="eastAsia"/>
        </w:rPr>
        <w:t>23、基金管理人采用摆动定价机制进行估值；</w:t>
      </w:r>
    </w:p>
    <w:p w14:paraId="7AE672D3" w14:textId="77777777" w:rsidR="00AE3DA6" w:rsidRDefault="00795E23">
      <w:pPr>
        <w:snapToGrid w:val="0"/>
        <w:spacing w:line="360" w:lineRule="auto"/>
        <w:ind w:firstLineChars="200" w:firstLine="420"/>
        <w:rPr>
          <w:rFonts w:ascii="宋体" w:cs="Times New Roman"/>
        </w:rPr>
      </w:pPr>
      <w:r>
        <w:rPr>
          <w:rFonts w:ascii="宋体" w:cs="Times New Roman" w:hint="eastAsia"/>
        </w:rPr>
        <w:t>24、调整基金份额类别设置；</w:t>
      </w:r>
    </w:p>
    <w:p w14:paraId="4891C693" w14:textId="77777777" w:rsidR="00AE3DA6" w:rsidRDefault="00795E23">
      <w:pPr>
        <w:snapToGrid w:val="0"/>
        <w:spacing w:line="360" w:lineRule="auto"/>
        <w:ind w:firstLineChars="200" w:firstLine="420"/>
        <w:rPr>
          <w:rFonts w:ascii="宋体" w:cs="Times New Roman"/>
          <w:bCs/>
        </w:rPr>
      </w:pPr>
      <w:r>
        <w:rPr>
          <w:rFonts w:ascii="宋体" w:cs="Times New Roman" w:hint="eastAsia"/>
        </w:rPr>
        <w:t>25、</w:t>
      </w:r>
      <w:r>
        <w:rPr>
          <w:rFonts w:ascii="宋体" w:cs="Times New Roman"/>
          <w:bCs/>
        </w:rPr>
        <w:t>本基金变更标的指数；</w:t>
      </w:r>
    </w:p>
    <w:p w14:paraId="1B7BE1AD" w14:textId="77777777" w:rsidR="00AE3DA6" w:rsidRDefault="00795E23">
      <w:pPr>
        <w:snapToGrid w:val="0"/>
        <w:spacing w:line="360" w:lineRule="auto"/>
        <w:ind w:firstLineChars="200" w:firstLine="420"/>
        <w:rPr>
          <w:rFonts w:ascii="宋体" w:cs="Times New Roman"/>
        </w:rPr>
      </w:pPr>
      <w:r>
        <w:rPr>
          <w:rFonts w:ascii="宋体" w:cs="Times New Roman"/>
          <w:bCs/>
        </w:rPr>
        <w:t>26</w:t>
      </w:r>
      <w:r>
        <w:rPr>
          <w:rFonts w:ascii="宋体" w:cs="Times New Roman" w:hint="eastAsia"/>
          <w:bCs/>
        </w:rPr>
        <w:t>、</w:t>
      </w:r>
      <w:r>
        <w:rPr>
          <w:rFonts w:ascii="宋体" w:cs="Times New Roman" w:hint="eastAsia"/>
        </w:rPr>
        <w:t>基金信息披露义务人认为可能对基金份额持有人权益或者基金份额的价格产生重大影响的其他事项或中国证监会规定和基金合同约定的其他事项。</w:t>
      </w:r>
    </w:p>
    <w:p w14:paraId="7A8D6F61" w14:textId="77777777" w:rsidR="00AE3DA6" w:rsidRDefault="00795E23">
      <w:pPr>
        <w:snapToGrid w:val="0"/>
        <w:spacing w:line="360" w:lineRule="auto"/>
        <w:ind w:firstLineChars="200" w:firstLine="420"/>
        <w:rPr>
          <w:rFonts w:ascii="宋体" w:cs="Times New Roman"/>
        </w:rPr>
      </w:pPr>
      <w:r>
        <w:rPr>
          <w:rFonts w:ascii="宋体" w:cs="Times New Roman" w:hint="eastAsia"/>
        </w:rPr>
        <w:t>（八）澄清公告</w:t>
      </w:r>
    </w:p>
    <w:p w14:paraId="1EF6CBA9" w14:textId="77777777" w:rsidR="00AE3DA6" w:rsidRDefault="00795E23">
      <w:pPr>
        <w:snapToGrid w:val="0"/>
        <w:spacing w:line="360" w:lineRule="auto"/>
        <w:ind w:firstLineChars="200" w:firstLine="420"/>
        <w:rPr>
          <w:rFonts w:ascii="宋体" w:cs="Times New Roman"/>
        </w:rPr>
      </w:pPr>
      <w:r>
        <w:rPr>
          <w:rFonts w:ascii="宋体" w:cs="Times New Roman"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7CEFC9C3" w14:textId="77777777" w:rsidR="00AE3DA6" w:rsidRDefault="00795E23">
      <w:pPr>
        <w:snapToGrid w:val="0"/>
        <w:spacing w:line="360" w:lineRule="auto"/>
        <w:ind w:firstLineChars="200" w:firstLine="420"/>
        <w:rPr>
          <w:rFonts w:ascii="宋体" w:cs="Times New Roman"/>
        </w:rPr>
      </w:pPr>
      <w:r>
        <w:rPr>
          <w:rFonts w:ascii="宋体" w:cs="Times New Roman" w:hint="eastAsia"/>
        </w:rPr>
        <w:t>（九）基金份额持有人大会决议</w:t>
      </w:r>
    </w:p>
    <w:p w14:paraId="161C46F6" w14:textId="77777777" w:rsidR="00AE3DA6" w:rsidRDefault="00795E23">
      <w:pPr>
        <w:snapToGrid w:val="0"/>
        <w:spacing w:line="360" w:lineRule="auto"/>
        <w:ind w:firstLineChars="200" w:firstLine="420"/>
        <w:rPr>
          <w:rFonts w:ascii="宋体" w:cs="Times New Roman"/>
        </w:rPr>
      </w:pPr>
      <w:r>
        <w:rPr>
          <w:rFonts w:ascii="宋体" w:cs="Times New Roman" w:hint="eastAsia"/>
        </w:rPr>
        <w:t>基金份额持有人大会决定的事项，应当依法报中国证监会备案，并予以公告。</w:t>
      </w:r>
    </w:p>
    <w:p w14:paraId="55DB0E6D" w14:textId="77777777" w:rsidR="00AE3DA6" w:rsidRDefault="00795E23">
      <w:pPr>
        <w:snapToGrid w:val="0"/>
        <w:spacing w:line="360" w:lineRule="auto"/>
        <w:ind w:firstLineChars="200" w:firstLine="420"/>
        <w:rPr>
          <w:rFonts w:ascii="宋体" w:cs="Times New Roman"/>
        </w:rPr>
      </w:pPr>
      <w:r>
        <w:rPr>
          <w:rFonts w:ascii="宋体" w:cs="Times New Roman" w:hint="eastAsia"/>
        </w:rPr>
        <w:t>（十）基金投资股指期货的信息披露</w:t>
      </w:r>
    </w:p>
    <w:p w14:paraId="4FC55B3D" w14:textId="77777777" w:rsidR="00AE3DA6" w:rsidRDefault="00795E23">
      <w:pPr>
        <w:snapToGrid w:val="0"/>
        <w:spacing w:line="360" w:lineRule="auto"/>
        <w:ind w:firstLineChars="200" w:firstLine="420"/>
        <w:rPr>
          <w:rFonts w:ascii="宋体" w:cs="Times New Roman"/>
        </w:rPr>
      </w:pPr>
      <w:r>
        <w:rPr>
          <w:rFonts w:ascii="宋体" w:cs="Times New Roman" w:hint="eastAsia"/>
        </w:rPr>
        <w:t>本基金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614A25B9" w14:textId="77777777" w:rsidR="00AE3DA6" w:rsidRDefault="00795E23">
      <w:pPr>
        <w:snapToGrid w:val="0"/>
        <w:spacing w:line="360" w:lineRule="auto"/>
        <w:ind w:firstLineChars="200" w:firstLine="420"/>
        <w:rPr>
          <w:rFonts w:ascii="宋体" w:cs="Times New Roman"/>
        </w:rPr>
      </w:pPr>
      <w:r>
        <w:rPr>
          <w:rFonts w:ascii="宋体" w:cs="Times New Roman" w:hint="eastAsia"/>
        </w:rPr>
        <w:t>（十一）基金投资股票期权的信息披露</w:t>
      </w:r>
    </w:p>
    <w:p w14:paraId="74961FFE" w14:textId="77777777" w:rsidR="00AE3DA6" w:rsidRDefault="00795E23">
      <w:pPr>
        <w:snapToGrid w:val="0"/>
        <w:spacing w:line="360" w:lineRule="auto"/>
        <w:ind w:firstLineChars="200" w:firstLine="420"/>
        <w:rPr>
          <w:rFonts w:ascii="宋体" w:cs="Times New Roman"/>
        </w:rPr>
      </w:pPr>
      <w:r>
        <w:rPr>
          <w:rFonts w:ascii="宋体" w:cs="Times New Roman" w:hint="eastAsia"/>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3E5641CB" w14:textId="77777777" w:rsidR="00AE3DA6" w:rsidRDefault="00795E23">
      <w:pPr>
        <w:snapToGrid w:val="0"/>
        <w:spacing w:line="360" w:lineRule="auto"/>
        <w:ind w:firstLineChars="200" w:firstLine="420"/>
        <w:rPr>
          <w:rFonts w:ascii="宋体" w:cs="Times New Roman"/>
        </w:rPr>
      </w:pPr>
      <w:r>
        <w:rPr>
          <w:rFonts w:ascii="宋体" w:cs="Times New Roman" w:hint="eastAsia"/>
        </w:rPr>
        <w:t>（十二）基金参与融资业务的信息披露</w:t>
      </w:r>
    </w:p>
    <w:p w14:paraId="0E26DF97" w14:textId="77777777" w:rsidR="00AE3DA6" w:rsidRDefault="00795E23">
      <w:pPr>
        <w:snapToGrid w:val="0"/>
        <w:spacing w:line="360" w:lineRule="auto"/>
        <w:ind w:firstLineChars="200" w:firstLine="420"/>
        <w:rPr>
          <w:rFonts w:ascii="宋体" w:cs="Times New Roman"/>
        </w:rPr>
      </w:pPr>
      <w:r>
        <w:rPr>
          <w:rFonts w:ascii="宋体" w:cs="Times New Roman" w:hint="eastAsia"/>
        </w:rPr>
        <w:t>本基金在季度报告、中期报告、年度报告等定期报告和招募说明书（更新）等文件中披露参与融资情况，包括投资策略、业务开展情况、损益情况、风险及其管理情况等。</w:t>
      </w:r>
    </w:p>
    <w:p w14:paraId="045C6B57" w14:textId="77777777" w:rsidR="00AE3DA6" w:rsidRDefault="00795E23">
      <w:pPr>
        <w:snapToGrid w:val="0"/>
        <w:spacing w:line="360" w:lineRule="auto"/>
        <w:ind w:firstLineChars="200" w:firstLine="420"/>
        <w:rPr>
          <w:rFonts w:ascii="宋体" w:cs="Times New Roman"/>
        </w:rPr>
      </w:pPr>
      <w:r>
        <w:rPr>
          <w:rFonts w:ascii="宋体" w:cs="Times New Roman" w:hint="eastAsia"/>
        </w:rPr>
        <w:t>（十三）基金参与转融通证券出借业务的信息披露</w:t>
      </w:r>
    </w:p>
    <w:p w14:paraId="688EA705" w14:textId="77777777" w:rsidR="00AE3DA6" w:rsidRDefault="00795E23">
      <w:pPr>
        <w:snapToGrid w:val="0"/>
        <w:spacing w:line="360" w:lineRule="auto"/>
        <w:ind w:firstLineChars="200" w:firstLine="420"/>
        <w:rPr>
          <w:rFonts w:ascii="宋体" w:cs="Times New Roman"/>
        </w:rPr>
      </w:pPr>
      <w:r>
        <w:rPr>
          <w:rFonts w:ascii="宋体" w:cs="Times New Roman" w:hint="eastAsia"/>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43AA506B" w14:textId="77777777" w:rsidR="00AE3DA6" w:rsidRDefault="00795E23">
      <w:pPr>
        <w:snapToGrid w:val="0"/>
        <w:spacing w:line="360" w:lineRule="auto"/>
        <w:ind w:firstLineChars="200" w:firstLine="420"/>
        <w:rPr>
          <w:rFonts w:ascii="宋体" w:cs="Times New Roman"/>
        </w:rPr>
      </w:pPr>
      <w:r>
        <w:rPr>
          <w:rFonts w:ascii="宋体" w:cs="Times New Roman" w:hint="eastAsia"/>
        </w:rPr>
        <w:t>（十四）基金投资资产支持证券的信息披露</w:t>
      </w:r>
    </w:p>
    <w:p w14:paraId="77DBFE65" w14:textId="3C2AB3B9" w:rsidR="00AE3DA6" w:rsidRDefault="00795E23">
      <w:pPr>
        <w:snapToGrid w:val="0"/>
        <w:spacing w:line="360" w:lineRule="auto"/>
        <w:ind w:firstLineChars="200" w:firstLine="420"/>
        <w:rPr>
          <w:rFonts w:ascii="宋体" w:cs="Times New Roman"/>
        </w:rPr>
      </w:pPr>
      <w:r>
        <w:rPr>
          <w:rFonts w:ascii="宋体" w:cs="Times New Roman" w:hint="eastAsia"/>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10名资产支持证券明细。</w:t>
      </w:r>
    </w:p>
    <w:p w14:paraId="26AA2E67" w14:textId="77777777" w:rsidR="00F82469" w:rsidRPr="00F82469" w:rsidRDefault="00F82469" w:rsidP="00F82469">
      <w:pPr>
        <w:snapToGrid w:val="0"/>
        <w:spacing w:line="360" w:lineRule="auto"/>
        <w:ind w:firstLineChars="200" w:firstLine="420"/>
        <w:rPr>
          <w:rFonts w:ascii="宋体" w:cs="Times New Roman"/>
        </w:rPr>
      </w:pPr>
      <w:r w:rsidRPr="00F82469">
        <w:rPr>
          <w:rFonts w:ascii="宋体" w:cs="Times New Roman" w:hint="eastAsia"/>
        </w:rPr>
        <w:t>（十五）基金投资港股通股票的信息披露</w:t>
      </w:r>
    </w:p>
    <w:p w14:paraId="4D3D8D02" w14:textId="69C2DDD6" w:rsidR="00F82469" w:rsidRDefault="00F82469" w:rsidP="00F82469">
      <w:pPr>
        <w:snapToGrid w:val="0"/>
        <w:spacing w:line="360" w:lineRule="auto"/>
        <w:ind w:firstLineChars="200" w:firstLine="420"/>
        <w:rPr>
          <w:rFonts w:ascii="宋体" w:cs="Times New Roman"/>
        </w:rPr>
      </w:pPr>
      <w:r w:rsidRPr="00F82469">
        <w:rPr>
          <w:rFonts w:ascii="宋体" w:cs="Times New Roman" w:hint="eastAsia"/>
        </w:rPr>
        <w:t>本基金在季度报告、中期报告、年度报告等定期报告和招募说明书（更新）等文件中披露参与港股通交易的相关情况。</w:t>
      </w:r>
    </w:p>
    <w:p w14:paraId="4DBB6D9D" w14:textId="4D602124" w:rsidR="00AE3DA6" w:rsidRDefault="00795E23">
      <w:pPr>
        <w:snapToGrid w:val="0"/>
        <w:spacing w:line="360" w:lineRule="auto"/>
        <w:ind w:firstLineChars="200" w:firstLine="420"/>
        <w:rPr>
          <w:rFonts w:ascii="宋体" w:cs="Times New Roman"/>
        </w:rPr>
      </w:pPr>
      <w:r>
        <w:rPr>
          <w:rFonts w:ascii="宋体" w:cs="Times New Roman" w:hint="eastAsia"/>
        </w:rPr>
        <w:t>（十</w:t>
      </w:r>
      <w:r w:rsidR="00F82469">
        <w:rPr>
          <w:rFonts w:ascii="宋体" w:cs="Times New Roman" w:hint="eastAsia"/>
        </w:rPr>
        <w:t>六</w:t>
      </w:r>
      <w:r>
        <w:rPr>
          <w:rFonts w:ascii="宋体" w:cs="Times New Roman" w:hint="eastAsia"/>
        </w:rPr>
        <w:t>）投资目标ETF的信息披露</w:t>
      </w:r>
    </w:p>
    <w:p w14:paraId="2A6902DE" w14:textId="77777777" w:rsidR="00AE3DA6" w:rsidRDefault="00795E23">
      <w:pPr>
        <w:snapToGrid w:val="0"/>
        <w:spacing w:line="360" w:lineRule="auto"/>
        <w:ind w:firstLineChars="200" w:firstLine="420"/>
        <w:rPr>
          <w:rFonts w:ascii="宋体" w:cs="Times New Roman"/>
        </w:rPr>
      </w:pPr>
      <w:r>
        <w:rPr>
          <w:rFonts w:ascii="宋体" w:cs="Times New Roman" w:hint="eastAsia"/>
        </w:rPr>
        <w:t>本基金在定期报告和招募说明书（更新）中应设立专门章节披露所持目标ETF的相关情况并揭示相关风险：</w:t>
      </w:r>
    </w:p>
    <w:p w14:paraId="199FC888" w14:textId="77777777" w:rsidR="00AE3DA6" w:rsidRDefault="00795E23">
      <w:pPr>
        <w:snapToGrid w:val="0"/>
        <w:spacing w:line="360" w:lineRule="auto"/>
        <w:ind w:firstLineChars="200" w:firstLine="420"/>
        <w:rPr>
          <w:rFonts w:ascii="宋体" w:cs="Times New Roman"/>
        </w:rPr>
      </w:pPr>
      <w:r>
        <w:rPr>
          <w:rFonts w:ascii="宋体" w:cs="Times New Roman" w:hint="eastAsia"/>
        </w:rPr>
        <w:t>1、投资政策、持仓情况、损益情况、净值披露时间等；</w:t>
      </w:r>
    </w:p>
    <w:p w14:paraId="21DCC0A1" w14:textId="77777777" w:rsidR="00AE3DA6" w:rsidRDefault="00795E23">
      <w:pPr>
        <w:snapToGrid w:val="0"/>
        <w:spacing w:line="360" w:lineRule="auto"/>
        <w:ind w:firstLineChars="200" w:firstLine="420"/>
        <w:rPr>
          <w:rFonts w:ascii="宋体" w:cs="Times New Roman"/>
        </w:rPr>
      </w:pPr>
      <w:r>
        <w:rPr>
          <w:rFonts w:ascii="宋体" w:cs="Times New Roman" w:hint="eastAsia"/>
        </w:rPr>
        <w:t>2、交易及持有目标ETF产生的费用，包括申购费、赎回费、销售服务费、管理费、托管费等，在招募说明书（更新）中列明计算方法并举例说明；</w:t>
      </w:r>
    </w:p>
    <w:p w14:paraId="2CD6B54F" w14:textId="77777777" w:rsidR="00AE3DA6" w:rsidRDefault="00795E23">
      <w:pPr>
        <w:snapToGrid w:val="0"/>
        <w:spacing w:line="360" w:lineRule="auto"/>
        <w:ind w:firstLineChars="200" w:firstLine="420"/>
        <w:rPr>
          <w:rFonts w:ascii="宋体" w:cs="Times New Roman"/>
        </w:rPr>
      </w:pPr>
      <w:r>
        <w:rPr>
          <w:rFonts w:ascii="宋体" w:cs="Times New Roman" w:hint="eastAsia"/>
        </w:rPr>
        <w:t>3、持有的目标ETF发生的重大影响事件，如转换运作方式、与其他基金合并、终止基金合同以及召开基金份额持有人大会等；</w:t>
      </w:r>
    </w:p>
    <w:p w14:paraId="43F662DA" w14:textId="77777777" w:rsidR="00AE3DA6" w:rsidRDefault="00795E23">
      <w:pPr>
        <w:snapToGrid w:val="0"/>
        <w:spacing w:line="360" w:lineRule="auto"/>
        <w:ind w:firstLineChars="200" w:firstLine="420"/>
        <w:rPr>
          <w:rFonts w:ascii="宋体" w:cs="Times New Roman"/>
        </w:rPr>
      </w:pPr>
      <w:r>
        <w:rPr>
          <w:rFonts w:ascii="宋体" w:cs="Times New Roman" w:hint="eastAsia"/>
        </w:rPr>
        <w:t>4、本基金投资于基金管理人以及基金管理人关联方所管理基金的情况。</w:t>
      </w:r>
    </w:p>
    <w:p w14:paraId="5E3B2627" w14:textId="7BE453AB" w:rsidR="00AE3DA6" w:rsidRDefault="00795E23">
      <w:pPr>
        <w:snapToGrid w:val="0"/>
        <w:spacing w:line="360" w:lineRule="auto"/>
        <w:ind w:firstLineChars="200" w:firstLine="420"/>
        <w:rPr>
          <w:rFonts w:ascii="宋体" w:cs="Times New Roman"/>
        </w:rPr>
      </w:pPr>
      <w:r>
        <w:rPr>
          <w:rFonts w:ascii="宋体" w:cs="Times New Roman" w:hint="eastAsia"/>
        </w:rPr>
        <w:t>（十</w:t>
      </w:r>
      <w:r w:rsidR="00F82469">
        <w:rPr>
          <w:rFonts w:ascii="宋体" w:cs="Times New Roman" w:hint="eastAsia"/>
        </w:rPr>
        <w:t>七</w:t>
      </w:r>
      <w:r>
        <w:rPr>
          <w:rFonts w:ascii="宋体" w:cs="Times New Roman" w:hint="eastAsia"/>
        </w:rPr>
        <w:t>）清算报告</w:t>
      </w:r>
    </w:p>
    <w:p w14:paraId="1E3381A8" w14:textId="77777777" w:rsidR="00AE3DA6" w:rsidRDefault="00795E23">
      <w:pPr>
        <w:snapToGrid w:val="0"/>
        <w:spacing w:line="360" w:lineRule="auto"/>
        <w:ind w:firstLineChars="200" w:firstLine="420"/>
        <w:rPr>
          <w:rFonts w:ascii="宋体" w:cs="Times New Roman"/>
        </w:rPr>
      </w:pPr>
      <w:r>
        <w:rPr>
          <w:rFonts w:ascii="宋体" w:cs="Times New Roman" w:hint="eastAsia"/>
        </w:rPr>
        <w:t>基金合同终止的，基金管理人应当组织基金财产清算小组对基金财产进行清算并作出清算报告。基金财产清算小组应当将清算报告登载在规定网站上，并将清算报告提示性公告登载在规定报刊上。</w:t>
      </w:r>
    </w:p>
    <w:p w14:paraId="3901DB8E" w14:textId="016AAF0D" w:rsidR="00AE3DA6" w:rsidRDefault="00795E23">
      <w:pPr>
        <w:snapToGrid w:val="0"/>
        <w:spacing w:line="360" w:lineRule="auto"/>
        <w:ind w:firstLineChars="200" w:firstLine="420"/>
        <w:rPr>
          <w:rFonts w:ascii="宋体" w:cs="Times New Roman"/>
        </w:rPr>
      </w:pPr>
      <w:r>
        <w:rPr>
          <w:rFonts w:ascii="宋体" w:cs="Times New Roman" w:hint="eastAsia"/>
        </w:rPr>
        <w:t>（十</w:t>
      </w:r>
      <w:r w:rsidR="00F82469">
        <w:rPr>
          <w:rFonts w:ascii="宋体" w:cs="Times New Roman" w:hint="eastAsia"/>
        </w:rPr>
        <w:t>八</w:t>
      </w:r>
      <w:r>
        <w:rPr>
          <w:rFonts w:ascii="宋体" w:cs="Times New Roman" w:hint="eastAsia"/>
        </w:rPr>
        <w:t>）实施侧袋机制期间的信息披露</w:t>
      </w:r>
    </w:p>
    <w:p w14:paraId="1750A20B" w14:textId="77777777" w:rsidR="00AE3DA6" w:rsidRDefault="00795E23">
      <w:pPr>
        <w:snapToGrid w:val="0"/>
        <w:spacing w:line="360" w:lineRule="auto"/>
        <w:ind w:firstLineChars="200" w:firstLine="420"/>
        <w:rPr>
          <w:rFonts w:ascii="宋体" w:cs="Times New Roman"/>
        </w:rPr>
      </w:pPr>
      <w:r>
        <w:rPr>
          <w:rFonts w:ascii="宋体" w:cs="Times New Roman" w:hint="eastAsia"/>
        </w:rPr>
        <w:t>本基金实施侧袋机制的，相关信息披露义务人应当根据法律法规、基金合同和招募说明书的规定进行信息披露，详见招募说明书</w:t>
      </w:r>
      <w:r>
        <w:rPr>
          <w:rFonts w:ascii="宋体" w:cs="Times New Roman" w:hint="eastAsia"/>
          <w:bCs/>
        </w:rPr>
        <w:t>“侧袋机制”部分</w:t>
      </w:r>
      <w:r>
        <w:rPr>
          <w:rFonts w:ascii="宋体" w:cs="Times New Roman" w:hint="eastAsia"/>
        </w:rPr>
        <w:t>的规定。</w:t>
      </w:r>
    </w:p>
    <w:p w14:paraId="0B65301B" w14:textId="74CA36CC" w:rsidR="00AE3DA6" w:rsidRDefault="00795E23">
      <w:pPr>
        <w:snapToGrid w:val="0"/>
        <w:spacing w:line="360" w:lineRule="auto"/>
        <w:ind w:firstLineChars="200" w:firstLine="420"/>
        <w:rPr>
          <w:rFonts w:ascii="宋体" w:cs="Times New Roman"/>
        </w:rPr>
      </w:pPr>
      <w:r>
        <w:rPr>
          <w:rFonts w:ascii="宋体" w:cs="Times New Roman" w:hint="eastAsia"/>
        </w:rPr>
        <w:t>（十</w:t>
      </w:r>
      <w:r w:rsidR="00F82469">
        <w:rPr>
          <w:rFonts w:ascii="宋体" w:cs="Times New Roman" w:hint="eastAsia"/>
        </w:rPr>
        <w:t>九</w:t>
      </w:r>
      <w:r>
        <w:rPr>
          <w:rFonts w:ascii="宋体" w:cs="Times New Roman" w:hint="eastAsia"/>
        </w:rPr>
        <w:t>）本基金投资存托凭证的信息披露依照</w:t>
      </w:r>
      <w:r>
        <w:rPr>
          <w:rFonts w:ascii="宋体" w:hAnsi="宋体" w:cs="宋体" w:hint="eastAsia"/>
          <w:bCs/>
          <w:color w:val="000000"/>
        </w:rPr>
        <w:t>境内</w:t>
      </w:r>
      <w:r>
        <w:rPr>
          <w:rFonts w:ascii="宋体" w:cs="Times New Roman" w:hint="eastAsia"/>
        </w:rPr>
        <w:t>上市交易的股票执行。</w:t>
      </w:r>
    </w:p>
    <w:p w14:paraId="6130AECC" w14:textId="0CA52F58" w:rsidR="00AE3DA6" w:rsidRDefault="00795E23">
      <w:pPr>
        <w:snapToGrid w:val="0"/>
        <w:spacing w:line="360" w:lineRule="auto"/>
        <w:ind w:firstLineChars="200" w:firstLine="420"/>
        <w:rPr>
          <w:rFonts w:ascii="宋体" w:cs="Times New Roman"/>
        </w:rPr>
      </w:pPr>
      <w:r>
        <w:rPr>
          <w:rFonts w:ascii="宋体" w:cs="Times New Roman" w:hint="eastAsia"/>
        </w:rPr>
        <w:t>（</w:t>
      </w:r>
      <w:r w:rsidR="00F82469">
        <w:rPr>
          <w:rFonts w:ascii="宋体" w:cs="Times New Roman" w:hint="eastAsia"/>
        </w:rPr>
        <w:t>二十</w:t>
      </w:r>
      <w:r>
        <w:rPr>
          <w:rFonts w:ascii="宋体" w:cs="Times New Roman" w:hint="eastAsia"/>
        </w:rPr>
        <w:t>）中国证监会规定的其他信息。</w:t>
      </w:r>
    </w:p>
    <w:p w14:paraId="23AEABD7" w14:textId="77777777" w:rsidR="00AE3DA6" w:rsidRDefault="00795E23">
      <w:pPr>
        <w:snapToGrid w:val="0"/>
        <w:spacing w:line="360" w:lineRule="auto"/>
        <w:ind w:firstLineChars="200" w:firstLine="420"/>
        <w:rPr>
          <w:rFonts w:ascii="宋体" w:cs="Times New Roman"/>
        </w:rPr>
      </w:pPr>
      <w:r>
        <w:rPr>
          <w:rFonts w:ascii="宋体" w:cs="Times New Roman" w:hint="eastAsia"/>
        </w:rPr>
        <w:t>六、信息披露事务管理</w:t>
      </w:r>
    </w:p>
    <w:p w14:paraId="7F0327E0" w14:textId="77777777" w:rsidR="00AE3DA6" w:rsidRDefault="00795E23">
      <w:pPr>
        <w:snapToGrid w:val="0"/>
        <w:spacing w:line="360" w:lineRule="auto"/>
        <w:ind w:firstLineChars="200" w:firstLine="420"/>
        <w:rPr>
          <w:rFonts w:ascii="宋体" w:cs="Times New Roman"/>
        </w:rPr>
      </w:pPr>
      <w:r>
        <w:rPr>
          <w:rFonts w:ascii="宋体" w:cs="Times New Roman" w:hint="eastAsia"/>
        </w:rPr>
        <w:t>基金管理人、基金托管人应当建立健全信息披露管理制度，指定专门部门及高级管理人员负责管理信息披露事务。</w:t>
      </w:r>
    </w:p>
    <w:p w14:paraId="371DB53C" w14:textId="77777777" w:rsidR="00AE3DA6" w:rsidRDefault="00795E23">
      <w:pPr>
        <w:snapToGrid w:val="0"/>
        <w:spacing w:line="360" w:lineRule="auto"/>
        <w:ind w:firstLineChars="200" w:firstLine="420"/>
        <w:rPr>
          <w:rFonts w:ascii="宋体" w:cs="Times New Roman"/>
        </w:rPr>
      </w:pPr>
      <w:r>
        <w:rPr>
          <w:rFonts w:ascii="宋体" w:cs="Times New Roman" w:hint="eastAsia"/>
        </w:rPr>
        <w:t>基金信息披露义务人公开披露基金信息，应当符合中国证监会相关基金信息披露内容与格式准则等法规的规定。</w:t>
      </w:r>
    </w:p>
    <w:p w14:paraId="09BE9831" w14:textId="77777777" w:rsidR="00AE3DA6" w:rsidRDefault="00795E23">
      <w:pPr>
        <w:snapToGrid w:val="0"/>
        <w:spacing w:line="360" w:lineRule="auto"/>
        <w:ind w:firstLineChars="200" w:firstLine="420"/>
        <w:rPr>
          <w:rFonts w:ascii="宋体" w:cs="Times New Roman"/>
        </w:rPr>
      </w:pPr>
      <w:r>
        <w:rPr>
          <w:rFonts w:ascii="宋体" w:cs="Times New Roman" w:hint="eastAsia"/>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相关基金信息进行复核、审查，并向基金管理人进行书面或电子确认。</w:t>
      </w:r>
    </w:p>
    <w:p w14:paraId="6FE137A9" w14:textId="77777777" w:rsidR="00AE3DA6" w:rsidRDefault="00795E23">
      <w:pPr>
        <w:snapToGrid w:val="0"/>
        <w:spacing w:line="360" w:lineRule="auto"/>
        <w:ind w:firstLineChars="200" w:firstLine="420"/>
        <w:rPr>
          <w:rFonts w:ascii="宋体" w:cs="Times New Roman"/>
        </w:rPr>
      </w:pPr>
      <w:r>
        <w:rPr>
          <w:rFonts w:ascii="宋体" w:cs="Times New Roman" w:hint="eastAsia"/>
        </w:rPr>
        <w:t>基金管理人、基金托管人应当在规定报刊中选择一家披露信息的报刊。基金管理人、基金托管人应当向中国证监会基金电子披露网站报送拟披露的基金信息，并保证相关报送信息的真实、准确、完整、及时。</w:t>
      </w:r>
    </w:p>
    <w:p w14:paraId="2E214083" w14:textId="77777777" w:rsidR="00AE3DA6" w:rsidRDefault="00795E23">
      <w:pPr>
        <w:snapToGrid w:val="0"/>
        <w:spacing w:line="360" w:lineRule="auto"/>
        <w:ind w:firstLineChars="200" w:firstLine="420"/>
        <w:rPr>
          <w:rFonts w:ascii="宋体" w:cs="Times New Roman"/>
        </w:rPr>
      </w:pPr>
      <w:r>
        <w:rPr>
          <w:rFonts w:ascii="宋体" w:cs="Times New Roman" w:hint="eastAsia"/>
        </w:rPr>
        <w:t>基金管理人、基金托管人除依法在规定媒介上披露信息外，还可以根据需要在其他公共媒介披露信息，但是其他公共媒介不得早于规定媒介披露信息，并且在不同媒介上披露同一信息的内容应当一致。</w:t>
      </w:r>
    </w:p>
    <w:p w14:paraId="4CB4ADA4" w14:textId="77777777" w:rsidR="00AE3DA6" w:rsidRDefault="00795E23">
      <w:pPr>
        <w:snapToGrid w:val="0"/>
        <w:spacing w:line="360" w:lineRule="auto"/>
        <w:ind w:firstLineChars="200" w:firstLine="420"/>
        <w:rPr>
          <w:rFonts w:ascii="宋体" w:cs="Times New Roman"/>
        </w:rPr>
      </w:pPr>
      <w:r>
        <w:rPr>
          <w:rFonts w:ascii="宋体" w:cs="Times New Roman" w:hint="eastAsia"/>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891D05C" w14:textId="60914DB0" w:rsidR="00AE3DA6" w:rsidRDefault="00795E23">
      <w:pPr>
        <w:snapToGrid w:val="0"/>
        <w:spacing w:line="360" w:lineRule="auto"/>
        <w:ind w:firstLineChars="200" w:firstLine="420"/>
        <w:rPr>
          <w:rFonts w:ascii="宋体" w:cs="Times New Roman"/>
        </w:rPr>
      </w:pPr>
      <w:r>
        <w:rPr>
          <w:rFonts w:ascii="宋体" w:cs="Times New Roman" w:hint="eastAsia"/>
        </w:rPr>
        <w:t>为基金信息披露义务人公开披露的基金信息出具审计报告、法律意见书的专业机构，应当制作工作底稿，并将相关档案</w:t>
      </w:r>
      <w:r w:rsidR="00F82469">
        <w:rPr>
          <w:rFonts w:ascii="宋体" w:cs="Times New Roman" w:hint="eastAsia"/>
        </w:rPr>
        <w:t>在</w:t>
      </w:r>
      <w:r>
        <w:rPr>
          <w:rFonts w:ascii="宋体" w:cs="Times New Roman" w:hint="eastAsia"/>
        </w:rPr>
        <w:t>《基金合同》终止后</w:t>
      </w:r>
      <w:r w:rsidR="00F82469">
        <w:rPr>
          <w:rFonts w:ascii="宋体" w:cs="Times New Roman" w:hint="eastAsia"/>
        </w:rPr>
        <w:t>保存不少于法律法规规定的最低期限</w:t>
      </w:r>
      <w:r>
        <w:rPr>
          <w:rFonts w:ascii="宋体" w:cs="Times New Roman" w:hint="eastAsia"/>
        </w:rPr>
        <w:t>。</w:t>
      </w:r>
    </w:p>
    <w:p w14:paraId="4CF32F70" w14:textId="77777777" w:rsidR="00AE3DA6" w:rsidRDefault="00795E23">
      <w:pPr>
        <w:snapToGrid w:val="0"/>
        <w:spacing w:line="360" w:lineRule="auto"/>
        <w:ind w:firstLineChars="200" w:firstLine="420"/>
        <w:rPr>
          <w:rFonts w:ascii="宋体" w:cs="Times New Roman"/>
        </w:rPr>
      </w:pPr>
      <w:r>
        <w:rPr>
          <w:rFonts w:ascii="宋体" w:cs="Times New Roman" w:hint="eastAsia"/>
        </w:rPr>
        <w:t>七、信息披露文件的存放与查阅</w:t>
      </w:r>
    </w:p>
    <w:p w14:paraId="63962B0E" w14:textId="77777777" w:rsidR="00AE3DA6" w:rsidRDefault="00795E23">
      <w:pPr>
        <w:snapToGrid w:val="0"/>
        <w:spacing w:line="360" w:lineRule="auto"/>
        <w:ind w:firstLineChars="200" w:firstLine="420"/>
        <w:rPr>
          <w:rFonts w:ascii="宋体" w:cs="Times New Roman"/>
        </w:rPr>
      </w:pPr>
      <w:r>
        <w:rPr>
          <w:rFonts w:ascii="宋体" w:cs="Times New Roman" w:hint="eastAsia"/>
        </w:rPr>
        <w:t>依法必须披露的信息发布后，基金管理人、基金托管人应当按照相关法律法规规定将信息置备于各自住所，供社会公众查阅、复制。</w:t>
      </w:r>
    </w:p>
    <w:p w14:paraId="12FE9992" w14:textId="77777777" w:rsidR="00AE3DA6" w:rsidRDefault="00795E23">
      <w:pPr>
        <w:snapToGrid w:val="0"/>
        <w:spacing w:line="360" w:lineRule="auto"/>
        <w:ind w:firstLineChars="200" w:firstLine="420"/>
        <w:rPr>
          <w:rFonts w:ascii="宋体" w:cs="Times New Roman"/>
        </w:rPr>
      </w:pPr>
      <w:r>
        <w:rPr>
          <w:rFonts w:ascii="宋体" w:cs="Times New Roman" w:hint="eastAsia"/>
        </w:rPr>
        <w:t>八、暂停或延迟信息披露的情形</w:t>
      </w:r>
    </w:p>
    <w:p w14:paraId="4C563594" w14:textId="77777777" w:rsidR="00AE3DA6" w:rsidRDefault="00795E23">
      <w:pPr>
        <w:snapToGrid w:val="0"/>
        <w:spacing w:line="360" w:lineRule="auto"/>
        <w:ind w:firstLineChars="200" w:firstLine="420"/>
        <w:rPr>
          <w:rFonts w:ascii="宋体" w:cs="Times New Roman"/>
        </w:rPr>
      </w:pPr>
      <w:r>
        <w:rPr>
          <w:rFonts w:ascii="宋体" w:cs="Times New Roman" w:hint="eastAsia"/>
        </w:rPr>
        <w:t>当出现下述情况时，基金管理人和基金托管人可暂停或延迟披露基金相关信息：</w:t>
      </w:r>
    </w:p>
    <w:p w14:paraId="225249CE" w14:textId="77777777" w:rsidR="00AE3DA6" w:rsidRDefault="00795E23">
      <w:pPr>
        <w:snapToGrid w:val="0"/>
        <w:spacing w:line="360" w:lineRule="auto"/>
        <w:ind w:firstLineChars="200" w:firstLine="420"/>
        <w:rPr>
          <w:rFonts w:ascii="宋体" w:cs="Times New Roman"/>
        </w:rPr>
      </w:pPr>
      <w:r>
        <w:rPr>
          <w:rFonts w:ascii="宋体" w:cs="Times New Roman" w:hint="eastAsia"/>
        </w:rPr>
        <w:t>1、不可抗力；</w:t>
      </w:r>
    </w:p>
    <w:p w14:paraId="49E631E9" w14:textId="194C37FF" w:rsidR="00AE3DA6" w:rsidRDefault="00795E23">
      <w:pPr>
        <w:snapToGrid w:val="0"/>
        <w:spacing w:line="360" w:lineRule="auto"/>
        <w:ind w:firstLineChars="200" w:firstLine="420"/>
        <w:rPr>
          <w:rFonts w:ascii="宋体" w:cs="Times New Roman"/>
        </w:rPr>
      </w:pPr>
      <w:r>
        <w:rPr>
          <w:rFonts w:ascii="宋体" w:cs="Times New Roman" w:hint="eastAsia"/>
        </w:rPr>
        <w:t>2、基金投资所涉及的证券/期货交易市场</w:t>
      </w:r>
      <w:r w:rsidR="00A05B82" w:rsidRPr="00A05B82">
        <w:rPr>
          <w:rFonts w:ascii="宋体" w:cs="Times New Roman" w:hint="eastAsia"/>
        </w:rPr>
        <w:t>或外汇市场</w:t>
      </w:r>
      <w:r>
        <w:rPr>
          <w:rFonts w:ascii="宋体" w:cs="Times New Roman" w:hint="eastAsia"/>
        </w:rPr>
        <w:t>遇法定节假日或因其他原因暂停营业时；</w:t>
      </w:r>
    </w:p>
    <w:p w14:paraId="1F159BD3" w14:textId="77777777" w:rsidR="00AE3DA6" w:rsidRDefault="00795E23">
      <w:pPr>
        <w:snapToGrid w:val="0"/>
        <w:spacing w:line="360" w:lineRule="auto"/>
        <w:ind w:firstLineChars="200" w:firstLine="420"/>
        <w:rPr>
          <w:rFonts w:ascii="宋体" w:cs="Times New Roman"/>
        </w:rPr>
      </w:pPr>
      <w:r>
        <w:rPr>
          <w:rFonts w:ascii="宋体" w:cs="Times New Roman" w:hint="eastAsia"/>
        </w:rPr>
        <w:t>3、当特定资产占前一估值日基金资产净值50%以上的，经与基金托管人协商确认后暂停估值的；</w:t>
      </w:r>
    </w:p>
    <w:p w14:paraId="1B07C1E0" w14:textId="77777777" w:rsidR="00AE3DA6" w:rsidRDefault="00795E23">
      <w:pPr>
        <w:snapToGrid w:val="0"/>
        <w:spacing w:line="360" w:lineRule="auto"/>
        <w:ind w:firstLineChars="200" w:firstLine="420"/>
        <w:rPr>
          <w:rFonts w:ascii="宋体" w:cs="Times New Roman"/>
          <w:bCs/>
        </w:rPr>
      </w:pPr>
      <w:r>
        <w:rPr>
          <w:rFonts w:ascii="宋体" w:cs="Times New Roman" w:hint="eastAsia"/>
        </w:rPr>
        <w:t>4、法律法规、基金合同或中国证监会规定的情况。</w:t>
      </w:r>
    </w:p>
    <w:p w14:paraId="13A56826" w14:textId="77777777" w:rsidR="00AE3DA6" w:rsidRDefault="00AE3DA6">
      <w:pPr>
        <w:snapToGrid w:val="0"/>
        <w:spacing w:line="360" w:lineRule="auto"/>
        <w:ind w:firstLineChars="200" w:firstLine="420"/>
        <w:rPr>
          <w:rFonts w:ascii="宋体" w:cs="Times New Roman"/>
          <w:bCs/>
        </w:rPr>
      </w:pPr>
    </w:p>
    <w:p w14:paraId="4B992F01" w14:textId="77777777" w:rsidR="00AE3DA6" w:rsidRDefault="00795E23">
      <w:pPr>
        <w:snapToGrid w:val="0"/>
        <w:spacing w:line="360" w:lineRule="auto"/>
        <w:ind w:firstLineChars="200" w:firstLine="420"/>
        <w:rPr>
          <w:rFonts w:ascii="宋体" w:cs="Times New Roman"/>
          <w:bCs/>
        </w:rPr>
      </w:pPr>
      <w:r>
        <w:rPr>
          <w:rFonts w:ascii="宋体" w:cs="Times New Roman"/>
          <w:bCs/>
        </w:rPr>
        <w:br w:type="page"/>
      </w:r>
    </w:p>
    <w:p w14:paraId="4EAD11DA"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151" w:name="_Toc48900083"/>
      <w:r>
        <w:rPr>
          <w:rFonts w:ascii="宋体" w:eastAsia="宋体" w:hAnsi="宋体" w:cs="宋体" w:hint="eastAsia"/>
        </w:rPr>
        <w:t>侧袋机制</w:t>
      </w:r>
      <w:bookmarkEnd w:id="151"/>
    </w:p>
    <w:p w14:paraId="6092C5E3" w14:textId="77777777" w:rsidR="00AE3DA6" w:rsidRDefault="00AE3DA6">
      <w:pPr>
        <w:snapToGrid w:val="0"/>
        <w:spacing w:line="360" w:lineRule="auto"/>
        <w:ind w:firstLine="420"/>
        <w:rPr>
          <w:rFonts w:ascii="宋体" w:cs="Times New Roman"/>
          <w:b/>
          <w:bCs/>
        </w:rPr>
      </w:pPr>
    </w:p>
    <w:p w14:paraId="79BE92AB" w14:textId="77777777" w:rsidR="00AE3DA6" w:rsidRDefault="00795E23">
      <w:pPr>
        <w:snapToGrid w:val="0"/>
        <w:spacing w:line="360" w:lineRule="auto"/>
        <w:ind w:firstLine="420"/>
        <w:rPr>
          <w:rFonts w:ascii="Times New Roman" w:hAnsi="Times New Roman" w:cs="Times New Roman"/>
          <w:bCs/>
        </w:rPr>
      </w:pPr>
      <w:r>
        <w:rPr>
          <w:rFonts w:ascii="Times New Roman" w:hAnsi="Times New Roman" w:cs="Times New Roman" w:hint="eastAsia"/>
          <w:bCs/>
        </w:rPr>
        <w:t>一、侧袋机制的实施条件、实施程序</w:t>
      </w:r>
    </w:p>
    <w:p w14:paraId="1F0D97F8"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基金管理人应当在启用侧袋机制当日报中国证监会及公司所在地中国证监会派出机构备案。</w:t>
      </w:r>
    </w:p>
    <w:p w14:paraId="678BC3A8" w14:textId="77777777" w:rsidR="00AE3DA6" w:rsidRDefault="00795E23">
      <w:pPr>
        <w:snapToGrid w:val="0"/>
        <w:spacing w:line="360" w:lineRule="auto"/>
        <w:ind w:firstLineChars="200" w:firstLine="420"/>
        <w:rPr>
          <w:rFonts w:ascii="宋体" w:hAnsi="宋体"/>
          <w:color w:val="000000"/>
          <w:kern w:val="0"/>
        </w:rPr>
      </w:pPr>
      <w:r>
        <w:rPr>
          <w:rFonts w:ascii="宋体" w:hAnsi="宋体" w:hint="eastAsia"/>
          <w:color w:val="000000"/>
          <w:kern w:val="0"/>
        </w:rPr>
        <w:t>侧袋机制启用后，基金管理人应及时向基金销售机构提示侧袋机制启用的相关事宜。</w:t>
      </w:r>
    </w:p>
    <w:p w14:paraId="196F7954" w14:textId="77777777" w:rsidR="00AE3DA6" w:rsidRDefault="00795E23">
      <w:pPr>
        <w:snapToGrid w:val="0"/>
        <w:spacing w:line="360" w:lineRule="auto"/>
        <w:ind w:firstLine="420"/>
        <w:rPr>
          <w:rFonts w:ascii="Times New Roman" w:hAnsi="Times New Roman" w:cs="Times New Roman"/>
        </w:rPr>
      </w:pPr>
      <w:r>
        <w:rPr>
          <w:rFonts w:ascii="宋体" w:hAnsi="宋体" w:hint="eastAsia"/>
          <w:color w:val="000000"/>
          <w:kern w:val="0"/>
        </w:rPr>
        <w:t>侧袋机制启用后五个工作日内，基金管理人应聘请于侧袋机制启用日发表意见的会计师事务所针对侧袋机制启用日本基金持有的特定资产情况出具专项审计意见，内容应包含侧袋账户的初始资产、份额、净资产等信息。</w:t>
      </w:r>
    </w:p>
    <w:p w14:paraId="648E4489" w14:textId="77777777" w:rsidR="00AE3DA6" w:rsidRDefault="00795E23">
      <w:pPr>
        <w:snapToGrid w:val="0"/>
        <w:spacing w:line="360" w:lineRule="auto"/>
        <w:ind w:firstLine="420"/>
        <w:rPr>
          <w:rFonts w:ascii="Times New Roman" w:hAnsi="Times New Roman" w:cs="Times New Roman"/>
          <w:bCs/>
        </w:rPr>
      </w:pPr>
      <w:r>
        <w:rPr>
          <w:rFonts w:ascii="Times New Roman" w:hAnsi="Times New Roman" w:cs="Times New Roman" w:hint="eastAsia"/>
          <w:bCs/>
        </w:rPr>
        <w:t>二、侧袋账户的设立</w:t>
      </w:r>
    </w:p>
    <w:p w14:paraId="40E81E60" w14:textId="77777777" w:rsidR="00AE3DA6" w:rsidRDefault="00795E23">
      <w:pPr>
        <w:snapToGrid w:val="0"/>
        <w:spacing w:line="360" w:lineRule="auto"/>
        <w:ind w:firstLine="420"/>
        <w:rPr>
          <w:rFonts w:ascii="Times New Roman" w:hAnsi="Times New Roman" w:cs="Times New Roman"/>
        </w:rPr>
      </w:pPr>
      <w:r>
        <w:rPr>
          <w:rFonts w:ascii="宋体" w:hAnsi="宋体" w:hint="eastAsia"/>
          <w:color w:val="000000"/>
          <w:kern w:val="0"/>
        </w:rPr>
        <w:t>侧袋机制启用时，可将多个特定资产一并放入同一个侧袋账户。</w:t>
      </w:r>
      <w:r>
        <w:rPr>
          <w:rFonts w:ascii="Times New Roman" w:hAnsi="Times New Roman" w:cs="Times New Roman" w:hint="eastAsia"/>
        </w:rPr>
        <w:t>基金管理人可为本基金设立多个侧袋账户，但每个侧袋账户应单独设置账套，实行独立核算。</w:t>
      </w:r>
    </w:p>
    <w:p w14:paraId="23E22437" w14:textId="77777777" w:rsidR="00AE3DA6" w:rsidRDefault="00795E23">
      <w:pPr>
        <w:snapToGrid w:val="0"/>
        <w:spacing w:line="360" w:lineRule="auto"/>
        <w:ind w:firstLineChars="200" w:firstLine="420"/>
        <w:rPr>
          <w:rFonts w:ascii="宋体" w:hAnsi="宋体"/>
          <w:color w:val="000000"/>
          <w:kern w:val="0"/>
        </w:rPr>
      </w:pPr>
      <w:r>
        <w:rPr>
          <w:rFonts w:ascii="宋体" w:hAnsi="宋体" w:hint="eastAsia"/>
          <w:color w:val="000000"/>
          <w:kern w:val="0"/>
        </w:rPr>
        <w:t>基金管理人应对侧袋账户份额实行独立管理，主袋账户沿用原基金代码，侧袋账户使用独立的基金代码。份额登记系统和销售系统中，侧袋账户份额的名称应以“产品简称+侧袋标识S+侧袋账户建立日期”格式设定，同时主袋账户份额的名称增加大写字母M标识作为后缀。</w:t>
      </w:r>
    </w:p>
    <w:p w14:paraId="35941591" w14:textId="77777777" w:rsidR="00AE3DA6" w:rsidRDefault="00795E23">
      <w:pPr>
        <w:snapToGrid w:val="0"/>
        <w:spacing w:line="360" w:lineRule="auto"/>
        <w:ind w:firstLineChars="200" w:firstLine="420"/>
        <w:rPr>
          <w:rFonts w:ascii="宋体" w:hAnsi="宋体"/>
          <w:color w:val="000000"/>
          <w:kern w:val="0"/>
        </w:rPr>
      </w:pPr>
      <w:r>
        <w:rPr>
          <w:rFonts w:ascii="宋体" w:hAnsi="宋体" w:hint="eastAsia"/>
          <w:color w:val="000000"/>
          <w:kern w:val="0"/>
        </w:rPr>
        <w:t>侧袋机制启用当日，基金管理人和基金服务机构应以原基金账户基金份额持有人情况为基础，确认侧袋账户持有人名册和份额。</w:t>
      </w:r>
    </w:p>
    <w:p w14:paraId="2782253B" w14:textId="77777777" w:rsidR="00AE3DA6" w:rsidRDefault="00795E23">
      <w:pPr>
        <w:snapToGrid w:val="0"/>
        <w:spacing w:line="360" w:lineRule="auto"/>
        <w:ind w:firstLine="420"/>
        <w:rPr>
          <w:rFonts w:ascii="Times New Roman" w:hAnsi="Times New Roman" w:cs="Times New Roman"/>
        </w:rPr>
      </w:pPr>
      <w:r>
        <w:rPr>
          <w:rFonts w:ascii="宋体" w:hAnsi="宋体" w:hint="eastAsia"/>
          <w:color w:val="000000"/>
          <w:kern w:val="0"/>
        </w:rPr>
        <w:t>侧袋账户资产完全清算后，基金管理人应注销侧袋账户。</w:t>
      </w:r>
    </w:p>
    <w:p w14:paraId="46DB1A7B" w14:textId="77777777" w:rsidR="00AE3DA6" w:rsidRDefault="00795E23">
      <w:pPr>
        <w:snapToGrid w:val="0"/>
        <w:spacing w:line="360" w:lineRule="auto"/>
        <w:ind w:firstLine="420"/>
        <w:rPr>
          <w:rFonts w:ascii="Times New Roman" w:hAnsi="Times New Roman" w:cs="Times New Roman"/>
          <w:bCs/>
        </w:rPr>
      </w:pPr>
      <w:r>
        <w:rPr>
          <w:rFonts w:ascii="Times New Roman" w:hAnsi="Times New Roman" w:cs="Times New Roman" w:hint="eastAsia"/>
          <w:bCs/>
        </w:rPr>
        <w:t>三、实施侧袋机制期间的基金销售</w:t>
      </w:r>
    </w:p>
    <w:p w14:paraId="5E93B68D"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、本基金实施侧袋机制的，基金管理人将在基金合同和招募说明书约定的开放日办理主袋账户份额的赎回，并根据主袋账户运作情况确定是否暂停申购。</w:t>
      </w:r>
    </w:p>
    <w:p w14:paraId="63CF1F34"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除基金管理人应按照主袋账户的份额净值办理主袋账户份额的申购和赎回外，本招募说明书“基金份额的申购和赎回”部分的申购、赎回规定适用于主袋账户份额。巨额赎回按照单个开放日内主袋账户份额净赎回申请超过前一开放日主袋账户总份额的</w:t>
      </w:r>
      <w:r>
        <w:rPr>
          <w:rFonts w:ascii="Times New Roman" w:hAnsi="Times New Roman" w:cs="Times New Roman" w:hint="eastAsia"/>
        </w:rPr>
        <w:t>10%</w:t>
      </w:r>
      <w:r>
        <w:rPr>
          <w:rFonts w:ascii="Times New Roman" w:hAnsi="Times New Roman" w:cs="Times New Roman" w:hint="eastAsia"/>
        </w:rPr>
        <w:t>认定。</w:t>
      </w:r>
    </w:p>
    <w:p w14:paraId="1BED01E2"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对于启用侧袋机制之日起（含当日）收到的赎回申请，基金管理人仅办理主袋账户的赎回申请并支付赎回款项。在启用侧袋机制之日起（含当日）收到的申购申请，视为投资者对侧袋机制启用后的主袋账户提交的申购申请。</w:t>
      </w:r>
    </w:p>
    <w:p w14:paraId="0B6EE98B"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、侧袋机制实施期间，基金管理人不得办理侧袋账户份额的申购、赎回、定投和转换。</w:t>
      </w:r>
    </w:p>
    <w:p w14:paraId="3902312B" w14:textId="77777777" w:rsidR="00AE3DA6" w:rsidRDefault="00795E23">
      <w:pPr>
        <w:snapToGrid w:val="0"/>
        <w:spacing w:line="360" w:lineRule="auto"/>
        <w:ind w:firstLine="420"/>
        <w:rPr>
          <w:rFonts w:ascii="Times New Roman" w:hAnsi="Times New Roman" w:cs="Times New Roman"/>
          <w:bCs/>
        </w:rPr>
      </w:pPr>
      <w:r>
        <w:rPr>
          <w:rFonts w:ascii="Times New Roman" w:hAnsi="Times New Roman" w:cs="Times New Roman" w:hint="eastAsia"/>
          <w:bCs/>
        </w:rPr>
        <w:t>四、实施侧袋机制期间的基金投资</w:t>
      </w:r>
    </w:p>
    <w:p w14:paraId="242516E3"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侧袋机制实施期间，招募说明书“基金的投资”部分约定的投资组合比例、投资策略、组合限制、业绩比较基准、风险收益特征等约定仅适用于主袋账户。基金的各项投资运作指标和基金业绩指标应当以主袋账户资产为基准。</w:t>
      </w:r>
    </w:p>
    <w:p w14:paraId="1C472FD2"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基金管理人原则上应当在侧袋机制启用后</w:t>
      </w:r>
      <w:r>
        <w:rPr>
          <w:rFonts w:ascii="Times New Roman" w:hAnsi="Times New Roman" w:cs="Times New Roman" w:hint="eastAsia"/>
        </w:rPr>
        <w:t>20</w:t>
      </w:r>
      <w:r>
        <w:rPr>
          <w:rFonts w:ascii="Times New Roman" w:hAnsi="Times New Roman" w:cs="Times New Roman" w:hint="eastAsia"/>
        </w:rPr>
        <w:t>个交易日内完成对主袋账户投资组合的调整，因资产流动性受限等中国证监会规定的情形除外。</w:t>
      </w:r>
    </w:p>
    <w:p w14:paraId="720251A5" w14:textId="77777777" w:rsidR="00AE3DA6" w:rsidRDefault="00795E23">
      <w:pPr>
        <w:snapToGrid w:val="0"/>
        <w:spacing w:line="360" w:lineRule="auto"/>
        <w:ind w:firstLine="420"/>
        <w:rPr>
          <w:rFonts w:ascii="Times New Roman" w:hAnsi="Times New Roman" w:cs="Times New Roman"/>
          <w:bCs/>
        </w:rPr>
      </w:pPr>
      <w:r>
        <w:rPr>
          <w:rFonts w:ascii="Times New Roman" w:hAnsi="Times New Roman" w:cs="Times New Roman" w:hint="eastAsia"/>
          <w:bCs/>
        </w:rPr>
        <w:t>五、实施侧袋机制期间的基金估值</w:t>
      </w:r>
    </w:p>
    <w:p w14:paraId="377AC55D"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本基金实施侧袋机制的，基金管理人和基金托管人应对主袋账户资产进行估值并披露主袋账户的基金净值信息，暂停披露侧袋账户份额净值。</w:t>
      </w:r>
    </w:p>
    <w:p w14:paraId="7BF24843" w14:textId="77777777" w:rsidR="00AE3DA6" w:rsidRDefault="00795E23">
      <w:pPr>
        <w:snapToGrid w:val="0"/>
        <w:spacing w:line="360" w:lineRule="auto"/>
        <w:ind w:firstLine="420"/>
        <w:rPr>
          <w:rFonts w:ascii="Times New Roman" w:hAnsi="Times New Roman" w:cs="Times New Roman"/>
          <w:bCs/>
        </w:rPr>
      </w:pPr>
      <w:r>
        <w:rPr>
          <w:rFonts w:ascii="Times New Roman" w:hAnsi="Times New Roman" w:cs="Times New Roman" w:hint="eastAsia"/>
          <w:bCs/>
        </w:rPr>
        <w:t>六、实施侧袋机制期间的收益分配</w:t>
      </w:r>
    </w:p>
    <w:p w14:paraId="48027D5C"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本基金实施侧袋机制的，招募说明书“基金的收益与分配”部分规定的收益分配约定仅适用于主袋账户份额。侧袋账户份额不进行收益分配。</w:t>
      </w:r>
    </w:p>
    <w:p w14:paraId="22901EEC" w14:textId="77777777" w:rsidR="00AE3DA6" w:rsidRDefault="00795E23">
      <w:pPr>
        <w:snapToGrid w:val="0"/>
        <w:spacing w:line="360" w:lineRule="auto"/>
        <w:ind w:firstLine="420"/>
        <w:rPr>
          <w:rFonts w:ascii="Times New Roman" w:hAnsi="Times New Roman" w:cs="Times New Roman"/>
          <w:bCs/>
        </w:rPr>
      </w:pPr>
      <w:r>
        <w:rPr>
          <w:rFonts w:ascii="Times New Roman" w:hAnsi="Times New Roman" w:cs="Times New Roman" w:hint="eastAsia"/>
          <w:bCs/>
        </w:rPr>
        <w:t>七、实施侧袋账户期间的基金费用</w:t>
      </w:r>
    </w:p>
    <w:p w14:paraId="0DFEF7D0"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侧袋机制实施期间，侧袋账户资产不收取管理费。</w:t>
      </w:r>
    </w:p>
    <w:p w14:paraId="0104D367" w14:textId="77777777" w:rsidR="00AE3DA6" w:rsidRDefault="00795E23">
      <w:pPr>
        <w:snapToGrid w:val="0"/>
        <w:spacing w:line="360" w:lineRule="auto"/>
        <w:ind w:firstLineChars="200" w:firstLine="420"/>
        <w:rPr>
          <w:rFonts w:ascii="Times New Roman" w:hAnsi="Times New Roman" w:cs="Times New Roman"/>
        </w:rPr>
      </w:pPr>
      <w:r>
        <w:rPr>
          <w:rFonts w:ascii="Times New Roman" w:hAnsi="Times New Roman" w:cs="Times New Roman" w:hint="eastAsia"/>
        </w:rPr>
        <w:t>基金管理人可以将与侧袋账户有关的费用从侧袋账户资产中列支，但应待特定资产变现后方可列支。</w:t>
      </w:r>
      <w:r>
        <w:rPr>
          <w:rFonts w:ascii="宋体" w:hAnsi="宋体" w:hint="eastAsia"/>
          <w:color w:val="000000"/>
          <w:kern w:val="0"/>
        </w:rPr>
        <w:t>因启用侧袋机制产生的咨询、审计费用等由基金管理人承担。</w:t>
      </w:r>
    </w:p>
    <w:p w14:paraId="312EC147" w14:textId="77777777" w:rsidR="00AE3DA6" w:rsidRDefault="00795E23">
      <w:pPr>
        <w:snapToGrid w:val="0"/>
        <w:spacing w:line="360" w:lineRule="auto"/>
        <w:ind w:firstLine="420"/>
        <w:rPr>
          <w:rFonts w:ascii="Times New Roman" w:hAnsi="Times New Roman" w:cs="Times New Roman"/>
          <w:bCs/>
        </w:rPr>
      </w:pPr>
      <w:r>
        <w:rPr>
          <w:rFonts w:ascii="Times New Roman" w:hAnsi="Times New Roman" w:cs="Times New Roman" w:hint="eastAsia"/>
          <w:bCs/>
        </w:rPr>
        <w:t>八、特定资产的处置变现和支付</w:t>
      </w:r>
    </w:p>
    <w:p w14:paraId="69B996BC" w14:textId="77777777" w:rsidR="00AE3DA6" w:rsidRDefault="00795E23">
      <w:pPr>
        <w:snapToGrid w:val="0"/>
        <w:spacing w:line="360" w:lineRule="auto"/>
        <w:ind w:firstLineChars="200" w:firstLine="420"/>
        <w:rPr>
          <w:rFonts w:ascii="宋体" w:hAnsi="宋体"/>
          <w:color w:val="000000"/>
          <w:kern w:val="0"/>
        </w:rPr>
      </w:pPr>
      <w:r>
        <w:rPr>
          <w:rFonts w:ascii="宋体" w:hAnsi="宋体" w:hint="eastAsia"/>
          <w:color w:val="000000"/>
          <w:kern w:val="0"/>
        </w:rPr>
        <w:t>当侧袋账户资产恢复流动性后，基金管理人应当按照基金份额持有人利益最大化原则制定变现方案，将侧袋账户资产处置变现。无论侧袋账户资产是否全部完成变现，基金管理人都应及时向侧袋账户全部份额持有人支付已变现部分对应的款项。</w:t>
      </w:r>
    </w:p>
    <w:p w14:paraId="0FD89CC1" w14:textId="77777777" w:rsidR="00AE3DA6" w:rsidRDefault="00795E23">
      <w:pPr>
        <w:snapToGrid w:val="0"/>
        <w:spacing w:line="360" w:lineRule="auto"/>
        <w:ind w:firstLineChars="200" w:firstLine="420"/>
        <w:rPr>
          <w:rFonts w:ascii="宋体" w:hAnsi="宋体"/>
          <w:color w:val="000000"/>
          <w:kern w:val="0"/>
        </w:rPr>
      </w:pPr>
      <w:r>
        <w:rPr>
          <w:rFonts w:ascii="宋体" w:hAnsi="宋体" w:hint="eastAsia"/>
          <w:color w:val="000000"/>
          <w:kern w:val="0"/>
        </w:rPr>
        <w:t>基金管理人不得在侧袋账户中进行除特定资产处置变现以外的其他投资操作。</w:t>
      </w:r>
    </w:p>
    <w:p w14:paraId="66D89480"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侧袋账户资产全部完成变现后，基金管理人应参照基金清算报告的相关要求，在终止侧袋机制后及时聘请符合《证券法》规定的会计师事务所进行审计并出具专项审计意见。侧袋账户资产完全清算后，基金管理人应当注销侧袋账户，并取消主袋账户份额名称中的特殊标识。</w:t>
      </w:r>
    </w:p>
    <w:p w14:paraId="1DC5DDF3" w14:textId="77777777" w:rsidR="00AE3DA6" w:rsidRDefault="00795E23">
      <w:pPr>
        <w:snapToGrid w:val="0"/>
        <w:spacing w:line="360" w:lineRule="auto"/>
        <w:ind w:firstLine="420"/>
        <w:rPr>
          <w:rFonts w:ascii="Times New Roman" w:hAnsi="Times New Roman" w:cs="Times New Roman"/>
          <w:bCs/>
        </w:rPr>
      </w:pPr>
      <w:r>
        <w:rPr>
          <w:rFonts w:ascii="Times New Roman" w:hAnsi="Times New Roman" w:cs="Times New Roman" w:hint="eastAsia"/>
          <w:bCs/>
        </w:rPr>
        <w:t>九、侧袋机制的信息披露</w:t>
      </w:r>
    </w:p>
    <w:p w14:paraId="4AE078E3"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、临时公告</w:t>
      </w:r>
    </w:p>
    <w:p w14:paraId="208A6C7E"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在启用侧袋机制、处置特定资产、终止侧袋机制以及发生其他可能对投资者利益产生重大影响的事项后，基金管理人应及时发布临时公告；其中，启用和终止侧袋机制后，还应披露会计师事务所出具的专项审计意见。</w:t>
      </w:r>
    </w:p>
    <w:p w14:paraId="7970D0F2"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启用侧袋机制的临时公告内容应当包括启用原因及程序、特定资产流动性和估值情况、对投资者申购赎回的影响、风险提示等重要信息。</w:t>
      </w:r>
    </w:p>
    <w:p w14:paraId="780CD670"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处置特定资产的临时公告内容应当包括特定资产处置价格和时间、向侧袋账户份额持有人支付的款项、相关费用发生情况等重要信息。</w:t>
      </w:r>
    </w:p>
    <w:p w14:paraId="1F8B70B7" w14:textId="77777777" w:rsidR="00AE3DA6" w:rsidRDefault="00795E23">
      <w:pPr>
        <w:snapToGrid w:val="0"/>
        <w:spacing w:line="360" w:lineRule="auto"/>
        <w:ind w:firstLineChars="200" w:firstLine="420"/>
        <w:rPr>
          <w:rFonts w:ascii="宋体" w:hAnsi="宋体"/>
          <w:color w:val="000000"/>
          <w:kern w:val="0"/>
        </w:rPr>
      </w:pPr>
      <w:r>
        <w:rPr>
          <w:rFonts w:ascii="宋体" w:hAnsi="宋体" w:hint="eastAsia"/>
          <w:color w:val="000000"/>
          <w:kern w:val="0"/>
        </w:rPr>
        <w:t>侧袋机制实施期间，若侧袋账户资产无法一次性完成处置变现，基金管理人在每次处置变现后均应按照相关法律、法规要求及时发布临时公告。</w:t>
      </w:r>
    </w:p>
    <w:p w14:paraId="436FD0DB"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、基金净值信息</w:t>
      </w:r>
    </w:p>
    <w:p w14:paraId="33AC3A20"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基金管理人应按照招募说明书“基金的信息披露”部分规定的基金净值信息披露方式和频率披露主袋账户份额的基金份额净值和基金份额累计净值。实施侧袋机制期间本基金暂停披露侧袋账户份额净值和份额累计净值。</w:t>
      </w:r>
    </w:p>
    <w:p w14:paraId="713EABEC"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、定期报告</w:t>
      </w:r>
    </w:p>
    <w:p w14:paraId="0C5675D2"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侧袋机制实施期间，基金定期报告中的基金会计报表仅需针对主袋账户进行编制。</w:t>
      </w:r>
      <w:r>
        <w:rPr>
          <w:rFonts w:ascii="宋体" w:hAnsi="宋体" w:hint="eastAsia"/>
          <w:color w:val="000000"/>
          <w:kern w:val="0"/>
        </w:rPr>
        <w:t>侧袋账户相关信息在定期报告中单独进行披露，包括但不限于：</w:t>
      </w:r>
    </w:p>
    <w:p w14:paraId="6BF2C125" w14:textId="77777777" w:rsidR="00AE3DA6" w:rsidRDefault="00795E23">
      <w:pPr>
        <w:snapToGrid w:val="0"/>
        <w:spacing w:line="360" w:lineRule="auto"/>
        <w:ind w:firstLineChars="200" w:firstLine="420"/>
        <w:rPr>
          <w:rFonts w:ascii="宋体" w:hAnsi="宋体"/>
          <w:color w:val="000000"/>
          <w:kern w:val="0"/>
        </w:rPr>
      </w:pPr>
      <w:r>
        <w:rPr>
          <w:rFonts w:ascii="宋体" w:hAnsi="宋体" w:hint="eastAsia"/>
          <w:color w:val="000000"/>
          <w:kern w:val="0"/>
        </w:rPr>
        <w:t>（1）侧袋账户的基金代码、基金名称、侧袋账户成立日期等基本信息；</w:t>
      </w:r>
    </w:p>
    <w:p w14:paraId="5AE889B2" w14:textId="77777777" w:rsidR="00AE3DA6" w:rsidRDefault="00795E23">
      <w:pPr>
        <w:snapToGrid w:val="0"/>
        <w:spacing w:line="360" w:lineRule="auto"/>
        <w:ind w:firstLineChars="200" w:firstLine="420"/>
        <w:rPr>
          <w:rFonts w:ascii="宋体" w:hAnsi="宋体"/>
          <w:color w:val="000000"/>
          <w:kern w:val="0"/>
        </w:rPr>
      </w:pPr>
      <w:r>
        <w:rPr>
          <w:rFonts w:ascii="宋体" w:hAnsi="宋体" w:hint="eastAsia"/>
          <w:color w:val="000000"/>
          <w:kern w:val="0"/>
        </w:rPr>
        <w:t>（2）侧袋账户的初始资产、初始负债；</w:t>
      </w:r>
    </w:p>
    <w:p w14:paraId="25F7692D" w14:textId="77777777" w:rsidR="00AE3DA6" w:rsidRDefault="00795E23">
      <w:pPr>
        <w:snapToGrid w:val="0"/>
        <w:spacing w:line="360" w:lineRule="auto"/>
        <w:ind w:firstLineChars="200" w:firstLine="420"/>
        <w:rPr>
          <w:rFonts w:ascii="宋体" w:hAnsi="宋体"/>
          <w:color w:val="000000"/>
          <w:kern w:val="0"/>
        </w:rPr>
      </w:pPr>
      <w:r>
        <w:rPr>
          <w:rFonts w:ascii="宋体" w:hAnsi="宋体" w:hint="eastAsia"/>
          <w:color w:val="000000"/>
          <w:kern w:val="0"/>
        </w:rPr>
        <w:t>（3）特定资产的名称、代码、发行人等基本信息；</w:t>
      </w:r>
    </w:p>
    <w:p w14:paraId="1F8AB253" w14:textId="77777777" w:rsidR="00AE3DA6" w:rsidRDefault="00795E23">
      <w:pPr>
        <w:snapToGrid w:val="0"/>
        <w:spacing w:line="360" w:lineRule="auto"/>
        <w:ind w:firstLineChars="200" w:firstLine="420"/>
        <w:rPr>
          <w:rFonts w:ascii="宋体" w:hAnsi="宋体"/>
          <w:color w:val="000000"/>
          <w:kern w:val="0"/>
        </w:rPr>
      </w:pPr>
      <w:r>
        <w:rPr>
          <w:rFonts w:ascii="宋体" w:hAnsi="宋体" w:hint="eastAsia"/>
          <w:color w:val="000000"/>
          <w:kern w:val="0"/>
        </w:rPr>
        <w:t>（4）报告期内的特定资产处置进展情况、与处置特定资产相关的费用情况及其他与特定资产状况相关的信息（</w:t>
      </w:r>
      <w:r>
        <w:rPr>
          <w:rFonts w:ascii="宋体" w:hAnsi="宋体"/>
          <w:color w:val="000000"/>
          <w:kern w:val="0"/>
        </w:rPr>
        <w:t>如有）</w:t>
      </w:r>
      <w:r>
        <w:rPr>
          <w:rFonts w:ascii="宋体" w:hAnsi="宋体" w:hint="eastAsia"/>
          <w:color w:val="000000"/>
          <w:kern w:val="0"/>
        </w:rPr>
        <w:t>；</w:t>
      </w:r>
    </w:p>
    <w:p w14:paraId="26E7DEDD" w14:textId="77777777" w:rsidR="00AE3DA6" w:rsidRDefault="00795E23">
      <w:pPr>
        <w:snapToGrid w:val="0"/>
        <w:spacing w:line="360" w:lineRule="auto"/>
        <w:ind w:firstLineChars="200" w:firstLine="420"/>
        <w:rPr>
          <w:rFonts w:ascii="宋体" w:hAnsi="宋体"/>
          <w:color w:val="000000"/>
          <w:kern w:val="0"/>
        </w:rPr>
      </w:pPr>
      <w:r>
        <w:rPr>
          <w:rFonts w:ascii="宋体" w:hAnsi="宋体" w:hint="eastAsia"/>
          <w:color w:val="000000"/>
          <w:kern w:val="0"/>
        </w:rPr>
        <w:t>（5）可能对投资者利益存在重大影响的其他情况及相关风险提示。</w:t>
      </w:r>
    </w:p>
    <w:p w14:paraId="28070023" w14:textId="77777777" w:rsidR="00AE3DA6" w:rsidRDefault="00795E23">
      <w:pPr>
        <w:snapToGrid w:val="0"/>
        <w:spacing w:line="360" w:lineRule="auto"/>
        <w:ind w:firstLine="420"/>
        <w:rPr>
          <w:rFonts w:ascii="Times New Roman" w:hAnsi="Times New Roman" w:cs="Times New Roman"/>
        </w:rPr>
      </w:pPr>
      <w:r>
        <w:rPr>
          <w:rFonts w:ascii="Times New Roman" w:hAnsi="Times New Roman" w:cs="Times New Roman" w:hint="eastAsia"/>
        </w:rPr>
        <w:t>基金管理人可根据特定资产处置进展情况披露报告期末特定资产可变现净值或净值区间，但上述可变现净值或净值区间（如有）不作为基金管理人对于特定资产最终变现价格的承诺。</w:t>
      </w:r>
    </w:p>
    <w:p w14:paraId="2F9D1662" w14:textId="77777777" w:rsidR="00AE3DA6" w:rsidRDefault="00795E23">
      <w:pPr>
        <w:snapToGrid w:val="0"/>
        <w:spacing w:line="360" w:lineRule="auto"/>
        <w:ind w:firstLine="420"/>
        <w:rPr>
          <w:rFonts w:ascii="Times New Roman" w:hAnsi="Times New Roman" w:cs="Times New Roman"/>
          <w:b/>
          <w:bCs/>
        </w:rPr>
      </w:pPr>
      <w:r>
        <w:rPr>
          <w:rFonts w:ascii="Times New Roman" w:hAnsi="Times New Roman" w:cs="Times New Roman" w:hint="eastAsia"/>
          <w:b/>
          <w:bCs/>
        </w:rPr>
        <w:t>十、本部分关于侧袋机制的相关规定，如将来法律法规或监管规则修改导致相关内容被取消或应被变更的，本基金将相应调整，无需召开基金份额持有人大会审议。</w:t>
      </w:r>
    </w:p>
    <w:p w14:paraId="38707502" w14:textId="77777777" w:rsidR="00AE3DA6" w:rsidRDefault="00AE3DA6">
      <w:pPr>
        <w:pStyle w:val="HD"/>
      </w:pPr>
    </w:p>
    <w:p w14:paraId="4D45AB89" w14:textId="77777777" w:rsidR="00AE3DA6" w:rsidRDefault="00AE3DA6">
      <w:pPr>
        <w:snapToGrid w:val="0"/>
        <w:spacing w:line="360" w:lineRule="auto"/>
        <w:ind w:firstLineChars="200" w:firstLine="420"/>
        <w:rPr>
          <w:rFonts w:ascii="宋体" w:cs="Times New Roman"/>
        </w:rPr>
      </w:pPr>
    </w:p>
    <w:p w14:paraId="04D2907F" w14:textId="77777777" w:rsidR="00AE3DA6" w:rsidRDefault="00795E23">
      <w:pPr>
        <w:pStyle w:val="36"/>
        <w:snapToGrid w:val="0"/>
        <w:rPr>
          <w:rFonts w:hAnsi="宋体" w:cs="Times New Roman"/>
          <w:color w:val="000000"/>
        </w:rPr>
      </w:pPr>
      <w:r>
        <w:rPr>
          <w:rFonts w:hAnsi="宋体" w:cs="Times New Roman"/>
          <w:color w:val="000000"/>
          <w:kern w:val="0"/>
        </w:rPr>
        <w:br w:type="page"/>
      </w:r>
    </w:p>
    <w:p w14:paraId="1CFE16EE"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152" w:name="_Toc360794526"/>
      <w:bookmarkStart w:id="153" w:name="_Toc360794418"/>
      <w:bookmarkStart w:id="154" w:name="_Toc360793860"/>
      <w:bookmarkStart w:id="155" w:name="_Toc362455193"/>
      <w:bookmarkStart w:id="156" w:name="_Toc362533465"/>
      <w:bookmarkStart w:id="157" w:name="_Toc360794110"/>
      <w:bookmarkStart w:id="158" w:name="_Toc48900084"/>
      <w:bookmarkStart w:id="159" w:name="_Toc360793508"/>
      <w:bookmarkStart w:id="160" w:name="_Hlk209393212"/>
      <w:r>
        <w:rPr>
          <w:rFonts w:ascii="宋体" w:eastAsia="宋体" w:hAnsi="宋体" w:cs="宋体" w:hint="eastAsia"/>
        </w:rPr>
        <w:t>风险揭示</w:t>
      </w:r>
      <w:bookmarkEnd w:id="152"/>
      <w:bookmarkEnd w:id="153"/>
      <w:bookmarkEnd w:id="154"/>
      <w:bookmarkEnd w:id="155"/>
      <w:bookmarkEnd w:id="156"/>
      <w:bookmarkEnd w:id="157"/>
      <w:bookmarkEnd w:id="158"/>
      <w:bookmarkEnd w:id="159"/>
    </w:p>
    <w:p w14:paraId="5AC2642D" w14:textId="77777777" w:rsidR="00AE3DA6" w:rsidRDefault="00AE3DA6">
      <w:pPr>
        <w:snapToGrid w:val="0"/>
        <w:spacing w:line="360" w:lineRule="auto"/>
        <w:ind w:firstLine="420"/>
        <w:rPr>
          <w:rFonts w:ascii="宋体" w:cs="Times New Roman"/>
          <w:b/>
          <w:bCs/>
        </w:rPr>
      </w:pPr>
    </w:p>
    <w:p w14:paraId="6E8A09A2" w14:textId="5C3D3D4C" w:rsidR="00AE3DA6" w:rsidRDefault="00795E23">
      <w:pPr>
        <w:pStyle w:val="HD"/>
      </w:pPr>
      <w:r>
        <w:rPr>
          <w:rFonts w:hint="eastAsia"/>
        </w:rPr>
        <w:t>本基金的目标</w:t>
      </w:r>
      <w:r>
        <w:rPr>
          <w:rFonts w:hint="eastAsia"/>
        </w:rPr>
        <w:t>ETF</w:t>
      </w:r>
      <w:r>
        <w:rPr>
          <w:rFonts w:hint="eastAsia"/>
        </w:rPr>
        <w:t>为股票型基金，一般而言，其长期平均风险与预期收益高于混合型基金、债券型基金与货币市场基金。本基金为</w:t>
      </w:r>
      <w:r>
        <w:rPr>
          <w:rFonts w:hint="eastAsia"/>
        </w:rPr>
        <w:t>ETF</w:t>
      </w:r>
      <w:r>
        <w:rPr>
          <w:rFonts w:hint="eastAsia"/>
        </w:rPr>
        <w:t>联接基金，通过投资于目标</w:t>
      </w:r>
      <w:r>
        <w:rPr>
          <w:rFonts w:hint="eastAsia"/>
        </w:rPr>
        <w:t>ETF</w:t>
      </w:r>
      <w:r>
        <w:rPr>
          <w:rFonts w:hint="eastAsia"/>
        </w:rPr>
        <w:t>跟踪标的指数表现，具有与标的指数以及标的指数所代表的市场相似的风险收益特征。</w:t>
      </w:r>
    </w:p>
    <w:p w14:paraId="346571FD" w14:textId="140280A2" w:rsidR="00EB18F2" w:rsidRDefault="00EB18F2">
      <w:pPr>
        <w:pStyle w:val="HD"/>
      </w:pPr>
      <w:r w:rsidRPr="00EB18F2">
        <w:rPr>
          <w:rFonts w:hint="eastAsia"/>
        </w:rPr>
        <w:t>本基金投资港股通股票，除了需要承担与境内证券投资基金类似的市场波动风险等一般投资风险之外，本基金还面临汇率风险和港股通机制下因投资环境、投资标的、市场制度以及交易规则等差异带来的特有风险。</w:t>
      </w:r>
    </w:p>
    <w:p w14:paraId="6566FDAA" w14:textId="77777777" w:rsidR="00AE3DA6" w:rsidRDefault="00795E23">
      <w:pPr>
        <w:pStyle w:val="HD"/>
      </w:pPr>
      <w:r>
        <w:rPr>
          <w:rFonts w:hint="eastAsia"/>
        </w:rPr>
        <w:t>本基金面临的主要风险有市场风险、管理风险、流动性风险、本基金特有风险、其他风险、基金风险评价不一致的风险等。</w:t>
      </w:r>
    </w:p>
    <w:p w14:paraId="3B1E5819" w14:textId="77777777" w:rsidR="00AE3DA6" w:rsidRDefault="00795E23">
      <w:pPr>
        <w:pStyle w:val="HD"/>
      </w:pPr>
      <w:r>
        <w:rPr>
          <w:rFonts w:hint="eastAsia"/>
        </w:rPr>
        <w:t>一、市场风险</w:t>
      </w:r>
    </w:p>
    <w:p w14:paraId="16267BCB" w14:textId="77777777" w:rsidR="00AE3DA6" w:rsidRDefault="00795E23">
      <w:pPr>
        <w:pStyle w:val="HD"/>
      </w:pPr>
      <w:r>
        <w:rPr>
          <w:rFonts w:hint="eastAsia"/>
        </w:rPr>
        <w:t>证券市场价格受到经济因素、政治因素、投资心理和交易制度等各种因素的影响，导致基金收益水平变化，产生风险，主要包括：</w:t>
      </w:r>
    </w:p>
    <w:p w14:paraId="5D67E3E0" w14:textId="77777777" w:rsidR="00AE3DA6" w:rsidRDefault="00795E23">
      <w:pPr>
        <w:pStyle w:val="HD"/>
      </w:pPr>
      <w:r>
        <w:rPr>
          <w:rFonts w:hint="eastAsia"/>
        </w:rPr>
        <w:t>1</w:t>
      </w:r>
      <w:r>
        <w:rPr>
          <w:rFonts w:hint="eastAsia"/>
        </w:rPr>
        <w:t>、政策风险。因国家宏观政策（如货币政策、财政政策、行业政策、地区发展政策等）发生变化，导致市场价格波动而产生风险。</w:t>
      </w:r>
    </w:p>
    <w:p w14:paraId="759DED00" w14:textId="77777777" w:rsidR="00AE3DA6" w:rsidRDefault="00795E23">
      <w:pPr>
        <w:pStyle w:val="HD"/>
      </w:pPr>
      <w:r>
        <w:rPr>
          <w:rFonts w:hint="eastAsia"/>
        </w:rPr>
        <w:t>2</w:t>
      </w:r>
      <w:r>
        <w:rPr>
          <w:rFonts w:hint="eastAsia"/>
        </w:rPr>
        <w:t>、经济周期风险。随经济运行的周期性变化，证券市场的收益水平也呈周期性变化。基金投资于债券与上市公司的股票，收益水平也会随之变化，从而产生风险。</w:t>
      </w:r>
    </w:p>
    <w:p w14:paraId="469A1708" w14:textId="77777777" w:rsidR="00AE3DA6" w:rsidRDefault="00795E23">
      <w:pPr>
        <w:pStyle w:val="HD"/>
      </w:pPr>
      <w:r>
        <w:rPr>
          <w:rFonts w:hint="eastAsia"/>
        </w:rPr>
        <w:t>3</w:t>
      </w:r>
      <w:r>
        <w:rPr>
          <w:rFonts w:hint="eastAsia"/>
        </w:rPr>
        <w:t>、利率风险。金融市场利率的波动会导致证券市场价格和收益率的变动。利率直接影响着国债的价格和收益率，影响着企业的融资成本和利润。基金投资于债券和股票，其收益水平会受到利率变化的影响。</w:t>
      </w:r>
    </w:p>
    <w:p w14:paraId="20725577" w14:textId="77777777" w:rsidR="00AE3DA6" w:rsidRDefault="00795E23">
      <w:pPr>
        <w:pStyle w:val="HD"/>
      </w:pPr>
      <w:r>
        <w:rPr>
          <w:rFonts w:hint="eastAsia"/>
        </w:rPr>
        <w:t>4</w:t>
      </w:r>
      <w:r>
        <w:rPr>
          <w:rFonts w:hint="eastAsia"/>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5D457B9D" w14:textId="77777777" w:rsidR="00AE3DA6" w:rsidRDefault="00795E23">
      <w:pPr>
        <w:pStyle w:val="HD"/>
      </w:pPr>
      <w:r>
        <w:rPr>
          <w:rFonts w:hint="eastAsia"/>
        </w:rPr>
        <w:t>5</w:t>
      </w:r>
      <w:r>
        <w:rPr>
          <w:rFonts w:hint="eastAsia"/>
        </w:rPr>
        <w:t>、购买力风险。基金的利润将主要通过现金形式来分配，而现金可能因为通货膨胀的影响而导致购买力下降，从而使基金的实际收益下降。</w:t>
      </w:r>
    </w:p>
    <w:p w14:paraId="4DA41784" w14:textId="77777777" w:rsidR="00AE3DA6" w:rsidRDefault="00795E23">
      <w:pPr>
        <w:pStyle w:val="HD"/>
      </w:pPr>
      <w:r>
        <w:rPr>
          <w:rFonts w:hint="eastAsia"/>
        </w:rPr>
        <w:t>6</w:t>
      </w:r>
      <w:r>
        <w:rPr>
          <w:rFonts w:hint="eastAsia"/>
        </w:rPr>
        <w:t>、信用风险。主要是指债务人的违约风险，若债务人经营不善，资不抵债，债权人可能会损失掉大部分的投资，这主要体现在企业债中。</w:t>
      </w:r>
    </w:p>
    <w:p w14:paraId="2B2708DB" w14:textId="77777777" w:rsidR="00AE3DA6" w:rsidRDefault="00795E23">
      <w:pPr>
        <w:pStyle w:val="HD"/>
      </w:pPr>
      <w:r>
        <w:rPr>
          <w:rFonts w:hint="eastAsia"/>
        </w:rPr>
        <w:t>7</w:t>
      </w:r>
      <w:r>
        <w:rPr>
          <w:rFonts w:hint="eastAsia"/>
        </w:rPr>
        <w:t>、债券收益率曲线变动风险。债券收益率曲线变动风险是指与收益率曲线非平行移动有关的风险，单一的久期指标并不能充分反映这一风险的存在。</w:t>
      </w:r>
    </w:p>
    <w:p w14:paraId="6CD07FA8" w14:textId="77777777" w:rsidR="00AE3DA6" w:rsidRDefault="00795E23">
      <w:pPr>
        <w:pStyle w:val="HD"/>
      </w:pPr>
      <w:r>
        <w:rPr>
          <w:rFonts w:hint="eastAsia"/>
        </w:rPr>
        <w:t>8</w:t>
      </w:r>
      <w:r>
        <w:rPr>
          <w:rFonts w:hint="eastAsia"/>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15BE3437" w14:textId="77777777" w:rsidR="00AE3DA6" w:rsidRDefault="00795E23">
      <w:pPr>
        <w:pStyle w:val="HD"/>
      </w:pPr>
      <w:r>
        <w:rPr>
          <w:rFonts w:hint="eastAsia"/>
        </w:rPr>
        <w:t>二、管理风险</w:t>
      </w:r>
    </w:p>
    <w:p w14:paraId="576604BF" w14:textId="77777777" w:rsidR="00AE3DA6" w:rsidRDefault="00795E23">
      <w:pPr>
        <w:pStyle w:val="HD"/>
      </w:pPr>
      <w:r>
        <w:rPr>
          <w:rFonts w:hint="eastAsia"/>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14:paraId="7FD0EAD3" w14:textId="77777777" w:rsidR="00AE3DA6" w:rsidRDefault="00795E23">
      <w:pPr>
        <w:pStyle w:val="HD"/>
      </w:pPr>
      <w:r>
        <w:rPr>
          <w:rFonts w:hint="eastAsia"/>
        </w:rPr>
        <w:t>三、流动性风险</w:t>
      </w:r>
    </w:p>
    <w:p w14:paraId="0CCD9FE2" w14:textId="77777777" w:rsidR="00AE3DA6" w:rsidRDefault="00795E23">
      <w:pPr>
        <w:pStyle w:val="HD"/>
      </w:pPr>
      <w:r>
        <w:rPr>
          <w:rFonts w:hint="eastAsia"/>
        </w:rPr>
        <w:t>本基金属开放式基金，在所有开放日基金管理人有义务接受投资人的赎回。如果出现较大数额的赎回申请，则使基金资产变现困难，基金面临流动性风险。</w:t>
      </w:r>
    </w:p>
    <w:p w14:paraId="477B6510" w14:textId="77777777" w:rsidR="00AE3DA6" w:rsidRDefault="00795E23">
      <w:pPr>
        <w:pStyle w:val="HD"/>
      </w:pPr>
      <w:r>
        <w:rPr>
          <w:rFonts w:hint="eastAsia"/>
        </w:rPr>
        <w:t>1</w:t>
      </w:r>
      <w:r>
        <w:rPr>
          <w:rFonts w:hint="eastAsia"/>
        </w:rPr>
        <w:t>、本基金的申购、赎回安排</w:t>
      </w:r>
    </w:p>
    <w:p w14:paraId="63E0E6FC" w14:textId="57B4981C" w:rsidR="00AE3DA6" w:rsidRDefault="00795E23">
      <w:pPr>
        <w:pStyle w:val="HD"/>
      </w:pPr>
      <w:r>
        <w:rPr>
          <w:rFonts w:hint="eastAsia"/>
        </w:rPr>
        <w:t>本基金采用开放方式运作，基金管理人在开放日办理基金份额的申购和赎回</w:t>
      </w:r>
      <w:r w:rsidR="0000761A">
        <w:rPr>
          <w:rFonts w:hint="eastAsia"/>
        </w:rPr>
        <w:t>，</w:t>
      </w:r>
      <w:r w:rsidR="0000761A" w:rsidRPr="0000761A">
        <w:rPr>
          <w:rFonts w:hint="eastAsia"/>
        </w:rPr>
        <w:t>具体办理时间为上海证券交易所、深圳证券交易所的正常交易日的交易时间</w:t>
      </w:r>
      <w:r w:rsidR="00EB18F2" w:rsidRPr="00EB18F2">
        <w:rPr>
          <w:rFonts w:hint="eastAsia"/>
        </w:rPr>
        <w:t>（若该交易日非港股通交易日，则本基金不开放申购和赎回）</w:t>
      </w:r>
      <w:r>
        <w:rPr>
          <w:rFonts w:hint="eastAsia"/>
        </w:rPr>
        <w:t>，但基金管理人根据法律法规、中国证监会的要求或基金合同的规定公告暂停申购、赎回时除外。基金管理人</w:t>
      </w:r>
      <w:r>
        <w:rPr>
          <w:rFonts w:hint="eastAsia"/>
          <w:bCs/>
        </w:rPr>
        <w:t>可根据实际情况依法决定本基金开始办理申购的具体日期，</w:t>
      </w:r>
      <w:r>
        <w:rPr>
          <w:rFonts w:hint="eastAsia"/>
        </w:rPr>
        <w:t>自基金合同生效之日起不超过</w:t>
      </w:r>
      <w:r>
        <w:rPr>
          <w:rFonts w:hint="eastAsia"/>
        </w:rPr>
        <w:t>3</w:t>
      </w:r>
      <w:r>
        <w:rPr>
          <w:rFonts w:hint="eastAsia"/>
        </w:rPr>
        <w:t>个月开始办理赎回业务，具体业务办理时间在申购赎回开始公告中规定。</w:t>
      </w:r>
    </w:p>
    <w:p w14:paraId="460A3906" w14:textId="77777777" w:rsidR="00AE3DA6" w:rsidRDefault="00795E23">
      <w:pPr>
        <w:pStyle w:val="HD"/>
      </w:pPr>
      <w:r>
        <w:rPr>
          <w:rFonts w:hint="eastAsia"/>
        </w:rPr>
        <w:t>2</w:t>
      </w:r>
      <w:r>
        <w:rPr>
          <w:rFonts w:hint="eastAsia"/>
        </w:rPr>
        <w:t>、投资市场、行业及资产的流动性风险评估</w:t>
      </w:r>
    </w:p>
    <w:p w14:paraId="113A6F1A" w14:textId="2308C7CB" w:rsidR="00AE3DA6" w:rsidRDefault="00795E23">
      <w:pPr>
        <w:pStyle w:val="HD"/>
      </w:pPr>
      <w:r>
        <w:rPr>
          <w:rFonts w:hint="eastAsia"/>
        </w:rPr>
        <w:t>本基金主要投资于目标</w:t>
      </w:r>
      <w:r>
        <w:rPr>
          <w:rFonts w:hint="eastAsia"/>
        </w:rPr>
        <w:t>ETF</w:t>
      </w:r>
      <w:r>
        <w:rPr>
          <w:rFonts w:hint="eastAsia"/>
        </w:rPr>
        <w:t>基金份额、标的指数成份股、备选成份股（含</w:t>
      </w:r>
      <w:r w:rsidR="0000761A">
        <w:rPr>
          <w:rFonts w:hint="eastAsia"/>
        </w:rPr>
        <w:t>港股通股票、</w:t>
      </w:r>
      <w:r>
        <w:rPr>
          <w:rFonts w:hint="eastAsia"/>
        </w:rPr>
        <w:t>存托凭证）。目标</w:t>
      </w:r>
      <w:r>
        <w:rPr>
          <w:rFonts w:hint="eastAsia"/>
        </w:rPr>
        <w:t>ETF</w:t>
      </w:r>
      <w:r>
        <w:rPr>
          <w:rFonts w:hint="eastAsia"/>
        </w:rPr>
        <w:t>及本基金主要投资的标的指数成份股和备选成份股在信息披露、内部控制等方面治理总体良好。且目标</w:t>
      </w:r>
      <w:r>
        <w:rPr>
          <w:rFonts w:hint="eastAsia"/>
        </w:rPr>
        <w:t>ETF</w:t>
      </w:r>
      <w:r>
        <w:rPr>
          <w:rFonts w:hint="eastAsia"/>
        </w:rPr>
        <w:t>已依照指数权重进行了分散投资，故本基金可通过赎回目标</w:t>
      </w:r>
      <w:r>
        <w:rPr>
          <w:rFonts w:hint="eastAsia"/>
        </w:rPr>
        <w:t>ETF</w:t>
      </w:r>
      <w:r>
        <w:rPr>
          <w:rFonts w:hint="eastAsia"/>
        </w:rPr>
        <w:t>较好地获取流动性；另外，本基金还可以在二级市场卖出目标</w:t>
      </w:r>
      <w:r>
        <w:rPr>
          <w:rFonts w:hint="eastAsia"/>
        </w:rPr>
        <w:t>ETF</w:t>
      </w:r>
      <w:r>
        <w:rPr>
          <w:rFonts w:hint="eastAsia"/>
        </w:rPr>
        <w:t>获取流动性，以上均为基金平稳运作提供了良好的基础。根据《流动性风险管理规定》的相关要求，本基金所投资或持有的基金份额的基金管理人实施流动性风险管理，也会审慎评估所投资资产的流动性，并针对性制定流动性风险管理措施，因此本基金流动性风险也可以得到有效控制。</w:t>
      </w:r>
    </w:p>
    <w:p w14:paraId="09C4FCB5" w14:textId="77777777" w:rsidR="00AE3DA6" w:rsidRDefault="00795E23">
      <w:pPr>
        <w:pStyle w:val="HD"/>
      </w:pPr>
      <w:r>
        <w:rPr>
          <w:rFonts w:hint="eastAsia"/>
        </w:rPr>
        <w:t>3</w:t>
      </w:r>
      <w:r>
        <w:rPr>
          <w:rFonts w:hint="eastAsia"/>
        </w:rPr>
        <w:t>、巨额赎回情形下的流动性风险管理措施</w:t>
      </w:r>
    </w:p>
    <w:p w14:paraId="651F716F" w14:textId="77777777" w:rsidR="00AE3DA6" w:rsidRDefault="00795E23">
      <w:pPr>
        <w:pStyle w:val="HD"/>
      </w:pPr>
      <w:r>
        <w:rPr>
          <w:rFonts w:hint="eastAsia"/>
        </w:rPr>
        <w:t>当单个</w:t>
      </w:r>
      <w:r>
        <w:rPr>
          <w:bCs/>
        </w:rPr>
        <w:t>开放日内的基金份额</w:t>
      </w:r>
      <w:r>
        <w:rPr>
          <w:rFonts w:hint="eastAsia"/>
        </w:rPr>
        <w:t>净赎回申请超过前一开放日的基金总份额的</w:t>
      </w:r>
      <w:r>
        <w:rPr>
          <w:rFonts w:ascii="宋体" w:hAnsi="宋体" w:hint="eastAsia"/>
          <w:bCs/>
        </w:rPr>
        <w:t>10%</w:t>
      </w:r>
      <w:r>
        <w:rPr>
          <w:rFonts w:hint="eastAsia"/>
        </w:rPr>
        <w:t>时，即认为是发生了巨额赎回。当基金出现巨额赎回时，基金管理人可以根据基金当时的资产组合状况决定全额赎回或部分延期赎回。连续</w:t>
      </w:r>
      <w:r>
        <w:rPr>
          <w:rFonts w:hint="eastAsia"/>
        </w:rPr>
        <w:t>2</w:t>
      </w:r>
      <w:r>
        <w:rPr>
          <w:rFonts w:hint="eastAsia"/>
        </w:rPr>
        <w:t>个开放日以上</w:t>
      </w:r>
      <w:r>
        <w:rPr>
          <w:rFonts w:hint="eastAsia"/>
        </w:rPr>
        <w:t>(</w:t>
      </w:r>
      <w:r>
        <w:rPr>
          <w:rFonts w:hint="eastAsia"/>
        </w:rPr>
        <w:t>含本数</w:t>
      </w:r>
      <w:r>
        <w:rPr>
          <w:rFonts w:hint="eastAsia"/>
        </w:rPr>
        <w:t>)</w:t>
      </w:r>
      <w:r>
        <w:rPr>
          <w:rFonts w:hint="eastAsia"/>
        </w:rPr>
        <w:t>发生巨额赎回，如基金管理人认为有必要，可暂停接受基金的赎回申请；已经接受的赎回申请可以延缓支付赎回款项，但不得超过</w:t>
      </w:r>
      <w:r>
        <w:rPr>
          <w:rFonts w:hint="eastAsia"/>
        </w:rPr>
        <w:t>20</w:t>
      </w:r>
      <w:r>
        <w:rPr>
          <w:rFonts w:hint="eastAsia"/>
        </w:rPr>
        <w:t>个工作日，并应当在规定媒介上进行公告。</w:t>
      </w:r>
    </w:p>
    <w:p w14:paraId="024FACAF" w14:textId="77777777" w:rsidR="00AE3DA6" w:rsidRDefault="00795E23">
      <w:pPr>
        <w:pStyle w:val="HD"/>
      </w:pPr>
      <w:bookmarkStart w:id="161" w:name="_Hlk34143452"/>
      <w:r>
        <w:rPr>
          <w:rFonts w:hint="eastAsia"/>
        </w:rPr>
        <w:t>如发生单个开放日内单个基金份额持有人申请赎回的基金份额超过前一开放日的基金总份额的</w:t>
      </w:r>
      <w:r>
        <w:rPr>
          <w:rFonts w:hint="eastAsia"/>
        </w:rPr>
        <w:t>30%</w:t>
      </w:r>
      <w:r>
        <w:rPr>
          <w:rFonts w:hint="eastAsia"/>
        </w:rPr>
        <w:t>时，本基金管理人可以对该单个基金份额持有人持有的赎回申请实施延期办理。如基金管理人对于其超过基金总份额</w:t>
      </w:r>
      <w:r>
        <w:rPr>
          <w:rFonts w:hint="eastAsia"/>
        </w:rPr>
        <w:t>30%</w:t>
      </w:r>
      <w:r>
        <w:rPr>
          <w:rFonts w:hint="eastAsia"/>
        </w:rPr>
        <w:t>以上部分的赎回申请实施延期办理，延期的赎回申请与下一开放日赎回申请一并处理，无优先权并以下一开放日的该类基金份额净值为基础计算赎回金额，以此类推，直到全部赎回为止；如基金管理人只接受其基金总份额</w:t>
      </w:r>
      <w:r>
        <w:rPr>
          <w:rFonts w:hint="eastAsia"/>
        </w:rPr>
        <w:t>30%</w:t>
      </w:r>
      <w:r>
        <w:rPr>
          <w:rFonts w:hint="eastAsia"/>
        </w:rPr>
        <w:t>部分作为当日有效赎回申请，基金管理人可以根据“全额赎回”或“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bookmarkEnd w:id="161"/>
    </w:p>
    <w:p w14:paraId="45A064A1" w14:textId="77777777" w:rsidR="00AE3DA6" w:rsidRDefault="00795E23">
      <w:pPr>
        <w:pStyle w:val="HD"/>
      </w:pPr>
      <w:r>
        <w:rPr>
          <w:rFonts w:hint="eastAsia"/>
        </w:rPr>
        <w:t>4</w:t>
      </w:r>
      <w:r>
        <w:rPr>
          <w:rFonts w:hint="eastAsia"/>
        </w:rPr>
        <w:t>、实施备用的流动性风险管理工具的情形、程序及对投资者的潜在影响</w:t>
      </w:r>
    </w:p>
    <w:p w14:paraId="35415107" w14:textId="77777777" w:rsidR="00AE3DA6" w:rsidRDefault="00795E23">
      <w:pPr>
        <w:pStyle w:val="HD"/>
      </w:pPr>
      <w:r>
        <w:rPr>
          <w:rFonts w:hint="eastAsia"/>
        </w:rPr>
        <w:t>本基金在面临大规模赎回的情况下有可能因为无法变现造成流动性风险。</w:t>
      </w:r>
    </w:p>
    <w:p w14:paraId="76F46D2F" w14:textId="77777777" w:rsidR="00AE3DA6" w:rsidRDefault="00795E23">
      <w:pPr>
        <w:pStyle w:val="HD"/>
      </w:pPr>
      <w:r>
        <w:rPr>
          <w:rFonts w:hint="eastAsia"/>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摆动定价、启用侧袋机制以及中国证监会认定的其他措施。同时基金管理人将时刻防范可能产生的流动性风险，对流动性风险进行日常监控，保护基金份额持有人的利益。实施备用流动性风险管理工具的决策程序依照基金管理人流动性风险管理制度的规定办理。当实施备用的流动性风险管理工具时，有可能无法按基金合同约定的时限支付赎回款项、赎回时承担冲击成本产生资金损失等影响。</w:t>
      </w:r>
    </w:p>
    <w:p w14:paraId="1A0DA6FA" w14:textId="77777777" w:rsidR="00AE3DA6" w:rsidRDefault="00795E23">
      <w:pPr>
        <w:pStyle w:val="HD"/>
      </w:pPr>
      <w:r>
        <w:rPr>
          <w:rFonts w:hint="eastAsia"/>
        </w:rPr>
        <w:t>四、本基金特有的风险</w:t>
      </w:r>
    </w:p>
    <w:p w14:paraId="18CB84E3" w14:textId="77777777" w:rsidR="00AE3DA6" w:rsidRDefault="00795E23">
      <w:pPr>
        <w:pStyle w:val="HD"/>
      </w:pPr>
      <w:r>
        <w:rPr>
          <w:rFonts w:hint="eastAsia"/>
        </w:rPr>
        <w:t>1</w:t>
      </w:r>
      <w:r>
        <w:rPr>
          <w:rFonts w:hint="eastAsia"/>
        </w:rPr>
        <w:t>、标的指数的风险：即标的指数因为编制方法的缺陷有可能导致标的指数的表现与总体市场表现存在差异，因标的指数编制方法的不成熟也可能导致指数调整较大，增加基金投资成本，并有可能因此而增加跟踪误差，影响投资收益。</w:t>
      </w:r>
    </w:p>
    <w:p w14:paraId="52B5B78E" w14:textId="77777777" w:rsidR="00AE3DA6" w:rsidRDefault="00795E23">
      <w:pPr>
        <w:pStyle w:val="HD"/>
      </w:pPr>
      <w:r>
        <w:rPr>
          <w:rFonts w:hint="eastAsia"/>
        </w:rPr>
        <w:t>2</w:t>
      </w:r>
      <w:r>
        <w:rPr>
          <w:rFonts w:hint="eastAsia"/>
        </w:rPr>
        <w:t>、标的指数波动的风险：标的指数成份股的价格可能受到政治因素、经济因素、上市公司状况、投资人心理和交易制度等各种因素的影响而波动，导致指数波动，从而使基金收益水平发生变化，产生风险。</w:t>
      </w:r>
    </w:p>
    <w:p w14:paraId="204F9A2E" w14:textId="77777777" w:rsidR="00AE3DA6" w:rsidRDefault="00795E23">
      <w:pPr>
        <w:pStyle w:val="HD"/>
      </w:pPr>
      <w:r>
        <w:rPr>
          <w:rFonts w:hint="eastAsia"/>
        </w:rPr>
        <w:t>3</w:t>
      </w:r>
      <w:r>
        <w:rPr>
          <w:rFonts w:hint="eastAsia"/>
        </w:rPr>
        <w:t>、跟踪偏离风险</w:t>
      </w:r>
      <w:r>
        <w:rPr>
          <w:rFonts w:hint="eastAsia"/>
        </w:rPr>
        <w:t>/</w:t>
      </w:r>
      <w:r>
        <w:rPr>
          <w:rFonts w:hint="eastAsia"/>
        </w:rPr>
        <w:t>跟踪误差控制未达约定目标的风险：即基金在跟踪标的指数时由于各种原因导致基金的业绩表现与标的指数表现之间产生差异的不确定性，包括但不限于以下因素：</w:t>
      </w:r>
    </w:p>
    <w:p w14:paraId="28DA9727" w14:textId="77777777" w:rsidR="00AE3DA6" w:rsidRDefault="00795E23">
      <w:pPr>
        <w:pStyle w:val="HD"/>
      </w:pPr>
      <w:r>
        <w:rPr>
          <w:rFonts w:hint="eastAsia"/>
        </w:rPr>
        <w:t>（</w:t>
      </w:r>
      <w:r>
        <w:rPr>
          <w:rFonts w:hint="eastAsia"/>
        </w:rPr>
        <w:t>1</w:t>
      </w:r>
      <w:r>
        <w:rPr>
          <w:rFonts w:hint="eastAsia"/>
        </w:rPr>
        <w:t>）标的指数成份股的配股、增发、分红等公司行为；</w:t>
      </w:r>
    </w:p>
    <w:p w14:paraId="64E56EBC" w14:textId="77777777" w:rsidR="00AE3DA6" w:rsidRDefault="00795E23">
      <w:pPr>
        <w:pStyle w:val="HD"/>
      </w:pPr>
      <w:r>
        <w:rPr>
          <w:rFonts w:hint="eastAsia"/>
        </w:rPr>
        <w:t>（</w:t>
      </w:r>
      <w:r>
        <w:rPr>
          <w:rFonts w:hint="eastAsia"/>
        </w:rPr>
        <w:t>2</w:t>
      </w:r>
      <w:r>
        <w:rPr>
          <w:rFonts w:hint="eastAsia"/>
        </w:rPr>
        <w:t>）标的指数成份股的调整；</w:t>
      </w:r>
    </w:p>
    <w:p w14:paraId="50D60BA5" w14:textId="77777777" w:rsidR="00AE3DA6" w:rsidRDefault="00795E23">
      <w:pPr>
        <w:pStyle w:val="HD"/>
      </w:pPr>
      <w:r>
        <w:rPr>
          <w:rFonts w:hint="eastAsia"/>
        </w:rPr>
        <w:t>（</w:t>
      </w:r>
      <w:r>
        <w:rPr>
          <w:rFonts w:hint="eastAsia"/>
        </w:rPr>
        <w:t>3</w:t>
      </w:r>
      <w:r>
        <w:rPr>
          <w:rFonts w:hint="eastAsia"/>
        </w:rPr>
        <w:t>）基金买卖股票时产生的交易成本和交易冲击；</w:t>
      </w:r>
    </w:p>
    <w:p w14:paraId="3E89A19E" w14:textId="77777777" w:rsidR="00AE3DA6" w:rsidRDefault="00795E23">
      <w:pPr>
        <w:pStyle w:val="HD"/>
      </w:pPr>
      <w:r>
        <w:rPr>
          <w:rFonts w:hint="eastAsia"/>
        </w:rPr>
        <w:t>（</w:t>
      </w:r>
      <w:r>
        <w:rPr>
          <w:rFonts w:hint="eastAsia"/>
        </w:rPr>
        <w:t>4</w:t>
      </w:r>
      <w:r>
        <w:rPr>
          <w:rFonts w:hint="eastAsia"/>
        </w:rPr>
        <w:t>）申购、赎回因素带来的跟踪误差；</w:t>
      </w:r>
    </w:p>
    <w:p w14:paraId="4109FAB9" w14:textId="77777777" w:rsidR="00AE3DA6" w:rsidRDefault="00795E23">
      <w:pPr>
        <w:pStyle w:val="HD"/>
      </w:pPr>
      <w:r>
        <w:rPr>
          <w:rFonts w:hint="eastAsia"/>
        </w:rPr>
        <w:t>（</w:t>
      </w:r>
      <w:r>
        <w:rPr>
          <w:rFonts w:hint="eastAsia"/>
        </w:rPr>
        <w:t>5</w:t>
      </w:r>
      <w:r>
        <w:rPr>
          <w:rFonts w:hint="eastAsia"/>
        </w:rPr>
        <w:t>）新股市值配售、新股认购带来的跟踪误差；</w:t>
      </w:r>
    </w:p>
    <w:p w14:paraId="36E45A42" w14:textId="77777777" w:rsidR="00AE3DA6" w:rsidRDefault="00795E23">
      <w:pPr>
        <w:pStyle w:val="HD"/>
      </w:pPr>
      <w:r>
        <w:rPr>
          <w:rFonts w:hint="eastAsia"/>
        </w:rPr>
        <w:t>（</w:t>
      </w:r>
      <w:r>
        <w:rPr>
          <w:rFonts w:hint="eastAsia"/>
        </w:rPr>
        <w:t>6</w:t>
      </w:r>
      <w:r>
        <w:rPr>
          <w:rFonts w:hint="eastAsia"/>
        </w:rPr>
        <w:t>）基金现金资产的拖累；</w:t>
      </w:r>
    </w:p>
    <w:p w14:paraId="716761A7" w14:textId="77777777" w:rsidR="00AE3DA6" w:rsidRDefault="00795E23">
      <w:pPr>
        <w:pStyle w:val="HD"/>
      </w:pPr>
      <w:r>
        <w:rPr>
          <w:rFonts w:hint="eastAsia"/>
        </w:rPr>
        <w:t>（</w:t>
      </w:r>
      <w:r>
        <w:rPr>
          <w:rFonts w:hint="eastAsia"/>
        </w:rPr>
        <w:t>7</w:t>
      </w:r>
      <w:r>
        <w:rPr>
          <w:rFonts w:hint="eastAsia"/>
        </w:rPr>
        <w:t>）基金的管理费、托管费和销售服务费等带来的跟踪误差；</w:t>
      </w:r>
    </w:p>
    <w:p w14:paraId="261A2F0B" w14:textId="77777777" w:rsidR="00AE3DA6" w:rsidRDefault="00795E23">
      <w:pPr>
        <w:pStyle w:val="HD"/>
      </w:pPr>
      <w:r>
        <w:rPr>
          <w:rFonts w:hint="eastAsia"/>
        </w:rPr>
        <w:t>（</w:t>
      </w:r>
      <w:r>
        <w:rPr>
          <w:rFonts w:hint="eastAsia"/>
        </w:rPr>
        <w:t>8</w:t>
      </w:r>
      <w:r>
        <w:rPr>
          <w:rFonts w:hint="eastAsia"/>
        </w:rPr>
        <w:t>）标的指数成份股停牌、摘牌，成份股涨、跌停板等因素带来的偏差；</w:t>
      </w:r>
    </w:p>
    <w:p w14:paraId="558B77B6" w14:textId="77777777" w:rsidR="00AE3DA6" w:rsidRDefault="00795E23">
      <w:pPr>
        <w:pStyle w:val="HD"/>
      </w:pPr>
      <w:r>
        <w:rPr>
          <w:rFonts w:hint="eastAsia"/>
        </w:rPr>
        <w:t>（</w:t>
      </w:r>
      <w:r>
        <w:rPr>
          <w:rFonts w:hint="eastAsia"/>
        </w:rPr>
        <w:t>9</w:t>
      </w:r>
      <w:r>
        <w:rPr>
          <w:rFonts w:hint="eastAsia"/>
        </w:rPr>
        <w:t>）基金管理人的买入卖出时机选择；</w:t>
      </w:r>
    </w:p>
    <w:p w14:paraId="627C5C3A" w14:textId="77777777" w:rsidR="00AE3DA6" w:rsidRDefault="00795E23">
      <w:pPr>
        <w:pStyle w:val="HD"/>
      </w:pPr>
      <w:r>
        <w:rPr>
          <w:rFonts w:hint="eastAsia"/>
        </w:rPr>
        <w:t>（</w:t>
      </w:r>
      <w:r>
        <w:rPr>
          <w:rFonts w:hint="eastAsia"/>
        </w:rPr>
        <w:t>10</w:t>
      </w:r>
      <w:r>
        <w:rPr>
          <w:rFonts w:hint="eastAsia"/>
        </w:rPr>
        <w:t>）其他因素带来的偏差。</w:t>
      </w:r>
    </w:p>
    <w:p w14:paraId="15AABDD6" w14:textId="77777777" w:rsidR="00AE3DA6" w:rsidRDefault="00795E23">
      <w:pPr>
        <w:pStyle w:val="HD"/>
        <w:rPr>
          <w:rFonts w:ascii="宋体" w:hAnsi="宋体"/>
        </w:rPr>
      </w:pPr>
      <w:r>
        <w:rPr>
          <w:rFonts w:hint="eastAsia"/>
        </w:rPr>
        <w:t>4</w:t>
      </w:r>
      <w:r>
        <w:rPr>
          <w:rFonts w:hint="eastAsia"/>
        </w:rPr>
        <w:t>、</w:t>
      </w:r>
      <w:r>
        <w:rPr>
          <w:rFonts w:ascii="宋体" w:hAnsi="宋体" w:hint="eastAsia"/>
        </w:rPr>
        <w:t>投资于目标ETF带来的风险</w:t>
      </w:r>
    </w:p>
    <w:p w14:paraId="52417110" w14:textId="77777777" w:rsidR="00AE3DA6" w:rsidRDefault="00795E23">
      <w:pPr>
        <w:adjustRightInd w:val="0"/>
        <w:snapToGrid w:val="0"/>
        <w:spacing w:line="360" w:lineRule="auto"/>
        <w:ind w:firstLine="420"/>
        <w:rPr>
          <w:rFonts w:ascii="宋体" w:hAnsi="宋体"/>
        </w:rPr>
      </w:pPr>
      <w:r>
        <w:rPr>
          <w:rFonts w:ascii="宋体" w:hAnsi="宋体" w:hint="eastAsia"/>
        </w:rPr>
        <w:t>由于主要投资于目标ETF，所以本基金会面临诸如目标ETF的管理风险与操作风险、目标ETF基金份额二级市场交易价格波动风险和折溢价的风险、目标ETF的技术风险等风险。</w:t>
      </w:r>
    </w:p>
    <w:p w14:paraId="339B671A" w14:textId="77777777" w:rsidR="00AE3DA6" w:rsidRDefault="00795E23">
      <w:pPr>
        <w:adjustRightInd w:val="0"/>
        <w:snapToGrid w:val="0"/>
        <w:spacing w:line="360" w:lineRule="auto"/>
        <w:ind w:firstLine="420"/>
        <w:rPr>
          <w:rFonts w:ascii="宋体" w:hAnsi="宋体"/>
        </w:rPr>
      </w:pPr>
      <w:r>
        <w:rPr>
          <w:rFonts w:ascii="宋体" w:hAnsi="宋体"/>
        </w:rPr>
        <w:t>5</w:t>
      </w:r>
      <w:r>
        <w:rPr>
          <w:rFonts w:ascii="宋体" w:hAnsi="宋体" w:hint="eastAsia"/>
        </w:rPr>
        <w:t>、基金投资组合收益率与业绩比较基准收益率偏离的风险</w:t>
      </w:r>
    </w:p>
    <w:p w14:paraId="6BCF26AF" w14:textId="77777777" w:rsidR="00AE3DA6" w:rsidRDefault="00795E23">
      <w:pPr>
        <w:adjustRightInd w:val="0"/>
        <w:snapToGrid w:val="0"/>
        <w:spacing w:line="360" w:lineRule="auto"/>
        <w:ind w:firstLine="420"/>
        <w:rPr>
          <w:rFonts w:ascii="宋体" w:hAnsi="宋体"/>
        </w:rPr>
      </w:pPr>
      <w:r>
        <w:rPr>
          <w:rFonts w:ascii="宋体" w:hAnsi="宋体" w:hint="eastAsia"/>
        </w:rPr>
        <w:t>本基金业绩比较基准仅为基金业绩提供对比的参考基准，业绩比较基准的表现并不代表基金实际的收益情况，也不作为对基金收益的预测。本基金实际运作中投资的对象及其权重，与业绩比较基准的构成及其权重可能并非完全一致，可能出现投资组合收益率与业绩比较基准收益率偏离的风险。</w:t>
      </w:r>
    </w:p>
    <w:p w14:paraId="050C0A67" w14:textId="77777777" w:rsidR="00AE3DA6" w:rsidRDefault="00795E23">
      <w:pPr>
        <w:adjustRightInd w:val="0"/>
        <w:snapToGrid w:val="0"/>
        <w:spacing w:line="360" w:lineRule="auto"/>
        <w:ind w:firstLine="420"/>
        <w:rPr>
          <w:rFonts w:ascii="宋体" w:hAnsi="宋体"/>
        </w:rPr>
      </w:pPr>
      <w:r>
        <w:rPr>
          <w:rFonts w:ascii="宋体" w:hAnsi="宋体"/>
        </w:rPr>
        <w:t>6</w:t>
      </w:r>
      <w:r>
        <w:rPr>
          <w:rFonts w:ascii="宋体" w:hAnsi="宋体" w:hint="eastAsia"/>
        </w:rPr>
        <w:t>、投资于存托凭证的风险</w:t>
      </w:r>
    </w:p>
    <w:p w14:paraId="39F7CA97" w14:textId="77777777" w:rsidR="00AE3DA6" w:rsidRDefault="00795E23">
      <w:pPr>
        <w:adjustRightInd w:val="0"/>
        <w:snapToGrid w:val="0"/>
        <w:spacing w:line="360" w:lineRule="auto"/>
        <w:ind w:firstLine="420"/>
        <w:rPr>
          <w:rFonts w:ascii="宋体" w:hAnsi="宋体"/>
        </w:rPr>
      </w:pPr>
      <w:r>
        <w:rPr>
          <w:rFonts w:ascii="宋体" w:hAnsi="宋体" w:hint="eastAsia"/>
        </w:rPr>
        <w:t>本基金的投资范围包括中国存托凭证，除与其他仅投资于沪深市场股票的基金所面临的共同风险外，存托凭证有可能出现股价波动较大的情况，投资者有可能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7223CD08" w14:textId="77777777" w:rsidR="00AE3DA6" w:rsidRDefault="00795E23">
      <w:pPr>
        <w:adjustRightInd w:val="0"/>
        <w:snapToGrid w:val="0"/>
        <w:spacing w:line="360" w:lineRule="auto"/>
        <w:ind w:firstLine="420"/>
        <w:rPr>
          <w:rFonts w:ascii="宋体" w:hAnsi="宋体"/>
        </w:rPr>
      </w:pPr>
      <w:r>
        <w:rPr>
          <w:rFonts w:ascii="宋体" w:hAnsi="宋体" w:hint="eastAsia"/>
        </w:rPr>
        <w:t>但基金资产并非必然参与存托凭证的投资，基金可根据投资策略需要或不同市场环境的变化，选择是否采用存托凭证投资策略。</w:t>
      </w:r>
    </w:p>
    <w:p w14:paraId="627DA55D" w14:textId="77777777" w:rsidR="00AE3DA6" w:rsidRDefault="00795E23">
      <w:pPr>
        <w:adjustRightInd w:val="0"/>
        <w:snapToGrid w:val="0"/>
        <w:spacing w:line="360" w:lineRule="auto"/>
        <w:ind w:firstLine="420"/>
        <w:rPr>
          <w:rFonts w:ascii="宋体" w:hAnsi="宋体"/>
        </w:rPr>
      </w:pPr>
      <w:r>
        <w:rPr>
          <w:rFonts w:ascii="宋体" w:hAnsi="宋体" w:cs="Times New Roman"/>
        </w:rPr>
        <w:t>7</w:t>
      </w:r>
      <w:r>
        <w:rPr>
          <w:rFonts w:ascii="宋体" w:hAnsi="宋体" w:cs="Times New Roman" w:hint="eastAsia"/>
        </w:rPr>
        <w:t>、</w:t>
      </w:r>
      <w:r>
        <w:rPr>
          <w:rFonts w:ascii="宋体" w:hAnsi="宋体" w:hint="eastAsia"/>
        </w:rPr>
        <w:t>指数编制机构停止服务的风险</w:t>
      </w:r>
    </w:p>
    <w:p w14:paraId="093DCB90" w14:textId="77777777" w:rsidR="00AE3DA6" w:rsidRDefault="00795E23">
      <w:pPr>
        <w:pStyle w:val="HD"/>
        <w:rPr>
          <w:rFonts w:ascii="宋体" w:hAnsi="宋体"/>
        </w:rPr>
      </w:pPr>
      <w:r>
        <w:rPr>
          <w:rFonts w:ascii="宋体" w:hAnsi="宋体" w:hint="eastAsia"/>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投资人将面临转换运作方式、与其他基金合并或者终止基金合同等风险。</w:t>
      </w:r>
    </w:p>
    <w:p w14:paraId="22B70092" w14:textId="77777777" w:rsidR="00AE3DA6" w:rsidRDefault="00795E23">
      <w:pPr>
        <w:pStyle w:val="HD"/>
        <w:rPr>
          <w:rFonts w:ascii="宋体" w:hAnsi="宋体"/>
        </w:rPr>
      </w:pPr>
      <w:r>
        <w:rPr>
          <w:rFonts w:ascii="宋体" w:hAnsi="宋体" w:hint="eastAsia"/>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619DAFC9" w14:textId="77777777" w:rsidR="00AE3DA6" w:rsidRDefault="00795E23">
      <w:pPr>
        <w:pStyle w:val="HD"/>
        <w:rPr>
          <w:rFonts w:ascii="宋体" w:hAnsi="宋体"/>
        </w:rPr>
      </w:pPr>
      <w:r>
        <w:rPr>
          <w:rFonts w:ascii="宋体" w:hAnsi="宋体"/>
        </w:rPr>
        <w:t>8</w:t>
      </w:r>
      <w:r>
        <w:rPr>
          <w:rFonts w:ascii="宋体" w:hAnsi="宋体" w:hint="eastAsia"/>
        </w:rPr>
        <w:t>、成份股停牌、摘牌的风险</w:t>
      </w:r>
    </w:p>
    <w:p w14:paraId="796DAE8C" w14:textId="77777777" w:rsidR="00AE3DA6" w:rsidRDefault="00795E23">
      <w:pPr>
        <w:pStyle w:val="HD"/>
        <w:rPr>
          <w:rFonts w:ascii="宋体" w:hAnsi="宋体"/>
        </w:rPr>
      </w:pPr>
      <w:r>
        <w:rPr>
          <w:rFonts w:ascii="宋体" w:hAnsi="宋体" w:hint="eastAsia"/>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14:paraId="7FCE2CB6" w14:textId="77777777" w:rsidR="00AE3DA6" w:rsidRDefault="00795E23">
      <w:pPr>
        <w:pStyle w:val="HD"/>
        <w:rPr>
          <w:rFonts w:ascii="宋体"/>
        </w:rPr>
      </w:pPr>
      <w:r>
        <w:rPr>
          <w:rFonts w:ascii="宋体" w:hAnsi="宋体" w:hint="eastAsia"/>
        </w:rPr>
        <w:t>本基金运作过程中，当标的指数成份股发生明显负面事件面临退市风险，且指数编制机构暂未作出调整的，基金管理人应当按照基金份额持有人利益优先的原则，履行内部决策程序后及时对相关成份股进行调整，但并不保证能因此避免该成份股对本基金基金财产的影响，当基金管理人对该成份股予以调整时也可能产生跟踪偏离度和跟踪误差扩大等风险。</w:t>
      </w:r>
    </w:p>
    <w:p w14:paraId="23964C10" w14:textId="77777777" w:rsidR="00AE3DA6" w:rsidRDefault="00795E23">
      <w:pPr>
        <w:pStyle w:val="HD"/>
      </w:pPr>
      <w:r>
        <w:t>9</w:t>
      </w:r>
      <w:r>
        <w:rPr>
          <w:rFonts w:hint="eastAsia"/>
        </w:rPr>
        <w:t>、投资股指期货的风险</w:t>
      </w:r>
    </w:p>
    <w:p w14:paraId="57F0C4B9" w14:textId="77777777" w:rsidR="00AE3DA6" w:rsidRDefault="00795E23">
      <w:pPr>
        <w:pStyle w:val="HD"/>
        <w:rPr>
          <w:rFonts w:hAnsi="宋体"/>
        </w:rPr>
      </w:pPr>
      <w:r>
        <w:rPr>
          <w:rFonts w:hAnsi="宋体" w:hint="eastAsia"/>
        </w:rPr>
        <w:t>本基金可投资于股指期货，股指期货作为一种金融衍生品，主要存在以下风险：</w:t>
      </w:r>
    </w:p>
    <w:p w14:paraId="4AB7CEEA" w14:textId="77777777" w:rsidR="00AE3DA6" w:rsidRDefault="00795E23">
      <w:pPr>
        <w:pStyle w:val="34"/>
        <w:snapToGrid w:val="0"/>
        <w:spacing w:line="360" w:lineRule="auto"/>
        <w:ind w:firstLineChars="200" w:firstLine="420"/>
        <w:rPr>
          <w:rFonts w:hAnsi="宋体"/>
          <w:sz w:val="21"/>
          <w:szCs w:val="21"/>
        </w:rPr>
      </w:pPr>
      <w:r>
        <w:rPr>
          <w:rFonts w:hAnsi="宋体"/>
          <w:sz w:val="21"/>
          <w:szCs w:val="21"/>
        </w:rPr>
        <w:t>（1）市场风险：是指由于股指期货价格变动而给投资人带来的风险。</w:t>
      </w:r>
    </w:p>
    <w:p w14:paraId="0889BB75" w14:textId="77777777" w:rsidR="00AE3DA6" w:rsidRDefault="00795E23">
      <w:pPr>
        <w:pStyle w:val="34"/>
        <w:snapToGrid w:val="0"/>
        <w:spacing w:line="360" w:lineRule="auto"/>
        <w:ind w:firstLineChars="200" w:firstLine="420"/>
        <w:rPr>
          <w:rFonts w:hAnsi="宋体"/>
          <w:sz w:val="21"/>
          <w:szCs w:val="21"/>
        </w:rPr>
      </w:pPr>
      <w:r>
        <w:rPr>
          <w:rFonts w:hAnsi="宋体"/>
          <w:sz w:val="21"/>
          <w:szCs w:val="21"/>
        </w:rPr>
        <w:t>（2）流动性风险：是指由于股指期货合约无法及时变现所带来的风险。</w:t>
      </w:r>
    </w:p>
    <w:p w14:paraId="26E91FD1" w14:textId="77777777" w:rsidR="00AE3DA6" w:rsidRDefault="00795E23">
      <w:pPr>
        <w:pStyle w:val="34"/>
        <w:snapToGrid w:val="0"/>
        <w:spacing w:line="360" w:lineRule="auto"/>
        <w:ind w:firstLineChars="200" w:firstLine="420"/>
        <w:rPr>
          <w:rFonts w:hAnsi="宋体"/>
          <w:sz w:val="21"/>
          <w:szCs w:val="21"/>
        </w:rPr>
      </w:pPr>
      <w:r>
        <w:rPr>
          <w:rFonts w:hAnsi="宋体"/>
          <w:sz w:val="21"/>
          <w:szCs w:val="21"/>
        </w:rPr>
        <w:t>（3）基差风险：是指股指期货合约价格和标的指数价格之间的价格差的波动所造成的风险。</w:t>
      </w:r>
    </w:p>
    <w:p w14:paraId="58766420" w14:textId="77777777" w:rsidR="00AE3DA6" w:rsidRDefault="00795E23">
      <w:pPr>
        <w:pStyle w:val="34"/>
        <w:snapToGrid w:val="0"/>
        <w:spacing w:line="360" w:lineRule="auto"/>
        <w:ind w:firstLineChars="200" w:firstLine="420"/>
        <w:rPr>
          <w:rFonts w:hAnsi="宋体"/>
          <w:sz w:val="21"/>
          <w:szCs w:val="21"/>
        </w:rPr>
      </w:pPr>
      <w:r>
        <w:rPr>
          <w:rFonts w:hAnsi="宋体"/>
          <w:sz w:val="21"/>
          <w:szCs w:val="21"/>
        </w:rPr>
        <w:t>（4）保证金风险：是指由于无法及时筹措资金满足建立或者维持股指期货合约头寸所要求的保证金而带来的风险。</w:t>
      </w:r>
    </w:p>
    <w:p w14:paraId="50EBF93D" w14:textId="77777777" w:rsidR="00AE3DA6" w:rsidRDefault="00795E23">
      <w:pPr>
        <w:pStyle w:val="34"/>
        <w:snapToGrid w:val="0"/>
        <w:spacing w:line="360" w:lineRule="auto"/>
        <w:ind w:firstLineChars="200" w:firstLine="420"/>
        <w:rPr>
          <w:rFonts w:hAnsi="宋体"/>
          <w:sz w:val="21"/>
          <w:szCs w:val="21"/>
        </w:rPr>
      </w:pPr>
      <w:r>
        <w:rPr>
          <w:rFonts w:hAnsi="宋体"/>
          <w:sz w:val="21"/>
          <w:szCs w:val="21"/>
        </w:rPr>
        <w:t>（5）杠杆风险：因股指期货采用保证金交易而存在杠杆，基金财产可能因此产生更大的收益波动。</w:t>
      </w:r>
    </w:p>
    <w:p w14:paraId="07C57C4B" w14:textId="77777777" w:rsidR="00AE3DA6" w:rsidRDefault="00795E23">
      <w:pPr>
        <w:pStyle w:val="34"/>
        <w:snapToGrid w:val="0"/>
        <w:spacing w:line="360" w:lineRule="auto"/>
        <w:ind w:firstLineChars="200" w:firstLine="420"/>
        <w:rPr>
          <w:rFonts w:hAnsi="宋体"/>
          <w:sz w:val="21"/>
          <w:szCs w:val="21"/>
        </w:rPr>
      </w:pPr>
      <w:r>
        <w:rPr>
          <w:rFonts w:hAnsi="宋体"/>
          <w:sz w:val="21"/>
          <w:szCs w:val="21"/>
        </w:rPr>
        <w:t>（6）信用风险：是指期货经纪公司违约而产生损失的风险。</w:t>
      </w:r>
    </w:p>
    <w:p w14:paraId="3E3E08A3" w14:textId="77777777" w:rsidR="00AE3DA6" w:rsidRDefault="00795E23">
      <w:pPr>
        <w:pStyle w:val="34"/>
        <w:snapToGrid w:val="0"/>
        <w:spacing w:line="360" w:lineRule="auto"/>
        <w:ind w:firstLineChars="200" w:firstLine="420"/>
        <w:rPr>
          <w:rFonts w:hAnsi="宋体"/>
          <w:sz w:val="21"/>
          <w:szCs w:val="21"/>
        </w:rPr>
      </w:pPr>
      <w:r>
        <w:rPr>
          <w:rFonts w:hAnsi="宋体"/>
          <w:sz w:val="21"/>
          <w:szCs w:val="21"/>
        </w:rPr>
        <w:t>（7）操作风险：是指由于内部流程的不完善，业务人员出现差错或者疏漏，或者系统出现故障等原因造成损失的风险。</w:t>
      </w:r>
    </w:p>
    <w:p w14:paraId="6CDE2250" w14:textId="77777777" w:rsidR="00AE3DA6" w:rsidRDefault="00795E23">
      <w:pPr>
        <w:pStyle w:val="34"/>
        <w:snapToGrid w:val="0"/>
        <w:spacing w:line="360" w:lineRule="auto"/>
        <w:ind w:firstLineChars="200" w:firstLine="420"/>
        <w:rPr>
          <w:rFonts w:hAnsi="宋体"/>
          <w:sz w:val="21"/>
          <w:szCs w:val="21"/>
        </w:rPr>
      </w:pPr>
      <w:r>
        <w:rPr>
          <w:rFonts w:hAnsi="宋体" w:hint="eastAsia"/>
          <w:sz w:val="21"/>
          <w:szCs w:val="21"/>
        </w:rPr>
        <w:t>1</w:t>
      </w:r>
      <w:r>
        <w:rPr>
          <w:rFonts w:hAnsi="宋体"/>
          <w:sz w:val="21"/>
          <w:szCs w:val="21"/>
        </w:rPr>
        <w:t>0</w:t>
      </w:r>
      <w:r>
        <w:rPr>
          <w:rFonts w:hAnsi="宋体" w:hint="eastAsia"/>
          <w:sz w:val="21"/>
          <w:szCs w:val="21"/>
        </w:rPr>
        <w:t>、投资股票期权的风险</w:t>
      </w:r>
    </w:p>
    <w:p w14:paraId="20D753BF" w14:textId="77777777" w:rsidR="00AE3DA6" w:rsidRDefault="00795E23">
      <w:pPr>
        <w:pStyle w:val="34"/>
        <w:snapToGrid w:val="0"/>
        <w:spacing w:line="360" w:lineRule="auto"/>
        <w:ind w:firstLineChars="200" w:firstLine="420"/>
        <w:rPr>
          <w:rFonts w:hAnsi="宋体"/>
          <w:sz w:val="21"/>
          <w:szCs w:val="21"/>
        </w:rPr>
      </w:pPr>
      <w:r>
        <w:rPr>
          <w:rFonts w:hAnsi="宋体" w:hint="eastAsia"/>
          <w:sz w:val="21"/>
          <w:szCs w:val="21"/>
        </w:rPr>
        <w:t>股票期权价格主要受到标的资产价格水平、标的资产价格波动率、期权到期时间、市场利率水平等因素的影响。因此，投资股票期权主要存在Delta风险、Gamma风险、Vega风险、Theta风险以及Rho风险。同时，投资股票期权的风险包括但不限于流动性风险、信用风险、操作风险等。由此可能增加本基金净值的波动性。</w:t>
      </w:r>
    </w:p>
    <w:p w14:paraId="7FB48373" w14:textId="77777777" w:rsidR="00AE3DA6" w:rsidRDefault="00795E23">
      <w:pPr>
        <w:pStyle w:val="34"/>
        <w:snapToGrid w:val="0"/>
        <w:spacing w:line="360" w:lineRule="auto"/>
        <w:ind w:firstLineChars="200" w:firstLine="420"/>
        <w:rPr>
          <w:rFonts w:hAnsi="宋体"/>
          <w:sz w:val="21"/>
          <w:szCs w:val="21"/>
        </w:rPr>
      </w:pPr>
      <w:r>
        <w:rPr>
          <w:rFonts w:hAnsi="宋体"/>
          <w:sz w:val="21"/>
          <w:szCs w:val="21"/>
        </w:rPr>
        <w:t>11</w:t>
      </w:r>
      <w:r>
        <w:rPr>
          <w:rFonts w:hAnsi="宋体" w:hint="eastAsia"/>
          <w:sz w:val="21"/>
          <w:szCs w:val="21"/>
        </w:rPr>
        <w:t>、本基金投资资产支持证券的风险</w:t>
      </w:r>
    </w:p>
    <w:p w14:paraId="4B23D467" w14:textId="77777777" w:rsidR="00AE3DA6" w:rsidRDefault="00795E23">
      <w:pPr>
        <w:pStyle w:val="34"/>
        <w:snapToGrid w:val="0"/>
        <w:spacing w:line="360" w:lineRule="auto"/>
        <w:ind w:firstLineChars="200" w:firstLine="420"/>
        <w:rPr>
          <w:rFonts w:hAnsi="宋体"/>
          <w:sz w:val="21"/>
          <w:szCs w:val="21"/>
        </w:rPr>
      </w:pPr>
      <w:r>
        <w:rPr>
          <w:rFonts w:hAnsi="宋体" w:hint="eastAsia"/>
          <w:sz w:val="21"/>
          <w:szCs w:val="21"/>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14:paraId="3898568D" w14:textId="77777777" w:rsidR="00AE3DA6" w:rsidRDefault="00795E23">
      <w:pPr>
        <w:pStyle w:val="34"/>
        <w:snapToGrid w:val="0"/>
        <w:spacing w:line="360" w:lineRule="auto"/>
        <w:ind w:firstLineChars="200" w:firstLine="420"/>
        <w:rPr>
          <w:rFonts w:hAnsi="宋体"/>
          <w:sz w:val="21"/>
          <w:szCs w:val="21"/>
        </w:rPr>
      </w:pPr>
      <w:r>
        <w:rPr>
          <w:rFonts w:hAnsi="宋体"/>
          <w:sz w:val="21"/>
          <w:szCs w:val="21"/>
        </w:rPr>
        <w:t>12</w:t>
      </w:r>
      <w:r>
        <w:rPr>
          <w:rFonts w:hAnsi="宋体" w:hint="eastAsia"/>
          <w:sz w:val="21"/>
          <w:szCs w:val="21"/>
        </w:rPr>
        <w:t>、本基金投资流通受限证券的风险</w:t>
      </w:r>
    </w:p>
    <w:p w14:paraId="473D1E9D" w14:textId="77777777" w:rsidR="00AE3DA6" w:rsidRDefault="00795E23">
      <w:pPr>
        <w:pStyle w:val="34"/>
        <w:snapToGrid w:val="0"/>
        <w:spacing w:line="360" w:lineRule="auto"/>
        <w:ind w:firstLineChars="200" w:firstLine="420"/>
        <w:rPr>
          <w:rFonts w:hAnsi="宋体"/>
          <w:sz w:val="21"/>
          <w:szCs w:val="21"/>
        </w:rPr>
      </w:pPr>
      <w:r>
        <w:rPr>
          <w:rFonts w:hAnsi="宋体" w:hint="eastAsia"/>
          <w:sz w:val="21"/>
          <w:szCs w:val="21"/>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14:paraId="0ECC3A24" w14:textId="77777777" w:rsidR="00AE3DA6" w:rsidRDefault="00795E23">
      <w:pPr>
        <w:pStyle w:val="34"/>
        <w:snapToGrid w:val="0"/>
        <w:spacing w:line="360" w:lineRule="auto"/>
        <w:ind w:firstLineChars="200" w:firstLine="420"/>
        <w:rPr>
          <w:rFonts w:hAnsi="宋体"/>
          <w:sz w:val="21"/>
          <w:szCs w:val="21"/>
        </w:rPr>
      </w:pPr>
      <w:r>
        <w:rPr>
          <w:rFonts w:hAnsi="宋体"/>
          <w:sz w:val="21"/>
          <w:szCs w:val="21"/>
        </w:rPr>
        <w:t>13</w:t>
      </w:r>
      <w:r>
        <w:rPr>
          <w:rFonts w:hAnsi="宋体" w:hint="eastAsia"/>
          <w:sz w:val="21"/>
          <w:szCs w:val="21"/>
        </w:rPr>
        <w:t>、本基金参与转融通证券出借业务的风险</w:t>
      </w:r>
    </w:p>
    <w:p w14:paraId="4BDF2708" w14:textId="77777777" w:rsidR="00AE3DA6" w:rsidRDefault="00795E23">
      <w:pPr>
        <w:pStyle w:val="34"/>
        <w:snapToGrid w:val="0"/>
        <w:spacing w:line="360" w:lineRule="auto"/>
        <w:ind w:firstLineChars="200" w:firstLine="420"/>
        <w:rPr>
          <w:rFonts w:hAnsi="宋体"/>
          <w:sz w:val="21"/>
          <w:szCs w:val="21"/>
        </w:rPr>
      </w:pPr>
      <w:r>
        <w:rPr>
          <w:rFonts w:hAnsi="宋体" w:hint="eastAsia"/>
          <w:sz w:val="21"/>
          <w:szCs w:val="21"/>
        </w:rPr>
        <w:t>本基金可根据法律法规和基金合同的约定参与转融通证券出借业务，可能存在转融通业务特有风险，包括但不限于以下风险：</w:t>
      </w:r>
    </w:p>
    <w:p w14:paraId="4AE94156" w14:textId="77777777" w:rsidR="00AE3DA6" w:rsidRDefault="00795E23">
      <w:pPr>
        <w:pStyle w:val="34"/>
        <w:snapToGrid w:val="0"/>
        <w:spacing w:line="360" w:lineRule="auto"/>
        <w:ind w:firstLineChars="200" w:firstLine="420"/>
        <w:rPr>
          <w:rFonts w:hAnsi="宋体"/>
          <w:sz w:val="21"/>
          <w:szCs w:val="21"/>
        </w:rPr>
      </w:pPr>
      <w:r>
        <w:rPr>
          <w:rFonts w:hAnsi="宋体" w:hint="eastAsia"/>
          <w:sz w:val="21"/>
          <w:szCs w:val="21"/>
        </w:rPr>
        <w:t>（1）流动性风险</w:t>
      </w:r>
    </w:p>
    <w:p w14:paraId="717C5B81" w14:textId="77777777" w:rsidR="00AE3DA6" w:rsidRDefault="00795E23">
      <w:pPr>
        <w:pStyle w:val="34"/>
        <w:snapToGrid w:val="0"/>
        <w:spacing w:line="360" w:lineRule="auto"/>
        <w:ind w:firstLineChars="200" w:firstLine="420"/>
        <w:rPr>
          <w:rFonts w:hAnsi="宋体"/>
          <w:sz w:val="21"/>
          <w:szCs w:val="21"/>
        </w:rPr>
      </w:pPr>
      <w:r>
        <w:rPr>
          <w:rFonts w:hAnsi="宋体" w:hint="eastAsia"/>
          <w:sz w:val="21"/>
          <w:szCs w:val="21"/>
        </w:rPr>
        <w:t>面对大额赎回时，可能因证券出借原因发生无法及时变现、支付赎回款项的风险；</w:t>
      </w:r>
    </w:p>
    <w:p w14:paraId="4ACF46D8" w14:textId="77777777" w:rsidR="00AE3DA6" w:rsidRDefault="00795E23">
      <w:pPr>
        <w:pStyle w:val="34"/>
        <w:snapToGrid w:val="0"/>
        <w:spacing w:line="360" w:lineRule="auto"/>
        <w:ind w:firstLineChars="200" w:firstLine="420"/>
        <w:rPr>
          <w:rFonts w:hAnsi="宋体"/>
          <w:sz w:val="21"/>
          <w:szCs w:val="21"/>
        </w:rPr>
      </w:pPr>
      <w:r>
        <w:rPr>
          <w:rFonts w:hAnsi="宋体" w:hint="eastAsia"/>
          <w:sz w:val="21"/>
          <w:szCs w:val="21"/>
        </w:rPr>
        <w:t>（2）信用风险</w:t>
      </w:r>
    </w:p>
    <w:p w14:paraId="0CDDA45D" w14:textId="77777777" w:rsidR="00AE3DA6" w:rsidRDefault="00795E23">
      <w:pPr>
        <w:pStyle w:val="34"/>
        <w:snapToGrid w:val="0"/>
        <w:spacing w:line="360" w:lineRule="auto"/>
        <w:ind w:firstLineChars="200" w:firstLine="420"/>
        <w:rPr>
          <w:rFonts w:hAnsi="宋体"/>
          <w:sz w:val="21"/>
          <w:szCs w:val="21"/>
        </w:rPr>
      </w:pPr>
      <w:r>
        <w:rPr>
          <w:rFonts w:hAnsi="宋体" w:hint="eastAsia"/>
          <w:sz w:val="21"/>
          <w:szCs w:val="21"/>
        </w:rPr>
        <w:t>证券出借对手方可能无法及时归还证券、无法支付相应权益补偿及借券费用的风险；</w:t>
      </w:r>
    </w:p>
    <w:p w14:paraId="2DF739BC" w14:textId="77777777" w:rsidR="00AE3DA6" w:rsidRDefault="00795E23">
      <w:pPr>
        <w:pStyle w:val="34"/>
        <w:snapToGrid w:val="0"/>
        <w:spacing w:line="360" w:lineRule="auto"/>
        <w:ind w:firstLineChars="200" w:firstLine="420"/>
        <w:rPr>
          <w:rFonts w:hAnsi="宋体"/>
          <w:sz w:val="21"/>
          <w:szCs w:val="21"/>
        </w:rPr>
      </w:pPr>
      <w:r>
        <w:rPr>
          <w:rFonts w:hAnsi="宋体" w:hint="eastAsia"/>
          <w:sz w:val="21"/>
          <w:szCs w:val="21"/>
        </w:rPr>
        <w:t>（3）市场风险</w:t>
      </w:r>
    </w:p>
    <w:p w14:paraId="006EB2C0" w14:textId="77777777" w:rsidR="00AE3DA6" w:rsidRDefault="00795E23">
      <w:pPr>
        <w:pStyle w:val="34"/>
        <w:snapToGrid w:val="0"/>
        <w:spacing w:line="360" w:lineRule="auto"/>
        <w:ind w:firstLineChars="200" w:firstLine="420"/>
        <w:rPr>
          <w:rFonts w:hAnsi="宋体"/>
          <w:sz w:val="21"/>
          <w:szCs w:val="21"/>
        </w:rPr>
      </w:pPr>
      <w:r>
        <w:rPr>
          <w:rFonts w:hAnsi="宋体" w:hint="eastAsia"/>
          <w:sz w:val="21"/>
          <w:szCs w:val="21"/>
        </w:rPr>
        <w:t>证券出借后可能面临出借期间无法及时处置证券的风险；</w:t>
      </w:r>
    </w:p>
    <w:p w14:paraId="31CC0DDF" w14:textId="77777777" w:rsidR="00AE3DA6" w:rsidRDefault="00795E23">
      <w:pPr>
        <w:pStyle w:val="34"/>
        <w:snapToGrid w:val="0"/>
        <w:spacing w:line="360" w:lineRule="auto"/>
        <w:ind w:firstLineChars="200" w:firstLine="420"/>
        <w:rPr>
          <w:rFonts w:hAnsi="宋体"/>
          <w:sz w:val="21"/>
          <w:szCs w:val="21"/>
        </w:rPr>
      </w:pPr>
      <w:r>
        <w:rPr>
          <w:rFonts w:hAnsi="宋体" w:hint="eastAsia"/>
          <w:sz w:val="21"/>
          <w:szCs w:val="21"/>
        </w:rPr>
        <w:t>（4）操作风险</w:t>
      </w:r>
    </w:p>
    <w:p w14:paraId="7C3CFE99" w14:textId="77777777" w:rsidR="00AE3DA6" w:rsidRDefault="00795E23">
      <w:pPr>
        <w:pStyle w:val="34"/>
        <w:snapToGrid w:val="0"/>
        <w:spacing w:line="360" w:lineRule="auto"/>
        <w:ind w:firstLineChars="200" w:firstLine="420"/>
        <w:rPr>
          <w:rFonts w:hAnsi="宋体"/>
          <w:sz w:val="21"/>
          <w:szCs w:val="21"/>
        </w:rPr>
      </w:pPr>
      <w:r>
        <w:rPr>
          <w:rFonts w:hAnsi="宋体" w:hint="eastAsia"/>
          <w:sz w:val="21"/>
          <w:szCs w:val="21"/>
        </w:rPr>
        <w:t>由于不完善或有问题的内部操作流程、人员违规或失误、系统故障或外部事件所导致的直接或间接损失的风险。</w:t>
      </w:r>
    </w:p>
    <w:p w14:paraId="4B003013" w14:textId="77777777" w:rsidR="00AE3DA6" w:rsidRDefault="00795E23">
      <w:pPr>
        <w:pStyle w:val="34"/>
        <w:snapToGrid w:val="0"/>
        <w:spacing w:line="360" w:lineRule="auto"/>
        <w:ind w:firstLineChars="200" w:firstLine="420"/>
        <w:rPr>
          <w:rFonts w:hAnsi="宋体"/>
          <w:sz w:val="21"/>
          <w:szCs w:val="21"/>
        </w:rPr>
      </w:pPr>
      <w:r>
        <w:rPr>
          <w:rFonts w:hAnsi="宋体" w:hint="eastAsia"/>
          <w:sz w:val="21"/>
          <w:szCs w:val="21"/>
        </w:rPr>
        <w:t>根据转融通证券出借业务的特点，基金管理人配备了风控、合规、投资、后台等专业的技术人员、升级改造了相关技术系统，制定了参与转融通证券出借业务的投资策略、搭建了健全合理的转融通业务内部控制体系，包括严密完备的管理制度、科学规范的业务控制流程、清晰明确的组织体系与职责分工、灵活有效的风险应对安排，制定或更新了《南方基金转融通证券出借业务风险管理办法》、《南方基金转融通证券出借交易操作指引》、《南方基金转融通证券出借业务投资管理制度》等风险管理制度，完善了开展转融通出借业务的相关安排，保障转融通出借业务的顺利开展。</w:t>
      </w:r>
    </w:p>
    <w:p w14:paraId="61412E21" w14:textId="5166A199" w:rsidR="00AE3DA6" w:rsidRDefault="00795E23">
      <w:pPr>
        <w:pStyle w:val="34"/>
        <w:snapToGrid w:val="0"/>
        <w:spacing w:line="360" w:lineRule="auto"/>
        <w:ind w:firstLineChars="200" w:firstLine="420"/>
        <w:rPr>
          <w:rFonts w:hAnsi="宋体"/>
          <w:sz w:val="21"/>
          <w:szCs w:val="21"/>
        </w:rPr>
      </w:pPr>
      <w:r>
        <w:rPr>
          <w:rFonts w:hAnsi="宋体" w:hint="eastAsia"/>
          <w:sz w:val="21"/>
          <w:szCs w:val="21"/>
        </w:rPr>
        <w:t>除上述风险外，本基金参与转融通证券出借业务还应关注外部监管机构或基金管理人要求关注的其他风险。</w:t>
      </w:r>
    </w:p>
    <w:p w14:paraId="581ED541" w14:textId="55F5773B" w:rsidR="00EB18F2" w:rsidRPr="00EB18F2" w:rsidRDefault="00EB18F2" w:rsidP="00EB18F2">
      <w:pPr>
        <w:pStyle w:val="34"/>
        <w:snapToGrid w:val="0"/>
        <w:spacing w:line="360" w:lineRule="auto"/>
        <w:ind w:firstLineChars="200" w:firstLine="420"/>
        <w:rPr>
          <w:rFonts w:hAnsi="宋体"/>
          <w:sz w:val="21"/>
          <w:szCs w:val="21"/>
        </w:rPr>
      </w:pPr>
      <w:r>
        <w:rPr>
          <w:rFonts w:hAnsi="宋体" w:hint="eastAsia"/>
          <w:sz w:val="21"/>
          <w:szCs w:val="21"/>
        </w:rPr>
        <w:t>1</w:t>
      </w:r>
      <w:r>
        <w:rPr>
          <w:rFonts w:hAnsi="宋体"/>
          <w:sz w:val="21"/>
          <w:szCs w:val="21"/>
        </w:rPr>
        <w:t>4</w:t>
      </w:r>
      <w:r w:rsidRPr="00EB18F2">
        <w:rPr>
          <w:rFonts w:hAnsi="宋体" w:hint="eastAsia"/>
          <w:sz w:val="21"/>
          <w:szCs w:val="21"/>
        </w:rPr>
        <w:t>、投资港股通股票的风险</w:t>
      </w:r>
    </w:p>
    <w:p w14:paraId="31E7F874" w14:textId="2731DCFE"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本基金通过内地与香港股票市场交易互联互通机制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包括但不限于：</w:t>
      </w:r>
    </w:p>
    <w:p w14:paraId="2B334BD0" w14:textId="116B7C48"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（1）汇率风险</w:t>
      </w:r>
    </w:p>
    <w:p w14:paraId="69F043F3" w14:textId="213C3821"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在现行港股通机制下，港股的买卖是以港币报价，以人民币进行支付，并且资金不留港（港股交易后结算的净资金余额头寸以换汇的方式兑换为人民币），故本基金每日的港股买卖结算将进行相应的港币兑人民币的换汇操作，本基金承担港元对人民币汇率波动的风险，以及因汇率大幅波动引起账户透支的风险。另外本基金对港股买卖每日结算中所采用的报价汇率可能存在报价差异，本基金可能需额外承担买卖结算汇率报价点差所带来的损失；同时根据港股通的规则设定，本基金在每日买卖港股申请时将参考汇率买入/卖出价冻结相应的资金，该参考汇率买入价和卖出价设定上存在比例差异，以抵御该日汇率波动而带来的结算风险，本基金将因此而遭遇资金被额外占用进而降低基金投资效率的风险。</w:t>
      </w:r>
    </w:p>
    <w:p w14:paraId="416BB5DE" w14:textId="597904F9"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（2）香港市场风险</w:t>
      </w:r>
    </w:p>
    <w:p w14:paraId="5C2CD166" w14:textId="5DFA81D7"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与内地A股市场相比，港股市场上外汇资金流动更为自由，海外资金的流动对港股价格的影响巨大，港股价格与海外资金流动表现出高度相关性，本基金在参与港股市场投资时受到全球宏观经济和货币政策变动等因素所导致的系统风险相对更大。加之香港市场结构性产品和衍生品种类相对丰富以及做空机制的存在，港股股价受到意外事件影响可能表现出比A股更为剧烈的股价波动。</w:t>
      </w:r>
    </w:p>
    <w:p w14:paraId="3E6A2865" w14:textId="5FD148DC"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（3）香港交易市场制度或规则不同带来的风险</w:t>
      </w:r>
    </w:p>
    <w:p w14:paraId="099C8B94" w14:textId="5BFE3805"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香港市场交易规则有别于内地A股市场规则，在“内地与香港股票市场交易互联互通机制”下参与香港股票投资还将面临包括但不限于如下特殊风险：</w:t>
      </w:r>
    </w:p>
    <w:p w14:paraId="55A35AEC" w14:textId="01C35D50"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1）港股市场实行T+0回转交易机制（即当日买入的股票，在交收前可以于当日卖出），同时对个股不设涨跌幅限制，因此每日涨跌幅空间相对较大。</w:t>
      </w:r>
    </w:p>
    <w:p w14:paraId="76E3E560" w14:textId="29380186"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2）出现香港联合交易所规定的情形时，香港联合交易所将可能停市，投资者将面临在停市期间无法进行港股通交易的风险；出现内地证券交易所证券交易服务公司认定的交易异常情况时，内地证券交易所证券交易服务公司将可能暂停提供部分或者全部港股通服务，投资者将面临在暂停服务期间无法进行港股通交易的风险。</w:t>
      </w:r>
    </w:p>
    <w:p w14:paraId="1FE38552" w14:textId="40852014"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3）交收制度带来的基金流动性风险</w:t>
      </w:r>
    </w:p>
    <w:p w14:paraId="767E4E90" w14:textId="28B359BF"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由于香港市场实行T+2日（T日买卖股票，资金和股票在T+2日才进行交收）的交收安排，本基金在T日（港股通交易日）卖出股票，T+2日（港股通交易日，即为卖出当日之后第二个港股通交易日）才能在香港市场完成清算交收，卖出的资金在T+3日才能回到人民币资金账户。因此交收制度的不同以及港股通交易日的设定原因，本基金可能面临卖出港股后资金不能及时到账，而造成支付赎回款日期比正常情况延后而给投资者带来流动性风险，同时也存在不能及时调整基金资产组合中港股投资比例，造成比例超标的风险。</w:t>
      </w:r>
    </w:p>
    <w:p w14:paraId="6698D7DB" w14:textId="1E7649D8"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4）香港联合交易所停牌、退市等制度性差异带来的风险</w:t>
      </w:r>
    </w:p>
    <w:p w14:paraId="109DDBFB" w14:textId="4F1AAC50"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香港联合交易所规定，在交易所认为所要求的停牌合理而且必要时，上市公司方可采取停牌措施。此外，不同于内地A股市场的停牌制度，香港联合交易所对停牌的具体时长并没有量化规定，只是确定了“尽量缩短停牌时间”的原则；同时与A股市场对存在退市可能的上市公司根据其财务状况在证券简称前加入相应标记（例如，ST及*ST等标记）以警示投资者风险的做法不同，在香港联合交易所市场没有风险警示板，香港联合交易所采用非量化的退市标准且在上市公司退市过程中拥有相对较大的主导权，使得香港联合交易所上市公司的退市情形较A股市场相对复杂。</w:t>
      </w:r>
    </w:p>
    <w:p w14:paraId="130CE37C" w14:textId="5A0043DC"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因该等制度性差异，本基金可能存在因所持个股遭遇非预期性的停牌甚至退市而给基金带来损失的风险。</w:t>
      </w:r>
    </w:p>
    <w:p w14:paraId="707FC178" w14:textId="44D5B5A6"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（4）港股通制度限制或调整带来的风险</w:t>
      </w:r>
    </w:p>
    <w:p w14:paraId="702E05FD" w14:textId="190B0FEE"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1）港股通额度限制</w:t>
      </w:r>
    </w:p>
    <w:p w14:paraId="30A89C3E" w14:textId="65730784"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现行的港股通规则，对港股通设有每日额度上限的限制；本基金可能因为港股通市场每日额度不足，在香港联合交易所开市前阶段，新增的买单申报将面临失败的风险；在香港联合交易所持续交易时段或者收市竞价交易时段，当日本基金将面临不能通过港股通进行买入交易的风险。</w:t>
      </w:r>
    </w:p>
    <w:p w14:paraId="4F7ECE90" w14:textId="459A26AB"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2）港股通可投资标的范围调整带来的风险</w:t>
      </w:r>
    </w:p>
    <w:p w14:paraId="4EC7548F" w14:textId="779E1552"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现行的港股通规则，对港股通下可投资的港股范围进行了限制，并定期或不定期根据范围限制规则对具体的可投资标的进行调整，对于调出在投资范围的港股，只能卖出不能买入；本基金可能因为港股通可投资标的范围的调整而不能再进行调出港股的买入交易风险及股价波动风险。</w:t>
      </w:r>
    </w:p>
    <w:p w14:paraId="5003E184" w14:textId="157B18B9"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3）港股通交易日设定的风险</w:t>
      </w:r>
    </w:p>
    <w:p w14:paraId="3FEF708D" w14:textId="0566ACCD"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根据现行的港股通规则，存在港股通交易日不连贯的情形（如内地市场因放假等原因休市而香港市场照常交易但港股通不能如常进行交易），而导致基金所持的港股组合在后续港股通交易日开市交易中集中体现市场反应而造成其价格波动骤然增大，进而导致本基金所持港股组合在资产估值上出现波动增大的风险。</w:t>
      </w:r>
    </w:p>
    <w:p w14:paraId="5FBDA4C4" w14:textId="45E20ADA"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4）港股通下对公司行为的处理规则带来的风险</w:t>
      </w:r>
    </w:p>
    <w:p w14:paraId="0966E15A" w14:textId="65004B89"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根据现行的港股通规则，本基金因所持港股通股票权益分派、转换、上市公司被收购等情形或者异常情况，所取得的港股通股票以外的香港联合交易所上市证券，只能通过港股通卖出，但不得买入；因港股通股票权益分派或者转换等情形取得的香港联合交易所上市股票的认购权利在香港联合交易所上市的，可以通过港股通卖出，但不得行权；因港股通股票权益分派、转换或者上市公司被收购等所取得的非香港联合交易所上市证券，可以享有相关权益，但不得通过港股通买入或卖出。本基金存在因上述规则，利益得不到最大化甚至受损的风险。</w:t>
      </w:r>
    </w:p>
    <w:p w14:paraId="4ADFED9F" w14:textId="05A75AA5"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5）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0BABC1E2" w14:textId="68446C6D"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（5）法律和政治风险</w:t>
      </w:r>
    </w:p>
    <w:p w14:paraId="5739BBC3" w14:textId="236F668A"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由于香港市场适用不同法律法规的原因，可能导致本基金的某些投资行为受到限制或合同不能正常执行，从而使得基金资产面临损失的可能性。此外，香港市场可能会不时采取某些管制措施，如资本或外汇管制、没收资产以及征收高额税收等，从而对基金收益以及基金资产带来不利影响。</w:t>
      </w:r>
    </w:p>
    <w:p w14:paraId="5CE51EAD" w14:textId="0C0845B5"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（6）会计制度风险</w:t>
      </w:r>
    </w:p>
    <w:p w14:paraId="5CD6AFD5" w14:textId="79022F0E"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香港市场对上市公司日常经营活动的会计处理、财务报表披露等会计核算标准的规定可能与境内存在一定差异，可能导致基金经理对公司盈利能力、投资价值的判断产生偏差，从而给本基金投资带来潜在风险。</w:t>
      </w:r>
    </w:p>
    <w:p w14:paraId="3324682E" w14:textId="499E4085" w:rsidR="00EB18F2" w:rsidRP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（7）税务风险</w:t>
      </w:r>
    </w:p>
    <w:p w14:paraId="695256DA" w14:textId="7CAD81DD" w:rsidR="00EB18F2" w:rsidRDefault="00EB18F2" w:rsidP="00EB18F2">
      <w:pPr>
        <w:pStyle w:val="34"/>
        <w:snapToGrid w:val="0"/>
        <w:spacing w:line="360" w:lineRule="auto"/>
        <w:ind w:firstLineChars="200" w:firstLine="420"/>
        <w:rPr>
          <w:rFonts w:hAnsi="宋体"/>
          <w:sz w:val="21"/>
          <w:szCs w:val="21"/>
        </w:rPr>
      </w:pPr>
      <w:r w:rsidRPr="00EB18F2">
        <w:rPr>
          <w:rFonts w:hAnsi="宋体" w:hint="eastAsia"/>
          <w:sz w:val="21"/>
          <w:szCs w:val="21"/>
        </w:rPr>
        <w:t>香港市场在税务方面的法律法规可能与境内存在一定差异，可能会要求基金就股息、利息、资本利得等收益向当地税务机构缴纳税金，该行为会使基金收益受到一定影响。此外，香港市场的税收规定可能发生变化，或者实施具有追溯力的修订，从而导致基金向该市场所在地缴纳在基金销售、估值或者出售投资当日并未预计的额外税项。</w:t>
      </w:r>
    </w:p>
    <w:p w14:paraId="1C93910A" w14:textId="4D5D87C8" w:rsidR="00AE3DA6" w:rsidRDefault="00EB18F2" w:rsidP="001409B1">
      <w:pPr>
        <w:numPr>
          <w:ilvl w:val="12"/>
          <w:numId w:val="0"/>
        </w:numPr>
        <w:snapToGrid w:val="0"/>
        <w:spacing w:line="360" w:lineRule="auto"/>
        <w:ind w:firstLineChars="196" w:firstLine="412"/>
        <w:rPr>
          <w:rFonts w:ascii="宋体" w:hAnsi="宋体" w:cs="宋体"/>
        </w:rPr>
      </w:pPr>
      <w:r>
        <w:rPr>
          <w:rFonts w:ascii="宋体" w:hAnsi="宋体" w:cs="宋体" w:hint="eastAsia"/>
        </w:rPr>
        <w:t>1</w:t>
      </w:r>
      <w:r>
        <w:rPr>
          <w:rFonts w:ascii="宋体" w:hAnsi="宋体" w:cs="宋体"/>
        </w:rPr>
        <w:t>5</w:t>
      </w:r>
      <w:r w:rsidR="00795E23">
        <w:rPr>
          <w:rFonts w:ascii="宋体" w:hAnsi="宋体" w:cs="宋体" w:hint="eastAsia"/>
        </w:rPr>
        <w:t>、基金合同终止的风险</w:t>
      </w:r>
    </w:p>
    <w:p w14:paraId="2DCF8FE4" w14:textId="77777777" w:rsidR="00AE3DA6" w:rsidRDefault="00795E23">
      <w:pPr>
        <w:numPr>
          <w:ilvl w:val="12"/>
          <w:numId w:val="0"/>
        </w:numPr>
        <w:snapToGrid w:val="0"/>
        <w:spacing w:line="360" w:lineRule="auto"/>
        <w:ind w:firstLineChars="196" w:firstLine="412"/>
        <w:rPr>
          <w:rFonts w:ascii="宋体" w:hAnsi="宋体" w:cs="宋体"/>
        </w:rPr>
      </w:pPr>
      <w:r>
        <w:rPr>
          <w:rFonts w:ascii="宋体" w:hAnsi="宋体" w:cs="宋体" w:hint="eastAsia"/>
        </w:rPr>
        <w:t>本基金为发起式基金，《基金合同》生效之日起3年后的对应日，若基金资产净值低于2亿元，基金合同自动终止，且不得通过召开基金份额持有人大会延续基金合同期限。法律法规或中国证监会另有规定的，从其规定。基金份额持有人可能面临基金合同提前终止的风险。</w:t>
      </w:r>
    </w:p>
    <w:p w14:paraId="31BBFDE7" w14:textId="77777777" w:rsidR="00AE3DA6" w:rsidRDefault="00795E23">
      <w:pPr>
        <w:pStyle w:val="HD"/>
      </w:pPr>
      <w:r>
        <w:rPr>
          <w:rFonts w:hint="eastAsia"/>
        </w:rPr>
        <w:t>五、其他风险</w:t>
      </w:r>
    </w:p>
    <w:p w14:paraId="140860AF" w14:textId="77777777" w:rsidR="00AE3DA6" w:rsidRDefault="00795E23">
      <w:pPr>
        <w:pStyle w:val="HD"/>
      </w:pPr>
      <w:r>
        <w:t>1</w:t>
      </w:r>
      <w:r>
        <w:rPr>
          <w:rFonts w:hint="eastAsia"/>
        </w:rPr>
        <w:t>、因技术因素而产生的风险，如电脑系统不可靠产生的风险；</w:t>
      </w:r>
    </w:p>
    <w:p w14:paraId="2071E448" w14:textId="77777777" w:rsidR="00AE3DA6" w:rsidRDefault="00795E23">
      <w:pPr>
        <w:pStyle w:val="HD"/>
      </w:pPr>
      <w:r>
        <w:t>2</w:t>
      </w:r>
      <w:r>
        <w:rPr>
          <w:rFonts w:hint="eastAsia"/>
        </w:rPr>
        <w:t>、因业务快速发展而在制度建设、人员配备、内控制度建立等不完善而产生的风险；</w:t>
      </w:r>
    </w:p>
    <w:p w14:paraId="4C4F554E" w14:textId="77777777" w:rsidR="00AE3DA6" w:rsidRDefault="00795E23">
      <w:pPr>
        <w:pStyle w:val="HD"/>
      </w:pPr>
      <w:r>
        <w:t>3</w:t>
      </w:r>
      <w:r>
        <w:rPr>
          <w:rFonts w:hint="eastAsia"/>
        </w:rPr>
        <w:t>、因人为因素而产生的风险、如内幕交易、欺诈行为等产生的风险；</w:t>
      </w:r>
    </w:p>
    <w:p w14:paraId="1A885F30" w14:textId="77777777" w:rsidR="00AE3DA6" w:rsidRDefault="00795E23">
      <w:pPr>
        <w:pStyle w:val="HD"/>
      </w:pPr>
      <w:r>
        <w:t>4</w:t>
      </w:r>
      <w:r>
        <w:rPr>
          <w:rFonts w:hint="eastAsia"/>
        </w:rPr>
        <w:t>、对主要业务人员如基金经理的依赖而可能产生的风险；</w:t>
      </w:r>
    </w:p>
    <w:p w14:paraId="7CB883B5" w14:textId="77777777" w:rsidR="00AE3DA6" w:rsidRDefault="00795E23">
      <w:pPr>
        <w:pStyle w:val="HD"/>
      </w:pPr>
      <w:r>
        <w:t>5</w:t>
      </w:r>
      <w:r>
        <w:rPr>
          <w:rFonts w:hint="eastAsia"/>
        </w:rPr>
        <w:t>、因业务竞争压力可能产生的风险；</w:t>
      </w:r>
    </w:p>
    <w:p w14:paraId="4DA1BDB3" w14:textId="77777777" w:rsidR="00AE3DA6" w:rsidRDefault="00795E23">
      <w:pPr>
        <w:pStyle w:val="HD"/>
      </w:pPr>
      <w:r>
        <w:t>6</w:t>
      </w:r>
      <w:r>
        <w:rPr>
          <w:rFonts w:hint="eastAsia"/>
        </w:rPr>
        <w:t>、不可抗力可能导致基金资产的损失，影响基金收益水平，从而带来风险；</w:t>
      </w:r>
    </w:p>
    <w:p w14:paraId="3C6F2E45" w14:textId="77777777" w:rsidR="00AE3DA6" w:rsidRDefault="00795E23">
      <w:pPr>
        <w:pStyle w:val="HD"/>
      </w:pPr>
      <w:r>
        <w:t>7</w:t>
      </w:r>
      <w:r>
        <w:rPr>
          <w:rFonts w:hint="eastAsia"/>
        </w:rPr>
        <w:t>、其他意外导致的风险。</w:t>
      </w:r>
    </w:p>
    <w:p w14:paraId="104ED287" w14:textId="77777777" w:rsidR="00AE3DA6" w:rsidRDefault="00795E23">
      <w:pPr>
        <w:pStyle w:val="HD"/>
      </w:pPr>
      <w:r>
        <w:rPr>
          <w:rFonts w:hint="eastAsia"/>
        </w:rPr>
        <w:t>六、本基金法律文件风险收益特征表述与销售机构基金风险评价、销售机构之间的基金风险评价可能不一致的风险</w:t>
      </w:r>
    </w:p>
    <w:p w14:paraId="08889EC6" w14:textId="77777777" w:rsidR="00AE3DA6" w:rsidRDefault="00795E23">
      <w:pPr>
        <w:pStyle w:val="HD"/>
      </w:pPr>
      <w:r>
        <w:rPr>
          <w:rFonts w:hint="eastAsia"/>
        </w:rPr>
        <w:t>本基金法律文件投资章节有关风险收益特征的表述是基于投资范围、投资比例、证券、期货市场普遍规律等做出的概述性描述，代表了一般市场情况下本基金的长期风险收益特征。销售机构（包括基金管理人直销机构和其他销售机构）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14:paraId="7C3FC6FA" w14:textId="77777777" w:rsidR="00AE3DA6" w:rsidRDefault="00795E23">
      <w:pPr>
        <w:pStyle w:val="HD"/>
      </w:pPr>
      <w:r>
        <w:rPr>
          <w:rFonts w:hint="eastAsia"/>
        </w:rPr>
        <w:t>七、实施侧袋机制对投资者的影响</w:t>
      </w:r>
    </w:p>
    <w:p w14:paraId="35C155BD" w14:textId="77777777" w:rsidR="00AE3DA6" w:rsidRDefault="00795E23">
      <w:pPr>
        <w:pStyle w:val="HD"/>
      </w:pPr>
      <w:r>
        <w:rPr>
          <w:rFonts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5503034F" w14:textId="77777777" w:rsidR="00AE3DA6" w:rsidRDefault="00795E23">
      <w:pPr>
        <w:pStyle w:val="HD"/>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6FA2CAC2" w14:textId="77777777" w:rsidR="00AE3DA6" w:rsidRDefault="00795E23">
      <w:pPr>
        <w:pStyle w:val="HD"/>
      </w:pPr>
      <w:r>
        <w:rPr>
          <w:rFonts w:hint="eastAsia"/>
        </w:rPr>
        <w:t>基金管理人将根据主袋账户运作情况合理确定申购政策，因此实施侧袋机制后主袋账户份额存在暂停申购的可能。</w:t>
      </w:r>
    </w:p>
    <w:p w14:paraId="5349653E" w14:textId="77777777" w:rsidR="00AE3DA6" w:rsidRDefault="00795E23">
      <w:pPr>
        <w:pStyle w:val="HD"/>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14:paraId="41BDE399" w14:textId="77777777" w:rsidR="00AE3DA6" w:rsidRDefault="00795E23">
      <w:pPr>
        <w:pStyle w:val="HD"/>
      </w:pPr>
      <w:r>
        <w:br w:type="page"/>
      </w:r>
    </w:p>
    <w:p w14:paraId="2CD149E3"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162" w:name="_Toc48900085"/>
      <w:bookmarkStart w:id="163" w:name="_Toc362455194"/>
      <w:bookmarkStart w:id="164" w:name="_Toc360794527"/>
      <w:bookmarkStart w:id="165" w:name="_Toc360793861"/>
      <w:bookmarkStart w:id="166" w:name="_Toc360794419"/>
      <w:bookmarkStart w:id="167" w:name="_Toc362533466"/>
      <w:bookmarkStart w:id="168" w:name="_Toc360794111"/>
      <w:bookmarkStart w:id="169" w:name="_Toc360793509"/>
      <w:bookmarkEnd w:id="160"/>
      <w:r>
        <w:rPr>
          <w:rFonts w:ascii="宋体" w:eastAsia="宋体" w:hAnsi="宋体" w:cs="宋体" w:hint="eastAsia"/>
        </w:rPr>
        <w:t>基金合同的变更、终止和基金财产的清算</w:t>
      </w:r>
      <w:bookmarkEnd w:id="162"/>
      <w:bookmarkEnd w:id="163"/>
      <w:bookmarkEnd w:id="164"/>
      <w:bookmarkEnd w:id="165"/>
      <w:bookmarkEnd w:id="166"/>
      <w:bookmarkEnd w:id="167"/>
      <w:bookmarkEnd w:id="168"/>
      <w:bookmarkEnd w:id="169"/>
    </w:p>
    <w:p w14:paraId="740C531E" w14:textId="77777777" w:rsidR="00AE3DA6" w:rsidRDefault="00AE3DA6">
      <w:pPr>
        <w:snapToGrid w:val="0"/>
        <w:spacing w:line="360" w:lineRule="auto"/>
        <w:ind w:firstLineChars="200" w:firstLine="420"/>
        <w:rPr>
          <w:rFonts w:ascii="宋体" w:cs="Times New Roman"/>
        </w:rPr>
      </w:pPr>
    </w:p>
    <w:p w14:paraId="17DD94F2" w14:textId="77777777" w:rsidR="00AE3DA6" w:rsidRDefault="00795E23">
      <w:pPr>
        <w:numPr>
          <w:ilvl w:val="12"/>
          <w:numId w:val="0"/>
        </w:numPr>
        <w:snapToGrid w:val="0"/>
        <w:spacing w:line="360" w:lineRule="auto"/>
        <w:ind w:firstLineChars="200" w:firstLine="420"/>
        <w:rPr>
          <w:rFonts w:ascii="Times New Roman" w:hAnsi="Times New Roman" w:cs="Times New Roman"/>
        </w:rPr>
      </w:pPr>
      <w:bookmarkStart w:id="170" w:name="_Toc79392639"/>
      <w:r>
        <w:rPr>
          <w:rFonts w:ascii="Times New Roman" w:hAnsi="Times New Roman" w:cs="Times New Roman" w:hint="eastAsia"/>
        </w:rPr>
        <w:t>一、《基金合同》的变更</w:t>
      </w:r>
    </w:p>
    <w:p w14:paraId="2AA7C2E2"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变更基金合同涉及法律法规规定或基金合同约定应经基金份额持有人大会决议通过的事项的，应召开基金份额持有人大会决议通过。对于法律法规规定和基金合同约定可不经基金份额持有人大会决议通过的事项，经履行适当程序，由基金管理人和基金托管人同意后变更并公告。</w:t>
      </w:r>
    </w:p>
    <w:p w14:paraId="00EC3012"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、关于《基金合同》变更的基金份额持有人大会决议自生效后方可执行，自决议生效后两日内在规定媒介公告。</w:t>
      </w:r>
    </w:p>
    <w:p w14:paraId="7FFCDF74"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二、《基金合同》的终止事由</w:t>
      </w:r>
    </w:p>
    <w:p w14:paraId="231558D5"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有下列情形之一的，经履行相关程序后，《基金合同》应当终止：</w:t>
      </w:r>
    </w:p>
    <w:p w14:paraId="04FDB3C8"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、基金份额持有人大会决定终止的；</w:t>
      </w:r>
    </w:p>
    <w:p w14:paraId="13E6AF50"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、基金管理人、基金托管人职责终止，在</w:t>
      </w:r>
      <w:r>
        <w:rPr>
          <w:rFonts w:ascii="Times New Roman" w:hAnsi="Times New Roman" w:cs="Times New Roman" w:hint="eastAsia"/>
        </w:rPr>
        <w:t>6</w:t>
      </w:r>
      <w:r>
        <w:rPr>
          <w:rFonts w:ascii="Times New Roman" w:hAnsi="Times New Roman" w:cs="Times New Roman" w:hint="eastAsia"/>
        </w:rPr>
        <w:t>个月内没有新基金管理人、新基金托管人承接的；</w:t>
      </w:r>
    </w:p>
    <w:p w14:paraId="13E0579F"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208E3426"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、《基金合同》约定的其他情形；</w:t>
      </w:r>
    </w:p>
    <w:p w14:paraId="0A7350ED"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hint="eastAsia"/>
        </w:rPr>
        <w:t>、相关法律法规和中国证监会规定的其他情况。</w:t>
      </w:r>
    </w:p>
    <w:p w14:paraId="04F453A4"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三、基金财产的清算</w:t>
      </w:r>
    </w:p>
    <w:p w14:paraId="2C396F41"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、基金财产清算小组：自出现《基金合同》终止事由之日起</w:t>
      </w:r>
      <w:r>
        <w:rPr>
          <w:rFonts w:ascii="Times New Roman" w:hAnsi="Times New Roman" w:cs="Times New Roman" w:hint="eastAsia"/>
        </w:rPr>
        <w:t>30</w:t>
      </w:r>
      <w:r>
        <w:rPr>
          <w:rFonts w:ascii="Times New Roman" w:hAnsi="Times New Roman" w:cs="Times New Roman" w:hint="eastAsia"/>
        </w:rPr>
        <w:t>个工作日内成立清算小组，基金管理人组织基金财产清算小组并在中国证监会的监督下进行基金清算。</w:t>
      </w:r>
    </w:p>
    <w:p w14:paraId="326DDEB1"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、基金财产清算小组组成：基金财产清算小组成员由基金管理人、基金托管人、</w:t>
      </w:r>
      <w:r>
        <w:rPr>
          <w:rFonts w:ascii="Times New Roman" w:hAnsi="Times New Roman" w:cs="Times New Roman" w:hint="eastAsia"/>
          <w:bCs/>
        </w:rPr>
        <w:t>符合《证券法》规定的</w:t>
      </w:r>
      <w:r>
        <w:rPr>
          <w:rFonts w:ascii="Times New Roman" w:hAnsi="Times New Roman" w:cs="Times New Roman" w:hint="eastAsia"/>
        </w:rPr>
        <w:t>注册会计师、律师以及中国证监会指定的人员组成。基金财产清算小组可以聘用必要的工作人员。</w:t>
      </w:r>
    </w:p>
    <w:p w14:paraId="3C04EA1E"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、基金财产清算小组职责：基金财产清算小组负责基金财产的保管、清理、估价、变现和分配。基金财产清算小组可以依法进行必要的民事活动。</w:t>
      </w:r>
    </w:p>
    <w:p w14:paraId="2396551F"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、基金财产清算程序：</w:t>
      </w:r>
    </w:p>
    <w:p w14:paraId="594C4008"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）《基金合同》终止情形出现时，由基金财产清算小组统一接管基金；</w:t>
      </w:r>
    </w:p>
    <w:p w14:paraId="5D414E78"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）对基金财产和债权债务进行清理和确认；</w:t>
      </w:r>
    </w:p>
    <w:p w14:paraId="2D6C2A16"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）对基金财产进行估值和变现；</w:t>
      </w:r>
    </w:p>
    <w:p w14:paraId="29975553"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）制作清算报告；</w:t>
      </w:r>
    </w:p>
    <w:p w14:paraId="2DB127FF"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）聘请符合《证券法》规定的会计师事务所对清算报告进行外部审计，聘请律师事务所对清算报告出具法律意见书；</w:t>
      </w:r>
    </w:p>
    <w:p w14:paraId="0058291F"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）将清算报告报中国证监会备案并公告；</w:t>
      </w:r>
    </w:p>
    <w:p w14:paraId="512E48AD"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）对基金剩余财产进行分配。</w:t>
      </w:r>
    </w:p>
    <w:p w14:paraId="77A6FA73"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、基金财产清算的期限为</w:t>
      </w:r>
      <w:r>
        <w:rPr>
          <w:rFonts w:ascii="Times New Roman" w:hAnsi="Times New Roman" w:cs="Times New Roman" w:hint="eastAsia"/>
        </w:rPr>
        <w:t>6</w:t>
      </w:r>
      <w:r>
        <w:rPr>
          <w:rFonts w:ascii="Times New Roman" w:hAnsi="Times New Roman" w:cs="Times New Roman" w:hint="eastAsia"/>
        </w:rPr>
        <w:t>个月，但因本基金所持证券的流动性受到限制而不能及时变现的，清算期限相应顺延。</w:t>
      </w:r>
    </w:p>
    <w:p w14:paraId="5BE301B1"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2EC4BD24"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四、清算费用</w:t>
      </w:r>
    </w:p>
    <w:p w14:paraId="4C98DFC0"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清算费用是指基金财产清算小组在进行基金清算过程中发生的所有合理费用，清算费用由基金财产清算小组优先从基金财产中支付。</w:t>
      </w:r>
    </w:p>
    <w:p w14:paraId="1FCCA224"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五、基金财产清算剩余资产的分配</w:t>
      </w:r>
    </w:p>
    <w:p w14:paraId="08750D4F" w14:textId="3E739BE1"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742FCEF7" w14:textId="00E49A4C" w:rsidR="00907401" w:rsidRDefault="00E1640D">
      <w:pPr>
        <w:numPr>
          <w:ilvl w:val="12"/>
          <w:numId w:val="0"/>
        </w:numPr>
        <w:snapToGrid w:val="0"/>
        <w:spacing w:line="360" w:lineRule="auto"/>
        <w:ind w:firstLineChars="200" w:firstLine="420"/>
        <w:rPr>
          <w:rFonts w:ascii="Times New Roman" w:hAnsi="Times New Roman" w:cs="Times New Roman"/>
        </w:rPr>
      </w:pPr>
      <w:r w:rsidRPr="00E1640D">
        <w:rPr>
          <w:rFonts w:ascii="Times New Roman" w:hAnsi="Times New Roman" w:cs="Times New Roman" w:hint="eastAsia"/>
        </w:rPr>
        <w:t>其中，对于投资者通过直销机构认购</w:t>
      </w:r>
      <w:r w:rsidRPr="00E1640D">
        <w:rPr>
          <w:rFonts w:ascii="Times New Roman" w:hAnsi="Times New Roman" w:cs="Times New Roman" w:hint="eastAsia"/>
        </w:rPr>
        <w:t>/</w:t>
      </w:r>
      <w:r w:rsidRPr="00E1640D">
        <w:rPr>
          <w:rFonts w:ascii="Times New Roman" w:hAnsi="Times New Roman" w:cs="Times New Roman" w:hint="eastAsia"/>
        </w:rPr>
        <w:t>申购的</w:t>
      </w:r>
      <w:r w:rsidRPr="00E1640D">
        <w:rPr>
          <w:rFonts w:ascii="Times New Roman" w:hAnsi="Times New Roman" w:cs="Times New Roman" w:hint="eastAsia"/>
        </w:rPr>
        <w:t>C</w:t>
      </w:r>
      <w:r w:rsidRPr="00E1640D">
        <w:rPr>
          <w:rFonts w:ascii="Times New Roman" w:hAnsi="Times New Roman" w:cs="Times New Roman" w:hint="eastAsia"/>
        </w:rPr>
        <w:t>类基金份额计提的销售服务费，或者通过其他销售机构认购</w:t>
      </w:r>
      <w:r w:rsidRPr="00E1640D">
        <w:rPr>
          <w:rFonts w:ascii="Times New Roman" w:hAnsi="Times New Roman" w:cs="Times New Roman" w:hint="eastAsia"/>
        </w:rPr>
        <w:t>/</w:t>
      </w:r>
      <w:r w:rsidRPr="00E1640D">
        <w:rPr>
          <w:rFonts w:ascii="Times New Roman" w:hAnsi="Times New Roman" w:cs="Times New Roman" w:hint="eastAsia"/>
        </w:rPr>
        <w:t>申购且持续持有期限超过一年的</w:t>
      </w:r>
      <w:r w:rsidRPr="00E1640D">
        <w:rPr>
          <w:rFonts w:ascii="Times New Roman" w:hAnsi="Times New Roman" w:cs="Times New Roman" w:hint="eastAsia"/>
        </w:rPr>
        <w:t>C</w:t>
      </w:r>
      <w:r w:rsidRPr="00E1640D">
        <w:rPr>
          <w:rFonts w:ascii="Times New Roman" w:hAnsi="Times New Roman" w:cs="Times New Roman" w:hint="eastAsia"/>
        </w:rPr>
        <w:t>类基金份额继续计提的销售服务费，都将在基金合同终止时随剩余资产分配款项一并返还给投资者</w:t>
      </w:r>
      <w:r w:rsidR="00907401">
        <w:rPr>
          <w:rFonts w:ascii="Times New Roman" w:hAnsi="Times New Roman" w:cs="Times New Roman" w:hint="eastAsia"/>
        </w:rPr>
        <w:t>。</w:t>
      </w:r>
    </w:p>
    <w:p w14:paraId="0D8C3518"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六、基金财产清算的公告</w:t>
      </w:r>
    </w:p>
    <w:p w14:paraId="56DD7F55"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Times New Roman" w:hAnsi="Times New Roman" w:cs="Times New Roman" w:hint="eastAsia"/>
        </w:rPr>
        <w:t>5</w:t>
      </w:r>
      <w:r>
        <w:rPr>
          <w:rFonts w:ascii="Times New Roman" w:hAnsi="Times New Roman" w:cs="Times New Roman" w:hint="eastAsia"/>
        </w:rPr>
        <w:t>个工作日内由基金财产清算小组进行公告，基金财产清算小组应当将清算报告登载在规定网站上，并将清算报告提示性公告登载在规定报刊上。</w:t>
      </w:r>
    </w:p>
    <w:p w14:paraId="0A6AC0C4" w14:textId="77777777"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七、基金财产清算账册及文件的保存</w:t>
      </w:r>
    </w:p>
    <w:p w14:paraId="3C71CD5C" w14:textId="182EE8BD" w:rsidR="00AE3DA6" w:rsidRDefault="00795E23">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基金财产清算账册及有关文件由基金托管人保存，保存期限不少于法律法规规定的最低</w:t>
      </w:r>
      <w:r w:rsidR="000E7480">
        <w:rPr>
          <w:rFonts w:ascii="Times New Roman" w:hAnsi="Times New Roman" w:cs="Times New Roman" w:hint="eastAsia"/>
        </w:rPr>
        <w:t>期限</w:t>
      </w:r>
      <w:r>
        <w:rPr>
          <w:rFonts w:ascii="Times New Roman" w:hAnsi="Times New Roman" w:cs="Times New Roman" w:hint="eastAsia"/>
        </w:rPr>
        <w:t>。</w:t>
      </w:r>
    </w:p>
    <w:p w14:paraId="74E01810" w14:textId="77777777" w:rsidR="00AE3DA6" w:rsidRDefault="00AE3DA6">
      <w:pPr>
        <w:numPr>
          <w:ilvl w:val="12"/>
          <w:numId w:val="0"/>
        </w:numPr>
        <w:snapToGrid w:val="0"/>
        <w:spacing w:line="360" w:lineRule="auto"/>
        <w:ind w:firstLineChars="200" w:firstLine="420"/>
        <w:rPr>
          <w:rFonts w:ascii="Times New Roman" w:hAnsi="Times New Roman" w:cs="Times New Roman"/>
        </w:rPr>
      </w:pPr>
    </w:p>
    <w:bookmarkEnd w:id="170"/>
    <w:p w14:paraId="54080F41" w14:textId="77777777" w:rsidR="00AE3DA6" w:rsidRDefault="00AE3DA6">
      <w:pPr>
        <w:snapToGrid w:val="0"/>
        <w:spacing w:line="360" w:lineRule="auto"/>
        <w:ind w:firstLineChars="200" w:firstLine="420"/>
        <w:rPr>
          <w:rFonts w:ascii="宋体" w:cs="Times New Roman"/>
        </w:rPr>
      </w:pPr>
    </w:p>
    <w:p w14:paraId="543E0AC0" w14:textId="77777777" w:rsidR="00AE3DA6" w:rsidRDefault="00AE3DA6">
      <w:pPr>
        <w:snapToGrid w:val="0"/>
        <w:spacing w:line="360" w:lineRule="auto"/>
        <w:ind w:firstLineChars="200" w:firstLine="420"/>
        <w:rPr>
          <w:rFonts w:ascii="宋体" w:cs="Times New Roman"/>
        </w:rPr>
      </w:pPr>
    </w:p>
    <w:p w14:paraId="6B2F554B" w14:textId="77777777" w:rsidR="00AE3DA6" w:rsidRDefault="00795E23">
      <w:pPr>
        <w:snapToGrid w:val="0"/>
        <w:spacing w:line="360" w:lineRule="auto"/>
        <w:ind w:firstLineChars="200" w:firstLine="480"/>
        <w:rPr>
          <w:rFonts w:ascii="宋体" w:cs="Times New Roman"/>
          <w:color w:val="000000"/>
        </w:rPr>
      </w:pPr>
      <w:r>
        <w:rPr>
          <w:rFonts w:ascii="宋体" w:cs="Times New Roman"/>
          <w:color w:val="000000"/>
          <w:kern w:val="0"/>
          <w:sz w:val="24"/>
          <w:szCs w:val="24"/>
        </w:rPr>
        <w:br w:type="page"/>
      </w:r>
    </w:p>
    <w:p w14:paraId="11E80D85"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171" w:name="_Toc48900086"/>
      <w:bookmarkStart w:id="172" w:name="_Toc360794112"/>
      <w:bookmarkStart w:id="173" w:name="_Toc360793862"/>
      <w:bookmarkStart w:id="174" w:name="_Toc360794528"/>
      <w:bookmarkStart w:id="175" w:name="_Toc362533467"/>
      <w:bookmarkStart w:id="176" w:name="_Toc360793510"/>
      <w:bookmarkStart w:id="177" w:name="_Toc360794420"/>
      <w:bookmarkStart w:id="178" w:name="_Toc362455195"/>
      <w:r>
        <w:rPr>
          <w:rFonts w:ascii="宋体" w:eastAsia="宋体" w:hAnsi="宋体" w:cs="宋体" w:hint="eastAsia"/>
        </w:rPr>
        <w:t>基金合同的内容摘要</w:t>
      </w:r>
      <w:bookmarkEnd w:id="171"/>
    </w:p>
    <w:p w14:paraId="0E5B50C1" w14:textId="77777777" w:rsidR="00AE3DA6" w:rsidRDefault="00AE3DA6">
      <w:pPr>
        <w:snapToGrid w:val="0"/>
        <w:spacing w:line="360" w:lineRule="auto"/>
        <w:rPr>
          <w:rFonts w:cs="Times New Roman"/>
        </w:rPr>
      </w:pPr>
    </w:p>
    <w:p w14:paraId="0BA5957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一、基金合同当事人的权利、义务</w:t>
      </w:r>
    </w:p>
    <w:p w14:paraId="6A629AB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（一）基金管理人的权利与义务</w:t>
      </w:r>
    </w:p>
    <w:p w14:paraId="63D54A3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、根据《基金法》、《运作办法》及其他有关规定，基金管理人的权利包括但不限于：</w:t>
      </w:r>
    </w:p>
    <w:p w14:paraId="088C4E7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）依法募集资金；</w:t>
      </w:r>
    </w:p>
    <w:p w14:paraId="09AAC6B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）自《基金合同》生效之日起，根据法律法规和《基金合同》独立运用并管理基金财产；</w:t>
      </w:r>
    </w:p>
    <w:p w14:paraId="7796C0C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3</w:t>
      </w:r>
      <w:r w:rsidRPr="00663A03">
        <w:rPr>
          <w:rFonts w:ascii="Times New Roman" w:hAnsi="宋体" w:cs="Times New Roman" w:hint="eastAsia"/>
          <w:bCs/>
        </w:rPr>
        <w:t>）依照《基金合同》收取基金管理费以及法律法规规定或中国证监会批准的其他费用；</w:t>
      </w:r>
    </w:p>
    <w:p w14:paraId="6D6FACF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4</w:t>
      </w:r>
      <w:r w:rsidRPr="00663A03">
        <w:rPr>
          <w:rFonts w:ascii="Times New Roman" w:hAnsi="宋体" w:cs="Times New Roman" w:hint="eastAsia"/>
          <w:bCs/>
        </w:rPr>
        <w:t>）销售基金份额；</w:t>
      </w:r>
    </w:p>
    <w:p w14:paraId="704BBC5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5</w:t>
      </w:r>
      <w:r w:rsidRPr="00663A03">
        <w:rPr>
          <w:rFonts w:ascii="Times New Roman" w:hAnsi="宋体" w:cs="Times New Roman" w:hint="eastAsia"/>
          <w:bCs/>
        </w:rPr>
        <w:t>）按照规定召集基金份额持有人大会；</w:t>
      </w:r>
    </w:p>
    <w:p w14:paraId="24849D5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6</w:t>
      </w:r>
      <w:r w:rsidRPr="00663A03">
        <w:rPr>
          <w:rFonts w:ascii="Times New Roman" w:hAnsi="宋体" w:cs="Times New Roman" w:hint="eastAsia"/>
          <w:bCs/>
        </w:rPr>
        <w:t>）依据《基金合同》及有关法律规定监督基金托管人，如认为基金托管人违反了《基金合同》及国家有关法律规定，应呈报中国证监会和其他监管部门，并采取必要措施保护基金投资者的利益；</w:t>
      </w:r>
    </w:p>
    <w:p w14:paraId="0E94B65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7</w:t>
      </w:r>
      <w:r w:rsidRPr="00663A03">
        <w:rPr>
          <w:rFonts w:ascii="Times New Roman" w:hAnsi="宋体" w:cs="Times New Roman" w:hint="eastAsia"/>
          <w:bCs/>
        </w:rPr>
        <w:t>）在基金托管人更换时，提名新的基金托管人；</w:t>
      </w:r>
    </w:p>
    <w:p w14:paraId="7A24407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8</w:t>
      </w:r>
      <w:r w:rsidRPr="00663A03">
        <w:rPr>
          <w:rFonts w:ascii="Times New Roman" w:hAnsi="宋体" w:cs="Times New Roman" w:hint="eastAsia"/>
          <w:bCs/>
        </w:rPr>
        <w:t>）选择、更换基金销售机构，对基金销售机构的相关行为进行监督和处理；</w:t>
      </w:r>
      <w:r w:rsidRPr="00663A03">
        <w:rPr>
          <w:rFonts w:ascii="Times New Roman" w:hAnsi="宋体" w:cs="Times New Roman" w:hint="eastAsia"/>
          <w:bCs/>
        </w:rPr>
        <w:t xml:space="preserve"> </w:t>
      </w:r>
    </w:p>
    <w:p w14:paraId="5BC9B75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9</w:t>
      </w:r>
      <w:r w:rsidRPr="00663A03">
        <w:rPr>
          <w:rFonts w:ascii="Times New Roman" w:hAnsi="宋体" w:cs="Times New Roman" w:hint="eastAsia"/>
          <w:bCs/>
        </w:rPr>
        <w:t>）担任或委托其他符合条件的机构担任基金登记机构办理基金登记业务并获得《基金合同》规定的费用；</w:t>
      </w:r>
      <w:r w:rsidRPr="00663A03">
        <w:rPr>
          <w:rFonts w:ascii="Times New Roman" w:hAnsi="宋体" w:cs="Times New Roman" w:hint="eastAsia"/>
          <w:bCs/>
        </w:rPr>
        <w:t xml:space="preserve"> </w:t>
      </w:r>
    </w:p>
    <w:p w14:paraId="648AB78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10</w:t>
      </w:r>
      <w:r w:rsidRPr="00663A03">
        <w:rPr>
          <w:rFonts w:ascii="Times New Roman" w:hAnsi="宋体" w:cs="Times New Roman" w:hint="eastAsia"/>
          <w:bCs/>
        </w:rPr>
        <w:t>）依据《基金合同》及有关法律规定决定基金收益的分配方案；</w:t>
      </w:r>
      <w:r w:rsidRPr="00663A03">
        <w:rPr>
          <w:rFonts w:ascii="Times New Roman" w:hAnsi="宋体" w:cs="Times New Roman" w:hint="eastAsia"/>
          <w:bCs/>
        </w:rPr>
        <w:tab/>
      </w:r>
    </w:p>
    <w:p w14:paraId="38AEAD3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11</w:t>
      </w:r>
      <w:r w:rsidRPr="00663A03">
        <w:rPr>
          <w:rFonts w:ascii="Times New Roman" w:hAnsi="宋体" w:cs="Times New Roman" w:hint="eastAsia"/>
          <w:bCs/>
        </w:rPr>
        <w:t>）在《基金合同》约定的范围内，拒绝或暂停受理申购与赎回申请；</w:t>
      </w:r>
      <w:r w:rsidRPr="00663A03">
        <w:rPr>
          <w:rFonts w:ascii="Times New Roman" w:hAnsi="宋体" w:cs="Times New Roman" w:hint="eastAsia"/>
          <w:bCs/>
        </w:rPr>
        <w:t xml:space="preserve"> </w:t>
      </w:r>
    </w:p>
    <w:p w14:paraId="203849F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12</w:t>
      </w:r>
      <w:r w:rsidRPr="00663A03">
        <w:rPr>
          <w:rFonts w:ascii="Times New Roman" w:hAnsi="宋体" w:cs="Times New Roman" w:hint="eastAsia"/>
          <w:bCs/>
        </w:rPr>
        <w:t>）依照法律法规为基金的利益对被投资公司行使股东权利，为基金的利益行使因基金财产投资于证券所产生的权利；</w:t>
      </w:r>
      <w:r w:rsidRPr="00663A03">
        <w:rPr>
          <w:rFonts w:ascii="Times New Roman" w:hAnsi="宋体" w:cs="Times New Roman" w:hint="eastAsia"/>
          <w:bCs/>
        </w:rPr>
        <w:tab/>
      </w:r>
    </w:p>
    <w:p w14:paraId="2A7B201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13</w:t>
      </w:r>
      <w:r w:rsidRPr="00663A03">
        <w:rPr>
          <w:rFonts w:ascii="Times New Roman" w:hAnsi="宋体" w:cs="Times New Roman" w:hint="eastAsia"/>
          <w:bCs/>
        </w:rPr>
        <w:t>）在法律法规允许的前提下，为基金的利益依法为基金进行融资融券和转融通证券出借业务；</w:t>
      </w:r>
      <w:r w:rsidRPr="00663A03">
        <w:rPr>
          <w:rFonts w:ascii="Times New Roman" w:hAnsi="宋体" w:cs="Times New Roman" w:hint="eastAsia"/>
          <w:bCs/>
        </w:rPr>
        <w:t xml:space="preserve"> </w:t>
      </w:r>
    </w:p>
    <w:p w14:paraId="5089E5A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14</w:t>
      </w:r>
      <w:r w:rsidRPr="00663A03">
        <w:rPr>
          <w:rFonts w:ascii="Times New Roman" w:hAnsi="宋体" w:cs="Times New Roman" w:hint="eastAsia"/>
          <w:bCs/>
        </w:rPr>
        <w:t>）以基金管理人的名义，代表基金份额持有人的利益行使诉讼权利或者实施其他法律行为；</w:t>
      </w:r>
      <w:r w:rsidRPr="00663A03">
        <w:rPr>
          <w:rFonts w:ascii="Times New Roman" w:hAnsi="宋体" w:cs="Times New Roman" w:hint="eastAsia"/>
          <w:bCs/>
        </w:rPr>
        <w:tab/>
      </w:r>
    </w:p>
    <w:p w14:paraId="553BD0F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15</w:t>
      </w:r>
      <w:r w:rsidRPr="00663A03">
        <w:rPr>
          <w:rFonts w:ascii="Times New Roman" w:hAnsi="宋体" w:cs="Times New Roman" w:hint="eastAsia"/>
          <w:bCs/>
        </w:rPr>
        <w:t>）选择、更换律师事务所、会计师事务所、证券</w:t>
      </w:r>
      <w:r w:rsidRPr="00663A03">
        <w:rPr>
          <w:rFonts w:ascii="Times New Roman" w:hAnsi="宋体" w:cs="Times New Roman" w:hint="eastAsia"/>
          <w:bCs/>
        </w:rPr>
        <w:t>/</w:t>
      </w:r>
      <w:r w:rsidRPr="00663A03">
        <w:rPr>
          <w:rFonts w:ascii="Times New Roman" w:hAnsi="宋体" w:cs="Times New Roman" w:hint="eastAsia"/>
          <w:bCs/>
        </w:rPr>
        <w:t>期货经纪商或其他为基金提供服务的外部机构；</w:t>
      </w:r>
      <w:r w:rsidRPr="00663A03">
        <w:rPr>
          <w:rFonts w:ascii="Times New Roman" w:hAnsi="宋体" w:cs="Times New Roman" w:hint="eastAsia"/>
          <w:bCs/>
        </w:rPr>
        <w:tab/>
      </w:r>
    </w:p>
    <w:p w14:paraId="72CD893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16</w:t>
      </w:r>
      <w:r w:rsidRPr="00663A03">
        <w:rPr>
          <w:rFonts w:ascii="Times New Roman" w:hAnsi="宋体" w:cs="Times New Roman" w:hint="eastAsia"/>
          <w:bCs/>
        </w:rPr>
        <w:t>）在符合有关法律、法规的前提下，制订和调整有关基金认购、申购、赎回、转换、非交易过户、转托管和定投等的业务规则；</w:t>
      </w:r>
    </w:p>
    <w:p w14:paraId="5217221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17</w:t>
      </w:r>
      <w:r w:rsidRPr="00663A03">
        <w:rPr>
          <w:rFonts w:ascii="Times New Roman" w:hAnsi="宋体" w:cs="Times New Roman" w:hint="eastAsia"/>
          <w:bCs/>
        </w:rPr>
        <w:t>）自行或委托第三方机构办理本基金的交易、清算、估值、结算等业务；</w:t>
      </w:r>
    </w:p>
    <w:p w14:paraId="5C83648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18</w:t>
      </w:r>
      <w:r w:rsidRPr="00663A03">
        <w:rPr>
          <w:rFonts w:ascii="Times New Roman" w:hAnsi="宋体" w:cs="Times New Roman" w:hint="eastAsia"/>
          <w:bCs/>
        </w:rPr>
        <w:t>）经与基金托管人协商一致，代表基金份额持有人的利益行使因基金财产投资于目标</w:t>
      </w:r>
      <w:r w:rsidRPr="00663A03">
        <w:rPr>
          <w:rFonts w:ascii="Times New Roman" w:hAnsi="宋体" w:cs="Times New Roman" w:hint="eastAsia"/>
          <w:bCs/>
        </w:rPr>
        <w:t>ETF</w:t>
      </w:r>
      <w:r w:rsidRPr="00663A03">
        <w:rPr>
          <w:rFonts w:ascii="Times New Roman" w:hAnsi="宋体" w:cs="Times New Roman" w:hint="eastAsia"/>
          <w:bCs/>
        </w:rPr>
        <w:t>所产生的权利；</w:t>
      </w:r>
    </w:p>
    <w:p w14:paraId="37B58F2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19</w:t>
      </w:r>
      <w:r w:rsidRPr="00663A03">
        <w:rPr>
          <w:rFonts w:ascii="Times New Roman" w:hAnsi="宋体" w:cs="Times New Roman" w:hint="eastAsia"/>
          <w:bCs/>
        </w:rPr>
        <w:t>）法律法规及中国证监会规定的和《基金合同》约定的其他权利。</w:t>
      </w:r>
    </w:p>
    <w:p w14:paraId="4B409BE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、根据《基金法》、《运作办法》及其他有关规定，基金管理人的义务包括但不限于：</w:t>
      </w:r>
    </w:p>
    <w:p w14:paraId="08AA18F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）依法募集资金，办理或者委托经中国证监会认定的其他机构代为办理基金份额的发售、申购、赎回和登记事宜；</w:t>
      </w:r>
    </w:p>
    <w:p w14:paraId="008C244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）办理基金备案手续；</w:t>
      </w:r>
    </w:p>
    <w:p w14:paraId="1B58974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3</w:t>
      </w:r>
      <w:r w:rsidRPr="00663A03">
        <w:rPr>
          <w:rFonts w:ascii="Times New Roman" w:hAnsi="宋体" w:cs="Times New Roman" w:hint="eastAsia"/>
          <w:bCs/>
        </w:rPr>
        <w:t>）自《基金合同》生效之日起，以诚实信用、谨慎勤勉的原则管理和运用基金财产；</w:t>
      </w:r>
    </w:p>
    <w:p w14:paraId="30AF5BD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4</w:t>
      </w:r>
      <w:r w:rsidRPr="00663A03">
        <w:rPr>
          <w:rFonts w:ascii="Times New Roman" w:hAnsi="宋体" w:cs="Times New Roman" w:hint="eastAsia"/>
          <w:bCs/>
        </w:rPr>
        <w:t>）配备足够的具有专业资格的人员进行基金投资分析、决策，以专业化的经营方式管理和运作基金财产；</w:t>
      </w:r>
    </w:p>
    <w:p w14:paraId="5262905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5</w:t>
      </w:r>
      <w:r w:rsidRPr="00663A03">
        <w:rPr>
          <w:rFonts w:ascii="Times New Roman" w:hAnsi="宋体" w:cs="Times New Roman" w:hint="eastAsia"/>
          <w:bCs/>
        </w:rPr>
        <w:t>）建立健全内部风险控制、监察与稽核、财务管理及人事管理等制度，保证所管理的基金财产和基金管理人的财产相互独立，对所管理的不同基金分别管理，分别记账，进行证券投资；</w:t>
      </w:r>
    </w:p>
    <w:p w14:paraId="2A495F1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6</w:t>
      </w:r>
      <w:r w:rsidRPr="00663A03">
        <w:rPr>
          <w:rFonts w:ascii="Times New Roman" w:hAnsi="宋体" w:cs="Times New Roman" w:hint="eastAsia"/>
          <w:bCs/>
        </w:rPr>
        <w:t>）除依据《基金法》、《基金合同》及其他有关规定外，不得利用基金财产为自己及任何第三人谋取利益，不得委托第三人运作基金财产；</w:t>
      </w:r>
    </w:p>
    <w:p w14:paraId="5BD2F8E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7</w:t>
      </w:r>
      <w:r w:rsidRPr="00663A03">
        <w:rPr>
          <w:rFonts w:ascii="Times New Roman" w:hAnsi="宋体" w:cs="Times New Roman" w:hint="eastAsia"/>
          <w:bCs/>
        </w:rPr>
        <w:t>）依法接受基金托管人的监督；</w:t>
      </w:r>
    </w:p>
    <w:p w14:paraId="47A2E10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8</w:t>
      </w:r>
      <w:r w:rsidRPr="00663A03">
        <w:rPr>
          <w:rFonts w:ascii="Times New Roman" w:hAnsi="宋体" w:cs="Times New Roman" w:hint="eastAsia"/>
          <w:bCs/>
        </w:rPr>
        <w:t>）采取适当合理的措施使计算基金份额认购、申购、赎回和注销价格的方法符合《基金合同》等法律文件的规定，按有关规定计算并披露基金净值信息，确定基金份额申购、赎回的价格；</w:t>
      </w:r>
    </w:p>
    <w:p w14:paraId="4E9F84B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9</w:t>
      </w:r>
      <w:r w:rsidRPr="00663A03">
        <w:rPr>
          <w:rFonts w:ascii="Times New Roman" w:hAnsi="宋体" w:cs="Times New Roman" w:hint="eastAsia"/>
          <w:bCs/>
        </w:rPr>
        <w:t>）进行基金会计核算并编制基金财务会计报告；</w:t>
      </w:r>
    </w:p>
    <w:p w14:paraId="58B40D2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10</w:t>
      </w:r>
      <w:r w:rsidRPr="00663A03">
        <w:rPr>
          <w:rFonts w:ascii="Times New Roman" w:hAnsi="宋体" w:cs="Times New Roman" w:hint="eastAsia"/>
          <w:bCs/>
        </w:rPr>
        <w:t>）编制季度报告、中期报告和年度报告；</w:t>
      </w:r>
    </w:p>
    <w:p w14:paraId="0E6A018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11</w:t>
      </w:r>
      <w:r w:rsidRPr="00663A03">
        <w:rPr>
          <w:rFonts w:ascii="Times New Roman" w:hAnsi="宋体" w:cs="Times New Roman" w:hint="eastAsia"/>
          <w:bCs/>
        </w:rPr>
        <w:t>）严格按照《基金法》、《基金合同》及其他有关规定，履行信息披露及报告义务；</w:t>
      </w:r>
    </w:p>
    <w:p w14:paraId="13C9D99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12</w:t>
      </w:r>
      <w:r w:rsidRPr="00663A03">
        <w:rPr>
          <w:rFonts w:ascii="Times New Roman" w:hAnsi="宋体" w:cs="Times New Roman" w:hint="eastAsia"/>
          <w:bCs/>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41AD09C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13</w:t>
      </w:r>
      <w:r w:rsidRPr="00663A03">
        <w:rPr>
          <w:rFonts w:ascii="Times New Roman" w:hAnsi="宋体" w:cs="Times New Roman" w:hint="eastAsia"/>
          <w:bCs/>
        </w:rPr>
        <w:t>）按《基金合同》的约定确定基金收益分配方案，及时向基金份额持有人分配基金收益；</w:t>
      </w:r>
    </w:p>
    <w:p w14:paraId="265D4A0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14</w:t>
      </w:r>
      <w:r w:rsidRPr="00663A03">
        <w:rPr>
          <w:rFonts w:ascii="Times New Roman" w:hAnsi="宋体" w:cs="Times New Roman" w:hint="eastAsia"/>
          <w:bCs/>
        </w:rPr>
        <w:t>）按规定受理申购与赎回申请，及时、足额支付赎回款项；</w:t>
      </w:r>
    </w:p>
    <w:p w14:paraId="63EC9DA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15</w:t>
      </w:r>
      <w:r w:rsidRPr="00663A03">
        <w:rPr>
          <w:rFonts w:ascii="Times New Roman" w:hAnsi="宋体" w:cs="Times New Roman" w:hint="eastAsia"/>
          <w:bCs/>
        </w:rPr>
        <w:t>）依据《基金法》、《基金合同》及其他有关规定召集基金份额持有人大会或配合基金托管人、基金份额持有人依法召集基金份额持有人大会；</w:t>
      </w:r>
    </w:p>
    <w:p w14:paraId="07688CE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16</w:t>
      </w:r>
      <w:r w:rsidRPr="00663A03">
        <w:rPr>
          <w:rFonts w:ascii="Times New Roman" w:hAnsi="宋体" w:cs="Times New Roman" w:hint="eastAsia"/>
          <w:bCs/>
        </w:rPr>
        <w:t>）按规定保存基金财产管理业务活动的会计账册、报表、记录和其他相关资料不低于法律法规规定的最低期限；</w:t>
      </w:r>
    </w:p>
    <w:p w14:paraId="50F211B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17</w:t>
      </w:r>
      <w:r w:rsidRPr="00663A03">
        <w:rPr>
          <w:rFonts w:ascii="Times New Roman" w:hAnsi="宋体" w:cs="Times New Roman" w:hint="eastAsia"/>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19F9D1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18</w:t>
      </w:r>
      <w:r w:rsidRPr="00663A03">
        <w:rPr>
          <w:rFonts w:ascii="Times New Roman" w:hAnsi="宋体" w:cs="Times New Roman" w:hint="eastAsia"/>
          <w:bCs/>
        </w:rPr>
        <w:t>）组织并参加基金财产清算小组，参与基金财产的保管、清理、估价、变现和分配；</w:t>
      </w:r>
    </w:p>
    <w:p w14:paraId="135A208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19</w:t>
      </w:r>
      <w:r w:rsidRPr="00663A03">
        <w:rPr>
          <w:rFonts w:ascii="Times New Roman" w:hAnsi="宋体" w:cs="Times New Roman" w:hint="eastAsia"/>
          <w:bCs/>
        </w:rPr>
        <w:t>）面临解散、依法被撤销或者被依法宣告破产时，及时报告中国证监会并通知基金托管人；</w:t>
      </w:r>
    </w:p>
    <w:p w14:paraId="039E6BC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20</w:t>
      </w:r>
      <w:r w:rsidRPr="00663A03">
        <w:rPr>
          <w:rFonts w:ascii="Times New Roman" w:hAnsi="宋体" w:cs="Times New Roman" w:hint="eastAsia"/>
          <w:bCs/>
        </w:rPr>
        <w:t>）因违反《基金合同》导致基金财产的损失或损害基金份额持有人合法权益时，应当承担赔偿责任，其赔偿责任不因其退任而免除；</w:t>
      </w:r>
    </w:p>
    <w:p w14:paraId="6F9891F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21</w:t>
      </w:r>
      <w:r w:rsidRPr="00663A03">
        <w:rPr>
          <w:rFonts w:ascii="Times New Roman" w:hAnsi="宋体" w:cs="Times New Roman" w:hint="eastAsia"/>
          <w:bCs/>
        </w:rPr>
        <w:t>）监督基金托管人按法律法规和《基金合同》规定履行自己的义务，基金托管人违反《基金合同》造成基金财产损失时，基金管理人应为基金份额持有人利益向基金托管人追偿；</w:t>
      </w:r>
    </w:p>
    <w:p w14:paraId="4B25B70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22</w:t>
      </w:r>
      <w:r w:rsidRPr="00663A03">
        <w:rPr>
          <w:rFonts w:ascii="Times New Roman" w:hAnsi="宋体" w:cs="Times New Roman" w:hint="eastAsia"/>
          <w:bCs/>
        </w:rPr>
        <w:t>）当基金管理人将其义务委托第三方处理时，应当对第三方处理有关基金事务的行为承担责任；</w:t>
      </w:r>
    </w:p>
    <w:p w14:paraId="00EB8E3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23</w:t>
      </w:r>
      <w:r w:rsidRPr="00663A03">
        <w:rPr>
          <w:rFonts w:ascii="Times New Roman" w:hAnsi="宋体" w:cs="Times New Roman" w:hint="eastAsia"/>
          <w:bCs/>
        </w:rPr>
        <w:t>）以基金管理人名义，代表基金份额持有人利益行使诉讼权利或实施其他法律行为；</w:t>
      </w:r>
    </w:p>
    <w:p w14:paraId="67BAB0E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24</w:t>
      </w:r>
      <w:r w:rsidRPr="00663A03">
        <w:rPr>
          <w:rFonts w:ascii="Times New Roman" w:hAnsi="宋体" w:cs="Times New Roman" w:hint="eastAsia"/>
          <w:bCs/>
        </w:rPr>
        <w:t>）基金管理人在募集期间未能达到基金的备案条件，《基金合同》不能生效，基金管理人承担全部募集费用，将已募集资金并加计银行同期活期存款利息在基金募集期结束后</w:t>
      </w:r>
      <w:r w:rsidRPr="00663A03">
        <w:rPr>
          <w:rFonts w:ascii="Times New Roman" w:hAnsi="宋体" w:cs="Times New Roman" w:hint="eastAsia"/>
          <w:bCs/>
        </w:rPr>
        <w:t>30</w:t>
      </w:r>
      <w:r w:rsidRPr="00663A03">
        <w:rPr>
          <w:rFonts w:ascii="Times New Roman" w:hAnsi="宋体" w:cs="Times New Roman" w:hint="eastAsia"/>
          <w:bCs/>
        </w:rPr>
        <w:t>日内退还基金认购人；</w:t>
      </w:r>
    </w:p>
    <w:p w14:paraId="0022B77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25</w:t>
      </w:r>
      <w:r w:rsidRPr="00663A03">
        <w:rPr>
          <w:rFonts w:ascii="Times New Roman" w:hAnsi="宋体" w:cs="Times New Roman" w:hint="eastAsia"/>
          <w:bCs/>
        </w:rPr>
        <w:t>）执行生效的基金份额持有人大会的决议；</w:t>
      </w:r>
    </w:p>
    <w:p w14:paraId="4EE4173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26</w:t>
      </w:r>
      <w:r w:rsidRPr="00663A03">
        <w:rPr>
          <w:rFonts w:ascii="Times New Roman" w:hAnsi="宋体" w:cs="Times New Roman" w:hint="eastAsia"/>
          <w:bCs/>
        </w:rPr>
        <w:t>）建立并保存基金份额持有人名册；</w:t>
      </w:r>
    </w:p>
    <w:p w14:paraId="1F5C209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27</w:t>
      </w:r>
      <w:r w:rsidRPr="00663A03">
        <w:rPr>
          <w:rFonts w:ascii="Times New Roman" w:hAnsi="宋体" w:cs="Times New Roman" w:hint="eastAsia"/>
          <w:bCs/>
        </w:rPr>
        <w:t>）法律法规及中国证监会规定的和《基金合同》约定的其他义务。</w:t>
      </w:r>
    </w:p>
    <w:p w14:paraId="2C5AB67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（二）基金托管人的权利与义务</w:t>
      </w:r>
    </w:p>
    <w:p w14:paraId="2F15DD6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、根据《基金法》、《运作办法》及其他有关规定，基金托管人的权利包括但不限于：</w:t>
      </w:r>
    </w:p>
    <w:p w14:paraId="74DA7AE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）自《基金合同》生效之日起，依法律法规和《基金合同》的规定安全保管基金财产；</w:t>
      </w:r>
    </w:p>
    <w:p w14:paraId="7CAAA1C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）依《基金合同》约定获得基金托管费以及法律法规规定或监管部门批准的其他费用；</w:t>
      </w:r>
    </w:p>
    <w:p w14:paraId="390D147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3</w:t>
      </w:r>
      <w:r w:rsidRPr="00663A03">
        <w:rPr>
          <w:rFonts w:ascii="Times New Roman" w:hAnsi="宋体" w:cs="Times New Roman" w:hint="eastAsia"/>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5D672C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4</w:t>
      </w:r>
      <w:r w:rsidRPr="00663A03">
        <w:rPr>
          <w:rFonts w:ascii="Times New Roman" w:hAnsi="宋体" w:cs="Times New Roman" w:hint="eastAsia"/>
          <w:bCs/>
        </w:rPr>
        <w:t>）根据相关市场规则，为基金开设证券账户、资金账户等投资所需账户，为基金办理证券</w:t>
      </w:r>
      <w:r w:rsidRPr="00663A03">
        <w:rPr>
          <w:rFonts w:ascii="Times New Roman" w:hAnsi="宋体" w:cs="Times New Roman" w:hint="eastAsia"/>
          <w:bCs/>
        </w:rPr>
        <w:t>/</w:t>
      </w:r>
      <w:r w:rsidRPr="00663A03">
        <w:rPr>
          <w:rFonts w:ascii="Times New Roman" w:hAnsi="宋体" w:cs="Times New Roman" w:hint="eastAsia"/>
          <w:bCs/>
        </w:rPr>
        <w:t>期货交易资金清算；</w:t>
      </w:r>
    </w:p>
    <w:p w14:paraId="4EFEA89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5</w:t>
      </w:r>
      <w:r w:rsidRPr="00663A03">
        <w:rPr>
          <w:rFonts w:ascii="Times New Roman" w:hAnsi="宋体" w:cs="Times New Roman" w:hint="eastAsia"/>
          <w:bCs/>
        </w:rPr>
        <w:t>）提议召开或召集基金份额持有人大会；</w:t>
      </w:r>
    </w:p>
    <w:p w14:paraId="1A978B3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6</w:t>
      </w:r>
      <w:r w:rsidRPr="00663A03">
        <w:rPr>
          <w:rFonts w:ascii="Times New Roman" w:hAnsi="宋体" w:cs="Times New Roman" w:hint="eastAsia"/>
          <w:bCs/>
        </w:rPr>
        <w:t>）在基金管理人更换时，提名新的基金管理人；</w:t>
      </w:r>
    </w:p>
    <w:p w14:paraId="42C3AFD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7</w:t>
      </w:r>
      <w:r w:rsidRPr="00663A03">
        <w:rPr>
          <w:rFonts w:ascii="Times New Roman" w:hAnsi="宋体" w:cs="Times New Roman" w:hint="eastAsia"/>
          <w:bCs/>
        </w:rPr>
        <w:t>）法律法规及中国证监会规定的和《基金合同》约定的其他权利。</w:t>
      </w:r>
    </w:p>
    <w:p w14:paraId="683CB6A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、根据《基金法》、《运作办法》及其他有关规定，基金托管人的义务包括但不限于：</w:t>
      </w:r>
    </w:p>
    <w:p w14:paraId="7C38C4D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）以诚实信用、勤勉尽责的原则持有并安全保管基金财产；</w:t>
      </w:r>
    </w:p>
    <w:p w14:paraId="28E45C9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）设立专门的基金托管部门，具有符合要求的营业场所，配备足够的、合格的熟悉基金托管业务的专职人员，负责基金财产托管事宜；</w:t>
      </w:r>
    </w:p>
    <w:p w14:paraId="5BC03F9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3</w:t>
      </w:r>
      <w:r w:rsidRPr="00663A03">
        <w:rPr>
          <w:rFonts w:ascii="Times New Roman" w:hAnsi="宋体" w:cs="Times New Roman" w:hint="eastAsia"/>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954ECB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4</w:t>
      </w:r>
      <w:r w:rsidRPr="00663A03">
        <w:rPr>
          <w:rFonts w:ascii="Times New Roman" w:hAnsi="宋体" w:cs="Times New Roman" w:hint="eastAsia"/>
          <w:bCs/>
        </w:rPr>
        <w:t>）除依据《基金法》、《基金合同》及其他有关规定外，不得利用基金财产为自己及任何第三人谋取利益，不得委托第三人托管基金财产；</w:t>
      </w:r>
    </w:p>
    <w:p w14:paraId="4A0AB07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5</w:t>
      </w:r>
      <w:r w:rsidRPr="00663A03">
        <w:rPr>
          <w:rFonts w:ascii="Times New Roman" w:hAnsi="宋体" w:cs="Times New Roman" w:hint="eastAsia"/>
          <w:bCs/>
        </w:rPr>
        <w:t>）保管由基金管理人代表基金签订的与基金有关的重大合同及有关凭证；</w:t>
      </w:r>
    </w:p>
    <w:p w14:paraId="172028F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6</w:t>
      </w:r>
      <w:r w:rsidRPr="00663A03">
        <w:rPr>
          <w:rFonts w:ascii="Times New Roman" w:hAnsi="宋体" w:cs="Times New Roman" w:hint="eastAsia"/>
          <w:bCs/>
        </w:rPr>
        <w:t>）按规定开设基金财产的资金账户、证券账户等投资所需账户，按照《基金合同》的约定，根据基金管理人的投资指令，及时办理清算、交割事宜；</w:t>
      </w:r>
    </w:p>
    <w:p w14:paraId="47D1130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7</w:t>
      </w:r>
      <w:r w:rsidRPr="00663A03">
        <w:rPr>
          <w:rFonts w:ascii="Times New Roman" w:hAnsi="宋体" w:cs="Times New Roman" w:hint="eastAsia"/>
          <w:bCs/>
        </w:rPr>
        <w:t>）保守基金商业秘密，除《基金法》、《基金合同》及其他有关规定另有规定外，在基金信息公开披露前予以保密，不得向他人泄露，但依法向监管机构、司法机关及审计、法律等外部专业顾问提供的除外；</w:t>
      </w:r>
    </w:p>
    <w:p w14:paraId="3AD3D85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8</w:t>
      </w:r>
      <w:r w:rsidRPr="00663A03">
        <w:rPr>
          <w:rFonts w:ascii="Times New Roman" w:hAnsi="宋体" w:cs="Times New Roman" w:hint="eastAsia"/>
          <w:bCs/>
        </w:rPr>
        <w:t>）复核、审查基金管理人计算的基金资产净值、各类基金份额净值、基金份额申购、赎回价格；</w:t>
      </w:r>
    </w:p>
    <w:p w14:paraId="6C1EA76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9</w:t>
      </w:r>
      <w:r w:rsidRPr="00663A03">
        <w:rPr>
          <w:rFonts w:ascii="Times New Roman" w:hAnsi="宋体" w:cs="Times New Roman" w:hint="eastAsia"/>
          <w:bCs/>
        </w:rPr>
        <w:t>）办理与基金托管业务活动有关的信息披露事项；</w:t>
      </w:r>
    </w:p>
    <w:p w14:paraId="6F088CD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10</w:t>
      </w:r>
      <w:r w:rsidRPr="00663A03">
        <w:rPr>
          <w:rFonts w:ascii="Times New Roman" w:hAnsi="宋体" w:cs="Times New Roman" w:hint="eastAsia"/>
          <w:bCs/>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6108C3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11</w:t>
      </w:r>
      <w:r w:rsidRPr="00663A03">
        <w:rPr>
          <w:rFonts w:ascii="Times New Roman" w:hAnsi="宋体" w:cs="Times New Roman" w:hint="eastAsia"/>
          <w:bCs/>
        </w:rPr>
        <w:t>）保存基金托管业务活动的记录、账册、报表和其他相关资料不低于法律法规规定的最低期限；</w:t>
      </w:r>
    </w:p>
    <w:p w14:paraId="33DF1D8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12</w:t>
      </w:r>
      <w:r w:rsidRPr="00663A03">
        <w:rPr>
          <w:rFonts w:ascii="Times New Roman" w:hAnsi="宋体" w:cs="Times New Roman" w:hint="eastAsia"/>
          <w:bCs/>
        </w:rPr>
        <w:t>）从基金管理人或其委托的登记机构处接收并保存基金份额持有人名册；</w:t>
      </w:r>
    </w:p>
    <w:p w14:paraId="117C82D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13</w:t>
      </w:r>
      <w:r w:rsidRPr="00663A03">
        <w:rPr>
          <w:rFonts w:ascii="Times New Roman" w:hAnsi="宋体" w:cs="Times New Roman" w:hint="eastAsia"/>
          <w:bCs/>
        </w:rPr>
        <w:t>）按规定制作相关账册并与基金管理人核对；</w:t>
      </w:r>
    </w:p>
    <w:p w14:paraId="70B4077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14</w:t>
      </w:r>
      <w:r w:rsidRPr="00663A03">
        <w:rPr>
          <w:rFonts w:ascii="Times New Roman" w:hAnsi="宋体" w:cs="Times New Roman" w:hint="eastAsia"/>
          <w:bCs/>
        </w:rPr>
        <w:t>）依据基金管理人的指令或有关规定向基金份额持有人支付基金收益和赎回款项；</w:t>
      </w:r>
    </w:p>
    <w:p w14:paraId="458F0AC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15</w:t>
      </w:r>
      <w:r w:rsidRPr="00663A03">
        <w:rPr>
          <w:rFonts w:ascii="Times New Roman" w:hAnsi="宋体" w:cs="Times New Roman" w:hint="eastAsia"/>
          <w:bCs/>
        </w:rPr>
        <w:t>）依据《基金法》、《基金合同》及其他有关规定，召集基金份额持有人大会或配合基金管理人、基金份额持有人依法召集基金份额持有人大会；</w:t>
      </w:r>
    </w:p>
    <w:p w14:paraId="1B9DC7D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16</w:t>
      </w:r>
      <w:r w:rsidRPr="00663A03">
        <w:rPr>
          <w:rFonts w:ascii="Times New Roman" w:hAnsi="宋体" w:cs="Times New Roman" w:hint="eastAsia"/>
          <w:bCs/>
        </w:rPr>
        <w:t>）按照法律法规和《基金合同》的规定监督基金管理人的投资运作；</w:t>
      </w:r>
    </w:p>
    <w:p w14:paraId="0F076E0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17</w:t>
      </w:r>
      <w:r w:rsidRPr="00663A03">
        <w:rPr>
          <w:rFonts w:ascii="Times New Roman" w:hAnsi="宋体" w:cs="Times New Roman" w:hint="eastAsia"/>
          <w:bCs/>
        </w:rPr>
        <w:t>）参加基金财产清算小组，参与基金财产的保管、清理、估价、变现和分配；</w:t>
      </w:r>
    </w:p>
    <w:p w14:paraId="2B13BE0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18</w:t>
      </w:r>
      <w:r w:rsidRPr="00663A03">
        <w:rPr>
          <w:rFonts w:ascii="Times New Roman" w:hAnsi="宋体" w:cs="Times New Roman" w:hint="eastAsia"/>
          <w:bCs/>
        </w:rPr>
        <w:t>）面临解散、依法被撤销或者被依法宣告破产时，及时报告中国证监会，并通知基金管理人；</w:t>
      </w:r>
    </w:p>
    <w:p w14:paraId="2F6D1B8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19</w:t>
      </w:r>
      <w:r w:rsidRPr="00663A03">
        <w:rPr>
          <w:rFonts w:ascii="Times New Roman" w:hAnsi="宋体" w:cs="Times New Roman" w:hint="eastAsia"/>
          <w:bCs/>
        </w:rPr>
        <w:t>）因违反《基金合同》导致基金财产损失时，应承担赔偿责任，其赔偿责任不因其退任而免除；</w:t>
      </w:r>
    </w:p>
    <w:p w14:paraId="07C705B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20</w:t>
      </w:r>
      <w:r w:rsidRPr="00663A03">
        <w:rPr>
          <w:rFonts w:ascii="Times New Roman" w:hAnsi="宋体" w:cs="Times New Roman" w:hint="eastAsia"/>
          <w:bCs/>
        </w:rPr>
        <w:t>）按规定监督基金管理人按法律法规和《基金合同》规定履行自己的义务，基金管理人因违反《基金合同》造成基金财产损失时，应为基金份额持有人利益向基金管理人追偿；</w:t>
      </w:r>
    </w:p>
    <w:p w14:paraId="7932B28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21</w:t>
      </w:r>
      <w:r w:rsidRPr="00663A03">
        <w:rPr>
          <w:rFonts w:ascii="Times New Roman" w:hAnsi="宋体" w:cs="Times New Roman" w:hint="eastAsia"/>
          <w:bCs/>
        </w:rPr>
        <w:t>）执行生效的基金份额持有人大会的决议；</w:t>
      </w:r>
    </w:p>
    <w:p w14:paraId="28F8446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22</w:t>
      </w:r>
      <w:r w:rsidRPr="00663A03">
        <w:rPr>
          <w:rFonts w:ascii="Times New Roman" w:hAnsi="宋体" w:cs="Times New Roman" w:hint="eastAsia"/>
          <w:bCs/>
        </w:rPr>
        <w:t>）法律法规及中国证监会规定的和《基金合同》约定的其他义务。</w:t>
      </w:r>
    </w:p>
    <w:p w14:paraId="57650F6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（三）基金份额持有人</w:t>
      </w:r>
    </w:p>
    <w:p w14:paraId="5B0C3F5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投资者持有本基金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7FE7393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同一类别每份基金份额具有同等的合法权益。</w:t>
      </w:r>
    </w:p>
    <w:p w14:paraId="648B8EF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、根据《基金法》、《运作办法》及其他有关规定，基金份额持有人的权利包括但不限于：</w:t>
      </w:r>
    </w:p>
    <w:p w14:paraId="58F8370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）分享基金财产收益；</w:t>
      </w:r>
    </w:p>
    <w:p w14:paraId="4563E23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）参与分配清算后的剩余基金财产；</w:t>
      </w:r>
    </w:p>
    <w:p w14:paraId="23E9DCD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3</w:t>
      </w:r>
      <w:r w:rsidRPr="00663A03">
        <w:rPr>
          <w:rFonts w:ascii="Times New Roman" w:hAnsi="宋体" w:cs="Times New Roman" w:hint="eastAsia"/>
          <w:bCs/>
        </w:rPr>
        <w:t>）依法转让或者申请赎回其持有的基金份额；</w:t>
      </w:r>
    </w:p>
    <w:p w14:paraId="5DCA699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4</w:t>
      </w:r>
      <w:r w:rsidRPr="00663A03">
        <w:rPr>
          <w:rFonts w:ascii="Times New Roman" w:hAnsi="宋体" w:cs="Times New Roman" w:hint="eastAsia"/>
          <w:bCs/>
        </w:rPr>
        <w:t>）按照规定要求召开基金份额持有人大会或者召集基金份额持有人大会；</w:t>
      </w:r>
    </w:p>
    <w:p w14:paraId="3942A4B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5</w:t>
      </w:r>
      <w:r w:rsidRPr="00663A03">
        <w:rPr>
          <w:rFonts w:ascii="Times New Roman" w:hAnsi="宋体" w:cs="Times New Roman" w:hint="eastAsia"/>
          <w:bCs/>
        </w:rPr>
        <w:t>）出席或者委派代表出席基金份额持有人大会，对基金份额持有人大会审议事项行使表决权；</w:t>
      </w:r>
    </w:p>
    <w:p w14:paraId="4CB6FEC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6</w:t>
      </w:r>
      <w:r w:rsidRPr="00663A03">
        <w:rPr>
          <w:rFonts w:ascii="Times New Roman" w:hAnsi="宋体" w:cs="Times New Roman" w:hint="eastAsia"/>
          <w:bCs/>
        </w:rPr>
        <w:t>）出席或者委派代表出席目标</w:t>
      </w:r>
      <w:r w:rsidRPr="00663A03">
        <w:rPr>
          <w:rFonts w:ascii="Times New Roman" w:hAnsi="宋体" w:cs="Times New Roman" w:hint="eastAsia"/>
          <w:bCs/>
        </w:rPr>
        <w:t>ETF</w:t>
      </w:r>
      <w:r w:rsidRPr="00663A03">
        <w:rPr>
          <w:rFonts w:ascii="Times New Roman" w:hAnsi="宋体" w:cs="Times New Roman" w:hint="eastAsia"/>
          <w:bCs/>
        </w:rPr>
        <w:t>基金份额持有人大会，对目标</w:t>
      </w:r>
      <w:r w:rsidRPr="00663A03">
        <w:rPr>
          <w:rFonts w:ascii="Times New Roman" w:hAnsi="宋体" w:cs="Times New Roman" w:hint="eastAsia"/>
          <w:bCs/>
        </w:rPr>
        <w:t>ETF</w:t>
      </w:r>
      <w:r w:rsidRPr="00663A03">
        <w:rPr>
          <w:rFonts w:ascii="Times New Roman" w:hAnsi="宋体" w:cs="Times New Roman" w:hint="eastAsia"/>
          <w:bCs/>
        </w:rPr>
        <w:t>基金份额持有人大会审议事项行使表决权；</w:t>
      </w:r>
    </w:p>
    <w:p w14:paraId="235874B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7</w:t>
      </w:r>
      <w:r w:rsidRPr="00663A03">
        <w:rPr>
          <w:rFonts w:ascii="Times New Roman" w:hAnsi="宋体" w:cs="Times New Roman" w:hint="eastAsia"/>
          <w:bCs/>
        </w:rPr>
        <w:t>）查阅或者复制公开披露的基金信息资料；</w:t>
      </w:r>
    </w:p>
    <w:p w14:paraId="1381EC8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8</w:t>
      </w:r>
      <w:r w:rsidRPr="00663A03">
        <w:rPr>
          <w:rFonts w:ascii="Times New Roman" w:hAnsi="宋体" w:cs="Times New Roman" w:hint="eastAsia"/>
          <w:bCs/>
        </w:rPr>
        <w:t>）监督基金管理人的投资运作；</w:t>
      </w:r>
    </w:p>
    <w:p w14:paraId="7A5B569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9</w:t>
      </w:r>
      <w:r w:rsidRPr="00663A03">
        <w:rPr>
          <w:rFonts w:ascii="Times New Roman" w:hAnsi="宋体" w:cs="Times New Roman" w:hint="eastAsia"/>
          <w:bCs/>
        </w:rPr>
        <w:t>）对基金管理人、基金托管人、基金服务机构损害其合法权益的行为依法提起诉讼或仲裁；</w:t>
      </w:r>
    </w:p>
    <w:p w14:paraId="1D1612D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10</w:t>
      </w:r>
      <w:r w:rsidRPr="00663A03">
        <w:rPr>
          <w:rFonts w:ascii="Times New Roman" w:hAnsi="宋体" w:cs="Times New Roman" w:hint="eastAsia"/>
          <w:bCs/>
        </w:rPr>
        <w:t>）法律法规及中国证监会规定的和《基金合同》约定的其他权利。</w:t>
      </w:r>
    </w:p>
    <w:p w14:paraId="72DD5AE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、根据《基金法》、《运作办法》及其他有关规定，基金份额持有人的义务包括但不限于：</w:t>
      </w:r>
    </w:p>
    <w:p w14:paraId="30F554D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）认真阅读并遵守《基金合同》、招募说明书等信息披露文件；</w:t>
      </w:r>
    </w:p>
    <w:p w14:paraId="4EC49EE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）了解所投资基金产品，了解自身风险承受能力，自主判断基金的投资价值，自主做出投资决策，自行承担投资风险；</w:t>
      </w:r>
    </w:p>
    <w:p w14:paraId="6812271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3</w:t>
      </w:r>
      <w:r w:rsidRPr="00663A03">
        <w:rPr>
          <w:rFonts w:ascii="Times New Roman" w:hAnsi="宋体" w:cs="Times New Roman" w:hint="eastAsia"/>
          <w:bCs/>
        </w:rPr>
        <w:t>）关注基金信息披露，及时行使权利和履行义务；</w:t>
      </w:r>
    </w:p>
    <w:p w14:paraId="1B7194C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4</w:t>
      </w:r>
      <w:r w:rsidRPr="00663A03">
        <w:rPr>
          <w:rFonts w:ascii="Times New Roman" w:hAnsi="宋体" w:cs="Times New Roman" w:hint="eastAsia"/>
          <w:bCs/>
        </w:rPr>
        <w:t>）缴纳基金认购、申购款项及法律法规和《基金合同》所规定的费用；</w:t>
      </w:r>
    </w:p>
    <w:p w14:paraId="6F64D1A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5</w:t>
      </w:r>
      <w:r w:rsidRPr="00663A03">
        <w:rPr>
          <w:rFonts w:ascii="Times New Roman" w:hAnsi="宋体" w:cs="Times New Roman" w:hint="eastAsia"/>
          <w:bCs/>
        </w:rPr>
        <w:t>）在其持有的基金份额范围内，承担基金亏损或者《基金合同》终止的有限责任；</w:t>
      </w:r>
    </w:p>
    <w:p w14:paraId="09CC0B8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6</w:t>
      </w:r>
      <w:r w:rsidRPr="00663A03">
        <w:rPr>
          <w:rFonts w:ascii="Times New Roman" w:hAnsi="宋体" w:cs="Times New Roman" w:hint="eastAsia"/>
          <w:bCs/>
        </w:rPr>
        <w:t>）不从事任何有损基金及其他《基金合同》当事人合法权益的活动；</w:t>
      </w:r>
    </w:p>
    <w:p w14:paraId="73E3DAE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7</w:t>
      </w:r>
      <w:r w:rsidRPr="00663A03">
        <w:rPr>
          <w:rFonts w:ascii="Times New Roman" w:hAnsi="宋体" w:cs="Times New Roman" w:hint="eastAsia"/>
          <w:bCs/>
        </w:rPr>
        <w:t>）执行生效的基金份额持有人大会的决议；</w:t>
      </w:r>
    </w:p>
    <w:p w14:paraId="07513F4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8</w:t>
      </w:r>
      <w:r w:rsidRPr="00663A03">
        <w:rPr>
          <w:rFonts w:ascii="Times New Roman" w:hAnsi="宋体" w:cs="Times New Roman" w:hint="eastAsia"/>
          <w:bCs/>
        </w:rPr>
        <w:t>）返还在基金交易过程中因任何原因获得的不当得利；</w:t>
      </w:r>
    </w:p>
    <w:p w14:paraId="52F5A11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9</w:t>
      </w:r>
      <w:r w:rsidRPr="00663A03">
        <w:rPr>
          <w:rFonts w:ascii="Times New Roman" w:hAnsi="宋体" w:cs="Times New Roman" w:hint="eastAsia"/>
          <w:bCs/>
        </w:rPr>
        <w:t>）发起资金提供方持有认购的基金份额不少于</w:t>
      </w:r>
      <w:r w:rsidRPr="00663A03">
        <w:rPr>
          <w:rFonts w:ascii="Times New Roman" w:hAnsi="宋体" w:cs="Times New Roman" w:hint="eastAsia"/>
          <w:bCs/>
        </w:rPr>
        <w:t>3</w:t>
      </w:r>
      <w:r w:rsidRPr="00663A03">
        <w:rPr>
          <w:rFonts w:ascii="Times New Roman" w:hAnsi="宋体" w:cs="Times New Roman" w:hint="eastAsia"/>
          <w:bCs/>
        </w:rPr>
        <w:t>年；</w:t>
      </w:r>
    </w:p>
    <w:p w14:paraId="3431094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10</w:t>
      </w:r>
      <w:r w:rsidRPr="00663A03">
        <w:rPr>
          <w:rFonts w:ascii="Times New Roman" w:hAnsi="宋体" w:cs="Times New Roman" w:hint="eastAsia"/>
          <w:bCs/>
        </w:rPr>
        <w:t>）法律法规及中国证监会规定的和《基金合同》约定的其他义务。</w:t>
      </w:r>
    </w:p>
    <w:p w14:paraId="583EC00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p>
    <w:p w14:paraId="7A5A1D2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二、基金份额持有人大会召集、议事及表决的程序和规则</w:t>
      </w:r>
    </w:p>
    <w:p w14:paraId="6E1CE24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基金份额持有人大会由基金份额持有人组成，基金份额持有人的合法授权代表有权代表基金份额持有人出席会议并表决。基金份额持有人持有的每一基金份额拥有平等的投票权。</w:t>
      </w:r>
    </w:p>
    <w:p w14:paraId="6522269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本基金是目标</w:t>
      </w:r>
      <w:r w:rsidRPr="00663A03">
        <w:rPr>
          <w:rFonts w:ascii="Times New Roman" w:hAnsi="宋体" w:cs="Times New Roman" w:hint="eastAsia"/>
          <w:bCs/>
        </w:rPr>
        <w:t>ETF</w:t>
      </w:r>
      <w:r w:rsidRPr="00663A03">
        <w:rPr>
          <w:rFonts w:ascii="Times New Roman" w:hAnsi="宋体" w:cs="Times New Roman" w:hint="eastAsia"/>
          <w:bCs/>
        </w:rPr>
        <w:t>的联接基金，鉴于本基金和目标</w:t>
      </w:r>
      <w:r w:rsidRPr="00663A03">
        <w:rPr>
          <w:rFonts w:ascii="Times New Roman" w:hAnsi="宋体" w:cs="Times New Roman" w:hint="eastAsia"/>
          <w:bCs/>
        </w:rPr>
        <w:t>ETF</w:t>
      </w:r>
      <w:r w:rsidRPr="00663A03">
        <w:rPr>
          <w:rFonts w:ascii="Times New Roman" w:hAnsi="宋体" w:cs="Times New Roman" w:hint="eastAsia"/>
          <w:bCs/>
        </w:rPr>
        <w:t>的相关性，本基金的基金份额持有人可以凭所持有的本基金份额出席或者委派代表出席目标</w:t>
      </w:r>
      <w:r w:rsidRPr="00663A03">
        <w:rPr>
          <w:rFonts w:ascii="Times New Roman" w:hAnsi="宋体" w:cs="Times New Roman" w:hint="eastAsia"/>
          <w:bCs/>
        </w:rPr>
        <w:t>ETF</w:t>
      </w:r>
      <w:r w:rsidRPr="00663A03">
        <w:rPr>
          <w:rFonts w:ascii="Times New Roman" w:hAnsi="宋体" w:cs="Times New Roman" w:hint="eastAsia"/>
          <w:bCs/>
        </w:rPr>
        <w:t>基金份额持有人大会并参与表决。在计算参会份额和计票时，本基金的基金份额持有人持有的享有表决权的参会份额数和表决票数为：在目标</w:t>
      </w:r>
      <w:r w:rsidRPr="00663A03">
        <w:rPr>
          <w:rFonts w:ascii="Times New Roman" w:hAnsi="宋体" w:cs="Times New Roman" w:hint="eastAsia"/>
          <w:bCs/>
        </w:rPr>
        <w:t>ETF</w:t>
      </w:r>
      <w:r w:rsidRPr="00663A03">
        <w:rPr>
          <w:rFonts w:ascii="Times New Roman" w:hAnsi="宋体" w:cs="Times New Roman" w:hint="eastAsia"/>
          <w:bCs/>
        </w:rPr>
        <w:t>基金份额持有人大会的权益登记日，本基金持有目标</w:t>
      </w:r>
      <w:r w:rsidRPr="00663A03">
        <w:rPr>
          <w:rFonts w:ascii="Times New Roman" w:hAnsi="宋体" w:cs="Times New Roman" w:hint="eastAsia"/>
          <w:bCs/>
        </w:rPr>
        <w:t>ETF</w:t>
      </w:r>
      <w:r w:rsidRPr="00663A03">
        <w:rPr>
          <w:rFonts w:ascii="Times New Roman" w:hAnsi="宋体" w:cs="Times New Roman" w:hint="eastAsia"/>
          <w:bCs/>
        </w:rPr>
        <w:t>基金份额的总数乘以该持有人所持有的本基金份额占本基金总份额的比例，计算结果按照四舍五入的方法，保留到整数位。本基金份额折算为目标</w:t>
      </w:r>
      <w:r w:rsidRPr="00663A03">
        <w:rPr>
          <w:rFonts w:ascii="Times New Roman" w:hAnsi="宋体" w:cs="Times New Roman" w:hint="eastAsia"/>
          <w:bCs/>
        </w:rPr>
        <w:t>ETF</w:t>
      </w:r>
      <w:r w:rsidRPr="00663A03">
        <w:rPr>
          <w:rFonts w:ascii="Times New Roman" w:hAnsi="宋体" w:cs="Times New Roman" w:hint="eastAsia"/>
          <w:bCs/>
        </w:rPr>
        <w:t>后的每一参会份额和目标</w:t>
      </w:r>
      <w:r w:rsidRPr="00663A03">
        <w:rPr>
          <w:rFonts w:ascii="Times New Roman" w:hAnsi="宋体" w:cs="Times New Roman" w:hint="eastAsia"/>
          <w:bCs/>
        </w:rPr>
        <w:t>ETF</w:t>
      </w:r>
      <w:r w:rsidRPr="00663A03">
        <w:rPr>
          <w:rFonts w:ascii="Times New Roman" w:hAnsi="宋体" w:cs="Times New Roman" w:hint="eastAsia"/>
          <w:bCs/>
        </w:rPr>
        <w:t>的每一参会份额拥有平等的投票权。</w:t>
      </w:r>
    </w:p>
    <w:p w14:paraId="6A2F7CD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本基金的基金管理人不应以本基金的名义代表本基金的全体基金份额持有人以目标</w:t>
      </w:r>
      <w:r w:rsidRPr="00663A03">
        <w:rPr>
          <w:rFonts w:ascii="Times New Roman" w:hAnsi="宋体" w:cs="Times New Roman" w:hint="eastAsia"/>
          <w:bCs/>
        </w:rPr>
        <w:t>ETF</w:t>
      </w:r>
      <w:r w:rsidRPr="00663A03">
        <w:rPr>
          <w:rFonts w:ascii="Times New Roman" w:hAnsi="宋体" w:cs="Times New Roman" w:hint="eastAsia"/>
          <w:bCs/>
        </w:rPr>
        <w:t>的基金份额持有人的身份行使表决权，但可接受本基金的特定基金份额持有人的委托以本基金的基金份额持有人代理人的身份出席目标</w:t>
      </w:r>
      <w:r w:rsidRPr="00663A03">
        <w:rPr>
          <w:rFonts w:ascii="Times New Roman" w:hAnsi="宋体" w:cs="Times New Roman" w:hint="eastAsia"/>
          <w:bCs/>
        </w:rPr>
        <w:t>ETF</w:t>
      </w:r>
      <w:r w:rsidRPr="00663A03">
        <w:rPr>
          <w:rFonts w:ascii="Times New Roman" w:hAnsi="宋体" w:cs="Times New Roman" w:hint="eastAsia"/>
          <w:bCs/>
        </w:rPr>
        <w:t>的基金份额持有人大会并参与表决。</w:t>
      </w:r>
    </w:p>
    <w:p w14:paraId="3AD54C5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本基金的基金管理人代表本基金的基金份额持有人提议召开或召集目标</w:t>
      </w:r>
      <w:r w:rsidRPr="00663A03">
        <w:rPr>
          <w:rFonts w:ascii="Times New Roman" w:hAnsi="宋体" w:cs="Times New Roman" w:hint="eastAsia"/>
          <w:bCs/>
        </w:rPr>
        <w:t>ETF</w:t>
      </w:r>
      <w:r w:rsidRPr="00663A03">
        <w:rPr>
          <w:rFonts w:ascii="Times New Roman" w:hAnsi="宋体" w:cs="Times New Roman" w:hint="eastAsia"/>
          <w:bCs/>
        </w:rPr>
        <w:t>基金份额持有人大会的，须先遵照本基金《基金合同》的约定召开本基金的基金份额持有人大会，本基金的基金份额持有人大会决定提议召开或召集目标</w:t>
      </w:r>
      <w:r w:rsidRPr="00663A03">
        <w:rPr>
          <w:rFonts w:ascii="Times New Roman" w:hAnsi="宋体" w:cs="Times New Roman" w:hint="eastAsia"/>
          <w:bCs/>
        </w:rPr>
        <w:t>ETF</w:t>
      </w:r>
      <w:r w:rsidRPr="00663A03">
        <w:rPr>
          <w:rFonts w:ascii="Times New Roman" w:hAnsi="宋体" w:cs="Times New Roman" w:hint="eastAsia"/>
          <w:bCs/>
        </w:rPr>
        <w:t>基金份额持有人大会的，由本基金基金管理人代表本基金的基金份额持有人提议召开或召集目标</w:t>
      </w:r>
      <w:r w:rsidRPr="00663A03">
        <w:rPr>
          <w:rFonts w:ascii="Times New Roman" w:hAnsi="宋体" w:cs="Times New Roman" w:hint="eastAsia"/>
          <w:bCs/>
        </w:rPr>
        <w:t>ETF</w:t>
      </w:r>
      <w:r w:rsidRPr="00663A03">
        <w:rPr>
          <w:rFonts w:ascii="Times New Roman" w:hAnsi="宋体" w:cs="Times New Roman" w:hint="eastAsia"/>
          <w:bCs/>
        </w:rPr>
        <w:t>基金份额持有人大会。</w:t>
      </w:r>
    </w:p>
    <w:p w14:paraId="23DDEE8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本基金份额持有人大会不设日常机构。若将来法律法规对基金份额持有人大会另有规定的，以届时有效的法律法规为准。</w:t>
      </w:r>
    </w:p>
    <w:p w14:paraId="1414C43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（一）召开事由</w:t>
      </w:r>
    </w:p>
    <w:p w14:paraId="7BB7CED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、当出现或需要决定下列事由之一的，应当召开基金份额持有人大会，但法律法规、中国证监会另有规定或基金合同另有约定的除外：</w:t>
      </w:r>
    </w:p>
    <w:p w14:paraId="5586E0A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）终止《基金合同》；</w:t>
      </w:r>
    </w:p>
    <w:p w14:paraId="32662D4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）更换基金管理人；</w:t>
      </w:r>
    </w:p>
    <w:p w14:paraId="14E3F43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3</w:t>
      </w:r>
      <w:r w:rsidRPr="00663A03">
        <w:rPr>
          <w:rFonts w:ascii="Times New Roman" w:hAnsi="宋体" w:cs="Times New Roman" w:hint="eastAsia"/>
          <w:bCs/>
        </w:rPr>
        <w:t>）更换基金托管人；</w:t>
      </w:r>
    </w:p>
    <w:p w14:paraId="081D437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4</w:t>
      </w:r>
      <w:r w:rsidRPr="00663A03">
        <w:rPr>
          <w:rFonts w:ascii="Times New Roman" w:hAnsi="宋体" w:cs="Times New Roman" w:hint="eastAsia"/>
          <w:bCs/>
        </w:rPr>
        <w:t>）转换基金运作方式；</w:t>
      </w:r>
    </w:p>
    <w:p w14:paraId="65B10EE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5</w:t>
      </w:r>
      <w:r w:rsidRPr="00663A03">
        <w:rPr>
          <w:rFonts w:ascii="Times New Roman" w:hAnsi="宋体" w:cs="Times New Roman" w:hint="eastAsia"/>
          <w:bCs/>
        </w:rPr>
        <w:t>）调整基金管理人、基金托管人的报酬标准或提高销售服务费率；</w:t>
      </w:r>
    </w:p>
    <w:p w14:paraId="5494BCD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6</w:t>
      </w:r>
      <w:r w:rsidRPr="00663A03">
        <w:rPr>
          <w:rFonts w:ascii="Times New Roman" w:hAnsi="宋体" w:cs="Times New Roman" w:hint="eastAsia"/>
          <w:bCs/>
        </w:rPr>
        <w:t>）变更基金类别；</w:t>
      </w:r>
    </w:p>
    <w:p w14:paraId="691E05B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7</w:t>
      </w:r>
      <w:r w:rsidRPr="00663A03">
        <w:rPr>
          <w:rFonts w:ascii="Times New Roman" w:hAnsi="宋体" w:cs="Times New Roman" w:hint="eastAsia"/>
          <w:bCs/>
        </w:rPr>
        <w:t>）本基金与其他基金的合并；</w:t>
      </w:r>
    </w:p>
    <w:p w14:paraId="3FCDDD0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8</w:t>
      </w:r>
      <w:r w:rsidRPr="00663A03">
        <w:rPr>
          <w:rFonts w:ascii="Times New Roman" w:hAnsi="宋体" w:cs="Times New Roman" w:hint="eastAsia"/>
          <w:bCs/>
        </w:rPr>
        <w:t>）变更基金投资目标、范围或策略，但由于目标</w:t>
      </w:r>
      <w:r w:rsidRPr="00663A03">
        <w:rPr>
          <w:rFonts w:ascii="Times New Roman" w:hAnsi="宋体" w:cs="Times New Roman" w:hint="eastAsia"/>
          <w:bCs/>
        </w:rPr>
        <w:t>ETF</w:t>
      </w:r>
      <w:r w:rsidRPr="00663A03">
        <w:rPr>
          <w:rFonts w:ascii="Times New Roman" w:hAnsi="宋体" w:cs="Times New Roman" w:hint="eastAsia"/>
          <w:bCs/>
        </w:rPr>
        <w:t>交易方式变更、终止上市或目标</w:t>
      </w:r>
      <w:r w:rsidRPr="00663A03">
        <w:rPr>
          <w:rFonts w:ascii="Times New Roman" w:hAnsi="宋体" w:cs="Times New Roman" w:hint="eastAsia"/>
          <w:bCs/>
        </w:rPr>
        <w:t>ETF</w:t>
      </w:r>
      <w:r w:rsidRPr="00663A03">
        <w:rPr>
          <w:rFonts w:ascii="Times New Roman" w:hAnsi="宋体" w:cs="Times New Roman" w:hint="eastAsia"/>
          <w:bCs/>
        </w:rPr>
        <w:t>基金合同终止而变更本基金投资目标、范围或策略的情况除外；</w:t>
      </w:r>
    </w:p>
    <w:p w14:paraId="57A51B1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9</w:t>
      </w:r>
      <w:r w:rsidRPr="00663A03">
        <w:rPr>
          <w:rFonts w:ascii="Times New Roman" w:hAnsi="宋体" w:cs="Times New Roman" w:hint="eastAsia"/>
          <w:bCs/>
        </w:rPr>
        <w:t>）变更基金份额持有人大会程序；</w:t>
      </w:r>
    </w:p>
    <w:p w14:paraId="740C975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10</w:t>
      </w:r>
      <w:r w:rsidRPr="00663A03">
        <w:rPr>
          <w:rFonts w:ascii="Times New Roman" w:hAnsi="宋体" w:cs="Times New Roman" w:hint="eastAsia"/>
          <w:bCs/>
        </w:rPr>
        <w:t>）基金管理人或基金托管人要求召开基金份额持有人大会；</w:t>
      </w:r>
    </w:p>
    <w:p w14:paraId="2216027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11</w:t>
      </w:r>
      <w:r w:rsidRPr="00663A03">
        <w:rPr>
          <w:rFonts w:ascii="Times New Roman" w:hAnsi="宋体" w:cs="Times New Roman" w:hint="eastAsia"/>
          <w:bCs/>
        </w:rPr>
        <w:t>）单独或合计持有本基金总份额</w:t>
      </w:r>
      <w:r w:rsidRPr="00663A03">
        <w:rPr>
          <w:rFonts w:ascii="Times New Roman" w:hAnsi="宋体" w:cs="Times New Roman" w:hint="eastAsia"/>
          <w:bCs/>
        </w:rPr>
        <w:t>10%</w:t>
      </w:r>
      <w:r w:rsidRPr="00663A03">
        <w:rPr>
          <w:rFonts w:ascii="Times New Roman" w:hAnsi="宋体" w:cs="Times New Roman" w:hint="eastAsia"/>
          <w:bCs/>
        </w:rPr>
        <w:t>以上（含</w:t>
      </w:r>
      <w:r w:rsidRPr="00663A03">
        <w:rPr>
          <w:rFonts w:ascii="Times New Roman" w:hAnsi="宋体" w:cs="Times New Roman" w:hint="eastAsia"/>
          <w:bCs/>
        </w:rPr>
        <w:t>10%</w:t>
      </w:r>
      <w:r w:rsidRPr="00663A03">
        <w:rPr>
          <w:rFonts w:ascii="Times New Roman" w:hAnsi="宋体" w:cs="Times New Roman" w:hint="eastAsia"/>
          <w:bCs/>
        </w:rPr>
        <w:t>）基金份额的基金份额持有人（以基金管理人收到提议当日的基金份额计算，下同）就同一事项书面要求召开基金份额持有人大会；</w:t>
      </w:r>
    </w:p>
    <w:p w14:paraId="4168D1B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12</w:t>
      </w:r>
      <w:r w:rsidRPr="00663A03">
        <w:rPr>
          <w:rFonts w:ascii="Times New Roman" w:hAnsi="宋体" w:cs="Times New Roman" w:hint="eastAsia"/>
          <w:bCs/>
        </w:rPr>
        <w:t>）对基金合同当事人权利和义务产生重大影响的其他事项；</w:t>
      </w:r>
    </w:p>
    <w:p w14:paraId="6D422E7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13</w:t>
      </w:r>
      <w:r w:rsidRPr="00663A03">
        <w:rPr>
          <w:rFonts w:ascii="Times New Roman" w:hAnsi="宋体" w:cs="Times New Roman" w:hint="eastAsia"/>
          <w:bCs/>
        </w:rPr>
        <w:t>）基金管理人代表本基金的基金份额持有人提议召开或召集目标</w:t>
      </w:r>
      <w:r w:rsidRPr="00663A03">
        <w:rPr>
          <w:rFonts w:ascii="Times New Roman" w:hAnsi="宋体" w:cs="Times New Roman" w:hint="eastAsia"/>
          <w:bCs/>
        </w:rPr>
        <w:t>ETF</w:t>
      </w:r>
      <w:r w:rsidRPr="00663A03">
        <w:rPr>
          <w:rFonts w:ascii="Times New Roman" w:hAnsi="宋体" w:cs="Times New Roman" w:hint="eastAsia"/>
          <w:bCs/>
        </w:rPr>
        <w:t>基金份额持有人大会；</w:t>
      </w:r>
    </w:p>
    <w:p w14:paraId="1EFCCAD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14</w:t>
      </w:r>
      <w:r w:rsidRPr="00663A03">
        <w:rPr>
          <w:rFonts w:ascii="Times New Roman" w:hAnsi="宋体" w:cs="Times New Roman" w:hint="eastAsia"/>
          <w:bCs/>
        </w:rPr>
        <w:t>）法律法规、《基金合同》或中国证监会规定的其他应当召开基金份额持有人大会的事项。</w:t>
      </w:r>
    </w:p>
    <w:p w14:paraId="62FF7F7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、在法律法规规定和《基金合同》约定的范围内且对基金份额持有人利益无实质性不利影响的前提下，以下情况可由基金管理人和基金托管人协商后修改，不需召开基金份额持有人大会：</w:t>
      </w:r>
    </w:p>
    <w:p w14:paraId="7EC8CEE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）法律法规要求增加的基金费用的收取；</w:t>
      </w:r>
    </w:p>
    <w:p w14:paraId="78B5ED8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）调整本基金的申购费率、调低销售服务费率或变更收费方式，调整有关基金认购、申购、赎回、转换、非交易过户、转托管、定投等业务的规则；</w:t>
      </w:r>
    </w:p>
    <w:p w14:paraId="7667034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3</w:t>
      </w:r>
      <w:r w:rsidRPr="00663A03">
        <w:rPr>
          <w:rFonts w:ascii="Times New Roman" w:hAnsi="宋体" w:cs="Times New Roman" w:hint="eastAsia"/>
          <w:bCs/>
        </w:rPr>
        <w:t>）增加、减少或调整基金份额类别设置、停止现有基金份额类别的销售及对基金份额分类办法、规则进行调整；</w:t>
      </w:r>
    </w:p>
    <w:p w14:paraId="68F5988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4</w:t>
      </w:r>
      <w:r w:rsidRPr="00663A03">
        <w:rPr>
          <w:rFonts w:ascii="Times New Roman" w:hAnsi="宋体" w:cs="Times New Roman" w:hint="eastAsia"/>
          <w:bCs/>
        </w:rPr>
        <w:t>）因相应的法律法规发生变动而应当对《基金合同》进行修改；</w:t>
      </w:r>
    </w:p>
    <w:p w14:paraId="30E955E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5</w:t>
      </w:r>
      <w:r w:rsidRPr="00663A03">
        <w:rPr>
          <w:rFonts w:ascii="Times New Roman" w:hAnsi="宋体" w:cs="Times New Roman" w:hint="eastAsia"/>
          <w:bCs/>
        </w:rPr>
        <w:t>）对《基金合同》的修改对基金份额持有人利益无实质性不利影响或修改不涉及《基金合同》当事人权利义务关系发生重大变化；</w:t>
      </w:r>
    </w:p>
    <w:p w14:paraId="72646732" w14:textId="3AF6668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00510CEC">
        <w:rPr>
          <w:rFonts w:ascii="Times New Roman" w:hAnsi="宋体" w:cs="Times New Roman"/>
          <w:bCs/>
        </w:rPr>
        <w:t>6</w:t>
      </w:r>
      <w:r w:rsidRPr="00663A03">
        <w:rPr>
          <w:rFonts w:ascii="Times New Roman" w:hAnsi="宋体" w:cs="Times New Roman" w:hint="eastAsia"/>
          <w:bCs/>
        </w:rPr>
        <w:t>）基金推出新业务或服务；</w:t>
      </w:r>
    </w:p>
    <w:p w14:paraId="45600C90" w14:textId="2438F090"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00510CEC">
        <w:rPr>
          <w:rFonts w:ascii="Times New Roman" w:hAnsi="宋体" w:cs="Times New Roman"/>
          <w:bCs/>
        </w:rPr>
        <w:t>7</w:t>
      </w:r>
      <w:r w:rsidRPr="00663A03">
        <w:rPr>
          <w:rFonts w:ascii="Times New Roman" w:hAnsi="宋体" w:cs="Times New Roman" w:hint="eastAsia"/>
          <w:bCs/>
        </w:rPr>
        <w:t>）按照法律法规和《基金合同》规定不需召开基金份额持有人大会的其他情形。</w:t>
      </w:r>
    </w:p>
    <w:p w14:paraId="10CECF2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（二）会议召集人及召集方式</w:t>
      </w:r>
    </w:p>
    <w:p w14:paraId="68EEA32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、除法律法规规定或《基金合同》另有约定外，基金份额持有人大会由基金管理人召集。</w:t>
      </w:r>
    </w:p>
    <w:p w14:paraId="25F6C72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、基金管理人未按规定召集或不能召集时，由基金托管人召集。</w:t>
      </w:r>
    </w:p>
    <w:p w14:paraId="0743A3F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3</w:t>
      </w:r>
      <w:r w:rsidRPr="00663A03">
        <w:rPr>
          <w:rFonts w:ascii="Times New Roman" w:hAnsi="宋体" w:cs="Times New Roman" w:hint="eastAsia"/>
          <w:bCs/>
        </w:rPr>
        <w:t>、基金托管人认为有必要召开基金份额持有人大会的，应当向基金管理人提出书面提议。基金管理人应当自收到书面提议之日起</w:t>
      </w:r>
      <w:r w:rsidRPr="00663A03">
        <w:rPr>
          <w:rFonts w:ascii="Times New Roman" w:hAnsi="宋体" w:cs="Times New Roman" w:hint="eastAsia"/>
          <w:bCs/>
        </w:rPr>
        <w:t>10</w:t>
      </w:r>
      <w:r w:rsidRPr="00663A03">
        <w:rPr>
          <w:rFonts w:ascii="Times New Roman" w:hAnsi="宋体" w:cs="Times New Roman" w:hint="eastAsia"/>
          <w:bCs/>
        </w:rPr>
        <w:t>日内决定是否召集，并书面告知基金托管人。基金管理人决定召集的，应当自出具书面决定之日起</w:t>
      </w:r>
      <w:r w:rsidRPr="00663A03">
        <w:rPr>
          <w:rFonts w:ascii="Times New Roman" w:hAnsi="宋体" w:cs="Times New Roman" w:hint="eastAsia"/>
          <w:bCs/>
        </w:rPr>
        <w:t>60</w:t>
      </w:r>
      <w:r w:rsidRPr="00663A03">
        <w:rPr>
          <w:rFonts w:ascii="Times New Roman" w:hAnsi="宋体" w:cs="Times New Roman" w:hint="eastAsia"/>
          <w:bCs/>
        </w:rPr>
        <w:t>日内召开；基金管理人决定不召集，基金托管人仍认为有必要召开的，应当由基金托管人自行召集，并自出具书面决定之日起</w:t>
      </w:r>
      <w:r w:rsidRPr="00663A03">
        <w:rPr>
          <w:rFonts w:ascii="Times New Roman" w:hAnsi="宋体" w:cs="Times New Roman" w:hint="eastAsia"/>
          <w:bCs/>
        </w:rPr>
        <w:t>60</w:t>
      </w:r>
      <w:r w:rsidRPr="00663A03">
        <w:rPr>
          <w:rFonts w:ascii="Times New Roman" w:hAnsi="宋体" w:cs="Times New Roman" w:hint="eastAsia"/>
          <w:bCs/>
        </w:rPr>
        <w:t>日内召开并告知基金管理人，基金管理人应当配合。</w:t>
      </w:r>
    </w:p>
    <w:p w14:paraId="48F5674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4</w:t>
      </w:r>
      <w:r w:rsidRPr="00663A03">
        <w:rPr>
          <w:rFonts w:ascii="Times New Roman" w:hAnsi="宋体" w:cs="Times New Roman" w:hint="eastAsia"/>
          <w:bCs/>
        </w:rPr>
        <w:t>、代表基金份额</w:t>
      </w:r>
      <w:r w:rsidRPr="00663A03">
        <w:rPr>
          <w:rFonts w:ascii="Times New Roman" w:hAnsi="宋体" w:cs="Times New Roman" w:hint="eastAsia"/>
          <w:bCs/>
        </w:rPr>
        <w:t>10%</w:t>
      </w:r>
      <w:r w:rsidRPr="00663A03">
        <w:rPr>
          <w:rFonts w:ascii="Times New Roman" w:hAnsi="宋体" w:cs="Times New Roman" w:hint="eastAsia"/>
          <w:bCs/>
        </w:rPr>
        <w:t>以上（含</w:t>
      </w:r>
      <w:r w:rsidRPr="00663A03">
        <w:rPr>
          <w:rFonts w:ascii="Times New Roman" w:hAnsi="宋体" w:cs="Times New Roman" w:hint="eastAsia"/>
          <w:bCs/>
        </w:rPr>
        <w:t>10%</w:t>
      </w:r>
      <w:r w:rsidRPr="00663A03">
        <w:rPr>
          <w:rFonts w:ascii="Times New Roman" w:hAnsi="宋体" w:cs="Times New Roman" w:hint="eastAsia"/>
          <w:bCs/>
        </w:rPr>
        <w:t>）的基金份额持有人就同一事项书面要求召开基金份额持有人大会，应当向基金管理人提出书面提议。基金管理人应当自收到书面提议之日起</w:t>
      </w:r>
      <w:r w:rsidRPr="00663A03">
        <w:rPr>
          <w:rFonts w:ascii="Times New Roman" w:hAnsi="宋体" w:cs="Times New Roman" w:hint="eastAsia"/>
          <w:bCs/>
        </w:rPr>
        <w:t>10</w:t>
      </w:r>
      <w:r w:rsidRPr="00663A03">
        <w:rPr>
          <w:rFonts w:ascii="Times New Roman" w:hAnsi="宋体" w:cs="Times New Roman" w:hint="eastAsia"/>
          <w:bCs/>
        </w:rPr>
        <w:t>日内决定是否召集，并书面告知提出提议的基金份额持有人代表和基金托管人。基金管理人决定召集的，应当自出具书面决定之日起</w:t>
      </w:r>
      <w:r w:rsidRPr="00663A03">
        <w:rPr>
          <w:rFonts w:ascii="Times New Roman" w:hAnsi="宋体" w:cs="Times New Roman" w:hint="eastAsia"/>
          <w:bCs/>
        </w:rPr>
        <w:t>60</w:t>
      </w:r>
      <w:r w:rsidRPr="00663A03">
        <w:rPr>
          <w:rFonts w:ascii="Times New Roman" w:hAnsi="宋体" w:cs="Times New Roman" w:hint="eastAsia"/>
          <w:bCs/>
        </w:rPr>
        <w:t>日内召开；基金管理人决定不召集，代表基金份额</w:t>
      </w:r>
      <w:r w:rsidRPr="00663A03">
        <w:rPr>
          <w:rFonts w:ascii="Times New Roman" w:hAnsi="宋体" w:cs="Times New Roman" w:hint="eastAsia"/>
          <w:bCs/>
        </w:rPr>
        <w:t>10%</w:t>
      </w:r>
      <w:r w:rsidRPr="00663A03">
        <w:rPr>
          <w:rFonts w:ascii="Times New Roman" w:hAnsi="宋体" w:cs="Times New Roman" w:hint="eastAsia"/>
          <w:bCs/>
        </w:rPr>
        <w:t>以上（含</w:t>
      </w:r>
      <w:r w:rsidRPr="00663A03">
        <w:rPr>
          <w:rFonts w:ascii="Times New Roman" w:hAnsi="宋体" w:cs="Times New Roman" w:hint="eastAsia"/>
          <w:bCs/>
        </w:rPr>
        <w:t>10%</w:t>
      </w:r>
      <w:r w:rsidRPr="00663A03">
        <w:rPr>
          <w:rFonts w:ascii="Times New Roman" w:hAnsi="宋体" w:cs="Times New Roman" w:hint="eastAsia"/>
          <w:bCs/>
        </w:rPr>
        <w:t>）的基金份额持有人仍认为有必要召开的，应当向基金托管人提出书面提议。基金托管人应当自收到书面提议之日起</w:t>
      </w:r>
      <w:r w:rsidRPr="00663A03">
        <w:rPr>
          <w:rFonts w:ascii="Times New Roman" w:hAnsi="宋体" w:cs="Times New Roman" w:hint="eastAsia"/>
          <w:bCs/>
        </w:rPr>
        <w:t>10</w:t>
      </w:r>
      <w:r w:rsidRPr="00663A03">
        <w:rPr>
          <w:rFonts w:ascii="Times New Roman" w:hAnsi="宋体" w:cs="Times New Roman" w:hint="eastAsia"/>
          <w:bCs/>
        </w:rPr>
        <w:t>日内决定是否召集，并书面告知提出提议的基金份额持有人代表和基金管理人；基金托管人决定召集的，应当自出具书面决定之日起</w:t>
      </w:r>
      <w:r w:rsidRPr="00663A03">
        <w:rPr>
          <w:rFonts w:ascii="Times New Roman" w:hAnsi="宋体" w:cs="Times New Roman" w:hint="eastAsia"/>
          <w:bCs/>
        </w:rPr>
        <w:t>60</w:t>
      </w:r>
      <w:r w:rsidRPr="00663A03">
        <w:rPr>
          <w:rFonts w:ascii="Times New Roman" w:hAnsi="宋体" w:cs="Times New Roman" w:hint="eastAsia"/>
          <w:bCs/>
        </w:rPr>
        <w:t>日内召开，并告知基金管理人，基金管理人应当配合。</w:t>
      </w:r>
    </w:p>
    <w:p w14:paraId="098741D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5</w:t>
      </w:r>
      <w:r w:rsidRPr="00663A03">
        <w:rPr>
          <w:rFonts w:ascii="Times New Roman" w:hAnsi="宋体" w:cs="Times New Roman" w:hint="eastAsia"/>
          <w:bCs/>
        </w:rPr>
        <w:t>、代表基金份额</w:t>
      </w:r>
      <w:r w:rsidRPr="00663A03">
        <w:rPr>
          <w:rFonts w:ascii="Times New Roman" w:hAnsi="宋体" w:cs="Times New Roman" w:hint="eastAsia"/>
          <w:bCs/>
        </w:rPr>
        <w:t>10%</w:t>
      </w:r>
      <w:r w:rsidRPr="00663A03">
        <w:rPr>
          <w:rFonts w:ascii="Times New Roman" w:hAnsi="宋体" w:cs="Times New Roman" w:hint="eastAsia"/>
          <w:bCs/>
        </w:rPr>
        <w:t>以上（含</w:t>
      </w:r>
      <w:r w:rsidRPr="00663A03">
        <w:rPr>
          <w:rFonts w:ascii="Times New Roman" w:hAnsi="宋体" w:cs="Times New Roman" w:hint="eastAsia"/>
          <w:bCs/>
        </w:rPr>
        <w:t>10%</w:t>
      </w:r>
      <w:r w:rsidRPr="00663A03">
        <w:rPr>
          <w:rFonts w:ascii="Times New Roman" w:hAnsi="宋体" w:cs="Times New Roman" w:hint="eastAsia"/>
          <w:bCs/>
        </w:rPr>
        <w:t>）的基金份额持有人就同一事项要求召开基金份额持有人大会，而基金管理人、基金托管人都不召集的，单独或合计代表基金份额</w:t>
      </w:r>
      <w:r w:rsidRPr="00663A03">
        <w:rPr>
          <w:rFonts w:ascii="Times New Roman" w:hAnsi="宋体" w:cs="Times New Roman" w:hint="eastAsia"/>
          <w:bCs/>
        </w:rPr>
        <w:t>10%</w:t>
      </w:r>
      <w:r w:rsidRPr="00663A03">
        <w:rPr>
          <w:rFonts w:ascii="Times New Roman" w:hAnsi="宋体" w:cs="Times New Roman" w:hint="eastAsia"/>
          <w:bCs/>
        </w:rPr>
        <w:t>以上（含</w:t>
      </w:r>
      <w:r w:rsidRPr="00663A03">
        <w:rPr>
          <w:rFonts w:ascii="Times New Roman" w:hAnsi="宋体" w:cs="Times New Roman" w:hint="eastAsia"/>
          <w:bCs/>
        </w:rPr>
        <w:t>10%</w:t>
      </w:r>
      <w:r w:rsidRPr="00663A03">
        <w:rPr>
          <w:rFonts w:ascii="Times New Roman" w:hAnsi="宋体" w:cs="Times New Roman" w:hint="eastAsia"/>
          <w:bCs/>
        </w:rPr>
        <w:t>）的基金份额持有人有权自行召集，并至少提前</w:t>
      </w:r>
      <w:r w:rsidRPr="00663A03">
        <w:rPr>
          <w:rFonts w:ascii="Times New Roman" w:hAnsi="宋体" w:cs="Times New Roman" w:hint="eastAsia"/>
          <w:bCs/>
        </w:rPr>
        <w:t>30</w:t>
      </w:r>
      <w:r w:rsidRPr="00663A03">
        <w:rPr>
          <w:rFonts w:ascii="Times New Roman" w:hAnsi="宋体" w:cs="Times New Roman" w:hint="eastAsia"/>
          <w:bCs/>
        </w:rPr>
        <w:t>日报中国证监会备案。基金份额持有人依法自行召集基金份额持有人大会的，基金管理人、基金托管人应当配合，不得阻碍、干扰。</w:t>
      </w:r>
    </w:p>
    <w:p w14:paraId="24F5C06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6</w:t>
      </w:r>
      <w:r w:rsidRPr="00663A03">
        <w:rPr>
          <w:rFonts w:ascii="Times New Roman" w:hAnsi="宋体" w:cs="Times New Roman" w:hint="eastAsia"/>
          <w:bCs/>
        </w:rPr>
        <w:t>、基金份额持有人会议的召集人负责选择确定开会时间、地点、方式和权益登记日。</w:t>
      </w:r>
    </w:p>
    <w:p w14:paraId="02E30D7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（三）召开基金份额持有人大会的通知时间、通知内容、通知方式</w:t>
      </w:r>
    </w:p>
    <w:p w14:paraId="5B87F36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、召开基金份额持有人大会，召集人应于会议召开前</w:t>
      </w:r>
      <w:r w:rsidRPr="00663A03">
        <w:rPr>
          <w:rFonts w:ascii="Times New Roman" w:hAnsi="宋体" w:cs="Times New Roman" w:hint="eastAsia"/>
          <w:bCs/>
        </w:rPr>
        <w:t>30</w:t>
      </w:r>
      <w:r w:rsidRPr="00663A03">
        <w:rPr>
          <w:rFonts w:ascii="Times New Roman" w:hAnsi="宋体" w:cs="Times New Roman" w:hint="eastAsia"/>
          <w:bCs/>
        </w:rPr>
        <w:t>日，在规定媒介公告。基金份额持有人大会通知应至少载明以下内容：</w:t>
      </w:r>
    </w:p>
    <w:p w14:paraId="0991B59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）会议召开的时间、地点和会议形式；</w:t>
      </w:r>
    </w:p>
    <w:p w14:paraId="35EF9C3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）会议拟审议的事项、议事程序和表决方式；</w:t>
      </w:r>
    </w:p>
    <w:p w14:paraId="444A008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3</w:t>
      </w:r>
      <w:r w:rsidRPr="00663A03">
        <w:rPr>
          <w:rFonts w:ascii="Times New Roman" w:hAnsi="宋体" w:cs="Times New Roman" w:hint="eastAsia"/>
          <w:bCs/>
        </w:rPr>
        <w:t>）有权出席基金份额持有人大会的基金份额持有人的权益登记日；</w:t>
      </w:r>
    </w:p>
    <w:p w14:paraId="66039E4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4</w:t>
      </w:r>
      <w:r w:rsidRPr="00663A03">
        <w:rPr>
          <w:rFonts w:ascii="Times New Roman" w:hAnsi="宋体" w:cs="Times New Roman" w:hint="eastAsia"/>
          <w:bCs/>
        </w:rPr>
        <w:t>）授权委托证明的内容要求（包括但不限于代理人身份，代理权限和代理有效期限等）、送达时间和地点；</w:t>
      </w:r>
    </w:p>
    <w:p w14:paraId="33DCC69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5</w:t>
      </w:r>
      <w:r w:rsidRPr="00663A03">
        <w:rPr>
          <w:rFonts w:ascii="Times New Roman" w:hAnsi="宋体" w:cs="Times New Roman" w:hint="eastAsia"/>
          <w:bCs/>
        </w:rPr>
        <w:t>）会务常设联系人姓名及联系电话；</w:t>
      </w:r>
    </w:p>
    <w:p w14:paraId="37BB67C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6</w:t>
      </w:r>
      <w:r w:rsidRPr="00663A03">
        <w:rPr>
          <w:rFonts w:ascii="Times New Roman" w:hAnsi="宋体" w:cs="Times New Roman" w:hint="eastAsia"/>
          <w:bCs/>
        </w:rPr>
        <w:t>）出席会议者必须准备的文件和必须履行的手续；</w:t>
      </w:r>
    </w:p>
    <w:p w14:paraId="2B89C7E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7</w:t>
      </w:r>
      <w:r w:rsidRPr="00663A03">
        <w:rPr>
          <w:rFonts w:ascii="Times New Roman" w:hAnsi="宋体" w:cs="Times New Roman" w:hint="eastAsia"/>
          <w:bCs/>
        </w:rPr>
        <w:t>）召集人需要通知的其他事项。</w:t>
      </w:r>
    </w:p>
    <w:p w14:paraId="5FC633F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1C394A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3</w:t>
      </w:r>
      <w:r w:rsidRPr="00663A03">
        <w:rPr>
          <w:rFonts w:ascii="Times New Roman" w:hAnsi="宋体" w:cs="Times New Roman" w:hint="eastAsia"/>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72A4D9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（四）基金份额持有人出席会议的方式</w:t>
      </w:r>
    </w:p>
    <w:p w14:paraId="0CEF76E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基金份额持有人大会可通过现场开会方式、通讯开会方式或法律法规、监管机构允许的其他方式召开，会议的召开方式由会议召集人确定。</w:t>
      </w:r>
    </w:p>
    <w:p w14:paraId="59B1DFC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7E296E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AC506C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663A03">
        <w:rPr>
          <w:rFonts w:ascii="Times New Roman" w:hAnsi="宋体" w:cs="Times New Roman" w:hint="eastAsia"/>
          <w:bCs/>
        </w:rPr>
        <w:t>3</w:t>
      </w:r>
      <w:r w:rsidRPr="00663A03">
        <w:rPr>
          <w:rFonts w:ascii="Times New Roman" w:hAnsi="宋体" w:cs="Times New Roman" w:hint="eastAsia"/>
          <w:bCs/>
        </w:rPr>
        <w:t>个月以后、</w:t>
      </w:r>
      <w:r w:rsidRPr="00663A03">
        <w:rPr>
          <w:rFonts w:ascii="Times New Roman" w:hAnsi="宋体" w:cs="Times New Roman" w:hint="eastAsia"/>
          <w:bCs/>
        </w:rPr>
        <w:t>6</w:t>
      </w:r>
      <w:r w:rsidRPr="00663A03">
        <w:rPr>
          <w:rFonts w:ascii="Times New Roman" w:hAnsi="宋体" w:cs="Times New Roman" w:hint="eastAsia"/>
          <w:bCs/>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3A28DE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、通讯开会。通讯开会系指基金份额持有人将其对表决事项的投票以召集人通知的非现场方式在表决截止日以前送达至召集人指定的地址或系统。通讯开会应以召集人通知的非现场方式进行表决。</w:t>
      </w:r>
    </w:p>
    <w:p w14:paraId="2E2A05E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在同时符合以下条件时，通讯开会的方式视为有效：</w:t>
      </w:r>
    </w:p>
    <w:p w14:paraId="1D31FB0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）会议召集人按《基金合同》约定公布会议通知后，在</w:t>
      </w:r>
      <w:r w:rsidRPr="00663A03">
        <w:rPr>
          <w:rFonts w:ascii="Times New Roman" w:hAnsi="宋体" w:cs="Times New Roman" w:hint="eastAsia"/>
          <w:bCs/>
        </w:rPr>
        <w:t>2</w:t>
      </w:r>
      <w:r w:rsidRPr="00663A03">
        <w:rPr>
          <w:rFonts w:ascii="Times New Roman" w:hAnsi="宋体" w:cs="Times New Roman" w:hint="eastAsia"/>
          <w:bCs/>
        </w:rPr>
        <w:t>个工作日内连续公布相关提示性公告；</w:t>
      </w:r>
    </w:p>
    <w:p w14:paraId="2177787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F55F11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3</w:t>
      </w:r>
      <w:r w:rsidRPr="00663A03">
        <w:rPr>
          <w:rFonts w:ascii="Times New Roman" w:hAnsi="宋体" w:cs="Times New Roman" w:hint="eastAsia"/>
          <w:bCs/>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663A03">
        <w:rPr>
          <w:rFonts w:ascii="Times New Roman" w:hAnsi="宋体" w:cs="Times New Roman" w:hint="eastAsia"/>
          <w:bCs/>
        </w:rPr>
        <w:t>3</w:t>
      </w:r>
      <w:r w:rsidRPr="00663A03">
        <w:rPr>
          <w:rFonts w:ascii="Times New Roman" w:hAnsi="宋体" w:cs="Times New Roman" w:hint="eastAsia"/>
          <w:bCs/>
        </w:rPr>
        <w:t>个月以后、</w:t>
      </w:r>
      <w:r w:rsidRPr="00663A03">
        <w:rPr>
          <w:rFonts w:ascii="Times New Roman" w:hAnsi="宋体" w:cs="Times New Roman" w:hint="eastAsia"/>
          <w:bCs/>
        </w:rPr>
        <w:t>6</w:t>
      </w:r>
      <w:r w:rsidRPr="00663A03">
        <w:rPr>
          <w:rFonts w:ascii="Times New Roman" w:hAnsi="宋体" w:cs="Times New Roman" w:hint="eastAsia"/>
          <w:bCs/>
        </w:rPr>
        <w:t>个月以内，就原定审议事项重新召集基金份额持有人大会。重新召集的基金份额持有人大会应当有代表三分之一以上（含三分之一）基金份额的持有人直接出具表决意见或授权他人代表出具表决意见；</w:t>
      </w:r>
    </w:p>
    <w:p w14:paraId="1F0E89C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4</w:t>
      </w:r>
      <w:r w:rsidRPr="00663A03">
        <w:rPr>
          <w:rFonts w:ascii="Times New Roman" w:hAnsi="宋体" w:cs="Times New Roman" w:hint="eastAsia"/>
          <w:bCs/>
        </w:rPr>
        <w:t>）上述第（</w:t>
      </w:r>
      <w:r w:rsidRPr="00663A03">
        <w:rPr>
          <w:rFonts w:ascii="Times New Roman" w:hAnsi="宋体" w:cs="Times New Roman" w:hint="eastAsia"/>
          <w:bCs/>
        </w:rPr>
        <w:t>3</w:t>
      </w:r>
      <w:r w:rsidRPr="00663A03">
        <w:rPr>
          <w:rFonts w:ascii="Times New Roman" w:hAnsi="宋体" w:cs="Times New Roman" w:hint="eastAsia"/>
          <w:bCs/>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BC82E0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3</w:t>
      </w:r>
      <w:r w:rsidRPr="00663A03">
        <w:rPr>
          <w:rFonts w:ascii="Times New Roman" w:hAnsi="宋体" w:cs="Times New Roman" w:hint="eastAsia"/>
          <w:bCs/>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9996AE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4</w:t>
      </w:r>
      <w:r w:rsidRPr="00663A03">
        <w:rPr>
          <w:rFonts w:ascii="Times New Roman" w:hAnsi="宋体" w:cs="Times New Roman" w:hint="eastAsia"/>
          <w:bCs/>
        </w:rPr>
        <w:t>、在不与法律法规冲突的前提下，基金份额持有人授权他人代为出席会议并表决的，授权方式可以采用书面、网络、电话、短信或其他方式，具体方式在会议通知中列明。</w:t>
      </w:r>
    </w:p>
    <w:p w14:paraId="2DA6DC8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（五）议事内容与程序</w:t>
      </w:r>
    </w:p>
    <w:p w14:paraId="75674B9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、议事内容及提案权</w:t>
      </w:r>
    </w:p>
    <w:p w14:paraId="16CB8ED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A337D6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基金份额持有人大会的召集人发出召集会议的通知后，对原有提案的修改应当在基金份额持有人大会召开前及时公告。</w:t>
      </w:r>
    </w:p>
    <w:p w14:paraId="445E0A0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基金份额持有人大会不得对未事先公告的议事内容进行表决。</w:t>
      </w:r>
    </w:p>
    <w:p w14:paraId="66B421F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、议事程序</w:t>
      </w:r>
    </w:p>
    <w:p w14:paraId="2788A02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）现场开会</w:t>
      </w:r>
    </w:p>
    <w:p w14:paraId="3F74EFAE" w14:textId="076B4529"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在现场开会的方式下，首先由大会主持人按照下列第</w:t>
      </w:r>
      <w:r w:rsidR="00717D28">
        <w:rPr>
          <w:rFonts w:ascii="Times New Roman" w:hAnsi="宋体" w:cs="Times New Roman" w:hint="eastAsia"/>
          <w:bCs/>
        </w:rPr>
        <w:t>（</w:t>
      </w:r>
      <w:r w:rsidRPr="00663A03">
        <w:rPr>
          <w:rFonts w:ascii="Times New Roman" w:hAnsi="宋体" w:cs="Times New Roman" w:hint="eastAsia"/>
          <w:bCs/>
        </w:rPr>
        <w:t>七</w:t>
      </w:r>
      <w:r w:rsidR="00717D28">
        <w:rPr>
          <w:rFonts w:ascii="Times New Roman" w:hAnsi="宋体" w:cs="Times New Roman" w:hint="eastAsia"/>
          <w:bCs/>
        </w:rPr>
        <w:t>）</w:t>
      </w:r>
      <w:r w:rsidRPr="00663A03">
        <w:rPr>
          <w:rFonts w:ascii="Times New Roman" w:hAnsi="宋体" w:cs="Times New Roman" w:hint="eastAsia"/>
          <w:bCs/>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63A03">
        <w:rPr>
          <w:rFonts w:ascii="Times New Roman" w:hAnsi="宋体" w:cs="Times New Roman" w:hint="eastAsia"/>
          <w:bCs/>
        </w:rPr>
        <w:t>50%</w:t>
      </w:r>
      <w:r w:rsidRPr="00663A03">
        <w:rPr>
          <w:rFonts w:ascii="Times New Roman" w:hAnsi="宋体" w:cs="Times New Roman" w:hint="eastAsia"/>
          <w:bCs/>
        </w:rPr>
        <w:t>以上（含</w:t>
      </w:r>
      <w:r w:rsidRPr="00663A03">
        <w:rPr>
          <w:rFonts w:ascii="Times New Roman" w:hAnsi="宋体" w:cs="Times New Roman" w:hint="eastAsia"/>
          <w:bCs/>
        </w:rPr>
        <w:t>50%</w:t>
      </w:r>
      <w:r w:rsidRPr="00663A03">
        <w:rPr>
          <w:rFonts w:ascii="Times New Roman" w:hAnsi="宋体" w:cs="Times New Roman" w:hint="eastAsia"/>
          <w:bCs/>
        </w:rPr>
        <w:t>）选举产生一名基金份额持有人作为该次基金份额持有人大会的主持人。基金管理人和基金托管人拒不出席或主持基金份额持有人大会，不影响基金份额持有人大会作出的决议的效力。</w:t>
      </w:r>
    </w:p>
    <w:p w14:paraId="041BB53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会议召集人应当制作出席会议人员的签名册。签名册载明参加会议人员姓名（或单位名称）、身份证明文件号码、持有或代表有表决权的基金份额、委托人姓名（或单位名称）和联系方式等事项。</w:t>
      </w:r>
    </w:p>
    <w:p w14:paraId="3602B72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）通讯开会</w:t>
      </w:r>
    </w:p>
    <w:p w14:paraId="2138F5F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在通讯开会的情况下，首先由召集人提前</w:t>
      </w:r>
      <w:r w:rsidRPr="00663A03">
        <w:rPr>
          <w:rFonts w:ascii="Times New Roman" w:hAnsi="宋体" w:cs="Times New Roman" w:hint="eastAsia"/>
          <w:bCs/>
        </w:rPr>
        <w:t>30</w:t>
      </w:r>
      <w:r w:rsidRPr="00663A03">
        <w:rPr>
          <w:rFonts w:ascii="Times New Roman" w:hAnsi="宋体" w:cs="Times New Roman" w:hint="eastAsia"/>
          <w:bCs/>
        </w:rPr>
        <w:t>日公布提案，在所通知的表决截止日期后</w:t>
      </w:r>
      <w:r w:rsidRPr="00663A03">
        <w:rPr>
          <w:rFonts w:ascii="Times New Roman" w:hAnsi="宋体" w:cs="Times New Roman" w:hint="eastAsia"/>
          <w:bCs/>
        </w:rPr>
        <w:t>2</w:t>
      </w:r>
      <w:r w:rsidRPr="00663A03">
        <w:rPr>
          <w:rFonts w:ascii="Times New Roman" w:hAnsi="宋体" w:cs="Times New Roman" w:hint="eastAsia"/>
          <w:bCs/>
        </w:rPr>
        <w:t>个工作日内在公证机关监督下由召集人统计全部有效表决，在公证机关监督下形成决议。</w:t>
      </w:r>
    </w:p>
    <w:p w14:paraId="213FB67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（六）表决</w:t>
      </w:r>
    </w:p>
    <w:p w14:paraId="244757C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除法律法规另有规定或《基金合同》另有约定外，基金份额持有人所持每份基金份额有同等表决权。</w:t>
      </w:r>
    </w:p>
    <w:p w14:paraId="6000679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基金份额持有人大会决议分为一般决议和特别决议：</w:t>
      </w:r>
    </w:p>
    <w:p w14:paraId="0A93831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、一般决议，一般决议须经参加大会的基金份额持有人或其代理人所持表决权的二分之一以上（含二分之一）通过方为有效；除下列第</w:t>
      </w:r>
      <w:r w:rsidRPr="00663A03">
        <w:rPr>
          <w:rFonts w:ascii="Times New Roman" w:hAnsi="宋体" w:cs="Times New Roman" w:hint="eastAsia"/>
          <w:bCs/>
        </w:rPr>
        <w:t>2</w:t>
      </w:r>
      <w:r w:rsidRPr="00663A03">
        <w:rPr>
          <w:rFonts w:ascii="Times New Roman" w:hAnsi="宋体" w:cs="Times New Roman" w:hint="eastAsia"/>
          <w:bCs/>
        </w:rPr>
        <w:t>项所规定的须以特别决议通过事项以外的其他事项均以一般决议的方式通过。</w:t>
      </w:r>
    </w:p>
    <w:p w14:paraId="5819FF9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78705BE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基金份额持有人大会采取记名方式进行投票表决。</w:t>
      </w:r>
    </w:p>
    <w:p w14:paraId="0983021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1F3FD5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基金份额持有人大会的各项提案或同一项提案内并列的各项议题应当分开审议、逐项表决。</w:t>
      </w:r>
    </w:p>
    <w:p w14:paraId="084B4D1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在符合上述规则的前提下，具体规则以召集人发布的基金份额持有人大会通知为准。</w:t>
      </w:r>
    </w:p>
    <w:p w14:paraId="4BD9850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（七）计票</w:t>
      </w:r>
    </w:p>
    <w:p w14:paraId="72D189A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、现场开会</w:t>
      </w:r>
    </w:p>
    <w:p w14:paraId="6B9A524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A52AD9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）监票人应当在基金份额持有人表决后立即进行清点并由大会主持人当场公布计票结果。</w:t>
      </w:r>
    </w:p>
    <w:p w14:paraId="70D9ED7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3</w:t>
      </w:r>
      <w:r w:rsidRPr="00663A03">
        <w:rPr>
          <w:rFonts w:ascii="Times New Roman" w:hAnsi="宋体" w:cs="Times New Roman" w:hint="eastAsia"/>
          <w:bCs/>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378D5B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4</w:t>
      </w:r>
      <w:r w:rsidRPr="00663A03">
        <w:rPr>
          <w:rFonts w:ascii="Times New Roman" w:hAnsi="宋体" w:cs="Times New Roman" w:hint="eastAsia"/>
          <w:bCs/>
        </w:rPr>
        <w:t>）计票过程应由公证机关予以公证，基金管理人或基金托管人拒不出席大会的，不影响计票的效力。</w:t>
      </w:r>
    </w:p>
    <w:p w14:paraId="7DAC7AE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、通讯开会</w:t>
      </w:r>
    </w:p>
    <w:p w14:paraId="5CF4595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513717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（八）生效与公告</w:t>
      </w:r>
    </w:p>
    <w:p w14:paraId="75F3969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基金份额持有人大会的决议，召集人应当自通过之日起</w:t>
      </w:r>
      <w:r w:rsidRPr="00663A03">
        <w:rPr>
          <w:rFonts w:ascii="Times New Roman" w:hAnsi="宋体" w:cs="Times New Roman" w:hint="eastAsia"/>
          <w:bCs/>
        </w:rPr>
        <w:t>5</w:t>
      </w:r>
      <w:r w:rsidRPr="00663A03">
        <w:rPr>
          <w:rFonts w:ascii="Times New Roman" w:hAnsi="宋体" w:cs="Times New Roman" w:hint="eastAsia"/>
          <w:bCs/>
        </w:rPr>
        <w:t>日内报中国证监会备案。</w:t>
      </w:r>
    </w:p>
    <w:p w14:paraId="1CE46AC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基金份额持有人大会的决议自表决通过之日起生效。</w:t>
      </w:r>
    </w:p>
    <w:p w14:paraId="01E14B5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基金份额持有人大会决议自生效之日起</w:t>
      </w:r>
      <w:r w:rsidRPr="00663A03">
        <w:rPr>
          <w:rFonts w:ascii="Times New Roman" w:hAnsi="宋体" w:cs="Times New Roman" w:hint="eastAsia"/>
          <w:bCs/>
        </w:rPr>
        <w:t>2</w:t>
      </w:r>
      <w:r w:rsidRPr="00663A03">
        <w:rPr>
          <w:rFonts w:ascii="Times New Roman" w:hAnsi="宋体" w:cs="Times New Roman" w:hint="eastAsia"/>
          <w:bCs/>
        </w:rPr>
        <w:t>日内在规定媒介上公告。如果采用通讯方式进行表决，在公告基金份额持有人大会决议时，必须将公证书全文、公证机构、公证员姓名等一同公告。</w:t>
      </w:r>
    </w:p>
    <w:p w14:paraId="3B14AD9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基金管理人、基金托管人和基金份额持有人应当执行生效的基金份额持有人大会的决议。生效的基金份额持有人大会决议对全体基金份额持有人、基金管理人、基金托管人均有约束力。</w:t>
      </w:r>
    </w:p>
    <w:p w14:paraId="235430E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（九）实施侧袋机制期间基金份额持有人大会的特殊约定</w:t>
      </w:r>
    </w:p>
    <w:p w14:paraId="6FE5F85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47538A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、基金份额持有人行使提议权、召集权、提名权所需单独或合计代表相关基金份额</w:t>
      </w:r>
      <w:r w:rsidRPr="00663A03">
        <w:rPr>
          <w:rFonts w:ascii="Times New Roman" w:hAnsi="宋体" w:cs="Times New Roman" w:hint="eastAsia"/>
          <w:bCs/>
        </w:rPr>
        <w:t>10%</w:t>
      </w:r>
      <w:r w:rsidRPr="00663A03">
        <w:rPr>
          <w:rFonts w:ascii="Times New Roman" w:hAnsi="宋体" w:cs="Times New Roman" w:hint="eastAsia"/>
          <w:bCs/>
        </w:rPr>
        <w:t>以上（含</w:t>
      </w:r>
      <w:r w:rsidRPr="00663A03">
        <w:rPr>
          <w:rFonts w:ascii="Times New Roman" w:hAnsi="宋体" w:cs="Times New Roman" w:hint="eastAsia"/>
          <w:bCs/>
        </w:rPr>
        <w:t>10%</w:t>
      </w:r>
      <w:r w:rsidRPr="00663A03">
        <w:rPr>
          <w:rFonts w:ascii="Times New Roman" w:hAnsi="宋体" w:cs="Times New Roman" w:hint="eastAsia"/>
          <w:bCs/>
        </w:rPr>
        <w:t>）；</w:t>
      </w:r>
    </w:p>
    <w:p w14:paraId="000B8C6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、现场开会的到会者在权益登记日代表的基金份额不少于本基金在权益登记日相关基金份额的二分之一（含二分之一）；</w:t>
      </w:r>
    </w:p>
    <w:p w14:paraId="5617140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3</w:t>
      </w:r>
      <w:r w:rsidRPr="00663A03">
        <w:rPr>
          <w:rFonts w:ascii="Times New Roman" w:hAnsi="宋体" w:cs="Times New Roman" w:hint="eastAsia"/>
          <w:bCs/>
        </w:rPr>
        <w:t>、通讯开会的直接出具表决意见或授权他人代表出具表决意见的基金份额持有人所持有的基金份额不小于在权益登记日相关基金份额的二分之一（含二分之一）；</w:t>
      </w:r>
    </w:p>
    <w:p w14:paraId="4E692A7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4</w:t>
      </w:r>
      <w:r w:rsidRPr="00663A03">
        <w:rPr>
          <w:rFonts w:ascii="Times New Roman" w:hAnsi="宋体" w:cs="Times New Roman" w:hint="eastAsia"/>
          <w:bCs/>
        </w:rPr>
        <w:t>、在参与基金份额持有人大会投票的基金份额持有人所持有的基金份额小于在权益登记日相关基金份额的二分之一、召集人在原公告的基金份额持有人大会召开时间的</w:t>
      </w:r>
      <w:r w:rsidRPr="00663A03">
        <w:rPr>
          <w:rFonts w:ascii="Times New Roman" w:hAnsi="宋体" w:cs="Times New Roman" w:hint="eastAsia"/>
          <w:bCs/>
        </w:rPr>
        <w:t>3</w:t>
      </w:r>
      <w:r w:rsidRPr="00663A03">
        <w:rPr>
          <w:rFonts w:ascii="Times New Roman" w:hAnsi="宋体" w:cs="Times New Roman" w:hint="eastAsia"/>
          <w:bCs/>
        </w:rPr>
        <w:t>个月以后、</w:t>
      </w:r>
      <w:r w:rsidRPr="00663A03">
        <w:rPr>
          <w:rFonts w:ascii="Times New Roman" w:hAnsi="宋体" w:cs="Times New Roman" w:hint="eastAsia"/>
          <w:bCs/>
        </w:rPr>
        <w:t>6</w:t>
      </w:r>
      <w:r w:rsidRPr="00663A03">
        <w:rPr>
          <w:rFonts w:ascii="Times New Roman" w:hAnsi="宋体" w:cs="Times New Roman" w:hint="eastAsia"/>
          <w:bCs/>
        </w:rPr>
        <w:t>个月以内就原定审议事项重新召集的基金份额持有人大会应当有代表三分之一以上（含三分之一）相关基金份额的持有人参与或授权他人参与基金份额持有人大会投票；</w:t>
      </w:r>
    </w:p>
    <w:p w14:paraId="338FD6E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5</w:t>
      </w:r>
      <w:r w:rsidRPr="00663A03">
        <w:rPr>
          <w:rFonts w:ascii="Times New Roman" w:hAnsi="宋体" w:cs="Times New Roman" w:hint="eastAsia"/>
          <w:bCs/>
        </w:rPr>
        <w:t>、现场开会由出席大会的基金份额持有人和代理人所持表决权的</w:t>
      </w:r>
      <w:r w:rsidRPr="00663A03">
        <w:rPr>
          <w:rFonts w:ascii="Times New Roman" w:hAnsi="宋体" w:cs="Times New Roman" w:hint="eastAsia"/>
          <w:bCs/>
        </w:rPr>
        <w:t>50%</w:t>
      </w:r>
      <w:r w:rsidRPr="00663A03">
        <w:rPr>
          <w:rFonts w:ascii="Times New Roman" w:hAnsi="宋体" w:cs="Times New Roman" w:hint="eastAsia"/>
          <w:bCs/>
        </w:rPr>
        <w:t>以上（含</w:t>
      </w:r>
      <w:r w:rsidRPr="00663A03">
        <w:rPr>
          <w:rFonts w:ascii="Times New Roman" w:hAnsi="宋体" w:cs="Times New Roman" w:hint="eastAsia"/>
          <w:bCs/>
        </w:rPr>
        <w:t>50%</w:t>
      </w:r>
      <w:r w:rsidRPr="00663A03">
        <w:rPr>
          <w:rFonts w:ascii="Times New Roman" w:hAnsi="宋体" w:cs="Times New Roman" w:hint="eastAsia"/>
          <w:bCs/>
        </w:rPr>
        <w:t>）选举产生一名基金份额持有人作为该次基金份额持有人大会的主持人；</w:t>
      </w:r>
    </w:p>
    <w:p w14:paraId="3033249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6</w:t>
      </w:r>
      <w:r w:rsidRPr="00663A03">
        <w:rPr>
          <w:rFonts w:ascii="Times New Roman" w:hAnsi="宋体" w:cs="Times New Roman" w:hint="eastAsia"/>
          <w:bCs/>
        </w:rPr>
        <w:t>、一般决议须经参加大会的基金份额持有人或其代理人所持表决权的二分之一以上（含二分之一）通过；</w:t>
      </w:r>
    </w:p>
    <w:p w14:paraId="350EBCA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7</w:t>
      </w:r>
      <w:r w:rsidRPr="00663A03">
        <w:rPr>
          <w:rFonts w:ascii="Times New Roman" w:hAnsi="宋体" w:cs="Times New Roman" w:hint="eastAsia"/>
          <w:bCs/>
        </w:rPr>
        <w:t>、特别决议应当经参加大会的基金份额持有人或其代理人所持表决权的三分之二以上（含三分之二）通过。</w:t>
      </w:r>
    </w:p>
    <w:p w14:paraId="1168DED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7F39951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侧袋机制实施期间，关于基金份额持有人大会的相关规定以本节特殊约定内容为准，本节没有规定的适用上文相关约定。</w:t>
      </w:r>
    </w:p>
    <w:p w14:paraId="5F19ECB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十）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009B4CC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p>
    <w:p w14:paraId="60DE14E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三、基金收益分配原则、执行方式</w:t>
      </w:r>
    </w:p>
    <w:p w14:paraId="42D5109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（一）基金收益分配原则</w:t>
      </w:r>
    </w:p>
    <w:p w14:paraId="02E9CC3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、在符合有关基金分红条件的前提下，基金管理人可以根据实际情况进行收益分配，具体分配方案详见届时基金管理人发布的公告，若《基金合同》生效不满</w:t>
      </w:r>
      <w:r w:rsidRPr="00663A03">
        <w:rPr>
          <w:rFonts w:ascii="Times New Roman" w:hAnsi="宋体" w:cs="Times New Roman" w:hint="eastAsia"/>
          <w:bCs/>
        </w:rPr>
        <w:t>3</w:t>
      </w:r>
      <w:r w:rsidRPr="00663A03">
        <w:rPr>
          <w:rFonts w:ascii="Times New Roman" w:hAnsi="宋体" w:cs="Times New Roman" w:hint="eastAsia"/>
          <w:bCs/>
        </w:rPr>
        <w:t>个月可不进行收益分配；</w:t>
      </w:r>
    </w:p>
    <w:p w14:paraId="5E4C3AA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基金管理人可每季度评估是否进行收益分配。基金管理人可每季度对基金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2D72653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3</w:t>
      </w:r>
      <w:r w:rsidRPr="00663A03">
        <w:rPr>
          <w:rFonts w:ascii="Times New Roman" w:hAnsi="宋体" w:cs="Times New Roman" w:hint="eastAsia"/>
          <w:bCs/>
        </w:rPr>
        <w:t>、本基金收益分配方式分两种：现金分红与红利再投资，投资者可选择现金红利或将现金红利自动转为相应类别的基金份额进行再投资；若投资者不选择，本基金默认的收益分配方式是现金分红；</w:t>
      </w:r>
    </w:p>
    <w:p w14:paraId="18A101D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4</w:t>
      </w:r>
      <w:r w:rsidRPr="00663A03">
        <w:rPr>
          <w:rFonts w:ascii="Times New Roman" w:hAnsi="宋体" w:cs="Times New Roman" w:hint="eastAsia"/>
          <w:bCs/>
        </w:rPr>
        <w:t>、由于本基金</w:t>
      </w:r>
      <w:r w:rsidRPr="00663A03">
        <w:rPr>
          <w:rFonts w:ascii="Times New Roman" w:hAnsi="宋体" w:cs="Times New Roman" w:hint="eastAsia"/>
          <w:bCs/>
        </w:rPr>
        <w:t>A</w:t>
      </w:r>
      <w:r w:rsidRPr="00663A03">
        <w:rPr>
          <w:rFonts w:ascii="Times New Roman" w:hAnsi="宋体" w:cs="Times New Roman" w:hint="eastAsia"/>
          <w:bCs/>
        </w:rPr>
        <w:t>类基金份额不收取销售服务费，而</w:t>
      </w:r>
      <w:r w:rsidRPr="00663A03">
        <w:rPr>
          <w:rFonts w:ascii="Times New Roman" w:hAnsi="宋体" w:cs="Times New Roman" w:hint="eastAsia"/>
          <w:bCs/>
        </w:rPr>
        <w:t>C</w:t>
      </w:r>
      <w:r w:rsidRPr="00663A03">
        <w:rPr>
          <w:rFonts w:ascii="Times New Roman" w:hAnsi="宋体" w:cs="Times New Roman" w:hint="eastAsia"/>
          <w:bCs/>
        </w:rPr>
        <w:t>类基金份额收取销售服务费，各基金份额类别对应的可供分配利润将有所不同。本基金同一类别的每一基金份额享有同等分配权；</w:t>
      </w:r>
    </w:p>
    <w:p w14:paraId="73CF497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5</w:t>
      </w:r>
      <w:r w:rsidRPr="00663A03">
        <w:rPr>
          <w:rFonts w:ascii="Times New Roman" w:hAnsi="宋体" w:cs="Times New Roman" w:hint="eastAsia"/>
          <w:bCs/>
        </w:rPr>
        <w:t>、法律法规或监管机关另有规定的，从其规定。</w:t>
      </w:r>
    </w:p>
    <w:p w14:paraId="7241A62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管理人、登记机构可在法律法规允许、对基金份额持有人利益无实质性不利影响的前提下，按照监管部门要求履行适当程序后，经与基金托管人协商一致酌情调整以上基金收益分配原则，应于变更实施日前在规定媒介公告。</w:t>
      </w:r>
    </w:p>
    <w:p w14:paraId="5B901D3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（二）收益分配方案</w:t>
      </w:r>
    </w:p>
    <w:p w14:paraId="42BE2C0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基金收益分配方案中应载明截止收益分配基准日的可供分配利润、基金收益分配对象、分配时间、分配数额及比例、分配方式等内容。</w:t>
      </w:r>
    </w:p>
    <w:p w14:paraId="14AC39A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（三）收益分配方案的确定、公告与实施</w:t>
      </w:r>
    </w:p>
    <w:p w14:paraId="2E2D649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本基金收益分配方案由基金管理人拟定，并由基金托管人复核，在</w:t>
      </w:r>
      <w:r w:rsidRPr="00663A03">
        <w:rPr>
          <w:rFonts w:ascii="Times New Roman" w:hAnsi="宋体" w:cs="Times New Roman" w:hint="eastAsia"/>
          <w:bCs/>
        </w:rPr>
        <w:t>2</w:t>
      </w:r>
      <w:r w:rsidRPr="00663A03">
        <w:rPr>
          <w:rFonts w:ascii="Times New Roman" w:hAnsi="宋体" w:cs="Times New Roman" w:hint="eastAsia"/>
          <w:bCs/>
        </w:rPr>
        <w:t>日内在规定媒介公告。</w:t>
      </w:r>
    </w:p>
    <w:p w14:paraId="1E79887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p>
    <w:p w14:paraId="377433B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四、基金费用与税收</w:t>
      </w:r>
    </w:p>
    <w:p w14:paraId="7FF1A79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（一）基金费用的种类</w:t>
      </w:r>
    </w:p>
    <w:p w14:paraId="74B6FBB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、基金管理人的管理费；</w:t>
      </w:r>
    </w:p>
    <w:p w14:paraId="2AE437D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、基金托管人的托管费；</w:t>
      </w:r>
    </w:p>
    <w:p w14:paraId="103ECCC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3</w:t>
      </w:r>
      <w:r w:rsidRPr="00663A03">
        <w:rPr>
          <w:rFonts w:ascii="Times New Roman" w:hAnsi="宋体" w:cs="Times New Roman" w:hint="eastAsia"/>
          <w:bCs/>
        </w:rPr>
        <w:t>、从</w:t>
      </w:r>
      <w:r w:rsidRPr="00663A03">
        <w:rPr>
          <w:rFonts w:ascii="Times New Roman" w:hAnsi="宋体" w:cs="Times New Roman" w:hint="eastAsia"/>
          <w:bCs/>
        </w:rPr>
        <w:t>C</w:t>
      </w:r>
      <w:r w:rsidRPr="00663A03">
        <w:rPr>
          <w:rFonts w:ascii="Times New Roman" w:hAnsi="宋体" w:cs="Times New Roman" w:hint="eastAsia"/>
          <w:bCs/>
        </w:rPr>
        <w:t>类基金份额的基金财产中计提的销售服务费；</w:t>
      </w:r>
    </w:p>
    <w:p w14:paraId="5443E04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4</w:t>
      </w:r>
      <w:r w:rsidRPr="00663A03">
        <w:rPr>
          <w:rFonts w:ascii="Times New Roman" w:hAnsi="宋体" w:cs="Times New Roman" w:hint="eastAsia"/>
          <w:bCs/>
        </w:rPr>
        <w:t>、《基金合同》生效后与基金相关的信息披露费用；</w:t>
      </w:r>
    </w:p>
    <w:p w14:paraId="4B004E7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5</w:t>
      </w:r>
      <w:r w:rsidRPr="00663A03">
        <w:rPr>
          <w:rFonts w:ascii="Times New Roman" w:hAnsi="宋体" w:cs="Times New Roman" w:hint="eastAsia"/>
          <w:bCs/>
        </w:rPr>
        <w:t>、《基金合同》生效后与基金相关的会计师费、律师费、公证费、诉讼费和仲裁费；</w:t>
      </w:r>
    </w:p>
    <w:p w14:paraId="65CF5EC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6</w:t>
      </w:r>
      <w:r w:rsidRPr="00663A03">
        <w:rPr>
          <w:rFonts w:ascii="Times New Roman" w:hAnsi="宋体" w:cs="Times New Roman" w:hint="eastAsia"/>
          <w:bCs/>
        </w:rPr>
        <w:t>、基金份额持有人大会费用；</w:t>
      </w:r>
    </w:p>
    <w:p w14:paraId="5F731A6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7</w:t>
      </w:r>
      <w:r w:rsidRPr="00663A03">
        <w:rPr>
          <w:rFonts w:ascii="Times New Roman" w:hAnsi="宋体" w:cs="Times New Roman" w:hint="eastAsia"/>
          <w:bCs/>
        </w:rPr>
        <w:t>、基金的证券</w:t>
      </w:r>
      <w:r w:rsidRPr="00663A03">
        <w:rPr>
          <w:rFonts w:ascii="Times New Roman" w:hAnsi="宋体" w:cs="Times New Roman" w:hint="eastAsia"/>
          <w:bCs/>
        </w:rPr>
        <w:t>/</w:t>
      </w:r>
      <w:r w:rsidRPr="00663A03">
        <w:rPr>
          <w:rFonts w:ascii="Times New Roman" w:hAnsi="宋体" w:cs="Times New Roman" w:hint="eastAsia"/>
          <w:bCs/>
        </w:rPr>
        <w:t>期货</w:t>
      </w:r>
      <w:r w:rsidRPr="00663A03">
        <w:rPr>
          <w:rFonts w:ascii="Times New Roman" w:hAnsi="宋体" w:cs="Times New Roman" w:hint="eastAsia"/>
          <w:bCs/>
        </w:rPr>
        <w:t>/</w:t>
      </w:r>
      <w:r w:rsidRPr="00663A03">
        <w:rPr>
          <w:rFonts w:ascii="Times New Roman" w:hAnsi="宋体" w:cs="Times New Roman" w:hint="eastAsia"/>
          <w:bCs/>
        </w:rPr>
        <w:t>期权交易费用；</w:t>
      </w:r>
    </w:p>
    <w:p w14:paraId="5DC8F12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8</w:t>
      </w:r>
      <w:r w:rsidRPr="00663A03">
        <w:rPr>
          <w:rFonts w:ascii="Times New Roman" w:hAnsi="宋体" w:cs="Times New Roman" w:hint="eastAsia"/>
          <w:bCs/>
        </w:rPr>
        <w:t>、基金的银行汇划费用；</w:t>
      </w:r>
    </w:p>
    <w:p w14:paraId="00D767A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9</w:t>
      </w:r>
      <w:r w:rsidRPr="00663A03">
        <w:rPr>
          <w:rFonts w:ascii="Times New Roman" w:hAnsi="宋体" w:cs="Times New Roman" w:hint="eastAsia"/>
          <w:bCs/>
        </w:rPr>
        <w:t>、基金相关账户的开户及维护费用；</w:t>
      </w:r>
    </w:p>
    <w:p w14:paraId="62B0B51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10</w:t>
      </w:r>
      <w:r w:rsidRPr="00663A03">
        <w:rPr>
          <w:rFonts w:ascii="Times New Roman" w:hAnsi="宋体" w:cs="Times New Roman" w:hint="eastAsia"/>
          <w:bCs/>
        </w:rPr>
        <w:t>、因参与融资及转融通证券出借业务而产生的各项合理费用；</w:t>
      </w:r>
    </w:p>
    <w:p w14:paraId="301FB5A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11</w:t>
      </w:r>
      <w:r w:rsidRPr="00663A03">
        <w:rPr>
          <w:rFonts w:ascii="Times New Roman" w:hAnsi="宋体" w:cs="Times New Roman" w:hint="eastAsia"/>
          <w:bCs/>
        </w:rPr>
        <w:t>、基金投资目标</w:t>
      </w:r>
      <w:r w:rsidRPr="00663A03">
        <w:rPr>
          <w:rFonts w:ascii="Times New Roman" w:hAnsi="宋体" w:cs="Times New Roman" w:hint="eastAsia"/>
          <w:bCs/>
        </w:rPr>
        <w:t>ETF</w:t>
      </w:r>
      <w:r w:rsidRPr="00663A03">
        <w:rPr>
          <w:rFonts w:ascii="Times New Roman" w:hAnsi="宋体" w:cs="Times New Roman" w:hint="eastAsia"/>
          <w:bCs/>
        </w:rPr>
        <w:t>的相关费用（包括但不限于目标</w:t>
      </w:r>
      <w:r w:rsidRPr="00663A03">
        <w:rPr>
          <w:rFonts w:ascii="Times New Roman" w:hAnsi="宋体" w:cs="Times New Roman" w:hint="eastAsia"/>
          <w:bCs/>
        </w:rPr>
        <w:t>ETF</w:t>
      </w:r>
      <w:r w:rsidRPr="00663A03">
        <w:rPr>
          <w:rFonts w:ascii="Times New Roman" w:hAnsi="宋体" w:cs="Times New Roman" w:hint="eastAsia"/>
          <w:bCs/>
        </w:rPr>
        <w:t>的交易费用、申赎费用等）；</w:t>
      </w:r>
    </w:p>
    <w:p w14:paraId="4B89AB5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12</w:t>
      </w:r>
      <w:r w:rsidRPr="00663A03">
        <w:rPr>
          <w:rFonts w:ascii="Times New Roman" w:hAnsi="宋体" w:cs="Times New Roman" w:hint="eastAsia"/>
          <w:bCs/>
        </w:rPr>
        <w:t>、因投资港股通股票而产生的各项合理费用；</w:t>
      </w:r>
    </w:p>
    <w:p w14:paraId="7B7F7F0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13</w:t>
      </w:r>
      <w:r w:rsidRPr="00663A03">
        <w:rPr>
          <w:rFonts w:ascii="Times New Roman" w:hAnsi="宋体" w:cs="Times New Roman" w:hint="eastAsia"/>
          <w:bCs/>
        </w:rPr>
        <w:t>、按照国家有关规定和《基金合同》约定，可以在基金财产中列支的其他费用。</w:t>
      </w:r>
    </w:p>
    <w:p w14:paraId="6539EA0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（二）基金费用计提方法、计提标准和支付方式</w:t>
      </w:r>
    </w:p>
    <w:p w14:paraId="79D382A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、基金管理人的管理费</w:t>
      </w:r>
      <w:r w:rsidRPr="00663A03">
        <w:rPr>
          <w:rFonts w:ascii="Times New Roman" w:hAnsi="宋体" w:cs="Times New Roman" w:hint="eastAsia"/>
          <w:bCs/>
        </w:rPr>
        <w:t xml:space="preserve"> </w:t>
      </w:r>
    </w:p>
    <w:p w14:paraId="424738E6" w14:textId="7DD30E92"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本基金基金财产中投资于目标</w:t>
      </w:r>
      <w:r w:rsidRPr="00663A03">
        <w:rPr>
          <w:rFonts w:ascii="Times New Roman" w:hAnsi="宋体" w:cs="Times New Roman" w:hint="eastAsia"/>
          <w:bCs/>
        </w:rPr>
        <w:t>ETF</w:t>
      </w:r>
      <w:r w:rsidRPr="00663A03">
        <w:rPr>
          <w:rFonts w:ascii="Times New Roman" w:hAnsi="宋体" w:cs="Times New Roman" w:hint="eastAsia"/>
          <w:bCs/>
        </w:rPr>
        <w:t>的部分不收取管理费。本基金的管理费按前一日基金资产净值扣除所持有目标</w:t>
      </w:r>
      <w:r w:rsidRPr="00663A03">
        <w:rPr>
          <w:rFonts w:ascii="Times New Roman" w:hAnsi="宋体" w:cs="Times New Roman" w:hint="eastAsia"/>
          <w:bCs/>
        </w:rPr>
        <w:t>ETF</w:t>
      </w:r>
      <w:r w:rsidRPr="00663A03">
        <w:rPr>
          <w:rFonts w:ascii="Times New Roman" w:hAnsi="宋体" w:cs="Times New Roman" w:hint="eastAsia"/>
          <w:bCs/>
        </w:rPr>
        <w:t>基金份额部分基金资产后的余额（若为负数，则取</w:t>
      </w:r>
      <w:r w:rsidRPr="00663A03">
        <w:rPr>
          <w:rFonts w:ascii="Times New Roman" w:hAnsi="宋体" w:cs="Times New Roman" w:hint="eastAsia"/>
          <w:bCs/>
        </w:rPr>
        <w:t>0</w:t>
      </w:r>
      <w:r w:rsidRPr="00663A03">
        <w:rPr>
          <w:rFonts w:ascii="Times New Roman" w:hAnsi="宋体" w:cs="Times New Roman" w:hint="eastAsia"/>
          <w:bCs/>
        </w:rPr>
        <w:t>）的</w:t>
      </w:r>
      <w:r w:rsidR="003360B2">
        <w:rPr>
          <w:rFonts w:ascii="Times New Roman" w:hAnsi="宋体" w:cs="Times New Roman" w:hint="eastAsia"/>
          <w:bCs/>
        </w:rPr>
        <w:t>0.</w:t>
      </w:r>
      <w:r w:rsidR="003360B2">
        <w:rPr>
          <w:rFonts w:ascii="Times New Roman" w:hAnsi="宋体" w:cs="Times New Roman"/>
          <w:bCs/>
        </w:rPr>
        <w:t>15</w:t>
      </w:r>
      <w:r w:rsidRPr="00663A03">
        <w:rPr>
          <w:rFonts w:ascii="Times New Roman" w:hAnsi="宋体" w:cs="Times New Roman" w:hint="eastAsia"/>
          <w:bCs/>
        </w:rPr>
        <w:t>%</w:t>
      </w:r>
      <w:r w:rsidRPr="00663A03">
        <w:rPr>
          <w:rFonts w:ascii="Times New Roman" w:hAnsi="宋体" w:cs="Times New Roman" w:hint="eastAsia"/>
          <w:bCs/>
        </w:rPr>
        <w:t>年费率计提。管理费的计算方法如下：</w:t>
      </w:r>
    </w:p>
    <w:p w14:paraId="415EA44D" w14:textId="69F841E3"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H</w:t>
      </w:r>
      <w:r w:rsidRPr="00663A03">
        <w:rPr>
          <w:rFonts w:ascii="Times New Roman" w:hAnsi="宋体" w:cs="Times New Roman" w:hint="eastAsia"/>
          <w:bCs/>
        </w:rPr>
        <w:t>＝</w:t>
      </w:r>
      <w:r w:rsidRPr="00663A03">
        <w:rPr>
          <w:rFonts w:ascii="Times New Roman" w:hAnsi="宋体" w:cs="Times New Roman" w:hint="eastAsia"/>
          <w:bCs/>
        </w:rPr>
        <w:t>E</w:t>
      </w:r>
      <w:r w:rsidRPr="00663A03">
        <w:rPr>
          <w:rFonts w:ascii="Times New Roman" w:hAnsi="宋体" w:cs="Times New Roman" w:hint="eastAsia"/>
          <w:bCs/>
        </w:rPr>
        <w:t>×</w:t>
      </w:r>
      <w:r w:rsidRPr="00663A03">
        <w:rPr>
          <w:rFonts w:ascii="Times New Roman" w:hAnsi="宋体" w:cs="Times New Roman" w:hint="eastAsia"/>
          <w:bCs/>
        </w:rPr>
        <w:t>0.</w:t>
      </w:r>
      <w:r w:rsidR="003360B2">
        <w:rPr>
          <w:rFonts w:ascii="Times New Roman" w:hAnsi="宋体" w:cs="Times New Roman"/>
          <w:bCs/>
        </w:rPr>
        <w:t>15</w:t>
      </w:r>
      <w:r w:rsidRPr="00663A03">
        <w:rPr>
          <w:rFonts w:ascii="Times New Roman" w:hAnsi="宋体" w:cs="Times New Roman" w:hint="eastAsia"/>
          <w:bCs/>
        </w:rPr>
        <w:t>%</w:t>
      </w:r>
      <w:r w:rsidRPr="00663A03">
        <w:rPr>
          <w:rFonts w:ascii="Times New Roman" w:hAnsi="宋体" w:cs="Times New Roman" w:hint="eastAsia"/>
          <w:bCs/>
        </w:rPr>
        <w:t>÷当年天数</w:t>
      </w:r>
    </w:p>
    <w:p w14:paraId="66D1E22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H</w:t>
      </w:r>
      <w:r w:rsidRPr="00663A03">
        <w:rPr>
          <w:rFonts w:ascii="Times New Roman" w:hAnsi="宋体" w:cs="Times New Roman" w:hint="eastAsia"/>
          <w:bCs/>
        </w:rPr>
        <w:t>为每日应计提的基金管理费</w:t>
      </w:r>
    </w:p>
    <w:p w14:paraId="1CDDFD9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E</w:t>
      </w:r>
      <w:r w:rsidRPr="00663A03">
        <w:rPr>
          <w:rFonts w:ascii="Times New Roman" w:hAnsi="宋体" w:cs="Times New Roman" w:hint="eastAsia"/>
          <w:bCs/>
        </w:rPr>
        <w:t>为前一日的基金资产净值扣除前一日所持有目标</w:t>
      </w:r>
      <w:r w:rsidRPr="00663A03">
        <w:rPr>
          <w:rFonts w:ascii="Times New Roman" w:hAnsi="宋体" w:cs="Times New Roman" w:hint="eastAsia"/>
          <w:bCs/>
        </w:rPr>
        <w:t>ETF</w:t>
      </w:r>
      <w:r w:rsidRPr="00663A03">
        <w:rPr>
          <w:rFonts w:ascii="Times New Roman" w:hAnsi="宋体" w:cs="Times New Roman" w:hint="eastAsia"/>
          <w:bCs/>
        </w:rPr>
        <w:t>基金份额部分基金资产后的余额（若为负数，则</w:t>
      </w:r>
      <w:r w:rsidRPr="00663A03">
        <w:rPr>
          <w:rFonts w:ascii="Times New Roman" w:hAnsi="宋体" w:cs="Times New Roman" w:hint="eastAsia"/>
          <w:bCs/>
        </w:rPr>
        <w:t>E</w:t>
      </w:r>
      <w:r w:rsidRPr="00663A03">
        <w:rPr>
          <w:rFonts w:ascii="Times New Roman" w:hAnsi="宋体" w:cs="Times New Roman" w:hint="eastAsia"/>
          <w:bCs/>
        </w:rPr>
        <w:t>取</w:t>
      </w:r>
      <w:r w:rsidRPr="00663A03">
        <w:rPr>
          <w:rFonts w:ascii="Times New Roman" w:hAnsi="宋体" w:cs="Times New Roman" w:hint="eastAsia"/>
          <w:bCs/>
        </w:rPr>
        <w:t>0</w:t>
      </w:r>
      <w:r w:rsidRPr="00663A03">
        <w:rPr>
          <w:rFonts w:ascii="Times New Roman" w:hAnsi="宋体" w:cs="Times New Roman" w:hint="eastAsia"/>
          <w:bCs/>
        </w:rPr>
        <w:t>）</w:t>
      </w:r>
    </w:p>
    <w:p w14:paraId="0B5724C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基金管理费每日计提，逐日累计至每月月末，按月支付，经基金管理人与基金托管人双方核对无误后，基金托管人按照与基金管理人协商一致的方式于次月前</w:t>
      </w:r>
      <w:r w:rsidRPr="00663A03">
        <w:rPr>
          <w:rFonts w:ascii="Times New Roman" w:hAnsi="宋体" w:cs="Times New Roman" w:hint="eastAsia"/>
          <w:bCs/>
        </w:rPr>
        <w:t>5</w:t>
      </w:r>
      <w:r w:rsidRPr="00663A03">
        <w:rPr>
          <w:rFonts w:ascii="Times New Roman" w:hAnsi="宋体" w:cs="Times New Roman" w:hint="eastAsia"/>
          <w:bCs/>
        </w:rPr>
        <w:t>个工作日内从基金财产中一次性支付。若遇法定节假日、公休假或不可抗力等，支付日期顺延。</w:t>
      </w:r>
    </w:p>
    <w:p w14:paraId="292B081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、基金托管人的托管费</w:t>
      </w:r>
    </w:p>
    <w:p w14:paraId="72E12DD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本基金基金财产中投资于目标</w:t>
      </w:r>
      <w:r w:rsidRPr="00663A03">
        <w:rPr>
          <w:rFonts w:ascii="Times New Roman" w:hAnsi="宋体" w:cs="Times New Roman" w:hint="eastAsia"/>
          <w:bCs/>
        </w:rPr>
        <w:t>ETF</w:t>
      </w:r>
      <w:r w:rsidRPr="00663A03">
        <w:rPr>
          <w:rFonts w:ascii="Times New Roman" w:hAnsi="宋体" w:cs="Times New Roman" w:hint="eastAsia"/>
          <w:bCs/>
        </w:rPr>
        <w:t>的部分不收取托管费。本基金的托管费按前一日基金资产净值扣除所持有目标</w:t>
      </w:r>
      <w:r w:rsidRPr="00663A03">
        <w:rPr>
          <w:rFonts w:ascii="Times New Roman" w:hAnsi="宋体" w:cs="Times New Roman" w:hint="eastAsia"/>
          <w:bCs/>
        </w:rPr>
        <w:t>ETF</w:t>
      </w:r>
      <w:r w:rsidRPr="00663A03">
        <w:rPr>
          <w:rFonts w:ascii="Times New Roman" w:hAnsi="宋体" w:cs="Times New Roman" w:hint="eastAsia"/>
          <w:bCs/>
        </w:rPr>
        <w:t>基金份额部分基金资产后的余额（若为负数，则取</w:t>
      </w:r>
      <w:r w:rsidRPr="00663A03">
        <w:rPr>
          <w:rFonts w:ascii="Times New Roman" w:hAnsi="宋体" w:cs="Times New Roman" w:hint="eastAsia"/>
          <w:bCs/>
        </w:rPr>
        <w:t>0</w:t>
      </w:r>
      <w:r w:rsidRPr="00663A03">
        <w:rPr>
          <w:rFonts w:ascii="Times New Roman" w:hAnsi="宋体" w:cs="Times New Roman" w:hint="eastAsia"/>
          <w:bCs/>
        </w:rPr>
        <w:t>）的</w:t>
      </w:r>
      <w:r w:rsidRPr="00663A03">
        <w:rPr>
          <w:rFonts w:ascii="Times New Roman" w:hAnsi="宋体" w:cs="Times New Roman" w:hint="eastAsia"/>
          <w:bCs/>
        </w:rPr>
        <w:t>0.05%</w:t>
      </w:r>
      <w:r w:rsidRPr="00663A03">
        <w:rPr>
          <w:rFonts w:ascii="Times New Roman" w:hAnsi="宋体" w:cs="Times New Roman" w:hint="eastAsia"/>
          <w:bCs/>
        </w:rPr>
        <w:t>的年费率计提。托管费的计算方法如下：</w:t>
      </w:r>
    </w:p>
    <w:p w14:paraId="43A9989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H</w:t>
      </w:r>
      <w:r w:rsidRPr="00663A03">
        <w:rPr>
          <w:rFonts w:ascii="Times New Roman" w:hAnsi="宋体" w:cs="Times New Roman" w:hint="eastAsia"/>
          <w:bCs/>
        </w:rPr>
        <w:t>＝</w:t>
      </w:r>
      <w:r w:rsidRPr="00663A03">
        <w:rPr>
          <w:rFonts w:ascii="Times New Roman" w:hAnsi="宋体" w:cs="Times New Roman" w:hint="eastAsia"/>
          <w:bCs/>
        </w:rPr>
        <w:t>E</w:t>
      </w:r>
      <w:r w:rsidRPr="00663A03">
        <w:rPr>
          <w:rFonts w:ascii="Times New Roman" w:hAnsi="宋体" w:cs="Times New Roman" w:hint="eastAsia"/>
          <w:bCs/>
        </w:rPr>
        <w:t>×</w:t>
      </w:r>
      <w:r w:rsidRPr="00663A03">
        <w:rPr>
          <w:rFonts w:ascii="Times New Roman" w:hAnsi="宋体" w:cs="Times New Roman" w:hint="eastAsia"/>
          <w:bCs/>
        </w:rPr>
        <w:t>0.05%</w:t>
      </w:r>
      <w:r w:rsidRPr="00663A03">
        <w:rPr>
          <w:rFonts w:ascii="Times New Roman" w:hAnsi="宋体" w:cs="Times New Roman" w:hint="eastAsia"/>
          <w:bCs/>
        </w:rPr>
        <w:t>÷当年天数</w:t>
      </w:r>
    </w:p>
    <w:p w14:paraId="5C504EF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H</w:t>
      </w:r>
      <w:r w:rsidRPr="00663A03">
        <w:rPr>
          <w:rFonts w:ascii="Times New Roman" w:hAnsi="宋体" w:cs="Times New Roman" w:hint="eastAsia"/>
          <w:bCs/>
        </w:rPr>
        <w:t>为每日应计提的基金托管费</w:t>
      </w:r>
    </w:p>
    <w:p w14:paraId="0FF35A9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E</w:t>
      </w:r>
      <w:r w:rsidRPr="00663A03">
        <w:rPr>
          <w:rFonts w:ascii="Times New Roman" w:hAnsi="宋体" w:cs="Times New Roman" w:hint="eastAsia"/>
          <w:bCs/>
        </w:rPr>
        <w:t>为前一日的基金资产净值扣除前一日所持有目标</w:t>
      </w:r>
      <w:r w:rsidRPr="00663A03">
        <w:rPr>
          <w:rFonts w:ascii="Times New Roman" w:hAnsi="宋体" w:cs="Times New Roman" w:hint="eastAsia"/>
          <w:bCs/>
        </w:rPr>
        <w:t>ETF</w:t>
      </w:r>
      <w:r w:rsidRPr="00663A03">
        <w:rPr>
          <w:rFonts w:ascii="Times New Roman" w:hAnsi="宋体" w:cs="Times New Roman" w:hint="eastAsia"/>
          <w:bCs/>
        </w:rPr>
        <w:t>基金份额部分基金资产后的余额（若为负数，则</w:t>
      </w:r>
      <w:r w:rsidRPr="00663A03">
        <w:rPr>
          <w:rFonts w:ascii="Times New Roman" w:hAnsi="宋体" w:cs="Times New Roman" w:hint="eastAsia"/>
          <w:bCs/>
        </w:rPr>
        <w:t>E</w:t>
      </w:r>
      <w:r w:rsidRPr="00663A03">
        <w:rPr>
          <w:rFonts w:ascii="Times New Roman" w:hAnsi="宋体" w:cs="Times New Roman" w:hint="eastAsia"/>
          <w:bCs/>
        </w:rPr>
        <w:t>取</w:t>
      </w:r>
      <w:r w:rsidRPr="00663A03">
        <w:rPr>
          <w:rFonts w:ascii="Times New Roman" w:hAnsi="宋体" w:cs="Times New Roman" w:hint="eastAsia"/>
          <w:bCs/>
        </w:rPr>
        <w:t>0</w:t>
      </w:r>
      <w:r w:rsidRPr="00663A03">
        <w:rPr>
          <w:rFonts w:ascii="Times New Roman" w:hAnsi="宋体" w:cs="Times New Roman" w:hint="eastAsia"/>
          <w:bCs/>
        </w:rPr>
        <w:t>）</w:t>
      </w:r>
    </w:p>
    <w:p w14:paraId="05E61C8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基金托管费每日计提，逐日累计至每月月末，按月支付，经基金管理人与基金托管人双方核对无误后，基金托管人按照与基金管理人协商一致的方式于次月前</w:t>
      </w:r>
      <w:r w:rsidRPr="00663A03">
        <w:rPr>
          <w:rFonts w:ascii="Times New Roman" w:hAnsi="宋体" w:cs="Times New Roman" w:hint="eastAsia"/>
          <w:bCs/>
        </w:rPr>
        <w:t>5</w:t>
      </w:r>
      <w:r w:rsidRPr="00663A03">
        <w:rPr>
          <w:rFonts w:ascii="Times New Roman" w:hAnsi="宋体" w:cs="Times New Roman" w:hint="eastAsia"/>
          <w:bCs/>
        </w:rPr>
        <w:t>个工作日内从基金财产中一次性支付。若遇法定节假日、公休假或不可抗力等，支付日期顺延。</w:t>
      </w:r>
    </w:p>
    <w:p w14:paraId="67E2500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3</w:t>
      </w:r>
      <w:r w:rsidRPr="00663A03">
        <w:rPr>
          <w:rFonts w:ascii="Times New Roman" w:hAnsi="宋体" w:cs="Times New Roman" w:hint="eastAsia"/>
          <w:bCs/>
        </w:rPr>
        <w:t>、从</w:t>
      </w:r>
      <w:r w:rsidRPr="00663A03">
        <w:rPr>
          <w:rFonts w:ascii="Times New Roman" w:hAnsi="宋体" w:cs="Times New Roman" w:hint="eastAsia"/>
          <w:bCs/>
        </w:rPr>
        <w:t>C</w:t>
      </w:r>
      <w:r w:rsidRPr="00663A03">
        <w:rPr>
          <w:rFonts w:ascii="Times New Roman" w:hAnsi="宋体" w:cs="Times New Roman" w:hint="eastAsia"/>
          <w:bCs/>
        </w:rPr>
        <w:t>类基金份额的基金财产中计提的销售服务费</w:t>
      </w:r>
    </w:p>
    <w:p w14:paraId="7025BBB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本基金</w:t>
      </w:r>
      <w:r w:rsidRPr="00663A03">
        <w:rPr>
          <w:rFonts w:ascii="Times New Roman" w:hAnsi="宋体" w:cs="Times New Roman" w:hint="eastAsia"/>
          <w:bCs/>
        </w:rPr>
        <w:t>A</w:t>
      </w:r>
      <w:r w:rsidRPr="00663A03">
        <w:rPr>
          <w:rFonts w:ascii="Times New Roman" w:hAnsi="宋体" w:cs="Times New Roman" w:hint="eastAsia"/>
          <w:bCs/>
        </w:rPr>
        <w:t>类基金份额不收取销售服务费，</w:t>
      </w:r>
      <w:r w:rsidRPr="00663A03">
        <w:rPr>
          <w:rFonts w:ascii="Times New Roman" w:hAnsi="宋体" w:cs="Times New Roman" w:hint="eastAsia"/>
          <w:bCs/>
        </w:rPr>
        <w:t>C</w:t>
      </w:r>
      <w:r w:rsidRPr="00663A03">
        <w:rPr>
          <w:rFonts w:ascii="Times New Roman" w:hAnsi="宋体" w:cs="Times New Roman" w:hint="eastAsia"/>
          <w:bCs/>
        </w:rPr>
        <w:t>类基金份额的销售服务费年费率为</w:t>
      </w:r>
      <w:r w:rsidRPr="00663A03">
        <w:rPr>
          <w:rFonts w:ascii="Times New Roman" w:hAnsi="宋体" w:cs="Times New Roman" w:hint="eastAsia"/>
          <w:bCs/>
        </w:rPr>
        <w:t>0.20%</w:t>
      </w:r>
      <w:r w:rsidRPr="00663A03">
        <w:rPr>
          <w:rFonts w:ascii="Times New Roman" w:hAnsi="宋体" w:cs="Times New Roman" w:hint="eastAsia"/>
          <w:bCs/>
        </w:rPr>
        <w:t>。本基金销售服务费按前一日</w:t>
      </w:r>
      <w:r w:rsidRPr="00663A03">
        <w:rPr>
          <w:rFonts w:ascii="Times New Roman" w:hAnsi="宋体" w:cs="Times New Roman" w:hint="eastAsia"/>
          <w:bCs/>
        </w:rPr>
        <w:t>C</w:t>
      </w:r>
      <w:r w:rsidRPr="00663A03">
        <w:rPr>
          <w:rFonts w:ascii="Times New Roman" w:hAnsi="宋体" w:cs="Times New Roman" w:hint="eastAsia"/>
          <w:bCs/>
        </w:rPr>
        <w:t>类基金份额的基金资产净值的</w:t>
      </w:r>
      <w:r w:rsidRPr="00663A03">
        <w:rPr>
          <w:rFonts w:ascii="Times New Roman" w:hAnsi="宋体" w:cs="Times New Roman" w:hint="eastAsia"/>
          <w:bCs/>
        </w:rPr>
        <w:t>0.20%</w:t>
      </w:r>
      <w:r w:rsidRPr="00663A03">
        <w:rPr>
          <w:rFonts w:ascii="Times New Roman" w:hAnsi="宋体" w:cs="Times New Roman" w:hint="eastAsia"/>
          <w:bCs/>
        </w:rPr>
        <w:t>年费率计提。销售服务费的计算方法如下：</w:t>
      </w:r>
    </w:p>
    <w:p w14:paraId="72A04AA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H</w:t>
      </w:r>
      <w:r w:rsidRPr="00663A03">
        <w:rPr>
          <w:rFonts w:ascii="Times New Roman" w:hAnsi="宋体" w:cs="Times New Roman" w:hint="eastAsia"/>
          <w:bCs/>
        </w:rPr>
        <w:t>＝</w:t>
      </w:r>
      <w:r w:rsidRPr="00663A03">
        <w:rPr>
          <w:rFonts w:ascii="Times New Roman" w:hAnsi="宋体" w:cs="Times New Roman" w:hint="eastAsia"/>
          <w:bCs/>
        </w:rPr>
        <w:t>E</w:t>
      </w:r>
      <w:r w:rsidRPr="00663A03">
        <w:rPr>
          <w:rFonts w:ascii="Times New Roman" w:hAnsi="宋体" w:cs="Times New Roman" w:hint="eastAsia"/>
          <w:bCs/>
        </w:rPr>
        <w:t>×年销售服务费率÷当年天数</w:t>
      </w:r>
    </w:p>
    <w:p w14:paraId="0A5BDDD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H</w:t>
      </w:r>
      <w:r w:rsidRPr="00663A03">
        <w:rPr>
          <w:rFonts w:ascii="Times New Roman" w:hAnsi="宋体" w:cs="Times New Roman" w:hint="eastAsia"/>
          <w:bCs/>
        </w:rPr>
        <w:t>为</w:t>
      </w:r>
      <w:r w:rsidRPr="00663A03">
        <w:rPr>
          <w:rFonts w:ascii="Times New Roman" w:hAnsi="宋体" w:cs="Times New Roman" w:hint="eastAsia"/>
          <w:bCs/>
        </w:rPr>
        <w:t>C</w:t>
      </w:r>
      <w:r w:rsidRPr="00663A03">
        <w:rPr>
          <w:rFonts w:ascii="Times New Roman" w:hAnsi="宋体" w:cs="Times New Roman" w:hint="eastAsia"/>
          <w:bCs/>
        </w:rPr>
        <w:t>类基金份额每日应计提的基金销售服务费</w:t>
      </w:r>
    </w:p>
    <w:p w14:paraId="0159D1A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E</w:t>
      </w:r>
      <w:r w:rsidRPr="00663A03">
        <w:rPr>
          <w:rFonts w:ascii="Times New Roman" w:hAnsi="宋体" w:cs="Times New Roman" w:hint="eastAsia"/>
          <w:bCs/>
        </w:rPr>
        <w:t>为</w:t>
      </w:r>
      <w:r w:rsidRPr="00663A03">
        <w:rPr>
          <w:rFonts w:ascii="Times New Roman" w:hAnsi="宋体" w:cs="Times New Roman" w:hint="eastAsia"/>
          <w:bCs/>
        </w:rPr>
        <w:t>C</w:t>
      </w:r>
      <w:r w:rsidRPr="00663A03">
        <w:rPr>
          <w:rFonts w:ascii="Times New Roman" w:hAnsi="宋体" w:cs="Times New Roman" w:hint="eastAsia"/>
          <w:bCs/>
        </w:rPr>
        <w:t>类基金份额前一日基金资产净值</w:t>
      </w:r>
    </w:p>
    <w:p w14:paraId="6DCDB482" w14:textId="4B76F10D" w:rsidR="00663A03" w:rsidRPr="00663A03" w:rsidRDefault="00E1640D" w:rsidP="00663A03">
      <w:pPr>
        <w:autoSpaceDE w:val="0"/>
        <w:autoSpaceDN w:val="0"/>
        <w:adjustRightInd w:val="0"/>
        <w:snapToGrid w:val="0"/>
        <w:spacing w:line="360" w:lineRule="auto"/>
        <w:ind w:firstLineChars="200" w:firstLine="420"/>
        <w:jc w:val="left"/>
        <w:rPr>
          <w:rFonts w:ascii="Times New Roman" w:hAnsi="宋体" w:cs="Times New Roman"/>
          <w:bCs/>
        </w:rPr>
      </w:pPr>
      <w:r w:rsidRPr="00E1640D">
        <w:rPr>
          <w:rFonts w:ascii="Times New Roman" w:hAnsi="宋体" w:cs="Times New Roman" w:hint="eastAsia"/>
          <w:bCs/>
        </w:rPr>
        <w:t>C</w:t>
      </w:r>
      <w:r w:rsidRPr="00E1640D">
        <w:rPr>
          <w:rFonts w:ascii="Times New Roman" w:hAnsi="宋体" w:cs="Times New Roman" w:hint="eastAsia"/>
          <w:bCs/>
        </w:rPr>
        <w:t>类基金份额的销售服务费</w:t>
      </w:r>
      <w:r w:rsidR="00C1300B">
        <w:rPr>
          <w:rFonts w:ascii="Times New Roman" w:hAnsi="宋体" w:cs="Times New Roman" w:hint="eastAsia"/>
          <w:bCs/>
        </w:rPr>
        <w:t>每日</w:t>
      </w:r>
      <w:r w:rsidRPr="00E1640D">
        <w:rPr>
          <w:rFonts w:ascii="Times New Roman" w:hAnsi="宋体" w:cs="Times New Roman" w:hint="eastAsia"/>
          <w:bCs/>
        </w:rPr>
        <w:t>计提</w:t>
      </w:r>
      <w:r w:rsidR="00C1300B">
        <w:rPr>
          <w:rFonts w:ascii="Times New Roman" w:hAnsi="宋体" w:cs="Times New Roman" w:hint="eastAsia"/>
          <w:bCs/>
        </w:rPr>
        <w:t>，</w:t>
      </w:r>
      <w:r w:rsidRPr="00E1640D">
        <w:rPr>
          <w:rFonts w:ascii="Times New Roman" w:hAnsi="宋体" w:cs="Times New Roman" w:hint="eastAsia"/>
          <w:bCs/>
        </w:rPr>
        <w:t>具体收取</w:t>
      </w:r>
      <w:r w:rsidRPr="00E1640D">
        <w:rPr>
          <w:rFonts w:ascii="Times New Roman" w:hAnsi="宋体" w:cs="Times New Roman" w:hint="eastAsia"/>
          <w:bCs/>
        </w:rPr>
        <w:t>/</w:t>
      </w:r>
      <w:r w:rsidRPr="00E1640D">
        <w:rPr>
          <w:rFonts w:ascii="Times New Roman" w:hAnsi="宋体" w:cs="Times New Roman" w:hint="eastAsia"/>
          <w:bCs/>
        </w:rPr>
        <w:t>返还方式详见《招募说明书》</w:t>
      </w:r>
      <w:r w:rsidR="00663A03" w:rsidRPr="00663A03">
        <w:rPr>
          <w:rFonts w:ascii="Times New Roman" w:hAnsi="宋体" w:cs="Times New Roman" w:hint="eastAsia"/>
          <w:bCs/>
        </w:rPr>
        <w:t>。</w:t>
      </w:r>
    </w:p>
    <w:p w14:paraId="0792D73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上述“（一）基金费用的种类”中第</w:t>
      </w:r>
      <w:r w:rsidRPr="00663A03">
        <w:rPr>
          <w:rFonts w:ascii="Times New Roman" w:hAnsi="宋体" w:cs="Times New Roman" w:hint="eastAsia"/>
          <w:bCs/>
        </w:rPr>
        <w:t>4-13</w:t>
      </w:r>
      <w:r w:rsidRPr="00663A03">
        <w:rPr>
          <w:rFonts w:ascii="Times New Roman" w:hAnsi="宋体" w:cs="Times New Roman" w:hint="eastAsia"/>
          <w:bCs/>
        </w:rPr>
        <w:t>项费用，根据有关法规及相应协议规定，按费用实际支出金额列入当期费用，由基金托管人从基金财产中支付。</w:t>
      </w:r>
    </w:p>
    <w:p w14:paraId="27562A7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p>
    <w:p w14:paraId="2FA83C3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五、基金财产的投资范围和投资限制</w:t>
      </w:r>
    </w:p>
    <w:p w14:paraId="641B2F7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（一）投资范围</w:t>
      </w:r>
    </w:p>
    <w:p w14:paraId="01F9FE5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本基金主要投资于目标</w:t>
      </w:r>
      <w:r w:rsidRPr="00663A03">
        <w:rPr>
          <w:rFonts w:ascii="Times New Roman" w:hAnsi="宋体" w:cs="Times New Roman" w:hint="eastAsia"/>
          <w:bCs/>
        </w:rPr>
        <w:t>ETF</w:t>
      </w:r>
      <w:r w:rsidRPr="00663A03">
        <w:rPr>
          <w:rFonts w:ascii="Times New Roman" w:hAnsi="宋体" w:cs="Times New Roman" w:hint="eastAsia"/>
          <w:bCs/>
        </w:rPr>
        <w:t>基金份额、标的指数成份股、备选成份股（包含内地与香港股票市场交易互联互通机制允许买卖的规定范围内的香港联合交易所上市的股票（简称“港股通股票”）、存托凭证，下同）。为更好地实现投资目标，本基金可少量投资于非成份股（包含主板、创业板、科创板及其他经中国证监会核准或注册发行的股票、港股通股票、存托凭证）、金融衍生品（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法律法规或中国证监会允许基金投资的其他金融工具（但须符合中国证监会的相关规定）。</w:t>
      </w:r>
    </w:p>
    <w:p w14:paraId="6E9F3C5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本基金根据相关规定可参与融资、转融通证券出借业务。</w:t>
      </w:r>
    </w:p>
    <w:p w14:paraId="6DDA2B7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如法律法规或监管机构以后允许基金投资其他品种，基金管理人在履行适当程序后，可以将其纳入投资范围。</w:t>
      </w:r>
    </w:p>
    <w:p w14:paraId="65C394E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基金的投资组合比例为：在建仓完成后，本基金投资于目标</w:t>
      </w:r>
      <w:r w:rsidRPr="00663A03">
        <w:rPr>
          <w:rFonts w:ascii="Times New Roman" w:hAnsi="宋体" w:cs="Times New Roman" w:hint="eastAsia"/>
          <w:bCs/>
        </w:rPr>
        <w:t>ETF</w:t>
      </w:r>
      <w:r w:rsidRPr="00663A03">
        <w:rPr>
          <w:rFonts w:ascii="Times New Roman" w:hAnsi="宋体" w:cs="Times New Roman" w:hint="eastAsia"/>
          <w:bCs/>
        </w:rPr>
        <w:t>的比例不低于基金资产净值的</w:t>
      </w:r>
      <w:r w:rsidRPr="00663A03">
        <w:rPr>
          <w:rFonts w:ascii="Times New Roman" w:hAnsi="宋体" w:cs="Times New Roman" w:hint="eastAsia"/>
          <w:bCs/>
        </w:rPr>
        <w:t>90%</w:t>
      </w:r>
      <w:r w:rsidRPr="00663A03">
        <w:rPr>
          <w:rFonts w:ascii="Times New Roman" w:hAnsi="宋体" w:cs="Times New Roman" w:hint="eastAsia"/>
          <w:bCs/>
        </w:rPr>
        <w:t>。每个交易日日终在扣除金融衍生品合约需缴纳的交易保证金后，现金或到期日在一年以内的政府债券的投资比例不低于基金资产净值的</w:t>
      </w:r>
      <w:r w:rsidRPr="00663A03">
        <w:rPr>
          <w:rFonts w:ascii="Times New Roman" w:hAnsi="宋体" w:cs="Times New Roman" w:hint="eastAsia"/>
          <w:bCs/>
        </w:rPr>
        <w:t>5%</w:t>
      </w:r>
      <w:r w:rsidRPr="00663A03">
        <w:rPr>
          <w:rFonts w:ascii="Times New Roman" w:hAnsi="宋体" w:cs="Times New Roman" w:hint="eastAsia"/>
          <w:bCs/>
        </w:rPr>
        <w:t>，其中现金不包括结算备付金、存出保证金、应收申购款等。</w:t>
      </w:r>
    </w:p>
    <w:p w14:paraId="1B34662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如法律法规或监管机构变更投资品种的投资比例限制，基金管理人在履行适当程序后，可以调整上述投资品种的投资比例。</w:t>
      </w:r>
    </w:p>
    <w:p w14:paraId="444049F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（二）投资限制</w:t>
      </w:r>
    </w:p>
    <w:p w14:paraId="7161D04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、组合限制</w:t>
      </w:r>
    </w:p>
    <w:p w14:paraId="5081492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基金的投资组合应遵循以下限制：</w:t>
      </w:r>
    </w:p>
    <w:p w14:paraId="0AE0511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）本基金投资于目标</w:t>
      </w:r>
      <w:r w:rsidRPr="00663A03">
        <w:rPr>
          <w:rFonts w:ascii="Times New Roman" w:hAnsi="宋体" w:cs="Times New Roman" w:hint="eastAsia"/>
          <w:bCs/>
        </w:rPr>
        <w:t>ETF</w:t>
      </w:r>
      <w:r w:rsidRPr="00663A03">
        <w:rPr>
          <w:rFonts w:ascii="Times New Roman" w:hAnsi="宋体" w:cs="Times New Roman" w:hint="eastAsia"/>
          <w:bCs/>
        </w:rPr>
        <w:t>的比例不低于基金资产净值的</w:t>
      </w:r>
      <w:r w:rsidRPr="00663A03">
        <w:rPr>
          <w:rFonts w:ascii="Times New Roman" w:hAnsi="宋体" w:cs="Times New Roman" w:hint="eastAsia"/>
          <w:bCs/>
        </w:rPr>
        <w:t>90%</w:t>
      </w:r>
      <w:r w:rsidRPr="00663A03">
        <w:rPr>
          <w:rFonts w:ascii="Times New Roman" w:hAnsi="宋体" w:cs="Times New Roman" w:hint="eastAsia"/>
          <w:bCs/>
        </w:rPr>
        <w:t>；</w:t>
      </w:r>
    </w:p>
    <w:p w14:paraId="5A936C6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）每个交易日日终在扣除金融衍生品合约需缴纳的交易保证金后，现金或到期日在一年以内的政府债券的投资比例不低于基金资产净值的</w:t>
      </w:r>
      <w:r w:rsidRPr="00663A03">
        <w:rPr>
          <w:rFonts w:ascii="Times New Roman" w:hAnsi="宋体" w:cs="Times New Roman" w:hint="eastAsia"/>
          <w:bCs/>
        </w:rPr>
        <w:t>5</w:t>
      </w:r>
      <w:r w:rsidRPr="00663A03">
        <w:rPr>
          <w:rFonts w:ascii="Times New Roman" w:hAnsi="宋体" w:cs="Times New Roman" w:hint="eastAsia"/>
          <w:bCs/>
        </w:rPr>
        <w:t>％，其中现金不包括结算备付金、存出保证金、应收申购款等；</w:t>
      </w:r>
    </w:p>
    <w:p w14:paraId="64B2296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3</w:t>
      </w:r>
      <w:r w:rsidRPr="00663A03">
        <w:rPr>
          <w:rFonts w:ascii="Times New Roman" w:hAnsi="宋体" w:cs="Times New Roman" w:hint="eastAsia"/>
          <w:bCs/>
        </w:rPr>
        <w:t>）本基金投资于同一原始权益人的各类资产支持证券的比例，不得超过基金资产净值的</w:t>
      </w:r>
      <w:r w:rsidRPr="00663A03">
        <w:rPr>
          <w:rFonts w:ascii="Times New Roman" w:hAnsi="宋体" w:cs="Times New Roman" w:hint="eastAsia"/>
          <w:bCs/>
        </w:rPr>
        <w:t>10</w:t>
      </w:r>
      <w:r w:rsidRPr="00663A03">
        <w:rPr>
          <w:rFonts w:ascii="Times New Roman" w:hAnsi="宋体" w:cs="Times New Roman" w:hint="eastAsia"/>
          <w:bCs/>
        </w:rPr>
        <w:t>％；</w:t>
      </w:r>
    </w:p>
    <w:p w14:paraId="21EAE53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4</w:t>
      </w:r>
      <w:r w:rsidRPr="00663A03">
        <w:rPr>
          <w:rFonts w:ascii="Times New Roman" w:hAnsi="宋体" w:cs="Times New Roman" w:hint="eastAsia"/>
          <w:bCs/>
        </w:rPr>
        <w:t>）本基金持有的全部资产支持证券，其市值不得超过基金资产净值的</w:t>
      </w:r>
      <w:r w:rsidRPr="00663A03">
        <w:rPr>
          <w:rFonts w:ascii="Times New Roman" w:hAnsi="宋体" w:cs="Times New Roman" w:hint="eastAsia"/>
          <w:bCs/>
        </w:rPr>
        <w:t>20</w:t>
      </w:r>
      <w:r w:rsidRPr="00663A03">
        <w:rPr>
          <w:rFonts w:ascii="Times New Roman" w:hAnsi="宋体" w:cs="Times New Roman" w:hint="eastAsia"/>
          <w:bCs/>
        </w:rPr>
        <w:t>％；</w:t>
      </w:r>
    </w:p>
    <w:p w14:paraId="4B67C9B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5</w:t>
      </w:r>
      <w:r w:rsidRPr="00663A03">
        <w:rPr>
          <w:rFonts w:ascii="Times New Roman" w:hAnsi="宋体" w:cs="Times New Roman" w:hint="eastAsia"/>
          <w:bCs/>
        </w:rPr>
        <w:t>）本基金持有的同一（指同一信用级别）资产支持证券的比例，不得超过该资产支持证券规模的</w:t>
      </w:r>
      <w:r w:rsidRPr="00663A03">
        <w:rPr>
          <w:rFonts w:ascii="Times New Roman" w:hAnsi="宋体" w:cs="Times New Roman" w:hint="eastAsia"/>
          <w:bCs/>
        </w:rPr>
        <w:t>10</w:t>
      </w:r>
      <w:r w:rsidRPr="00663A03">
        <w:rPr>
          <w:rFonts w:ascii="Times New Roman" w:hAnsi="宋体" w:cs="Times New Roman" w:hint="eastAsia"/>
          <w:bCs/>
        </w:rPr>
        <w:t>％；</w:t>
      </w:r>
    </w:p>
    <w:p w14:paraId="67B34D4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6</w:t>
      </w:r>
      <w:r w:rsidRPr="00663A03">
        <w:rPr>
          <w:rFonts w:ascii="Times New Roman" w:hAnsi="宋体" w:cs="Times New Roman" w:hint="eastAsia"/>
          <w:bCs/>
        </w:rPr>
        <w:t>）本基金管理人管理的全部基金投资于同一原始权益人的各类资产支持证券，不得超过其各类资产支持证券合计规模的</w:t>
      </w:r>
      <w:r w:rsidRPr="00663A03">
        <w:rPr>
          <w:rFonts w:ascii="Times New Roman" w:hAnsi="宋体" w:cs="Times New Roman" w:hint="eastAsia"/>
          <w:bCs/>
        </w:rPr>
        <w:t>10</w:t>
      </w:r>
      <w:r w:rsidRPr="00663A03">
        <w:rPr>
          <w:rFonts w:ascii="Times New Roman" w:hAnsi="宋体" w:cs="Times New Roman" w:hint="eastAsia"/>
          <w:bCs/>
        </w:rPr>
        <w:t>％；</w:t>
      </w:r>
    </w:p>
    <w:p w14:paraId="64A93D3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7</w:t>
      </w:r>
      <w:r w:rsidRPr="00663A03">
        <w:rPr>
          <w:rFonts w:ascii="Times New Roman" w:hAnsi="宋体" w:cs="Times New Roman" w:hint="eastAsia"/>
          <w:bCs/>
        </w:rPr>
        <w:t>）本基金应投资于信用级别评级为</w:t>
      </w:r>
      <w:r w:rsidRPr="00663A03">
        <w:rPr>
          <w:rFonts w:ascii="Times New Roman" w:hAnsi="宋体" w:cs="Times New Roman" w:hint="eastAsia"/>
          <w:bCs/>
        </w:rPr>
        <w:t>BBB</w:t>
      </w:r>
      <w:r w:rsidRPr="00663A03">
        <w:rPr>
          <w:rFonts w:ascii="Times New Roman" w:hAnsi="宋体" w:cs="Times New Roman" w:hint="eastAsia"/>
          <w:bCs/>
        </w:rPr>
        <w:t>以上（含</w:t>
      </w:r>
      <w:r w:rsidRPr="00663A03">
        <w:rPr>
          <w:rFonts w:ascii="Times New Roman" w:hAnsi="宋体" w:cs="Times New Roman" w:hint="eastAsia"/>
          <w:bCs/>
        </w:rPr>
        <w:t>BBB</w:t>
      </w:r>
      <w:r w:rsidRPr="00663A03">
        <w:rPr>
          <w:rFonts w:ascii="Times New Roman" w:hAnsi="宋体" w:cs="Times New Roman" w:hint="eastAsia"/>
          <w:bCs/>
        </w:rPr>
        <w:t>）的资产支持证券。基金持有资产支持证券期间，如果其信用等级下降、不再符合投资标准，应在评级报告发布之日起</w:t>
      </w:r>
      <w:r w:rsidRPr="00663A03">
        <w:rPr>
          <w:rFonts w:ascii="Times New Roman" w:hAnsi="宋体" w:cs="Times New Roman" w:hint="eastAsia"/>
          <w:bCs/>
        </w:rPr>
        <w:t>3</w:t>
      </w:r>
      <w:r w:rsidRPr="00663A03">
        <w:rPr>
          <w:rFonts w:ascii="Times New Roman" w:hAnsi="宋体" w:cs="Times New Roman" w:hint="eastAsia"/>
          <w:bCs/>
        </w:rPr>
        <w:t>个月内予以全部卖出；</w:t>
      </w:r>
    </w:p>
    <w:p w14:paraId="4B9D5FC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8</w:t>
      </w:r>
      <w:r w:rsidRPr="00663A03">
        <w:rPr>
          <w:rFonts w:ascii="Times New Roman" w:hAnsi="宋体" w:cs="Times New Roman" w:hint="eastAsia"/>
          <w:bCs/>
        </w:rPr>
        <w:t>）基金财产参与股票发行申购，本基金所申报的金额不超过本基金的总资产，本基金所申报的股票数量不超过拟发行股票公司本次发行股票的总量；</w:t>
      </w:r>
    </w:p>
    <w:p w14:paraId="6F716E5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9</w:t>
      </w:r>
      <w:r w:rsidRPr="00663A03">
        <w:rPr>
          <w:rFonts w:ascii="Times New Roman" w:hAnsi="宋体" w:cs="Times New Roman" w:hint="eastAsia"/>
          <w:bCs/>
        </w:rPr>
        <w:t>）本基金主动投资于流动性受限资产的市值合计不得超过基金资产净值的</w:t>
      </w:r>
      <w:r w:rsidRPr="00663A03">
        <w:rPr>
          <w:rFonts w:ascii="Times New Roman" w:hAnsi="宋体" w:cs="Times New Roman" w:hint="eastAsia"/>
          <w:bCs/>
        </w:rPr>
        <w:t>15%</w:t>
      </w:r>
      <w:r w:rsidRPr="00663A03">
        <w:rPr>
          <w:rFonts w:ascii="Times New Roman" w:hAnsi="宋体" w:cs="Times New Roman" w:hint="eastAsia"/>
          <w:bCs/>
        </w:rPr>
        <w:t>；因证券市场波动、上市公司股票停牌、基金规模变动等基金管理人之外的因素致使基金不符合前款所规定比例限制的，基金管理人不得主动新增流动性受限资产的投资；</w:t>
      </w:r>
    </w:p>
    <w:p w14:paraId="6DA2561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10</w:t>
      </w:r>
      <w:r w:rsidRPr="00663A03">
        <w:rPr>
          <w:rFonts w:ascii="Times New Roman" w:hAnsi="宋体" w:cs="Times New Roman" w:hint="eastAsia"/>
          <w:bCs/>
        </w:rPr>
        <w:t>）本基金与私募类证券资管产品及中国证监会认定的其他主体为交易对手开展逆回购交易的，可接受质押品的资质要求应当与基金合同约定的投资范围保持一致；</w:t>
      </w:r>
    </w:p>
    <w:p w14:paraId="07CDBEF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11</w:t>
      </w:r>
      <w:r w:rsidRPr="00663A03">
        <w:rPr>
          <w:rFonts w:ascii="Times New Roman" w:hAnsi="宋体" w:cs="Times New Roman" w:hint="eastAsia"/>
          <w:bCs/>
        </w:rPr>
        <w:t>）本基金资产总值不超过基金资产净值的</w:t>
      </w:r>
      <w:r w:rsidRPr="00663A03">
        <w:rPr>
          <w:rFonts w:ascii="Times New Roman" w:hAnsi="宋体" w:cs="Times New Roman" w:hint="eastAsia"/>
          <w:bCs/>
        </w:rPr>
        <w:t>140%</w:t>
      </w:r>
      <w:r w:rsidRPr="00663A03">
        <w:rPr>
          <w:rFonts w:ascii="Times New Roman" w:hAnsi="宋体" w:cs="Times New Roman" w:hint="eastAsia"/>
          <w:bCs/>
        </w:rPr>
        <w:t>；</w:t>
      </w:r>
    </w:p>
    <w:p w14:paraId="7B2316D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12</w:t>
      </w:r>
      <w:r w:rsidRPr="00663A03">
        <w:rPr>
          <w:rFonts w:ascii="Times New Roman" w:hAnsi="宋体" w:cs="Times New Roman" w:hint="eastAsia"/>
          <w:bCs/>
        </w:rPr>
        <w:t>）本基金参与股指期货交易，应当符合下列投资限制：</w:t>
      </w:r>
    </w:p>
    <w:p w14:paraId="0C310B0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）本基金在任何交易日日终，持有的买入股指期货合约价值，不得超过基金资产净值的</w:t>
      </w:r>
      <w:r w:rsidRPr="00663A03">
        <w:rPr>
          <w:rFonts w:ascii="Times New Roman" w:hAnsi="宋体" w:cs="Times New Roman" w:hint="eastAsia"/>
          <w:bCs/>
        </w:rPr>
        <w:t>10%</w:t>
      </w:r>
      <w:r w:rsidRPr="00663A03">
        <w:rPr>
          <w:rFonts w:ascii="Times New Roman" w:hAnsi="宋体" w:cs="Times New Roman" w:hint="eastAsia"/>
          <w:bCs/>
        </w:rPr>
        <w:t>；</w:t>
      </w:r>
    </w:p>
    <w:p w14:paraId="5080F75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）本基金在任何交易日日终，持有的买入股指期货合约价值与有价证券市值之和，不得超过基金资产净值的</w:t>
      </w:r>
      <w:r w:rsidRPr="00663A03">
        <w:rPr>
          <w:rFonts w:ascii="Times New Roman" w:hAnsi="宋体" w:cs="Times New Roman" w:hint="eastAsia"/>
          <w:bCs/>
        </w:rPr>
        <w:t>100%</w:t>
      </w:r>
      <w:r w:rsidRPr="00663A03">
        <w:rPr>
          <w:rFonts w:ascii="Times New Roman" w:hAnsi="宋体" w:cs="Times New Roman" w:hint="eastAsia"/>
          <w:bCs/>
        </w:rPr>
        <w:t>，其中，有价证券指股票、债券（不含到期日在一年以内的政府债券）、资产支持证券、买入返售金融资产（不含质押式回购）等；</w:t>
      </w:r>
    </w:p>
    <w:p w14:paraId="7E9E933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3</w:t>
      </w:r>
      <w:r w:rsidRPr="00663A03">
        <w:rPr>
          <w:rFonts w:ascii="Times New Roman" w:hAnsi="宋体" w:cs="Times New Roman" w:hint="eastAsia"/>
          <w:bCs/>
        </w:rPr>
        <w:t>）本基金在任何交易日日终，持有的卖出股指期货合约价值不得超过基金持有的股票总市值的</w:t>
      </w:r>
      <w:r w:rsidRPr="00663A03">
        <w:rPr>
          <w:rFonts w:ascii="Times New Roman" w:hAnsi="宋体" w:cs="Times New Roman" w:hint="eastAsia"/>
          <w:bCs/>
        </w:rPr>
        <w:t>20%</w:t>
      </w:r>
      <w:r w:rsidRPr="00663A03">
        <w:rPr>
          <w:rFonts w:ascii="Times New Roman" w:hAnsi="宋体" w:cs="Times New Roman" w:hint="eastAsia"/>
          <w:bCs/>
        </w:rPr>
        <w:t>；</w:t>
      </w:r>
    </w:p>
    <w:p w14:paraId="2483469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4</w:t>
      </w:r>
      <w:r w:rsidRPr="00663A03">
        <w:rPr>
          <w:rFonts w:ascii="Times New Roman" w:hAnsi="宋体" w:cs="Times New Roman" w:hint="eastAsia"/>
          <w:bCs/>
        </w:rPr>
        <w:t>）本基金所持有的股票市值和买入、卖出股指期货合约价值，合计（轧差计算）应当符合基金合同关于股票投资比例的有关约定；</w:t>
      </w:r>
    </w:p>
    <w:p w14:paraId="5B37774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5</w:t>
      </w:r>
      <w:r w:rsidRPr="00663A03">
        <w:rPr>
          <w:rFonts w:ascii="Times New Roman" w:hAnsi="宋体" w:cs="Times New Roman" w:hint="eastAsia"/>
          <w:bCs/>
        </w:rPr>
        <w:t>）本基金在任何交易日内交易（不包括平仓）的股指期货合约的成交金额不得超过上一交易日基金资产净值的</w:t>
      </w:r>
      <w:r w:rsidRPr="00663A03">
        <w:rPr>
          <w:rFonts w:ascii="Times New Roman" w:hAnsi="宋体" w:cs="Times New Roman" w:hint="eastAsia"/>
          <w:bCs/>
        </w:rPr>
        <w:t>20%</w:t>
      </w:r>
      <w:r w:rsidRPr="00663A03">
        <w:rPr>
          <w:rFonts w:ascii="Times New Roman" w:hAnsi="宋体" w:cs="Times New Roman" w:hint="eastAsia"/>
          <w:bCs/>
        </w:rPr>
        <w:t>；</w:t>
      </w:r>
    </w:p>
    <w:p w14:paraId="79E6CA2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13</w:t>
      </w:r>
      <w:r w:rsidRPr="00663A03">
        <w:rPr>
          <w:rFonts w:ascii="Times New Roman" w:hAnsi="宋体" w:cs="Times New Roman" w:hint="eastAsia"/>
          <w:bCs/>
        </w:rPr>
        <w:t>）本基金参与股票期权交易，应当符合下列投资限制：</w:t>
      </w:r>
    </w:p>
    <w:p w14:paraId="25E56C2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）基金因未平仓的期权合约支付和收取的权利金总额不得超过基金资产净值的</w:t>
      </w:r>
      <w:r w:rsidRPr="00663A03">
        <w:rPr>
          <w:rFonts w:ascii="Times New Roman" w:hAnsi="宋体" w:cs="Times New Roman" w:hint="eastAsia"/>
          <w:bCs/>
        </w:rPr>
        <w:t>10%</w:t>
      </w:r>
      <w:r w:rsidRPr="00663A03">
        <w:rPr>
          <w:rFonts w:ascii="Times New Roman" w:hAnsi="宋体" w:cs="Times New Roman" w:hint="eastAsia"/>
          <w:bCs/>
        </w:rPr>
        <w:t>；</w:t>
      </w:r>
    </w:p>
    <w:p w14:paraId="6D73842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）开仓卖出认购期权的，应持有足额标的证券；开仓卖出认沽期权的，应持有合约行权所需的全额现金或交易所规则认可的可冲抵期权保证金的现金等价物；</w:t>
      </w:r>
    </w:p>
    <w:p w14:paraId="03A2113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3</w:t>
      </w:r>
      <w:r w:rsidRPr="00663A03">
        <w:rPr>
          <w:rFonts w:ascii="Times New Roman" w:hAnsi="宋体" w:cs="Times New Roman" w:hint="eastAsia"/>
          <w:bCs/>
        </w:rPr>
        <w:t>）未平仓的期权合约面值不得超过基金资产净值的</w:t>
      </w:r>
      <w:r w:rsidRPr="00663A03">
        <w:rPr>
          <w:rFonts w:ascii="Times New Roman" w:hAnsi="宋体" w:cs="Times New Roman" w:hint="eastAsia"/>
          <w:bCs/>
        </w:rPr>
        <w:t>20%</w:t>
      </w:r>
      <w:r w:rsidRPr="00663A03">
        <w:rPr>
          <w:rFonts w:ascii="Times New Roman" w:hAnsi="宋体" w:cs="Times New Roman" w:hint="eastAsia"/>
          <w:bCs/>
        </w:rPr>
        <w:t>。其中，合约面值按照行权价乘以合约乘数计算；</w:t>
      </w:r>
    </w:p>
    <w:p w14:paraId="7B7BD37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14</w:t>
      </w:r>
      <w:r w:rsidRPr="00663A03">
        <w:rPr>
          <w:rFonts w:ascii="Times New Roman" w:hAnsi="宋体" w:cs="Times New Roman" w:hint="eastAsia"/>
          <w:bCs/>
        </w:rPr>
        <w:t>）本基金参与转融通证券出借业务的，应当符合下列要求：</w:t>
      </w:r>
    </w:p>
    <w:p w14:paraId="586D07B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）本基金在任何交易日日终，参与转融通证券出借业务的资产不得超过基金资产净值的</w:t>
      </w:r>
      <w:r w:rsidRPr="00663A03">
        <w:rPr>
          <w:rFonts w:ascii="Times New Roman" w:hAnsi="宋体" w:cs="Times New Roman" w:hint="eastAsia"/>
          <w:bCs/>
        </w:rPr>
        <w:t>30%</w:t>
      </w:r>
      <w:r w:rsidRPr="00663A03">
        <w:rPr>
          <w:rFonts w:ascii="Times New Roman" w:hAnsi="宋体" w:cs="Times New Roman" w:hint="eastAsia"/>
          <w:bCs/>
        </w:rPr>
        <w:t>，其中出借期限在</w:t>
      </w:r>
      <w:r w:rsidRPr="00663A03">
        <w:rPr>
          <w:rFonts w:ascii="Times New Roman" w:hAnsi="宋体" w:cs="Times New Roman" w:hint="eastAsia"/>
          <w:bCs/>
        </w:rPr>
        <w:t>10</w:t>
      </w:r>
      <w:r w:rsidRPr="00663A03">
        <w:rPr>
          <w:rFonts w:ascii="Times New Roman" w:hAnsi="宋体" w:cs="Times New Roman" w:hint="eastAsia"/>
          <w:bCs/>
        </w:rPr>
        <w:t>个交易日以上的出借证券应纳入《流动性风险管理规定》所述流动性受限证券的范围；</w:t>
      </w:r>
    </w:p>
    <w:p w14:paraId="69CE2FB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）本基金在任何交易日日终，参与出借业务的单只证券不得超过基金持有该证券总量的</w:t>
      </w:r>
      <w:r w:rsidRPr="00663A03">
        <w:rPr>
          <w:rFonts w:ascii="Times New Roman" w:hAnsi="宋体" w:cs="Times New Roman" w:hint="eastAsia"/>
          <w:bCs/>
        </w:rPr>
        <w:t>50%</w:t>
      </w:r>
      <w:r w:rsidRPr="00663A03">
        <w:rPr>
          <w:rFonts w:ascii="Times New Roman" w:hAnsi="宋体" w:cs="Times New Roman" w:hint="eastAsia"/>
          <w:bCs/>
        </w:rPr>
        <w:t>；</w:t>
      </w:r>
    </w:p>
    <w:p w14:paraId="2609E58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3</w:t>
      </w:r>
      <w:r w:rsidRPr="00663A03">
        <w:rPr>
          <w:rFonts w:ascii="Times New Roman" w:hAnsi="宋体" w:cs="Times New Roman" w:hint="eastAsia"/>
          <w:bCs/>
        </w:rPr>
        <w:t>）证券出借的平均剩余期限不得超过</w:t>
      </w:r>
      <w:r w:rsidRPr="00663A03">
        <w:rPr>
          <w:rFonts w:ascii="Times New Roman" w:hAnsi="宋体" w:cs="Times New Roman" w:hint="eastAsia"/>
          <w:bCs/>
        </w:rPr>
        <w:t>30</w:t>
      </w:r>
      <w:r w:rsidRPr="00663A03">
        <w:rPr>
          <w:rFonts w:ascii="Times New Roman" w:hAnsi="宋体" w:cs="Times New Roman" w:hint="eastAsia"/>
          <w:bCs/>
        </w:rPr>
        <w:t>天，平均剩余期限按市值加权平均计算；</w:t>
      </w:r>
    </w:p>
    <w:p w14:paraId="64B69E7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4</w:t>
      </w:r>
      <w:r w:rsidRPr="00663A03">
        <w:rPr>
          <w:rFonts w:ascii="Times New Roman" w:hAnsi="宋体" w:cs="Times New Roman" w:hint="eastAsia"/>
          <w:bCs/>
        </w:rPr>
        <w:t>）最近</w:t>
      </w:r>
      <w:r w:rsidRPr="00663A03">
        <w:rPr>
          <w:rFonts w:ascii="Times New Roman" w:hAnsi="宋体" w:cs="Times New Roman" w:hint="eastAsia"/>
          <w:bCs/>
        </w:rPr>
        <w:t>6</w:t>
      </w:r>
      <w:r w:rsidRPr="00663A03">
        <w:rPr>
          <w:rFonts w:ascii="Times New Roman" w:hAnsi="宋体" w:cs="Times New Roman" w:hint="eastAsia"/>
          <w:bCs/>
        </w:rPr>
        <w:t>个月内日均基金资产净值不得低于</w:t>
      </w:r>
      <w:r w:rsidRPr="00663A03">
        <w:rPr>
          <w:rFonts w:ascii="Times New Roman" w:hAnsi="宋体" w:cs="Times New Roman" w:hint="eastAsia"/>
          <w:bCs/>
        </w:rPr>
        <w:t>2</w:t>
      </w:r>
      <w:r w:rsidRPr="00663A03">
        <w:rPr>
          <w:rFonts w:ascii="Times New Roman" w:hAnsi="宋体" w:cs="Times New Roman" w:hint="eastAsia"/>
          <w:bCs/>
        </w:rPr>
        <w:t>亿元；</w:t>
      </w:r>
    </w:p>
    <w:p w14:paraId="4CEB21B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15</w:t>
      </w:r>
      <w:r w:rsidRPr="00663A03">
        <w:rPr>
          <w:rFonts w:ascii="Times New Roman" w:hAnsi="宋体" w:cs="Times New Roman" w:hint="eastAsia"/>
          <w:bCs/>
        </w:rPr>
        <w:t>）本基金投资存托凭证的比例限制依照境内上市交易的股票执行，与境内上市交易的股票合并计算，法律法规或监管部门另有要求的除外；</w:t>
      </w:r>
    </w:p>
    <w:p w14:paraId="7378359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16</w:t>
      </w:r>
      <w:r w:rsidRPr="00663A03">
        <w:rPr>
          <w:rFonts w:ascii="Times New Roman" w:hAnsi="宋体" w:cs="Times New Roman" w:hint="eastAsia"/>
          <w:bCs/>
        </w:rPr>
        <w:t>）本基金参与融资，每个交易日日终，本基金持有的融资买入股票与其他有价证券市值之和，不得超过基金资产净值的</w:t>
      </w:r>
      <w:r w:rsidRPr="00663A03">
        <w:rPr>
          <w:rFonts w:ascii="Times New Roman" w:hAnsi="宋体" w:cs="Times New Roman" w:hint="eastAsia"/>
          <w:bCs/>
        </w:rPr>
        <w:t>95%</w:t>
      </w:r>
      <w:r w:rsidRPr="00663A03">
        <w:rPr>
          <w:rFonts w:ascii="Times New Roman" w:hAnsi="宋体" w:cs="Times New Roman" w:hint="eastAsia"/>
          <w:bCs/>
        </w:rPr>
        <w:t>；</w:t>
      </w:r>
    </w:p>
    <w:p w14:paraId="65AC440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17</w:t>
      </w:r>
      <w:r w:rsidRPr="00663A03">
        <w:rPr>
          <w:rFonts w:ascii="Times New Roman" w:hAnsi="宋体" w:cs="Times New Roman" w:hint="eastAsia"/>
          <w:bCs/>
        </w:rPr>
        <w:t>）法律法规及中国证监会规定的和《基金合同》约定的其他投资限制。</w:t>
      </w:r>
    </w:p>
    <w:p w14:paraId="1CBADC0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因证券</w:t>
      </w:r>
      <w:r w:rsidRPr="00663A03">
        <w:rPr>
          <w:rFonts w:ascii="Times New Roman" w:hAnsi="宋体" w:cs="Times New Roman" w:hint="eastAsia"/>
          <w:bCs/>
        </w:rPr>
        <w:t>/</w:t>
      </w:r>
      <w:r w:rsidRPr="00663A03">
        <w:rPr>
          <w:rFonts w:ascii="Times New Roman" w:hAnsi="宋体" w:cs="Times New Roman" w:hint="eastAsia"/>
          <w:bCs/>
        </w:rPr>
        <w:t>期货市场波动、证券发行人合并、基金规模变动、标的指数成份股调整、标的指数成份股流动性限制、目标</w:t>
      </w:r>
      <w:r w:rsidRPr="00663A03">
        <w:rPr>
          <w:rFonts w:ascii="Times New Roman" w:hAnsi="宋体" w:cs="Times New Roman" w:hint="eastAsia"/>
          <w:bCs/>
        </w:rPr>
        <w:t>ETF</w:t>
      </w:r>
      <w:r w:rsidRPr="00663A03">
        <w:rPr>
          <w:rFonts w:ascii="Times New Roman" w:hAnsi="宋体" w:cs="Times New Roman" w:hint="eastAsia"/>
          <w:bCs/>
        </w:rPr>
        <w:t>暂停申购、赎回或二级市场交易停牌等基金管理人之外的因素致使基金投资比例不符合上述第（</w:t>
      </w:r>
      <w:r w:rsidRPr="00663A03">
        <w:rPr>
          <w:rFonts w:ascii="Times New Roman" w:hAnsi="宋体" w:cs="Times New Roman" w:hint="eastAsia"/>
          <w:bCs/>
        </w:rPr>
        <w:t>1</w:t>
      </w:r>
      <w:r w:rsidRPr="00663A03">
        <w:rPr>
          <w:rFonts w:ascii="Times New Roman" w:hAnsi="宋体" w:cs="Times New Roman" w:hint="eastAsia"/>
          <w:bCs/>
        </w:rPr>
        <w:t>）项规定投资比例的，基金管理人应当在</w:t>
      </w:r>
      <w:r w:rsidRPr="00663A03">
        <w:rPr>
          <w:rFonts w:ascii="Times New Roman" w:hAnsi="宋体" w:cs="Times New Roman" w:hint="eastAsia"/>
          <w:bCs/>
        </w:rPr>
        <w:t>20</w:t>
      </w:r>
      <w:r w:rsidRPr="00663A03">
        <w:rPr>
          <w:rFonts w:ascii="Times New Roman" w:hAnsi="宋体" w:cs="Times New Roman" w:hint="eastAsia"/>
          <w:bCs/>
        </w:rPr>
        <w:t>个交易日内进行调整，但中国证监会规定的特殊情形除外；除上述第（</w:t>
      </w:r>
      <w:r w:rsidRPr="00663A03">
        <w:rPr>
          <w:rFonts w:ascii="Times New Roman" w:hAnsi="宋体" w:cs="Times New Roman" w:hint="eastAsia"/>
          <w:bCs/>
        </w:rPr>
        <w:t>1</w:t>
      </w: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w:t>
      </w:r>
      <w:r w:rsidRPr="00663A03">
        <w:rPr>
          <w:rFonts w:ascii="Times New Roman" w:hAnsi="宋体" w:cs="Times New Roman" w:hint="eastAsia"/>
          <w:bCs/>
        </w:rPr>
        <w:t>7</w:t>
      </w:r>
      <w:r w:rsidRPr="00663A03">
        <w:rPr>
          <w:rFonts w:ascii="Times New Roman" w:hAnsi="宋体" w:cs="Times New Roman" w:hint="eastAsia"/>
          <w:bCs/>
        </w:rPr>
        <w:t>）、（</w:t>
      </w:r>
      <w:r w:rsidRPr="00663A03">
        <w:rPr>
          <w:rFonts w:ascii="Times New Roman" w:hAnsi="宋体" w:cs="Times New Roman" w:hint="eastAsia"/>
          <w:bCs/>
        </w:rPr>
        <w:t>9</w:t>
      </w:r>
      <w:r w:rsidRPr="00663A03">
        <w:rPr>
          <w:rFonts w:ascii="Times New Roman" w:hAnsi="宋体" w:cs="Times New Roman" w:hint="eastAsia"/>
          <w:bCs/>
        </w:rPr>
        <w:t>）、（</w:t>
      </w:r>
      <w:r w:rsidRPr="00663A03">
        <w:rPr>
          <w:rFonts w:ascii="Times New Roman" w:hAnsi="宋体" w:cs="Times New Roman" w:hint="eastAsia"/>
          <w:bCs/>
        </w:rPr>
        <w:t>10</w:t>
      </w:r>
      <w:r w:rsidRPr="00663A03">
        <w:rPr>
          <w:rFonts w:ascii="Times New Roman" w:hAnsi="宋体" w:cs="Times New Roman" w:hint="eastAsia"/>
          <w:bCs/>
        </w:rPr>
        <w:t>）、（</w:t>
      </w:r>
      <w:r w:rsidRPr="00663A03">
        <w:rPr>
          <w:rFonts w:ascii="Times New Roman" w:hAnsi="宋体" w:cs="Times New Roman" w:hint="eastAsia"/>
          <w:bCs/>
        </w:rPr>
        <w:t>14</w:t>
      </w:r>
      <w:r w:rsidRPr="00663A03">
        <w:rPr>
          <w:rFonts w:ascii="Times New Roman" w:hAnsi="宋体" w:cs="Times New Roman" w:hint="eastAsia"/>
          <w:bCs/>
        </w:rPr>
        <w:t>）项另有约定外，因证券</w:t>
      </w:r>
      <w:r w:rsidRPr="00663A03">
        <w:rPr>
          <w:rFonts w:ascii="Times New Roman" w:hAnsi="宋体" w:cs="Times New Roman" w:hint="eastAsia"/>
          <w:bCs/>
        </w:rPr>
        <w:t>/</w:t>
      </w:r>
      <w:r w:rsidRPr="00663A03">
        <w:rPr>
          <w:rFonts w:ascii="Times New Roman" w:hAnsi="宋体" w:cs="Times New Roman" w:hint="eastAsia"/>
          <w:bCs/>
        </w:rPr>
        <w:t>期货市场波动、证券发行人合并、基金规模变动、标的指数成份股调整、标的指数成份股流动性限制、目标</w:t>
      </w:r>
      <w:r w:rsidRPr="00663A03">
        <w:rPr>
          <w:rFonts w:ascii="Times New Roman" w:hAnsi="宋体" w:cs="Times New Roman" w:hint="eastAsia"/>
          <w:bCs/>
        </w:rPr>
        <w:t xml:space="preserve"> ETF </w:t>
      </w:r>
      <w:r w:rsidRPr="00663A03">
        <w:rPr>
          <w:rFonts w:ascii="Times New Roman" w:hAnsi="宋体" w:cs="Times New Roman" w:hint="eastAsia"/>
          <w:bCs/>
        </w:rPr>
        <w:t>暂停申购、赎回或二级市场交易停牌等基金管理人之外的因素致使基金投资比例不符合上述规定投资比例的，基金管理人应当在</w:t>
      </w:r>
      <w:r w:rsidRPr="00663A03">
        <w:rPr>
          <w:rFonts w:ascii="Times New Roman" w:hAnsi="宋体" w:cs="Times New Roman" w:hint="eastAsia"/>
          <w:bCs/>
        </w:rPr>
        <w:t>10</w:t>
      </w:r>
      <w:r w:rsidRPr="00663A03">
        <w:rPr>
          <w:rFonts w:ascii="Times New Roman" w:hAnsi="宋体" w:cs="Times New Roman" w:hint="eastAsia"/>
          <w:bCs/>
        </w:rPr>
        <w:t>个交易日内进行调整，但中国证监会规定的特殊情形除外。法律法规另有规定的，从其规定。</w:t>
      </w:r>
    </w:p>
    <w:p w14:paraId="479781F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本基金参与转融通证券出借业务，因证券</w:t>
      </w:r>
      <w:r w:rsidRPr="00663A03">
        <w:rPr>
          <w:rFonts w:ascii="Times New Roman" w:hAnsi="宋体" w:cs="Times New Roman" w:hint="eastAsia"/>
          <w:bCs/>
        </w:rPr>
        <w:t>/</w:t>
      </w:r>
      <w:r w:rsidRPr="00663A03">
        <w:rPr>
          <w:rFonts w:ascii="Times New Roman" w:hAnsi="宋体" w:cs="Times New Roman" w:hint="eastAsia"/>
          <w:bCs/>
        </w:rPr>
        <w:t>期货市场波动、证券发行人合并、基金规模变动等基金管理人之外的因素致使基金投资不符合上述第（</w:t>
      </w:r>
      <w:r w:rsidRPr="00663A03">
        <w:rPr>
          <w:rFonts w:ascii="Times New Roman" w:hAnsi="宋体" w:cs="Times New Roman" w:hint="eastAsia"/>
          <w:bCs/>
        </w:rPr>
        <w:t>14</w:t>
      </w:r>
      <w:r w:rsidRPr="00663A03">
        <w:rPr>
          <w:rFonts w:ascii="Times New Roman" w:hAnsi="宋体" w:cs="Times New Roman" w:hint="eastAsia"/>
          <w:bCs/>
        </w:rPr>
        <w:t>）项规定的，基金管理人不得新增出借业务。</w:t>
      </w:r>
    </w:p>
    <w:p w14:paraId="1A62760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基金管理人应当自基金合同生效之日起</w:t>
      </w:r>
      <w:r w:rsidRPr="00663A03">
        <w:rPr>
          <w:rFonts w:ascii="Times New Roman" w:hAnsi="宋体" w:cs="Times New Roman" w:hint="eastAsia"/>
          <w:bCs/>
        </w:rPr>
        <w:t>6</w:t>
      </w:r>
      <w:r w:rsidRPr="00663A03">
        <w:rPr>
          <w:rFonts w:ascii="Times New Roman" w:hAnsi="宋体" w:cs="Times New Roman" w:hint="eastAsia"/>
          <w:bCs/>
        </w:rPr>
        <w:t>个月内使基金的投资组合比例符合基金合同的有关约定。在上述期间内，本基金的投资范围、投资策略应当符合基金合同的约定。基金托管人对基金的投资的监督与检查自本基金合同生效之日起开始。</w:t>
      </w:r>
    </w:p>
    <w:p w14:paraId="4E57412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法律法规或监管部门取消或变更上述限制，如适用于本基金，基金管理人在履行适当程序后，则本基金投资不再受相关限制或按变更后的规定执行。</w:t>
      </w:r>
    </w:p>
    <w:p w14:paraId="046ABDF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、禁止行为</w:t>
      </w:r>
    </w:p>
    <w:p w14:paraId="0E05CBC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为维护基金份额持有人的合法权益，基金财产不得用于下列投资或者活动：</w:t>
      </w:r>
    </w:p>
    <w:p w14:paraId="0F67432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）承销证券；</w:t>
      </w:r>
    </w:p>
    <w:p w14:paraId="0786CE1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）违反规定向他人贷款或者提供担保；</w:t>
      </w:r>
    </w:p>
    <w:p w14:paraId="599CE2F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3</w:t>
      </w:r>
      <w:r w:rsidRPr="00663A03">
        <w:rPr>
          <w:rFonts w:ascii="Times New Roman" w:hAnsi="宋体" w:cs="Times New Roman" w:hint="eastAsia"/>
          <w:bCs/>
        </w:rPr>
        <w:t>）从事承担无限责任的投资；</w:t>
      </w:r>
    </w:p>
    <w:p w14:paraId="72BB96F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4</w:t>
      </w:r>
      <w:r w:rsidRPr="00663A03">
        <w:rPr>
          <w:rFonts w:ascii="Times New Roman" w:hAnsi="宋体" w:cs="Times New Roman" w:hint="eastAsia"/>
          <w:bCs/>
        </w:rPr>
        <w:t>）买卖除目标</w:t>
      </w:r>
      <w:r w:rsidRPr="00663A03">
        <w:rPr>
          <w:rFonts w:ascii="Times New Roman" w:hAnsi="宋体" w:cs="Times New Roman" w:hint="eastAsia"/>
          <w:bCs/>
        </w:rPr>
        <w:t>ETF</w:t>
      </w:r>
      <w:r w:rsidRPr="00663A03">
        <w:rPr>
          <w:rFonts w:ascii="Times New Roman" w:hAnsi="宋体" w:cs="Times New Roman" w:hint="eastAsia"/>
          <w:bCs/>
        </w:rPr>
        <w:t>以外的其他基金份额，但是中国证监会另有规定的除外；</w:t>
      </w:r>
    </w:p>
    <w:p w14:paraId="219C346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5</w:t>
      </w:r>
      <w:r w:rsidRPr="00663A03">
        <w:rPr>
          <w:rFonts w:ascii="Times New Roman" w:hAnsi="宋体" w:cs="Times New Roman" w:hint="eastAsia"/>
          <w:bCs/>
        </w:rPr>
        <w:t>）向其基金管理人、基金托管人出资；</w:t>
      </w:r>
      <w:r w:rsidRPr="00663A03">
        <w:rPr>
          <w:rFonts w:ascii="Times New Roman" w:hAnsi="宋体" w:cs="Times New Roman" w:hint="eastAsia"/>
          <w:bCs/>
        </w:rPr>
        <w:t xml:space="preserve"> </w:t>
      </w:r>
    </w:p>
    <w:p w14:paraId="00938B8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6</w:t>
      </w:r>
      <w:r w:rsidRPr="00663A03">
        <w:rPr>
          <w:rFonts w:ascii="Times New Roman" w:hAnsi="宋体" w:cs="Times New Roman" w:hint="eastAsia"/>
          <w:bCs/>
        </w:rPr>
        <w:t>）从事内幕交易、操纵证券交易价格及其他不正当的证券交易活动；</w:t>
      </w:r>
      <w:r w:rsidRPr="00663A03">
        <w:rPr>
          <w:rFonts w:ascii="Times New Roman" w:hAnsi="宋体" w:cs="Times New Roman" w:hint="eastAsia"/>
          <w:bCs/>
        </w:rPr>
        <w:t xml:space="preserve"> </w:t>
      </w:r>
    </w:p>
    <w:p w14:paraId="375C2BF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7</w:t>
      </w:r>
      <w:r w:rsidRPr="00663A03">
        <w:rPr>
          <w:rFonts w:ascii="Times New Roman" w:hAnsi="宋体" w:cs="Times New Roman" w:hint="eastAsia"/>
          <w:bCs/>
        </w:rPr>
        <w:t>）法律、行政法规和中国证监会规定禁止的其他活动。</w:t>
      </w:r>
    </w:p>
    <w:p w14:paraId="660F2A2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ED0D86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法律、行政法规或监管部门取消或变更上述限制，如适用于本基金，基金管理人在履行适当程序后，则本基金投资不再受相关限制或按变更后的规定执行。</w:t>
      </w:r>
    </w:p>
    <w:p w14:paraId="5D0BF1F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p>
    <w:p w14:paraId="2E4F64D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六、基金资产净值的计算方法和公告方式</w:t>
      </w:r>
    </w:p>
    <w:p w14:paraId="36DC04C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、各类基金份额净值是按照每个估值日闭市后，各类基金份额的基金资产净值除以当日该类基金份额的余额数量计算，均精确到</w:t>
      </w:r>
      <w:r w:rsidRPr="00663A03">
        <w:rPr>
          <w:rFonts w:ascii="Times New Roman" w:hAnsi="宋体" w:cs="Times New Roman" w:hint="eastAsia"/>
          <w:bCs/>
        </w:rPr>
        <w:t>0.0001</w:t>
      </w:r>
      <w:r w:rsidRPr="00663A03">
        <w:rPr>
          <w:rFonts w:ascii="Times New Roman" w:hAnsi="宋体" w:cs="Times New Roman" w:hint="eastAsia"/>
          <w:bCs/>
        </w:rPr>
        <w:t>元，小数点后第</w:t>
      </w:r>
      <w:r w:rsidRPr="00663A03">
        <w:rPr>
          <w:rFonts w:ascii="Times New Roman" w:hAnsi="宋体" w:cs="Times New Roman" w:hint="eastAsia"/>
          <w:bCs/>
        </w:rPr>
        <w:t>5</w:t>
      </w:r>
      <w:r w:rsidRPr="00663A03">
        <w:rPr>
          <w:rFonts w:ascii="Times New Roman" w:hAnsi="宋体" w:cs="Times New Roman" w:hint="eastAsia"/>
          <w:bCs/>
        </w:rPr>
        <w:t>位四舍五入。基金管理人可以设立大额赎回情形下的净值精度应急调整机制。国家另有规定的，从其规定。</w:t>
      </w:r>
    </w:p>
    <w:p w14:paraId="31AF8E5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基金管理人应每个估值日计算基金资产净值及各类基金份额的基金份额净值，并按规定披露。</w:t>
      </w:r>
    </w:p>
    <w:p w14:paraId="36F3C5B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基金管理人应每个估值日对基金资产估值，但基金管理人根据法律法规或本基金合同的规定暂停估值时除外。基金管理人每个估值日对基金资产估值后，将基金资产净值、各类基金份额的基金份额净值结果发送基金托管人，经基金托管人复核无误后，由基金管理人按规定对外公布。</w:t>
      </w:r>
    </w:p>
    <w:p w14:paraId="40F3F25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p>
    <w:p w14:paraId="69A4C1A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七、基金合同的变更、终止与基金财产的清算</w:t>
      </w:r>
    </w:p>
    <w:p w14:paraId="70A7146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（一）《基金合同》的变更</w:t>
      </w:r>
    </w:p>
    <w:p w14:paraId="54C6148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经履行适当程序，由基金管理人和基金托管人同意后变更并公告。</w:t>
      </w:r>
    </w:p>
    <w:p w14:paraId="4E0F1EF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、关于《基金合同》变更的基金份额持有人大会决议自生效后方可执行，自决议生效后两日内在规定媒介公告。</w:t>
      </w:r>
    </w:p>
    <w:p w14:paraId="3524D1D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（二）《基金合同》的终止事由</w:t>
      </w:r>
    </w:p>
    <w:p w14:paraId="6092D73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有下列情形之一的，经履行相关程序后，《基金合同》应当终止：</w:t>
      </w:r>
    </w:p>
    <w:p w14:paraId="7C57E02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、基金份额持有人大会决定终止的；</w:t>
      </w:r>
    </w:p>
    <w:p w14:paraId="523E28D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、基金管理人、基金托管人职责终止，在</w:t>
      </w:r>
      <w:r w:rsidRPr="00663A03">
        <w:rPr>
          <w:rFonts w:ascii="Times New Roman" w:hAnsi="宋体" w:cs="Times New Roman" w:hint="eastAsia"/>
          <w:bCs/>
        </w:rPr>
        <w:t>6</w:t>
      </w:r>
      <w:r w:rsidRPr="00663A03">
        <w:rPr>
          <w:rFonts w:ascii="Times New Roman" w:hAnsi="宋体" w:cs="Times New Roman" w:hint="eastAsia"/>
          <w:bCs/>
        </w:rPr>
        <w:t>个月内没有新基金管理人、新基金托管人承接的；</w:t>
      </w:r>
    </w:p>
    <w:p w14:paraId="35B13AF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3</w:t>
      </w:r>
      <w:r w:rsidRPr="00663A03">
        <w:rPr>
          <w:rFonts w:ascii="Times New Roman" w:hAnsi="宋体" w:cs="Times New Roman" w:hint="eastAsia"/>
          <w:bCs/>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B2ECE9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4</w:t>
      </w:r>
      <w:r w:rsidRPr="00663A03">
        <w:rPr>
          <w:rFonts w:ascii="Times New Roman" w:hAnsi="宋体" w:cs="Times New Roman" w:hint="eastAsia"/>
          <w:bCs/>
        </w:rPr>
        <w:t>、《基金合同》约定的其他情形；</w:t>
      </w:r>
    </w:p>
    <w:p w14:paraId="7DB7988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5</w:t>
      </w:r>
      <w:r w:rsidRPr="00663A03">
        <w:rPr>
          <w:rFonts w:ascii="Times New Roman" w:hAnsi="宋体" w:cs="Times New Roman" w:hint="eastAsia"/>
          <w:bCs/>
        </w:rPr>
        <w:t>、相关法律法规和中国证监会规定的其他情况。</w:t>
      </w:r>
    </w:p>
    <w:p w14:paraId="07630C4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（三）基金财产的清算</w:t>
      </w:r>
    </w:p>
    <w:p w14:paraId="7DDB7B5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、基金财产清算小组：自出现《基金合同》终止事由之日起</w:t>
      </w:r>
      <w:r w:rsidRPr="00663A03">
        <w:rPr>
          <w:rFonts w:ascii="Times New Roman" w:hAnsi="宋体" w:cs="Times New Roman" w:hint="eastAsia"/>
          <w:bCs/>
        </w:rPr>
        <w:t>30</w:t>
      </w:r>
      <w:r w:rsidRPr="00663A03">
        <w:rPr>
          <w:rFonts w:ascii="Times New Roman" w:hAnsi="宋体" w:cs="Times New Roman" w:hint="eastAsia"/>
          <w:bCs/>
        </w:rPr>
        <w:t>个工作日内成立清算小组，基金管理人组织基金财产清算小组并在中国证监会的监督下进行基金清算。</w:t>
      </w:r>
    </w:p>
    <w:p w14:paraId="6817167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、基金财产清算小组组成：基金财产清算小组成员由基金管理人、基金托管人、符合《证券法》规定的注册会计师、律师以及中国证监会指定的人员组成。基金财产清算小组可以聘用必要的工作人员。</w:t>
      </w:r>
    </w:p>
    <w:p w14:paraId="58C4A71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3</w:t>
      </w:r>
      <w:r w:rsidRPr="00663A03">
        <w:rPr>
          <w:rFonts w:ascii="Times New Roman" w:hAnsi="宋体" w:cs="Times New Roman" w:hint="eastAsia"/>
          <w:bCs/>
        </w:rPr>
        <w:t>、基金财产清算小组职责：基金财产清算小组负责基金财产的保管、清理、估价、变现和分配。基金财产清算小组可以依法进行必要的民事活动。</w:t>
      </w:r>
    </w:p>
    <w:p w14:paraId="0B4C215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4</w:t>
      </w:r>
      <w:r w:rsidRPr="00663A03">
        <w:rPr>
          <w:rFonts w:ascii="Times New Roman" w:hAnsi="宋体" w:cs="Times New Roman" w:hint="eastAsia"/>
          <w:bCs/>
        </w:rPr>
        <w:t>、基金财产清算程序：</w:t>
      </w:r>
    </w:p>
    <w:p w14:paraId="02A7A84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1</w:t>
      </w:r>
      <w:r w:rsidRPr="00663A03">
        <w:rPr>
          <w:rFonts w:ascii="Times New Roman" w:hAnsi="宋体" w:cs="Times New Roman" w:hint="eastAsia"/>
          <w:bCs/>
        </w:rPr>
        <w:t>）《基金合同》终止情形出现时，由基金财产清算小组统一接管基金；</w:t>
      </w:r>
    </w:p>
    <w:p w14:paraId="74EE681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2</w:t>
      </w:r>
      <w:r w:rsidRPr="00663A03">
        <w:rPr>
          <w:rFonts w:ascii="Times New Roman" w:hAnsi="宋体" w:cs="Times New Roman" w:hint="eastAsia"/>
          <w:bCs/>
        </w:rPr>
        <w:t>）对基金财产和债权债务进行清理和确认；</w:t>
      </w:r>
    </w:p>
    <w:p w14:paraId="791BB662"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3</w:t>
      </w:r>
      <w:r w:rsidRPr="00663A03">
        <w:rPr>
          <w:rFonts w:ascii="Times New Roman" w:hAnsi="宋体" w:cs="Times New Roman" w:hint="eastAsia"/>
          <w:bCs/>
        </w:rPr>
        <w:t>）对基金财产进行估值和变现；</w:t>
      </w:r>
    </w:p>
    <w:p w14:paraId="3730CCC1"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4</w:t>
      </w:r>
      <w:r w:rsidRPr="00663A03">
        <w:rPr>
          <w:rFonts w:ascii="Times New Roman" w:hAnsi="宋体" w:cs="Times New Roman" w:hint="eastAsia"/>
          <w:bCs/>
        </w:rPr>
        <w:t>）制作清算报告；</w:t>
      </w:r>
    </w:p>
    <w:p w14:paraId="662BEB6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5</w:t>
      </w:r>
      <w:r w:rsidRPr="00663A03">
        <w:rPr>
          <w:rFonts w:ascii="Times New Roman" w:hAnsi="宋体" w:cs="Times New Roman" w:hint="eastAsia"/>
          <w:bCs/>
        </w:rPr>
        <w:t>）聘请符合《证券法》规定的会计师事务所对清算报告进行外部审计，聘请律师事务所对清算报告出具法律意见书；</w:t>
      </w:r>
    </w:p>
    <w:p w14:paraId="3DF24F0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6</w:t>
      </w:r>
      <w:r w:rsidRPr="00663A03">
        <w:rPr>
          <w:rFonts w:ascii="Times New Roman" w:hAnsi="宋体" w:cs="Times New Roman" w:hint="eastAsia"/>
          <w:bCs/>
        </w:rPr>
        <w:t>）将清算报告报中国证监会备案并公告；</w:t>
      </w:r>
    </w:p>
    <w:p w14:paraId="13CE37AE"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w:t>
      </w:r>
      <w:r w:rsidRPr="00663A03">
        <w:rPr>
          <w:rFonts w:ascii="Times New Roman" w:hAnsi="宋体" w:cs="Times New Roman" w:hint="eastAsia"/>
          <w:bCs/>
        </w:rPr>
        <w:t>7</w:t>
      </w:r>
      <w:r w:rsidRPr="00663A03">
        <w:rPr>
          <w:rFonts w:ascii="Times New Roman" w:hAnsi="宋体" w:cs="Times New Roman" w:hint="eastAsia"/>
          <w:bCs/>
        </w:rPr>
        <w:t>）对基金剩余财产进行分配。</w:t>
      </w:r>
    </w:p>
    <w:p w14:paraId="693ABEE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5</w:t>
      </w:r>
      <w:r w:rsidRPr="00663A03">
        <w:rPr>
          <w:rFonts w:ascii="Times New Roman" w:hAnsi="宋体" w:cs="Times New Roman" w:hint="eastAsia"/>
          <w:bCs/>
        </w:rPr>
        <w:t>、基金财产清算的期限为</w:t>
      </w:r>
      <w:r w:rsidRPr="00663A03">
        <w:rPr>
          <w:rFonts w:ascii="Times New Roman" w:hAnsi="宋体" w:cs="Times New Roman" w:hint="eastAsia"/>
          <w:bCs/>
        </w:rPr>
        <w:t>6</w:t>
      </w:r>
      <w:r w:rsidRPr="00663A03">
        <w:rPr>
          <w:rFonts w:ascii="Times New Roman" w:hAnsi="宋体" w:cs="Times New Roman" w:hint="eastAsia"/>
          <w:bCs/>
        </w:rPr>
        <w:t>个月，但因本基金所持证券的流动性受到限制而不能及时变现的，清算期限相应顺延。</w:t>
      </w:r>
    </w:p>
    <w:p w14:paraId="0DBAF366"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6</w:t>
      </w:r>
      <w:r w:rsidRPr="00663A03">
        <w:rPr>
          <w:rFonts w:ascii="Times New Roman" w:hAnsi="宋体" w:cs="Times New Roman" w:hint="eastAsia"/>
          <w:bCs/>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5818421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（四）清算费用</w:t>
      </w:r>
    </w:p>
    <w:p w14:paraId="35ACEC8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清算费用是指基金财产清算小组在进行基金清算过程中发生的所有合理费用，清算费用由基金财产清算小组优先从基金财产中支付。</w:t>
      </w:r>
    </w:p>
    <w:p w14:paraId="45FB1EBC"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（五）基金财产清算剩余资产的分配</w:t>
      </w:r>
    </w:p>
    <w:p w14:paraId="4DD6D96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465F2CB8"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（六）基金财产清算的公告</w:t>
      </w:r>
    </w:p>
    <w:p w14:paraId="4C4362B0"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663A03">
        <w:rPr>
          <w:rFonts w:ascii="Times New Roman" w:hAnsi="宋体" w:cs="Times New Roman" w:hint="eastAsia"/>
          <w:bCs/>
        </w:rPr>
        <w:t>5</w:t>
      </w:r>
      <w:r w:rsidRPr="00663A03">
        <w:rPr>
          <w:rFonts w:ascii="Times New Roman" w:hAnsi="宋体" w:cs="Times New Roman" w:hint="eastAsia"/>
          <w:bCs/>
        </w:rPr>
        <w:t>个工作日内由基金财产清算小组进行公告，基金财产清算小组应当将清算报告登载在规定网站上，并将清算报告提示性公告登载在规定报刊上。</w:t>
      </w:r>
    </w:p>
    <w:p w14:paraId="502DDD9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（七）基金财产清算账册及文件的保存</w:t>
      </w:r>
    </w:p>
    <w:p w14:paraId="0A9ADA0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基金财产清算账册及有关文件由基金托管人保存，保存期限不少于法律法规规定的最低期限。</w:t>
      </w:r>
    </w:p>
    <w:p w14:paraId="71AAEECB"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p>
    <w:p w14:paraId="4597E10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八、争议解决方式</w:t>
      </w:r>
    </w:p>
    <w:p w14:paraId="6EA17A93"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决定，仲裁费用、律师费用由败诉方承担。</w:t>
      </w:r>
    </w:p>
    <w:p w14:paraId="43E844D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争议处理期间，基金合同当事人应恪守各自的职责，继续忠实、勤勉、尽责地履行基金合同规定的义务，维护基金份额持有人的合法权益。</w:t>
      </w:r>
    </w:p>
    <w:p w14:paraId="40A624F4"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《基金合同》受中国法律（为本基金合同之目的，不含港澳台地区法律）管辖并从其解释。</w:t>
      </w:r>
    </w:p>
    <w:p w14:paraId="40E4829A"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p>
    <w:p w14:paraId="19731F3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九、基金合同的效力</w:t>
      </w:r>
    </w:p>
    <w:p w14:paraId="70826A6F"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《基金合同》是约定基金合同当事人之间权利义务关系的法律文件。</w:t>
      </w:r>
    </w:p>
    <w:p w14:paraId="563A0727"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1</w:t>
      </w:r>
      <w:r w:rsidRPr="00663A03">
        <w:rPr>
          <w:rFonts w:ascii="Times New Roman" w:hAnsi="宋体" w:cs="Times New Roman" w:hint="eastAsia"/>
          <w:bCs/>
        </w:rPr>
        <w:t>、《基金合同》经基金管理人、基金托管人双方盖章以及双方法定代表人或授权代表签字或签章并在募集结束后经基金管理人向中国证监会办理基金备案手续，并经中国证监会书面确认后生效。</w:t>
      </w:r>
    </w:p>
    <w:p w14:paraId="0B31537D"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2</w:t>
      </w:r>
      <w:r w:rsidRPr="00663A03">
        <w:rPr>
          <w:rFonts w:ascii="Times New Roman" w:hAnsi="宋体" w:cs="Times New Roman" w:hint="eastAsia"/>
          <w:bCs/>
        </w:rPr>
        <w:t>、《基金合同》的有效期自其生效之日起至基金财产清算结果报中国证监会备案并公告之日止。</w:t>
      </w:r>
    </w:p>
    <w:p w14:paraId="7E5CA099"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3</w:t>
      </w:r>
      <w:r w:rsidRPr="00663A03">
        <w:rPr>
          <w:rFonts w:ascii="Times New Roman" w:hAnsi="宋体" w:cs="Times New Roman" w:hint="eastAsia"/>
          <w:bCs/>
        </w:rPr>
        <w:t>、《基金合同》自生效之日起对包括基金管理人、基金托管人和基金份额持有人在内的《基金合同》各方当事人具有同等的法律约束力。</w:t>
      </w:r>
    </w:p>
    <w:p w14:paraId="428A04A5" w14:textId="77777777" w:rsidR="00663A03" w:rsidRPr="00663A03"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4</w:t>
      </w:r>
      <w:r w:rsidRPr="00663A03">
        <w:rPr>
          <w:rFonts w:ascii="Times New Roman" w:hAnsi="宋体" w:cs="Times New Roman" w:hint="eastAsia"/>
          <w:bCs/>
        </w:rPr>
        <w:t>、《基金合同》正本一式三份，除上报有关监管机构一份外，基金管理人、基金托管人各持有一份，每份具有同等的法律效力。</w:t>
      </w:r>
    </w:p>
    <w:p w14:paraId="0F536F3C" w14:textId="265088A4" w:rsidR="00AE3DA6" w:rsidRDefault="00663A03" w:rsidP="00663A03">
      <w:pPr>
        <w:autoSpaceDE w:val="0"/>
        <w:autoSpaceDN w:val="0"/>
        <w:adjustRightInd w:val="0"/>
        <w:snapToGrid w:val="0"/>
        <w:spacing w:line="360" w:lineRule="auto"/>
        <w:ind w:firstLineChars="200" w:firstLine="420"/>
        <w:jc w:val="left"/>
        <w:rPr>
          <w:rFonts w:ascii="Times New Roman" w:hAnsi="宋体" w:cs="Times New Roman"/>
          <w:bCs/>
        </w:rPr>
      </w:pPr>
      <w:r w:rsidRPr="00663A03">
        <w:rPr>
          <w:rFonts w:ascii="Times New Roman" w:hAnsi="宋体" w:cs="Times New Roman" w:hint="eastAsia"/>
          <w:bCs/>
        </w:rPr>
        <w:t>5</w:t>
      </w:r>
      <w:r w:rsidRPr="00663A03">
        <w:rPr>
          <w:rFonts w:ascii="Times New Roman" w:hAnsi="宋体" w:cs="Times New Roman" w:hint="eastAsia"/>
          <w:bCs/>
        </w:rPr>
        <w:t>、《基金合同》可印制成册，供投资者在基金管理人、基金托管人、销售机构的办公场所和营业场所查阅</w:t>
      </w:r>
      <w:r w:rsidR="00795E23">
        <w:rPr>
          <w:rFonts w:ascii="Times New Roman" w:hAnsi="宋体" w:cs="Times New Roman" w:hint="eastAsia"/>
          <w:bCs/>
        </w:rPr>
        <w:t>。</w:t>
      </w:r>
    </w:p>
    <w:p w14:paraId="7A96C5D4" w14:textId="0FED003B" w:rsidR="000E2B84" w:rsidRDefault="000E2B84" w:rsidP="00663A03">
      <w:pPr>
        <w:autoSpaceDE w:val="0"/>
        <w:autoSpaceDN w:val="0"/>
        <w:adjustRightInd w:val="0"/>
        <w:snapToGrid w:val="0"/>
        <w:spacing w:line="360" w:lineRule="auto"/>
        <w:ind w:firstLineChars="200" w:firstLine="420"/>
        <w:jc w:val="left"/>
        <w:rPr>
          <w:rFonts w:ascii="Times New Roman" w:hAnsi="宋体" w:cs="Times New Roman"/>
          <w:bCs/>
        </w:rPr>
      </w:pPr>
    </w:p>
    <w:p w14:paraId="122E8E49" w14:textId="5F6D40C0" w:rsidR="000E2B84" w:rsidRDefault="000E2B84" w:rsidP="00663A03">
      <w:pPr>
        <w:autoSpaceDE w:val="0"/>
        <w:autoSpaceDN w:val="0"/>
        <w:adjustRightInd w:val="0"/>
        <w:snapToGrid w:val="0"/>
        <w:spacing w:line="360" w:lineRule="auto"/>
        <w:ind w:firstLineChars="200" w:firstLine="420"/>
        <w:jc w:val="left"/>
        <w:rPr>
          <w:rFonts w:ascii="Times New Roman" w:hAnsi="宋体" w:cs="Times New Roman"/>
          <w:bCs/>
        </w:rPr>
      </w:pPr>
    </w:p>
    <w:p w14:paraId="7D59FD8F" w14:textId="7813A85E" w:rsidR="000E2B84" w:rsidRDefault="000E2B84" w:rsidP="00663A03">
      <w:pPr>
        <w:autoSpaceDE w:val="0"/>
        <w:autoSpaceDN w:val="0"/>
        <w:adjustRightInd w:val="0"/>
        <w:snapToGrid w:val="0"/>
        <w:spacing w:line="360" w:lineRule="auto"/>
        <w:ind w:firstLineChars="200" w:firstLine="420"/>
        <w:jc w:val="left"/>
        <w:rPr>
          <w:rFonts w:ascii="Times New Roman" w:hAnsi="宋体" w:cs="Times New Roman"/>
          <w:bCs/>
        </w:rPr>
      </w:pPr>
    </w:p>
    <w:p w14:paraId="252F28AD" w14:textId="533D9221" w:rsidR="000E2B84" w:rsidRDefault="000E2B84" w:rsidP="00663A03">
      <w:pPr>
        <w:autoSpaceDE w:val="0"/>
        <w:autoSpaceDN w:val="0"/>
        <w:adjustRightInd w:val="0"/>
        <w:snapToGrid w:val="0"/>
        <w:spacing w:line="360" w:lineRule="auto"/>
        <w:ind w:firstLineChars="200" w:firstLine="420"/>
        <w:jc w:val="left"/>
        <w:rPr>
          <w:rFonts w:ascii="Times New Roman" w:hAnsi="宋体" w:cs="Times New Roman"/>
          <w:bCs/>
        </w:rPr>
      </w:pPr>
    </w:p>
    <w:p w14:paraId="7C1BE40F" w14:textId="77777777" w:rsidR="000E2B84" w:rsidRDefault="000E2B84" w:rsidP="00663A03">
      <w:pPr>
        <w:autoSpaceDE w:val="0"/>
        <w:autoSpaceDN w:val="0"/>
        <w:adjustRightInd w:val="0"/>
        <w:snapToGrid w:val="0"/>
        <w:spacing w:line="360" w:lineRule="auto"/>
        <w:ind w:firstLineChars="200" w:firstLine="420"/>
        <w:jc w:val="left"/>
        <w:rPr>
          <w:rFonts w:ascii="Times New Roman" w:hAnsi="宋体" w:cs="Times New Roman"/>
          <w:bCs/>
        </w:rPr>
      </w:pPr>
    </w:p>
    <w:p w14:paraId="306431F0" w14:textId="77777777" w:rsidR="00AE3DA6" w:rsidRDefault="00AE3DA6">
      <w:pPr>
        <w:widowControl/>
        <w:jc w:val="left"/>
        <w:rPr>
          <w:rFonts w:ascii="Times New Roman" w:hAnsi="宋体" w:cs="Times New Roman"/>
          <w:bCs/>
        </w:rPr>
      </w:pPr>
    </w:p>
    <w:p w14:paraId="536EE53A" w14:textId="77777777" w:rsidR="00AE3DA6" w:rsidRDefault="00795E23">
      <w:pPr>
        <w:pStyle w:val="21"/>
        <w:numPr>
          <w:ilvl w:val="0"/>
          <w:numId w:val="22"/>
        </w:numPr>
        <w:snapToGrid w:val="0"/>
        <w:spacing w:before="0" w:after="0" w:line="360" w:lineRule="auto"/>
        <w:jc w:val="left"/>
        <w:rPr>
          <w:rFonts w:ascii="宋体" w:eastAsia="宋体" w:hAnsi="宋体" w:cs="Times New Roman"/>
          <w:b w:val="0"/>
        </w:rPr>
      </w:pPr>
      <w:bookmarkStart w:id="179" w:name="_Hlt88897298"/>
      <w:bookmarkStart w:id="180" w:name="_Hlt88825574"/>
      <w:bookmarkStart w:id="181" w:name="_Toc360793511"/>
      <w:bookmarkStart w:id="182" w:name="_Toc362455196"/>
      <w:bookmarkStart w:id="183" w:name="_Toc360794529"/>
      <w:bookmarkStart w:id="184" w:name="_Toc360794421"/>
      <w:bookmarkStart w:id="185" w:name="_Toc360794113"/>
      <w:bookmarkStart w:id="186" w:name="_Toc48900087"/>
      <w:bookmarkStart w:id="187" w:name="_Toc362533468"/>
      <w:bookmarkStart w:id="188" w:name="_Toc360793863"/>
      <w:bookmarkEnd w:id="172"/>
      <w:bookmarkEnd w:id="173"/>
      <w:bookmarkEnd w:id="174"/>
      <w:bookmarkEnd w:id="175"/>
      <w:bookmarkEnd w:id="176"/>
      <w:bookmarkEnd w:id="177"/>
      <w:bookmarkEnd w:id="178"/>
      <w:bookmarkEnd w:id="179"/>
      <w:bookmarkEnd w:id="180"/>
      <w:r>
        <w:rPr>
          <w:rFonts w:ascii="宋体" w:eastAsia="宋体" w:hAnsi="宋体" w:cs="宋体" w:hint="eastAsia"/>
        </w:rPr>
        <w:t>基金托管协议的内容摘要</w:t>
      </w:r>
      <w:bookmarkEnd w:id="181"/>
      <w:bookmarkEnd w:id="182"/>
      <w:bookmarkEnd w:id="183"/>
      <w:bookmarkEnd w:id="184"/>
      <w:bookmarkEnd w:id="185"/>
      <w:bookmarkEnd w:id="186"/>
      <w:bookmarkEnd w:id="187"/>
      <w:bookmarkEnd w:id="188"/>
    </w:p>
    <w:p w14:paraId="605CD66F" w14:textId="77777777" w:rsidR="00AE3DA6" w:rsidRDefault="00AE3DA6">
      <w:pPr>
        <w:snapToGrid w:val="0"/>
        <w:spacing w:line="360" w:lineRule="auto"/>
        <w:rPr>
          <w:rFonts w:cs="Times New Roman"/>
        </w:rPr>
      </w:pPr>
    </w:p>
    <w:p w14:paraId="649B3D88" w14:textId="77777777" w:rsidR="00AE3DA6" w:rsidRDefault="00795E23">
      <w:pPr>
        <w:snapToGrid w:val="0"/>
        <w:spacing w:line="360" w:lineRule="auto"/>
        <w:ind w:firstLineChars="200" w:firstLine="420"/>
        <w:rPr>
          <w:rFonts w:ascii="宋体" w:cs="Times New Roman"/>
        </w:rPr>
      </w:pPr>
      <w:bookmarkStart w:id="189" w:name="_Hlt112616834"/>
      <w:bookmarkEnd w:id="189"/>
      <w:r>
        <w:rPr>
          <w:rFonts w:ascii="宋体" w:cs="Times New Roman" w:hint="eastAsia"/>
        </w:rPr>
        <w:t>一、基金托管协议当事人</w:t>
      </w:r>
    </w:p>
    <w:p w14:paraId="7AF934D5"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（一）基金管理人</w:t>
      </w:r>
    </w:p>
    <w:p w14:paraId="456CB91A"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名称：南方基金管理股份有限公司</w:t>
      </w:r>
    </w:p>
    <w:p w14:paraId="7705FFAC"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注册地址：深圳市福田区莲花街道益田路5999号基金大厦32-42楼</w:t>
      </w:r>
    </w:p>
    <w:p w14:paraId="3C2E5289"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办公地址：深圳市福田区莲花街道益田路5999号基金大厦32-42楼</w:t>
      </w:r>
    </w:p>
    <w:p w14:paraId="58211EB8"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邮政编码：518017</w:t>
      </w:r>
    </w:p>
    <w:p w14:paraId="09A46797"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法定代表人：周易</w:t>
      </w:r>
    </w:p>
    <w:p w14:paraId="0326D12B"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成立日期：1998年3月6日</w:t>
      </w:r>
    </w:p>
    <w:p w14:paraId="033312C6"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批准设立机关及批准设立文号：中国证券监督管理委员会证监基字[1998]4号</w:t>
      </w:r>
    </w:p>
    <w:p w14:paraId="5963F997"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组织形式：股份有限公司</w:t>
      </w:r>
    </w:p>
    <w:p w14:paraId="6B6B0784"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注册资本：3.6172亿元人民币</w:t>
      </w:r>
    </w:p>
    <w:p w14:paraId="040C3A35"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存续期间：持续经营</w:t>
      </w:r>
    </w:p>
    <w:p w14:paraId="6421C26B"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经营范围：基金募集；基金销售；资产管理以及中国证监会许可的其它业务。</w:t>
      </w:r>
    </w:p>
    <w:p w14:paraId="07A29BA5"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（二）基金托管人</w:t>
      </w:r>
    </w:p>
    <w:p w14:paraId="0439C4F7"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名称：国泰海通证券股份有限公司</w:t>
      </w:r>
    </w:p>
    <w:p w14:paraId="3745D7CD"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住所：中国（上海）自由贸易试验区商城路618号</w:t>
      </w:r>
    </w:p>
    <w:p w14:paraId="0D74A36D"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办公地址：上海市静安区新闸路669号19楼</w:t>
      </w:r>
    </w:p>
    <w:p w14:paraId="4EAE38CE"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法定代表人：朱健</w:t>
      </w:r>
    </w:p>
    <w:p w14:paraId="0CC6171F"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成立时间：1999年8月18日</w:t>
      </w:r>
    </w:p>
    <w:p w14:paraId="2671C366"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批准设立机关及批准设立文号：中国证监会证监机构字[1999]77号</w:t>
      </w:r>
    </w:p>
    <w:p w14:paraId="7561F04D"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组织形式：其他股份有限公司（上市）</w:t>
      </w:r>
    </w:p>
    <w:p w14:paraId="494CA86B"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注册资本：人民币17,629,708,696元整</w:t>
      </w:r>
    </w:p>
    <w:p w14:paraId="1CE5E0D2"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存续期间：持续经营</w:t>
      </w:r>
    </w:p>
    <w:p w14:paraId="39EEAADC"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基金托管业务批准文号：中国证监会证监许可[2014]511号</w:t>
      </w:r>
    </w:p>
    <w:p w14:paraId="141D9A35" w14:textId="77777777" w:rsidR="00663A03" w:rsidRPr="00663A03" w:rsidRDefault="00663A03" w:rsidP="00663A03">
      <w:pPr>
        <w:snapToGrid w:val="0"/>
        <w:spacing w:line="360" w:lineRule="auto"/>
        <w:ind w:firstLineChars="200" w:firstLine="420"/>
        <w:rPr>
          <w:rFonts w:ascii="宋体" w:cs="Times New Roman"/>
          <w:bCs/>
        </w:rPr>
      </w:pPr>
      <w:r w:rsidRPr="00663A03">
        <w:rPr>
          <w:rFonts w:ascii="宋体" w:cs="Times New Roman" w:hint="eastAsia"/>
          <w:bCs/>
        </w:rPr>
        <w:t>联系人：丛艳</w:t>
      </w:r>
    </w:p>
    <w:p w14:paraId="33B0B862" w14:textId="4EB1A664" w:rsidR="00AE3DA6" w:rsidRDefault="00663A03" w:rsidP="00663A03">
      <w:pPr>
        <w:snapToGrid w:val="0"/>
        <w:spacing w:line="360" w:lineRule="auto"/>
        <w:ind w:firstLineChars="200" w:firstLine="420"/>
        <w:rPr>
          <w:rFonts w:ascii="宋体" w:cs="Times New Roman"/>
        </w:rPr>
      </w:pPr>
      <w:r w:rsidRPr="00663A03">
        <w:rPr>
          <w:rFonts w:ascii="宋体" w:cs="Times New Roman" w:hint="eastAsia"/>
          <w:bCs/>
        </w:rPr>
        <w:t>联系电话：021-38677336</w:t>
      </w:r>
    </w:p>
    <w:p w14:paraId="1D9E5CB9" w14:textId="77777777" w:rsidR="00AE3DA6" w:rsidRDefault="00AE3DA6">
      <w:pPr>
        <w:snapToGrid w:val="0"/>
        <w:spacing w:line="360" w:lineRule="auto"/>
        <w:ind w:firstLineChars="200" w:firstLine="420"/>
        <w:rPr>
          <w:rFonts w:ascii="宋体" w:cs="Times New Roman"/>
        </w:rPr>
      </w:pPr>
    </w:p>
    <w:p w14:paraId="5F57E5DE" w14:textId="77777777" w:rsidR="00AE3DA6" w:rsidRDefault="00795E23">
      <w:pPr>
        <w:snapToGrid w:val="0"/>
        <w:spacing w:line="360" w:lineRule="auto"/>
        <w:ind w:firstLineChars="200" w:firstLine="420"/>
        <w:rPr>
          <w:rFonts w:ascii="宋体" w:cs="Times New Roman"/>
        </w:rPr>
      </w:pPr>
      <w:r>
        <w:rPr>
          <w:rFonts w:ascii="宋体" w:cs="Times New Roman" w:hint="eastAsia"/>
        </w:rPr>
        <w:t>二、基金托管人对基金管理人的业务监督和核查</w:t>
      </w:r>
    </w:p>
    <w:p w14:paraId="2B1463BD"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（一）基金托管人对基金管理人的投资行为行使监督权</w:t>
      </w:r>
    </w:p>
    <w:p w14:paraId="484306E0"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1、基金托管人根据有关法律法规的规定及《基金合同》和本协议的约定，对基金的投资范围、投资对象进行监督。</w:t>
      </w:r>
    </w:p>
    <w:p w14:paraId="4E6BA893"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本基金主要投资于目标ETF基金份额、标的指数成份股、备选成份股（包含内地与香港股票市场交易互联互通机制允许买卖的规定范围内的香港联合交易所上市的股票（简称“港股通股票”）、存托凭证，下同）。为更好地实现投资目标，本基金可少量投资于非成份股（包含主板、创业板、科创板及其他经中国证监会核准或注册发行的股票、港股通股票、存托凭证）、金融衍生品（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法律法规或中国证监会允许基金投资的其他金融工具（但须符合中国证监会的相关规定）。</w:t>
      </w:r>
    </w:p>
    <w:p w14:paraId="132EEA25"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本基金根据相关规定可参与融资、转融通证券出借业务。</w:t>
      </w:r>
    </w:p>
    <w:p w14:paraId="09D93FA6"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如法律法规或监管机构以后允许基金投资其他品种，基金管理人在履行适当程序后，可以将其纳入投资范围。</w:t>
      </w:r>
    </w:p>
    <w:p w14:paraId="6E6B6B3D"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的投资组合比例为：在建仓完成后，本基金投资于目标ETF的比例不低于基金资产净值的90%。每个交易日日终在扣除金融衍生品合约需缴纳的交易保证金后，现金或到期日在一年以内的政府债券的投资比例不低于基金资产净值的5%，其中现金不包括结算备付金、存出保证金、应收申购款等。</w:t>
      </w:r>
    </w:p>
    <w:p w14:paraId="29FDFC3F"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如法律法规或监管机构变更投资品种的投资比例限制，基金管理人在履行适当程序后，可以调整上述投资品种的投资比例。</w:t>
      </w:r>
    </w:p>
    <w:p w14:paraId="0FC2C4BF"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2、基金托管人根据有关法律法规的规定及《基金合同》和本协议的约定，对基金投资、融资比例进行监督。</w:t>
      </w:r>
    </w:p>
    <w:p w14:paraId="3E028E48"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（1）本基金投资于目标ETF的比例不低于基金资产净值的90%；</w:t>
      </w:r>
    </w:p>
    <w:p w14:paraId="03193128"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（2）每个交易日日终在扣除金融衍生品合约需缴纳的交易保证金后，现金或到期日在一年以内的政府债券的投资比例不低于基金资产净值的5％，其中现金不包括结算备付金、存出保证金、应收申购款等；</w:t>
      </w:r>
    </w:p>
    <w:p w14:paraId="787F8C91"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（3）本基金投资于同一原始权益人的各类资产支持证券的比例，不得超过基金资产净值的10％；</w:t>
      </w:r>
    </w:p>
    <w:p w14:paraId="504089FE"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（4）本基金持有的全部资产支持证券，其市值不得超过基金资产净值的20％；</w:t>
      </w:r>
    </w:p>
    <w:p w14:paraId="56FAB4A8"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（5）本基金持有的同一（指同一信用级别）资产支持证券的比例，不得超过该资产支持证券规模的10％；</w:t>
      </w:r>
    </w:p>
    <w:p w14:paraId="6AF173A2"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（6）本基金管理人管理的全部基金投资于同一原始权益人的各类资产支持证券，不得超过其各类资产支持证券合计规模的10％；</w:t>
      </w:r>
    </w:p>
    <w:p w14:paraId="4BEE0F8D"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（7）本基金应投资于信用级别评级为BBB以上（含BBB）的资产支持证券。基金持有资产支持证券期间，如果其信用等级下降、不再符合投资标准，应在评级报告发布之日起3个月内予以全部卖出；</w:t>
      </w:r>
    </w:p>
    <w:p w14:paraId="06D77E40"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（8）基金财产参与股票发行申购，本基金所申报的金额不超过本基金的总资产，本基金所申报的股票数量不超过拟发行股票公司本次发行股票的总量；</w:t>
      </w:r>
    </w:p>
    <w:p w14:paraId="1413118E"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9）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14:paraId="3A951FD2"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（10）本基金与私募类证券资管产品及中国证监会认定的其他主体为交易对手开展逆回购交易的，可接受质押品的资质要求应当与基金合同约定的投资范围保持一致；</w:t>
      </w:r>
    </w:p>
    <w:p w14:paraId="05F28DB7"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（11）本基金资产总值不超过基金资产净值的140%；</w:t>
      </w:r>
    </w:p>
    <w:p w14:paraId="45335177"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（12）本基金参与股指期货交易，应当符合下列投资限制：</w:t>
      </w:r>
    </w:p>
    <w:p w14:paraId="5CC90D9B"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1）本基金在任何交易日日终，持有的买入股指期货合约价值，不得超过基金资产净值的10%；</w:t>
      </w:r>
    </w:p>
    <w:p w14:paraId="281BE92C"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51CD0C1C"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3）本基金在任何交易日日终，持有的卖出股指期货合约价值不得超过基金持有的股票总市值的20%；</w:t>
      </w:r>
    </w:p>
    <w:p w14:paraId="425660D1"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4）本基金所持有的股票市值和买入、卖出股指期货合约价值，合计（轧差计算）应当符合基金合同关于股票投资比例的有关约定；</w:t>
      </w:r>
    </w:p>
    <w:p w14:paraId="06CD192E"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5）本基金在任何交易日内交易（不包括平仓）的股指期货合约的成交金额不得超过上一交易日基金资产净值的20%；</w:t>
      </w:r>
    </w:p>
    <w:p w14:paraId="054BB8BB"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（13）本基金参与股票期权交易，应当符合下列投资限制：</w:t>
      </w:r>
    </w:p>
    <w:p w14:paraId="44FA8831"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1）基金因未平仓的期权合约支付和收取的权利金总额不得超过基金资产净值的10%；</w:t>
      </w:r>
    </w:p>
    <w:p w14:paraId="5A47AAB9"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2）开仓卖出认购期权的，应持有足额标的证券；开仓卖出认沽期权的，应持有合约行权所需的全额现金或交易所规则认可的可冲抵期权保证金的现金等价物；</w:t>
      </w:r>
    </w:p>
    <w:p w14:paraId="0A6D5CC4"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3）未平仓的期权合约面值不得超过基金资产净值的20%。其中，合约面值按照行权价乘以合约乘数计算；</w:t>
      </w:r>
    </w:p>
    <w:p w14:paraId="208C91B7"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（14）本基金参与转融通证券出借业务的，应当符合下列要求：</w:t>
      </w:r>
    </w:p>
    <w:p w14:paraId="4BBECA09"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1）本基金在任何交易日日终，参与转融通证券出借业务的资产不得超过基金资产净值的30%，其中出借期限在10个交易日以上的出借证券应纳入《流动性风险管理规定》所述流动性受限证券的范围；</w:t>
      </w:r>
    </w:p>
    <w:p w14:paraId="715989B7"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2）本基金在任何交易日日终，参与出借业务的单只证券不得超过基金持有该证券总量的50%；</w:t>
      </w:r>
    </w:p>
    <w:p w14:paraId="13053881"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3）证券出借的平均剩余期限不得超过30天，平均剩余期限按市值加权平均计算；</w:t>
      </w:r>
    </w:p>
    <w:p w14:paraId="4A556CA1"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4）最近6个月内日均基金资产净值不得低于2亿元；</w:t>
      </w:r>
    </w:p>
    <w:p w14:paraId="4A352611"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（15）本基金投资存托凭证的比例限制依照境内上市交易的股票执行，与境内上市交易的股票合并计算，法律法规或监管部门另有要求的除外；</w:t>
      </w:r>
    </w:p>
    <w:p w14:paraId="74024240"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（16）本基金参与融资，每个交易日日终，本基金持有的融资买入股票与其他有价证券市值之和，不得超过基金资产净值的95%；</w:t>
      </w:r>
    </w:p>
    <w:p w14:paraId="15B4768E"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（17）法律法规及中国证监会规定的和《基金合同》约定的其他投资限制。</w:t>
      </w:r>
    </w:p>
    <w:p w14:paraId="4734EF3E"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因证券/期货市场波动、证券发行人合并、基金规模变动、标的指数成份股调整、标的指数成份股流动性限制、目标ETF暂停申购、赎回或二级市场交易停牌等基金管理人之外的因素致使基金投资比例不符合上述第（1）项规定投资比例的，基金管理人应当在20个交易日内进行调整，但中国证监会规定的特殊情形除外；除上述第（1）、（2）、（7）、（9）、（10）、（14）项另有约定外，因证券/期货市场波动、证券发行人合并、基金规模变动、标的指数成份股调整、标的指数成份股流动性限制、目标ETF暂停申购、赎回或二级市场交易停牌等基金管理人之外的因素致使基金投资比例不符合上述规定投资比例的，基金管理人应当在10个交易日内进行调整，但中国证监会规定的特殊情形除外。法律法规另有规定的，从其规定。</w:t>
      </w:r>
    </w:p>
    <w:p w14:paraId="54CAE634"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本基金参与转融通证券出借业务，因证券/期货市场波动、证券发行人合并、基金规模变动等基金管理人之外的因素致使基金投资不符合上述第（14）项规定的，基金管理人不得新增出借业务。</w:t>
      </w:r>
    </w:p>
    <w:p w14:paraId="06EE3A14"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C36B4EE"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法律法规或监管部门取消或变更上述限制，如适用于本基金，基金管理人在履行适当程序后，则本基金投资不再受相关限制或按变更后的规定执行。</w:t>
      </w:r>
    </w:p>
    <w:p w14:paraId="59C7F9FB"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基金托管人依照上述规定对本基金的投资组合限制及调整期限进行监督。</w:t>
      </w:r>
    </w:p>
    <w:p w14:paraId="67CE0532"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3、基金托管人根据有关法律、法规的规定及基金合同和本协议的约定，对基金投资禁止行为进行监督。基金财产不得用于下列投资或者活动。</w:t>
      </w:r>
    </w:p>
    <w:p w14:paraId="65AA4865"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 xml:space="preserve">（1）承销证券； </w:t>
      </w:r>
    </w:p>
    <w:p w14:paraId="50A846D9"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 xml:space="preserve">（2）违反规定向他人贷款或者提供担保； </w:t>
      </w:r>
    </w:p>
    <w:p w14:paraId="62B2CBD8"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 xml:space="preserve">（3）从事承担无限责任的投资； </w:t>
      </w:r>
    </w:p>
    <w:p w14:paraId="00431595"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（4）买卖除目标ETF以外的其他基金份额，但是中国证监会另有规定的除外；</w:t>
      </w:r>
    </w:p>
    <w:p w14:paraId="289FAF20"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 xml:space="preserve">（5）向其基金管理人、基金托管人出资； </w:t>
      </w:r>
    </w:p>
    <w:p w14:paraId="110E28BC"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 xml:space="preserve">（6）从事内幕交易、操纵证券交易价格及其他不正当的证券交易活动； </w:t>
      </w:r>
    </w:p>
    <w:p w14:paraId="673D6872"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（7）法律、行政法规和中国证监会规定禁止的其他活动。</w:t>
      </w:r>
    </w:p>
    <w:p w14:paraId="39DCC770"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5DBEE59"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法律、行政法规或监管部门取消或变更上述限制，如适用于本基金，基金管理人在履行适当程序后，则本基金投资不再受相关限制或按变更后的规定执行。</w:t>
      </w:r>
    </w:p>
    <w:p w14:paraId="4153C44B"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并负责及时将更新后的名单发送给对方。</w:t>
      </w:r>
    </w:p>
    <w:p w14:paraId="459E43AB"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4、基金托管人根据有关法律、法规规定及基金合同和本协议约定，对基金管理人参与银行间债券市场进行监督。</w:t>
      </w:r>
    </w:p>
    <w:p w14:paraId="6396C977"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基金托管人依据有关法律、法规规定和《基金合同》约定对基金管理人参与银行间市场交易时面临的交易对手资信风险进行监督。</w:t>
      </w:r>
    </w:p>
    <w:p w14:paraId="2ABBCBF9"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管理人应在基金投资运作之前向基金托管人提供符合法律、法规及行业标准的、经慎重选择的、本基金适用的银行间市场交易对手的名单。基金管理人应严格按照交易对手名单的范围在银行间债券市场选择交易对手。基金托管人监督基金管理人是否按事前提供的银行间债券市场交易对手名单进行交易。</w:t>
      </w:r>
    </w:p>
    <w:p w14:paraId="018CDEF6"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基金管理人可以定期（每半年）和不定期对银行间市场现券及回购交易对手的名单进行更新。新名单生效前已与本次剔除的交易对手所进行但尚未结算的交易，仍应按照协议进行结算。</w:t>
      </w:r>
    </w:p>
    <w:p w14:paraId="14522C22"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管理人参与银行间市场交易时，应按银行间债券市场的交易规则进行交易，并有责任控制交易对手的资信风险，由于交易对手资信风险引起的损失,基金管理人应当负责向相关责任人追偿。基金托管人不承担由此造成的相应法律责任及损失。</w:t>
      </w:r>
    </w:p>
    <w:p w14:paraId="2F73C0A3"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如基金托管人事后发现基金管理人没有按照事先约定的交易对手进行交易时，基金托管人应及时提醒基金管理人，但基金托管人不承担由此造成的相应损失和责任。</w:t>
      </w:r>
    </w:p>
    <w:p w14:paraId="06B1F99C"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5、基金托管人根据有关法律、法规的规定及基金合同和本协议的约定，对基金管理人选择存款银行进行监督。</w:t>
      </w:r>
    </w:p>
    <w:p w14:paraId="74C17CF8"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基金投资银行定期存款的，基金管理人应根据法律、法规的规定及基金合同的约定选择存款银行。</w:t>
      </w:r>
    </w:p>
    <w:p w14:paraId="3DE42D7E"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本基金投资银行存款应符合如下规定：</w:t>
      </w:r>
    </w:p>
    <w:p w14:paraId="75B21283"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（1）基金管理人、基金托管人应当与存款银行建立定期对账机制，确保基金银行存款业务账目及核算的真实、准确。</w:t>
      </w:r>
    </w:p>
    <w:p w14:paraId="4B7D2054"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（2）基金托管人应加强对基金银行存款业务的监督与核查，严格审查、复核相关协议、账户资料、投资指令、存款证实书等有关文件，切实履行托管职责。</w:t>
      </w:r>
    </w:p>
    <w:p w14:paraId="1A4E105B"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（3）基金管理人与基金托管人在开展基金存款业务时，应严格遵守《基金法》、《运作办法》等有关法律、法规，以及国家有关账户管理、利率管理、支付结算等的各项规定。</w:t>
      </w:r>
    </w:p>
    <w:p w14:paraId="3FD644BB"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 6、基金托管人根据有关法律法规的规定及《基金合同》的约定，对基金管理人投资流通受限证券进行监督。</w:t>
      </w:r>
    </w:p>
    <w:p w14:paraId="1A179353"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（1）基金管理人投资流通受限证券，应遵守《关于基金投资非公开发行股票等流通受限证券有关问题的通知》等有关法律法规规定。</w:t>
      </w:r>
    </w:p>
    <w:p w14:paraId="157BA561"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2）流通受限证券与上文所述的流动性受限资产并不完全一致，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438445FE"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3）基金管理人应保证本基金投资的流通受限证券登记存管在本基金名下，并确保基金托管人能够正常查询。因基金管理人原因产生的流通受限证券登记存管问题，造成基金托管人无法安全保管本基金资产的责任与损失，及基金财产的损失，由基金管理人承担。</w:t>
      </w:r>
    </w:p>
    <w:p w14:paraId="447DED40"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4）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2E039122"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5）在投资流通受限证券之前，基金管理人应至少提前一个交易日向基金托管人提供有关流通受限证券的相关信息，具体应当包括但不限于如下文件（如有）：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59E399DF"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6）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相应责任，并有权报告中国证监会。</w:t>
      </w:r>
    </w:p>
    <w:p w14:paraId="0B92D5A9"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7）如果基金管理人未按照本协议的约定向基金托管人报送相关数据或者报送了虚假的数据，导致基金托管人不能履行基金托管人职责的，基金管理人应依法承担相应法律后果。除基金托管人未能依据法律法规、基金合同及本协议履行职责外，因投资流通受限证券产生的损失，基金托管人按照本协议履行监督职责后不承担上述损失。</w:t>
      </w:r>
    </w:p>
    <w:p w14:paraId="1B1B591D"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（8）基金托管人根据有关规定有权对基金管理人进行以下事项监督：</w:t>
      </w:r>
    </w:p>
    <w:p w14:paraId="0336612A"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1）本基金投资流通受限证券时的法律法规遵守情况。</w:t>
      </w:r>
    </w:p>
    <w:p w14:paraId="583A4180"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2）在基金投资流通受限证券管理工作方面有关制度、流动性风险处置预案的建立与完善情况。</w:t>
      </w:r>
    </w:p>
    <w:p w14:paraId="4DEFC303"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3）有关比例限制的执行情况。</w:t>
      </w:r>
    </w:p>
    <w:p w14:paraId="02193012"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4）信息披露情况。</w:t>
      </w:r>
    </w:p>
    <w:p w14:paraId="1B55DE2F"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（9）相关法律法规对基金投资流通受限证券有新规定的，从其规定。</w:t>
      </w:r>
    </w:p>
    <w:p w14:paraId="48397B08"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7、基金托管人根据有关法律、法规的规定及基金合同和本协议的约定，对基金管理人产品禁投池进行监督。</w:t>
      </w:r>
    </w:p>
    <w:p w14:paraId="6031B719"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基金管理人可以向基金托管人提供基金禁投池清单。基金管理人可以定期和不定期对基金禁投池清单进行更新。新清单生效前基金托管人仍按原禁投池清单进行监督。</w:t>
      </w:r>
    </w:p>
    <w:p w14:paraId="6E4A2813"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基金管理人超越名单范围进行投资的，基金托管人应及时提醒基金管理人，但基金托管人不承担由此造成的相应损失和责任。</w:t>
      </w:r>
    </w:p>
    <w:p w14:paraId="2DF0539E"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8、基金托管人对基金管理人转融通证券出借业务进行监督</w:t>
      </w:r>
    </w:p>
    <w:p w14:paraId="77C4B1D5"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管理人运用基金财产参与出借业务，应当遵守审慎经营原则，配备技术系统和专业人员，制定科学合理的投资策略和风险管理制度，完善业务流程，有效防范和控制风险，基金托管人将对基金参与出借业务进行监督和复核。</w:t>
      </w:r>
    </w:p>
    <w:p w14:paraId="4FE725A0"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二）基金托管人应根据有关法律、法规的规定及基金合同的约定，对基金资产净值计算、各类基金份额净值计算、应收资金到账、基金费用开支及收入确认、基金收益分配、相关信息披露、基金宣传推介材料中登载基金业绩表现数据等进行监督和核查。</w:t>
      </w:r>
    </w:p>
    <w:p w14:paraId="719B3EAB"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三）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数据资料和制度等。</w:t>
      </w:r>
    </w:p>
    <w:p w14:paraId="6BC01443"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有权报告中国证监会。</w:t>
      </w:r>
    </w:p>
    <w:p w14:paraId="42D64F24"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若基金托管人发现基金管理人依据交易程序已经生效的指令违反法律、行政法规和其他有关规定，或者违反《基金合同》约定的，应当立即通知基金管理人，并报告中国证监会。</w:t>
      </w:r>
    </w:p>
    <w:p w14:paraId="3C618747" w14:textId="32A6FB36" w:rsidR="00AE3DA6" w:rsidRDefault="00663A03" w:rsidP="00663A03">
      <w:pPr>
        <w:snapToGrid w:val="0"/>
        <w:spacing w:line="360" w:lineRule="auto"/>
        <w:ind w:firstLineChars="200" w:firstLine="420"/>
        <w:rPr>
          <w:rFonts w:ascii="宋体" w:cs="Times New Roman"/>
        </w:rPr>
      </w:pPr>
      <w:r w:rsidRPr="00663A03">
        <w:rPr>
          <w:rFonts w:ascii="宋体" w:cs="Times New Roman" w:hint="eastAsia"/>
        </w:rPr>
        <w:t>基金托管人发现基金管理人有重大违规行为，应及时报告中国证监会，同时通知基金管理人限期纠正，并有权将纠正结果报告中国证监会。基金管理人无正当理由，拒绝、阻挠对方根据本托管协议规定行使监督权，或采取拖延、欺诈等手段妨碍对方进行有效监督，情节严重或经基金托管人提出警告仍不改正的，基金托管人有权报告中国证监会</w:t>
      </w:r>
      <w:r w:rsidR="00795E23">
        <w:rPr>
          <w:rFonts w:ascii="宋体" w:cs="Times New Roman" w:hint="eastAsia"/>
        </w:rPr>
        <w:t>。</w:t>
      </w:r>
    </w:p>
    <w:p w14:paraId="048F9560" w14:textId="77777777" w:rsidR="00AE3DA6" w:rsidRDefault="00AE3DA6">
      <w:pPr>
        <w:snapToGrid w:val="0"/>
        <w:spacing w:line="360" w:lineRule="auto"/>
        <w:ind w:firstLineChars="200" w:firstLine="420"/>
        <w:rPr>
          <w:rFonts w:ascii="宋体" w:cs="Times New Roman"/>
        </w:rPr>
      </w:pPr>
    </w:p>
    <w:p w14:paraId="208A1A0D" w14:textId="77777777" w:rsidR="00AE3DA6" w:rsidRDefault="00795E23">
      <w:pPr>
        <w:snapToGrid w:val="0"/>
        <w:spacing w:line="360" w:lineRule="auto"/>
        <w:ind w:firstLineChars="200" w:firstLine="420"/>
        <w:rPr>
          <w:rFonts w:ascii="宋体" w:cs="Times New Roman"/>
        </w:rPr>
      </w:pPr>
      <w:r>
        <w:rPr>
          <w:rFonts w:ascii="宋体" w:cs="Times New Roman" w:hint="eastAsia"/>
        </w:rPr>
        <w:t>三、基金管理人对基金托管人的业务核查</w:t>
      </w:r>
    </w:p>
    <w:p w14:paraId="525B587E"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根据《基金法》及其他有关法规、《基金合同》和本协议规定，基金管理人对基金托管人履行托管职责的情况进行核查，核查事项包括但不限于基金托管人是否安全保管基金财产，是否开立基金财产的托管账户、证券账户、债券托管账户等投资所需账户，是否协助提供开立股指期货业务相关账户及交易编码的基金托管人相关信息，是否及时、准确复核基金管理人计算的基金资产净值和各类基金份额净值，是否根据基金管理人指令办理清算交收，是否按照法规规定和《基金合同》规定进行相关信息披露和监督基金投资运作等行为。</w:t>
      </w:r>
    </w:p>
    <w:p w14:paraId="155EC141"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管理人可以定期（每半年）和不定期地对基金托管人保管的基金资产进行核查。基金托管人应积极配合基金管理人的核查行为，包括但不限于：提交相关资料以供基金管理人核查托管财产的完整性和真实性，在规定时间内答复并改正。</w:t>
      </w:r>
    </w:p>
    <w:p w14:paraId="6F28882B"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在下一工作日及时核对并以书面形式对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14:paraId="1298D927" w14:textId="00FCC440" w:rsidR="00AE3DA6" w:rsidRDefault="00663A03" w:rsidP="00663A03">
      <w:pPr>
        <w:snapToGrid w:val="0"/>
        <w:spacing w:line="360" w:lineRule="auto"/>
        <w:ind w:firstLineChars="200" w:firstLine="420"/>
        <w:rPr>
          <w:rFonts w:ascii="宋体" w:cs="Times New Roman"/>
        </w:rPr>
      </w:pPr>
      <w:r w:rsidRPr="00663A03">
        <w:rPr>
          <w:rFonts w:ascii="宋体" w:cs="Times New Roman" w:hint="eastAsia"/>
        </w:rPr>
        <w:t>基金管理人发现基金托管人有重大违规行为，应立即报告中国证监会，同时通知基金托管人在限期内纠正。基金托管人无正当理由，拒绝、阻挠对方根据本协议规定行使监督权，或采取拖延、欺诈等手段妨碍对方进行有效监督，情节严重或经基金管理人提出警告仍不改正的，基金管理人应报告中国证监会</w:t>
      </w:r>
      <w:r w:rsidR="00795E23">
        <w:rPr>
          <w:rFonts w:ascii="宋体" w:cs="Times New Roman" w:hint="eastAsia"/>
        </w:rPr>
        <w:t>。</w:t>
      </w:r>
    </w:p>
    <w:p w14:paraId="0CCF7A33" w14:textId="77777777" w:rsidR="00AE3DA6" w:rsidRDefault="00AE3DA6">
      <w:pPr>
        <w:snapToGrid w:val="0"/>
        <w:spacing w:line="360" w:lineRule="auto"/>
        <w:ind w:firstLineChars="200" w:firstLine="420"/>
        <w:rPr>
          <w:rFonts w:ascii="宋体" w:cs="Times New Roman"/>
        </w:rPr>
      </w:pPr>
    </w:p>
    <w:p w14:paraId="0E8F9F84" w14:textId="77777777" w:rsidR="00AE3DA6" w:rsidRDefault="00795E23">
      <w:pPr>
        <w:snapToGrid w:val="0"/>
        <w:spacing w:line="360" w:lineRule="auto"/>
        <w:ind w:firstLineChars="200" w:firstLine="420"/>
        <w:rPr>
          <w:rFonts w:ascii="宋体" w:cs="Times New Roman"/>
        </w:rPr>
      </w:pPr>
      <w:r>
        <w:rPr>
          <w:rFonts w:ascii="宋体" w:cs="Times New Roman" w:hint="eastAsia"/>
        </w:rPr>
        <w:t>四、基金财产的保管</w:t>
      </w:r>
    </w:p>
    <w:p w14:paraId="453753A6"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（一）基金财产保管的原则</w:t>
      </w:r>
    </w:p>
    <w:p w14:paraId="7690D261"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1、基金托管人应安全保管基金财产，未经基金管理人的指令，不得自行运用、处分、分配基金的任何资产。</w:t>
      </w:r>
    </w:p>
    <w:p w14:paraId="2CE3D398"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2、基金财产应独立于基金管理人、基金托管人的固有财产。</w:t>
      </w:r>
    </w:p>
    <w:p w14:paraId="3B39278A"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3、基金托管人按照规定开立基金财产的托管账户、证券账户、债券托管账户等投资所需账户。</w:t>
      </w:r>
    </w:p>
    <w:p w14:paraId="1AAEB140"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4、基金托管人对所托管的不同基金财产分别设置账户，与基金托管人的其他业务和其他基金的托管业务实行严格的分账管理，独立核算，确保基金财产的完整和独立。</w:t>
      </w:r>
    </w:p>
    <w:p w14:paraId="3AD2AF1B"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5、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予以必要的配合与协助，但不承担相关责任。</w:t>
      </w:r>
    </w:p>
    <w:p w14:paraId="3F9463E5"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6、除依据法律法规和《基金合同》的规定外，基金托管人不得委托第三人托管基金财产。</w:t>
      </w:r>
    </w:p>
    <w:p w14:paraId="3AC90DCD"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（二）基金合同生效时募集资产的验证</w:t>
      </w:r>
    </w:p>
    <w:p w14:paraId="4E23417F"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基金募集期间募集的资金应存于在具有托管资格的商业银行开设的基金募集专用账户。该账户由基金管理人或基金管理人委托的登记机构开立并管理。</w:t>
      </w:r>
    </w:p>
    <w:p w14:paraId="39947EAD"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募集期满或基金停止募集时，发起资金提供方认购金额及承诺持有期限符合《基金法》、《运作办法》等有关规定后，基金管理人应将属于基金财产的全部资金划入基金银行存款账户，同时在规定时间内，聘请符合《中华人民共和国证券法》规定的会计师事务所进行验资，出具验资报告。出具的验资报告由参加验资的2名或2名以上中国注册会计师签字方为有效。验资报告需对发起资金提供方及其持有份额进行专门说明。</w:t>
      </w:r>
    </w:p>
    <w:p w14:paraId="10CC8F03"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若基金募集期限届满，未能达到基金备案的条件，由基金管理人按规定办理相关资金退还等事宜，基金托管人应提供充分协助。</w:t>
      </w:r>
    </w:p>
    <w:p w14:paraId="1297299A"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（三）基金的银行存款账户的开立和管理</w:t>
      </w:r>
    </w:p>
    <w:p w14:paraId="4C23C5AC"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1、基金托管人应负责本基金银行存款账户（即托管账户）的开立和管理。</w:t>
      </w:r>
    </w:p>
    <w:p w14:paraId="13633154"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2、基金托管人在具有证券投资基金托管资格的商业银行开立基金的银行存款账户，并根据中国人民银行规定计息，根据基金管理人合法合规的指令办理资金收付。本基金的银行预留印鉴由基金托管人制作、保管和使用。本基金的一切货币收支活动，包括但不限于投资、支付赎回金额、支付基金收益、收取申购款，均需通过本基金的银行存款账户进行。</w:t>
      </w:r>
    </w:p>
    <w:p w14:paraId="5F680ED3"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3、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360D8E0B"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4、基金托管人可以通过本基金银行存款账户的企业网上银行（简称“网银”）等方式进行资金支付，并使用网银等方式办理托管资产的资金结算汇划业务。</w:t>
      </w:r>
    </w:p>
    <w:p w14:paraId="410F0A39"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5、基金银行存款账户的管理应符合法律、法规以及银行业监督管理机构的其他规定。</w:t>
      </w:r>
    </w:p>
    <w:p w14:paraId="7907F875"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（四）基金的证券账户和结算备付金账户的开立和管理</w:t>
      </w:r>
    </w:p>
    <w:p w14:paraId="41D392D8"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基金托管人为本基金在中国证券登记结算有限责任公司开立证券账户。</w:t>
      </w:r>
    </w:p>
    <w:p w14:paraId="6CB54980"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01D195F6"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基金证券账户的开立由基金托管人负责，账户资产的管理和运用由基金管理人负责。</w:t>
      </w:r>
    </w:p>
    <w:p w14:paraId="6072A58E"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托管人以托管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14:paraId="2946125B" w14:textId="5C2AB481"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在本托管协议生效日之后，本基金被允许从事其他投资品种的投资业务的，涉及相关账户的开设、使用的，若无相关规定，则基金托管人及</w:t>
      </w:r>
      <w:r w:rsidR="00717D28">
        <w:rPr>
          <w:rFonts w:ascii="宋体" w:cs="Times New Roman" w:hint="eastAsia"/>
        </w:rPr>
        <w:t>基金</w:t>
      </w:r>
      <w:r w:rsidRPr="00663A03">
        <w:rPr>
          <w:rFonts w:ascii="宋体" w:cs="Times New Roman" w:hint="eastAsia"/>
        </w:rPr>
        <w:t>管理人应当比照并遵守上述关于账户开设、使用的规定。</w:t>
      </w:r>
    </w:p>
    <w:p w14:paraId="003AE868"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（五）债券托管账户的开立和管理</w:t>
      </w:r>
    </w:p>
    <w:p w14:paraId="6EF28BDC"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合同生效后，基金托管人负责在中央国债登记结算有限责任公司及银行间市场清算所股份有限公司以本基金的名义开立债券托管账户和资金结算账户，并由基金托管人负责基金的债券及资金的清算。基金管理人代表基金签订全国银行间债券市场债券回购主协议。</w:t>
      </w:r>
    </w:p>
    <w:p w14:paraId="69EC6BF6"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（六）期货的相关账户的开立和管理</w:t>
      </w:r>
    </w:p>
    <w:p w14:paraId="2DF699F4"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基金管理人应当按照相关规定开立期货账户及交易编码。期货账户名称及交易编码对应名称应按照有关规定设立。基金托管人和基金管理人应当在开户过程中相互配合，并提供所需资料。</w:t>
      </w:r>
    </w:p>
    <w:p w14:paraId="687CFA75"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（七）基金投资银行存款账户的开立和管理</w:t>
      </w:r>
    </w:p>
    <w:p w14:paraId="1DA14C06"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存款账户名称应为基金名称（具体名称以实际开立为准），存款账户开户文件中的预留印鉴须为基金托管人印章。</w:t>
      </w:r>
    </w:p>
    <w:p w14:paraId="4FEE3CC6"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本基金投资银行存款时，基金管理人应当与存款银行签订具体存款协议或存款确认单据，明确存款的类型、期限、利率、金额、账号、对账方式、支取方式、存款到期指定收款账户等细则。</w:t>
      </w:r>
    </w:p>
    <w:p w14:paraId="019E536C"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为防范特殊情况下的流动性风险，定期存款协议中应当约定提前支取条款。</w:t>
      </w:r>
    </w:p>
    <w:p w14:paraId="31F30165"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（八）其他账户的开立和管理</w:t>
      </w:r>
    </w:p>
    <w:p w14:paraId="52894B25"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若中国证监会或其他监管机构在本托管协议订立日之后允许基金从事其他投资品种的投资业务，涉及相关账户的开立、使用的，根据有关法律、法规的规定和《基金合同》的约定，基金管理与基金托管人协商后开立有关账户。该账户按有关规则使用并管理。</w:t>
      </w:r>
    </w:p>
    <w:p w14:paraId="7814AC68"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法律法规等有关规定对相关账户的开立和管理另有规定的，从其规定办理。</w:t>
      </w:r>
    </w:p>
    <w:p w14:paraId="4C2711C2"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（九）基金财产投资的有关实物证券、银行存款定期存单等有价凭证的保管</w:t>
      </w:r>
    </w:p>
    <w:p w14:paraId="11E1229C"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实物证券由基金托管人存放于基金托管人或其他基金管理人与基金托管人协商一致的第三方机构的保管库，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由基金托管人以外机构实际有效控制的本基金资产不承担保管责任。</w:t>
      </w:r>
    </w:p>
    <w:p w14:paraId="04F97A11"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银行存款定期存单等有价凭证由基金托管人负责保管。</w:t>
      </w:r>
    </w:p>
    <w:p w14:paraId="71CC84E9"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（十）与基金财产有关的重大合同的保管</w:t>
      </w:r>
    </w:p>
    <w:p w14:paraId="4E13DB53"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由基金管理人代表基金签署的与基金有关的重大合同的原件分别由基金托管人、基金管理人保管，相关业务程序另有限制除外。除本协议另有规定外，基金管理人在代基金签署与基金有关的重大合同时应尽可能保证基金一方持有二份及以上的正本，以便基金管理人和基金托管人至少各持有一份正本的原件，基金管理人在合同签署后15个工作日内通过专人送达、挂号邮寄等安全方式将合同原件送达基金托管人处。重大合同的保管期限不低于法律法规规定的最低期限。</w:t>
      </w:r>
    </w:p>
    <w:p w14:paraId="6AD1E294" w14:textId="77777777" w:rsidR="00663A03" w:rsidRPr="00663A03" w:rsidRDefault="00663A03" w:rsidP="00663A03">
      <w:pPr>
        <w:snapToGrid w:val="0"/>
        <w:spacing w:line="360" w:lineRule="auto"/>
        <w:ind w:firstLineChars="200" w:firstLine="420"/>
        <w:rPr>
          <w:rFonts w:ascii="宋体" w:cs="Times New Roman"/>
        </w:rPr>
      </w:pPr>
      <w:r w:rsidRPr="00663A03">
        <w:rPr>
          <w:rFonts w:ascii="宋体" w:cs="Times New Roman" w:hint="eastAsia"/>
        </w:rPr>
        <w:t>对于无法取得二份以上正本的，基金管理人应向基金托管人提供合同复印件，并在复印件上加盖公章，未经双方协商或未在合同约定范围内，合同原件不得转移。</w:t>
      </w:r>
    </w:p>
    <w:p w14:paraId="2F1752FE" w14:textId="10EE4965" w:rsidR="00AE3DA6" w:rsidRDefault="00663A03" w:rsidP="00663A03">
      <w:pPr>
        <w:snapToGrid w:val="0"/>
        <w:spacing w:line="360" w:lineRule="auto"/>
        <w:ind w:firstLineChars="200" w:firstLine="420"/>
        <w:rPr>
          <w:rFonts w:ascii="宋体" w:cs="Times New Roman"/>
        </w:rPr>
      </w:pPr>
      <w:r w:rsidRPr="00663A03">
        <w:rPr>
          <w:rFonts w:ascii="宋体" w:cs="Times New Roman" w:hint="eastAsia"/>
        </w:rPr>
        <w:t>因基金管理人未按本协议约定及时向基金托管人送达重大合同原件或传真件导致的法律责任，基金托管人不予承担</w:t>
      </w:r>
      <w:r w:rsidR="00795E23">
        <w:rPr>
          <w:rFonts w:ascii="宋体" w:cs="Times New Roman" w:hint="eastAsia"/>
        </w:rPr>
        <w:t>。</w:t>
      </w:r>
    </w:p>
    <w:p w14:paraId="7BD74B3B" w14:textId="77777777" w:rsidR="00C754EF" w:rsidRDefault="00C754EF">
      <w:pPr>
        <w:snapToGrid w:val="0"/>
        <w:spacing w:line="360" w:lineRule="auto"/>
        <w:ind w:firstLineChars="200" w:firstLine="420"/>
        <w:rPr>
          <w:rFonts w:ascii="宋体" w:cs="Times New Roman"/>
        </w:rPr>
      </w:pPr>
    </w:p>
    <w:p w14:paraId="2CD79F49" w14:textId="77777777" w:rsidR="00AE3DA6" w:rsidRDefault="00795E23">
      <w:pPr>
        <w:snapToGrid w:val="0"/>
        <w:spacing w:line="360" w:lineRule="auto"/>
        <w:ind w:firstLineChars="200" w:firstLine="420"/>
        <w:rPr>
          <w:rFonts w:ascii="宋体" w:cs="Times New Roman"/>
        </w:rPr>
      </w:pPr>
      <w:r>
        <w:rPr>
          <w:rFonts w:ascii="宋体" w:cs="Times New Roman" w:hint="eastAsia"/>
        </w:rPr>
        <w:t>五、基金资产净值计算和会计核算</w:t>
      </w:r>
    </w:p>
    <w:p w14:paraId="4F835F2E"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（一）基金资产净值及基金份额净值的计算与复核</w:t>
      </w:r>
    </w:p>
    <w:p w14:paraId="7DE7509C"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基金资产净值是指基金资产总值减去基金负债后的价值。各类基金份额净值是按照每个估值日闭市后，各类基金份额的基金资产净值除以当日该类基金份额的余额数量计算，均精确到0.0001元，小数点后第5位四舍五入。基金管理人可以设立大额赎回情形下的净值精度应急调整机制。国家另有规定的，从其规定。</w:t>
      </w:r>
    </w:p>
    <w:p w14:paraId="2E0C6CE8"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基金管理人应每个估值日计算基金资产净值及各类基金份额的基金份额净值，并按规定披露。</w:t>
      </w:r>
    </w:p>
    <w:p w14:paraId="2DBABA0D"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基金管理人应每个工作日对基金资产估值。但基金管理人根据法律法规或基金合同的规定暂停估值时除外。估值原则应符合《基金合同》、《中国证券监督管理委员会关于证券投资基金估值业务的指导意见》及其他法律、法规的规定。基金资产净值和各类基金份额净值由基金管理人负责计算，基金托管人复核。基金管理人应于每个工作日交易结束后计算当日的基金资产净值及各类基金份额的基金份额净值，以约定方式发送给基金托管人。基金托管人对净值计算结果复核后，将复核结果反馈给基金管理人，经基金托管人复核无误后，由基金管理人对基金份额净值予以公布。</w:t>
      </w:r>
    </w:p>
    <w:p w14:paraId="6F806048"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（二）基金资产的估值</w:t>
      </w:r>
    </w:p>
    <w:p w14:paraId="2AFAA903"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基金管理人及基金托管人应当按照《基金合同》的约定进行估值。</w:t>
      </w:r>
    </w:p>
    <w:p w14:paraId="6D329F7E"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（三）基金份额净值错误的处理方式</w:t>
      </w:r>
    </w:p>
    <w:p w14:paraId="4A1DA8F2"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基金管理人及基金托管人应当按照《基金合同》的约定处理基金份额净值错误。</w:t>
      </w:r>
    </w:p>
    <w:p w14:paraId="6EE735A3"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（四）暂停估值的情形</w:t>
      </w:r>
    </w:p>
    <w:p w14:paraId="3701935E"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1、基金投资所涉及的证券/期货交易市场或外汇市场遇法定节假日或因其他原因暂停营业时；</w:t>
      </w:r>
    </w:p>
    <w:p w14:paraId="527F5F61"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2、基金所投资的目标ETF发生暂停估值、暂停公告基金份额净值的情形；</w:t>
      </w:r>
    </w:p>
    <w:p w14:paraId="7B7AEB18"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3、因不可抗力致使基金管理人、基金托管人无法准确评估基金资产价值时；</w:t>
      </w:r>
    </w:p>
    <w:p w14:paraId="3599F646"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4、当特定资产占前一估值日基金资产净值50%以上的，经与基金托管人协商确认后，基金管理人应当暂停估值；</w:t>
      </w:r>
    </w:p>
    <w:p w14:paraId="6E89AD53"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5、中国证监会和基金合同认定的其他情形。</w:t>
      </w:r>
    </w:p>
    <w:p w14:paraId="32CB3773"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（五）基金会计制度</w:t>
      </w:r>
    </w:p>
    <w:p w14:paraId="391AF8A4"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按国家有关部门制定的会计制度执行。</w:t>
      </w:r>
    </w:p>
    <w:p w14:paraId="5AC17874"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（六）基金账册的建立</w:t>
      </w:r>
    </w:p>
    <w:p w14:paraId="4B36E1EA"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14:paraId="1385BDCE"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（七）会计数据和财务指标的核对</w:t>
      </w:r>
    </w:p>
    <w:p w14:paraId="0CCF3B9D"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双方应每个交易日核对账目，如发现双方的账目存在不符的，基金管理人和基金托管人必须及时查明原因并纠正，确保核对一致。若当日核对不符，暂时无法查找到错账的原因而影响到基金净值的计算和公告的，以基金管理人的账册为准。</w:t>
      </w:r>
    </w:p>
    <w:p w14:paraId="052EBD39"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（八）基金定期报告、招募说明书的编制和复核</w:t>
      </w:r>
    </w:p>
    <w:p w14:paraId="6D1DD63F"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基金财务报表由基金管理人和基金托管人每月分别独立编制。月度报表的编制，应于每月结束后5个工作日内完成。定期报告文件应按中国证监会的要求公告。季度报表的编制，应于季度结束后15个工作日内完成。《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上半年结束之日起两个月内完成中期报告编制并公告；在每年结束之日起三个月内完成年度报告编制并公告。</w:t>
      </w:r>
    </w:p>
    <w:p w14:paraId="2CB124FA"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基金管理人在月度报表完成当日，以约定方式将有关报表提供基金托管人；基金托管人在2个工作日内对有关基金财务报告等信息进行复核，并将复核结果反馈给基金管理人。对于季度报告、中期报告、年度报告等定期报告，基金管理人和基金托管人应在上述监管部门规定的时间内完成编制、复核及公告。基金托管人在对有关基金财务报告等信息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中国证监会备案。</w:t>
      </w:r>
    </w:p>
    <w:p w14:paraId="2B117C40" w14:textId="22E4487D" w:rsidR="00C754EF" w:rsidRDefault="0093469A" w:rsidP="0093469A">
      <w:pPr>
        <w:snapToGrid w:val="0"/>
        <w:spacing w:line="360" w:lineRule="auto"/>
        <w:ind w:firstLineChars="200" w:firstLine="420"/>
        <w:rPr>
          <w:rFonts w:ascii="宋体" w:cs="Times New Roman"/>
        </w:rPr>
      </w:pPr>
      <w:r w:rsidRPr="0093469A">
        <w:rPr>
          <w:rFonts w:ascii="宋体" w:cs="Times New Roman" w:hint="eastAsia"/>
        </w:rPr>
        <w:t>基金托管人在对财务报表、季度报告、中期报告或年度报告中有关基金财务报告等信息复核完毕后，可以出具复核确认书（盖章）或以其他双方约定的方式确认，以备有权机构对相关文件审核检查</w:t>
      </w:r>
      <w:r w:rsidR="00795E23">
        <w:rPr>
          <w:rFonts w:ascii="宋体" w:cs="Times New Roman" w:hint="eastAsia"/>
        </w:rPr>
        <w:t>。</w:t>
      </w:r>
    </w:p>
    <w:p w14:paraId="60EFA89E" w14:textId="77777777" w:rsidR="00C754EF" w:rsidRDefault="00C754EF">
      <w:pPr>
        <w:snapToGrid w:val="0"/>
        <w:spacing w:line="360" w:lineRule="auto"/>
        <w:ind w:firstLineChars="200" w:firstLine="420"/>
        <w:rPr>
          <w:rFonts w:ascii="宋体" w:cs="Times New Roman"/>
        </w:rPr>
      </w:pPr>
    </w:p>
    <w:p w14:paraId="60F44953" w14:textId="48E0537C" w:rsidR="00AE3DA6" w:rsidRDefault="00795E23">
      <w:pPr>
        <w:snapToGrid w:val="0"/>
        <w:spacing w:line="360" w:lineRule="auto"/>
        <w:ind w:firstLineChars="200" w:firstLine="420"/>
        <w:rPr>
          <w:rFonts w:ascii="宋体" w:cs="Times New Roman"/>
        </w:rPr>
      </w:pPr>
      <w:r>
        <w:rPr>
          <w:rFonts w:ascii="宋体" w:cs="Times New Roman" w:hint="eastAsia"/>
        </w:rPr>
        <w:t>六、基金份额持有人名册的保管</w:t>
      </w:r>
    </w:p>
    <w:p w14:paraId="1F3DFDEA"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基金管理人可委托基金登记机构登记和保管基金份额持有人名册。基金份额持有人名册的内容包括但不限于基金份额持有人的名称和持有的基金份额。</w:t>
      </w:r>
    </w:p>
    <w:p w14:paraId="2842BDD2"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基金份额持有人名册，包括基金合同生效日的基金份额持有人名册、基金合同终止日的基金份额持有人名册、基金权益登记日的基金份额持有人名册、基金份额持有人大会权益登记日的基金份额持有人名册、每年最后一个交易日的基金份额持有人名册，由基金登记机构负责编制和保管，并对基金份额持有人名册的真实性、完整性和准确性负责。</w:t>
      </w:r>
    </w:p>
    <w:p w14:paraId="2378E387"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基金管理人应根据基金托管人的要求定期和不定期向基金托管人提供基金份额持有人名册。</w:t>
      </w:r>
    </w:p>
    <w:p w14:paraId="6FBD7B65"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（一）基金管理人于《基金合同》生效日及《基金合同》终止日后10个工作日内向基金托管人提供由登记机构编制的基金份额持有人名册；</w:t>
      </w:r>
    </w:p>
    <w:p w14:paraId="5333CB39"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（二）基金管理人于基金份额持有人大会权益登记日后5个工作日内向基金托管人提供由登记机构编制的基金份额持有人名册；</w:t>
      </w:r>
    </w:p>
    <w:p w14:paraId="05083B87"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（三）基金管理人于每年最后一个交易日后10个工作日内向基金托管人提供由登记机构编制的基金份额持有人名册；</w:t>
      </w:r>
    </w:p>
    <w:p w14:paraId="27E05A26"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（四）除上述约定时间外，如果确因业务需要，基金托管人与基金管理人商议一致后，由基金管理人向基金托管人提供由登记机构编制的基金份额持有人名册。</w:t>
      </w:r>
    </w:p>
    <w:p w14:paraId="297403B3" w14:textId="64EF2ECE" w:rsidR="00AE3DA6" w:rsidRDefault="0093469A" w:rsidP="0093469A">
      <w:pPr>
        <w:snapToGrid w:val="0"/>
        <w:spacing w:line="360" w:lineRule="auto"/>
        <w:ind w:firstLineChars="200" w:firstLine="420"/>
        <w:rPr>
          <w:rFonts w:ascii="宋体" w:cs="Times New Roman"/>
        </w:rPr>
      </w:pPr>
      <w:r w:rsidRPr="0093469A">
        <w:rPr>
          <w:rFonts w:ascii="宋体" w:cs="Times New Roman" w:hint="eastAsia"/>
        </w:rPr>
        <w:t>基金托管人以电子版形式妥善保管基金份额持有人名册，并定期刻成光盘备份，保存期限不低于法律法规规定的最低期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r w:rsidR="00795E23">
        <w:rPr>
          <w:rFonts w:ascii="宋体" w:cs="Times New Roman" w:hint="eastAsia"/>
        </w:rPr>
        <w:t>。</w:t>
      </w:r>
    </w:p>
    <w:p w14:paraId="62BEB421" w14:textId="77777777" w:rsidR="00AE3DA6" w:rsidRDefault="00AE3DA6">
      <w:pPr>
        <w:snapToGrid w:val="0"/>
        <w:spacing w:line="360" w:lineRule="auto"/>
        <w:ind w:firstLineChars="200" w:firstLine="420"/>
        <w:rPr>
          <w:rFonts w:ascii="宋体" w:cs="Times New Roman"/>
        </w:rPr>
      </w:pPr>
    </w:p>
    <w:p w14:paraId="4911487A" w14:textId="1FAAEB20" w:rsidR="00AE3DA6" w:rsidRDefault="00795E23">
      <w:pPr>
        <w:snapToGrid w:val="0"/>
        <w:spacing w:line="360" w:lineRule="auto"/>
        <w:ind w:firstLineChars="200" w:firstLine="420"/>
        <w:rPr>
          <w:rFonts w:ascii="宋体" w:cs="Times New Roman"/>
        </w:rPr>
      </w:pPr>
      <w:r>
        <w:rPr>
          <w:rFonts w:ascii="宋体" w:cs="Times New Roman" w:hint="eastAsia"/>
        </w:rPr>
        <w:t>七、争议解决方式</w:t>
      </w:r>
    </w:p>
    <w:p w14:paraId="642B4E56"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双方当事人同意，因本协议而产生的或与本协议有关的一切争议，如经友好协商未能解决的，任何一方均有权将争议提交深圳国际仲裁院，按照深圳国际仲裁院届时有效的仲裁规则进行仲裁。仲裁地点为深圳市。仲裁裁决是终局的，对当事人均有约束力。除非仲裁裁决另有决定，仲裁费、律师费由败诉方承担。</w:t>
      </w:r>
    </w:p>
    <w:p w14:paraId="6C692895"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争议处理期间，双方当事人应恪守基金管理人和基金托管人职责，继续忠实、勤勉、尽责地履行《基金合同》和本协议规定的义务，维护基金份额持有人的合法权益。</w:t>
      </w:r>
    </w:p>
    <w:p w14:paraId="49AFDD73" w14:textId="1946D930" w:rsidR="00AE3DA6" w:rsidRDefault="0093469A" w:rsidP="0093469A">
      <w:pPr>
        <w:snapToGrid w:val="0"/>
        <w:spacing w:line="360" w:lineRule="auto"/>
        <w:ind w:firstLineChars="200" w:firstLine="420"/>
        <w:rPr>
          <w:rFonts w:ascii="宋体" w:cs="Times New Roman"/>
        </w:rPr>
      </w:pPr>
      <w:r w:rsidRPr="0093469A">
        <w:rPr>
          <w:rFonts w:ascii="宋体" w:cs="Times New Roman" w:hint="eastAsia"/>
        </w:rPr>
        <w:t>本协议受中华人民共和国法律（为本协议之目的，不包括香港、澳门特别行政区及台湾地区法律）管辖并从其解释</w:t>
      </w:r>
      <w:r w:rsidR="00795E23">
        <w:rPr>
          <w:rFonts w:ascii="宋体" w:cs="Times New Roman" w:hint="eastAsia"/>
        </w:rPr>
        <w:t>。</w:t>
      </w:r>
    </w:p>
    <w:p w14:paraId="7ACF6F3F" w14:textId="77777777" w:rsidR="00AE3DA6" w:rsidRDefault="00AE3DA6">
      <w:pPr>
        <w:snapToGrid w:val="0"/>
        <w:spacing w:line="360" w:lineRule="auto"/>
        <w:ind w:firstLineChars="200" w:firstLine="420"/>
        <w:rPr>
          <w:rFonts w:ascii="宋体" w:cs="Times New Roman"/>
        </w:rPr>
      </w:pPr>
    </w:p>
    <w:p w14:paraId="02EBC85D" w14:textId="24595E5A" w:rsidR="00AE3DA6" w:rsidRDefault="00795E23">
      <w:pPr>
        <w:snapToGrid w:val="0"/>
        <w:spacing w:line="360" w:lineRule="auto"/>
        <w:ind w:firstLineChars="200" w:firstLine="420"/>
        <w:rPr>
          <w:rFonts w:ascii="宋体" w:cs="Times New Roman"/>
        </w:rPr>
      </w:pPr>
      <w:r>
        <w:rPr>
          <w:rFonts w:ascii="宋体" w:cs="Times New Roman" w:hint="eastAsia"/>
        </w:rPr>
        <w:t>八、</w:t>
      </w:r>
      <w:r w:rsidR="00C754EF">
        <w:rPr>
          <w:rFonts w:ascii="宋体" w:cs="Times New Roman" w:hint="eastAsia"/>
        </w:rPr>
        <w:t>基金</w:t>
      </w:r>
      <w:r>
        <w:rPr>
          <w:rFonts w:ascii="宋体" w:cs="Times New Roman" w:hint="eastAsia"/>
        </w:rPr>
        <w:t>托管协议的变更、终止与基金财产的清算</w:t>
      </w:r>
    </w:p>
    <w:p w14:paraId="7BB5CB41"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（一）基金托管协议的变更</w:t>
      </w:r>
    </w:p>
    <w:p w14:paraId="084387AF"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1、本协议双方当事人经协商一致，可以对协议进行修改。修改后的新协议，其内容不得与《基金合同》的规定有任何冲突。</w:t>
      </w:r>
    </w:p>
    <w:p w14:paraId="21B8FCD9"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2、管理人知悉并认可，若托管人根据相关法律法规设立专门基金托管子公司（包括独资子公司或与其他机构成立合资子公司）的，托管人可直接变更为该等基金托管子公司，而无需再按照上文中约定的方式（包括签署补充协议）进行合同变更。</w:t>
      </w:r>
    </w:p>
    <w:p w14:paraId="50C8D41E"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如决定变更托管人为基金托管子公司的，托管人、基金托管子公司应发布公告，该等变更自托管人公告中载明的生效日起生效。自变更生效时起，托管人于本协议项下的全部权利、义务、责任将由基金托管子公司继承，基金托管子公司应当依据法律法规和本协议约定履行义务。</w:t>
      </w:r>
    </w:p>
    <w:p w14:paraId="437E6115"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为免疑义，若本协议中其他条款与本条款不一致或存在矛盾的，以本条款约定为准。</w:t>
      </w:r>
    </w:p>
    <w:p w14:paraId="625F48D4"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（二）基金托管协议的终止</w:t>
      </w:r>
    </w:p>
    <w:p w14:paraId="7C79E3EC"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1、《基金合同》终止；</w:t>
      </w:r>
    </w:p>
    <w:p w14:paraId="6B29DF0D"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2、基金托管人解散、依法被撤销、破产，被依法取消基金托管资格或因其他事由造成其他基金托管人接管基金财产；</w:t>
      </w:r>
    </w:p>
    <w:p w14:paraId="405EDB8D"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3、基金管理人解散、依法被撤销、破产，被依法取消基金管理资格或因其他事由造成其他基金管理人接管基金管理权；</w:t>
      </w:r>
    </w:p>
    <w:p w14:paraId="1219845F"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4、发生《基金法》、《销售办法》、《运作办法》或其他法律、法规规定的终止事项。</w:t>
      </w:r>
    </w:p>
    <w:p w14:paraId="77F7E34F"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（三）基金财产的清算</w:t>
      </w:r>
    </w:p>
    <w:p w14:paraId="7BD853BE"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1、基金财产清算小组：自出现《基金合同》终止事由之日起30个工作日内成立清算小组，基金管理人组织基金财产清算小组并在中国证监会的监督下进行基金清算。</w:t>
      </w:r>
    </w:p>
    <w:p w14:paraId="35119E94"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FFD65A9"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3、基金财产清算小组职责：基金财产清算小组负责基金财产的保管、清理、估价、变现和分配。基金财产清算小组可以依法进行必要的民事活动。</w:t>
      </w:r>
    </w:p>
    <w:p w14:paraId="3731F2B1"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4、基金财产清算程序：</w:t>
      </w:r>
    </w:p>
    <w:p w14:paraId="1238322A"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（1）《基金合同》终止情形出现时，由基金财产清算小组统一接管基金；</w:t>
      </w:r>
    </w:p>
    <w:p w14:paraId="10E94223"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（2）对基金财产和债权债务进行清理和确认；</w:t>
      </w:r>
    </w:p>
    <w:p w14:paraId="5F9AFA20"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（3）对基金财产进行估值和变现；</w:t>
      </w:r>
    </w:p>
    <w:p w14:paraId="577A8D6B"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（4）制作清算报告；</w:t>
      </w:r>
    </w:p>
    <w:p w14:paraId="13901C03"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（5）聘请符合《中华人民共和国证券法》规定的会计师事务所对清算报告进行外部审计，聘请律师事务所对清算报告出具法律意见书；</w:t>
      </w:r>
    </w:p>
    <w:p w14:paraId="1A8F6646"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（6）将清算报告报中国证监会备案并公告；</w:t>
      </w:r>
    </w:p>
    <w:p w14:paraId="0A535457"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（7）对基金剩余财产进行分配。</w:t>
      </w:r>
    </w:p>
    <w:p w14:paraId="39D736F7"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5、基金财产清算的期限为6个月，但因本基金所持证券的流动性受到限制而不能及时变现的，清算期限相应顺延。</w:t>
      </w:r>
    </w:p>
    <w:p w14:paraId="106485C3"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7B6C501F"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6、清算费用</w:t>
      </w:r>
    </w:p>
    <w:p w14:paraId="054A9DA4"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清算费用是指基金财产清算小组在进行基金清算过程中发生的所有合理费用，清算费用由基金财产清算小组优先从基金财产中支付。</w:t>
      </w:r>
    </w:p>
    <w:p w14:paraId="1A8E511B"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7、基金财产清算剩余资产的分配</w:t>
      </w:r>
    </w:p>
    <w:p w14:paraId="60CA38F2"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48F78856"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8、基金财产清算的公告</w:t>
      </w:r>
    </w:p>
    <w:p w14:paraId="5B361EB6"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645134B" w14:textId="77777777" w:rsidR="0093469A" w:rsidRPr="0093469A" w:rsidRDefault="0093469A" w:rsidP="0093469A">
      <w:pPr>
        <w:snapToGrid w:val="0"/>
        <w:spacing w:line="360" w:lineRule="auto"/>
        <w:ind w:firstLineChars="200" w:firstLine="420"/>
        <w:rPr>
          <w:rFonts w:ascii="宋体" w:cs="Times New Roman"/>
        </w:rPr>
      </w:pPr>
      <w:r w:rsidRPr="0093469A">
        <w:rPr>
          <w:rFonts w:ascii="宋体" w:cs="Times New Roman" w:hint="eastAsia"/>
        </w:rPr>
        <w:t>9、基金财产清算账册及文件的保存</w:t>
      </w:r>
    </w:p>
    <w:p w14:paraId="4ABAB26C" w14:textId="630202A7" w:rsidR="00AE3DA6" w:rsidRDefault="0093469A" w:rsidP="0093469A">
      <w:pPr>
        <w:snapToGrid w:val="0"/>
        <w:spacing w:line="360" w:lineRule="auto"/>
        <w:ind w:firstLineChars="200" w:firstLine="420"/>
        <w:rPr>
          <w:rFonts w:ascii="宋体" w:cs="Times New Roman"/>
        </w:rPr>
      </w:pPr>
      <w:r w:rsidRPr="0093469A">
        <w:rPr>
          <w:rFonts w:ascii="宋体" w:cs="Times New Roman" w:hint="eastAsia"/>
        </w:rPr>
        <w:t>基金财产清算账册及有关文件由基金托管人保存，保存期限不低于法律法规规定的最低期限</w:t>
      </w:r>
      <w:r w:rsidR="00795E23">
        <w:rPr>
          <w:rFonts w:ascii="宋体" w:cs="Times New Roman" w:hint="eastAsia"/>
        </w:rPr>
        <w:t>。</w:t>
      </w:r>
    </w:p>
    <w:p w14:paraId="775BBE03" w14:textId="77777777" w:rsidR="00AE3DA6" w:rsidRDefault="00795E23">
      <w:pPr>
        <w:snapToGrid w:val="0"/>
        <w:spacing w:line="360" w:lineRule="auto"/>
        <w:rPr>
          <w:rFonts w:ascii="宋体" w:cs="Times New Roman"/>
          <w:color w:val="000000"/>
        </w:rPr>
      </w:pPr>
      <w:r>
        <w:rPr>
          <w:rFonts w:ascii="宋体" w:cs="Times New Roman"/>
          <w:color w:val="000000"/>
        </w:rPr>
        <w:br w:type="page"/>
      </w:r>
    </w:p>
    <w:p w14:paraId="1E5E91D5"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190" w:name="_Toc360794422"/>
      <w:bookmarkStart w:id="191" w:name="_Toc362455197"/>
      <w:bookmarkStart w:id="192" w:name="_Toc360793864"/>
      <w:bookmarkStart w:id="193" w:name="_Toc360793512"/>
      <w:bookmarkStart w:id="194" w:name="_Toc360794114"/>
      <w:bookmarkStart w:id="195" w:name="_Toc48900088"/>
      <w:bookmarkStart w:id="196" w:name="_Toc360794530"/>
      <w:bookmarkStart w:id="197" w:name="_Toc362533469"/>
      <w:r>
        <w:rPr>
          <w:rFonts w:ascii="宋体" w:eastAsia="宋体" w:hAnsi="宋体" w:cs="宋体" w:hint="eastAsia"/>
        </w:rPr>
        <w:t>基金份额持有人服务</w:t>
      </w:r>
      <w:bookmarkEnd w:id="190"/>
      <w:bookmarkEnd w:id="191"/>
      <w:bookmarkEnd w:id="192"/>
      <w:bookmarkEnd w:id="193"/>
      <w:bookmarkEnd w:id="194"/>
      <w:bookmarkEnd w:id="195"/>
      <w:bookmarkEnd w:id="196"/>
      <w:bookmarkEnd w:id="197"/>
    </w:p>
    <w:p w14:paraId="2D0D5094" w14:textId="77777777" w:rsidR="00AE3DA6" w:rsidRDefault="00AE3DA6">
      <w:pPr>
        <w:snapToGrid w:val="0"/>
        <w:spacing w:line="360" w:lineRule="auto"/>
        <w:ind w:firstLine="480"/>
        <w:rPr>
          <w:rFonts w:ascii="宋体" w:cs="Times New Roman"/>
        </w:rPr>
      </w:pPr>
    </w:p>
    <w:p w14:paraId="08D30E3C"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对基金份额持有人的服务主要由基金管理人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23D5CB65"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若本基金包含在中国香港特别行政区销售的H类份额，则该H类份额持有人享有的服务项目一般情况下限于客户服务中心电话服务、投资人投诉及建议受理服务和网站资讯等服务。</w:t>
      </w:r>
    </w:p>
    <w:p w14:paraId="5BE8B2FD" w14:textId="77777777" w:rsidR="000E2B84" w:rsidRPr="000E2B84" w:rsidRDefault="000E2B84" w:rsidP="000E2B84">
      <w:pPr>
        <w:snapToGrid w:val="0"/>
        <w:spacing w:line="360" w:lineRule="auto"/>
        <w:ind w:firstLineChars="200" w:firstLine="420"/>
        <w:rPr>
          <w:rFonts w:ascii="宋体" w:hAnsi="宋体" w:cs="宋体"/>
        </w:rPr>
      </w:pPr>
    </w:p>
    <w:p w14:paraId="092770D3"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一、网上开户及交易服务</w:t>
      </w:r>
    </w:p>
    <w:p w14:paraId="49200B1F"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投资人可通过基金管理人网站（www.nffund.com）、微信服务号（可搜索“南方基金”或“NF4008898899”）或APP客户端等平台办理开户、认购/申购、赎回及信息查询等业务。有关基金管理人电子直销具体规则请参见基金管理人网站相关公告和业务规则。</w:t>
      </w:r>
    </w:p>
    <w:p w14:paraId="6D576E23" w14:textId="77777777" w:rsidR="000E2B84" w:rsidRPr="000E2B84" w:rsidRDefault="000E2B84" w:rsidP="000E2B84">
      <w:pPr>
        <w:snapToGrid w:val="0"/>
        <w:spacing w:line="360" w:lineRule="auto"/>
        <w:ind w:firstLineChars="200" w:firstLine="420"/>
        <w:rPr>
          <w:rFonts w:ascii="宋体" w:hAnsi="宋体" w:cs="宋体"/>
        </w:rPr>
      </w:pPr>
    </w:p>
    <w:p w14:paraId="4E2938AA"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二、信息查询及交易确认服务</w:t>
      </w:r>
    </w:p>
    <w:p w14:paraId="1E6FA6A7"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（一）基金信息查询服务</w:t>
      </w:r>
    </w:p>
    <w:p w14:paraId="3C5926CA"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投资人可通过基金管理人网站等平台享有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14:paraId="4331F038"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（二）基金交易确认服务</w:t>
      </w:r>
    </w:p>
    <w:p w14:paraId="6DD97034"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基金管理人以电子邮件、微信、短信等与投资人约定的任一形式，及时向通过基金管理人直销渠道投资并持有本公司基金份额的持有人告知其认购、申购、赎回的基金名称以及基金份额的确认日期、确认份额和金额等信息。基金份额持有人通过非直销销售机构办理基金管理人基金份额交易业务的，相关信息确认服务请参照各销售机构实际业务流程及规定。</w:t>
      </w:r>
    </w:p>
    <w:p w14:paraId="49B26F41" w14:textId="77777777" w:rsidR="000E2B84" w:rsidRPr="000E2B84" w:rsidRDefault="000E2B84" w:rsidP="000E2B84">
      <w:pPr>
        <w:snapToGrid w:val="0"/>
        <w:spacing w:line="360" w:lineRule="auto"/>
        <w:ind w:firstLineChars="200" w:firstLine="420"/>
        <w:rPr>
          <w:rFonts w:ascii="宋体" w:hAnsi="宋体" w:cs="宋体"/>
        </w:rPr>
      </w:pPr>
    </w:p>
    <w:p w14:paraId="5D62EDE6"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三、基金保有情况信息服务</w:t>
      </w:r>
    </w:p>
    <w:p w14:paraId="374D6FDD"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基金管理人至少每年度以电子邮件、微信或其他与投资人约定的形式向通过基金管理人直销渠道投资并持有基金管理人基金份额的持有人提供基金保有情况信息。</w:t>
      </w:r>
    </w:p>
    <w:p w14:paraId="30C94CEC"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基金份额持有人可通过以下方式订阅或查阅基金保有情况信息：</w:t>
      </w:r>
    </w:p>
    <w:p w14:paraId="3598D932"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1、基金份额持有人可通过基金管理人网站、客服电话等方式定制电子邮件形式的定期对账单。</w:t>
      </w:r>
    </w:p>
    <w:p w14:paraId="43D11660"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2、基金份额持有人可关注基金管理人微信服务号并绑定账户，定期接收微信对账单。</w:t>
      </w:r>
    </w:p>
    <w:p w14:paraId="47543817"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3、基金份额持有人可登录本基金管理人网站、微信服务号、微信小程序（可搜索“南方基金服务+”）或APP客户端等平台查阅及下载基金保有情况及对账单。</w:t>
      </w:r>
    </w:p>
    <w:p w14:paraId="04F8B4AF"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4、基金份额持有人可前往销售机构交易网点打印或通过交易网点提供的自助、电话、网上服务等渠道查询基金保有情况信息。</w:t>
      </w:r>
    </w:p>
    <w:p w14:paraId="54384762"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由于投资人预留的联系方式不详、错误、未及时变更，未关注微信服务号或者关注后未绑定账号，通讯故障、延误等原因有可能造成对账单无法按时或准确送达。因上述原因无法正常收取对账单的投资人，敬请及时通过基金管理人网站，或拨打基金管理人客服热线查询、核对、变更预留联系方式。</w:t>
      </w:r>
    </w:p>
    <w:p w14:paraId="0E176215" w14:textId="77777777" w:rsidR="000E2B84" w:rsidRPr="000E2B84" w:rsidRDefault="000E2B84" w:rsidP="000E2B84">
      <w:pPr>
        <w:snapToGrid w:val="0"/>
        <w:spacing w:line="360" w:lineRule="auto"/>
        <w:ind w:firstLineChars="200" w:firstLine="420"/>
        <w:rPr>
          <w:rFonts w:ascii="宋体" w:hAnsi="宋体" w:cs="宋体"/>
        </w:rPr>
      </w:pPr>
    </w:p>
    <w:p w14:paraId="321A6D30"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四、资讯服务</w:t>
      </w:r>
    </w:p>
    <w:p w14:paraId="3ADB8EB3"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投资人知悉并同意基金管理人可根据投资人的个人信息不定期通过电话、短信、邮件、微信等任一或多种方式为投资人提供与投资人相关的账户服务通知、交易确认通知、重要公告通知、活动消息、营销信息、客户关怀等资讯及增值服务，投资本基金前请详阅南方基金官网服务介绍和隐私政策。如需取消相应资讯服务，可按照相关指引退订，或通过基金管理人客户服务中心热线400-889-8899、在线服务等人工服务方式退订。</w:t>
      </w:r>
    </w:p>
    <w:p w14:paraId="13FE2EB7" w14:textId="77777777" w:rsidR="000E2B84" w:rsidRPr="000E2B84" w:rsidRDefault="000E2B84" w:rsidP="000E2B84">
      <w:pPr>
        <w:snapToGrid w:val="0"/>
        <w:spacing w:line="360" w:lineRule="auto"/>
        <w:ind w:firstLineChars="200" w:firstLine="420"/>
        <w:rPr>
          <w:rFonts w:ascii="宋体" w:hAnsi="宋体" w:cs="宋体"/>
        </w:rPr>
      </w:pPr>
    </w:p>
    <w:p w14:paraId="1952D31D"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五、客户服务中心电话及在线服务</w:t>
      </w:r>
    </w:p>
    <w:p w14:paraId="1979AE98"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（一）电话服务</w:t>
      </w:r>
    </w:p>
    <w:p w14:paraId="6C2BB364"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投资人拨打基金管理人客户服务中心热线400-889-8899可享有如下服务：</w:t>
      </w:r>
    </w:p>
    <w:p w14:paraId="638DE9AE"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1、自助语音服务（7×24小时）：提供基金净值信息、账户信息等自助查询服务。</w:t>
      </w:r>
    </w:p>
    <w:p w14:paraId="564A96D8"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2、人工服务：提供每周7日，每日不少于8小时的人工服务（春节假期除外）。投资人可以通过该热线获得投资咨询、业务咨询、信息查询、投诉及建议、信息定制等专项服务。</w:t>
      </w:r>
    </w:p>
    <w:p w14:paraId="0689C61F"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（二）在线服务</w:t>
      </w:r>
    </w:p>
    <w:p w14:paraId="6E824B15"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投资人通过基金管理人网站、微信服务号、微信小程序或APP客户端等平台可享有如下服务：</w:t>
      </w:r>
    </w:p>
    <w:p w14:paraId="17874AD5"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1、</w:t>
      </w:r>
      <w:r w:rsidRPr="000E2B84">
        <w:rPr>
          <w:rFonts w:ascii="宋体" w:hAnsi="宋体" w:cs="宋体" w:hint="eastAsia"/>
        </w:rPr>
        <w:tab/>
        <w:t>智能客服服务（7×24小时）：提供业务规则、净值信息等自助咨询服务。</w:t>
      </w:r>
    </w:p>
    <w:p w14:paraId="3C4E9DED"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2、人工服务：提供每周7天，每天不少于8小时的人工服务（春节假期除外）。投资人可通过该方式获得投资咨询、业务咨询、信息查询、服务投诉及建议、信息定制等专项服务。</w:t>
      </w:r>
    </w:p>
    <w:p w14:paraId="2F0D710E" w14:textId="77777777" w:rsidR="000E2B84" w:rsidRPr="000E2B84" w:rsidRDefault="000E2B84" w:rsidP="000E2B84">
      <w:pPr>
        <w:snapToGrid w:val="0"/>
        <w:spacing w:line="360" w:lineRule="auto"/>
        <w:ind w:firstLineChars="200" w:firstLine="420"/>
        <w:rPr>
          <w:rFonts w:ascii="宋体" w:hAnsi="宋体" w:cs="宋体"/>
        </w:rPr>
      </w:pPr>
    </w:p>
    <w:p w14:paraId="31B6E567" w14:textId="77777777" w:rsidR="000E2B84" w:rsidRPr="000E2B84" w:rsidRDefault="000E2B84" w:rsidP="000E2B84">
      <w:pPr>
        <w:snapToGrid w:val="0"/>
        <w:spacing w:line="360" w:lineRule="auto"/>
        <w:ind w:firstLineChars="200" w:firstLine="420"/>
        <w:rPr>
          <w:rFonts w:ascii="宋体" w:hAnsi="宋体" w:cs="宋体"/>
        </w:rPr>
      </w:pPr>
      <w:r w:rsidRPr="000E2B84">
        <w:rPr>
          <w:rFonts w:ascii="宋体" w:hAnsi="宋体" w:cs="宋体" w:hint="eastAsia"/>
        </w:rPr>
        <w:t>六、投诉及建议受理服务</w:t>
      </w:r>
    </w:p>
    <w:p w14:paraId="1B552E49" w14:textId="10E916CE" w:rsidR="00AE3DA6" w:rsidRDefault="000E2B84" w:rsidP="000E2B84">
      <w:pPr>
        <w:snapToGrid w:val="0"/>
        <w:spacing w:line="360" w:lineRule="auto"/>
        <w:ind w:firstLineChars="200" w:firstLine="420"/>
        <w:rPr>
          <w:rFonts w:ascii="宋体" w:cs="Times New Roman"/>
          <w:color w:val="000000"/>
        </w:rPr>
      </w:pPr>
      <w:r w:rsidRPr="000E2B84">
        <w:rPr>
          <w:rFonts w:ascii="宋体" w:hAnsi="宋体" w:cs="宋体" w:hint="eastAsia"/>
        </w:rPr>
        <w:t>投资人可以通过基金管理人客户服务中心人工热线、在线客服、书信、电子邮件、短信及各销售机构网点柜台等不同的渠道对基金管理人和销售网点所提供的服务进行投诉或提出建议</w:t>
      </w:r>
      <w:r w:rsidR="00795E23">
        <w:rPr>
          <w:rFonts w:ascii="宋体" w:hAnsi="宋体" w:cs="宋体" w:hint="eastAsia"/>
        </w:rPr>
        <w:t>。</w:t>
      </w:r>
      <w:r w:rsidR="00795E23">
        <w:rPr>
          <w:rFonts w:ascii="宋体" w:cs="Times New Roman"/>
          <w:color w:val="000000"/>
        </w:rPr>
        <w:br w:type="page"/>
      </w:r>
    </w:p>
    <w:p w14:paraId="2DDD57D3" w14:textId="71424C5E"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198" w:name="_Toc360793513"/>
      <w:bookmarkStart w:id="199" w:name="_Toc362455198"/>
      <w:bookmarkStart w:id="200" w:name="_Toc360794531"/>
      <w:bookmarkStart w:id="201" w:name="_Toc360794423"/>
      <w:bookmarkStart w:id="202" w:name="_Toc360793865"/>
      <w:bookmarkStart w:id="203" w:name="_Toc48900089"/>
      <w:bookmarkStart w:id="204" w:name="_Toc360794115"/>
      <w:bookmarkStart w:id="205" w:name="_Toc362533470"/>
      <w:r>
        <w:rPr>
          <w:rFonts w:ascii="宋体" w:eastAsia="宋体" w:hAnsi="宋体" w:cs="宋体" w:hint="eastAsia"/>
        </w:rPr>
        <w:t>其</w:t>
      </w:r>
      <w:r w:rsidR="00BF7DAD">
        <w:rPr>
          <w:rFonts w:ascii="宋体" w:eastAsia="宋体" w:hAnsi="宋体" w:cs="宋体" w:hint="eastAsia"/>
        </w:rPr>
        <w:t>他</w:t>
      </w:r>
      <w:r>
        <w:rPr>
          <w:rFonts w:ascii="宋体" w:eastAsia="宋体" w:hAnsi="宋体" w:cs="宋体" w:hint="eastAsia"/>
        </w:rPr>
        <w:t>应披露事项</w:t>
      </w:r>
      <w:bookmarkEnd w:id="198"/>
      <w:bookmarkEnd w:id="199"/>
      <w:bookmarkEnd w:id="200"/>
      <w:bookmarkEnd w:id="201"/>
      <w:bookmarkEnd w:id="202"/>
      <w:bookmarkEnd w:id="203"/>
      <w:bookmarkEnd w:id="204"/>
      <w:bookmarkEnd w:id="205"/>
    </w:p>
    <w:p w14:paraId="1F7F0110" w14:textId="77777777" w:rsidR="00AE3DA6" w:rsidRDefault="00AE3DA6">
      <w:pPr>
        <w:adjustRightInd w:val="0"/>
        <w:snapToGrid w:val="0"/>
        <w:spacing w:line="360" w:lineRule="auto"/>
        <w:ind w:firstLineChars="200" w:firstLine="420"/>
        <w:rPr>
          <w:rFonts w:ascii="宋体" w:cs="Times New Roman"/>
        </w:rPr>
      </w:pPr>
    </w:p>
    <w:p w14:paraId="66587A42" w14:textId="77777777" w:rsidR="00AE3DA6" w:rsidRDefault="00795E23">
      <w:pPr>
        <w:adjustRightInd w:val="0"/>
        <w:snapToGrid w:val="0"/>
        <w:spacing w:line="360" w:lineRule="auto"/>
        <w:ind w:firstLineChars="200" w:firstLine="420"/>
        <w:rPr>
          <w:rFonts w:ascii="宋体" w:cs="Times New Roman"/>
        </w:rPr>
      </w:pPr>
      <w:r>
        <w:rPr>
          <w:rFonts w:hAnsi="宋体" w:cs="宋体" w:hint="eastAsia"/>
        </w:rPr>
        <w:t>本基金暂无其他应披露事项。</w:t>
      </w:r>
      <w:r>
        <w:rPr>
          <w:rFonts w:ascii="宋体" w:hAnsi="宋体" w:cs="宋体" w:hint="eastAsia"/>
          <w:color w:val="000000"/>
        </w:rPr>
        <w:t>基金合同如有未尽事宜，由基金合同当事人各方按有关法律法规和规定协商解决。</w:t>
      </w:r>
    </w:p>
    <w:p w14:paraId="6B571FB3" w14:textId="77777777" w:rsidR="00AE3DA6" w:rsidRDefault="00AE3DA6">
      <w:pPr>
        <w:adjustRightInd w:val="0"/>
        <w:snapToGrid w:val="0"/>
        <w:spacing w:line="360" w:lineRule="auto"/>
        <w:ind w:firstLineChars="200" w:firstLine="420"/>
        <w:rPr>
          <w:rFonts w:ascii="宋体" w:cs="Times New Roman"/>
        </w:rPr>
      </w:pPr>
    </w:p>
    <w:p w14:paraId="0867FB2F" w14:textId="77777777" w:rsidR="00AE3DA6" w:rsidRDefault="00AE3DA6">
      <w:pPr>
        <w:adjustRightInd w:val="0"/>
        <w:snapToGrid w:val="0"/>
        <w:spacing w:line="360" w:lineRule="auto"/>
        <w:ind w:firstLineChars="200" w:firstLine="420"/>
        <w:rPr>
          <w:rFonts w:ascii="宋体" w:cs="Times New Roman"/>
          <w:color w:val="000000"/>
        </w:rPr>
      </w:pPr>
    </w:p>
    <w:p w14:paraId="181BF5F2" w14:textId="77777777" w:rsidR="00AE3DA6" w:rsidRDefault="00795E23">
      <w:pPr>
        <w:adjustRightInd w:val="0"/>
        <w:snapToGrid w:val="0"/>
        <w:spacing w:line="360" w:lineRule="auto"/>
        <w:ind w:firstLineChars="200" w:firstLine="420"/>
        <w:rPr>
          <w:rFonts w:ascii="宋体" w:cs="Times New Roman"/>
          <w:color w:val="000000"/>
        </w:rPr>
      </w:pPr>
      <w:r>
        <w:rPr>
          <w:rFonts w:ascii="宋体" w:cs="Times New Roman"/>
          <w:color w:val="000000"/>
        </w:rPr>
        <w:br w:type="page"/>
      </w:r>
    </w:p>
    <w:p w14:paraId="03B6FD6A"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206" w:name="_Toc48900090"/>
      <w:bookmarkStart w:id="207" w:name="_Toc362455199"/>
      <w:bookmarkStart w:id="208" w:name="_Toc360794532"/>
      <w:bookmarkStart w:id="209" w:name="_Toc360793514"/>
      <w:bookmarkStart w:id="210" w:name="_Toc360794424"/>
      <w:bookmarkStart w:id="211" w:name="_Toc360793866"/>
      <w:bookmarkStart w:id="212" w:name="_Toc360794116"/>
      <w:bookmarkStart w:id="213" w:name="_Toc362533471"/>
      <w:r>
        <w:rPr>
          <w:rFonts w:ascii="宋体" w:eastAsia="宋体" w:hAnsi="宋体" w:cs="宋体" w:hint="eastAsia"/>
        </w:rPr>
        <w:t>招募说明书存放及其查阅方式</w:t>
      </w:r>
      <w:bookmarkEnd w:id="206"/>
      <w:bookmarkEnd w:id="207"/>
      <w:bookmarkEnd w:id="208"/>
      <w:bookmarkEnd w:id="209"/>
      <w:bookmarkEnd w:id="210"/>
      <w:bookmarkEnd w:id="211"/>
      <w:bookmarkEnd w:id="212"/>
      <w:bookmarkEnd w:id="213"/>
    </w:p>
    <w:p w14:paraId="1E247D56" w14:textId="77777777" w:rsidR="00AE3DA6" w:rsidRDefault="00AE3DA6">
      <w:pPr>
        <w:snapToGrid w:val="0"/>
        <w:spacing w:line="360" w:lineRule="auto"/>
        <w:ind w:firstLineChars="200" w:firstLine="420"/>
        <w:rPr>
          <w:rFonts w:ascii="宋体" w:cs="Times New Roman"/>
          <w:color w:val="000000"/>
        </w:rPr>
      </w:pPr>
    </w:p>
    <w:p w14:paraId="78E91E10" w14:textId="77777777" w:rsidR="00AE3DA6" w:rsidRDefault="00795E23">
      <w:pPr>
        <w:snapToGrid w:val="0"/>
        <w:spacing w:line="360" w:lineRule="auto"/>
        <w:ind w:firstLineChars="200" w:firstLine="420"/>
        <w:rPr>
          <w:rFonts w:ascii="宋体" w:cs="Times New Roman"/>
          <w:color w:val="000000"/>
        </w:rPr>
      </w:pPr>
      <w:r>
        <w:rPr>
          <w:rFonts w:ascii="宋体" w:hAnsi="宋体" w:cs="宋体" w:hint="eastAsia"/>
          <w:color w:val="000000"/>
        </w:rPr>
        <w:t>本招募说明书存放在本基金管理人、基金托管人、销售机构的</w:t>
      </w:r>
      <w:bookmarkStart w:id="214" w:name="OLE_LINK325"/>
      <w:bookmarkStart w:id="215" w:name="OLE_LINK324"/>
      <w:r>
        <w:rPr>
          <w:rFonts w:ascii="宋体" w:hAnsi="宋体" w:cs="宋体" w:hint="eastAsia"/>
          <w:color w:val="000000"/>
        </w:rPr>
        <w:t>办公场所</w:t>
      </w:r>
      <w:bookmarkEnd w:id="214"/>
      <w:bookmarkEnd w:id="215"/>
      <w:r>
        <w:rPr>
          <w:rFonts w:ascii="宋体" w:hAnsi="宋体" w:cs="宋体" w:hint="eastAsia"/>
          <w:color w:val="000000"/>
        </w:rPr>
        <w:t>，投资</w:t>
      </w:r>
      <w:r>
        <w:rPr>
          <w:rFonts w:ascii="宋体" w:hAnsi="宋体" w:cs="宋体" w:hint="eastAsia"/>
        </w:rPr>
        <w:t>人</w:t>
      </w:r>
      <w:r>
        <w:rPr>
          <w:rFonts w:ascii="宋体" w:hAnsi="宋体" w:cs="宋体" w:hint="eastAsia"/>
          <w:color w:val="000000"/>
        </w:rPr>
        <w:t>可在办公时间免费查阅；也可按工本费购买本招募说明书复制件或复印件，但应以招募说明书正本为准。</w:t>
      </w:r>
    </w:p>
    <w:p w14:paraId="22333324" w14:textId="77777777" w:rsidR="00AE3DA6" w:rsidRDefault="00795E23">
      <w:pPr>
        <w:snapToGrid w:val="0"/>
        <w:spacing w:line="360" w:lineRule="auto"/>
        <w:ind w:firstLineChars="200" w:firstLine="420"/>
        <w:rPr>
          <w:rFonts w:ascii="宋体" w:cs="Times New Roman"/>
          <w:color w:val="000000"/>
        </w:rPr>
      </w:pPr>
      <w:r>
        <w:rPr>
          <w:rFonts w:ascii="宋体" w:hAnsi="宋体" w:cs="宋体" w:hint="eastAsia"/>
          <w:color w:val="000000"/>
        </w:rPr>
        <w:t>基金管理人和基金托管人保证文本的内容与所公告的内容完全一致。</w:t>
      </w:r>
    </w:p>
    <w:p w14:paraId="213DB223" w14:textId="77777777" w:rsidR="00AE3DA6" w:rsidRDefault="00795E23">
      <w:pPr>
        <w:snapToGrid w:val="0"/>
        <w:spacing w:line="360" w:lineRule="auto"/>
        <w:ind w:firstLineChars="200" w:firstLine="420"/>
        <w:rPr>
          <w:rFonts w:ascii="宋体" w:cs="Times New Roman"/>
          <w:color w:val="000000"/>
        </w:rPr>
      </w:pPr>
      <w:r>
        <w:rPr>
          <w:rFonts w:ascii="宋体" w:cs="Times New Roman"/>
          <w:color w:val="000000"/>
        </w:rPr>
        <w:br w:type="page"/>
      </w:r>
    </w:p>
    <w:p w14:paraId="56E7BC2F" w14:textId="77777777" w:rsidR="00AE3DA6" w:rsidRDefault="00795E23">
      <w:pPr>
        <w:pStyle w:val="21"/>
        <w:numPr>
          <w:ilvl w:val="0"/>
          <w:numId w:val="22"/>
        </w:numPr>
        <w:snapToGrid w:val="0"/>
        <w:spacing w:before="0" w:after="0" w:line="360" w:lineRule="auto"/>
        <w:jc w:val="left"/>
        <w:rPr>
          <w:rFonts w:ascii="宋体" w:eastAsia="宋体" w:hAnsi="宋体" w:cs="Times New Roman"/>
        </w:rPr>
      </w:pPr>
      <w:bookmarkStart w:id="216" w:name="_Toc360794117"/>
      <w:bookmarkStart w:id="217" w:name="_Toc362455200"/>
      <w:bookmarkStart w:id="218" w:name="_Toc360793867"/>
      <w:bookmarkStart w:id="219" w:name="_Toc48900091"/>
      <w:bookmarkStart w:id="220" w:name="_Toc360794533"/>
      <w:bookmarkStart w:id="221" w:name="_Toc360794425"/>
      <w:bookmarkStart w:id="222" w:name="_Toc362533472"/>
      <w:bookmarkStart w:id="223" w:name="_Toc360793515"/>
      <w:r>
        <w:rPr>
          <w:rFonts w:ascii="宋体" w:eastAsia="宋体" w:hAnsi="宋体" w:cs="宋体" w:hint="eastAsia"/>
        </w:rPr>
        <w:t>备查文件</w:t>
      </w:r>
      <w:bookmarkEnd w:id="216"/>
      <w:bookmarkEnd w:id="217"/>
      <w:bookmarkEnd w:id="218"/>
      <w:bookmarkEnd w:id="219"/>
      <w:bookmarkEnd w:id="220"/>
      <w:bookmarkEnd w:id="221"/>
      <w:bookmarkEnd w:id="222"/>
      <w:bookmarkEnd w:id="223"/>
    </w:p>
    <w:p w14:paraId="132B3E41" w14:textId="77777777" w:rsidR="00AE3DA6" w:rsidRDefault="00AE3DA6">
      <w:pPr>
        <w:adjustRightInd w:val="0"/>
        <w:snapToGrid w:val="0"/>
        <w:spacing w:line="360" w:lineRule="auto"/>
        <w:ind w:firstLine="539"/>
        <w:rPr>
          <w:rFonts w:ascii="宋体" w:cs="Times New Roman"/>
          <w:color w:val="000000"/>
        </w:rPr>
      </w:pPr>
    </w:p>
    <w:p w14:paraId="7CFFFBA8" w14:textId="77777777" w:rsidR="00AE3DA6" w:rsidRDefault="00795E23">
      <w:pPr>
        <w:adjustRightInd w:val="0"/>
        <w:snapToGrid w:val="0"/>
        <w:spacing w:line="360" w:lineRule="auto"/>
        <w:ind w:firstLine="539"/>
        <w:rPr>
          <w:rFonts w:ascii="宋体" w:cs="Times New Roman"/>
        </w:rPr>
      </w:pPr>
      <w:r>
        <w:rPr>
          <w:rFonts w:ascii="宋体" w:hAnsi="宋体" w:cs="宋体" w:hint="eastAsia"/>
        </w:rPr>
        <w:t>一、中国证监会准予本基金注册的文件</w:t>
      </w:r>
    </w:p>
    <w:p w14:paraId="03665724" w14:textId="1778AA30" w:rsidR="00AE3DA6" w:rsidRDefault="00795E23">
      <w:pPr>
        <w:adjustRightInd w:val="0"/>
        <w:snapToGrid w:val="0"/>
        <w:spacing w:line="360" w:lineRule="auto"/>
        <w:ind w:firstLine="539"/>
        <w:rPr>
          <w:rFonts w:ascii="宋体" w:cs="Times New Roman"/>
        </w:rPr>
      </w:pPr>
      <w:r>
        <w:rPr>
          <w:rFonts w:ascii="宋体" w:hAnsi="宋体" w:cs="宋体" w:hint="eastAsia"/>
        </w:rPr>
        <w:t>二、《</w:t>
      </w:r>
      <w:r>
        <w:rPr>
          <w:rFonts w:ascii="宋体" w:hAnsi="宋体" w:hint="eastAsia"/>
          <w:bCs/>
        </w:rPr>
        <w:t>南方中证港股通互联网交易型开放式指数证券投资基金发起式联接基金</w:t>
      </w:r>
      <w:r>
        <w:rPr>
          <w:rFonts w:ascii="宋体" w:hAnsi="宋体" w:cs="宋体" w:hint="eastAsia"/>
        </w:rPr>
        <w:t>基金合同》</w:t>
      </w:r>
    </w:p>
    <w:p w14:paraId="0829C457" w14:textId="0B25A69E" w:rsidR="00AE3DA6" w:rsidRDefault="00795E23">
      <w:pPr>
        <w:adjustRightInd w:val="0"/>
        <w:snapToGrid w:val="0"/>
        <w:spacing w:line="360" w:lineRule="auto"/>
        <w:ind w:firstLine="539"/>
        <w:rPr>
          <w:rFonts w:ascii="宋体" w:cs="Times New Roman"/>
          <w:color w:val="000000"/>
        </w:rPr>
      </w:pPr>
      <w:r>
        <w:rPr>
          <w:rFonts w:ascii="宋体" w:hAnsi="宋体" w:cs="宋体" w:hint="eastAsia"/>
        </w:rPr>
        <w:t>三、《</w:t>
      </w:r>
      <w:r>
        <w:rPr>
          <w:rFonts w:ascii="宋体" w:hAnsi="宋体" w:hint="eastAsia"/>
          <w:bCs/>
        </w:rPr>
        <w:t>南方中证港股通互联网交易型开放式指数证券投资基金发起式联接基金</w:t>
      </w:r>
      <w:r>
        <w:rPr>
          <w:rFonts w:ascii="宋体" w:hAnsi="宋体" w:cs="宋体" w:hint="eastAsia"/>
          <w:color w:val="000000"/>
        </w:rPr>
        <w:t>托管协议》</w:t>
      </w:r>
    </w:p>
    <w:p w14:paraId="455E034A" w14:textId="77777777" w:rsidR="00AE3DA6" w:rsidRDefault="00795E23">
      <w:pPr>
        <w:adjustRightInd w:val="0"/>
        <w:snapToGrid w:val="0"/>
        <w:spacing w:line="360" w:lineRule="auto"/>
        <w:ind w:firstLine="539"/>
        <w:rPr>
          <w:rFonts w:ascii="宋体" w:cs="Times New Roman"/>
          <w:color w:val="000000"/>
        </w:rPr>
      </w:pPr>
      <w:r>
        <w:rPr>
          <w:rFonts w:ascii="宋体" w:hAnsi="宋体" w:cs="宋体" w:hint="eastAsia"/>
          <w:color w:val="000000"/>
        </w:rPr>
        <w:t>四、《南方基金管理股份有限公司开放式基金业务规则》</w:t>
      </w:r>
    </w:p>
    <w:p w14:paraId="42B104E0" w14:textId="77777777" w:rsidR="00AE3DA6" w:rsidRDefault="00795E23">
      <w:pPr>
        <w:adjustRightInd w:val="0"/>
        <w:snapToGrid w:val="0"/>
        <w:spacing w:line="360" w:lineRule="auto"/>
        <w:ind w:firstLine="539"/>
        <w:rPr>
          <w:rFonts w:ascii="宋体" w:cs="Times New Roman"/>
          <w:color w:val="000000"/>
        </w:rPr>
      </w:pPr>
      <w:r>
        <w:rPr>
          <w:rFonts w:ascii="宋体" w:hAnsi="宋体" w:cs="宋体" w:hint="eastAsia"/>
          <w:color w:val="000000"/>
        </w:rPr>
        <w:t>五、法律意见书</w:t>
      </w:r>
    </w:p>
    <w:p w14:paraId="1C14DACC" w14:textId="77777777" w:rsidR="00AE3DA6" w:rsidRDefault="00795E23">
      <w:pPr>
        <w:adjustRightInd w:val="0"/>
        <w:snapToGrid w:val="0"/>
        <w:spacing w:line="360" w:lineRule="auto"/>
        <w:ind w:firstLine="539"/>
        <w:rPr>
          <w:rFonts w:ascii="宋体" w:cs="Times New Roman"/>
          <w:color w:val="000000"/>
        </w:rPr>
      </w:pPr>
      <w:r>
        <w:rPr>
          <w:rFonts w:ascii="宋体" w:hAnsi="宋体" w:cs="宋体" w:hint="eastAsia"/>
          <w:color w:val="000000"/>
        </w:rPr>
        <w:t>六、基金管理人业务资格批件、营业执照</w:t>
      </w:r>
    </w:p>
    <w:p w14:paraId="74AD94B2" w14:textId="134FBBA6" w:rsidR="00AE3DA6" w:rsidRDefault="00795E23" w:rsidP="000A553B">
      <w:pPr>
        <w:adjustRightInd w:val="0"/>
        <w:snapToGrid w:val="0"/>
        <w:spacing w:line="360" w:lineRule="auto"/>
        <w:ind w:firstLine="539"/>
        <w:rPr>
          <w:rFonts w:ascii="Times New Roman" w:hAnsi="Times New Roman" w:cs="Times New Roman"/>
          <w:szCs w:val="24"/>
        </w:rPr>
      </w:pPr>
      <w:r>
        <w:rPr>
          <w:rFonts w:ascii="宋体" w:hAnsi="宋体" w:cs="宋体" w:hint="eastAsia"/>
          <w:color w:val="000000"/>
        </w:rPr>
        <w:t>七、基金托管人业务资格批件、营业执照</w:t>
      </w:r>
    </w:p>
    <w:bookmarkEnd w:id="28"/>
    <w:bookmarkEnd w:id="29"/>
    <w:bookmarkEnd w:id="30"/>
    <w:p w14:paraId="167C08E8" w14:textId="77777777" w:rsidR="00AE3DA6" w:rsidRPr="00DA1827" w:rsidRDefault="00AE3DA6">
      <w:pPr>
        <w:rPr>
          <w:rFonts w:ascii="宋体" w:cs="Times New Roman"/>
        </w:rPr>
      </w:pPr>
    </w:p>
    <w:sectPr w:rsidR="00AE3DA6" w:rsidRPr="00DA1827">
      <w:headerReference w:type="default" r:id="rId9"/>
      <w:footerReference w:type="default" r:id="rId10"/>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98E92" w16cid:durableId="2C7B09E6"/>
  <w16cid:commentId w16cid:paraId="18D37F8B" w16cid:durableId="2C7BE3C7"/>
  <w16cid:commentId w16cid:paraId="3F207171" w16cid:durableId="2C7BE12D"/>
  <w16cid:commentId w16cid:paraId="7FBF8EB7" w16cid:durableId="2C7B09E7"/>
  <w16cid:commentId w16cid:paraId="3E8729A9" w16cid:durableId="2C7B09E8"/>
  <w16cid:commentId w16cid:paraId="3CB8F052" w16cid:durableId="2C7BE574"/>
  <w16cid:commentId w16cid:paraId="2E72F1A6" w16cid:durableId="2C7BE19F"/>
  <w16cid:commentId w16cid:paraId="6FB224A3" w16cid:durableId="2C7BE1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DD73F" w14:textId="77777777" w:rsidR="00AB5E5E" w:rsidRDefault="00AB5E5E">
      <w:r>
        <w:separator/>
      </w:r>
    </w:p>
  </w:endnote>
  <w:endnote w:type="continuationSeparator" w:id="0">
    <w:p w14:paraId="0E87761C" w14:textId="77777777" w:rsidR="00AB5E5E" w:rsidRDefault="00AB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1F00FF" w:csb1="00000000"/>
  </w:font>
  <w:font w:name="??">
    <w:altName w:val="Times New Roman"/>
    <w:charset w:val="00"/>
    <w:family w:val="modern"/>
    <w:pitch w:val="default"/>
    <w:sig w:usb0="00000000" w:usb1="00000000" w:usb2="00000000" w:usb3="00000000" w:csb0="00000001" w:csb1="00000000"/>
  </w:font>
  <w:font w:name="方正黑体简体">
    <w:altName w:val="黑体"/>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五">
    <w:altName w:val="方正舒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0A4DF" w14:textId="77777777" w:rsidR="00907401" w:rsidRDefault="00907401">
    <w:pPr>
      <w:pStyle w:val="af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94A2E" w14:textId="2278F2A1" w:rsidR="00907401" w:rsidRDefault="00907401">
    <w:pPr>
      <w:pStyle w:val="af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93F33" w14:textId="77777777" w:rsidR="00AB5E5E" w:rsidRDefault="00AB5E5E">
      <w:r>
        <w:separator/>
      </w:r>
    </w:p>
  </w:footnote>
  <w:footnote w:type="continuationSeparator" w:id="0">
    <w:p w14:paraId="5C21E05E" w14:textId="77777777" w:rsidR="00AB5E5E" w:rsidRDefault="00AB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EB633" w14:textId="77777777" w:rsidR="00907401" w:rsidRDefault="00907401">
    <w:pPr>
      <w:pBdr>
        <w:bottom w:val="single" w:sz="6" w:space="1" w:color="auto"/>
      </w:pBdr>
      <w:tabs>
        <w:tab w:val="center" w:pos="4153"/>
        <w:tab w:val="right" w:pos="8306"/>
      </w:tabs>
      <w:snapToGrid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left" w:pos="360"/>
        </w:tabs>
        <w:ind w:left="360" w:hanging="360"/>
      </w:pPr>
      <w:rPr>
        <w:rFonts w:ascii="Symbol" w:hAnsi="Symbol" w:cs="Symbol" w:hint="default"/>
        <w:color w:val="auto"/>
      </w:rPr>
    </w:lvl>
  </w:abstractNum>
  <w:abstractNum w:abstractNumId="1" w15:restartNumberingAfterBreak="0">
    <w:nsid w:val="044209E7"/>
    <w:multiLevelType w:val="multilevel"/>
    <w:tmpl w:val="044209E7"/>
    <w:lvl w:ilvl="0">
      <w:start w:val="1"/>
      <w:numFmt w:val="decimal"/>
      <w:pStyle w:val="AOAppHead"/>
      <w:suff w:val="nothing"/>
      <w:lvlText w:val="Appendix %1"/>
      <w:lvlJc w:val="left"/>
      <w:rPr>
        <w:b/>
        <w:bCs/>
        <w:i w:val="0"/>
        <w:iCs w:val="0"/>
      </w:rPr>
    </w:lvl>
    <w:lvl w:ilvl="1">
      <w:start w:val="1"/>
      <w:numFmt w:val="decimal"/>
      <w:pStyle w:val="AOAppPartHead"/>
      <w:suff w:val="nothing"/>
      <w:lvlText w:val="Part %2"/>
      <w:lvlJc w:val="left"/>
      <w:rPr>
        <w:b/>
        <w:bCs/>
        <w:i w:val="0"/>
        <w:iCs w:val="0"/>
      </w:rPr>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 w15:restartNumberingAfterBreak="0">
    <w:nsid w:val="0B101077"/>
    <w:multiLevelType w:val="singleLevel"/>
    <w:tmpl w:val="0B101077"/>
    <w:lvl w:ilvl="0">
      <w:start w:val="1"/>
      <w:numFmt w:val="decimal"/>
      <w:pStyle w:val="a"/>
      <w:lvlText w:val="%1)"/>
      <w:lvlJc w:val="left"/>
      <w:pPr>
        <w:tabs>
          <w:tab w:val="left" w:pos="720"/>
        </w:tabs>
        <w:ind w:left="720" w:hanging="360"/>
      </w:pPr>
    </w:lvl>
  </w:abstractNum>
  <w:abstractNum w:abstractNumId="3" w15:restartNumberingAfterBreak="0">
    <w:nsid w:val="10F37ADE"/>
    <w:multiLevelType w:val="multilevel"/>
    <w:tmpl w:val="10F37ADE"/>
    <w:lvl w:ilvl="0">
      <w:start w:val="1"/>
      <w:numFmt w:val="decimal"/>
      <w:pStyle w:val="AOListNumber"/>
      <w:lvlText w:val="%1."/>
      <w:lvlJc w:val="left"/>
      <w:pPr>
        <w:tabs>
          <w:tab w:val="left" w:pos="720"/>
        </w:tabs>
        <w:ind w:left="720" w:hanging="720"/>
      </w:pPr>
    </w:lvl>
    <w:lvl w:ilvl="1">
      <w:start w:val="1"/>
      <w:numFmt w:val="lowerLetter"/>
      <w:lvlText w:val="(%2)"/>
      <w:lvlJc w:val="left"/>
      <w:pPr>
        <w:tabs>
          <w:tab w:val="left" w:pos="720"/>
        </w:tabs>
        <w:ind w:left="720" w:hanging="720"/>
      </w:pPr>
    </w:lvl>
    <w:lvl w:ilvl="2">
      <w:start w:val="1"/>
      <w:numFmt w:val="lowerRoman"/>
      <w:lvlText w:val="(%3)"/>
      <w:lvlJc w:val="left"/>
      <w:pPr>
        <w:tabs>
          <w:tab w:val="left" w:pos="1440"/>
        </w:tabs>
        <w:ind w:left="1440" w:hanging="720"/>
      </w:pPr>
    </w:lvl>
    <w:lvl w:ilvl="3">
      <w:start w:val="1"/>
      <w:numFmt w:val="upperLetter"/>
      <w:lvlText w:val="(%4)"/>
      <w:lvlJc w:val="left"/>
      <w:pPr>
        <w:tabs>
          <w:tab w:val="left" w:pos="2160"/>
        </w:tabs>
        <w:ind w:left="2160" w:hanging="720"/>
      </w:pPr>
    </w:lvl>
    <w:lvl w:ilvl="4">
      <w:start w:val="1"/>
      <w:numFmt w:val="upperRoman"/>
      <w:lvlText w:val="%5."/>
      <w:lvlJc w:val="left"/>
      <w:pPr>
        <w:tabs>
          <w:tab w:val="left" w:pos="2880"/>
        </w:tabs>
        <w:ind w:left="2880" w:hanging="720"/>
      </w:pPr>
    </w:lvl>
    <w:lvl w:ilvl="5">
      <w:start w:val="1"/>
      <w:numFmt w:val="lowerLetter"/>
      <w:lvlText w:val="(%6)"/>
      <w:lvlJc w:val="left"/>
      <w:pPr>
        <w:tabs>
          <w:tab w:val="left" w:pos="1440"/>
        </w:tabs>
        <w:ind w:left="1440" w:hanging="720"/>
      </w:pPr>
    </w:lvl>
    <w:lvl w:ilvl="6">
      <w:start w:val="1"/>
      <w:numFmt w:val="lowerRoman"/>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abstractNum w:abstractNumId="4" w15:restartNumberingAfterBreak="0">
    <w:nsid w:val="13B718D4"/>
    <w:multiLevelType w:val="multilevel"/>
    <w:tmpl w:val="13B718D4"/>
    <w:lvl w:ilvl="0">
      <w:start w:val="1"/>
      <w:numFmt w:val="decimal"/>
      <w:pStyle w:val="2"/>
      <w:lvlText w:val="（%1）"/>
      <w:lvlJc w:val="center"/>
      <w:pPr>
        <w:tabs>
          <w:tab w:val="left" w:pos="648"/>
        </w:tabs>
        <w:ind w:firstLine="288"/>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1FA6DE9"/>
    <w:multiLevelType w:val="singleLevel"/>
    <w:tmpl w:val="31FA6DE9"/>
    <w:lvl w:ilvl="0">
      <w:start w:val="1"/>
      <w:numFmt w:val="bullet"/>
      <w:pStyle w:val="AOBullet"/>
      <w:lvlText w:val=""/>
      <w:lvlJc w:val="left"/>
      <w:pPr>
        <w:tabs>
          <w:tab w:val="left" w:pos="720"/>
        </w:tabs>
        <w:ind w:left="720" w:hanging="720"/>
      </w:pPr>
      <w:rPr>
        <w:rFonts w:ascii="Symbol" w:hAnsi="Symbol" w:cs="Symbol" w:hint="default"/>
      </w:rPr>
    </w:lvl>
  </w:abstractNum>
  <w:abstractNum w:abstractNumId="6" w15:restartNumberingAfterBreak="0">
    <w:nsid w:val="36063A36"/>
    <w:multiLevelType w:val="singleLevel"/>
    <w:tmpl w:val="36063A36"/>
    <w:lvl w:ilvl="0">
      <w:start w:val="1"/>
      <w:numFmt w:val="bullet"/>
      <w:pStyle w:val="a0"/>
      <w:lvlText w:val=""/>
      <w:lvlJc w:val="left"/>
      <w:pPr>
        <w:tabs>
          <w:tab w:val="left" w:pos="720"/>
        </w:tabs>
        <w:ind w:left="720" w:hanging="360"/>
      </w:pPr>
      <w:rPr>
        <w:rFonts w:ascii="Wingdings" w:hAnsi="Wingdings" w:cs="Wingdings" w:hint="default"/>
      </w:rPr>
    </w:lvl>
  </w:abstractNum>
  <w:abstractNum w:abstractNumId="7" w15:restartNumberingAfterBreak="0">
    <w:nsid w:val="38014636"/>
    <w:multiLevelType w:val="multilevel"/>
    <w:tmpl w:val="38014636"/>
    <w:lvl w:ilvl="0">
      <w:start w:val="1"/>
      <w:numFmt w:val="chineseCountingThousand"/>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3D0E7D39"/>
    <w:multiLevelType w:val="multilevel"/>
    <w:tmpl w:val="3D0E7D39"/>
    <w:lvl w:ilvl="0">
      <w:start w:val="1"/>
      <w:numFmt w:val="decimal"/>
      <w:pStyle w:val="AOSchHead"/>
      <w:suff w:val="nothing"/>
      <w:lvlText w:val="Schedule %1"/>
      <w:lvlJc w:val="left"/>
      <w:rPr>
        <w:b/>
        <w:bCs/>
        <w:i w:val="0"/>
        <w:iCs w:val="0"/>
      </w:rPr>
    </w:lvl>
    <w:lvl w:ilvl="1">
      <w:start w:val="1"/>
      <w:numFmt w:val="decimal"/>
      <w:pStyle w:val="AOSchPartHead"/>
      <w:suff w:val="nothing"/>
      <w:lvlText w:val="Part %2"/>
      <w:lvlJc w:val="left"/>
      <w:rPr>
        <w:b/>
        <w:bCs/>
        <w:i w:val="0"/>
        <w:iCs w:val="0"/>
      </w:rPr>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 w15:restartNumberingAfterBreak="0">
    <w:nsid w:val="3E29759A"/>
    <w:multiLevelType w:val="multilevel"/>
    <w:tmpl w:val="3E29759A"/>
    <w:lvl w:ilvl="0">
      <w:start w:val="1"/>
      <w:numFmt w:val="decimal"/>
      <w:pStyle w:val="AOGenNum2"/>
      <w:lvlText w:val="%1."/>
      <w:lvlJc w:val="left"/>
      <w:pPr>
        <w:tabs>
          <w:tab w:val="left" w:pos="720"/>
        </w:tabs>
        <w:ind w:left="720" w:hanging="720"/>
      </w:pPr>
    </w:lvl>
    <w:lvl w:ilvl="1">
      <w:start w:val="1"/>
      <w:numFmt w:val="decimal"/>
      <w:pStyle w:val="AOGenNum2Para"/>
      <w:lvlText w:val="%1.%2"/>
      <w:lvlJc w:val="left"/>
      <w:pPr>
        <w:tabs>
          <w:tab w:val="left" w:pos="720"/>
        </w:tabs>
        <w:ind w:left="720" w:hanging="720"/>
      </w:pPr>
    </w:lvl>
    <w:lvl w:ilvl="2">
      <w:start w:val="1"/>
      <w:numFmt w:val="lowerLetter"/>
      <w:pStyle w:val="AOGenNum2List"/>
      <w:lvlText w:val="(%3)"/>
      <w:lvlJc w:val="left"/>
      <w:pPr>
        <w:tabs>
          <w:tab w:val="left" w:pos="720"/>
        </w:tabs>
        <w:ind w:left="720" w:hanging="720"/>
      </w:pPr>
    </w:lvl>
    <w:lvl w:ilvl="3">
      <w:start w:val="1"/>
      <w:numFmt w:val="lowerLetter"/>
      <w:lvlText w:val="(%4)"/>
      <w:lvlJc w:val="left"/>
      <w:pPr>
        <w:tabs>
          <w:tab w:val="left" w:pos="1440"/>
        </w:tabs>
        <w:ind w:left="1440" w:hanging="720"/>
      </w:pPr>
    </w:lvl>
    <w:lvl w:ilvl="4">
      <w:start w:val="1"/>
      <w:numFmt w:val="lowerRoman"/>
      <w:lvlText w:val="(%5)"/>
      <w:lvlJc w:val="left"/>
      <w:pPr>
        <w:tabs>
          <w:tab w:val="left" w:pos="1440"/>
        </w:tabs>
        <w:ind w:left="1440" w:hanging="720"/>
      </w:pPr>
    </w:lvl>
    <w:lvl w:ilvl="5">
      <w:start w:val="1"/>
      <w:numFmt w:val="lowerRoman"/>
      <w:lvlText w:val="(%6)"/>
      <w:lvlJc w:val="left"/>
      <w:pPr>
        <w:tabs>
          <w:tab w:val="left" w:pos="2160"/>
        </w:tabs>
        <w:ind w:left="2160" w:hanging="720"/>
      </w:pPr>
    </w:lvl>
    <w:lvl w:ilvl="6">
      <w:start w:val="1"/>
      <w:numFmt w:val="upperLetter"/>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abstractNum w:abstractNumId="10" w15:restartNumberingAfterBreak="0">
    <w:nsid w:val="41F230E7"/>
    <w:multiLevelType w:val="singleLevel"/>
    <w:tmpl w:val="41F230E7"/>
    <w:lvl w:ilvl="0">
      <w:start w:val="1"/>
      <w:numFmt w:val="bullet"/>
      <w:pStyle w:val="AOBullet4"/>
      <w:lvlText w:val=""/>
      <w:lvlJc w:val="left"/>
      <w:pPr>
        <w:tabs>
          <w:tab w:val="left" w:pos="720"/>
        </w:tabs>
        <w:ind w:left="720" w:hanging="720"/>
      </w:pPr>
      <w:rPr>
        <w:rFonts w:ascii="Wingdings" w:hAnsi="Wingdings" w:cs="Wingdings" w:hint="default"/>
      </w:rPr>
    </w:lvl>
  </w:abstractNum>
  <w:abstractNum w:abstractNumId="11" w15:restartNumberingAfterBreak="0">
    <w:nsid w:val="475B3203"/>
    <w:multiLevelType w:val="multilevel"/>
    <w:tmpl w:val="475B3203"/>
    <w:lvl w:ilvl="0">
      <w:start w:val="1"/>
      <w:numFmt w:val="none"/>
      <w:pStyle w:val="AODocTxt"/>
      <w:suff w:val="nothing"/>
      <w:lvlText w:val=""/>
      <w:lvlJc w:val="left"/>
      <w:pPr>
        <w:ind w:left="1260"/>
      </w:pPr>
    </w:lvl>
    <w:lvl w:ilvl="1">
      <w:start w:val="1"/>
      <w:numFmt w:val="none"/>
      <w:pStyle w:val="AODocTxtL1"/>
      <w:suff w:val="nothing"/>
      <w:lvlText w:val=""/>
      <w:lvlJc w:val="left"/>
      <w:pPr>
        <w:ind w:left="1980"/>
      </w:pPr>
    </w:lvl>
    <w:lvl w:ilvl="2">
      <w:start w:val="1"/>
      <w:numFmt w:val="none"/>
      <w:pStyle w:val="AODocTxtL2"/>
      <w:suff w:val="nothing"/>
      <w:lvlText w:val=""/>
      <w:lvlJc w:val="left"/>
      <w:pPr>
        <w:ind w:left="2700"/>
      </w:pPr>
    </w:lvl>
    <w:lvl w:ilvl="3">
      <w:start w:val="1"/>
      <w:numFmt w:val="none"/>
      <w:pStyle w:val="AODocTxtL3"/>
      <w:suff w:val="nothing"/>
      <w:lvlText w:val=""/>
      <w:lvlJc w:val="left"/>
      <w:pPr>
        <w:ind w:left="3420"/>
      </w:pPr>
    </w:lvl>
    <w:lvl w:ilvl="4">
      <w:start w:val="1"/>
      <w:numFmt w:val="none"/>
      <w:pStyle w:val="AODocTxtL4"/>
      <w:suff w:val="nothing"/>
      <w:lvlText w:val=""/>
      <w:lvlJc w:val="left"/>
      <w:pPr>
        <w:ind w:left="4140"/>
      </w:pPr>
    </w:lvl>
    <w:lvl w:ilvl="5">
      <w:start w:val="1"/>
      <w:numFmt w:val="none"/>
      <w:pStyle w:val="AODocTxtL5"/>
      <w:suff w:val="nothing"/>
      <w:lvlText w:val=""/>
      <w:lvlJc w:val="left"/>
      <w:pPr>
        <w:ind w:left="4860"/>
      </w:pPr>
    </w:lvl>
    <w:lvl w:ilvl="6">
      <w:start w:val="1"/>
      <w:numFmt w:val="none"/>
      <w:pStyle w:val="AODocTxtL6"/>
      <w:suff w:val="nothing"/>
      <w:lvlText w:val=""/>
      <w:lvlJc w:val="left"/>
      <w:pPr>
        <w:ind w:left="5580"/>
      </w:pPr>
    </w:lvl>
    <w:lvl w:ilvl="7">
      <w:start w:val="1"/>
      <w:numFmt w:val="none"/>
      <w:pStyle w:val="AODocTxtL7"/>
      <w:suff w:val="nothing"/>
      <w:lvlText w:val=""/>
      <w:lvlJc w:val="left"/>
      <w:pPr>
        <w:ind w:left="6300"/>
      </w:pPr>
    </w:lvl>
    <w:lvl w:ilvl="8">
      <w:start w:val="1"/>
      <w:numFmt w:val="none"/>
      <w:pStyle w:val="AODocTxtL8"/>
      <w:suff w:val="nothing"/>
      <w:lvlText w:val=""/>
      <w:lvlJc w:val="left"/>
      <w:pPr>
        <w:ind w:left="7020"/>
      </w:pPr>
    </w:lvl>
  </w:abstractNum>
  <w:abstractNum w:abstractNumId="12" w15:restartNumberingAfterBreak="0">
    <w:nsid w:val="47B238E7"/>
    <w:multiLevelType w:val="multilevel"/>
    <w:tmpl w:val="47B238E7"/>
    <w:lvl w:ilvl="0">
      <w:start w:val="1"/>
      <w:numFmt w:val="decimal"/>
      <w:pStyle w:val="AOGenNum3"/>
      <w:lvlText w:val="%1."/>
      <w:lvlJc w:val="left"/>
      <w:pPr>
        <w:tabs>
          <w:tab w:val="left" w:pos="720"/>
        </w:tabs>
        <w:ind w:left="720" w:hanging="720"/>
      </w:pPr>
    </w:lvl>
    <w:lvl w:ilvl="1">
      <w:start w:val="1"/>
      <w:numFmt w:val="decimal"/>
      <w:pStyle w:val="AOGenNum3List"/>
      <w:lvlText w:val="%1.%2"/>
      <w:lvlJc w:val="left"/>
      <w:pPr>
        <w:tabs>
          <w:tab w:val="left" w:pos="720"/>
        </w:tabs>
        <w:ind w:left="720" w:hanging="720"/>
      </w:pPr>
    </w:lvl>
    <w:lvl w:ilvl="2">
      <w:start w:val="1"/>
      <w:numFmt w:val="lowerLetter"/>
      <w:lvlText w:val="(%3)"/>
      <w:lvlJc w:val="left"/>
      <w:pPr>
        <w:tabs>
          <w:tab w:val="left" w:pos="720"/>
        </w:tabs>
        <w:ind w:left="720" w:hanging="720"/>
      </w:pPr>
    </w:lvl>
    <w:lvl w:ilvl="3">
      <w:start w:val="1"/>
      <w:numFmt w:val="lowerLetter"/>
      <w:lvlText w:val="(%4)"/>
      <w:lvlJc w:val="left"/>
      <w:pPr>
        <w:tabs>
          <w:tab w:val="left" w:pos="1440"/>
        </w:tabs>
        <w:ind w:left="1440" w:hanging="720"/>
      </w:pPr>
    </w:lvl>
    <w:lvl w:ilvl="4">
      <w:start w:val="1"/>
      <w:numFmt w:val="lowerRoman"/>
      <w:lvlText w:val="(%5)"/>
      <w:lvlJc w:val="left"/>
      <w:pPr>
        <w:tabs>
          <w:tab w:val="left" w:pos="1440"/>
        </w:tabs>
        <w:ind w:left="1440" w:hanging="720"/>
      </w:pPr>
    </w:lvl>
    <w:lvl w:ilvl="5">
      <w:start w:val="1"/>
      <w:numFmt w:val="lowerRoman"/>
      <w:lvlText w:val="(%6)"/>
      <w:lvlJc w:val="left"/>
      <w:pPr>
        <w:tabs>
          <w:tab w:val="left" w:pos="2160"/>
        </w:tabs>
        <w:ind w:left="2160" w:hanging="720"/>
      </w:pPr>
    </w:lvl>
    <w:lvl w:ilvl="6">
      <w:start w:val="1"/>
      <w:numFmt w:val="upperLetter"/>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abstractNum w:abstractNumId="13" w15:restartNumberingAfterBreak="0">
    <w:nsid w:val="49C66851"/>
    <w:multiLevelType w:val="multilevel"/>
    <w:tmpl w:val="49C66851"/>
    <w:lvl w:ilvl="0">
      <w:start w:val="1"/>
      <w:numFmt w:val="decimal"/>
      <w:pStyle w:val="AOAnxHead"/>
      <w:suff w:val="nothing"/>
      <w:lvlText w:val="Annex %1"/>
      <w:lvlJc w:val="left"/>
      <w:rPr>
        <w:b/>
        <w:bCs/>
        <w:i w:val="0"/>
        <w:iCs w:val="0"/>
      </w:rPr>
    </w:lvl>
    <w:lvl w:ilvl="1">
      <w:start w:val="1"/>
      <w:numFmt w:val="decimal"/>
      <w:pStyle w:val="AOAnxPartHead"/>
      <w:suff w:val="nothing"/>
      <w:lvlText w:val="Part %2"/>
      <w:lvlJc w:val="left"/>
      <w:rPr>
        <w:b/>
        <w:bCs/>
        <w:i w:val="0"/>
        <w:iCs w:val="0"/>
      </w:rPr>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4" w15:restartNumberingAfterBreak="0">
    <w:nsid w:val="4CFE7B09"/>
    <w:multiLevelType w:val="multilevel"/>
    <w:tmpl w:val="4CFE7B09"/>
    <w:lvl w:ilvl="0">
      <w:start w:val="1"/>
      <w:numFmt w:val="decimal"/>
      <w:pStyle w:val="AO1"/>
      <w:lvlText w:val="(%1)"/>
      <w:lvlJc w:val="left"/>
      <w:pPr>
        <w:tabs>
          <w:tab w:val="left"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5" w15:restartNumberingAfterBreak="0">
    <w:nsid w:val="4E4B4E3E"/>
    <w:multiLevelType w:val="multilevel"/>
    <w:tmpl w:val="4E4B4E3E"/>
    <w:lvl w:ilvl="0">
      <w:start w:val="1"/>
      <w:numFmt w:val="decimal"/>
      <w:lvlText w:val="%1."/>
      <w:lvlJc w:val="left"/>
      <w:pPr>
        <w:tabs>
          <w:tab w:val="left" w:pos="720"/>
        </w:tabs>
        <w:ind w:left="720" w:hanging="720"/>
      </w:pPr>
    </w:lvl>
    <w:lvl w:ilvl="1">
      <w:start w:val="1"/>
      <w:numFmt w:val="decimal"/>
      <w:pStyle w:val="AOHead2"/>
      <w:lvlText w:val="%1.%2"/>
      <w:lvlJc w:val="left"/>
      <w:pPr>
        <w:tabs>
          <w:tab w:val="left" w:pos="720"/>
        </w:tabs>
        <w:ind w:left="720" w:hanging="720"/>
      </w:pPr>
    </w:lvl>
    <w:lvl w:ilvl="2">
      <w:start w:val="1"/>
      <w:numFmt w:val="lowerLetter"/>
      <w:pStyle w:val="AOHead3"/>
      <w:lvlText w:val="(%3)"/>
      <w:lvlJc w:val="left"/>
      <w:pPr>
        <w:tabs>
          <w:tab w:val="left" w:pos="1440"/>
        </w:tabs>
        <w:ind w:left="1440" w:hanging="720"/>
      </w:pPr>
    </w:lvl>
    <w:lvl w:ilvl="3">
      <w:start w:val="1"/>
      <w:numFmt w:val="lowerRoman"/>
      <w:pStyle w:val="AOHead4"/>
      <w:lvlText w:val="(%4)"/>
      <w:lvlJc w:val="left"/>
      <w:pPr>
        <w:tabs>
          <w:tab w:val="left" w:pos="2160"/>
        </w:tabs>
        <w:ind w:left="2160" w:hanging="720"/>
      </w:pPr>
    </w:lvl>
    <w:lvl w:ilvl="4">
      <w:start w:val="1"/>
      <w:numFmt w:val="upperLetter"/>
      <w:pStyle w:val="AOHead5"/>
      <w:lvlText w:val="(%5)"/>
      <w:lvlJc w:val="left"/>
      <w:pPr>
        <w:tabs>
          <w:tab w:val="left" w:pos="2880"/>
        </w:tabs>
        <w:ind w:left="2880" w:hanging="720"/>
      </w:pPr>
    </w:lvl>
    <w:lvl w:ilvl="5">
      <w:start w:val="1"/>
      <w:numFmt w:val="upperRoman"/>
      <w:lvlText w:val="%6."/>
      <w:lvlJc w:val="left"/>
      <w:pPr>
        <w:tabs>
          <w:tab w:val="left"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6" w15:restartNumberingAfterBreak="0">
    <w:nsid w:val="56C42C79"/>
    <w:multiLevelType w:val="singleLevel"/>
    <w:tmpl w:val="56C42C79"/>
    <w:lvl w:ilvl="0">
      <w:start w:val="2"/>
      <w:numFmt w:val="japaneseCounting"/>
      <w:pStyle w:val="ParaChar"/>
      <w:lvlText w:val="（%1）"/>
      <w:lvlJc w:val="left"/>
      <w:pPr>
        <w:tabs>
          <w:tab w:val="left" w:pos="870"/>
        </w:tabs>
        <w:ind w:left="870" w:hanging="870"/>
      </w:pPr>
    </w:lvl>
  </w:abstractNum>
  <w:abstractNum w:abstractNumId="17" w15:restartNumberingAfterBreak="0">
    <w:nsid w:val="56C42C84"/>
    <w:multiLevelType w:val="singleLevel"/>
    <w:tmpl w:val="56C42C84"/>
    <w:lvl w:ilvl="0">
      <w:start w:val="1"/>
      <w:numFmt w:val="decimal"/>
      <w:pStyle w:val="20"/>
      <w:lvlText w:val="(%1)"/>
      <w:lvlJc w:val="left"/>
      <w:pPr>
        <w:tabs>
          <w:tab w:val="left" w:pos="907"/>
        </w:tabs>
        <w:ind w:left="907" w:hanging="482"/>
      </w:pPr>
    </w:lvl>
  </w:abstractNum>
  <w:abstractNum w:abstractNumId="18" w15:restartNumberingAfterBreak="0">
    <w:nsid w:val="57105B8E"/>
    <w:multiLevelType w:val="multilevel"/>
    <w:tmpl w:val="57105B8E"/>
    <w:lvl w:ilvl="0">
      <w:start w:val="1"/>
      <w:numFmt w:val="decimal"/>
      <w:lvlText w:val="%1、"/>
      <w:lvlJc w:val="left"/>
      <w:pPr>
        <w:ind w:left="780" w:hanging="360"/>
      </w:pPr>
      <w:rPr>
        <w:color w:val="00000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5B31B0FE"/>
    <w:multiLevelType w:val="singleLevel"/>
    <w:tmpl w:val="5B31B0FE"/>
    <w:lvl w:ilvl="0">
      <w:start w:val="6"/>
      <w:numFmt w:val="chineseCounting"/>
      <w:suff w:val="nothing"/>
      <w:lvlText w:val="%1、"/>
      <w:lvlJc w:val="left"/>
    </w:lvl>
  </w:abstractNum>
  <w:abstractNum w:abstractNumId="20" w15:restartNumberingAfterBreak="0">
    <w:nsid w:val="62830D10"/>
    <w:multiLevelType w:val="multilevel"/>
    <w:tmpl w:val="62830D10"/>
    <w:lvl w:ilvl="0">
      <w:start w:val="1"/>
      <w:numFmt w:val="upperLetter"/>
      <w:pStyle w:val="AOA"/>
      <w:lvlText w:val="(%1)"/>
      <w:lvlJc w:val="left"/>
      <w:pPr>
        <w:tabs>
          <w:tab w:val="left"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1" w15:restartNumberingAfterBreak="0">
    <w:nsid w:val="6F025FAA"/>
    <w:multiLevelType w:val="multilevel"/>
    <w:tmpl w:val="6F025FAA"/>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left"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left"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left"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left"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left" w:pos="2160"/>
        </w:tabs>
        <w:ind w:left="2160" w:hanging="720"/>
      </w:pPr>
    </w:lvl>
    <w:lvl w:ilvl="7">
      <w:start w:val="1"/>
      <w:numFmt w:val="decimal"/>
      <w:lvlText w:val="(%8)"/>
      <w:lvlJc w:val="left"/>
      <w:pPr>
        <w:tabs>
          <w:tab w:val="left"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left" w:pos="2160"/>
        </w:tabs>
        <w:ind w:left="2160" w:hanging="720"/>
      </w:pPr>
      <w:rPr>
        <w:rFonts w:ascii="Times New Roman" w:hAnsi="Times New Roman" w:cs="Times New Roman"/>
        <w:b w:val="0"/>
        <w:bCs w:val="0"/>
        <w:i w:val="0"/>
        <w:iCs w:val="0"/>
        <w:sz w:val="22"/>
        <w:szCs w:val="22"/>
      </w:rPr>
    </w:lvl>
  </w:abstractNum>
  <w:abstractNum w:abstractNumId="22" w15:restartNumberingAfterBreak="0">
    <w:nsid w:val="6F8D3D7A"/>
    <w:multiLevelType w:val="singleLevel"/>
    <w:tmpl w:val="6F8D3D7A"/>
    <w:lvl w:ilvl="0">
      <w:start w:val="1"/>
      <w:numFmt w:val="bullet"/>
      <w:pStyle w:val="AOBullet3"/>
      <w:lvlText w:val=""/>
      <w:lvlJc w:val="left"/>
      <w:pPr>
        <w:tabs>
          <w:tab w:val="left" w:pos="720"/>
        </w:tabs>
        <w:ind w:left="720" w:hanging="720"/>
      </w:pPr>
      <w:rPr>
        <w:rFonts w:ascii="Symbol" w:hAnsi="Symbol" w:cs="Symbol" w:hint="default"/>
      </w:rPr>
    </w:lvl>
  </w:abstractNum>
  <w:abstractNum w:abstractNumId="23" w15:restartNumberingAfterBreak="0">
    <w:nsid w:val="761544F7"/>
    <w:multiLevelType w:val="multilevel"/>
    <w:tmpl w:val="761544F7"/>
    <w:lvl w:ilvl="0">
      <w:start w:val="1"/>
      <w:numFmt w:val="decimal"/>
      <w:pStyle w:val="AOGenNum1"/>
      <w:lvlText w:val="%1."/>
      <w:lvlJc w:val="left"/>
      <w:pPr>
        <w:tabs>
          <w:tab w:val="left" w:pos="720"/>
        </w:tabs>
        <w:ind w:left="720" w:hanging="720"/>
      </w:pPr>
    </w:lvl>
    <w:lvl w:ilvl="1">
      <w:start w:val="1"/>
      <w:numFmt w:val="decimal"/>
      <w:pStyle w:val="AOGenNum1Para"/>
      <w:lvlText w:val="%1.%2"/>
      <w:lvlJc w:val="left"/>
      <w:pPr>
        <w:tabs>
          <w:tab w:val="left" w:pos="720"/>
        </w:tabs>
        <w:ind w:left="720" w:hanging="720"/>
      </w:pPr>
    </w:lvl>
    <w:lvl w:ilvl="2">
      <w:start w:val="1"/>
      <w:numFmt w:val="lowerLetter"/>
      <w:pStyle w:val="AOGenNum1List"/>
      <w:lvlText w:val="(%3)"/>
      <w:lvlJc w:val="left"/>
      <w:pPr>
        <w:tabs>
          <w:tab w:val="left" w:pos="720"/>
        </w:tabs>
        <w:ind w:left="720" w:hanging="720"/>
      </w:pPr>
    </w:lvl>
    <w:lvl w:ilvl="3">
      <w:start w:val="1"/>
      <w:numFmt w:val="lowerLetter"/>
      <w:lvlText w:val="(%4)"/>
      <w:lvlJc w:val="left"/>
      <w:pPr>
        <w:tabs>
          <w:tab w:val="left" w:pos="1440"/>
        </w:tabs>
        <w:ind w:left="1440" w:hanging="720"/>
      </w:pPr>
    </w:lvl>
    <w:lvl w:ilvl="4">
      <w:start w:val="1"/>
      <w:numFmt w:val="lowerRoman"/>
      <w:lvlText w:val="(%5)"/>
      <w:lvlJc w:val="left"/>
      <w:pPr>
        <w:tabs>
          <w:tab w:val="left" w:pos="1440"/>
        </w:tabs>
        <w:ind w:left="1440" w:hanging="720"/>
      </w:pPr>
    </w:lvl>
    <w:lvl w:ilvl="5">
      <w:start w:val="1"/>
      <w:numFmt w:val="lowerRoman"/>
      <w:lvlText w:val="(%6)"/>
      <w:lvlJc w:val="left"/>
      <w:pPr>
        <w:tabs>
          <w:tab w:val="left" w:pos="2160"/>
        </w:tabs>
        <w:ind w:left="2160" w:hanging="720"/>
      </w:pPr>
    </w:lvl>
    <w:lvl w:ilvl="6">
      <w:start w:val="1"/>
      <w:numFmt w:val="upperLetter"/>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num w:numId="1">
    <w:abstractNumId w:val="2"/>
  </w:num>
  <w:num w:numId="2">
    <w:abstractNumId w:val="6"/>
  </w:num>
  <w:num w:numId="3">
    <w:abstractNumId w:val="11"/>
  </w:num>
  <w:num w:numId="4">
    <w:abstractNumId w:val="17"/>
  </w:num>
  <w:num w:numId="5">
    <w:abstractNumId w:val="16"/>
  </w:num>
  <w:num w:numId="6">
    <w:abstractNumId w:val="13"/>
  </w:num>
  <w:num w:numId="7">
    <w:abstractNumId w:val="1"/>
  </w:num>
  <w:num w:numId="8">
    <w:abstractNumId w:val="8"/>
  </w:num>
  <w:num w:numId="9">
    <w:abstractNumId w:val="21"/>
  </w:num>
  <w:num w:numId="10">
    <w:abstractNumId w:val="5"/>
  </w:num>
  <w:num w:numId="11">
    <w:abstractNumId w:val="14"/>
  </w:num>
  <w:num w:numId="12">
    <w:abstractNumId w:val="20"/>
  </w:num>
  <w:num w:numId="13">
    <w:abstractNumId w:val="23"/>
  </w:num>
  <w:num w:numId="14">
    <w:abstractNumId w:val="9"/>
  </w:num>
  <w:num w:numId="15">
    <w:abstractNumId w:val="12"/>
  </w:num>
  <w:num w:numId="16">
    <w:abstractNumId w:val="15"/>
  </w:num>
  <w:num w:numId="17">
    <w:abstractNumId w:val="3"/>
  </w:num>
  <w:num w:numId="18">
    <w:abstractNumId w:val="22"/>
  </w:num>
  <w:num w:numId="19">
    <w:abstractNumId w:val="10"/>
  </w:num>
  <w:num w:numId="20">
    <w:abstractNumId w:val="0"/>
  </w:num>
  <w:num w:numId="21">
    <w:abstractNumId w:val="4"/>
  </w:num>
  <w:num w:numId="22">
    <w:abstractNumId w:val="7"/>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56"/>
    <w:rsid w:val="00000368"/>
    <w:rsid w:val="00001A3E"/>
    <w:rsid w:val="00001BA8"/>
    <w:rsid w:val="00001C4D"/>
    <w:rsid w:val="0000369C"/>
    <w:rsid w:val="0000394D"/>
    <w:rsid w:val="00003959"/>
    <w:rsid w:val="0000401F"/>
    <w:rsid w:val="00004EA0"/>
    <w:rsid w:val="00005CBB"/>
    <w:rsid w:val="00005DE0"/>
    <w:rsid w:val="00006D8B"/>
    <w:rsid w:val="0000761A"/>
    <w:rsid w:val="00012992"/>
    <w:rsid w:val="00015D2E"/>
    <w:rsid w:val="00016FC0"/>
    <w:rsid w:val="000171DA"/>
    <w:rsid w:val="000175CF"/>
    <w:rsid w:val="00017FD0"/>
    <w:rsid w:val="0002108F"/>
    <w:rsid w:val="0002168A"/>
    <w:rsid w:val="00022935"/>
    <w:rsid w:val="00023585"/>
    <w:rsid w:val="00023606"/>
    <w:rsid w:val="00023FA8"/>
    <w:rsid w:val="000244FD"/>
    <w:rsid w:val="000247A8"/>
    <w:rsid w:val="00025453"/>
    <w:rsid w:val="00025CFF"/>
    <w:rsid w:val="00026965"/>
    <w:rsid w:val="00026C9A"/>
    <w:rsid w:val="00027571"/>
    <w:rsid w:val="000276CA"/>
    <w:rsid w:val="00027C10"/>
    <w:rsid w:val="0003022A"/>
    <w:rsid w:val="00031E29"/>
    <w:rsid w:val="00032B66"/>
    <w:rsid w:val="00033190"/>
    <w:rsid w:val="00035EEF"/>
    <w:rsid w:val="00035F29"/>
    <w:rsid w:val="0003646D"/>
    <w:rsid w:val="000374DE"/>
    <w:rsid w:val="00040191"/>
    <w:rsid w:val="0004053F"/>
    <w:rsid w:val="00044299"/>
    <w:rsid w:val="00044871"/>
    <w:rsid w:val="00044A2F"/>
    <w:rsid w:val="00044E26"/>
    <w:rsid w:val="00044F2E"/>
    <w:rsid w:val="00045C5B"/>
    <w:rsid w:val="000472A3"/>
    <w:rsid w:val="00050AB1"/>
    <w:rsid w:val="0005102A"/>
    <w:rsid w:val="0005115A"/>
    <w:rsid w:val="00052C86"/>
    <w:rsid w:val="00054943"/>
    <w:rsid w:val="000568EF"/>
    <w:rsid w:val="00056C78"/>
    <w:rsid w:val="00056FA7"/>
    <w:rsid w:val="00057013"/>
    <w:rsid w:val="000572F8"/>
    <w:rsid w:val="0005750F"/>
    <w:rsid w:val="00060202"/>
    <w:rsid w:val="000623EA"/>
    <w:rsid w:val="00062845"/>
    <w:rsid w:val="000653B3"/>
    <w:rsid w:val="00066BD6"/>
    <w:rsid w:val="00070ABA"/>
    <w:rsid w:val="00070EC8"/>
    <w:rsid w:val="00071193"/>
    <w:rsid w:val="000715B5"/>
    <w:rsid w:val="00071BC7"/>
    <w:rsid w:val="000725F6"/>
    <w:rsid w:val="00072D4E"/>
    <w:rsid w:val="000743BC"/>
    <w:rsid w:val="00074C5D"/>
    <w:rsid w:val="000771A2"/>
    <w:rsid w:val="00083FEF"/>
    <w:rsid w:val="000844B8"/>
    <w:rsid w:val="00086257"/>
    <w:rsid w:val="0008685B"/>
    <w:rsid w:val="00087532"/>
    <w:rsid w:val="0008759D"/>
    <w:rsid w:val="00090DAB"/>
    <w:rsid w:val="000915D6"/>
    <w:rsid w:val="00091A27"/>
    <w:rsid w:val="00091CAB"/>
    <w:rsid w:val="0009267B"/>
    <w:rsid w:val="0009336A"/>
    <w:rsid w:val="00093B16"/>
    <w:rsid w:val="00093C0F"/>
    <w:rsid w:val="00095C06"/>
    <w:rsid w:val="00097AD7"/>
    <w:rsid w:val="00097F38"/>
    <w:rsid w:val="000A0071"/>
    <w:rsid w:val="000A0091"/>
    <w:rsid w:val="000A07C8"/>
    <w:rsid w:val="000A0DB4"/>
    <w:rsid w:val="000A0F66"/>
    <w:rsid w:val="000A0FEE"/>
    <w:rsid w:val="000A1138"/>
    <w:rsid w:val="000A11D0"/>
    <w:rsid w:val="000A17E5"/>
    <w:rsid w:val="000A184E"/>
    <w:rsid w:val="000A3F7A"/>
    <w:rsid w:val="000A553B"/>
    <w:rsid w:val="000A60F7"/>
    <w:rsid w:val="000A67A0"/>
    <w:rsid w:val="000A6E0E"/>
    <w:rsid w:val="000A6F01"/>
    <w:rsid w:val="000A750D"/>
    <w:rsid w:val="000B00A8"/>
    <w:rsid w:val="000B161A"/>
    <w:rsid w:val="000B3903"/>
    <w:rsid w:val="000B5C30"/>
    <w:rsid w:val="000B5E1F"/>
    <w:rsid w:val="000B7FD5"/>
    <w:rsid w:val="000C0294"/>
    <w:rsid w:val="000C0B25"/>
    <w:rsid w:val="000C0EEB"/>
    <w:rsid w:val="000C21DC"/>
    <w:rsid w:val="000C2CE3"/>
    <w:rsid w:val="000C3B5B"/>
    <w:rsid w:val="000C462E"/>
    <w:rsid w:val="000C5E60"/>
    <w:rsid w:val="000C66E2"/>
    <w:rsid w:val="000C7B45"/>
    <w:rsid w:val="000C7CFC"/>
    <w:rsid w:val="000D0281"/>
    <w:rsid w:val="000D21CD"/>
    <w:rsid w:val="000D2E29"/>
    <w:rsid w:val="000D31D5"/>
    <w:rsid w:val="000D3EEC"/>
    <w:rsid w:val="000D4B2E"/>
    <w:rsid w:val="000D5CF1"/>
    <w:rsid w:val="000D622D"/>
    <w:rsid w:val="000D640C"/>
    <w:rsid w:val="000E0C78"/>
    <w:rsid w:val="000E203F"/>
    <w:rsid w:val="000E2274"/>
    <w:rsid w:val="000E2670"/>
    <w:rsid w:val="000E2832"/>
    <w:rsid w:val="000E2B84"/>
    <w:rsid w:val="000E2C9D"/>
    <w:rsid w:val="000E314C"/>
    <w:rsid w:val="000E54A9"/>
    <w:rsid w:val="000E5777"/>
    <w:rsid w:val="000E61D2"/>
    <w:rsid w:val="000E655B"/>
    <w:rsid w:val="000E67D4"/>
    <w:rsid w:val="000E7480"/>
    <w:rsid w:val="000E78DB"/>
    <w:rsid w:val="000F155F"/>
    <w:rsid w:val="000F1E73"/>
    <w:rsid w:val="000F20CC"/>
    <w:rsid w:val="000F2681"/>
    <w:rsid w:val="000F3BDD"/>
    <w:rsid w:val="000F4228"/>
    <w:rsid w:val="000F6226"/>
    <w:rsid w:val="00101216"/>
    <w:rsid w:val="001016D7"/>
    <w:rsid w:val="00101C55"/>
    <w:rsid w:val="001028A1"/>
    <w:rsid w:val="00103484"/>
    <w:rsid w:val="00103AA0"/>
    <w:rsid w:val="00105001"/>
    <w:rsid w:val="0010571C"/>
    <w:rsid w:val="001069AD"/>
    <w:rsid w:val="00106F1D"/>
    <w:rsid w:val="00107EC8"/>
    <w:rsid w:val="00110545"/>
    <w:rsid w:val="00110FE6"/>
    <w:rsid w:val="00111A55"/>
    <w:rsid w:val="00111CEE"/>
    <w:rsid w:val="00112056"/>
    <w:rsid w:val="00112CA3"/>
    <w:rsid w:val="001132F5"/>
    <w:rsid w:val="00113790"/>
    <w:rsid w:val="00113794"/>
    <w:rsid w:val="0011559B"/>
    <w:rsid w:val="00115F51"/>
    <w:rsid w:val="00117786"/>
    <w:rsid w:val="00120A12"/>
    <w:rsid w:val="00120CA3"/>
    <w:rsid w:val="00121C6F"/>
    <w:rsid w:val="00122A55"/>
    <w:rsid w:val="00122B2B"/>
    <w:rsid w:val="00123374"/>
    <w:rsid w:val="0012340B"/>
    <w:rsid w:val="0012395A"/>
    <w:rsid w:val="00123A2C"/>
    <w:rsid w:val="001245C1"/>
    <w:rsid w:val="001246B8"/>
    <w:rsid w:val="00124D59"/>
    <w:rsid w:val="001252A5"/>
    <w:rsid w:val="00126F0D"/>
    <w:rsid w:val="00127C1E"/>
    <w:rsid w:val="001306DC"/>
    <w:rsid w:val="00130BB0"/>
    <w:rsid w:val="00131D90"/>
    <w:rsid w:val="0013254C"/>
    <w:rsid w:val="00132869"/>
    <w:rsid w:val="001331FF"/>
    <w:rsid w:val="001333E3"/>
    <w:rsid w:val="00134D10"/>
    <w:rsid w:val="001353A3"/>
    <w:rsid w:val="00136492"/>
    <w:rsid w:val="00136DEF"/>
    <w:rsid w:val="001409B1"/>
    <w:rsid w:val="00140C8C"/>
    <w:rsid w:val="00141749"/>
    <w:rsid w:val="00143E80"/>
    <w:rsid w:val="001446B7"/>
    <w:rsid w:val="00144854"/>
    <w:rsid w:val="001454DB"/>
    <w:rsid w:val="00145612"/>
    <w:rsid w:val="00146A66"/>
    <w:rsid w:val="001501C1"/>
    <w:rsid w:val="00151826"/>
    <w:rsid w:val="00152FE3"/>
    <w:rsid w:val="001534BE"/>
    <w:rsid w:val="001537D3"/>
    <w:rsid w:val="001546DD"/>
    <w:rsid w:val="00155434"/>
    <w:rsid w:val="0015590F"/>
    <w:rsid w:val="0015609A"/>
    <w:rsid w:val="00156AA2"/>
    <w:rsid w:val="001605B9"/>
    <w:rsid w:val="00161EB1"/>
    <w:rsid w:val="0016215F"/>
    <w:rsid w:val="00162509"/>
    <w:rsid w:val="00162F68"/>
    <w:rsid w:val="00165FAC"/>
    <w:rsid w:val="00167035"/>
    <w:rsid w:val="001675AB"/>
    <w:rsid w:val="0016782A"/>
    <w:rsid w:val="0017138C"/>
    <w:rsid w:val="00172184"/>
    <w:rsid w:val="00172E8E"/>
    <w:rsid w:val="00172F7A"/>
    <w:rsid w:val="00174E05"/>
    <w:rsid w:val="00176F10"/>
    <w:rsid w:val="0017799B"/>
    <w:rsid w:val="00180999"/>
    <w:rsid w:val="00180C5E"/>
    <w:rsid w:val="00180DEA"/>
    <w:rsid w:val="00181756"/>
    <w:rsid w:val="00182297"/>
    <w:rsid w:val="0018413C"/>
    <w:rsid w:val="00185D8A"/>
    <w:rsid w:val="00185ED0"/>
    <w:rsid w:val="00186F23"/>
    <w:rsid w:val="00186F97"/>
    <w:rsid w:val="00187109"/>
    <w:rsid w:val="001903B7"/>
    <w:rsid w:val="0019296F"/>
    <w:rsid w:val="0019302A"/>
    <w:rsid w:val="00193A30"/>
    <w:rsid w:val="00193AE0"/>
    <w:rsid w:val="00194CE2"/>
    <w:rsid w:val="00196489"/>
    <w:rsid w:val="00197D9C"/>
    <w:rsid w:val="001A0F4E"/>
    <w:rsid w:val="001A1029"/>
    <w:rsid w:val="001A4392"/>
    <w:rsid w:val="001A48BD"/>
    <w:rsid w:val="001A559E"/>
    <w:rsid w:val="001A60E6"/>
    <w:rsid w:val="001A6B35"/>
    <w:rsid w:val="001A751B"/>
    <w:rsid w:val="001B4309"/>
    <w:rsid w:val="001B4574"/>
    <w:rsid w:val="001B5D54"/>
    <w:rsid w:val="001B6DEC"/>
    <w:rsid w:val="001B7674"/>
    <w:rsid w:val="001C0CBA"/>
    <w:rsid w:val="001C0FEC"/>
    <w:rsid w:val="001C16A2"/>
    <w:rsid w:val="001C201A"/>
    <w:rsid w:val="001C2E25"/>
    <w:rsid w:val="001C313D"/>
    <w:rsid w:val="001C3DEB"/>
    <w:rsid w:val="001C4280"/>
    <w:rsid w:val="001C48AE"/>
    <w:rsid w:val="001D1C01"/>
    <w:rsid w:val="001D1E5A"/>
    <w:rsid w:val="001D21D3"/>
    <w:rsid w:val="001D261B"/>
    <w:rsid w:val="001D3225"/>
    <w:rsid w:val="001D3AEE"/>
    <w:rsid w:val="001D5836"/>
    <w:rsid w:val="001D5F92"/>
    <w:rsid w:val="001E0824"/>
    <w:rsid w:val="001E2BE1"/>
    <w:rsid w:val="001E33F0"/>
    <w:rsid w:val="001E48BD"/>
    <w:rsid w:val="001E4BC7"/>
    <w:rsid w:val="001E6397"/>
    <w:rsid w:val="001E7715"/>
    <w:rsid w:val="001E7864"/>
    <w:rsid w:val="001E7A42"/>
    <w:rsid w:val="001F03A2"/>
    <w:rsid w:val="001F073D"/>
    <w:rsid w:val="001F0B9B"/>
    <w:rsid w:val="001F285B"/>
    <w:rsid w:val="001F32BC"/>
    <w:rsid w:val="001F3813"/>
    <w:rsid w:val="001F3C75"/>
    <w:rsid w:val="001F3CD1"/>
    <w:rsid w:val="001F3EDC"/>
    <w:rsid w:val="001F436E"/>
    <w:rsid w:val="001F4400"/>
    <w:rsid w:val="001F466F"/>
    <w:rsid w:val="001F5105"/>
    <w:rsid w:val="001F51D5"/>
    <w:rsid w:val="001F52F1"/>
    <w:rsid w:val="001F5475"/>
    <w:rsid w:val="001F7727"/>
    <w:rsid w:val="001F7A6B"/>
    <w:rsid w:val="00201074"/>
    <w:rsid w:val="0020181A"/>
    <w:rsid w:val="00203199"/>
    <w:rsid w:val="002032DD"/>
    <w:rsid w:val="002034AC"/>
    <w:rsid w:val="00203656"/>
    <w:rsid w:val="00203DD2"/>
    <w:rsid w:val="00203FF5"/>
    <w:rsid w:val="00204052"/>
    <w:rsid w:val="0020459D"/>
    <w:rsid w:val="002046D5"/>
    <w:rsid w:val="00206204"/>
    <w:rsid w:val="00206DD2"/>
    <w:rsid w:val="00211D3E"/>
    <w:rsid w:val="002125C6"/>
    <w:rsid w:val="00212E1E"/>
    <w:rsid w:val="0021447C"/>
    <w:rsid w:val="002148BF"/>
    <w:rsid w:val="00214CF3"/>
    <w:rsid w:val="002151B3"/>
    <w:rsid w:val="002152E3"/>
    <w:rsid w:val="00215E65"/>
    <w:rsid w:val="00216277"/>
    <w:rsid w:val="00220E91"/>
    <w:rsid w:val="00221676"/>
    <w:rsid w:val="00221A45"/>
    <w:rsid w:val="00221C79"/>
    <w:rsid w:val="00221CEC"/>
    <w:rsid w:val="00222930"/>
    <w:rsid w:val="00222ED3"/>
    <w:rsid w:val="00225D6B"/>
    <w:rsid w:val="0022796A"/>
    <w:rsid w:val="00232165"/>
    <w:rsid w:val="002342AB"/>
    <w:rsid w:val="00234C9A"/>
    <w:rsid w:val="00234D50"/>
    <w:rsid w:val="00236E94"/>
    <w:rsid w:val="00240D88"/>
    <w:rsid w:val="00242BD3"/>
    <w:rsid w:val="002433AF"/>
    <w:rsid w:val="00243C76"/>
    <w:rsid w:val="0024451D"/>
    <w:rsid w:val="002446FF"/>
    <w:rsid w:val="00244AF6"/>
    <w:rsid w:val="0024691F"/>
    <w:rsid w:val="00247CB0"/>
    <w:rsid w:val="00250AC1"/>
    <w:rsid w:val="00250B91"/>
    <w:rsid w:val="00252607"/>
    <w:rsid w:val="0025280A"/>
    <w:rsid w:val="00254B96"/>
    <w:rsid w:val="002561D0"/>
    <w:rsid w:val="00256550"/>
    <w:rsid w:val="00256CFB"/>
    <w:rsid w:val="002579BE"/>
    <w:rsid w:val="002579E0"/>
    <w:rsid w:val="00257DFC"/>
    <w:rsid w:val="00260B81"/>
    <w:rsid w:val="002654B0"/>
    <w:rsid w:val="0026614A"/>
    <w:rsid w:val="00267214"/>
    <w:rsid w:val="002679D3"/>
    <w:rsid w:val="00267CEE"/>
    <w:rsid w:val="002701EB"/>
    <w:rsid w:val="0027261D"/>
    <w:rsid w:val="0027596A"/>
    <w:rsid w:val="00275CFE"/>
    <w:rsid w:val="0027704F"/>
    <w:rsid w:val="00277386"/>
    <w:rsid w:val="002817FF"/>
    <w:rsid w:val="00283514"/>
    <w:rsid w:val="00283DCF"/>
    <w:rsid w:val="0028454B"/>
    <w:rsid w:val="002858C0"/>
    <w:rsid w:val="002862E4"/>
    <w:rsid w:val="00286F62"/>
    <w:rsid w:val="0028791E"/>
    <w:rsid w:val="00287D8D"/>
    <w:rsid w:val="00290274"/>
    <w:rsid w:val="002902B4"/>
    <w:rsid w:val="002906C9"/>
    <w:rsid w:val="00290D03"/>
    <w:rsid w:val="00291175"/>
    <w:rsid w:val="00291977"/>
    <w:rsid w:val="0029244A"/>
    <w:rsid w:val="002924C5"/>
    <w:rsid w:val="00292D77"/>
    <w:rsid w:val="0029473B"/>
    <w:rsid w:val="0029476B"/>
    <w:rsid w:val="00295FA0"/>
    <w:rsid w:val="0029654D"/>
    <w:rsid w:val="00296BD9"/>
    <w:rsid w:val="002976C6"/>
    <w:rsid w:val="002976F2"/>
    <w:rsid w:val="002A03A5"/>
    <w:rsid w:val="002A072B"/>
    <w:rsid w:val="002A0AF0"/>
    <w:rsid w:val="002A0CBC"/>
    <w:rsid w:val="002A174A"/>
    <w:rsid w:val="002A1D36"/>
    <w:rsid w:val="002A1F2D"/>
    <w:rsid w:val="002A294B"/>
    <w:rsid w:val="002A4975"/>
    <w:rsid w:val="002A4BC5"/>
    <w:rsid w:val="002A6AD2"/>
    <w:rsid w:val="002A6E9A"/>
    <w:rsid w:val="002A726D"/>
    <w:rsid w:val="002A72FC"/>
    <w:rsid w:val="002A7EF1"/>
    <w:rsid w:val="002A7FFB"/>
    <w:rsid w:val="002B038A"/>
    <w:rsid w:val="002B091C"/>
    <w:rsid w:val="002B0D81"/>
    <w:rsid w:val="002B165D"/>
    <w:rsid w:val="002B40B2"/>
    <w:rsid w:val="002B4BBD"/>
    <w:rsid w:val="002B768C"/>
    <w:rsid w:val="002B794E"/>
    <w:rsid w:val="002B7DB3"/>
    <w:rsid w:val="002B7DE3"/>
    <w:rsid w:val="002B7E47"/>
    <w:rsid w:val="002C0511"/>
    <w:rsid w:val="002C10CF"/>
    <w:rsid w:val="002C1FFF"/>
    <w:rsid w:val="002C2ED9"/>
    <w:rsid w:val="002C319B"/>
    <w:rsid w:val="002C376C"/>
    <w:rsid w:val="002C378A"/>
    <w:rsid w:val="002C37F0"/>
    <w:rsid w:val="002C3DD9"/>
    <w:rsid w:val="002C41D6"/>
    <w:rsid w:val="002C42BE"/>
    <w:rsid w:val="002C5A41"/>
    <w:rsid w:val="002C5A54"/>
    <w:rsid w:val="002C5CD1"/>
    <w:rsid w:val="002C5E77"/>
    <w:rsid w:val="002C7026"/>
    <w:rsid w:val="002D0267"/>
    <w:rsid w:val="002D075B"/>
    <w:rsid w:val="002D1F14"/>
    <w:rsid w:val="002D3320"/>
    <w:rsid w:val="002D511B"/>
    <w:rsid w:val="002D5A46"/>
    <w:rsid w:val="002D5F5A"/>
    <w:rsid w:val="002D5FA0"/>
    <w:rsid w:val="002D643A"/>
    <w:rsid w:val="002D6FF7"/>
    <w:rsid w:val="002D7649"/>
    <w:rsid w:val="002E0A7D"/>
    <w:rsid w:val="002E1051"/>
    <w:rsid w:val="002E1974"/>
    <w:rsid w:val="002E1E35"/>
    <w:rsid w:val="002E2FAF"/>
    <w:rsid w:val="002E3620"/>
    <w:rsid w:val="002E3B1A"/>
    <w:rsid w:val="002E515D"/>
    <w:rsid w:val="002E558B"/>
    <w:rsid w:val="002E5784"/>
    <w:rsid w:val="002E6EAE"/>
    <w:rsid w:val="002F1CB5"/>
    <w:rsid w:val="002F2027"/>
    <w:rsid w:val="002F2380"/>
    <w:rsid w:val="002F52F9"/>
    <w:rsid w:val="002F63E5"/>
    <w:rsid w:val="002F7DE1"/>
    <w:rsid w:val="00302659"/>
    <w:rsid w:val="00302E00"/>
    <w:rsid w:val="003044B3"/>
    <w:rsid w:val="00305103"/>
    <w:rsid w:val="00305E1E"/>
    <w:rsid w:val="0030753B"/>
    <w:rsid w:val="00307A59"/>
    <w:rsid w:val="00307BF0"/>
    <w:rsid w:val="00307C3C"/>
    <w:rsid w:val="00310A3D"/>
    <w:rsid w:val="00311129"/>
    <w:rsid w:val="00312071"/>
    <w:rsid w:val="003134B5"/>
    <w:rsid w:val="003134E7"/>
    <w:rsid w:val="00313629"/>
    <w:rsid w:val="00313764"/>
    <w:rsid w:val="00313CEC"/>
    <w:rsid w:val="00314364"/>
    <w:rsid w:val="00315A63"/>
    <w:rsid w:val="00317D08"/>
    <w:rsid w:val="003215A6"/>
    <w:rsid w:val="00323504"/>
    <w:rsid w:val="0032384D"/>
    <w:rsid w:val="00324169"/>
    <w:rsid w:val="003249E1"/>
    <w:rsid w:val="00324CD2"/>
    <w:rsid w:val="00324F18"/>
    <w:rsid w:val="0032568E"/>
    <w:rsid w:val="003259F5"/>
    <w:rsid w:val="00326773"/>
    <w:rsid w:val="00330BED"/>
    <w:rsid w:val="00330E6B"/>
    <w:rsid w:val="00331A32"/>
    <w:rsid w:val="00332333"/>
    <w:rsid w:val="00332E95"/>
    <w:rsid w:val="00333843"/>
    <w:rsid w:val="003340D6"/>
    <w:rsid w:val="003344EE"/>
    <w:rsid w:val="0033565F"/>
    <w:rsid w:val="003360B2"/>
    <w:rsid w:val="00337DEE"/>
    <w:rsid w:val="00337E92"/>
    <w:rsid w:val="00340B37"/>
    <w:rsid w:val="00341B2B"/>
    <w:rsid w:val="00343946"/>
    <w:rsid w:val="00347B6D"/>
    <w:rsid w:val="00350970"/>
    <w:rsid w:val="0035164B"/>
    <w:rsid w:val="00351878"/>
    <w:rsid w:val="00351FBF"/>
    <w:rsid w:val="0035209A"/>
    <w:rsid w:val="0035388B"/>
    <w:rsid w:val="0035472E"/>
    <w:rsid w:val="00355A52"/>
    <w:rsid w:val="00360FC2"/>
    <w:rsid w:val="0036157F"/>
    <w:rsid w:val="00361ABA"/>
    <w:rsid w:val="00361BC5"/>
    <w:rsid w:val="0036264A"/>
    <w:rsid w:val="003652A5"/>
    <w:rsid w:val="003659AC"/>
    <w:rsid w:val="003672CE"/>
    <w:rsid w:val="00367A34"/>
    <w:rsid w:val="00367F9F"/>
    <w:rsid w:val="00370A14"/>
    <w:rsid w:val="00371C28"/>
    <w:rsid w:val="00371D18"/>
    <w:rsid w:val="00372053"/>
    <w:rsid w:val="003720C9"/>
    <w:rsid w:val="00372E1B"/>
    <w:rsid w:val="003731B4"/>
    <w:rsid w:val="0037346B"/>
    <w:rsid w:val="003741F2"/>
    <w:rsid w:val="003749F6"/>
    <w:rsid w:val="003753FD"/>
    <w:rsid w:val="00375856"/>
    <w:rsid w:val="00375C0B"/>
    <w:rsid w:val="00376067"/>
    <w:rsid w:val="00376145"/>
    <w:rsid w:val="00377892"/>
    <w:rsid w:val="00382379"/>
    <w:rsid w:val="003832B6"/>
    <w:rsid w:val="0038392C"/>
    <w:rsid w:val="0038436E"/>
    <w:rsid w:val="0038452A"/>
    <w:rsid w:val="00384CAF"/>
    <w:rsid w:val="003858BE"/>
    <w:rsid w:val="00385927"/>
    <w:rsid w:val="00386269"/>
    <w:rsid w:val="0038725D"/>
    <w:rsid w:val="0039029C"/>
    <w:rsid w:val="00391516"/>
    <w:rsid w:val="00391EB3"/>
    <w:rsid w:val="00392337"/>
    <w:rsid w:val="003925E9"/>
    <w:rsid w:val="00392F1F"/>
    <w:rsid w:val="00393FBE"/>
    <w:rsid w:val="003973D6"/>
    <w:rsid w:val="00397F26"/>
    <w:rsid w:val="003A0318"/>
    <w:rsid w:val="003A0C6E"/>
    <w:rsid w:val="003A0CCD"/>
    <w:rsid w:val="003A1AB6"/>
    <w:rsid w:val="003A3578"/>
    <w:rsid w:val="003A4762"/>
    <w:rsid w:val="003A5DCF"/>
    <w:rsid w:val="003A6455"/>
    <w:rsid w:val="003A65FC"/>
    <w:rsid w:val="003A6C8D"/>
    <w:rsid w:val="003A6D32"/>
    <w:rsid w:val="003A6D42"/>
    <w:rsid w:val="003A6EE6"/>
    <w:rsid w:val="003A742C"/>
    <w:rsid w:val="003B09FB"/>
    <w:rsid w:val="003B1181"/>
    <w:rsid w:val="003B19FA"/>
    <w:rsid w:val="003B1D8D"/>
    <w:rsid w:val="003B2451"/>
    <w:rsid w:val="003B2E17"/>
    <w:rsid w:val="003B2E6E"/>
    <w:rsid w:val="003B45A0"/>
    <w:rsid w:val="003B5EFA"/>
    <w:rsid w:val="003C1C6A"/>
    <w:rsid w:val="003C22E6"/>
    <w:rsid w:val="003C69E6"/>
    <w:rsid w:val="003C78F0"/>
    <w:rsid w:val="003D238B"/>
    <w:rsid w:val="003D2719"/>
    <w:rsid w:val="003D2BA9"/>
    <w:rsid w:val="003D2DD3"/>
    <w:rsid w:val="003D4741"/>
    <w:rsid w:val="003D746A"/>
    <w:rsid w:val="003D7F08"/>
    <w:rsid w:val="003E0D1C"/>
    <w:rsid w:val="003E11A8"/>
    <w:rsid w:val="003E23F5"/>
    <w:rsid w:val="003E500B"/>
    <w:rsid w:val="003E541C"/>
    <w:rsid w:val="003E7189"/>
    <w:rsid w:val="003E77C8"/>
    <w:rsid w:val="003F028A"/>
    <w:rsid w:val="003F0737"/>
    <w:rsid w:val="003F4068"/>
    <w:rsid w:val="003F4782"/>
    <w:rsid w:val="003F4B16"/>
    <w:rsid w:val="003F65C7"/>
    <w:rsid w:val="003F75AE"/>
    <w:rsid w:val="003F78CA"/>
    <w:rsid w:val="003F7CAC"/>
    <w:rsid w:val="00400631"/>
    <w:rsid w:val="00400F03"/>
    <w:rsid w:val="00401B73"/>
    <w:rsid w:val="00401C8C"/>
    <w:rsid w:val="00401E4A"/>
    <w:rsid w:val="004026AA"/>
    <w:rsid w:val="004029BF"/>
    <w:rsid w:val="004051DD"/>
    <w:rsid w:val="00405684"/>
    <w:rsid w:val="0040697E"/>
    <w:rsid w:val="00407A4A"/>
    <w:rsid w:val="00407FE8"/>
    <w:rsid w:val="004102D9"/>
    <w:rsid w:val="00411B50"/>
    <w:rsid w:val="00412489"/>
    <w:rsid w:val="00413B06"/>
    <w:rsid w:val="00413F3F"/>
    <w:rsid w:val="004141CB"/>
    <w:rsid w:val="00416220"/>
    <w:rsid w:val="004200DA"/>
    <w:rsid w:val="004217C3"/>
    <w:rsid w:val="00421FB6"/>
    <w:rsid w:val="00422E55"/>
    <w:rsid w:val="004236B2"/>
    <w:rsid w:val="0042396A"/>
    <w:rsid w:val="004252A3"/>
    <w:rsid w:val="0042628F"/>
    <w:rsid w:val="00426CFC"/>
    <w:rsid w:val="00427883"/>
    <w:rsid w:val="00427B43"/>
    <w:rsid w:val="004309AD"/>
    <w:rsid w:val="00431F66"/>
    <w:rsid w:val="0043226B"/>
    <w:rsid w:val="004346E0"/>
    <w:rsid w:val="00434EC3"/>
    <w:rsid w:val="00435190"/>
    <w:rsid w:val="00436313"/>
    <w:rsid w:val="004378B5"/>
    <w:rsid w:val="00437BEA"/>
    <w:rsid w:val="00441575"/>
    <w:rsid w:val="004418BD"/>
    <w:rsid w:val="00442868"/>
    <w:rsid w:val="00442BD2"/>
    <w:rsid w:val="00442CEA"/>
    <w:rsid w:val="004446B2"/>
    <w:rsid w:val="004454A0"/>
    <w:rsid w:val="00446D57"/>
    <w:rsid w:val="00447ED4"/>
    <w:rsid w:val="00450343"/>
    <w:rsid w:val="004535A0"/>
    <w:rsid w:val="00454EE7"/>
    <w:rsid w:val="004560BF"/>
    <w:rsid w:val="00457556"/>
    <w:rsid w:val="00457C36"/>
    <w:rsid w:val="00460110"/>
    <w:rsid w:val="00460572"/>
    <w:rsid w:val="00461B98"/>
    <w:rsid w:val="00462F59"/>
    <w:rsid w:val="00464331"/>
    <w:rsid w:val="0046490F"/>
    <w:rsid w:val="00465CCB"/>
    <w:rsid w:val="00466725"/>
    <w:rsid w:val="004670C1"/>
    <w:rsid w:val="00467E71"/>
    <w:rsid w:val="00470D06"/>
    <w:rsid w:val="004716FD"/>
    <w:rsid w:val="00471C05"/>
    <w:rsid w:val="004725CE"/>
    <w:rsid w:val="004738E7"/>
    <w:rsid w:val="00473A7E"/>
    <w:rsid w:val="004746F3"/>
    <w:rsid w:val="004756A5"/>
    <w:rsid w:val="00476240"/>
    <w:rsid w:val="00477A63"/>
    <w:rsid w:val="00481B45"/>
    <w:rsid w:val="00481BCF"/>
    <w:rsid w:val="0048240D"/>
    <w:rsid w:val="00482574"/>
    <w:rsid w:val="00482CE0"/>
    <w:rsid w:val="00484A61"/>
    <w:rsid w:val="00484BD6"/>
    <w:rsid w:val="0048534C"/>
    <w:rsid w:val="004853ED"/>
    <w:rsid w:val="004867F7"/>
    <w:rsid w:val="0048760F"/>
    <w:rsid w:val="00490D71"/>
    <w:rsid w:val="00490EF4"/>
    <w:rsid w:val="0049228B"/>
    <w:rsid w:val="004923B6"/>
    <w:rsid w:val="0049326F"/>
    <w:rsid w:val="004940F1"/>
    <w:rsid w:val="0049484B"/>
    <w:rsid w:val="004953AC"/>
    <w:rsid w:val="0049562C"/>
    <w:rsid w:val="004956D2"/>
    <w:rsid w:val="00496E6F"/>
    <w:rsid w:val="004973C8"/>
    <w:rsid w:val="00497BB0"/>
    <w:rsid w:val="004A043F"/>
    <w:rsid w:val="004A0731"/>
    <w:rsid w:val="004A0E8D"/>
    <w:rsid w:val="004A0F56"/>
    <w:rsid w:val="004A1999"/>
    <w:rsid w:val="004A1AF0"/>
    <w:rsid w:val="004A1BEA"/>
    <w:rsid w:val="004A23A5"/>
    <w:rsid w:val="004A2D0A"/>
    <w:rsid w:val="004A2E96"/>
    <w:rsid w:val="004A3846"/>
    <w:rsid w:val="004A4117"/>
    <w:rsid w:val="004A52BC"/>
    <w:rsid w:val="004A5B27"/>
    <w:rsid w:val="004B05A5"/>
    <w:rsid w:val="004B077B"/>
    <w:rsid w:val="004B1020"/>
    <w:rsid w:val="004B3371"/>
    <w:rsid w:val="004B3C6E"/>
    <w:rsid w:val="004B4009"/>
    <w:rsid w:val="004B4322"/>
    <w:rsid w:val="004B44A9"/>
    <w:rsid w:val="004C037B"/>
    <w:rsid w:val="004C07D3"/>
    <w:rsid w:val="004C098F"/>
    <w:rsid w:val="004C09E5"/>
    <w:rsid w:val="004C1AB3"/>
    <w:rsid w:val="004C2D26"/>
    <w:rsid w:val="004C32B9"/>
    <w:rsid w:val="004C3EAE"/>
    <w:rsid w:val="004C4140"/>
    <w:rsid w:val="004C5607"/>
    <w:rsid w:val="004C5E7E"/>
    <w:rsid w:val="004C6EC8"/>
    <w:rsid w:val="004C7475"/>
    <w:rsid w:val="004C7C42"/>
    <w:rsid w:val="004C7CE4"/>
    <w:rsid w:val="004D0C13"/>
    <w:rsid w:val="004D1A56"/>
    <w:rsid w:val="004D247C"/>
    <w:rsid w:val="004D2A78"/>
    <w:rsid w:val="004D3919"/>
    <w:rsid w:val="004D3954"/>
    <w:rsid w:val="004D55F2"/>
    <w:rsid w:val="004D5A52"/>
    <w:rsid w:val="004D61DD"/>
    <w:rsid w:val="004E0C84"/>
    <w:rsid w:val="004E1C17"/>
    <w:rsid w:val="004E1F10"/>
    <w:rsid w:val="004E2ADC"/>
    <w:rsid w:val="004E3F49"/>
    <w:rsid w:val="004E54CC"/>
    <w:rsid w:val="004E600A"/>
    <w:rsid w:val="004F02BA"/>
    <w:rsid w:val="004F04ED"/>
    <w:rsid w:val="004F1346"/>
    <w:rsid w:val="004F14EA"/>
    <w:rsid w:val="004F19AD"/>
    <w:rsid w:val="004F1ADD"/>
    <w:rsid w:val="004F2D0B"/>
    <w:rsid w:val="004F2E49"/>
    <w:rsid w:val="004F33A5"/>
    <w:rsid w:val="004F36D6"/>
    <w:rsid w:val="004F3867"/>
    <w:rsid w:val="004F3911"/>
    <w:rsid w:val="004F413B"/>
    <w:rsid w:val="004F4E01"/>
    <w:rsid w:val="004F5004"/>
    <w:rsid w:val="004F6562"/>
    <w:rsid w:val="004F7EBF"/>
    <w:rsid w:val="0050104F"/>
    <w:rsid w:val="00501C26"/>
    <w:rsid w:val="00501C6E"/>
    <w:rsid w:val="0050208F"/>
    <w:rsid w:val="005032CF"/>
    <w:rsid w:val="005051CD"/>
    <w:rsid w:val="00505A24"/>
    <w:rsid w:val="00506D72"/>
    <w:rsid w:val="00507087"/>
    <w:rsid w:val="00510166"/>
    <w:rsid w:val="00510CEC"/>
    <w:rsid w:val="00512A96"/>
    <w:rsid w:val="00513502"/>
    <w:rsid w:val="005137DE"/>
    <w:rsid w:val="00514834"/>
    <w:rsid w:val="00514C55"/>
    <w:rsid w:val="00515579"/>
    <w:rsid w:val="0051692E"/>
    <w:rsid w:val="00517076"/>
    <w:rsid w:val="005173D0"/>
    <w:rsid w:val="005200B8"/>
    <w:rsid w:val="00520A94"/>
    <w:rsid w:val="00520D53"/>
    <w:rsid w:val="00521005"/>
    <w:rsid w:val="00521BC7"/>
    <w:rsid w:val="0052259D"/>
    <w:rsid w:val="00522734"/>
    <w:rsid w:val="005227E3"/>
    <w:rsid w:val="0052317E"/>
    <w:rsid w:val="005248EC"/>
    <w:rsid w:val="00526311"/>
    <w:rsid w:val="00532030"/>
    <w:rsid w:val="005332B8"/>
    <w:rsid w:val="00534CFC"/>
    <w:rsid w:val="005361F1"/>
    <w:rsid w:val="005364F4"/>
    <w:rsid w:val="00536B94"/>
    <w:rsid w:val="005375C9"/>
    <w:rsid w:val="00543AB2"/>
    <w:rsid w:val="00543BEB"/>
    <w:rsid w:val="00543CEA"/>
    <w:rsid w:val="005440CB"/>
    <w:rsid w:val="00544218"/>
    <w:rsid w:val="005442E8"/>
    <w:rsid w:val="00545DEC"/>
    <w:rsid w:val="005464FA"/>
    <w:rsid w:val="005465B1"/>
    <w:rsid w:val="00546E5B"/>
    <w:rsid w:val="005472A3"/>
    <w:rsid w:val="00550825"/>
    <w:rsid w:val="00550967"/>
    <w:rsid w:val="00552025"/>
    <w:rsid w:val="005530D0"/>
    <w:rsid w:val="0055400E"/>
    <w:rsid w:val="00554200"/>
    <w:rsid w:val="00556185"/>
    <w:rsid w:val="0055670B"/>
    <w:rsid w:val="00560DC2"/>
    <w:rsid w:val="00561741"/>
    <w:rsid w:val="00561D9E"/>
    <w:rsid w:val="0056252C"/>
    <w:rsid w:val="00563E83"/>
    <w:rsid w:val="00564AC8"/>
    <w:rsid w:val="00566DE5"/>
    <w:rsid w:val="0056706D"/>
    <w:rsid w:val="005701F2"/>
    <w:rsid w:val="0057168E"/>
    <w:rsid w:val="00571DF0"/>
    <w:rsid w:val="00573F50"/>
    <w:rsid w:val="005744A4"/>
    <w:rsid w:val="005745A1"/>
    <w:rsid w:val="00576840"/>
    <w:rsid w:val="00580660"/>
    <w:rsid w:val="0058123C"/>
    <w:rsid w:val="00583330"/>
    <w:rsid w:val="00583EA6"/>
    <w:rsid w:val="00583FEC"/>
    <w:rsid w:val="00584117"/>
    <w:rsid w:val="00584D4B"/>
    <w:rsid w:val="0058570F"/>
    <w:rsid w:val="00586582"/>
    <w:rsid w:val="00586599"/>
    <w:rsid w:val="005865A6"/>
    <w:rsid w:val="005902AD"/>
    <w:rsid w:val="00591F75"/>
    <w:rsid w:val="005941BD"/>
    <w:rsid w:val="00594B63"/>
    <w:rsid w:val="00596559"/>
    <w:rsid w:val="005A0CE2"/>
    <w:rsid w:val="005A29D8"/>
    <w:rsid w:val="005A2B7D"/>
    <w:rsid w:val="005A3A55"/>
    <w:rsid w:val="005A486D"/>
    <w:rsid w:val="005A4AA9"/>
    <w:rsid w:val="005A4FA4"/>
    <w:rsid w:val="005A5EF6"/>
    <w:rsid w:val="005A65A4"/>
    <w:rsid w:val="005B2FBA"/>
    <w:rsid w:val="005B5FA9"/>
    <w:rsid w:val="005B6636"/>
    <w:rsid w:val="005B742A"/>
    <w:rsid w:val="005B7806"/>
    <w:rsid w:val="005C2F42"/>
    <w:rsid w:val="005C3058"/>
    <w:rsid w:val="005C3E29"/>
    <w:rsid w:val="005C50D4"/>
    <w:rsid w:val="005C51BC"/>
    <w:rsid w:val="005C58B3"/>
    <w:rsid w:val="005C5903"/>
    <w:rsid w:val="005C6E37"/>
    <w:rsid w:val="005D0296"/>
    <w:rsid w:val="005D10C1"/>
    <w:rsid w:val="005D1B4C"/>
    <w:rsid w:val="005D3916"/>
    <w:rsid w:val="005D47A6"/>
    <w:rsid w:val="005D5445"/>
    <w:rsid w:val="005D5510"/>
    <w:rsid w:val="005D5BD2"/>
    <w:rsid w:val="005D66EC"/>
    <w:rsid w:val="005D7436"/>
    <w:rsid w:val="005D7D4E"/>
    <w:rsid w:val="005E14F3"/>
    <w:rsid w:val="005E23F1"/>
    <w:rsid w:val="005E418B"/>
    <w:rsid w:val="005E4EB9"/>
    <w:rsid w:val="005E5066"/>
    <w:rsid w:val="005E5B0C"/>
    <w:rsid w:val="005E65B2"/>
    <w:rsid w:val="005E741C"/>
    <w:rsid w:val="005E7624"/>
    <w:rsid w:val="005F08C3"/>
    <w:rsid w:val="005F1D32"/>
    <w:rsid w:val="005F1FA6"/>
    <w:rsid w:val="005F22E7"/>
    <w:rsid w:val="005F351B"/>
    <w:rsid w:val="005F4A3D"/>
    <w:rsid w:val="005F5C6F"/>
    <w:rsid w:val="005F6D92"/>
    <w:rsid w:val="005F73F1"/>
    <w:rsid w:val="005F7E4F"/>
    <w:rsid w:val="0060010A"/>
    <w:rsid w:val="0060061E"/>
    <w:rsid w:val="0060189E"/>
    <w:rsid w:val="00604931"/>
    <w:rsid w:val="00604B0C"/>
    <w:rsid w:val="00604DAC"/>
    <w:rsid w:val="006115F6"/>
    <w:rsid w:val="006131AA"/>
    <w:rsid w:val="006144C9"/>
    <w:rsid w:val="00614B10"/>
    <w:rsid w:val="00614F97"/>
    <w:rsid w:val="006151EE"/>
    <w:rsid w:val="006156E9"/>
    <w:rsid w:val="00617042"/>
    <w:rsid w:val="006174B3"/>
    <w:rsid w:val="00620965"/>
    <w:rsid w:val="00620E82"/>
    <w:rsid w:val="00623588"/>
    <w:rsid w:val="00623A65"/>
    <w:rsid w:val="0062409B"/>
    <w:rsid w:val="00624751"/>
    <w:rsid w:val="00625A59"/>
    <w:rsid w:val="0062609E"/>
    <w:rsid w:val="00626143"/>
    <w:rsid w:val="00626948"/>
    <w:rsid w:val="00627301"/>
    <w:rsid w:val="006273C4"/>
    <w:rsid w:val="00630034"/>
    <w:rsid w:val="00630A34"/>
    <w:rsid w:val="00631BC2"/>
    <w:rsid w:val="00632703"/>
    <w:rsid w:val="00633A78"/>
    <w:rsid w:val="00633D1A"/>
    <w:rsid w:val="00635A60"/>
    <w:rsid w:val="0063641E"/>
    <w:rsid w:val="006371C7"/>
    <w:rsid w:val="006425C9"/>
    <w:rsid w:val="00642C97"/>
    <w:rsid w:val="0064428F"/>
    <w:rsid w:val="006459DC"/>
    <w:rsid w:val="00647590"/>
    <w:rsid w:val="00647AB2"/>
    <w:rsid w:val="00650B94"/>
    <w:rsid w:val="00650FA5"/>
    <w:rsid w:val="006513C3"/>
    <w:rsid w:val="006523B9"/>
    <w:rsid w:val="00654214"/>
    <w:rsid w:val="00655078"/>
    <w:rsid w:val="00655EAF"/>
    <w:rsid w:val="0065678C"/>
    <w:rsid w:val="00656EA9"/>
    <w:rsid w:val="0065713E"/>
    <w:rsid w:val="00657283"/>
    <w:rsid w:val="00657CBE"/>
    <w:rsid w:val="006605DE"/>
    <w:rsid w:val="006612A0"/>
    <w:rsid w:val="0066241D"/>
    <w:rsid w:val="00662DB5"/>
    <w:rsid w:val="00663493"/>
    <w:rsid w:val="00663A03"/>
    <w:rsid w:val="00665A72"/>
    <w:rsid w:val="00666018"/>
    <w:rsid w:val="006660C0"/>
    <w:rsid w:val="006665B9"/>
    <w:rsid w:val="00667BC0"/>
    <w:rsid w:val="00671423"/>
    <w:rsid w:val="006719D3"/>
    <w:rsid w:val="00671FF1"/>
    <w:rsid w:val="00672B80"/>
    <w:rsid w:val="006739F0"/>
    <w:rsid w:val="006754DA"/>
    <w:rsid w:val="006759A9"/>
    <w:rsid w:val="00675A70"/>
    <w:rsid w:val="00677002"/>
    <w:rsid w:val="00680898"/>
    <w:rsid w:val="00680A8E"/>
    <w:rsid w:val="00680CCE"/>
    <w:rsid w:val="00682321"/>
    <w:rsid w:val="00682485"/>
    <w:rsid w:val="00682784"/>
    <w:rsid w:val="0068334B"/>
    <w:rsid w:val="00683CC8"/>
    <w:rsid w:val="00684B18"/>
    <w:rsid w:val="00684D5E"/>
    <w:rsid w:val="0068581A"/>
    <w:rsid w:val="00685F83"/>
    <w:rsid w:val="006877EA"/>
    <w:rsid w:val="006906ED"/>
    <w:rsid w:val="0069127E"/>
    <w:rsid w:val="00692301"/>
    <w:rsid w:val="00692E75"/>
    <w:rsid w:val="006933BF"/>
    <w:rsid w:val="00693FFC"/>
    <w:rsid w:val="00697429"/>
    <w:rsid w:val="00697AE6"/>
    <w:rsid w:val="00697C7B"/>
    <w:rsid w:val="00697D5B"/>
    <w:rsid w:val="006A0619"/>
    <w:rsid w:val="006A0C20"/>
    <w:rsid w:val="006A0D2D"/>
    <w:rsid w:val="006A176B"/>
    <w:rsid w:val="006A1F11"/>
    <w:rsid w:val="006A1F5B"/>
    <w:rsid w:val="006A2A44"/>
    <w:rsid w:val="006A513E"/>
    <w:rsid w:val="006A52A8"/>
    <w:rsid w:val="006B0E69"/>
    <w:rsid w:val="006B14F9"/>
    <w:rsid w:val="006C26C6"/>
    <w:rsid w:val="006C3B84"/>
    <w:rsid w:val="006C4002"/>
    <w:rsid w:val="006C753C"/>
    <w:rsid w:val="006C7570"/>
    <w:rsid w:val="006D04D8"/>
    <w:rsid w:val="006D2468"/>
    <w:rsid w:val="006D3597"/>
    <w:rsid w:val="006D4E4F"/>
    <w:rsid w:val="006D5B25"/>
    <w:rsid w:val="006D61C3"/>
    <w:rsid w:val="006E06DF"/>
    <w:rsid w:val="006E0E94"/>
    <w:rsid w:val="006E1F13"/>
    <w:rsid w:val="006E38C9"/>
    <w:rsid w:val="006E69F8"/>
    <w:rsid w:val="006F3101"/>
    <w:rsid w:val="006F46E2"/>
    <w:rsid w:val="006F5386"/>
    <w:rsid w:val="006F77E5"/>
    <w:rsid w:val="00700616"/>
    <w:rsid w:val="00701671"/>
    <w:rsid w:val="00701995"/>
    <w:rsid w:val="00701EB0"/>
    <w:rsid w:val="00702C48"/>
    <w:rsid w:val="007031A1"/>
    <w:rsid w:val="007045A9"/>
    <w:rsid w:val="00704656"/>
    <w:rsid w:val="00704B9D"/>
    <w:rsid w:val="0070521E"/>
    <w:rsid w:val="00706993"/>
    <w:rsid w:val="00706A42"/>
    <w:rsid w:val="00706D88"/>
    <w:rsid w:val="00706DDE"/>
    <w:rsid w:val="00707D3F"/>
    <w:rsid w:val="00710086"/>
    <w:rsid w:val="007110F1"/>
    <w:rsid w:val="007138A2"/>
    <w:rsid w:val="007150FC"/>
    <w:rsid w:val="00716426"/>
    <w:rsid w:val="007167AA"/>
    <w:rsid w:val="00717D28"/>
    <w:rsid w:val="007207B8"/>
    <w:rsid w:val="00720E63"/>
    <w:rsid w:val="0072105C"/>
    <w:rsid w:val="00721D9D"/>
    <w:rsid w:val="007228E0"/>
    <w:rsid w:val="00722E9A"/>
    <w:rsid w:val="0072360F"/>
    <w:rsid w:val="00724088"/>
    <w:rsid w:val="00724824"/>
    <w:rsid w:val="00724AB8"/>
    <w:rsid w:val="007270FE"/>
    <w:rsid w:val="00730708"/>
    <w:rsid w:val="00731564"/>
    <w:rsid w:val="00732505"/>
    <w:rsid w:val="00732F61"/>
    <w:rsid w:val="0073395E"/>
    <w:rsid w:val="00734187"/>
    <w:rsid w:val="00734F5E"/>
    <w:rsid w:val="007361F8"/>
    <w:rsid w:val="00736AA5"/>
    <w:rsid w:val="00741F1B"/>
    <w:rsid w:val="007423EB"/>
    <w:rsid w:val="00742744"/>
    <w:rsid w:val="00742A15"/>
    <w:rsid w:val="00743205"/>
    <w:rsid w:val="0074336E"/>
    <w:rsid w:val="00743F26"/>
    <w:rsid w:val="00744693"/>
    <w:rsid w:val="0074596A"/>
    <w:rsid w:val="00746743"/>
    <w:rsid w:val="007500B1"/>
    <w:rsid w:val="007504FD"/>
    <w:rsid w:val="00750A98"/>
    <w:rsid w:val="00750F88"/>
    <w:rsid w:val="00751306"/>
    <w:rsid w:val="00752AF9"/>
    <w:rsid w:val="007530CB"/>
    <w:rsid w:val="00753D0C"/>
    <w:rsid w:val="00754677"/>
    <w:rsid w:val="007547F6"/>
    <w:rsid w:val="00754B64"/>
    <w:rsid w:val="007555F6"/>
    <w:rsid w:val="00756938"/>
    <w:rsid w:val="00756AF4"/>
    <w:rsid w:val="00756E9A"/>
    <w:rsid w:val="00757A97"/>
    <w:rsid w:val="00762B01"/>
    <w:rsid w:val="0076373C"/>
    <w:rsid w:val="0076535B"/>
    <w:rsid w:val="007661CF"/>
    <w:rsid w:val="00766643"/>
    <w:rsid w:val="00766AD7"/>
    <w:rsid w:val="00766E51"/>
    <w:rsid w:val="0077044A"/>
    <w:rsid w:val="00771927"/>
    <w:rsid w:val="00771BB4"/>
    <w:rsid w:val="00772A4F"/>
    <w:rsid w:val="00773472"/>
    <w:rsid w:val="00773B9C"/>
    <w:rsid w:val="00775AAB"/>
    <w:rsid w:val="0077626C"/>
    <w:rsid w:val="0077634E"/>
    <w:rsid w:val="00776C83"/>
    <w:rsid w:val="007776AD"/>
    <w:rsid w:val="00783F46"/>
    <w:rsid w:val="00784189"/>
    <w:rsid w:val="007851CB"/>
    <w:rsid w:val="00785419"/>
    <w:rsid w:val="007868B9"/>
    <w:rsid w:val="00786BFF"/>
    <w:rsid w:val="00786E47"/>
    <w:rsid w:val="00790463"/>
    <w:rsid w:val="0079096C"/>
    <w:rsid w:val="00790C3A"/>
    <w:rsid w:val="00793731"/>
    <w:rsid w:val="00794382"/>
    <w:rsid w:val="00795E23"/>
    <w:rsid w:val="00796731"/>
    <w:rsid w:val="007A1E30"/>
    <w:rsid w:val="007A53E1"/>
    <w:rsid w:val="007A5F0E"/>
    <w:rsid w:val="007A6FC8"/>
    <w:rsid w:val="007A77E7"/>
    <w:rsid w:val="007B0556"/>
    <w:rsid w:val="007B06E5"/>
    <w:rsid w:val="007B1E64"/>
    <w:rsid w:val="007B1F03"/>
    <w:rsid w:val="007B3B6F"/>
    <w:rsid w:val="007B4899"/>
    <w:rsid w:val="007B4BD8"/>
    <w:rsid w:val="007B59E2"/>
    <w:rsid w:val="007B5CD9"/>
    <w:rsid w:val="007B6DA9"/>
    <w:rsid w:val="007B6FA4"/>
    <w:rsid w:val="007B74E7"/>
    <w:rsid w:val="007C05C8"/>
    <w:rsid w:val="007C0926"/>
    <w:rsid w:val="007C0A77"/>
    <w:rsid w:val="007C2437"/>
    <w:rsid w:val="007C453A"/>
    <w:rsid w:val="007C49AA"/>
    <w:rsid w:val="007C5665"/>
    <w:rsid w:val="007C5B8B"/>
    <w:rsid w:val="007C5D6B"/>
    <w:rsid w:val="007C64CF"/>
    <w:rsid w:val="007D0A85"/>
    <w:rsid w:val="007D169B"/>
    <w:rsid w:val="007D2957"/>
    <w:rsid w:val="007D527D"/>
    <w:rsid w:val="007D568E"/>
    <w:rsid w:val="007D6CA7"/>
    <w:rsid w:val="007D76E9"/>
    <w:rsid w:val="007D7730"/>
    <w:rsid w:val="007E045A"/>
    <w:rsid w:val="007E0C92"/>
    <w:rsid w:val="007E1011"/>
    <w:rsid w:val="007E1DEA"/>
    <w:rsid w:val="007E1E84"/>
    <w:rsid w:val="007E1EFA"/>
    <w:rsid w:val="007E2335"/>
    <w:rsid w:val="007E2784"/>
    <w:rsid w:val="007E2804"/>
    <w:rsid w:val="007E29A6"/>
    <w:rsid w:val="007E33A1"/>
    <w:rsid w:val="007E3995"/>
    <w:rsid w:val="007E4345"/>
    <w:rsid w:val="007E561B"/>
    <w:rsid w:val="007E6B0C"/>
    <w:rsid w:val="007E6D0E"/>
    <w:rsid w:val="007E7441"/>
    <w:rsid w:val="007E7E57"/>
    <w:rsid w:val="007F1425"/>
    <w:rsid w:val="007F19E7"/>
    <w:rsid w:val="007F26A7"/>
    <w:rsid w:val="007F3522"/>
    <w:rsid w:val="007F3686"/>
    <w:rsid w:val="007F41BD"/>
    <w:rsid w:val="007F5607"/>
    <w:rsid w:val="007F5A97"/>
    <w:rsid w:val="007F6983"/>
    <w:rsid w:val="007F6B0D"/>
    <w:rsid w:val="007F6CBC"/>
    <w:rsid w:val="007F7E17"/>
    <w:rsid w:val="007F7F18"/>
    <w:rsid w:val="00800BC9"/>
    <w:rsid w:val="0080149C"/>
    <w:rsid w:val="00801836"/>
    <w:rsid w:val="00810200"/>
    <w:rsid w:val="00810469"/>
    <w:rsid w:val="0081207A"/>
    <w:rsid w:val="00812566"/>
    <w:rsid w:val="00812AB9"/>
    <w:rsid w:val="0081465F"/>
    <w:rsid w:val="008176AA"/>
    <w:rsid w:val="0082262C"/>
    <w:rsid w:val="0082310D"/>
    <w:rsid w:val="00824B4E"/>
    <w:rsid w:val="008256BE"/>
    <w:rsid w:val="0083019F"/>
    <w:rsid w:val="008317AB"/>
    <w:rsid w:val="008317BD"/>
    <w:rsid w:val="008321D4"/>
    <w:rsid w:val="00832518"/>
    <w:rsid w:val="00832B8D"/>
    <w:rsid w:val="00833500"/>
    <w:rsid w:val="008339B2"/>
    <w:rsid w:val="008344B4"/>
    <w:rsid w:val="00834CE4"/>
    <w:rsid w:val="00835011"/>
    <w:rsid w:val="00835B1D"/>
    <w:rsid w:val="00835FD0"/>
    <w:rsid w:val="00836046"/>
    <w:rsid w:val="00840146"/>
    <w:rsid w:val="008409EA"/>
    <w:rsid w:val="00840B50"/>
    <w:rsid w:val="00841407"/>
    <w:rsid w:val="008417BC"/>
    <w:rsid w:val="00842B40"/>
    <w:rsid w:val="008431C3"/>
    <w:rsid w:val="008443C6"/>
    <w:rsid w:val="0084479D"/>
    <w:rsid w:val="00844DC7"/>
    <w:rsid w:val="00847F8C"/>
    <w:rsid w:val="008505D7"/>
    <w:rsid w:val="00852A56"/>
    <w:rsid w:val="00852AF3"/>
    <w:rsid w:val="00852B57"/>
    <w:rsid w:val="0085324D"/>
    <w:rsid w:val="00855A18"/>
    <w:rsid w:val="00856A8E"/>
    <w:rsid w:val="008570E6"/>
    <w:rsid w:val="008571C1"/>
    <w:rsid w:val="00857C1E"/>
    <w:rsid w:val="0086028A"/>
    <w:rsid w:val="008632EF"/>
    <w:rsid w:val="00864FD6"/>
    <w:rsid w:val="0087219E"/>
    <w:rsid w:val="00872577"/>
    <w:rsid w:val="00872BD1"/>
    <w:rsid w:val="00872BDB"/>
    <w:rsid w:val="00874D24"/>
    <w:rsid w:val="00874FD6"/>
    <w:rsid w:val="00875209"/>
    <w:rsid w:val="0087589A"/>
    <w:rsid w:val="008765D7"/>
    <w:rsid w:val="008766D7"/>
    <w:rsid w:val="00876FEF"/>
    <w:rsid w:val="0087751F"/>
    <w:rsid w:val="00877FAE"/>
    <w:rsid w:val="00880BC1"/>
    <w:rsid w:val="008811D1"/>
    <w:rsid w:val="008820A1"/>
    <w:rsid w:val="00882D7A"/>
    <w:rsid w:val="00882E4C"/>
    <w:rsid w:val="00884335"/>
    <w:rsid w:val="00884647"/>
    <w:rsid w:val="0088497C"/>
    <w:rsid w:val="00887E24"/>
    <w:rsid w:val="0089009E"/>
    <w:rsid w:val="0089056E"/>
    <w:rsid w:val="00890B05"/>
    <w:rsid w:val="008914C1"/>
    <w:rsid w:val="008919C5"/>
    <w:rsid w:val="00893135"/>
    <w:rsid w:val="008931F3"/>
    <w:rsid w:val="00893221"/>
    <w:rsid w:val="0089428B"/>
    <w:rsid w:val="00894445"/>
    <w:rsid w:val="00894C4C"/>
    <w:rsid w:val="00895B1C"/>
    <w:rsid w:val="008975D9"/>
    <w:rsid w:val="008A2291"/>
    <w:rsid w:val="008A24B7"/>
    <w:rsid w:val="008A2F98"/>
    <w:rsid w:val="008A31B2"/>
    <w:rsid w:val="008A31DA"/>
    <w:rsid w:val="008A3F45"/>
    <w:rsid w:val="008A4A61"/>
    <w:rsid w:val="008A4D0B"/>
    <w:rsid w:val="008A6776"/>
    <w:rsid w:val="008A74E0"/>
    <w:rsid w:val="008B0099"/>
    <w:rsid w:val="008B046D"/>
    <w:rsid w:val="008B04BB"/>
    <w:rsid w:val="008B2574"/>
    <w:rsid w:val="008B31F7"/>
    <w:rsid w:val="008B32C4"/>
    <w:rsid w:val="008B3716"/>
    <w:rsid w:val="008B3C38"/>
    <w:rsid w:val="008B4199"/>
    <w:rsid w:val="008B4ACF"/>
    <w:rsid w:val="008B4B39"/>
    <w:rsid w:val="008B4F50"/>
    <w:rsid w:val="008B533B"/>
    <w:rsid w:val="008B580F"/>
    <w:rsid w:val="008B5B1B"/>
    <w:rsid w:val="008B63A6"/>
    <w:rsid w:val="008B67D0"/>
    <w:rsid w:val="008B7241"/>
    <w:rsid w:val="008B7696"/>
    <w:rsid w:val="008C2753"/>
    <w:rsid w:val="008C47BA"/>
    <w:rsid w:val="008C47DE"/>
    <w:rsid w:val="008C4E3F"/>
    <w:rsid w:val="008C56DB"/>
    <w:rsid w:val="008C5D38"/>
    <w:rsid w:val="008C70A9"/>
    <w:rsid w:val="008D01C4"/>
    <w:rsid w:val="008D180E"/>
    <w:rsid w:val="008D196D"/>
    <w:rsid w:val="008D2B44"/>
    <w:rsid w:val="008D2CE9"/>
    <w:rsid w:val="008D363C"/>
    <w:rsid w:val="008D3FE0"/>
    <w:rsid w:val="008D5361"/>
    <w:rsid w:val="008D578D"/>
    <w:rsid w:val="008D77A9"/>
    <w:rsid w:val="008D7FB5"/>
    <w:rsid w:val="008E1D6C"/>
    <w:rsid w:val="008E2414"/>
    <w:rsid w:val="008E2915"/>
    <w:rsid w:val="008E2F35"/>
    <w:rsid w:val="008E3478"/>
    <w:rsid w:val="008E3A86"/>
    <w:rsid w:val="008E3EBC"/>
    <w:rsid w:val="008E51A7"/>
    <w:rsid w:val="008E544E"/>
    <w:rsid w:val="008E5D83"/>
    <w:rsid w:val="008E5F4C"/>
    <w:rsid w:val="008E7DAB"/>
    <w:rsid w:val="008E7FE0"/>
    <w:rsid w:val="008F1376"/>
    <w:rsid w:val="008F2CB2"/>
    <w:rsid w:val="008F33BE"/>
    <w:rsid w:val="008F372B"/>
    <w:rsid w:val="008F5719"/>
    <w:rsid w:val="008F5E74"/>
    <w:rsid w:val="00900B00"/>
    <w:rsid w:val="00901D3F"/>
    <w:rsid w:val="009044AB"/>
    <w:rsid w:val="009053A2"/>
    <w:rsid w:val="00905AF3"/>
    <w:rsid w:val="00905F48"/>
    <w:rsid w:val="00906B9F"/>
    <w:rsid w:val="00907401"/>
    <w:rsid w:val="009100C0"/>
    <w:rsid w:val="00910A3F"/>
    <w:rsid w:val="00910B0B"/>
    <w:rsid w:val="00910DA7"/>
    <w:rsid w:val="00910F6E"/>
    <w:rsid w:val="00911C05"/>
    <w:rsid w:val="00911F06"/>
    <w:rsid w:val="0091231D"/>
    <w:rsid w:val="00912931"/>
    <w:rsid w:val="00913EAC"/>
    <w:rsid w:val="009157AC"/>
    <w:rsid w:val="00916CB2"/>
    <w:rsid w:val="00917574"/>
    <w:rsid w:val="00920E4A"/>
    <w:rsid w:val="00920F40"/>
    <w:rsid w:val="00922B56"/>
    <w:rsid w:val="009237CB"/>
    <w:rsid w:val="00923C24"/>
    <w:rsid w:val="00925EB8"/>
    <w:rsid w:val="00925FE4"/>
    <w:rsid w:val="009269B8"/>
    <w:rsid w:val="00930506"/>
    <w:rsid w:val="00930CB5"/>
    <w:rsid w:val="00930D34"/>
    <w:rsid w:val="0093136A"/>
    <w:rsid w:val="009314E5"/>
    <w:rsid w:val="009322AB"/>
    <w:rsid w:val="00932359"/>
    <w:rsid w:val="009343B3"/>
    <w:rsid w:val="0093469A"/>
    <w:rsid w:val="009347D8"/>
    <w:rsid w:val="00934AF5"/>
    <w:rsid w:val="009359C2"/>
    <w:rsid w:val="00935DCC"/>
    <w:rsid w:val="00936FEE"/>
    <w:rsid w:val="00937922"/>
    <w:rsid w:val="00941071"/>
    <w:rsid w:val="009422A3"/>
    <w:rsid w:val="00942D32"/>
    <w:rsid w:val="00943023"/>
    <w:rsid w:val="009457E2"/>
    <w:rsid w:val="00945913"/>
    <w:rsid w:val="00946834"/>
    <w:rsid w:val="009469DB"/>
    <w:rsid w:val="0094714B"/>
    <w:rsid w:val="009508E5"/>
    <w:rsid w:val="00950E7C"/>
    <w:rsid w:val="00951512"/>
    <w:rsid w:val="00951636"/>
    <w:rsid w:val="00951838"/>
    <w:rsid w:val="00951D60"/>
    <w:rsid w:val="009538A1"/>
    <w:rsid w:val="00954462"/>
    <w:rsid w:val="00955EC1"/>
    <w:rsid w:val="00956869"/>
    <w:rsid w:val="00957E26"/>
    <w:rsid w:val="0096145D"/>
    <w:rsid w:val="00961654"/>
    <w:rsid w:val="00962FBC"/>
    <w:rsid w:val="00963326"/>
    <w:rsid w:val="009638A5"/>
    <w:rsid w:val="00964049"/>
    <w:rsid w:val="00964187"/>
    <w:rsid w:val="00964A3E"/>
    <w:rsid w:val="009662B8"/>
    <w:rsid w:val="0097520B"/>
    <w:rsid w:val="00975BF8"/>
    <w:rsid w:val="009760FB"/>
    <w:rsid w:val="009766CC"/>
    <w:rsid w:val="00980EDD"/>
    <w:rsid w:val="00981AD7"/>
    <w:rsid w:val="009825B7"/>
    <w:rsid w:val="009829B5"/>
    <w:rsid w:val="0098380B"/>
    <w:rsid w:val="0098441B"/>
    <w:rsid w:val="009866A7"/>
    <w:rsid w:val="009871DF"/>
    <w:rsid w:val="00987A28"/>
    <w:rsid w:val="0099087D"/>
    <w:rsid w:val="00991ECE"/>
    <w:rsid w:val="00992377"/>
    <w:rsid w:val="0099309D"/>
    <w:rsid w:val="009930F7"/>
    <w:rsid w:val="00993F8A"/>
    <w:rsid w:val="0099463B"/>
    <w:rsid w:val="00994700"/>
    <w:rsid w:val="00995022"/>
    <w:rsid w:val="00995138"/>
    <w:rsid w:val="00996075"/>
    <w:rsid w:val="0099607C"/>
    <w:rsid w:val="009969EA"/>
    <w:rsid w:val="009974F6"/>
    <w:rsid w:val="009A069B"/>
    <w:rsid w:val="009A0EB0"/>
    <w:rsid w:val="009A31B7"/>
    <w:rsid w:val="009A34B9"/>
    <w:rsid w:val="009A4257"/>
    <w:rsid w:val="009A555D"/>
    <w:rsid w:val="009A75DA"/>
    <w:rsid w:val="009B44C0"/>
    <w:rsid w:val="009B535D"/>
    <w:rsid w:val="009B6012"/>
    <w:rsid w:val="009B61EC"/>
    <w:rsid w:val="009B6B5F"/>
    <w:rsid w:val="009B6CF2"/>
    <w:rsid w:val="009B7488"/>
    <w:rsid w:val="009B7A3B"/>
    <w:rsid w:val="009C36E1"/>
    <w:rsid w:val="009C3BC1"/>
    <w:rsid w:val="009C42F1"/>
    <w:rsid w:val="009C531B"/>
    <w:rsid w:val="009C5445"/>
    <w:rsid w:val="009C5C4B"/>
    <w:rsid w:val="009C645D"/>
    <w:rsid w:val="009C769E"/>
    <w:rsid w:val="009C7A07"/>
    <w:rsid w:val="009D016D"/>
    <w:rsid w:val="009D0391"/>
    <w:rsid w:val="009D0822"/>
    <w:rsid w:val="009D2450"/>
    <w:rsid w:val="009D2E04"/>
    <w:rsid w:val="009D36A1"/>
    <w:rsid w:val="009D4064"/>
    <w:rsid w:val="009D4510"/>
    <w:rsid w:val="009D5591"/>
    <w:rsid w:val="009D6D4B"/>
    <w:rsid w:val="009D7578"/>
    <w:rsid w:val="009D7DC3"/>
    <w:rsid w:val="009E0AFA"/>
    <w:rsid w:val="009E1762"/>
    <w:rsid w:val="009E2403"/>
    <w:rsid w:val="009E42A0"/>
    <w:rsid w:val="009E461C"/>
    <w:rsid w:val="009E6708"/>
    <w:rsid w:val="009E6D2E"/>
    <w:rsid w:val="009E6F64"/>
    <w:rsid w:val="009E75DB"/>
    <w:rsid w:val="009E7DF0"/>
    <w:rsid w:val="009F0FA0"/>
    <w:rsid w:val="009F1036"/>
    <w:rsid w:val="009F2D60"/>
    <w:rsid w:val="009F477B"/>
    <w:rsid w:val="009F5301"/>
    <w:rsid w:val="009F5C4B"/>
    <w:rsid w:val="009F622D"/>
    <w:rsid w:val="009F62DF"/>
    <w:rsid w:val="009F69DF"/>
    <w:rsid w:val="009F7845"/>
    <w:rsid w:val="00A0096F"/>
    <w:rsid w:val="00A02E8D"/>
    <w:rsid w:val="00A04212"/>
    <w:rsid w:val="00A059B9"/>
    <w:rsid w:val="00A05B82"/>
    <w:rsid w:val="00A06024"/>
    <w:rsid w:val="00A06F80"/>
    <w:rsid w:val="00A10BF8"/>
    <w:rsid w:val="00A11BE7"/>
    <w:rsid w:val="00A127EA"/>
    <w:rsid w:val="00A12C13"/>
    <w:rsid w:val="00A1398D"/>
    <w:rsid w:val="00A14E01"/>
    <w:rsid w:val="00A153F7"/>
    <w:rsid w:val="00A16DD0"/>
    <w:rsid w:val="00A175A5"/>
    <w:rsid w:val="00A17759"/>
    <w:rsid w:val="00A177BA"/>
    <w:rsid w:val="00A20505"/>
    <w:rsid w:val="00A2275F"/>
    <w:rsid w:val="00A22FFE"/>
    <w:rsid w:val="00A2441A"/>
    <w:rsid w:val="00A27D47"/>
    <w:rsid w:val="00A27F21"/>
    <w:rsid w:val="00A27FE1"/>
    <w:rsid w:val="00A301D9"/>
    <w:rsid w:val="00A323EB"/>
    <w:rsid w:val="00A32CA1"/>
    <w:rsid w:val="00A33E46"/>
    <w:rsid w:val="00A33FD2"/>
    <w:rsid w:val="00A359A6"/>
    <w:rsid w:val="00A35EAE"/>
    <w:rsid w:val="00A36958"/>
    <w:rsid w:val="00A36F9C"/>
    <w:rsid w:val="00A37424"/>
    <w:rsid w:val="00A37FE2"/>
    <w:rsid w:val="00A4035F"/>
    <w:rsid w:val="00A40C1A"/>
    <w:rsid w:val="00A41F0E"/>
    <w:rsid w:val="00A429C0"/>
    <w:rsid w:val="00A4332B"/>
    <w:rsid w:val="00A43366"/>
    <w:rsid w:val="00A43C39"/>
    <w:rsid w:val="00A44BDA"/>
    <w:rsid w:val="00A46227"/>
    <w:rsid w:val="00A469D2"/>
    <w:rsid w:val="00A46F63"/>
    <w:rsid w:val="00A47A94"/>
    <w:rsid w:val="00A47F5D"/>
    <w:rsid w:val="00A5005B"/>
    <w:rsid w:val="00A50539"/>
    <w:rsid w:val="00A535A9"/>
    <w:rsid w:val="00A5427D"/>
    <w:rsid w:val="00A55C12"/>
    <w:rsid w:val="00A564D7"/>
    <w:rsid w:val="00A56535"/>
    <w:rsid w:val="00A566B0"/>
    <w:rsid w:val="00A57591"/>
    <w:rsid w:val="00A60EA3"/>
    <w:rsid w:val="00A61CB1"/>
    <w:rsid w:val="00A6229F"/>
    <w:rsid w:val="00A62741"/>
    <w:rsid w:val="00A62CB0"/>
    <w:rsid w:val="00A63049"/>
    <w:rsid w:val="00A6338F"/>
    <w:rsid w:val="00A64064"/>
    <w:rsid w:val="00A67599"/>
    <w:rsid w:val="00A67696"/>
    <w:rsid w:val="00A67773"/>
    <w:rsid w:val="00A67FEF"/>
    <w:rsid w:val="00A7237D"/>
    <w:rsid w:val="00A72F39"/>
    <w:rsid w:val="00A73305"/>
    <w:rsid w:val="00A73CF4"/>
    <w:rsid w:val="00A745C1"/>
    <w:rsid w:val="00A75877"/>
    <w:rsid w:val="00A75883"/>
    <w:rsid w:val="00A76404"/>
    <w:rsid w:val="00A7737D"/>
    <w:rsid w:val="00A77B35"/>
    <w:rsid w:val="00A803ED"/>
    <w:rsid w:val="00A81018"/>
    <w:rsid w:val="00A848B4"/>
    <w:rsid w:val="00A8548E"/>
    <w:rsid w:val="00A8577E"/>
    <w:rsid w:val="00A8588C"/>
    <w:rsid w:val="00A86B45"/>
    <w:rsid w:val="00A87540"/>
    <w:rsid w:val="00A904B6"/>
    <w:rsid w:val="00A9238E"/>
    <w:rsid w:val="00A92DE3"/>
    <w:rsid w:val="00A932DB"/>
    <w:rsid w:val="00A96474"/>
    <w:rsid w:val="00A96602"/>
    <w:rsid w:val="00A969B2"/>
    <w:rsid w:val="00AA00C5"/>
    <w:rsid w:val="00AA04E4"/>
    <w:rsid w:val="00AA09E1"/>
    <w:rsid w:val="00AA12E1"/>
    <w:rsid w:val="00AA1519"/>
    <w:rsid w:val="00AA24A0"/>
    <w:rsid w:val="00AA2CC4"/>
    <w:rsid w:val="00AA3BD5"/>
    <w:rsid w:val="00AA53C1"/>
    <w:rsid w:val="00AA6290"/>
    <w:rsid w:val="00AA6429"/>
    <w:rsid w:val="00AA7F8F"/>
    <w:rsid w:val="00AB113B"/>
    <w:rsid w:val="00AB215F"/>
    <w:rsid w:val="00AB443B"/>
    <w:rsid w:val="00AB53FA"/>
    <w:rsid w:val="00AB54D8"/>
    <w:rsid w:val="00AB5D1E"/>
    <w:rsid w:val="00AB5E5E"/>
    <w:rsid w:val="00AB5F5A"/>
    <w:rsid w:val="00AB61F9"/>
    <w:rsid w:val="00AB69E3"/>
    <w:rsid w:val="00AB6A3B"/>
    <w:rsid w:val="00AC054E"/>
    <w:rsid w:val="00AC074F"/>
    <w:rsid w:val="00AC28E6"/>
    <w:rsid w:val="00AC2972"/>
    <w:rsid w:val="00AC44EC"/>
    <w:rsid w:val="00AC7459"/>
    <w:rsid w:val="00AD08CF"/>
    <w:rsid w:val="00AD0CDE"/>
    <w:rsid w:val="00AD37E3"/>
    <w:rsid w:val="00AD4BA0"/>
    <w:rsid w:val="00AD5B5E"/>
    <w:rsid w:val="00AD69D1"/>
    <w:rsid w:val="00AD6A60"/>
    <w:rsid w:val="00AE11EF"/>
    <w:rsid w:val="00AE1D71"/>
    <w:rsid w:val="00AE25F3"/>
    <w:rsid w:val="00AE28B3"/>
    <w:rsid w:val="00AE2996"/>
    <w:rsid w:val="00AE3105"/>
    <w:rsid w:val="00AE35C1"/>
    <w:rsid w:val="00AE3DA6"/>
    <w:rsid w:val="00AE3F0F"/>
    <w:rsid w:val="00AE6C41"/>
    <w:rsid w:val="00AE6E53"/>
    <w:rsid w:val="00AF0CF6"/>
    <w:rsid w:val="00AF12F2"/>
    <w:rsid w:val="00AF15C2"/>
    <w:rsid w:val="00AF17FE"/>
    <w:rsid w:val="00AF19D1"/>
    <w:rsid w:val="00AF1B78"/>
    <w:rsid w:val="00AF1C72"/>
    <w:rsid w:val="00AF26B0"/>
    <w:rsid w:val="00AF4AD9"/>
    <w:rsid w:val="00AF680E"/>
    <w:rsid w:val="00AF6F7E"/>
    <w:rsid w:val="00AF774C"/>
    <w:rsid w:val="00B000F2"/>
    <w:rsid w:val="00B006B3"/>
    <w:rsid w:val="00B008A8"/>
    <w:rsid w:val="00B00E10"/>
    <w:rsid w:val="00B01AA7"/>
    <w:rsid w:val="00B01E8D"/>
    <w:rsid w:val="00B03C20"/>
    <w:rsid w:val="00B047D4"/>
    <w:rsid w:val="00B05DD4"/>
    <w:rsid w:val="00B05E15"/>
    <w:rsid w:val="00B05EB3"/>
    <w:rsid w:val="00B0738B"/>
    <w:rsid w:val="00B075B1"/>
    <w:rsid w:val="00B10066"/>
    <w:rsid w:val="00B10649"/>
    <w:rsid w:val="00B107BC"/>
    <w:rsid w:val="00B12441"/>
    <w:rsid w:val="00B12E91"/>
    <w:rsid w:val="00B13D18"/>
    <w:rsid w:val="00B14B8F"/>
    <w:rsid w:val="00B1690A"/>
    <w:rsid w:val="00B16B6B"/>
    <w:rsid w:val="00B1769F"/>
    <w:rsid w:val="00B17BB3"/>
    <w:rsid w:val="00B20F42"/>
    <w:rsid w:val="00B224AF"/>
    <w:rsid w:val="00B23040"/>
    <w:rsid w:val="00B23363"/>
    <w:rsid w:val="00B24B1D"/>
    <w:rsid w:val="00B24DA8"/>
    <w:rsid w:val="00B24E94"/>
    <w:rsid w:val="00B26C3A"/>
    <w:rsid w:val="00B2746F"/>
    <w:rsid w:val="00B27EBA"/>
    <w:rsid w:val="00B3064D"/>
    <w:rsid w:val="00B307C6"/>
    <w:rsid w:val="00B30BF4"/>
    <w:rsid w:val="00B320BC"/>
    <w:rsid w:val="00B3258C"/>
    <w:rsid w:val="00B32697"/>
    <w:rsid w:val="00B33178"/>
    <w:rsid w:val="00B3353A"/>
    <w:rsid w:val="00B3373B"/>
    <w:rsid w:val="00B3399C"/>
    <w:rsid w:val="00B354FC"/>
    <w:rsid w:val="00B3565D"/>
    <w:rsid w:val="00B366BB"/>
    <w:rsid w:val="00B37B14"/>
    <w:rsid w:val="00B37F84"/>
    <w:rsid w:val="00B4027E"/>
    <w:rsid w:val="00B40770"/>
    <w:rsid w:val="00B42A7D"/>
    <w:rsid w:val="00B43C35"/>
    <w:rsid w:val="00B43C5A"/>
    <w:rsid w:val="00B43FA4"/>
    <w:rsid w:val="00B450A8"/>
    <w:rsid w:val="00B46700"/>
    <w:rsid w:val="00B472BB"/>
    <w:rsid w:val="00B5050A"/>
    <w:rsid w:val="00B50DDD"/>
    <w:rsid w:val="00B52AC2"/>
    <w:rsid w:val="00B54C4E"/>
    <w:rsid w:val="00B5533D"/>
    <w:rsid w:val="00B55F01"/>
    <w:rsid w:val="00B569B0"/>
    <w:rsid w:val="00B57D5D"/>
    <w:rsid w:val="00B57FBC"/>
    <w:rsid w:val="00B60322"/>
    <w:rsid w:val="00B60DDE"/>
    <w:rsid w:val="00B61972"/>
    <w:rsid w:val="00B61A09"/>
    <w:rsid w:val="00B61E0E"/>
    <w:rsid w:val="00B65959"/>
    <w:rsid w:val="00B72207"/>
    <w:rsid w:val="00B725AD"/>
    <w:rsid w:val="00B734D1"/>
    <w:rsid w:val="00B7464E"/>
    <w:rsid w:val="00B7610E"/>
    <w:rsid w:val="00B76A47"/>
    <w:rsid w:val="00B77689"/>
    <w:rsid w:val="00B80C5E"/>
    <w:rsid w:val="00B813DF"/>
    <w:rsid w:val="00B843C9"/>
    <w:rsid w:val="00B85569"/>
    <w:rsid w:val="00B85701"/>
    <w:rsid w:val="00B857B6"/>
    <w:rsid w:val="00B85E8F"/>
    <w:rsid w:val="00B86A24"/>
    <w:rsid w:val="00B86B15"/>
    <w:rsid w:val="00B86DAA"/>
    <w:rsid w:val="00B90DAE"/>
    <w:rsid w:val="00B9190A"/>
    <w:rsid w:val="00B91E6E"/>
    <w:rsid w:val="00B92343"/>
    <w:rsid w:val="00B92874"/>
    <w:rsid w:val="00B954D6"/>
    <w:rsid w:val="00B95715"/>
    <w:rsid w:val="00B96A60"/>
    <w:rsid w:val="00B9703C"/>
    <w:rsid w:val="00BA1BA6"/>
    <w:rsid w:val="00BA2A07"/>
    <w:rsid w:val="00BA3F36"/>
    <w:rsid w:val="00BA48B4"/>
    <w:rsid w:val="00BA586E"/>
    <w:rsid w:val="00BA5A49"/>
    <w:rsid w:val="00BA7D67"/>
    <w:rsid w:val="00BB0012"/>
    <w:rsid w:val="00BB076E"/>
    <w:rsid w:val="00BB124D"/>
    <w:rsid w:val="00BB27B3"/>
    <w:rsid w:val="00BB38B7"/>
    <w:rsid w:val="00BB3FE2"/>
    <w:rsid w:val="00BB4440"/>
    <w:rsid w:val="00BB45A9"/>
    <w:rsid w:val="00BB5010"/>
    <w:rsid w:val="00BB51F1"/>
    <w:rsid w:val="00BB5282"/>
    <w:rsid w:val="00BB5C47"/>
    <w:rsid w:val="00BB5EF3"/>
    <w:rsid w:val="00BB6B28"/>
    <w:rsid w:val="00BB72FC"/>
    <w:rsid w:val="00BC00DF"/>
    <w:rsid w:val="00BC133B"/>
    <w:rsid w:val="00BC1FFB"/>
    <w:rsid w:val="00BC27B8"/>
    <w:rsid w:val="00BC488D"/>
    <w:rsid w:val="00BC48A4"/>
    <w:rsid w:val="00BC57DF"/>
    <w:rsid w:val="00BC5F8C"/>
    <w:rsid w:val="00BD06BF"/>
    <w:rsid w:val="00BD33E0"/>
    <w:rsid w:val="00BD398A"/>
    <w:rsid w:val="00BD466C"/>
    <w:rsid w:val="00BD5460"/>
    <w:rsid w:val="00BD5CA3"/>
    <w:rsid w:val="00BD6145"/>
    <w:rsid w:val="00BD7B8F"/>
    <w:rsid w:val="00BD7BBB"/>
    <w:rsid w:val="00BD7CC4"/>
    <w:rsid w:val="00BE049C"/>
    <w:rsid w:val="00BE1BA6"/>
    <w:rsid w:val="00BE2214"/>
    <w:rsid w:val="00BE2EE4"/>
    <w:rsid w:val="00BE359F"/>
    <w:rsid w:val="00BE54D5"/>
    <w:rsid w:val="00BE5DEA"/>
    <w:rsid w:val="00BE60E5"/>
    <w:rsid w:val="00BE7B8B"/>
    <w:rsid w:val="00BF055B"/>
    <w:rsid w:val="00BF081A"/>
    <w:rsid w:val="00BF120A"/>
    <w:rsid w:val="00BF12A2"/>
    <w:rsid w:val="00BF138F"/>
    <w:rsid w:val="00BF15E9"/>
    <w:rsid w:val="00BF205E"/>
    <w:rsid w:val="00BF2FA6"/>
    <w:rsid w:val="00BF3401"/>
    <w:rsid w:val="00BF37EB"/>
    <w:rsid w:val="00BF3859"/>
    <w:rsid w:val="00BF4B6D"/>
    <w:rsid w:val="00BF6F01"/>
    <w:rsid w:val="00BF70C9"/>
    <w:rsid w:val="00BF7DAD"/>
    <w:rsid w:val="00C020AD"/>
    <w:rsid w:val="00C02547"/>
    <w:rsid w:val="00C0383C"/>
    <w:rsid w:val="00C03EAE"/>
    <w:rsid w:val="00C04BE1"/>
    <w:rsid w:val="00C04CB1"/>
    <w:rsid w:val="00C05C4F"/>
    <w:rsid w:val="00C061D0"/>
    <w:rsid w:val="00C117E4"/>
    <w:rsid w:val="00C1300B"/>
    <w:rsid w:val="00C13CAC"/>
    <w:rsid w:val="00C15FFB"/>
    <w:rsid w:val="00C163C9"/>
    <w:rsid w:val="00C166B7"/>
    <w:rsid w:val="00C179F3"/>
    <w:rsid w:val="00C20840"/>
    <w:rsid w:val="00C20CDB"/>
    <w:rsid w:val="00C21494"/>
    <w:rsid w:val="00C214E7"/>
    <w:rsid w:val="00C21D32"/>
    <w:rsid w:val="00C2233C"/>
    <w:rsid w:val="00C2269E"/>
    <w:rsid w:val="00C22B9E"/>
    <w:rsid w:val="00C22CF8"/>
    <w:rsid w:val="00C23328"/>
    <w:rsid w:val="00C24484"/>
    <w:rsid w:val="00C257FF"/>
    <w:rsid w:val="00C25AF1"/>
    <w:rsid w:val="00C270ED"/>
    <w:rsid w:val="00C2762B"/>
    <w:rsid w:val="00C27C7E"/>
    <w:rsid w:val="00C301B4"/>
    <w:rsid w:val="00C32982"/>
    <w:rsid w:val="00C33912"/>
    <w:rsid w:val="00C34590"/>
    <w:rsid w:val="00C3495D"/>
    <w:rsid w:val="00C34DB0"/>
    <w:rsid w:val="00C34E47"/>
    <w:rsid w:val="00C35457"/>
    <w:rsid w:val="00C35493"/>
    <w:rsid w:val="00C35D55"/>
    <w:rsid w:val="00C36A81"/>
    <w:rsid w:val="00C4047E"/>
    <w:rsid w:val="00C43656"/>
    <w:rsid w:val="00C43E11"/>
    <w:rsid w:val="00C442C9"/>
    <w:rsid w:val="00C454F8"/>
    <w:rsid w:val="00C455AC"/>
    <w:rsid w:val="00C47187"/>
    <w:rsid w:val="00C47380"/>
    <w:rsid w:val="00C5383A"/>
    <w:rsid w:val="00C54581"/>
    <w:rsid w:val="00C54DF6"/>
    <w:rsid w:val="00C55FEB"/>
    <w:rsid w:val="00C56FE4"/>
    <w:rsid w:val="00C575D6"/>
    <w:rsid w:val="00C6205A"/>
    <w:rsid w:val="00C625A0"/>
    <w:rsid w:val="00C62634"/>
    <w:rsid w:val="00C62A70"/>
    <w:rsid w:val="00C62E87"/>
    <w:rsid w:val="00C63779"/>
    <w:rsid w:val="00C6430B"/>
    <w:rsid w:val="00C6467B"/>
    <w:rsid w:val="00C65467"/>
    <w:rsid w:val="00C67C7F"/>
    <w:rsid w:val="00C67CD1"/>
    <w:rsid w:val="00C7091E"/>
    <w:rsid w:val="00C70951"/>
    <w:rsid w:val="00C70D4E"/>
    <w:rsid w:val="00C71BEA"/>
    <w:rsid w:val="00C724AC"/>
    <w:rsid w:val="00C72E1D"/>
    <w:rsid w:val="00C72EDF"/>
    <w:rsid w:val="00C754EF"/>
    <w:rsid w:val="00C75524"/>
    <w:rsid w:val="00C75CEB"/>
    <w:rsid w:val="00C765BE"/>
    <w:rsid w:val="00C7672A"/>
    <w:rsid w:val="00C77219"/>
    <w:rsid w:val="00C807CE"/>
    <w:rsid w:val="00C82636"/>
    <w:rsid w:val="00C83EF3"/>
    <w:rsid w:val="00C84482"/>
    <w:rsid w:val="00C900C9"/>
    <w:rsid w:val="00C90290"/>
    <w:rsid w:val="00C9052F"/>
    <w:rsid w:val="00C90805"/>
    <w:rsid w:val="00C90953"/>
    <w:rsid w:val="00C91F07"/>
    <w:rsid w:val="00C92372"/>
    <w:rsid w:val="00C92376"/>
    <w:rsid w:val="00C9292A"/>
    <w:rsid w:val="00C94D98"/>
    <w:rsid w:val="00C96495"/>
    <w:rsid w:val="00C96F4A"/>
    <w:rsid w:val="00CA12AB"/>
    <w:rsid w:val="00CA29D7"/>
    <w:rsid w:val="00CA3264"/>
    <w:rsid w:val="00CA3FD3"/>
    <w:rsid w:val="00CA4207"/>
    <w:rsid w:val="00CA665A"/>
    <w:rsid w:val="00CA7BA6"/>
    <w:rsid w:val="00CB116C"/>
    <w:rsid w:val="00CB122B"/>
    <w:rsid w:val="00CB151C"/>
    <w:rsid w:val="00CB1E6A"/>
    <w:rsid w:val="00CB1FC9"/>
    <w:rsid w:val="00CB2E34"/>
    <w:rsid w:val="00CB3A26"/>
    <w:rsid w:val="00CB3EFE"/>
    <w:rsid w:val="00CB44CF"/>
    <w:rsid w:val="00CB4835"/>
    <w:rsid w:val="00CB6EEE"/>
    <w:rsid w:val="00CC0B94"/>
    <w:rsid w:val="00CC15C1"/>
    <w:rsid w:val="00CC1E21"/>
    <w:rsid w:val="00CC203A"/>
    <w:rsid w:val="00CC23F7"/>
    <w:rsid w:val="00CC28F6"/>
    <w:rsid w:val="00CC3146"/>
    <w:rsid w:val="00CC32C2"/>
    <w:rsid w:val="00CC3B0E"/>
    <w:rsid w:val="00CD0A04"/>
    <w:rsid w:val="00CD343F"/>
    <w:rsid w:val="00CD4577"/>
    <w:rsid w:val="00CD6607"/>
    <w:rsid w:val="00CD6F57"/>
    <w:rsid w:val="00CE0416"/>
    <w:rsid w:val="00CE1E96"/>
    <w:rsid w:val="00CE2307"/>
    <w:rsid w:val="00CE27B6"/>
    <w:rsid w:val="00CE327D"/>
    <w:rsid w:val="00CE329B"/>
    <w:rsid w:val="00CE3A20"/>
    <w:rsid w:val="00CE4F2B"/>
    <w:rsid w:val="00CE7E71"/>
    <w:rsid w:val="00CF1A4B"/>
    <w:rsid w:val="00CF1D31"/>
    <w:rsid w:val="00CF2D31"/>
    <w:rsid w:val="00CF555D"/>
    <w:rsid w:val="00CF597D"/>
    <w:rsid w:val="00CF5AB3"/>
    <w:rsid w:val="00CF6871"/>
    <w:rsid w:val="00CF6930"/>
    <w:rsid w:val="00CF69AD"/>
    <w:rsid w:val="00CF6CED"/>
    <w:rsid w:val="00CF6D34"/>
    <w:rsid w:val="00CF6E1E"/>
    <w:rsid w:val="00CF6FC6"/>
    <w:rsid w:val="00CF7285"/>
    <w:rsid w:val="00CF7CCD"/>
    <w:rsid w:val="00D014EE"/>
    <w:rsid w:val="00D0219A"/>
    <w:rsid w:val="00D0302B"/>
    <w:rsid w:val="00D03D20"/>
    <w:rsid w:val="00D0449B"/>
    <w:rsid w:val="00D04C18"/>
    <w:rsid w:val="00D06C6B"/>
    <w:rsid w:val="00D1057F"/>
    <w:rsid w:val="00D10690"/>
    <w:rsid w:val="00D10F53"/>
    <w:rsid w:val="00D1123B"/>
    <w:rsid w:val="00D11F5B"/>
    <w:rsid w:val="00D13DF2"/>
    <w:rsid w:val="00D14944"/>
    <w:rsid w:val="00D1500C"/>
    <w:rsid w:val="00D1599D"/>
    <w:rsid w:val="00D20AD3"/>
    <w:rsid w:val="00D21F85"/>
    <w:rsid w:val="00D22BDA"/>
    <w:rsid w:val="00D23217"/>
    <w:rsid w:val="00D23842"/>
    <w:rsid w:val="00D25175"/>
    <w:rsid w:val="00D26782"/>
    <w:rsid w:val="00D27300"/>
    <w:rsid w:val="00D329C9"/>
    <w:rsid w:val="00D34773"/>
    <w:rsid w:val="00D352EF"/>
    <w:rsid w:val="00D355AD"/>
    <w:rsid w:val="00D36CCA"/>
    <w:rsid w:val="00D37791"/>
    <w:rsid w:val="00D4170B"/>
    <w:rsid w:val="00D41A92"/>
    <w:rsid w:val="00D41E57"/>
    <w:rsid w:val="00D422DD"/>
    <w:rsid w:val="00D4324C"/>
    <w:rsid w:val="00D43332"/>
    <w:rsid w:val="00D43D0F"/>
    <w:rsid w:val="00D43F6C"/>
    <w:rsid w:val="00D46BB1"/>
    <w:rsid w:val="00D46D9F"/>
    <w:rsid w:val="00D47A91"/>
    <w:rsid w:val="00D51633"/>
    <w:rsid w:val="00D5311A"/>
    <w:rsid w:val="00D53C9E"/>
    <w:rsid w:val="00D540FE"/>
    <w:rsid w:val="00D55B7E"/>
    <w:rsid w:val="00D56031"/>
    <w:rsid w:val="00D56081"/>
    <w:rsid w:val="00D569ED"/>
    <w:rsid w:val="00D56E1B"/>
    <w:rsid w:val="00D56E6A"/>
    <w:rsid w:val="00D612E5"/>
    <w:rsid w:val="00D6153E"/>
    <w:rsid w:val="00D6194E"/>
    <w:rsid w:val="00D63144"/>
    <w:rsid w:val="00D64E0B"/>
    <w:rsid w:val="00D668BB"/>
    <w:rsid w:val="00D66B5E"/>
    <w:rsid w:val="00D6777D"/>
    <w:rsid w:val="00D67EBB"/>
    <w:rsid w:val="00D70FD5"/>
    <w:rsid w:val="00D719C8"/>
    <w:rsid w:val="00D71CF9"/>
    <w:rsid w:val="00D723B2"/>
    <w:rsid w:val="00D732EB"/>
    <w:rsid w:val="00D738FB"/>
    <w:rsid w:val="00D7485E"/>
    <w:rsid w:val="00D77866"/>
    <w:rsid w:val="00D80477"/>
    <w:rsid w:val="00D80E42"/>
    <w:rsid w:val="00D814E0"/>
    <w:rsid w:val="00D81C69"/>
    <w:rsid w:val="00D83759"/>
    <w:rsid w:val="00D84231"/>
    <w:rsid w:val="00D8435F"/>
    <w:rsid w:val="00D854B0"/>
    <w:rsid w:val="00D85C16"/>
    <w:rsid w:val="00D85E45"/>
    <w:rsid w:val="00D8602D"/>
    <w:rsid w:val="00D871C9"/>
    <w:rsid w:val="00D875C7"/>
    <w:rsid w:val="00D91DEA"/>
    <w:rsid w:val="00D934B4"/>
    <w:rsid w:val="00D93E13"/>
    <w:rsid w:val="00D946A0"/>
    <w:rsid w:val="00D947A4"/>
    <w:rsid w:val="00D9589D"/>
    <w:rsid w:val="00D95AFC"/>
    <w:rsid w:val="00D95ECC"/>
    <w:rsid w:val="00D966E5"/>
    <w:rsid w:val="00DA0137"/>
    <w:rsid w:val="00DA152D"/>
    <w:rsid w:val="00DA1827"/>
    <w:rsid w:val="00DA213D"/>
    <w:rsid w:val="00DA49DA"/>
    <w:rsid w:val="00DA5620"/>
    <w:rsid w:val="00DA59EC"/>
    <w:rsid w:val="00DA623C"/>
    <w:rsid w:val="00DA6D52"/>
    <w:rsid w:val="00DA701A"/>
    <w:rsid w:val="00DA7918"/>
    <w:rsid w:val="00DB0E3F"/>
    <w:rsid w:val="00DB3218"/>
    <w:rsid w:val="00DB4A27"/>
    <w:rsid w:val="00DB7AF6"/>
    <w:rsid w:val="00DC1264"/>
    <w:rsid w:val="00DC17E8"/>
    <w:rsid w:val="00DC24EC"/>
    <w:rsid w:val="00DC2F00"/>
    <w:rsid w:val="00DC3B34"/>
    <w:rsid w:val="00DC40E3"/>
    <w:rsid w:val="00DC46DF"/>
    <w:rsid w:val="00DC4CEE"/>
    <w:rsid w:val="00DC4D13"/>
    <w:rsid w:val="00DC5A3F"/>
    <w:rsid w:val="00DC6215"/>
    <w:rsid w:val="00DC63E7"/>
    <w:rsid w:val="00DC76E5"/>
    <w:rsid w:val="00DD00EA"/>
    <w:rsid w:val="00DD0883"/>
    <w:rsid w:val="00DD0B6F"/>
    <w:rsid w:val="00DD0D6D"/>
    <w:rsid w:val="00DD2409"/>
    <w:rsid w:val="00DD266B"/>
    <w:rsid w:val="00DD2975"/>
    <w:rsid w:val="00DD2B66"/>
    <w:rsid w:val="00DD6B06"/>
    <w:rsid w:val="00DD6ED2"/>
    <w:rsid w:val="00DD7C0F"/>
    <w:rsid w:val="00DD7F86"/>
    <w:rsid w:val="00DE0181"/>
    <w:rsid w:val="00DE05D6"/>
    <w:rsid w:val="00DE118C"/>
    <w:rsid w:val="00DE140C"/>
    <w:rsid w:val="00DE172A"/>
    <w:rsid w:val="00DE3B95"/>
    <w:rsid w:val="00DE4539"/>
    <w:rsid w:val="00DE6D56"/>
    <w:rsid w:val="00DE7099"/>
    <w:rsid w:val="00DF034D"/>
    <w:rsid w:val="00DF2221"/>
    <w:rsid w:val="00DF35B5"/>
    <w:rsid w:val="00DF3BAD"/>
    <w:rsid w:val="00DF3C0D"/>
    <w:rsid w:val="00DF3C5F"/>
    <w:rsid w:val="00DF3E1D"/>
    <w:rsid w:val="00DF47EB"/>
    <w:rsid w:val="00DF4AF5"/>
    <w:rsid w:val="00DF519C"/>
    <w:rsid w:val="00DF6976"/>
    <w:rsid w:val="00DF6D5F"/>
    <w:rsid w:val="00DF7A05"/>
    <w:rsid w:val="00DF7F11"/>
    <w:rsid w:val="00E02952"/>
    <w:rsid w:val="00E02A11"/>
    <w:rsid w:val="00E0349E"/>
    <w:rsid w:val="00E0381B"/>
    <w:rsid w:val="00E05A81"/>
    <w:rsid w:val="00E05ADA"/>
    <w:rsid w:val="00E065B3"/>
    <w:rsid w:val="00E06791"/>
    <w:rsid w:val="00E06E6D"/>
    <w:rsid w:val="00E0794A"/>
    <w:rsid w:val="00E10D52"/>
    <w:rsid w:val="00E1130B"/>
    <w:rsid w:val="00E114FB"/>
    <w:rsid w:val="00E126AD"/>
    <w:rsid w:val="00E15714"/>
    <w:rsid w:val="00E1640D"/>
    <w:rsid w:val="00E17B25"/>
    <w:rsid w:val="00E20FEE"/>
    <w:rsid w:val="00E21039"/>
    <w:rsid w:val="00E21F22"/>
    <w:rsid w:val="00E2204C"/>
    <w:rsid w:val="00E23AC3"/>
    <w:rsid w:val="00E251BA"/>
    <w:rsid w:val="00E260A0"/>
    <w:rsid w:val="00E32CFA"/>
    <w:rsid w:val="00E33FF6"/>
    <w:rsid w:val="00E35701"/>
    <w:rsid w:val="00E3721A"/>
    <w:rsid w:val="00E37523"/>
    <w:rsid w:val="00E37AE6"/>
    <w:rsid w:val="00E40CF0"/>
    <w:rsid w:val="00E40F2E"/>
    <w:rsid w:val="00E410D2"/>
    <w:rsid w:val="00E41A74"/>
    <w:rsid w:val="00E4327F"/>
    <w:rsid w:val="00E434CE"/>
    <w:rsid w:val="00E434FE"/>
    <w:rsid w:val="00E43599"/>
    <w:rsid w:val="00E44A85"/>
    <w:rsid w:val="00E452B7"/>
    <w:rsid w:val="00E45454"/>
    <w:rsid w:val="00E4566E"/>
    <w:rsid w:val="00E45AFE"/>
    <w:rsid w:val="00E46AF8"/>
    <w:rsid w:val="00E47497"/>
    <w:rsid w:val="00E4789D"/>
    <w:rsid w:val="00E47BE7"/>
    <w:rsid w:val="00E51084"/>
    <w:rsid w:val="00E51D54"/>
    <w:rsid w:val="00E53E77"/>
    <w:rsid w:val="00E54BB0"/>
    <w:rsid w:val="00E54C7D"/>
    <w:rsid w:val="00E54F04"/>
    <w:rsid w:val="00E560C8"/>
    <w:rsid w:val="00E57042"/>
    <w:rsid w:val="00E602D5"/>
    <w:rsid w:val="00E605D2"/>
    <w:rsid w:val="00E60669"/>
    <w:rsid w:val="00E61230"/>
    <w:rsid w:val="00E61238"/>
    <w:rsid w:val="00E633F3"/>
    <w:rsid w:val="00E637D3"/>
    <w:rsid w:val="00E63AF4"/>
    <w:rsid w:val="00E63C2E"/>
    <w:rsid w:val="00E645D0"/>
    <w:rsid w:val="00E64A5A"/>
    <w:rsid w:val="00E659E2"/>
    <w:rsid w:val="00E66B4D"/>
    <w:rsid w:val="00E719A3"/>
    <w:rsid w:val="00E71E24"/>
    <w:rsid w:val="00E7220F"/>
    <w:rsid w:val="00E724E6"/>
    <w:rsid w:val="00E738C8"/>
    <w:rsid w:val="00E80597"/>
    <w:rsid w:val="00E81ABF"/>
    <w:rsid w:val="00E83FB9"/>
    <w:rsid w:val="00E855F0"/>
    <w:rsid w:val="00E86177"/>
    <w:rsid w:val="00E86962"/>
    <w:rsid w:val="00E90BC9"/>
    <w:rsid w:val="00E92ABE"/>
    <w:rsid w:val="00E94715"/>
    <w:rsid w:val="00E95487"/>
    <w:rsid w:val="00EA04F8"/>
    <w:rsid w:val="00EA16C6"/>
    <w:rsid w:val="00EA1EB9"/>
    <w:rsid w:val="00EA259D"/>
    <w:rsid w:val="00EA3AF1"/>
    <w:rsid w:val="00EA43EB"/>
    <w:rsid w:val="00EA481E"/>
    <w:rsid w:val="00EA5ADB"/>
    <w:rsid w:val="00EA5E8A"/>
    <w:rsid w:val="00EA75F3"/>
    <w:rsid w:val="00EA7EC3"/>
    <w:rsid w:val="00EB0382"/>
    <w:rsid w:val="00EB0A18"/>
    <w:rsid w:val="00EB18F2"/>
    <w:rsid w:val="00EB274B"/>
    <w:rsid w:val="00EB29F4"/>
    <w:rsid w:val="00EB2AEC"/>
    <w:rsid w:val="00EB4667"/>
    <w:rsid w:val="00EB63BE"/>
    <w:rsid w:val="00EB6CEA"/>
    <w:rsid w:val="00EB7F6A"/>
    <w:rsid w:val="00EC0118"/>
    <w:rsid w:val="00EC178D"/>
    <w:rsid w:val="00EC1914"/>
    <w:rsid w:val="00EC2C89"/>
    <w:rsid w:val="00EC3444"/>
    <w:rsid w:val="00EC34F2"/>
    <w:rsid w:val="00EC3F25"/>
    <w:rsid w:val="00EC46BA"/>
    <w:rsid w:val="00EC4983"/>
    <w:rsid w:val="00EC718B"/>
    <w:rsid w:val="00EC79E3"/>
    <w:rsid w:val="00EC79F6"/>
    <w:rsid w:val="00ED08C9"/>
    <w:rsid w:val="00ED09B4"/>
    <w:rsid w:val="00ED1712"/>
    <w:rsid w:val="00ED3999"/>
    <w:rsid w:val="00ED52F0"/>
    <w:rsid w:val="00ED5E54"/>
    <w:rsid w:val="00ED62EB"/>
    <w:rsid w:val="00EE1B2F"/>
    <w:rsid w:val="00EE2C1C"/>
    <w:rsid w:val="00EE57C7"/>
    <w:rsid w:val="00EE62B7"/>
    <w:rsid w:val="00EE693D"/>
    <w:rsid w:val="00EE6E6A"/>
    <w:rsid w:val="00EE6F30"/>
    <w:rsid w:val="00EE76CF"/>
    <w:rsid w:val="00EF10C3"/>
    <w:rsid w:val="00EF2CC1"/>
    <w:rsid w:val="00EF3F74"/>
    <w:rsid w:val="00EF507C"/>
    <w:rsid w:val="00EF5410"/>
    <w:rsid w:val="00EF5B9C"/>
    <w:rsid w:val="00EF64B5"/>
    <w:rsid w:val="00EF6C09"/>
    <w:rsid w:val="00EF74D4"/>
    <w:rsid w:val="00EF78BF"/>
    <w:rsid w:val="00F0008D"/>
    <w:rsid w:val="00F00314"/>
    <w:rsid w:val="00F003CE"/>
    <w:rsid w:val="00F01489"/>
    <w:rsid w:val="00F01736"/>
    <w:rsid w:val="00F019B5"/>
    <w:rsid w:val="00F02A64"/>
    <w:rsid w:val="00F038A7"/>
    <w:rsid w:val="00F03DDC"/>
    <w:rsid w:val="00F04CB0"/>
    <w:rsid w:val="00F058B7"/>
    <w:rsid w:val="00F068C9"/>
    <w:rsid w:val="00F0697A"/>
    <w:rsid w:val="00F073CF"/>
    <w:rsid w:val="00F10E77"/>
    <w:rsid w:val="00F11620"/>
    <w:rsid w:val="00F12649"/>
    <w:rsid w:val="00F136D3"/>
    <w:rsid w:val="00F1496C"/>
    <w:rsid w:val="00F16E2A"/>
    <w:rsid w:val="00F1760F"/>
    <w:rsid w:val="00F17B30"/>
    <w:rsid w:val="00F2153A"/>
    <w:rsid w:val="00F25324"/>
    <w:rsid w:val="00F26230"/>
    <w:rsid w:val="00F26709"/>
    <w:rsid w:val="00F2685F"/>
    <w:rsid w:val="00F26915"/>
    <w:rsid w:val="00F27552"/>
    <w:rsid w:val="00F30484"/>
    <w:rsid w:val="00F31B24"/>
    <w:rsid w:val="00F31E3C"/>
    <w:rsid w:val="00F324ED"/>
    <w:rsid w:val="00F3454D"/>
    <w:rsid w:val="00F34ED7"/>
    <w:rsid w:val="00F35B08"/>
    <w:rsid w:val="00F36B45"/>
    <w:rsid w:val="00F36BDF"/>
    <w:rsid w:val="00F36D0B"/>
    <w:rsid w:val="00F3715E"/>
    <w:rsid w:val="00F371EA"/>
    <w:rsid w:val="00F376C1"/>
    <w:rsid w:val="00F4176F"/>
    <w:rsid w:val="00F42E2E"/>
    <w:rsid w:val="00F43027"/>
    <w:rsid w:val="00F43870"/>
    <w:rsid w:val="00F43A4E"/>
    <w:rsid w:val="00F51856"/>
    <w:rsid w:val="00F546ED"/>
    <w:rsid w:val="00F57D90"/>
    <w:rsid w:val="00F61392"/>
    <w:rsid w:val="00F62268"/>
    <w:rsid w:val="00F62794"/>
    <w:rsid w:val="00F64142"/>
    <w:rsid w:val="00F64722"/>
    <w:rsid w:val="00F64913"/>
    <w:rsid w:val="00F64A50"/>
    <w:rsid w:val="00F65239"/>
    <w:rsid w:val="00F66596"/>
    <w:rsid w:val="00F672D4"/>
    <w:rsid w:val="00F70664"/>
    <w:rsid w:val="00F71CD9"/>
    <w:rsid w:val="00F73961"/>
    <w:rsid w:val="00F74970"/>
    <w:rsid w:val="00F756EE"/>
    <w:rsid w:val="00F77151"/>
    <w:rsid w:val="00F77C20"/>
    <w:rsid w:val="00F77F6A"/>
    <w:rsid w:val="00F80B5F"/>
    <w:rsid w:val="00F80F84"/>
    <w:rsid w:val="00F8137A"/>
    <w:rsid w:val="00F82469"/>
    <w:rsid w:val="00F82501"/>
    <w:rsid w:val="00F82D18"/>
    <w:rsid w:val="00F85468"/>
    <w:rsid w:val="00F87094"/>
    <w:rsid w:val="00F9124D"/>
    <w:rsid w:val="00F916D3"/>
    <w:rsid w:val="00F943B9"/>
    <w:rsid w:val="00F94C69"/>
    <w:rsid w:val="00F95C68"/>
    <w:rsid w:val="00F97BE3"/>
    <w:rsid w:val="00F97EE5"/>
    <w:rsid w:val="00FA0331"/>
    <w:rsid w:val="00FA0B1F"/>
    <w:rsid w:val="00FA2B42"/>
    <w:rsid w:val="00FA31BD"/>
    <w:rsid w:val="00FA337C"/>
    <w:rsid w:val="00FA36BD"/>
    <w:rsid w:val="00FA3B56"/>
    <w:rsid w:val="00FA6B48"/>
    <w:rsid w:val="00FA6D6D"/>
    <w:rsid w:val="00FB053E"/>
    <w:rsid w:val="00FB06BC"/>
    <w:rsid w:val="00FB0A1C"/>
    <w:rsid w:val="00FB10C3"/>
    <w:rsid w:val="00FB299E"/>
    <w:rsid w:val="00FB2D41"/>
    <w:rsid w:val="00FB2F0E"/>
    <w:rsid w:val="00FB2F65"/>
    <w:rsid w:val="00FB33D1"/>
    <w:rsid w:val="00FB38BE"/>
    <w:rsid w:val="00FB3BCF"/>
    <w:rsid w:val="00FB4BF5"/>
    <w:rsid w:val="00FB5B20"/>
    <w:rsid w:val="00FC44BB"/>
    <w:rsid w:val="00FC5049"/>
    <w:rsid w:val="00FC530A"/>
    <w:rsid w:val="00FC65CF"/>
    <w:rsid w:val="00FD1784"/>
    <w:rsid w:val="00FD24C3"/>
    <w:rsid w:val="00FD354B"/>
    <w:rsid w:val="00FD4124"/>
    <w:rsid w:val="00FD4390"/>
    <w:rsid w:val="00FD4E8D"/>
    <w:rsid w:val="00FD73D1"/>
    <w:rsid w:val="00FD78FF"/>
    <w:rsid w:val="00FE06AC"/>
    <w:rsid w:val="00FE0872"/>
    <w:rsid w:val="00FE1421"/>
    <w:rsid w:val="00FE15C2"/>
    <w:rsid w:val="00FE6323"/>
    <w:rsid w:val="00FE6777"/>
    <w:rsid w:val="00FE7AEB"/>
    <w:rsid w:val="00FF10F4"/>
    <w:rsid w:val="00FF3A95"/>
    <w:rsid w:val="00FF52C7"/>
    <w:rsid w:val="00FF6A28"/>
    <w:rsid w:val="00FF6CA8"/>
    <w:rsid w:val="120316C8"/>
    <w:rsid w:val="60BE7C62"/>
    <w:rsid w:val="6FE006FC"/>
    <w:rsid w:val="787B1A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8D4BB"/>
  <w15:docId w15:val="{BC26F069-9583-46C7-8378-469A5A2E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uiPriority="0" w:qFormat="1"/>
    <w:lsdException w:name="header" w:qFormat="1"/>
    <w:lsdException w:name="footer" w:qFormat="1"/>
    <w:lsdException w:name="index heading" w:locked="1" w:semiHidden="1" w:unhideWhenUsed="1"/>
    <w:lsdException w:name="caption" w:qFormat="1"/>
    <w:lsdException w:name="table of figures" w:locked="1" w:semiHidden="1" w:unhideWhenUsed="1"/>
    <w:lsdException w:name="envelope address" w:qFormat="1"/>
    <w:lsdException w:name="envelope return" w:qFormat="1"/>
    <w:lsdException w:name="footnote reference" w:semiHidden="1" w:qFormat="1"/>
    <w:lsdException w:name="annotation reference" w:uiPriority="0" w:qFormat="1"/>
    <w:lsdException w:name="line number" w:locked="1" w:semiHidden="1" w:unhideWhenUsed="1"/>
    <w:lsdException w:name="page number" w:qFormat="1"/>
    <w:lsdException w:name="endnote reference" w:locked="1" w:semiHidden="1" w:unhideWhenUsed="1"/>
    <w:lsdException w:name="endnote text" w:semiHidden="1" w:qFormat="1"/>
    <w:lsdException w:name="table of authorities" w:semiHidden="1" w:qFormat="1"/>
    <w:lsdException w:name="macro" w:locked="1" w:semiHidden="1" w:unhideWhenUsed="1"/>
    <w:lsdException w:name="toa heading" w:semiHidden="1" w:qFormat="1"/>
    <w:lsdException w:name="List" w:qFormat="1"/>
    <w:lsdException w:name="List Bullet"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qFormat="1"/>
    <w:lsdException w:name="HTML Sample" w:locked="1" w:semiHidden="1" w:unhideWhenUsed="1"/>
    <w:lsdException w:name="HTML Typewriter" w:qFormat="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cs="Calibri"/>
      <w:kern w:val="2"/>
      <w:sz w:val="21"/>
      <w:szCs w:val="21"/>
    </w:rPr>
  </w:style>
  <w:style w:type="paragraph" w:styleId="1">
    <w:name w:val="heading 1"/>
    <w:basedOn w:val="a1"/>
    <w:next w:val="a1"/>
    <w:link w:val="10"/>
    <w:uiPriority w:val="99"/>
    <w:qFormat/>
    <w:pPr>
      <w:keepNext/>
      <w:keepLines/>
      <w:tabs>
        <w:tab w:val="left" w:pos="432"/>
      </w:tabs>
      <w:spacing w:before="340" w:after="330" w:line="576" w:lineRule="auto"/>
      <w:ind w:left="432" w:hanging="432"/>
      <w:outlineLvl w:val="0"/>
    </w:pPr>
    <w:rPr>
      <w:rFonts w:ascii="Times New Roman" w:hAnsi="Times New Roman" w:cs="Times New Roman"/>
      <w:b/>
      <w:bCs/>
      <w:kern w:val="44"/>
      <w:sz w:val="44"/>
      <w:szCs w:val="44"/>
    </w:rPr>
  </w:style>
  <w:style w:type="paragraph" w:styleId="21">
    <w:name w:val="heading 2"/>
    <w:basedOn w:val="a1"/>
    <w:next w:val="a1"/>
    <w:link w:val="22"/>
    <w:uiPriority w:val="99"/>
    <w:qFormat/>
    <w:pPr>
      <w:keepNext/>
      <w:keepLines/>
      <w:tabs>
        <w:tab w:val="left" w:pos="-2401"/>
        <w:tab w:val="left" w:pos="360"/>
      </w:tabs>
      <w:spacing w:before="260" w:after="260" w:line="415" w:lineRule="auto"/>
      <w:ind w:left="-2401" w:hanging="576"/>
      <w:outlineLvl w:val="1"/>
    </w:pPr>
    <w:rPr>
      <w:rFonts w:ascii="Arial" w:eastAsia="黑体" w:hAnsi="Arial" w:cs="Arial"/>
      <w:b/>
      <w:bCs/>
      <w:sz w:val="32"/>
      <w:szCs w:val="32"/>
    </w:rPr>
  </w:style>
  <w:style w:type="paragraph" w:styleId="3">
    <w:name w:val="heading 3"/>
    <w:basedOn w:val="a1"/>
    <w:next w:val="a1"/>
    <w:link w:val="30"/>
    <w:uiPriority w:val="99"/>
    <w:qFormat/>
    <w:pPr>
      <w:keepNext/>
      <w:keepLines/>
      <w:tabs>
        <w:tab w:val="left" w:pos="-2683"/>
        <w:tab w:val="left" w:pos="360"/>
      </w:tabs>
      <w:spacing w:before="260" w:after="260" w:line="415" w:lineRule="auto"/>
      <w:ind w:left="-2683" w:hanging="720"/>
      <w:outlineLvl w:val="2"/>
    </w:pPr>
    <w:rPr>
      <w:rFonts w:ascii="Times New Roman" w:hAnsi="Times New Roman" w:cs="Times New Roman"/>
      <w:b/>
      <w:bCs/>
      <w:sz w:val="32"/>
      <w:szCs w:val="32"/>
    </w:rPr>
  </w:style>
  <w:style w:type="paragraph" w:styleId="4">
    <w:name w:val="heading 4"/>
    <w:basedOn w:val="a1"/>
    <w:next w:val="a1"/>
    <w:link w:val="40"/>
    <w:uiPriority w:val="99"/>
    <w:qFormat/>
    <w:pPr>
      <w:keepNext/>
      <w:keepLines/>
      <w:tabs>
        <w:tab w:val="left" w:pos="-2539"/>
        <w:tab w:val="left" w:pos="360"/>
      </w:tabs>
      <w:autoSpaceDE w:val="0"/>
      <w:autoSpaceDN w:val="0"/>
      <w:adjustRightInd w:val="0"/>
      <w:spacing w:before="280" w:after="290" w:line="374" w:lineRule="auto"/>
      <w:ind w:left="-2539" w:hanging="864"/>
      <w:outlineLvl w:val="3"/>
    </w:pPr>
    <w:rPr>
      <w:rFonts w:ascii="Arial" w:eastAsia="黑体" w:hAnsi="Arial" w:cs="Arial"/>
      <w:b/>
      <w:bCs/>
      <w:kern w:val="0"/>
      <w:sz w:val="28"/>
      <w:szCs w:val="28"/>
    </w:rPr>
  </w:style>
  <w:style w:type="paragraph" w:styleId="5">
    <w:name w:val="heading 5"/>
    <w:basedOn w:val="a1"/>
    <w:next w:val="a1"/>
    <w:link w:val="50"/>
    <w:uiPriority w:val="99"/>
    <w:qFormat/>
    <w:pPr>
      <w:keepNext/>
      <w:keepLines/>
      <w:tabs>
        <w:tab w:val="left" w:pos="-2395"/>
        <w:tab w:val="left" w:pos="360"/>
      </w:tabs>
      <w:autoSpaceDE w:val="0"/>
      <w:autoSpaceDN w:val="0"/>
      <w:adjustRightInd w:val="0"/>
      <w:spacing w:before="280" w:after="290" w:line="374" w:lineRule="auto"/>
      <w:ind w:left="-2395" w:hanging="1008"/>
      <w:outlineLvl w:val="4"/>
    </w:pPr>
    <w:rPr>
      <w:rFonts w:ascii="宋体" w:hAnsi="Times New Roman" w:cs="宋体"/>
      <w:b/>
      <w:bCs/>
      <w:kern w:val="0"/>
      <w:sz w:val="28"/>
      <w:szCs w:val="28"/>
    </w:rPr>
  </w:style>
  <w:style w:type="paragraph" w:styleId="6">
    <w:name w:val="heading 6"/>
    <w:basedOn w:val="a1"/>
    <w:next w:val="a1"/>
    <w:link w:val="60"/>
    <w:uiPriority w:val="99"/>
    <w:qFormat/>
    <w:pPr>
      <w:keepNext/>
      <w:keepLines/>
      <w:tabs>
        <w:tab w:val="left" w:pos="-2251"/>
        <w:tab w:val="left" w:pos="360"/>
      </w:tabs>
      <w:autoSpaceDE w:val="0"/>
      <w:autoSpaceDN w:val="0"/>
      <w:adjustRightInd w:val="0"/>
      <w:spacing w:before="240" w:after="64" w:line="319" w:lineRule="auto"/>
      <w:ind w:left="-2251" w:hanging="1152"/>
      <w:outlineLvl w:val="5"/>
    </w:pPr>
    <w:rPr>
      <w:rFonts w:ascii="Arial" w:eastAsia="黑体" w:hAnsi="Arial" w:cs="Arial"/>
      <w:b/>
      <w:bCs/>
      <w:kern w:val="0"/>
      <w:sz w:val="24"/>
      <w:szCs w:val="24"/>
    </w:rPr>
  </w:style>
  <w:style w:type="paragraph" w:styleId="7">
    <w:name w:val="heading 7"/>
    <w:basedOn w:val="a1"/>
    <w:next w:val="a1"/>
    <w:link w:val="70"/>
    <w:uiPriority w:val="99"/>
    <w:qFormat/>
    <w:pPr>
      <w:keepNext/>
      <w:keepLines/>
      <w:tabs>
        <w:tab w:val="left" w:pos="-2107"/>
        <w:tab w:val="left" w:pos="360"/>
      </w:tabs>
      <w:autoSpaceDE w:val="0"/>
      <w:autoSpaceDN w:val="0"/>
      <w:adjustRightInd w:val="0"/>
      <w:spacing w:before="240" w:after="64" w:line="319" w:lineRule="auto"/>
      <w:ind w:left="-2107" w:hanging="1296"/>
      <w:outlineLvl w:val="6"/>
    </w:pPr>
    <w:rPr>
      <w:rFonts w:ascii="宋体" w:hAnsi="Times New Roman" w:cs="宋体"/>
      <w:b/>
      <w:bCs/>
      <w:kern w:val="0"/>
      <w:sz w:val="24"/>
      <w:szCs w:val="24"/>
    </w:rPr>
  </w:style>
  <w:style w:type="paragraph" w:styleId="8">
    <w:name w:val="heading 8"/>
    <w:basedOn w:val="a1"/>
    <w:next w:val="a1"/>
    <w:link w:val="80"/>
    <w:uiPriority w:val="99"/>
    <w:qFormat/>
    <w:pPr>
      <w:keepNext/>
      <w:keepLines/>
      <w:tabs>
        <w:tab w:val="left" w:pos="-1963"/>
        <w:tab w:val="left" w:pos="360"/>
      </w:tabs>
      <w:autoSpaceDE w:val="0"/>
      <w:autoSpaceDN w:val="0"/>
      <w:adjustRightInd w:val="0"/>
      <w:spacing w:before="240" w:after="64" w:line="319" w:lineRule="auto"/>
      <w:ind w:left="-1963" w:hanging="1440"/>
      <w:outlineLvl w:val="7"/>
    </w:pPr>
    <w:rPr>
      <w:rFonts w:ascii="Arial" w:eastAsia="黑体" w:hAnsi="Arial" w:cs="Arial"/>
      <w:kern w:val="0"/>
      <w:sz w:val="24"/>
      <w:szCs w:val="24"/>
    </w:rPr>
  </w:style>
  <w:style w:type="paragraph" w:styleId="9">
    <w:name w:val="heading 9"/>
    <w:basedOn w:val="a1"/>
    <w:next w:val="a1"/>
    <w:link w:val="90"/>
    <w:uiPriority w:val="99"/>
    <w:qFormat/>
    <w:pPr>
      <w:keepNext/>
      <w:keepLines/>
      <w:tabs>
        <w:tab w:val="left" w:pos="-1819"/>
        <w:tab w:val="left" w:pos="360"/>
      </w:tabs>
      <w:autoSpaceDE w:val="0"/>
      <w:autoSpaceDN w:val="0"/>
      <w:adjustRightInd w:val="0"/>
      <w:spacing w:before="240" w:after="64" w:line="319" w:lineRule="auto"/>
      <w:ind w:left="-1819" w:hanging="1584"/>
      <w:outlineLvl w:val="8"/>
    </w:pPr>
    <w:rPr>
      <w:rFonts w:ascii="Arial" w:eastAsia="黑体" w:hAnsi="Arial" w:cs="Arial"/>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1">
    <w:name w:val="toc 7"/>
    <w:basedOn w:val="a1"/>
    <w:next w:val="a1"/>
    <w:uiPriority w:val="99"/>
    <w:semiHidden/>
    <w:qFormat/>
    <w:pPr>
      <w:ind w:left="1260"/>
      <w:jc w:val="left"/>
    </w:pPr>
    <w:rPr>
      <w:rFonts w:ascii="Times New Roman" w:hAnsi="Times New Roman" w:cs="Times New Roman"/>
    </w:rPr>
  </w:style>
  <w:style w:type="paragraph" w:styleId="a5">
    <w:name w:val="table of authorities"/>
    <w:basedOn w:val="AONormal"/>
    <w:next w:val="a1"/>
    <w:uiPriority w:val="99"/>
    <w:semiHidden/>
    <w:qFormat/>
    <w:pPr>
      <w:tabs>
        <w:tab w:val="right" w:leader="dot" w:pos="9490"/>
      </w:tabs>
      <w:spacing w:before="240" w:line="240" w:lineRule="auto"/>
      <w:ind w:left="720" w:hanging="720"/>
    </w:pPr>
  </w:style>
  <w:style w:type="paragraph" w:customStyle="1" w:styleId="AONormal">
    <w:name w:val="AONormal"/>
    <w:uiPriority w:val="99"/>
    <w:qFormat/>
    <w:pPr>
      <w:spacing w:line="260" w:lineRule="atLeast"/>
    </w:pPr>
    <w:rPr>
      <w:rFonts w:ascii="Times New Roman" w:hAnsi="Times New Roman"/>
      <w:sz w:val="22"/>
      <w:szCs w:val="22"/>
      <w:lang w:val="en-GB" w:eastAsia="en-US"/>
    </w:rPr>
  </w:style>
  <w:style w:type="paragraph" w:styleId="a6">
    <w:name w:val="E-mail Signature"/>
    <w:basedOn w:val="a1"/>
    <w:link w:val="a7"/>
    <w:uiPriority w:val="99"/>
    <w:qFormat/>
    <w:pPr>
      <w:widowControl/>
    </w:pPr>
    <w:rPr>
      <w:rFonts w:ascii="Times New Roman" w:hAnsi="Times New Roman" w:cs="Times New Roman"/>
      <w:kern w:val="0"/>
    </w:rPr>
  </w:style>
  <w:style w:type="paragraph" w:styleId="a">
    <w:name w:val="List Number"/>
    <w:basedOn w:val="a8"/>
    <w:uiPriority w:val="99"/>
    <w:pPr>
      <w:numPr>
        <w:numId w:val="1"/>
      </w:numPr>
      <w:ind w:right="720"/>
    </w:pPr>
  </w:style>
  <w:style w:type="paragraph" w:styleId="a8">
    <w:name w:val="List"/>
    <w:basedOn w:val="a9"/>
    <w:uiPriority w:val="99"/>
    <w:qFormat/>
    <w:pPr>
      <w:widowControl/>
      <w:spacing w:after="240" w:line="240" w:lineRule="atLeast"/>
      <w:ind w:left="720" w:hanging="360"/>
      <w:jc w:val="left"/>
    </w:pPr>
    <w:rPr>
      <w:rFonts w:eastAsia="PMingLiU"/>
      <w:kern w:val="0"/>
      <w:lang w:eastAsia="en-US"/>
    </w:rPr>
  </w:style>
  <w:style w:type="paragraph" w:styleId="a9">
    <w:name w:val="Body Text"/>
    <w:basedOn w:val="a1"/>
    <w:link w:val="aa"/>
    <w:uiPriority w:val="99"/>
    <w:qFormat/>
    <w:pPr>
      <w:spacing w:line="360" w:lineRule="auto"/>
    </w:pPr>
    <w:rPr>
      <w:rFonts w:ascii="Times New Roman" w:hAnsi="Times New Roman" w:cs="Times New Roman"/>
      <w:sz w:val="24"/>
      <w:szCs w:val="24"/>
    </w:rPr>
  </w:style>
  <w:style w:type="paragraph" w:styleId="ab">
    <w:name w:val="Normal Indent"/>
    <w:basedOn w:val="a1"/>
    <w:uiPriority w:val="99"/>
    <w:qFormat/>
    <w:pPr>
      <w:ind w:firstLine="420"/>
    </w:pPr>
    <w:rPr>
      <w:rFonts w:ascii="Times New Roman" w:hAnsi="Times New Roman" w:cs="Times New Roman"/>
    </w:rPr>
  </w:style>
  <w:style w:type="paragraph" w:styleId="ac">
    <w:name w:val="caption"/>
    <w:basedOn w:val="a1"/>
    <w:next w:val="a1"/>
    <w:uiPriority w:val="99"/>
    <w:qFormat/>
    <w:pPr>
      <w:adjustRightInd w:val="0"/>
      <w:spacing w:before="152" w:after="160" w:line="360" w:lineRule="auto"/>
      <w:ind w:firstLineChars="200" w:firstLine="567"/>
    </w:pPr>
    <w:rPr>
      <w:rFonts w:ascii="Arial" w:eastAsia="黑体" w:hAnsi="Arial" w:cs="Arial"/>
      <w:sz w:val="24"/>
      <w:szCs w:val="24"/>
    </w:rPr>
  </w:style>
  <w:style w:type="paragraph" w:styleId="a0">
    <w:name w:val="List Bullet"/>
    <w:basedOn w:val="a8"/>
    <w:uiPriority w:val="99"/>
    <w:qFormat/>
    <w:pPr>
      <w:numPr>
        <w:numId w:val="2"/>
      </w:numPr>
      <w:ind w:right="720"/>
    </w:pPr>
  </w:style>
  <w:style w:type="paragraph" w:styleId="ad">
    <w:name w:val="envelope address"/>
    <w:basedOn w:val="a1"/>
    <w:uiPriority w:val="99"/>
    <w:qFormat/>
    <w:pPr>
      <w:framePr w:w="7920" w:h="1980" w:hRule="exact" w:hSpace="180" w:wrap="around" w:hAnchor="page" w:xAlign="center" w:yAlign="bottom"/>
      <w:ind w:left="2880"/>
    </w:pPr>
    <w:rPr>
      <w:rFonts w:ascii="Times New Roman" w:hAnsi="Times New Roman" w:cs="Times New Roman"/>
    </w:rPr>
  </w:style>
  <w:style w:type="paragraph" w:styleId="ae">
    <w:name w:val="Document Map"/>
    <w:basedOn w:val="a1"/>
    <w:link w:val="af"/>
    <w:uiPriority w:val="99"/>
    <w:semiHidden/>
    <w:qFormat/>
    <w:pPr>
      <w:shd w:val="clear" w:color="auto" w:fill="000080"/>
    </w:pPr>
    <w:rPr>
      <w:rFonts w:ascii="Times New Roman" w:hAnsi="Times New Roman" w:cs="Times New Roman"/>
    </w:rPr>
  </w:style>
  <w:style w:type="paragraph" w:styleId="af0">
    <w:name w:val="toa heading"/>
    <w:basedOn w:val="AONormal"/>
    <w:next w:val="a5"/>
    <w:uiPriority w:val="99"/>
    <w:semiHidden/>
    <w:qFormat/>
    <w:pPr>
      <w:tabs>
        <w:tab w:val="right" w:pos="9490"/>
      </w:tabs>
      <w:spacing w:before="240" w:after="120" w:line="240" w:lineRule="auto"/>
    </w:pPr>
    <w:rPr>
      <w:b/>
      <w:bCs/>
    </w:rPr>
  </w:style>
  <w:style w:type="paragraph" w:styleId="af1">
    <w:name w:val="annotation text"/>
    <w:basedOn w:val="a1"/>
    <w:link w:val="af2"/>
    <w:qFormat/>
    <w:pPr>
      <w:jc w:val="left"/>
    </w:pPr>
    <w:rPr>
      <w:rFonts w:ascii="Times New Roman" w:hAnsi="Times New Roman" w:cs="Times New Roman"/>
      <w:sz w:val="24"/>
      <w:szCs w:val="24"/>
    </w:rPr>
  </w:style>
  <w:style w:type="paragraph" w:styleId="31">
    <w:name w:val="Body Text 3"/>
    <w:basedOn w:val="a1"/>
    <w:link w:val="32"/>
    <w:uiPriority w:val="99"/>
    <w:qFormat/>
    <w:pPr>
      <w:autoSpaceDE w:val="0"/>
      <w:autoSpaceDN w:val="0"/>
      <w:adjustRightInd w:val="0"/>
      <w:spacing w:after="120" w:line="360" w:lineRule="auto"/>
    </w:pPr>
    <w:rPr>
      <w:rFonts w:ascii="Times New Roman" w:hAnsi="Times New Roman" w:cs="Times New Roman"/>
      <w:kern w:val="0"/>
      <w:sz w:val="24"/>
      <w:szCs w:val="24"/>
      <w:u w:val="single"/>
    </w:rPr>
  </w:style>
  <w:style w:type="paragraph" w:styleId="af3">
    <w:name w:val="Body Text Indent"/>
    <w:basedOn w:val="a1"/>
    <w:link w:val="af4"/>
    <w:uiPriority w:val="99"/>
    <w:qFormat/>
    <w:pPr>
      <w:autoSpaceDE w:val="0"/>
      <w:autoSpaceDN w:val="0"/>
      <w:adjustRightInd w:val="0"/>
      <w:spacing w:after="120" w:line="440" w:lineRule="atLeast"/>
      <w:ind w:firstLine="539"/>
    </w:pPr>
    <w:rPr>
      <w:rFonts w:ascii="宋体" w:hAnsi="Times New Roman" w:cs="宋体"/>
      <w:kern w:val="0"/>
      <w:sz w:val="24"/>
      <w:szCs w:val="24"/>
    </w:rPr>
  </w:style>
  <w:style w:type="paragraph" w:styleId="51">
    <w:name w:val="toc 5"/>
    <w:basedOn w:val="a1"/>
    <w:next w:val="a1"/>
    <w:uiPriority w:val="99"/>
    <w:semiHidden/>
    <w:qFormat/>
    <w:pPr>
      <w:ind w:left="840"/>
      <w:jc w:val="left"/>
    </w:pPr>
    <w:rPr>
      <w:rFonts w:ascii="Times New Roman" w:hAnsi="Times New Roman" w:cs="Times New Roman"/>
    </w:rPr>
  </w:style>
  <w:style w:type="paragraph" w:styleId="33">
    <w:name w:val="toc 3"/>
    <w:basedOn w:val="a1"/>
    <w:next w:val="a1"/>
    <w:uiPriority w:val="99"/>
    <w:semiHidden/>
    <w:qFormat/>
    <w:pPr>
      <w:ind w:left="420"/>
      <w:jc w:val="left"/>
    </w:pPr>
    <w:rPr>
      <w:rFonts w:ascii="Times New Roman" w:hAnsi="Times New Roman" w:cs="Times New Roman"/>
    </w:rPr>
  </w:style>
  <w:style w:type="paragraph" w:styleId="af5">
    <w:name w:val="Plain Text"/>
    <w:basedOn w:val="a1"/>
    <w:link w:val="af6"/>
    <w:uiPriority w:val="99"/>
    <w:qFormat/>
    <w:rPr>
      <w:rFonts w:ascii="宋体" w:hAnsi="Courier New" w:cs="宋体"/>
    </w:rPr>
  </w:style>
  <w:style w:type="paragraph" w:styleId="81">
    <w:name w:val="toc 8"/>
    <w:basedOn w:val="a1"/>
    <w:next w:val="a1"/>
    <w:uiPriority w:val="99"/>
    <w:semiHidden/>
    <w:qFormat/>
    <w:pPr>
      <w:ind w:left="1470"/>
      <w:jc w:val="left"/>
    </w:pPr>
    <w:rPr>
      <w:rFonts w:ascii="Times New Roman" w:hAnsi="Times New Roman" w:cs="Times New Roman"/>
    </w:rPr>
  </w:style>
  <w:style w:type="paragraph" w:styleId="af7">
    <w:name w:val="Date"/>
    <w:basedOn w:val="a1"/>
    <w:next w:val="a1"/>
    <w:link w:val="af8"/>
    <w:uiPriority w:val="99"/>
    <w:qFormat/>
    <w:pPr>
      <w:ind w:leftChars="2500" w:left="2500"/>
    </w:pPr>
    <w:rPr>
      <w:rFonts w:ascii="宋体" w:eastAsia="仿宋_GB2312" w:hAnsi="宋体" w:cs="宋体"/>
      <w:sz w:val="28"/>
      <w:szCs w:val="28"/>
    </w:rPr>
  </w:style>
  <w:style w:type="paragraph" w:styleId="23">
    <w:name w:val="Body Text Indent 2"/>
    <w:basedOn w:val="a1"/>
    <w:link w:val="24"/>
    <w:uiPriority w:val="99"/>
    <w:qFormat/>
    <w:pPr>
      <w:spacing w:line="360" w:lineRule="auto"/>
      <w:ind w:firstLineChars="200" w:firstLine="560"/>
    </w:pPr>
    <w:rPr>
      <w:rFonts w:ascii="Times New Roman" w:eastAsia="仿宋_GB2312" w:hAnsi="Times New Roman" w:cs="Times New Roman"/>
      <w:sz w:val="28"/>
      <w:szCs w:val="28"/>
    </w:rPr>
  </w:style>
  <w:style w:type="paragraph" w:styleId="af9">
    <w:name w:val="endnote text"/>
    <w:basedOn w:val="AONormal"/>
    <w:link w:val="afa"/>
    <w:uiPriority w:val="99"/>
    <w:semiHidden/>
    <w:qFormat/>
    <w:pPr>
      <w:spacing w:line="240" w:lineRule="auto"/>
      <w:ind w:left="720" w:hanging="720"/>
    </w:pPr>
    <w:rPr>
      <w:sz w:val="16"/>
      <w:szCs w:val="16"/>
    </w:rPr>
  </w:style>
  <w:style w:type="paragraph" w:styleId="afb">
    <w:name w:val="Balloon Text"/>
    <w:basedOn w:val="a1"/>
    <w:link w:val="afc"/>
    <w:uiPriority w:val="99"/>
    <w:semiHidden/>
    <w:qFormat/>
    <w:rPr>
      <w:rFonts w:ascii="Times New Roman" w:hAnsi="Times New Roman" w:cs="Times New Roman"/>
      <w:sz w:val="18"/>
      <w:szCs w:val="18"/>
    </w:rPr>
  </w:style>
  <w:style w:type="paragraph" w:styleId="afd">
    <w:name w:val="footer"/>
    <w:basedOn w:val="a1"/>
    <w:link w:val="afe"/>
    <w:uiPriority w:val="99"/>
    <w:qFormat/>
    <w:pPr>
      <w:tabs>
        <w:tab w:val="center" w:pos="4153"/>
        <w:tab w:val="right" w:pos="8306"/>
      </w:tabs>
      <w:snapToGrid w:val="0"/>
      <w:jc w:val="left"/>
    </w:pPr>
    <w:rPr>
      <w:sz w:val="18"/>
      <w:szCs w:val="18"/>
    </w:rPr>
  </w:style>
  <w:style w:type="paragraph" w:styleId="aff">
    <w:name w:val="envelope return"/>
    <w:basedOn w:val="a1"/>
    <w:uiPriority w:val="99"/>
    <w:qFormat/>
    <w:rPr>
      <w:rFonts w:ascii="Times New Roman" w:hAnsi="Times New Roman" w:cs="Times New Roman"/>
      <w:sz w:val="20"/>
      <w:szCs w:val="20"/>
    </w:rPr>
  </w:style>
  <w:style w:type="paragraph" w:styleId="aff0">
    <w:name w:val="header"/>
    <w:basedOn w:val="a1"/>
    <w:link w:val="aff1"/>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pPr>
      <w:tabs>
        <w:tab w:val="left" w:pos="510"/>
        <w:tab w:val="left" w:pos="709"/>
        <w:tab w:val="right" w:leader="dot" w:pos="8296"/>
      </w:tabs>
      <w:spacing w:line="276" w:lineRule="auto"/>
      <w:ind w:firstLineChars="98" w:firstLine="207"/>
      <w:jc w:val="center"/>
    </w:pPr>
    <w:rPr>
      <w:rFonts w:ascii="宋体" w:hAnsi="宋体" w:cs="宋体"/>
      <w:b/>
      <w:bCs/>
      <w:color w:val="000000"/>
    </w:rPr>
  </w:style>
  <w:style w:type="paragraph" w:styleId="41">
    <w:name w:val="toc 4"/>
    <w:basedOn w:val="a1"/>
    <w:next w:val="a1"/>
    <w:uiPriority w:val="99"/>
    <w:semiHidden/>
    <w:qFormat/>
    <w:pPr>
      <w:ind w:left="630"/>
      <w:jc w:val="left"/>
    </w:pPr>
    <w:rPr>
      <w:rFonts w:ascii="Times New Roman" w:hAnsi="Times New Roman" w:cs="Times New Roman"/>
    </w:rPr>
  </w:style>
  <w:style w:type="paragraph" w:styleId="aff2">
    <w:name w:val="Subtitle"/>
    <w:basedOn w:val="21"/>
    <w:next w:val="3"/>
    <w:link w:val="aff3"/>
    <w:uiPriority w:val="99"/>
    <w:qFormat/>
    <w:pPr>
      <w:tabs>
        <w:tab w:val="clear" w:pos="360"/>
      </w:tabs>
      <w:spacing w:before="240" w:after="60" w:line="312" w:lineRule="auto"/>
      <w:ind w:left="0" w:firstLine="0"/>
      <w:jc w:val="left"/>
    </w:pPr>
    <w:rPr>
      <w:rFonts w:ascii="Cambria" w:eastAsia="宋体" w:hAnsi="Cambria" w:cs="Cambria"/>
      <w:kern w:val="28"/>
      <w:sz w:val="24"/>
      <w:szCs w:val="24"/>
    </w:rPr>
  </w:style>
  <w:style w:type="paragraph" w:styleId="aff4">
    <w:name w:val="footnote text"/>
    <w:basedOn w:val="a1"/>
    <w:link w:val="aff5"/>
    <w:uiPriority w:val="99"/>
    <w:semiHidden/>
    <w:qFormat/>
    <w:pPr>
      <w:snapToGrid w:val="0"/>
      <w:jc w:val="left"/>
    </w:pPr>
    <w:rPr>
      <w:rFonts w:ascii="Times New Roman" w:hAnsi="Times New Roman" w:cs="Times New Roman"/>
      <w:sz w:val="18"/>
      <w:szCs w:val="18"/>
    </w:rPr>
  </w:style>
  <w:style w:type="paragraph" w:styleId="61">
    <w:name w:val="toc 6"/>
    <w:basedOn w:val="a1"/>
    <w:next w:val="a1"/>
    <w:uiPriority w:val="99"/>
    <w:semiHidden/>
    <w:qFormat/>
    <w:pPr>
      <w:ind w:left="1050"/>
      <w:jc w:val="left"/>
    </w:pPr>
    <w:rPr>
      <w:rFonts w:ascii="Times New Roman" w:hAnsi="Times New Roman" w:cs="Times New Roman"/>
    </w:rPr>
  </w:style>
  <w:style w:type="paragraph" w:styleId="34">
    <w:name w:val="Body Text Indent 3"/>
    <w:basedOn w:val="a1"/>
    <w:link w:val="35"/>
    <w:uiPriority w:val="99"/>
    <w:qFormat/>
    <w:pPr>
      <w:spacing w:line="400" w:lineRule="atLeast"/>
      <w:ind w:firstLine="600"/>
    </w:pPr>
    <w:rPr>
      <w:rFonts w:ascii="宋体" w:hAnsi="Times New Roman" w:cs="宋体"/>
      <w:sz w:val="28"/>
      <w:szCs w:val="28"/>
    </w:rPr>
  </w:style>
  <w:style w:type="paragraph" w:styleId="25">
    <w:name w:val="toc 2"/>
    <w:basedOn w:val="a1"/>
    <w:next w:val="a1"/>
    <w:uiPriority w:val="39"/>
    <w:qFormat/>
    <w:pPr>
      <w:tabs>
        <w:tab w:val="left" w:pos="840"/>
        <w:tab w:val="left" w:pos="1050"/>
        <w:tab w:val="left" w:pos="1080"/>
        <w:tab w:val="right" w:leader="dot" w:pos="8296"/>
      </w:tabs>
      <w:spacing w:line="276" w:lineRule="auto"/>
      <w:ind w:left="210"/>
      <w:jc w:val="left"/>
    </w:pPr>
    <w:rPr>
      <w:rFonts w:ascii="Times New Roman" w:hAnsi="Times New Roman" w:cs="Times New Roman"/>
    </w:rPr>
  </w:style>
  <w:style w:type="paragraph" w:styleId="91">
    <w:name w:val="toc 9"/>
    <w:basedOn w:val="a1"/>
    <w:next w:val="a1"/>
    <w:uiPriority w:val="99"/>
    <w:semiHidden/>
    <w:qFormat/>
    <w:pPr>
      <w:ind w:left="1680"/>
      <w:jc w:val="left"/>
    </w:pPr>
    <w:rPr>
      <w:rFonts w:ascii="Times New Roman" w:hAnsi="Times New Roman" w:cs="Times New Roman"/>
    </w:rPr>
  </w:style>
  <w:style w:type="paragraph" w:styleId="26">
    <w:name w:val="Body Text 2"/>
    <w:basedOn w:val="a1"/>
    <w:link w:val="27"/>
    <w:uiPriority w:val="99"/>
    <w:qFormat/>
    <w:rPr>
      <w:rFonts w:ascii="Times New Roman" w:hAnsi="Times New Roman" w:cs="Times New Roman"/>
      <w:sz w:val="28"/>
      <w:szCs w:val="28"/>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ff6">
    <w:name w:val="Normal (Web)"/>
    <w:basedOn w:val="a1"/>
    <w:uiPriority w:val="99"/>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12">
    <w:name w:val="index 1"/>
    <w:basedOn w:val="a1"/>
    <w:next w:val="a1"/>
    <w:uiPriority w:val="99"/>
    <w:semiHidden/>
    <w:qFormat/>
    <w:pPr>
      <w:spacing w:line="360" w:lineRule="auto"/>
      <w:ind w:firstLineChars="200" w:firstLine="422"/>
      <w:outlineLvl w:val="0"/>
    </w:pPr>
    <w:rPr>
      <w:rFonts w:ascii="宋体" w:hAnsi="宋体" w:cs="宋体"/>
      <w:b/>
      <w:bCs/>
      <w:color w:val="000000"/>
      <w:kern w:val="0"/>
    </w:rPr>
  </w:style>
  <w:style w:type="paragraph" w:styleId="aff7">
    <w:name w:val="Title"/>
    <w:basedOn w:val="a1"/>
    <w:link w:val="aff8"/>
    <w:uiPriority w:val="99"/>
    <w:qFormat/>
    <w:pPr>
      <w:spacing w:before="240" w:after="60" w:line="360" w:lineRule="auto"/>
      <w:ind w:firstLine="425"/>
      <w:jc w:val="center"/>
      <w:outlineLvl w:val="0"/>
    </w:pPr>
    <w:rPr>
      <w:rFonts w:ascii="Arial" w:hAnsi="Arial" w:cs="Arial"/>
      <w:b/>
      <w:bCs/>
      <w:sz w:val="32"/>
      <w:szCs w:val="32"/>
    </w:rPr>
  </w:style>
  <w:style w:type="paragraph" w:styleId="aff9">
    <w:name w:val="annotation subject"/>
    <w:basedOn w:val="af1"/>
    <w:next w:val="af1"/>
    <w:link w:val="affa"/>
    <w:uiPriority w:val="99"/>
    <w:semiHidden/>
    <w:qFormat/>
    <w:rPr>
      <w:b/>
      <w:bCs/>
      <w:sz w:val="21"/>
      <w:szCs w:val="21"/>
    </w:rPr>
  </w:style>
  <w:style w:type="paragraph" w:styleId="affb">
    <w:name w:val="Body Text First Indent"/>
    <w:basedOn w:val="a9"/>
    <w:link w:val="affc"/>
    <w:uiPriority w:val="99"/>
    <w:qFormat/>
    <w:pPr>
      <w:spacing w:after="120" w:line="240" w:lineRule="auto"/>
      <w:ind w:firstLineChars="100" w:firstLine="420"/>
    </w:pPr>
  </w:style>
  <w:style w:type="table" w:styleId="affd">
    <w:name w:val="Table Grid"/>
    <w:basedOn w:val="a3"/>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basedOn w:val="a2"/>
    <w:uiPriority w:val="99"/>
    <w:qFormat/>
    <w:rPr>
      <w:b/>
      <w:bCs/>
    </w:rPr>
  </w:style>
  <w:style w:type="character" w:styleId="afff">
    <w:name w:val="page number"/>
    <w:basedOn w:val="a2"/>
    <w:uiPriority w:val="99"/>
    <w:qFormat/>
  </w:style>
  <w:style w:type="character" w:styleId="afff0">
    <w:name w:val="FollowedHyperlink"/>
    <w:basedOn w:val="a2"/>
    <w:uiPriority w:val="99"/>
    <w:qFormat/>
    <w:rPr>
      <w:color w:val="800080"/>
      <w:u w:val="single"/>
    </w:rPr>
  </w:style>
  <w:style w:type="character" w:styleId="afff1">
    <w:name w:val="Emphasis"/>
    <w:basedOn w:val="a2"/>
    <w:uiPriority w:val="99"/>
    <w:qFormat/>
    <w:rPr>
      <w:i/>
      <w:iCs/>
    </w:rPr>
  </w:style>
  <w:style w:type="character" w:styleId="HTML1">
    <w:name w:val="HTML Typewriter"/>
    <w:basedOn w:val="a2"/>
    <w:uiPriority w:val="99"/>
    <w:qFormat/>
    <w:rPr>
      <w:rFonts w:ascii="Arial Unicode MS" w:eastAsia="Arial Unicode MS" w:hAnsi="Arial Unicode MS" w:cs="Arial Unicode MS"/>
      <w:sz w:val="20"/>
      <w:szCs w:val="20"/>
    </w:rPr>
  </w:style>
  <w:style w:type="character" w:styleId="afff2">
    <w:name w:val="Hyperlink"/>
    <w:basedOn w:val="a2"/>
    <w:uiPriority w:val="99"/>
    <w:qFormat/>
    <w:rPr>
      <w:color w:val="0000FF"/>
      <w:u w:val="single"/>
    </w:rPr>
  </w:style>
  <w:style w:type="character" w:styleId="afff3">
    <w:name w:val="annotation reference"/>
    <w:basedOn w:val="a2"/>
    <w:qFormat/>
    <w:rPr>
      <w:sz w:val="21"/>
      <w:szCs w:val="21"/>
    </w:rPr>
  </w:style>
  <w:style w:type="character" w:styleId="afff4">
    <w:name w:val="footnote reference"/>
    <w:basedOn w:val="a2"/>
    <w:uiPriority w:val="99"/>
    <w:semiHidden/>
    <w:qFormat/>
    <w:rPr>
      <w:vertAlign w:val="superscript"/>
    </w:rPr>
  </w:style>
  <w:style w:type="character" w:customStyle="1" w:styleId="af6">
    <w:name w:val="纯文本 字符"/>
    <w:basedOn w:val="a2"/>
    <w:link w:val="af5"/>
    <w:uiPriority w:val="99"/>
    <w:qFormat/>
    <w:locked/>
    <w:rPr>
      <w:rFonts w:ascii="宋体" w:hAnsi="Courier New" w:cs="宋体"/>
      <w:kern w:val="2"/>
      <w:sz w:val="21"/>
      <w:szCs w:val="21"/>
    </w:rPr>
  </w:style>
  <w:style w:type="character" w:customStyle="1" w:styleId="13">
    <w:name w:val="不明显强调1"/>
    <w:basedOn w:val="a2"/>
    <w:uiPriority w:val="99"/>
    <w:qFormat/>
    <w:rPr>
      <w:i/>
      <w:iCs/>
      <w:color w:val="808080"/>
    </w:rPr>
  </w:style>
  <w:style w:type="character" w:customStyle="1" w:styleId="tt11">
    <w:name w:val="tt11"/>
    <w:basedOn w:val="a2"/>
    <w:uiPriority w:val="99"/>
    <w:qFormat/>
    <w:rPr>
      <w:spacing w:val="400"/>
      <w:sz w:val="22"/>
      <w:szCs w:val="22"/>
    </w:rPr>
  </w:style>
  <w:style w:type="character" w:customStyle="1" w:styleId="35">
    <w:name w:val="正文文本缩进 3 字符"/>
    <w:basedOn w:val="a2"/>
    <w:link w:val="34"/>
    <w:uiPriority w:val="99"/>
    <w:qFormat/>
    <w:locked/>
    <w:rPr>
      <w:rFonts w:ascii="宋体" w:hAnsi="Times New Roman" w:cs="宋体"/>
      <w:kern w:val="2"/>
      <w:sz w:val="28"/>
      <w:szCs w:val="28"/>
    </w:rPr>
  </w:style>
  <w:style w:type="character" w:customStyle="1" w:styleId="22">
    <w:name w:val="标题 2 字符"/>
    <w:basedOn w:val="a2"/>
    <w:link w:val="21"/>
    <w:uiPriority w:val="99"/>
    <w:qFormat/>
    <w:locked/>
    <w:rPr>
      <w:rFonts w:ascii="Arial" w:eastAsia="黑体" w:hAnsi="Arial" w:cs="Arial"/>
      <w:b/>
      <w:bCs/>
      <w:kern w:val="2"/>
      <w:sz w:val="32"/>
      <w:szCs w:val="32"/>
    </w:rPr>
  </w:style>
  <w:style w:type="character" w:customStyle="1" w:styleId="10">
    <w:name w:val="标题 1 字符"/>
    <w:basedOn w:val="a2"/>
    <w:link w:val="1"/>
    <w:uiPriority w:val="99"/>
    <w:qFormat/>
    <w:locked/>
    <w:rPr>
      <w:rFonts w:ascii="Times New Roman" w:hAnsi="Times New Roman"/>
      <w:b/>
      <w:bCs/>
      <w:kern w:val="44"/>
      <w:sz w:val="44"/>
      <w:szCs w:val="44"/>
    </w:rPr>
  </w:style>
  <w:style w:type="character" w:customStyle="1" w:styleId="Char">
    <w:name w:val="正文首行缩进 Char"/>
    <w:basedOn w:val="aa"/>
    <w:uiPriority w:val="99"/>
    <w:qFormat/>
    <w:locked/>
    <w:rPr>
      <w:rFonts w:ascii="Times New Roman" w:hAnsi="Times New Roman" w:cs="Times New Roman"/>
      <w:kern w:val="2"/>
      <w:sz w:val="24"/>
      <w:szCs w:val="24"/>
    </w:rPr>
  </w:style>
  <w:style w:type="character" w:customStyle="1" w:styleId="aa">
    <w:name w:val="正文文本 字符"/>
    <w:basedOn w:val="a2"/>
    <w:link w:val="a9"/>
    <w:uiPriority w:val="99"/>
    <w:qFormat/>
    <w:locked/>
    <w:rPr>
      <w:rFonts w:ascii="Times New Roman" w:hAnsi="Times New Roman" w:cs="Times New Roman"/>
      <w:kern w:val="2"/>
      <w:sz w:val="24"/>
      <w:szCs w:val="24"/>
    </w:rPr>
  </w:style>
  <w:style w:type="character" w:customStyle="1" w:styleId="BodyTextFirstIndentChar">
    <w:name w:val="Body Text First Indent Char"/>
    <w:basedOn w:val="aa"/>
    <w:uiPriority w:val="99"/>
    <w:qFormat/>
    <w:locked/>
    <w:rPr>
      <w:rFonts w:ascii="Times New Roman" w:hAnsi="Times New Roman" w:cs="Times New Roman"/>
      <w:kern w:val="2"/>
      <w:sz w:val="24"/>
      <w:szCs w:val="24"/>
    </w:rPr>
  </w:style>
  <w:style w:type="character" w:customStyle="1" w:styleId="60">
    <w:name w:val="标题 6 字符"/>
    <w:basedOn w:val="a2"/>
    <w:link w:val="6"/>
    <w:uiPriority w:val="99"/>
    <w:qFormat/>
    <w:locked/>
    <w:rPr>
      <w:rFonts w:ascii="Arial" w:eastAsia="黑体" w:hAnsi="Arial" w:cs="Arial"/>
      <w:b/>
      <w:bCs/>
      <w:sz w:val="24"/>
      <w:szCs w:val="24"/>
    </w:rPr>
  </w:style>
  <w:style w:type="character" w:customStyle="1" w:styleId="aff5">
    <w:name w:val="脚注文本 字符"/>
    <w:basedOn w:val="a2"/>
    <w:link w:val="aff4"/>
    <w:uiPriority w:val="99"/>
    <w:qFormat/>
    <w:locked/>
    <w:rPr>
      <w:rFonts w:ascii="Times New Roman" w:hAnsi="Times New Roman" w:cs="Times New Roman"/>
      <w:kern w:val="2"/>
      <w:sz w:val="18"/>
      <w:szCs w:val="18"/>
    </w:rPr>
  </w:style>
  <w:style w:type="character" w:customStyle="1" w:styleId="md1">
    <w:name w:val="md1"/>
    <w:basedOn w:val="a2"/>
    <w:uiPriority w:val="99"/>
    <w:qFormat/>
    <w:rPr>
      <w:spacing w:val="360"/>
      <w:sz w:val="25"/>
      <w:szCs w:val="25"/>
    </w:rPr>
  </w:style>
  <w:style w:type="character" w:customStyle="1" w:styleId="afe">
    <w:name w:val="页脚 字符"/>
    <w:basedOn w:val="a2"/>
    <w:link w:val="afd"/>
    <w:uiPriority w:val="99"/>
    <w:locked/>
    <w:rPr>
      <w:sz w:val="18"/>
      <w:szCs w:val="18"/>
    </w:rPr>
  </w:style>
  <w:style w:type="character" w:customStyle="1" w:styleId="af">
    <w:name w:val="文档结构图 字符"/>
    <w:basedOn w:val="a2"/>
    <w:link w:val="ae"/>
    <w:uiPriority w:val="99"/>
    <w:locked/>
    <w:rPr>
      <w:rFonts w:ascii="Times New Roman" w:hAnsi="Times New Roman" w:cs="Times New Roman"/>
      <w:kern w:val="2"/>
      <w:sz w:val="24"/>
      <w:szCs w:val="24"/>
      <w:shd w:val="clear" w:color="auto" w:fill="000080"/>
    </w:rPr>
  </w:style>
  <w:style w:type="character" w:customStyle="1" w:styleId="f221">
    <w:name w:val="f221"/>
    <w:basedOn w:val="a2"/>
    <w:uiPriority w:val="99"/>
    <w:rPr>
      <w:rFonts w:ascii="??" w:hAnsi="??" w:cs="??"/>
      <w:b/>
      <w:bCs/>
      <w:color w:val="auto"/>
      <w:sz w:val="33"/>
      <w:szCs w:val="33"/>
    </w:rPr>
  </w:style>
  <w:style w:type="character" w:customStyle="1" w:styleId="z-TopofFormChar">
    <w:name w:val="z-Top of Form Char"/>
    <w:basedOn w:val="a2"/>
    <w:link w:val="z-1"/>
    <w:uiPriority w:val="99"/>
    <w:qFormat/>
    <w:locked/>
    <w:rPr>
      <w:rFonts w:ascii="Arial" w:hAnsi="Arial" w:cs="Arial"/>
      <w:vanish/>
      <w:sz w:val="16"/>
      <w:szCs w:val="16"/>
    </w:rPr>
  </w:style>
  <w:style w:type="paragraph" w:customStyle="1" w:styleId="z-1">
    <w:name w:val="z-窗体顶端1"/>
    <w:basedOn w:val="a1"/>
    <w:next w:val="a1"/>
    <w:link w:val="z-TopofFormChar"/>
    <w:uiPriority w:val="99"/>
    <w:pPr>
      <w:widowControl/>
      <w:pBdr>
        <w:bottom w:val="single" w:sz="6" w:space="1" w:color="auto"/>
      </w:pBdr>
      <w:jc w:val="center"/>
    </w:pPr>
    <w:rPr>
      <w:rFonts w:ascii="Arial" w:hAnsi="Arial" w:cs="Arial"/>
      <w:vanish/>
      <w:kern w:val="0"/>
      <w:sz w:val="16"/>
      <w:szCs w:val="16"/>
    </w:rPr>
  </w:style>
  <w:style w:type="character" w:customStyle="1" w:styleId="afff5">
    <w:name w:val="a"/>
    <w:basedOn w:val="a2"/>
    <w:uiPriority w:val="99"/>
    <w:qFormat/>
  </w:style>
  <w:style w:type="character" w:customStyle="1" w:styleId="30">
    <w:name w:val="标题 3 字符"/>
    <w:basedOn w:val="a2"/>
    <w:link w:val="3"/>
    <w:uiPriority w:val="99"/>
    <w:locked/>
    <w:rPr>
      <w:rFonts w:ascii="Times New Roman" w:hAnsi="Times New Roman"/>
      <w:b/>
      <w:bCs/>
      <w:kern w:val="2"/>
      <w:sz w:val="32"/>
      <w:szCs w:val="32"/>
    </w:rPr>
  </w:style>
  <w:style w:type="character" w:customStyle="1" w:styleId="40">
    <w:name w:val="标题 4 字符"/>
    <w:basedOn w:val="a2"/>
    <w:link w:val="4"/>
    <w:uiPriority w:val="99"/>
    <w:locked/>
    <w:rPr>
      <w:rFonts w:ascii="Arial" w:eastAsia="黑体" w:hAnsi="Arial" w:cs="Arial"/>
      <w:b/>
      <w:bCs/>
      <w:sz w:val="28"/>
      <w:szCs w:val="28"/>
    </w:rPr>
  </w:style>
  <w:style w:type="character" w:customStyle="1" w:styleId="50">
    <w:name w:val="标题 5 字符"/>
    <w:basedOn w:val="a2"/>
    <w:link w:val="5"/>
    <w:uiPriority w:val="99"/>
    <w:qFormat/>
    <w:locked/>
    <w:rPr>
      <w:rFonts w:ascii="宋体" w:hAnsi="Times New Roman" w:cs="宋体"/>
      <w:b/>
      <w:bCs/>
      <w:sz w:val="28"/>
      <w:szCs w:val="28"/>
    </w:rPr>
  </w:style>
  <w:style w:type="character" w:customStyle="1" w:styleId="70">
    <w:name w:val="标题 7 字符"/>
    <w:basedOn w:val="a2"/>
    <w:link w:val="7"/>
    <w:uiPriority w:val="99"/>
    <w:qFormat/>
    <w:locked/>
    <w:rPr>
      <w:rFonts w:ascii="宋体" w:hAnsi="Times New Roman" w:cs="宋体"/>
      <w:b/>
      <w:bCs/>
      <w:sz w:val="24"/>
      <w:szCs w:val="24"/>
    </w:rPr>
  </w:style>
  <w:style w:type="character" w:customStyle="1" w:styleId="80">
    <w:name w:val="标题 8 字符"/>
    <w:basedOn w:val="a2"/>
    <w:link w:val="8"/>
    <w:uiPriority w:val="99"/>
    <w:locked/>
    <w:rPr>
      <w:rFonts w:ascii="Arial" w:eastAsia="黑体" w:hAnsi="Arial" w:cs="Arial"/>
      <w:sz w:val="24"/>
      <w:szCs w:val="24"/>
    </w:rPr>
  </w:style>
  <w:style w:type="character" w:customStyle="1" w:styleId="90">
    <w:name w:val="标题 9 字符"/>
    <w:basedOn w:val="a2"/>
    <w:link w:val="9"/>
    <w:uiPriority w:val="99"/>
    <w:qFormat/>
    <w:locked/>
    <w:rPr>
      <w:rFonts w:ascii="Arial" w:eastAsia="黑体" w:hAnsi="Arial" w:cs="Arial"/>
      <w:sz w:val="21"/>
      <w:szCs w:val="21"/>
    </w:rPr>
  </w:style>
  <w:style w:type="character" w:customStyle="1" w:styleId="aff1">
    <w:name w:val="页眉 字符"/>
    <w:basedOn w:val="a2"/>
    <w:link w:val="aff0"/>
    <w:uiPriority w:val="99"/>
    <w:locked/>
    <w:rPr>
      <w:sz w:val="18"/>
      <w:szCs w:val="18"/>
    </w:rPr>
  </w:style>
  <w:style w:type="character" w:customStyle="1" w:styleId="af2">
    <w:name w:val="批注文字 字符"/>
    <w:basedOn w:val="a2"/>
    <w:link w:val="af1"/>
    <w:qFormat/>
    <w:locked/>
    <w:rPr>
      <w:rFonts w:ascii="Times New Roman" w:hAnsi="Times New Roman" w:cs="Times New Roman"/>
      <w:kern w:val="2"/>
      <w:sz w:val="24"/>
      <w:szCs w:val="24"/>
    </w:rPr>
  </w:style>
  <w:style w:type="character" w:customStyle="1" w:styleId="af8">
    <w:name w:val="日期 字符"/>
    <w:basedOn w:val="a2"/>
    <w:link w:val="af7"/>
    <w:uiPriority w:val="99"/>
    <w:locked/>
    <w:rPr>
      <w:rFonts w:ascii="宋体" w:eastAsia="仿宋_GB2312" w:hAnsi="宋体" w:cs="宋体"/>
      <w:kern w:val="2"/>
      <w:sz w:val="24"/>
      <w:szCs w:val="24"/>
    </w:rPr>
  </w:style>
  <w:style w:type="character" w:customStyle="1" w:styleId="aff8">
    <w:name w:val="标题 字符"/>
    <w:basedOn w:val="a2"/>
    <w:link w:val="aff7"/>
    <w:uiPriority w:val="99"/>
    <w:qFormat/>
    <w:locked/>
    <w:rPr>
      <w:rFonts w:ascii="Arial" w:hAnsi="Arial" w:cs="Arial"/>
      <w:b/>
      <w:bCs/>
      <w:kern w:val="2"/>
      <w:sz w:val="32"/>
      <w:szCs w:val="32"/>
    </w:rPr>
  </w:style>
  <w:style w:type="character" w:customStyle="1" w:styleId="af4">
    <w:name w:val="正文文本缩进 字符"/>
    <w:basedOn w:val="a2"/>
    <w:link w:val="af3"/>
    <w:uiPriority w:val="99"/>
    <w:locked/>
    <w:rPr>
      <w:rFonts w:ascii="宋体" w:hAnsi="Times New Roman" w:cs="宋体"/>
      <w:sz w:val="24"/>
      <w:szCs w:val="24"/>
    </w:rPr>
  </w:style>
  <w:style w:type="character" w:customStyle="1" w:styleId="27">
    <w:name w:val="正文文本 2 字符"/>
    <w:basedOn w:val="a2"/>
    <w:link w:val="26"/>
    <w:uiPriority w:val="99"/>
    <w:qFormat/>
    <w:locked/>
    <w:rPr>
      <w:rFonts w:ascii="Times New Roman" w:hAnsi="Times New Roman" w:cs="Times New Roman"/>
      <w:kern w:val="2"/>
      <w:sz w:val="28"/>
      <w:szCs w:val="28"/>
    </w:rPr>
  </w:style>
  <w:style w:type="character" w:customStyle="1" w:styleId="32">
    <w:name w:val="正文文本 3 字符"/>
    <w:basedOn w:val="a2"/>
    <w:link w:val="31"/>
    <w:uiPriority w:val="99"/>
    <w:locked/>
    <w:rPr>
      <w:rFonts w:ascii="Times New Roman" w:hAnsi="Times New Roman" w:cs="Times New Roman"/>
      <w:sz w:val="24"/>
      <w:szCs w:val="24"/>
      <w:u w:val="single"/>
    </w:rPr>
  </w:style>
  <w:style w:type="character" w:customStyle="1" w:styleId="24">
    <w:name w:val="正文文本缩进 2 字符"/>
    <w:basedOn w:val="a2"/>
    <w:link w:val="23"/>
    <w:uiPriority w:val="99"/>
    <w:locked/>
    <w:rPr>
      <w:rFonts w:ascii="Times New Roman" w:eastAsia="仿宋_GB2312" w:hAnsi="Times New Roman" w:cs="Times New Roman"/>
      <w:kern w:val="2"/>
      <w:sz w:val="24"/>
      <w:szCs w:val="24"/>
    </w:rPr>
  </w:style>
  <w:style w:type="character" w:customStyle="1" w:styleId="big1">
    <w:name w:val="big1"/>
    <w:basedOn w:val="a2"/>
    <w:uiPriority w:val="99"/>
    <w:rPr>
      <w:spacing w:val="360"/>
      <w:sz w:val="22"/>
      <w:szCs w:val="22"/>
    </w:rPr>
  </w:style>
  <w:style w:type="character" w:customStyle="1" w:styleId="afc">
    <w:name w:val="批注框文本 字符"/>
    <w:basedOn w:val="a2"/>
    <w:link w:val="afb"/>
    <w:uiPriority w:val="99"/>
    <w:locked/>
    <w:rPr>
      <w:rFonts w:ascii="Times New Roman" w:hAnsi="Times New Roman" w:cs="Times New Roman"/>
      <w:kern w:val="2"/>
      <w:sz w:val="18"/>
      <w:szCs w:val="18"/>
    </w:rPr>
  </w:style>
  <w:style w:type="character" w:customStyle="1" w:styleId="affa">
    <w:name w:val="批注主题 字符"/>
    <w:basedOn w:val="af2"/>
    <w:link w:val="aff9"/>
    <w:uiPriority w:val="99"/>
    <w:qFormat/>
    <w:locked/>
    <w:rPr>
      <w:rFonts w:ascii="Times New Roman" w:hAnsi="Times New Roman" w:cs="Times New Roman"/>
      <w:b/>
      <w:bCs/>
      <w:kern w:val="2"/>
      <w:sz w:val="24"/>
      <w:szCs w:val="24"/>
    </w:rPr>
  </w:style>
  <w:style w:type="character" w:customStyle="1" w:styleId="style21">
    <w:name w:val="style21"/>
    <w:basedOn w:val="a2"/>
    <w:uiPriority w:val="99"/>
    <w:rPr>
      <w:color w:val="auto"/>
      <w:spacing w:val="31680"/>
      <w:sz w:val="18"/>
      <w:szCs w:val="18"/>
      <w:u w:val="none"/>
    </w:rPr>
  </w:style>
  <w:style w:type="character" w:customStyle="1" w:styleId="read">
    <w:name w:val="read"/>
    <w:basedOn w:val="a2"/>
    <w:qFormat/>
  </w:style>
  <w:style w:type="character" w:customStyle="1" w:styleId="affc">
    <w:name w:val="正文首行缩进 字符"/>
    <w:basedOn w:val="aa"/>
    <w:link w:val="affb"/>
    <w:uiPriority w:val="99"/>
    <w:semiHidden/>
    <w:qFormat/>
    <w:locked/>
    <w:rPr>
      <w:rFonts w:ascii="Times New Roman" w:hAnsi="Times New Roman" w:cs="Times New Roman"/>
      <w:kern w:val="2"/>
      <w:sz w:val="21"/>
      <w:szCs w:val="21"/>
    </w:rPr>
  </w:style>
  <w:style w:type="character" w:customStyle="1" w:styleId="Char1">
    <w:name w:val="批注主题 Char1"/>
    <w:basedOn w:val="Char10"/>
    <w:uiPriority w:val="99"/>
    <w:semiHidden/>
    <w:qFormat/>
    <w:rPr>
      <w:b/>
      <w:bCs/>
      <w:sz w:val="21"/>
      <w:szCs w:val="21"/>
    </w:rPr>
  </w:style>
  <w:style w:type="character" w:customStyle="1" w:styleId="Char10">
    <w:name w:val="批注文字 Char1"/>
    <w:basedOn w:val="a2"/>
    <w:uiPriority w:val="99"/>
    <w:semiHidden/>
    <w:qFormat/>
    <w:rPr>
      <w:sz w:val="21"/>
      <w:szCs w:val="21"/>
    </w:rPr>
  </w:style>
  <w:style w:type="character" w:customStyle="1" w:styleId="Char11">
    <w:name w:val="标题 Char1"/>
    <w:basedOn w:val="a2"/>
    <w:uiPriority w:val="99"/>
    <w:qFormat/>
    <w:rPr>
      <w:rFonts w:ascii="Cambria" w:hAnsi="Cambria" w:cs="Cambria"/>
      <w:b/>
      <w:bCs/>
      <w:kern w:val="2"/>
      <w:sz w:val="32"/>
      <w:szCs w:val="32"/>
    </w:rPr>
  </w:style>
  <w:style w:type="character" w:customStyle="1" w:styleId="Char12">
    <w:name w:val="日期 Char1"/>
    <w:basedOn w:val="a2"/>
    <w:uiPriority w:val="99"/>
    <w:semiHidden/>
    <w:qFormat/>
    <w:rPr>
      <w:sz w:val="21"/>
      <w:szCs w:val="21"/>
    </w:rPr>
  </w:style>
  <w:style w:type="character" w:customStyle="1" w:styleId="lan18">
    <w:name w:val="lan18"/>
    <w:basedOn w:val="a2"/>
    <w:uiPriority w:val="99"/>
    <w:qFormat/>
  </w:style>
  <w:style w:type="character" w:customStyle="1" w:styleId="Char13">
    <w:name w:val="正文文本 Char1"/>
    <w:basedOn w:val="a2"/>
    <w:uiPriority w:val="99"/>
    <w:semiHidden/>
    <w:qFormat/>
    <w:rPr>
      <w:kern w:val="2"/>
      <w:sz w:val="21"/>
      <w:szCs w:val="21"/>
    </w:rPr>
  </w:style>
  <w:style w:type="character" w:customStyle="1" w:styleId="AOHidden">
    <w:name w:val="AOHidden"/>
    <w:basedOn w:val="a2"/>
    <w:uiPriority w:val="99"/>
    <w:qFormat/>
    <w:rPr>
      <w:vanish/>
      <w:color w:val="auto"/>
    </w:rPr>
  </w:style>
  <w:style w:type="character" w:customStyle="1" w:styleId="afa">
    <w:name w:val="尾注文本 字符"/>
    <w:basedOn w:val="a2"/>
    <w:link w:val="af9"/>
    <w:uiPriority w:val="99"/>
    <w:semiHidden/>
    <w:qFormat/>
    <w:locked/>
    <w:rPr>
      <w:rFonts w:ascii="Times New Roman" w:hAnsi="Times New Roman" w:cs="Times New Roman"/>
      <w:sz w:val="22"/>
      <w:szCs w:val="22"/>
      <w:lang w:val="en-GB" w:eastAsia="en-US"/>
    </w:rPr>
  </w:style>
  <w:style w:type="character" w:customStyle="1" w:styleId="unnamed11">
    <w:name w:val="unnamed11"/>
    <w:basedOn w:val="a2"/>
    <w:uiPriority w:val="99"/>
    <w:qFormat/>
    <w:rPr>
      <w:rFonts w:ascii="宋体" w:eastAsia="宋体" w:hAnsi="宋体" w:cs="宋体"/>
      <w:sz w:val="18"/>
      <w:szCs w:val="18"/>
    </w:rPr>
  </w:style>
  <w:style w:type="character" w:customStyle="1" w:styleId="Char14">
    <w:name w:val="脚注文本 Char1"/>
    <w:basedOn w:val="a2"/>
    <w:uiPriority w:val="99"/>
    <w:semiHidden/>
    <w:qFormat/>
    <w:rPr>
      <w:sz w:val="18"/>
      <w:szCs w:val="18"/>
    </w:rPr>
  </w:style>
  <w:style w:type="character" w:customStyle="1" w:styleId="3Char1">
    <w:name w:val="正文文本 3 Char1"/>
    <w:basedOn w:val="a2"/>
    <w:uiPriority w:val="99"/>
    <w:semiHidden/>
    <w:qFormat/>
    <w:rPr>
      <w:sz w:val="16"/>
      <w:szCs w:val="16"/>
    </w:rPr>
  </w:style>
  <w:style w:type="character" w:customStyle="1" w:styleId="da">
    <w:name w:val="da"/>
    <w:basedOn w:val="a2"/>
    <w:uiPriority w:val="99"/>
    <w:qFormat/>
  </w:style>
  <w:style w:type="character" w:customStyle="1" w:styleId="15">
    <w:name w:val="15"/>
    <w:basedOn w:val="a2"/>
    <w:uiPriority w:val="99"/>
    <w:qFormat/>
  </w:style>
  <w:style w:type="character" w:customStyle="1" w:styleId="HTML0">
    <w:name w:val="HTML 预设格式 字符"/>
    <w:basedOn w:val="a2"/>
    <w:link w:val="HTML"/>
    <w:uiPriority w:val="99"/>
    <w:qFormat/>
    <w:locked/>
    <w:rPr>
      <w:rFonts w:ascii="Arial Unicode MS" w:eastAsia="Arial Unicode MS" w:hAnsi="Arial Unicode MS" w:cs="Arial Unicode MS"/>
    </w:rPr>
  </w:style>
  <w:style w:type="character" w:customStyle="1" w:styleId="a7">
    <w:name w:val="电子邮件签名 字符"/>
    <w:basedOn w:val="a2"/>
    <w:link w:val="a6"/>
    <w:uiPriority w:val="99"/>
    <w:qFormat/>
    <w:locked/>
    <w:rPr>
      <w:rFonts w:ascii="Times New Roman" w:hAnsi="Times New Roman" w:cs="Times New Roman"/>
      <w:sz w:val="21"/>
      <w:szCs w:val="21"/>
    </w:rPr>
  </w:style>
  <w:style w:type="character" w:customStyle="1" w:styleId="2Char1">
    <w:name w:val="正文文本缩进 2 Char1"/>
    <w:basedOn w:val="a2"/>
    <w:uiPriority w:val="99"/>
    <w:semiHidden/>
    <w:qFormat/>
    <w:rPr>
      <w:sz w:val="21"/>
      <w:szCs w:val="21"/>
    </w:rPr>
  </w:style>
  <w:style w:type="character" w:customStyle="1" w:styleId="z-BottomofFormChar">
    <w:name w:val="z-Bottom of Form Char"/>
    <w:basedOn w:val="a2"/>
    <w:link w:val="z-10"/>
    <w:uiPriority w:val="99"/>
    <w:qFormat/>
    <w:locked/>
    <w:rPr>
      <w:rFonts w:ascii="Arial" w:hAnsi="Arial" w:cs="Arial"/>
      <w:vanish/>
      <w:sz w:val="16"/>
      <w:szCs w:val="16"/>
    </w:rPr>
  </w:style>
  <w:style w:type="paragraph" w:customStyle="1" w:styleId="z-10">
    <w:name w:val="z-窗体底端1"/>
    <w:basedOn w:val="a1"/>
    <w:next w:val="a1"/>
    <w:link w:val="z-BottomofFormChar"/>
    <w:uiPriority w:val="99"/>
    <w:qFormat/>
    <w:pPr>
      <w:widowControl/>
      <w:pBdr>
        <w:top w:val="single" w:sz="6" w:space="1" w:color="auto"/>
      </w:pBdr>
      <w:jc w:val="center"/>
    </w:pPr>
    <w:rPr>
      <w:rFonts w:ascii="Arial" w:hAnsi="Arial" w:cs="Arial"/>
      <w:vanish/>
      <w:kern w:val="0"/>
      <w:sz w:val="16"/>
      <w:szCs w:val="16"/>
    </w:rPr>
  </w:style>
  <w:style w:type="character" w:customStyle="1" w:styleId="aff3">
    <w:name w:val="副标题 字符"/>
    <w:basedOn w:val="a2"/>
    <w:link w:val="aff2"/>
    <w:uiPriority w:val="99"/>
    <w:qFormat/>
    <w:locked/>
    <w:rPr>
      <w:rFonts w:ascii="Cambria" w:hAnsi="Cambria" w:cs="Cambria"/>
      <w:b/>
      <w:bCs/>
      <w:kern w:val="28"/>
      <w:sz w:val="32"/>
      <w:szCs w:val="32"/>
    </w:rPr>
  </w:style>
  <w:style w:type="character" w:customStyle="1" w:styleId="hangju">
    <w:name w:val="hangju"/>
    <w:basedOn w:val="a2"/>
    <w:uiPriority w:val="99"/>
    <w:qFormat/>
  </w:style>
  <w:style w:type="character" w:customStyle="1" w:styleId="14">
    <w:name w:val="明显强调1"/>
    <w:basedOn w:val="a2"/>
    <w:uiPriority w:val="99"/>
    <w:qFormat/>
    <w:rPr>
      <w:b/>
      <w:bCs/>
      <w:i/>
      <w:iCs/>
      <w:color w:val="auto"/>
    </w:rPr>
  </w:style>
  <w:style w:type="character" w:customStyle="1" w:styleId="afff6">
    <w:name w:val="样式 宋体"/>
    <w:basedOn w:val="a2"/>
    <w:uiPriority w:val="99"/>
    <w:qFormat/>
    <w:rPr>
      <w:rFonts w:ascii="Times New Roman" w:eastAsia="宋体" w:hAnsi="Times New Roman" w:cs="Times New Roman"/>
    </w:rPr>
  </w:style>
  <w:style w:type="character" w:customStyle="1" w:styleId="-Char">
    <w:name w:val="模板-正文 Char"/>
    <w:link w:val="-"/>
    <w:qFormat/>
    <w:locked/>
    <w:rPr>
      <w:rFonts w:ascii="宋体" w:eastAsia="宋体" w:cs="宋体"/>
      <w:color w:val="222222"/>
      <w:sz w:val="21"/>
      <w:szCs w:val="21"/>
      <w:shd w:val="clear" w:color="auto" w:fill="FFFFFF"/>
    </w:rPr>
  </w:style>
  <w:style w:type="paragraph" w:customStyle="1" w:styleId="-">
    <w:name w:val="模板-正文"/>
    <w:basedOn w:val="aff6"/>
    <w:link w:val="-Char"/>
    <w:qFormat/>
    <w:pPr>
      <w:shd w:val="clear" w:color="auto" w:fill="FFFFFF"/>
      <w:snapToGrid w:val="0"/>
      <w:spacing w:before="0" w:beforeAutospacing="0" w:after="0" w:afterAutospacing="0" w:line="360" w:lineRule="auto"/>
      <w:ind w:firstLineChars="200" w:firstLine="200"/>
      <w:jc w:val="both"/>
    </w:pPr>
    <w:rPr>
      <w:rFonts w:ascii="宋体" w:eastAsia="宋体" w:hAnsi="Calibri" w:cs="宋体"/>
      <w:color w:val="222222"/>
      <w:sz w:val="21"/>
      <w:szCs w:val="21"/>
    </w:rPr>
  </w:style>
  <w:style w:type="paragraph" w:customStyle="1" w:styleId="AOAltHead1">
    <w:name w:val="AOAltHead1"/>
    <w:basedOn w:val="AOHead1"/>
    <w:next w:val="AODocTxtL1"/>
    <w:uiPriority w:val="99"/>
    <w:qFormat/>
    <w:pPr>
      <w:keepNext w:val="0"/>
    </w:pPr>
    <w:rPr>
      <w:b w:val="0"/>
      <w:bCs w:val="0"/>
      <w:caps w:val="0"/>
    </w:rPr>
  </w:style>
  <w:style w:type="paragraph" w:customStyle="1" w:styleId="AOHead1">
    <w:name w:val="AOHead1"/>
    <w:basedOn w:val="AOHeadings"/>
    <w:next w:val="AODocTxtL1"/>
    <w:uiPriority w:val="99"/>
    <w:qFormat/>
    <w:pPr>
      <w:keepNext/>
      <w:tabs>
        <w:tab w:val="left" w:pos="720"/>
      </w:tabs>
      <w:ind w:left="720" w:hanging="720"/>
      <w:outlineLvl w:val="0"/>
    </w:pPr>
    <w:rPr>
      <w:b/>
      <w:bCs/>
      <w:caps/>
      <w:kern w:val="28"/>
    </w:rPr>
  </w:style>
  <w:style w:type="paragraph" w:customStyle="1" w:styleId="AOHeadings">
    <w:name w:val="AOHeadings"/>
    <w:basedOn w:val="AOBodyTxt"/>
    <w:next w:val="AODocTxt"/>
    <w:uiPriority w:val="99"/>
    <w:qFormat/>
  </w:style>
  <w:style w:type="paragraph" w:customStyle="1" w:styleId="AOBodyTxt">
    <w:name w:val="AOBodyTxt"/>
    <w:basedOn w:val="AONormal"/>
    <w:next w:val="AODocTxt"/>
    <w:uiPriority w:val="99"/>
    <w:qFormat/>
    <w:pPr>
      <w:spacing w:before="240"/>
    </w:pPr>
  </w:style>
  <w:style w:type="paragraph" w:customStyle="1" w:styleId="AODocTxt">
    <w:name w:val="AODocTxt"/>
    <w:basedOn w:val="AOBodyTxt"/>
    <w:uiPriority w:val="99"/>
    <w:qFormat/>
    <w:pPr>
      <w:numPr>
        <w:numId w:val="3"/>
      </w:numPr>
    </w:pPr>
  </w:style>
  <w:style w:type="paragraph" w:customStyle="1" w:styleId="AODocTxtL1">
    <w:name w:val="AODocTxtL1"/>
    <w:basedOn w:val="AODocTxt"/>
    <w:uiPriority w:val="99"/>
    <w:qFormat/>
    <w:pPr>
      <w:numPr>
        <w:ilvl w:val="1"/>
      </w:numPr>
      <w:tabs>
        <w:tab w:val="left" w:pos="780"/>
      </w:tabs>
      <w:ind w:left="0" w:firstLine="420"/>
    </w:pPr>
  </w:style>
  <w:style w:type="paragraph" w:customStyle="1" w:styleId="Char0">
    <w:name w:val="Char"/>
    <w:basedOn w:val="a1"/>
    <w:uiPriority w:val="99"/>
    <w:qFormat/>
    <w:pPr>
      <w:tabs>
        <w:tab w:val="left" w:pos="360"/>
      </w:tabs>
      <w:spacing w:line="560" w:lineRule="exact"/>
    </w:pPr>
    <w:rPr>
      <w:rFonts w:ascii="方正黑体简体" w:eastAsia="方正黑体简体" w:hAnsi="Times New Roman" w:cs="方正黑体简体"/>
      <w:sz w:val="30"/>
      <w:szCs w:val="30"/>
    </w:rPr>
  </w:style>
  <w:style w:type="paragraph" w:customStyle="1" w:styleId="AOAppPartTitle">
    <w:name w:val="AOAppPartTitle"/>
    <w:basedOn w:val="AOAppTitle"/>
    <w:next w:val="AODocTxt"/>
    <w:uiPriority w:val="99"/>
    <w:qFormat/>
  </w:style>
  <w:style w:type="paragraph" w:customStyle="1" w:styleId="AOAppTitle">
    <w:name w:val="AOAppTitle"/>
    <w:basedOn w:val="AOAttachments"/>
    <w:next w:val="AODocTxt"/>
    <w:uiPriority w:val="99"/>
    <w:qFormat/>
    <w:pPr>
      <w:outlineLvl w:val="1"/>
    </w:pPr>
    <w:rPr>
      <w:b/>
      <w:bCs/>
    </w:rPr>
  </w:style>
  <w:style w:type="paragraph" w:customStyle="1" w:styleId="AOAttachments">
    <w:name w:val="AOAttachments"/>
    <w:basedOn w:val="AOBodyTxt"/>
    <w:next w:val="AODocTxt"/>
    <w:uiPriority w:val="99"/>
    <w:qFormat/>
    <w:pPr>
      <w:jc w:val="center"/>
    </w:pPr>
    <w:rPr>
      <w:caps/>
    </w:rPr>
  </w:style>
  <w:style w:type="paragraph" w:customStyle="1" w:styleId="20">
    <w:name w:val="列表2"/>
    <w:basedOn w:val="a1"/>
    <w:next w:val="aff7"/>
    <w:uiPriority w:val="99"/>
    <w:qFormat/>
    <w:pPr>
      <w:numPr>
        <w:numId w:val="4"/>
      </w:numPr>
      <w:spacing w:line="360" w:lineRule="auto"/>
    </w:pPr>
    <w:rPr>
      <w:rFonts w:ascii="Times New Roman" w:hAnsi="Times New Roman" w:cs="Times New Roman"/>
    </w:rPr>
  </w:style>
  <w:style w:type="paragraph" w:customStyle="1" w:styleId="ParaChar">
    <w:name w:val="默认段落字体 Para Char"/>
    <w:basedOn w:val="a1"/>
    <w:uiPriority w:val="99"/>
    <w:qFormat/>
    <w:pPr>
      <w:numPr>
        <w:numId w:val="5"/>
      </w:numPr>
    </w:pPr>
    <w:rPr>
      <w:rFonts w:ascii="Times New Roman" w:hAnsi="Times New Roman" w:cs="Times New Roman"/>
      <w:sz w:val="24"/>
      <w:szCs w:val="24"/>
    </w:rPr>
  </w:style>
  <w:style w:type="paragraph" w:customStyle="1" w:styleId="AODocTxtL2">
    <w:name w:val="AODocTxtL2"/>
    <w:basedOn w:val="AODocTxt"/>
    <w:uiPriority w:val="99"/>
    <w:qFormat/>
    <w:pPr>
      <w:numPr>
        <w:ilvl w:val="2"/>
      </w:numPr>
      <w:tabs>
        <w:tab w:val="left" w:pos="2160"/>
      </w:tabs>
      <w:ind w:left="2160" w:hanging="360"/>
    </w:pPr>
  </w:style>
  <w:style w:type="paragraph" w:customStyle="1" w:styleId="CharChar4">
    <w:name w:val="Char Char4"/>
    <w:basedOn w:val="a1"/>
    <w:uiPriority w:val="99"/>
    <w:qFormat/>
    <w:rPr>
      <w:rFonts w:ascii="Times New Roman" w:hAnsi="Times New Roman" w:cs="Times New Roman"/>
    </w:rPr>
  </w:style>
  <w:style w:type="paragraph" w:customStyle="1" w:styleId="16">
    <w:name w:val="无间隔1"/>
    <w:uiPriority w:val="99"/>
    <w:qFormat/>
    <w:pPr>
      <w:widowControl w:val="0"/>
      <w:jc w:val="both"/>
    </w:pPr>
    <w:rPr>
      <w:rFonts w:ascii="Times New Roman" w:hAnsi="Times New Roman"/>
      <w:kern w:val="2"/>
      <w:sz w:val="21"/>
      <w:szCs w:val="21"/>
    </w:rPr>
  </w:style>
  <w:style w:type="paragraph" w:customStyle="1" w:styleId="Char21">
    <w:name w:val="Char21"/>
    <w:basedOn w:val="a1"/>
    <w:uiPriority w:val="99"/>
    <w:qFormat/>
    <w:rPr>
      <w:rFonts w:ascii="Times New Roman" w:hAnsi="Times New Roman" w:cs="Times New Roman"/>
    </w:rPr>
  </w:style>
  <w:style w:type="paragraph" w:customStyle="1" w:styleId="AOAnxHead">
    <w:name w:val="AOAnxHead"/>
    <w:basedOn w:val="AOAttachments"/>
    <w:next w:val="AOAnxTitle"/>
    <w:uiPriority w:val="99"/>
    <w:qFormat/>
    <w:pPr>
      <w:pageBreakBefore/>
      <w:numPr>
        <w:numId w:val="6"/>
      </w:numPr>
      <w:outlineLvl w:val="0"/>
    </w:pPr>
  </w:style>
  <w:style w:type="paragraph" w:customStyle="1" w:styleId="AOAnxTitle">
    <w:name w:val="AOAnxTitle"/>
    <w:basedOn w:val="AOAttachments"/>
    <w:next w:val="AODocTxt"/>
    <w:uiPriority w:val="99"/>
    <w:qFormat/>
    <w:pPr>
      <w:outlineLvl w:val="1"/>
    </w:pPr>
    <w:rPr>
      <w:b/>
      <w:bCs/>
    </w:rPr>
  </w:style>
  <w:style w:type="paragraph" w:customStyle="1" w:styleId="17">
    <w:name w:val="1"/>
    <w:basedOn w:val="a1"/>
    <w:uiPriority w:val="99"/>
    <w:qFormat/>
    <w:pPr>
      <w:tabs>
        <w:tab w:val="left" w:pos="870"/>
      </w:tabs>
      <w:spacing w:before="100" w:beforeAutospacing="1" w:after="100" w:afterAutospacing="1" w:line="360" w:lineRule="auto"/>
      <w:ind w:leftChars="200" w:left="200"/>
    </w:pPr>
    <w:rPr>
      <w:rFonts w:ascii="Times New Roman" w:hAnsi="Times New Roman" w:cs="Times New Roman"/>
    </w:rPr>
  </w:style>
  <w:style w:type="paragraph" w:customStyle="1" w:styleId="AOAppPartHead">
    <w:name w:val="AOAppPartHead"/>
    <w:basedOn w:val="AOAppHead"/>
    <w:next w:val="AOAppPartTitle"/>
    <w:uiPriority w:val="99"/>
    <w:qFormat/>
    <w:pPr>
      <w:pageBreakBefore w:val="0"/>
      <w:numPr>
        <w:ilvl w:val="1"/>
      </w:numPr>
      <w:tabs>
        <w:tab w:val="left" w:pos="840"/>
      </w:tabs>
      <w:ind w:left="840" w:hanging="420"/>
    </w:pPr>
  </w:style>
  <w:style w:type="paragraph" w:customStyle="1" w:styleId="AOAppHead">
    <w:name w:val="AOAppHead"/>
    <w:basedOn w:val="AOAttachments"/>
    <w:next w:val="AOAppTitle"/>
    <w:uiPriority w:val="99"/>
    <w:qFormat/>
    <w:pPr>
      <w:pageBreakBefore/>
      <w:numPr>
        <w:numId w:val="7"/>
      </w:numPr>
      <w:outlineLvl w:val="0"/>
    </w:pPr>
  </w:style>
  <w:style w:type="paragraph" w:customStyle="1" w:styleId="AOAnxPartHead">
    <w:name w:val="AOAnxPartHead"/>
    <w:basedOn w:val="AOAnxHead"/>
    <w:next w:val="AOAnxPartTitle"/>
    <w:uiPriority w:val="99"/>
    <w:qFormat/>
    <w:pPr>
      <w:pageBreakBefore w:val="0"/>
      <w:numPr>
        <w:ilvl w:val="1"/>
      </w:numPr>
      <w:tabs>
        <w:tab w:val="left" w:pos="1440"/>
      </w:tabs>
      <w:ind w:left="1440" w:hanging="360"/>
    </w:pPr>
  </w:style>
  <w:style w:type="paragraph" w:customStyle="1" w:styleId="AOAnxPartTitle">
    <w:name w:val="AOAnxPartTitle"/>
    <w:basedOn w:val="AOAnxTitle"/>
    <w:next w:val="AODocTxt"/>
    <w:uiPriority w:val="99"/>
    <w:qFormat/>
  </w:style>
  <w:style w:type="paragraph" w:customStyle="1" w:styleId="afff7">
    <w:name w:val="正文正文"/>
    <w:basedOn w:val="a1"/>
    <w:uiPriority w:val="99"/>
    <w:qFormat/>
    <w:pPr>
      <w:spacing w:afterLines="25" w:line="360" w:lineRule="auto"/>
      <w:ind w:firstLineChars="200" w:firstLine="200"/>
    </w:pPr>
    <w:rPr>
      <w:rFonts w:ascii="Times New Roman" w:hAnsi="Times New Roman" w:cs="Times New Roman"/>
      <w:sz w:val="24"/>
      <w:szCs w:val="24"/>
    </w:rPr>
  </w:style>
  <w:style w:type="paragraph" w:customStyle="1" w:styleId="AOSchHead">
    <w:name w:val="AOSchHead"/>
    <w:basedOn w:val="AOAttachments"/>
    <w:next w:val="AOSchTitle"/>
    <w:uiPriority w:val="99"/>
    <w:qFormat/>
    <w:pPr>
      <w:pageBreakBefore/>
      <w:numPr>
        <w:numId w:val="8"/>
      </w:numPr>
      <w:outlineLvl w:val="0"/>
    </w:pPr>
  </w:style>
  <w:style w:type="paragraph" w:customStyle="1" w:styleId="AOSchTitle">
    <w:name w:val="AOSchTitle"/>
    <w:basedOn w:val="AOAttachments"/>
    <w:next w:val="AODocTxt"/>
    <w:uiPriority w:val="99"/>
    <w:qFormat/>
    <w:pPr>
      <w:outlineLvl w:val="1"/>
    </w:pPr>
    <w:rPr>
      <w:b/>
      <w:bCs/>
    </w:rPr>
  </w:style>
  <w:style w:type="paragraph" w:customStyle="1" w:styleId="afff8">
    <w:name w:val="第三级标题"/>
    <w:basedOn w:val="afff7"/>
    <w:next w:val="afff7"/>
    <w:uiPriority w:val="99"/>
    <w:qFormat/>
    <w:pPr>
      <w:keepNext/>
      <w:outlineLvl w:val="2"/>
    </w:pPr>
    <w:rPr>
      <w:b/>
      <w:bCs/>
    </w:rPr>
  </w:style>
  <w:style w:type="paragraph" w:customStyle="1" w:styleId="AOTOC1">
    <w:name w:val="AOTOC1"/>
    <w:basedOn w:val="AOTOCs"/>
    <w:uiPriority w:val="99"/>
    <w:qFormat/>
    <w:pPr>
      <w:tabs>
        <w:tab w:val="left" w:pos="720"/>
        <w:tab w:val="right" w:leader="dot" w:pos="9027"/>
      </w:tabs>
    </w:pPr>
    <w:rPr>
      <w:b/>
      <w:bCs/>
      <w:caps/>
    </w:rPr>
  </w:style>
  <w:style w:type="paragraph" w:customStyle="1" w:styleId="AOTOCs">
    <w:name w:val="AOTOCs"/>
    <w:basedOn w:val="AONormal"/>
    <w:next w:val="11"/>
    <w:uiPriority w:val="99"/>
    <w:qFormat/>
    <w:pPr>
      <w:jc w:val="both"/>
    </w:pPr>
  </w:style>
  <w:style w:type="paragraph" w:customStyle="1" w:styleId="AOBPTxtR">
    <w:name w:val="AOBPTxtR"/>
    <w:basedOn w:val="AOBPTxtL"/>
    <w:uiPriority w:val="99"/>
    <w:qFormat/>
    <w:pPr>
      <w:jc w:val="right"/>
    </w:pPr>
  </w:style>
  <w:style w:type="paragraph" w:customStyle="1" w:styleId="AOBPTxtL">
    <w:name w:val="AOBPTxtL"/>
    <w:basedOn w:val="AOFPBP"/>
    <w:uiPriority w:val="99"/>
    <w:qFormat/>
  </w:style>
  <w:style w:type="paragraph" w:customStyle="1" w:styleId="AOFPBP">
    <w:name w:val="AOFPBP"/>
    <w:basedOn w:val="AONormal"/>
    <w:next w:val="AOFPTxt"/>
    <w:uiPriority w:val="99"/>
    <w:qFormat/>
  </w:style>
  <w:style w:type="paragraph" w:customStyle="1" w:styleId="AOFPTxt">
    <w:name w:val="AOFPTxt"/>
    <w:basedOn w:val="AOFPBP"/>
    <w:uiPriority w:val="99"/>
    <w:qFormat/>
    <w:rPr>
      <w:b/>
      <w:bCs/>
    </w:rPr>
  </w:style>
  <w:style w:type="paragraph" w:customStyle="1" w:styleId="AOBPTxtC">
    <w:name w:val="AOBPTxtC"/>
    <w:basedOn w:val="AOBPTxtL"/>
    <w:uiPriority w:val="99"/>
    <w:qFormat/>
    <w:pPr>
      <w:jc w:val="center"/>
    </w:pPr>
  </w:style>
  <w:style w:type="paragraph" w:customStyle="1" w:styleId="AOBPTitle">
    <w:name w:val="AOBPTitle"/>
    <w:basedOn w:val="AOBPTxtL"/>
    <w:uiPriority w:val="99"/>
    <w:qFormat/>
    <w:rPr>
      <w:b/>
      <w:bCs/>
      <w:caps/>
    </w:rPr>
  </w:style>
  <w:style w:type="paragraph" w:customStyle="1" w:styleId="font523908">
    <w:name w:val="font523908"/>
    <w:basedOn w:val="a1"/>
    <w:uiPriority w:val="99"/>
    <w:qFormat/>
    <w:pPr>
      <w:widowControl/>
      <w:spacing w:before="100" w:after="100"/>
      <w:jc w:val="left"/>
    </w:pPr>
    <w:rPr>
      <w:rFonts w:ascii="宋体" w:hAnsi="宋体" w:cs="宋体"/>
      <w:kern w:val="0"/>
      <w:sz w:val="18"/>
      <w:szCs w:val="18"/>
    </w:rPr>
  </w:style>
  <w:style w:type="paragraph" w:customStyle="1" w:styleId="AODefPara">
    <w:name w:val="AODefPara"/>
    <w:basedOn w:val="AODefHead"/>
    <w:uiPriority w:val="99"/>
    <w:qFormat/>
    <w:pPr>
      <w:numPr>
        <w:ilvl w:val="1"/>
      </w:numPr>
      <w:tabs>
        <w:tab w:val="left" w:pos="870"/>
        <w:tab w:val="left" w:pos="992"/>
      </w:tabs>
      <w:ind w:left="992" w:hanging="992"/>
      <w:outlineLvl w:val="6"/>
    </w:pPr>
  </w:style>
  <w:style w:type="paragraph" w:customStyle="1" w:styleId="AODefHead">
    <w:name w:val="AODefHead"/>
    <w:basedOn w:val="AOBodyTxt"/>
    <w:next w:val="AODefPara"/>
    <w:uiPriority w:val="99"/>
    <w:qFormat/>
    <w:pPr>
      <w:numPr>
        <w:numId w:val="9"/>
      </w:numPr>
      <w:outlineLvl w:val="5"/>
    </w:pPr>
  </w:style>
  <w:style w:type="paragraph" w:customStyle="1" w:styleId="unnamed1">
    <w:name w:val="unnamed1"/>
    <w:basedOn w:val="a1"/>
    <w:uiPriority w:val="99"/>
    <w:qFormat/>
    <w:pPr>
      <w:widowControl/>
      <w:spacing w:before="60" w:after="60"/>
      <w:ind w:left="15" w:right="15"/>
      <w:jc w:val="left"/>
    </w:pPr>
    <w:rPr>
      <w:rFonts w:ascii="宋体" w:hAnsi="宋体" w:cs="宋体"/>
      <w:color w:val="000000"/>
      <w:kern w:val="0"/>
      <w:sz w:val="18"/>
      <w:szCs w:val="18"/>
    </w:rPr>
  </w:style>
  <w:style w:type="paragraph" w:customStyle="1" w:styleId="font623908">
    <w:name w:val="font623908"/>
    <w:basedOn w:val="a1"/>
    <w:uiPriority w:val="99"/>
    <w:qFormat/>
    <w:pPr>
      <w:widowControl/>
      <w:spacing w:before="100" w:after="100"/>
      <w:jc w:val="left"/>
    </w:pPr>
    <w:rPr>
      <w:rFonts w:ascii="楷体_GB2312" w:eastAsia="楷体_GB2312" w:hAnsi="宋体" w:cs="楷体_GB2312"/>
      <w:color w:val="FF0000"/>
      <w:kern w:val="0"/>
      <w:sz w:val="24"/>
      <w:szCs w:val="24"/>
    </w:rPr>
  </w:style>
  <w:style w:type="paragraph" w:customStyle="1" w:styleId="2211">
    <w:name w:val="样式 标题 2 + 首行缩进:  2 字符 段前: 1 行 段后: 1 行"/>
    <w:basedOn w:val="21"/>
    <w:uiPriority w:val="99"/>
    <w:qFormat/>
    <w:pPr>
      <w:tabs>
        <w:tab w:val="left" w:pos="1276"/>
      </w:tabs>
      <w:spacing w:before="100" w:after="100" w:line="240" w:lineRule="auto"/>
      <w:ind w:left="851"/>
    </w:pPr>
    <w:rPr>
      <w:rFonts w:eastAsia="宋体"/>
      <w:sz w:val="28"/>
      <w:szCs w:val="28"/>
    </w:rPr>
  </w:style>
  <w:style w:type="paragraph" w:customStyle="1" w:styleId="18">
    <w:name w:val="列表1"/>
    <w:basedOn w:val="a1"/>
    <w:next w:val="a1"/>
    <w:uiPriority w:val="99"/>
    <w:qFormat/>
    <w:pPr>
      <w:tabs>
        <w:tab w:val="left" w:pos="644"/>
      </w:tabs>
      <w:spacing w:line="360" w:lineRule="auto"/>
      <w:ind w:left="567" w:hanging="283"/>
    </w:pPr>
    <w:rPr>
      <w:rFonts w:ascii="Times New Roman" w:hAnsi="Times New Roman" w:cs="Times New Roman"/>
    </w:rPr>
  </w:style>
  <w:style w:type="paragraph" w:customStyle="1" w:styleId="xl2723908">
    <w:name w:val="xl2723908"/>
    <w:basedOn w:val="a1"/>
    <w:uiPriority w:val="99"/>
    <w:qFormat/>
    <w:pPr>
      <w:widowControl/>
      <w:spacing w:before="100" w:after="100"/>
      <w:jc w:val="left"/>
    </w:pPr>
    <w:rPr>
      <w:rFonts w:ascii="楷体_GB2312" w:eastAsia="楷体_GB2312" w:hAnsi="宋体" w:cs="楷体_GB2312"/>
      <w:kern w:val="0"/>
      <w:sz w:val="24"/>
      <w:szCs w:val="24"/>
    </w:rPr>
  </w:style>
  <w:style w:type="paragraph" w:customStyle="1" w:styleId="xl2423908">
    <w:name w:val="xl2423908"/>
    <w:basedOn w:val="a1"/>
    <w:uiPriority w:val="99"/>
    <w:qFormat/>
    <w:pPr>
      <w:widowControl/>
      <w:spacing w:before="100" w:after="100"/>
      <w:jc w:val="left"/>
    </w:pPr>
    <w:rPr>
      <w:rFonts w:ascii="宋体" w:hAnsi="宋体" w:cs="宋体"/>
      <w:kern w:val="0"/>
      <w:sz w:val="24"/>
      <w:szCs w:val="24"/>
    </w:rPr>
  </w:style>
  <w:style w:type="paragraph" w:customStyle="1" w:styleId="xl2223908">
    <w:name w:val="xl2223908"/>
    <w:basedOn w:val="a1"/>
    <w:uiPriority w:val="99"/>
    <w:qFormat/>
    <w:pPr>
      <w:widowControl/>
      <w:spacing w:before="100" w:after="100"/>
      <w:jc w:val="center"/>
    </w:pPr>
    <w:rPr>
      <w:rFonts w:ascii="宋体" w:hAnsi="宋体" w:cs="宋体"/>
      <w:kern w:val="0"/>
      <w:sz w:val="24"/>
      <w:szCs w:val="24"/>
    </w:rPr>
  </w:style>
  <w:style w:type="paragraph" w:customStyle="1" w:styleId="xl2823908">
    <w:name w:val="xl2823908"/>
    <w:basedOn w:val="a1"/>
    <w:uiPriority w:val="99"/>
    <w:qFormat/>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cs="楷体_GB2312"/>
      <w:kern w:val="0"/>
      <w:sz w:val="24"/>
      <w:szCs w:val="24"/>
    </w:rPr>
  </w:style>
  <w:style w:type="paragraph" w:customStyle="1" w:styleId="AOBullet">
    <w:name w:val="AOBullet"/>
    <w:basedOn w:val="AOBodyTxt"/>
    <w:uiPriority w:val="99"/>
    <w:pPr>
      <w:numPr>
        <w:numId w:val="10"/>
      </w:numPr>
      <w:tabs>
        <w:tab w:val="clear" w:pos="720"/>
      </w:tabs>
    </w:pPr>
  </w:style>
  <w:style w:type="paragraph" w:customStyle="1" w:styleId="36">
    <w:name w:val="列表3"/>
    <w:basedOn w:val="a1"/>
    <w:uiPriority w:val="99"/>
    <w:qFormat/>
    <w:pPr>
      <w:spacing w:line="360" w:lineRule="auto"/>
    </w:pPr>
    <w:rPr>
      <w:rFonts w:ascii="宋体" w:hAnsi="Times New Roman" w:cs="宋体"/>
    </w:rPr>
  </w:style>
  <w:style w:type="paragraph" w:customStyle="1" w:styleId="AOSchPartTitle">
    <w:name w:val="AOSchPartTitle"/>
    <w:basedOn w:val="AOSchTitle"/>
    <w:next w:val="AODocTxt"/>
    <w:uiPriority w:val="99"/>
    <w:qFormat/>
  </w:style>
  <w:style w:type="paragraph" w:customStyle="1" w:styleId="150">
    <w:name w:val="样式 宋体 四号 行距: 1.5 倍行距"/>
    <w:basedOn w:val="a1"/>
    <w:uiPriority w:val="99"/>
    <w:qFormat/>
    <w:pPr>
      <w:spacing w:line="360" w:lineRule="auto"/>
    </w:pPr>
    <w:rPr>
      <w:rFonts w:ascii="宋体" w:hAnsi="宋体" w:cs="宋体"/>
      <w:sz w:val="24"/>
      <w:szCs w:val="24"/>
    </w:rPr>
  </w:style>
  <w:style w:type="paragraph" w:customStyle="1" w:styleId="Default">
    <w:name w:val="Default"/>
    <w:uiPriority w:val="99"/>
    <w:qFormat/>
    <w:pPr>
      <w:widowControl w:val="0"/>
      <w:autoSpaceDE w:val="0"/>
      <w:autoSpaceDN w:val="0"/>
      <w:adjustRightInd w:val="0"/>
    </w:pPr>
    <w:rPr>
      <w:rFonts w:ascii="宋体" w:hAnsi="Times New Roman" w:cs="宋体"/>
      <w:color w:val="000000"/>
      <w:sz w:val="24"/>
      <w:szCs w:val="24"/>
    </w:rPr>
  </w:style>
  <w:style w:type="paragraph" w:customStyle="1" w:styleId="AODocTxtL6">
    <w:name w:val="AODocTxtL6"/>
    <w:basedOn w:val="AODocTxt"/>
    <w:uiPriority w:val="99"/>
    <w:qFormat/>
    <w:pPr>
      <w:numPr>
        <w:ilvl w:val="6"/>
      </w:numPr>
      <w:tabs>
        <w:tab w:val="left" w:pos="5040"/>
      </w:tabs>
      <w:ind w:left="5040" w:hanging="360"/>
    </w:pPr>
  </w:style>
  <w:style w:type="paragraph" w:customStyle="1" w:styleId="CharCharCharChar">
    <w:name w:val="Char Char Char Char"/>
    <w:basedOn w:val="a1"/>
    <w:uiPriority w:val="99"/>
    <w:qFormat/>
    <w:pPr>
      <w:tabs>
        <w:tab w:val="left" w:pos="360"/>
      </w:tabs>
    </w:pPr>
    <w:rPr>
      <w:rFonts w:ascii="Times New Roman" w:hAnsi="Times New Roman" w:cs="Times New Roman"/>
      <w:sz w:val="24"/>
      <w:szCs w:val="24"/>
    </w:rPr>
  </w:style>
  <w:style w:type="paragraph" w:customStyle="1" w:styleId="AO1">
    <w:name w:val="AO(1)"/>
    <w:basedOn w:val="AOBodyTxt"/>
    <w:next w:val="AODocTxt"/>
    <w:uiPriority w:val="99"/>
    <w:qFormat/>
    <w:pPr>
      <w:numPr>
        <w:numId w:val="11"/>
      </w:numPr>
      <w:tabs>
        <w:tab w:val="clear" w:pos="720"/>
      </w:tabs>
    </w:pPr>
  </w:style>
  <w:style w:type="paragraph" w:customStyle="1" w:styleId="AOA">
    <w:name w:val="AO(A)"/>
    <w:basedOn w:val="AOBodyTxt"/>
    <w:next w:val="AODocTxt"/>
    <w:uiPriority w:val="99"/>
    <w:qFormat/>
    <w:pPr>
      <w:numPr>
        <w:numId w:val="12"/>
      </w:numPr>
      <w:tabs>
        <w:tab w:val="clear" w:pos="720"/>
      </w:tabs>
    </w:pPr>
  </w:style>
  <w:style w:type="paragraph" w:customStyle="1" w:styleId="AODocTxtL3">
    <w:name w:val="AODocTxtL3"/>
    <w:basedOn w:val="AODocTxt"/>
    <w:uiPriority w:val="99"/>
    <w:qFormat/>
    <w:pPr>
      <w:numPr>
        <w:ilvl w:val="3"/>
      </w:numPr>
      <w:tabs>
        <w:tab w:val="left" w:pos="2880"/>
      </w:tabs>
      <w:ind w:left="2880" w:hanging="360"/>
    </w:pPr>
  </w:style>
  <w:style w:type="paragraph" w:customStyle="1" w:styleId="AOSchPartHead">
    <w:name w:val="AOSchPartHead"/>
    <w:basedOn w:val="AOSchHead"/>
    <w:next w:val="AOSchPartTitle"/>
    <w:uiPriority w:val="99"/>
    <w:qFormat/>
    <w:pPr>
      <w:pageBreakBefore w:val="0"/>
      <w:numPr>
        <w:ilvl w:val="1"/>
      </w:numPr>
      <w:tabs>
        <w:tab w:val="left" w:pos="780"/>
      </w:tabs>
      <w:ind w:firstLine="420"/>
    </w:pPr>
  </w:style>
  <w:style w:type="paragraph" w:customStyle="1" w:styleId="AODocTxtL4">
    <w:name w:val="AODocTxtL4"/>
    <w:basedOn w:val="AODocTxt"/>
    <w:uiPriority w:val="99"/>
    <w:qFormat/>
    <w:pPr>
      <w:numPr>
        <w:ilvl w:val="4"/>
      </w:numPr>
      <w:tabs>
        <w:tab w:val="left" w:pos="3600"/>
      </w:tabs>
      <w:ind w:left="3600" w:hanging="360"/>
    </w:pPr>
  </w:style>
  <w:style w:type="paragraph" w:customStyle="1" w:styleId="AODocTxtL5">
    <w:name w:val="AODocTxtL5"/>
    <w:basedOn w:val="AODocTxt"/>
    <w:uiPriority w:val="99"/>
    <w:qFormat/>
    <w:pPr>
      <w:numPr>
        <w:ilvl w:val="5"/>
      </w:numPr>
      <w:tabs>
        <w:tab w:val="left" w:pos="4320"/>
      </w:tabs>
      <w:ind w:left="4320" w:hanging="360"/>
    </w:pPr>
  </w:style>
  <w:style w:type="paragraph" w:customStyle="1" w:styleId="CharCharChar">
    <w:name w:val="Char Char Char"/>
    <w:basedOn w:val="a1"/>
    <w:uiPriority w:val="99"/>
    <w:qFormat/>
    <w:rPr>
      <w:rFonts w:ascii="Times New Roman" w:hAnsi="Times New Roman" w:cs="Times New Roman"/>
    </w:rPr>
  </w:style>
  <w:style w:type="paragraph" w:customStyle="1" w:styleId="afff9">
    <w:name w:val="中文文本"/>
    <w:basedOn w:val="a1"/>
    <w:uiPriority w:val="99"/>
    <w:qFormat/>
    <w:pPr>
      <w:adjustRightInd w:val="0"/>
      <w:spacing w:before="120" w:after="120" w:line="312" w:lineRule="atLeast"/>
      <w:textAlignment w:val="baseline"/>
    </w:pPr>
    <w:rPr>
      <w:rFonts w:ascii="Times New Roman" w:hAnsi="Times New Roman" w:cs="Times New Roman"/>
      <w:kern w:val="0"/>
      <w:sz w:val="24"/>
      <w:szCs w:val="24"/>
    </w:rPr>
  </w:style>
  <w:style w:type="paragraph" w:customStyle="1" w:styleId="AOGenNum1Para">
    <w:name w:val="AOGenNum1Para"/>
    <w:basedOn w:val="AOGenNum1"/>
    <w:next w:val="AOGenNum1List"/>
    <w:uiPriority w:val="99"/>
    <w:qFormat/>
    <w:pPr>
      <w:numPr>
        <w:ilvl w:val="1"/>
      </w:numPr>
      <w:tabs>
        <w:tab w:val="left" w:pos="1588"/>
      </w:tabs>
      <w:ind w:left="1588" w:hanging="737"/>
    </w:pPr>
    <w:rPr>
      <w:caps w:val="0"/>
    </w:rPr>
  </w:style>
  <w:style w:type="paragraph" w:customStyle="1" w:styleId="AOGenNum1">
    <w:name w:val="AOGenNum1"/>
    <w:basedOn w:val="AOBodyTxt"/>
    <w:next w:val="AOGenNum1Para"/>
    <w:uiPriority w:val="99"/>
    <w:qFormat/>
    <w:pPr>
      <w:keepNext/>
      <w:numPr>
        <w:numId w:val="13"/>
      </w:numPr>
    </w:pPr>
    <w:rPr>
      <w:b/>
      <w:bCs/>
      <w:caps/>
    </w:rPr>
  </w:style>
  <w:style w:type="paragraph" w:customStyle="1" w:styleId="AOGenNum1List">
    <w:name w:val="AOGenNum1List"/>
    <w:basedOn w:val="AOGenNum1"/>
    <w:uiPriority w:val="99"/>
    <w:qFormat/>
    <w:pPr>
      <w:keepNext w:val="0"/>
      <w:numPr>
        <w:ilvl w:val="2"/>
      </w:numPr>
      <w:tabs>
        <w:tab w:val="left" w:pos="851"/>
      </w:tabs>
      <w:ind w:left="851" w:hanging="431"/>
    </w:pPr>
    <w:rPr>
      <w:b w:val="0"/>
      <w:bCs w:val="0"/>
      <w:caps w:val="0"/>
    </w:rPr>
  </w:style>
  <w:style w:type="paragraph" w:customStyle="1" w:styleId="AODocTxtL7">
    <w:name w:val="AODocTxtL7"/>
    <w:basedOn w:val="AODocTxt"/>
    <w:uiPriority w:val="99"/>
    <w:qFormat/>
    <w:pPr>
      <w:numPr>
        <w:ilvl w:val="7"/>
      </w:numPr>
      <w:tabs>
        <w:tab w:val="left" w:pos="5760"/>
      </w:tabs>
      <w:ind w:left="5760" w:hanging="360"/>
    </w:pPr>
  </w:style>
  <w:style w:type="paragraph" w:customStyle="1" w:styleId="AODocTxtL8">
    <w:name w:val="AODocTxtL8"/>
    <w:basedOn w:val="AODocTxt"/>
    <w:uiPriority w:val="99"/>
    <w:qFormat/>
    <w:pPr>
      <w:numPr>
        <w:ilvl w:val="8"/>
      </w:numPr>
      <w:tabs>
        <w:tab w:val="left" w:pos="6480"/>
      </w:tabs>
      <w:ind w:left="6480" w:hanging="360"/>
    </w:pPr>
  </w:style>
  <w:style w:type="paragraph" w:customStyle="1" w:styleId="CharCharCharCharCharCharChar">
    <w:name w:val="Char Char Char Char Char Char Char"/>
    <w:basedOn w:val="a1"/>
    <w:uiPriority w:val="99"/>
    <w:qFormat/>
    <w:pPr>
      <w:tabs>
        <w:tab w:val="left" w:pos="360"/>
      </w:tabs>
    </w:pPr>
    <w:rPr>
      <w:rFonts w:ascii="Times New Roman" w:hAnsi="Times New Roman" w:cs="Times New Roman"/>
    </w:rPr>
  </w:style>
  <w:style w:type="paragraph" w:customStyle="1" w:styleId="p0">
    <w:name w:val="p0"/>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AOHeading1">
    <w:name w:val="AOHeading1"/>
    <w:basedOn w:val="AOHeadings"/>
    <w:next w:val="AODocTxt"/>
    <w:uiPriority w:val="99"/>
    <w:qFormat/>
    <w:pPr>
      <w:keepNext/>
      <w:outlineLvl w:val="0"/>
    </w:pPr>
    <w:rPr>
      <w:b/>
      <w:bCs/>
      <w:caps/>
      <w:kern w:val="28"/>
    </w:rPr>
  </w:style>
  <w:style w:type="paragraph" w:customStyle="1" w:styleId="ParaCharCharCharCharCharCharChar">
    <w:name w:val="默认段落字体 Para Char Char Char Char Char Char Char"/>
    <w:basedOn w:val="a1"/>
    <w:uiPriority w:val="99"/>
    <w:pPr>
      <w:widowControl/>
      <w:jc w:val="left"/>
    </w:pPr>
    <w:rPr>
      <w:rFonts w:ascii="Tahoma" w:hAnsi="Tahoma" w:cs="Tahoma"/>
      <w:color w:val="000000"/>
      <w:kern w:val="0"/>
      <w:sz w:val="24"/>
      <w:szCs w:val="24"/>
    </w:rPr>
  </w:style>
  <w:style w:type="paragraph" w:customStyle="1" w:styleId="c">
    <w:name w:val="c_"/>
    <w:uiPriority w:val="99"/>
    <w:qFormat/>
    <w:pPr>
      <w:widowControl w:val="0"/>
      <w:autoSpaceDE w:val="0"/>
      <w:autoSpaceDN w:val="0"/>
      <w:adjustRightInd w:val="0"/>
      <w:jc w:val="both"/>
    </w:pPr>
    <w:rPr>
      <w:rFonts w:ascii="五" w:eastAsia="五" w:hAnsi="Times New Roman" w:cs="五"/>
      <w:sz w:val="24"/>
      <w:szCs w:val="24"/>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uiPriority w:val="99"/>
    <w:qFormat/>
    <w:pPr>
      <w:tabs>
        <w:tab w:val="left" w:pos="840"/>
      </w:tabs>
      <w:ind w:left="840" w:hanging="360"/>
    </w:pPr>
    <w:rPr>
      <w:rFonts w:ascii="Times New Roman" w:hAnsi="Times New Roman" w:cs="Times New Roman"/>
    </w:rPr>
  </w:style>
  <w:style w:type="paragraph" w:customStyle="1" w:styleId="AOGenNum2">
    <w:name w:val="AOGenNum2"/>
    <w:basedOn w:val="AOBodyTxt"/>
    <w:next w:val="AOGenNum2Para"/>
    <w:uiPriority w:val="99"/>
    <w:qFormat/>
    <w:pPr>
      <w:keepNext/>
      <w:numPr>
        <w:numId w:val="14"/>
      </w:numPr>
    </w:pPr>
    <w:rPr>
      <w:b/>
      <w:bCs/>
    </w:rPr>
  </w:style>
  <w:style w:type="paragraph" w:customStyle="1" w:styleId="AOGenNum2Para">
    <w:name w:val="AOGenNum2Para"/>
    <w:basedOn w:val="AOGenNum2"/>
    <w:next w:val="AOGenNum2List"/>
    <w:uiPriority w:val="99"/>
    <w:qFormat/>
    <w:pPr>
      <w:keepNext w:val="0"/>
      <w:numPr>
        <w:ilvl w:val="1"/>
      </w:numPr>
      <w:tabs>
        <w:tab w:val="left" w:pos="1588"/>
      </w:tabs>
      <w:ind w:left="1588" w:hanging="737"/>
    </w:pPr>
    <w:rPr>
      <w:b w:val="0"/>
      <w:bCs w:val="0"/>
    </w:rPr>
  </w:style>
  <w:style w:type="paragraph" w:customStyle="1" w:styleId="AOGenNum2List">
    <w:name w:val="AOGenNum2List"/>
    <w:basedOn w:val="AOGenNum2"/>
    <w:uiPriority w:val="99"/>
    <w:qFormat/>
    <w:pPr>
      <w:keepNext w:val="0"/>
      <w:numPr>
        <w:ilvl w:val="2"/>
      </w:numPr>
      <w:tabs>
        <w:tab w:val="left" w:pos="1021"/>
      </w:tabs>
      <w:ind w:left="1021" w:hanging="601"/>
    </w:pPr>
    <w:rPr>
      <w:b w:val="0"/>
      <w:bCs w:val="0"/>
    </w:rPr>
  </w:style>
  <w:style w:type="paragraph" w:customStyle="1" w:styleId="AONormalBold">
    <w:name w:val="AONormalBold"/>
    <w:basedOn w:val="AONormal"/>
    <w:uiPriority w:val="99"/>
    <w:qFormat/>
    <w:rPr>
      <w:b/>
      <w:bCs/>
    </w:rPr>
  </w:style>
  <w:style w:type="paragraph" w:customStyle="1" w:styleId="CharCharCharCharCharCharChar1">
    <w:name w:val="Char Char Char Char Char Char Char1"/>
    <w:basedOn w:val="a1"/>
    <w:uiPriority w:val="99"/>
    <w:qFormat/>
    <w:rPr>
      <w:rFonts w:ascii="Times New Roman" w:hAnsi="Times New Roman" w:cs="Times New Roman"/>
    </w:rPr>
  </w:style>
  <w:style w:type="paragraph" w:customStyle="1" w:styleId="AOAltHead6">
    <w:name w:val="AOAltHead6"/>
    <w:basedOn w:val="AOHead6"/>
    <w:next w:val="AODocTxtL4"/>
    <w:uiPriority w:val="99"/>
    <w:qFormat/>
    <w:pPr>
      <w:ind w:left="2880"/>
    </w:pPr>
  </w:style>
  <w:style w:type="paragraph" w:customStyle="1" w:styleId="AOHead6">
    <w:name w:val="AOHead6"/>
    <w:basedOn w:val="AOHeadings"/>
    <w:next w:val="AODocTxtL5"/>
    <w:uiPriority w:val="99"/>
    <w:qFormat/>
    <w:pPr>
      <w:tabs>
        <w:tab w:val="left" w:pos="3600"/>
      </w:tabs>
      <w:ind w:left="3600" w:hanging="720"/>
      <w:outlineLvl w:val="5"/>
    </w:pPr>
  </w:style>
  <w:style w:type="paragraph" w:customStyle="1" w:styleId="AOGenNum3">
    <w:name w:val="AOGenNum3"/>
    <w:basedOn w:val="AOBodyTxt"/>
    <w:next w:val="AOGenNum3List"/>
    <w:uiPriority w:val="99"/>
    <w:qFormat/>
    <w:pPr>
      <w:numPr>
        <w:numId w:val="15"/>
      </w:numPr>
    </w:pPr>
  </w:style>
  <w:style w:type="paragraph" w:customStyle="1" w:styleId="AOGenNum3List">
    <w:name w:val="AOGenNum3List"/>
    <w:basedOn w:val="AOGenNum3"/>
    <w:uiPriority w:val="99"/>
    <w:qFormat/>
    <w:pPr>
      <w:numPr>
        <w:ilvl w:val="1"/>
      </w:numPr>
      <w:tabs>
        <w:tab w:val="left" w:pos="840"/>
      </w:tabs>
      <w:ind w:left="840" w:hanging="420"/>
    </w:pPr>
  </w:style>
  <w:style w:type="paragraph" w:customStyle="1" w:styleId="AONormal6C">
    <w:name w:val="AONormal6C"/>
    <w:basedOn w:val="AONormal6L"/>
    <w:uiPriority w:val="99"/>
    <w:qFormat/>
    <w:pPr>
      <w:jc w:val="center"/>
    </w:pPr>
  </w:style>
  <w:style w:type="paragraph" w:customStyle="1" w:styleId="AONormal6L">
    <w:name w:val="AONormal6L"/>
    <w:basedOn w:val="AONormal8L"/>
    <w:uiPriority w:val="99"/>
    <w:qFormat/>
    <w:pPr>
      <w:spacing w:line="160" w:lineRule="atLeast"/>
    </w:pPr>
    <w:rPr>
      <w:sz w:val="12"/>
      <w:szCs w:val="12"/>
    </w:rPr>
  </w:style>
  <w:style w:type="paragraph" w:customStyle="1" w:styleId="AONormal8L">
    <w:name w:val="AONormal8L"/>
    <w:basedOn w:val="AONormal"/>
    <w:uiPriority w:val="99"/>
    <w:qFormat/>
    <w:pPr>
      <w:spacing w:line="220" w:lineRule="atLeast"/>
    </w:pPr>
    <w:rPr>
      <w:rFonts w:ascii="Arial" w:hAnsi="Arial" w:cs="Arial"/>
      <w:sz w:val="16"/>
      <w:szCs w:val="16"/>
    </w:rPr>
  </w:style>
  <w:style w:type="paragraph" w:customStyle="1" w:styleId="AONormal6R">
    <w:name w:val="AONormal6R"/>
    <w:basedOn w:val="AONormal6L"/>
    <w:uiPriority w:val="99"/>
    <w:pPr>
      <w:jc w:val="right"/>
    </w:pPr>
  </w:style>
  <w:style w:type="paragraph" w:customStyle="1" w:styleId="AONormal8R">
    <w:name w:val="AONormal8R"/>
    <w:basedOn w:val="AONormal8L"/>
    <w:uiPriority w:val="99"/>
    <w:qFormat/>
    <w:pPr>
      <w:jc w:val="right"/>
    </w:pPr>
  </w:style>
  <w:style w:type="paragraph" w:customStyle="1" w:styleId="AOHeading6">
    <w:name w:val="AOHeading6"/>
    <w:basedOn w:val="AOHeadings"/>
    <w:next w:val="AODocTxt"/>
    <w:uiPriority w:val="99"/>
    <w:qFormat/>
    <w:pPr>
      <w:keepNext/>
      <w:outlineLvl w:val="5"/>
    </w:pPr>
    <w:rPr>
      <w:b/>
      <w:bCs/>
      <w:i/>
      <w:iCs/>
    </w:rPr>
  </w:style>
  <w:style w:type="paragraph" w:customStyle="1" w:styleId="AOHead2">
    <w:name w:val="AOHead2"/>
    <w:basedOn w:val="AOHeadings"/>
    <w:next w:val="AODocTxtL1"/>
    <w:uiPriority w:val="99"/>
    <w:pPr>
      <w:keepNext/>
      <w:numPr>
        <w:ilvl w:val="1"/>
        <w:numId w:val="16"/>
      </w:numPr>
      <w:outlineLvl w:val="1"/>
    </w:pPr>
    <w:rPr>
      <w:b/>
      <w:bCs/>
    </w:rPr>
  </w:style>
  <w:style w:type="paragraph" w:customStyle="1" w:styleId="AOHeading7">
    <w:name w:val="AOHeading7"/>
    <w:basedOn w:val="AOHeadings"/>
    <w:next w:val="AODocTxtL1"/>
    <w:uiPriority w:val="99"/>
    <w:qFormat/>
    <w:pPr>
      <w:keepNext/>
      <w:ind w:left="720"/>
      <w:outlineLvl w:val="6"/>
    </w:pPr>
    <w:rPr>
      <w:b/>
      <w:bCs/>
      <w:i/>
      <w:iCs/>
    </w:rPr>
  </w:style>
  <w:style w:type="paragraph" w:customStyle="1" w:styleId="AOHead3">
    <w:name w:val="AOHead3"/>
    <w:basedOn w:val="AOHeadings"/>
    <w:next w:val="AODocTxtL2"/>
    <w:uiPriority w:val="99"/>
    <w:qFormat/>
    <w:pPr>
      <w:numPr>
        <w:ilvl w:val="2"/>
        <w:numId w:val="16"/>
      </w:numPr>
      <w:outlineLvl w:val="2"/>
    </w:pPr>
  </w:style>
  <w:style w:type="paragraph" w:customStyle="1" w:styleId="AONormal10">
    <w:name w:val="AONormal10"/>
    <w:basedOn w:val="AONormal"/>
    <w:uiPriority w:val="99"/>
    <w:qFormat/>
    <w:rPr>
      <w:sz w:val="20"/>
      <w:szCs w:val="20"/>
    </w:rPr>
  </w:style>
  <w:style w:type="paragraph" w:customStyle="1" w:styleId="AOListNumber">
    <w:name w:val="AOListNumber"/>
    <w:basedOn w:val="AOBodyTxt"/>
    <w:uiPriority w:val="99"/>
    <w:qFormat/>
    <w:pPr>
      <w:numPr>
        <w:numId w:val="17"/>
      </w:numPr>
      <w:tabs>
        <w:tab w:val="clear" w:pos="720"/>
      </w:tabs>
    </w:pPr>
  </w:style>
  <w:style w:type="paragraph" w:customStyle="1" w:styleId="AOHead4">
    <w:name w:val="AOHead4"/>
    <w:basedOn w:val="AOHeadings"/>
    <w:next w:val="AODocTxtL3"/>
    <w:uiPriority w:val="99"/>
    <w:pPr>
      <w:numPr>
        <w:ilvl w:val="3"/>
        <w:numId w:val="16"/>
      </w:numPr>
      <w:outlineLvl w:val="3"/>
    </w:pPr>
  </w:style>
  <w:style w:type="paragraph" w:customStyle="1" w:styleId="AONormal8C">
    <w:name w:val="AONormal8C"/>
    <w:basedOn w:val="AONormal8L"/>
    <w:uiPriority w:val="99"/>
    <w:pPr>
      <w:jc w:val="center"/>
    </w:pPr>
  </w:style>
  <w:style w:type="paragraph" w:customStyle="1" w:styleId="AOHead5">
    <w:name w:val="AOHead5"/>
    <w:basedOn w:val="AOHeadings"/>
    <w:next w:val="AODocTxtL4"/>
    <w:uiPriority w:val="99"/>
    <w:qFormat/>
    <w:pPr>
      <w:numPr>
        <w:ilvl w:val="4"/>
        <w:numId w:val="16"/>
      </w:numPr>
      <w:outlineLvl w:val="4"/>
    </w:pPr>
  </w:style>
  <w:style w:type="paragraph" w:customStyle="1" w:styleId="TOC1">
    <w:name w:val="TOC 标题1"/>
    <w:basedOn w:val="1"/>
    <w:next w:val="a1"/>
    <w:uiPriority w:val="99"/>
    <w:qFormat/>
    <w:pPr>
      <w:widowControl/>
      <w:spacing w:before="480" w:after="0" w:line="276" w:lineRule="auto"/>
      <w:ind w:left="0" w:firstLine="0"/>
      <w:jc w:val="left"/>
      <w:outlineLvl w:val="9"/>
    </w:pPr>
    <w:rPr>
      <w:rFonts w:ascii="Cambria" w:hAnsi="Cambria" w:cs="Cambria"/>
      <w:color w:val="365F91"/>
      <w:kern w:val="0"/>
      <w:sz w:val="28"/>
      <w:szCs w:val="28"/>
    </w:rPr>
  </w:style>
  <w:style w:type="paragraph" w:customStyle="1" w:styleId="AOAltHead2">
    <w:name w:val="AOAltHead2"/>
    <w:basedOn w:val="AOHead2"/>
    <w:next w:val="AODocTxtL1"/>
    <w:uiPriority w:val="99"/>
    <w:pPr>
      <w:keepNext w:val="0"/>
      <w:tabs>
        <w:tab w:val="clear" w:pos="720"/>
      </w:tabs>
    </w:pPr>
    <w:rPr>
      <w:b w:val="0"/>
      <w:bCs w:val="0"/>
    </w:rPr>
  </w:style>
  <w:style w:type="paragraph" w:customStyle="1" w:styleId="AOAltHead3">
    <w:name w:val="AOAltHead3"/>
    <w:basedOn w:val="AOHead3"/>
    <w:next w:val="AODocTxtL1"/>
    <w:uiPriority w:val="99"/>
    <w:qFormat/>
    <w:pPr>
      <w:tabs>
        <w:tab w:val="clear" w:pos="1440"/>
      </w:tabs>
      <w:ind w:left="720"/>
    </w:pPr>
  </w:style>
  <w:style w:type="paragraph" w:customStyle="1" w:styleId="AOAltHead4">
    <w:name w:val="AOAltHead4"/>
    <w:basedOn w:val="AOHead4"/>
    <w:next w:val="AODocTxtL2"/>
    <w:uiPriority w:val="99"/>
    <w:qFormat/>
    <w:pPr>
      <w:tabs>
        <w:tab w:val="clear" w:pos="2160"/>
      </w:tabs>
      <w:ind w:left="1440"/>
    </w:pPr>
  </w:style>
  <w:style w:type="paragraph" w:customStyle="1" w:styleId="Char15">
    <w:name w:val="Char1"/>
    <w:basedOn w:val="a1"/>
    <w:uiPriority w:val="99"/>
    <w:qFormat/>
    <w:pPr>
      <w:tabs>
        <w:tab w:val="left" w:pos="832"/>
      </w:tabs>
      <w:ind w:left="832" w:hanging="420"/>
      <w:jc w:val="center"/>
    </w:pPr>
    <w:rPr>
      <w:rFonts w:ascii="楷体_GB2312" w:eastAsia="楷体_GB2312" w:hAnsi="Times New Roman" w:cs="楷体_GB2312"/>
      <w:b/>
      <w:bCs/>
      <w:color w:val="000080"/>
      <w:sz w:val="30"/>
      <w:szCs w:val="30"/>
    </w:rPr>
  </w:style>
  <w:style w:type="paragraph" w:customStyle="1" w:styleId="wz1">
    <w:name w:val="wz1"/>
    <w:basedOn w:val="a1"/>
    <w:uiPriority w:val="99"/>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AOAltHead5">
    <w:name w:val="AOAltHead5"/>
    <w:basedOn w:val="AOHead5"/>
    <w:next w:val="AODocTxtL3"/>
    <w:uiPriority w:val="99"/>
    <w:qFormat/>
    <w:pPr>
      <w:tabs>
        <w:tab w:val="clear" w:pos="2880"/>
      </w:tabs>
      <w:ind w:left="2160"/>
    </w:pPr>
  </w:style>
  <w:style w:type="paragraph" w:customStyle="1" w:styleId="AOBullet2">
    <w:name w:val="AOBullet2"/>
    <w:basedOn w:val="AOBullet"/>
    <w:uiPriority w:val="99"/>
    <w:qFormat/>
    <w:pPr>
      <w:numPr>
        <w:numId w:val="0"/>
      </w:numPr>
      <w:tabs>
        <w:tab w:val="clear" w:pos="720"/>
        <w:tab w:val="left" w:pos="1280"/>
      </w:tabs>
      <w:spacing w:before="120"/>
      <w:ind w:left="1280"/>
    </w:pPr>
  </w:style>
  <w:style w:type="paragraph" w:customStyle="1" w:styleId="InfoBlue">
    <w:name w:val="InfoBlue"/>
    <w:basedOn w:val="a1"/>
    <w:next w:val="a9"/>
    <w:uiPriority w:val="99"/>
    <w:qFormat/>
    <w:pPr>
      <w:tabs>
        <w:tab w:val="left" w:pos="420"/>
      </w:tabs>
      <w:spacing w:after="120" w:line="240" w:lineRule="atLeast"/>
      <w:ind w:left="420" w:hanging="420"/>
      <w:jc w:val="left"/>
    </w:pPr>
    <w:rPr>
      <w:rFonts w:ascii="宋体" w:hAnsi="宋体" w:cs="宋体"/>
    </w:rPr>
  </w:style>
  <w:style w:type="paragraph" w:customStyle="1" w:styleId="AOFPTitle">
    <w:name w:val="AOFPTitle"/>
    <w:basedOn w:val="AOFPTxt"/>
    <w:uiPriority w:val="99"/>
    <w:qFormat/>
    <w:rPr>
      <w:caps/>
      <w:sz w:val="32"/>
      <w:szCs w:val="32"/>
    </w:rPr>
  </w:style>
  <w:style w:type="paragraph" w:customStyle="1" w:styleId="AOBullet3">
    <w:name w:val="AOBullet3"/>
    <w:basedOn w:val="AOBodyTxt"/>
    <w:uiPriority w:val="99"/>
    <w:qFormat/>
    <w:pPr>
      <w:numPr>
        <w:numId w:val="18"/>
      </w:numPr>
      <w:tabs>
        <w:tab w:val="clear" w:pos="720"/>
      </w:tabs>
      <w:spacing w:before="120"/>
    </w:pPr>
  </w:style>
  <w:style w:type="paragraph" w:customStyle="1" w:styleId="AOBullet4">
    <w:name w:val="AOBullet4"/>
    <w:basedOn w:val="AOBodyTxt"/>
    <w:uiPriority w:val="99"/>
    <w:qFormat/>
    <w:pPr>
      <w:numPr>
        <w:numId w:val="19"/>
      </w:numPr>
      <w:spacing w:before="120"/>
    </w:pPr>
  </w:style>
  <w:style w:type="paragraph" w:customStyle="1" w:styleId="afffa">
    <w:name w:val="正文所"/>
    <w:basedOn w:val="a1"/>
    <w:uiPriority w:val="99"/>
    <w:qFormat/>
    <w:pPr>
      <w:spacing w:line="360" w:lineRule="auto"/>
      <w:ind w:firstLineChars="200" w:firstLine="420"/>
    </w:pPr>
    <w:rPr>
      <w:rFonts w:ascii="Times New Roman" w:hAnsi="Times New Roman" w:cs="Times New Roman"/>
    </w:rPr>
  </w:style>
  <w:style w:type="paragraph" w:customStyle="1" w:styleId="CharCharCharChar3">
    <w:name w:val="Char Char Char Char3"/>
    <w:basedOn w:val="a1"/>
    <w:uiPriority w:val="99"/>
    <w:qFormat/>
    <w:pPr>
      <w:tabs>
        <w:tab w:val="left" w:pos="360"/>
      </w:tabs>
    </w:pPr>
    <w:rPr>
      <w:rFonts w:ascii="Times New Roman" w:hAnsi="Times New Roman" w:cs="Times New Roman"/>
    </w:rPr>
  </w:style>
  <w:style w:type="paragraph" w:customStyle="1" w:styleId="CharChar13">
    <w:name w:val="Char Char13"/>
    <w:basedOn w:val="a1"/>
    <w:uiPriority w:val="99"/>
    <w:qFormat/>
    <w:rPr>
      <w:rFonts w:ascii="Times New Roman" w:hAnsi="Times New Roman" w:cs="Times New Roman"/>
    </w:rPr>
  </w:style>
  <w:style w:type="paragraph" w:customStyle="1" w:styleId="AOFPCopyright">
    <w:name w:val="AOFPCopyright"/>
    <w:basedOn w:val="AOFPTxt"/>
    <w:uiPriority w:val="99"/>
    <w:qFormat/>
    <w:rPr>
      <w:caps/>
    </w:rPr>
  </w:style>
  <w:style w:type="paragraph" w:customStyle="1" w:styleId="CharChar">
    <w:name w:val="Char Char"/>
    <w:basedOn w:val="a1"/>
    <w:uiPriority w:val="99"/>
    <w:qFormat/>
    <w:rPr>
      <w:rFonts w:ascii="Times New Roman" w:hAnsi="Times New Roman" w:cs="Times New Roman"/>
    </w:rPr>
  </w:style>
  <w:style w:type="paragraph" w:customStyle="1" w:styleId="CharCharCharCharChar1Char">
    <w:name w:val="Char Char Char Char Char1 Char"/>
    <w:basedOn w:val="a1"/>
    <w:uiPriority w:val="99"/>
    <w:qFormat/>
    <w:rPr>
      <w:rFonts w:ascii="Times New Roman" w:hAnsi="Times New Roman" w:cs="Times New Roman"/>
    </w:rPr>
  </w:style>
  <w:style w:type="paragraph" w:customStyle="1" w:styleId="AOFPDate">
    <w:name w:val="AOFPDate"/>
    <w:basedOn w:val="AOFPTxt"/>
    <w:uiPriority w:val="99"/>
    <w:qFormat/>
    <w:rPr>
      <w:caps/>
    </w:rPr>
  </w:style>
  <w:style w:type="paragraph" w:customStyle="1" w:styleId="Style39">
    <w:name w:val="_Style 39"/>
    <w:basedOn w:val="a1"/>
    <w:uiPriority w:val="99"/>
    <w:qFormat/>
    <w:pPr>
      <w:tabs>
        <w:tab w:val="left" w:pos="360"/>
      </w:tabs>
      <w:ind w:left="360" w:hanging="360"/>
    </w:pPr>
    <w:rPr>
      <w:rFonts w:ascii="Times New Roman" w:hAnsi="Times New Roman" w:cs="Times New Roman"/>
    </w:rPr>
  </w:style>
  <w:style w:type="paragraph" w:customStyle="1" w:styleId="AOFPTxtCaps">
    <w:name w:val="AOFPTxtCaps"/>
    <w:basedOn w:val="AOFPTxt"/>
    <w:uiPriority w:val="99"/>
    <w:qFormat/>
    <w:rPr>
      <w:caps/>
    </w:rPr>
  </w:style>
  <w:style w:type="paragraph" w:customStyle="1" w:styleId="AOHeading5">
    <w:name w:val="AOHeading5"/>
    <w:basedOn w:val="AOHeadings"/>
    <w:next w:val="AODocTxtL1"/>
    <w:uiPriority w:val="99"/>
    <w:qFormat/>
    <w:pPr>
      <w:keepNext/>
      <w:ind w:left="720"/>
      <w:outlineLvl w:val="4"/>
    </w:pPr>
    <w:rPr>
      <w:i/>
      <w:iCs/>
    </w:rPr>
  </w:style>
  <w:style w:type="paragraph" w:customStyle="1" w:styleId="AOLocation">
    <w:name w:val="AOLocation"/>
    <w:basedOn w:val="AOFPBP"/>
    <w:uiPriority w:val="99"/>
    <w:qFormat/>
    <w:pPr>
      <w:spacing w:before="160"/>
      <w:jc w:val="center"/>
    </w:pPr>
    <w:rPr>
      <w:b/>
      <w:bCs/>
      <w:caps/>
    </w:rPr>
  </w:style>
  <w:style w:type="paragraph" w:customStyle="1" w:styleId="Listbullet">
    <w:name w:val="List_bullet"/>
    <w:basedOn w:val="a1"/>
    <w:uiPriority w:val="99"/>
    <w:qFormat/>
    <w:pPr>
      <w:widowControl/>
      <w:numPr>
        <w:numId w:val="20"/>
      </w:numPr>
      <w:jc w:val="left"/>
    </w:pPr>
    <w:rPr>
      <w:rFonts w:ascii="Times New Roman" w:hAnsi="Times New Roman" w:cs="Times New Roman"/>
      <w:kern w:val="0"/>
      <w:sz w:val="24"/>
      <w:szCs w:val="24"/>
    </w:rPr>
  </w:style>
  <w:style w:type="paragraph" w:customStyle="1" w:styleId="AOTitle">
    <w:name w:val="AOTitle"/>
    <w:basedOn w:val="AOHeadings"/>
    <w:next w:val="AODocTxt"/>
    <w:uiPriority w:val="99"/>
    <w:qFormat/>
    <w:pPr>
      <w:jc w:val="center"/>
    </w:pPr>
    <w:rPr>
      <w:b/>
      <w:bCs/>
      <w:caps/>
    </w:rPr>
  </w:style>
  <w:style w:type="paragraph" w:customStyle="1" w:styleId="AOSignatory">
    <w:name w:val="AOSignatory"/>
    <w:basedOn w:val="AOBodyTxt"/>
    <w:next w:val="AODocTxt"/>
    <w:uiPriority w:val="99"/>
    <w:qFormat/>
    <w:pPr>
      <w:pageBreakBefore/>
      <w:spacing w:after="240"/>
      <w:jc w:val="center"/>
    </w:pPr>
    <w:rPr>
      <w:b/>
      <w:bCs/>
      <w:caps/>
    </w:rPr>
  </w:style>
  <w:style w:type="paragraph" w:customStyle="1" w:styleId="19">
    <w:name w:val="批注框文本1"/>
    <w:basedOn w:val="a1"/>
    <w:uiPriority w:val="99"/>
    <w:semiHidden/>
    <w:qFormat/>
    <w:rPr>
      <w:rFonts w:ascii="Tahoma" w:hAnsi="Tahoma" w:cs="Tahoma"/>
      <w:sz w:val="16"/>
      <w:szCs w:val="16"/>
    </w:rPr>
  </w:style>
  <w:style w:type="paragraph" w:customStyle="1" w:styleId="AONormal8LBold">
    <w:name w:val="AONormal8LBold"/>
    <w:basedOn w:val="AONormal8L"/>
    <w:uiPriority w:val="99"/>
    <w:qFormat/>
    <w:rPr>
      <w:b/>
      <w:bCs/>
    </w:rPr>
  </w:style>
  <w:style w:type="paragraph" w:customStyle="1" w:styleId="AOTOC5">
    <w:name w:val="AOTOC5"/>
    <w:basedOn w:val="AOTOCs"/>
    <w:uiPriority w:val="99"/>
    <w:qFormat/>
    <w:pPr>
      <w:tabs>
        <w:tab w:val="right" w:leader="dot" w:pos="9027"/>
      </w:tabs>
      <w:ind w:left="720"/>
    </w:pPr>
    <w:rPr>
      <w:i/>
      <w:iCs/>
    </w:rPr>
  </w:style>
  <w:style w:type="paragraph" w:customStyle="1" w:styleId="AOTOCHeading">
    <w:name w:val="AOTOCHeading"/>
    <w:basedOn w:val="AOHeadings"/>
    <w:next w:val="AODocTxt"/>
    <w:uiPriority w:val="99"/>
    <w:qFormat/>
    <w:pPr>
      <w:tabs>
        <w:tab w:val="right" w:pos="9000"/>
      </w:tabs>
      <w:spacing w:after="240"/>
    </w:pPr>
    <w:rPr>
      <w:b/>
      <w:bCs/>
    </w:rPr>
  </w:style>
  <w:style w:type="paragraph" w:customStyle="1" w:styleId="CharCharCharChar4">
    <w:name w:val="Char Char Char Char4"/>
    <w:basedOn w:val="a1"/>
    <w:uiPriority w:val="99"/>
    <w:qFormat/>
    <w:pPr>
      <w:tabs>
        <w:tab w:val="left" w:pos="360"/>
      </w:tabs>
      <w:spacing w:before="312" w:after="312" w:line="360" w:lineRule="auto"/>
    </w:pPr>
    <w:rPr>
      <w:rFonts w:ascii="Times New Roman" w:hAnsi="Times New Roman" w:cs="Times New Roman"/>
      <w:sz w:val="24"/>
      <w:szCs w:val="24"/>
    </w:rPr>
  </w:style>
  <w:style w:type="paragraph" w:customStyle="1" w:styleId="AOTOCTitle">
    <w:name w:val="AOTOCTitle"/>
    <w:basedOn w:val="AOHeadings"/>
    <w:next w:val="AOTOCHeading"/>
    <w:uiPriority w:val="99"/>
    <w:qFormat/>
    <w:pPr>
      <w:jc w:val="center"/>
    </w:pPr>
    <w:rPr>
      <w:b/>
      <w:bCs/>
      <w:caps/>
    </w:rPr>
  </w:style>
  <w:style w:type="paragraph" w:customStyle="1" w:styleId="AOHeading2">
    <w:name w:val="AOHeading2"/>
    <w:basedOn w:val="AOHeadings"/>
    <w:next w:val="AODocTxt"/>
    <w:uiPriority w:val="99"/>
    <w:qFormat/>
    <w:pPr>
      <w:keepNext/>
      <w:outlineLvl w:val="1"/>
    </w:pPr>
    <w:rPr>
      <w:b/>
      <w:bCs/>
    </w:rPr>
  </w:style>
  <w:style w:type="paragraph" w:customStyle="1" w:styleId="Char5">
    <w:name w:val="Char5"/>
    <w:basedOn w:val="a1"/>
    <w:uiPriority w:val="99"/>
    <w:qFormat/>
    <w:rPr>
      <w:rFonts w:ascii="Times New Roman" w:hAnsi="Times New Roman" w:cs="Times New Roman"/>
    </w:rPr>
  </w:style>
  <w:style w:type="paragraph" w:customStyle="1" w:styleId="AOHeading3">
    <w:name w:val="AOHeading3"/>
    <w:basedOn w:val="AOHeadings"/>
    <w:next w:val="AODocTxtL1"/>
    <w:uiPriority w:val="99"/>
    <w:qFormat/>
    <w:pPr>
      <w:keepNext/>
      <w:ind w:left="720"/>
      <w:outlineLvl w:val="2"/>
    </w:pPr>
    <w:rPr>
      <w:b/>
      <w:bCs/>
    </w:rPr>
  </w:style>
  <w:style w:type="paragraph" w:customStyle="1" w:styleId="AOHeading4">
    <w:name w:val="AOHeading4"/>
    <w:basedOn w:val="AOHeadings"/>
    <w:next w:val="AODocTxt"/>
    <w:uiPriority w:val="99"/>
    <w:qFormat/>
    <w:pPr>
      <w:keepNext/>
      <w:outlineLvl w:val="3"/>
    </w:pPr>
    <w:rPr>
      <w:i/>
      <w:iCs/>
    </w:rPr>
  </w:style>
  <w:style w:type="paragraph" w:customStyle="1" w:styleId="AONormal8Ci">
    <w:name w:val="AONormal8Ci"/>
    <w:basedOn w:val="AONormal8C"/>
    <w:uiPriority w:val="99"/>
    <w:qFormat/>
    <w:pPr>
      <w:spacing w:after="120" w:line="240" w:lineRule="auto"/>
    </w:pPr>
    <w:rPr>
      <w:i/>
      <w:iCs/>
    </w:rPr>
  </w:style>
  <w:style w:type="paragraph" w:customStyle="1" w:styleId="AOTitle18">
    <w:name w:val="AOTitle18"/>
    <w:basedOn w:val="AONormal"/>
    <w:uiPriority w:val="99"/>
    <w:qFormat/>
    <w:rPr>
      <w:b/>
      <w:bCs/>
      <w:sz w:val="36"/>
      <w:szCs w:val="36"/>
    </w:rPr>
  </w:style>
  <w:style w:type="paragraph" w:customStyle="1" w:styleId="AOTOC2">
    <w:name w:val="AOTOC2"/>
    <w:basedOn w:val="AOTOCs"/>
    <w:uiPriority w:val="99"/>
    <w:qFormat/>
    <w:pPr>
      <w:tabs>
        <w:tab w:val="left" w:pos="720"/>
        <w:tab w:val="right" w:leader="dot" w:pos="9027"/>
      </w:tabs>
    </w:pPr>
  </w:style>
  <w:style w:type="paragraph" w:customStyle="1" w:styleId="AOTOC3">
    <w:name w:val="AOTOC3"/>
    <w:basedOn w:val="AOTOCs"/>
    <w:uiPriority w:val="99"/>
    <w:qFormat/>
    <w:pPr>
      <w:tabs>
        <w:tab w:val="right" w:leader="dot" w:pos="9027"/>
      </w:tabs>
      <w:ind w:left="720"/>
    </w:pPr>
    <w:rPr>
      <w:b/>
      <w:bCs/>
    </w:rPr>
  </w:style>
  <w:style w:type="paragraph" w:customStyle="1" w:styleId="AOTOC4">
    <w:name w:val="AOTOC4"/>
    <w:basedOn w:val="AOTOCs"/>
    <w:uiPriority w:val="99"/>
    <w:qFormat/>
    <w:pPr>
      <w:tabs>
        <w:tab w:val="right" w:leader="dot" w:pos="9027"/>
      </w:tabs>
      <w:ind w:left="720"/>
    </w:pPr>
  </w:style>
  <w:style w:type="paragraph" w:customStyle="1" w:styleId="AOBodyJustified">
    <w:name w:val="AOBodyJustified"/>
    <w:basedOn w:val="AOBodyTxt"/>
    <w:uiPriority w:val="99"/>
    <w:qFormat/>
    <w:pPr>
      <w:jc w:val="both"/>
    </w:pPr>
  </w:style>
  <w:style w:type="paragraph" w:customStyle="1" w:styleId="Char2">
    <w:name w:val="Char2"/>
    <w:basedOn w:val="a1"/>
    <w:uiPriority w:val="99"/>
    <w:qFormat/>
    <w:rPr>
      <w:rFonts w:ascii="Times New Roman" w:hAnsi="Times New Roman" w:cs="Times New Roman"/>
    </w:rPr>
  </w:style>
  <w:style w:type="paragraph" w:customStyle="1" w:styleId="CharCharCharCharCharChar1CharCharChar2">
    <w:name w:val="Char Char Char Char Char Char1 Char Char Char2"/>
    <w:basedOn w:val="a1"/>
    <w:uiPriority w:val="99"/>
    <w:qFormat/>
    <w:pPr>
      <w:autoSpaceDE w:val="0"/>
      <w:autoSpaceDN w:val="0"/>
      <w:adjustRightInd w:val="0"/>
      <w:jc w:val="left"/>
      <w:textAlignment w:val="baseline"/>
    </w:pPr>
    <w:rPr>
      <w:rFonts w:ascii="宋体" w:hAnsi="Times New Roman" w:cs="宋体"/>
      <w:kern w:val="0"/>
      <w:sz w:val="34"/>
      <w:szCs w:val="34"/>
    </w:rPr>
  </w:style>
  <w:style w:type="paragraph" w:customStyle="1" w:styleId="1a">
    <w:name w:val="列出段落1"/>
    <w:basedOn w:val="a1"/>
    <w:uiPriority w:val="99"/>
    <w:qFormat/>
    <w:pPr>
      <w:ind w:firstLineChars="200" w:firstLine="420"/>
    </w:pPr>
    <w:rPr>
      <w:rFonts w:ascii="Times New Roman" w:hAnsi="Times New Roman" w:cs="Times New Roman"/>
    </w:rPr>
  </w:style>
  <w:style w:type="paragraph" w:customStyle="1" w:styleId="1b">
    <w:name w:val="修订1"/>
    <w:uiPriority w:val="99"/>
    <w:semiHidden/>
    <w:qFormat/>
    <w:rPr>
      <w:rFonts w:ascii="Times New Roman" w:hAnsi="Times New Roman"/>
      <w:kern w:val="2"/>
      <w:sz w:val="21"/>
      <w:szCs w:val="21"/>
    </w:rPr>
  </w:style>
  <w:style w:type="paragraph" w:customStyle="1" w:styleId="CharCharCharCharCharChar1CharCharChar">
    <w:name w:val="Char Char Char Char Char Char1 Char Char Char"/>
    <w:basedOn w:val="a1"/>
    <w:uiPriority w:val="99"/>
    <w:qFormat/>
    <w:pPr>
      <w:autoSpaceDE w:val="0"/>
      <w:autoSpaceDN w:val="0"/>
      <w:adjustRightInd w:val="0"/>
      <w:jc w:val="left"/>
      <w:textAlignment w:val="baseline"/>
    </w:pPr>
    <w:rPr>
      <w:rFonts w:ascii="宋体" w:hAnsi="Times New Roman" w:cs="宋体"/>
      <w:kern w:val="0"/>
      <w:sz w:val="34"/>
      <w:szCs w:val="34"/>
    </w:rPr>
  </w:style>
  <w:style w:type="paragraph" w:customStyle="1" w:styleId="Style31">
    <w:name w:val="_Style 31"/>
    <w:basedOn w:val="a1"/>
    <w:uiPriority w:val="99"/>
    <w:qFormat/>
    <w:pPr>
      <w:tabs>
        <w:tab w:val="left" w:pos="420"/>
      </w:tabs>
      <w:ind w:left="420" w:hanging="420"/>
    </w:pPr>
    <w:rPr>
      <w:rFonts w:ascii="Times New Roman" w:hAnsi="Times New Roman" w:cs="Times New Roman"/>
    </w:rPr>
  </w:style>
  <w:style w:type="paragraph" w:customStyle="1" w:styleId="afffb">
    <w:name w:val="项目标题"/>
    <w:basedOn w:val="a1"/>
    <w:uiPriority w:val="99"/>
    <w:qFormat/>
    <w:pPr>
      <w:autoSpaceDE w:val="0"/>
      <w:autoSpaceDN w:val="0"/>
      <w:adjustRightInd w:val="0"/>
      <w:spacing w:line="360" w:lineRule="auto"/>
      <w:textAlignment w:val="baseline"/>
    </w:pPr>
    <w:rPr>
      <w:rFonts w:ascii="黑体" w:eastAsia="黑体" w:hAnsi="Times New Roman" w:cs="黑体"/>
      <w:b/>
      <w:bCs/>
      <w:kern w:val="0"/>
      <w:sz w:val="24"/>
      <w:szCs w:val="24"/>
    </w:rPr>
  </w:style>
  <w:style w:type="paragraph" w:customStyle="1" w:styleId="CharChar1">
    <w:name w:val="Char Char1"/>
    <w:basedOn w:val="a1"/>
    <w:uiPriority w:val="99"/>
    <w:qFormat/>
    <w:rPr>
      <w:rFonts w:ascii="Times New Roman" w:hAnsi="Times New Roman" w:cs="Times New Roman"/>
    </w:rPr>
  </w:style>
  <w:style w:type="paragraph" w:customStyle="1" w:styleId="2">
    <w:name w:val="编号正文2"/>
    <w:basedOn w:val="a1"/>
    <w:uiPriority w:val="99"/>
    <w:qFormat/>
    <w:pPr>
      <w:numPr>
        <w:numId w:val="21"/>
      </w:numPr>
      <w:autoSpaceDE w:val="0"/>
      <w:autoSpaceDN w:val="0"/>
      <w:adjustRightInd w:val="0"/>
      <w:spacing w:after="120" w:line="300" w:lineRule="auto"/>
    </w:pPr>
    <w:rPr>
      <w:rFonts w:ascii="宋体" w:hAnsi="Times New Roman" w:cs="宋体"/>
      <w:kern w:val="0"/>
    </w:rPr>
  </w:style>
  <w:style w:type="paragraph" w:customStyle="1" w:styleId="ParaCharCharCharCharCharChar">
    <w:name w:val="默认段落字体 Para Char Char Char Char Char Char"/>
    <w:basedOn w:val="a1"/>
    <w:uiPriority w:val="99"/>
    <w:qFormat/>
    <w:pPr>
      <w:tabs>
        <w:tab w:val="left" w:pos="840"/>
      </w:tabs>
      <w:ind w:left="840" w:hanging="360"/>
    </w:pPr>
    <w:rPr>
      <w:rFonts w:ascii="Times New Roman" w:hAnsi="Times New Roman" w:cs="Times New Roman"/>
      <w:sz w:val="24"/>
      <w:szCs w:val="24"/>
    </w:rPr>
  </w:style>
  <w:style w:type="paragraph" w:customStyle="1" w:styleId="msonormal1">
    <w:name w:val="msonormal1"/>
    <w:uiPriority w:val="99"/>
    <w:qFormat/>
    <w:pPr>
      <w:widowControl w:val="0"/>
      <w:jc w:val="both"/>
    </w:pPr>
    <w:rPr>
      <w:rFonts w:ascii="Times New Roman" w:hAnsi="Times New Roman"/>
      <w:kern w:val="2"/>
      <w:sz w:val="21"/>
      <w:szCs w:val="21"/>
    </w:rPr>
  </w:style>
  <w:style w:type="paragraph" w:customStyle="1" w:styleId="CharCharCharChar1">
    <w:name w:val="Char Char Char Char1"/>
    <w:basedOn w:val="a1"/>
    <w:uiPriority w:val="99"/>
    <w:qFormat/>
    <w:rPr>
      <w:rFonts w:ascii="Times New Roman" w:hAnsi="Times New Roman" w:cs="Times New Roman"/>
    </w:rPr>
  </w:style>
  <w:style w:type="paragraph" w:customStyle="1" w:styleId="CharCharCharCharCharChar1CharCharChar1">
    <w:name w:val="Char Char Char Char Char Char1 Char Char Char1"/>
    <w:basedOn w:val="a1"/>
    <w:uiPriority w:val="99"/>
    <w:qFormat/>
    <w:pPr>
      <w:autoSpaceDE w:val="0"/>
      <w:autoSpaceDN w:val="0"/>
      <w:adjustRightInd w:val="0"/>
      <w:jc w:val="left"/>
      <w:textAlignment w:val="baseline"/>
    </w:pPr>
    <w:rPr>
      <w:rFonts w:ascii="宋体" w:hAnsi="Times New Roman" w:cs="宋体"/>
      <w:kern w:val="0"/>
      <w:sz w:val="34"/>
      <w:szCs w:val="34"/>
    </w:rPr>
  </w:style>
  <w:style w:type="paragraph" w:customStyle="1" w:styleId="CharCharChar2">
    <w:name w:val="Char Char Char2"/>
    <w:basedOn w:val="a1"/>
    <w:uiPriority w:val="99"/>
    <w:qFormat/>
    <w:rPr>
      <w:rFonts w:ascii="Times New Roman" w:hAnsi="Times New Roman" w:cs="Times New Roman"/>
    </w:rPr>
  </w:style>
  <w:style w:type="paragraph" w:customStyle="1" w:styleId="Char4">
    <w:name w:val="Char4"/>
    <w:basedOn w:val="a1"/>
    <w:uiPriority w:val="99"/>
    <w:qFormat/>
    <w:rPr>
      <w:rFonts w:ascii="Times New Roman" w:hAnsi="Times New Roman" w:cs="Times New Roman"/>
    </w:rPr>
  </w:style>
  <w:style w:type="paragraph" w:customStyle="1" w:styleId="CharChar3">
    <w:name w:val="Char Char3"/>
    <w:basedOn w:val="a1"/>
    <w:uiPriority w:val="99"/>
    <w:qFormat/>
    <w:rPr>
      <w:rFonts w:ascii="Times New Roman" w:hAnsi="Times New Roman" w:cs="Times New Roman"/>
    </w:rPr>
  </w:style>
  <w:style w:type="paragraph" w:customStyle="1" w:styleId="HD">
    <w:name w:val="HD正文"/>
    <w:basedOn w:val="a1"/>
    <w:qFormat/>
    <w:pPr>
      <w:snapToGrid w:val="0"/>
      <w:spacing w:line="360" w:lineRule="auto"/>
      <w:ind w:firstLineChars="200" w:firstLine="420"/>
    </w:pPr>
    <w:rPr>
      <w:rFonts w:ascii="Times New Roman" w:hAnsi="Times New Roman" w:cs="Times New Roman"/>
    </w:rPr>
  </w:style>
  <w:style w:type="paragraph" w:customStyle="1" w:styleId="CharChar12">
    <w:name w:val="Char Char12"/>
    <w:basedOn w:val="a1"/>
    <w:uiPriority w:val="99"/>
    <w:qFormat/>
    <w:rPr>
      <w:rFonts w:ascii="Times New Roman" w:hAnsi="Times New Roman" w:cs="Times New Roman"/>
    </w:rPr>
  </w:style>
  <w:style w:type="paragraph" w:customStyle="1" w:styleId="afffc">
    <w:name w:val="次标题"/>
    <w:basedOn w:val="3"/>
    <w:next w:val="a1"/>
    <w:uiPriority w:val="99"/>
    <w:qFormat/>
    <w:pPr>
      <w:tabs>
        <w:tab w:val="clear" w:pos="360"/>
      </w:tabs>
      <w:spacing w:line="416" w:lineRule="auto"/>
      <w:ind w:left="0" w:firstLine="0"/>
      <w:jc w:val="left"/>
    </w:pPr>
    <w:rPr>
      <w:rFonts w:ascii="宋体" w:hAnsi="宋体" w:cs="宋体"/>
      <w:sz w:val="24"/>
      <w:szCs w:val="24"/>
    </w:rPr>
  </w:style>
  <w:style w:type="paragraph" w:customStyle="1" w:styleId="CharCharChar1">
    <w:name w:val="Char Char Char1"/>
    <w:basedOn w:val="a1"/>
    <w:qFormat/>
    <w:rPr>
      <w:rFonts w:ascii="Times New Roman" w:hAnsi="Times New Roman" w:cs="Times New Roman"/>
    </w:rPr>
  </w:style>
  <w:style w:type="paragraph" w:customStyle="1" w:styleId="Char3">
    <w:name w:val="Char3"/>
    <w:basedOn w:val="a1"/>
    <w:uiPriority w:val="99"/>
    <w:qFormat/>
    <w:rPr>
      <w:rFonts w:ascii="Times New Roman" w:hAnsi="Times New Roman" w:cs="Times New Roman"/>
    </w:rPr>
  </w:style>
  <w:style w:type="paragraph" w:customStyle="1" w:styleId="CharChar2">
    <w:name w:val="Char Char2"/>
    <w:basedOn w:val="a1"/>
    <w:uiPriority w:val="99"/>
    <w:qFormat/>
    <w:rPr>
      <w:rFonts w:ascii="Times New Roman" w:hAnsi="Times New Roman" w:cs="Times New Roman"/>
    </w:rPr>
  </w:style>
  <w:style w:type="paragraph" w:customStyle="1" w:styleId="CharCharCharChar2">
    <w:name w:val="Char Char Char Char2"/>
    <w:basedOn w:val="a1"/>
    <w:uiPriority w:val="99"/>
    <w:qFormat/>
    <w:pPr>
      <w:tabs>
        <w:tab w:val="left" w:pos="360"/>
      </w:tabs>
    </w:pPr>
    <w:rPr>
      <w:rFonts w:ascii="Times New Roman" w:hAnsi="Times New Roman" w:cs="Times New Roman"/>
    </w:rPr>
  </w:style>
  <w:style w:type="paragraph" w:customStyle="1" w:styleId="CharChar11">
    <w:name w:val="Char Char11"/>
    <w:basedOn w:val="a1"/>
    <w:uiPriority w:val="99"/>
    <w:qFormat/>
    <w:rPr>
      <w:rFonts w:ascii="Times New Roman" w:hAnsi="Times New Roman" w:cs="Times New Roman"/>
    </w:rPr>
  </w:style>
  <w:style w:type="paragraph" w:customStyle="1" w:styleId="Char6">
    <w:name w:val="Char6"/>
    <w:basedOn w:val="a1"/>
    <w:uiPriority w:val="99"/>
    <w:qFormat/>
    <w:rPr>
      <w:rFonts w:ascii="Times New Roman" w:hAnsi="Times New Roman" w:cs="Times New Roman"/>
    </w:rPr>
  </w:style>
  <w:style w:type="paragraph" w:customStyle="1" w:styleId="CharCharCharChar5">
    <w:name w:val="Char Char Char Char5"/>
    <w:basedOn w:val="a1"/>
    <w:uiPriority w:val="99"/>
    <w:qFormat/>
    <w:pPr>
      <w:tabs>
        <w:tab w:val="left" w:pos="360"/>
      </w:tabs>
    </w:pPr>
    <w:rPr>
      <w:rFonts w:ascii="Times New Roman" w:hAnsi="Times New Roman" w:cs="Times New Roman"/>
    </w:rPr>
  </w:style>
  <w:style w:type="paragraph" w:customStyle="1" w:styleId="CharChar14">
    <w:name w:val="Char Char14"/>
    <w:basedOn w:val="a1"/>
    <w:uiPriority w:val="99"/>
    <w:qFormat/>
    <w:rPr>
      <w:rFonts w:ascii="Times New Roman" w:hAnsi="Times New Roman" w:cs="Times New Roman"/>
    </w:rPr>
  </w:style>
  <w:style w:type="paragraph" w:customStyle="1" w:styleId="CharCharChar3">
    <w:name w:val="Char Char Char3"/>
    <w:basedOn w:val="a1"/>
    <w:uiPriority w:val="99"/>
    <w:qFormat/>
    <w:rPr>
      <w:rFonts w:ascii="Times New Roman" w:hAnsi="Times New Roman" w:cs="Times New Roman"/>
    </w:rPr>
  </w:style>
  <w:style w:type="paragraph" w:customStyle="1" w:styleId="1Char">
    <w:name w:val="1 Char"/>
    <w:basedOn w:val="a1"/>
    <w:uiPriority w:val="99"/>
    <w:semiHidden/>
    <w:qFormat/>
    <w:pPr>
      <w:tabs>
        <w:tab w:val="left" w:pos="360"/>
      </w:tabs>
    </w:pPr>
    <w:rPr>
      <w:rFonts w:ascii="Times New Roman" w:hAnsi="Times New Roman" w:cs="Times New Roman"/>
      <w:sz w:val="24"/>
      <w:szCs w:val="24"/>
    </w:rPr>
  </w:style>
  <w:style w:type="paragraph" w:customStyle="1" w:styleId="1c">
    <w:name w:val="字元 字元1"/>
    <w:basedOn w:val="a1"/>
    <w:uiPriority w:val="99"/>
    <w:qFormat/>
    <w:rPr>
      <w:rFonts w:ascii="Tahoma" w:hAnsi="Tahoma" w:cs="Tahoma"/>
      <w:sz w:val="24"/>
      <w:szCs w:val="24"/>
    </w:rPr>
  </w:style>
  <w:style w:type="paragraph" w:customStyle="1" w:styleId="afffd">
    <w:name w:val="样式 宋体 居中"/>
    <w:basedOn w:val="a1"/>
    <w:uiPriority w:val="99"/>
    <w:qFormat/>
    <w:pPr>
      <w:jc w:val="center"/>
    </w:pPr>
    <w:rPr>
      <w:rFonts w:ascii="Times New Roman" w:hAnsi="Times New Roman" w:cs="Times New Roman"/>
    </w:rPr>
  </w:style>
  <w:style w:type="paragraph" w:customStyle="1" w:styleId="28">
    <w:name w:val="修订2"/>
    <w:hidden/>
    <w:uiPriority w:val="99"/>
    <w:semiHidden/>
    <w:qFormat/>
    <w:rPr>
      <w:rFonts w:cs="Calibri"/>
      <w:kern w:val="2"/>
      <w:sz w:val="21"/>
      <w:szCs w:val="21"/>
    </w:rPr>
  </w:style>
  <w:style w:type="paragraph" w:styleId="afffe">
    <w:name w:val="List Paragraph"/>
    <w:basedOn w:val="a1"/>
    <w:uiPriority w:val="34"/>
    <w:qFormat/>
    <w:pPr>
      <w:ind w:firstLineChars="200" w:firstLine="420"/>
    </w:pPr>
  </w:style>
  <w:style w:type="paragraph" w:customStyle="1" w:styleId="TOC2">
    <w:name w:val="TOC 标题2"/>
    <w:basedOn w:val="1"/>
    <w:next w:val="a1"/>
    <w:uiPriority w:val="39"/>
    <w:semiHidden/>
    <w:unhideWhenUsed/>
    <w:qFormat/>
    <w:pPr>
      <w:tabs>
        <w:tab w:val="clear" w:pos="432"/>
      </w:tabs>
      <w:spacing w:line="578" w:lineRule="auto"/>
      <w:ind w:left="0" w:firstLine="0"/>
      <w:outlineLvl w:val="9"/>
    </w:pPr>
    <w:rPr>
      <w:rFonts w:ascii="Calibri" w:hAnsi="Calibri" w:cs="Calibri"/>
    </w:rPr>
  </w:style>
  <w:style w:type="paragraph" w:customStyle="1" w:styleId="37">
    <w:name w:val="修订3"/>
    <w:hidden/>
    <w:uiPriority w:val="99"/>
    <w:semiHidden/>
    <w:qFormat/>
    <w:rPr>
      <w:rFonts w:cs="Calibri"/>
      <w:kern w:val="2"/>
      <w:sz w:val="21"/>
      <w:szCs w:val="21"/>
    </w:rPr>
  </w:style>
  <w:style w:type="table" w:customStyle="1" w:styleId="-noheader">
    <w:name w:val="模板-表格_noheader"/>
    <w:qFormat/>
    <w:pPr>
      <w:spacing w:line="312" w:lineRule="exact"/>
      <w:jc w:val="center"/>
      <w:textAlignment w:val="center"/>
    </w:pPr>
    <w:rPr>
      <w:rFonts w:eastAsia="仿宋"/>
      <w:color w:val="000000"/>
      <w:sz w:val="21"/>
    </w:rPr>
    <w:tblPr>
      <w:jc w:val="center"/>
      <w:tblBorders>
        <w:top w:val="single" w:sz="4" w:space="0" w:color="auto"/>
        <w:bottom w:val="single" w:sz="4" w:space="0" w:color="auto"/>
        <w:insideH w:val="dashed" w:sz="4" w:space="0" w:color="auto"/>
      </w:tblBorders>
      <w:tblCellMar>
        <w:top w:w="0" w:type="dxa"/>
        <w:left w:w="0" w:type="dxa"/>
        <w:bottom w:w="0" w:type="dxa"/>
        <w:right w:w="0" w:type="dxa"/>
      </w:tblCellMar>
    </w:tblPr>
    <w:trPr>
      <w:jc w:val="center"/>
    </w:trPr>
    <w:tcPr>
      <w:vAlign w:val="center"/>
    </w:tcPr>
  </w:style>
  <w:style w:type="paragraph" w:styleId="affff">
    <w:name w:val="Revision"/>
    <w:hidden/>
    <w:uiPriority w:val="99"/>
    <w:semiHidden/>
    <w:rsid w:val="00025453"/>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7A705-0327-4564-976E-0DB417F6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16247</Words>
  <Characters>92608</Characters>
  <Application>Microsoft Office Word</Application>
  <DocSecurity>0</DocSecurity>
  <Lines>771</Lines>
  <Paragraphs>217</Paragraphs>
  <ScaleCrop>false</ScaleCrop>
  <Company>vdi</Company>
  <LinksUpToDate>false</LinksUpToDate>
  <CharactersWithSpaces>108638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刘梵溪</dc:creator>
  <cp:lastModifiedBy>刘梵溪</cp:lastModifiedBy>
  <cp:revision>2</cp:revision>
  <cp:lastPrinted>2024-11-18T09:52:00Z</cp:lastPrinted>
  <dcterms:created xsi:type="dcterms:W3CDTF">2026-01-29T10:12:00Z</dcterms:created>
  <dcterms:modified xsi:type="dcterms:W3CDTF">2026-01-29T10:12:00Z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B758E90D626D49C38C7679DC61E103F6_13</vt:lpwstr>
  </property>
  <property fmtid="{D5CDD505-2E9C-101B-9397-08002B2CF9AE}" pid="4" name="KSOTemplateDocerSaveRecord">
    <vt:lpwstr>eyJoZGlkIjoiNTU0ZmIwYTQ3NzlmZGUxZmU3Zjk0M2IyZTNmM2IxNjAiLCJ1c2VySWQiOiIyODY0MTQ0MjcifQ==</vt:lpwstr>
  </property>
</Properties>
</file>