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BFF78C" w14:textId="77777777" w:rsidR="007433DF" w:rsidRDefault="007433DF">
      <w:bookmarkStart w:id="0" w:name="_GoBack"/>
      <w:bookmarkEnd w:id="0"/>
    </w:p>
    <w:p w14:paraId="35889937" w14:textId="77777777" w:rsidR="007433DF" w:rsidRDefault="007433DF"/>
    <w:p w14:paraId="546AA746" w14:textId="77777777" w:rsidR="007433DF" w:rsidRDefault="007433DF"/>
    <w:p w14:paraId="1AA00F89" w14:textId="77777777" w:rsidR="007433DF" w:rsidRDefault="007433DF"/>
    <w:p w14:paraId="0980ABDA" w14:textId="77777777" w:rsidR="007433DF" w:rsidRDefault="007433DF"/>
    <w:p w14:paraId="284D7CB3" w14:textId="77777777" w:rsidR="007433DF" w:rsidRDefault="007433DF"/>
    <w:p w14:paraId="3FB5A2D6" w14:textId="77777777" w:rsidR="007433DF" w:rsidRDefault="007433DF"/>
    <w:p w14:paraId="3634D458" w14:textId="77777777" w:rsidR="007433DF" w:rsidRDefault="007433DF"/>
    <w:p w14:paraId="23C2FD53" w14:textId="77777777" w:rsidR="007433DF" w:rsidRDefault="007433DF"/>
    <w:p w14:paraId="0A7D2C54" w14:textId="77777777" w:rsidR="007433DF" w:rsidRDefault="007433DF"/>
    <w:p w14:paraId="7F1A3774" w14:textId="77777777" w:rsidR="007433DF" w:rsidRDefault="007433DF"/>
    <w:p w14:paraId="2BCE4C09" w14:textId="77777777" w:rsidR="007433DF" w:rsidRDefault="00F50617">
      <w:pPr>
        <w:jc w:val="center"/>
        <w:rPr>
          <w:rFonts w:ascii="彩虹粗仿宋" w:eastAsia="彩虹粗仿宋" w:hAnsi="宋体" w:cs="Arial"/>
          <w:b/>
          <w:sz w:val="44"/>
        </w:rPr>
      </w:pPr>
      <w:r>
        <w:rPr>
          <w:rFonts w:ascii="彩虹粗仿宋" w:eastAsia="彩虹粗仿宋" w:hAnsi="宋体" w:cs="Arial" w:hint="eastAsia"/>
          <w:b/>
          <w:sz w:val="44"/>
        </w:rPr>
        <w:t>南方稳嘉多元配置3个月持有期混合型基金中基金（FOF）托管协议</w:t>
      </w:r>
    </w:p>
    <w:p w14:paraId="2447C884" w14:textId="77777777" w:rsidR="007433DF" w:rsidRDefault="007433DF"/>
    <w:p w14:paraId="70E44239" w14:textId="77777777" w:rsidR="007433DF" w:rsidRDefault="007433DF"/>
    <w:p w14:paraId="7FCD6F7A" w14:textId="77777777" w:rsidR="007433DF" w:rsidRDefault="007433DF"/>
    <w:p w14:paraId="073A9562" w14:textId="77777777" w:rsidR="007433DF" w:rsidRDefault="007433DF"/>
    <w:p w14:paraId="6D818007" w14:textId="77777777" w:rsidR="007433DF" w:rsidRDefault="007433DF"/>
    <w:p w14:paraId="1C198BEC" w14:textId="77777777" w:rsidR="007433DF" w:rsidRDefault="007433DF"/>
    <w:p w14:paraId="1B19AE7C" w14:textId="77777777" w:rsidR="007433DF" w:rsidRDefault="007433DF"/>
    <w:p w14:paraId="4347850B" w14:textId="77777777" w:rsidR="007433DF" w:rsidRDefault="007433DF"/>
    <w:p w14:paraId="29C7C11A" w14:textId="77777777" w:rsidR="007433DF" w:rsidRDefault="007433DF"/>
    <w:p w14:paraId="6F47CE92" w14:textId="77777777" w:rsidR="007433DF" w:rsidRDefault="00F50617">
      <w:pPr>
        <w:rPr>
          <w:rFonts w:ascii="彩虹粗仿宋" w:eastAsia="彩虹粗仿宋" w:hAnsi="宋体" w:cs="Arial"/>
          <w:b/>
          <w:bCs/>
          <w:sz w:val="28"/>
        </w:rPr>
      </w:pPr>
      <w:r>
        <w:rPr>
          <w:rFonts w:ascii="彩虹粗仿宋" w:eastAsia="彩虹粗仿宋" w:hAnsi="宋体" w:cs="Arial" w:hint="eastAsia"/>
          <w:sz w:val="24"/>
        </w:rPr>
        <w:t xml:space="preserve">                 </w:t>
      </w:r>
      <w:r>
        <w:rPr>
          <w:rFonts w:ascii="彩虹粗仿宋" w:eastAsia="彩虹粗仿宋" w:hAnsi="宋体" w:cs="Arial" w:hint="eastAsia"/>
          <w:b/>
          <w:bCs/>
          <w:sz w:val="28"/>
        </w:rPr>
        <w:t>基金管理人：南方基金管理股份有限公司</w:t>
      </w:r>
    </w:p>
    <w:p w14:paraId="30CCA5DC" w14:textId="77777777" w:rsidR="007433DF" w:rsidRDefault="00F50617">
      <w:pPr>
        <w:rPr>
          <w:rFonts w:ascii="彩虹粗仿宋" w:eastAsia="彩虹粗仿宋" w:hAnsi="宋体" w:cs="Arial"/>
          <w:b/>
          <w:bCs/>
          <w:sz w:val="28"/>
        </w:rPr>
      </w:pPr>
      <w:r>
        <w:rPr>
          <w:rFonts w:ascii="彩虹粗仿宋" w:eastAsia="彩虹粗仿宋" w:hAnsi="宋体" w:cs="Arial" w:hint="eastAsia"/>
          <w:sz w:val="24"/>
        </w:rPr>
        <w:t xml:space="preserve">                 </w:t>
      </w:r>
      <w:r>
        <w:rPr>
          <w:rFonts w:ascii="彩虹粗仿宋" w:eastAsia="彩虹粗仿宋" w:hAnsi="宋体" w:cs="Arial" w:hint="eastAsia"/>
          <w:b/>
          <w:bCs/>
          <w:sz w:val="28"/>
        </w:rPr>
        <w:t>基金托管人：中国建设银行股份有限公司</w:t>
      </w:r>
    </w:p>
    <w:p w14:paraId="3603B546" w14:textId="77777777" w:rsidR="007433DF" w:rsidRDefault="007433DF">
      <w:pPr>
        <w:rPr>
          <w:rFonts w:ascii="彩虹粗仿宋" w:eastAsia="彩虹粗仿宋" w:hAnsi="宋体" w:cs="Arial"/>
          <w:sz w:val="24"/>
        </w:rPr>
      </w:pPr>
    </w:p>
    <w:p w14:paraId="474E1BCA" w14:textId="77777777" w:rsidR="007433DF" w:rsidRDefault="007433DF">
      <w:pPr>
        <w:rPr>
          <w:rFonts w:ascii="彩虹粗仿宋" w:eastAsia="彩虹粗仿宋" w:hAnsi="宋体" w:cs="Arial"/>
          <w:sz w:val="24"/>
        </w:rPr>
      </w:pPr>
    </w:p>
    <w:p w14:paraId="1A8CFAAA" w14:textId="77777777" w:rsidR="007433DF" w:rsidRDefault="007433DF">
      <w:pPr>
        <w:rPr>
          <w:rFonts w:ascii="彩虹粗仿宋" w:eastAsia="彩虹粗仿宋" w:hAnsi="宋体" w:cs="Arial"/>
          <w:sz w:val="24"/>
        </w:rPr>
      </w:pPr>
    </w:p>
    <w:p w14:paraId="2D78FCEA" w14:textId="77777777" w:rsidR="007433DF" w:rsidRDefault="007433DF">
      <w:pPr>
        <w:rPr>
          <w:rFonts w:ascii="彩虹粗仿宋" w:eastAsia="彩虹粗仿宋" w:hAnsi="宋体" w:cs="Arial"/>
          <w:sz w:val="24"/>
        </w:rPr>
      </w:pPr>
    </w:p>
    <w:p w14:paraId="158B567B" w14:textId="77777777" w:rsidR="007433DF" w:rsidRDefault="00F50617">
      <w:pPr>
        <w:rPr>
          <w:rFonts w:ascii="彩虹粗仿宋" w:eastAsia="彩虹粗仿宋" w:hAnsi="宋体" w:cs="Arial"/>
          <w:sz w:val="24"/>
        </w:rPr>
      </w:pPr>
      <w:r>
        <w:rPr>
          <w:rFonts w:ascii="彩虹粗仿宋" w:eastAsia="彩虹粗仿宋" w:hAnsi="宋体" w:cs="Arial" w:hint="eastAsia"/>
          <w:sz w:val="24"/>
        </w:rPr>
        <w:t xml:space="preserve">                            </w:t>
      </w:r>
    </w:p>
    <w:p w14:paraId="1D816C60" w14:textId="77777777" w:rsidR="007433DF" w:rsidRDefault="007433DF">
      <w:pPr>
        <w:rPr>
          <w:rFonts w:ascii="彩虹粗仿宋" w:eastAsia="彩虹粗仿宋" w:hAnsi="宋体" w:cs="Arial"/>
          <w:sz w:val="24"/>
        </w:rPr>
      </w:pPr>
    </w:p>
    <w:p w14:paraId="0836410B" w14:textId="77777777" w:rsidR="007433DF" w:rsidRDefault="007433DF">
      <w:pPr>
        <w:adjustRightInd w:val="0"/>
        <w:snapToGrid w:val="0"/>
        <w:jc w:val="center"/>
        <w:rPr>
          <w:rFonts w:ascii="彩虹粗仿宋" w:eastAsia="彩虹粗仿宋" w:hAnsi="宋体" w:cs="Arial"/>
          <w:bCs/>
          <w:sz w:val="24"/>
        </w:rPr>
        <w:sectPr w:rsidR="007433DF">
          <w:footerReference w:type="even" r:id="rId7"/>
          <w:footerReference w:type="default" r:id="rId8"/>
          <w:pgSz w:w="11906" w:h="16838"/>
          <w:pgMar w:top="1418" w:right="1701" w:bottom="1418" w:left="1701" w:header="851" w:footer="992" w:gutter="0"/>
          <w:cols w:space="425"/>
          <w:docGrid w:type="lines" w:linePitch="312"/>
        </w:sectPr>
      </w:pPr>
    </w:p>
    <w:p w14:paraId="246A0157" w14:textId="77777777" w:rsidR="007433DF" w:rsidRDefault="00F50617">
      <w:pPr>
        <w:jc w:val="center"/>
        <w:rPr>
          <w:rFonts w:ascii="彩虹粗仿宋" w:eastAsia="彩虹粗仿宋"/>
          <w:b/>
          <w:bCs/>
          <w:sz w:val="30"/>
        </w:rPr>
      </w:pPr>
      <w:r>
        <w:rPr>
          <w:rFonts w:ascii="彩虹粗仿宋" w:eastAsia="彩虹粗仿宋" w:hint="eastAsia"/>
          <w:b/>
          <w:bCs/>
          <w:sz w:val="30"/>
        </w:rPr>
        <w:lastRenderedPageBreak/>
        <w:t>目    录</w:t>
      </w:r>
    </w:p>
    <w:p w14:paraId="11C21EE1" w14:textId="77777777" w:rsidR="007433DF" w:rsidRDefault="00F50617">
      <w:pPr>
        <w:pStyle w:val="21"/>
        <w:tabs>
          <w:tab w:val="right" w:leader="dot" w:pos="8494"/>
        </w:tabs>
        <w:spacing w:line="180" w:lineRule="auto"/>
        <w:rPr>
          <w:rFonts w:ascii="彩虹粗仿宋" w:eastAsia="彩虹粗仿宋" w:hAnsi="宋体"/>
          <w:sz w:val="28"/>
        </w:rPr>
      </w:pPr>
      <w:r>
        <w:rPr>
          <w:rFonts w:ascii="彩虹粗仿宋" w:eastAsia="彩虹粗仿宋" w:hAnsi="宋体" w:hint="eastAsia"/>
          <w:sz w:val="28"/>
        </w:rPr>
        <w:fldChar w:fldCharType="begin"/>
      </w:r>
      <w:r>
        <w:rPr>
          <w:rFonts w:ascii="彩虹粗仿宋" w:eastAsia="彩虹粗仿宋" w:hAnsi="宋体" w:hint="eastAsia"/>
          <w:sz w:val="28"/>
        </w:rPr>
        <w:instrText xml:space="preserve"> TOC \o "1-2" \h \z </w:instrText>
      </w:r>
      <w:r>
        <w:rPr>
          <w:rFonts w:ascii="彩虹粗仿宋" w:eastAsia="彩虹粗仿宋" w:hAnsi="宋体" w:hint="eastAsia"/>
          <w:sz w:val="28"/>
        </w:rPr>
        <w:fldChar w:fldCharType="separate"/>
      </w:r>
      <w:hyperlink w:anchor="_Toc124325885" w:history="1">
        <w:r>
          <w:rPr>
            <w:rStyle w:val="af1"/>
            <w:rFonts w:ascii="彩虹粗仿宋" w:eastAsia="彩虹粗仿宋" w:hAnsi="宋体" w:hint="eastAsia"/>
            <w:color w:val="auto"/>
            <w:sz w:val="28"/>
            <w:szCs w:val="32"/>
            <w:u w:val="none"/>
          </w:rPr>
          <w:t>一、基金托管协议当事人</w:t>
        </w:r>
        <w:r>
          <w:rPr>
            <w:rFonts w:ascii="彩虹粗仿宋" w:eastAsia="彩虹粗仿宋" w:hAnsi="宋体" w:hint="eastAsia"/>
            <w:sz w:val="28"/>
          </w:rPr>
          <w:tab/>
        </w:r>
        <w:r>
          <w:rPr>
            <w:rFonts w:ascii="彩虹粗仿宋" w:eastAsia="彩虹粗仿宋" w:hAnsi="宋体" w:hint="eastAsia"/>
            <w:sz w:val="28"/>
          </w:rPr>
          <w:fldChar w:fldCharType="begin"/>
        </w:r>
        <w:r>
          <w:rPr>
            <w:rFonts w:ascii="彩虹粗仿宋" w:eastAsia="彩虹粗仿宋" w:hAnsi="宋体" w:hint="eastAsia"/>
            <w:sz w:val="28"/>
          </w:rPr>
          <w:instrText xml:space="preserve"> PAGEREF _Toc124325885 \h </w:instrText>
        </w:r>
        <w:r>
          <w:rPr>
            <w:rFonts w:ascii="彩虹粗仿宋" w:eastAsia="彩虹粗仿宋" w:hAnsi="宋体" w:hint="eastAsia"/>
            <w:sz w:val="28"/>
          </w:rPr>
        </w:r>
        <w:r>
          <w:rPr>
            <w:rFonts w:ascii="彩虹粗仿宋" w:eastAsia="彩虹粗仿宋" w:hAnsi="宋体" w:hint="eastAsia"/>
            <w:sz w:val="28"/>
          </w:rPr>
          <w:fldChar w:fldCharType="separate"/>
        </w:r>
        <w:r>
          <w:rPr>
            <w:rFonts w:ascii="彩虹粗仿宋" w:eastAsia="彩虹粗仿宋" w:hAnsi="宋体"/>
            <w:sz w:val="28"/>
          </w:rPr>
          <w:t>3</w:t>
        </w:r>
        <w:r>
          <w:rPr>
            <w:rFonts w:ascii="彩虹粗仿宋" w:eastAsia="彩虹粗仿宋" w:hAnsi="宋体" w:hint="eastAsia"/>
            <w:sz w:val="28"/>
          </w:rPr>
          <w:fldChar w:fldCharType="end"/>
        </w:r>
      </w:hyperlink>
    </w:p>
    <w:p w14:paraId="5F276106" w14:textId="77777777" w:rsidR="007433DF" w:rsidRDefault="001B6B36">
      <w:pPr>
        <w:pStyle w:val="21"/>
        <w:tabs>
          <w:tab w:val="right" w:leader="dot" w:pos="8494"/>
        </w:tabs>
        <w:spacing w:line="180" w:lineRule="auto"/>
        <w:rPr>
          <w:rFonts w:ascii="彩虹粗仿宋" w:eastAsia="彩虹粗仿宋" w:hAnsi="宋体"/>
          <w:sz w:val="28"/>
        </w:rPr>
      </w:pPr>
      <w:hyperlink w:anchor="_Toc124325886" w:history="1">
        <w:r w:rsidR="00F50617">
          <w:rPr>
            <w:rStyle w:val="af1"/>
            <w:rFonts w:ascii="彩虹粗仿宋" w:eastAsia="彩虹粗仿宋" w:hAnsi="宋体" w:hint="eastAsia"/>
            <w:color w:val="auto"/>
            <w:sz w:val="28"/>
            <w:szCs w:val="32"/>
            <w:u w:val="none"/>
          </w:rPr>
          <w:t>二、基金托管协议的依据、目的和原则</w:t>
        </w:r>
        <w:r w:rsidR="00F50617">
          <w:rPr>
            <w:rFonts w:ascii="彩虹粗仿宋" w:eastAsia="彩虹粗仿宋" w:hAnsi="宋体" w:hint="eastAsia"/>
            <w:sz w:val="28"/>
          </w:rPr>
          <w:tab/>
        </w:r>
        <w:r w:rsidR="00F50617">
          <w:rPr>
            <w:rFonts w:ascii="彩虹粗仿宋" w:eastAsia="彩虹粗仿宋" w:hAnsi="宋体" w:hint="eastAsia"/>
            <w:sz w:val="28"/>
          </w:rPr>
          <w:fldChar w:fldCharType="begin"/>
        </w:r>
        <w:r w:rsidR="00F50617">
          <w:rPr>
            <w:rFonts w:ascii="彩虹粗仿宋" w:eastAsia="彩虹粗仿宋" w:hAnsi="宋体" w:hint="eastAsia"/>
            <w:sz w:val="28"/>
          </w:rPr>
          <w:instrText xml:space="preserve"> PAGEREF _Toc124325886 \h </w:instrText>
        </w:r>
        <w:r w:rsidR="00F50617">
          <w:rPr>
            <w:rFonts w:ascii="彩虹粗仿宋" w:eastAsia="彩虹粗仿宋" w:hAnsi="宋体" w:hint="eastAsia"/>
            <w:sz w:val="28"/>
          </w:rPr>
        </w:r>
        <w:r w:rsidR="00F50617">
          <w:rPr>
            <w:rFonts w:ascii="彩虹粗仿宋" w:eastAsia="彩虹粗仿宋" w:hAnsi="宋体" w:hint="eastAsia"/>
            <w:sz w:val="28"/>
          </w:rPr>
          <w:fldChar w:fldCharType="separate"/>
        </w:r>
        <w:r w:rsidR="00F50617">
          <w:rPr>
            <w:rFonts w:ascii="彩虹粗仿宋" w:eastAsia="彩虹粗仿宋" w:hAnsi="宋体"/>
            <w:sz w:val="28"/>
          </w:rPr>
          <w:t>4</w:t>
        </w:r>
        <w:r w:rsidR="00F50617">
          <w:rPr>
            <w:rFonts w:ascii="彩虹粗仿宋" w:eastAsia="彩虹粗仿宋" w:hAnsi="宋体" w:hint="eastAsia"/>
            <w:sz w:val="28"/>
          </w:rPr>
          <w:fldChar w:fldCharType="end"/>
        </w:r>
      </w:hyperlink>
    </w:p>
    <w:p w14:paraId="04C2015E" w14:textId="77777777" w:rsidR="007433DF" w:rsidRDefault="001B6B36">
      <w:pPr>
        <w:pStyle w:val="21"/>
        <w:tabs>
          <w:tab w:val="right" w:leader="dot" w:pos="8494"/>
        </w:tabs>
        <w:spacing w:line="180" w:lineRule="auto"/>
        <w:rPr>
          <w:rFonts w:ascii="彩虹粗仿宋" w:eastAsia="彩虹粗仿宋" w:hAnsi="宋体"/>
          <w:sz w:val="28"/>
        </w:rPr>
      </w:pPr>
      <w:hyperlink w:anchor="_Toc124325887" w:history="1">
        <w:r w:rsidR="00F50617">
          <w:rPr>
            <w:rStyle w:val="af1"/>
            <w:rFonts w:ascii="彩虹粗仿宋" w:eastAsia="彩虹粗仿宋" w:hAnsi="宋体" w:hint="eastAsia"/>
            <w:color w:val="auto"/>
            <w:sz w:val="28"/>
            <w:szCs w:val="32"/>
            <w:u w:val="none"/>
          </w:rPr>
          <w:t>三、基金托管人对基金管理人的业务监督和核查</w:t>
        </w:r>
        <w:r w:rsidR="00F50617">
          <w:rPr>
            <w:rFonts w:ascii="彩虹粗仿宋" w:eastAsia="彩虹粗仿宋" w:hAnsi="宋体" w:hint="eastAsia"/>
            <w:sz w:val="28"/>
          </w:rPr>
          <w:tab/>
        </w:r>
        <w:r w:rsidR="00F50617">
          <w:rPr>
            <w:rFonts w:ascii="彩虹粗仿宋" w:eastAsia="彩虹粗仿宋" w:hAnsi="宋体" w:hint="eastAsia"/>
            <w:sz w:val="28"/>
          </w:rPr>
          <w:fldChar w:fldCharType="begin"/>
        </w:r>
        <w:r w:rsidR="00F50617">
          <w:rPr>
            <w:rFonts w:ascii="彩虹粗仿宋" w:eastAsia="彩虹粗仿宋" w:hAnsi="宋体" w:hint="eastAsia"/>
            <w:sz w:val="28"/>
          </w:rPr>
          <w:instrText xml:space="preserve"> PAGEREF _Toc124325887 \h </w:instrText>
        </w:r>
        <w:r w:rsidR="00F50617">
          <w:rPr>
            <w:rFonts w:ascii="彩虹粗仿宋" w:eastAsia="彩虹粗仿宋" w:hAnsi="宋体" w:hint="eastAsia"/>
            <w:sz w:val="28"/>
          </w:rPr>
        </w:r>
        <w:r w:rsidR="00F50617">
          <w:rPr>
            <w:rFonts w:ascii="彩虹粗仿宋" w:eastAsia="彩虹粗仿宋" w:hAnsi="宋体" w:hint="eastAsia"/>
            <w:sz w:val="28"/>
          </w:rPr>
          <w:fldChar w:fldCharType="separate"/>
        </w:r>
        <w:r w:rsidR="00F50617">
          <w:rPr>
            <w:rFonts w:ascii="彩虹粗仿宋" w:eastAsia="彩虹粗仿宋" w:hAnsi="宋体"/>
            <w:sz w:val="28"/>
          </w:rPr>
          <w:t>5</w:t>
        </w:r>
        <w:r w:rsidR="00F50617">
          <w:rPr>
            <w:rFonts w:ascii="彩虹粗仿宋" w:eastAsia="彩虹粗仿宋" w:hAnsi="宋体" w:hint="eastAsia"/>
            <w:sz w:val="28"/>
          </w:rPr>
          <w:fldChar w:fldCharType="end"/>
        </w:r>
      </w:hyperlink>
    </w:p>
    <w:p w14:paraId="21BB32FD" w14:textId="77777777" w:rsidR="007433DF" w:rsidRDefault="001B6B36">
      <w:pPr>
        <w:pStyle w:val="21"/>
        <w:tabs>
          <w:tab w:val="right" w:leader="dot" w:pos="8494"/>
        </w:tabs>
        <w:spacing w:line="180" w:lineRule="auto"/>
        <w:rPr>
          <w:rFonts w:ascii="彩虹粗仿宋" w:eastAsia="彩虹粗仿宋" w:hAnsi="宋体"/>
          <w:sz w:val="28"/>
        </w:rPr>
      </w:pPr>
      <w:hyperlink w:anchor="_Toc124325888" w:history="1">
        <w:r w:rsidR="00F50617">
          <w:rPr>
            <w:rStyle w:val="af1"/>
            <w:rFonts w:ascii="彩虹粗仿宋" w:eastAsia="彩虹粗仿宋" w:hAnsi="宋体" w:hint="eastAsia"/>
            <w:color w:val="auto"/>
            <w:sz w:val="28"/>
            <w:szCs w:val="32"/>
            <w:u w:val="none"/>
          </w:rPr>
          <w:t>四、基金管理人对基金托管人的业务核查</w:t>
        </w:r>
        <w:r w:rsidR="00F50617">
          <w:rPr>
            <w:rFonts w:ascii="彩虹粗仿宋" w:eastAsia="彩虹粗仿宋" w:hAnsi="宋体" w:hint="eastAsia"/>
            <w:sz w:val="28"/>
          </w:rPr>
          <w:tab/>
        </w:r>
        <w:r w:rsidR="00F50617">
          <w:rPr>
            <w:rFonts w:ascii="彩虹粗仿宋" w:eastAsia="彩虹粗仿宋" w:hAnsi="宋体" w:hint="eastAsia"/>
            <w:sz w:val="28"/>
          </w:rPr>
          <w:fldChar w:fldCharType="begin"/>
        </w:r>
        <w:r w:rsidR="00F50617">
          <w:rPr>
            <w:rFonts w:ascii="彩虹粗仿宋" w:eastAsia="彩虹粗仿宋" w:hAnsi="宋体" w:hint="eastAsia"/>
            <w:sz w:val="28"/>
          </w:rPr>
          <w:instrText xml:space="preserve"> PAGEREF _Toc124325888 \h </w:instrText>
        </w:r>
        <w:r w:rsidR="00F50617">
          <w:rPr>
            <w:rFonts w:ascii="彩虹粗仿宋" w:eastAsia="彩虹粗仿宋" w:hAnsi="宋体" w:hint="eastAsia"/>
            <w:sz w:val="28"/>
          </w:rPr>
        </w:r>
        <w:r w:rsidR="00F50617">
          <w:rPr>
            <w:rFonts w:ascii="彩虹粗仿宋" w:eastAsia="彩虹粗仿宋" w:hAnsi="宋体" w:hint="eastAsia"/>
            <w:sz w:val="28"/>
          </w:rPr>
          <w:fldChar w:fldCharType="separate"/>
        </w:r>
        <w:r w:rsidR="00F50617">
          <w:rPr>
            <w:rFonts w:ascii="彩虹粗仿宋" w:eastAsia="彩虹粗仿宋" w:hAnsi="宋体"/>
            <w:sz w:val="28"/>
          </w:rPr>
          <w:t>11</w:t>
        </w:r>
        <w:r w:rsidR="00F50617">
          <w:rPr>
            <w:rFonts w:ascii="彩虹粗仿宋" w:eastAsia="彩虹粗仿宋" w:hAnsi="宋体" w:hint="eastAsia"/>
            <w:sz w:val="28"/>
          </w:rPr>
          <w:fldChar w:fldCharType="end"/>
        </w:r>
      </w:hyperlink>
    </w:p>
    <w:p w14:paraId="259FE476" w14:textId="77777777" w:rsidR="007433DF" w:rsidRDefault="001B6B36">
      <w:pPr>
        <w:pStyle w:val="21"/>
        <w:tabs>
          <w:tab w:val="right" w:leader="dot" w:pos="8494"/>
        </w:tabs>
        <w:spacing w:line="180" w:lineRule="auto"/>
        <w:rPr>
          <w:rFonts w:ascii="彩虹粗仿宋" w:eastAsia="彩虹粗仿宋" w:hAnsi="宋体"/>
          <w:sz w:val="28"/>
        </w:rPr>
      </w:pPr>
      <w:hyperlink w:anchor="_Toc124325889" w:history="1">
        <w:r w:rsidR="00F50617">
          <w:rPr>
            <w:rStyle w:val="af1"/>
            <w:rFonts w:ascii="彩虹粗仿宋" w:eastAsia="彩虹粗仿宋" w:hAnsi="宋体" w:hint="eastAsia"/>
            <w:color w:val="auto"/>
            <w:sz w:val="28"/>
            <w:szCs w:val="32"/>
            <w:u w:val="none"/>
          </w:rPr>
          <w:t>五、基金财产的保管</w:t>
        </w:r>
        <w:r w:rsidR="00F50617">
          <w:rPr>
            <w:rFonts w:ascii="彩虹粗仿宋" w:eastAsia="彩虹粗仿宋" w:hAnsi="宋体" w:hint="eastAsia"/>
            <w:sz w:val="28"/>
          </w:rPr>
          <w:tab/>
        </w:r>
        <w:r w:rsidR="00F50617">
          <w:rPr>
            <w:rFonts w:ascii="彩虹粗仿宋" w:eastAsia="彩虹粗仿宋" w:hAnsi="宋体" w:hint="eastAsia"/>
            <w:sz w:val="28"/>
          </w:rPr>
          <w:fldChar w:fldCharType="begin"/>
        </w:r>
        <w:r w:rsidR="00F50617">
          <w:rPr>
            <w:rFonts w:ascii="彩虹粗仿宋" w:eastAsia="彩虹粗仿宋" w:hAnsi="宋体" w:hint="eastAsia"/>
            <w:sz w:val="28"/>
          </w:rPr>
          <w:instrText xml:space="preserve"> PAGEREF _Toc124325889 \h </w:instrText>
        </w:r>
        <w:r w:rsidR="00F50617">
          <w:rPr>
            <w:rFonts w:ascii="彩虹粗仿宋" w:eastAsia="彩虹粗仿宋" w:hAnsi="宋体" w:hint="eastAsia"/>
            <w:sz w:val="28"/>
          </w:rPr>
        </w:r>
        <w:r w:rsidR="00F50617">
          <w:rPr>
            <w:rFonts w:ascii="彩虹粗仿宋" w:eastAsia="彩虹粗仿宋" w:hAnsi="宋体" w:hint="eastAsia"/>
            <w:sz w:val="28"/>
          </w:rPr>
          <w:fldChar w:fldCharType="separate"/>
        </w:r>
        <w:r w:rsidR="00F50617">
          <w:rPr>
            <w:rFonts w:ascii="彩虹粗仿宋" w:eastAsia="彩虹粗仿宋" w:hAnsi="宋体"/>
            <w:sz w:val="28"/>
          </w:rPr>
          <w:t>11</w:t>
        </w:r>
        <w:r w:rsidR="00F50617">
          <w:rPr>
            <w:rFonts w:ascii="彩虹粗仿宋" w:eastAsia="彩虹粗仿宋" w:hAnsi="宋体" w:hint="eastAsia"/>
            <w:sz w:val="28"/>
          </w:rPr>
          <w:fldChar w:fldCharType="end"/>
        </w:r>
      </w:hyperlink>
    </w:p>
    <w:p w14:paraId="020C4076" w14:textId="77777777" w:rsidR="007433DF" w:rsidRDefault="001B6B36">
      <w:pPr>
        <w:pStyle w:val="21"/>
        <w:tabs>
          <w:tab w:val="right" w:leader="dot" w:pos="8494"/>
        </w:tabs>
        <w:spacing w:line="180" w:lineRule="auto"/>
        <w:rPr>
          <w:rFonts w:ascii="彩虹粗仿宋" w:eastAsia="彩虹粗仿宋" w:hAnsi="宋体"/>
          <w:sz w:val="28"/>
        </w:rPr>
      </w:pPr>
      <w:hyperlink w:anchor="_Toc124325890" w:history="1">
        <w:r w:rsidR="00F50617">
          <w:rPr>
            <w:rStyle w:val="af1"/>
            <w:rFonts w:ascii="彩虹粗仿宋" w:eastAsia="彩虹粗仿宋" w:hAnsi="宋体" w:hint="eastAsia"/>
            <w:color w:val="auto"/>
            <w:sz w:val="28"/>
            <w:szCs w:val="32"/>
            <w:u w:val="none"/>
          </w:rPr>
          <w:t>六、指令的发送、确认及执行</w:t>
        </w:r>
        <w:r w:rsidR="00F50617">
          <w:rPr>
            <w:rFonts w:ascii="彩虹粗仿宋" w:eastAsia="彩虹粗仿宋" w:hAnsi="宋体" w:hint="eastAsia"/>
            <w:sz w:val="28"/>
          </w:rPr>
          <w:tab/>
        </w:r>
        <w:r w:rsidR="00F50617">
          <w:rPr>
            <w:rFonts w:ascii="彩虹粗仿宋" w:eastAsia="彩虹粗仿宋" w:hAnsi="宋体" w:hint="eastAsia"/>
            <w:sz w:val="28"/>
          </w:rPr>
          <w:fldChar w:fldCharType="begin"/>
        </w:r>
        <w:r w:rsidR="00F50617">
          <w:rPr>
            <w:rFonts w:ascii="彩虹粗仿宋" w:eastAsia="彩虹粗仿宋" w:hAnsi="宋体" w:hint="eastAsia"/>
            <w:sz w:val="28"/>
          </w:rPr>
          <w:instrText xml:space="preserve"> PAGEREF _Toc124325890 \h </w:instrText>
        </w:r>
        <w:r w:rsidR="00F50617">
          <w:rPr>
            <w:rFonts w:ascii="彩虹粗仿宋" w:eastAsia="彩虹粗仿宋" w:hAnsi="宋体" w:hint="eastAsia"/>
            <w:sz w:val="28"/>
          </w:rPr>
        </w:r>
        <w:r w:rsidR="00F50617">
          <w:rPr>
            <w:rFonts w:ascii="彩虹粗仿宋" w:eastAsia="彩虹粗仿宋" w:hAnsi="宋体" w:hint="eastAsia"/>
            <w:sz w:val="28"/>
          </w:rPr>
          <w:fldChar w:fldCharType="separate"/>
        </w:r>
        <w:r w:rsidR="00F50617">
          <w:rPr>
            <w:rFonts w:ascii="彩虹粗仿宋" w:eastAsia="彩虹粗仿宋" w:hAnsi="宋体"/>
            <w:sz w:val="28"/>
          </w:rPr>
          <w:t>14</w:t>
        </w:r>
        <w:r w:rsidR="00F50617">
          <w:rPr>
            <w:rFonts w:ascii="彩虹粗仿宋" w:eastAsia="彩虹粗仿宋" w:hAnsi="宋体" w:hint="eastAsia"/>
            <w:sz w:val="28"/>
          </w:rPr>
          <w:fldChar w:fldCharType="end"/>
        </w:r>
      </w:hyperlink>
    </w:p>
    <w:p w14:paraId="2B11AE2F" w14:textId="77777777" w:rsidR="007433DF" w:rsidRDefault="001B6B36">
      <w:pPr>
        <w:pStyle w:val="21"/>
        <w:tabs>
          <w:tab w:val="right" w:leader="dot" w:pos="8494"/>
        </w:tabs>
        <w:spacing w:line="180" w:lineRule="auto"/>
        <w:rPr>
          <w:rFonts w:ascii="彩虹粗仿宋" w:eastAsia="彩虹粗仿宋" w:hAnsi="宋体"/>
          <w:sz w:val="28"/>
        </w:rPr>
      </w:pPr>
      <w:hyperlink w:anchor="_Toc124325891" w:history="1">
        <w:r w:rsidR="00F50617">
          <w:rPr>
            <w:rStyle w:val="af1"/>
            <w:rFonts w:ascii="彩虹粗仿宋" w:eastAsia="彩虹粗仿宋" w:hAnsi="宋体" w:hint="eastAsia"/>
            <w:color w:val="auto"/>
            <w:sz w:val="28"/>
            <w:szCs w:val="32"/>
            <w:u w:val="none"/>
          </w:rPr>
          <w:t>七、交易及清算交收安排</w:t>
        </w:r>
        <w:r w:rsidR="00F50617">
          <w:rPr>
            <w:rFonts w:ascii="彩虹粗仿宋" w:eastAsia="彩虹粗仿宋" w:hAnsi="宋体" w:hint="eastAsia"/>
            <w:sz w:val="28"/>
          </w:rPr>
          <w:tab/>
        </w:r>
        <w:r w:rsidR="00F50617">
          <w:rPr>
            <w:rFonts w:ascii="彩虹粗仿宋" w:eastAsia="彩虹粗仿宋" w:hAnsi="宋体" w:hint="eastAsia"/>
            <w:sz w:val="28"/>
          </w:rPr>
          <w:fldChar w:fldCharType="begin"/>
        </w:r>
        <w:r w:rsidR="00F50617">
          <w:rPr>
            <w:rFonts w:ascii="彩虹粗仿宋" w:eastAsia="彩虹粗仿宋" w:hAnsi="宋体" w:hint="eastAsia"/>
            <w:sz w:val="28"/>
          </w:rPr>
          <w:instrText xml:space="preserve"> PAGEREF _Toc124325891 \h </w:instrText>
        </w:r>
        <w:r w:rsidR="00F50617">
          <w:rPr>
            <w:rFonts w:ascii="彩虹粗仿宋" w:eastAsia="彩虹粗仿宋" w:hAnsi="宋体" w:hint="eastAsia"/>
            <w:sz w:val="28"/>
          </w:rPr>
        </w:r>
        <w:r w:rsidR="00F50617">
          <w:rPr>
            <w:rFonts w:ascii="彩虹粗仿宋" w:eastAsia="彩虹粗仿宋" w:hAnsi="宋体" w:hint="eastAsia"/>
            <w:sz w:val="28"/>
          </w:rPr>
          <w:fldChar w:fldCharType="separate"/>
        </w:r>
        <w:r w:rsidR="00F50617">
          <w:rPr>
            <w:rFonts w:ascii="彩虹粗仿宋" w:eastAsia="彩虹粗仿宋" w:hAnsi="宋体"/>
            <w:sz w:val="28"/>
          </w:rPr>
          <w:t>17</w:t>
        </w:r>
        <w:r w:rsidR="00F50617">
          <w:rPr>
            <w:rFonts w:ascii="彩虹粗仿宋" w:eastAsia="彩虹粗仿宋" w:hAnsi="宋体" w:hint="eastAsia"/>
            <w:sz w:val="28"/>
          </w:rPr>
          <w:fldChar w:fldCharType="end"/>
        </w:r>
      </w:hyperlink>
    </w:p>
    <w:p w14:paraId="60540735" w14:textId="77777777" w:rsidR="007433DF" w:rsidRDefault="001B6B36">
      <w:pPr>
        <w:pStyle w:val="21"/>
        <w:tabs>
          <w:tab w:val="right" w:leader="dot" w:pos="8494"/>
        </w:tabs>
        <w:spacing w:line="180" w:lineRule="auto"/>
        <w:rPr>
          <w:rFonts w:ascii="彩虹粗仿宋" w:eastAsia="彩虹粗仿宋" w:hAnsi="宋体"/>
          <w:sz w:val="28"/>
        </w:rPr>
      </w:pPr>
      <w:hyperlink w:anchor="_Toc124325892" w:history="1">
        <w:r w:rsidR="00F50617">
          <w:rPr>
            <w:rStyle w:val="af1"/>
            <w:rFonts w:ascii="彩虹粗仿宋" w:eastAsia="彩虹粗仿宋" w:hAnsi="宋体" w:hint="eastAsia"/>
            <w:color w:val="auto"/>
            <w:sz w:val="28"/>
            <w:szCs w:val="32"/>
            <w:u w:val="none"/>
          </w:rPr>
          <w:t>八、基金资产净值计算和会计核算</w:t>
        </w:r>
        <w:r w:rsidR="00F50617">
          <w:rPr>
            <w:rFonts w:ascii="彩虹粗仿宋" w:eastAsia="彩虹粗仿宋" w:hAnsi="宋体" w:hint="eastAsia"/>
            <w:sz w:val="28"/>
          </w:rPr>
          <w:tab/>
        </w:r>
        <w:r w:rsidR="00F50617">
          <w:rPr>
            <w:rFonts w:ascii="彩虹粗仿宋" w:eastAsia="彩虹粗仿宋" w:hAnsi="宋体" w:hint="eastAsia"/>
            <w:sz w:val="28"/>
          </w:rPr>
          <w:fldChar w:fldCharType="begin"/>
        </w:r>
        <w:r w:rsidR="00F50617">
          <w:rPr>
            <w:rFonts w:ascii="彩虹粗仿宋" w:eastAsia="彩虹粗仿宋" w:hAnsi="宋体" w:hint="eastAsia"/>
            <w:sz w:val="28"/>
          </w:rPr>
          <w:instrText xml:space="preserve"> PAGEREF _Toc124325892 \h </w:instrText>
        </w:r>
        <w:r w:rsidR="00F50617">
          <w:rPr>
            <w:rFonts w:ascii="彩虹粗仿宋" w:eastAsia="彩虹粗仿宋" w:hAnsi="宋体" w:hint="eastAsia"/>
            <w:sz w:val="28"/>
          </w:rPr>
        </w:r>
        <w:r w:rsidR="00F50617">
          <w:rPr>
            <w:rFonts w:ascii="彩虹粗仿宋" w:eastAsia="彩虹粗仿宋" w:hAnsi="宋体" w:hint="eastAsia"/>
            <w:sz w:val="28"/>
          </w:rPr>
          <w:fldChar w:fldCharType="separate"/>
        </w:r>
        <w:r w:rsidR="00F50617">
          <w:rPr>
            <w:rFonts w:ascii="彩虹粗仿宋" w:eastAsia="彩虹粗仿宋" w:hAnsi="宋体"/>
            <w:sz w:val="28"/>
          </w:rPr>
          <w:t>22</w:t>
        </w:r>
        <w:r w:rsidR="00F50617">
          <w:rPr>
            <w:rFonts w:ascii="彩虹粗仿宋" w:eastAsia="彩虹粗仿宋" w:hAnsi="宋体" w:hint="eastAsia"/>
            <w:sz w:val="28"/>
          </w:rPr>
          <w:fldChar w:fldCharType="end"/>
        </w:r>
      </w:hyperlink>
    </w:p>
    <w:p w14:paraId="12A56DB3" w14:textId="77777777" w:rsidR="007433DF" w:rsidRDefault="001B6B36">
      <w:pPr>
        <w:pStyle w:val="21"/>
        <w:tabs>
          <w:tab w:val="right" w:leader="dot" w:pos="8494"/>
        </w:tabs>
        <w:spacing w:line="180" w:lineRule="auto"/>
        <w:rPr>
          <w:rFonts w:ascii="彩虹粗仿宋" w:eastAsia="彩虹粗仿宋" w:hAnsi="宋体"/>
          <w:sz w:val="28"/>
        </w:rPr>
      </w:pPr>
      <w:hyperlink w:anchor="_Toc124325893" w:history="1">
        <w:r w:rsidR="00F50617">
          <w:rPr>
            <w:rStyle w:val="af1"/>
            <w:rFonts w:ascii="彩虹粗仿宋" w:eastAsia="彩虹粗仿宋" w:hAnsi="宋体" w:hint="eastAsia"/>
            <w:color w:val="auto"/>
            <w:sz w:val="28"/>
            <w:szCs w:val="32"/>
            <w:u w:val="none"/>
          </w:rPr>
          <w:t>九、基金收益分配</w:t>
        </w:r>
        <w:r w:rsidR="00F50617">
          <w:rPr>
            <w:rFonts w:ascii="彩虹粗仿宋" w:eastAsia="彩虹粗仿宋" w:hAnsi="宋体" w:hint="eastAsia"/>
            <w:sz w:val="28"/>
          </w:rPr>
          <w:tab/>
        </w:r>
        <w:r w:rsidR="00F50617">
          <w:rPr>
            <w:rFonts w:ascii="彩虹粗仿宋" w:eastAsia="彩虹粗仿宋" w:hAnsi="宋体" w:hint="eastAsia"/>
            <w:sz w:val="28"/>
          </w:rPr>
          <w:fldChar w:fldCharType="begin"/>
        </w:r>
        <w:r w:rsidR="00F50617">
          <w:rPr>
            <w:rFonts w:ascii="彩虹粗仿宋" w:eastAsia="彩虹粗仿宋" w:hAnsi="宋体" w:hint="eastAsia"/>
            <w:sz w:val="28"/>
          </w:rPr>
          <w:instrText xml:space="preserve"> PAGEREF _Toc124325893 \h </w:instrText>
        </w:r>
        <w:r w:rsidR="00F50617">
          <w:rPr>
            <w:rFonts w:ascii="彩虹粗仿宋" w:eastAsia="彩虹粗仿宋" w:hAnsi="宋体" w:hint="eastAsia"/>
            <w:sz w:val="28"/>
          </w:rPr>
        </w:r>
        <w:r w:rsidR="00F50617">
          <w:rPr>
            <w:rFonts w:ascii="彩虹粗仿宋" w:eastAsia="彩虹粗仿宋" w:hAnsi="宋体" w:hint="eastAsia"/>
            <w:sz w:val="28"/>
          </w:rPr>
          <w:fldChar w:fldCharType="separate"/>
        </w:r>
        <w:r w:rsidR="00F50617">
          <w:rPr>
            <w:rFonts w:ascii="彩虹粗仿宋" w:eastAsia="彩虹粗仿宋" w:hAnsi="宋体"/>
            <w:sz w:val="28"/>
          </w:rPr>
          <w:t>28</w:t>
        </w:r>
        <w:r w:rsidR="00F50617">
          <w:rPr>
            <w:rFonts w:ascii="彩虹粗仿宋" w:eastAsia="彩虹粗仿宋" w:hAnsi="宋体" w:hint="eastAsia"/>
            <w:sz w:val="28"/>
          </w:rPr>
          <w:fldChar w:fldCharType="end"/>
        </w:r>
      </w:hyperlink>
    </w:p>
    <w:p w14:paraId="6F6E1FA6" w14:textId="77777777" w:rsidR="007433DF" w:rsidRDefault="001B6B36">
      <w:pPr>
        <w:pStyle w:val="21"/>
        <w:tabs>
          <w:tab w:val="right" w:leader="dot" w:pos="8494"/>
        </w:tabs>
        <w:spacing w:line="180" w:lineRule="auto"/>
        <w:rPr>
          <w:rFonts w:ascii="彩虹粗仿宋" w:eastAsia="彩虹粗仿宋" w:hAnsi="宋体"/>
          <w:sz w:val="28"/>
        </w:rPr>
      </w:pPr>
      <w:hyperlink w:anchor="_Toc124325894" w:history="1">
        <w:r w:rsidR="00F50617">
          <w:rPr>
            <w:rStyle w:val="af1"/>
            <w:rFonts w:ascii="彩虹粗仿宋" w:eastAsia="彩虹粗仿宋" w:hAnsi="宋体" w:hint="eastAsia"/>
            <w:color w:val="auto"/>
            <w:sz w:val="28"/>
            <w:szCs w:val="32"/>
            <w:u w:val="none"/>
          </w:rPr>
          <w:t>十、基金信息披露</w:t>
        </w:r>
        <w:r w:rsidR="00F50617">
          <w:rPr>
            <w:rFonts w:ascii="彩虹粗仿宋" w:eastAsia="彩虹粗仿宋" w:hAnsi="宋体" w:hint="eastAsia"/>
            <w:sz w:val="28"/>
          </w:rPr>
          <w:tab/>
        </w:r>
        <w:r w:rsidR="00F50617">
          <w:rPr>
            <w:rFonts w:ascii="彩虹粗仿宋" w:eastAsia="彩虹粗仿宋" w:hAnsi="宋体" w:hint="eastAsia"/>
            <w:sz w:val="28"/>
          </w:rPr>
          <w:fldChar w:fldCharType="begin"/>
        </w:r>
        <w:r w:rsidR="00F50617">
          <w:rPr>
            <w:rFonts w:ascii="彩虹粗仿宋" w:eastAsia="彩虹粗仿宋" w:hAnsi="宋体" w:hint="eastAsia"/>
            <w:sz w:val="28"/>
          </w:rPr>
          <w:instrText xml:space="preserve"> PAGEREF _Toc124325894 \h </w:instrText>
        </w:r>
        <w:r w:rsidR="00F50617">
          <w:rPr>
            <w:rFonts w:ascii="彩虹粗仿宋" w:eastAsia="彩虹粗仿宋" w:hAnsi="宋体" w:hint="eastAsia"/>
            <w:sz w:val="28"/>
          </w:rPr>
        </w:r>
        <w:r w:rsidR="00F50617">
          <w:rPr>
            <w:rFonts w:ascii="彩虹粗仿宋" w:eastAsia="彩虹粗仿宋" w:hAnsi="宋体" w:hint="eastAsia"/>
            <w:sz w:val="28"/>
          </w:rPr>
          <w:fldChar w:fldCharType="separate"/>
        </w:r>
        <w:r w:rsidR="00F50617">
          <w:rPr>
            <w:rFonts w:ascii="彩虹粗仿宋" w:eastAsia="彩虹粗仿宋" w:hAnsi="宋体"/>
            <w:sz w:val="28"/>
          </w:rPr>
          <w:t>29</w:t>
        </w:r>
        <w:r w:rsidR="00F50617">
          <w:rPr>
            <w:rFonts w:ascii="彩虹粗仿宋" w:eastAsia="彩虹粗仿宋" w:hAnsi="宋体" w:hint="eastAsia"/>
            <w:sz w:val="28"/>
          </w:rPr>
          <w:fldChar w:fldCharType="end"/>
        </w:r>
      </w:hyperlink>
    </w:p>
    <w:p w14:paraId="6EC12946" w14:textId="77777777" w:rsidR="007433DF" w:rsidRDefault="001B6B36">
      <w:pPr>
        <w:pStyle w:val="21"/>
        <w:tabs>
          <w:tab w:val="right" w:leader="dot" w:pos="8494"/>
        </w:tabs>
        <w:spacing w:line="180" w:lineRule="auto"/>
        <w:rPr>
          <w:rFonts w:ascii="彩虹粗仿宋" w:eastAsia="彩虹粗仿宋" w:hAnsi="宋体"/>
          <w:sz w:val="28"/>
        </w:rPr>
      </w:pPr>
      <w:hyperlink w:anchor="_Toc124325895" w:history="1">
        <w:r w:rsidR="00F50617">
          <w:rPr>
            <w:rStyle w:val="af1"/>
            <w:rFonts w:ascii="彩虹粗仿宋" w:eastAsia="彩虹粗仿宋" w:hAnsi="宋体" w:hint="eastAsia"/>
            <w:color w:val="auto"/>
            <w:sz w:val="28"/>
            <w:szCs w:val="32"/>
            <w:u w:val="none"/>
          </w:rPr>
          <w:t>十一、基金费用</w:t>
        </w:r>
        <w:r w:rsidR="00F50617">
          <w:rPr>
            <w:rFonts w:ascii="彩虹粗仿宋" w:eastAsia="彩虹粗仿宋" w:hAnsi="宋体" w:hint="eastAsia"/>
            <w:sz w:val="28"/>
          </w:rPr>
          <w:tab/>
        </w:r>
        <w:r w:rsidR="00F50617">
          <w:rPr>
            <w:rFonts w:ascii="彩虹粗仿宋" w:eastAsia="彩虹粗仿宋" w:hAnsi="宋体" w:hint="eastAsia"/>
            <w:sz w:val="28"/>
          </w:rPr>
          <w:fldChar w:fldCharType="begin"/>
        </w:r>
        <w:r w:rsidR="00F50617">
          <w:rPr>
            <w:rFonts w:ascii="彩虹粗仿宋" w:eastAsia="彩虹粗仿宋" w:hAnsi="宋体" w:hint="eastAsia"/>
            <w:sz w:val="28"/>
          </w:rPr>
          <w:instrText xml:space="preserve"> PAGEREF _Toc124325895 \h </w:instrText>
        </w:r>
        <w:r w:rsidR="00F50617">
          <w:rPr>
            <w:rFonts w:ascii="彩虹粗仿宋" w:eastAsia="彩虹粗仿宋" w:hAnsi="宋体" w:hint="eastAsia"/>
            <w:sz w:val="28"/>
          </w:rPr>
        </w:r>
        <w:r w:rsidR="00F50617">
          <w:rPr>
            <w:rFonts w:ascii="彩虹粗仿宋" w:eastAsia="彩虹粗仿宋" w:hAnsi="宋体" w:hint="eastAsia"/>
            <w:sz w:val="28"/>
          </w:rPr>
          <w:fldChar w:fldCharType="separate"/>
        </w:r>
        <w:r w:rsidR="00F50617">
          <w:rPr>
            <w:rFonts w:ascii="彩虹粗仿宋" w:eastAsia="彩虹粗仿宋" w:hAnsi="宋体"/>
            <w:sz w:val="28"/>
          </w:rPr>
          <w:t>30</w:t>
        </w:r>
        <w:r w:rsidR="00F50617">
          <w:rPr>
            <w:rFonts w:ascii="彩虹粗仿宋" w:eastAsia="彩虹粗仿宋" w:hAnsi="宋体" w:hint="eastAsia"/>
            <w:sz w:val="28"/>
          </w:rPr>
          <w:fldChar w:fldCharType="end"/>
        </w:r>
      </w:hyperlink>
    </w:p>
    <w:p w14:paraId="035959F2" w14:textId="77777777" w:rsidR="007433DF" w:rsidRDefault="001B6B36">
      <w:pPr>
        <w:pStyle w:val="21"/>
        <w:tabs>
          <w:tab w:val="right" w:leader="dot" w:pos="8494"/>
        </w:tabs>
        <w:spacing w:line="180" w:lineRule="auto"/>
        <w:rPr>
          <w:rFonts w:ascii="彩虹粗仿宋" w:eastAsia="彩虹粗仿宋" w:hAnsi="宋体"/>
          <w:sz w:val="28"/>
        </w:rPr>
      </w:pPr>
      <w:hyperlink w:anchor="_Toc124325896" w:history="1">
        <w:r w:rsidR="00F50617">
          <w:rPr>
            <w:rStyle w:val="af1"/>
            <w:rFonts w:ascii="彩虹粗仿宋" w:eastAsia="彩虹粗仿宋" w:hAnsi="宋体" w:hint="eastAsia"/>
            <w:color w:val="auto"/>
            <w:sz w:val="28"/>
            <w:szCs w:val="32"/>
            <w:u w:val="none"/>
          </w:rPr>
          <w:t>十二、基金份额持有人名册的保管</w:t>
        </w:r>
        <w:r w:rsidR="00F50617">
          <w:rPr>
            <w:rFonts w:ascii="彩虹粗仿宋" w:eastAsia="彩虹粗仿宋" w:hAnsi="宋体" w:hint="eastAsia"/>
            <w:sz w:val="28"/>
          </w:rPr>
          <w:tab/>
        </w:r>
        <w:r w:rsidR="00F50617">
          <w:rPr>
            <w:rFonts w:ascii="彩虹粗仿宋" w:eastAsia="彩虹粗仿宋" w:hAnsi="宋体" w:hint="eastAsia"/>
            <w:sz w:val="28"/>
          </w:rPr>
          <w:fldChar w:fldCharType="begin"/>
        </w:r>
        <w:r w:rsidR="00F50617">
          <w:rPr>
            <w:rFonts w:ascii="彩虹粗仿宋" w:eastAsia="彩虹粗仿宋" w:hAnsi="宋体" w:hint="eastAsia"/>
            <w:sz w:val="28"/>
          </w:rPr>
          <w:instrText xml:space="preserve"> PAGEREF _Toc124325896 \h </w:instrText>
        </w:r>
        <w:r w:rsidR="00F50617">
          <w:rPr>
            <w:rFonts w:ascii="彩虹粗仿宋" w:eastAsia="彩虹粗仿宋" w:hAnsi="宋体" w:hint="eastAsia"/>
            <w:sz w:val="28"/>
          </w:rPr>
        </w:r>
        <w:r w:rsidR="00F50617">
          <w:rPr>
            <w:rFonts w:ascii="彩虹粗仿宋" w:eastAsia="彩虹粗仿宋" w:hAnsi="宋体" w:hint="eastAsia"/>
            <w:sz w:val="28"/>
          </w:rPr>
          <w:fldChar w:fldCharType="separate"/>
        </w:r>
        <w:r w:rsidR="00F50617">
          <w:rPr>
            <w:rFonts w:ascii="彩虹粗仿宋" w:eastAsia="彩虹粗仿宋" w:hAnsi="宋体"/>
            <w:sz w:val="28"/>
          </w:rPr>
          <w:t>32</w:t>
        </w:r>
        <w:r w:rsidR="00F50617">
          <w:rPr>
            <w:rFonts w:ascii="彩虹粗仿宋" w:eastAsia="彩虹粗仿宋" w:hAnsi="宋体" w:hint="eastAsia"/>
            <w:sz w:val="28"/>
          </w:rPr>
          <w:fldChar w:fldCharType="end"/>
        </w:r>
      </w:hyperlink>
    </w:p>
    <w:p w14:paraId="15DC419A" w14:textId="77777777" w:rsidR="007433DF" w:rsidRDefault="001B6B36">
      <w:pPr>
        <w:pStyle w:val="21"/>
        <w:tabs>
          <w:tab w:val="right" w:leader="dot" w:pos="8494"/>
        </w:tabs>
        <w:spacing w:line="180" w:lineRule="auto"/>
        <w:rPr>
          <w:rFonts w:ascii="彩虹粗仿宋" w:eastAsia="彩虹粗仿宋" w:hAnsi="宋体"/>
          <w:sz w:val="28"/>
        </w:rPr>
      </w:pPr>
      <w:hyperlink w:anchor="_Toc124325897" w:history="1">
        <w:r w:rsidR="00F50617">
          <w:rPr>
            <w:rStyle w:val="af1"/>
            <w:rFonts w:ascii="彩虹粗仿宋" w:eastAsia="彩虹粗仿宋" w:hAnsi="宋体" w:hint="eastAsia"/>
            <w:color w:val="auto"/>
            <w:sz w:val="28"/>
            <w:szCs w:val="32"/>
            <w:u w:val="none"/>
          </w:rPr>
          <w:t>十三、基金有关文件档案的保存</w:t>
        </w:r>
        <w:r w:rsidR="00F50617">
          <w:rPr>
            <w:rFonts w:ascii="彩虹粗仿宋" w:eastAsia="彩虹粗仿宋" w:hAnsi="宋体" w:hint="eastAsia"/>
            <w:sz w:val="28"/>
          </w:rPr>
          <w:tab/>
        </w:r>
        <w:r w:rsidR="00F50617">
          <w:rPr>
            <w:rFonts w:ascii="彩虹粗仿宋" w:eastAsia="彩虹粗仿宋" w:hAnsi="宋体" w:hint="eastAsia"/>
            <w:sz w:val="28"/>
          </w:rPr>
          <w:fldChar w:fldCharType="begin"/>
        </w:r>
        <w:r w:rsidR="00F50617">
          <w:rPr>
            <w:rFonts w:ascii="彩虹粗仿宋" w:eastAsia="彩虹粗仿宋" w:hAnsi="宋体" w:hint="eastAsia"/>
            <w:sz w:val="28"/>
          </w:rPr>
          <w:instrText xml:space="preserve"> PAGEREF _Toc124325897 \h </w:instrText>
        </w:r>
        <w:r w:rsidR="00F50617">
          <w:rPr>
            <w:rFonts w:ascii="彩虹粗仿宋" w:eastAsia="彩虹粗仿宋" w:hAnsi="宋体" w:hint="eastAsia"/>
            <w:sz w:val="28"/>
          </w:rPr>
        </w:r>
        <w:r w:rsidR="00F50617">
          <w:rPr>
            <w:rFonts w:ascii="彩虹粗仿宋" w:eastAsia="彩虹粗仿宋" w:hAnsi="宋体" w:hint="eastAsia"/>
            <w:sz w:val="28"/>
          </w:rPr>
          <w:fldChar w:fldCharType="separate"/>
        </w:r>
        <w:r w:rsidR="00F50617">
          <w:rPr>
            <w:rFonts w:ascii="彩虹粗仿宋" w:eastAsia="彩虹粗仿宋" w:hAnsi="宋体"/>
            <w:sz w:val="28"/>
          </w:rPr>
          <w:t>33</w:t>
        </w:r>
        <w:r w:rsidR="00F50617">
          <w:rPr>
            <w:rFonts w:ascii="彩虹粗仿宋" w:eastAsia="彩虹粗仿宋" w:hAnsi="宋体" w:hint="eastAsia"/>
            <w:sz w:val="28"/>
          </w:rPr>
          <w:fldChar w:fldCharType="end"/>
        </w:r>
      </w:hyperlink>
    </w:p>
    <w:p w14:paraId="3DCD7CA0" w14:textId="77777777" w:rsidR="007433DF" w:rsidRDefault="001B6B36">
      <w:pPr>
        <w:pStyle w:val="21"/>
        <w:tabs>
          <w:tab w:val="right" w:leader="dot" w:pos="8494"/>
        </w:tabs>
        <w:spacing w:line="180" w:lineRule="auto"/>
        <w:rPr>
          <w:rFonts w:ascii="彩虹粗仿宋" w:eastAsia="彩虹粗仿宋" w:hAnsi="宋体"/>
          <w:sz w:val="28"/>
        </w:rPr>
      </w:pPr>
      <w:hyperlink w:anchor="_Toc124325898" w:history="1">
        <w:r w:rsidR="00F50617">
          <w:rPr>
            <w:rStyle w:val="af1"/>
            <w:rFonts w:ascii="彩虹粗仿宋" w:eastAsia="彩虹粗仿宋" w:hAnsi="宋体" w:hint="eastAsia"/>
            <w:color w:val="auto"/>
            <w:sz w:val="28"/>
            <w:szCs w:val="32"/>
            <w:u w:val="none"/>
          </w:rPr>
          <w:t>十四、基金管理人和基金托管人的更换</w:t>
        </w:r>
        <w:r w:rsidR="00F50617">
          <w:rPr>
            <w:rFonts w:ascii="彩虹粗仿宋" w:eastAsia="彩虹粗仿宋" w:hAnsi="宋体" w:hint="eastAsia"/>
            <w:sz w:val="28"/>
          </w:rPr>
          <w:tab/>
        </w:r>
        <w:r w:rsidR="00F50617">
          <w:rPr>
            <w:rFonts w:ascii="彩虹粗仿宋" w:eastAsia="彩虹粗仿宋" w:hAnsi="宋体" w:hint="eastAsia"/>
            <w:sz w:val="28"/>
          </w:rPr>
          <w:fldChar w:fldCharType="begin"/>
        </w:r>
        <w:r w:rsidR="00F50617">
          <w:rPr>
            <w:rFonts w:ascii="彩虹粗仿宋" w:eastAsia="彩虹粗仿宋" w:hAnsi="宋体" w:hint="eastAsia"/>
            <w:sz w:val="28"/>
          </w:rPr>
          <w:instrText xml:space="preserve"> PAGEREF _Toc124325898 \h </w:instrText>
        </w:r>
        <w:r w:rsidR="00F50617">
          <w:rPr>
            <w:rFonts w:ascii="彩虹粗仿宋" w:eastAsia="彩虹粗仿宋" w:hAnsi="宋体" w:hint="eastAsia"/>
            <w:sz w:val="28"/>
          </w:rPr>
        </w:r>
        <w:r w:rsidR="00F50617">
          <w:rPr>
            <w:rFonts w:ascii="彩虹粗仿宋" w:eastAsia="彩虹粗仿宋" w:hAnsi="宋体" w:hint="eastAsia"/>
            <w:sz w:val="28"/>
          </w:rPr>
          <w:fldChar w:fldCharType="separate"/>
        </w:r>
        <w:r w:rsidR="00F50617">
          <w:rPr>
            <w:rFonts w:ascii="彩虹粗仿宋" w:eastAsia="彩虹粗仿宋" w:hAnsi="宋体"/>
            <w:sz w:val="28"/>
          </w:rPr>
          <w:t>33</w:t>
        </w:r>
        <w:r w:rsidR="00F50617">
          <w:rPr>
            <w:rFonts w:ascii="彩虹粗仿宋" w:eastAsia="彩虹粗仿宋" w:hAnsi="宋体" w:hint="eastAsia"/>
            <w:sz w:val="28"/>
          </w:rPr>
          <w:fldChar w:fldCharType="end"/>
        </w:r>
      </w:hyperlink>
    </w:p>
    <w:p w14:paraId="0F32CB23" w14:textId="77777777" w:rsidR="007433DF" w:rsidRDefault="001B6B36">
      <w:pPr>
        <w:pStyle w:val="21"/>
        <w:tabs>
          <w:tab w:val="right" w:leader="dot" w:pos="8494"/>
        </w:tabs>
        <w:spacing w:line="180" w:lineRule="auto"/>
        <w:rPr>
          <w:rFonts w:ascii="彩虹粗仿宋" w:eastAsia="彩虹粗仿宋" w:hAnsi="宋体"/>
          <w:sz w:val="28"/>
        </w:rPr>
      </w:pPr>
      <w:hyperlink w:anchor="_Toc124325899" w:history="1">
        <w:r w:rsidR="00F50617">
          <w:rPr>
            <w:rStyle w:val="af1"/>
            <w:rFonts w:ascii="彩虹粗仿宋" w:eastAsia="彩虹粗仿宋" w:hAnsi="宋体" w:hint="eastAsia"/>
            <w:color w:val="auto"/>
            <w:sz w:val="28"/>
            <w:szCs w:val="32"/>
            <w:u w:val="none"/>
          </w:rPr>
          <w:t>十五、禁止行为</w:t>
        </w:r>
        <w:r w:rsidR="00F50617">
          <w:rPr>
            <w:rFonts w:ascii="彩虹粗仿宋" w:eastAsia="彩虹粗仿宋" w:hAnsi="宋体" w:hint="eastAsia"/>
            <w:sz w:val="28"/>
          </w:rPr>
          <w:tab/>
        </w:r>
        <w:r w:rsidR="00F50617">
          <w:rPr>
            <w:rFonts w:ascii="彩虹粗仿宋" w:eastAsia="彩虹粗仿宋" w:hAnsi="宋体" w:hint="eastAsia"/>
            <w:sz w:val="28"/>
          </w:rPr>
          <w:fldChar w:fldCharType="begin"/>
        </w:r>
        <w:r w:rsidR="00F50617">
          <w:rPr>
            <w:rFonts w:ascii="彩虹粗仿宋" w:eastAsia="彩虹粗仿宋" w:hAnsi="宋体" w:hint="eastAsia"/>
            <w:sz w:val="28"/>
          </w:rPr>
          <w:instrText xml:space="preserve"> PAGEREF _Toc124325899 \h </w:instrText>
        </w:r>
        <w:r w:rsidR="00F50617">
          <w:rPr>
            <w:rFonts w:ascii="彩虹粗仿宋" w:eastAsia="彩虹粗仿宋" w:hAnsi="宋体" w:hint="eastAsia"/>
            <w:sz w:val="28"/>
          </w:rPr>
        </w:r>
        <w:r w:rsidR="00F50617">
          <w:rPr>
            <w:rFonts w:ascii="彩虹粗仿宋" w:eastAsia="彩虹粗仿宋" w:hAnsi="宋体" w:hint="eastAsia"/>
            <w:sz w:val="28"/>
          </w:rPr>
          <w:fldChar w:fldCharType="separate"/>
        </w:r>
        <w:r w:rsidR="00F50617">
          <w:rPr>
            <w:rFonts w:ascii="彩虹粗仿宋" w:eastAsia="彩虹粗仿宋" w:hAnsi="宋体"/>
            <w:sz w:val="28"/>
          </w:rPr>
          <w:t>35</w:t>
        </w:r>
        <w:r w:rsidR="00F50617">
          <w:rPr>
            <w:rFonts w:ascii="彩虹粗仿宋" w:eastAsia="彩虹粗仿宋" w:hAnsi="宋体" w:hint="eastAsia"/>
            <w:sz w:val="28"/>
          </w:rPr>
          <w:fldChar w:fldCharType="end"/>
        </w:r>
      </w:hyperlink>
    </w:p>
    <w:p w14:paraId="2AA7BC5B" w14:textId="77777777" w:rsidR="007433DF" w:rsidRDefault="001B6B36">
      <w:pPr>
        <w:pStyle w:val="21"/>
        <w:tabs>
          <w:tab w:val="right" w:leader="dot" w:pos="8494"/>
        </w:tabs>
        <w:spacing w:line="180" w:lineRule="auto"/>
        <w:rPr>
          <w:rFonts w:ascii="彩虹粗仿宋" w:eastAsia="彩虹粗仿宋" w:hAnsi="宋体"/>
          <w:sz w:val="28"/>
        </w:rPr>
      </w:pPr>
      <w:hyperlink w:anchor="_Toc124325900" w:history="1">
        <w:r w:rsidR="00F50617">
          <w:rPr>
            <w:rStyle w:val="af1"/>
            <w:rFonts w:ascii="彩虹粗仿宋" w:eastAsia="彩虹粗仿宋" w:hAnsi="宋体" w:hint="eastAsia"/>
            <w:color w:val="auto"/>
            <w:sz w:val="28"/>
            <w:szCs w:val="32"/>
            <w:u w:val="none"/>
          </w:rPr>
          <w:t>十六、托管协议的变更、终止与基金财产的清算</w:t>
        </w:r>
        <w:r w:rsidR="00F50617">
          <w:rPr>
            <w:rFonts w:ascii="彩虹粗仿宋" w:eastAsia="彩虹粗仿宋" w:hAnsi="宋体" w:hint="eastAsia"/>
            <w:sz w:val="28"/>
          </w:rPr>
          <w:tab/>
        </w:r>
        <w:r w:rsidR="00F50617">
          <w:rPr>
            <w:rFonts w:ascii="彩虹粗仿宋" w:eastAsia="彩虹粗仿宋" w:hAnsi="宋体" w:hint="eastAsia"/>
            <w:sz w:val="28"/>
          </w:rPr>
          <w:fldChar w:fldCharType="begin"/>
        </w:r>
        <w:r w:rsidR="00F50617">
          <w:rPr>
            <w:rFonts w:ascii="彩虹粗仿宋" w:eastAsia="彩虹粗仿宋" w:hAnsi="宋体" w:hint="eastAsia"/>
            <w:sz w:val="28"/>
          </w:rPr>
          <w:instrText xml:space="preserve"> PAGEREF _Toc124325900 \h </w:instrText>
        </w:r>
        <w:r w:rsidR="00F50617">
          <w:rPr>
            <w:rFonts w:ascii="彩虹粗仿宋" w:eastAsia="彩虹粗仿宋" w:hAnsi="宋体" w:hint="eastAsia"/>
            <w:sz w:val="28"/>
          </w:rPr>
        </w:r>
        <w:r w:rsidR="00F50617">
          <w:rPr>
            <w:rFonts w:ascii="彩虹粗仿宋" w:eastAsia="彩虹粗仿宋" w:hAnsi="宋体" w:hint="eastAsia"/>
            <w:sz w:val="28"/>
          </w:rPr>
          <w:fldChar w:fldCharType="separate"/>
        </w:r>
        <w:r w:rsidR="00F50617">
          <w:rPr>
            <w:rFonts w:ascii="彩虹粗仿宋" w:eastAsia="彩虹粗仿宋" w:hAnsi="宋体"/>
            <w:sz w:val="28"/>
          </w:rPr>
          <w:t>36</w:t>
        </w:r>
        <w:r w:rsidR="00F50617">
          <w:rPr>
            <w:rFonts w:ascii="彩虹粗仿宋" w:eastAsia="彩虹粗仿宋" w:hAnsi="宋体" w:hint="eastAsia"/>
            <w:sz w:val="28"/>
          </w:rPr>
          <w:fldChar w:fldCharType="end"/>
        </w:r>
      </w:hyperlink>
    </w:p>
    <w:p w14:paraId="7FF1C333" w14:textId="77777777" w:rsidR="007433DF" w:rsidRDefault="001B6B36">
      <w:pPr>
        <w:pStyle w:val="21"/>
        <w:tabs>
          <w:tab w:val="right" w:leader="dot" w:pos="8494"/>
        </w:tabs>
        <w:spacing w:line="180" w:lineRule="auto"/>
        <w:rPr>
          <w:rFonts w:ascii="彩虹粗仿宋" w:eastAsia="彩虹粗仿宋" w:hAnsi="宋体"/>
          <w:sz w:val="28"/>
        </w:rPr>
      </w:pPr>
      <w:hyperlink w:anchor="_Toc124325901" w:history="1">
        <w:r w:rsidR="00F50617">
          <w:rPr>
            <w:rStyle w:val="af1"/>
            <w:rFonts w:ascii="彩虹粗仿宋" w:eastAsia="彩虹粗仿宋" w:hAnsi="宋体" w:hint="eastAsia"/>
            <w:color w:val="auto"/>
            <w:sz w:val="28"/>
            <w:szCs w:val="32"/>
            <w:u w:val="none"/>
          </w:rPr>
          <w:t>十七、违约责任</w:t>
        </w:r>
        <w:r w:rsidR="00F50617">
          <w:rPr>
            <w:rFonts w:ascii="彩虹粗仿宋" w:eastAsia="彩虹粗仿宋" w:hAnsi="宋体" w:hint="eastAsia"/>
            <w:sz w:val="28"/>
          </w:rPr>
          <w:tab/>
        </w:r>
        <w:r w:rsidR="00F50617">
          <w:rPr>
            <w:rFonts w:ascii="彩虹粗仿宋" w:eastAsia="彩虹粗仿宋" w:hAnsi="宋体" w:hint="eastAsia"/>
            <w:sz w:val="28"/>
          </w:rPr>
          <w:fldChar w:fldCharType="begin"/>
        </w:r>
        <w:r w:rsidR="00F50617">
          <w:rPr>
            <w:rFonts w:ascii="彩虹粗仿宋" w:eastAsia="彩虹粗仿宋" w:hAnsi="宋体" w:hint="eastAsia"/>
            <w:sz w:val="28"/>
          </w:rPr>
          <w:instrText xml:space="preserve"> PAGEREF _Toc124325901 \h </w:instrText>
        </w:r>
        <w:r w:rsidR="00F50617">
          <w:rPr>
            <w:rFonts w:ascii="彩虹粗仿宋" w:eastAsia="彩虹粗仿宋" w:hAnsi="宋体" w:hint="eastAsia"/>
            <w:sz w:val="28"/>
          </w:rPr>
        </w:r>
        <w:r w:rsidR="00F50617">
          <w:rPr>
            <w:rFonts w:ascii="彩虹粗仿宋" w:eastAsia="彩虹粗仿宋" w:hAnsi="宋体" w:hint="eastAsia"/>
            <w:sz w:val="28"/>
          </w:rPr>
          <w:fldChar w:fldCharType="separate"/>
        </w:r>
        <w:r w:rsidR="00F50617">
          <w:rPr>
            <w:rFonts w:ascii="彩虹粗仿宋" w:eastAsia="彩虹粗仿宋" w:hAnsi="宋体"/>
            <w:sz w:val="28"/>
          </w:rPr>
          <w:t>38</w:t>
        </w:r>
        <w:r w:rsidR="00F50617">
          <w:rPr>
            <w:rFonts w:ascii="彩虹粗仿宋" w:eastAsia="彩虹粗仿宋" w:hAnsi="宋体" w:hint="eastAsia"/>
            <w:sz w:val="28"/>
          </w:rPr>
          <w:fldChar w:fldCharType="end"/>
        </w:r>
      </w:hyperlink>
    </w:p>
    <w:p w14:paraId="78DA7B0D" w14:textId="77777777" w:rsidR="007433DF" w:rsidRDefault="001B6B36">
      <w:pPr>
        <w:pStyle w:val="21"/>
        <w:tabs>
          <w:tab w:val="right" w:leader="dot" w:pos="8494"/>
        </w:tabs>
        <w:spacing w:line="180" w:lineRule="auto"/>
        <w:rPr>
          <w:rFonts w:ascii="彩虹粗仿宋" w:eastAsia="彩虹粗仿宋" w:hAnsi="宋体"/>
          <w:sz w:val="28"/>
        </w:rPr>
      </w:pPr>
      <w:hyperlink w:anchor="_Toc124325902" w:history="1">
        <w:r w:rsidR="00F50617">
          <w:rPr>
            <w:rStyle w:val="af1"/>
            <w:rFonts w:ascii="彩虹粗仿宋" w:eastAsia="彩虹粗仿宋" w:hAnsi="宋体" w:hint="eastAsia"/>
            <w:color w:val="auto"/>
            <w:sz w:val="28"/>
            <w:szCs w:val="32"/>
            <w:u w:val="none"/>
          </w:rPr>
          <w:t>十八、争议解决方式</w:t>
        </w:r>
        <w:r w:rsidR="00F50617">
          <w:rPr>
            <w:rFonts w:ascii="彩虹粗仿宋" w:eastAsia="彩虹粗仿宋" w:hAnsi="宋体" w:hint="eastAsia"/>
            <w:sz w:val="28"/>
          </w:rPr>
          <w:tab/>
        </w:r>
        <w:r w:rsidR="00F50617">
          <w:rPr>
            <w:rFonts w:ascii="彩虹粗仿宋" w:eastAsia="彩虹粗仿宋" w:hAnsi="宋体" w:hint="eastAsia"/>
            <w:sz w:val="28"/>
          </w:rPr>
          <w:fldChar w:fldCharType="begin"/>
        </w:r>
        <w:r w:rsidR="00F50617">
          <w:rPr>
            <w:rFonts w:ascii="彩虹粗仿宋" w:eastAsia="彩虹粗仿宋" w:hAnsi="宋体" w:hint="eastAsia"/>
            <w:sz w:val="28"/>
          </w:rPr>
          <w:instrText xml:space="preserve"> PAGEREF _Toc124325902 \h </w:instrText>
        </w:r>
        <w:r w:rsidR="00F50617">
          <w:rPr>
            <w:rFonts w:ascii="彩虹粗仿宋" w:eastAsia="彩虹粗仿宋" w:hAnsi="宋体" w:hint="eastAsia"/>
            <w:sz w:val="28"/>
          </w:rPr>
        </w:r>
        <w:r w:rsidR="00F50617">
          <w:rPr>
            <w:rFonts w:ascii="彩虹粗仿宋" w:eastAsia="彩虹粗仿宋" w:hAnsi="宋体" w:hint="eastAsia"/>
            <w:sz w:val="28"/>
          </w:rPr>
          <w:fldChar w:fldCharType="separate"/>
        </w:r>
        <w:r w:rsidR="00F50617">
          <w:rPr>
            <w:rFonts w:ascii="彩虹粗仿宋" w:eastAsia="彩虹粗仿宋" w:hAnsi="宋体"/>
            <w:sz w:val="28"/>
          </w:rPr>
          <w:t>39</w:t>
        </w:r>
        <w:r w:rsidR="00F50617">
          <w:rPr>
            <w:rFonts w:ascii="彩虹粗仿宋" w:eastAsia="彩虹粗仿宋" w:hAnsi="宋体" w:hint="eastAsia"/>
            <w:sz w:val="28"/>
          </w:rPr>
          <w:fldChar w:fldCharType="end"/>
        </w:r>
      </w:hyperlink>
    </w:p>
    <w:p w14:paraId="70AFA7EB" w14:textId="77777777" w:rsidR="007433DF" w:rsidRDefault="001B6B36">
      <w:pPr>
        <w:pStyle w:val="21"/>
        <w:tabs>
          <w:tab w:val="right" w:leader="dot" w:pos="8494"/>
        </w:tabs>
        <w:spacing w:line="180" w:lineRule="auto"/>
        <w:rPr>
          <w:rFonts w:ascii="彩虹粗仿宋" w:eastAsia="彩虹粗仿宋" w:hAnsi="宋体"/>
          <w:sz w:val="28"/>
        </w:rPr>
      </w:pPr>
      <w:hyperlink w:anchor="_Toc124325903" w:history="1">
        <w:r w:rsidR="00F50617">
          <w:rPr>
            <w:rStyle w:val="af1"/>
            <w:rFonts w:ascii="彩虹粗仿宋" w:eastAsia="彩虹粗仿宋" w:hAnsi="宋体" w:hint="eastAsia"/>
            <w:color w:val="auto"/>
            <w:sz w:val="28"/>
            <w:szCs w:val="32"/>
            <w:u w:val="none"/>
          </w:rPr>
          <w:t>十九、托管协议的效力</w:t>
        </w:r>
        <w:r w:rsidR="00F50617">
          <w:rPr>
            <w:rFonts w:ascii="彩虹粗仿宋" w:eastAsia="彩虹粗仿宋" w:hAnsi="宋体" w:hint="eastAsia"/>
            <w:sz w:val="28"/>
          </w:rPr>
          <w:tab/>
        </w:r>
        <w:r w:rsidR="00F50617">
          <w:rPr>
            <w:rFonts w:ascii="彩虹粗仿宋" w:eastAsia="彩虹粗仿宋" w:hAnsi="宋体" w:hint="eastAsia"/>
            <w:sz w:val="28"/>
          </w:rPr>
          <w:fldChar w:fldCharType="begin"/>
        </w:r>
        <w:r w:rsidR="00F50617">
          <w:rPr>
            <w:rFonts w:ascii="彩虹粗仿宋" w:eastAsia="彩虹粗仿宋" w:hAnsi="宋体" w:hint="eastAsia"/>
            <w:sz w:val="28"/>
          </w:rPr>
          <w:instrText xml:space="preserve"> PAGEREF _Toc124325903 \h </w:instrText>
        </w:r>
        <w:r w:rsidR="00F50617">
          <w:rPr>
            <w:rFonts w:ascii="彩虹粗仿宋" w:eastAsia="彩虹粗仿宋" w:hAnsi="宋体" w:hint="eastAsia"/>
            <w:sz w:val="28"/>
          </w:rPr>
        </w:r>
        <w:r w:rsidR="00F50617">
          <w:rPr>
            <w:rFonts w:ascii="彩虹粗仿宋" w:eastAsia="彩虹粗仿宋" w:hAnsi="宋体" w:hint="eastAsia"/>
            <w:sz w:val="28"/>
          </w:rPr>
          <w:fldChar w:fldCharType="separate"/>
        </w:r>
        <w:r w:rsidR="00F50617">
          <w:rPr>
            <w:rFonts w:ascii="彩虹粗仿宋" w:eastAsia="彩虹粗仿宋" w:hAnsi="宋体"/>
            <w:sz w:val="28"/>
          </w:rPr>
          <w:t>39</w:t>
        </w:r>
        <w:r w:rsidR="00F50617">
          <w:rPr>
            <w:rFonts w:ascii="彩虹粗仿宋" w:eastAsia="彩虹粗仿宋" w:hAnsi="宋体" w:hint="eastAsia"/>
            <w:sz w:val="28"/>
          </w:rPr>
          <w:fldChar w:fldCharType="end"/>
        </w:r>
      </w:hyperlink>
    </w:p>
    <w:p w14:paraId="1DC9C880" w14:textId="77777777" w:rsidR="007433DF" w:rsidRDefault="001B6B36">
      <w:pPr>
        <w:pStyle w:val="21"/>
        <w:tabs>
          <w:tab w:val="right" w:leader="dot" w:pos="8494"/>
        </w:tabs>
        <w:spacing w:line="180" w:lineRule="auto"/>
        <w:rPr>
          <w:rFonts w:ascii="彩虹粗仿宋" w:eastAsia="彩虹粗仿宋" w:hAnsi="宋体"/>
          <w:sz w:val="28"/>
        </w:rPr>
      </w:pPr>
      <w:hyperlink w:anchor="_Toc124325904" w:history="1">
        <w:r w:rsidR="00F50617">
          <w:rPr>
            <w:rStyle w:val="af1"/>
            <w:rFonts w:ascii="彩虹粗仿宋" w:eastAsia="彩虹粗仿宋" w:hAnsi="宋体" w:hint="eastAsia"/>
            <w:color w:val="auto"/>
            <w:sz w:val="28"/>
            <w:szCs w:val="32"/>
            <w:u w:val="none"/>
          </w:rPr>
          <w:t>二十、其他事项</w:t>
        </w:r>
        <w:r w:rsidR="00F50617">
          <w:rPr>
            <w:rFonts w:ascii="彩虹粗仿宋" w:eastAsia="彩虹粗仿宋" w:hAnsi="宋体" w:hint="eastAsia"/>
            <w:sz w:val="28"/>
          </w:rPr>
          <w:tab/>
        </w:r>
        <w:r w:rsidR="00F50617">
          <w:rPr>
            <w:rFonts w:ascii="彩虹粗仿宋" w:eastAsia="彩虹粗仿宋" w:hAnsi="宋体" w:hint="eastAsia"/>
            <w:sz w:val="28"/>
          </w:rPr>
          <w:fldChar w:fldCharType="begin"/>
        </w:r>
        <w:r w:rsidR="00F50617">
          <w:rPr>
            <w:rFonts w:ascii="彩虹粗仿宋" w:eastAsia="彩虹粗仿宋" w:hAnsi="宋体" w:hint="eastAsia"/>
            <w:sz w:val="28"/>
          </w:rPr>
          <w:instrText xml:space="preserve"> PAGEREF _Toc124325904 \h </w:instrText>
        </w:r>
        <w:r w:rsidR="00F50617">
          <w:rPr>
            <w:rFonts w:ascii="彩虹粗仿宋" w:eastAsia="彩虹粗仿宋" w:hAnsi="宋体" w:hint="eastAsia"/>
            <w:sz w:val="28"/>
          </w:rPr>
        </w:r>
        <w:r w:rsidR="00F50617">
          <w:rPr>
            <w:rFonts w:ascii="彩虹粗仿宋" w:eastAsia="彩虹粗仿宋" w:hAnsi="宋体" w:hint="eastAsia"/>
            <w:sz w:val="28"/>
          </w:rPr>
          <w:fldChar w:fldCharType="separate"/>
        </w:r>
        <w:r w:rsidR="00F50617">
          <w:rPr>
            <w:rFonts w:ascii="彩虹粗仿宋" w:eastAsia="彩虹粗仿宋" w:hAnsi="宋体"/>
            <w:sz w:val="28"/>
          </w:rPr>
          <w:t>40</w:t>
        </w:r>
        <w:r w:rsidR="00F50617">
          <w:rPr>
            <w:rFonts w:ascii="彩虹粗仿宋" w:eastAsia="彩虹粗仿宋" w:hAnsi="宋体" w:hint="eastAsia"/>
            <w:sz w:val="28"/>
          </w:rPr>
          <w:fldChar w:fldCharType="end"/>
        </w:r>
      </w:hyperlink>
    </w:p>
    <w:p w14:paraId="611DA027" w14:textId="77777777" w:rsidR="007433DF" w:rsidRDefault="001B6B36">
      <w:pPr>
        <w:pStyle w:val="21"/>
        <w:tabs>
          <w:tab w:val="right" w:leader="dot" w:pos="8494"/>
        </w:tabs>
        <w:spacing w:line="180" w:lineRule="auto"/>
        <w:rPr>
          <w:rFonts w:ascii="彩虹粗仿宋" w:eastAsia="彩虹粗仿宋" w:hAnsi="宋体"/>
          <w:sz w:val="28"/>
        </w:rPr>
      </w:pPr>
      <w:hyperlink w:anchor="_Toc124325905" w:history="1">
        <w:r w:rsidR="00F50617">
          <w:rPr>
            <w:rStyle w:val="af1"/>
            <w:rFonts w:ascii="彩虹粗仿宋" w:eastAsia="彩虹粗仿宋" w:hAnsi="宋体" w:hint="eastAsia"/>
            <w:color w:val="auto"/>
            <w:sz w:val="28"/>
            <w:szCs w:val="32"/>
            <w:u w:val="none"/>
          </w:rPr>
          <w:t>二十一、托管协议的签订</w:t>
        </w:r>
        <w:r w:rsidR="00F50617">
          <w:rPr>
            <w:rFonts w:ascii="彩虹粗仿宋" w:eastAsia="彩虹粗仿宋" w:hAnsi="宋体" w:hint="eastAsia"/>
            <w:sz w:val="28"/>
          </w:rPr>
          <w:tab/>
        </w:r>
        <w:r w:rsidR="00F50617">
          <w:rPr>
            <w:rFonts w:ascii="彩虹粗仿宋" w:eastAsia="彩虹粗仿宋" w:hAnsi="宋体" w:hint="eastAsia"/>
            <w:sz w:val="28"/>
          </w:rPr>
          <w:fldChar w:fldCharType="begin"/>
        </w:r>
        <w:r w:rsidR="00F50617">
          <w:rPr>
            <w:rFonts w:ascii="彩虹粗仿宋" w:eastAsia="彩虹粗仿宋" w:hAnsi="宋体" w:hint="eastAsia"/>
            <w:sz w:val="28"/>
          </w:rPr>
          <w:instrText xml:space="preserve"> PAGEREF _Toc124325905 \h </w:instrText>
        </w:r>
        <w:r w:rsidR="00F50617">
          <w:rPr>
            <w:rFonts w:ascii="彩虹粗仿宋" w:eastAsia="彩虹粗仿宋" w:hAnsi="宋体" w:hint="eastAsia"/>
            <w:sz w:val="28"/>
          </w:rPr>
        </w:r>
        <w:r w:rsidR="00F50617">
          <w:rPr>
            <w:rFonts w:ascii="彩虹粗仿宋" w:eastAsia="彩虹粗仿宋" w:hAnsi="宋体" w:hint="eastAsia"/>
            <w:sz w:val="28"/>
          </w:rPr>
          <w:fldChar w:fldCharType="separate"/>
        </w:r>
        <w:r w:rsidR="00F50617">
          <w:rPr>
            <w:rFonts w:ascii="彩虹粗仿宋" w:eastAsia="彩虹粗仿宋" w:hAnsi="宋体"/>
            <w:sz w:val="28"/>
          </w:rPr>
          <w:t>40</w:t>
        </w:r>
        <w:r w:rsidR="00F50617">
          <w:rPr>
            <w:rFonts w:ascii="彩虹粗仿宋" w:eastAsia="彩虹粗仿宋" w:hAnsi="宋体" w:hint="eastAsia"/>
            <w:sz w:val="28"/>
          </w:rPr>
          <w:fldChar w:fldCharType="end"/>
        </w:r>
      </w:hyperlink>
    </w:p>
    <w:p w14:paraId="4895E736" w14:textId="77777777" w:rsidR="007433DF" w:rsidRDefault="00F50617">
      <w:pPr>
        <w:rPr>
          <w:rFonts w:ascii="彩虹粗仿宋" w:eastAsia="彩虹粗仿宋"/>
          <w:sz w:val="24"/>
        </w:rPr>
      </w:pPr>
      <w:r>
        <w:rPr>
          <w:rFonts w:ascii="彩虹粗仿宋" w:eastAsia="彩虹粗仿宋" w:hAnsi="宋体" w:hint="eastAsia"/>
          <w:sz w:val="28"/>
        </w:rPr>
        <w:lastRenderedPageBreak/>
        <w:fldChar w:fldCharType="end"/>
      </w:r>
    </w:p>
    <w:p w14:paraId="39D3E3CD" w14:textId="77777777" w:rsidR="007433DF" w:rsidRDefault="00F50617">
      <w:pPr>
        <w:widowControl/>
        <w:adjustRightInd w:val="0"/>
        <w:snapToGrid w:val="0"/>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t>鉴于</w:t>
      </w:r>
      <w:r>
        <w:rPr>
          <w:rFonts w:ascii="彩虹粗仿宋" w:eastAsia="彩虹粗仿宋" w:hAnsi="宋体" w:cs="Arial" w:hint="eastAsia"/>
          <w:sz w:val="24"/>
        </w:rPr>
        <w:t>南方基金管理股份有限公司</w:t>
      </w:r>
      <w:r>
        <w:rPr>
          <w:rFonts w:ascii="彩虹粗仿宋" w:eastAsia="彩虹粗仿宋" w:hAnsi="宋体" w:cs="Arial" w:hint="eastAsia"/>
          <w:kern w:val="0"/>
          <w:sz w:val="24"/>
        </w:rPr>
        <w:t>系一家依照中国法律合法成立并有效存续的股份有限公司，按照相关法律法规的规定具备担任基金管理人的资格和能力，拟募集发行</w:t>
      </w:r>
      <w:r>
        <w:rPr>
          <w:rFonts w:ascii="彩虹粗仿宋" w:eastAsia="彩虹粗仿宋" w:hAnsi="宋体" w:cs="Arial" w:hint="eastAsia"/>
          <w:sz w:val="24"/>
        </w:rPr>
        <w:t>南方稳嘉多元配置3个月持有期混合型基金中基金（FOF）</w:t>
      </w:r>
      <w:r>
        <w:rPr>
          <w:rFonts w:ascii="彩虹粗仿宋" w:eastAsia="彩虹粗仿宋" w:hAnsi="宋体" w:cs="Arial" w:hint="eastAsia"/>
          <w:kern w:val="0"/>
          <w:sz w:val="24"/>
        </w:rPr>
        <w:t>；</w:t>
      </w:r>
    </w:p>
    <w:p w14:paraId="10D6F981" w14:textId="77777777" w:rsidR="007433DF" w:rsidRDefault="00F50617">
      <w:pPr>
        <w:widowControl/>
        <w:adjustRightInd w:val="0"/>
        <w:snapToGrid w:val="0"/>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14:paraId="222E8F06" w14:textId="77777777" w:rsidR="007433DF" w:rsidRDefault="00F50617">
      <w:pPr>
        <w:widowControl/>
        <w:adjustRightInd w:val="0"/>
        <w:snapToGrid w:val="0"/>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t>鉴于</w:t>
      </w:r>
      <w:r>
        <w:rPr>
          <w:rFonts w:ascii="彩虹粗仿宋" w:eastAsia="彩虹粗仿宋" w:hAnsi="宋体" w:cs="Arial" w:hint="eastAsia"/>
          <w:sz w:val="24"/>
        </w:rPr>
        <w:t>南方基金管理股份有限公司</w:t>
      </w:r>
      <w:r>
        <w:rPr>
          <w:rFonts w:ascii="彩虹粗仿宋" w:eastAsia="彩虹粗仿宋" w:hAnsi="宋体" w:cs="Arial" w:hint="eastAsia"/>
          <w:kern w:val="0"/>
          <w:sz w:val="24"/>
        </w:rPr>
        <w:t>拟担任</w:t>
      </w:r>
      <w:r>
        <w:rPr>
          <w:rFonts w:ascii="彩虹粗仿宋" w:eastAsia="彩虹粗仿宋" w:hAnsi="宋体" w:cs="Arial" w:hint="eastAsia"/>
          <w:sz w:val="24"/>
        </w:rPr>
        <w:t>南方稳嘉多元配置3个月持有期混合型基金中基金（FOF）</w:t>
      </w:r>
      <w:r>
        <w:rPr>
          <w:rFonts w:ascii="彩虹粗仿宋" w:eastAsia="彩虹粗仿宋" w:hAnsi="宋体" w:cs="Arial" w:hint="eastAsia"/>
          <w:kern w:val="0"/>
          <w:sz w:val="24"/>
        </w:rPr>
        <w:t>的基金管理人，中国建设银行股份有限公司拟担任</w:t>
      </w:r>
      <w:r>
        <w:rPr>
          <w:rFonts w:ascii="彩虹粗仿宋" w:eastAsia="彩虹粗仿宋" w:hAnsi="宋体" w:cs="Arial" w:hint="eastAsia"/>
          <w:sz w:val="24"/>
        </w:rPr>
        <w:t>南方稳嘉多元配置3个月持有期混合型基金中基金（FOF）</w:t>
      </w:r>
      <w:r>
        <w:rPr>
          <w:rFonts w:ascii="彩虹粗仿宋" w:eastAsia="彩虹粗仿宋" w:hAnsi="宋体" w:cs="Arial" w:hint="eastAsia"/>
          <w:kern w:val="0"/>
          <w:sz w:val="24"/>
        </w:rPr>
        <w:t>的基金托管人；</w:t>
      </w:r>
    </w:p>
    <w:p w14:paraId="6F31A5C1" w14:textId="77777777" w:rsidR="007433DF" w:rsidRDefault="00F50617">
      <w:pPr>
        <w:widowControl/>
        <w:adjustRightInd w:val="0"/>
        <w:snapToGrid w:val="0"/>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t>为明确</w:t>
      </w:r>
      <w:r>
        <w:rPr>
          <w:rFonts w:ascii="彩虹粗仿宋" w:eastAsia="彩虹粗仿宋" w:hAnsi="宋体" w:cs="Arial" w:hint="eastAsia"/>
          <w:sz w:val="24"/>
        </w:rPr>
        <w:t>南方稳嘉多元配置3个月持有期混合型基金中基金（FOF）</w:t>
      </w:r>
      <w:r>
        <w:rPr>
          <w:rFonts w:ascii="彩虹粗仿宋" w:eastAsia="彩虹粗仿宋" w:hAnsi="宋体" w:cs="Arial" w:hint="eastAsia"/>
          <w:kern w:val="0"/>
          <w:sz w:val="24"/>
        </w:rPr>
        <w:t>的基金管理人和基金托管人之间的权利义务关系，特制订本托管协议；</w:t>
      </w:r>
    </w:p>
    <w:p w14:paraId="5EB0CF61" w14:textId="77777777" w:rsidR="007433DF" w:rsidRDefault="00F50617">
      <w:pPr>
        <w:widowControl/>
        <w:adjustRightInd w:val="0"/>
        <w:snapToGrid w:val="0"/>
        <w:ind w:firstLineChars="200" w:firstLine="480"/>
        <w:rPr>
          <w:rFonts w:ascii="彩虹粗仿宋" w:eastAsia="彩虹粗仿宋" w:hAnsi="宋体" w:cs="Arial"/>
          <w:kern w:val="0"/>
          <w:sz w:val="24"/>
          <w:lang w:val="en-GB"/>
        </w:rPr>
      </w:pPr>
      <w:r>
        <w:rPr>
          <w:rFonts w:ascii="彩虹粗仿宋" w:eastAsia="彩虹粗仿宋" w:hAnsi="宋体" w:cs="Arial" w:hint="eastAsia"/>
          <w:kern w:val="0"/>
          <w:sz w:val="24"/>
          <w:lang w:val="en-GB"/>
        </w:rPr>
        <w:t>除非另有约定，《</w:t>
      </w:r>
      <w:r>
        <w:rPr>
          <w:rFonts w:ascii="彩虹粗仿宋" w:eastAsia="彩虹粗仿宋" w:hAnsi="宋体" w:cs="Arial" w:hint="eastAsia"/>
          <w:sz w:val="24"/>
        </w:rPr>
        <w:t>南方稳嘉多元配置3个月持有期混合型基金中基金（FOF）</w:t>
      </w:r>
      <w:r>
        <w:rPr>
          <w:rFonts w:ascii="彩虹粗仿宋" w:eastAsia="彩虹粗仿宋" w:hAnsi="宋体" w:cs="Arial" w:hint="eastAsia"/>
          <w:kern w:val="0"/>
          <w:sz w:val="24"/>
          <w:lang w:val="en-GB"/>
        </w:rPr>
        <w:t>基金合同》(以下简称“基金合同”或“《基金合同》”)中定义的术语在用于本托管协议时应具有相同的含义；若有抵触应以《基金合同》为准，并依其</w:t>
      </w:r>
      <w:r>
        <w:rPr>
          <w:rFonts w:ascii="彩虹粗仿宋" w:eastAsia="彩虹粗仿宋" w:hAnsi="宋体" w:cs="Arial" w:hint="eastAsia"/>
          <w:kern w:val="0"/>
          <w:sz w:val="24"/>
        </w:rPr>
        <w:t>条款</w:t>
      </w:r>
      <w:r>
        <w:rPr>
          <w:rFonts w:ascii="彩虹粗仿宋" w:eastAsia="彩虹粗仿宋" w:hAnsi="宋体" w:cs="Arial" w:hint="eastAsia"/>
          <w:kern w:val="0"/>
          <w:sz w:val="24"/>
          <w:lang w:val="en-GB"/>
        </w:rPr>
        <w:t>解释。</w:t>
      </w:r>
    </w:p>
    <w:p w14:paraId="4010963A" w14:textId="77777777" w:rsidR="007433DF" w:rsidRDefault="007433DF">
      <w:pPr>
        <w:rPr>
          <w:rFonts w:ascii="彩虹粗仿宋" w:eastAsia="彩虹粗仿宋"/>
          <w:sz w:val="24"/>
          <w:lang w:val="en-GB"/>
        </w:rPr>
      </w:pPr>
    </w:p>
    <w:p w14:paraId="57600EAD" w14:textId="77777777" w:rsidR="007433DF" w:rsidRDefault="00F50617">
      <w:pPr>
        <w:pStyle w:val="2"/>
        <w:jc w:val="center"/>
        <w:rPr>
          <w:rFonts w:ascii="彩虹粗仿宋" w:eastAsia="彩虹粗仿宋"/>
        </w:rPr>
      </w:pPr>
      <w:bookmarkStart w:id="1" w:name="_Toc124325885"/>
      <w:r>
        <w:rPr>
          <w:rFonts w:ascii="彩虹粗仿宋" w:eastAsia="彩虹粗仿宋" w:hint="eastAsia"/>
        </w:rPr>
        <w:t>一、基金托管协议当事人</w:t>
      </w:r>
      <w:bookmarkEnd w:id="1"/>
    </w:p>
    <w:p w14:paraId="1B1FFA5C" w14:textId="77777777" w:rsidR="007433DF" w:rsidRDefault="00F50617">
      <w:pPr>
        <w:ind w:firstLineChars="200" w:firstLine="480"/>
        <w:rPr>
          <w:rFonts w:ascii="彩虹粗仿宋" w:eastAsia="彩虹粗仿宋" w:hAnsi="宋体" w:cs="Arial"/>
          <w:sz w:val="24"/>
        </w:rPr>
      </w:pPr>
      <w:r>
        <w:rPr>
          <w:rFonts w:ascii="彩虹粗仿宋" w:eastAsia="彩虹粗仿宋" w:hAnsi="宋体" w:cs="Arial" w:hint="eastAsia"/>
          <w:sz w:val="24"/>
        </w:rPr>
        <w:t>（一）基金管理人</w:t>
      </w:r>
    </w:p>
    <w:p w14:paraId="34D46A66"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名称：南方基金管理股份有限公司</w:t>
      </w:r>
    </w:p>
    <w:p w14:paraId="54028FC3"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注册地址：深圳市福田区莲花街道益田路5999号基金大厦32-42楼</w:t>
      </w:r>
    </w:p>
    <w:p w14:paraId="01521B56"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办公地址：深圳市福田区莲花街道益田路5999号基金大厦32-42楼</w:t>
      </w:r>
    </w:p>
    <w:p w14:paraId="45EF7082"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邮政编码：518048</w:t>
      </w:r>
    </w:p>
    <w:p w14:paraId="0DBC02E6"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法定代表人：周易</w:t>
      </w:r>
    </w:p>
    <w:p w14:paraId="00C7DE11"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成立日期：1998年3月6日</w:t>
      </w:r>
    </w:p>
    <w:p w14:paraId="0E9EE19C"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批准设立机关及批准设立文号：中国证券监督管理委员会证监基字[1998]4号</w:t>
      </w:r>
    </w:p>
    <w:p w14:paraId="0041D054"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组织形式：股份有限公司</w:t>
      </w:r>
    </w:p>
    <w:p w14:paraId="77E1DD66"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注册资本：人民币3.6172亿元</w:t>
      </w:r>
    </w:p>
    <w:p w14:paraId="2EF78110"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存续期间：持续经营</w:t>
      </w:r>
    </w:p>
    <w:p w14:paraId="681F1BC0"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经营范围：基金募集、基金销售、资产管理、中国证监会许可的其他业务</w:t>
      </w:r>
    </w:p>
    <w:p w14:paraId="0C7885E5"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（二）基金托管人</w:t>
      </w:r>
    </w:p>
    <w:p w14:paraId="06B56050"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名称：中国建设银行股份有限公司</w:t>
      </w:r>
    </w:p>
    <w:p w14:paraId="773C806D"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住所：北京市西城区金融大街25号</w:t>
      </w:r>
    </w:p>
    <w:p w14:paraId="6717CB9C"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办公地址：北京市西城区闹市口大街1号院1号楼</w:t>
      </w:r>
    </w:p>
    <w:p w14:paraId="16EAFCD0"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邮政编码：100033</w:t>
      </w:r>
    </w:p>
    <w:p w14:paraId="4FF16292"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法定代表人：张金良</w:t>
      </w:r>
    </w:p>
    <w:p w14:paraId="7A5F5EEA"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成立日期：2004年9月17日</w:t>
      </w:r>
    </w:p>
    <w:p w14:paraId="37C93C15"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批准设立机关和批准设立文号：中国银行业监督管理委员会银监复[2004]143号</w:t>
      </w:r>
    </w:p>
    <w:p w14:paraId="3E12BBE2"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基金托管业务批准文号：中国证监会证监基字[1998</w:t>
      </w:r>
      <w:bookmarkStart w:id="2" w:name="OLE_LINK3"/>
      <w:r>
        <w:rPr>
          <w:rFonts w:ascii="彩虹粗仿宋" w:eastAsia="彩虹粗仿宋" w:hAnsi="宋体" w:cs="Arial" w:hint="eastAsia"/>
          <w:sz w:val="24"/>
        </w:rPr>
        <w:t>]</w:t>
      </w:r>
      <w:bookmarkEnd w:id="2"/>
      <w:r>
        <w:rPr>
          <w:rFonts w:ascii="彩虹粗仿宋" w:eastAsia="彩虹粗仿宋" w:hAnsi="宋体" w:cs="Arial" w:hint="eastAsia"/>
          <w:sz w:val="24"/>
        </w:rPr>
        <w:t>12号</w:t>
      </w:r>
    </w:p>
    <w:p w14:paraId="6FBEA72A"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组织形式：股份有限公司</w:t>
      </w:r>
    </w:p>
    <w:p w14:paraId="001FDCD7"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注册资本：人民币</w:t>
      </w:r>
      <w:r>
        <w:rPr>
          <w:rFonts w:ascii="彩虹粗仿宋" w:eastAsia="彩虹粗仿宋" w:hint="eastAsia"/>
          <w:sz w:val="24"/>
        </w:rPr>
        <w:t>贰仟伍佰亿壹仟零玖拾柒万柒仟肆佰捌拾陆元整</w:t>
      </w:r>
    </w:p>
    <w:p w14:paraId="6167CAD7"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存续期间：持续经营</w:t>
      </w:r>
    </w:p>
    <w:p w14:paraId="65DD96C9" w14:textId="77777777" w:rsidR="007433DF" w:rsidRDefault="00F50617">
      <w:pPr>
        <w:tabs>
          <w:tab w:val="left" w:pos="540"/>
        </w:tabs>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00EE8ED7" w14:textId="77777777" w:rsidR="007433DF" w:rsidRDefault="007433DF">
      <w:pPr>
        <w:rPr>
          <w:rFonts w:ascii="彩虹粗仿宋" w:eastAsia="彩虹粗仿宋"/>
          <w:sz w:val="24"/>
        </w:rPr>
      </w:pPr>
    </w:p>
    <w:p w14:paraId="5AEA7E35" w14:textId="77777777" w:rsidR="007433DF" w:rsidRDefault="00F50617">
      <w:pPr>
        <w:pStyle w:val="2"/>
        <w:jc w:val="center"/>
        <w:rPr>
          <w:rFonts w:ascii="彩虹粗仿宋" w:eastAsia="彩虹粗仿宋"/>
          <w:sz w:val="30"/>
        </w:rPr>
      </w:pPr>
      <w:bookmarkStart w:id="3" w:name="_Toc124325886"/>
      <w:r>
        <w:rPr>
          <w:rFonts w:ascii="彩虹粗仿宋" w:eastAsia="彩虹粗仿宋" w:hint="eastAsia"/>
          <w:sz w:val="30"/>
        </w:rPr>
        <w:t>二、基金托管协议的依据、目的和原则</w:t>
      </w:r>
      <w:bookmarkEnd w:id="3"/>
    </w:p>
    <w:p w14:paraId="70F8A89E" w14:textId="77777777" w:rsidR="007433DF" w:rsidRDefault="00F50617">
      <w:pPr>
        <w:adjustRightInd w:val="0"/>
        <w:snapToGrid w:val="0"/>
        <w:ind w:firstLineChars="200" w:firstLine="480"/>
        <w:rPr>
          <w:rFonts w:ascii="彩虹粗仿宋" w:eastAsia="彩虹粗仿宋"/>
          <w:sz w:val="24"/>
          <w:szCs w:val="30"/>
        </w:rPr>
      </w:pPr>
      <w:r>
        <w:rPr>
          <w:rFonts w:ascii="彩虹粗仿宋" w:eastAsia="彩虹粗仿宋" w:hAnsi="宋体" w:cs="Arial" w:hint="eastAsia"/>
          <w:sz w:val="24"/>
        </w:rPr>
        <w:t>（一）订立托管协议的依据</w:t>
      </w:r>
    </w:p>
    <w:p w14:paraId="0E69BA40"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协议依据《中华人民共和国民法典》、《中华人民共和国证券法》（以下简称“《证券法》”）、《中华人民共和国证券投资基金法》(以下简称“《基金法》”)、《公开募集证券投资基金运作管理办法》（以下简称“《运作办法》”）、《公开募集证券投资基金信息披露管理办法》（以下简称“《信息披露办法》”）、</w:t>
      </w:r>
      <w:r>
        <w:rPr>
          <w:rFonts w:ascii="彩虹粗仿宋" w:eastAsia="彩虹粗仿宋" w:hAnsi="宋体" w:cs="Arial"/>
          <w:sz w:val="24"/>
        </w:rPr>
        <w:t>《公开募集开放式证券投资基金流动性风险管理规定》（以下简称</w:t>
      </w:r>
      <w:r>
        <w:rPr>
          <w:rFonts w:ascii="彩虹粗仿宋" w:eastAsia="彩虹粗仿宋" w:hAnsi="宋体" w:cs="Arial" w:hint="eastAsia"/>
          <w:sz w:val="24"/>
        </w:rPr>
        <w:t>“</w:t>
      </w:r>
      <w:r>
        <w:rPr>
          <w:rFonts w:ascii="彩虹粗仿宋" w:eastAsia="彩虹粗仿宋" w:hAnsi="宋体" w:cs="Arial"/>
          <w:sz w:val="24"/>
        </w:rPr>
        <w:t>《流动性风险</w:t>
      </w:r>
      <w:r>
        <w:rPr>
          <w:rFonts w:ascii="彩虹粗仿宋" w:eastAsia="彩虹粗仿宋" w:hAnsi="宋体" w:cs="Arial" w:hint="eastAsia"/>
          <w:sz w:val="24"/>
        </w:rPr>
        <w:t>管理</w:t>
      </w:r>
      <w:r>
        <w:rPr>
          <w:rFonts w:ascii="彩虹粗仿宋" w:eastAsia="彩虹粗仿宋" w:hAnsi="宋体" w:cs="Arial"/>
          <w:sz w:val="24"/>
        </w:rPr>
        <w:t>规定》</w:t>
      </w:r>
      <w:r>
        <w:rPr>
          <w:rFonts w:ascii="彩虹粗仿宋" w:eastAsia="彩虹粗仿宋" w:hAnsi="宋体" w:cs="Arial" w:hint="eastAsia"/>
          <w:sz w:val="24"/>
        </w:rPr>
        <w:t>”</w:t>
      </w:r>
      <w:r>
        <w:rPr>
          <w:rFonts w:ascii="彩虹粗仿宋" w:eastAsia="彩虹粗仿宋" w:hAnsi="宋体" w:cs="Arial"/>
          <w:sz w:val="24"/>
        </w:rPr>
        <w:t>）</w:t>
      </w:r>
      <w:r>
        <w:rPr>
          <w:rFonts w:ascii="彩虹粗仿宋" w:eastAsia="彩虹粗仿宋" w:hAnsi="宋体" w:cs="Arial" w:hint="eastAsia"/>
          <w:sz w:val="24"/>
        </w:rPr>
        <w:t>等有关法律法规、《基金合同》及其他有关规定制订。</w:t>
      </w:r>
    </w:p>
    <w:p w14:paraId="091ADEAD"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（二）订立托管协议的目的</w:t>
      </w:r>
    </w:p>
    <w:p w14:paraId="66DD59E1" w14:textId="77777777" w:rsidR="007433DF" w:rsidRDefault="00F50617">
      <w:pPr>
        <w:adjustRightInd w:val="0"/>
        <w:snapToGrid w:val="0"/>
        <w:ind w:firstLineChars="200" w:firstLine="480"/>
        <w:rPr>
          <w:rFonts w:ascii="彩虹粗仿宋" w:eastAsia="彩虹粗仿宋"/>
          <w:sz w:val="24"/>
          <w:szCs w:val="30"/>
        </w:rPr>
      </w:pPr>
      <w:r>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54CDEE12"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（三）订立托管协议的原则</w:t>
      </w:r>
    </w:p>
    <w:p w14:paraId="7B330080"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基金管理人和基金托管人本着平等自愿、诚实信用、充分保护基金份额持有人合法权益的原则，经协商一致，签订本协议。</w:t>
      </w:r>
    </w:p>
    <w:p w14:paraId="6EA73824"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（四）若本基金实施侧袋机制的，侧袋机制实施期间的相关安排见基金合同</w:t>
      </w:r>
      <w:r>
        <w:rPr>
          <w:rFonts w:ascii="彩虹粗仿宋" w:eastAsia="彩虹粗仿宋" w:hAnsi="宋体" w:cs="Arial" w:hint="eastAsia"/>
          <w:sz w:val="24"/>
        </w:rPr>
        <w:lastRenderedPageBreak/>
        <w:t>和招募说明书的规定。</w:t>
      </w:r>
    </w:p>
    <w:p w14:paraId="2021B0D8" w14:textId="77777777" w:rsidR="007433DF" w:rsidRDefault="007433DF">
      <w:pPr>
        <w:rPr>
          <w:rFonts w:ascii="彩虹粗仿宋" w:eastAsia="彩虹粗仿宋"/>
          <w:sz w:val="24"/>
        </w:rPr>
      </w:pPr>
    </w:p>
    <w:p w14:paraId="478A1A5F" w14:textId="77777777" w:rsidR="007433DF" w:rsidRDefault="00F50617">
      <w:pPr>
        <w:pStyle w:val="2"/>
        <w:jc w:val="center"/>
        <w:rPr>
          <w:rFonts w:ascii="彩虹粗仿宋" w:eastAsia="彩虹粗仿宋"/>
          <w:sz w:val="30"/>
          <w:szCs w:val="24"/>
        </w:rPr>
      </w:pPr>
      <w:bookmarkStart w:id="4" w:name="_Toc124325887"/>
      <w:bookmarkStart w:id="5" w:name="_Hlk193011786"/>
      <w:r>
        <w:rPr>
          <w:rFonts w:ascii="彩虹粗仿宋" w:eastAsia="彩虹粗仿宋" w:hint="eastAsia"/>
          <w:sz w:val="30"/>
        </w:rPr>
        <w:t>三、基金托管人对基金管理人的业务监督和核查</w:t>
      </w:r>
      <w:bookmarkEnd w:id="4"/>
    </w:p>
    <w:p w14:paraId="1822886E"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将拟投资的标的证券库提供给基金托管人，基金管理人可以根据实际情况的变化，对标的证券库予以更新和调整并及时书面通知基金托管人。基金托管人根据上述投资范围对基金实际投资是否符合《基金合同》关于证券选择标准的约定进行监督。</w:t>
      </w:r>
    </w:p>
    <w:p w14:paraId="08E28E3B"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投资于依法发行或上市的基金、股票、债券等金融工具及法律法规或中国证监会允许基金投资的其他金融工具。具体包括：经中国证监会依法核准或注册的公开募集的基金份额（含QDII、香港互认基金、商品基金（含商品期货基金和黄金ETF）、公开募集基础设施证券投资基金（以下简称“公募REITs”））、股票（包含主板、创业板及其他经中国证监会核准或注册上市的股票、存托凭证（下同））、内地与香港股票市场交易互联互通机制允许买卖的香港证券市场股票和交易型开放式基金（以下分别简称</w:t>
      </w:r>
      <w:r>
        <w:rPr>
          <w:rFonts w:ascii="彩虹粗仿宋" w:eastAsia="彩虹粗仿宋" w:hAnsi="宋体" w:cs="Arial"/>
          <w:sz w:val="24"/>
        </w:rPr>
        <w:t>“</w:t>
      </w:r>
      <w:r>
        <w:rPr>
          <w:rFonts w:ascii="彩虹粗仿宋" w:eastAsia="彩虹粗仿宋" w:hAnsi="宋体" w:cs="Arial" w:hint="eastAsia"/>
          <w:sz w:val="24"/>
        </w:rPr>
        <w:t>港股通标的股票</w:t>
      </w:r>
      <w:r>
        <w:rPr>
          <w:rFonts w:ascii="彩虹粗仿宋" w:eastAsia="彩虹粗仿宋" w:hAnsi="宋体" w:cs="Arial"/>
          <w:sz w:val="24"/>
        </w:rPr>
        <w:t>”</w:t>
      </w:r>
      <w:r>
        <w:rPr>
          <w:rFonts w:ascii="彩虹粗仿宋" w:eastAsia="彩虹粗仿宋" w:hAnsi="宋体" w:cs="Arial" w:hint="eastAsia"/>
          <w:sz w:val="24"/>
        </w:rPr>
        <w:t>、</w:t>
      </w:r>
      <w:r>
        <w:rPr>
          <w:rFonts w:ascii="彩虹粗仿宋" w:eastAsia="彩虹粗仿宋" w:hAnsi="宋体" w:cs="Arial"/>
          <w:sz w:val="24"/>
        </w:rPr>
        <w:t>“</w:t>
      </w:r>
      <w:r>
        <w:rPr>
          <w:rFonts w:ascii="彩虹粗仿宋" w:eastAsia="彩虹粗仿宋" w:hAnsi="宋体" w:cs="Arial" w:hint="eastAsia"/>
          <w:sz w:val="24"/>
        </w:rPr>
        <w:t>港股通</w:t>
      </w:r>
      <w:r>
        <w:rPr>
          <w:rFonts w:ascii="彩虹粗仿宋" w:eastAsia="彩虹粗仿宋" w:hAnsi="宋体" w:cs="Arial"/>
          <w:sz w:val="24"/>
        </w:rPr>
        <w:t>ETF</w:t>
      </w:r>
      <w:r>
        <w:rPr>
          <w:rFonts w:ascii="彩虹粗仿宋" w:eastAsia="彩虹粗仿宋" w:hAnsi="宋体" w:cs="Arial"/>
          <w:sz w:val="24"/>
        </w:rPr>
        <w:t>”</w:t>
      </w:r>
      <w:r>
        <w:rPr>
          <w:rFonts w:ascii="彩虹粗仿宋" w:eastAsia="彩虹粗仿宋" w:hAnsi="宋体" w:cs="Arial" w:hint="eastAsia"/>
          <w:sz w:val="24"/>
        </w:rPr>
        <w:t>）、债券（包括国内依法发行的国债、央行票据、金融债券、企业债券、公司债券、中期票据、短期融资券、超短期融资券、公开发行的次级债券、政府支持机构债、政府支持债券、地方政府债、可转换债券、可交换债券及其他经中国证监会允许投资的债券）、资产支持证券、债券回购、银行存款（包括协议存款、定期存款以及其他银行存款）、同业存单、货币市场工具，以及法律法规或中国证监会允许基金投资的其他金融工具（但须符合中国证监会的相关规定）。</w:t>
      </w:r>
    </w:p>
    <w:p w14:paraId="767725C7"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如法律法规或监管机构以后允许基金投资其他品种，基金管理人在履行适当程序后，可以将其纳入投资范围。</w:t>
      </w:r>
    </w:p>
    <w:p w14:paraId="53F133E9"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的投资组合比例为：80%以上基金资产投资于其他经中国证监会依法核准或注册的公开募集的基金份额。基金投资于股票（含存托凭证）、股票型基金、混合型基金（指基金合同中约定股票投资占基金资产的比例为60%以上或者最近四个季度披露的股票投资占基金资产的比例均在60%以上的混合型基金）合计占基金资产的比例为5%-30%（其中，本基金投资于境内的股票、股票型基金、混合型基金（指基金合同中约定股票投资占基金资产的比例为60%以上或者最近四个季度披露的股票投资占基金资产的比例均在60%以上的混合型基金）合计比例不低于基金资产的5%），本基金投资于港股通标的股票的比例不超过股票资产的</w:t>
      </w:r>
      <w:r>
        <w:rPr>
          <w:rFonts w:ascii="彩虹粗仿宋" w:eastAsia="彩虹粗仿宋" w:hAnsi="宋体" w:cs="Arial" w:hint="eastAsia"/>
          <w:sz w:val="24"/>
        </w:rPr>
        <w:lastRenderedPageBreak/>
        <w:t>50%。本基金投资于Q</w:t>
      </w:r>
      <w:r>
        <w:rPr>
          <w:rFonts w:ascii="彩虹粗仿宋" w:eastAsia="彩虹粗仿宋" w:hAnsi="宋体" w:cs="Arial"/>
          <w:sz w:val="24"/>
        </w:rPr>
        <w:t>DII</w:t>
      </w:r>
      <w:r>
        <w:rPr>
          <w:rFonts w:ascii="彩虹粗仿宋" w:eastAsia="彩虹粗仿宋" w:hAnsi="宋体" w:cs="Arial" w:hint="eastAsia"/>
          <w:sz w:val="24"/>
        </w:rPr>
        <w:t>基金和香港互认基金的比例不超过基金资产的20%。货币市场基金投资占基金资产比例不超过15%。本基金保留的现金或到期日在一年以内的政府债券的比例合计不低于基金资产净值的5%，其中现金不包括结算备付金、存出保证金、应收申购款等。</w:t>
      </w:r>
    </w:p>
    <w:p w14:paraId="67614BC8"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如果法律法规或中国证监会变更投资品种的投资比例限制，基金管理人在履行适当程序后，可以调整上述投资品种的投资比例。</w:t>
      </w:r>
    </w:p>
    <w:p w14:paraId="3D955F03"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（二）基金托管人根据有关法律法规的规定及《基金合同》和本协议的约定，对基金投资比例进行监督。基金托管人按下述比例和调整期限进行监督：</w:t>
      </w:r>
    </w:p>
    <w:p w14:paraId="23093B71"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（1）</w:t>
      </w:r>
      <w:r>
        <w:rPr>
          <w:rFonts w:ascii="彩虹粗仿宋" w:eastAsia="彩虹粗仿宋" w:hAnsi="宋体" w:cs="Arial" w:hint="eastAsia"/>
          <w:sz w:val="24"/>
        </w:rPr>
        <w:t>本基金80%以上基金资产投资于其他经中国证监会依法核准或注册的公开募集的基金份额。本基金投资于股票（含存托凭证）、股票型基金、混合型基金（指基金合同中约定股票投资占基金资产的比例为60%以上或者最近四个季度披露的股票投资占基金资产的比例均在60%以上的混合型基金）合计占基金资产的比例为5%-30%（其中，本基金投资于境内的股票、股票型基金、混合型基金（指基金合同中约定股票投资占基金资产的比例为60%以上或者最近四个季度披露的股票投资占基金资产的比例均在60%以上的混合型基金）合计比例不低于基金资产的5%），本基金投资于港股通标的股票的比例不超过股票资产的50%。本基金投资于Q</w:t>
      </w:r>
      <w:r>
        <w:rPr>
          <w:rFonts w:ascii="彩虹粗仿宋" w:eastAsia="彩虹粗仿宋" w:hAnsi="宋体" w:cs="Arial"/>
          <w:sz w:val="24"/>
        </w:rPr>
        <w:t>DII</w:t>
      </w:r>
      <w:r>
        <w:rPr>
          <w:rFonts w:ascii="彩虹粗仿宋" w:eastAsia="彩虹粗仿宋" w:hAnsi="宋体" w:cs="Arial" w:hint="eastAsia"/>
          <w:sz w:val="24"/>
        </w:rPr>
        <w:t>基金和香港互认基金的比例不超过基金资产的20%；</w:t>
      </w:r>
    </w:p>
    <w:p w14:paraId="343A1A5E"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w:t>
      </w:r>
      <w:r>
        <w:rPr>
          <w:rFonts w:ascii="彩虹粗仿宋" w:eastAsia="彩虹粗仿宋" w:hAnsi="宋体" w:cs="Arial" w:hint="eastAsia"/>
          <w:sz w:val="24"/>
        </w:rPr>
        <w:t>2</w:t>
      </w:r>
      <w:r>
        <w:rPr>
          <w:rFonts w:ascii="彩虹粗仿宋" w:eastAsia="彩虹粗仿宋" w:hAnsi="宋体" w:cs="Arial"/>
          <w:sz w:val="24"/>
        </w:rPr>
        <w:t>）本</w:t>
      </w:r>
      <w:r>
        <w:rPr>
          <w:rFonts w:ascii="彩虹粗仿宋" w:eastAsia="彩虹粗仿宋" w:hAnsi="宋体" w:cs="Arial" w:hint="eastAsia"/>
          <w:sz w:val="24"/>
        </w:rPr>
        <w:t>基金保留的现金或到期日在一年以内的政府债券的比例合计不低于基金资产净值的5%，其中现金不包括结算备付金、存出保证金、应收申购款等；</w:t>
      </w:r>
    </w:p>
    <w:p w14:paraId="34126A75"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w:t>
      </w:r>
      <w:r>
        <w:rPr>
          <w:rFonts w:ascii="彩虹粗仿宋" w:eastAsia="彩虹粗仿宋" w:hAnsi="宋体" w:cs="Arial" w:hint="eastAsia"/>
          <w:sz w:val="24"/>
        </w:rPr>
        <w:t>3</w:t>
      </w:r>
      <w:r>
        <w:rPr>
          <w:rFonts w:ascii="彩虹粗仿宋" w:eastAsia="彩虹粗仿宋" w:hAnsi="宋体" w:cs="Arial"/>
          <w:sz w:val="24"/>
        </w:rPr>
        <w:t>）</w:t>
      </w:r>
      <w:r>
        <w:rPr>
          <w:rFonts w:ascii="彩虹粗仿宋" w:eastAsia="彩虹粗仿宋" w:hAnsi="宋体" w:cs="Arial" w:hint="eastAsia"/>
          <w:sz w:val="24"/>
        </w:rPr>
        <w:t>本基金持有单只基金的市值，不高于本基金资产净值的20%，且不得持有其他基金中基金；</w:t>
      </w:r>
    </w:p>
    <w:p w14:paraId="418AC9F8"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（4）本基金投资其他基金时，被投资基金的运作期限不少于</w:t>
      </w:r>
      <w:r>
        <w:rPr>
          <w:rFonts w:ascii="彩虹粗仿宋" w:eastAsia="彩虹粗仿宋" w:hAnsi="宋体" w:cs="Arial"/>
          <w:sz w:val="24"/>
        </w:rPr>
        <w:t>1</w:t>
      </w:r>
      <w:r>
        <w:rPr>
          <w:rFonts w:ascii="彩虹粗仿宋" w:eastAsia="彩虹粗仿宋" w:hAnsi="宋体" w:cs="Arial" w:hint="eastAsia"/>
          <w:sz w:val="24"/>
        </w:rPr>
        <w:t>年，最近定期披露的基金净资产应当不低于1亿元；</w:t>
      </w:r>
    </w:p>
    <w:p w14:paraId="0473032B"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5</w:t>
      </w:r>
      <w:r>
        <w:rPr>
          <w:rFonts w:ascii="彩虹粗仿宋" w:eastAsia="彩虹粗仿宋" w:hAnsi="宋体" w:cs="Arial" w:hint="eastAsia"/>
          <w:sz w:val="24"/>
        </w:rPr>
        <w:t>）本基金管理人管理且在本基金托管人处托管的全部基金（ETF联接基金除外）持有单只基金不超过被投资基金净资产的20%，被投资基金净资产规模以最近定期报告披露的规模为准；</w:t>
      </w:r>
    </w:p>
    <w:p w14:paraId="4B4D3474"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6</w:t>
      </w:r>
      <w:r>
        <w:rPr>
          <w:rFonts w:ascii="彩虹粗仿宋" w:eastAsia="彩虹粗仿宋" w:hAnsi="宋体" w:cs="Arial" w:hint="eastAsia"/>
          <w:sz w:val="24"/>
        </w:rPr>
        <w:t>）本基金投资于流通受限基金不高于本基金资产净值的10%；流通受限基金是指封闭运作基金、定期开放基金等由基金合同规定明确在一定期限内不可赎回的基金；</w:t>
      </w:r>
    </w:p>
    <w:p w14:paraId="6BE229F1"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7</w:t>
      </w:r>
      <w:r>
        <w:rPr>
          <w:rFonts w:ascii="彩虹粗仿宋" w:eastAsia="彩虹粗仿宋" w:hAnsi="宋体" w:cs="Arial" w:hint="eastAsia"/>
          <w:sz w:val="24"/>
        </w:rPr>
        <w:t>）</w:t>
      </w:r>
      <w:r>
        <w:rPr>
          <w:rFonts w:ascii="彩虹粗仿宋" w:eastAsia="彩虹粗仿宋" w:hAnsi="宋体" w:cs="Arial"/>
          <w:sz w:val="24"/>
        </w:rPr>
        <w:t>本基金持有一家公司</w:t>
      </w:r>
      <w:r>
        <w:rPr>
          <w:rFonts w:ascii="彩虹粗仿宋" w:eastAsia="彩虹粗仿宋" w:hAnsi="宋体" w:cs="Arial" w:hint="eastAsia"/>
          <w:sz w:val="24"/>
        </w:rPr>
        <w:t>发行</w:t>
      </w:r>
      <w:r>
        <w:rPr>
          <w:rFonts w:ascii="彩虹粗仿宋" w:eastAsia="彩虹粗仿宋" w:hAnsi="宋体" w:cs="Arial"/>
          <w:sz w:val="24"/>
        </w:rPr>
        <w:t>的</w:t>
      </w:r>
      <w:r>
        <w:rPr>
          <w:rFonts w:ascii="彩虹粗仿宋" w:eastAsia="彩虹粗仿宋" w:hAnsi="宋体" w:cs="Arial" w:hint="eastAsia"/>
          <w:sz w:val="24"/>
        </w:rPr>
        <w:t>证券（同一家公司在内地和香港同时上市的A+H股合并计算且不含本基金所投资的基金份额）</w:t>
      </w:r>
      <w:r>
        <w:rPr>
          <w:rFonts w:ascii="彩虹粗仿宋" w:eastAsia="彩虹粗仿宋" w:hAnsi="宋体" w:cs="Arial"/>
          <w:sz w:val="24"/>
        </w:rPr>
        <w:t>，其市值不超过基金资产净值的10％；</w:t>
      </w:r>
    </w:p>
    <w:p w14:paraId="5E7000A7"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（8）本基金管理人管理</w:t>
      </w:r>
      <w:r>
        <w:rPr>
          <w:rFonts w:ascii="彩虹粗仿宋" w:eastAsia="彩虹粗仿宋" w:hAnsi="宋体" w:cs="Arial" w:hint="eastAsia"/>
          <w:sz w:val="24"/>
        </w:rPr>
        <w:t>且在本基金托管人处托管</w:t>
      </w:r>
      <w:r>
        <w:rPr>
          <w:rFonts w:ascii="彩虹粗仿宋" w:eastAsia="彩虹粗仿宋" w:hAnsi="宋体" w:cs="Arial"/>
          <w:sz w:val="24"/>
        </w:rPr>
        <w:t>的全部基金持有一家公司发行的证券</w:t>
      </w:r>
      <w:r>
        <w:rPr>
          <w:rFonts w:ascii="彩虹粗仿宋" w:eastAsia="彩虹粗仿宋" w:hAnsi="宋体" w:cs="Arial" w:hint="eastAsia"/>
          <w:sz w:val="24"/>
        </w:rPr>
        <w:t>（同一家公司在内地和香港同时上市的A+H股合并计算且不含本基金所投资的基金份额）</w:t>
      </w:r>
      <w:r>
        <w:rPr>
          <w:rFonts w:ascii="彩虹粗仿宋" w:eastAsia="彩虹粗仿宋" w:hAnsi="宋体" w:cs="Arial"/>
          <w:sz w:val="24"/>
        </w:rPr>
        <w:t>，不超过该证券的10％</w:t>
      </w:r>
      <w:r>
        <w:rPr>
          <w:rFonts w:ascii="彩虹粗仿宋" w:eastAsia="彩虹粗仿宋" w:hAnsi="宋体" w:cs="Arial" w:hint="eastAsia"/>
          <w:sz w:val="24"/>
        </w:rPr>
        <w:t>，完全按照有关指数的构成比例进行证券</w:t>
      </w:r>
      <w:r>
        <w:rPr>
          <w:rFonts w:ascii="彩虹粗仿宋" w:eastAsia="彩虹粗仿宋" w:hAnsi="宋体" w:cs="Arial" w:hint="eastAsia"/>
          <w:sz w:val="24"/>
        </w:rPr>
        <w:lastRenderedPageBreak/>
        <w:t>投资的基金品种可以不受此条款规定的比例限制</w:t>
      </w:r>
      <w:r>
        <w:rPr>
          <w:rFonts w:ascii="彩虹粗仿宋" w:eastAsia="彩虹粗仿宋" w:hAnsi="宋体" w:cs="Arial"/>
          <w:sz w:val="24"/>
        </w:rPr>
        <w:t>；</w:t>
      </w:r>
    </w:p>
    <w:p w14:paraId="09D5FB7C"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（9）本基金管理人管理且在本基金托管人处托管的全部开放式基金（包括开放式基金以及处于开放期的定期开放基金）持有一家上市公司发行的可流通股票，不得超过该上市公司可流通股票的</w:t>
      </w:r>
      <w:r>
        <w:rPr>
          <w:rFonts w:ascii="彩虹粗仿宋" w:eastAsia="彩虹粗仿宋" w:hAnsi="宋体" w:cs="Arial"/>
          <w:sz w:val="24"/>
        </w:rPr>
        <w:t>15%</w:t>
      </w:r>
      <w:r>
        <w:rPr>
          <w:rFonts w:ascii="彩虹粗仿宋" w:eastAsia="彩虹粗仿宋" w:hAnsi="宋体" w:cs="Arial" w:hint="eastAsia"/>
          <w:sz w:val="24"/>
        </w:rPr>
        <w:t>；本基金管理人管理且在本基金托管人处托管的全部投资组合持有一家上市公司发行的可流通股票，不得超过该上市公司可流通股票的</w:t>
      </w:r>
      <w:r>
        <w:rPr>
          <w:rFonts w:ascii="彩虹粗仿宋" w:eastAsia="彩虹粗仿宋" w:hAnsi="宋体" w:cs="Arial"/>
          <w:sz w:val="24"/>
        </w:rPr>
        <w:t>30%</w:t>
      </w:r>
      <w:r>
        <w:rPr>
          <w:rFonts w:ascii="彩虹粗仿宋" w:eastAsia="彩虹粗仿宋" w:hAnsi="宋体" w:cs="Arial" w:hint="eastAsia"/>
          <w:sz w:val="24"/>
        </w:rPr>
        <w:t>；完全按照有关指数的构成比例进行证券投资的开放式基金以及中国证监会认定的特殊投资组合可不受前述比例限制；</w:t>
      </w:r>
    </w:p>
    <w:p w14:paraId="711D7E57"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w:t>
      </w:r>
      <w:r>
        <w:rPr>
          <w:rFonts w:ascii="彩虹粗仿宋" w:eastAsia="彩虹粗仿宋" w:hAnsi="宋体" w:cs="Arial"/>
          <w:sz w:val="24"/>
        </w:rPr>
        <w:t>0</w:t>
      </w:r>
      <w:r>
        <w:rPr>
          <w:rFonts w:ascii="彩虹粗仿宋" w:eastAsia="彩虹粗仿宋" w:hAnsi="宋体" w:cs="Arial" w:hint="eastAsia"/>
          <w:sz w:val="24"/>
        </w:rPr>
        <w:t>）</w:t>
      </w:r>
      <w:r>
        <w:rPr>
          <w:rFonts w:ascii="彩虹粗仿宋" w:eastAsia="彩虹粗仿宋" w:hAnsi="宋体" w:cs="Arial"/>
          <w:sz w:val="24"/>
        </w:rPr>
        <w:t>本基金主动投资于流动性受限资产的市值合计不得超过基金资产净值的15%</w:t>
      </w:r>
      <w:r>
        <w:rPr>
          <w:rFonts w:ascii="彩虹粗仿宋" w:eastAsia="彩虹粗仿宋" w:hAnsi="宋体" w:cs="Arial" w:hint="eastAsia"/>
          <w:sz w:val="24"/>
        </w:rPr>
        <w:t>；因证券市场波动、上市公司股票停牌、所投资基金暂停或延期办理赎回申请、基金规模变动等基金管理人之外的因素致使基金不符合该比例限制的，基金管理人不得主动新增流动性受限资产的投资；</w:t>
      </w:r>
    </w:p>
    <w:p w14:paraId="6536F735"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w:t>
      </w:r>
      <w:r>
        <w:rPr>
          <w:rFonts w:ascii="彩虹粗仿宋" w:eastAsia="彩虹粗仿宋" w:hAnsi="宋体" w:cs="Arial" w:hint="eastAsia"/>
          <w:sz w:val="24"/>
        </w:rPr>
        <w:t>1</w:t>
      </w:r>
      <w:r>
        <w:rPr>
          <w:rFonts w:ascii="彩虹粗仿宋" w:eastAsia="彩虹粗仿宋" w:hAnsi="宋体" w:cs="Arial"/>
          <w:sz w:val="24"/>
        </w:rPr>
        <w:t>1）本基金投资于同一原始权益人的各类资产支持证券的比例，不得超过基金资产净值的10％；</w:t>
      </w:r>
    </w:p>
    <w:p w14:paraId="08B6A38B"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w:t>
      </w:r>
      <w:r>
        <w:rPr>
          <w:rFonts w:ascii="彩虹粗仿宋" w:eastAsia="彩虹粗仿宋" w:hAnsi="宋体" w:cs="Arial" w:hint="eastAsia"/>
          <w:sz w:val="24"/>
        </w:rPr>
        <w:t>1</w:t>
      </w:r>
      <w:r>
        <w:rPr>
          <w:rFonts w:ascii="彩虹粗仿宋" w:eastAsia="彩虹粗仿宋" w:hAnsi="宋体" w:cs="Arial"/>
          <w:sz w:val="24"/>
        </w:rPr>
        <w:t>2）本基金持有的全部资产支持证券，其市值不得超过基金资产净值的20％；</w:t>
      </w:r>
    </w:p>
    <w:p w14:paraId="61ACC590"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w:t>
      </w:r>
      <w:r>
        <w:rPr>
          <w:rFonts w:ascii="彩虹粗仿宋" w:eastAsia="彩虹粗仿宋" w:hAnsi="宋体" w:cs="Arial" w:hint="eastAsia"/>
          <w:sz w:val="24"/>
        </w:rPr>
        <w:t>1</w:t>
      </w:r>
      <w:r>
        <w:rPr>
          <w:rFonts w:ascii="彩虹粗仿宋" w:eastAsia="彩虹粗仿宋" w:hAnsi="宋体" w:cs="Arial"/>
          <w:sz w:val="24"/>
        </w:rPr>
        <w:t>3）本基金持有的同一(指同一信用级别)资产支持证券的比例，不得超过该资产支持证券规模的10％；</w:t>
      </w:r>
    </w:p>
    <w:p w14:paraId="3C241CC0"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（14）本基金管理人管理</w:t>
      </w:r>
      <w:r>
        <w:rPr>
          <w:rFonts w:ascii="彩虹粗仿宋" w:eastAsia="彩虹粗仿宋" w:hAnsi="宋体" w:cs="Arial" w:hint="eastAsia"/>
          <w:sz w:val="24"/>
        </w:rPr>
        <w:t>且在本基金托管人处托管</w:t>
      </w:r>
      <w:r>
        <w:rPr>
          <w:rFonts w:ascii="彩虹粗仿宋" w:eastAsia="彩虹粗仿宋" w:hAnsi="宋体" w:cs="Arial"/>
          <w:sz w:val="24"/>
        </w:rPr>
        <w:t>的全部基金投资于同一原始权益人的各类资产支持证券，不得超过其各类资产支持证券合计规模的10％；</w:t>
      </w:r>
    </w:p>
    <w:p w14:paraId="506FB9C1"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（15）本基金应投资于信用级别评级为BBB以上(含BBB)的资产支持证券。基金持有资产支持证券期间，如果其信用等级下降、不再符合投资标准，应在评级报告发布之日起3个月内予以全部卖出；</w:t>
      </w:r>
    </w:p>
    <w:p w14:paraId="6936104E"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w:t>
      </w:r>
      <w:r>
        <w:rPr>
          <w:rFonts w:ascii="彩虹粗仿宋" w:eastAsia="彩虹粗仿宋" w:hAnsi="宋体" w:cs="Arial" w:hint="eastAsia"/>
          <w:sz w:val="24"/>
        </w:rPr>
        <w:t>1</w:t>
      </w:r>
      <w:r>
        <w:rPr>
          <w:rFonts w:ascii="彩虹粗仿宋" w:eastAsia="彩虹粗仿宋" w:hAnsi="宋体" w:cs="Arial"/>
          <w:sz w:val="24"/>
        </w:rPr>
        <w:t>6）基金财产参与股票发行申购，本基金所申报的金额不超过本基金的总资产，本基金所申报的股票数量不超过拟发行股票公司本次发行股票的总量；</w:t>
      </w:r>
    </w:p>
    <w:p w14:paraId="0FEC9D4B"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w:t>
      </w:r>
      <w:r>
        <w:rPr>
          <w:rFonts w:ascii="彩虹粗仿宋" w:eastAsia="彩虹粗仿宋" w:hAnsi="宋体" w:cs="Arial"/>
          <w:sz w:val="24"/>
        </w:rPr>
        <w:t>7</w:t>
      </w:r>
      <w:r>
        <w:rPr>
          <w:rFonts w:ascii="彩虹粗仿宋" w:eastAsia="彩虹粗仿宋" w:hAnsi="宋体" w:cs="Arial" w:hint="eastAsia"/>
          <w:sz w:val="24"/>
        </w:rPr>
        <w:t>）本基金</w:t>
      </w:r>
      <w:r>
        <w:rPr>
          <w:rFonts w:ascii="彩虹粗仿宋" w:eastAsia="彩虹粗仿宋" w:hAnsi="宋体" w:cs="Arial"/>
          <w:sz w:val="24"/>
        </w:rPr>
        <w:t>不得</w:t>
      </w:r>
      <w:r>
        <w:rPr>
          <w:rFonts w:ascii="彩虹粗仿宋" w:eastAsia="彩虹粗仿宋" w:hAnsi="宋体" w:cs="Arial" w:hint="eastAsia"/>
          <w:sz w:val="24"/>
        </w:rPr>
        <w:t>持有具有复杂、衍生品性质的基金份额，包括分级基金和中国证监会认定的其他基金份额；</w:t>
      </w:r>
    </w:p>
    <w:p w14:paraId="035B0C29"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（1</w:t>
      </w:r>
      <w:r>
        <w:rPr>
          <w:rFonts w:ascii="彩虹粗仿宋" w:eastAsia="彩虹粗仿宋" w:hAnsi="宋体" w:cs="Arial" w:hint="eastAsia"/>
          <w:sz w:val="24"/>
        </w:rPr>
        <w:t>8</w:t>
      </w:r>
      <w:r>
        <w:rPr>
          <w:rFonts w:ascii="彩虹粗仿宋" w:eastAsia="彩虹粗仿宋" w:hAnsi="宋体" w:cs="Arial"/>
          <w:sz w:val="24"/>
        </w:rPr>
        <w:t>）</w:t>
      </w:r>
      <w:r>
        <w:rPr>
          <w:rFonts w:ascii="彩虹粗仿宋" w:eastAsia="彩虹粗仿宋" w:hAnsi="宋体" w:cs="Arial" w:hint="eastAsia"/>
          <w:sz w:val="24"/>
        </w:rPr>
        <w:t>本</w:t>
      </w:r>
      <w:r>
        <w:rPr>
          <w:rFonts w:ascii="彩虹粗仿宋" w:eastAsia="彩虹粗仿宋" w:hAnsi="宋体" w:cs="Arial"/>
          <w:sz w:val="24"/>
        </w:rPr>
        <w:t>基金</w:t>
      </w:r>
      <w:r>
        <w:rPr>
          <w:rFonts w:ascii="彩虹粗仿宋" w:eastAsia="彩虹粗仿宋" w:hAnsi="宋体" w:cs="Arial" w:hint="eastAsia"/>
          <w:sz w:val="24"/>
        </w:rPr>
        <w:t>总资产不得</w:t>
      </w:r>
      <w:r>
        <w:rPr>
          <w:rFonts w:ascii="彩虹粗仿宋" w:eastAsia="彩虹粗仿宋" w:hAnsi="宋体" w:cs="Arial"/>
          <w:sz w:val="24"/>
        </w:rPr>
        <w:t>超过基金净资产的</w:t>
      </w:r>
      <w:r>
        <w:rPr>
          <w:rFonts w:ascii="彩虹粗仿宋" w:eastAsia="彩虹粗仿宋" w:hAnsi="宋体" w:cs="Arial" w:hint="eastAsia"/>
          <w:sz w:val="24"/>
        </w:rPr>
        <w:t>140%</w:t>
      </w:r>
      <w:r>
        <w:rPr>
          <w:rFonts w:ascii="彩虹粗仿宋" w:eastAsia="彩虹粗仿宋" w:hAnsi="宋体" w:cs="Arial"/>
          <w:sz w:val="24"/>
        </w:rPr>
        <w:t>；</w:t>
      </w:r>
    </w:p>
    <w:p w14:paraId="56EE2010"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w:t>
      </w:r>
      <w:r>
        <w:rPr>
          <w:rFonts w:ascii="彩虹粗仿宋" w:eastAsia="彩虹粗仿宋" w:hAnsi="宋体" w:cs="Arial" w:hint="eastAsia"/>
          <w:sz w:val="24"/>
        </w:rPr>
        <w:t>19</w:t>
      </w:r>
      <w:r>
        <w:rPr>
          <w:rFonts w:ascii="彩虹粗仿宋" w:eastAsia="彩虹粗仿宋" w:hAnsi="宋体" w:cs="Arial"/>
          <w:sz w:val="24"/>
        </w:rPr>
        <w:t>）货币市场基金投资占基金资产比例不超过</w:t>
      </w:r>
      <w:r>
        <w:rPr>
          <w:rFonts w:ascii="彩虹粗仿宋" w:eastAsia="彩虹粗仿宋" w:hAnsi="宋体" w:cs="Arial" w:hint="eastAsia"/>
          <w:sz w:val="24"/>
        </w:rPr>
        <w:t>1</w:t>
      </w:r>
      <w:r>
        <w:rPr>
          <w:rFonts w:ascii="彩虹粗仿宋" w:eastAsia="彩虹粗仿宋" w:hAnsi="宋体" w:cs="Arial"/>
          <w:sz w:val="24"/>
        </w:rPr>
        <w:t>5%；</w:t>
      </w:r>
    </w:p>
    <w:p w14:paraId="0850F53C"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（20）本基金投资存托凭证的比例限制依照内地上市交易的股票执行，与境内上市交易的股票合并计算，法律法规或监管部门另有要求的除外；</w:t>
      </w:r>
    </w:p>
    <w:p w14:paraId="24DCB619"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（21）法律法规及中国证监会规定的和《基金合同》约定的其他投资限制。</w:t>
      </w:r>
    </w:p>
    <w:p w14:paraId="42429282"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因证券市场波动、基金规模变动、本基金所投资的基金发生流动性限制、暂停申购、赎回或二级市场交易停牌等基金管理人之外的因素致使基金投资不符合前款第（3）项、第（</w:t>
      </w:r>
      <w:r>
        <w:rPr>
          <w:rFonts w:ascii="彩虹粗仿宋" w:eastAsia="彩虹粗仿宋" w:hAnsi="宋体" w:cs="Arial"/>
          <w:sz w:val="24"/>
        </w:rPr>
        <w:t>5</w:t>
      </w:r>
      <w:r>
        <w:rPr>
          <w:rFonts w:ascii="彩虹粗仿宋" w:eastAsia="彩虹粗仿宋" w:hAnsi="宋体" w:cs="Arial" w:hint="eastAsia"/>
          <w:sz w:val="24"/>
        </w:rPr>
        <w:t>）项规定的投资比例的，基金管理人应当在 20 个交易日内进行调整，但中国证监会规定的特殊情形除外。</w:t>
      </w:r>
      <w:r>
        <w:rPr>
          <w:rFonts w:ascii="彩虹粗仿宋" w:eastAsia="彩虹粗仿宋" w:hAnsi="宋体" w:cs="Arial"/>
          <w:sz w:val="24"/>
        </w:rPr>
        <w:t>除上述</w:t>
      </w:r>
      <w:r>
        <w:rPr>
          <w:rFonts w:ascii="彩虹粗仿宋" w:eastAsia="彩虹粗仿宋" w:hAnsi="宋体" w:cs="Arial" w:hint="eastAsia"/>
          <w:sz w:val="24"/>
        </w:rPr>
        <w:t>第（2）项、</w:t>
      </w:r>
      <w:r>
        <w:rPr>
          <w:rFonts w:ascii="彩虹粗仿宋" w:eastAsia="彩虹粗仿宋" w:hAnsi="宋体" w:cs="Arial"/>
          <w:sz w:val="24"/>
        </w:rPr>
        <w:t>第</w:t>
      </w:r>
      <w:r>
        <w:rPr>
          <w:rFonts w:ascii="彩虹粗仿宋" w:eastAsia="彩虹粗仿宋" w:hAnsi="宋体" w:cs="Arial" w:hint="eastAsia"/>
          <w:sz w:val="24"/>
        </w:rPr>
        <w:t>（3）项、</w:t>
      </w:r>
      <w:r>
        <w:rPr>
          <w:rFonts w:ascii="彩虹粗仿宋" w:eastAsia="彩虹粗仿宋" w:hAnsi="宋体" w:cs="Arial" w:hint="eastAsia"/>
          <w:sz w:val="24"/>
        </w:rPr>
        <w:lastRenderedPageBreak/>
        <w:t>第（</w:t>
      </w:r>
      <w:r>
        <w:rPr>
          <w:rFonts w:ascii="彩虹粗仿宋" w:eastAsia="彩虹粗仿宋" w:hAnsi="宋体" w:cs="Arial"/>
          <w:sz w:val="24"/>
        </w:rPr>
        <w:t>5</w:t>
      </w:r>
      <w:r>
        <w:rPr>
          <w:rFonts w:ascii="彩虹粗仿宋" w:eastAsia="彩虹粗仿宋" w:hAnsi="宋体" w:cs="Arial" w:hint="eastAsia"/>
          <w:sz w:val="24"/>
        </w:rPr>
        <w:t>）项、第（1</w:t>
      </w:r>
      <w:r>
        <w:rPr>
          <w:rFonts w:ascii="彩虹粗仿宋" w:eastAsia="彩虹粗仿宋" w:hAnsi="宋体" w:cs="Arial"/>
          <w:sz w:val="24"/>
        </w:rPr>
        <w:t>0</w:t>
      </w:r>
      <w:r>
        <w:rPr>
          <w:rFonts w:ascii="彩虹粗仿宋" w:eastAsia="彩虹粗仿宋" w:hAnsi="宋体" w:cs="Arial" w:hint="eastAsia"/>
          <w:sz w:val="24"/>
        </w:rPr>
        <w:t>）项、第（</w:t>
      </w:r>
      <w:r>
        <w:rPr>
          <w:rFonts w:ascii="彩虹粗仿宋" w:eastAsia="彩虹粗仿宋" w:hAnsi="宋体" w:cs="Arial"/>
          <w:sz w:val="24"/>
        </w:rPr>
        <w:t>1</w:t>
      </w:r>
      <w:r>
        <w:rPr>
          <w:rFonts w:ascii="彩虹粗仿宋" w:eastAsia="彩虹粗仿宋" w:hAnsi="宋体" w:cs="Arial" w:hint="eastAsia"/>
          <w:sz w:val="24"/>
        </w:rPr>
        <w:t>5）项另有约定</w:t>
      </w:r>
      <w:r>
        <w:rPr>
          <w:rFonts w:ascii="彩虹粗仿宋" w:eastAsia="彩虹粗仿宋" w:hAnsi="宋体" w:cs="Arial"/>
          <w:sz w:val="24"/>
        </w:rPr>
        <w:t>外，因证券市场波动、</w:t>
      </w:r>
      <w:r>
        <w:rPr>
          <w:rFonts w:ascii="彩虹粗仿宋" w:eastAsia="彩虹粗仿宋" w:hAnsi="宋体" w:cs="Arial" w:hint="eastAsia"/>
          <w:sz w:val="24"/>
        </w:rPr>
        <w:t>证券发行人</w:t>
      </w:r>
      <w:r>
        <w:rPr>
          <w:rFonts w:ascii="彩虹粗仿宋" w:eastAsia="彩虹粗仿宋" w:hAnsi="宋体" w:cs="Arial"/>
          <w:sz w:val="24"/>
        </w:rPr>
        <w:t>合并</w:t>
      </w:r>
      <w:r>
        <w:rPr>
          <w:rFonts w:ascii="彩虹粗仿宋" w:eastAsia="彩虹粗仿宋" w:hAnsi="宋体" w:cs="Arial" w:hint="eastAsia"/>
          <w:sz w:val="24"/>
        </w:rPr>
        <w:t>或</w:t>
      </w:r>
      <w:r>
        <w:rPr>
          <w:rFonts w:ascii="彩虹粗仿宋" w:eastAsia="彩虹粗仿宋" w:hAnsi="宋体" w:cs="Arial"/>
          <w:sz w:val="24"/>
        </w:rPr>
        <w:t>基金规模变动等基金管理人之外的因素致使基金投资比例不符合上述规定投资比例的，基金管理人应当在</w:t>
      </w:r>
      <w:r>
        <w:rPr>
          <w:rFonts w:ascii="彩虹粗仿宋" w:eastAsia="彩虹粗仿宋" w:hAnsi="宋体" w:cs="Arial" w:hint="eastAsia"/>
          <w:sz w:val="24"/>
        </w:rPr>
        <w:t>10</w:t>
      </w:r>
      <w:r>
        <w:rPr>
          <w:rFonts w:ascii="彩虹粗仿宋" w:eastAsia="彩虹粗仿宋" w:hAnsi="宋体" w:cs="Arial"/>
          <w:sz w:val="24"/>
        </w:rPr>
        <w:t>个交易日内进行调整</w:t>
      </w:r>
      <w:r>
        <w:rPr>
          <w:rFonts w:ascii="彩虹粗仿宋" w:eastAsia="彩虹粗仿宋" w:hAnsi="宋体" w:cs="Arial" w:hint="eastAsia"/>
          <w:sz w:val="24"/>
        </w:rPr>
        <w:t>，但中国证监会规定的特殊情形除外</w:t>
      </w:r>
      <w:r>
        <w:rPr>
          <w:rFonts w:ascii="彩虹粗仿宋" w:eastAsia="彩虹粗仿宋" w:hAnsi="宋体" w:cs="Arial"/>
          <w:sz w:val="24"/>
        </w:rPr>
        <w:t>。</w:t>
      </w:r>
    </w:p>
    <w:p w14:paraId="0EFB4C43"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基金管理人应当自基金合同生效之日起</w:t>
      </w:r>
      <w:r>
        <w:rPr>
          <w:rFonts w:ascii="彩虹粗仿宋" w:eastAsia="彩虹粗仿宋" w:hAnsi="宋体" w:cs="Arial" w:hint="eastAsia"/>
          <w:sz w:val="24"/>
        </w:rPr>
        <w:t>6</w:t>
      </w:r>
      <w:r>
        <w:rPr>
          <w:rFonts w:ascii="彩虹粗仿宋" w:eastAsia="彩虹粗仿宋" w:hAnsi="宋体" w:cs="Arial"/>
          <w:sz w:val="24"/>
        </w:rPr>
        <w:t>个月内使基金的投资组合比例符合基金合同的有关约定。</w:t>
      </w:r>
      <w:r>
        <w:rPr>
          <w:rFonts w:ascii="彩虹粗仿宋" w:eastAsia="彩虹粗仿宋" w:hAnsi="宋体" w:cs="Arial" w:hint="eastAsia"/>
          <w:sz w:val="24"/>
        </w:rPr>
        <w:t>在上述期间内，本基金的投资范围、投资策略应当符合基金合同的约定。</w:t>
      </w:r>
      <w:r>
        <w:rPr>
          <w:rFonts w:ascii="彩虹粗仿宋" w:eastAsia="彩虹粗仿宋" w:hAnsi="宋体" w:cs="Arial"/>
          <w:sz w:val="24"/>
        </w:rPr>
        <w:t>基金托管人对基金的投资的监督与检查自基金合同生效之日起开始。</w:t>
      </w:r>
    </w:p>
    <w:p w14:paraId="59A9614F"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如果法律法规或监管部门对上述投资组合比例限制进行变更的，以变更后的规定为准。</w:t>
      </w:r>
      <w:r>
        <w:rPr>
          <w:rFonts w:ascii="彩虹粗仿宋" w:eastAsia="彩虹粗仿宋" w:hAnsi="宋体" w:cs="Arial"/>
          <w:sz w:val="24"/>
        </w:rPr>
        <w:t>法律法规或监管部门取消上述限制，如适用于本基金，基金管理人在履行适当程序后</w:t>
      </w:r>
      <w:r>
        <w:rPr>
          <w:rFonts w:ascii="彩虹粗仿宋" w:eastAsia="彩虹粗仿宋" w:hAnsi="宋体" w:cs="Arial" w:hint="eastAsia"/>
          <w:sz w:val="24"/>
        </w:rPr>
        <w:t>，</w:t>
      </w:r>
      <w:r>
        <w:rPr>
          <w:rFonts w:ascii="彩虹粗仿宋" w:eastAsia="彩虹粗仿宋" w:hAnsi="宋体" w:cs="Arial"/>
          <w:sz w:val="24"/>
        </w:rPr>
        <w:t>则本基金投资不再受相关限制。</w:t>
      </w:r>
    </w:p>
    <w:p w14:paraId="10E9A819"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（三）基金托管人</w:t>
      </w:r>
      <w:bookmarkStart w:id="6" w:name="OLE_LINK1"/>
      <w:r>
        <w:rPr>
          <w:rFonts w:ascii="彩虹粗仿宋" w:eastAsia="彩虹粗仿宋" w:hAnsi="宋体" w:cs="Arial" w:hint="eastAsia"/>
          <w:sz w:val="24"/>
        </w:rPr>
        <w:t>根据有关法律法规的规定及《基金合同》的约定，</w:t>
      </w:r>
      <w:bookmarkEnd w:id="6"/>
      <w:r>
        <w:rPr>
          <w:rFonts w:ascii="彩虹粗仿宋" w:eastAsia="彩虹粗仿宋" w:hAnsi="宋体" w:cs="Arial" w:hint="eastAsia"/>
          <w:sz w:val="24"/>
        </w:rPr>
        <w:t>对本托管协议第十五条第（九）款基金投资禁止行为通过事后监督方式进行监督。</w:t>
      </w:r>
    </w:p>
    <w:p w14:paraId="6EE27DC7"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4E22088C"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法律、行政法规或监管部门取消或变更上述限制，如适用于本基金，基金管理人在履行适当程序后，则本基金投资不再受相关限制或以变更后的规定为准。</w:t>
      </w:r>
    </w:p>
    <w:p w14:paraId="02002C10"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（四）基金托管人根据有关法律法规的规定及《基金合同》的约定，对基金管理人投资流通受限证券进行监督。</w:t>
      </w:r>
    </w:p>
    <w:p w14:paraId="5BA72386"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int="eastAsia"/>
          <w:sz w:val="24"/>
        </w:rPr>
        <w:t>基金管理人投资流通受限证券，应事先根据中国证监会相关规定，明确基金投资流通受限证券的比例，</w:t>
      </w:r>
      <w:r>
        <w:rPr>
          <w:rFonts w:ascii="彩虹粗仿宋" w:eastAsia="彩虹粗仿宋" w:hAnsi="宋体" w:cs="Arial" w:hint="eastAsia"/>
          <w:sz w:val="24"/>
        </w:rPr>
        <w:t>制订严格的投资决策流程和风险控制制度，防范流动性风险、法律风险和操作风险等各种风险。</w:t>
      </w:r>
    </w:p>
    <w:p w14:paraId="360AB0FC" w14:textId="77777777" w:rsidR="007433DF" w:rsidRDefault="00F50617">
      <w:pPr>
        <w:adjustRightInd w:val="0"/>
        <w:snapToGrid w:val="0"/>
        <w:ind w:firstLineChars="200" w:firstLine="480"/>
        <w:rPr>
          <w:rFonts w:ascii="彩虹粗仿宋" w:eastAsia="彩虹粗仿宋"/>
          <w:sz w:val="24"/>
        </w:rPr>
      </w:pPr>
      <w:r>
        <w:rPr>
          <w:rFonts w:ascii="彩虹粗仿宋" w:eastAsia="彩虹粗仿宋" w:hAnsi="宋体" w:cs="Arial" w:hint="eastAsia"/>
          <w:sz w:val="24"/>
        </w:rPr>
        <w:t>1.本基金</w:t>
      </w:r>
      <w:r>
        <w:rPr>
          <w:rFonts w:ascii="彩虹粗仿宋" w:eastAsia="彩虹粗仿宋" w:hint="eastAsia"/>
          <w:sz w:val="24"/>
        </w:rPr>
        <w:t>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14:paraId="53349434" w14:textId="77777777" w:rsidR="007433DF" w:rsidRDefault="00F50617">
      <w:pPr>
        <w:adjustRightInd w:val="0"/>
        <w:snapToGrid w:val="0"/>
        <w:ind w:firstLineChars="200" w:firstLine="480"/>
        <w:rPr>
          <w:rFonts w:ascii="彩虹粗仿宋" w:eastAsia="彩虹粗仿宋"/>
          <w:sz w:val="24"/>
        </w:rPr>
      </w:pPr>
      <w:r>
        <w:rPr>
          <w:rFonts w:ascii="彩虹粗仿宋" w:eastAsia="彩虹粗仿宋" w:hAnsi="宋体" w:cs="Arial" w:hint="eastAsia"/>
          <w:sz w:val="24"/>
        </w:rPr>
        <w:t>本基金</w:t>
      </w:r>
      <w:r>
        <w:rPr>
          <w:rFonts w:ascii="彩虹粗仿宋" w:eastAsia="彩虹粗仿宋" w:hint="eastAsia"/>
          <w:sz w:val="24"/>
        </w:rPr>
        <w:t>投资的流通受限证券限于可由中国证券登记结算有限责任公司或中央国债登记结算有限责任公司负责登记和存管，并可在证券交易所或全国银行间债券市场交易的证券。</w:t>
      </w:r>
    </w:p>
    <w:p w14:paraId="232674DF" w14:textId="77777777" w:rsidR="007433DF" w:rsidRDefault="00F50617">
      <w:pPr>
        <w:adjustRightInd w:val="0"/>
        <w:snapToGrid w:val="0"/>
        <w:ind w:firstLineChars="200" w:firstLine="480"/>
        <w:rPr>
          <w:rFonts w:ascii="彩虹粗仿宋" w:eastAsia="彩虹粗仿宋"/>
          <w:sz w:val="24"/>
        </w:rPr>
      </w:pPr>
      <w:r>
        <w:rPr>
          <w:rFonts w:ascii="彩虹粗仿宋" w:eastAsia="彩虹粗仿宋" w:hAnsi="宋体" w:cs="Arial" w:hint="eastAsia"/>
          <w:sz w:val="24"/>
        </w:rPr>
        <w:t>本基金</w:t>
      </w:r>
      <w:r>
        <w:rPr>
          <w:rFonts w:ascii="彩虹粗仿宋" w:eastAsia="彩虹粗仿宋" w:hint="eastAsia"/>
          <w:sz w:val="24"/>
        </w:rPr>
        <w:t>投资的流通受限证券应保证登记存管在本基金名下，基金管理人负责</w:t>
      </w:r>
      <w:r>
        <w:rPr>
          <w:rFonts w:ascii="彩虹粗仿宋" w:eastAsia="彩虹粗仿宋" w:hint="eastAsia"/>
          <w:sz w:val="24"/>
        </w:rPr>
        <w:lastRenderedPageBreak/>
        <w:t>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14:paraId="155E4AA8" w14:textId="77777777" w:rsidR="007433DF" w:rsidRDefault="00F50617">
      <w:pPr>
        <w:adjustRightInd w:val="0"/>
        <w:snapToGrid w:val="0"/>
        <w:ind w:firstLineChars="200" w:firstLine="480"/>
        <w:rPr>
          <w:rFonts w:ascii="彩虹粗仿宋" w:eastAsia="彩虹粗仿宋"/>
          <w:sz w:val="24"/>
        </w:rPr>
      </w:pPr>
      <w:r>
        <w:rPr>
          <w:rFonts w:ascii="彩虹粗仿宋" w:eastAsia="彩虹粗仿宋" w:hAnsi="宋体" w:cs="Arial" w:hint="eastAsia"/>
          <w:sz w:val="24"/>
        </w:rPr>
        <w:t>本基金</w:t>
      </w:r>
      <w:r>
        <w:rPr>
          <w:rFonts w:ascii="彩虹粗仿宋" w:eastAsia="彩虹粗仿宋" w:hint="eastAsia"/>
          <w:sz w:val="24"/>
        </w:rPr>
        <w:t>投资流通受限证券，不得预付任何形式的保证金，若有最新监管政策根据最新政策进行。</w:t>
      </w:r>
    </w:p>
    <w:p w14:paraId="5D62D8FC" w14:textId="77777777" w:rsidR="007433DF" w:rsidRDefault="00F50617">
      <w:pPr>
        <w:adjustRightInd w:val="0"/>
        <w:snapToGrid w:val="0"/>
        <w:ind w:firstLineChars="200" w:firstLine="480"/>
        <w:rPr>
          <w:rFonts w:ascii="彩虹粗仿宋" w:eastAsia="彩虹粗仿宋"/>
          <w:sz w:val="24"/>
        </w:rPr>
      </w:pPr>
      <w:r>
        <w:rPr>
          <w:rFonts w:ascii="彩虹粗仿宋" w:eastAsia="彩虹粗仿宋" w:hAnsi="宋体" w:cs="Arial" w:hint="eastAsia"/>
          <w:sz w:val="24"/>
        </w:rPr>
        <w:t>2.</w:t>
      </w:r>
      <w:r>
        <w:rPr>
          <w:rFonts w:ascii="彩虹粗仿宋" w:eastAsia="彩虹粗仿宋" w:hint="eastAsia"/>
          <w:sz w:val="24"/>
        </w:rPr>
        <w:t>基金管理人投资</w:t>
      </w:r>
      <w:bookmarkStart w:id="7" w:name="_Hlk132721344"/>
      <w:r>
        <w:rPr>
          <w:rFonts w:ascii="彩虹粗仿宋" w:eastAsia="彩虹粗仿宋" w:hint="eastAsia"/>
          <w:sz w:val="24"/>
        </w:rPr>
        <w:t>非公开发行股票</w:t>
      </w:r>
      <w:bookmarkEnd w:id="7"/>
      <w:r>
        <w:rPr>
          <w:rFonts w:ascii="彩虹粗仿宋" w:eastAsia="彩虹粗仿宋" w:hint="eastAsia"/>
          <w:sz w:val="24"/>
        </w:rPr>
        <w:t>，应制订流动性风险处置预案并经其董事会批准。风险处置预案应包括但不限于因投资流通受限证券需要解决的基金投资比例限制失调、基金流动性困难以及相关损失的应对解决措施，以及有关异常情况的处置。</w:t>
      </w:r>
    </w:p>
    <w:p w14:paraId="342B201A" w14:textId="77777777" w:rsidR="007433DF" w:rsidRDefault="00F50617">
      <w:pPr>
        <w:adjustRightInd w:val="0"/>
        <w:snapToGrid w:val="0"/>
        <w:ind w:firstLineChars="200" w:firstLine="480"/>
        <w:rPr>
          <w:rFonts w:ascii="彩虹粗仿宋" w:eastAsia="彩虹粗仿宋"/>
          <w:sz w:val="24"/>
        </w:rPr>
      </w:pPr>
      <w:r>
        <w:rPr>
          <w:rFonts w:ascii="彩虹粗仿宋" w:eastAsia="彩虹粗仿宋" w:hint="eastAsia"/>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人原因导致本基金出现损失致使基金托管人承担连带赔偿责任的，基金管理人应赔偿基金托管人由此遭受的损失。</w:t>
      </w:r>
    </w:p>
    <w:p w14:paraId="757B5624" w14:textId="77777777" w:rsidR="007433DF" w:rsidRDefault="00F50617">
      <w:pPr>
        <w:adjustRightInd w:val="0"/>
        <w:snapToGrid w:val="0"/>
        <w:ind w:firstLineChars="200" w:firstLine="480"/>
        <w:rPr>
          <w:rFonts w:ascii="彩虹粗仿宋" w:eastAsia="彩虹粗仿宋"/>
          <w:sz w:val="24"/>
        </w:rPr>
      </w:pPr>
      <w:r>
        <w:rPr>
          <w:rFonts w:ascii="彩虹粗仿宋" w:eastAsia="彩虹粗仿宋" w:hAnsi="宋体" w:cs="Arial" w:hint="eastAsia"/>
          <w:sz w:val="24"/>
        </w:rPr>
        <w:t>3.</w:t>
      </w:r>
      <w:r>
        <w:rPr>
          <w:rFonts w:ascii="彩虹粗仿宋" w:eastAsia="彩虹粗仿宋" w:hint="eastAsia"/>
          <w:sz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17A494F9" w14:textId="77777777" w:rsidR="007433DF" w:rsidRDefault="00F50617">
      <w:pPr>
        <w:adjustRightInd w:val="0"/>
        <w:snapToGrid w:val="0"/>
        <w:ind w:firstLineChars="200" w:firstLine="480"/>
        <w:rPr>
          <w:rFonts w:ascii="彩虹粗仿宋" w:eastAsia="彩虹粗仿宋"/>
          <w:sz w:val="24"/>
        </w:rPr>
      </w:pPr>
      <w:r>
        <w:rPr>
          <w:rFonts w:ascii="彩虹粗仿宋" w:eastAsia="彩虹粗仿宋" w:hint="eastAsia"/>
          <w:sz w:val="24"/>
        </w:rPr>
        <w:t>（1）中国证监会批准发行非公开发行股票的批准文件。</w:t>
      </w:r>
    </w:p>
    <w:p w14:paraId="1FF3CB88" w14:textId="77777777" w:rsidR="007433DF" w:rsidRDefault="00F50617">
      <w:pPr>
        <w:adjustRightInd w:val="0"/>
        <w:snapToGrid w:val="0"/>
        <w:ind w:firstLineChars="200" w:firstLine="480"/>
        <w:rPr>
          <w:rFonts w:ascii="彩虹粗仿宋" w:eastAsia="彩虹粗仿宋"/>
          <w:sz w:val="24"/>
        </w:rPr>
      </w:pPr>
      <w:r>
        <w:rPr>
          <w:rFonts w:ascii="彩虹粗仿宋" w:eastAsia="彩虹粗仿宋" w:hint="eastAsia"/>
          <w:sz w:val="24"/>
        </w:rPr>
        <w:t>（2）非公开发行股票有关发行数量、发行价格、锁定期等发行资料。</w:t>
      </w:r>
    </w:p>
    <w:p w14:paraId="66D3E749"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int="eastAsia"/>
          <w:sz w:val="24"/>
        </w:rPr>
        <w:t>（3）基金拟认购的数量、价格、总成本、账面价值。</w:t>
      </w:r>
    </w:p>
    <w:p w14:paraId="6A5CD547" w14:textId="77777777" w:rsidR="007433DF" w:rsidRDefault="00F50617">
      <w:pPr>
        <w:adjustRightInd w:val="0"/>
        <w:snapToGrid w:val="0"/>
        <w:ind w:firstLineChars="200" w:firstLine="480"/>
        <w:rPr>
          <w:rFonts w:ascii="彩虹粗仿宋" w:eastAsia="彩虹粗仿宋"/>
          <w:sz w:val="24"/>
        </w:rPr>
      </w:pPr>
      <w:r>
        <w:rPr>
          <w:rFonts w:ascii="彩虹粗仿宋" w:eastAsia="彩虹粗仿宋" w:hAnsi="宋体" w:cs="Arial" w:hint="eastAsia"/>
          <w:sz w:val="24"/>
        </w:rPr>
        <w:t>4.</w:t>
      </w:r>
      <w:r>
        <w:rPr>
          <w:rFonts w:ascii="彩虹粗仿宋" w:eastAsia="彩虹粗仿宋" w:hint="eastAsia"/>
          <w:sz w:val="24"/>
        </w:rPr>
        <w:t>基金管理人应在本基金投资非公开发行股票后两个交易日内，在中国证监会规定媒介披露所投资非公开发行股票的名称、数量、总成本、账面价值，以及总成本和账面价值占基金资产净值的比例、锁定期等信息。</w:t>
      </w:r>
    </w:p>
    <w:p w14:paraId="066EE501" w14:textId="77777777" w:rsidR="007433DF" w:rsidRDefault="00F50617">
      <w:pPr>
        <w:adjustRightInd w:val="0"/>
        <w:snapToGrid w:val="0"/>
        <w:ind w:firstLineChars="200" w:firstLine="480"/>
        <w:rPr>
          <w:rFonts w:ascii="彩虹粗仿宋" w:eastAsia="彩虹粗仿宋"/>
          <w:sz w:val="24"/>
        </w:rPr>
      </w:pPr>
      <w:r>
        <w:rPr>
          <w:rFonts w:ascii="彩虹粗仿宋" w:eastAsia="彩虹粗仿宋" w:hint="eastAsia"/>
          <w:sz w:val="24"/>
        </w:rPr>
        <w:t>本基金有关投资流通受限证券比例如违反有关限制规定，在合理期限内未能进行及时调整，基金管理人应在两日内编制临时报告书，并登载在规定报刊和规定网站上。</w:t>
      </w:r>
    </w:p>
    <w:p w14:paraId="67541387" w14:textId="77777777" w:rsidR="007433DF" w:rsidRDefault="00F50617">
      <w:pPr>
        <w:adjustRightInd w:val="0"/>
        <w:snapToGrid w:val="0"/>
        <w:ind w:firstLineChars="200" w:firstLine="480"/>
        <w:rPr>
          <w:rFonts w:ascii="彩虹粗仿宋" w:eastAsia="彩虹粗仿宋"/>
          <w:sz w:val="24"/>
        </w:rPr>
      </w:pPr>
      <w:r>
        <w:rPr>
          <w:rFonts w:ascii="彩虹粗仿宋" w:eastAsia="彩虹粗仿宋" w:hAnsi="宋体" w:cs="Arial"/>
          <w:sz w:val="24"/>
        </w:rPr>
        <w:t>5</w:t>
      </w:r>
      <w:r>
        <w:rPr>
          <w:rFonts w:ascii="彩虹粗仿宋" w:eastAsia="彩虹粗仿宋" w:hAnsi="宋体" w:cs="Arial" w:hint="eastAsia"/>
          <w:sz w:val="24"/>
        </w:rPr>
        <w:t>.</w:t>
      </w:r>
      <w:r>
        <w:rPr>
          <w:rFonts w:ascii="彩虹粗仿宋" w:eastAsia="彩虹粗仿宋" w:hint="eastAsia"/>
          <w:sz w:val="24"/>
        </w:rPr>
        <w:t>相关法律法规对基金投资流通受限证券有新规定的，从其规定。</w:t>
      </w:r>
    </w:p>
    <w:p w14:paraId="1F7E1CC7"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五）基金托管人根据有关法律法规的规定及《基金合同》的约定，对基金资产净值计算、各类基金份额净值计算、应收资金到账、基金费用开支及收入确定、基金收益分配、相关信息披露、基金宣传推介材料中登载基金业绩表现数据等进行监督和核查。</w:t>
      </w:r>
    </w:p>
    <w:p w14:paraId="0512C153"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六）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个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3B8F4007"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七）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01983333"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（八）若基金托管人发现基金管理人依据交易程序已经生效的指令违反法律、行政法规和其他有关规定，或者违反《基金合同》约定的，应当及时通知基金管理人，由此造成的损失由基金管理人承担。</w:t>
      </w:r>
    </w:p>
    <w:p w14:paraId="46F0D929"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九）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14:paraId="20C7C520"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（十）侧袋机制实施期间，本部分约定的投资组合比例、组合限制等约定仅适用于主袋账户。</w:t>
      </w:r>
    </w:p>
    <w:p w14:paraId="2AE229A7" w14:textId="77777777" w:rsidR="007433DF" w:rsidRDefault="007433DF">
      <w:pPr>
        <w:rPr>
          <w:rFonts w:ascii="彩虹粗仿宋" w:eastAsia="彩虹粗仿宋"/>
          <w:sz w:val="24"/>
        </w:rPr>
      </w:pPr>
    </w:p>
    <w:p w14:paraId="4164BB04" w14:textId="77777777" w:rsidR="007433DF" w:rsidRDefault="00F50617">
      <w:pPr>
        <w:pStyle w:val="2"/>
        <w:jc w:val="center"/>
        <w:rPr>
          <w:rFonts w:ascii="彩虹粗仿宋" w:eastAsia="彩虹粗仿宋"/>
          <w:sz w:val="30"/>
        </w:rPr>
      </w:pPr>
      <w:bookmarkStart w:id="8" w:name="_Toc86223242"/>
      <w:bookmarkStart w:id="9" w:name="_Toc118972648"/>
      <w:bookmarkStart w:id="10" w:name="_Toc86737929"/>
      <w:bookmarkStart w:id="11" w:name="_Toc110830492"/>
      <w:bookmarkStart w:id="12" w:name="_Toc124325888"/>
      <w:bookmarkStart w:id="13" w:name="_Toc86225291"/>
      <w:bookmarkStart w:id="14" w:name="_Toc110761796"/>
      <w:bookmarkStart w:id="15" w:name="_Toc118212950"/>
      <w:bookmarkStart w:id="16" w:name="_Toc108512358"/>
      <w:bookmarkStart w:id="17" w:name="_Toc89163368"/>
      <w:bookmarkStart w:id="18" w:name="_Toc86726439"/>
      <w:bookmarkStart w:id="19" w:name="_Toc119402710"/>
      <w:bookmarkStart w:id="20" w:name="_Toc86727355"/>
      <w:bookmarkStart w:id="21" w:name="_Toc110765660"/>
      <w:bookmarkStart w:id="22" w:name="_Toc86649722"/>
      <w:bookmarkStart w:id="23" w:name="_Toc118774803"/>
      <w:bookmarkStart w:id="24" w:name="_Toc120435783"/>
      <w:bookmarkEnd w:id="5"/>
      <w:r>
        <w:rPr>
          <w:rFonts w:ascii="彩虹粗仿宋" w:eastAsia="彩虹粗仿宋" w:hint="eastAsia"/>
          <w:sz w:val="30"/>
        </w:rPr>
        <w:t>四、基金管理人对基金托管人的业务核查</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50677001" w14:textId="77777777" w:rsidR="007433DF" w:rsidRDefault="00F5061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一）基金管理人对基金托管人履行托管职责情况进行核查，核查事项包括基金托管人安全保管基金财产、开设基金财产的资金账户、证券账户等投资所需账户、复核基金管理人计算的基金资产净值和各类基金份额净值、根据基金管理人指令办理清算交收、相关信息披露和监督基金投资运作等行为。</w:t>
      </w:r>
    </w:p>
    <w:p w14:paraId="2B40B141" w14:textId="77777777" w:rsidR="007433DF" w:rsidRDefault="00F5061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或其他双</w:t>
      </w:r>
      <w:r>
        <w:rPr>
          <w:rFonts w:ascii="彩虹粗仿宋" w:eastAsia="彩虹粗仿宋" w:hAnsi="宋体" w:cs="Arial" w:hint="eastAsia"/>
          <w:sz w:val="24"/>
        </w:rPr>
        <w:lastRenderedPageBreak/>
        <w:t>方认可的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6BDCCAC0" w14:textId="77777777" w:rsidR="007433DF" w:rsidRDefault="00F5061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105B142D" w14:textId="77777777" w:rsidR="007433DF" w:rsidRDefault="007433DF">
      <w:pPr>
        <w:rPr>
          <w:rFonts w:ascii="彩虹粗仿宋" w:eastAsia="彩虹粗仿宋"/>
          <w:sz w:val="24"/>
        </w:rPr>
      </w:pPr>
    </w:p>
    <w:p w14:paraId="1121AF88" w14:textId="77777777" w:rsidR="007433DF" w:rsidRDefault="00F50617">
      <w:pPr>
        <w:pStyle w:val="2"/>
        <w:jc w:val="center"/>
        <w:rPr>
          <w:rFonts w:ascii="彩虹粗仿宋" w:eastAsia="彩虹粗仿宋"/>
          <w:sz w:val="30"/>
        </w:rPr>
      </w:pPr>
      <w:bookmarkStart w:id="25" w:name="_Toc86649723"/>
      <w:bookmarkStart w:id="26" w:name="_Toc86204789"/>
      <w:bookmarkStart w:id="27" w:name="_Toc84234435"/>
      <w:bookmarkStart w:id="28" w:name="_Toc89163369"/>
      <w:bookmarkStart w:id="29" w:name="_Toc84234388"/>
      <w:bookmarkStart w:id="30" w:name="_Toc86737930"/>
      <w:bookmarkStart w:id="31" w:name="_Toc86726440"/>
      <w:bookmarkStart w:id="32" w:name="_Toc86225292"/>
      <w:bookmarkStart w:id="33" w:name="_Toc108512359"/>
      <w:bookmarkStart w:id="34" w:name="_Toc86223243"/>
      <w:bookmarkStart w:id="35" w:name="_Toc84133786"/>
      <w:bookmarkStart w:id="36" w:name="_Toc86727356"/>
      <w:bookmarkStart w:id="37" w:name="_Toc110765661"/>
      <w:bookmarkStart w:id="38" w:name="_Toc110761797"/>
      <w:bookmarkStart w:id="39" w:name="_Toc124325889"/>
      <w:bookmarkStart w:id="40" w:name="_Toc118212951"/>
      <w:bookmarkStart w:id="41" w:name="_Toc118972649"/>
      <w:bookmarkStart w:id="42" w:name="_Toc119402711"/>
      <w:bookmarkStart w:id="43" w:name="_Toc120435784"/>
      <w:bookmarkStart w:id="44" w:name="_Toc118774804"/>
      <w:bookmarkStart w:id="45" w:name="_Toc110830493"/>
      <w:r>
        <w:rPr>
          <w:rFonts w:ascii="彩虹粗仿宋" w:eastAsia="彩虹粗仿宋" w:hint="eastAsia"/>
          <w:sz w:val="30"/>
        </w:rPr>
        <w:t>五、基金财产的保管</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5457BC30" w14:textId="77777777" w:rsidR="007433DF" w:rsidRDefault="00F5061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（一）基金财产保管的原则</w:t>
      </w:r>
    </w:p>
    <w:p w14:paraId="44DB57BA" w14:textId="77777777" w:rsidR="007433DF" w:rsidRDefault="00F5061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1.基金财产应独立于基金管理人、基金托管人的固有财产。</w:t>
      </w:r>
    </w:p>
    <w:p w14:paraId="2DC14FB1" w14:textId="77777777" w:rsidR="007433DF" w:rsidRDefault="00F5061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2.基金托管人应安全保管基金财产。</w:t>
      </w:r>
    </w:p>
    <w:p w14:paraId="6C1AF9F6" w14:textId="77777777" w:rsidR="007433DF" w:rsidRDefault="00F5061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3.基金托管人按照规定开设基金财产的资金账户、证券账户等投资所需账户。</w:t>
      </w:r>
    </w:p>
    <w:p w14:paraId="61F44934" w14:textId="77777777" w:rsidR="007433DF" w:rsidRDefault="00F5061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4.基金托管人对所托管的不同基金财产分别设置账户，分账管理，独立核算，确保基金财产的完整与独立。</w:t>
      </w:r>
    </w:p>
    <w:p w14:paraId="73A92D06" w14:textId="77777777" w:rsidR="007433DF" w:rsidRDefault="00F5061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5.基金托管人按照《基金合同》和本协议的约定保管基金财产，如有特殊情况双方可另行协商解决。基金</w:t>
      </w:r>
      <w:r>
        <w:rPr>
          <w:rFonts w:ascii="彩虹粗仿宋" w:eastAsia="彩虹粗仿宋" w:hint="eastAsia"/>
          <w:sz w:val="24"/>
        </w:rPr>
        <w:t>托管人未经基金管理人的指令，不得自行运用、处分、分配本基金的任何资产（不包含基金托管人依据中国证券登记结算有限责任公司结算数据完成场内交易交收、开户银行或交易/登记结算机构扣收交易费、结算费和账户维护费等费用）。</w:t>
      </w:r>
    </w:p>
    <w:p w14:paraId="3C3136EA" w14:textId="77777777" w:rsidR="007433DF" w:rsidRDefault="00F5061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托管资金账户的，基金托管人应及时通知基金管理人采取措施进行催收。由此给基金财产造成损失的，基金管理人应负责向有关当事人追偿基金财产的损失，基金托管人应予以必要的协助和配合，但对此不承担</w:t>
      </w:r>
      <w:r>
        <w:rPr>
          <w:rFonts w:ascii="彩虹粗仿宋" w:eastAsia="彩虹粗仿宋" w:hint="eastAsia"/>
          <w:sz w:val="24"/>
        </w:rPr>
        <w:t>任何</w:t>
      </w:r>
      <w:r>
        <w:rPr>
          <w:rFonts w:ascii="彩虹粗仿宋" w:eastAsia="彩虹粗仿宋" w:hAnsi="宋体" w:cs="Arial" w:hint="eastAsia"/>
          <w:sz w:val="24"/>
        </w:rPr>
        <w:t>责任。</w:t>
      </w:r>
    </w:p>
    <w:p w14:paraId="47149309" w14:textId="77777777" w:rsidR="007433DF" w:rsidRDefault="00F5061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7.除依据法律法规和《基金合同》的规定外，基金托管人不得委托第三人托管基金财产。</w:t>
      </w:r>
    </w:p>
    <w:p w14:paraId="7B59ACEA" w14:textId="77777777" w:rsidR="007433DF" w:rsidRDefault="00F5061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（二）基金募集期间及募集资金的验资</w:t>
      </w:r>
    </w:p>
    <w:p w14:paraId="3A4B7562" w14:textId="77777777" w:rsidR="007433DF" w:rsidRDefault="00F5061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lastRenderedPageBreak/>
        <w:t>1.基金募集期间募集的资金应存于基金管理人在基金托管人处开立的基金募集专户中。该账户由基金管理人开立并管理。</w:t>
      </w:r>
    </w:p>
    <w:p w14:paraId="7BE30B7C" w14:textId="77777777" w:rsidR="007433DF" w:rsidRDefault="00F5061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托管资金账户，同时在规定时间内，聘请符合《证券法》规定的会计师事务所进行验资，出具验资报告。出具的验资报告由参加验资的2名或2名以上中国注册会计师签字方为有效。</w:t>
      </w:r>
    </w:p>
    <w:p w14:paraId="40F5F711" w14:textId="77777777" w:rsidR="007433DF" w:rsidRDefault="00F5061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3.若基金募集期限届满，未能达到《基金合同》生效的条件，由基金管理人按规定办理退款等事宜。</w:t>
      </w:r>
    </w:p>
    <w:p w14:paraId="37141AA6" w14:textId="77777777" w:rsidR="007433DF" w:rsidRDefault="00F5061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（三）基金银行账户（托管资金账户）的开立和管理</w:t>
      </w:r>
    </w:p>
    <w:p w14:paraId="194F131F" w14:textId="77777777" w:rsidR="007433DF" w:rsidRDefault="00F5061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1.基金托管人应以基金的名义在其营业机构开立基金的托管资金账户，并根据基金管理人合法合规的指令办理资金收付。本基金的银行预留印鉴由基金托管人保管和使用。</w:t>
      </w:r>
    </w:p>
    <w:p w14:paraId="71525F71" w14:textId="77777777" w:rsidR="007433DF" w:rsidRDefault="00F5061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2.基金托管资金账户的开立和使用，限于满足开展本基金业务的需要。基金托管人和基金管理人不得假借本基金的名义开立任何其他银行账户；亦不得使用基金的任何账户进行本基金业务以外的活动。</w:t>
      </w:r>
    </w:p>
    <w:p w14:paraId="0E013ED0" w14:textId="77777777" w:rsidR="007433DF" w:rsidRDefault="00F5061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3.基金托管资金账户的开立和管理应符合银行业监督管理机构的有关规定。</w:t>
      </w:r>
    </w:p>
    <w:p w14:paraId="2B1F966C" w14:textId="77777777" w:rsidR="007433DF" w:rsidRDefault="00F5061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4.在符合法律法规规定的条件下，基金托管人可以通过基金托管人专用账户办理基金资产的支付。</w:t>
      </w:r>
    </w:p>
    <w:p w14:paraId="75DA6ABF" w14:textId="77777777" w:rsidR="007433DF" w:rsidRDefault="00F5061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5.基金管理人应于基金终止运作后及时完成收益兑付、费用结清及其他应收应付款项资金划转，在确保后续不再发生款项进出后的10个工作日内向基金托管人发出销户申请。</w:t>
      </w:r>
    </w:p>
    <w:p w14:paraId="573E2675" w14:textId="77777777" w:rsidR="007433DF" w:rsidRDefault="00F5061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（四）基金证券账户和结算备付金账户的开立和管理</w:t>
      </w:r>
    </w:p>
    <w:p w14:paraId="06564720"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1.基金托管人在中国证券登记结算有限责任公司为基金开立基金托管人与基金联名的证券账户。</w:t>
      </w:r>
    </w:p>
    <w:p w14:paraId="36F34A54"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2E7738BB"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3.基金证券账户的开立和证券账户卡的保管由基金托管人负责，账户资产的管理和运用由基金管理人负责。</w:t>
      </w:r>
    </w:p>
    <w:p w14:paraId="2EC82AF6"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证券账户开户费</w:t>
      </w:r>
      <w:r>
        <w:rPr>
          <w:rFonts w:ascii="彩虹粗仿宋" w:eastAsia="彩虹粗仿宋" w:hAnsi="宋体"/>
          <w:sz w:val="24"/>
        </w:rPr>
        <w:t>由</w:t>
      </w:r>
      <w:r>
        <w:rPr>
          <w:rFonts w:ascii="彩虹粗仿宋" w:eastAsia="彩虹粗仿宋" w:hAnsi="宋体" w:hint="eastAsia"/>
          <w:sz w:val="24"/>
        </w:rPr>
        <w:t>基金管理人先行垫付</w:t>
      </w:r>
      <w:r>
        <w:rPr>
          <w:rFonts w:ascii="彩虹粗仿宋" w:eastAsia="彩虹粗仿宋" w:hAnsi="宋体"/>
          <w:sz w:val="24"/>
        </w:rPr>
        <w:t>,</w:t>
      </w:r>
      <w:r>
        <w:rPr>
          <w:rFonts w:ascii="彩虹粗仿宋" w:eastAsia="彩虹粗仿宋" w:hAnsi="宋体" w:hint="eastAsia"/>
          <w:sz w:val="24"/>
        </w:rPr>
        <w:t>待本基金启始运营后</w:t>
      </w:r>
      <w:r>
        <w:rPr>
          <w:rFonts w:ascii="彩虹粗仿宋" w:eastAsia="彩虹粗仿宋" w:hAnsi="宋体"/>
          <w:sz w:val="24"/>
        </w:rPr>
        <w:t>,</w:t>
      </w:r>
      <w:r>
        <w:rPr>
          <w:rFonts w:ascii="彩虹粗仿宋" w:eastAsia="彩虹粗仿宋" w:hAnsi="宋体" w:hint="eastAsia"/>
          <w:sz w:val="24"/>
        </w:rPr>
        <w:t>基金</w:t>
      </w:r>
      <w:r>
        <w:rPr>
          <w:rFonts w:ascii="彩虹粗仿宋" w:eastAsia="彩虹粗仿宋" w:hAnsi="宋体"/>
          <w:sz w:val="24"/>
        </w:rPr>
        <w:t>管理人可向</w:t>
      </w:r>
      <w:r>
        <w:rPr>
          <w:rFonts w:ascii="彩虹粗仿宋" w:eastAsia="彩虹粗仿宋" w:hAnsi="宋体" w:hint="eastAsia"/>
          <w:sz w:val="24"/>
        </w:rPr>
        <w:t>基金</w:t>
      </w:r>
      <w:r>
        <w:rPr>
          <w:rFonts w:ascii="彩虹粗仿宋" w:eastAsia="彩虹粗仿宋" w:hAnsi="宋体"/>
          <w:sz w:val="24"/>
        </w:rPr>
        <w:t>托管人发送划款指令,将代垫开户费从本</w:t>
      </w:r>
      <w:r>
        <w:rPr>
          <w:rFonts w:ascii="彩虹粗仿宋" w:eastAsia="彩虹粗仿宋" w:hAnsi="宋体" w:hint="eastAsia"/>
          <w:sz w:val="24"/>
        </w:rPr>
        <w:t>基金托管资金</w:t>
      </w:r>
      <w:r>
        <w:rPr>
          <w:rFonts w:ascii="彩虹粗仿宋" w:eastAsia="彩虹粗仿宋" w:hAnsi="宋体"/>
          <w:sz w:val="24"/>
        </w:rPr>
        <w:t>账户中</w:t>
      </w:r>
      <w:r>
        <w:rPr>
          <w:rFonts w:ascii="彩虹粗仿宋" w:eastAsia="彩虹粗仿宋" w:hAnsi="宋体" w:hint="eastAsia"/>
          <w:sz w:val="24"/>
        </w:rPr>
        <w:t>扣还基金管理人。</w:t>
      </w:r>
    </w:p>
    <w:p w14:paraId="5024EEB7"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4.基金托管人以基金托管人的名义在中国证券登记结算有限责任公司开立结算备付金账户，并代表所托管的基金完成与中国证券登记结算有限责任公司的一</w:t>
      </w:r>
      <w:r>
        <w:rPr>
          <w:rFonts w:ascii="彩虹粗仿宋" w:eastAsia="彩虹粗仿宋" w:hAnsi="宋体" w:cs="Arial" w:hint="eastAsia"/>
          <w:sz w:val="24"/>
        </w:rPr>
        <w:lastRenderedPageBreak/>
        <w:t>级法人清算工作，基金管理人应予以积极协助。结算备付金、结算保证金、交收资金等的收取按照中国证券登记结算有限责任公司的规定以及基金管理人与基金托管人签署的《托管银行证券资金结算协议》执行。</w:t>
      </w:r>
    </w:p>
    <w:p w14:paraId="33E6CA08"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5.账户注销时，在遵守中国证券登记结算有限责任公司的相关规定下，由基金管理人和基金托管人协商确认主要办理人。账户注销期间，主要办理人如需另一方提供配合的，另一方应予以配合。</w:t>
      </w:r>
    </w:p>
    <w:p w14:paraId="37E16FCC"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6.若中国证监会或其他监管机构在本托管协议订立日之后允许基金从事其他投资品种的投资业务，涉及相关账户的开立、使用的，若无相关规定，则基金托管人比照上述关于账户开立、使用的规定执行。</w:t>
      </w:r>
    </w:p>
    <w:p w14:paraId="5E8AA53F"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（五）银行间账户的开设和管理</w:t>
      </w:r>
    </w:p>
    <w:p w14:paraId="75B3002B"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合同》生效后，基金管理人负责以基金的名义申请并取得进入全国银行间同业拆借市场的交易资格，并代表基金进行交易；基金托管人根据中国人民银行、银行间债券市场登记结算机构的有关规定，以本基金的名义在银行间债券市场登记结算机构开立债券托管账户和资金结算专户，并代表基金进行银行间市场债券的结算。基金管理人代表基金签订全国银行间债券市场债券回购主协议。</w:t>
      </w:r>
    </w:p>
    <w:p w14:paraId="34DE8EF9"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（六）开放式基金账户的开设和管理</w:t>
      </w:r>
    </w:p>
    <w:p w14:paraId="591FB4E8"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场外开放式基金账户由基金管理人根据基金公司要求填写相关资料后开立。基金管理人应指定托管资金账户作为开放式基金交易及回款的唯一结算账户。基金管理人应及时将开放式基金账户的信息发送基金托管人。</w:t>
      </w:r>
    </w:p>
    <w:p w14:paraId="7B5BBE43"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选择通过机构投资者场外投资业务平台（简称"FISP"）参与开放式基金投资的，应由基金管理人在FISP系统登记产品信息（包含基金托管人信息），由基金托管人对银行账户信息进行验证。产品登记成功后，由基金管理人在线向基金销售机构提交开户申请，账户开立信息通过FISP反馈基金管理人和基金托管人。</w:t>
      </w:r>
    </w:p>
    <w:p w14:paraId="43326B02"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（七）其他账户的开立和管理</w:t>
      </w:r>
    </w:p>
    <w:p w14:paraId="003FF2C3"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在本托管协议订立日之后，本基金被允许从事符合法律法规规定和《基金合同》约定的其他投资品种的投资业务时，如果涉及相关账户的开设和使用，由基金管理人协助基金托管人根据有关法律法规的规定、《基金合同》及本协议的约定，开立有关账户。该账户按有关规则使用并管理。</w:t>
      </w:r>
    </w:p>
    <w:p w14:paraId="02770AEE"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2.法律法规等有关规定对相关账户的开立和管理另有规定的，从其规定办理。</w:t>
      </w:r>
    </w:p>
    <w:p w14:paraId="2BEAEEA1" w14:textId="77777777" w:rsidR="007433DF" w:rsidRDefault="00F5061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（八）基金财产投资的有关有价凭证等的保管</w:t>
      </w:r>
    </w:p>
    <w:p w14:paraId="6ED169BC" w14:textId="77777777" w:rsidR="007433DF" w:rsidRDefault="00F50617">
      <w:pPr>
        <w:adjustRightInd w:val="0"/>
        <w:snapToGrid w:val="0"/>
        <w:ind w:firstLineChars="200" w:firstLine="480"/>
        <w:rPr>
          <w:rFonts w:ascii="彩虹粗仿宋" w:eastAsia="彩虹粗仿宋" w:hAnsi="宋体" w:cs="Arial"/>
        </w:rPr>
      </w:pPr>
      <w:r>
        <w:rPr>
          <w:rFonts w:ascii="彩虹粗仿宋" w:eastAsia="彩虹粗仿宋" w:hAnsi="宋体" w:cs="Arial" w:hint="eastAsia"/>
          <w:sz w:val="24"/>
        </w:rPr>
        <w:t>基金财产投资的有关实物证券、银行</w:t>
      </w:r>
      <w:r>
        <w:rPr>
          <w:rFonts w:ascii="彩虹粗仿宋" w:eastAsia="彩虹粗仿宋" w:hint="eastAsia"/>
          <w:sz w:val="24"/>
        </w:rPr>
        <w:t>存款开户证实书</w:t>
      </w:r>
      <w:r>
        <w:rPr>
          <w:rFonts w:ascii="彩虹粗仿宋" w:eastAsia="彩虹粗仿宋" w:hAnsi="宋体" w:cs="Arial" w:hint="eastAsia"/>
          <w:sz w:val="24"/>
        </w:rPr>
        <w:t>等有价凭证由基金托管人存放于基金托管人的保管库，也可存入法律法规有关规定允许的各类代保管库，保管凭证由基金托管人持有。实物证券、银行定期存款证实书等有价凭证的购买和转让，按基金管理人和基金托管人双方约定办理。基金托管人对由基金托管人</w:t>
      </w:r>
      <w:r>
        <w:rPr>
          <w:rFonts w:ascii="彩虹粗仿宋" w:eastAsia="彩虹粗仿宋" w:hAnsi="宋体" w:cs="Arial" w:hint="eastAsia"/>
          <w:sz w:val="24"/>
        </w:rPr>
        <w:lastRenderedPageBreak/>
        <w:t>以外机构实际有效控制或保管的资产不承担</w:t>
      </w:r>
      <w:r>
        <w:rPr>
          <w:rFonts w:ascii="彩虹粗仿宋" w:eastAsia="彩虹粗仿宋" w:hint="eastAsia"/>
          <w:sz w:val="24"/>
        </w:rPr>
        <w:t>任何</w:t>
      </w:r>
      <w:r>
        <w:rPr>
          <w:rFonts w:ascii="彩虹粗仿宋" w:eastAsia="彩虹粗仿宋" w:hAnsi="宋体" w:cs="Arial" w:hint="eastAsia"/>
          <w:sz w:val="24"/>
        </w:rPr>
        <w:t>责任。</w:t>
      </w:r>
    </w:p>
    <w:p w14:paraId="061DD4D3"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（九）与基金财产有关的重大合同的保管</w:t>
      </w:r>
    </w:p>
    <w:p w14:paraId="417A57C7" w14:textId="77777777" w:rsidR="007433DF" w:rsidRDefault="00F50617">
      <w:pPr>
        <w:adjustRightInd w:val="0"/>
        <w:snapToGrid w:val="0"/>
        <w:ind w:firstLineChars="200" w:firstLine="480"/>
        <w:rPr>
          <w:rFonts w:ascii="彩虹粗仿宋" w:eastAsia="彩虹粗仿宋"/>
          <w:sz w:val="30"/>
          <w:szCs w:val="30"/>
        </w:rPr>
      </w:pPr>
      <w:r>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不少于法律法规规定的最低年限。</w:t>
      </w:r>
    </w:p>
    <w:p w14:paraId="0D863ED1" w14:textId="77777777" w:rsidR="007433DF" w:rsidRDefault="007433DF">
      <w:pPr>
        <w:rPr>
          <w:rFonts w:ascii="彩虹粗仿宋" w:eastAsia="彩虹粗仿宋"/>
          <w:sz w:val="24"/>
        </w:rPr>
      </w:pPr>
    </w:p>
    <w:p w14:paraId="7224A360" w14:textId="77777777" w:rsidR="007433DF" w:rsidRDefault="00F50617">
      <w:pPr>
        <w:pStyle w:val="2"/>
        <w:jc w:val="center"/>
        <w:rPr>
          <w:rFonts w:ascii="彩虹粗仿宋" w:eastAsia="彩虹粗仿宋"/>
          <w:sz w:val="30"/>
        </w:rPr>
      </w:pPr>
      <w:bookmarkStart w:id="46" w:name="_Toc84234389"/>
      <w:bookmarkStart w:id="47" w:name="_Toc110830494"/>
      <w:bookmarkStart w:id="48" w:name="_Toc120435785"/>
      <w:bookmarkStart w:id="49" w:name="_Toc86204790"/>
      <w:bookmarkStart w:id="50" w:name="_Toc108512360"/>
      <w:bookmarkStart w:id="51" w:name="_Toc119402712"/>
      <w:bookmarkStart w:id="52" w:name="_Toc110761798"/>
      <w:bookmarkStart w:id="53" w:name="_Toc84133787"/>
      <w:bookmarkStart w:id="54" w:name="_Toc86737931"/>
      <w:bookmarkStart w:id="55" w:name="_Toc118212952"/>
      <w:bookmarkStart w:id="56" w:name="_Toc86649724"/>
      <w:bookmarkStart w:id="57" w:name="_Toc86727357"/>
      <w:bookmarkStart w:id="58" w:name="_Toc86726441"/>
      <w:bookmarkStart w:id="59" w:name="_Toc89163370"/>
      <w:bookmarkStart w:id="60" w:name="_Toc124325890"/>
      <w:bookmarkStart w:id="61" w:name="_Toc86225293"/>
      <w:bookmarkStart w:id="62" w:name="_Toc118774805"/>
      <w:bookmarkStart w:id="63" w:name="_Toc84234436"/>
      <w:bookmarkStart w:id="64" w:name="_Toc110765662"/>
      <w:bookmarkStart w:id="65" w:name="_Toc118972650"/>
      <w:bookmarkStart w:id="66" w:name="_Toc86223244"/>
      <w:r>
        <w:rPr>
          <w:rFonts w:ascii="彩虹粗仿宋" w:eastAsia="彩虹粗仿宋" w:hint="eastAsia"/>
          <w:sz w:val="30"/>
        </w:rPr>
        <w:t>六、指令的发送、确认及执行</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029C96B6" w14:textId="77777777" w:rsidR="007433DF" w:rsidRDefault="00F5061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14:paraId="4C4E68E8" w14:textId="77777777" w:rsidR="007433DF" w:rsidRDefault="00F5061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（一）基金管理人对发送指令人员的书面授权</w:t>
      </w:r>
    </w:p>
    <w:p w14:paraId="771B6D3D" w14:textId="77777777" w:rsidR="007433DF" w:rsidRDefault="00F5061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1.基金管理人应指定专人向基金托管人发送指令。</w:t>
      </w:r>
    </w:p>
    <w:p w14:paraId="723AAFA6" w14:textId="77777777" w:rsidR="007433DF" w:rsidRDefault="00F5061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2.基金管理人应向基金托管人提供书面授权文件原件，内容包括被授权人名单、预留印鉴及被授权人签字样本，授权文件应注明被授权人相应的权限，并加盖单位公章。</w:t>
      </w:r>
    </w:p>
    <w:p w14:paraId="0960212F" w14:textId="77777777" w:rsidR="007433DF" w:rsidRDefault="00F5061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14:paraId="47E5C7FD" w14:textId="77777777" w:rsidR="007433DF" w:rsidRDefault="00F5061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14:paraId="55360C6D" w14:textId="77777777" w:rsidR="007433DF" w:rsidRDefault="00F5061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（二）指令的内容</w:t>
      </w:r>
    </w:p>
    <w:p w14:paraId="1587916F" w14:textId="77777777" w:rsidR="007433DF" w:rsidRDefault="00F5061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1.指令包括付款指令以及其他资金划拨指令等。</w:t>
      </w:r>
    </w:p>
    <w:p w14:paraId="0CE30F04" w14:textId="77777777" w:rsidR="007433DF" w:rsidRDefault="00F5061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2.基金管理人发给基金托管人的指令应写明款项事由、支付时间、到账时间、金额、收付款账户等，加盖预留印鉴并由被授权人签字或盖章。</w:t>
      </w:r>
    </w:p>
    <w:p w14:paraId="7DC3CF10" w14:textId="77777777" w:rsidR="007433DF" w:rsidRDefault="00F5061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（三）指令的发送、确认及执行的时间和程序</w:t>
      </w:r>
    </w:p>
    <w:p w14:paraId="5BEB8502" w14:textId="77777777" w:rsidR="007433DF" w:rsidRDefault="00F5061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1.指令的发送</w:t>
      </w:r>
    </w:p>
    <w:p w14:paraId="755A82A7" w14:textId="77777777" w:rsidR="007433DF" w:rsidRDefault="00F5061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基金管理人发送指令应采用电子直连方式、传真方式或双方协商一致的其他</w:t>
      </w:r>
      <w:r>
        <w:rPr>
          <w:rFonts w:ascii="彩虹粗仿宋" w:eastAsia="彩虹粗仿宋" w:hAnsi="宋体" w:cs="Arial" w:hint="eastAsia"/>
          <w:sz w:val="24"/>
        </w:rPr>
        <w:lastRenderedPageBreak/>
        <w:t>方式。</w:t>
      </w:r>
    </w:p>
    <w:p w14:paraId="0F06B2B1" w14:textId="77777777" w:rsidR="007433DF" w:rsidRDefault="00F50617">
      <w:pPr>
        <w:adjustRightInd w:val="0"/>
        <w:snapToGrid w:val="0"/>
        <w:ind w:firstLine="482"/>
        <w:rPr>
          <w:rFonts w:ascii="彩虹粗仿宋" w:eastAsia="彩虹粗仿宋" w:hAnsi="宋体" w:cs="Arial"/>
          <w:sz w:val="24"/>
        </w:rPr>
      </w:pPr>
      <w:r>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14:paraId="128C2949" w14:textId="77777777" w:rsidR="007433DF" w:rsidRDefault="00F50617">
      <w:pPr>
        <w:adjustRightInd w:val="0"/>
        <w:snapToGrid w:val="0"/>
        <w:ind w:firstLine="482"/>
        <w:rPr>
          <w:rFonts w:ascii="彩虹粗仿宋" w:eastAsia="彩虹粗仿宋" w:hAnsi="宋体" w:cs="Arial"/>
          <w:sz w:val="24"/>
        </w:rPr>
      </w:pPr>
      <w:r>
        <w:rPr>
          <w:rFonts w:ascii="彩虹粗仿宋" w:eastAsia="彩虹粗仿宋" w:hAnsi="宋体" w:cs="Arial" w:hint="eastAsia"/>
          <w:sz w:val="24"/>
        </w:rPr>
        <w:t>指令发出后，基金管理人应及时以电话方式向基金托管人确认。</w:t>
      </w:r>
    </w:p>
    <w:p w14:paraId="26189E94" w14:textId="77777777" w:rsidR="007433DF" w:rsidRDefault="00F50617">
      <w:pPr>
        <w:adjustRightInd w:val="0"/>
        <w:snapToGrid w:val="0"/>
        <w:ind w:firstLine="482"/>
        <w:rPr>
          <w:rFonts w:ascii="彩虹粗仿宋" w:eastAsia="彩虹粗仿宋" w:hAnsi="宋体" w:cs="Arial"/>
          <w:sz w:val="24"/>
        </w:rPr>
      </w:pPr>
      <w:r>
        <w:rPr>
          <w:rFonts w:ascii="彩虹粗仿宋" w:eastAsia="彩虹粗仿宋" w:hAnsi="宋体" w:cs="Arial" w:hint="eastAsia"/>
          <w:sz w:val="24"/>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以书面方式通知基金托管人。</w:t>
      </w:r>
    </w:p>
    <w:p w14:paraId="693070CD" w14:textId="77777777" w:rsidR="007433DF" w:rsidRDefault="00F50617">
      <w:pPr>
        <w:adjustRightInd w:val="0"/>
        <w:snapToGrid w:val="0"/>
        <w:ind w:firstLine="482"/>
        <w:rPr>
          <w:rFonts w:ascii="彩虹粗仿宋" w:eastAsia="彩虹粗仿宋" w:hAnsi="宋体" w:cs="Arial"/>
          <w:sz w:val="24"/>
        </w:rPr>
      </w:pPr>
      <w:r>
        <w:rPr>
          <w:rFonts w:ascii="彩虹粗仿宋" w:eastAsia="彩虹粗仿宋" w:hAnsi="宋体" w:cs="Arial" w:hint="eastAsia"/>
          <w:sz w:val="24"/>
        </w:rPr>
        <w:t>2.指令的确认</w:t>
      </w:r>
    </w:p>
    <w:p w14:paraId="02644B02" w14:textId="77777777" w:rsidR="007433DF" w:rsidRDefault="00F50617">
      <w:pPr>
        <w:pStyle w:val="HTML"/>
        <w:adjustRightInd w:val="0"/>
        <w:snapToGrid w:val="0"/>
        <w:ind w:firstLine="482"/>
        <w:rPr>
          <w:sz w:val="21"/>
          <w:szCs w:val="21"/>
        </w:rPr>
      </w:pPr>
      <w:r>
        <w:rPr>
          <w:rFonts w:ascii="彩虹粗仿宋" w:eastAsia="彩虹粗仿宋" w:cs="Arial" w:hint="eastAsia"/>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14:paraId="5C9E39BB" w14:textId="77777777" w:rsidR="007433DF" w:rsidRDefault="00F50617">
      <w:pPr>
        <w:adjustRightInd w:val="0"/>
        <w:snapToGrid w:val="0"/>
        <w:ind w:firstLine="482"/>
        <w:rPr>
          <w:rFonts w:ascii="彩虹粗仿宋" w:eastAsia="彩虹粗仿宋" w:hAnsi="宋体" w:cs="Arial"/>
          <w:sz w:val="24"/>
        </w:rPr>
      </w:pPr>
      <w:r>
        <w:rPr>
          <w:rFonts w:ascii="彩虹粗仿宋" w:eastAsia="彩虹粗仿宋" w:hAnsi="宋体" w:cs="Arial" w:hint="eastAsia"/>
          <w:sz w:val="24"/>
        </w:rPr>
        <w:t>3.指令的时间和执行</w:t>
      </w:r>
    </w:p>
    <w:p w14:paraId="3D19A902" w14:textId="77777777" w:rsidR="007433DF" w:rsidRDefault="00F50617">
      <w:pPr>
        <w:pStyle w:val="a7"/>
        <w:spacing w:line="240" w:lineRule="auto"/>
        <w:ind w:firstLineChars="0" w:firstLine="482"/>
        <w:rPr>
          <w:rFonts w:ascii="彩虹粗仿宋" w:eastAsia="彩虹粗仿宋" w:hAnsi="宋体" w:cs="Arial"/>
          <w:szCs w:val="24"/>
          <w:shd w:val="pct10" w:color="auto" w:fill="FFFFFF"/>
        </w:rPr>
      </w:pPr>
      <w:r>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且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Pr>
          <w:rFonts w:ascii="彩虹粗仿宋" w:eastAsia="彩虹粗仿宋" w:hAnsi="宋体" w:cs="Arial" w:hint="eastAsia"/>
          <w:szCs w:val="24"/>
        </w:rPr>
        <w:t>基金管理人应确保基金托管人在执行指令时，基金托管资金账户有足够的资金余额，</w:t>
      </w:r>
      <w:r>
        <w:rPr>
          <w:rFonts w:ascii="彩虹粗仿宋" w:eastAsia="彩虹粗仿宋" w:hAnsi="宋体" w:cs="Arial" w:hint="eastAsia"/>
        </w:rPr>
        <w:t>在基金资金头寸充足的情况下，基金托管人对基金管理人符合法律法规、《基金合同》、本协议的指令不得拖延或拒绝执行。</w:t>
      </w:r>
    </w:p>
    <w:p w14:paraId="6130B11C" w14:textId="77777777" w:rsidR="007433DF" w:rsidRDefault="00F50617">
      <w:pPr>
        <w:pStyle w:val="a7"/>
        <w:spacing w:line="240" w:lineRule="auto"/>
        <w:ind w:firstLineChars="0" w:firstLine="482"/>
        <w:rPr>
          <w:rFonts w:ascii="彩虹粗仿宋" w:eastAsia="彩虹粗仿宋" w:hAnsi="宋体" w:cs="Arial"/>
        </w:rPr>
      </w:pPr>
      <w:r>
        <w:rPr>
          <w:rFonts w:ascii="彩虹粗仿宋" w:eastAsia="彩虹粗仿宋" w:hAnsi="宋体" w:cs="Arial" w:hint="eastAsia"/>
        </w:rPr>
        <w:t>（四）基金管理人发送错误指令的情形和处理程序</w:t>
      </w:r>
    </w:p>
    <w:p w14:paraId="240766A6" w14:textId="77777777" w:rsidR="007433DF" w:rsidRDefault="00F50617">
      <w:pPr>
        <w:adjustRightInd w:val="0"/>
        <w:snapToGrid w:val="0"/>
        <w:ind w:firstLine="482"/>
        <w:rPr>
          <w:rFonts w:ascii="彩虹粗仿宋" w:eastAsia="彩虹粗仿宋" w:hAnsi="宋体" w:cs="Arial"/>
          <w:sz w:val="24"/>
        </w:rPr>
      </w:pPr>
      <w:r>
        <w:rPr>
          <w:rFonts w:ascii="彩虹粗仿宋" w:eastAsia="彩虹粗仿宋" w:hAnsi="宋体" w:cs="Arial" w:hint="eastAsia"/>
          <w:sz w:val="24"/>
        </w:rPr>
        <w:t>基金管理人发送错误指令的情形包括指令违反法律法规、监管规定、《基金合同》或本协议约定，或指令发送人员无权或超越权限发送指令。</w:t>
      </w:r>
    </w:p>
    <w:p w14:paraId="21965590" w14:textId="77777777" w:rsidR="007433DF" w:rsidRDefault="00F50617">
      <w:pPr>
        <w:adjustRightInd w:val="0"/>
        <w:snapToGrid w:val="0"/>
        <w:ind w:firstLine="482"/>
        <w:rPr>
          <w:rFonts w:ascii="彩虹粗仿宋" w:eastAsia="彩虹粗仿宋" w:hAnsi="宋体" w:cs="Arial"/>
          <w:sz w:val="24"/>
        </w:rPr>
      </w:pPr>
      <w:r>
        <w:rPr>
          <w:rFonts w:ascii="彩虹粗仿宋" w:eastAsia="彩虹粗仿宋" w:hAnsi="宋体" w:cs="Arial" w:hint="eastAsia"/>
          <w:sz w:val="24"/>
        </w:rPr>
        <w:t>基金托管人发现基金管理人的指令错误时，有权拒绝执行，并及时通知基金管理人改正。如需基金托管人撤销尚未执行的指令，基金管理人应出具作废指令或作废说明，并电话通知基金托管人。</w:t>
      </w:r>
    </w:p>
    <w:p w14:paraId="6ADAA683" w14:textId="77777777" w:rsidR="007433DF" w:rsidRDefault="00F50617">
      <w:pPr>
        <w:adjustRightInd w:val="0"/>
        <w:snapToGrid w:val="0"/>
        <w:ind w:firstLine="482"/>
        <w:rPr>
          <w:rFonts w:ascii="彩虹粗仿宋" w:eastAsia="彩虹粗仿宋" w:hAnsi="宋体" w:cs="Arial"/>
          <w:sz w:val="24"/>
        </w:rPr>
      </w:pPr>
      <w:r>
        <w:rPr>
          <w:rFonts w:ascii="彩虹粗仿宋" w:eastAsia="彩虹粗仿宋" w:hAnsi="宋体" w:cs="Arial" w:hint="eastAsia"/>
          <w:sz w:val="24"/>
        </w:rPr>
        <w:t>（五）基金托管人未按照基金管理人指令执行的处理方法</w:t>
      </w:r>
    </w:p>
    <w:p w14:paraId="7A70CD21" w14:textId="77777777" w:rsidR="007433DF" w:rsidRDefault="00F50617">
      <w:pPr>
        <w:adjustRightInd w:val="0"/>
        <w:snapToGrid w:val="0"/>
        <w:ind w:firstLine="482"/>
        <w:rPr>
          <w:rFonts w:ascii="彩虹粗仿宋" w:eastAsia="彩虹粗仿宋" w:hAnsi="宋体" w:cs="Arial"/>
          <w:sz w:val="24"/>
        </w:rPr>
      </w:pPr>
      <w:r>
        <w:rPr>
          <w:rFonts w:ascii="彩虹粗仿宋" w:eastAsia="彩虹粗仿宋" w:hAnsi="宋体" w:cs="Arial" w:hint="eastAsia"/>
          <w:sz w:val="24"/>
        </w:rPr>
        <w:lastRenderedPageBreak/>
        <w:t>基金托管人由于自身过错，未按照基金管理人发送的符合法律法规、监管规定、《基金合同》和本协议约定的指令执行并对基金财产或投资人造成的直接损失，由基金托管人</w:t>
      </w:r>
      <w:r>
        <w:rPr>
          <w:rFonts w:ascii="彩虹粗仿宋" w:eastAsia="彩虹粗仿宋" w:hint="eastAsia"/>
          <w:sz w:val="24"/>
        </w:rPr>
        <w:t>赔偿由此造成的直接损失。</w:t>
      </w:r>
    </w:p>
    <w:p w14:paraId="0FE6F03A" w14:textId="77777777" w:rsidR="007433DF" w:rsidRDefault="00F50617">
      <w:pPr>
        <w:adjustRightInd w:val="0"/>
        <w:snapToGrid w:val="0"/>
        <w:ind w:firstLine="482"/>
        <w:rPr>
          <w:rFonts w:ascii="彩虹粗仿宋" w:eastAsia="彩虹粗仿宋" w:hAnsi="宋体" w:cs="Arial"/>
          <w:sz w:val="24"/>
        </w:rPr>
      </w:pPr>
      <w:r>
        <w:rPr>
          <w:rFonts w:ascii="彩虹粗仿宋" w:eastAsia="彩虹粗仿宋" w:hAnsi="宋体" w:cs="Arial" w:hint="eastAsia"/>
          <w:sz w:val="24"/>
        </w:rPr>
        <w:t>（六）更换被授权人员的程序</w:t>
      </w:r>
    </w:p>
    <w:p w14:paraId="6F700F6C" w14:textId="77777777" w:rsidR="007433DF" w:rsidRDefault="00F50617">
      <w:pPr>
        <w:adjustRightInd w:val="0"/>
        <w:snapToGrid w:val="0"/>
        <w:ind w:firstLine="482"/>
        <w:rPr>
          <w:rFonts w:ascii="彩虹粗仿宋" w:eastAsia="彩虹粗仿宋" w:hAnsi="宋体" w:cs="Arial"/>
          <w:sz w:val="24"/>
        </w:rPr>
      </w:pPr>
      <w:r>
        <w:rPr>
          <w:rFonts w:ascii="彩虹粗仿宋" w:eastAsia="彩虹粗仿宋" w:hAnsi="宋体" w:cs="Arial" w:hint="eastAsia"/>
          <w:sz w:val="24"/>
        </w:rPr>
        <w:t>基金管理人更换被授权人、更改或终止对被授权人的授权，应立即将新的加盖公章的授权文件以邮件发送扫描件方式通知基金托管人，并经电话确认后生效，原授权文件同时废止。新的授权文件正本应当在邮件发出后七个工作日内送达基金托管人。新的授权文件生效之后，正本送达之前，基金托管人按照新的授权文件扫描件内容执行有关业务，如果新的授权文件正本与扫描件内容不同，由此产生的责任由基金管理人承担。基金托管人更换接收基金管理人指令的传真号或邮箱地址，应提前通知基金管理人。</w:t>
      </w:r>
    </w:p>
    <w:p w14:paraId="47117F2A" w14:textId="77777777" w:rsidR="007433DF" w:rsidRDefault="00F5061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（七）其他事项</w:t>
      </w:r>
    </w:p>
    <w:p w14:paraId="05484BB3" w14:textId="77777777" w:rsidR="007433DF" w:rsidRDefault="00F5061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托管人在接收指令时，应对指令的要素是否齐全、印鉴与被授权人是否与预留的授权文件内容表面相符进行检查，如发现问题，应及时报告基金管理人，基金托管人对执行基金管理人的有效指令对基金财产造成的损失不承担赔偿责任。</w:t>
      </w:r>
    </w:p>
    <w:p w14:paraId="1FD435D3" w14:textId="77777777" w:rsidR="007433DF" w:rsidRDefault="00F5061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14:paraId="2B219BD2" w14:textId="77777777" w:rsidR="007433DF" w:rsidRDefault="007433DF">
      <w:pPr>
        <w:adjustRightInd w:val="0"/>
        <w:snapToGrid w:val="0"/>
        <w:rPr>
          <w:rFonts w:ascii="彩虹粗仿宋" w:eastAsia="彩虹粗仿宋" w:hAnsi="宋体" w:cs="Arial"/>
          <w:sz w:val="24"/>
        </w:rPr>
      </w:pPr>
    </w:p>
    <w:p w14:paraId="43639BA9" w14:textId="77777777" w:rsidR="007433DF" w:rsidRDefault="00F50617">
      <w:pPr>
        <w:pStyle w:val="2"/>
        <w:jc w:val="center"/>
        <w:rPr>
          <w:rFonts w:ascii="彩虹粗仿宋" w:eastAsia="彩虹粗仿宋"/>
          <w:sz w:val="30"/>
        </w:rPr>
      </w:pPr>
      <w:bookmarkStart w:id="67" w:name="_Toc119402713"/>
      <w:bookmarkStart w:id="68" w:name="_Toc120435786"/>
      <w:bookmarkStart w:id="69" w:name="_Toc84234437"/>
      <w:bookmarkStart w:id="70" w:name="_Toc86204791"/>
      <w:bookmarkStart w:id="71" w:name="_Toc124325891"/>
      <w:bookmarkStart w:id="72" w:name="_Toc84133788"/>
      <w:bookmarkStart w:id="73" w:name="_Toc84234390"/>
      <w:bookmarkStart w:id="74" w:name="_Toc86649725"/>
      <w:bookmarkStart w:id="75" w:name="_Toc86727358"/>
      <w:bookmarkStart w:id="76" w:name="_Toc86737932"/>
      <w:bookmarkStart w:id="77" w:name="_Toc86223245"/>
      <w:bookmarkStart w:id="78" w:name="_Toc118972651"/>
      <w:bookmarkStart w:id="79" w:name="_Toc86726442"/>
      <w:bookmarkStart w:id="80" w:name="_Toc110765663"/>
      <w:bookmarkStart w:id="81" w:name="_Toc118774806"/>
      <w:bookmarkStart w:id="82" w:name="_Toc110830495"/>
      <w:bookmarkStart w:id="83" w:name="_Toc86225294"/>
      <w:bookmarkStart w:id="84" w:name="_Toc110761799"/>
      <w:bookmarkStart w:id="85" w:name="_Toc108512361"/>
      <w:bookmarkStart w:id="86" w:name="_Toc118212953"/>
      <w:bookmarkStart w:id="87" w:name="_Toc89163371"/>
      <w:r>
        <w:rPr>
          <w:rFonts w:ascii="彩虹粗仿宋" w:eastAsia="彩虹粗仿宋" w:hint="eastAsia"/>
          <w:sz w:val="30"/>
        </w:rPr>
        <w:t>七、交易及清算交收安排</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5F576A19" w14:textId="77777777" w:rsidR="007433DF" w:rsidRDefault="00F5061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本基金参与交易所场内证券投资，采取托管人结算模式，基金管理人与基金托管人应根据有关法律法规及相关业务规则，签订《托管银行证券资金结算协议》用以具体明确基金管理人与基金托管人在证券交易资金结算业务中的程序与责任。协议签署前，基金管理人应按基金托管人要求配合提供相应准入材料。</w:t>
      </w:r>
    </w:p>
    <w:p w14:paraId="378E3AC4" w14:textId="77777777" w:rsidR="007433DF" w:rsidRDefault="00F5061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基金管理人、基金托管人应遵守本协议下述（一）和（二）之约定。</w:t>
      </w:r>
    </w:p>
    <w:p w14:paraId="66714A71" w14:textId="77777777" w:rsidR="007433DF" w:rsidRDefault="00F5061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（一）选择证券买卖的证券经营机构</w:t>
      </w:r>
    </w:p>
    <w:p w14:paraId="2341B7B4"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交易单元租用协议，基金管理人应提前通知基金托管人，并依据基金托管人要求提供相关资料，以便基金托管人申请办理接收结算数据手续。</w:t>
      </w:r>
    </w:p>
    <w:p w14:paraId="2B314863"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基金管理人应根据有关规定，在基金的中期报告和年度报告中将所选证券经营机构的有关情况及交易信息予以披露，并将该等情况及基金交易单元号、佣金</w:t>
      </w:r>
      <w:r>
        <w:rPr>
          <w:rFonts w:ascii="彩虹粗仿宋" w:eastAsia="彩虹粗仿宋" w:hAnsi="宋体" w:cs="Arial" w:hint="eastAsia"/>
          <w:sz w:val="24"/>
        </w:rPr>
        <w:lastRenderedPageBreak/>
        <w:t>费率等基本信息以及变更情况及时以书面形式通知基金托管人。</w:t>
      </w:r>
    </w:p>
    <w:p w14:paraId="11DD44BB" w14:textId="77777777" w:rsidR="007433DF" w:rsidRDefault="00F5061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（二）基金投资证券后的清算交收安排</w:t>
      </w:r>
    </w:p>
    <w:p w14:paraId="70A26AEF"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1.</w:t>
      </w:r>
      <w:r>
        <w:rPr>
          <w:rFonts w:ascii="彩虹粗仿宋" w:eastAsia="彩虹粗仿宋" w:hAnsi="宋体" w:cs="Arial" w:hint="eastAsia"/>
          <w:sz w:val="24"/>
        </w:rPr>
        <w:t>结算备付金与保证金</w:t>
      </w:r>
    </w:p>
    <w:p w14:paraId="21ED4B16"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中国证券登记结算有限责任公司分别于每月前6个交易日及每月前3个交易日内，对结算参与人最低备付金限额与结算保证金限额进行重新核算、调整。基金托管人应分别于每月前3个交易日内及结算保证金调整当日通过《资金账户报告》通知基金管理人本基金最低备付金调整金额以及调整后的结算保证金金额。基金管理人应预留最低备付金和结算保证金，并根据中国证券登记结算有限责任公司确定的实际最低备付金、结算保证金数据为依据安排资金运作，调整所需的现金头寸。如因调整最低备付金、结算保证金后造成透支，基金管理人应视基金托管人最低结算备付金比例计收方式分别于下列时点补足透支金额：</w:t>
      </w:r>
    </w:p>
    <w:p w14:paraId="27665300"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（1）固定备付金比例计收方式下，基金管理人应在调整最低备付金、结算保证金当日上午11：00之前补足金额。</w:t>
      </w:r>
    </w:p>
    <w:p w14:paraId="1B8AEFD5"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（2）差异化备付金比例计收方式下，基金管理人应最晚于资金交收日上午8：30前补足金额。</w:t>
      </w:r>
    </w:p>
    <w:p w14:paraId="3C1F8723" w14:textId="77777777" w:rsidR="007433DF" w:rsidRDefault="00F50617">
      <w:pPr>
        <w:adjustRightInd w:val="0"/>
        <w:snapToGrid w:val="0"/>
        <w:ind w:firstLine="480"/>
        <w:rPr>
          <w:rFonts w:ascii="彩虹粗仿宋" w:eastAsia="彩虹粗仿宋" w:hAnsi="宋体" w:cs="Arial"/>
          <w:sz w:val="24"/>
        </w:rPr>
      </w:pPr>
      <w:r>
        <w:rPr>
          <w:rFonts w:ascii="彩虹粗仿宋" w:eastAsia="彩虹粗仿宋" w:hAnsi="宋体" w:cs="Arial"/>
          <w:sz w:val="24"/>
        </w:rPr>
        <w:t>2</w:t>
      </w:r>
      <w:r>
        <w:rPr>
          <w:rFonts w:ascii="彩虹粗仿宋" w:eastAsia="彩虹粗仿宋" w:hAnsi="宋体" w:cs="Arial" w:hint="eastAsia"/>
          <w:sz w:val="24"/>
        </w:rPr>
        <w:t>.清算交收</w:t>
      </w:r>
    </w:p>
    <w:p w14:paraId="20900B81" w14:textId="77777777" w:rsidR="007433DF" w:rsidRDefault="00F5061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14:paraId="511619C5" w14:textId="77777777" w:rsidR="007433DF" w:rsidRDefault="00F5061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如果因为基金托管人自身过错在清算上造成基金财产的直接损失，应由基金托管人负责赔偿，但因中国人民银行、中国证券登记结算有限责任公司和银行间市场登记结算机构资金结算系统以及其他机构的结算系统发生故障等非基金托管人可以控制的因素造成清算资金无法按时到账的情形，基金托管人免责；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在预清算结束后应通知基金管理人预透支和预欠库事项，基金管理人应保持联系方式畅通，后续补缴等事宜由基金管理人负责解决，由此给基金托管人、本基金和基金托管人托管的其他资产造成的直接损失由基金管理人承担。</w:t>
      </w:r>
    </w:p>
    <w:p w14:paraId="681E4C49" w14:textId="77777777" w:rsidR="007433DF" w:rsidRDefault="00F50617">
      <w:pPr>
        <w:adjustRightInd w:val="0"/>
        <w:snapToGrid w:val="0"/>
        <w:spacing w:before="156" w:line="300" w:lineRule="auto"/>
        <w:ind w:firstLine="480"/>
        <w:rPr>
          <w:rFonts w:ascii="彩虹粗仿宋" w:eastAsia="彩虹粗仿宋" w:hAnsi="宋体" w:cs="宋体"/>
          <w:kern w:val="0"/>
          <w:sz w:val="24"/>
        </w:rPr>
      </w:pPr>
      <w:r>
        <w:rPr>
          <w:rFonts w:ascii="彩虹粗仿宋" w:eastAsia="彩虹粗仿宋" w:hAnsi="宋体" w:cs="宋体" w:hint="eastAsia"/>
          <w:kern w:val="0"/>
          <w:sz w:val="24"/>
        </w:rPr>
        <w:t>基金管理人应采取合理、必要措施，确保T日日终有足够的资金头寸完成T+1日</w:t>
      </w:r>
      <w:r>
        <w:rPr>
          <w:rFonts w:ascii="彩虹粗仿宋" w:eastAsia="彩虹粗仿宋" w:hint="eastAsia"/>
          <w:sz w:val="24"/>
        </w:rPr>
        <w:t>中国证券登记结算有限责任公司的资金</w:t>
      </w:r>
      <w:r>
        <w:rPr>
          <w:rFonts w:ascii="彩虹粗仿宋" w:eastAsia="彩虹粗仿宋" w:hAnsi="宋体" w:cs="宋体" w:hint="eastAsia"/>
          <w:kern w:val="0"/>
          <w:sz w:val="24"/>
        </w:rPr>
        <w:t>交收；如因基金管理人原因导致资金头寸不足，基金管理人应视基金托管人最低结算备付金比例计收方式分别于下列时</w:t>
      </w:r>
      <w:r>
        <w:rPr>
          <w:rFonts w:ascii="彩虹粗仿宋" w:eastAsia="彩虹粗仿宋" w:hAnsi="宋体" w:cs="宋体" w:hint="eastAsia"/>
          <w:kern w:val="0"/>
          <w:sz w:val="24"/>
        </w:rPr>
        <w:lastRenderedPageBreak/>
        <w:t>点补足透支金额：</w:t>
      </w:r>
    </w:p>
    <w:p w14:paraId="6D616A2D" w14:textId="77777777" w:rsidR="007433DF" w:rsidRDefault="00F50617">
      <w:pPr>
        <w:adjustRightInd w:val="0"/>
        <w:snapToGrid w:val="0"/>
        <w:spacing w:before="156" w:line="300" w:lineRule="auto"/>
        <w:ind w:firstLine="480"/>
        <w:rPr>
          <w:rFonts w:ascii="彩虹粗仿宋" w:eastAsia="彩虹粗仿宋" w:hAnsi="宋体" w:cs="宋体"/>
          <w:kern w:val="0"/>
          <w:sz w:val="24"/>
        </w:rPr>
      </w:pPr>
      <w:r>
        <w:rPr>
          <w:rFonts w:ascii="彩虹粗仿宋" w:eastAsia="彩虹粗仿宋" w:hAnsi="宋体" w:cs="宋体" w:hint="eastAsia"/>
          <w:kern w:val="0"/>
          <w:sz w:val="24"/>
        </w:rPr>
        <w:t>（1）固定备付金比例计收方式下，基金管理人应最晚于资金交收日上午11：00前补足金额。</w:t>
      </w:r>
    </w:p>
    <w:p w14:paraId="4D33427F" w14:textId="77777777" w:rsidR="007433DF" w:rsidRDefault="00F50617">
      <w:pPr>
        <w:adjustRightInd w:val="0"/>
        <w:snapToGrid w:val="0"/>
        <w:ind w:firstLine="480"/>
        <w:rPr>
          <w:rFonts w:ascii="彩虹粗仿宋" w:eastAsia="彩虹粗仿宋" w:hAnsi="宋体" w:cs="宋体"/>
          <w:kern w:val="0"/>
          <w:sz w:val="24"/>
        </w:rPr>
      </w:pPr>
      <w:r>
        <w:rPr>
          <w:rFonts w:ascii="彩虹粗仿宋" w:eastAsia="彩虹粗仿宋" w:hAnsi="宋体" w:cs="宋体" w:hint="eastAsia"/>
          <w:kern w:val="0"/>
          <w:sz w:val="24"/>
        </w:rPr>
        <w:t>（2）差异化备付金比例计收方式下，基金管理人应最晚于资金交收日上午8：30前补足金额。如果基金管理人未遵循上述规定备足资金头寸，影响基金资产的清算交收及基金托管人与中国证券登记结算有限责任公司之间的一级清算，由此给基金托管人、基金资产</w:t>
      </w:r>
      <w:r>
        <w:rPr>
          <w:rFonts w:ascii="彩虹粗仿宋" w:eastAsia="彩虹粗仿宋" w:hAnsi="宋体" w:cs="Arial" w:hint="eastAsia"/>
          <w:sz w:val="24"/>
        </w:rPr>
        <w:t>和基金托管人托管的其他资产</w:t>
      </w:r>
      <w:r>
        <w:rPr>
          <w:rFonts w:ascii="彩虹粗仿宋" w:eastAsia="彩虹粗仿宋" w:hAnsi="宋体" w:cs="宋体" w:hint="eastAsia"/>
          <w:kern w:val="0"/>
          <w:sz w:val="24"/>
        </w:rPr>
        <w:t>造成的直接经济损失由基金管理人负责。</w:t>
      </w:r>
    </w:p>
    <w:p w14:paraId="428AEF9B" w14:textId="77777777" w:rsidR="007433DF" w:rsidRDefault="00F50617">
      <w:pPr>
        <w:adjustRightInd w:val="0"/>
        <w:snapToGrid w:val="0"/>
        <w:ind w:firstLine="480"/>
        <w:rPr>
          <w:rFonts w:ascii="彩虹粗仿宋" w:eastAsia="彩虹粗仿宋" w:hAnsi="宋体" w:cs="宋体"/>
          <w:kern w:val="0"/>
          <w:sz w:val="24"/>
        </w:rPr>
      </w:pPr>
      <w:r>
        <w:rPr>
          <w:rFonts w:ascii="彩虹粗仿宋" w:eastAsia="彩虹粗仿宋" w:hAnsi="宋体" w:cs="宋体" w:hint="eastAsia"/>
          <w:kern w:val="0"/>
          <w:sz w:val="24"/>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14:paraId="6716F59B" w14:textId="77777777" w:rsidR="007433DF" w:rsidRDefault="00F50617">
      <w:pPr>
        <w:adjustRightInd w:val="0"/>
        <w:snapToGrid w:val="0"/>
        <w:ind w:firstLine="480"/>
        <w:rPr>
          <w:rFonts w:ascii="彩虹粗仿宋" w:eastAsia="彩虹粗仿宋" w:hAnsi="宋体" w:cs="宋体"/>
          <w:kern w:val="0"/>
          <w:sz w:val="24"/>
        </w:rPr>
      </w:pPr>
      <w:r>
        <w:rPr>
          <w:rFonts w:ascii="彩虹粗仿宋" w:eastAsia="彩虹粗仿宋" w:hAnsi="宋体" w:cs="宋体" w:hint="eastAsia"/>
          <w:kern w:val="0"/>
          <w:sz w:val="24"/>
        </w:rPr>
        <w:t>对于中国证券登记结算有限责任公司实行T+0非担保交收的业务，基金管理人应在交易日14：00前将划款指令发送至基金托管人。因基金管理人指令传输不及时，致使资金未能及时划入中国证券登记结算有限责任公司所造成的损失由基金管理人承担，包括但不限于赔偿在该市场引起其他托管客户交易失败、赔偿因占用结算参与人最低备付金带来的利息损失。若沪深市场T+0非担保交收规则调整，则此条款内容相应调整。</w:t>
      </w:r>
    </w:p>
    <w:p w14:paraId="05E6EC9D" w14:textId="77777777" w:rsidR="007433DF" w:rsidRDefault="00F50617">
      <w:pPr>
        <w:adjustRightInd w:val="0"/>
        <w:snapToGrid w:val="0"/>
        <w:ind w:firstLine="480"/>
        <w:rPr>
          <w:rFonts w:ascii="彩虹粗仿宋" w:eastAsia="彩虹粗仿宋" w:hAnsi="宋体" w:cs="宋体"/>
          <w:kern w:val="0"/>
          <w:sz w:val="24"/>
        </w:rPr>
      </w:pPr>
      <w:r>
        <w:rPr>
          <w:rFonts w:ascii="彩虹粗仿宋" w:eastAsia="彩虹粗仿宋" w:hAnsi="宋体" w:cs="宋体"/>
          <w:kern w:val="0"/>
          <w:sz w:val="24"/>
        </w:rPr>
        <w:t>3.交易记录、资金和证券账目核对的时间和方式</w:t>
      </w:r>
    </w:p>
    <w:p w14:paraId="070FE6A1" w14:textId="77777777" w:rsidR="007433DF" w:rsidRDefault="00F50617">
      <w:pPr>
        <w:adjustRightInd w:val="0"/>
        <w:snapToGrid w:val="0"/>
        <w:ind w:firstLine="480"/>
        <w:rPr>
          <w:rFonts w:ascii="彩虹粗仿宋" w:eastAsia="彩虹粗仿宋" w:hAnsi="宋体" w:cs="宋体"/>
          <w:kern w:val="0"/>
          <w:sz w:val="24"/>
        </w:rPr>
      </w:pPr>
      <w:r>
        <w:rPr>
          <w:rFonts w:ascii="彩虹粗仿宋" w:eastAsia="彩虹粗仿宋" w:hAnsi="宋体" w:cs="宋体" w:hint="eastAsia"/>
          <w:kern w:val="0"/>
          <w:sz w:val="24"/>
        </w:rPr>
        <w:t>（</w:t>
      </w:r>
      <w:r>
        <w:rPr>
          <w:rFonts w:ascii="彩虹粗仿宋" w:eastAsia="彩虹粗仿宋" w:hAnsi="宋体" w:cs="宋体"/>
          <w:kern w:val="0"/>
          <w:sz w:val="24"/>
        </w:rPr>
        <w:t>1）交易记录的核对</w:t>
      </w:r>
    </w:p>
    <w:p w14:paraId="080F6CAF" w14:textId="77777777" w:rsidR="007433DF" w:rsidRDefault="00F50617">
      <w:pPr>
        <w:adjustRightInd w:val="0"/>
        <w:snapToGrid w:val="0"/>
        <w:ind w:firstLine="480"/>
        <w:rPr>
          <w:rFonts w:ascii="彩虹粗仿宋" w:eastAsia="彩虹粗仿宋" w:hAnsi="宋体" w:cs="宋体"/>
          <w:kern w:val="0"/>
          <w:sz w:val="24"/>
        </w:rPr>
      </w:pPr>
      <w:r>
        <w:rPr>
          <w:rFonts w:ascii="彩虹粗仿宋" w:eastAsia="彩虹粗仿宋" w:hAnsi="宋体" w:cs="宋体" w:hint="eastAsia"/>
          <w:kern w:val="0"/>
          <w:sz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14:paraId="52C91FE8" w14:textId="77777777" w:rsidR="007433DF" w:rsidRDefault="00F50617">
      <w:pPr>
        <w:adjustRightInd w:val="0"/>
        <w:snapToGrid w:val="0"/>
        <w:ind w:firstLine="480"/>
        <w:rPr>
          <w:rFonts w:ascii="彩虹粗仿宋" w:eastAsia="彩虹粗仿宋" w:hAnsi="宋体" w:cs="宋体"/>
          <w:kern w:val="0"/>
          <w:sz w:val="24"/>
        </w:rPr>
      </w:pPr>
      <w:r>
        <w:rPr>
          <w:rFonts w:ascii="彩虹粗仿宋" w:eastAsia="彩虹粗仿宋" w:hAnsi="宋体" w:cs="宋体" w:hint="eastAsia"/>
          <w:kern w:val="0"/>
          <w:sz w:val="24"/>
        </w:rPr>
        <w:t>（</w:t>
      </w:r>
      <w:r>
        <w:rPr>
          <w:rFonts w:ascii="彩虹粗仿宋" w:eastAsia="彩虹粗仿宋" w:hAnsi="宋体" w:cs="宋体"/>
          <w:kern w:val="0"/>
          <w:sz w:val="24"/>
        </w:rPr>
        <w:t>2）资金账目的核对</w:t>
      </w:r>
    </w:p>
    <w:p w14:paraId="08D9F92D" w14:textId="77777777" w:rsidR="007433DF" w:rsidRDefault="00F50617">
      <w:pPr>
        <w:adjustRightInd w:val="0"/>
        <w:snapToGrid w:val="0"/>
        <w:ind w:firstLine="480"/>
        <w:rPr>
          <w:rFonts w:ascii="彩虹粗仿宋" w:eastAsia="彩虹粗仿宋" w:hAnsi="宋体" w:cs="宋体"/>
          <w:kern w:val="0"/>
          <w:sz w:val="24"/>
        </w:rPr>
      </w:pPr>
      <w:r>
        <w:rPr>
          <w:rFonts w:ascii="彩虹粗仿宋" w:eastAsia="彩虹粗仿宋" w:hAnsi="宋体" w:cs="宋体" w:hint="eastAsia"/>
          <w:kern w:val="0"/>
          <w:sz w:val="24"/>
        </w:rPr>
        <w:t>资金账目按日核实。</w:t>
      </w:r>
    </w:p>
    <w:p w14:paraId="2D38EA6C" w14:textId="77777777" w:rsidR="007433DF" w:rsidRDefault="00F5061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（3）证券账目的核对</w:t>
      </w:r>
    </w:p>
    <w:p w14:paraId="7B85F81D"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基金管理人和基金托管人每个交易日结束后核对基金证券账目，确保双方账目相符。</w:t>
      </w:r>
    </w:p>
    <w:p w14:paraId="6ED69F87" w14:textId="77777777" w:rsidR="007433DF" w:rsidRDefault="00F50617">
      <w:pPr>
        <w:ind w:firstLine="420"/>
        <w:rPr>
          <w:rFonts w:ascii="彩虹粗仿宋" w:eastAsia="彩虹粗仿宋" w:hAnsi="宋体" w:cs="Arial"/>
          <w:sz w:val="24"/>
        </w:rPr>
      </w:pPr>
      <w:r>
        <w:rPr>
          <w:rFonts w:ascii="彩虹粗仿宋" w:eastAsia="彩虹粗仿宋" w:hAnsi="宋体" w:cs="Arial" w:hint="eastAsia"/>
          <w:sz w:val="24"/>
        </w:rPr>
        <w:t>（三）基金申购和赎回业务处理的基本规定</w:t>
      </w:r>
    </w:p>
    <w:p w14:paraId="3AB2E78B" w14:textId="77777777" w:rsidR="007433DF" w:rsidRDefault="00F5061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1.基金份额申购、赎回的确认、清算由基金管理人或其委托的登记机构负责。</w:t>
      </w:r>
    </w:p>
    <w:p w14:paraId="7C698FBE" w14:textId="77777777" w:rsidR="007433DF" w:rsidRDefault="00F5061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2.基金管理人应将每个开放日的申购、赎回、转换开放式基金的数据传送给基</w:t>
      </w:r>
      <w:r>
        <w:rPr>
          <w:rFonts w:ascii="彩虹粗仿宋" w:eastAsia="彩虹粗仿宋" w:hAnsi="宋体" w:cs="Arial" w:hint="eastAsia"/>
          <w:sz w:val="24"/>
        </w:rPr>
        <w:lastRenderedPageBreak/>
        <w:t>金托管人。基金管理人应对传递的申购、赎回、转换开放式基金的数据真实性负责。基金托管人应及时查收申购及转入资金的到账情况并根据基金管理人指令及时划付赎回及转出款项。</w:t>
      </w:r>
    </w:p>
    <w:p w14:paraId="78BC5A77" w14:textId="77777777" w:rsidR="007433DF" w:rsidRDefault="00F5061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3.基金管理人应保证本基金（或本基金管理人委托）的登记机构每个工作日15:00前向基金托管人发送上述有关数据，并保证相关数据的准确、完整。</w:t>
      </w:r>
    </w:p>
    <w:p w14:paraId="6CE77D8A" w14:textId="77777777" w:rsidR="007433DF" w:rsidRDefault="00F5061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4.登记机构应通过与基金托管人建立的加密系统发送有关数据，如因各种原因，该系统无法正常发送，双方可协商解决处理方式。基金管理人向基金托管人发送的数据，双方各自按有关规定保存。</w:t>
      </w:r>
    </w:p>
    <w:p w14:paraId="21201C68" w14:textId="77777777" w:rsidR="007433DF" w:rsidRDefault="00F5061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5.如基金管理人委托其他机构办理本基金的登记业务，应保证上述相关事宜按时进行。否则，由基金管理人承担相应的责任。</w:t>
      </w:r>
    </w:p>
    <w:p w14:paraId="67EE87C3" w14:textId="77777777" w:rsidR="007433DF" w:rsidRDefault="00F5061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6.关于清算专用账户的设立和管理</w:t>
      </w:r>
    </w:p>
    <w:p w14:paraId="44DB36B4" w14:textId="77777777" w:rsidR="007433DF" w:rsidRDefault="00F5061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为满足申购、赎回及分红资金汇划的需要，由基金管理人开立资金清算的专用账户，该账户由登记机构管理。</w:t>
      </w:r>
    </w:p>
    <w:p w14:paraId="28CE82B1" w14:textId="77777777" w:rsidR="007433DF" w:rsidRDefault="00F5061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7.对于基金申购过程中产生的应收款，应由基金管理人负责与有关当事人确定到账日期并通知基金托管人，到账日应收款没有到达基金托管资金账户的，基金托管人应及时通知基金管理人采取措施进行催收，由此造成基金损失的，基金管理人应负责向有关当事人追偿基金的损失。</w:t>
      </w:r>
    </w:p>
    <w:p w14:paraId="499F63B9" w14:textId="77777777" w:rsidR="007433DF" w:rsidRDefault="00F5061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8.赎回和分红资金划拨规定</w:t>
      </w:r>
    </w:p>
    <w:p w14:paraId="02C18900" w14:textId="77777777" w:rsidR="007433DF" w:rsidRDefault="00F5061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拨付赎回款或进行基金分红时，如基金托管资金账户有足够的资金，基金托管人应按时拨付；因基金托管资金账户没有足够的资金，导致基金托管人不能按时拨付，如系基金管理人的原因造成，责任由基金管理人承担，基金托管人不承担垫款义务。</w:t>
      </w:r>
    </w:p>
    <w:p w14:paraId="41860200" w14:textId="77777777" w:rsidR="007433DF" w:rsidRDefault="00F5061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9.资金指令</w:t>
      </w:r>
    </w:p>
    <w:p w14:paraId="4D0787A0" w14:textId="77777777" w:rsidR="007433DF" w:rsidRDefault="00F5061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除申购款项到达基金托管资金账户需双方按约定方式对账外，回购到期付款和与投资有关的付款、赎回和分红资金划拨时，基金管理人需向基金托管人下达指令。</w:t>
      </w:r>
    </w:p>
    <w:p w14:paraId="3280EF81" w14:textId="77777777" w:rsidR="007433DF" w:rsidRDefault="00F5061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资金指令的格式、内容、发送、接收和确认方式等与投资指令相同。</w:t>
      </w:r>
    </w:p>
    <w:p w14:paraId="177105C0" w14:textId="77777777" w:rsidR="007433DF" w:rsidRDefault="00F5061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（四）申赎净额结算</w:t>
      </w:r>
    </w:p>
    <w:p w14:paraId="65F66114" w14:textId="77777777" w:rsidR="007433DF" w:rsidRDefault="00F5061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托管资金账户与“基金清算账户”间的资金结算遵循“全额清算、净额交收”的原则，每日(T日：资金交收日，下同)按照托管资金账户应收资金与应付资金的差额来确定托管资金账户净应收额或净应付额，以此确定资金交收额。当存在托管资金账户净应收额时，基金管理人负责将托管资金账户净应收额在T日15:00之前从基金清算账户划到基金托管资金账户；当存在托管资金账户净应付额时，基金管理人应在T日10:00之前将划款指令发送给基金托管人，基金托管人按基金管理人的划款指令将托管资金账户净应付额在T日</w:t>
      </w:r>
      <w:r>
        <w:rPr>
          <w:rFonts w:ascii="彩虹粗仿宋" w:eastAsia="彩虹粗仿宋" w:hAnsi="宋体" w:cs="Arial"/>
          <w:sz w:val="24"/>
        </w:rPr>
        <w:t>15:00</w:t>
      </w:r>
      <w:r>
        <w:rPr>
          <w:rFonts w:ascii="彩虹粗仿宋" w:eastAsia="彩虹粗仿宋" w:hAnsi="宋体" w:cs="Arial" w:hint="eastAsia"/>
          <w:sz w:val="24"/>
        </w:rPr>
        <w:t>之前划往基金清算账</w:t>
      </w:r>
      <w:r>
        <w:rPr>
          <w:rFonts w:ascii="彩虹粗仿宋" w:eastAsia="彩虹粗仿宋" w:hAnsi="宋体" w:cs="Arial" w:hint="eastAsia"/>
          <w:sz w:val="24"/>
        </w:rPr>
        <w:lastRenderedPageBreak/>
        <w:t>户。</w:t>
      </w:r>
    </w:p>
    <w:p w14:paraId="324F9FFF" w14:textId="77777777" w:rsidR="007433DF" w:rsidRDefault="00F5061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在发生巨额赎回或《基金合同》载明的其他暂停赎回或延缓支付赎回款项的情形时，款项的支付办法参照《基金合同》有关条款处理。</w:t>
      </w:r>
    </w:p>
    <w:p w14:paraId="33B9D580" w14:textId="77777777" w:rsidR="007433DF" w:rsidRDefault="00F5061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（五）基金转换</w:t>
      </w:r>
    </w:p>
    <w:p w14:paraId="7B405D7F" w14:textId="77777777" w:rsidR="007433DF" w:rsidRDefault="00F5061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1.在本基金与基金管理人管理的其它基金开展转换业务之前，基金管理人应函告基金托管人并就相关事宜进行协商。</w:t>
      </w:r>
    </w:p>
    <w:p w14:paraId="6F4FD4B5" w14:textId="77777777" w:rsidR="007433DF" w:rsidRDefault="00F5061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2.基金托管人将根据基金管理人传送的基金转换数据进行账务处理，具体资金清算和数据传递的时间、程序及托管协议当事人承担的权责按基金管理人届时的公告执行。</w:t>
      </w:r>
    </w:p>
    <w:p w14:paraId="64A02275" w14:textId="77777777" w:rsidR="007433DF" w:rsidRDefault="00F5061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3.本基金开展基金转换业务应按相关法律法规规定及《基金合同》的约定进行公告。</w:t>
      </w:r>
    </w:p>
    <w:p w14:paraId="6E56C256" w14:textId="77777777" w:rsidR="007433DF" w:rsidRDefault="00F5061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六）</w:t>
      </w:r>
      <w:r>
        <w:rPr>
          <w:rFonts w:ascii="彩虹粗仿宋" w:eastAsia="彩虹粗仿宋" w:hAnsi="宋体" w:cs="Arial" w:hint="eastAsia"/>
          <w:sz w:val="24"/>
        </w:rPr>
        <w:t>基金现金分红</w:t>
      </w:r>
    </w:p>
    <w:p w14:paraId="116A434C"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1.基金管理人确定分红方案通知基金托管人，双方核定后</w:t>
      </w:r>
      <w:r>
        <w:rPr>
          <w:rFonts w:ascii="彩虹粗仿宋" w:eastAsia="彩虹粗仿宋" w:hint="eastAsia"/>
          <w:sz w:val="24"/>
          <w:szCs w:val="18"/>
        </w:rPr>
        <w:t>依照《信息披露办法》的有关规定在中国证监会规定媒介上公告</w:t>
      </w:r>
      <w:r>
        <w:rPr>
          <w:rFonts w:ascii="彩虹粗仿宋" w:eastAsia="彩虹粗仿宋" w:hAnsi="宋体" w:cs="Arial" w:hint="eastAsia"/>
          <w:sz w:val="24"/>
        </w:rPr>
        <w:t>。</w:t>
      </w:r>
    </w:p>
    <w:p w14:paraId="34A47D5F" w14:textId="77777777" w:rsidR="007433DF" w:rsidRDefault="00F5061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2.基金托管人和基金管理人对基金分红进行账务处理并核对后，基金管理人向基金托管人发送现金红利的划款指令，基金托管人应及时将资金划入清算专用账户。</w:t>
      </w:r>
    </w:p>
    <w:p w14:paraId="256A7949" w14:textId="77777777" w:rsidR="007433DF" w:rsidRDefault="00F50617">
      <w:pPr>
        <w:ind w:firstLine="480"/>
        <w:rPr>
          <w:rFonts w:ascii="彩虹粗仿宋" w:eastAsia="彩虹粗仿宋" w:hAnsi="宋体" w:cs="Arial"/>
          <w:sz w:val="24"/>
        </w:rPr>
      </w:pPr>
      <w:r>
        <w:rPr>
          <w:rFonts w:ascii="彩虹粗仿宋" w:eastAsia="彩虹粗仿宋" w:hAnsi="宋体" w:cs="Arial" w:hint="eastAsia"/>
          <w:sz w:val="24"/>
        </w:rPr>
        <w:t>3.基金管理人在下达指令时，应给基金托管人留出必需的划款时间。</w:t>
      </w:r>
    </w:p>
    <w:p w14:paraId="00BB9BD9" w14:textId="77777777" w:rsidR="007433DF" w:rsidRDefault="00F5061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（七）投资银行存款的特别约定</w:t>
      </w:r>
    </w:p>
    <w:p w14:paraId="38567B65" w14:textId="77777777" w:rsidR="007433DF" w:rsidRDefault="00F5061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1.本基金投资银行存款前，基金管理人应与存款银行签订具体存款协议，包括但不限于以下内容：</w:t>
      </w:r>
    </w:p>
    <w:p w14:paraId="68C8A7EF" w14:textId="77777777" w:rsidR="007433DF" w:rsidRDefault="00F50617">
      <w:pPr>
        <w:adjustRightInd w:val="0"/>
        <w:snapToGrid w:val="0"/>
        <w:ind w:firstLine="480"/>
        <w:rPr>
          <w:rFonts w:ascii="彩虹粗仿宋" w:eastAsia="彩虹粗仿宋" w:hAnsi="宋体"/>
          <w:bCs/>
          <w:sz w:val="24"/>
        </w:rPr>
      </w:pPr>
      <w:r>
        <w:rPr>
          <w:rFonts w:ascii="彩虹粗仿宋" w:eastAsia="彩虹粗仿宋" w:hAnsi="宋体" w:cs="Arial" w:hint="eastAsia"/>
          <w:sz w:val="24"/>
        </w:rPr>
        <w:t>（1）</w:t>
      </w:r>
      <w:r>
        <w:rPr>
          <w:rFonts w:ascii="彩虹粗仿宋" w:eastAsia="彩虹粗仿宋" w:hAnsi="宋体" w:hint="eastAsia"/>
          <w:bCs/>
          <w:sz w:val="24"/>
        </w:rPr>
        <w:t>存款账户必须以本基金名义开立,并将基金托管人为本</w:t>
      </w:r>
      <w:r>
        <w:rPr>
          <w:rFonts w:ascii="彩虹粗仿宋" w:eastAsia="彩虹粗仿宋" w:hAnsi="宋体" w:cs="Arial" w:hint="eastAsia"/>
          <w:sz w:val="24"/>
        </w:rPr>
        <w:t>基金开立的基金托管资金账户</w:t>
      </w:r>
      <w:r>
        <w:rPr>
          <w:rFonts w:ascii="彩虹粗仿宋" w:eastAsia="彩虹粗仿宋" w:hAnsi="宋体" w:hint="eastAsia"/>
          <w:bCs/>
          <w:sz w:val="24"/>
        </w:rPr>
        <w:t>指定为唯一回款账户，</w:t>
      </w:r>
      <w:r>
        <w:rPr>
          <w:rFonts w:ascii="彩虹粗仿宋" w:eastAsia="彩虹粗仿宋" w:hint="eastAsia"/>
          <w:sz w:val="24"/>
        </w:rPr>
        <w:t>任何情况下，存款银行都不得将存款投资本息划往任何其他账户。</w:t>
      </w:r>
    </w:p>
    <w:p w14:paraId="3902941E" w14:textId="77777777" w:rsidR="007433DF" w:rsidRDefault="00F50617">
      <w:pPr>
        <w:adjustRightInd w:val="0"/>
        <w:snapToGrid w:val="0"/>
        <w:ind w:firstLine="480"/>
        <w:rPr>
          <w:rFonts w:ascii="彩虹粗仿宋" w:eastAsia="彩虹粗仿宋"/>
          <w:sz w:val="24"/>
        </w:rPr>
      </w:pPr>
      <w:r>
        <w:rPr>
          <w:rFonts w:ascii="彩虹粗仿宋" w:eastAsia="彩虹粗仿宋" w:hAnsi="宋体" w:hint="eastAsia"/>
          <w:bCs/>
          <w:sz w:val="24"/>
        </w:rPr>
        <w:t>（2）</w:t>
      </w:r>
      <w:r>
        <w:rPr>
          <w:rFonts w:ascii="彩虹粗仿宋" w:eastAsia="彩虹粗仿宋" w:hint="eastAsia"/>
          <w:sz w:val="24"/>
        </w:rPr>
        <w:t>存款银行不得接受基金管理人或基金托管人任何一方单方面提出的对存款进行更名、转让、挂失、质押、担保、撤销、变更印鉴及回款账户信息等可能导致财产转移的操作申请。</w:t>
      </w:r>
    </w:p>
    <w:p w14:paraId="32F914F2" w14:textId="77777777" w:rsidR="007433DF" w:rsidRDefault="00F50617">
      <w:pPr>
        <w:adjustRightInd w:val="0"/>
        <w:snapToGrid w:val="0"/>
        <w:ind w:firstLine="480"/>
        <w:rPr>
          <w:rFonts w:ascii="彩虹粗仿宋" w:eastAsia="彩虹粗仿宋"/>
          <w:sz w:val="24"/>
        </w:rPr>
      </w:pPr>
      <w:r>
        <w:rPr>
          <w:rFonts w:ascii="彩虹粗仿宋" w:eastAsia="彩虹粗仿宋" w:hint="eastAsia"/>
          <w:sz w:val="24"/>
        </w:rPr>
        <w:t>（3）约定存款证实书的具体传递交接方式及交接期限。</w:t>
      </w:r>
    </w:p>
    <w:p w14:paraId="18A55DC9" w14:textId="77777777" w:rsidR="007433DF" w:rsidRDefault="00F50617">
      <w:pPr>
        <w:adjustRightInd w:val="0"/>
        <w:snapToGrid w:val="0"/>
        <w:ind w:firstLine="480"/>
        <w:rPr>
          <w:rFonts w:ascii="彩虹粗仿宋" w:eastAsia="彩虹粗仿宋"/>
          <w:sz w:val="24"/>
        </w:rPr>
      </w:pPr>
      <w:r>
        <w:rPr>
          <w:rFonts w:ascii="彩虹粗仿宋" w:eastAsia="彩虹粗仿宋" w:hint="eastAsia"/>
          <w:sz w:val="24"/>
        </w:rPr>
        <w:t>（4）资金划转过程中需要使用存款银行过渡账户的，存款银行须保证资金在过渡账户中不出现滞留，不被挪用。</w:t>
      </w:r>
    </w:p>
    <w:p w14:paraId="1B0BA1A4"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2.本基金投资银行存款，必须采用双方认可的方式办理。基金</w:t>
      </w:r>
      <w:r>
        <w:rPr>
          <w:rFonts w:ascii="彩虹粗仿宋" w:eastAsia="彩虹粗仿宋" w:hAnsi="宋体" w:hint="eastAsia"/>
          <w:bCs/>
          <w:sz w:val="24"/>
        </w:rPr>
        <w:t>托管人负责依据</w:t>
      </w:r>
      <w:r>
        <w:rPr>
          <w:rFonts w:ascii="彩虹粗仿宋" w:eastAsia="彩虹粗仿宋" w:hAnsi="宋体" w:cs="Arial" w:hint="eastAsia"/>
          <w:sz w:val="24"/>
        </w:rPr>
        <w:t>基金</w:t>
      </w:r>
      <w:r>
        <w:rPr>
          <w:rFonts w:ascii="彩虹粗仿宋" w:eastAsia="彩虹粗仿宋" w:hAnsi="宋体" w:hint="eastAsia"/>
          <w:bCs/>
          <w:sz w:val="24"/>
        </w:rPr>
        <w:t>管理人提供的银行存款投资合同/协议、投资指令、支取通知等有关文件办理资金的支付以及存款证实书的接收、保管与交付，切实履行托管职责。</w:t>
      </w:r>
      <w:r>
        <w:rPr>
          <w:rFonts w:ascii="彩虹粗仿宋" w:eastAsia="彩虹粗仿宋" w:hAnsi="宋体" w:cs="Arial" w:hint="eastAsia"/>
          <w:sz w:val="24"/>
        </w:rPr>
        <w:t>基金</w:t>
      </w:r>
      <w:r>
        <w:rPr>
          <w:rFonts w:ascii="彩虹粗仿宋" w:eastAsia="彩虹粗仿宋" w:hAnsi="宋体" w:hint="eastAsia"/>
          <w:bCs/>
          <w:sz w:val="24"/>
        </w:rPr>
        <w:t>托管人负责对存款开户证实书进行保管，</w:t>
      </w:r>
      <w:r>
        <w:rPr>
          <w:rFonts w:ascii="彩虹粗仿宋" w:eastAsia="彩虹粗仿宋" w:hint="eastAsia"/>
          <w:sz w:val="24"/>
        </w:rPr>
        <w:t>不负责对存款开户证实书真伪的辨别，不承</w:t>
      </w:r>
      <w:r>
        <w:rPr>
          <w:rFonts w:ascii="彩虹粗仿宋" w:eastAsia="彩虹粗仿宋" w:hint="eastAsia"/>
          <w:sz w:val="24"/>
        </w:rPr>
        <w:lastRenderedPageBreak/>
        <w:t>担存款开户证实书对应存款的本金及收益的安全</w:t>
      </w:r>
      <w:r>
        <w:rPr>
          <w:rFonts w:ascii="彩虹粗仿宋" w:eastAsia="彩虹粗仿宋" w:hAnsi="宋体" w:hint="eastAsia"/>
          <w:bCs/>
          <w:sz w:val="24"/>
        </w:rPr>
        <w:t>。</w:t>
      </w:r>
      <w:r>
        <w:rPr>
          <w:rFonts w:ascii="彩虹粗仿宋" w:eastAsia="彩虹粗仿宋" w:hAnsi="宋体" w:cs="Arial" w:hint="eastAsia"/>
          <w:sz w:val="24"/>
        </w:rPr>
        <w:t xml:space="preserve">    </w:t>
      </w:r>
    </w:p>
    <w:p w14:paraId="2844DE35"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基金管理人投资银行存款或办理存款支取时，应提前以书面或其他双方认可的方式通知基金托管人，以便基金托管人有足够的时间履行相应的业务操作程序。若发生逾期支取、提前支取或部分提前支取，基金托管人不承担相应利息损失及逾期支取手续费。</w:t>
      </w:r>
    </w:p>
    <w:p w14:paraId="750D519F"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对于已移交基金托管人保管的存款开户证实书等实物凭证，基金托管人应确保安全保管；对未按约定将存款开户证实书等实物凭证移交基金托管人保管的，基金托管人应向基金管理人进行必要的催缴和风险提示；提示后仍不将相关实物凭证送达基金托管人保管的，出于托管履职和尽责，基金托管人可视情况采取必要的风险控制措施：（1）建立风险预警机制，对于实物凭证未送达集中度较高的存款银行，主动发函基金管理人尽量避免在此类银行进行存款投资；（2）在定期报告中，对未按约定送达基金托管人保管的实物凭证信息进行规定范围信息披露；（3）未送达实物凭证超过送单截止日后30个工作日，且累计超过3笔（含）以上的，部分或全部暂停配合基金管理人办理后续新增存款投资业务，直至实物凭证送达基金托管人保管后解除。实物凭证未送达但存款本息已安全划回托管资金账户的，以及因发生特殊情况由基金管理人提供相关书面说明并重新承诺送单截止时间的，可剔除不计。</w:t>
      </w:r>
    </w:p>
    <w:p w14:paraId="347FF855"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（八）本基金通过第三方销售机构参与开放式基金投资的特别约定</w:t>
      </w:r>
    </w:p>
    <w:p w14:paraId="54F3409F"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可以通过第三方基金销售机构渠道投资开放式基金。为维护基金份额持有人利益、保障资产安全，基金管理人应负责制订选择第三方基金销售机构的标准和程序，并据此选择第三方销售机构。对于第三方基金销售机构原因给本基金造成损失的，相关责任由基金管理人承担。</w:t>
      </w:r>
    </w:p>
    <w:p w14:paraId="1B012DB6" w14:textId="77777777" w:rsidR="007433DF" w:rsidRDefault="007433DF">
      <w:pPr>
        <w:adjustRightInd w:val="0"/>
        <w:snapToGrid w:val="0"/>
        <w:rPr>
          <w:rFonts w:ascii="彩虹粗仿宋" w:eastAsia="彩虹粗仿宋" w:hAnsi="宋体" w:cs="Arial"/>
          <w:sz w:val="24"/>
        </w:rPr>
      </w:pPr>
    </w:p>
    <w:p w14:paraId="174356CB" w14:textId="77777777" w:rsidR="007433DF" w:rsidRDefault="00F50617">
      <w:pPr>
        <w:pStyle w:val="2"/>
        <w:jc w:val="center"/>
        <w:rPr>
          <w:rFonts w:ascii="彩虹粗仿宋" w:eastAsia="彩虹粗仿宋"/>
          <w:sz w:val="30"/>
        </w:rPr>
      </w:pPr>
      <w:bookmarkStart w:id="88" w:name="_Toc124325892"/>
      <w:bookmarkStart w:id="89" w:name="_Hlk193011797"/>
      <w:r>
        <w:rPr>
          <w:rFonts w:ascii="彩虹粗仿宋" w:eastAsia="彩虹粗仿宋" w:hint="eastAsia"/>
          <w:sz w:val="30"/>
        </w:rPr>
        <w:t>八、基金资产净值计算和会计核算</w:t>
      </w:r>
      <w:bookmarkEnd w:id="88"/>
    </w:p>
    <w:p w14:paraId="0D655BA7"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（一）基金资产净值的计算、复核与完成的时间及程序</w:t>
      </w:r>
    </w:p>
    <w:p w14:paraId="0479C819"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资产净值是指基金资产总值减去基金负债后的价值。各类基金份额净值是按照估值日各类基金份额的基金资产净值除以估值日该类基金份额的余额数量计算，精确到0.0001元，小数点后第5位四舍五入。基金管理人可以设立大额赎回情形下的净值精度应急调整机制。国家另有规定的，从其规定。T日的各类基金份额净值在所投资基金披露净值或万份收益的当日（法定节假日顺延至第一个交易日）计算，并于T+3日公告。</w:t>
      </w:r>
    </w:p>
    <w:p w14:paraId="4EFE23EC"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基金管理人应每个工作日计算基金资产净值及各类基金份额的基金份额净值，按规定披露。</w:t>
      </w:r>
    </w:p>
    <w:p w14:paraId="06B50176"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2、基金管理人应每个工作日对基金资产估值。但基金管理人根据法律法规或基金合同的规定暂停估值时除外。基金管理人对基金资产进行估值后，将各类基金份额的基金份额净值结果发送基金托管人，经基金托管人复核无误后，由基金管理人按规定对外公布。</w:t>
      </w:r>
    </w:p>
    <w:p w14:paraId="6905AE7B" w14:textId="77777777" w:rsidR="007433DF" w:rsidRDefault="00F50617">
      <w:pPr>
        <w:ind w:firstLineChars="200" w:firstLine="480"/>
        <w:rPr>
          <w:rFonts w:ascii="彩虹粗仿宋" w:eastAsia="彩虹粗仿宋" w:hAnsi="宋体" w:cs="Arial"/>
          <w:sz w:val="24"/>
        </w:rPr>
      </w:pPr>
      <w:bookmarkStart w:id="90" w:name="_Hlk132725196"/>
      <w:r>
        <w:rPr>
          <w:rFonts w:ascii="彩虹粗仿宋" w:eastAsia="彩虹粗仿宋" w:hAnsi="宋体" w:cs="Arial" w:hint="eastAsia"/>
          <w:sz w:val="24"/>
        </w:rPr>
        <w:t>（二）基金资产估值方法和特殊情形的处理</w:t>
      </w:r>
    </w:p>
    <w:p w14:paraId="1A03A1BE"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1.估值对象</w:t>
      </w:r>
    </w:p>
    <w:p w14:paraId="408076F1"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基金所拥有的股票、债券</w:t>
      </w:r>
      <w:r>
        <w:rPr>
          <w:rFonts w:ascii="彩虹粗仿宋" w:eastAsia="彩虹粗仿宋" w:hAnsi="宋体" w:cs="Arial" w:hint="eastAsia"/>
          <w:sz w:val="24"/>
        </w:rPr>
        <w:t>、基金份额、资产支持证券、银行存款本息</w:t>
      </w:r>
      <w:r>
        <w:rPr>
          <w:rFonts w:ascii="彩虹粗仿宋" w:eastAsia="彩虹粗仿宋" w:hAnsi="宋体" w:cs="Arial"/>
          <w:sz w:val="24"/>
        </w:rPr>
        <w:t>和其</w:t>
      </w:r>
      <w:r>
        <w:rPr>
          <w:rFonts w:ascii="彩虹粗仿宋" w:eastAsia="彩虹粗仿宋" w:hAnsi="宋体" w:cs="Arial" w:hint="eastAsia"/>
          <w:sz w:val="24"/>
        </w:rPr>
        <w:t>他</w:t>
      </w:r>
      <w:r>
        <w:rPr>
          <w:rFonts w:ascii="彩虹粗仿宋" w:eastAsia="彩虹粗仿宋" w:hAnsi="宋体" w:cs="Arial"/>
          <w:sz w:val="24"/>
        </w:rPr>
        <w:t>投资等</w:t>
      </w:r>
      <w:r>
        <w:rPr>
          <w:rFonts w:ascii="彩虹粗仿宋" w:eastAsia="彩虹粗仿宋" w:hAnsi="宋体" w:cs="Arial" w:hint="eastAsia"/>
          <w:sz w:val="24"/>
        </w:rPr>
        <w:t>持续以公允价值计量的金融</w:t>
      </w:r>
      <w:r>
        <w:rPr>
          <w:rFonts w:ascii="彩虹粗仿宋" w:eastAsia="彩虹粗仿宋" w:hAnsi="宋体" w:cs="Arial"/>
          <w:sz w:val="24"/>
        </w:rPr>
        <w:t>资产及负债。</w:t>
      </w:r>
    </w:p>
    <w:p w14:paraId="503C3AB2"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2.估值方法</w:t>
      </w:r>
    </w:p>
    <w:p w14:paraId="11655EA9"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（1）以公允价值计量的权益品种的估值</w:t>
      </w:r>
    </w:p>
    <w:p w14:paraId="78ED2992"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交易所已上市的权益证券，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采用估值技术确定公允价格；</w:t>
      </w:r>
    </w:p>
    <w:p w14:paraId="522ABA0C"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2）交易所处于未上市期间的有价权益证券应区分如下情况处理：</w:t>
      </w:r>
    </w:p>
    <w:p w14:paraId="4C30434A"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①送股、转增股、配股和公开增发的新股，按估值日在证券交易所挂牌的同一股票的估值方法估值；该日无交易的，以最近一日的市价（收盘价）估值；</w:t>
      </w:r>
    </w:p>
    <w:p w14:paraId="72923B0E"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②首次公开发行未上市的股票，采用估值技术确定公允价值；</w:t>
      </w:r>
    </w:p>
    <w:p w14:paraId="6EF08BBB"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③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1D2D8AAF"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（2）以公允价值计量的固定收益品种的估值</w:t>
      </w:r>
    </w:p>
    <w:p w14:paraId="772E17E3"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1）对于已上市或已挂牌转让的不含权固定收益品种，选取第三方估值基准服务机构提供的相应品种当日的估值全价，基金管理人应根据相关法律、法规的规定进行涉税处理（下同）。</w:t>
      </w:r>
    </w:p>
    <w:p w14:paraId="3E576822"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2）对于已上市或已挂牌转让的含权固定收益品种，选取第三方估值基准服务机构提供的相应品种当日的唯一估值全价或推荐估值全价。</w:t>
      </w:r>
    </w:p>
    <w:p w14:paraId="3A42C62E"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对于含投资者回售权的固定收益品种，行使回售权的，在回售登记日至实际收款日期间选取第三方估值基准服务机构提供的相应品种的唯一估值全价或推荐估值全价。回售登记期截止日（含当日）后未行使回售权的按照长待偿期所对应的价格进行估值。</w:t>
      </w:r>
    </w:p>
    <w:p w14:paraId="2EB9A6C8"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3）对于在交易所市场上市交易的公开发行的可转换债券等有活跃市场的含转股权的债券，实行全价交易的债券选取估值日收盘价作为估值全价；实行净价交易的债券选取估值日收盘价并加计每百元应计利息作为估值全价。</w:t>
      </w:r>
    </w:p>
    <w:p w14:paraId="234018DB"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4）对于未上市或未挂牌转让且不存在活跃市场的固定收益品种，应采用在当前情况下适用并且有足够可利用数据和其他信息支持的估值技术确定其公允价值。</w:t>
      </w:r>
    </w:p>
    <w:p w14:paraId="6D0646FF"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14:paraId="18D0DEA1"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当基金管理人认为第三方估值基准服务机构发布的估值或估值区间未能体现公允价值时，基金管理人应综合第三方估值基准服务机构估值结果以及内部评估结果，经与基金托管人协商，谨慎确定公允价值，并按相关法规的规定，发布相关公告，充分披露确定公允价值的方法、相关估值结果等信息。</w:t>
      </w:r>
    </w:p>
    <w:p w14:paraId="436C4C03"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（3）同一证券同时在两个或两个以上市场交易的，按证券所处的市场分别估值。</w:t>
      </w:r>
    </w:p>
    <w:p w14:paraId="7EF83512"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4</w:t>
      </w:r>
      <w:r>
        <w:rPr>
          <w:rFonts w:ascii="彩虹粗仿宋" w:eastAsia="彩虹粗仿宋" w:hAnsi="宋体" w:cs="Arial" w:hint="eastAsia"/>
          <w:sz w:val="24"/>
        </w:rPr>
        <w:t>）基金估值方法</w:t>
      </w:r>
    </w:p>
    <w:p w14:paraId="1318F611"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1）本基金投资于非上市基金的估值。</w:t>
      </w:r>
    </w:p>
    <w:p w14:paraId="3FA4ADD6"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①本基金投资的境内非货币市场基金，按所投资基金估值日的份额净值估值。</w:t>
      </w:r>
    </w:p>
    <w:p w14:paraId="2BADC568"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②本基金投资的境内货币市场基金，如其披露万份（百份）收益，按所投资基金前一估值日后至估值日期间（含节假日）的万份（百份）收益计提估值日基金收益；如所投资基金披露份额净值，则按所投资基金估值日的份额净值估值。</w:t>
      </w:r>
    </w:p>
    <w:p w14:paraId="447AF861"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2）本</w:t>
      </w:r>
      <w:r>
        <w:rPr>
          <w:rFonts w:ascii="彩虹粗仿宋" w:eastAsia="彩虹粗仿宋" w:hAnsi="宋体" w:cs="Arial"/>
          <w:sz w:val="24"/>
        </w:rPr>
        <w:t>基金</w:t>
      </w:r>
      <w:r>
        <w:rPr>
          <w:rFonts w:ascii="彩虹粗仿宋" w:eastAsia="彩虹粗仿宋" w:hAnsi="宋体" w:cs="Arial" w:hint="eastAsia"/>
          <w:sz w:val="24"/>
        </w:rPr>
        <w:t>投资于交易所上市基金的估值。</w:t>
      </w:r>
    </w:p>
    <w:p w14:paraId="3C9773A9"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①本基金投资的</w:t>
      </w:r>
      <w:r>
        <w:rPr>
          <w:rFonts w:ascii="彩虹粗仿宋" w:eastAsia="彩虹粗仿宋" w:hAnsi="宋体" w:cs="Arial"/>
          <w:sz w:val="24"/>
        </w:rPr>
        <w:t>ETF</w:t>
      </w:r>
      <w:r>
        <w:rPr>
          <w:rFonts w:ascii="彩虹粗仿宋" w:eastAsia="彩虹粗仿宋" w:hAnsi="宋体" w:cs="Arial" w:hint="eastAsia"/>
          <w:sz w:val="24"/>
        </w:rPr>
        <w:t>基金，按所投资</w:t>
      </w:r>
      <w:r>
        <w:rPr>
          <w:rFonts w:ascii="彩虹粗仿宋" w:eastAsia="彩虹粗仿宋" w:hAnsi="宋体" w:cs="Arial"/>
          <w:sz w:val="24"/>
        </w:rPr>
        <w:t>ETF</w:t>
      </w:r>
      <w:r>
        <w:rPr>
          <w:rFonts w:ascii="彩虹粗仿宋" w:eastAsia="彩虹粗仿宋" w:hAnsi="宋体" w:cs="Arial" w:hint="eastAsia"/>
          <w:sz w:val="24"/>
        </w:rPr>
        <w:t>基金估值日的收盘价估值。</w:t>
      </w:r>
    </w:p>
    <w:p w14:paraId="193CECBE"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②本基金投资的境内上市开放式基金（</w:t>
      </w:r>
      <w:r>
        <w:rPr>
          <w:rFonts w:ascii="彩虹粗仿宋" w:eastAsia="彩虹粗仿宋" w:hAnsi="宋体" w:cs="Arial"/>
          <w:sz w:val="24"/>
        </w:rPr>
        <w:t>LOF</w:t>
      </w:r>
      <w:r>
        <w:rPr>
          <w:rFonts w:ascii="彩虹粗仿宋" w:eastAsia="彩虹粗仿宋" w:hAnsi="宋体" w:cs="Arial" w:hint="eastAsia"/>
          <w:sz w:val="24"/>
        </w:rPr>
        <w:t>），按所投资基金估值日的份额净值估值。</w:t>
      </w:r>
    </w:p>
    <w:p w14:paraId="51530067"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③本基金投资的境内上市定期开放式基金、封闭式基金，按所投资基金估值日的收盘价估值。</w:t>
      </w:r>
    </w:p>
    <w:p w14:paraId="78433EEA"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④本基金投资的境内上市交易型货币市场基金，如所投资基金披露份额净值，则按所投资基金估值日的份额净值估值；如所投资基金披露万份（百份）收益，则按所投资基金前一估值日后至估值日期间（含节假日）的万份（百份）收益计提估值日基金收益。</w:t>
      </w:r>
    </w:p>
    <w:p w14:paraId="46D18C7F"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3）如遇所投资基金不公布基金份额净值、进行折算或拆分、估值日无交易等特殊情况，基金管理人根据</w:t>
      </w:r>
      <w:r>
        <w:rPr>
          <w:rFonts w:ascii="彩虹粗仿宋" w:eastAsia="彩虹粗仿宋" w:hAnsi="宋体" w:cs="Arial"/>
          <w:sz w:val="24"/>
        </w:rPr>
        <w:t>《</w:t>
      </w:r>
      <w:r>
        <w:rPr>
          <w:rFonts w:ascii="彩虹粗仿宋" w:eastAsia="彩虹粗仿宋" w:hAnsi="宋体" w:cs="Arial" w:hint="eastAsia"/>
          <w:sz w:val="24"/>
        </w:rPr>
        <w:t>基金中基金估值业务指引（试行）</w:t>
      </w:r>
      <w:r>
        <w:rPr>
          <w:rFonts w:ascii="彩虹粗仿宋" w:eastAsia="彩虹粗仿宋" w:hAnsi="宋体" w:cs="Arial"/>
          <w:sz w:val="24"/>
        </w:rPr>
        <w:t>》</w:t>
      </w:r>
      <w:r>
        <w:rPr>
          <w:rFonts w:ascii="彩虹粗仿宋" w:eastAsia="彩虹粗仿宋" w:hAnsi="宋体" w:cs="Arial" w:hint="eastAsia"/>
          <w:sz w:val="24"/>
        </w:rPr>
        <w:t>等相关法律法规以及监管部门、自律规则的</w:t>
      </w:r>
      <w:r>
        <w:rPr>
          <w:rFonts w:ascii="彩虹粗仿宋" w:eastAsia="彩虹粗仿宋" w:hAnsi="宋体" w:cs="Arial"/>
          <w:sz w:val="24"/>
        </w:rPr>
        <w:t>规定进行估值。</w:t>
      </w:r>
    </w:p>
    <w:p w14:paraId="7007B6C8"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w:t>
      </w:r>
      <w:r>
        <w:rPr>
          <w:rFonts w:ascii="彩虹粗仿宋" w:eastAsia="彩虹粗仿宋" w:hAnsi="宋体" w:cs="Arial"/>
          <w:sz w:val="24"/>
        </w:rPr>
        <w:t>5</w:t>
      </w:r>
      <w:r>
        <w:rPr>
          <w:rFonts w:ascii="彩虹粗仿宋" w:eastAsia="彩虹粗仿宋" w:hAnsi="宋体" w:cs="Arial" w:hint="eastAsia"/>
          <w:sz w:val="24"/>
        </w:rPr>
        <w:t>）当基金发生大额申购或赎回情形时，基金管理人可以采用摆动定价机制，以确保基金估值的公平性。</w:t>
      </w:r>
    </w:p>
    <w:p w14:paraId="749F5EFC"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6</w:t>
      </w:r>
      <w:r>
        <w:rPr>
          <w:rFonts w:ascii="彩虹粗仿宋" w:eastAsia="彩虹粗仿宋" w:hAnsi="宋体" w:cs="Arial" w:hint="eastAsia"/>
          <w:sz w:val="24"/>
        </w:rPr>
        <w:t>）估值计算中涉及港币对人民币汇率的，应当以基金估值日中国人民银行或其授权机构公布的人民币与港币的汇率中间价为准。</w:t>
      </w:r>
    </w:p>
    <w:p w14:paraId="210BDB5D"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7</w:t>
      </w:r>
      <w:r>
        <w:rPr>
          <w:rFonts w:ascii="彩虹粗仿宋" w:eastAsia="彩虹粗仿宋" w:hAnsi="宋体" w:cs="Arial" w:hint="eastAsia"/>
          <w:sz w:val="24"/>
        </w:rPr>
        <w:t>）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5EEB5553"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8</w:t>
      </w:r>
      <w:r>
        <w:rPr>
          <w:rFonts w:ascii="彩虹粗仿宋" w:eastAsia="彩虹粗仿宋" w:hAnsi="宋体" w:cs="Arial" w:hint="eastAsia"/>
          <w:sz w:val="24"/>
        </w:rPr>
        <w:t>）本基金投资存托凭证的估值核算依照内地上市交易的股票执行。</w:t>
      </w:r>
    </w:p>
    <w:p w14:paraId="0535497E"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（9）存款的估值方法</w:t>
      </w:r>
    </w:p>
    <w:p w14:paraId="68510F4F"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持有的银行定期存款或通知存款以本金列示，按协议或合同利率逐日确认利息收入。</w:t>
      </w:r>
    </w:p>
    <w:p w14:paraId="4094EE07"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（10）如有确凿证据表明按原有方法进行估值不能客观反映上述资产或负债公允价值的，基金管理人可根据具体情况与基金托管人商定后，按最能反映公允价值的方法估值。</w:t>
      </w:r>
    </w:p>
    <w:p w14:paraId="2C7C60BB"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（11）相关法律法规以及监管部门、自律规则另有规定的，从其规定。如有新增事项，按国家最新规定估值。</w:t>
      </w:r>
    </w:p>
    <w:p w14:paraId="3A97A5C6"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678C65DA"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w:t>
      </w:r>
      <w:r>
        <w:rPr>
          <w:rFonts w:ascii="彩虹粗仿宋" w:eastAsia="彩虹粗仿宋" w:hint="eastAsia"/>
          <w:sz w:val="24"/>
          <w:szCs w:val="21"/>
        </w:rPr>
        <w:t>基金管理人向基金托管人出具盖章的书面说明后，</w:t>
      </w:r>
      <w:r>
        <w:rPr>
          <w:rFonts w:ascii="彩虹粗仿宋" w:eastAsia="彩虹粗仿宋" w:hAnsi="宋体" w:cs="Arial"/>
          <w:sz w:val="24"/>
        </w:rPr>
        <w:t>按照基金管理人对基金净值信息的计算结果对外予以公布，由此给基金份额持有人和基金造成的损失以及因该交易日基金资产净值计算顺延错误而引起的损失，基金托管人不承担任何责任。</w:t>
      </w:r>
    </w:p>
    <w:p w14:paraId="102C3A89"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3.特殊情形的处理</w:t>
      </w:r>
    </w:p>
    <w:p w14:paraId="0BCE412F" w14:textId="77777777" w:rsidR="007433DF" w:rsidRDefault="00F50617">
      <w:pPr>
        <w:adjustRightInd w:val="0"/>
        <w:snapToGrid w:val="0"/>
        <w:ind w:firstLineChars="200" w:firstLine="480"/>
        <w:rPr>
          <w:rStyle w:val="read"/>
          <w:rFonts w:ascii="彩虹粗仿宋" w:eastAsia="彩虹粗仿宋"/>
          <w:sz w:val="24"/>
        </w:rPr>
      </w:pPr>
      <w:r>
        <w:rPr>
          <w:rStyle w:val="read"/>
          <w:rFonts w:ascii="彩虹粗仿宋" w:eastAsia="彩虹粗仿宋"/>
          <w:sz w:val="24"/>
        </w:rPr>
        <w:t>（1</w:t>
      </w:r>
      <w:r>
        <w:rPr>
          <w:rStyle w:val="read"/>
          <w:rFonts w:ascii="彩虹粗仿宋" w:eastAsia="彩虹粗仿宋" w:hint="eastAsia"/>
          <w:sz w:val="24"/>
        </w:rPr>
        <w:t>）基金管理人或基金托管人按估值方法的第（10）项进行估值时，所造成的误差不作为基金资产估值错误处理。</w:t>
      </w:r>
    </w:p>
    <w:p w14:paraId="02A77062" w14:textId="77777777" w:rsidR="007433DF" w:rsidRDefault="00F50617">
      <w:pPr>
        <w:adjustRightInd w:val="0"/>
        <w:snapToGrid w:val="0"/>
        <w:ind w:firstLineChars="200" w:firstLine="480"/>
        <w:rPr>
          <w:rStyle w:val="read"/>
          <w:rFonts w:ascii="彩虹粗仿宋" w:eastAsia="彩虹粗仿宋"/>
          <w:sz w:val="24"/>
        </w:rPr>
      </w:pPr>
      <w:r>
        <w:rPr>
          <w:rStyle w:val="read"/>
          <w:rFonts w:ascii="彩虹粗仿宋" w:eastAsia="彩虹粗仿宋"/>
          <w:sz w:val="24"/>
        </w:rPr>
        <w:t>（2</w:t>
      </w:r>
      <w:r>
        <w:rPr>
          <w:rStyle w:val="read"/>
          <w:rFonts w:ascii="彩虹粗仿宋" w:eastAsia="彩虹粗仿宋" w:hint="eastAsia"/>
          <w:sz w:val="24"/>
        </w:rPr>
        <w:t>）由于不可抗力原因，或由于证券交易所、登记结算公司、估值基准服务机构、存款银行等第三方机构发送的数据错误，或国家会计政策变更、市场规则变更等非基金管理人与基金托管人原因，基金管理人和基金托管人虽然已经采取必要、适当、合理的措施进行检查，但未能发现错误的，由此造成的基金资产估值错误，基金管理人和基金托管人免除赔偿责任。但基金管理人、基金托管人应</w:t>
      </w:r>
      <w:r>
        <w:rPr>
          <w:rStyle w:val="read"/>
          <w:rFonts w:ascii="彩虹粗仿宋" w:eastAsia="彩虹粗仿宋" w:hint="eastAsia"/>
          <w:sz w:val="24"/>
        </w:rPr>
        <w:lastRenderedPageBreak/>
        <w:t>当积极采取必要的措施减轻或消除由此造成的影响。</w:t>
      </w:r>
    </w:p>
    <w:p w14:paraId="44CF0BDE"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（三）基金份额净值错误的处理方式</w:t>
      </w:r>
    </w:p>
    <w:p w14:paraId="560728A7" w14:textId="77777777" w:rsidR="007433DF" w:rsidRDefault="00F50617">
      <w:pPr>
        <w:adjustRightInd w:val="0"/>
        <w:snapToGrid w:val="0"/>
        <w:ind w:firstLineChars="200" w:firstLine="480"/>
        <w:rPr>
          <w:rStyle w:val="read"/>
          <w:rFonts w:ascii="彩虹粗仿宋" w:eastAsia="彩虹粗仿宋"/>
          <w:sz w:val="24"/>
        </w:rPr>
      </w:pPr>
      <w:r>
        <w:rPr>
          <w:rStyle w:val="read"/>
          <w:rFonts w:ascii="彩虹粗仿宋" w:eastAsia="彩虹粗仿宋" w:hint="eastAsia"/>
          <w:sz w:val="24"/>
        </w:rPr>
        <w:t>1</w:t>
      </w:r>
      <w:r>
        <w:rPr>
          <w:rStyle w:val="read"/>
          <w:rFonts w:ascii="彩虹粗仿宋" w:eastAsia="彩虹粗仿宋"/>
          <w:sz w:val="24"/>
        </w:rPr>
        <w:t>.</w:t>
      </w:r>
      <w:r>
        <w:rPr>
          <w:rStyle w:val="read"/>
          <w:rFonts w:ascii="彩虹粗仿宋" w:eastAsia="彩虹粗仿宋" w:hint="eastAsia"/>
          <w:sz w:val="24"/>
        </w:rPr>
        <w:t>当任一类基金份额净值小数点后4位以内(含第4位)发生估值错误时，视为该类基金份额净值错误；基金份额净值出现错误时，基金管理人应当立即予以纠正，通报基金托管人，并采取合理的措施防止损失进一步扩大。</w:t>
      </w:r>
    </w:p>
    <w:p w14:paraId="6BAF62CF" w14:textId="77777777" w:rsidR="007433DF" w:rsidRDefault="00F50617">
      <w:pPr>
        <w:adjustRightInd w:val="0"/>
        <w:snapToGrid w:val="0"/>
        <w:ind w:firstLineChars="200" w:firstLine="480"/>
        <w:rPr>
          <w:rStyle w:val="read"/>
          <w:rFonts w:ascii="彩虹粗仿宋" w:eastAsia="彩虹粗仿宋"/>
          <w:sz w:val="24"/>
        </w:rPr>
      </w:pPr>
      <w:r>
        <w:rPr>
          <w:rStyle w:val="read"/>
          <w:rFonts w:ascii="彩虹粗仿宋" w:eastAsia="彩虹粗仿宋" w:hint="eastAsia"/>
          <w:sz w:val="24"/>
        </w:rPr>
        <w:t>2</w:t>
      </w:r>
      <w:r>
        <w:rPr>
          <w:rStyle w:val="read"/>
          <w:rFonts w:ascii="彩虹粗仿宋" w:eastAsia="彩虹粗仿宋"/>
          <w:sz w:val="24"/>
        </w:rPr>
        <w:t>.</w:t>
      </w:r>
      <w:r>
        <w:rPr>
          <w:rStyle w:val="read"/>
          <w:rFonts w:ascii="彩虹粗仿宋" w:eastAsia="彩虹粗仿宋" w:hint="eastAsia"/>
          <w:sz w:val="24"/>
        </w:rPr>
        <w:t>错误偏差达到该类基金份额净值的0.25%时，基金管理人应当通报基金托管人并报中国证监会备案；错误偏差达到该类基金份额净值的0.5%时，基金管理人应当公告，并报中国证监会备案。当发生净值计算错误时，由基金管理人负责处理，由此给基金份额持有人和基金造成损失的，应由基金管理人先行赔付，基金管理人按差错情形，有权向其他当事人追偿。</w:t>
      </w:r>
    </w:p>
    <w:p w14:paraId="426E9EBA" w14:textId="77777777" w:rsidR="007433DF" w:rsidRDefault="00F50617">
      <w:pPr>
        <w:adjustRightInd w:val="0"/>
        <w:snapToGrid w:val="0"/>
        <w:ind w:firstLineChars="200" w:firstLine="480"/>
        <w:rPr>
          <w:rStyle w:val="read"/>
          <w:rFonts w:ascii="彩虹粗仿宋" w:eastAsia="彩虹粗仿宋"/>
          <w:sz w:val="24"/>
        </w:rPr>
      </w:pPr>
      <w:r>
        <w:rPr>
          <w:rStyle w:val="read"/>
          <w:rFonts w:ascii="彩虹粗仿宋" w:eastAsia="彩虹粗仿宋" w:hint="eastAsia"/>
          <w:sz w:val="24"/>
        </w:rPr>
        <w:t>3</w:t>
      </w:r>
      <w:r>
        <w:rPr>
          <w:rStyle w:val="read"/>
          <w:rFonts w:ascii="彩虹粗仿宋" w:eastAsia="彩虹粗仿宋"/>
          <w:sz w:val="24"/>
        </w:rPr>
        <w:t>.</w:t>
      </w:r>
      <w:r>
        <w:rPr>
          <w:rStyle w:val="read"/>
          <w:rFonts w:ascii="彩虹粗仿宋" w:eastAsia="彩虹粗仿宋" w:hint="eastAsia"/>
          <w:sz w:val="24"/>
        </w:rPr>
        <w:t>当基金份额净值计算差错给基金和基金份额持有人造成损失需要进行赔偿时，基金管理人和基金托管人应根据实际情况界定双方承担的责任，经确认后按以下条款进行赔偿：</w:t>
      </w:r>
    </w:p>
    <w:p w14:paraId="28CC2568" w14:textId="77777777" w:rsidR="007433DF" w:rsidRDefault="00F50617">
      <w:pPr>
        <w:adjustRightInd w:val="0"/>
        <w:snapToGrid w:val="0"/>
        <w:ind w:firstLineChars="200" w:firstLine="480"/>
        <w:rPr>
          <w:rStyle w:val="read"/>
          <w:rFonts w:ascii="彩虹粗仿宋" w:eastAsia="彩虹粗仿宋"/>
          <w:sz w:val="24"/>
        </w:rPr>
      </w:pPr>
      <w:r>
        <w:rPr>
          <w:rStyle w:val="read"/>
          <w:rFonts w:ascii="彩虹粗仿宋" w:eastAsia="彩虹粗仿宋" w:hint="eastAsia"/>
          <w:sz w:val="24"/>
        </w:rPr>
        <w:t>①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14:paraId="3AC3C679" w14:textId="77777777" w:rsidR="007433DF" w:rsidRDefault="00F50617">
      <w:pPr>
        <w:adjustRightInd w:val="0"/>
        <w:snapToGrid w:val="0"/>
        <w:ind w:firstLineChars="200" w:firstLine="480"/>
        <w:rPr>
          <w:rStyle w:val="read"/>
          <w:rFonts w:ascii="彩虹粗仿宋" w:eastAsia="彩虹粗仿宋"/>
          <w:sz w:val="24"/>
        </w:rPr>
      </w:pPr>
      <w:r>
        <w:rPr>
          <w:rStyle w:val="read"/>
          <w:rFonts w:ascii="彩虹粗仿宋" w:eastAsia="彩虹粗仿宋" w:hint="eastAsia"/>
          <w:sz w:val="24"/>
        </w:rPr>
        <w:t>②若基金管理人计算的各类基金份额净值已由基金托管人复核确认后公告，而且基金托管人未对计算过程提出疑义或要求基金管理人书面说明，基金份额净值出错且由此给基金份额持有人造成损失的，应根据法律法规的规定对投资者或基金支付赔偿金，就实际向投资者或基金支付的赔偿金额，基金管理人与基金托管人按照</w:t>
      </w:r>
      <w:r>
        <w:rPr>
          <w:rFonts w:ascii="彩虹粗仿宋" w:eastAsia="彩虹粗仿宋" w:hint="eastAsia"/>
          <w:kern w:val="0"/>
          <w:sz w:val="24"/>
        </w:rPr>
        <w:t>管理费和托管费的比例</w:t>
      </w:r>
      <w:r>
        <w:rPr>
          <w:rStyle w:val="read"/>
          <w:rFonts w:ascii="彩虹粗仿宋" w:eastAsia="彩虹粗仿宋" w:hint="eastAsia"/>
          <w:sz w:val="24"/>
        </w:rPr>
        <w:t>各自承担相应的责任。</w:t>
      </w:r>
    </w:p>
    <w:p w14:paraId="03A1D293" w14:textId="77777777" w:rsidR="007433DF" w:rsidRDefault="00F50617">
      <w:pPr>
        <w:adjustRightInd w:val="0"/>
        <w:snapToGrid w:val="0"/>
        <w:ind w:firstLineChars="200" w:firstLine="480"/>
        <w:rPr>
          <w:rStyle w:val="read"/>
          <w:rFonts w:ascii="彩虹粗仿宋" w:eastAsia="彩虹粗仿宋"/>
          <w:sz w:val="24"/>
        </w:rPr>
      </w:pPr>
      <w:r>
        <w:rPr>
          <w:rStyle w:val="read"/>
          <w:rFonts w:ascii="彩虹粗仿宋" w:eastAsia="彩虹粗仿宋" w:hint="eastAsia"/>
          <w:sz w:val="24"/>
        </w:rPr>
        <w:t>③如基金管理人和基金托管人对各类基金份额净值的计算结果，虽然多次重新计算和核对，尚不能达成一致时，为避免不能按时公布各类基金份额净值的情形，以基金管理人的计算结果对外公布，由此给基金份额持有人和基金造成的损失，由基金管理人负责赔付。</w:t>
      </w:r>
    </w:p>
    <w:p w14:paraId="7217F0DF" w14:textId="77777777" w:rsidR="007433DF" w:rsidRDefault="00F50617">
      <w:pPr>
        <w:adjustRightInd w:val="0"/>
        <w:snapToGrid w:val="0"/>
        <w:ind w:firstLineChars="200" w:firstLine="480"/>
        <w:rPr>
          <w:rStyle w:val="read"/>
          <w:rFonts w:ascii="彩虹粗仿宋" w:eastAsia="彩虹粗仿宋"/>
          <w:sz w:val="24"/>
        </w:rPr>
      </w:pPr>
      <w:r>
        <w:rPr>
          <w:rStyle w:val="read"/>
          <w:rFonts w:ascii="彩虹粗仿宋" w:eastAsia="彩虹粗仿宋" w:hint="eastAsia"/>
          <w:sz w:val="24"/>
        </w:rPr>
        <w:t>④由于基金管理人提供的信息错误（包括但不限于基金申购或赎回金额等），进而导致基金份额净值计算错误而引起的基金份额持有人和基金财产的损失，由基金管理人负责赔付。</w:t>
      </w:r>
    </w:p>
    <w:p w14:paraId="1B807FF1" w14:textId="77777777" w:rsidR="007433DF" w:rsidRDefault="00F50617">
      <w:pPr>
        <w:adjustRightInd w:val="0"/>
        <w:snapToGrid w:val="0"/>
        <w:ind w:firstLineChars="200" w:firstLine="480"/>
        <w:rPr>
          <w:rStyle w:val="read"/>
          <w:rFonts w:ascii="彩虹粗仿宋" w:eastAsia="彩虹粗仿宋"/>
          <w:sz w:val="24"/>
        </w:rPr>
      </w:pPr>
      <w:r>
        <w:rPr>
          <w:rStyle w:val="read"/>
          <w:rFonts w:ascii="彩虹粗仿宋" w:eastAsia="彩虹粗仿宋" w:hint="eastAsia"/>
          <w:sz w:val="24"/>
        </w:rPr>
        <w:t>4</w:t>
      </w:r>
      <w:r>
        <w:rPr>
          <w:rStyle w:val="read"/>
          <w:rFonts w:ascii="彩虹粗仿宋" w:eastAsia="彩虹粗仿宋"/>
          <w:sz w:val="24"/>
        </w:rPr>
        <w:t>.</w:t>
      </w:r>
      <w:r>
        <w:rPr>
          <w:rStyle w:val="read"/>
          <w:rFonts w:ascii="彩虹粗仿宋" w:eastAsia="彩虹粗仿宋" w:hint="eastAsia"/>
          <w:sz w:val="24"/>
        </w:rPr>
        <w:t>前述内容如法律法规或监管机关另有规定的，从其规定处理。如果行业另有通行做法，双方当事人应本着平等和保护基金份额持有人利益的原则进行协商。</w:t>
      </w:r>
    </w:p>
    <w:p w14:paraId="2BB90DCE"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（四）暂停估值的情形</w:t>
      </w:r>
    </w:p>
    <w:p w14:paraId="42368C41" w14:textId="77777777" w:rsidR="007433DF" w:rsidRDefault="00F50617">
      <w:pPr>
        <w:adjustRightInd w:val="0"/>
        <w:snapToGrid w:val="0"/>
        <w:ind w:firstLineChars="200" w:firstLine="480"/>
        <w:rPr>
          <w:rStyle w:val="read"/>
          <w:rFonts w:ascii="彩虹粗仿宋" w:eastAsia="彩虹粗仿宋"/>
          <w:sz w:val="24"/>
        </w:rPr>
      </w:pPr>
      <w:r>
        <w:rPr>
          <w:rStyle w:val="read"/>
          <w:rFonts w:ascii="彩虹粗仿宋" w:eastAsia="彩虹粗仿宋"/>
          <w:sz w:val="24"/>
        </w:rPr>
        <w:t>1、基金投资所涉及的证券交易市场</w:t>
      </w:r>
      <w:r>
        <w:rPr>
          <w:rStyle w:val="read"/>
          <w:rFonts w:ascii="彩虹粗仿宋" w:eastAsia="彩虹粗仿宋" w:hint="eastAsia"/>
          <w:sz w:val="24"/>
        </w:rPr>
        <w:t>或相关交易所、外汇市场</w:t>
      </w:r>
      <w:r>
        <w:rPr>
          <w:rStyle w:val="read"/>
          <w:rFonts w:ascii="彩虹粗仿宋" w:eastAsia="彩虹粗仿宋"/>
          <w:sz w:val="24"/>
        </w:rPr>
        <w:t>遇法定节假日或因其他原因暂停营业时；</w:t>
      </w:r>
    </w:p>
    <w:p w14:paraId="41AF7972" w14:textId="77777777" w:rsidR="007433DF" w:rsidRDefault="00F50617">
      <w:pPr>
        <w:adjustRightInd w:val="0"/>
        <w:snapToGrid w:val="0"/>
        <w:ind w:firstLineChars="200" w:firstLine="480"/>
        <w:rPr>
          <w:rStyle w:val="read"/>
          <w:rFonts w:ascii="彩虹粗仿宋" w:eastAsia="彩虹粗仿宋"/>
          <w:sz w:val="24"/>
        </w:rPr>
      </w:pPr>
      <w:r>
        <w:rPr>
          <w:rStyle w:val="read"/>
          <w:rFonts w:ascii="彩虹粗仿宋" w:eastAsia="彩虹粗仿宋"/>
          <w:sz w:val="24"/>
        </w:rPr>
        <w:t>2、因不可抗力致使基金管理人、基金托管人无法准确评估基金资产价值时；</w:t>
      </w:r>
    </w:p>
    <w:p w14:paraId="03D2F078" w14:textId="77777777" w:rsidR="007433DF" w:rsidRDefault="00F50617">
      <w:pPr>
        <w:adjustRightInd w:val="0"/>
        <w:snapToGrid w:val="0"/>
        <w:ind w:firstLineChars="200" w:firstLine="480"/>
        <w:rPr>
          <w:rStyle w:val="read"/>
          <w:rFonts w:ascii="彩虹粗仿宋" w:eastAsia="彩虹粗仿宋"/>
          <w:sz w:val="24"/>
        </w:rPr>
      </w:pPr>
      <w:r>
        <w:rPr>
          <w:rStyle w:val="read"/>
          <w:rFonts w:ascii="彩虹粗仿宋" w:eastAsia="彩虹粗仿宋"/>
          <w:sz w:val="24"/>
        </w:rPr>
        <w:t>3、</w:t>
      </w:r>
      <w:r>
        <w:rPr>
          <w:rStyle w:val="read"/>
          <w:rFonts w:ascii="彩虹粗仿宋" w:eastAsia="彩虹粗仿宋" w:hint="eastAsia"/>
          <w:sz w:val="24"/>
        </w:rPr>
        <w:t>当前一估值日基金资产净值</w:t>
      </w:r>
      <w:r>
        <w:rPr>
          <w:rStyle w:val="read"/>
          <w:rFonts w:ascii="彩虹粗仿宋" w:eastAsia="彩虹粗仿宋"/>
          <w:sz w:val="24"/>
        </w:rPr>
        <w:t xml:space="preserve"> </w:t>
      </w:r>
      <w:r>
        <w:rPr>
          <w:rStyle w:val="read"/>
          <w:rFonts w:ascii="彩虹粗仿宋" w:eastAsia="彩虹粗仿宋" w:hint="eastAsia"/>
          <w:sz w:val="24"/>
        </w:rPr>
        <w:t>50%以上的资产出现无可参考的活跃市场价</w:t>
      </w:r>
      <w:r>
        <w:rPr>
          <w:rStyle w:val="read"/>
          <w:rFonts w:ascii="彩虹粗仿宋" w:eastAsia="彩虹粗仿宋" w:hint="eastAsia"/>
          <w:sz w:val="24"/>
        </w:rPr>
        <w:lastRenderedPageBreak/>
        <w:t>格且采用估值技术仍导致公允价值存在重大不确定性时，经与基金托管人协商一致的，基金应当暂停估值</w:t>
      </w:r>
      <w:r>
        <w:rPr>
          <w:rStyle w:val="read"/>
          <w:rFonts w:ascii="彩虹粗仿宋" w:eastAsia="彩虹粗仿宋"/>
          <w:sz w:val="24"/>
        </w:rPr>
        <w:t>；</w:t>
      </w:r>
    </w:p>
    <w:p w14:paraId="4E5FEE34" w14:textId="77777777" w:rsidR="007433DF" w:rsidRDefault="00F50617">
      <w:pPr>
        <w:adjustRightInd w:val="0"/>
        <w:snapToGrid w:val="0"/>
        <w:ind w:firstLineChars="200" w:firstLine="480"/>
        <w:rPr>
          <w:rStyle w:val="read"/>
          <w:rFonts w:ascii="彩虹粗仿宋" w:eastAsia="彩虹粗仿宋"/>
          <w:sz w:val="24"/>
        </w:rPr>
      </w:pPr>
      <w:r>
        <w:rPr>
          <w:rStyle w:val="read"/>
          <w:rFonts w:ascii="彩虹粗仿宋" w:eastAsia="彩虹粗仿宋"/>
          <w:sz w:val="24"/>
        </w:rPr>
        <w:t>4</w:t>
      </w:r>
      <w:r>
        <w:rPr>
          <w:rStyle w:val="read"/>
          <w:rFonts w:ascii="彩虹粗仿宋" w:eastAsia="彩虹粗仿宋" w:hint="eastAsia"/>
          <w:sz w:val="24"/>
        </w:rPr>
        <w:t>、占相当比例的被投资基金暂停估值时；</w:t>
      </w:r>
    </w:p>
    <w:p w14:paraId="51422D16" w14:textId="77777777" w:rsidR="007433DF" w:rsidRDefault="00F50617">
      <w:pPr>
        <w:adjustRightInd w:val="0"/>
        <w:snapToGrid w:val="0"/>
        <w:ind w:firstLineChars="200" w:firstLine="480"/>
        <w:rPr>
          <w:rStyle w:val="read"/>
          <w:rFonts w:ascii="彩虹粗仿宋" w:eastAsia="彩虹粗仿宋"/>
          <w:sz w:val="24"/>
        </w:rPr>
      </w:pPr>
      <w:r>
        <w:rPr>
          <w:rStyle w:val="read"/>
          <w:rFonts w:ascii="彩虹粗仿宋" w:eastAsia="彩虹粗仿宋"/>
          <w:sz w:val="24"/>
        </w:rPr>
        <w:t>5</w:t>
      </w:r>
      <w:r>
        <w:rPr>
          <w:rStyle w:val="read"/>
          <w:rFonts w:ascii="彩虹粗仿宋" w:eastAsia="彩虹粗仿宋" w:hint="eastAsia"/>
          <w:sz w:val="24"/>
        </w:rPr>
        <w:t>、</w:t>
      </w:r>
      <w:r>
        <w:rPr>
          <w:rStyle w:val="read"/>
          <w:rFonts w:ascii="彩虹粗仿宋" w:eastAsia="彩虹粗仿宋"/>
          <w:sz w:val="24"/>
        </w:rPr>
        <w:t>中国证监会和基金合同认定的其它情形。</w:t>
      </w:r>
    </w:p>
    <w:p w14:paraId="79FA1243"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（五）实施侧袋机制期间的基金资产估值</w:t>
      </w:r>
    </w:p>
    <w:p w14:paraId="099B8FE6"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本基金实施侧袋机制的，应根据本部分的约定对主袋账户资产进行估值并披露主袋账户的基金净值信息，暂停披露侧袋账户份额净值。</w:t>
      </w:r>
    </w:p>
    <w:bookmarkEnd w:id="90"/>
    <w:p w14:paraId="2FEC3243"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（六）基金会计制度</w:t>
      </w:r>
    </w:p>
    <w:p w14:paraId="135107AA"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按国家有关部门规定的会计制度执行。</w:t>
      </w:r>
    </w:p>
    <w:p w14:paraId="269FB7A3"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（七）基金账册的建立</w:t>
      </w:r>
    </w:p>
    <w:p w14:paraId="5854A881"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净值信息的计算和披露的，以基金管理人的账册为准。</w:t>
      </w:r>
    </w:p>
    <w:p w14:paraId="42D130DC"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（八）基金财务报表与报告的编制和复核</w:t>
      </w:r>
    </w:p>
    <w:p w14:paraId="6E4C3326"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1.财务报表的编制</w:t>
      </w:r>
    </w:p>
    <w:p w14:paraId="7C5320BA"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基金财务报表由基金管理人编制，基金托管人复核。</w:t>
      </w:r>
    </w:p>
    <w:p w14:paraId="1C1B7D61"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2.报表复核</w:t>
      </w:r>
    </w:p>
    <w:p w14:paraId="65A5A4D0"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14:paraId="1EB0B0B5"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3.财务报表的编制与复核时间安排</w:t>
      </w:r>
    </w:p>
    <w:p w14:paraId="7B77CDDE"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(1)报表的编制</w:t>
      </w:r>
    </w:p>
    <w:p w14:paraId="3E21ADBE"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应当在每月结束后5个工作日内完成月度报表的编制；在季度结束之日起15个工作日内完成基金季度报告的编制；在上半年结束之日起两个月内完成基金中期报告的编制；在每年结束之日起三个月内完成基金年度报告的编制。基金年度报告中的财务会计报告应当经过符合《证券法》规定的会计师事务所审计。《基金合同》生效不足两个月的，基金管理人可以不编制当期季度报告、中期报告或者年度报告。</w:t>
      </w:r>
    </w:p>
    <w:p w14:paraId="2D1321AC" w14:textId="77777777" w:rsidR="007433DF" w:rsidRDefault="00F50617">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(2)报表的复核</w:t>
      </w:r>
    </w:p>
    <w:p w14:paraId="51FFA08B" w14:textId="77777777" w:rsidR="007433DF" w:rsidRDefault="00F50617">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56BEE543" w14:textId="77777777" w:rsidR="007433DF" w:rsidRDefault="00F50617">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基金管理人应留足充分的时间，便于基金托管人复核相关报表及报告。如果基金管理人与基金托管人不能于应当发布公告之日之前就相关报表达成一致，基</w:t>
      </w:r>
      <w:r>
        <w:rPr>
          <w:rFonts w:ascii="彩虹粗仿宋" w:eastAsia="彩虹粗仿宋" w:hAnsi="宋体" w:cs="Arial" w:hint="eastAsia"/>
          <w:sz w:val="24"/>
        </w:rPr>
        <w:lastRenderedPageBreak/>
        <w:t>金管理人按照其编制的报表对外发布公告，基金托管人有权就相关情况报中国证监会备案。</w:t>
      </w:r>
    </w:p>
    <w:p w14:paraId="404E9EF1" w14:textId="77777777" w:rsidR="007433DF" w:rsidRDefault="00F50617">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（九）基金管理人应在编制季度报告、中期报告或者年度报告之前及时向基金托管人提供基金业绩比较基准的基础数据和编制结果。</w:t>
      </w:r>
    </w:p>
    <w:p w14:paraId="23345167" w14:textId="77777777" w:rsidR="007433DF" w:rsidRDefault="007433DF">
      <w:pPr>
        <w:pStyle w:val="a0"/>
        <w:adjustRightInd w:val="0"/>
        <w:snapToGrid w:val="0"/>
        <w:ind w:firstLine="480"/>
        <w:rPr>
          <w:rFonts w:ascii="彩虹粗仿宋" w:eastAsia="彩虹粗仿宋" w:hAnsi="宋体" w:cs="Arial"/>
          <w:sz w:val="24"/>
        </w:rPr>
      </w:pPr>
    </w:p>
    <w:p w14:paraId="2923ABB2" w14:textId="77777777" w:rsidR="007433DF" w:rsidRDefault="00F50617">
      <w:pPr>
        <w:pStyle w:val="2"/>
        <w:jc w:val="center"/>
        <w:rPr>
          <w:rFonts w:ascii="彩虹粗仿宋" w:eastAsia="彩虹粗仿宋"/>
          <w:sz w:val="30"/>
        </w:rPr>
      </w:pPr>
      <w:bookmarkStart w:id="91" w:name="_Toc124325893"/>
      <w:bookmarkStart w:id="92" w:name="_Hlk193011807"/>
      <w:bookmarkEnd w:id="89"/>
      <w:r>
        <w:rPr>
          <w:rFonts w:ascii="彩虹粗仿宋" w:eastAsia="彩虹粗仿宋" w:hint="eastAsia"/>
          <w:sz w:val="30"/>
        </w:rPr>
        <w:t>九、基金收益分配</w:t>
      </w:r>
      <w:bookmarkEnd w:id="91"/>
    </w:p>
    <w:p w14:paraId="587E85E2"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基金收益分配是指按规定将基金的可分配收益按基金份额进行比例分配。</w:t>
      </w:r>
    </w:p>
    <w:p w14:paraId="08E30E1D"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（一）基金收益分配的原则</w:t>
      </w:r>
    </w:p>
    <w:p w14:paraId="6CCF24A0"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1、在符合有关基金分红条件的前提下，基金管理人可以根据实际情况进行收益分配，具体分配方案详见届时基金管理人发布的公告，若《基金合同》生效不满3个月可不进行收益分配；</w:t>
      </w:r>
      <w:r>
        <w:rPr>
          <w:rFonts w:ascii="彩虹粗仿宋" w:eastAsia="彩虹粗仿宋" w:hAnsi="宋体" w:cs="Arial"/>
          <w:sz w:val="24"/>
        </w:rPr>
        <w:br/>
        <w:t xml:space="preserve">    2、基金管理人可每季度评估是否进行收益分配。基金管理人可每季度对基金的可供分配利润进行评价，在符合基金收益分配条件下，可安排收益分配。收益分配条件、评估时间、分配时间、分配方案及每次基金收益分配数额等内容，基金管理人可以根据实际情况确定并按照有关规定公告；</w:t>
      </w:r>
      <w:r>
        <w:rPr>
          <w:rFonts w:ascii="彩虹粗仿宋" w:eastAsia="彩虹粗仿宋" w:hAnsi="宋体" w:cs="Arial"/>
          <w:sz w:val="24"/>
        </w:rPr>
        <w:t> </w:t>
      </w:r>
      <w:r>
        <w:rPr>
          <w:rFonts w:ascii="彩虹粗仿宋" w:eastAsia="彩虹粗仿宋" w:hAnsi="宋体" w:cs="Arial"/>
          <w:sz w:val="24"/>
        </w:rPr>
        <w:br/>
        <w:t xml:space="preserve">    3、本基金收益分配方式分两种：现金分红与红利再投资，投资人可选择现金红利或将现金红利自动转为同一类别基金份额进行再投资；若投资人不选择，本基金默认的收益分配方式是现金分红；</w:t>
      </w:r>
      <w:r>
        <w:rPr>
          <w:rFonts w:ascii="彩虹粗仿宋" w:eastAsia="彩虹粗仿宋" w:hAnsi="宋体" w:cs="Arial"/>
          <w:sz w:val="24"/>
        </w:rPr>
        <w:br/>
        <w:t xml:space="preserve">    4、基金收益分配后</w:t>
      </w:r>
      <w:r>
        <w:rPr>
          <w:rFonts w:ascii="彩虹粗仿宋" w:eastAsia="彩虹粗仿宋" w:hAnsi="宋体" w:cs="Arial" w:hint="eastAsia"/>
          <w:sz w:val="24"/>
        </w:rPr>
        <w:t>各类</w:t>
      </w:r>
      <w:r>
        <w:rPr>
          <w:rFonts w:ascii="彩虹粗仿宋" w:eastAsia="彩虹粗仿宋" w:hAnsi="宋体" w:cs="Arial"/>
          <w:sz w:val="24"/>
        </w:rPr>
        <w:t>基金份额净值不能低于面值；即基金收益分配基准日的</w:t>
      </w:r>
      <w:r>
        <w:rPr>
          <w:rFonts w:ascii="彩虹粗仿宋" w:eastAsia="彩虹粗仿宋" w:hAnsi="宋体" w:cs="Arial" w:hint="eastAsia"/>
          <w:sz w:val="24"/>
        </w:rPr>
        <w:t>各类</w:t>
      </w:r>
      <w:r>
        <w:rPr>
          <w:rFonts w:ascii="彩虹粗仿宋" w:eastAsia="彩虹粗仿宋" w:hAnsi="宋体" w:cs="Arial"/>
          <w:sz w:val="24"/>
        </w:rPr>
        <w:t>基金份额净值减去每单位</w:t>
      </w:r>
      <w:r>
        <w:rPr>
          <w:rFonts w:ascii="彩虹粗仿宋" w:eastAsia="彩虹粗仿宋" w:hAnsi="宋体" w:cs="Arial" w:hint="eastAsia"/>
          <w:sz w:val="24"/>
        </w:rPr>
        <w:t>该类</w:t>
      </w:r>
      <w:r>
        <w:rPr>
          <w:rFonts w:ascii="彩虹粗仿宋" w:eastAsia="彩虹粗仿宋" w:hAnsi="宋体" w:cs="Arial"/>
          <w:sz w:val="24"/>
        </w:rPr>
        <w:t>基金份额收益分配金额后不能低于面值；</w:t>
      </w:r>
      <w:r>
        <w:rPr>
          <w:rFonts w:ascii="彩虹粗仿宋" w:eastAsia="彩虹粗仿宋" w:hAnsi="宋体" w:cs="Arial"/>
          <w:sz w:val="24"/>
        </w:rPr>
        <w:br/>
        <w:t xml:space="preserve">    5、同一类别每一基金份额享有同等分配权，红利再投资份额的锁定期视作与原份额相同；</w:t>
      </w:r>
      <w:r>
        <w:rPr>
          <w:rFonts w:ascii="彩虹粗仿宋" w:eastAsia="彩虹粗仿宋" w:hAnsi="宋体" w:cs="Arial"/>
          <w:sz w:val="24"/>
        </w:rPr>
        <w:br/>
        <w:t xml:space="preserve">   6、法律法规或监管机关另有规定的，从其规定。</w:t>
      </w:r>
    </w:p>
    <w:p w14:paraId="3CB3A4CA"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在不违反法律法规、基金合同的约定以及对基金份额持有人利益无实质性不利影响的前提下，基金管理人经与基金托管人协商一致并按照监管部门要求履行适当程序后可对基金收益分配原则进行调整，不需召开基金份额持有人大会，但应于变更实施日前在规定媒介公告。</w:t>
      </w:r>
    </w:p>
    <w:p w14:paraId="710BE3DE"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（二）基金收益分配的时间和程序</w:t>
      </w:r>
    </w:p>
    <w:p w14:paraId="7031AC0A"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本基金收益分配方案由基金管理人拟定，并由基金托管人复核，在2日内在规定媒介公告。</w:t>
      </w:r>
    </w:p>
    <w:p w14:paraId="3CA1E728"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收益分配时所发生的银行转账或其他手续费用由投资者自行承担。当投资人的现金红利小于一定金额，不足以支付银行转账或其他手续费用时，基金登记机构可将基金份额持有人的现金红利自动转为同一类别基金份额。红利再投资</w:t>
      </w:r>
      <w:r>
        <w:rPr>
          <w:rFonts w:ascii="彩虹粗仿宋" w:eastAsia="彩虹粗仿宋" w:hAnsi="宋体" w:cs="Arial" w:hint="eastAsia"/>
          <w:sz w:val="24"/>
        </w:rPr>
        <w:lastRenderedPageBreak/>
        <w:t>的计算方法，依照登记机构相关业务规则执行。</w:t>
      </w:r>
    </w:p>
    <w:p w14:paraId="2A2DB62F"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（三）实施侧袋机制期间的收益分配</w:t>
      </w:r>
    </w:p>
    <w:p w14:paraId="36B2FBF2"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本基金实施侧袋机制的，侧袋账户不进行收益分配，详见招募说明书的规定。</w:t>
      </w:r>
    </w:p>
    <w:p w14:paraId="0B7848B6" w14:textId="77777777" w:rsidR="007433DF" w:rsidRDefault="007433DF">
      <w:pPr>
        <w:adjustRightInd w:val="0"/>
        <w:snapToGrid w:val="0"/>
        <w:ind w:firstLineChars="200" w:firstLine="480"/>
        <w:rPr>
          <w:rFonts w:ascii="彩虹粗仿宋" w:eastAsia="彩虹粗仿宋" w:hAnsi="宋体" w:cs="Arial"/>
          <w:sz w:val="24"/>
        </w:rPr>
      </w:pPr>
    </w:p>
    <w:p w14:paraId="208A20C5" w14:textId="77777777" w:rsidR="007433DF" w:rsidRDefault="00F50617">
      <w:pPr>
        <w:pStyle w:val="2"/>
        <w:jc w:val="center"/>
        <w:rPr>
          <w:rFonts w:ascii="彩虹粗仿宋" w:eastAsia="彩虹粗仿宋"/>
          <w:sz w:val="30"/>
        </w:rPr>
      </w:pPr>
      <w:bookmarkStart w:id="93" w:name="_Toc124325894"/>
      <w:bookmarkEnd w:id="92"/>
      <w:r>
        <w:rPr>
          <w:rFonts w:ascii="彩虹粗仿宋" w:eastAsia="彩虹粗仿宋" w:hint="eastAsia"/>
          <w:sz w:val="30"/>
        </w:rPr>
        <w:t>十、基金信息披露</w:t>
      </w:r>
      <w:bookmarkEnd w:id="93"/>
    </w:p>
    <w:p w14:paraId="6E17F750" w14:textId="77777777" w:rsidR="007433DF" w:rsidRDefault="00F50617">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（一）保密义务</w:t>
      </w:r>
    </w:p>
    <w:p w14:paraId="2877986C"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流动性风险管理规定》及其他有关规定进行信息披露外，基金管理人和基金托管人对基金运作中产生的信息以及从对方获得的业务信息应予保密。但是，如下情况不应视为基金管理人或基金托管人违反保密义务：</w:t>
      </w:r>
    </w:p>
    <w:p w14:paraId="0F1F317E"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1.非因基金管理人和基金托管人的原因导致保密信息被披露、泄露或公开；</w:t>
      </w:r>
    </w:p>
    <w:p w14:paraId="613C93BD"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14:paraId="61BB6A73"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3.法律法规或监管机构、司法机关等有权机关要求提供；</w:t>
      </w:r>
    </w:p>
    <w:p w14:paraId="3ABA627A"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4.因审计、法律等外部专业顾问提供服务需要提供。。</w:t>
      </w:r>
    </w:p>
    <w:p w14:paraId="1B60A289" w14:textId="77777777" w:rsidR="007433DF" w:rsidRDefault="00F50617">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（二）信息披露的内容</w:t>
      </w:r>
    </w:p>
    <w:p w14:paraId="73D1A234" w14:textId="77777777" w:rsidR="007433DF" w:rsidRDefault="00F50617">
      <w:pPr>
        <w:adjustRightInd w:val="0"/>
        <w:snapToGrid w:val="0"/>
        <w:ind w:firstLineChars="200" w:firstLine="480"/>
        <w:rPr>
          <w:rFonts w:ascii="彩虹粗仿宋" w:eastAsia="彩虹粗仿宋" w:hAnsi="宋体" w:cs="Arial"/>
          <w:sz w:val="24"/>
        </w:rPr>
      </w:pPr>
      <w:bookmarkStart w:id="94" w:name="_Hlk191903838"/>
      <w:r>
        <w:rPr>
          <w:rFonts w:ascii="彩虹粗仿宋" w:eastAsia="彩虹粗仿宋" w:hAnsi="宋体" w:cs="Arial" w:hint="eastAsia"/>
          <w:sz w:val="24"/>
        </w:rPr>
        <w:t>基金的信息披露内容主要包括基金招募说明书、《基金合同》、托管协议、基金</w:t>
      </w:r>
      <w:r>
        <w:rPr>
          <w:rFonts w:ascii="彩虹粗仿宋" w:eastAsia="彩虹粗仿宋" w:hAnsi="宋体" w:cs="Arial"/>
          <w:sz w:val="24"/>
        </w:rPr>
        <w:t>产品资料概要、</w:t>
      </w:r>
      <w:r>
        <w:rPr>
          <w:rFonts w:ascii="彩虹粗仿宋" w:eastAsia="彩虹粗仿宋" w:hAnsi="宋体" w:cs="Arial" w:hint="eastAsia"/>
          <w:sz w:val="24"/>
        </w:rPr>
        <w:t>基金份额发售公告、《基金合同》生效公告、基金净值信息、基金份额申购、赎回价格、基金定期报告（包括基金年度报告、基金中期报告和基金季度报告）、临时报告、澄清公告、基金份额持有人大会决议、投资基金份额的信息披露、投资存托凭证的信息披露、投资资产支持证券的信息披露、投资港股通标的股票相关公告、清算报告、实施侧袋机制期间的信息披露、中国证监会规定的其他信息。基金年度报告中的财务会计报告需经符合《证券法》规定的会计师事务所审计后，方可披露。</w:t>
      </w:r>
      <w:bookmarkEnd w:id="94"/>
    </w:p>
    <w:p w14:paraId="1D381776" w14:textId="77777777" w:rsidR="007433DF" w:rsidRDefault="00F50617">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（三）基金托管人和基金管理人在信息披露中的职责和信息披露程序</w:t>
      </w:r>
    </w:p>
    <w:p w14:paraId="0BE8CB0F"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1.职责</w:t>
      </w:r>
    </w:p>
    <w:p w14:paraId="7CC2B2F8"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本章第（二）条规定的应由基金托管人复核的事项进行复核，基金托管人复核无误后，由基金管理人予以公布。</w:t>
      </w:r>
    </w:p>
    <w:p w14:paraId="5458E0F5"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对于不需要基金托管人复核的信息，基金管理人在公告前应告知基金托管人。</w:t>
      </w:r>
    </w:p>
    <w:p w14:paraId="70BB036C"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基金管理人和基金托管人应积极配合、互相监督，保证其履行按照法定方式和限时披露的义务。</w:t>
      </w:r>
    </w:p>
    <w:p w14:paraId="517F4011"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基金管理人应当在中国证监会规定的时间内，将应予披露的基金信息通过规定媒介披露。根据法律法规应由基金托管人公开披露的信息，基金托管人将通过规定媒介公开披露。</w:t>
      </w:r>
    </w:p>
    <w:p w14:paraId="19C9B381"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当出现下述情况时，基金管理人和基金托管人可暂停或延迟披露基金相关信息：</w:t>
      </w:r>
    </w:p>
    <w:p w14:paraId="69F821D8"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 xml:space="preserve">（1）不可抗力； </w:t>
      </w:r>
    </w:p>
    <w:p w14:paraId="6F374E55"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（2）基金投资所涉及的证券交易市场、外汇市场遇法定节假日或因其他原因暂停营业时；</w:t>
      </w:r>
    </w:p>
    <w:p w14:paraId="37C4FE2D"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（3）发生暂停估值的情形；</w:t>
      </w:r>
    </w:p>
    <w:p w14:paraId="1B57E263"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（4）法律法规、中国证监会规定或基金合同约定的其他情形。</w:t>
      </w:r>
    </w:p>
    <w:p w14:paraId="1594A1DF"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2.程序</w:t>
      </w:r>
    </w:p>
    <w:p w14:paraId="02129A71"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14:paraId="1EBB9DE5"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3.信息文本的存放</w:t>
      </w:r>
    </w:p>
    <w:p w14:paraId="1EA5208E"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依法必须披露的信息发布后，基金管理人、基金托管人应当按照相关法律法规规定将信息置备于各自住所，供社会公众查阅、复制。投资者可以免费查阅。投资者在支付工本费后可在合理时间获得上述文件的复制件或复印件。基金管理人和基金托管人应保证文本的内容与所公告的内容完全一致。</w:t>
      </w:r>
    </w:p>
    <w:p w14:paraId="3FDEA135"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（四）实施侧袋机制期间的信息披露</w:t>
      </w:r>
    </w:p>
    <w:p w14:paraId="5ADB3BE1"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本基金实施侧袋机制的，相关信息披露义务人应当根据法律法规、基金合同和招募说明书的规定进行信息披露，详见招募说明书的规定。</w:t>
      </w:r>
    </w:p>
    <w:p w14:paraId="27950779"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（五）法律法规或监管部门对适用于本基金的信息披露另有规定的，从其规定。如规定发生变化的，从其最新规定。</w:t>
      </w:r>
    </w:p>
    <w:p w14:paraId="5EF95304" w14:textId="77777777" w:rsidR="007433DF" w:rsidRDefault="007433DF">
      <w:pPr>
        <w:pStyle w:val="a0"/>
        <w:ind w:firstLineChars="0" w:firstLine="0"/>
        <w:rPr>
          <w:rFonts w:ascii="彩虹粗仿宋" w:eastAsia="彩虹粗仿宋" w:hAnsi="宋体" w:cs="Arial"/>
          <w:sz w:val="24"/>
        </w:rPr>
      </w:pPr>
    </w:p>
    <w:p w14:paraId="1DF2B126" w14:textId="77777777" w:rsidR="007433DF" w:rsidRDefault="00F50617">
      <w:pPr>
        <w:pStyle w:val="2"/>
        <w:jc w:val="center"/>
        <w:rPr>
          <w:rFonts w:ascii="彩虹粗仿宋" w:eastAsia="彩虹粗仿宋"/>
          <w:sz w:val="30"/>
        </w:rPr>
      </w:pPr>
      <w:bookmarkStart w:id="95" w:name="_Toc124325895"/>
      <w:r>
        <w:rPr>
          <w:rFonts w:ascii="彩虹粗仿宋" w:eastAsia="彩虹粗仿宋" w:hint="eastAsia"/>
          <w:sz w:val="30"/>
        </w:rPr>
        <w:t>十一、基金费用</w:t>
      </w:r>
      <w:bookmarkEnd w:id="95"/>
    </w:p>
    <w:p w14:paraId="0282B97A"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（一）基金管理费的计提比例和计提方法</w:t>
      </w:r>
    </w:p>
    <w:p w14:paraId="3C7F6CBB"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1、基金管理人的管理费</w:t>
      </w:r>
    </w:p>
    <w:p w14:paraId="7F7B0418"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本基金投资于本基金管理人所管理的公开募集证券投资基金的部分不收取管理费。</w:t>
      </w:r>
      <w:r>
        <w:rPr>
          <w:rFonts w:ascii="彩虹粗仿宋" w:eastAsia="彩虹粗仿宋" w:hAnsi="宋体" w:cs="Arial"/>
          <w:sz w:val="24"/>
        </w:rPr>
        <w:t>本基金的管理费按前一日基金资产净值</w:t>
      </w:r>
      <w:r>
        <w:rPr>
          <w:rFonts w:ascii="彩虹粗仿宋" w:eastAsia="彩虹粗仿宋" w:hAnsi="宋体" w:cs="Arial" w:hint="eastAsia"/>
          <w:sz w:val="24"/>
        </w:rPr>
        <w:t>扣除本基金持有的基金管理人自身</w:t>
      </w:r>
      <w:r>
        <w:rPr>
          <w:rFonts w:ascii="彩虹粗仿宋" w:eastAsia="彩虹粗仿宋" w:hAnsi="宋体" w:cs="Arial" w:hint="eastAsia"/>
          <w:sz w:val="24"/>
        </w:rPr>
        <w:lastRenderedPageBreak/>
        <w:t>管理的其他公开募集证券投资基金部分公允</w:t>
      </w:r>
      <w:r>
        <w:rPr>
          <w:rFonts w:ascii="彩虹粗仿宋" w:eastAsia="彩虹粗仿宋" w:hAnsi="宋体" w:cs="Arial"/>
          <w:sz w:val="24"/>
        </w:rPr>
        <w:t>价值</w:t>
      </w:r>
      <w:r>
        <w:rPr>
          <w:rFonts w:ascii="彩虹粗仿宋" w:eastAsia="彩虹粗仿宋" w:hAnsi="宋体" w:cs="Arial" w:hint="eastAsia"/>
          <w:sz w:val="24"/>
        </w:rPr>
        <w:t>后的余额（若为负数，则取0）</w:t>
      </w:r>
      <w:r>
        <w:rPr>
          <w:rFonts w:ascii="彩虹粗仿宋" w:eastAsia="彩虹粗仿宋" w:hAnsi="宋体" w:cs="Arial"/>
          <w:sz w:val="24"/>
        </w:rPr>
        <w:t>的0.40%年费率计提。管理费的计算方法如下：</w:t>
      </w:r>
    </w:p>
    <w:p w14:paraId="2D590C79"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H＝E</w:t>
      </w:r>
      <w:r>
        <w:rPr>
          <w:rFonts w:ascii="彩虹粗仿宋" w:eastAsia="彩虹粗仿宋" w:hAnsi="宋体" w:cs="Arial"/>
          <w:sz w:val="24"/>
        </w:rPr>
        <w:t>×</w:t>
      </w:r>
      <w:r>
        <w:rPr>
          <w:rFonts w:ascii="彩虹粗仿宋" w:eastAsia="彩虹粗仿宋" w:hAnsi="宋体" w:cs="Arial"/>
          <w:sz w:val="24"/>
        </w:rPr>
        <w:t>0.40%</w:t>
      </w:r>
      <w:r>
        <w:rPr>
          <w:rFonts w:ascii="彩虹粗仿宋" w:eastAsia="彩虹粗仿宋" w:hAnsi="宋体" w:cs="Arial"/>
          <w:sz w:val="24"/>
        </w:rPr>
        <w:t>÷</w:t>
      </w:r>
      <w:r>
        <w:rPr>
          <w:rFonts w:ascii="彩虹粗仿宋" w:eastAsia="彩虹粗仿宋" w:hAnsi="宋体" w:cs="Arial"/>
          <w:sz w:val="24"/>
        </w:rPr>
        <w:t>当年天数</w:t>
      </w:r>
    </w:p>
    <w:p w14:paraId="4C404C42"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H为每日应计提的基金管理费</w:t>
      </w:r>
    </w:p>
    <w:p w14:paraId="59BA52B2"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E为前一日的基金资产净值中扣除本基金持有的基金管理人自身管理的其他</w:t>
      </w:r>
      <w:r>
        <w:rPr>
          <w:rFonts w:ascii="彩虹粗仿宋" w:eastAsia="彩虹粗仿宋" w:hAnsi="宋体" w:cs="Arial" w:hint="eastAsia"/>
          <w:sz w:val="24"/>
        </w:rPr>
        <w:t>公开募集证券投资</w:t>
      </w:r>
      <w:r>
        <w:rPr>
          <w:rFonts w:ascii="彩虹粗仿宋" w:eastAsia="彩虹粗仿宋" w:hAnsi="宋体" w:cs="Arial"/>
          <w:sz w:val="24"/>
        </w:rPr>
        <w:t>基金部分</w:t>
      </w:r>
      <w:r>
        <w:rPr>
          <w:rFonts w:ascii="彩虹粗仿宋" w:eastAsia="彩虹粗仿宋" w:hAnsi="宋体" w:cs="Arial" w:hint="eastAsia"/>
          <w:sz w:val="24"/>
        </w:rPr>
        <w:t>公允价值后的余额（若为负数，则取0）</w:t>
      </w:r>
    </w:p>
    <w:p w14:paraId="787D8F17" w14:textId="77777777" w:rsidR="007433DF" w:rsidRDefault="00F50617">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（二）基金托管费的计提比例和计提方法</w:t>
      </w:r>
    </w:p>
    <w:p w14:paraId="627119B8"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本基金投资于本基金托管人所托管的公开募集证券投资基金的部分不收取托管费。</w:t>
      </w:r>
      <w:r>
        <w:rPr>
          <w:rFonts w:ascii="彩虹粗仿宋" w:eastAsia="彩虹粗仿宋" w:hAnsi="宋体" w:cs="Arial"/>
          <w:sz w:val="24"/>
        </w:rPr>
        <w:t>本基金的托管费按前一日基金资产净值</w:t>
      </w:r>
      <w:r>
        <w:rPr>
          <w:rFonts w:ascii="彩虹粗仿宋" w:eastAsia="彩虹粗仿宋" w:hAnsi="宋体" w:cs="Arial" w:hint="eastAsia"/>
          <w:sz w:val="24"/>
        </w:rPr>
        <w:t>扣除本基金持有的本基金托管人所托管公开募集证券投资基金部分公允价值后的余额（若为负数，则取0）</w:t>
      </w:r>
      <w:r>
        <w:rPr>
          <w:rFonts w:ascii="彩虹粗仿宋" w:eastAsia="彩虹粗仿宋" w:hAnsi="宋体" w:cs="Arial"/>
          <w:sz w:val="24"/>
        </w:rPr>
        <w:t>的0.10%的年费率计提。托管费的计算方法如下：</w:t>
      </w:r>
    </w:p>
    <w:p w14:paraId="27F49F0E"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H＝E</w:t>
      </w:r>
      <w:r>
        <w:rPr>
          <w:rFonts w:ascii="彩虹粗仿宋" w:eastAsia="彩虹粗仿宋" w:hAnsi="宋体" w:cs="Arial"/>
          <w:sz w:val="24"/>
        </w:rPr>
        <w:t>×</w:t>
      </w:r>
      <w:r>
        <w:rPr>
          <w:rFonts w:ascii="彩虹粗仿宋" w:eastAsia="彩虹粗仿宋" w:hAnsi="宋体" w:cs="Arial"/>
          <w:sz w:val="24"/>
        </w:rPr>
        <w:t>0.10%</w:t>
      </w:r>
      <w:r>
        <w:rPr>
          <w:rFonts w:ascii="彩虹粗仿宋" w:eastAsia="彩虹粗仿宋" w:hAnsi="宋体" w:cs="Arial"/>
          <w:sz w:val="24"/>
        </w:rPr>
        <w:t>÷</w:t>
      </w:r>
      <w:r>
        <w:rPr>
          <w:rFonts w:ascii="彩虹粗仿宋" w:eastAsia="彩虹粗仿宋" w:hAnsi="宋体" w:cs="Arial"/>
          <w:sz w:val="24"/>
        </w:rPr>
        <w:t>当年天数</w:t>
      </w:r>
    </w:p>
    <w:p w14:paraId="6E86B58C"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H为每日应计提的基金托管费</w:t>
      </w:r>
    </w:p>
    <w:p w14:paraId="40EFB76B"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E为前一日的基金资产净值中扣除本基金持有的基金托管人自身托管的其他</w:t>
      </w:r>
      <w:r>
        <w:rPr>
          <w:rFonts w:ascii="彩虹粗仿宋" w:eastAsia="彩虹粗仿宋" w:hAnsi="宋体" w:cs="Arial" w:hint="eastAsia"/>
          <w:sz w:val="24"/>
        </w:rPr>
        <w:t>公开募集证券投资</w:t>
      </w:r>
      <w:r>
        <w:rPr>
          <w:rFonts w:ascii="彩虹粗仿宋" w:eastAsia="彩虹粗仿宋" w:hAnsi="宋体" w:cs="Arial"/>
          <w:sz w:val="24"/>
        </w:rPr>
        <w:t>基金部分</w:t>
      </w:r>
      <w:r>
        <w:rPr>
          <w:rFonts w:ascii="彩虹粗仿宋" w:eastAsia="彩虹粗仿宋" w:hAnsi="宋体" w:cs="Arial" w:hint="eastAsia"/>
          <w:sz w:val="24"/>
        </w:rPr>
        <w:t>公允价值后的余额（若为负数，则取0）</w:t>
      </w:r>
    </w:p>
    <w:p w14:paraId="5DC334EB" w14:textId="77777777" w:rsidR="007433DF" w:rsidRDefault="00F50617">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（三）销售服务费的计提比例和计提方法</w:t>
      </w:r>
    </w:p>
    <w:p w14:paraId="160B4DFD" w14:textId="77777777" w:rsidR="007433DF" w:rsidRPr="007D3F15" w:rsidRDefault="00F50617" w:rsidP="007D3F15">
      <w:pPr>
        <w:adjustRightInd w:val="0"/>
        <w:snapToGrid w:val="0"/>
        <w:ind w:firstLineChars="200" w:firstLine="480"/>
        <w:rPr>
          <w:rFonts w:ascii="彩虹粗仿宋" w:eastAsia="彩虹粗仿宋" w:hAnsi="宋体" w:cs="Arial"/>
          <w:sz w:val="24"/>
        </w:rPr>
      </w:pPr>
      <w:bookmarkStart w:id="96" w:name="_Hlk218433579"/>
      <w:r w:rsidRPr="007D3F15">
        <w:rPr>
          <w:rFonts w:ascii="彩虹粗仿宋" w:eastAsia="彩虹粗仿宋" w:hAnsi="宋体" w:cs="Arial" w:hint="eastAsia"/>
          <w:sz w:val="24"/>
        </w:rPr>
        <w:t>本基金</w:t>
      </w:r>
      <w:r w:rsidRPr="007D3F15">
        <w:rPr>
          <w:rFonts w:ascii="彩虹粗仿宋" w:eastAsia="彩虹粗仿宋" w:hAnsi="宋体" w:cs="Arial"/>
          <w:sz w:val="24"/>
        </w:rPr>
        <w:t>A</w:t>
      </w:r>
      <w:r w:rsidRPr="007D3F15">
        <w:rPr>
          <w:rFonts w:ascii="彩虹粗仿宋" w:eastAsia="彩虹粗仿宋" w:hAnsi="宋体" w:cs="Arial" w:hint="eastAsia"/>
          <w:sz w:val="24"/>
        </w:rPr>
        <w:t>类基金份额不收取销售服务费。通过直销机构认购</w:t>
      </w:r>
      <w:r w:rsidRPr="007D3F15">
        <w:rPr>
          <w:rFonts w:ascii="彩虹粗仿宋" w:eastAsia="彩虹粗仿宋" w:hAnsi="宋体" w:cs="Arial"/>
          <w:sz w:val="24"/>
        </w:rPr>
        <w:t>/</w:t>
      </w:r>
      <w:r w:rsidRPr="007D3F15">
        <w:rPr>
          <w:rFonts w:ascii="彩虹粗仿宋" w:eastAsia="彩虹粗仿宋" w:hAnsi="宋体" w:cs="Arial" w:hint="eastAsia"/>
          <w:sz w:val="24"/>
        </w:rPr>
        <w:t>申购本基金</w:t>
      </w:r>
      <w:r w:rsidRPr="007D3F15">
        <w:rPr>
          <w:rFonts w:ascii="彩虹粗仿宋" w:eastAsia="彩虹粗仿宋" w:hAnsi="宋体" w:cs="Arial"/>
          <w:sz w:val="24"/>
        </w:rPr>
        <w:t xml:space="preserve"> </w:t>
      </w:r>
      <w:bookmarkStart w:id="97" w:name="_Hlk218433585"/>
      <w:bookmarkEnd w:id="96"/>
      <w:r w:rsidRPr="007D3F15">
        <w:rPr>
          <w:rFonts w:ascii="彩虹粗仿宋" w:eastAsia="彩虹粗仿宋" w:hAnsi="宋体" w:cs="Arial"/>
          <w:sz w:val="24"/>
        </w:rPr>
        <w:t>C</w:t>
      </w:r>
      <w:r w:rsidRPr="007D3F15">
        <w:rPr>
          <w:rFonts w:ascii="彩虹粗仿宋" w:eastAsia="彩虹粗仿宋" w:hAnsi="宋体" w:cs="Arial" w:hint="eastAsia"/>
          <w:sz w:val="24"/>
        </w:rPr>
        <w:t>类基金份额不收取销售服务费，</w:t>
      </w:r>
      <w:bookmarkEnd w:id="97"/>
      <w:r w:rsidRPr="007D3F15">
        <w:rPr>
          <w:rFonts w:ascii="彩虹粗仿宋" w:eastAsia="彩虹粗仿宋" w:hAnsi="宋体" w:cs="Arial" w:hint="eastAsia"/>
          <w:sz w:val="24"/>
        </w:rPr>
        <w:t>通过直销机构以外的其他销售机构认购</w:t>
      </w:r>
      <w:r w:rsidRPr="007D3F15">
        <w:rPr>
          <w:rFonts w:ascii="彩虹粗仿宋" w:eastAsia="彩虹粗仿宋" w:hAnsi="宋体" w:cs="Arial"/>
          <w:sz w:val="24"/>
        </w:rPr>
        <w:t>/</w:t>
      </w:r>
      <w:r w:rsidRPr="007D3F15">
        <w:rPr>
          <w:rFonts w:ascii="彩虹粗仿宋" w:eastAsia="彩虹粗仿宋" w:hAnsi="宋体" w:cs="Arial" w:hint="eastAsia"/>
          <w:sz w:val="24"/>
        </w:rPr>
        <w:t>申购</w:t>
      </w:r>
      <w:r w:rsidRPr="007D3F15">
        <w:rPr>
          <w:rFonts w:ascii="彩虹粗仿宋" w:eastAsia="彩虹粗仿宋" w:hAnsi="宋体" w:cs="Arial"/>
          <w:sz w:val="24"/>
        </w:rPr>
        <w:t xml:space="preserve">C </w:t>
      </w:r>
      <w:r w:rsidRPr="007D3F15">
        <w:rPr>
          <w:rFonts w:ascii="彩虹粗仿宋" w:eastAsia="彩虹粗仿宋" w:hAnsi="宋体" w:cs="Arial" w:hint="eastAsia"/>
          <w:sz w:val="24"/>
        </w:rPr>
        <w:t>类基金份额</w:t>
      </w:r>
      <w:bookmarkStart w:id="98" w:name="_Hlk218433597"/>
      <w:r w:rsidRPr="007D3F15">
        <w:rPr>
          <w:rFonts w:ascii="彩虹粗仿宋" w:eastAsia="彩虹粗仿宋" w:hAnsi="宋体" w:cs="Arial" w:hint="eastAsia"/>
          <w:sz w:val="24"/>
        </w:rPr>
        <w:t>且持有未超过</w:t>
      </w:r>
      <w:r w:rsidRPr="007D3F15">
        <w:rPr>
          <w:rFonts w:ascii="彩虹粗仿宋" w:eastAsia="彩虹粗仿宋" w:hAnsi="宋体" w:cs="Arial"/>
          <w:sz w:val="24"/>
        </w:rPr>
        <w:t>1</w:t>
      </w:r>
      <w:r w:rsidRPr="007D3F15">
        <w:rPr>
          <w:rFonts w:ascii="彩虹粗仿宋" w:eastAsia="彩虹粗仿宋" w:hAnsi="宋体" w:cs="Arial" w:hint="eastAsia"/>
          <w:sz w:val="24"/>
        </w:rPr>
        <w:t>年的，收取销售服务费</w:t>
      </w:r>
      <w:bookmarkEnd w:id="98"/>
      <w:r w:rsidRPr="007D3F15">
        <w:rPr>
          <w:rFonts w:ascii="彩虹粗仿宋" w:eastAsia="彩虹粗仿宋" w:hAnsi="宋体" w:cs="Arial" w:hint="eastAsia"/>
          <w:sz w:val="24"/>
        </w:rPr>
        <w:t>。</w:t>
      </w:r>
      <w:bookmarkStart w:id="99" w:name="_Hlk218433623"/>
      <w:r w:rsidRPr="007D3F15">
        <w:rPr>
          <w:rFonts w:ascii="彩虹粗仿宋" w:eastAsia="彩虹粗仿宋" w:hAnsi="宋体" w:cs="Arial"/>
          <w:sz w:val="24"/>
        </w:rPr>
        <w:t>C</w:t>
      </w:r>
      <w:r w:rsidRPr="007D3F15">
        <w:rPr>
          <w:rFonts w:ascii="彩虹粗仿宋" w:eastAsia="彩虹粗仿宋" w:hAnsi="宋体" w:cs="Arial" w:hint="eastAsia"/>
          <w:sz w:val="24"/>
        </w:rPr>
        <w:t>类基金份额</w:t>
      </w:r>
      <w:bookmarkEnd w:id="99"/>
      <w:r w:rsidRPr="007D3F15">
        <w:rPr>
          <w:rFonts w:ascii="彩虹粗仿宋" w:eastAsia="彩虹粗仿宋" w:hAnsi="宋体" w:cs="Arial" w:hint="eastAsia"/>
          <w:sz w:val="24"/>
        </w:rPr>
        <w:t>销售服务费按前一日</w:t>
      </w:r>
      <w:r w:rsidRPr="007D3F15">
        <w:rPr>
          <w:rFonts w:ascii="彩虹粗仿宋" w:eastAsia="彩虹粗仿宋" w:hAnsi="宋体" w:cs="Arial"/>
          <w:sz w:val="24"/>
        </w:rPr>
        <w:t xml:space="preserve"> C </w:t>
      </w:r>
      <w:r w:rsidRPr="007D3F15">
        <w:rPr>
          <w:rFonts w:ascii="彩虹粗仿宋" w:eastAsia="彩虹粗仿宋" w:hAnsi="宋体" w:cs="Arial" w:hint="eastAsia"/>
          <w:sz w:val="24"/>
        </w:rPr>
        <w:t>类基金份额的基金资产净值的</w:t>
      </w:r>
      <w:r w:rsidRPr="007D3F15">
        <w:rPr>
          <w:rFonts w:ascii="彩虹粗仿宋" w:eastAsia="彩虹粗仿宋" w:hAnsi="宋体" w:cs="Arial"/>
          <w:sz w:val="24"/>
        </w:rPr>
        <w:t>0.20%</w:t>
      </w:r>
      <w:r w:rsidRPr="007D3F15">
        <w:rPr>
          <w:rFonts w:ascii="彩虹粗仿宋" w:eastAsia="彩虹粗仿宋" w:hAnsi="宋体" w:cs="Arial" w:hint="eastAsia"/>
          <w:sz w:val="24"/>
        </w:rPr>
        <w:t>年费率计提。计算方法如下：</w:t>
      </w:r>
    </w:p>
    <w:p w14:paraId="4BD4702D"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H</w:t>
      </w:r>
      <w:r>
        <w:rPr>
          <w:rFonts w:ascii="彩虹粗仿宋" w:eastAsia="彩虹粗仿宋" w:hAnsi="宋体" w:cs="Arial" w:hint="eastAsia"/>
          <w:sz w:val="24"/>
        </w:rPr>
        <w:t>＝</w:t>
      </w:r>
      <w:r>
        <w:rPr>
          <w:rFonts w:ascii="彩虹粗仿宋" w:eastAsia="彩虹粗仿宋" w:hAnsi="宋体" w:cs="Arial"/>
          <w:sz w:val="24"/>
        </w:rPr>
        <w:t>E</w:t>
      </w:r>
      <w:r>
        <w:rPr>
          <w:rFonts w:ascii="彩虹粗仿宋" w:eastAsia="彩虹粗仿宋" w:hAnsi="宋体" w:cs="Arial" w:hint="eastAsia"/>
          <w:sz w:val="24"/>
        </w:rPr>
        <w:t>×年销售服务费率÷当年天数</w:t>
      </w:r>
    </w:p>
    <w:p w14:paraId="2FE05454"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H</w:t>
      </w:r>
      <w:r>
        <w:rPr>
          <w:rFonts w:ascii="彩虹粗仿宋" w:eastAsia="彩虹粗仿宋" w:hAnsi="宋体" w:cs="Arial" w:hint="eastAsia"/>
          <w:sz w:val="24"/>
        </w:rPr>
        <w:t>为C类基金份额每日应计提的基金销售服务费</w:t>
      </w:r>
    </w:p>
    <w:p w14:paraId="4C0FD628"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E</w:t>
      </w:r>
      <w:r>
        <w:rPr>
          <w:rFonts w:ascii="彩虹粗仿宋" w:eastAsia="彩虹粗仿宋" w:hAnsi="宋体" w:cs="Arial" w:hint="eastAsia"/>
          <w:sz w:val="24"/>
        </w:rPr>
        <w:t>为C类基金份额前一日基金资产净值</w:t>
      </w:r>
    </w:p>
    <w:p w14:paraId="31A25788" w14:textId="77777777" w:rsidR="007433DF" w:rsidRDefault="00F50617">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四）基金相关账户开户费用、基金财产划拨支付的银行费用、账户维护费、《基金合同》生效后的信息披露费用（法律法规、中国证监会另有规定的除外）、基金份额持有人大会费用、《基金合同》生效后与基金有关的会计师费、律师费</w:t>
      </w:r>
      <w:r>
        <w:rPr>
          <w:rFonts w:ascii="彩虹粗仿宋" w:eastAsia="彩虹粗仿宋" w:hAnsi="宋体" w:cs="Arial" w:hint="eastAsia"/>
          <w:bCs/>
          <w:sz w:val="24"/>
        </w:rPr>
        <w:t>、公证费、</w:t>
      </w:r>
      <w:r>
        <w:rPr>
          <w:rFonts w:ascii="彩虹粗仿宋" w:eastAsia="彩虹粗仿宋" w:hAnsi="宋体" w:cs="Arial"/>
          <w:bCs/>
          <w:sz w:val="24"/>
        </w:rPr>
        <w:t>诉讼费</w:t>
      </w:r>
      <w:r>
        <w:rPr>
          <w:rFonts w:ascii="彩虹粗仿宋" w:eastAsia="彩虹粗仿宋" w:hAnsi="宋体" w:cs="Arial" w:hint="eastAsia"/>
          <w:bCs/>
          <w:sz w:val="24"/>
        </w:rPr>
        <w:t>、仲裁费、</w:t>
      </w:r>
      <w:r>
        <w:rPr>
          <w:rFonts w:ascii="彩虹粗仿宋" w:eastAsia="彩虹粗仿宋" w:hAnsi="宋体" w:cs="Arial"/>
          <w:bCs/>
          <w:sz w:val="24"/>
        </w:rPr>
        <w:t>基金的证券交易费用</w:t>
      </w:r>
      <w:r>
        <w:rPr>
          <w:rFonts w:ascii="彩虹粗仿宋" w:eastAsia="彩虹粗仿宋" w:hAnsi="宋体" w:cs="Arial" w:hint="eastAsia"/>
          <w:bCs/>
          <w:sz w:val="24"/>
        </w:rPr>
        <w:t>、因投资港股通股票而产生的各项合理费用、基金投资其他基金产生的相关费用，但法律法规禁止从基金财产中列支的除外</w:t>
      </w:r>
      <w:r>
        <w:rPr>
          <w:rFonts w:ascii="彩虹粗仿宋" w:eastAsia="彩虹粗仿宋" w:hAnsi="宋体" w:cs="Arial" w:hint="eastAsia"/>
          <w:sz w:val="24"/>
        </w:rPr>
        <w:t>、《基金合同》及相应协议的规定，列入当期基金费用。</w:t>
      </w:r>
    </w:p>
    <w:p w14:paraId="1E319FD5" w14:textId="77777777" w:rsidR="007433DF" w:rsidRDefault="00F50617">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（五）不列入基金费用的项目</w:t>
      </w:r>
    </w:p>
    <w:p w14:paraId="70CD7569"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合同》生效前的律师费、会计师费和信息披露费用不得从基金财产中列支；基金管理人和基金托管人因未履行或未完全履行义务导致的费用支出或基金财产的损失，处理与基金运作无关的事项发生的费用，以及其他根据相关法律法规及中国证监会的有关规定不得列入基金费用的项目。</w:t>
      </w:r>
    </w:p>
    <w:p w14:paraId="151E1E7B" w14:textId="77777777" w:rsidR="007433DF" w:rsidRDefault="00F50617">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（六）基金管理费、基金托管费和销售服务费的复核程序、支付方式和时间</w:t>
      </w:r>
    </w:p>
    <w:p w14:paraId="3F84065D"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1.复核程序</w:t>
      </w:r>
    </w:p>
    <w:p w14:paraId="46F4E1AC"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基金托管人对基金管理人计提的基金管理费、基金托管费和销售服务费等，根据本托管协议和《基金合同》的有关规定进行复核。</w:t>
      </w:r>
    </w:p>
    <w:p w14:paraId="3B824CB1"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2.支付方式和时间</w:t>
      </w:r>
    </w:p>
    <w:p w14:paraId="10C4E78A" w14:textId="10EA790E"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费、基金托管费每日计提，逐日累计至每月月末，按月支付，由基金托管人根据与基金管理人核对一致的财务数据，自动在月初5个工作日内、按照指定的账户路径进行资金支付，基金管理人无需再出具资金划拨指令。若遇法定节假日、公休日</w:t>
      </w:r>
      <w:bookmarkStart w:id="100" w:name="_Hlk193012100"/>
      <w:r>
        <w:rPr>
          <w:rFonts w:ascii="彩虹粗仿宋" w:eastAsia="彩虹粗仿宋" w:hAnsi="宋体" w:cs="Arial" w:hint="eastAsia"/>
          <w:sz w:val="24"/>
        </w:rPr>
        <w:t>或不可抗力</w:t>
      </w:r>
      <w:bookmarkEnd w:id="100"/>
      <w:r>
        <w:rPr>
          <w:rFonts w:ascii="彩虹粗仿宋" w:eastAsia="彩虹粗仿宋" w:hAnsi="宋体" w:cs="Arial" w:hint="eastAsia"/>
          <w:sz w:val="24"/>
        </w:rPr>
        <w:t>等，支付日期顺延。费用自动扣划后，基金管理人应进行核对，如发现数据不符，及时联系基金托管人协商解决。</w:t>
      </w:r>
    </w:p>
    <w:p w14:paraId="385F389A"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销售服务费按照《基金合同》约定支付。</w:t>
      </w:r>
    </w:p>
    <w:p w14:paraId="6CF34650"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在首期支付基金管理费、销售服务费前，基金管理人应向基金托管人出具正式函件指定基金管理费、销售服务费的收款账户。基金管理人如需要变更此账户，应提前5个工作日向基金托管人出具书面的收款账户变更通知。</w:t>
      </w:r>
    </w:p>
    <w:p w14:paraId="58FF5AE9"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七）基金管理人运用本基金财产申购自身管理的基金的（ETF除外），应当通过直销渠道申购且不得收取申购费、赎回费（按照相关法规、基金招募说明书约定应当收取，并计入基金财产的赎回费用除外）、销售服务费等销售费用。</w:t>
      </w:r>
    </w:p>
    <w:p w14:paraId="4BDD5935"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（八）违规处理方式</w:t>
      </w:r>
    </w:p>
    <w:p w14:paraId="05B420B2"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14:paraId="6A57095B"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（九）实施侧袋机制期间的基金费用</w:t>
      </w:r>
    </w:p>
    <w:p w14:paraId="280EC6D8"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本基金实施侧袋机制的，与侧袋账户有关的费用可以从侧袋账户中列支，但应待侧袋账户资产变现后方可列支，有关费用可酌情收取或减免，但不得收取管理费，详见招募说明书的规定。</w:t>
      </w:r>
    </w:p>
    <w:p w14:paraId="59EF1DB1" w14:textId="77777777" w:rsidR="007433DF" w:rsidRDefault="007433DF">
      <w:pPr>
        <w:adjustRightInd w:val="0"/>
        <w:snapToGrid w:val="0"/>
        <w:ind w:firstLineChars="200" w:firstLine="480"/>
        <w:rPr>
          <w:rFonts w:ascii="彩虹粗仿宋" w:eastAsia="彩虹粗仿宋" w:hAnsi="宋体" w:cs="Arial"/>
          <w:sz w:val="24"/>
        </w:rPr>
      </w:pPr>
    </w:p>
    <w:p w14:paraId="4552E53E" w14:textId="77777777" w:rsidR="007433DF" w:rsidRDefault="00F50617">
      <w:pPr>
        <w:pStyle w:val="2"/>
        <w:jc w:val="center"/>
        <w:rPr>
          <w:rFonts w:ascii="彩虹粗仿宋" w:eastAsia="彩虹粗仿宋"/>
          <w:sz w:val="30"/>
        </w:rPr>
      </w:pPr>
      <w:bookmarkStart w:id="101" w:name="_Toc124325896"/>
      <w:r>
        <w:rPr>
          <w:rFonts w:ascii="彩虹粗仿宋" w:eastAsia="彩虹粗仿宋" w:hint="eastAsia"/>
          <w:sz w:val="30"/>
        </w:rPr>
        <w:t>十二、基金份额持有人名册的保管</w:t>
      </w:r>
      <w:bookmarkEnd w:id="101"/>
    </w:p>
    <w:p w14:paraId="1831627A"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法律法规规定的最低年限。如不能妥善保管，则按相关法规承担责任。</w:t>
      </w:r>
    </w:p>
    <w:p w14:paraId="399BABD3"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在基金托管人要求或编制中期报告和年度报告前，基金管理人应将有关资料送交基金托管人，不得无故拒绝或延误提供，并保证其真实性、准确性和完整性。</w:t>
      </w:r>
      <w:r>
        <w:rPr>
          <w:rFonts w:ascii="彩虹粗仿宋" w:eastAsia="彩虹粗仿宋" w:hAnsi="宋体" w:hint="eastAsia"/>
          <w:kern w:val="0"/>
          <w:sz w:val="24"/>
        </w:rPr>
        <w:t>基金托管人不得将所保管的基金份额持有人名册用于基金托管业务以外的其他用</w:t>
      </w:r>
      <w:r>
        <w:rPr>
          <w:rFonts w:ascii="彩虹粗仿宋" w:eastAsia="彩虹粗仿宋" w:hAnsi="宋体" w:hint="eastAsia"/>
          <w:kern w:val="0"/>
          <w:sz w:val="24"/>
        </w:rPr>
        <w:lastRenderedPageBreak/>
        <w:t>途，并应遵守保密义务。</w:t>
      </w:r>
    </w:p>
    <w:p w14:paraId="241B9EC3" w14:textId="77777777" w:rsidR="007433DF" w:rsidRDefault="007433DF">
      <w:pPr>
        <w:adjustRightInd w:val="0"/>
        <w:snapToGrid w:val="0"/>
        <w:rPr>
          <w:rFonts w:ascii="彩虹粗仿宋" w:eastAsia="彩虹粗仿宋" w:hAnsi="宋体" w:cs="Arial"/>
          <w:sz w:val="24"/>
        </w:rPr>
      </w:pPr>
    </w:p>
    <w:p w14:paraId="52A661E6" w14:textId="77777777" w:rsidR="007433DF" w:rsidRDefault="00F50617">
      <w:pPr>
        <w:pStyle w:val="2"/>
        <w:jc w:val="center"/>
        <w:rPr>
          <w:rFonts w:ascii="彩虹粗仿宋" w:eastAsia="彩虹粗仿宋"/>
          <w:sz w:val="30"/>
        </w:rPr>
      </w:pPr>
      <w:bookmarkStart w:id="102" w:name="_Toc124325897"/>
      <w:r>
        <w:rPr>
          <w:rFonts w:ascii="彩虹粗仿宋" w:eastAsia="彩虹粗仿宋" w:hint="eastAsia"/>
          <w:sz w:val="30"/>
        </w:rPr>
        <w:t>十三、基金有关文件档案的保存</w:t>
      </w:r>
      <w:bookmarkEnd w:id="102"/>
    </w:p>
    <w:p w14:paraId="5406A432" w14:textId="77777777" w:rsidR="007433DF" w:rsidRDefault="00F50617">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（一）档案保存</w:t>
      </w:r>
    </w:p>
    <w:p w14:paraId="1DD604BB"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法律法规规定</w:t>
      </w:r>
      <w:r>
        <w:rPr>
          <w:rFonts w:ascii="彩虹粗仿宋" w:eastAsia="彩虹粗仿宋" w:hAnsi="宋体" w:cs="Arial"/>
          <w:sz w:val="24"/>
        </w:rPr>
        <w:t>的最低年限</w:t>
      </w:r>
      <w:r>
        <w:rPr>
          <w:rFonts w:ascii="彩虹粗仿宋" w:eastAsia="彩虹粗仿宋" w:hAnsi="宋体" w:cs="Arial" w:hint="eastAsia"/>
          <w:sz w:val="24"/>
        </w:rPr>
        <w:t>。</w:t>
      </w:r>
    </w:p>
    <w:p w14:paraId="3680495C" w14:textId="77777777" w:rsidR="007433DF" w:rsidRDefault="00F50617">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（二）合同档案的建立</w:t>
      </w:r>
    </w:p>
    <w:p w14:paraId="728B1693"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1.基金管理人签署重大合同文本后，应及时将合同文本正本送达基金托管人处。</w:t>
      </w:r>
    </w:p>
    <w:p w14:paraId="5CEE0288"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2.基金管理人应及时将与本基金账务处理、资金划拨等有关的合同、协议传真基金托管人。</w:t>
      </w:r>
    </w:p>
    <w:p w14:paraId="31E4026F" w14:textId="77777777" w:rsidR="007433DF" w:rsidRDefault="00F50617">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（三）变更与协助</w:t>
      </w:r>
    </w:p>
    <w:p w14:paraId="133E2CCD" w14:textId="77777777" w:rsidR="007433DF" w:rsidRDefault="00F50617">
      <w:pPr>
        <w:adjustRightInd w:val="0"/>
        <w:snapToGrid w:val="0"/>
        <w:ind w:firstLineChars="200" w:firstLine="480"/>
        <w:rPr>
          <w:rFonts w:ascii="彩虹粗仿宋" w:eastAsia="彩虹粗仿宋"/>
          <w:b/>
          <w:bCs/>
          <w:sz w:val="30"/>
          <w:szCs w:val="30"/>
        </w:rPr>
      </w:pPr>
      <w:r>
        <w:rPr>
          <w:rFonts w:ascii="彩虹粗仿宋" w:eastAsia="彩虹粗仿宋" w:hAnsi="宋体" w:cs="Arial" w:hint="eastAsia"/>
          <w:sz w:val="24"/>
        </w:rPr>
        <w:t>若基金管理人/基金托管人发生变更，未变更的一方有义务协助变更后的接任人接收相应文件。</w:t>
      </w:r>
    </w:p>
    <w:p w14:paraId="53496B18"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（四）基金管理人和基金托管人应按各自职责完整保存原始凭证、记账凭证、基金账册、交易记录和重要合同等，承担保密义务，保存期限不少于法律法规规定</w:t>
      </w:r>
      <w:r>
        <w:rPr>
          <w:rFonts w:ascii="彩虹粗仿宋" w:eastAsia="彩虹粗仿宋" w:hAnsi="宋体" w:cs="Arial"/>
          <w:sz w:val="24"/>
        </w:rPr>
        <w:t>的最低年限</w:t>
      </w:r>
      <w:r>
        <w:rPr>
          <w:rFonts w:ascii="彩虹粗仿宋" w:eastAsia="彩虹粗仿宋" w:hAnsi="宋体" w:cs="Arial" w:hint="eastAsia"/>
          <w:sz w:val="24"/>
        </w:rPr>
        <w:t>。</w:t>
      </w:r>
    </w:p>
    <w:p w14:paraId="429E6185" w14:textId="77777777" w:rsidR="007433DF" w:rsidRDefault="007433DF">
      <w:pPr>
        <w:adjustRightInd w:val="0"/>
        <w:snapToGrid w:val="0"/>
        <w:rPr>
          <w:rFonts w:ascii="彩虹粗仿宋" w:eastAsia="彩虹粗仿宋"/>
          <w:sz w:val="30"/>
          <w:szCs w:val="30"/>
        </w:rPr>
      </w:pPr>
    </w:p>
    <w:p w14:paraId="510FF113" w14:textId="77777777" w:rsidR="007433DF" w:rsidRDefault="00F50617">
      <w:pPr>
        <w:pStyle w:val="2"/>
        <w:jc w:val="center"/>
        <w:rPr>
          <w:rFonts w:ascii="彩虹粗仿宋" w:eastAsia="彩虹粗仿宋"/>
          <w:sz w:val="30"/>
        </w:rPr>
      </w:pPr>
      <w:bookmarkStart w:id="103" w:name="_Toc124325898"/>
      <w:r>
        <w:rPr>
          <w:rFonts w:ascii="彩虹粗仿宋" w:eastAsia="彩虹粗仿宋" w:hint="eastAsia"/>
          <w:sz w:val="30"/>
        </w:rPr>
        <w:t>十四、基金管理人和基金托管人的更换</w:t>
      </w:r>
      <w:bookmarkEnd w:id="103"/>
    </w:p>
    <w:p w14:paraId="6BA043DC"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（一）基金管理人职责终止的情形及更换程序</w:t>
      </w:r>
    </w:p>
    <w:p w14:paraId="7E584694"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1.基金管理人职责终止的情形</w:t>
      </w:r>
    </w:p>
    <w:p w14:paraId="1B989F1E"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有下列情形之一的，基金管理人职责终止：</w:t>
      </w:r>
    </w:p>
    <w:p w14:paraId="491D0569"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（1）被依法取消基金管理资格；</w:t>
      </w:r>
    </w:p>
    <w:p w14:paraId="796559DE"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（2）被基金份额持有人大会解任；</w:t>
      </w:r>
    </w:p>
    <w:p w14:paraId="403599DA"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（3）依法解散、被依法撤销或被依法宣告破产；</w:t>
      </w:r>
    </w:p>
    <w:p w14:paraId="635C11F1"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（4）法律法规及中国证监会规定的和《基金合同》约定的其他情形。</w:t>
      </w:r>
    </w:p>
    <w:p w14:paraId="5E292AE8"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2.基金管理人的更换程序</w:t>
      </w:r>
    </w:p>
    <w:p w14:paraId="6C5FF6BF"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更换基金管理人必须依照如下程序进行：</w:t>
      </w:r>
    </w:p>
    <w:p w14:paraId="3889EFE1"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（1）提名：新任基金管理人由基金托管人或由单独或合计持有10%以上（含10%）基金份额的基金份额持有人提名；</w:t>
      </w:r>
    </w:p>
    <w:p w14:paraId="1EC45332"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2）决议：基金份额持有人大会在基金管理人职责终止后6个月内对被提名的基金管理人形成决议，该决议需经参加大会的基金份额持有人所持表决权的三分之二以上（含三分之二）表决通过，决议自表决通过之日起生效；</w:t>
      </w:r>
    </w:p>
    <w:p w14:paraId="6CB87170"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（3）临时基金管理人：新任基金管理人产生之前，由中国证监会指定临时基金管理人；</w:t>
      </w:r>
    </w:p>
    <w:p w14:paraId="7AE4D271"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（4）备案：基金份额持有人大会更换基金管理人的决议须报中国证监会备案；</w:t>
      </w:r>
    </w:p>
    <w:p w14:paraId="376A2386"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（5）公告：基金管理人更换后，由基金托管人在更换基金管理人的基金份额持有人大会决议生效后2日内在规定媒介公告；</w:t>
      </w:r>
    </w:p>
    <w:p w14:paraId="7DE1A9DC"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交接：基金管理人职责终止的，基金管理人应妥善保管基金管理业务资料，及时向临时基金管理人或新任基金管理人办理基金管理业务的移交手续，临时基金管理人或新任基金管理人应及时接收。临时基金管理人或新任基金管理人应与基金托管人核对基金资产总值和基金资产净值；</w:t>
      </w:r>
    </w:p>
    <w:p w14:paraId="553E697D"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（7）审计：基金管理人职责终止的，应当按照法律法规规定聘请符合《证券法》规定的会计师事务所对基金财产进行审计，并将审计结果予以公告，同时报中国证监会备案，审计费用从基金财产中列支；</w:t>
      </w:r>
    </w:p>
    <w:p w14:paraId="5661B0F5"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（8）基金名称变更：基金管理人更换后，如果原任或新任基金管理人要求，应按其要求替换或删除基金名称中与原任基金管理人有关的名称字样。</w:t>
      </w:r>
    </w:p>
    <w:p w14:paraId="7CCE8AF4"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（二）基金托管人职责终止的情形及更换程序</w:t>
      </w:r>
    </w:p>
    <w:p w14:paraId="1AB5BEAF"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1.基金托管人职责终止的情形</w:t>
      </w:r>
    </w:p>
    <w:p w14:paraId="496105C8"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有下列情形之一的，基金托管人职责终止：</w:t>
      </w:r>
    </w:p>
    <w:p w14:paraId="2A27AB11"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（1）被依法取消基金托管资格；</w:t>
      </w:r>
    </w:p>
    <w:p w14:paraId="4EDA63BF"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（2）被基金份额持有人大会解任；</w:t>
      </w:r>
    </w:p>
    <w:p w14:paraId="2B31758C"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（3）依法解散、被依法撤销或被依法宣告破产；</w:t>
      </w:r>
    </w:p>
    <w:p w14:paraId="23774990"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（4）法律法规及中国证监会规定的和《基金合同》约定的其他情形。</w:t>
      </w:r>
    </w:p>
    <w:p w14:paraId="324DDAA7"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2.基金托管人的更换程序</w:t>
      </w:r>
    </w:p>
    <w:p w14:paraId="6FC9FB20"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（1）提名：新任基金托管人由基金管理人或由单独或合计持有10%以上（含10%）基金份额的基金份额持有人提名；</w:t>
      </w:r>
    </w:p>
    <w:p w14:paraId="32B3FF40"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决议自表决通过之日起生效；</w:t>
      </w:r>
    </w:p>
    <w:p w14:paraId="3E540135"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（3）临时基金托管人：新任基金托管人产生之前，由中国证监会指定临时基金托管人；</w:t>
      </w:r>
    </w:p>
    <w:p w14:paraId="37BF289E"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（4）备案：基金份额持有人大会更换基金托管人的决议须报中国证监会备案；</w:t>
      </w:r>
    </w:p>
    <w:p w14:paraId="3B86117C"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（5）公告：基金托管人更换后，由基金管理人在更换基金托管人的基金份额持有人大会决议生效后2日内在规定媒介公告；</w:t>
      </w:r>
    </w:p>
    <w:p w14:paraId="2159A4F4"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 xml:space="preserve">（6）交接：基金托管人职责终止的，应当妥善保管基金财产和基金托管业务资料，及时办理基金财产和基金托管业务的移交手续，新任基金托管人或者临时基金托管人应当及时接收。临时基金托管人或新任基金托管人应与基金管理人核对基金资产总值和基金资产净值； </w:t>
      </w:r>
    </w:p>
    <w:p w14:paraId="0719F57E"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（7）审计：基金托管人职责终止的，应当按照法律法规规定聘请符合《证券法》规定的会计师事务所对基金财产进行审计，并将审计结果予以公告，同时报中国证监会备案，审计费用从基金财产中列支。</w:t>
      </w:r>
    </w:p>
    <w:p w14:paraId="09EB95E1"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（三）基金管理人与基金托管人同时更换的条件和程序</w:t>
      </w:r>
    </w:p>
    <w:p w14:paraId="2DE18792"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1、提名：如果基金管理人和基金托管人同时更换，由单独或合计持有基金总份额10%以上（含10%）的基金份额持有人提名新的基金管理人和基金托管人；</w:t>
      </w:r>
    </w:p>
    <w:p w14:paraId="401AB3AC"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2、基金管理人和基金托管人的更换分别按上述程序进行；</w:t>
      </w:r>
    </w:p>
    <w:p w14:paraId="5B6B99D6"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3、公告：新任或临时基金管理人和新任或临时基金托管人应在更换基金管理人和基金托管人的基金份额持有人大会决议生效后2日内在规定媒介上联合公告。</w:t>
      </w:r>
    </w:p>
    <w:p w14:paraId="49F9841A"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四）新任或临时基金管理人接收基金管理业务或新任或临时基金托管人接收基金财产和基金托管业务前，原任基金管理人或基金托管人应依据法律法规和《基金合同》的规定继续履行相关职责，并保证不对基金份额持有人的利益造成损害。原任基金管理人或基金托管人在继续履行相关职责期间，仍有权按照基金合同的规定收取基金管理费或基金托管费。</w:t>
      </w:r>
    </w:p>
    <w:p w14:paraId="044DBFBA"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五）本部分关于基金管理人、基金托管人更换条件和程序的约定，凡是直接引用法律法规或监管规则的部分，如将来法律法规或监管规则修改导致相关内容被取消或变更的，基金管理人与基金托管人根据新颁布的法律法规或监管规则协商一致并提前公告后，可直接对相应内容进行修改和调整，无需召开基金份额持有人大会审议。</w:t>
      </w:r>
    </w:p>
    <w:p w14:paraId="35C0F3B9" w14:textId="77777777" w:rsidR="007433DF" w:rsidRDefault="00F50617">
      <w:pPr>
        <w:pStyle w:val="2"/>
        <w:jc w:val="center"/>
        <w:rPr>
          <w:rFonts w:ascii="彩虹粗仿宋" w:eastAsia="彩虹粗仿宋"/>
          <w:sz w:val="30"/>
        </w:rPr>
      </w:pPr>
      <w:bookmarkStart w:id="104" w:name="_Toc124325899"/>
      <w:r>
        <w:rPr>
          <w:rFonts w:ascii="彩虹粗仿宋" w:eastAsia="彩虹粗仿宋" w:hint="eastAsia"/>
          <w:sz w:val="30"/>
        </w:rPr>
        <w:t>十五、禁止行为</w:t>
      </w:r>
      <w:bookmarkEnd w:id="104"/>
    </w:p>
    <w:p w14:paraId="4652E00A" w14:textId="77777777" w:rsidR="007433DF" w:rsidRDefault="00F50617">
      <w:pPr>
        <w:adjustRightInd w:val="0"/>
        <w:snapToGrid w:val="0"/>
        <w:ind w:firstLineChars="200" w:firstLine="480"/>
        <w:rPr>
          <w:rFonts w:ascii="彩虹粗仿宋" w:eastAsia="彩虹粗仿宋"/>
          <w:sz w:val="24"/>
        </w:rPr>
      </w:pPr>
      <w:r>
        <w:rPr>
          <w:rFonts w:ascii="彩虹粗仿宋" w:eastAsia="彩虹粗仿宋" w:hint="eastAsia"/>
          <w:sz w:val="24"/>
        </w:rPr>
        <w:t>本协议当事人禁止从事的行为，包括但不限于：</w:t>
      </w:r>
    </w:p>
    <w:p w14:paraId="7469C5AF" w14:textId="77777777" w:rsidR="007433DF" w:rsidRDefault="00F50617">
      <w:pPr>
        <w:adjustRightInd w:val="0"/>
        <w:snapToGrid w:val="0"/>
        <w:ind w:firstLineChars="200" w:firstLine="480"/>
        <w:rPr>
          <w:rFonts w:ascii="彩虹粗仿宋" w:eastAsia="彩虹粗仿宋"/>
          <w:sz w:val="24"/>
        </w:rPr>
      </w:pPr>
      <w:r>
        <w:rPr>
          <w:rFonts w:ascii="彩虹粗仿宋" w:eastAsia="彩虹粗仿宋" w:hint="eastAsia"/>
          <w:sz w:val="24"/>
        </w:rPr>
        <w:t>（一）基金管理人、基金托管人将其固有财产或者他人财产混同于基金财产从事证券投资。</w:t>
      </w:r>
    </w:p>
    <w:p w14:paraId="18D1B38D" w14:textId="77777777" w:rsidR="007433DF" w:rsidRDefault="00F50617">
      <w:pPr>
        <w:adjustRightInd w:val="0"/>
        <w:snapToGrid w:val="0"/>
        <w:ind w:firstLineChars="200" w:firstLine="480"/>
        <w:rPr>
          <w:rFonts w:ascii="彩虹粗仿宋" w:eastAsia="彩虹粗仿宋"/>
        </w:rPr>
      </w:pPr>
      <w:r>
        <w:rPr>
          <w:rFonts w:ascii="彩虹粗仿宋" w:eastAsia="彩虹粗仿宋" w:hint="eastAsia"/>
          <w:sz w:val="24"/>
        </w:rPr>
        <w:t>（二）基金管理人不公平地对待其管理的不同基金财产，基金托管人不公平地对待其托管的不同基金财产。</w:t>
      </w:r>
    </w:p>
    <w:p w14:paraId="3FE1EE22" w14:textId="77777777" w:rsidR="007433DF" w:rsidRDefault="00F50617">
      <w:pPr>
        <w:adjustRightInd w:val="0"/>
        <w:snapToGrid w:val="0"/>
        <w:ind w:firstLineChars="200" w:firstLine="480"/>
        <w:rPr>
          <w:rFonts w:ascii="彩虹粗仿宋" w:eastAsia="彩虹粗仿宋"/>
          <w:sz w:val="24"/>
        </w:rPr>
      </w:pPr>
      <w:r>
        <w:rPr>
          <w:rFonts w:ascii="彩虹粗仿宋" w:eastAsia="彩虹粗仿宋" w:hint="eastAsia"/>
          <w:sz w:val="24"/>
        </w:rPr>
        <w:t>（三）基金管理人、基金托管人利用基金财产为基金份额持有人以外的第三人牟取利益。</w:t>
      </w:r>
    </w:p>
    <w:p w14:paraId="597953E2" w14:textId="77777777" w:rsidR="007433DF" w:rsidRDefault="00F50617">
      <w:pPr>
        <w:adjustRightInd w:val="0"/>
        <w:snapToGrid w:val="0"/>
        <w:ind w:firstLineChars="200" w:firstLine="480"/>
        <w:rPr>
          <w:rFonts w:ascii="彩虹粗仿宋" w:eastAsia="彩虹粗仿宋"/>
          <w:sz w:val="24"/>
        </w:rPr>
      </w:pPr>
      <w:r>
        <w:rPr>
          <w:rFonts w:ascii="彩虹粗仿宋" w:eastAsia="彩虹粗仿宋" w:hint="eastAsia"/>
          <w:sz w:val="24"/>
        </w:rPr>
        <w:t>（四）基金管理人、基金托管人向基金份额持有人违规承诺收益或者承担损失。</w:t>
      </w:r>
    </w:p>
    <w:p w14:paraId="1E93F486" w14:textId="77777777" w:rsidR="007433DF" w:rsidRDefault="00F50617">
      <w:pPr>
        <w:adjustRightInd w:val="0"/>
        <w:snapToGrid w:val="0"/>
        <w:ind w:firstLineChars="200" w:firstLine="480"/>
        <w:rPr>
          <w:rFonts w:ascii="彩虹粗仿宋" w:eastAsia="彩虹粗仿宋"/>
          <w:sz w:val="24"/>
        </w:rPr>
      </w:pPr>
      <w:r>
        <w:rPr>
          <w:rFonts w:ascii="彩虹粗仿宋" w:eastAsia="彩虹粗仿宋" w:hint="eastAsia"/>
          <w:sz w:val="24"/>
        </w:rPr>
        <w:lastRenderedPageBreak/>
        <w:t>（五）基金管理人、基金托管人对他人泄露基金运作和管理过程中任何尚未按法律法规规定的方式公开披露的信息。</w:t>
      </w:r>
    </w:p>
    <w:p w14:paraId="2D186FFA" w14:textId="77777777" w:rsidR="007433DF" w:rsidRDefault="00F50617">
      <w:pPr>
        <w:adjustRightInd w:val="0"/>
        <w:snapToGrid w:val="0"/>
        <w:ind w:firstLineChars="200" w:firstLine="480"/>
        <w:rPr>
          <w:rFonts w:ascii="彩虹粗仿宋" w:eastAsia="彩虹粗仿宋"/>
          <w:sz w:val="24"/>
        </w:rPr>
      </w:pPr>
      <w:r>
        <w:rPr>
          <w:rFonts w:ascii="彩虹粗仿宋" w:eastAsia="彩虹粗仿宋" w:hint="eastAsia"/>
          <w:sz w:val="24"/>
        </w:rPr>
        <w:t>（六）基金管理人在没有充足资金的情况下向基金托管人发出投资指令和赎回、分红资金的划拨指令，或违规向基金托管人发出指令。</w:t>
      </w:r>
    </w:p>
    <w:p w14:paraId="1D8CA59C" w14:textId="77777777" w:rsidR="007433DF" w:rsidRDefault="00F50617">
      <w:pPr>
        <w:adjustRightInd w:val="0"/>
        <w:snapToGrid w:val="0"/>
        <w:ind w:firstLineChars="200" w:firstLine="480"/>
        <w:rPr>
          <w:rFonts w:ascii="彩虹粗仿宋" w:eastAsia="彩虹粗仿宋"/>
          <w:sz w:val="24"/>
        </w:rPr>
      </w:pPr>
      <w:r>
        <w:rPr>
          <w:rFonts w:ascii="彩虹粗仿宋" w:eastAsia="彩虹粗仿宋" w:hint="eastAsia"/>
          <w:sz w:val="24"/>
        </w:rPr>
        <w:t>（七）基金管理人、基金托管人在行政上、财务上不独立, 其高级管理人员和其他从业人员相互兼职。</w:t>
      </w:r>
    </w:p>
    <w:p w14:paraId="37BA18B4" w14:textId="77777777" w:rsidR="007433DF" w:rsidRDefault="00F50617">
      <w:pPr>
        <w:adjustRightInd w:val="0"/>
        <w:snapToGrid w:val="0"/>
        <w:ind w:firstLineChars="200" w:firstLine="480"/>
        <w:rPr>
          <w:rFonts w:ascii="彩虹粗仿宋" w:eastAsia="彩虹粗仿宋"/>
          <w:sz w:val="24"/>
        </w:rPr>
      </w:pPr>
      <w:r>
        <w:rPr>
          <w:rFonts w:ascii="彩虹粗仿宋" w:eastAsia="彩虹粗仿宋" w:hint="eastAsia"/>
          <w:sz w:val="24"/>
        </w:rPr>
        <w:t>（八）基金托管人私自动用或处分基金财产，根据基金管理人的合法指令、《基金合同》或托管协议的规定进行处分的除外。</w:t>
      </w:r>
    </w:p>
    <w:p w14:paraId="795292B8" w14:textId="77777777" w:rsidR="007433DF" w:rsidRDefault="00F50617">
      <w:pPr>
        <w:adjustRightInd w:val="0"/>
        <w:snapToGrid w:val="0"/>
        <w:ind w:firstLineChars="200" w:firstLine="480"/>
        <w:rPr>
          <w:rFonts w:ascii="彩虹粗仿宋" w:eastAsia="彩虹粗仿宋"/>
          <w:sz w:val="24"/>
        </w:rPr>
      </w:pPr>
      <w:r>
        <w:rPr>
          <w:rFonts w:ascii="彩虹粗仿宋" w:eastAsia="彩虹粗仿宋" w:hint="eastAsia"/>
          <w:sz w:val="24"/>
        </w:rPr>
        <w:t>（九）基金财产用于下列投资或者活动：1.承销证券；2.违反规定向他人贷款或者提供担保；3.从事承担无限责任的投资；4.向其基金管理人、基金托管人出资；</w:t>
      </w:r>
      <w:r>
        <w:rPr>
          <w:rFonts w:ascii="彩虹粗仿宋" w:eastAsia="彩虹粗仿宋"/>
          <w:sz w:val="24"/>
        </w:rPr>
        <w:t>5</w:t>
      </w:r>
      <w:r>
        <w:rPr>
          <w:rFonts w:ascii="彩虹粗仿宋" w:eastAsia="彩虹粗仿宋" w:hint="eastAsia"/>
          <w:sz w:val="24"/>
        </w:rPr>
        <w:t>.从事内幕交易、操纵证券交易价格及其他不正当的证券交易活动；6</w:t>
      </w:r>
      <w:r>
        <w:rPr>
          <w:rFonts w:ascii="彩虹粗仿宋" w:eastAsia="彩虹粗仿宋"/>
          <w:sz w:val="24"/>
        </w:rPr>
        <w:t>.</w:t>
      </w:r>
      <w:r>
        <w:rPr>
          <w:rFonts w:ascii="彩虹粗仿宋" w:eastAsia="彩虹粗仿宋" w:hint="eastAsia"/>
          <w:sz w:val="24"/>
        </w:rPr>
        <w:t>持有具有复杂、衍生品性质的基金份额，包括分级基金和中国证监会认定的其他基金份额；</w:t>
      </w:r>
      <w:r>
        <w:rPr>
          <w:rFonts w:ascii="彩虹粗仿宋" w:eastAsia="彩虹粗仿宋"/>
          <w:sz w:val="24"/>
        </w:rPr>
        <w:t>7</w:t>
      </w:r>
      <w:r>
        <w:rPr>
          <w:rFonts w:ascii="彩虹粗仿宋" w:eastAsia="彩虹粗仿宋" w:hint="eastAsia"/>
          <w:sz w:val="24"/>
        </w:rPr>
        <w:t>.依照法律、行政法规有关规定，由中国证监会规定禁止的其他活动。法律法规或监管部门取消</w:t>
      </w:r>
      <w:r>
        <w:rPr>
          <w:rFonts w:ascii="彩虹粗仿宋" w:eastAsia="彩虹粗仿宋" w:hint="eastAsia"/>
          <w:bCs/>
          <w:sz w:val="24"/>
        </w:rPr>
        <w:t>或变更</w:t>
      </w:r>
      <w:r>
        <w:rPr>
          <w:rFonts w:ascii="彩虹粗仿宋" w:eastAsia="彩虹粗仿宋" w:hint="eastAsia"/>
          <w:sz w:val="24"/>
        </w:rPr>
        <w:t>上述限制，如适用于本基金，基金管理人在履行适当程序后，则本基金投资不再受相关限制</w:t>
      </w:r>
      <w:r>
        <w:rPr>
          <w:rFonts w:ascii="彩虹粗仿宋" w:eastAsia="彩虹粗仿宋" w:hint="eastAsia"/>
          <w:bCs/>
          <w:sz w:val="24"/>
        </w:rPr>
        <w:t>或按变更后的规定执行</w:t>
      </w:r>
      <w:r>
        <w:rPr>
          <w:rFonts w:ascii="彩虹粗仿宋" w:eastAsia="彩虹粗仿宋" w:hint="eastAsia"/>
          <w:sz w:val="24"/>
        </w:rPr>
        <w:t>。</w:t>
      </w:r>
    </w:p>
    <w:p w14:paraId="6FD39B2C" w14:textId="77777777" w:rsidR="007433DF" w:rsidRDefault="00F50617">
      <w:pPr>
        <w:adjustRightInd w:val="0"/>
        <w:snapToGrid w:val="0"/>
        <w:ind w:firstLineChars="200" w:firstLine="480"/>
        <w:rPr>
          <w:rFonts w:ascii="彩虹粗仿宋" w:eastAsia="彩虹粗仿宋"/>
          <w:sz w:val="24"/>
        </w:rPr>
      </w:pPr>
      <w:r>
        <w:rPr>
          <w:rFonts w:ascii="彩虹粗仿宋" w:eastAsia="彩虹粗仿宋" w:hint="eastAsia"/>
          <w:sz w:val="24"/>
        </w:rPr>
        <w:t>（十）法律法规和《基金合同》禁止的其他行为，以及依照法律、行政法规有关规定，由中国证监会规定禁止基金管理人、基金托管人从事的其他行为。</w:t>
      </w:r>
    </w:p>
    <w:p w14:paraId="23F4CA6B" w14:textId="77777777" w:rsidR="007433DF" w:rsidRDefault="007433DF">
      <w:pPr>
        <w:adjustRightInd w:val="0"/>
        <w:snapToGrid w:val="0"/>
        <w:rPr>
          <w:rFonts w:ascii="彩虹粗仿宋" w:eastAsia="彩虹粗仿宋"/>
          <w:sz w:val="30"/>
          <w:szCs w:val="30"/>
        </w:rPr>
      </w:pPr>
    </w:p>
    <w:p w14:paraId="01061FD9" w14:textId="77777777" w:rsidR="007433DF" w:rsidRDefault="00F50617">
      <w:pPr>
        <w:pStyle w:val="2"/>
        <w:jc w:val="center"/>
        <w:rPr>
          <w:rFonts w:ascii="彩虹粗仿宋" w:eastAsia="彩虹粗仿宋"/>
          <w:sz w:val="30"/>
        </w:rPr>
      </w:pPr>
      <w:bookmarkStart w:id="105" w:name="_Toc124325900"/>
      <w:bookmarkStart w:id="106" w:name="_Hlk193011875"/>
      <w:r>
        <w:rPr>
          <w:rFonts w:ascii="彩虹粗仿宋" w:eastAsia="彩虹粗仿宋" w:hint="eastAsia"/>
          <w:sz w:val="30"/>
        </w:rPr>
        <w:t>十六、托管协议的变更、终止与基金财产的清算</w:t>
      </w:r>
      <w:bookmarkEnd w:id="105"/>
    </w:p>
    <w:p w14:paraId="63008B6A"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（一）托管协议的变更程序</w:t>
      </w:r>
    </w:p>
    <w:p w14:paraId="26F15B92" w14:textId="77777777" w:rsidR="007433DF" w:rsidRDefault="00F50617">
      <w:pPr>
        <w:adjustRightInd w:val="0"/>
        <w:snapToGrid w:val="0"/>
        <w:ind w:firstLineChars="200" w:firstLine="480"/>
        <w:rPr>
          <w:rFonts w:ascii="彩虹粗仿宋" w:eastAsia="彩虹粗仿宋"/>
          <w:sz w:val="30"/>
          <w:szCs w:val="30"/>
        </w:rPr>
      </w:pPr>
      <w:r>
        <w:rPr>
          <w:rFonts w:ascii="彩虹粗仿宋" w:eastAsia="彩虹粗仿宋" w:hAnsi="宋体" w:cs="Arial" w:hint="eastAsia"/>
          <w:sz w:val="24"/>
        </w:rPr>
        <w:t>本协议双方当事人经协商一致，可以对协议进行修改。修改后的新协议，其内容不得与《基金合同》的规定有任何冲突。</w:t>
      </w:r>
    </w:p>
    <w:p w14:paraId="1452AADC"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（二）基金托管协议终止的情形</w:t>
      </w:r>
    </w:p>
    <w:p w14:paraId="427183F4"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1.《基金合同》终止；</w:t>
      </w:r>
    </w:p>
    <w:p w14:paraId="17DFECCD"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2.基金托管人解散、依法被撤销、破产或由其他基金托管人接管基金资产；</w:t>
      </w:r>
    </w:p>
    <w:p w14:paraId="048C410E"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3.基金管理人解散、依法被撤销、破产或由其他基金管理人接管基金管理业务；</w:t>
      </w:r>
    </w:p>
    <w:p w14:paraId="13A85BA1"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4.发生法律法规、中国证监会或《基金合同》规定的终止事项。</w:t>
      </w:r>
    </w:p>
    <w:p w14:paraId="3CCFE30A"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（三）基金财产的清算</w:t>
      </w:r>
    </w:p>
    <w:p w14:paraId="0E45CF47"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1、基金财产清算小组：自出现《基金合同》终止事由之日起30个工作日内成立基金财产清算小组，基金管理人组织基金财产清算小组并在中国证监会的监督下进行基金清算。</w:t>
      </w:r>
    </w:p>
    <w:p w14:paraId="272D85B3"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2、基金财产清算小组组成：基金财产清算小组成员由基金管理人、基金托管人、符合《证券法》规定的注册会计师、律师以及中国证监会指定的人员组成。</w:t>
      </w:r>
      <w:r>
        <w:rPr>
          <w:rFonts w:ascii="彩虹粗仿宋" w:eastAsia="彩虹粗仿宋" w:hAnsi="宋体" w:cs="Arial" w:hint="eastAsia"/>
          <w:sz w:val="24"/>
        </w:rPr>
        <w:lastRenderedPageBreak/>
        <w:t>基金财产清算小组可以聘用必要的工作人员。</w:t>
      </w:r>
    </w:p>
    <w:p w14:paraId="186EF2A1"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3、基金财产清算小组职责：基金财产清算小组负责基金财产的保管、清理、估价、变现和分配。基金财产清算小组可以依法进行必要的民事活动。</w:t>
      </w:r>
    </w:p>
    <w:p w14:paraId="735ED2B7"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4、基金财产清算程序：</w:t>
      </w:r>
    </w:p>
    <w:p w14:paraId="17C6BA95"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（1）《基金合同》终止情形出现时，由基金财产清算小组统一接管基金财产；</w:t>
      </w:r>
    </w:p>
    <w:p w14:paraId="3DF0A299"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（2）对基金财产和债权债务进行清理和确认；</w:t>
      </w:r>
    </w:p>
    <w:p w14:paraId="539A9176"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（3）对基金财产进行估值和变现；</w:t>
      </w:r>
    </w:p>
    <w:p w14:paraId="6BCB3973"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（4）制作清算报告；</w:t>
      </w:r>
    </w:p>
    <w:p w14:paraId="6E67EBF5"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（5）聘请符合《证券法》规定的会计师事务所对清算报告进行外部审计，聘请律师事务所对清算报告出具法律意见书；</w:t>
      </w:r>
    </w:p>
    <w:p w14:paraId="23D40786"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（6）将清算报告报中国证监会备案并公告；</w:t>
      </w:r>
    </w:p>
    <w:p w14:paraId="18315A5A"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（7）对基金剩余财产进行分配。</w:t>
      </w:r>
    </w:p>
    <w:p w14:paraId="3863EACA"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5、基金财产清算的期限为6个月，但因本基金所持证券的流动性受到限制而不能及时变现的，清算期限相应顺延。</w:t>
      </w:r>
    </w:p>
    <w:p w14:paraId="6C3314C8"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基金管理人与基金托管人协商一致或基金财产清算小组认为有对基金份额持有人更为有利的清算方法，本基金财产的清算可按该方法进行，并及时公告，不需召开基金份额持有人大会。相关法律法规或监管部门另有规定的，按相关法律法规或监管部门的要求办理。</w:t>
      </w:r>
    </w:p>
    <w:p w14:paraId="7EB12ED8"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7、清算费用</w:t>
      </w:r>
    </w:p>
    <w:p w14:paraId="6E5F0DC6"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清算费用是指基金财产清算小组在进行基金清算过程中发生的所有合理费用，清算费用由基金财产清算小组优先从基金财产中支付。</w:t>
      </w:r>
    </w:p>
    <w:p w14:paraId="4FA06821"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8</w:t>
      </w:r>
      <w:r>
        <w:rPr>
          <w:rFonts w:ascii="彩虹粗仿宋" w:eastAsia="彩虹粗仿宋" w:hAnsi="宋体" w:cs="Arial" w:hint="eastAsia"/>
          <w:sz w:val="24"/>
        </w:rPr>
        <w:t>、基金财产清算剩余资产的分配</w:t>
      </w:r>
    </w:p>
    <w:p w14:paraId="57C795ED" w14:textId="328BB87D"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依据基金财产清算的分配方案，将基金财产清算后的全部剩余资产扣除基金财产清算费用、交纳所欠税款并清偿基金债务后，按各类基金份额在基金合同终止事由发生时各自基金份额资产净值的比例确定剩余财产在各类基金份额中的分配比例，并在各类基金份额可分配的剩余财产范围内按各份额类别内基金份额持有人持有的基金份额比例进行分配。</w:t>
      </w:r>
    </w:p>
    <w:p w14:paraId="35316D2D" w14:textId="0F3F7513" w:rsidR="00712CCC" w:rsidRDefault="00712CCC">
      <w:pPr>
        <w:adjustRightInd w:val="0"/>
        <w:snapToGrid w:val="0"/>
        <w:ind w:firstLineChars="200" w:firstLine="480"/>
        <w:rPr>
          <w:rFonts w:ascii="彩虹粗仿宋" w:eastAsia="彩虹粗仿宋" w:hAnsi="宋体" w:cs="Arial"/>
          <w:sz w:val="24"/>
        </w:rPr>
      </w:pPr>
      <w:r w:rsidRPr="00712CCC">
        <w:rPr>
          <w:rFonts w:ascii="彩虹粗仿宋" w:eastAsia="彩虹粗仿宋" w:hAnsi="宋体" w:cs="Arial" w:hint="eastAsia"/>
          <w:sz w:val="24"/>
        </w:rPr>
        <w:t>其中，对于投资者通过直销机构认购/申购的C类基金份额计提的销售服务费，或者通过其他销售机构认购/申购且持续持有期限超过一年的C类基金份额继续计提的销售服务费，都将在基金合同终止时随剩余资产分配款项一并返还给投资者。</w:t>
      </w:r>
    </w:p>
    <w:p w14:paraId="1ECF7A12"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9</w:t>
      </w:r>
      <w:r>
        <w:rPr>
          <w:rFonts w:ascii="彩虹粗仿宋" w:eastAsia="彩虹粗仿宋" w:hAnsi="宋体" w:cs="Arial" w:hint="eastAsia"/>
          <w:sz w:val="24"/>
        </w:rPr>
        <w:t>、基金财产清算的公告</w:t>
      </w:r>
    </w:p>
    <w:p w14:paraId="188AB745"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w:t>
      </w:r>
      <w:r>
        <w:rPr>
          <w:rFonts w:ascii="彩虹粗仿宋" w:eastAsia="彩虹粗仿宋" w:hAnsi="宋体" w:cs="Arial" w:hint="eastAsia"/>
          <w:sz w:val="24"/>
        </w:rPr>
        <w:lastRenderedPageBreak/>
        <w:t>站上，并将清算报告提示性公告登载在规定报刊上。</w:t>
      </w:r>
    </w:p>
    <w:p w14:paraId="1CA5846C"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10</w:t>
      </w:r>
      <w:r>
        <w:rPr>
          <w:rFonts w:ascii="彩虹粗仿宋" w:eastAsia="彩虹粗仿宋" w:hAnsi="宋体" w:cs="Arial" w:hint="eastAsia"/>
          <w:sz w:val="24"/>
        </w:rPr>
        <w:t>、基金财产清算账册及文件的保存</w:t>
      </w:r>
    </w:p>
    <w:p w14:paraId="14D5D91C"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基金财产清算账册及有关文件由基金托管人保存不少于法律法规规定的最低年限。</w:t>
      </w:r>
    </w:p>
    <w:p w14:paraId="6AF6D1A6" w14:textId="77777777" w:rsidR="007433DF" w:rsidRDefault="007433DF">
      <w:pPr>
        <w:adjustRightInd w:val="0"/>
        <w:snapToGrid w:val="0"/>
        <w:rPr>
          <w:rFonts w:ascii="彩虹粗仿宋" w:eastAsia="彩虹粗仿宋" w:hAnsi="宋体" w:cs="Arial"/>
          <w:sz w:val="24"/>
        </w:rPr>
      </w:pPr>
    </w:p>
    <w:p w14:paraId="19D5BC47" w14:textId="77777777" w:rsidR="007433DF" w:rsidRDefault="00F50617">
      <w:pPr>
        <w:pStyle w:val="2"/>
        <w:jc w:val="center"/>
        <w:rPr>
          <w:rFonts w:ascii="彩虹粗仿宋" w:eastAsia="彩虹粗仿宋"/>
          <w:sz w:val="30"/>
        </w:rPr>
      </w:pPr>
      <w:bookmarkStart w:id="107" w:name="_Toc124325901"/>
      <w:bookmarkEnd w:id="106"/>
      <w:r>
        <w:rPr>
          <w:rFonts w:ascii="彩虹粗仿宋" w:eastAsia="彩虹粗仿宋" w:hint="eastAsia"/>
          <w:sz w:val="30"/>
        </w:rPr>
        <w:t>十七、违约责任</w:t>
      </w:r>
      <w:bookmarkEnd w:id="107"/>
    </w:p>
    <w:p w14:paraId="37A4A3B8" w14:textId="77777777" w:rsidR="007433DF" w:rsidRDefault="00F50617">
      <w:pPr>
        <w:adjustRightInd w:val="0"/>
        <w:snapToGrid w:val="0"/>
        <w:ind w:firstLineChars="200" w:firstLine="480"/>
        <w:outlineLvl w:val="0"/>
        <w:rPr>
          <w:rFonts w:ascii="彩虹粗仿宋" w:eastAsia="彩虹粗仿宋" w:hAnsi="宋体" w:cs="Arial"/>
          <w:sz w:val="24"/>
        </w:rPr>
      </w:pPr>
      <w:bookmarkStart w:id="108" w:name="_Hlk193011889"/>
      <w:r>
        <w:rPr>
          <w:rFonts w:ascii="彩虹粗仿宋" w:eastAsia="彩虹粗仿宋" w:hAnsi="宋体" w:cs="Arial" w:hint="eastAsia"/>
          <w:sz w:val="24"/>
        </w:rPr>
        <w:t>（一）基金管理人、基金托管人不履行本协议或履行本协议不符合约定的，应当承担违约责任。</w:t>
      </w:r>
    </w:p>
    <w:p w14:paraId="42299EF6" w14:textId="77777777" w:rsidR="007433DF" w:rsidRDefault="00F50617">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二）基金管理人、基金托管人在履行各自职责的过程中，违反《基金法》等法律法规的规定或者《基金合同》和本托管协议约定，给基金财产或者基金份额持有人造成损害的，应当分别对各自的行为依法承担赔偿责任；因共同行为给基金财产或者基金份额持有人造成损害的，应当承担连带赔偿责任，对损失的赔偿，仅限于直接损失。</w:t>
      </w:r>
    </w:p>
    <w:p w14:paraId="51C42A65" w14:textId="77777777" w:rsidR="007433DF" w:rsidRDefault="00F50617">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14:paraId="6D9B3529"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1.不可抗力；</w:t>
      </w:r>
    </w:p>
    <w:p w14:paraId="7653693E"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2.基金管理人、基金托管人按照当时有效的法律法规或中国证监会的规定作为或不作为而造成的损失等；</w:t>
      </w:r>
    </w:p>
    <w:p w14:paraId="78F95965"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3.在没有过错的情况下，基金管理人由于按照《基金合同》规定的投资原则行使或不行使其投资权而造成的损失等。</w:t>
      </w:r>
    </w:p>
    <w:p w14:paraId="10E76ADC"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w:t>
      </w:r>
      <w:r>
        <w:rPr>
          <w:rFonts w:ascii="彩虹粗仿宋" w:eastAsia="彩虹粗仿宋" w:hAnsi="宋体" w:cs="Arial"/>
          <w:sz w:val="24"/>
        </w:rPr>
        <w:t>.</w:t>
      </w:r>
      <w:r>
        <w:rPr>
          <w:rFonts w:hint="eastAsia"/>
        </w:rPr>
        <w:t xml:space="preserve"> </w:t>
      </w:r>
      <w:r>
        <w:rPr>
          <w:rFonts w:ascii="彩虹粗仿宋" w:eastAsia="彩虹粗仿宋" w:hAnsi="宋体" w:cs="Arial" w:hint="eastAsia"/>
          <w:sz w:val="24"/>
        </w:rPr>
        <w:t>非因基金管理人、基金托管人的故意或重大过失造成的计算机系统故障、网络故障、通讯故障、电力故障、计算机病毒攻击及其它意外事故所导致的损失等。</w:t>
      </w:r>
    </w:p>
    <w:p w14:paraId="18FB3472"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14:paraId="7817A791" w14:textId="77777777" w:rsidR="007433DF" w:rsidRDefault="00F50617">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14:paraId="3E8461AF" w14:textId="77777777" w:rsidR="007433DF" w:rsidRDefault="00F50617">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w:t>
      </w:r>
      <w:bookmarkStart w:id="109" w:name="_Hlk63238867"/>
      <w:r>
        <w:rPr>
          <w:rFonts w:ascii="彩虹粗仿宋" w:eastAsia="彩虹粗仿宋" w:hAnsi="宋体" w:cs="Arial" w:hint="eastAsia"/>
          <w:bCs/>
          <w:sz w:val="24"/>
        </w:rPr>
        <w:t>或因前述原因未能避免或更正错误</w:t>
      </w:r>
      <w:bookmarkEnd w:id="109"/>
      <w:r>
        <w:rPr>
          <w:rFonts w:ascii="彩虹粗仿宋" w:eastAsia="彩虹粗仿宋" w:hAnsi="宋体" w:cs="Arial" w:hint="eastAsia"/>
          <w:sz w:val="24"/>
        </w:rPr>
        <w:t>的，由此造成基金财产或投资人损失，基金管理人和基金托管人免除赔偿责任。但是基金管理人和基金托管人应积</w:t>
      </w:r>
      <w:r>
        <w:rPr>
          <w:rFonts w:ascii="彩虹粗仿宋" w:eastAsia="彩虹粗仿宋" w:hAnsi="宋体" w:cs="Arial" w:hint="eastAsia"/>
          <w:sz w:val="24"/>
        </w:rPr>
        <w:lastRenderedPageBreak/>
        <w:t>极采取必要的措施消除或减轻由此造成的影响。</w:t>
      </w:r>
    </w:p>
    <w:bookmarkEnd w:id="108"/>
    <w:p w14:paraId="77A441B9" w14:textId="77777777" w:rsidR="007433DF" w:rsidRDefault="007433DF"/>
    <w:p w14:paraId="737A5D86" w14:textId="77777777" w:rsidR="007433DF" w:rsidRDefault="00F50617">
      <w:pPr>
        <w:pStyle w:val="2"/>
        <w:jc w:val="center"/>
        <w:rPr>
          <w:rFonts w:ascii="彩虹粗仿宋" w:eastAsia="彩虹粗仿宋"/>
          <w:sz w:val="30"/>
        </w:rPr>
      </w:pPr>
      <w:bookmarkStart w:id="110" w:name="_Toc124325902"/>
      <w:r>
        <w:rPr>
          <w:rFonts w:ascii="彩虹粗仿宋" w:eastAsia="彩虹粗仿宋" w:hint="eastAsia"/>
          <w:sz w:val="30"/>
        </w:rPr>
        <w:t>十八、争议解决方式</w:t>
      </w:r>
      <w:bookmarkEnd w:id="110"/>
    </w:p>
    <w:p w14:paraId="3862DFAE"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因本协议产生或与之相关的争议，双方当事人应通过协商解决，如经友好协商未能解决的，任何一方均有权将争议提交中国国际经济贸易仲裁委员会，按照中国国际经济贸易仲裁委员会届时有效的仲裁规则进行仲裁。仲裁地点为北京市。仲裁裁决是终局的，对各方当事人均有约束力。除非仲裁裁决另有规定，仲裁费由败诉方承担。</w:t>
      </w:r>
    </w:p>
    <w:p w14:paraId="442BF5BF"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14:paraId="657F6A90"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本协议受中国法律（为托管协议之目的，不含港澳台地区法律）管辖并从其解释。</w:t>
      </w:r>
    </w:p>
    <w:p w14:paraId="64280FC5" w14:textId="77777777" w:rsidR="007433DF" w:rsidRDefault="007433DF">
      <w:pPr>
        <w:adjustRightInd w:val="0"/>
        <w:snapToGrid w:val="0"/>
        <w:rPr>
          <w:rFonts w:ascii="彩虹粗仿宋" w:eastAsia="彩虹粗仿宋" w:hAnsi="宋体" w:cs="Arial"/>
          <w:sz w:val="24"/>
        </w:rPr>
      </w:pPr>
    </w:p>
    <w:p w14:paraId="6FF1E343" w14:textId="77777777" w:rsidR="007433DF" w:rsidRDefault="00F50617">
      <w:pPr>
        <w:pStyle w:val="2"/>
        <w:jc w:val="center"/>
        <w:rPr>
          <w:rFonts w:ascii="彩虹粗仿宋" w:eastAsia="彩虹粗仿宋"/>
          <w:sz w:val="30"/>
        </w:rPr>
      </w:pPr>
      <w:bookmarkStart w:id="111" w:name="_Toc124325903"/>
      <w:r>
        <w:rPr>
          <w:rFonts w:ascii="彩虹粗仿宋" w:eastAsia="彩虹粗仿宋" w:hint="eastAsia"/>
          <w:sz w:val="30"/>
        </w:rPr>
        <w:t>十九、托管协议的效力</w:t>
      </w:r>
      <w:bookmarkEnd w:id="111"/>
    </w:p>
    <w:p w14:paraId="2DA8745B"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双方对托管协议的效力约定如下：</w:t>
      </w:r>
    </w:p>
    <w:p w14:paraId="32849A01"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管理人在向中国证监会申请基金募集注册时提交的托管协议草案，应经托管协议当事人双方盖章以及双方法定代表人或授权代表签章，协议当事人双方根据中国证监会的意见修改托管协议草案。托管协议以中国证监会</w:t>
      </w:r>
      <w:r>
        <w:rPr>
          <w:rFonts w:ascii="彩虹粗仿宋" w:eastAsia="彩虹粗仿宋" w:hAnsi="宋体" w:cs="Arial"/>
          <w:sz w:val="24"/>
        </w:rPr>
        <w:t>注册</w:t>
      </w:r>
      <w:r>
        <w:rPr>
          <w:rFonts w:ascii="彩虹粗仿宋" w:eastAsia="彩虹粗仿宋" w:hAnsi="宋体" w:cs="Arial" w:hint="eastAsia"/>
          <w:sz w:val="24"/>
        </w:rPr>
        <w:t>的文本为正式文本。</w:t>
      </w:r>
    </w:p>
    <w:p w14:paraId="2414F520"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p>
    <w:p w14:paraId="530CA185"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（三）托管协议自生效之日起对托管协议当事人具有同等的法律约束力。</w:t>
      </w:r>
    </w:p>
    <w:p w14:paraId="269D3D71" w14:textId="77777777" w:rsidR="007433DF" w:rsidRDefault="00F50617">
      <w:pPr>
        <w:adjustRightInd w:val="0"/>
        <w:snapToGrid w:val="0"/>
        <w:ind w:firstLineChars="200" w:firstLine="480"/>
        <w:rPr>
          <w:rFonts w:ascii="彩虹粗仿宋" w:eastAsia="彩虹粗仿宋"/>
          <w:sz w:val="30"/>
          <w:szCs w:val="30"/>
        </w:rPr>
      </w:pPr>
      <w:r>
        <w:rPr>
          <w:rFonts w:ascii="彩虹粗仿宋" w:eastAsia="彩虹粗仿宋" w:hAnsi="宋体" w:cs="Arial" w:hint="eastAsia"/>
          <w:sz w:val="24"/>
        </w:rPr>
        <w:t>（四）本协议一式三份，协议双方各持一份，上报监管机构一份，每份具有同等的法律效力。</w:t>
      </w:r>
    </w:p>
    <w:p w14:paraId="794ACE85" w14:textId="77777777" w:rsidR="007433DF" w:rsidRDefault="007433DF">
      <w:pPr>
        <w:adjustRightInd w:val="0"/>
        <w:snapToGrid w:val="0"/>
        <w:rPr>
          <w:rFonts w:ascii="彩虹粗仿宋" w:eastAsia="彩虹粗仿宋" w:hAnsi="宋体" w:cs="Arial"/>
          <w:sz w:val="24"/>
        </w:rPr>
      </w:pPr>
    </w:p>
    <w:p w14:paraId="45E1C68B" w14:textId="77777777" w:rsidR="007433DF" w:rsidRDefault="00F50617">
      <w:pPr>
        <w:pStyle w:val="2"/>
        <w:jc w:val="center"/>
        <w:rPr>
          <w:rFonts w:ascii="彩虹粗仿宋" w:eastAsia="彩虹粗仿宋"/>
          <w:sz w:val="30"/>
        </w:rPr>
      </w:pPr>
      <w:bookmarkStart w:id="112" w:name="_Toc124325904"/>
      <w:r>
        <w:rPr>
          <w:rFonts w:ascii="彩虹粗仿宋" w:eastAsia="彩虹粗仿宋" w:hint="eastAsia"/>
          <w:sz w:val="30"/>
        </w:rPr>
        <w:t>二十、其他事项</w:t>
      </w:r>
      <w:bookmarkEnd w:id="112"/>
    </w:p>
    <w:p w14:paraId="018A90A7"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如发生有权司法机关依法冻结基金份额持有人的基金份额时，基金管理人应</w:t>
      </w:r>
      <w:r>
        <w:rPr>
          <w:rFonts w:ascii="彩虹粗仿宋" w:eastAsia="彩虹粗仿宋" w:hAnsi="宋体" w:cs="Arial" w:hint="eastAsia"/>
          <w:sz w:val="24"/>
        </w:rPr>
        <w:lastRenderedPageBreak/>
        <w:t>予以配合，承担司法协助义务。</w:t>
      </w:r>
    </w:p>
    <w:p w14:paraId="3BDBF517"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14:paraId="00564376" w14:textId="77777777" w:rsidR="007433DF" w:rsidRDefault="007433DF">
      <w:pPr>
        <w:adjustRightInd w:val="0"/>
        <w:snapToGrid w:val="0"/>
        <w:rPr>
          <w:rFonts w:ascii="彩虹粗仿宋" w:eastAsia="彩虹粗仿宋"/>
          <w:b/>
          <w:bCs/>
        </w:rPr>
      </w:pPr>
    </w:p>
    <w:p w14:paraId="0866A51E" w14:textId="77777777" w:rsidR="007433DF" w:rsidRDefault="00F50617">
      <w:pPr>
        <w:pStyle w:val="2"/>
        <w:jc w:val="center"/>
        <w:rPr>
          <w:rFonts w:ascii="彩虹粗仿宋" w:eastAsia="彩虹粗仿宋"/>
          <w:sz w:val="30"/>
        </w:rPr>
      </w:pPr>
      <w:bookmarkStart w:id="113" w:name="_Toc124325905"/>
      <w:r>
        <w:rPr>
          <w:rFonts w:ascii="彩虹粗仿宋" w:eastAsia="彩虹粗仿宋" w:hint="eastAsia"/>
          <w:sz w:val="30"/>
        </w:rPr>
        <w:t>二十一、托管协议的签订</w:t>
      </w:r>
      <w:bookmarkEnd w:id="113"/>
    </w:p>
    <w:p w14:paraId="64D9198F" w14:textId="77777777" w:rsidR="007433DF" w:rsidRDefault="00F506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本协议双方及其法定代表人或授权代表签章、签订地、签订日。</w:t>
      </w:r>
    </w:p>
    <w:p w14:paraId="77B66ADD" w14:textId="77777777" w:rsidR="007433DF" w:rsidRDefault="00F50617">
      <w:pPr>
        <w:widowControl/>
        <w:jc w:val="left"/>
        <w:rPr>
          <w:rFonts w:ascii="彩虹粗仿宋" w:eastAsia="彩虹粗仿宋" w:hAnsi="宋体" w:cs="Arial"/>
          <w:sz w:val="24"/>
        </w:rPr>
      </w:pPr>
      <w:r>
        <w:rPr>
          <w:rFonts w:ascii="彩虹粗仿宋" w:eastAsia="彩虹粗仿宋" w:hAnsi="宋体" w:cs="Arial"/>
          <w:sz w:val="24"/>
        </w:rPr>
        <w:br w:type="page"/>
      </w:r>
    </w:p>
    <w:p w14:paraId="2C2E8EBB" w14:textId="77777777" w:rsidR="007433DF" w:rsidRDefault="00F50617">
      <w:pPr>
        <w:pStyle w:val="Style6"/>
        <w:spacing w:line="360" w:lineRule="auto"/>
        <w:ind w:firstLineChars="0" w:firstLine="0"/>
        <w:rPr>
          <w:rFonts w:ascii="宋体" w:eastAsia="宋体"/>
          <w:sz w:val="21"/>
        </w:rPr>
      </w:pPr>
      <w:r>
        <w:rPr>
          <w:rFonts w:ascii="宋体" w:eastAsia="宋体" w:hint="eastAsia"/>
          <w:sz w:val="21"/>
        </w:rPr>
        <w:lastRenderedPageBreak/>
        <w:t>（</w:t>
      </w:r>
      <w:r>
        <w:rPr>
          <w:rFonts w:ascii="宋体" w:eastAsia="宋体"/>
          <w:sz w:val="21"/>
        </w:rPr>
        <w:t>本页无正文</w:t>
      </w:r>
      <w:r>
        <w:rPr>
          <w:rFonts w:ascii="宋体" w:eastAsia="宋体" w:hint="eastAsia"/>
          <w:sz w:val="21"/>
        </w:rPr>
        <w:t>，为《南方稳嘉多元配置3个月持有期混合型基金中基金（FOF）托管协议》签字页</w:t>
      </w:r>
      <w:r>
        <w:rPr>
          <w:rFonts w:ascii="宋体" w:eastAsia="宋体"/>
          <w:sz w:val="21"/>
        </w:rPr>
        <w:t>）</w:t>
      </w:r>
    </w:p>
    <w:p w14:paraId="11266BE3" w14:textId="77777777" w:rsidR="007433DF" w:rsidRDefault="007433DF">
      <w:pPr>
        <w:snapToGrid w:val="0"/>
        <w:spacing w:line="360" w:lineRule="auto"/>
        <w:rPr>
          <w:rFonts w:ascii="宋体" w:hAnsi="宋体"/>
        </w:rPr>
      </w:pPr>
    </w:p>
    <w:p w14:paraId="0A058FAD" w14:textId="77777777" w:rsidR="007433DF" w:rsidRDefault="007433DF">
      <w:pPr>
        <w:snapToGrid w:val="0"/>
        <w:spacing w:line="360" w:lineRule="auto"/>
        <w:rPr>
          <w:rFonts w:ascii="宋体" w:hAnsi="宋体"/>
        </w:rPr>
      </w:pPr>
    </w:p>
    <w:p w14:paraId="126599C5" w14:textId="77777777" w:rsidR="007433DF" w:rsidRDefault="007433DF">
      <w:pPr>
        <w:snapToGrid w:val="0"/>
        <w:spacing w:line="360" w:lineRule="auto"/>
        <w:rPr>
          <w:rFonts w:ascii="宋体" w:hAnsi="宋体"/>
        </w:rPr>
      </w:pPr>
    </w:p>
    <w:p w14:paraId="5EC8DDB3" w14:textId="77777777" w:rsidR="007433DF" w:rsidRDefault="007433DF">
      <w:pPr>
        <w:snapToGrid w:val="0"/>
        <w:spacing w:line="360" w:lineRule="auto"/>
        <w:rPr>
          <w:rFonts w:ascii="宋体" w:hAnsi="宋体"/>
        </w:rPr>
      </w:pPr>
    </w:p>
    <w:p w14:paraId="5AEE12A3" w14:textId="77777777" w:rsidR="007433DF" w:rsidRDefault="00F50617">
      <w:pPr>
        <w:snapToGrid w:val="0"/>
        <w:spacing w:line="360" w:lineRule="auto"/>
        <w:rPr>
          <w:rFonts w:ascii="宋体" w:hAnsi="宋体"/>
        </w:rPr>
      </w:pPr>
      <w:r>
        <w:rPr>
          <w:rFonts w:ascii="宋体" w:hAnsi="宋体"/>
        </w:rPr>
        <w:t>基金管理人：</w:t>
      </w:r>
      <w:r>
        <w:rPr>
          <w:rFonts w:ascii="宋体" w:hAnsi="宋体" w:hint="eastAsia"/>
        </w:rPr>
        <w:t>南方基金管理股份有限公司</w:t>
      </w:r>
      <w:r>
        <w:rPr>
          <w:rFonts w:ascii="宋体" w:hAnsi="宋体"/>
        </w:rPr>
        <w:t>（法人盖章）</w:t>
      </w:r>
    </w:p>
    <w:p w14:paraId="7A4DE5A8" w14:textId="77777777" w:rsidR="007433DF" w:rsidRDefault="007433DF">
      <w:pPr>
        <w:snapToGrid w:val="0"/>
        <w:spacing w:line="360" w:lineRule="auto"/>
        <w:rPr>
          <w:rFonts w:ascii="宋体" w:hAnsi="宋体"/>
        </w:rPr>
      </w:pPr>
    </w:p>
    <w:p w14:paraId="19705432" w14:textId="77777777" w:rsidR="007433DF" w:rsidRDefault="007433DF">
      <w:pPr>
        <w:snapToGrid w:val="0"/>
        <w:spacing w:line="360" w:lineRule="auto"/>
        <w:rPr>
          <w:rFonts w:ascii="宋体" w:hAnsi="宋体"/>
        </w:rPr>
      </w:pPr>
    </w:p>
    <w:p w14:paraId="055AC6E1" w14:textId="77777777" w:rsidR="007433DF" w:rsidRDefault="007433DF">
      <w:pPr>
        <w:snapToGrid w:val="0"/>
        <w:spacing w:line="360" w:lineRule="auto"/>
        <w:rPr>
          <w:rFonts w:ascii="宋体" w:hAnsi="宋体"/>
        </w:rPr>
      </w:pPr>
    </w:p>
    <w:p w14:paraId="068C4882" w14:textId="77777777" w:rsidR="007433DF" w:rsidRDefault="007433DF">
      <w:pPr>
        <w:snapToGrid w:val="0"/>
        <w:spacing w:line="360" w:lineRule="auto"/>
        <w:rPr>
          <w:rFonts w:ascii="宋体" w:hAnsi="宋体"/>
        </w:rPr>
      </w:pPr>
    </w:p>
    <w:p w14:paraId="4EC6617E" w14:textId="77777777" w:rsidR="007433DF" w:rsidRDefault="007433DF">
      <w:pPr>
        <w:snapToGrid w:val="0"/>
        <w:spacing w:line="360" w:lineRule="auto"/>
        <w:rPr>
          <w:rFonts w:ascii="宋体" w:hAnsi="宋体"/>
        </w:rPr>
      </w:pPr>
    </w:p>
    <w:p w14:paraId="2B96F671" w14:textId="77777777" w:rsidR="007433DF" w:rsidRDefault="00F50617">
      <w:pPr>
        <w:pStyle w:val="Style6"/>
        <w:spacing w:line="360" w:lineRule="auto"/>
        <w:ind w:firstLineChars="0" w:firstLine="0"/>
        <w:rPr>
          <w:rFonts w:ascii="宋体" w:eastAsia="宋体"/>
          <w:sz w:val="21"/>
        </w:rPr>
      </w:pPr>
      <w:r>
        <w:rPr>
          <w:rFonts w:ascii="宋体" w:eastAsia="宋体"/>
          <w:sz w:val="21"/>
        </w:rPr>
        <w:t>法定代表人或授权代表（签字</w:t>
      </w:r>
      <w:r>
        <w:rPr>
          <w:rFonts w:ascii="宋体" w:eastAsia="宋体" w:hint="eastAsia"/>
          <w:sz w:val="21"/>
        </w:rPr>
        <w:t>或签章</w:t>
      </w:r>
      <w:r>
        <w:rPr>
          <w:rFonts w:ascii="宋体" w:eastAsia="宋体"/>
          <w:sz w:val="21"/>
        </w:rPr>
        <w:t xml:space="preserve">）： </w:t>
      </w:r>
    </w:p>
    <w:p w14:paraId="59791475" w14:textId="77777777" w:rsidR="007433DF" w:rsidRDefault="007433DF">
      <w:pPr>
        <w:snapToGrid w:val="0"/>
        <w:spacing w:line="360" w:lineRule="auto"/>
        <w:rPr>
          <w:rFonts w:ascii="宋体" w:hAnsi="宋体"/>
        </w:rPr>
      </w:pPr>
    </w:p>
    <w:p w14:paraId="1512AA51" w14:textId="77777777" w:rsidR="007433DF" w:rsidRDefault="007433DF">
      <w:pPr>
        <w:snapToGrid w:val="0"/>
        <w:spacing w:line="360" w:lineRule="auto"/>
        <w:rPr>
          <w:rFonts w:ascii="宋体" w:hAnsi="宋体"/>
        </w:rPr>
      </w:pPr>
    </w:p>
    <w:p w14:paraId="081CA8CA" w14:textId="77777777" w:rsidR="007433DF" w:rsidRDefault="007433DF">
      <w:pPr>
        <w:snapToGrid w:val="0"/>
        <w:spacing w:line="360" w:lineRule="auto"/>
        <w:rPr>
          <w:rFonts w:ascii="宋体" w:hAnsi="宋体"/>
        </w:rPr>
      </w:pPr>
    </w:p>
    <w:p w14:paraId="4E840C2C" w14:textId="77777777" w:rsidR="007433DF" w:rsidRDefault="007433DF">
      <w:pPr>
        <w:snapToGrid w:val="0"/>
        <w:spacing w:line="360" w:lineRule="auto"/>
        <w:rPr>
          <w:rFonts w:ascii="宋体" w:hAnsi="宋体"/>
        </w:rPr>
      </w:pPr>
    </w:p>
    <w:p w14:paraId="3AD3D611" w14:textId="77777777" w:rsidR="007433DF" w:rsidRDefault="007433DF">
      <w:pPr>
        <w:snapToGrid w:val="0"/>
        <w:spacing w:line="360" w:lineRule="auto"/>
        <w:rPr>
          <w:rFonts w:ascii="宋体" w:hAnsi="宋体"/>
        </w:rPr>
      </w:pPr>
    </w:p>
    <w:p w14:paraId="6BC81B19" w14:textId="77777777" w:rsidR="007433DF" w:rsidRDefault="00F50617">
      <w:pPr>
        <w:pStyle w:val="Style6"/>
        <w:spacing w:line="360" w:lineRule="auto"/>
        <w:ind w:firstLineChars="0" w:firstLine="0"/>
        <w:rPr>
          <w:rFonts w:ascii="宋体" w:eastAsia="宋体"/>
          <w:sz w:val="21"/>
        </w:rPr>
      </w:pPr>
      <w:r>
        <w:rPr>
          <w:rFonts w:ascii="宋体" w:eastAsia="宋体"/>
          <w:sz w:val="21"/>
        </w:rPr>
        <w:t>基金托管人</w:t>
      </w:r>
      <w:r>
        <w:rPr>
          <w:rFonts w:ascii="宋体"/>
        </w:rPr>
        <w:t>：</w:t>
      </w:r>
      <w:r>
        <w:rPr>
          <w:rFonts w:ascii="宋体" w:eastAsia="宋体" w:hint="eastAsia"/>
          <w:sz w:val="21"/>
        </w:rPr>
        <w:t>中国建设银行股份有限公司</w:t>
      </w:r>
      <w:r>
        <w:rPr>
          <w:rFonts w:ascii="宋体" w:eastAsia="宋体"/>
          <w:sz w:val="21"/>
        </w:rPr>
        <w:t>（法人盖章）</w:t>
      </w:r>
    </w:p>
    <w:p w14:paraId="76C46E83" w14:textId="77777777" w:rsidR="007433DF" w:rsidRDefault="007433DF">
      <w:pPr>
        <w:snapToGrid w:val="0"/>
        <w:spacing w:line="360" w:lineRule="auto"/>
        <w:rPr>
          <w:rFonts w:ascii="宋体" w:hAnsi="宋体"/>
        </w:rPr>
      </w:pPr>
    </w:p>
    <w:p w14:paraId="68D08F19" w14:textId="77777777" w:rsidR="007433DF" w:rsidRDefault="007433DF">
      <w:pPr>
        <w:snapToGrid w:val="0"/>
        <w:spacing w:line="360" w:lineRule="auto"/>
        <w:rPr>
          <w:rFonts w:ascii="宋体" w:hAnsi="宋体"/>
        </w:rPr>
      </w:pPr>
    </w:p>
    <w:p w14:paraId="240EA77F" w14:textId="77777777" w:rsidR="007433DF" w:rsidRDefault="007433DF">
      <w:pPr>
        <w:snapToGrid w:val="0"/>
        <w:spacing w:line="360" w:lineRule="auto"/>
        <w:rPr>
          <w:rFonts w:ascii="宋体" w:hAnsi="宋体"/>
        </w:rPr>
      </w:pPr>
    </w:p>
    <w:p w14:paraId="613C7ED0" w14:textId="77777777" w:rsidR="007433DF" w:rsidRDefault="007433DF">
      <w:pPr>
        <w:snapToGrid w:val="0"/>
        <w:spacing w:line="360" w:lineRule="auto"/>
        <w:rPr>
          <w:rFonts w:ascii="宋体" w:hAnsi="宋体"/>
        </w:rPr>
      </w:pPr>
    </w:p>
    <w:p w14:paraId="68D9DCEF" w14:textId="77777777" w:rsidR="007433DF" w:rsidRDefault="007433DF">
      <w:pPr>
        <w:snapToGrid w:val="0"/>
        <w:spacing w:line="360" w:lineRule="auto"/>
        <w:rPr>
          <w:rFonts w:ascii="宋体" w:hAnsi="宋体"/>
        </w:rPr>
      </w:pPr>
    </w:p>
    <w:p w14:paraId="08FDA1D5" w14:textId="77777777" w:rsidR="007433DF" w:rsidRDefault="00F50617">
      <w:pPr>
        <w:pStyle w:val="Style6"/>
        <w:spacing w:line="360" w:lineRule="auto"/>
        <w:ind w:firstLineChars="0" w:firstLine="0"/>
        <w:rPr>
          <w:rFonts w:ascii="宋体" w:eastAsia="宋体"/>
          <w:sz w:val="21"/>
        </w:rPr>
      </w:pPr>
      <w:r>
        <w:rPr>
          <w:rFonts w:ascii="宋体" w:eastAsia="宋体"/>
          <w:sz w:val="21"/>
        </w:rPr>
        <w:t>法定代表人或授权代表（签字</w:t>
      </w:r>
      <w:r>
        <w:rPr>
          <w:rFonts w:ascii="宋体" w:eastAsia="宋体" w:hint="eastAsia"/>
          <w:sz w:val="21"/>
        </w:rPr>
        <w:t>或签章</w:t>
      </w:r>
      <w:r>
        <w:rPr>
          <w:rFonts w:ascii="宋体" w:eastAsia="宋体"/>
          <w:sz w:val="21"/>
        </w:rPr>
        <w:t>）：</w:t>
      </w:r>
    </w:p>
    <w:p w14:paraId="0536162A" w14:textId="77777777" w:rsidR="007433DF" w:rsidRDefault="007433DF">
      <w:pPr>
        <w:snapToGrid w:val="0"/>
        <w:spacing w:line="360" w:lineRule="auto"/>
        <w:rPr>
          <w:rFonts w:ascii="宋体" w:hAnsi="宋体"/>
        </w:rPr>
      </w:pPr>
    </w:p>
    <w:p w14:paraId="06FCFC10" w14:textId="77777777" w:rsidR="007433DF" w:rsidRDefault="007433DF">
      <w:pPr>
        <w:snapToGrid w:val="0"/>
        <w:spacing w:line="360" w:lineRule="auto"/>
        <w:rPr>
          <w:rFonts w:ascii="宋体" w:hAnsi="宋体"/>
        </w:rPr>
      </w:pPr>
    </w:p>
    <w:p w14:paraId="325EAB22" w14:textId="77777777" w:rsidR="007433DF" w:rsidRDefault="007433DF">
      <w:pPr>
        <w:snapToGrid w:val="0"/>
        <w:spacing w:line="360" w:lineRule="auto"/>
        <w:rPr>
          <w:rFonts w:ascii="宋体" w:hAnsi="宋体"/>
        </w:rPr>
      </w:pPr>
    </w:p>
    <w:p w14:paraId="74D80F77" w14:textId="77777777" w:rsidR="007433DF" w:rsidRDefault="007433DF">
      <w:pPr>
        <w:snapToGrid w:val="0"/>
        <w:spacing w:line="360" w:lineRule="auto"/>
        <w:rPr>
          <w:rFonts w:ascii="宋体" w:hAnsi="宋体"/>
        </w:rPr>
      </w:pPr>
    </w:p>
    <w:p w14:paraId="1FD63973" w14:textId="77777777" w:rsidR="007433DF" w:rsidRDefault="007433DF">
      <w:pPr>
        <w:snapToGrid w:val="0"/>
        <w:spacing w:line="360" w:lineRule="auto"/>
        <w:rPr>
          <w:rFonts w:ascii="宋体" w:hAnsi="宋体"/>
        </w:rPr>
      </w:pPr>
    </w:p>
    <w:p w14:paraId="7866B5EF" w14:textId="77777777" w:rsidR="007433DF" w:rsidRDefault="007433DF">
      <w:pPr>
        <w:snapToGrid w:val="0"/>
        <w:spacing w:line="360" w:lineRule="auto"/>
        <w:rPr>
          <w:rFonts w:ascii="宋体" w:hAnsi="宋体"/>
        </w:rPr>
      </w:pPr>
    </w:p>
    <w:p w14:paraId="175E84C4" w14:textId="77777777" w:rsidR="007433DF" w:rsidRDefault="00F50617">
      <w:pPr>
        <w:pStyle w:val="Style6"/>
        <w:spacing w:line="360" w:lineRule="auto"/>
        <w:ind w:firstLineChars="0" w:firstLine="0"/>
        <w:rPr>
          <w:rFonts w:ascii="宋体" w:eastAsia="宋体"/>
          <w:sz w:val="21"/>
        </w:rPr>
      </w:pPr>
      <w:r>
        <w:rPr>
          <w:rFonts w:ascii="宋体" w:eastAsia="宋体"/>
          <w:sz w:val="21"/>
        </w:rPr>
        <w:t>签订地：</w:t>
      </w:r>
      <w:r>
        <w:rPr>
          <w:rFonts w:ascii="宋体" w:eastAsia="宋体" w:hint="eastAsia"/>
          <w:bCs/>
          <w:sz w:val="21"/>
        </w:rPr>
        <w:t>中国</w:t>
      </w:r>
      <w:r>
        <w:rPr>
          <w:rFonts w:ascii="宋体" w:eastAsia="宋体"/>
          <w:sz w:val="21"/>
        </w:rPr>
        <w:t>北京</w:t>
      </w:r>
    </w:p>
    <w:p w14:paraId="20181F42" w14:textId="77777777" w:rsidR="007433DF" w:rsidRDefault="00F50617">
      <w:pPr>
        <w:pStyle w:val="Style6"/>
        <w:spacing w:line="360" w:lineRule="auto"/>
        <w:ind w:firstLineChars="0" w:firstLine="0"/>
      </w:pPr>
      <w:r>
        <w:rPr>
          <w:rFonts w:ascii="宋体" w:eastAsia="宋体"/>
          <w:sz w:val="21"/>
        </w:rPr>
        <w:t>签订日：</w:t>
      </w:r>
      <w:r>
        <w:rPr>
          <w:rFonts w:ascii="宋体" w:eastAsia="宋体" w:hint="eastAsia"/>
          <w:sz w:val="21"/>
        </w:rPr>
        <w:t xml:space="preserve">　　　　</w:t>
      </w:r>
      <w:r>
        <w:rPr>
          <w:rFonts w:ascii="宋体" w:eastAsia="宋体"/>
          <w:sz w:val="21"/>
        </w:rPr>
        <w:t>年   月   日</w:t>
      </w:r>
      <w:bookmarkStart w:id="114" w:name="_Hlt89590562"/>
      <w:bookmarkEnd w:id="114"/>
    </w:p>
    <w:p w14:paraId="5873E876" w14:textId="77777777" w:rsidR="007433DF" w:rsidRDefault="007433DF">
      <w:pPr>
        <w:adjustRightInd w:val="0"/>
        <w:snapToGrid w:val="0"/>
        <w:ind w:firstLineChars="200" w:firstLine="480"/>
        <w:rPr>
          <w:rFonts w:ascii="彩虹粗仿宋" w:eastAsia="彩虹粗仿宋" w:hAnsi="宋体" w:cs="Arial"/>
          <w:sz w:val="24"/>
        </w:rPr>
      </w:pPr>
    </w:p>
    <w:sectPr w:rsidR="007433DF">
      <w:headerReference w:type="default" r:id="rId9"/>
      <w:footerReference w:type="default" r:id="rId10"/>
      <w:pgSz w:w="11906" w:h="16838"/>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6BD4A9" w14:textId="77777777" w:rsidR="001B6B36" w:rsidRDefault="001B6B36">
      <w:r>
        <w:separator/>
      </w:r>
    </w:p>
  </w:endnote>
  <w:endnote w:type="continuationSeparator" w:id="0">
    <w:p w14:paraId="6A6A7E76" w14:textId="77777777" w:rsidR="001B6B36" w:rsidRDefault="001B6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方正仿宋简体">
    <w:altName w:val="微软雅黑"/>
    <w:charset w:val="86"/>
    <w:family w:val="auto"/>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1F00FF" w:csb1="00000000"/>
  </w:font>
  <w:font w:name="楷体_GB2312">
    <w:altName w:val="楷体"/>
    <w:charset w:val="86"/>
    <w:family w:val="modern"/>
    <w:pitch w:val="fixed"/>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彩虹粗仿宋">
    <w:altName w:val="Microsoft YaHei U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2A668" w14:textId="77777777" w:rsidR="007433DF" w:rsidRDefault="00F50617">
    <w:pPr>
      <w:pStyle w:val="a9"/>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14:paraId="5726D7EB" w14:textId="77777777" w:rsidR="007433DF" w:rsidRDefault="007433DF">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97BA4" w14:textId="552D96CB" w:rsidR="007433DF" w:rsidRDefault="00F50617">
    <w:pPr>
      <w:pStyle w:val="a9"/>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7D3F15">
      <w:rPr>
        <w:rStyle w:val="af"/>
        <w:noProof/>
      </w:rPr>
      <w:t>1</w:t>
    </w:r>
    <w:r>
      <w:rPr>
        <w:rStyle w:val="af"/>
      </w:rPr>
      <w:fldChar w:fldCharType="end"/>
    </w:r>
  </w:p>
  <w:p w14:paraId="6B990CFB" w14:textId="77777777" w:rsidR="007433DF" w:rsidRDefault="007433DF">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BA567" w14:textId="77777777" w:rsidR="007433DF" w:rsidRDefault="007433D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17AA65" w14:textId="77777777" w:rsidR="001B6B36" w:rsidRDefault="001B6B36">
      <w:r>
        <w:separator/>
      </w:r>
    </w:p>
  </w:footnote>
  <w:footnote w:type="continuationSeparator" w:id="0">
    <w:p w14:paraId="27CFF8D2" w14:textId="77777777" w:rsidR="001B6B36" w:rsidRDefault="001B6B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E0F82" w14:textId="77777777" w:rsidR="007433DF" w:rsidRDefault="007433DF">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E74"/>
    <w:rsid w:val="00001942"/>
    <w:rsid w:val="00001AB6"/>
    <w:rsid w:val="00004362"/>
    <w:rsid w:val="00004CC0"/>
    <w:rsid w:val="000055C8"/>
    <w:rsid w:val="000106EF"/>
    <w:rsid w:val="000107CB"/>
    <w:rsid w:val="00010FA9"/>
    <w:rsid w:val="00011418"/>
    <w:rsid w:val="00011A4D"/>
    <w:rsid w:val="00014D1F"/>
    <w:rsid w:val="0001676E"/>
    <w:rsid w:val="00020CF3"/>
    <w:rsid w:val="00022271"/>
    <w:rsid w:val="0002440F"/>
    <w:rsid w:val="00031081"/>
    <w:rsid w:val="0003192F"/>
    <w:rsid w:val="000319D8"/>
    <w:rsid w:val="000328D4"/>
    <w:rsid w:val="00034727"/>
    <w:rsid w:val="00034761"/>
    <w:rsid w:val="00035C77"/>
    <w:rsid w:val="000372E3"/>
    <w:rsid w:val="000376B5"/>
    <w:rsid w:val="000403DC"/>
    <w:rsid w:val="00042430"/>
    <w:rsid w:val="00042A67"/>
    <w:rsid w:val="00043FE5"/>
    <w:rsid w:val="00044AB6"/>
    <w:rsid w:val="00045893"/>
    <w:rsid w:val="00047C68"/>
    <w:rsid w:val="00047FC0"/>
    <w:rsid w:val="00051FCD"/>
    <w:rsid w:val="0005278E"/>
    <w:rsid w:val="000565AC"/>
    <w:rsid w:val="00057390"/>
    <w:rsid w:val="00062A08"/>
    <w:rsid w:val="000634A2"/>
    <w:rsid w:val="00063F20"/>
    <w:rsid w:val="000666BC"/>
    <w:rsid w:val="00066B31"/>
    <w:rsid w:val="000672EA"/>
    <w:rsid w:val="00070457"/>
    <w:rsid w:val="00071E45"/>
    <w:rsid w:val="0007208B"/>
    <w:rsid w:val="0007382B"/>
    <w:rsid w:val="00074577"/>
    <w:rsid w:val="0007501D"/>
    <w:rsid w:val="000802A2"/>
    <w:rsid w:val="00080A26"/>
    <w:rsid w:val="000822E6"/>
    <w:rsid w:val="0008405E"/>
    <w:rsid w:val="00085461"/>
    <w:rsid w:val="0008595C"/>
    <w:rsid w:val="00087083"/>
    <w:rsid w:val="00087A51"/>
    <w:rsid w:val="0009224F"/>
    <w:rsid w:val="00094B29"/>
    <w:rsid w:val="00095317"/>
    <w:rsid w:val="000966D3"/>
    <w:rsid w:val="000A0416"/>
    <w:rsid w:val="000A07D9"/>
    <w:rsid w:val="000A176E"/>
    <w:rsid w:val="000A1C0D"/>
    <w:rsid w:val="000A1E60"/>
    <w:rsid w:val="000A55A6"/>
    <w:rsid w:val="000A6B35"/>
    <w:rsid w:val="000A6E60"/>
    <w:rsid w:val="000A6F53"/>
    <w:rsid w:val="000B0D86"/>
    <w:rsid w:val="000B16BA"/>
    <w:rsid w:val="000B45BA"/>
    <w:rsid w:val="000B507D"/>
    <w:rsid w:val="000B5144"/>
    <w:rsid w:val="000B5E9D"/>
    <w:rsid w:val="000C100E"/>
    <w:rsid w:val="000C4736"/>
    <w:rsid w:val="000C4D78"/>
    <w:rsid w:val="000C54B7"/>
    <w:rsid w:val="000C57D4"/>
    <w:rsid w:val="000C66D3"/>
    <w:rsid w:val="000C712C"/>
    <w:rsid w:val="000D0580"/>
    <w:rsid w:val="000D136F"/>
    <w:rsid w:val="000D222A"/>
    <w:rsid w:val="000D29BD"/>
    <w:rsid w:val="000D4172"/>
    <w:rsid w:val="000D48F2"/>
    <w:rsid w:val="000D4C04"/>
    <w:rsid w:val="000D6F04"/>
    <w:rsid w:val="000D71A8"/>
    <w:rsid w:val="000D7743"/>
    <w:rsid w:val="000E2A46"/>
    <w:rsid w:val="000E31BF"/>
    <w:rsid w:val="000E4092"/>
    <w:rsid w:val="000E5FBC"/>
    <w:rsid w:val="000E6BCF"/>
    <w:rsid w:val="000E7B60"/>
    <w:rsid w:val="000F0393"/>
    <w:rsid w:val="000F12EA"/>
    <w:rsid w:val="000F2531"/>
    <w:rsid w:val="000F3A96"/>
    <w:rsid w:val="000F6A7E"/>
    <w:rsid w:val="001008F8"/>
    <w:rsid w:val="00100B41"/>
    <w:rsid w:val="00101BCD"/>
    <w:rsid w:val="0010204F"/>
    <w:rsid w:val="00102E8F"/>
    <w:rsid w:val="0010372E"/>
    <w:rsid w:val="00103757"/>
    <w:rsid w:val="00106017"/>
    <w:rsid w:val="00106DC9"/>
    <w:rsid w:val="001071FD"/>
    <w:rsid w:val="001074B4"/>
    <w:rsid w:val="00110DFD"/>
    <w:rsid w:val="00111B05"/>
    <w:rsid w:val="001148BB"/>
    <w:rsid w:val="001148C3"/>
    <w:rsid w:val="00114D32"/>
    <w:rsid w:val="00120D7F"/>
    <w:rsid w:val="00121A5E"/>
    <w:rsid w:val="00122B1E"/>
    <w:rsid w:val="00122FCA"/>
    <w:rsid w:val="001253BC"/>
    <w:rsid w:val="001305B0"/>
    <w:rsid w:val="00130A39"/>
    <w:rsid w:val="0013367F"/>
    <w:rsid w:val="00134802"/>
    <w:rsid w:val="0013507D"/>
    <w:rsid w:val="00136CC9"/>
    <w:rsid w:val="00137238"/>
    <w:rsid w:val="00140669"/>
    <w:rsid w:val="001452AE"/>
    <w:rsid w:val="001463D2"/>
    <w:rsid w:val="0014766B"/>
    <w:rsid w:val="0015295F"/>
    <w:rsid w:val="00155B1F"/>
    <w:rsid w:val="00156EA6"/>
    <w:rsid w:val="001571B3"/>
    <w:rsid w:val="00161ECC"/>
    <w:rsid w:val="001663BE"/>
    <w:rsid w:val="001669F6"/>
    <w:rsid w:val="00167228"/>
    <w:rsid w:val="0016732F"/>
    <w:rsid w:val="0016753E"/>
    <w:rsid w:val="00167EDC"/>
    <w:rsid w:val="0017001D"/>
    <w:rsid w:val="0017113F"/>
    <w:rsid w:val="00172AB8"/>
    <w:rsid w:val="00172BD0"/>
    <w:rsid w:val="00172D7F"/>
    <w:rsid w:val="00175369"/>
    <w:rsid w:val="00176DB0"/>
    <w:rsid w:val="001775A7"/>
    <w:rsid w:val="001778DB"/>
    <w:rsid w:val="0018074E"/>
    <w:rsid w:val="001836BD"/>
    <w:rsid w:val="00186C0D"/>
    <w:rsid w:val="00187C58"/>
    <w:rsid w:val="0019043B"/>
    <w:rsid w:val="00192138"/>
    <w:rsid w:val="00192683"/>
    <w:rsid w:val="00192772"/>
    <w:rsid w:val="001930B0"/>
    <w:rsid w:val="00195EE5"/>
    <w:rsid w:val="001A02F1"/>
    <w:rsid w:val="001A07C9"/>
    <w:rsid w:val="001A30E6"/>
    <w:rsid w:val="001A315C"/>
    <w:rsid w:val="001A4F20"/>
    <w:rsid w:val="001A559B"/>
    <w:rsid w:val="001A57B7"/>
    <w:rsid w:val="001A5EB3"/>
    <w:rsid w:val="001A65F2"/>
    <w:rsid w:val="001B0021"/>
    <w:rsid w:val="001B07DD"/>
    <w:rsid w:val="001B3419"/>
    <w:rsid w:val="001B3B5D"/>
    <w:rsid w:val="001B553D"/>
    <w:rsid w:val="001B5F17"/>
    <w:rsid w:val="001B6302"/>
    <w:rsid w:val="001B6B36"/>
    <w:rsid w:val="001B6BE8"/>
    <w:rsid w:val="001B7002"/>
    <w:rsid w:val="001B72D8"/>
    <w:rsid w:val="001C0152"/>
    <w:rsid w:val="001C18CD"/>
    <w:rsid w:val="001C230D"/>
    <w:rsid w:val="001C2883"/>
    <w:rsid w:val="001C7311"/>
    <w:rsid w:val="001C73FE"/>
    <w:rsid w:val="001D0553"/>
    <w:rsid w:val="001D0E42"/>
    <w:rsid w:val="001D4A1B"/>
    <w:rsid w:val="001E0091"/>
    <w:rsid w:val="001E18D3"/>
    <w:rsid w:val="001E27CC"/>
    <w:rsid w:val="001E2CF8"/>
    <w:rsid w:val="001E5925"/>
    <w:rsid w:val="001E611C"/>
    <w:rsid w:val="001E617B"/>
    <w:rsid w:val="001E6454"/>
    <w:rsid w:val="001E677F"/>
    <w:rsid w:val="001E7B66"/>
    <w:rsid w:val="001F048D"/>
    <w:rsid w:val="001F0BF8"/>
    <w:rsid w:val="001F185A"/>
    <w:rsid w:val="001F259C"/>
    <w:rsid w:val="001F35DE"/>
    <w:rsid w:val="001F5164"/>
    <w:rsid w:val="001F5DDD"/>
    <w:rsid w:val="001F61FC"/>
    <w:rsid w:val="0020043C"/>
    <w:rsid w:val="002006FC"/>
    <w:rsid w:val="002023DD"/>
    <w:rsid w:val="00202706"/>
    <w:rsid w:val="00202D04"/>
    <w:rsid w:val="00204008"/>
    <w:rsid w:val="0020424C"/>
    <w:rsid w:val="00205234"/>
    <w:rsid w:val="0020717A"/>
    <w:rsid w:val="002146B0"/>
    <w:rsid w:val="0021568E"/>
    <w:rsid w:val="00215762"/>
    <w:rsid w:val="00215803"/>
    <w:rsid w:val="00216A55"/>
    <w:rsid w:val="00217028"/>
    <w:rsid w:val="002171FA"/>
    <w:rsid w:val="002208A7"/>
    <w:rsid w:val="00223860"/>
    <w:rsid w:val="00224E70"/>
    <w:rsid w:val="00225205"/>
    <w:rsid w:val="002257DA"/>
    <w:rsid w:val="002319F2"/>
    <w:rsid w:val="00231DD3"/>
    <w:rsid w:val="00232D20"/>
    <w:rsid w:val="002334AD"/>
    <w:rsid w:val="00234997"/>
    <w:rsid w:val="002358F5"/>
    <w:rsid w:val="00237B3A"/>
    <w:rsid w:val="00237DF2"/>
    <w:rsid w:val="00241347"/>
    <w:rsid w:val="00241F0D"/>
    <w:rsid w:val="0024245C"/>
    <w:rsid w:val="002431B4"/>
    <w:rsid w:val="00244CC3"/>
    <w:rsid w:val="002455BD"/>
    <w:rsid w:val="00246CBB"/>
    <w:rsid w:val="0025107C"/>
    <w:rsid w:val="00254004"/>
    <w:rsid w:val="00254361"/>
    <w:rsid w:val="0025698F"/>
    <w:rsid w:val="002616A3"/>
    <w:rsid w:val="00262039"/>
    <w:rsid w:val="002627E9"/>
    <w:rsid w:val="00266523"/>
    <w:rsid w:val="0026654C"/>
    <w:rsid w:val="00266A76"/>
    <w:rsid w:val="002704DF"/>
    <w:rsid w:val="002713A0"/>
    <w:rsid w:val="002715B7"/>
    <w:rsid w:val="00272E80"/>
    <w:rsid w:val="002746BB"/>
    <w:rsid w:val="002758C8"/>
    <w:rsid w:val="00277589"/>
    <w:rsid w:val="00277EA3"/>
    <w:rsid w:val="002805C5"/>
    <w:rsid w:val="002813CE"/>
    <w:rsid w:val="00282216"/>
    <w:rsid w:val="00282675"/>
    <w:rsid w:val="0028442A"/>
    <w:rsid w:val="002845A8"/>
    <w:rsid w:val="00284A77"/>
    <w:rsid w:val="00285D24"/>
    <w:rsid w:val="00285E1A"/>
    <w:rsid w:val="0028655B"/>
    <w:rsid w:val="00287A5D"/>
    <w:rsid w:val="00287B07"/>
    <w:rsid w:val="00290584"/>
    <w:rsid w:val="002906CA"/>
    <w:rsid w:val="00291203"/>
    <w:rsid w:val="00291AEB"/>
    <w:rsid w:val="00291CCE"/>
    <w:rsid w:val="00292027"/>
    <w:rsid w:val="00292BEB"/>
    <w:rsid w:val="002947F8"/>
    <w:rsid w:val="00295A98"/>
    <w:rsid w:val="002972A1"/>
    <w:rsid w:val="002A0C78"/>
    <w:rsid w:val="002A1041"/>
    <w:rsid w:val="002A2760"/>
    <w:rsid w:val="002A2970"/>
    <w:rsid w:val="002A3B38"/>
    <w:rsid w:val="002A5A1F"/>
    <w:rsid w:val="002A710F"/>
    <w:rsid w:val="002A7F1E"/>
    <w:rsid w:val="002B0CA0"/>
    <w:rsid w:val="002B0CC0"/>
    <w:rsid w:val="002B2560"/>
    <w:rsid w:val="002B47FE"/>
    <w:rsid w:val="002B63BE"/>
    <w:rsid w:val="002B6898"/>
    <w:rsid w:val="002B788B"/>
    <w:rsid w:val="002C1551"/>
    <w:rsid w:val="002C1717"/>
    <w:rsid w:val="002C33C4"/>
    <w:rsid w:val="002C3645"/>
    <w:rsid w:val="002C4F71"/>
    <w:rsid w:val="002C555A"/>
    <w:rsid w:val="002C686C"/>
    <w:rsid w:val="002C79A7"/>
    <w:rsid w:val="002C7B85"/>
    <w:rsid w:val="002D18C8"/>
    <w:rsid w:val="002D2441"/>
    <w:rsid w:val="002D50C3"/>
    <w:rsid w:val="002D733E"/>
    <w:rsid w:val="002D74E0"/>
    <w:rsid w:val="002D7F50"/>
    <w:rsid w:val="002F309D"/>
    <w:rsid w:val="002F4033"/>
    <w:rsid w:val="002F40EB"/>
    <w:rsid w:val="002F4E6C"/>
    <w:rsid w:val="002F53F1"/>
    <w:rsid w:val="002F6019"/>
    <w:rsid w:val="002F6C97"/>
    <w:rsid w:val="003012B2"/>
    <w:rsid w:val="003027C8"/>
    <w:rsid w:val="00303E57"/>
    <w:rsid w:val="00303F78"/>
    <w:rsid w:val="0030505B"/>
    <w:rsid w:val="003062FC"/>
    <w:rsid w:val="003063AC"/>
    <w:rsid w:val="003072DC"/>
    <w:rsid w:val="00307BF9"/>
    <w:rsid w:val="00313E52"/>
    <w:rsid w:val="00314127"/>
    <w:rsid w:val="0031414C"/>
    <w:rsid w:val="003151FA"/>
    <w:rsid w:val="003154FF"/>
    <w:rsid w:val="003159F3"/>
    <w:rsid w:val="00315F8B"/>
    <w:rsid w:val="00316ADC"/>
    <w:rsid w:val="00317638"/>
    <w:rsid w:val="00321B78"/>
    <w:rsid w:val="00323959"/>
    <w:rsid w:val="00324712"/>
    <w:rsid w:val="00326469"/>
    <w:rsid w:val="00326822"/>
    <w:rsid w:val="0033031D"/>
    <w:rsid w:val="00330D7F"/>
    <w:rsid w:val="003324D9"/>
    <w:rsid w:val="00332BF0"/>
    <w:rsid w:val="00332D12"/>
    <w:rsid w:val="0033465E"/>
    <w:rsid w:val="00334F1D"/>
    <w:rsid w:val="003355E2"/>
    <w:rsid w:val="003368AF"/>
    <w:rsid w:val="00337232"/>
    <w:rsid w:val="003375E6"/>
    <w:rsid w:val="003413DE"/>
    <w:rsid w:val="0034349B"/>
    <w:rsid w:val="00344C55"/>
    <w:rsid w:val="003461DD"/>
    <w:rsid w:val="003478DD"/>
    <w:rsid w:val="003502D5"/>
    <w:rsid w:val="00351201"/>
    <w:rsid w:val="00351A9F"/>
    <w:rsid w:val="00352DED"/>
    <w:rsid w:val="003530F1"/>
    <w:rsid w:val="003532E6"/>
    <w:rsid w:val="0035391F"/>
    <w:rsid w:val="00354A2B"/>
    <w:rsid w:val="0035759A"/>
    <w:rsid w:val="0036215B"/>
    <w:rsid w:val="003622F2"/>
    <w:rsid w:val="00362827"/>
    <w:rsid w:val="0036425A"/>
    <w:rsid w:val="00364452"/>
    <w:rsid w:val="003654A9"/>
    <w:rsid w:val="00365B75"/>
    <w:rsid w:val="00366795"/>
    <w:rsid w:val="003704F4"/>
    <w:rsid w:val="0037337E"/>
    <w:rsid w:val="00373975"/>
    <w:rsid w:val="00373A4F"/>
    <w:rsid w:val="00373CBE"/>
    <w:rsid w:val="00373E3D"/>
    <w:rsid w:val="00375EC6"/>
    <w:rsid w:val="003765C4"/>
    <w:rsid w:val="003821E4"/>
    <w:rsid w:val="003832F5"/>
    <w:rsid w:val="00385AA9"/>
    <w:rsid w:val="00386C4A"/>
    <w:rsid w:val="00390E43"/>
    <w:rsid w:val="00390ECE"/>
    <w:rsid w:val="003959AA"/>
    <w:rsid w:val="00396238"/>
    <w:rsid w:val="003A0F20"/>
    <w:rsid w:val="003A1E4F"/>
    <w:rsid w:val="003A2224"/>
    <w:rsid w:val="003A2DE3"/>
    <w:rsid w:val="003A4CEE"/>
    <w:rsid w:val="003A529D"/>
    <w:rsid w:val="003A66F8"/>
    <w:rsid w:val="003B3397"/>
    <w:rsid w:val="003B457D"/>
    <w:rsid w:val="003B5947"/>
    <w:rsid w:val="003B5E63"/>
    <w:rsid w:val="003B6259"/>
    <w:rsid w:val="003B62DA"/>
    <w:rsid w:val="003C0916"/>
    <w:rsid w:val="003C14FD"/>
    <w:rsid w:val="003C20A8"/>
    <w:rsid w:val="003C343B"/>
    <w:rsid w:val="003C5D4F"/>
    <w:rsid w:val="003C5F52"/>
    <w:rsid w:val="003C62A6"/>
    <w:rsid w:val="003C780E"/>
    <w:rsid w:val="003C7CE3"/>
    <w:rsid w:val="003D3644"/>
    <w:rsid w:val="003D4F85"/>
    <w:rsid w:val="003D5FF9"/>
    <w:rsid w:val="003D6C19"/>
    <w:rsid w:val="003D72D8"/>
    <w:rsid w:val="003E1F4F"/>
    <w:rsid w:val="003E3DA0"/>
    <w:rsid w:val="003E40A1"/>
    <w:rsid w:val="003E4CBE"/>
    <w:rsid w:val="003E4DCE"/>
    <w:rsid w:val="003E5CC4"/>
    <w:rsid w:val="003E6866"/>
    <w:rsid w:val="003E704B"/>
    <w:rsid w:val="003E7A24"/>
    <w:rsid w:val="003F0C52"/>
    <w:rsid w:val="003F0F49"/>
    <w:rsid w:val="003F148A"/>
    <w:rsid w:val="003F2011"/>
    <w:rsid w:val="003F4074"/>
    <w:rsid w:val="003F43E3"/>
    <w:rsid w:val="003F63E8"/>
    <w:rsid w:val="00400D64"/>
    <w:rsid w:val="004013E8"/>
    <w:rsid w:val="00402BEF"/>
    <w:rsid w:val="00403F29"/>
    <w:rsid w:val="004049AF"/>
    <w:rsid w:val="004073B6"/>
    <w:rsid w:val="00410F4D"/>
    <w:rsid w:val="004121C6"/>
    <w:rsid w:val="004127E2"/>
    <w:rsid w:val="004137A6"/>
    <w:rsid w:val="00413D18"/>
    <w:rsid w:val="0041488C"/>
    <w:rsid w:val="0041693B"/>
    <w:rsid w:val="00417FE1"/>
    <w:rsid w:val="00421257"/>
    <w:rsid w:val="00421E1D"/>
    <w:rsid w:val="0042484D"/>
    <w:rsid w:val="00424957"/>
    <w:rsid w:val="00424B99"/>
    <w:rsid w:val="00424BEF"/>
    <w:rsid w:val="004273CE"/>
    <w:rsid w:val="004276BF"/>
    <w:rsid w:val="00430303"/>
    <w:rsid w:val="00431C35"/>
    <w:rsid w:val="004365D5"/>
    <w:rsid w:val="00440326"/>
    <w:rsid w:val="00440754"/>
    <w:rsid w:val="00441398"/>
    <w:rsid w:val="0044236D"/>
    <w:rsid w:val="00443343"/>
    <w:rsid w:val="00445840"/>
    <w:rsid w:val="00446807"/>
    <w:rsid w:val="00447709"/>
    <w:rsid w:val="004514C2"/>
    <w:rsid w:val="004525FD"/>
    <w:rsid w:val="00453DAB"/>
    <w:rsid w:val="004559BD"/>
    <w:rsid w:val="00455CC9"/>
    <w:rsid w:val="004565B1"/>
    <w:rsid w:val="0046729E"/>
    <w:rsid w:val="00467952"/>
    <w:rsid w:val="00475291"/>
    <w:rsid w:val="00476249"/>
    <w:rsid w:val="0048009E"/>
    <w:rsid w:val="00482BC2"/>
    <w:rsid w:val="00482EA3"/>
    <w:rsid w:val="00486CD6"/>
    <w:rsid w:val="004875D2"/>
    <w:rsid w:val="00487F22"/>
    <w:rsid w:val="00487FF2"/>
    <w:rsid w:val="0049067F"/>
    <w:rsid w:val="00491579"/>
    <w:rsid w:val="004939B8"/>
    <w:rsid w:val="00494076"/>
    <w:rsid w:val="004978E1"/>
    <w:rsid w:val="004A209E"/>
    <w:rsid w:val="004A23AA"/>
    <w:rsid w:val="004A2C36"/>
    <w:rsid w:val="004A424B"/>
    <w:rsid w:val="004A555F"/>
    <w:rsid w:val="004A58E0"/>
    <w:rsid w:val="004B0935"/>
    <w:rsid w:val="004B364E"/>
    <w:rsid w:val="004B3DB1"/>
    <w:rsid w:val="004B4274"/>
    <w:rsid w:val="004B5D71"/>
    <w:rsid w:val="004B6942"/>
    <w:rsid w:val="004C0688"/>
    <w:rsid w:val="004C1DD6"/>
    <w:rsid w:val="004C24B0"/>
    <w:rsid w:val="004C3FC9"/>
    <w:rsid w:val="004C5FFA"/>
    <w:rsid w:val="004D06D0"/>
    <w:rsid w:val="004D1CF2"/>
    <w:rsid w:val="004D2EDA"/>
    <w:rsid w:val="004D5709"/>
    <w:rsid w:val="004D632A"/>
    <w:rsid w:val="004D635F"/>
    <w:rsid w:val="004D63CE"/>
    <w:rsid w:val="004D6A5E"/>
    <w:rsid w:val="004D7E16"/>
    <w:rsid w:val="004E01C1"/>
    <w:rsid w:val="004E304D"/>
    <w:rsid w:val="004E4B16"/>
    <w:rsid w:val="004E5123"/>
    <w:rsid w:val="004E597D"/>
    <w:rsid w:val="004E5BD3"/>
    <w:rsid w:val="004F0774"/>
    <w:rsid w:val="004F29D7"/>
    <w:rsid w:val="004F6627"/>
    <w:rsid w:val="004F69C0"/>
    <w:rsid w:val="004F7BE0"/>
    <w:rsid w:val="00501451"/>
    <w:rsid w:val="005024BB"/>
    <w:rsid w:val="005039B0"/>
    <w:rsid w:val="00505AC7"/>
    <w:rsid w:val="005061FF"/>
    <w:rsid w:val="005062EB"/>
    <w:rsid w:val="00511C7C"/>
    <w:rsid w:val="00511D84"/>
    <w:rsid w:val="00515140"/>
    <w:rsid w:val="005151D2"/>
    <w:rsid w:val="00516D53"/>
    <w:rsid w:val="005202F9"/>
    <w:rsid w:val="00520B37"/>
    <w:rsid w:val="0052464E"/>
    <w:rsid w:val="0052634C"/>
    <w:rsid w:val="00526808"/>
    <w:rsid w:val="00526EE0"/>
    <w:rsid w:val="00527418"/>
    <w:rsid w:val="005279E1"/>
    <w:rsid w:val="0053019C"/>
    <w:rsid w:val="005325B3"/>
    <w:rsid w:val="00534921"/>
    <w:rsid w:val="00534D58"/>
    <w:rsid w:val="005352C9"/>
    <w:rsid w:val="005361C7"/>
    <w:rsid w:val="00536243"/>
    <w:rsid w:val="0053651D"/>
    <w:rsid w:val="00536928"/>
    <w:rsid w:val="0054075E"/>
    <w:rsid w:val="00541111"/>
    <w:rsid w:val="00541484"/>
    <w:rsid w:val="005419DB"/>
    <w:rsid w:val="005424CD"/>
    <w:rsid w:val="0054276A"/>
    <w:rsid w:val="005428BE"/>
    <w:rsid w:val="00542A58"/>
    <w:rsid w:val="005507A8"/>
    <w:rsid w:val="005516DA"/>
    <w:rsid w:val="00552BB9"/>
    <w:rsid w:val="005541C1"/>
    <w:rsid w:val="00554E01"/>
    <w:rsid w:val="00555057"/>
    <w:rsid w:val="0055664C"/>
    <w:rsid w:val="005571E8"/>
    <w:rsid w:val="005578FF"/>
    <w:rsid w:val="0056239E"/>
    <w:rsid w:val="00562401"/>
    <w:rsid w:val="00563340"/>
    <w:rsid w:val="00565BE8"/>
    <w:rsid w:val="005670D2"/>
    <w:rsid w:val="00567764"/>
    <w:rsid w:val="0057102A"/>
    <w:rsid w:val="00571516"/>
    <w:rsid w:val="005715E3"/>
    <w:rsid w:val="00573E06"/>
    <w:rsid w:val="00574AFC"/>
    <w:rsid w:val="00577C3F"/>
    <w:rsid w:val="00580400"/>
    <w:rsid w:val="00581A6A"/>
    <w:rsid w:val="00581E9F"/>
    <w:rsid w:val="0058258E"/>
    <w:rsid w:val="005830E9"/>
    <w:rsid w:val="00584C13"/>
    <w:rsid w:val="00587DA7"/>
    <w:rsid w:val="005921A0"/>
    <w:rsid w:val="005928EC"/>
    <w:rsid w:val="005931F8"/>
    <w:rsid w:val="005937B4"/>
    <w:rsid w:val="005942A6"/>
    <w:rsid w:val="00596B0F"/>
    <w:rsid w:val="00597545"/>
    <w:rsid w:val="005A01C3"/>
    <w:rsid w:val="005A2464"/>
    <w:rsid w:val="005A450C"/>
    <w:rsid w:val="005A6295"/>
    <w:rsid w:val="005A6EE1"/>
    <w:rsid w:val="005B0A81"/>
    <w:rsid w:val="005B2098"/>
    <w:rsid w:val="005B3394"/>
    <w:rsid w:val="005B3C77"/>
    <w:rsid w:val="005B4259"/>
    <w:rsid w:val="005B6074"/>
    <w:rsid w:val="005C36E8"/>
    <w:rsid w:val="005C3E52"/>
    <w:rsid w:val="005C4954"/>
    <w:rsid w:val="005D17E5"/>
    <w:rsid w:val="005D4226"/>
    <w:rsid w:val="005D4FFC"/>
    <w:rsid w:val="005D6F58"/>
    <w:rsid w:val="005D74B7"/>
    <w:rsid w:val="005D7840"/>
    <w:rsid w:val="005E1780"/>
    <w:rsid w:val="005E26DE"/>
    <w:rsid w:val="005E3753"/>
    <w:rsid w:val="005E7337"/>
    <w:rsid w:val="005E7442"/>
    <w:rsid w:val="005E7D6C"/>
    <w:rsid w:val="005F5059"/>
    <w:rsid w:val="00600855"/>
    <w:rsid w:val="00602B03"/>
    <w:rsid w:val="00607CF7"/>
    <w:rsid w:val="00610AA3"/>
    <w:rsid w:val="006127B7"/>
    <w:rsid w:val="00612B85"/>
    <w:rsid w:val="00613CBA"/>
    <w:rsid w:val="006147CE"/>
    <w:rsid w:val="00614BAF"/>
    <w:rsid w:val="006173E0"/>
    <w:rsid w:val="00617DA1"/>
    <w:rsid w:val="00620BA7"/>
    <w:rsid w:val="0062288E"/>
    <w:rsid w:val="0062295C"/>
    <w:rsid w:val="006248D7"/>
    <w:rsid w:val="006275D7"/>
    <w:rsid w:val="006315B6"/>
    <w:rsid w:val="00631719"/>
    <w:rsid w:val="00633906"/>
    <w:rsid w:val="006339D7"/>
    <w:rsid w:val="00633BC2"/>
    <w:rsid w:val="0063421E"/>
    <w:rsid w:val="0063449D"/>
    <w:rsid w:val="00634D9C"/>
    <w:rsid w:val="00634F14"/>
    <w:rsid w:val="00635B24"/>
    <w:rsid w:val="00636B39"/>
    <w:rsid w:val="006375BE"/>
    <w:rsid w:val="006432D8"/>
    <w:rsid w:val="00646300"/>
    <w:rsid w:val="00646F24"/>
    <w:rsid w:val="0065116C"/>
    <w:rsid w:val="00653B28"/>
    <w:rsid w:val="00655900"/>
    <w:rsid w:val="00656D48"/>
    <w:rsid w:val="00657D44"/>
    <w:rsid w:val="0066145F"/>
    <w:rsid w:val="0066311A"/>
    <w:rsid w:val="006641E4"/>
    <w:rsid w:val="00665EC4"/>
    <w:rsid w:val="00666EFB"/>
    <w:rsid w:val="00667E7A"/>
    <w:rsid w:val="00670DC1"/>
    <w:rsid w:val="00670F3C"/>
    <w:rsid w:val="00670FB5"/>
    <w:rsid w:val="006768C9"/>
    <w:rsid w:val="00677878"/>
    <w:rsid w:val="00677E9E"/>
    <w:rsid w:val="00681481"/>
    <w:rsid w:val="006873C2"/>
    <w:rsid w:val="006879C2"/>
    <w:rsid w:val="00687FD1"/>
    <w:rsid w:val="006952E6"/>
    <w:rsid w:val="00696760"/>
    <w:rsid w:val="00697924"/>
    <w:rsid w:val="00697F43"/>
    <w:rsid w:val="006A154B"/>
    <w:rsid w:val="006A2459"/>
    <w:rsid w:val="006A27C6"/>
    <w:rsid w:val="006A4D8D"/>
    <w:rsid w:val="006A5ABC"/>
    <w:rsid w:val="006A6286"/>
    <w:rsid w:val="006A6E53"/>
    <w:rsid w:val="006B0CF7"/>
    <w:rsid w:val="006B3DEC"/>
    <w:rsid w:val="006B43BC"/>
    <w:rsid w:val="006B43DE"/>
    <w:rsid w:val="006B450F"/>
    <w:rsid w:val="006B5A59"/>
    <w:rsid w:val="006B5B91"/>
    <w:rsid w:val="006B6DD1"/>
    <w:rsid w:val="006B760B"/>
    <w:rsid w:val="006B7A89"/>
    <w:rsid w:val="006B7BC8"/>
    <w:rsid w:val="006C1780"/>
    <w:rsid w:val="006C1D94"/>
    <w:rsid w:val="006C33D8"/>
    <w:rsid w:val="006C5911"/>
    <w:rsid w:val="006D132E"/>
    <w:rsid w:val="006D51B7"/>
    <w:rsid w:val="006D52E8"/>
    <w:rsid w:val="006D65F5"/>
    <w:rsid w:val="006D6788"/>
    <w:rsid w:val="006D7480"/>
    <w:rsid w:val="006D74FB"/>
    <w:rsid w:val="006D7790"/>
    <w:rsid w:val="006E1F6D"/>
    <w:rsid w:val="006E2950"/>
    <w:rsid w:val="006E2C48"/>
    <w:rsid w:val="006E2EB1"/>
    <w:rsid w:val="006E35D1"/>
    <w:rsid w:val="006E392F"/>
    <w:rsid w:val="006E5E4D"/>
    <w:rsid w:val="006E692A"/>
    <w:rsid w:val="006E7B72"/>
    <w:rsid w:val="006E7F96"/>
    <w:rsid w:val="006F1ECA"/>
    <w:rsid w:val="006F61A8"/>
    <w:rsid w:val="006F63B6"/>
    <w:rsid w:val="006F6C24"/>
    <w:rsid w:val="006F77B4"/>
    <w:rsid w:val="006F7923"/>
    <w:rsid w:val="00704095"/>
    <w:rsid w:val="00705F6C"/>
    <w:rsid w:val="00706A8E"/>
    <w:rsid w:val="00707394"/>
    <w:rsid w:val="00707436"/>
    <w:rsid w:val="00707FA5"/>
    <w:rsid w:val="00712CCC"/>
    <w:rsid w:val="007133D4"/>
    <w:rsid w:val="007139F6"/>
    <w:rsid w:val="007151E7"/>
    <w:rsid w:val="00715E30"/>
    <w:rsid w:val="0071665D"/>
    <w:rsid w:val="007173B5"/>
    <w:rsid w:val="00720497"/>
    <w:rsid w:val="0072089E"/>
    <w:rsid w:val="0072286B"/>
    <w:rsid w:val="0072395F"/>
    <w:rsid w:val="007245A0"/>
    <w:rsid w:val="00724DB6"/>
    <w:rsid w:val="00725FBF"/>
    <w:rsid w:val="00727167"/>
    <w:rsid w:val="0073076A"/>
    <w:rsid w:val="00730E44"/>
    <w:rsid w:val="00731580"/>
    <w:rsid w:val="00732A55"/>
    <w:rsid w:val="0073374A"/>
    <w:rsid w:val="00735E8F"/>
    <w:rsid w:val="007433DF"/>
    <w:rsid w:val="007447BC"/>
    <w:rsid w:val="00745177"/>
    <w:rsid w:val="00746465"/>
    <w:rsid w:val="0074682C"/>
    <w:rsid w:val="00746C3B"/>
    <w:rsid w:val="00747E89"/>
    <w:rsid w:val="00753824"/>
    <w:rsid w:val="00754467"/>
    <w:rsid w:val="00755303"/>
    <w:rsid w:val="007555AA"/>
    <w:rsid w:val="00756724"/>
    <w:rsid w:val="007575F7"/>
    <w:rsid w:val="00757919"/>
    <w:rsid w:val="007609C8"/>
    <w:rsid w:val="0076163F"/>
    <w:rsid w:val="007619BE"/>
    <w:rsid w:val="00762F4D"/>
    <w:rsid w:val="00763B7F"/>
    <w:rsid w:val="00763E85"/>
    <w:rsid w:val="00764C04"/>
    <w:rsid w:val="007662EA"/>
    <w:rsid w:val="00770210"/>
    <w:rsid w:val="00770F4C"/>
    <w:rsid w:val="00770FB3"/>
    <w:rsid w:val="007712A2"/>
    <w:rsid w:val="00772256"/>
    <w:rsid w:val="00777A9E"/>
    <w:rsid w:val="00781D82"/>
    <w:rsid w:val="007915DB"/>
    <w:rsid w:val="0079183B"/>
    <w:rsid w:val="00791A23"/>
    <w:rsid w:val="007942F0"/>
    <w:rsid w:val="00795F48"/>
    <w:rsid w:val="0079687B"/>
    <w:rsid w:val="00796969"/>
    <w:rsid w:val="00796CC4"/>
    <w:rsid w:val="00796D73"/>
    <w:rsid w:val="007A0F60"/>
    <w:rsid w:val="007A1E2C"/>
    <w:rsid w:val="007A2C8F"/>
    <w:rsid w:val="007A351B"/>
    <w:rsid w:val="007A5D5A"/>
    <w:rsid w:val="007A6015"/>
    <w:rsid w:val="007A7F6F"/>
    <w:rsid w:val="007B1523"/>
    <w:rsid w:val="007B1AD5"/>
    <w:rsid w:val="007B2EB0"/>
    <w:rsid w:val="007B64FF"/>
    <w:rsid w:val="007B7EBA"/>
    <w:rsid w:val="007B7F66"/>
    <w:rsid w:val="007C0A02"/>
    <w:rsid w:val="007C411F"/>
    <w:rsid w:val="007C603C"/>
    <w:rsid w:val="007C607A"/>
    <w:rsid w:val="007C713C"/>
    <w:rsid w:val="007C73B9"/>
    <w:rsid w:val="007D1427"/>
    <w:rsid w:val="007D277E"/>
    <w:rsid w:val="007D3F15"/>
    <w:rsid w:val="007D42FB"/>
    <w:rsid w:val="007D5D2D"/>
    <w:rsid w:val="007D7242"/>
    <w:rsid w:val="007D7343"/>
    <w:rsid w:val="007E2A8D"/>
    <w:rsid w:val="007E5089"/>
    <w:rsid w:val="007E582A"/>
    <w:rsid w:val="007E5A34"/>
    <w:rsid w:val="007E629A"/>
    <w:rsid w:val="007E6666"/>
    <w:rsid w:val="007E7D01"/>
    <w:rsid w:val="007F063F"/>
    <w:rsid w:val="007F3379"/>
    <w:rsid w:val="007F6AC3"/>
    <w:rsid w:val="007F7717"/>
    <w:rsid w:val="00800745"/>
    <w:rsid w:val="00800E57"/>
    <w:rsid w:val="00801738"/>
    <w:rsid w:val="008035DB"/>
    <w:rsid w:val="00804D3E"/>
    <w:rsid w:val="008051FD"/>
    <w:rsid w:val="0080557C"/>
    <w:rsid w:val="00805EAA"/>
    <w:rsid w:val="00806BE9"/>
    <w:rsid w:val="008075C9"/>
    <w:rsid w:val="008129F8"/>
    <w:rsid w:val="00813871"/>
    <w:rsid w:val="00813FA0"/>
    <w:rsid w:val="00815CA6"/>
    <w:rsid w:val="00821AA6"/>
    <w:rsid w:val="00821D80"/>
    <w:rsid w:val="00822778"/>
    <w:rsid w:val="00823EAC"/>
    <w:rsid w:val="00825DA5"/>
    <w:rsid w:val="00826179"/>
    <w:rsid w:val="0082710B"/>
    <w:rsid w:val="00827112"/>
    <w:rsid w:val="00827635"/>
    <w:rsid w:val="00830024"/>
    <w:rsid w:val="00830F6D"/>
    <w:rsid w:val="0083315B"/>
    <w:rsid w:val="00833C79"/>
    <w:rsid w:val="00841EDE"/>
    <w:rsid w:val="0084367A"/>
    <w:rsid w:val="008463FB"/>
    <w:rsid w:val="008504E4"/>
    <w:rsid w:val="00852262"/>
    <w:rsid w:val="00852331"/>
    <w:rsid w:val="0085619F"/>
    <w:rsid w:val="0086049C"/>
    <w:rsid w:val="00861666"/>
    <w:rsid w:val="0086184A"/>
    <w:rsid w:val="00861A5B"/>
    <w:rsid w:val="00861D91"/>
    <w:rsid w:val="0086438C"/>
    <w:rsid w:val="00864AEF"/>
    <w:rsid w:val="00865292"/>
    <w:rsid w:val="00873C30"/>
    <w:rsid w:val="008742F7"/>
    <w:rsid w:val="00876A2B"/>
    <w:rsid w:val="00876E2D"/>
    <w:rsid w:val="00877397"/>
    <w:rsid w:val="00877D10"/>
    <w:rsid w:val="008801D7"/>
    <w:rsid w:val="008805B9"/>
    <w:rsid w:val="00880EE6"/>
    <w:rsid w:val="008825B7"/>
    <w:rsid w:val="008826A0"/>
    <w:rsid w:val="00882B27"/>
    <w:rsid w:val="00883DF4"/>
    <w:rsid w:val="0088476E"/>
    <w:rsid w:val="008853C0"/>
    <w:rsid w:val="00885D45"/>
    <w:rsid w:val="008902A1"/>
    <w:rsid w:val="008920EA"/>
    <w:rsid w:val="00896CF7"/>
    <w:rsid w:val="008A1556"/>
    <w:rsid w:val="008A2EB3"/>
    <w:rsid w:val="008A5749"/>
    <w:rsid w:val="008A5B6B"/>
    <w:rsid w:val="008A7DD0"/>
    <w:rsid w:val="008A7F8F"/>
    <w:rsid w:val="008B020A"/>
    <w:rsid w:val="008B1FEE"/>
    <w:rsid w:val="008B272D"/>
    <w:rsid w:val="008B376E"/>
    <w:rsid w:val="008B3CF2"/>
    <w:rsid w:val="008B4DD7"/>
    <w:rsid w:val="008B5017"/>
    <w:rsid w:val="008B627B"/>
    <w:rsid w:val="008B76B1"/>
    <w:rsid w:val="008C0362"/>
    <w:rsid w:val="008C26EF"/>
    <w:rsid w:val="008C7C30"/>
    <w:rsid w:val="008C7E81"/>
    <w:rsid w:val="008C7FB8"/>
    <w:rsid w:val="008D3FD2"/>
    <w:rsid w:val="008D5DBC"/>
    <w:rsid w:val="008D6166"/>
    <w:rsid w:val="008E261F"/>
    <w:rsid w:val="008E3AA2"/>
    <w:rsid w:val="008E3AB8"/>
    <w:rsid w:val="008E3FA6"/>
    <w:rsid w:val="008E4527"/>
    <w:rsid w:val="008E4A99"/>
    <w:rsid w:val="008E6935"/>
    <w:rsid w:val="008F22A3"/>
    <w:rsid w:val="008F4223"/>
    <w:rsid w:val="008F425E"/>
    <w:rsid w:val="008F5D09"/>
    <w:rsid w:val="008F6247"/>
    <w:rsid w:val="008F7A35"/>
    <w:rsid w:val="008F7E2C"/>
    <w:rsid w:val="008F7FB3"/>
    <w:rsid w:val="00901466"/>
    <w:rsid w:val="009014ED"/>
    <w:rsid w:val="00902353"/>
    <w:rsid w:val="00904614"/>
    <w:rsid w:val="00906A5A"/>
    <w:rsid w:val="00907862"/>
    <w:rsid w:val="00910620"/>
    <w:rsid w:val="00912DAE"/>
    <w:rsid w:val="00913958"/>
    <w:rsid w:val="00915175"/>
    <w:rsid w:val="0092093E"/>
    <w:rsid w:val="0092127B"/>
    <w:rsid w:val="00922BE2"/>
    <w:rsid w:val="00923C71"/>
    <w:rsid w:val="009241C9"/>
    <w:rsid w:val="009243F8"/>
    <w:rsid w:val="00924E57"/>
    <w:rsid w:val="009318B8"/>
    <w:rsid w:val="00932B3E"/>
    <w:rsid w:val="0093316F"/>
    <w:rsid w:val="00934857"/>
    <w:rsid w:val="00936595"/>
    <w:rsid w:val="00936812"/>
    <w:rsid w:val="009409BC"/>
    <w:rsid w:val="00941610"/>
    <w:rsid w:val="00941712"/>
    <w:rsid w:val="00943960"/>
    <w:rsid w:val="00944713"/>
    <w:rsid w:val="00945B49"/>
    <w:rsid w:val="00947213"/>
    <w:rsid w:val="0094778B"/>
    <w:rsid w:val="00947C75"/>
    <w:rsid w:val="009507F3"/>
    <w:rsid w:val="00950B56"/>
    <w:rsid w:val="00953D84"/>
    <w:rsid w:val="00954EED"/>
    <w:rsid w:val="0095652A"/>
    <w:rsid w:val="009567A8"/>
    <w:rsid w:val="00956AF2"/>
    <w:rsid w:val="009579F3"/>
    <w:rsid w:val="00960A4C"/>
    <w:rsid w:val="00960A81"/>
    <w:rsid w:val="009612CE"/>
    <w:rsid w:val="00961AF3"/>
    <w:rsid w:val="00962695"/>
    <w:rsid w:val="00963086"/>
    <w:rsid w:val="0096370C"/>
    <w:rsid w:val="00963D5C"/>
    <w:rsid w:val="009748F9"/>
    <w:rsid w:val="00975B72"/>
    <w:rsid w:val="00975B93"/>
    <w:rsid w:val="009840BB"/>
    <w:rsid w:val="00985537"/>
    <w:rsid w:val="00986D66"/>
    <w:rsid w:val="0099216A"/>
    <w:rsid w:val="009928E1"/>
    <w:rsid w:val="00993FE2"/>
    <w:rsid w:val="009948C7"/>
    <w:rsid w:val="00994AAA"/>
    <w:rsid w:val="00994BA8"/>
    <w:rsid w:val="00997794"/>
    <w:rsid w:val="009A1EE5"/>
    <w:rsid w:val="009A2957"/>
    <w:rsid w:val="009A5D99"/>
    <w:rsid w:val="009A6B06"/>
    <w:rsid w:val="009A7189"/>
    <w:rsid w:val="009B2078"/>
    <w:rsid w:val="009B27D7"/>
    <w:rsid w:val="009B2E55"/>
    <w:rsid w:val="009B3298"/>
    <w:rsid w:val="009B44A7"/>
    <w:rsid w:val="009C16BD"/>
    <w:rsid w:val="009C1F65"/>
    <w:rsid w:val="009C2CAB"/>
    <w:rsid w:val="009C2F63"/>
    <w:rsid w:val="009C3CEC"/>
    <w:rsid w:val="009C3DAF"/>
    <w:rsid w:val="009C5488"/>
    <w:rsid w:val="009C550B"/>
    <w:rsid w:val="009C6AF0"/>
    <w:rsid w:val="009C79F0"/>
    <w:rsid w:val="009D08B0"/>
    <w:rsid w:val="009D314F"/>
    <w:rsid w:val="009D585B"/>
    <w:rsid w:val="009D5CB9"/>
    <w:rsid w:val="009E040D"/>
    <w:rsid w:val="009E16CB"/>
    <w:rsid w:val="009E411C"/>
    <w:rsid w:val="009E45A8"/>
    <w:rsid w:val="009E5678"/>
    <w:rsid w:val="009F0EFC"/>
    <w:rsid w:val="009F495E"/>
    <w:rsid w:val="009F751A"/>
    <w:rsid w:val="00A00CA8"/>
    <w:rsid w:val="00A0180A"/>
    <w:rsid w:val="00A02536"/>
    <w:rsid w:val="00A05CF2"/>
    <w:rsid w:val="00A0614D"/>
    <w:rsid w:val="00A07EB5"/>
    <w:rsid w:val="00A100C3"/>
    <w:rsid w:val="00A117D8"/>
    <w:rsid w:val="00A1407B"/>
    <w:rsid w:val="00A202AF"/>
    <w:rsid w:val="00A23472"/>
    <w:rsid w:val="00A23C00"/>
    <w:rsid w:val="00A30C26"/>
    <w:rsid w:val="00A310FE"/>
    <w:rsid w:val="00A33BDD"/>
    <w:rsid w:val="00A34C7F"/>
    <w:rsid w:val="00A3521D"/>
    <w:rsid w:val="00A35597"/>
    <w:rsid w:val="00A35898"/>
    <w:rsid w:val="00A370DE"/>
    <w:rsid w:val="00A40828"/>
    <w:rsid w:val="00A4376E"/>
    <w:rsid w:val="00A46FAA"/>
    <w:rsid w:val="00A47A6A"/>
    <w:rsid w:val="00A50E7D"/>
    <w:rsid w:val="00A517CF"/>
    <w:rsid w:val="00A53A66"/>
    <w:rsid w:val="00A542BD"/>
    <w:rsid w:val="00A54545"/>
    <w:rsid w:val="00A5462C"/>
    <w:rsid w:val="00A57A51"/>
    <w:rsid w:val="00A57D55"/>
    <w:rsid w:val="00A620DD"/>
    <w:rsid w:val="00A63C3A"/>
    <w:rsid w:val="00A64981"/>
    <w:rsid w:val="00A65E78"/>
    <w:rsid w:val="00A701EF"/>
    <w:rsid w:val="00A72DDD"/>
    <w:rsid w:val="00A731D3"/>
    <w:rsid w:val="00A739B6"/>
    <w:rsid w:val="00A74104"/>
    <w:rsid w:val="00A76987"/>
    <w:rsid w:val="00A77373"/>
    <w:rsid w:val="00A77E34"/>
    <w:rsid w:val="00A82E20"/>
    <w:rsid w:val="00A830DB"/>
    <w:rsid w:val="00A84790"/>
    <w:rsid w:val="00A85ACF"/>
    <w:rsid w:val="00A86609"/>
    <w:rsid w:val="00A8671E"/>
    <w:rsid w:val="00A87449"/>
    <w:rsid w:val="00A87AAC"/>
    <w:rsid w:val="00A87F6F"/>
    <w:rsid w:val="00A90882"/>
    <w:rsid w:val="00A93BF4"/>
    <w:rsid w:val="00A93E75"/>
    <w:rsid w:val="00A96740"/>
    <w:rsid w:val="00A96EED"/>
    <w:rsid w:val="00A97515"/>
    <w:rsid w:val="00AA0C48"/>
    <w:rsid w:val="00AA1815"/>
    <w:rsid w:val="00AA5059"/>
    <w:rsid w:val="00AA51B4"/>
    <w:rsid w:val="00AA76BF"/>
    <w:rsid w:val="00AB1A75"/>
    <w:rsid w:val="00AB1DD2"/>
    <w:rsid w:val="00AB28BE"/>
    <w:rsid w:val="00AB3343"/>
    <w:rsid w:val="00AB36A2"/>
    <w:rsid w:val="00AB5468"/>
    <w:rsid w:val="00AB65AE"/>
    <w:rsid w:val="00AB6C71"/>
    <w:rsid w:val="00AB7680"/>
    <w:rsid w:val="00AC0107"/>
    <w:rsid w:val="00AC1176"/>
    <w:rsid w:val="00AC2A71"/>
    <w:rsid w:val="00AC2CF5"/>
    <w:rsid w:val="00AC4AEA"/>
    <w:rsid w:val="00AC4B79"/>
    <w:rsid w:val="00AC50F3"/>
    <w:rsid w:val="00AC54D8"/>
    <w:rsid w:val="00AC71C3"/>
    <w:rsid w:val="00AC727A"/>
    <w:rsid w:val="00AC7B58"/>
    <w:rsid w:val="00AD1DAD"/>
    <w:rsid w:val="00AD317F"/>
    <w:rsid w:val="00AD65D5"/>
    <w:rsid w:val="00AD7521"/>
    <w:rsid w:val="00AE2AB3"/>
    <w:rsid w:val="00AE3B76"/>
    <w:rsid w:val="00AE3EC7"/>
    <w:rsid w:val="00AE4242"/>
    <w:rsid w:val="00AE4C74"/>
    <w:rsid w:val="00AE5E2C"/>
    <w:rsid w:val="00AF0EF6"/>
    <w:rsid w:val="00AF1B66"/>
    <w:rsid w:val="00AF2310"/>
    <w:rsid w:val="00AF3F46"/>
    <w:rsid w:val="00AF4C3F"/>
    <w:rsid w:val="00AF4ED9"/>
    <w:rsid w:val="00AF5913"/>
    <w:rsid w:val="00AF5C20"/>
    <w:rsid w:val="00AF62EC"/>
    <w:rsid w:val="00AF6983"/>
    <w:rsid w:val="00AF7444"/>
    <w:rsid w:val="00B02BEE"/>
    <w:rsid w:val="00B0517D"/>
    <w:rsid w:val="00B055D4"/>
    <w:rsid w:val="00B05A43"/>
    <w:rsid w:val="00B060DB"/>
    <w:rsid w:val="00B06A6D"/>
    <w:rsid w:val="00B06DB9"/>
    <w:rsid w:val="00B115AD"/>
    <w:rsid w:val="00B12BD3"/>
    <w:rsid w:val="00B155A8"/>
    <w:rsid w:val="00B15764"/>
    <w:rsid w:val="00B17B7A"/>
    <w:rsid w:val="00B2067C"/>
    <w:rsid w:val="00B2209E"/>
    <w:rsid w:val="00B2326F"/>
    <w:rsid w:val="00B262E4"/>
    <w:rsid w:val="00B31498"/>
    <w:rsid w:val="00B31ED3"/>
    <w:rsid w:val="00B34102"/>
    <w:rsid w:val="00B35F9A"/>
    <w:rsid w:val="00B36799"/>
    <w:rsid w:val="00B3682C"/>
    <w:rsid w:val="00B368D9"/>
    <w:rsid w:val="00B36A27"/>
    <w:rsid w:val="00B374F7"/>
    <w:rsid w:val="00B376F4"/>
    <w:rsid w:val="00B402FB"/>
    <w:rsid w:val="00B42822"/>
    <w:rsid w:val="00B428CF"/>
    <w:rsid w:val="00B4576C"/>
    <w:rsid w:val="00B468AF"/>
    <w:rsid w:val="00B47380"/>
    <w:rsid w:val="00B477C9"/>
    <w:rsid w:val="00B53800"/>
    <w:rsid w:val="00B57593"/>
    <w:rsid w:val="00B5789B"/>
    <w:rsid w:val="00B60BE3"/>
    <w:rsid w:val="00B60F48"/>
    <w:rsid w:val="00B61D95"/>
    <w:rsid w:val="00B6306F"/>
    <w:rsid w:val="00B6331E"/>
    <w:rsid w:val="00B63654"/>
    <w:rsid w:val="00B678C6"/>
    <w:rsid w:val="00B67F33"/>
    <w:rsid w:val="00B7472A"/>
    <w:rsid w:val="00B75F92"/>
    <w:rsid w:val="00B767DE"/>
    <w:rsid w:val="00B775E2"/>
    <w:rsid w:val="00B811E0"/>
    <w:rsid w:val="00B823D9"/>
    <w:rsid w:val="00B827D5"/>
    <w:rsid w:val="00B841A9"/>
    <w:rsid w:val="00B8434C"/>
    <w:rsid w:val="00B854AA"/>
    <w:rsid w:val="00B86911"/>
    <w:rsid w:val="00B87A26"/>
    <w:rsid w:val="00B900ED"/>
    <w:rsid w:val="00B907DF"/>
    <w:rsid w:val="00B91291"/>
    <w:rsid w:val="00B927D7"/>
    <w:rsid w:val="00B94A5D"/>
    <w:rsid w:val="00B94EF4"/>
    <w:rsid w:val="00B9677E"/>
    <w:rsid w:val="00B967B5"/>
    <w:rsid w:val="00B96820"/>
    <w:rsid w:val="00BA0DD3"/>
    <w:rsid w:val="00BA1BB8"/>
    <w:rsid w:val="00BA268D"/>
    <w:rsid w:val="00BA33FB"/>
    <w:rsid w:val="00BA4600"/>
    <w:rsid w:val="00BA6B2D"/>
    <w:rsid w:val="00BA6F27"/>
    <w:rsid w:val="00BB013D"/>
    <w:rsid w:val="00BB0623"/>
    <w:rsid w:val="00BB2D35"/>
    <w:rsid w:val="00BB2F1C"/>
    <w:rsid w:val="00BB5BB4"/>
    <w:rsid w:val="00BB6303"/>
    <w:rsid w:val="00BB796D"/>
    <w:rsid w:val="00BB7EAF"/>
    <w:rsid w:val="00BC005C"/>
    <w:rsid w:val="00BC1DE3"/>
    <w:rsid w:val="00BC7B48"/>
    <w:rsid w:val="00BC7D72"/>
    <w:rsid w:val="00BD2860"/>
    <w:rsid w:val="00BD35F6"/>
    <w:rsid w:val="00BD53F8"/>
    <w:rsid w:val="00BD6112"/>
    <w:rsid w:val="00BD6EF2"/>
    <w:rsid w:val="00BD78C0"/>
    <w:rsid w:val="00BE0F2B"/>
    <w:rsid w:val="00BE0F97"/>
    <w:rsid w:val="00BE14C7"/>
    <w:rsid w:val="00BE2485"/>
    <w:rsid w:val="00BE2B70"/>
    <w:rsid w:val="00BE34A9"/>
    <w:rsid w:val="00BE4193"/>
    <w:rsid w:val="00BE431D"/>
    <w:rsid w:val="00BE5AAE"/>
    <w:rsid w:val="00BF0B6E"/>
    <w:rsid w:val="00BF2B1C"/>
    <w:rsid w:val="00BF460E"/>
    <w:rsid w:val="00BF4722"/>
    <w:rsid w:val="00BF5398"/>
    <w:rsid w:val="00BF6D76"/>
    <w:rsid w:val="00C0037C"/>
    <w:rsid w:val="00C02AF4"/>
    <w:rsid w:val="00C03995"/>
    <w:rsid w:val="00C045F4"/>
    <w:rsid w:val="00C05EEF"/>
    <w:rsid w:val="00C06592"/>
    <w:rsid w:val="00C0699D"/>
    <w:rsid w:val="00C126CD"/>
    <w:rsid w:val="00C16D27"/>
    <w:rsid w:val="00C1798F"/>
    <w:rsid w:val="00C2141E"/>
    <w:rsid w:val="00C223C9"/>
    <w:rsid w:val="00C23730"/>
    <w:rsid w:val="00C242E8"/>
    <w:rsid w:val="00C24D60"/>
    <w:rsid w:val="00C25028"/>
    <w:rsid w:val="00C25B01"/>
    <w:rsid w:val="00C26FA0"/>
    <w:rsid w:val="00C30AD6"/>
    <w:rsid w:val="00C32683"/>
    <w:rsid w:val="00C3290C"/>
    <w:rsid w:val="00C339C5"/>
    <w:rsid w:val="00C34E39"/>
    <w:rsid w:val="00C353E7"/>
    <w:rsid w:val="00C35B61"/>
    <w:rsid w:val="00C37E58"/>
    <w:rsid w:val="00C4066F"/>
    <w:rsid w:val="00C43F3E"/>
    <w:rsid w:val="00C44631"/>
    <w:rsid w:val="00C45317"/>
    <w:rsid w:val="00C46832"/>
    <w:rsid w:val="00C46CDB"/>
    <w:rsid w:val="00C47CF6"/>
    <w:rsid w:val="00C50DAC"/>
    <w:rsid w:val="00C5285C"/>
    <w:rsid w:val="00C52C67"/>
    <w:rsid w:val="00C52E39"/>
    <w:rsid w:val="00C559C5"/>
    <w:rsid w:val="00C5661C"/>
    <w:rsid w:val="00C573C2"/>
    <w:rsid w:val="00C57875"/>
    <w:rsid w:val="00C60E01"/>
    <w:rsid w:val="00C626BE"/>
    <w:rsid w:val="00C62AB3"/>
    <w:rsid w:val="00C63504"/>
    <w:rsid w:val="00C65DD3"/>
    <w:rsid w:val="00C67650"/>
    <w:rsid w:val="00C67AC0"/>
    <w:rsid w:val="00C67AC5"/>
    <w:rsid w:val="00C71DB3"/>
    <w:rsid w:val="00C73A37"/>
    <w:rsid w:val="00C7450D"/>
    <w:rsid w:val="00C80223"/>
    <w:rsid w:val="00C80EC0"/>
    <w:rsid w:val="00C8116F"/>
    <w:rsid w:val="00C81806"/>
    <w:rsid w:val="00C81BDD"/>
    <w:rsid w:val="00C84775"/>
    <w:rsid w:val="00C87F79"/>
    <w:rsid w:val="00C923F1"/>
    <w:rsid w:val="00C953B2"/>
    <w:rsid w:val="00C969B1"/>
    <w:rsid w:val="00CA058C"/>
    <w:rsid w:val="00CA108A"/>
    <w:rsid w:val="00CA128F"/>
    <w:rsid w:val="00CA2821"/>
    <w:rsid w:val="00CA2A7F"/>
    <w:rsid w:val="00CA3B19"/>
    <w:rsid w:val="00CA4FFF"/>
    <w:rsid w:val="00CA51E3"/>
    <w:rsid w:val="00CA5A90"/>
    <w:rsid w:val="00CA75C6"/>
    <w:rsid w:val="00CA7D81"/>
    <w:rsid w:val="00CB0D50"/>
    <w:rsid w:val="00CB2D89"/>
    <w:rsid w:val="00CB418A"/>
    <w:rsid w:val="00CB484F"/>
    <w:rsid w:val="00CB5DBA"/>
    <w:rsid w:val="00CC0EA7"/>
    <w:rsid w:val="00CC2D33"/>
    <w:rsid w:val="00CC41D0"/>
    <w:rsid w:val="00CC44C0"/>
    <w:rsid w:val="00CC646F"/>
    <w:rsid w:val="00CC6F65"/>
    <w:rsid w:val="00CD15BC"/>
    <w:rsid w:val="00CD2BBB"/>
    <w:rsid w:val="00CD3488"/>
    <w:rsid w:val="00CD3779"/>
    <w:rsid w:val="00CD5001"/>
    <w:rsid w:val="00CD7779"/>
    <w:rsid w:val="00CE4A4F"/>
    <w:rsid w:val="00CE5150"/>
    <w:rsid w:val="00CE5191"/>
    <w:rsid w:val="00CE5D79"/>
    <w:rsid w:val="00CE61FC"/>
    <w:rsid w:val="00CE6D88"/>
    <w:rsid w:val="00CE7AF2"/>
    <w:rsid w:val="00CF1FE9"/>
    <w:rsid w:val="00CF22A4"/>
    <w:rsid w:val="00CF4875"/>
    <w:rsid w:val="00CF5B28"/>
    <w:rsid w:val="00CF6F55"/>
    <w:rsid w:val="00D000E4"/>
    <w:rsid w:val="00D05E12"/>
    <w:rsid w:val="00D10447"/>
    <w:rsid w:val="00D106D2"/>
    <w:rsid w:val="00D11459"/>
    <w:rsid w:val="00D122C1"/>
    <w:rsid w:val="00D12DEF"/>
    <w:rsid w:val="00D1353F"/>
    <w:rsid w:val="00D137C8"/>
    <w:rsid w:val="00D1386B"/>
    <w:rsid w:val="00D1396A"/>
    <w:rsid w:val="00D14824"/>
    <w:rsid w:val="00D14A9E"/>
    <w:rsid w:val="00D1519C"/>
    <w:rsid w:val="00D15781"/>
    <w:rsid w:val="00D159D2"/>
    <w:rsid w:val="00D1638B"/>
    <w:rsid w:val="00D2237D"/>
    <w:rsid w:val="00D22F7D"/>
    <w:rsid w:val="00D244BC"/>
    <w:rsid w:val="00D25BFC"/>
    <w:rsid w:val="00D26F6F"/>
    <w:rsid w:val="00D2741B"/>
    <w:rsid w:val="00D321D6"/>
    <w:rsid w:val="00D33D88"/>
    <w:rsid w:val="00D35107"/>
    <w:rsid w:val="00D36FC6"/>
    <w:rsid w:val="00D375AF"/>
    <w:rsid w:val="00D37AB5"/>
    <w:rsid w:val="00D41AEA"/>
    <w:rsid w:val="00D424F6"/>
    <w:rsid w:val="00D424FE"/>
    <w:rsid w:val="00D4559F"/>
    <w:rsid w:val="00D45730"/>
    <w:rsid w:val="00D461B7"/>
    <w:rsid w:val="00D4634D"/>
    <w:rsid w:val="00D50288"/>
    <w:rsid w:val="00D50C3B"/>
    <w:rsid w:val="00D50D77"/>
    <w:rsid w:val="00D5196B"/>
    <w:rsid w:val="00D545FF"/>
    <w:rsid w:val="00D54BF5"/>
    <w:rsid w:val="00D552BD"/>
    <w:rsid w:val="00D56458"/>
    <w:rsid w:val="00D5709A"/>
    <w:rsid w:val="00D6456F"/>
    <w:rsid w:val="00D652CF"/>
    <w:rsid w:val="00D67882"/>
    <w:rsid w:val="00D71D80"/>
    <w:rsid w:val="00D73CB6"/>
    <w:rsid w:val="00D74E58"/>
    <w:rsid w:val="00D76BC6"/>
    <w:rsid w:val="00D818C3"/>
    <w:rsid w:val="00D82CE7"/>
    <w:rsid w:val="00D83861"/>
    <w:rsid w:val="00D84C4F"/>
    <w:rsid w:val="00D87138"/>
    <w:rsid w:val="00D912A8"/>
    <w:rsid w:val="00D91FDE"/>
    <w:rsid w:val="00D92BF8"/>
    <w:rsid w:val="00D932D2"/>
    <w:rsid w:val="00D94B5B"/>
    <w:rsid w:val="00D94F94"/>
    <w:rsid w:val="00D978FF"/>
    <w:rsid w:val="00D97FF9"/>
    <w:rsid w:val="00DA19F5"/>
    <w:rsid w:val="00DA1A2F"/>
    <w:rsid w:val="00DA2813"/>
    <w:rsid w:val="00DA35C4"/>
    <w:rsid w:val="00DA3A14"/>
    <w:rsid w:val="00DA41EB"/>
    <w:rsid w:val="00DA44AB"/>
    <w:rsid w:val="00DA4533"/>
    <w:rsid w:val="00DA5109"/>
    <w:rsid w:val="00DA6F64"/>
    <w:rsid w:val="00DB13C4"/>
    <w:rsid w:val="00DB1815"/>
    <w:rsid w:val="00DB1BD9"/>
    <w:rsid w:val="00DB202F"/>
    <w:rsid w:val="00DB2FE0"/>
    <w:rsid w:val="00DB523C"/>
    <w:rsid w:val="00DC1A2F"/>
    <w:rsid w:val="00DC28BA"/>
    <w:rsid w:val="00DC2E25"/>
    <w:rsid w:val="00DC2E40"/>
    <w:rsid w:val="00DC54F3"/>
    <w:rsid w:val="00DC5BBB"/>
    <w:rsid w:val="00DC6C0D"/>
    <w:rsid w:val="00DC6DBB"/>
    <w:rsid w:val="00DC6EC1"/>
    <w:rsid w:val="00DC7146"/>
    <w:rsid w:val="00DC7E74"/>
    <w:rsid w:val="00DD2347"/>
    <w:rsid w:val="00DD34FC"/>
    <w:rsid w:val="00DD4621"/>
    <w:rsid w:val="00DD568D"/>
    <w:rsid w:val="00DD753F"/>
    <w:rsid w:val="00DD77D5"/>
    <w:rsid w:val="00DE21D9"/>
    <w:rsid w:val="00DE2E04"/>
    <w:rsid w:val="00DE490C"/>
    <w:rsid w:val="00DE5959"/>
    <w:rsid w:val="00DE65B5"/>
    <w:rsid w:val="00DE7709"/>
    <w:rsid w:val="00DE796E"/>
    <w:rsid w:val="00DF11C0"/>
    <w:rsid w:val="00DF1BA8"/>
    <w:rsid w:val="00DF439B"/>
    <w:rsid w:val="00DF4A4B"/>
    <w:rsid w:val="00DF5240"/>
    <w:rsid w:val="00DF5283"/>
    <w:rsid w:val="00DF55CE"/>
    <w:rsid w:val="00DF66A5"/>
    <w:rsid w:val="00DF7851"/>
    <w:rsid w:val="00DF7F9A"/>
    <w:rsid w:val="00E03553"/>
    <w:rsid w:val="00E04474"/>
    <w:rsid w:val="00E072C2"/>
    <w:rsid w:val="00E1062A"/>
    <w:rsid w:val="00E128FF"/>
    <w:rsid w:val="00E134BD"/>
    <w:rsid w:val="00E14B52"/>
    <w:rsid w:val="00E16F1D"/>
    <w:rsid w:val="00E1799D"/>
    <w:rsid w:val="00E2000D"/>
    <w:rsid w:val="00E20A63"/>
    <w:rsid w:val="00E21646"/>
    <w:rsid w:val="00E21859"/>
    <w:rsid w:val="00E2456B"/>
    <w:rsid w:val="00E24879"/>
    <w:rsid w:val="00E265CE"/>
    <w:rsid w:val="00E26884"/>
    <w:rsid w:val="00E268E9"/>
    <w:rsid w:val="00E30A2A"/>
    <w:rsid w:val="00E31703"/>
    <w:rsid w:val="00E31D34"/>
    <w:rsid w:val="00E34439"/>
    <w:rsid w:val="00E3645B"/>
    <w:rsid w:val="00E37284"/>
    <w:rsid w:val="00E3759E"/>
    <w:rsid w:val="00E4079A"/>
    <w:rsid w:val="00E41219"/>
    <w:rsid w:val="00E413CA"/>
    <w:rsid w:val="00E41A34"/>
    <w:rsid w:val="00E4305F"/>
    <w:rsid w:val="00E508BC"/>
    <w:rsid w:val="00E525AD"/>
    <w:rsid w:val="00E53CC0"/>
    <w:rsid w:val="00E54FA7"/>
    <w:rsid w:val="00E5546F"/>
    <w:rsid w:val="00E574E1"/>
    <w:rsid w:val="00E611E8"/>
    <w:rsid w:val="00E6141F"/>
    <w:rsid w:val="00E61EFB"/>
    <w:rsid w:val="00E63AE5"/>
    <w:rsid w:val="00E64F2B"/>
    <w:rsid w:val="00E64FEA"/>
    <w:rsid w:val="00E65B7C"/>
    <w:rsid w:val="00E66FEB"/>
    <w:rsid w:val="00E707FA"/>
    <w:rsid w:val="00E720A2"/>
    <w:rsid w:val="00E73609"/>
    <w:rsid w:val="00E76FF1"/>
    <w:rsid w:val="00E779EC"/>
    <w:rsid w:val="00E85714"/>
    <w:rsid w:val="00E86786"/>
    <w:rsid w:val="00E86C77"/>
    <w:rsid w:val="00E86C82"/>
    <w:rsid w:val="00E87146"/>
    <w:rsid w:val="00E87E0B"/>
    <w:rsid w:val="00E91491"/>
    <w:rsid w:val="00E91BC5"/>
    <w:rsid w:val="00E92FF9"/>
    <w:rsid w:val="00E95A65"/>
    <w:rsid w:val="00E97CAA"/>
    <w:rsid w:val="00EA0CF8"/>
    <w:rsid w:val="00EA174D"/>
    <w:rsid w:val="00EA3879"/>
    <w:rsid w:val="00EA590F"/>
    <w:rsid w:val="00EA5C08"/>
    <w:rsid w:val="00EA6867"/>
    <w:rsid w:val="00EA6ADF"/>
    <w:rsid w:val="00EB1F70"/>
    <w:rsid w:val="00EB412B"/>
    <w:rsid w:val="00EB61EE"/>
    <w:rsid w:val="00EB664A"/>
    <w:rsid w:val="00EB7D18"/>
    <w:rsid w:val="00EC20D0"/>
    <w:rsid w:val="00EC368D"/>
    <w:rsid w:val="00EC3B7C"/>
    <w:rsid w:val="00EC3D97"/>
    <w:rsid w:val="00EC56B8"/>
    <w:rsid w:val="00EC5922"/>
    <w:rsid w:val="00EC6245"/>
    <w:rsid w:val="00EC6E75"/>
    <w:rsid w:val="00ED022C"/>
    <w:rsid w:val="00ED05B3"/>
    <w:rsid w:val="00ED0E91"/>
    <w:rsid w:val="00ED16DC"/>
    <w:rsid w:val="00ED1A24"/>
    <w:rsid w:val="00ED2692"/>
    <w:rsid w:val="00ED3B44"/>
    <w:rsid w:val="00ED45A0"/>
    <w:rsid w:val="00ED47A6"/>
    <w:rsid w:val="00EE0F73"/>
    <w:rsid w:val="00EE0FF1"/>
    <w:rsid w:val="00EE2FFE"/>
    <w:rsid w:val="00EE6B76"/>
    <w:rsid w:val="00EE74C7"/>
    <w:rsid w:val="00EE798A"/>
    <w:rsid w:val="00EF00AD"/>
    <w:rsid w:val="00EF0186"/>
    <w:rsid w:val="00EF0B09"/>
    <w:rsid w:val="00EF14AC"/>
    <w:rsid w:val="00EF22D3"/>
    <w:rsid w:val="00EF24EA"/>
    <w:rsid w:val="00EF25F3"/>
    <w:rsid w:val="00EF7AA9"/>
    <w:rsid w:val="00F00348"/>
    <w:rsid w:val="00F02163"/>
    <w:rsid w:val="00F029D4"/>
    <w:rsid w:val="00F044DF"/>
    <w:rsid w:val="00F05A3B"/>
    <w:rsid w:val="00F06131"/>
    <w:rsid w:val="00F0687B"/>
    <w:rsid w:val="00F078A5"/>
    <w:rsid w:val="00F10074"/>
    <w:rsid w:val="00F12438"/>
    <w:rsid w:val="00F15B96"/>
    <w:rsid w:val="00F20DCE"/>
    <w:rsid w:val="00F21962"/>
    <w:rsid w:val="00F228F7"/>
    <w:rsid w:val="00F243EF"/>
    <w:rsid w:val="00F2473D"/>
    <w:rsid w:val="00F26BD2"/>
    <w:rsid w:val="00F315A4"/>
    <w:rsid w:val="00F316D8"/>
    <w:rsid w:val="00F36DF5"/>
    <w:rsid w:val="00F42AB6"/>
    <w:rsid w:val="00F42E72"/>
    <w:rsid w:val="00F44B7B"/>
    <w:rsid w:val="00F450CE"/>
    <w:rsid w:val="00F458BF"/>
    <w:rsid w:val="00F45EC4"/>
    <w:rsid w:val="00F46B4F"/>
    <w:rsid w:val="00F46EBD"/>
    <w:rsid w:val="00F47609"/>
    <w:rsid w:val="00F50617"/>
    <w:rsid w:val="00F508D0"/>
    <w:rsid w:val="00F50FBF"/>
    <w:rsid w:val="00F530AA"/>
    <w:rsid w:val="00F53FC4"/>
    <w:rsid w:val="00F56BDA"/>
    <w:rsid w:val="00F57C09"/>
    <w:rsid w:val="00F611C1"/>
    <w:rsid w:val="00F61379"/>
    <w:rsid w:val="00F6226A"/>
    <w:rsid w:val="00F62511"/>
    <w:rsid w:val="00F64DF3"/>
    <w:rsid w:val="00F65371"/>
    <w:rsid w:val="00F66194"/>
    <w:rsid w:val="00F6777E"/>
    <w:rsid w:val="00F67AE8"/>
    <w:rsid w:val="00F70A1F"/>
    <w:rsid w:val="00F71021"/>
    <w:rsid w:val="00F7251E"/>
    <w:rsid w:val="00F737F3"/>
    <w:rsid w:val="00F73ACA"/>
    <w:rsid w:val="00F74A71"/>
    <w:rsid w:val="00F76A62"/>
    <w:rsid w:val="00F8291E"/>
    <w:rsid w:val="00F83C22"/>
    <w:rsid w:val="00F83EA0"/>
    <w:rsid w:val="00F8679D"/>
    <w:rsid w:val="00F90FF3"/>
    <w:rsid w:val="00F92A0C"/>
    <w:rsid w:val="00F94635"/>
    <w:rsid w:val="00F94A83"/>
    <w:rsid w:val="00F956AE"/>
    <w:rsid w:val="00F95E96"/>
    <w:rsid w:val="00F96087"/>
    <w:rsid w:val="00F97180"/>
    <w:rsid w:val="00F97638"/>
    <w:rsid w:val="00FA03C2"/>
    <w:rsid w:val="00FA2A17"/>
    <w:rsid w:val="00FA483A"/>
    <w:rsid w:val="00FA63F5"/>
    <w:rsid w:val="00FA7884"/>
    <w:rsid w:val="00FB0BA1"/>
    <w:rsid w:val="00FB1440"/>
    <w:rsid w:val="00FB175A"/>
    <w:rsid w:val="00FB2142"/>
    <w:rsid w:val="00FB49BD"/>
    <w:rsid w:val="00FB5832"/>
    <w:rsid w:val="00FB6C6E"/>
    <w:rsid w:val="00FB7B8A"/>
    <w:rsid w:val="00FC0506"/>
    <w:rsid w:val="00FC19F4"/>
    <w:rsid w:val="00FC1F16"/>
    <w:rsid w:val="00FD27E6"/>
    <w:rsid w:val="00FD2A52"/>
    <w:rsid w:val="00FD412C"/>
    <w:rsid w:val="00FD5237"/>
    <w:rsid w:val="00FD57CE"/>
    <w:rsid w:val="00FD6771"/>
    <w:rsid w:val="00FD6B0D"/>
    <w:rsid w:val="00FD7C42"/>
    <w:rsid w:val="00FE14EE"/>
    <w:rsid w:val="00FE3F38"/>
    <w:rsid w:val="00FE3FB7"/>
    <w:rsid w:val="00FE5909"/>
    <w:rsid w:val="00FE5C95"/>
    <w:rsid w:val="00FE6960"/>
    <w:rsid w:val="00FE72B7"/>
    <w:rsid w:val="00FE7A9F"/>
    <w:rsid w:val="00FF0320"/>
    <w:rsid w:val="00FF1CB1"/>
    <w:rsid w:val="00FF5022"/>
    <w:rsid w:val="00FF5949"/>
    <w:rsid w:val="00FF679D"/>
    <w:rsid w:val="00FF73BF"/>
    <w:rsid w:val="48D56CA5"/>
    <w:rsid w:val="55A27110"/>
    <w:rsid w:val="5BA252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DCD328"/>
  <w15:docId w15:val="{738A1D82-36F1-459E-8B27-CD0E11338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2">
    <w:name w:val="heading 2"/>
    <w:basedOn w:val="a"/>
    <w:next w:val="a0"/>
    <w:qFormat/>
    <w:pPr>
      <w:keepNext/>
      <w:keepLines/>
      <w:spacing w:before="260" w:after="260" w:line="416" w:lineRule="auto"/>
      <w:outlineLvl w:val="1"/>
    </w:pPr>
    <w:rPr>
      <w:rFonts w:ascii="Arial" w:eastAsia="黑体" w:hAnsi="Arial"/>
      <w:b/>
      <w:sz w:val="32"/>
      <w:szCs w:val="20"/>
    </w:rPr>
  </w:style>
  <w:style w:type="paragraph" w:styleId="3">
    <w:name w:val="heading 3"/>
    <w:basedOn w:val="a"/>
    <w:next w:val="a"/>
    <w:link w:val="30"/>
    <w:semiHidden/>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7">
    <w:name w:val="toc 7"/>
    <w:basedOn w:val="a"/>
    <w:next w:val="a"/>
    <w:semiHidden/>
    <w:qFormat/>
    <w:pPr>
      <w:ind w:leftChars="1200" w:left="2520"/>
    </w:pPr>
  </w:style>
  <w:style w:type="paragraph" w:styleId="a4">
    <w:name w:val="annotation text"/>
    <w:basedOn w:val="a"/>
    <w:link w:val="a5"/>
    <w:qFormat/>
    <w:pPr>
      <w:jc w:val="left"/>
    </w:pPr>
  </w:style>
  <w:style w:type="paragraph" w:styleId="a6">
    <w:name w:val="Body Text"/>
    <w:basedOn w:val="a"/>
    <w:qFormat/>
    <w:pPr>
      <w:spacing w:line="360" w:lineRule="auto"/>
    </w:pPr>
    <w:rPr>
      <w:rFonts w:ascii="仿宋_GB2312" w:eastAsia="仿宋_GB2312"/>
      <w:color w:val="000000"/>
      <w:kern w:val="0"/>
      <w:sz w:val="24"/>
      <w:szCs w:val="28"/>
    </w:rPr>
  </w:style>
  <w:style w:type="paragraph" w:styleId="a7">
    <w:name w:val="Body Text Indent"/>
    <w:basedOn w:val="a"/>
    <w:qFormat/>
    <w:pPr>
      <w:adjustRightInd w:val="0"/>
      <w:snapToGrid w:val="0"/>
      <w:spacing w:line="560" w:lineRule="exact"/>
      <w:ind w:firstLineChars="200" w:firstLine="480"/>
    </w:pPr>
    <w:rPr>
      <w:rFonts w:eastAsia="方正仿宋简体"/>
      <w:sz w:val="24"/>
      <w:szCs w:val="30"/>
    </w:rPr>
  </w:style>
  <w:style w:type="paragraph" w:styleId="5">
    <w:name w:val="toc 5"/>
    <w:basedOn w:val="a"/>
    <w:next w:val="a"/>
    <w:semiHidden/>
    <w:qFormat/>
    <w:pPr>
      <w:ind w:leftChars="800" w:left="1680"/>
    </w:pPr>
  </w:style>
  <w:style w:type="paragraph" w:styleId="31">
    <w:name w:val="toc 3"/>
    <w:basedOn w:val="a"/>
    <w:next w:val="a"/>
    <w:semiHidden/>
    <w:qFormat/>
    <w:pPr>
      <w:ind w:leftChars="400" w:left="840"/>
    </w:pPr>
  </w:style>
  <w:style w:type="paragraph" w:styleId="8">
    <w:name w:val="toc 8"/>
    <w:basedOn w:val="a"/>
    <w:next w:val="a"/>
    <w:semiHidden/>
    <w:qFormat/>
    <w:pPr>
      <w:ind w:leftChars="1400" w:left="2940"/>
    </w:pPr>
  </w:style>
  <w:style w:type="paragraph" w:styleId="20">
    <w:name w:val="Body Text Indent 2"/>
    <w:basedOn w:val="a"/>
    <w:qFormat/>
    <w:pPr>
      <w:spacing w:line="360" w:lineRule="auto"/>
      <w:ind w:firstLine="525"/>
    </w:pPr>
    <w:rPr>
      <w:rFonts w:ascii="宋体" w:hAnsi="宋体"/>
      <w:sz w:val="28"/>
      <w:szCs w:val="20"/>
    </w:rPr>
  </w:style>
  <w:style w:type="paragraph" w:styleId="a8">
    <w:name w:val="Balloon Text"/>
    <w:basedOn w:val="a"/>
    <w:semiHidden/>
    <w:qFormat/>
    <w:rPr>
      <w:sz w:val="18"/>
      <w:szCs w:val="18"/>
    </w:rPr>
  </w:style>
  <w:style w:type="paragraph" w:styleId="a9">
    <w:name w:val="footer"/>
    <w:basedOn w:val="a"/>
    <w:qFormat/>
    <w:pPr>
      <w:tabs>
        <w:tab w:val="center" w:pos="4153"/>
        <w:tab w:val="right" w:pos="8306"/>
      </w:tabs>
      <w:snapToGrid w:val="0"/>
      <w:jc w:val="left"/>
    </w:pPr>
    <w:rPr>
      <w:sz w:val="18"/>
      <w:szCs w:val="18"/>
    </w:rPr>
  </w:style>
  <w:style w:type="paragraph" w:styleId="aa">
    <w:name w:val="header"/>
    <w:basedOn w:val="a"/>
    <w:qFormat/>
    <w:pPr>
      <w:pBdr>
        <w:bottom w:val="single" w:sz="6" w:space="1" w:color="auto"/>
      </w:pBdr>
      <w:tabs>
        <w:tab w:val="center" w:pos="4153"/>
        <w:tab w:val="right" w:pos="8306"/>
      </w:tabs>
      <w:snapToGrid w:val="0"/>
      <w:jc w:val="center"/>
    </w:pPr>
    <w:rPr>
      <w:sz w:val="18"/>
      <w:szCs w:val="18"/>
    </w:rPr>
  </w:style>
  <w:style w:type="paragraph" w:styleId="1">
    <w:name w:val="toc 1"/>
    <w:basedOn w:val="a"/>
    <w:next w:val="a"/>
    <w:semiHidden/>
    <w:qFormat/>
  </w:style>
  <w:style w:type="paragraph" w:styleId="4">
    <w:name w:val="toc 4"/>
    <w:basedOn w:val="a"/>
    <w:next w:val="a"/>
    <w:semiHidden/>
    <w:qFormat/>
    <w:pPr>
      <w:ind w:leftChars="600" w:left="1260"/>
    </w:pPr>
  </w:style>
  <w:style w:type="paragraph" w:styleId="6">
    <w:name w:val="toc 6"/>
    <w:basedOn w:val="a"/>
    <w:next w:val="a"/>
    <w:semiHidden/>
    <w:qFormat/>
    <w:pPr>
      <w:ind w:leftChars="1000" w:left="2100"/>
    </w:pPr>
  </w:style>
  <w:style w:type="paragraph" w:styleId="32">
    <w:name w:val="Body Text Indent 3"/>
    <w:basedOn w:val="a"/>
    <w:qFormat/>
    <w:pPr>
      <w:adjustRightInd w:val="0"/>
      <w:snapToGrid w:val="0"/>
      <w:ind w:firstLineChars="200" w:firstLine="480"/>
    </w:pPr>
    <w:rPr>
      <w:rFonts w:ascii="仿宋_GB2312" w:eastAsia="仿宋_GB2312" w:hAnsi="宋体" w:cs="Arial"/>
      <w:color w:val="000000"/>
      <w:sz w:val="24"/>
    </w:rPr>
  </w:style>
  <w:style w:type="paragraph" w:styleId="21">
    <w:name w:val="toc 2"/>
    <w:basedOn w:val="a"/>
    <w:next w:val="a"/>
    <w:semiHidden/>
    <w:qFormat/>
    <w:pPr>
      <w:ind w:leftChars="200" w:left="420"/>
    </w:pPr>
  </w:style>
  <w:style w:type="paragraph" w:styleId="9">
    <w:name w:val="toc 9"/>
    <w:basedOn w:val="a"/>
    <w:next w:val="a"/>
    <w:semiHidden/>
    <w:qFormat/>
    <w:pPr>
      <w:ind w:leftChars="1600" w:left="3360"/>
    </w:p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b">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paragraph" w:styleId="ac">
    <w:name w:val="annotation subject"/>
    <w:basedOn w:val="a4"/>
    <w:next w:val="a4"/>
    <w:link w:val="ad"/>
    <w:qFormat/>
    <w:rPr>
      <w:b/>
      <w:bCs/>
    </w:rPr>
  </w:style>
  <w:style w:type="character" w:styleId="ae">
    <w:name w:val="Strong"/>
    <w:basedOn w:val="a1"/>
    <w:qFormat/>
    <w:rPr>
      <w:b/>
      <w:bCs/>
    </w:rPr>
  </w:style>
  <w:style w:type="character" w:styleId="af">
    <w:name w:val="page number"/>
    <w:basedOn w:val="a1"/>
    <w:qFormat/>
  </w:style>
  <w:style w:type="character" w:styleId="af0">
    <w:name w:val="FollowedHyperlink"/>
    <w:basedOn w:val="a1"/>
    <w:qFormat/>
    <w:rPr>
      <w:color w:val="800080"/>
      <w:u w:val="single"/>
    </w:rPr>
  </w:style>
  <w:style w:type="character" w:styleId="af1">
    <w:name w:val="Hyperlink"/>
    <w:basedOn w:val="a1"/>
    <w:qFormat/>
    <w:rPr>
      <w:color w:val="0000FF"/>
      <w:u w:val="single"/>
    </w:rPr>
  </w:style>
  <w:style w:type="character" w:styleId="af2">
    <w:name w:val="annotation reference"/>
    <w:basedOn w:val="a1"/>
    <w:qFormat/>
    <w:rPr>
      <w:sz w:val="21"/>
      <w:szCs w:val="21"/>
    </w:rPr>
  </w:style>
  <w:style w:type="paragraph" w:customStyle="1" w:styleId="wz1">
    <w:name w:val="wz1"/>
    <w:basedOn w:val="a"/>
    <w:qFormat/>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character" w:customStyle="1" w:styleId="read">
    <w:name w:val="read"/>
    <w:basedOn w:val="a1"/>
    <w:qFormat/>
  </w:style>
  <w:style w:type="paragraph" w:customStyle="1" w:styleId="Char">
    <w:name w:val="Char"/>
    <w:basedOn w:val="a"/>
    <w:qFormat/>
  </w:style>
  <w:style w:type="paragraph" w:customStyle="1" w:styleId="Char1">
    <w:name w:val="Char1"/>
    <w:basedOn w:val="a"/>
    <w:qFormat/>
    <w:pPr>
      <w:tabs>
        <w:tab w:val="left" w:pos="832"/>
      </w:tabs>
      <w:ind w:left="832" w:hanging="420"/>
      <w:jc w:val="center"/>
    </w:pPr>
    <w:rPr>
      <w:rFonts w:ascii="楷体_GB2312" w:eastAsia="楷体_GB2312"/>
      <w:b/>
      <w:color w:val="000080"/>
      <w:sz w:val="30"/>
      <w:szCs w:val="30"/>
    </w:rPr>
  </w:style>
  <w:style w:type="paragraph" w:customStyle="1" w:styleId="CharCharChar">
    <w:name w:val="Char Char Char"/>
    <w:basedOn w:val="a"/>
    <w:qFormat/>
  </w:style>
  <w:style w:type="paragraph" w:customStyle="1" w:styleId="CharCharCharCharCharCharChar1CharCharCharCharCharChar">
    <w:name w:val="Char Char Char Char Char Char Char1 Char Char Char Char Char Char"/>
    <w:basedOn w:val="a"/>
    <w:qFormat/>
  </w:style>
  <w:style w:type="paragraph" w:customStyle="1" w:styleId="CharChar">
    <w:name w:val="Char Char"/>
    <w:basedOn w:val="a"/>
    <w:qFormat/>
    <w:rPr>
      <w:szCs w:val="20"/>
    </w:rPr>
  </w:style>
  <w:style w:type="character" w:customStyle="1" w:styleId="HTML0">
    <w:name w:val="HTML 预设格式 字符"/>
    <w:basedOn w:val="a1"/>
    <w:link w:val="HTML"/>
    <w:uiPriority w:val="99"/>
    <w:qFormat/>
    <w:rPr>
      <w:rFonts w:ascii="宋体" w:hAnsi="宋体" w:cs="宋体"/>
      <w:sz w:val="24"/>
      <w:szCs w:val="24"/>
    </w:rPr>
  </w:style>
  <w:style w:type="character" w:customStyle="1" w:styleId="a5">
    <w:name w:val="批注文字 字符"/>
    <w:basedOn w:val="a1"/>
    <w:link w:val="a4"/>
    <w:qFormat/>
    <w:rPr>
      <w:kern w:val="2"/>
      <w:sz w:val="21"/>
      <w:szCs w:val="24"/>
    </w:rPr>
  </w:style>
  <w:style w:type="character" w:customStyle="1" w:styleId="ad">
    <w:name w:val="批注主题 字符"/>
    <w:basedOn w:val="a5"/>
    <w:link w:val="ac"/>
    <w:qFormat/>
    <w:rPr>
      <w:kern w:val="2"/>
      <w:sz w:val="21"/>
      <w:szCs w:val="24"/>
    </w:rPr>
  </w:style>
  <w:style w:type="paragraph" w:customStyle="1" w:styleId="Default">
    <w:name w:val="Default"/>
    <w:qFormat/>
    <w:pPr>
      <w:widowControl w:val="0"/>
      <w:autoSpaceDE w:val="0"/>
      <w:autoSpaceDN w:val="0"/>
      <w:adjustRightInd w:val="0"/>
    </w:pPr>
    <w:rPr>
      <w:rFonts w:ascii="仿宋_GB2312" w:eastAsia="仿宋_GB2312" w:cs="仿宋_GB2312"/>
      <w:color w:val="000000"/>
      <w:sz w:val="24"/>
      <w:szCs w:val="24"/>
    </w:rPr>
  </w:style>
  <w:style w:type="paragraph" w:styleId="af3">
    <w:name w:val="List Paragraph"/>
    <w:basedOn w:val="a"/>
    <w:uiPriority w:val="34"/>
    <w:qFormat/>
    <w:pPr>
      <w:ind w:firstLineChars="200" w:firstLine="420"/>
    </w:pPr>
    <w:rPr>
      <w:rFonts w:ascii="Calibri" w:hAnsi="Calibri"/>
      <w:szCs w:val="22"/>
    </w:rPr>
  </w:style>
  <w:style w:type="paragraph" w:customStyle="1" w:styleId="10">
    <w:name w:val="修订1"/>
    <w:hidden/>
    <w:uiPriority w:val="99"/>
    <w:semiHidden/>
    <w:qFormat/>
    <w:rPr>
      <w:kern w:val="2"/>
      <w:sz w:val="21"/>
      <w:szCs w:val="24"/>
    </w:rPr>
  </w:style>
  <w:style w:type="character" w:customStyle="1" w:styleId="30">
    <w:name w:val="标题 3 字符"/>
    <w:basedOn w:val="a1"/>
    <w:link w:val="3"/>
    <w:semiHidden/>
    <w:qFormat/>
    <w:rPr>
      <w:b/>
      <w:bCs/>
      <w:kern w:val="2"/>
      <w:sz w:val="32"/>
      <w:szCs w:val="32"/>
    </w:rPr>
  </w:style>
  <w:style w:type="paragraph" w:customStyle="1" w:styleId="Style6">
    <w:name w:val="_Style 6"/>
    <w:basedOn w:val="a"/>
    <w:next w:val="a"/>
    <w:qFormat/>
    <w:pPr>
      <w:adjustRightInd w:val="0"/>
      <w:snapToGrid w:val="0"/>
      <w:ind w:firstLineChars="200" w:firstLine="480"/>
    </w:pPr>
    <w:rPr>
      <w:rFonts w:ascii="仿宋_GB2312" w:eastAsia="仿宋_GB2312" w:hAnsi="宋体"/>
      <w:color w:val="000000"/>
      <w:sz w:val="24"/>
      <w:szCs w:val="20"/>
    </w:rPr>
  </w:style>
  <w:style w:type="paragraph" w:customStyle="1" w:styleId="22">
    <w:name w:val="修订2"/>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6C1627-B358-4481-B6B2-F38928014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965</TotalTime>
  <Pages>40</Pages>
  <Words>5289</Words>
  <Characters>30149</Characters>
  <DocSecurity>0</DocSecurity>
  <Lines>251</Lines>
  <Paragraphs>70</Paragraphs>
  <ScaleCrop>false</ScaleCrop>
  <LinksUpToDate>false</LinksUpToDate>
  <CharactersWithSpaces>35368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2025-12-23T06:44:00Z</cp:lastPrinted>
  <dcterms:created xsi:type="dcterms:W3CDTF">2025-03-03T09:01:00Z</dcterms:created>
  <dcterms:modified xsi:type="dcterms:W3CDTF">2026-01-16T01:16:00Z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4FA04AE977FA4FA09DDAF93B54D1DB30_13</vt:lpwstr>
  </property>
  <property fmtid="{D5CDD505-2E9C-101B-9397-08002B2CF9AE}" pid="4" name="KSOTemplateDocerSaveRecord">
    <vt:lpwstr>eyJoZGlkIjoiODhjYzVlNWM1MmM3MDdjZGVhNTBiNzI2MjYwYTQ3MDUiLCJ1c2VySWQiOiIzMDIwMTM0MjgifQ==</vt:lpwstr>
  </property>
</Properties>
</file>