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AD3A6F">
      <w:pPr>
        <w:autoSpaceDE w:val="0"/>
        <w:autoSpaceDN w:val="0"/>
        <w:adjustRightInd w:val="0"/>
        <w:jc w:val="center"/>
        <w:rPr>
          <w:rFonts w:ascii="方正仿宋简体" w:eastAsia="方正仿宋简体" w:hAnsiTheme="minorEastAsia" w:cs="仿宋_GB2312"/>
          <w:kern w:val="0"/>
          <w:sz w:val="36"/>
          <w:szCs w:val="36"/>
        </w:rPr>
      </w:pPr>
    </w:p>
    <w:p w:rsidR="00AD3A6F">
      <w:pPr>
        <w:autoSpaceDE w:val="0"/>
        <w:autoSpaceDN w:val="0"/>
        <w:adjustRightInd w:val="0"/>
        <w:jc w:val="center"/>
        <w:rPr>
          <w:rFonts w:ascii="方正仿宋简体" w:eastAsia="方正仿宋简体" w:hAnsiTheme="minorEastAsia" w:cs="仿宋_GB2312"/>
          <w:kern w:val="0"/>
          <w:sz w:val="36"/>
          <w:szCs w:val="36"/>
        </w:rPr>
      </w:pPr>
      <w:r>
        <w:rPr>
          <w:rFonts w:ascii="方正仿宋简体" w:eastAsia="方正仿宋简体" w:hAnsiTheme="minorEastAsia" w:cs="仿宋_GB2312" w:hint="eastAsia"/>
          <w:kern w:val="0"/>
          <w:sz w:val="36"/>
          <w:szCs w:val="36"/>
        </w:rPr>
        <w:t>易方达港股通消费混合型证券投资基金（易方达港股通消费混合</w:t>
      </w:r>
      <w:r>
        <w:rPr>
          <w:rFonts w:ascii="方正仿宋简体" w:eastAsia="方正仿宋简体" w:hAnsiTheme="minorEastAsia" w:cs="仿宋_GB2312" w:hint="eastAsia"/>
          <w:kern w:val="0"/>
          <w:sz w:val="36"/>
          <w:szCs w:val="36"/>
        </w:rPr>
        <w:t>C</w:t>
      </w:r>
      <w:r>
        <w:rPr>
          <w:rFonts w:ascii="方正仿宋简体" w:eastAsia="方正仿宋简体" w:hAnsiTheme="minorEastAsia" w:cs="仿宋_GB2312" w:hint="eastAsia"/>
          <w:kern w:val="0"/>
          <w:sz w:val="36"/>
          <w:szCs w:val="36"/>
        </w:rPr>
        <w:t>）基金产品资料概要</w:t>
      </w:r>
    </w:p>
    <w:p w:rsidR="00AD3A6F" w:rsidP="0086475C">
      <w:pPr>
        <w:autoSpaceDE w:val="0"/>
        <w:autoSpaceDN w:val="0"/>
        <w:adjustRightInd w:val="0"/>
        <w:jc w:val="center"/>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编制日期：</w:t>
      </w:r>
      <w:r w:rsidRPr="0086475C">
        <w:rPr>
          <w:rFonts w:ascii="方正仿宋简体" w:eastAsia="方正仿宋简体" w:hAnsi="方正仿宋简体" w:cs="方正仿宋简体" w:hint="eastAsia"/>
          <w:iCs/>
          <w:sz w:val="24"/>
          <w:szCs w:val="24"/>
        </w:rPr>
        <w:t>2026</w:t>
      </w:r>
      <w:r w:rsidRPr="0086475C">
        <w:rPr>
          <w:rFonts w:ascii="方正仿宋简体" w:eastAsia="方正仿宋简体" w:hAnsi="方正仿宋简体" w:cs="方正仿宋简体" w:hint="eastAsia"/>
          <w:iCs/>
          <w:sz w:val="24"/>
          <w:szCs w:val="24"/>
        </w:rPr>
        <w:t>年</w:t>
      </w:r>
      <w:r w:rsidRPr="0086475C">
        <w:rPr>
          <w:rFonts w:ascii="方正仿宋简体" w:eastAsia="方正仿宋简体" w:hAnsi="方正仿宋简体" w:cs="方正仿宋简体" w:hint="eastAsia"/>
          <w:iCs/>
          <w:sz w:val="24"/>
          <w:szCs w:val="24"/>
        </w:rPr>
        <w:t>1</w:t>
      </w:r>
      <w:r w:rsidRPr="0086475C">
        <w:rPr>
          <w:rFonts w:ascii="方正仿宋简体" w:eastAsia="方正仿宋简体" w:hAnsi="方正仿宋简体" w:cs="方正仿宋简体" w:hint="eastAsia"/>
          <w:iCs/>
          <w:sz w:val="24"/>
          <w:szCs w:val="24"/>
        </w:rPr>
        <w:t>月</w:t>
      </w:r>
      <w:r w:rsidRPr="0086475C">
        <w:rPr>
          <w:rFonts w:ascii="方正仿宋简体" w:eastAsia="方正仿宋简体" w:hAnsi="方正仿宋简体" w:cs="方正仿宋简体" w:hint="eastAsia"/>
          <w:iCs/>
          <w:sz w:val="24"/>
          <w:szCs w:val="24"/>
        </w:rPr>
        <w:t>14</w:t>
      </w:r>
      <w:r w:rsidRPr="0086475C">
        <w:rPr>
          <w:rFonts w:ascii="方正仿宋简体" w:eastAsia="方正仿宋简体" w:hAnsi="方正仿宋简体" w:cs="方正仿宋简体" w:hint="eastAsia"/>
          <w:iCs/>
          <w:sz w:val="24"/>
          <w:szCs w:val="24"/>
        </w:rPr>
        <w:t>日</w:t>
      </w:r>
    </w:p>
    <w:p w:rsidR="00AD3A6F">
      <w:pPr>
        <w:autoSpaceDE w:val="0"/>
        <w:autoSpaceDN w:val="0"/>
        <w:adjustRightInd w:val="0"/>
        <w:jc w:val="center"/>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送出日期：</w:t>
      </w:r>
      <w:r>
        <w:rPr>
          <w:rFonts w:ascii="方正仿宋简体" w:eastAsia="方正仿宋简体" w:hAnsi="方正仿宋简体" w:cs="方正仿宋简体" w:hint="eastAsia"/>
          <w:iCs/>
          <w:sz w:val="24"/>
          <w:szCs w:val="24"/>
        </w:rPr>
        <w:t>2026</w:t>
      </w:r>
      <w:r>
        <w:rPr>
          <w:rFonts w:ascii="方正仿宋简体" w:eastAsia="方正仿宋简体" w:hAnsi="方正仿宋简体" w:cs="方正仿宋简体" w:hint="eastAsia"/>
          <w:iCs/>
          <w:sz w:val="24"/>
          <w:szCs w:val="24"/>
        </w:rPr>
        <w:t>年</w:t>
      </w:r>
      <w:r>
        <w:rPr>
          <w:rFonts w:ascii="方正仿宋简体" w:eastAsia="方正仿宋简体" w:hAnsi="方正仿宋简体" w:cs="方正仿宋简体" w:hint="eastAsia"/>
          <w:iCs/>
          <w:sz w:val="24"/>
          <w:szCs w:val="24"/>
        </w:rPr>
        <w:t>1</w:t>
      </w:r>
      <w:r>
        <w:rPr>
          <w:rFonts w:ascii="方正仿宋简体" w:eastAsia="方正仿宋简体" w:hAnsi="方正仿宋简体" w:cs="方正仿宋简体" w:hint="eastAsia"/>
          <w:iCs/>
          <w:sz w:val="24"/>
          <w:szCs w:val="24"/>
        </w:rPr>
        <w:t>月</w:t>
      </w:r>
      <w:r>
        <w:rPr>
          <w:rFonts w:ascii="方正仿宋简体" w:eastAsia="方正仿宋简体" w:hAnsi="方正仿宋简体" w:cs="方正仿宋简体" w:hint="eastAsia"/>
          <w:iCs/>
          <w:sz w:val="24"/>
          <w:szCs w:val="24"/>
        </w:rPr>
        <w:t>15</w:t>
      </w:r>
      <w:r>
        <w:rPr>
          <w:rFonts w:ascii="方正仿宋简体" w:eastAsia="方正仿宋简体" w:hAnsi="方正仿宋简体" w:cs="方正仿宋简体" w:hint="eastAsia"/>
          <w:iCs/>
          <w:sz w:val="24"/>
          <w:szCs w:val="24"/>
        </w:rPr>
        <w:t>日</w:t>
      </w:r>
    </w:p>
    <w:p w:rsidR="00AD3A6F">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本概要提供本基金的重要信息，是招募说明书的一部分。</w:t>
      </w:r>
    </w:p>
    <w:p w:rsidR="00AD3A6F">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作出投资决定前，请阅读完整的招募说明书等销售文件。</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产品概况</w:t>
      </w:r>
    </w:p>
    <w:tbl>
      <w:tblPr>
        <w:tblStyle w:val="TableGrid"/>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tblPr>
      <w:tblGrid>
        <w:gridCol w:w="1952"/>
        <w:gridCol w:w="2408"/>
        <w:gridCol w:w="1703"/>
        <w:gridCol w:w="2459"/>
      </w:tblGrid>
      <w:tr w:rsidTr="00584DC5">
        <w:tblPrEx>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基金简称</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易方达港股通消费混合</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基金代码</w:t>
            </w:r>
          </w:p>
        </w:tc>
        <w:tc>
          <w:tcPr>
            <w:tcW w:w="1443" w:type="pct"/>
            <w:tcBorders>
              <w:bottom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026648</w:t>
            </w:r>
          </w:p>
        </w:tc>
      </w:tr>
      <w:tr w:rsidTr="00B212F4">
        <w:tblPrEx>
          <w:tblW w:w="5000" w:type="pct"/>
          <w:tblLayout w:type="fixed"/>
          <w:tblLook w:val="04A0"/>
        </w:tblPrEx>
        <w:trPr>
          <w:trHeight w:val="150"/>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下属基金简称</w:t>
            </w:r>
          </w:p>
        </w:tc>
        <w:tc>
          <w:tcPr>
            <w:tcW w:w="1413" w:type="pct"/>
            <w:tcBorders>
              <w:top w:val="dashSmallGap" w:sz="4" w:space="0" w:color="A6A6A6" w:themeColor="background1" w:themeShade="A6"/>
              <w:bottom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易方达港股通消费混合</w:t>
            </w:r>
            <w:r>
              <w:rPr>
                <w:rFonts w:ascii="方正仿宋简体" w:eastAsia="方正仿宋简体" w:hAnsiTheme="minorEastAsia" w:cs="方正仿宋简体"/>
                <w:iCs/>
              </w:rPr>
              <w:t>C</w:t>
            </w:r>
          </w:p>
        </w:tc>
        <w:tc>
          <w:tcPr>
            <w:tcW w:w="999"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026649</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基金管理人</w:t>
            </w:r>
          </w:p>
        </w:tc>
        <w:tc>
          <w:tcPr>
            <w:tcW w:w="1413"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易方达基金管理有限公司</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基金托管人</w:t>
            </w:r>
          </w:p>
        </w:tc>
        <w:tc>
          <w:tcPr>
            <w:tcW w:w="1443"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汇丰银行（中国）有限公司</w:t>
            </w:r>
            <w:r>
              <w:rPr>
                <w:rFonts w:ascii="方正仿宋简体" w:eastAsia="方正仿宋简体" w:hAnsiTheme="minorEastAsia" w:cs="方正仿宋简体" w:hint="eastAsia"/>
                <w:iCs/>
              </w:rPr>
              <w:t xml:space="preserve"> </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基金合同生效日</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w:t>
            </w:r>
          </w:p>
        </w:tc>
        <w:tc>
          <w:tcPr>
            <w:tcW w:w="999" w:type="pct"/>
            <w:vAlign w:val="center"/>
          </w:tcPr>
          <w:p w:rsidR="00AD3A6F">
            <w:pPr>
              <w:spacing w:line="280" w:lineRule="exact"/>
              <w:rPr>
                <w:rFonts w:ascii="方正仿宋简体" w:eastAsia="方正仿宋简体" w:hAnsiTheme="minorEastAsia" w:cs="方正仿宋简体"/>
                <w:b/>
                <w:iCs/>
              </w:rPr>
            </w:pPr>
          </w:p>
        </w:tc>
        <w:tc>
          <w:tcPr>
            <w:tcW w:w="1443" w:type="pct"/>
            <w:tcBorders>
              <w:top w:val="dashSmallGap" w:sz="4" w:space="0" w:color="A6A6A6" w:themeColor="background1" w:themeShade="A6"/>
              <w:bottom w:val="nil"/>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 xml:space="preserve"> </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基金类型</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混合型</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交易币种</w:t>
            </w:r>
          </w:p>
        </w:tc>
        <w:tc>
          <w:tcPr>
            <w:tcW w:w="1443"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人民币</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运作方式</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普通开放式</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开放频率</w:t>
            </w:r>
          </w:p>
        </w:tc>
        <w:tc>
          <w:tcPr>
            <w:tcW w:w="144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每个开放日</w:t>
            </w:r>
          </w:p>
        </w:tc>
      </w:tr>
      <w:tr w:rsidTr="005F360D">
        <w:tblPrEx>
          <w:tblW w:w="5000" w:type="pct"/>
          <w:tblLayout w:type="fixed"/>
          <w:tblLook w:val="04A0"/>
        </w:tblPrEx>
        <w:trPr>
          <w:trHeight w:val="454"/>
        </w:trPr>
        <w:tc>
          <w:tcPr>
            <w:tcW w:w="1145" w:type="pct"/>
            <w:vMerge w:val="restar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基金经理</w:t>
            </w:r>
          </w:p>
        </w:tc>
        <w:tc>
          <w:tcPr>
            <w:tcW w:w="1413" w:type="pct"/>
            <w:vMerge w:val="restar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李剑锋</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开始担任本基金基金经理的日期</w:t>
            </w:r>
          </w:p>
        </w:tc>
        <w:tc>
          <w:tcPr>
            <w:tcW w:w="144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w:t>
            </w:r>
          </w:p>
        </w:tc>
      </w:tr>
      <w:tr w:rsidTr="005F360D">
        <w:tblPrEx>
          <w:tblW w:w="5000" w:type="pct"/>
          <w:tblLayout w:type="fixed"/>
          <w:tblLook w:val="04A0"/>
        </w:tblPrEx>
        <w:trPr>
          <w:trHeight w:val="454"/>
        </w:trPr>
        <w:tc>
          <w:tcPr>
            <w:tcW w:w="1145" w:type="pct"/>
            <w:vMerge/>
            <w:vAlign w:val="center"/>
          </w:tcPr>
          <w:p w:rsidR="00AD3A6F">
            <w:pPr>
              <w:spacing w:line="280" w:lineRule="exact"/>
              <w:rPr>
                <w:rFonts w:ascii="方正仿宋简体" w:eastAsia="方正仿宋简体" w:hAnsiTheme="minorEastAsia" w:cs="方正仿宋简体"/>
                <w:b/>
                <w:iCs/>
              </w:rPr>
            </w:pPr>
          </w:p>
        </w:tc>
        <w:tc>
          <w:tcPr>
            <w:tcW w:w="1413" w:type="pct"/>
            <w:vMerge/>
            <w:vAlign w:val="center"/>
          </w:tcPr>
          <w:p w:rsidR="00AD3A6F">
            <w:pPr>
              <w:spacing w:line="280" w:lineRule="exact"/>
              <w:rPr>
                <w:rFonts w:ascii="方正仿宋简体" w:eastAsia="方正仿宋简体" w:hAnsiTheme="minorEastAsia" w:cs="方正仿宋简体"/>
                <w:b/>
                <w:iCs/>
              </w:rPr>
            </w:pP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证券从业日期</w:t>
            </w:r>
          </w:p>
        </w:tc>
        <w:tc>
          <w:tcPr>
            <w:tcW w:w="144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2005-07-04</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其他</w:t>
            </w:r>
          </w:p>
        </w:tc>
        <w:tc>
          <w:tcPr>
            <w:tcW w:w="3855" w:type="pct"/>
            <w:gridSpan w:val="3"/>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本基金场内投资采用证券公司交易和结算模式。</w:t>
            </w:r>
          </w:p>
        </w:tc>
      </w:tr>
    </w:tbl>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基金投资与净值表现</w:t>
      </w:r>
    </w:p>
    <w:p w:rsidR="00AD3A6F">
      <w:pPr>
        <w:pStyle w:val="ListParagraph"/>
        <w:numPr>
          <w:ilvl w:val="0"/>
          <w:numId w:val="2"/>
        </w:numPr>
        <w:spacing w:line="280" w:lineRule="exact"/>
        <w:ind w:firstLineChars="0"/>
        <w:outlineLvl w:val="1"/>
        <w:rPr>
          <w:rFonts w:ascii="方正仿宋简体" w:eastAsia="方正仿宋简体" w:hAnsiTheme="minorEastAsia" w:cs="方正仿宋简体"/>
          <w:b/>
          <w:iCs/>
          <w:sz w:val="24"/>
          <w:szCs w:val="24"/>
        </w:rPr>
      </w:pPr>
      <w:r>
        <w:rPr>
          <w:rFonts w:ascii="方正仿宋简体" w:eastAsia="方正仿宋简体" w:hAnsi="方正仿宋简体" w:cs="方正仿宋简体" w:hint="eastAsia"/>
          <w:b/>
          <w:iCs/>
          <w:sz w:val="24"/>
          <w:szCs w:val="24"/>
        </w:rPr>
        <w:t>投资目标与投资策略</w:t>
      </w:r>
    </w:p>
    <w:tbl>
      <w:tblPr>
        <w:tblStyle w:val="TableGrid"/>
        <w:tblW w:w="5000" w:type="pct"/>
        <w:tblBorders>
          <w:left w:val="none" w:sz="0" w:space="0" w:color="auto"/>
          <w:right w:val="none" w:sz="0" w:space="0" w:color="auto"/>
          <w:insideH w:val="dashSmallGap" w:sz="4" w:space="0" w:color="808080" w:themeColor="background1" w:themeShade="80"/>
          <w:insideV w:val="none" w:sz="0" w:space="0" w:color="auto"/>
        </w:tblBorders>
        <w:tblLook w:val="04A0"/>
      </w:tblPr>
      <w:tblGrid>
        <w:gridCol w:w="1952"/>
        <w:gridCol w:w="6570"/>
      </w:tblGrid>
      <w:tr w:rsidTr="004473DA">
        <w:tblPrEx>
          <w:tblW w:w="5000" w:type="pct"/>
          <w:tblBorders>
            <w:left w:val="none" w:sz="0" w:space="0" w:color="auto"/>
            <w:right w:val="none" w:sz="0" w:space="0" w:color="auto"/>
            <w:insideH w:val="dashSmallGap" w:sz="4" w:space="0" w:color="808080" w:themeColor="background1" w:themeShade="80"/>
            <w:insideV w:val="none" w:sz="0" w:space="0" w:color="auto"/>
          </w:tblBorders>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投资目标</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本基金在控制风险的前提下，追求超越业绩比较基准的投资回报。</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投资范围</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如法律法规或监管机构</w:t>
            </w:r>
            <w:r>
              <w:rPr>
                <w:rFonts w:ascii="方正仿宋简体" w:eastAsia="方正仿宋简体" w:hAnsiTheme="minorEastAsia" w:cs="仿宋_GB2312" w:hint="eastAsia"/>
                <w:kern w:val="0"/>
                <w:szCs w:val="24"/>
              </w:rPr>
              <w:t>以后允许基金投资其他品种，基金管理人在履行适当程序后，本基金可以将其纳入投资范围。</w:t>
            </w:r>
          </w:p>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基金的投资组合比例为：本基金股票资产占基金资产的比例为</w:t>
            </w:r>
            <w:r>
              <w:rPr>
                <w:rFonts w:ascii="方正仿宋简体" w:eastAsia="方正仿宋简体" w:hAnsiTheme="minorEastAsia" w:cs="仿宋_GB2312" w:hint="eastAsia"/>
                <w:kern w:val="0"/>
                <w:szCs w:val="24"/>
              </w:rPr>
              <w:t>60%-95%</w:t>
            </w:r>
            <w:r>
              <w:rPr>
                <w:rFonts w:ascii="方正仿宋简体" w:eastAsia="方正仿宋简体" w:hAnsiTheme="minorEastAsia" w:cs="仿宋_GB2312" w:hint="eastAsia"/>
                <w:kern w:val="0"/>
                <w:szCs w:val="24"/>
              </w:rPr>
              <w:t>；非现金基金资产中不低于</w:t>
            </w:r>
            <w:r>
              <w:rPr>
                <w:rFonts w:ascii="方正仿宋简体" w:eastAsia="方正仿宋简体" w:hAnsiTheme="minorEastAsia" w:cs="仿宋_GB2312" w:hint="eastAsia"/>
                <w:kern w:val="0"/>
                <w:szCs w:val="24"/>
              </w:rPr>
              <w:t>80%</w:t>
            </w:r>
            <w:r>
              <w:rPr>
                <w:rFonts w:ascii="方正仿宋简体" w:eastAsia="方正仿宋简体" w:hAnsiTheme="minorEastAsia" w:cs="仿宋_GB2312" w:hint="eastAsia"/>
                <w:kern w:val="0"/>
                <w:szCs w:val="24"/>
              </w:rPr>
              <w:t>的资产将投资于港股通股票；投资于消费主题相关股票的资产不低于非现金基金资产的</w:t>
            </w:r>
            <w:r>
              <w:rPr>
                <w:rFonts w:ascii="方正仿宋简体" w:eastAsia="方正仿宋简体" w:hAnsiTheme="minorEastAsia" w:cs="仿宋_GB2312" w:hint="eastAsia"/>
                <w:kern w:val="0"/>
                <w:szCs w:val="24"/>
              </w:rPr>
              <w:t>80%</w:t>
            </w:r>
            <w:r>
              <w:rPr>
                <w:rFonts w:ascii="方正仿宋简体" w:eastAsia="方正仿宋简体" w:hAnsiTheme="minorEastAsia" w:cs="仿宋_GB2312" w:hint="eastAsia"/>
                <w:kern w:val="0"/>
                <w:szCs w:val="24"/>
              </w:rPr>
              <w:t>；保持不低于基金资产净值</w:t>
            </w:r>
            <w:r>
              <w:rPr>
                <w:rFonts w:ascii="方正仿宋简体" w:eastAsia="方正仿宋简体" w:hAnsiTheme="minorEastAsia" w:cs="仿宋_GB2312" w:hint="eastAsia"/>
                <w:kern w:val="0"/>
                <w:szCs w:val="24"/>
              </w:rPr>
              <w:t>5%</w:t>
            </w:r>
            <w:r>
              <w:rPr>
                <w:rFonts w:ascii="方正仿宋简体" w:eastAsia="方正仿宋简体" w:hAnsiTheme="minorEastAsia" w:cs="仿宋_GB2312" w:hint="eastAsia"/>
                <w:kern w:val="0"/>
                <w:szCs w:val="24"/>
              </w:rPr>
              <w:t>的现金或者到期日在一年以内的政府债券，其中现金不包括结算备付金、存出保证金和应收申购款等。股指期货、国债期货、股票期权及其他金融工具的投资比例依照法律法规或监管机构的规定执行。</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主要投资策略</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资产配置方面，本基金将综合</w:t>
            </w:r>
            <w:r>
              <w:rPr>
                <w:rFonts w:ascii="方正仿宋简体" w:eastAsia="方正仿宋简体" w:hAnsiTheme="minorEastAsia" w:cs="仿宋_GB2312" w:hint="eastAsia"/>
                <w:kern w:val="0"/>
                <w:szCs w:val="24"/>
              </w:rPr>
              <w:t>考虑宏观与微观经济、市场与政策等因素，确定组合中股票、债券、货币市场工具及其他金融工具的比例。股票投资方面，本基金主要投资消费主题相关股票。本基金将通过定量与定性分析相结合的方法分析和精选个股，在港股通股票中重点精选消费主题相关优质公司进行投资。本基金可在对内地股票市场投资价值进行综合评估的基础上，通过对内地证券市场上市公司经营情况、财务状况等因素的研究和分析，进行内地市场股票的选择。在债券投资方面，本基金将主要通过类属配置与券种选择两个层次进行投资管理。</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业绩比较基准</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中证港股通消费</w:t>
            </w:r>
            <w:r>
              <w:rPr>
                <w:rFonts w:ascii="方正仿宋简体" w:eastAsia="方正仿宋简体" w:hAnsiTheme="minorEastAsia" w:cs="仿宋_GB2312" w:hint="eastAsia"/>
                <w:kern w:val="0"/>
                <w:szCs w:val="24"/>
              </w:rPr>
              <w:t>50</w:t>
            </w:r>
            <w:r>
              <w:rPr>
                <w:rFonts w:ascii="方正仿宋简体" w:eastAsia="方正仿宋简体" w:hAnsiTheme="minorEastAsia" w:cs="仿宋_GB2312" w:hint="eastAsia"/>
                <w:kern w:val="0"/>
                <w:szCs w:val="24"/>
              </w:rPr>
              <w:t>指数收益率×</w:t>
            </w:r>
            <w:r>
              <w:rPr>
                <w:rFonts w:ascii="方正仿宋简体" w:eastAsia="方正仿宋简体" w:hAnsiTheme="minorEastAsia" w:cs="仿宋_GB2312" w:hint="eastAsia"/>
                <w:kern w:val="0"/>
                <w:szCs w:val="24"/>
              </w:rPr>
              <w:t>80</w:t>
            </w:r>
            <w:r>
              <w:rPr>
                <w:rFonts w:ascii="方正仿宋简体" w:eastAsia="方正仿宋简体" w:hAnsiTheme="minorEastAsia" w:cs="仿宋_GB2312" w:hint="eastAsia"/>
                <w:kern w:val="0"/>
                <w:szCs w:val="24"/>
              </w:rPr>
              <w:t>%+</w:t>
            </w:r>
            <w:r>
              <w:rPr>
                <w:rFonts w:ascii="方正仿宋简体" w:eastAsia="方正仿宋简体" w:hAnsiTheme="minorEastAsia" w:cs="仿宋_GB2312" w:hint="eastAsia"/>
                <w:kern w:val="0"/>
                <w:szCs w:val="24"/>
              </w:rPr>
              <w:t>中债总指数收益率×</w:t>
            </w:r>
            <w:r>
              <w:rPr>
                <w:rFonts w:ascii="方正仿宋简体" w:eastAsia="方正仿宋简体" w:hAnsiTheme="minorEastAsia" w:cs="仿宋_GB2312" w:hint="eastAsia"/>
                <w:kern w:val="0"/>
                <w:szCs w:val="24"/>
              </w:rPr>
              <w:t>20%</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风险收益特征</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本基金为混合型基金，理论上其预期风险与预期收益水平低于股票型基金，高于债券型基金和货币市场基金。</w:t>
            </w:r>
          </w:p>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tc>
      </w:tr>
    </w:tbl>
    <w:p w:rsidR="00AD3A6F" w:rsidRPr="0086475C">
      <w:pPr>
        <w:spacing w:line="280" w:lineRule="exact"/>
        <w:rPr>
          <w:rFonts w:ascii="方正仿宋简体" w:eastAsia="方正仿宋简体" w:hAnsiTheme="minorEastAsia" w:cs="方正仿宋简体"/>
          <w:iCs/>
          <w:szCs w:val="24"/>
        </w:rPr>
      </w:pPr>
      <w:r>
        <w:rPr>
          <w:rFonts w:ascii="方正仿宋简体" w:eastAsia="方正仿宋简体" w:hAnsiTheme="minorEastAsia" w:cs="方正仿宋简体" w:hint="eastAsia"/>
          <w:iCs/>
          <w:szCs w:val="24"/>
        </w:rPr>
        <w:t>注：投资者可阅读《招募说明书》基金的投资章节了解详细情况。</w:t>
      </w:r>
    </w:p>
    <w:p w:rsidR="00AD3A6F">
      <w:pPr>
        <w:pStyle w:val="ListParagraph"/>
        <w:numPr>
          <w:ilvl w:val="0"/>
          <w:numId w:val="2"/>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投资组合资产配置图表</w:t>
      </w:r>
      <w:r>
        <w:rPr>
          <w:rFonts w:ascii="方正仿宋简体" w:eastAsia="方正仿宋简体" w:hAnsi="方正仿宋简体" w:cs="方正仿宋简体" w:hint="eastAsia"/>
          <w:b/>
          <w:iCs/>
          <w:sz w:val="24"/>
          <w:szCs w:val="24"/>
        </w:rPr>
        <w:t>/</w:t>
      </w:r>
      <w:r>
        <w:rPr>
          <w:rFonts w:ascii="方正仿宋简体" w:eastAsia="方正仿宋简体" w:hAnsi="方正仿宋简体" w:cs="方正仿宋简体" w:hint="eastAsia"/>
          <w:b/>
          <w:iCs/>
          <w:sz w:val="24"/>
          <w:szCs w:val="24"/>
        </w:rPr>
        <w:t>区域配置图表</w:t>
      </w:r>
    </w:p>
    <w:p w:rsidR="00AD3A6F">
      <w:pPr>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投资组合资产配置图表</w:t>
      </w:r>
    </w:p>
    <w:p w:rsidR="00AD3A6F" w:rsidRPr="00E27EE9" w:rsidP="00E27EE9">
      <w:pPr>
        <w:snapToGrid w:val="0"/>
        <w:jc w:val="left"/>
        <w:rPr>
          <w:rFonts w:ascii="方正仿宋简体" w:eastAsia="方正仿宋简体"/>
          <w:color w:val="000000" w:themeColor="text1"/>
        </w:rPr>
      </w:pPr>
      <w:r w:rsidRPr="003F6076">
        <w:rPr>
          <w:rFonts w:ascii="方正仿宋简体" w:eastAsia="方正仿宋简体"/>
          <w:color w:val="000000" w:themeColor="text1"/>
        </w:rPr>
        <w:t>无</w:t>
      </w:r>
    </w:p>
    <w:p w:rsidR="00AD3A6F">
      <w:pPr>
        <w:pStyle w:val="ListParagraph"/>
        <w:numPr>
          <w:ilvl w:val="0"/>
          <w:numId w:val="2"/>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自基金合同生效以来基金每年的净值增长率及与同期业绩比较基准的比较图</w:t>
      </w:r>
    </w:p>
    <w:p w:rsidR="00AD3A6F">
      <w:pPr>
        <w:autoSpaceDE w:val="0"/>
        <w:autoSpaceDN w:val="0"/>
        <w:adjustRightInd w:val="0"/>
        <w:spacing w:line="280" w:lineRule="exact"/>
        <w:jc w:val="left"/>
        <w:rPr>
          <w:rFonts w:ascii="方正仿宋简体" w:eastAsia="方正仿宋简体" w:hAnsiTheme="minorEastAsia"/>
          <w:color w:val="000000" w:themeColor="text1"/>
        </w:rPr>
      </w:pPr>
      <w:r>
        <w:rPr>
          <w:rFonts w:ascii="方正仿宋简体" w:eastAsia="方正仿宋简体" w:hAnsiTheme="minorEastAsia" w:hint="eastAsia"/>
          <w:color w:val="000000" w:themeColor="text1"/>
        </w:rPr>
        <w:t>无</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投资本基金涉及的费用</w:t>
      </w:r>
    </w:p>
    <w:p w:rsidR="00AD3A6F">
      <w:pPr>
        <w:pStyle w:val="ListParagraph"/>
        <w:numPr>
          <w:ilvl w:val="0"/>
          <w:numId w:val="3"/>
        </w:numPr>
        <w:spacing w:line="34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基金销售相关费用</w:t>
      </w:r>
    </w:p>
    <w:p w:rsidR="00AD3A6F">
      <w:pPr>
        <w:autoSpaceDE w:val="0"/>
        <w:autoSpaceDN w:val="0"/>
        <w:adjustRightInd w:val="0"/>
        <w:spacing w:line="280" w:lineRule="exact"/>
        <w:jc w:val="left"/>
        <w:rPr>
          <w:rFonts w:ascii="方正仿宋简体" w:eastAsia="方正仿宋简体"/>
          <w:color w:val="000000" w:themeColor="text1"/>
        </w:rPr>
      </w:pPr>
      <w:r>
        <w:rPr>
          <w:rFonts w:ascii="方正仿宋简体" w:eastAsia="方正仿宋简体" w:hAnsi="方正仿宋简体" w:cs="方正仿宋简体" w:hint="eastAsia"/>
          <w:iCs/>
          <w:color w:val="000000" w:themeColor="text1"/>
        </w:rPr>
        <w:t>以下费用在认购</w:t>
      </w:r>
      <w:r>
        <w:rPr>
          <w:rFonts w:ascii="方正仿宋简体" w:eastAsia="方正仿宋简体" w:hAnsi="方正仿宋简体" w:cs="方正仿宋简体" w:hint="eastAsia"/>
          <w:iCs/>
          <w:color w:val="000000" w:themeColor="text1"/>
        </w:rPr>
        <w:t>/</w:t>
      </w:r>
      <w:r>
        <w:rPr>
          <w:rFonts w:ascii="方正仿宋简体" w:eastAsia="方正仿宋简体" w:hAnsi="方正仿宋简体" w:cs="方正仿宋简体" w:hint="eastAsia"/>
          <w:iCs/>
          <w:color w:val="000000" w:themeColor="text1"/>
        </w:rPr>
        <w:t>申购</w:t>
      </w:r>
      <w:r>
        <w:rPr>
          <w:rFonts w:ascii="方正仿宋简体" w:eastAsia="方正仿宋简体" w:hAnsi="方正仿宋简体" w:cs="方正仿宋简体" w:hint="eastAsia"/>
          <w:iCs/>
          <w:color w:val="000000" w:themeColor="text1"/>
        </w:rPr>
        <w:t>/</w:t>
      </w:r>
      <w:r>
        <w:rPr>
          <w:rFonts w:ascii="方正仿宋简体" w:eastAsia="方正仿宋简体" w:hAnsi="方正仿宋简体" w:cs="方正仿宋简体" w:hint="eastAsia"/>
          <w:iCs/>
          <w:color w:val="000000" w:themeColor="text1"/>
        </w:rPr>
        <w:t>赎回基金过程中收取：</w:t>
      </w:r>
    </w:p>
    <w:tbl>
      <w:tblPr>
        <w:tblW w:w="5000" w:type="pct"/>
        <w:tblBorders>
          <w:top w:val="single" w:sz="4" w:space="0" w:color="000000"/>
          <w:bottom w:val="single" w:sz="4" w:space="0" w:color="000000"/>
          <w:insideH w:val="dashSmallGap" w:sz="4" w:space="0" w:color="808080" w:themeColor="background1" w:themeShade="80"/>
        </w:tblBorders>
        <w:tblLook w:val="0000"/>
      </w:tblPr>
      <w:tblGrid>
        <w:gridCol w:w="1243"/>
        <w:gridCol w:w="3826"/>
        <w:gridCol w:w="1135"/>
        <w:gridCol w:w="2318"/>
      </w:tblGrid>
      <w:tr w:rsidTr="00575F3B">
        <w:tblPrEx>
          <w:tblW w:w="5000" w:type="pct"/>
          <w:tblBorders>
            <w:top w:val="single" w:sz="4" w:space="0" w:color="000000"/>
            <w:bottom w:val="single" w:sz="4" w:space="0" w:color="000000"/>
            <w:insideH w:val="dashSmallGap" w:sz="4" w:space="0" w:color="808080" w:themeColor="background1" w:themeShade="80"/>
          </w:tblBorders>
          <w:tblLook w:val="0000"/>
        </w:tblPrEx>
        <w:trPr>
          <w:trHeight w:val="454"/>
        </w:trPr>
        <w:tc>
          <w:tcPr>
            <w:tcW w:w="729"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费用类型</w:t>
            </w:r>
          </w:p>
        </w:tc>
        <w:tc>
          <w:tcPr>
            <w:tcW w:w="2245"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份额（</w:t>
            </w:r>
            <w:r>
              <w:rPr>
                <w:rFonts w:ascii="方正仿宋简体" w:eastAsia="方正仿宋简体" w:hAnsi="方正仿宋简体" w:cs="方正仿宋简体" w:hint="eastAsia"/>
                <w:b/>
                <w:bCs/>
                <w:iCs/>
                <w:color w:val="000000" w:themeColor="text1"/>
              </w:rPr>
              <w:t>S</w:t>
            </w:r>
            <w:r>
              <w:rPr>
                <w:rFonts w:ascii="方正仿宋简体" w:eastAsia="方正仿宋简体" w:hAnsi="方正仿宋简体" w:cs="方正仿宋简体" w:hint="eastAsia"/>
                <w:b/>
                <w:bCs/>
                <w:iCs/>
                <w:color w:val="000000" w:themeColor="text1"/>
              </w:rPr>
              <w:t>）或金额（</w:t>
            </w:r>
            <w:r>
              <w:rPr>
                <w:rFonts w:ascii="方正仿宋简体" w:eastAsia="方正仿宋简体" w:hAnsi="方正仿宋简体" w:cs="方正仿宋简体" w:hint="eastAsia"/>
                <w:b/>
                <w:bCs/>
                <w:iCs/>
                <w:color w:val="000000" w:themeColor="text1"/>
              </w:rPr>
              <w:t>M</w:t>
            </w:r>
            <w:r>
              <w:rPr>
                <w:rFonts w:ascii="方正仿宋简体" w:eastAsia="方正仿宋简体" w:hAnsi="方正仿宋简体" w:cs="方正仿宋简体" w:hint="eastAsia"/>
                <w:b/>
                <w:bCs/>
                <w:iCs/>
                <w:color w:val="000000" w:themeColor="text1"/>
              </w:rPr>
              <w:t>）</w:t>
            </w:r>
          </w:p>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w:t>
            </w:r>
            <w:r>
              <w:rPr>
                <w:rFonts w:ascii="方正仿宋简体" w:eastAsia="方正仿宋简体" w:hAnsi="方正仿宋简体" w:cs="方正仿宋简体" w:hint="eastAsia"/>
                <w:b/>
                <w:bCs/>
                <w:iCs/>
                <w:color w:val="000000" w:themeColor="text1"/>
              </w:rPr>
              <w:t>持有期限（</w:t>
            </w:r>
            <w:r>
              <w:rPr>
                <w:rFonts w:ascii="方正仿宋简体" w:eastAsia="方正仿宋简体" w:hAnsi="方正仿宋简体" w:cs="方正仿宋简体" w:hint="eastAsia"/>
                <w:b/>
                <w:bCs/>
                <w:iCs/>
                <w:color w:val="000000" w:themeColor="text1"/>
              </w:rPr>
              <w:t>N</w:t>
            </w:r>
            <w:r>
              <w:rPr>
                <w:rFonts w:ascii="方正仿宋简体" w:eastAsia="方正仿宋简体" w:hAnsi="方正仿宋简体" w:cs="方正仿宋简体" w:hint="eastAsia"/>
                <w:b/>
                <w:bCs/>
                <w:iCs/>
                <w:color w:val="000000" w:themeColor="text1"/>
              </w:rPr>
              <w:t>）</w:t>
            </w:r>
          </w:p>
        </w:tc>
        <w:tc>
          <w:tcPr>
            <w:tcW w:w="666"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收费方式</w:t>
            </w:r>
            <w:r>
              <w:rPr>
                <w:rFonts w:ascii="方正仿宋简体" w:eastAsia="方正仿宋简体" w:hAnsi="方正仿宋简体" w:cs="方正仿宋简体" w:hint="eastAsia"/>
                <w:b/>
                <w:bCs/>
                <w:iCs/>
                <w:color w:val="000000" w:themeColor="text1"/>
              </w:rPr>
              <w:t>/</w:t>
            </w:r>
            <w:r>
              <w:rPr>
                <w:rFonts w:ascii="方正仿宋简体" w:eastAsia="方正仿宋简体" w:hAnsi="方正仿宋简体" w:cs="方正仿宋简体" w:hint="eastAsia"/>
                <w:b/>
                <w:bCs/>
                <w:iCs/>
                <w:color w:val="000000" w:themeColor="text1"/>
              </w:rPr>
              <w:t>费率</w:t>
            </w:r>
          </w:p>
        </w:tc>
        <w:tc>
          <w:tcPr>
            <w:tcW w:w="1360"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备注</w:t>
            </w:r>
          </w:p>
        </w:tc>
      </w:tr>
      <w:tr w:rsidTr="00575F3B">
        <w:tblPrEx>
          <w:tblW w:w="5000" w:type="pct"/>
          <w:tblLook w:val="0000"/>
        </w:tblPrEx>
        <w:trPr>
          <w:trHeight w:val="454"/>
        </w:trPr>
        <w:tc>
          <w:tcPr>
            <w:tcW w:w="729" w:type="pct"/>
            <w:vMerge w:val="restar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0</w:t>
            </w:r>
            <w:r>
              <w:rPr>
                <w:rFonts w:ascii="方正仿宋简体" w:eastAsia="方正仿宋简体" w:hAnsi="方正仿宋简体" w:cs="方正仿宋简体" w:hint="eastAsia"/>
                <w:bCs/>
                <w:iCs/>
                <w:color w:val="000000" w:themeColor="text1"/>
              </w:rPr>
              <w:t>天</w:t>
            </w:r>
            <w:r>
              <w:rPr>
                <w:rFonts w:ascii="方正仿宋简体" w:eastAsia="方正仿宋简体" w:hAnsi="方正仿宋简体" w:cs="方正仿宋简体" w:hint="eastAsia"/>
                <w:bCs/>
                <w:iCs/>
                <w:color w:val="000000" w:themeColor="text1"/>
              </w:rPr>
              <w:t xml:space="preserve"> &lt; N </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 xml:space="preserve"> 6</w:t>
            </w:r>
            <w:r>
              <w:rPr>
                <w:rFonts w:ascii="方正仿宋简体" w:eastAsia="方正仿宋简体" w:hAnsi="方正仿宋简体" w:cs="方正仿宋简体" w:hint="eastAsia"/>
                <w:bCs/>
                <w:iCs/>
                <w:color w:val="000000" w:themeColor="text1"/>
              </w:rPr>
              <w:t>天</w:t>
            </w:r>
            <w:r>
              <w:rPr>
                <w:rFonts w:ascii="方正仿宋简体" w:eastAsia="方正仿宋简体" w:hAnsi="方正仿宋简体" w:cs="方正仿宋简体" w:hint="eastAsia"/>
                <w:bCs/>
                <w:iCs/>
                <w:color w:val="000000" w:themeColor="text1"/>
              </w:rPr>
              <w:t xml:space="preserve"> </w:t>
            </w:r>
          </w:p>
        </w:tc>
        <w:tc>
          <w:tcPr>
            <w:tcW w:w="66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1.50%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7</w:t>
            </w:r>
            <w:r>
              <w:rPr>
                <w:rFonts w:ascii="方正仿宋简体" w:eastAsia="方正仿宋简体" w:hAnsi="方正仿宋简体" w:cs="方正仿宋简体" w:hint="eastAsia"/>
                <w:bCs/>
                <w:iCs/>
                <w:color w:val="000000" w:themeColor="text1"/>
              </w:rPr>
              <w:t>天</w:t>
            </w:r>
            <w:r>
              <w:rPr>
                <w:rFonts w:ascii="方正仿宋简体" w:eastAsia="方正仿宋简体" w:hAnsi="方正仿宋简体" w:cs="方正仿宋简体" w:hint="eastAsia"/>
                <w:bCs/>
                <w:iCs/>
                <w:color w:val="000000" w:themeColor="text1"/>
              </w:rPr>
              <w:t xml:space="preserve"> </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 xml:space="preserve"> N </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 xml:space="preserve"> 29</w:t>
            </w:r>
            <w:r>
              <w:rPr>
                <w:rFonts w:ascii="方正仿宋简体" w:eastAsia="方正仿宋简体" w:hAnsi="方正仿宋简体" w:cs="方正仿宋简体" w:hint="eastAsia"/>
                <w:bCs/>
                <w:iCs/>
                <w:color w:val="000000" w:themeColor="text1"/>
              </w:rPr>
              <w:t>天</w:t>
            </w:r>
            <w:r>
              <w:rPr>
                <w:rFonts w:ascii="方正仿宋简体" w:eastAsia="方正仿宋简体" w:hAnsi="方正仿宋简体" w:cs="方正仿宋简体" w:hint="eastAsia"/>
                <w:bCs/>
                <w:iCs/>
                <w:color w:val="000000" w:themeColor="text1"/>
              </w:rPr>
              <w:t xml:space="preserve"> </w:t>
            </w:r>
          </w:p>
        </w:tc>
        <w:tc>
          <w:tcPr>
            <w:tcW w:w="66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1.00%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30</w:t>
            </w:r>
            <w:r>
              <w:rPr>
                <w:rFonts w:ascii="方正仿宋简体" w:eastAsia="方正仿宋简体" w:hAnsi="方正仿宋简体" w:cs="方正仿宋简体" w:hint="eastAsia"/>
                <w:bCs/>
                <w:iCs/>
                <w:color w:val="000000" w:themeColor="text1"/>
              </w:rPr>
              <w:t>天</w:t>
            </w:r>
            <w:r>
              <w:rPr>
                <w:rFonts w:ascii="方正仿宋简体" w:eastAsia="方正仿宋简体" w:hAnsi="方正仿宋简体" w:cs="方正仿宋简体" w:hint="eastAsia"/>
                <w:bCs/>
                <w:iCs/>
                <w:color w:val="000000" w:themeColor="text1"/>
              </w:rPr>
              <w:t xml:space="preserve"> </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 xml:space="preserve"> N </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 xml:space="preserve"> 179</w:t>
            </w:r>
            <w:r>
              <w:rPr>
                <w:rFonts w:ascii="方正仿宋简体" w:eastAsia="方正仿宋简体" w:hAnsi="方正仿宋简体" w:cs="方正仿宋简体" w:hint="eastAsia"/>
                <w:bCs/>
                <w:iCs/>
                <w:color w:val="000000" w:themeColor="text1"/>
              </w:rPr>
              <w:t>天</w:t>
            </w:r>
            <w:r>
              <w:rPr>
                <w:rFonts w:ascii="方正仿宋简体" w:eastAsia="方正仿宋简体" w:hAnsi="方正仿宋简体" w:cs="方正仿宋简体" w:hint="eastAsia"/>
                <w:bCs/>
                <w:iCs/>
                <w:color w:val="000000" w:themeColor="text1"/>
              </w:rPr>
              <w:t xml:space="preserve"> </w:t>
            </w:r>
          </w:p>
        </w:tc>
        <w:tc>
          <w:tcPr>
            <w:tcW w:w="66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0.50%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w:t>
            </w:r>
            <w:r>
              <w:rPr>
                <w:rFonts w:ascii="方正仿宋简体" w:eastAsia="方正仿宋简体" w:hAnsi="方正仿宋简体" w:cs="方正仿宋简体" w:hint="eastAsia"/>
                <w:bCs/>
                <w:iCs/>
                <w:color w:val="000000" w:themeColor="text1"/>
              </w:rPr>
              <w:t xml:space="preserve"> </w:t>
            </w:r>
            <w:r>
              <w:rPr>
                <w:rFonts w:ascii="方正仿宋简体" w:eastAsia="方正仿宋简体" w:hAnsi="方正仿宋简体" w:cs="方正仿宋简体" w:hint="eastAsia"/>
                <w:bCs/>
                <w:iCs/>
                <w:color w:val="000000" w:themeColor="text1"/>
              </w:rPr>
              <w:t>　</w:t>
            </w:r>
            <w:r>
              <w:rPr>
                <w:rFonts w:ascii="方正仿宋简体" w:eastAsia="方正仿宋简体" w:hAnsi="方正仿宋简体" w:cs="方正仿宋简体" w:hint="eastAsia"/>
                <w:bCs/>
                <w:iCs/>
                <w:color w:val="000000" w:themeColor="text1"/>
              </w:rPr>
              <w:t xml:space="preserve"> N </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 xml:space="preserve"> 180</w:t>
            </w:r>
            <w:r>
              <w:rPr>
                <w:rFonts w:ascii="方正仿宋简体" w:eastAsia="方正仿宋简体" w:hAnsi="方正仿宋简体" w:cs="方正仿宋简体" w:hint="eastAsia"/>
                <w:bCs/>
                <w:iCs/>
                <w:color w:val="000000" w:themeColor="text1"/>
              </w:rPr>
              <w:t>天</w:t>
            </w:r>
            <w:r>
              <w:rPr>
                <w:rFonts w:ascii="方正仿宋简体" w:eastAsia="方正仿宋简体" w:hAnsi="方正仿宋简体" w:cs="方正仿宋简体" w:hint="eastAsia"/>
                <w:bCs/>
                <w:iCs/>
                <w:color w:val="000000" w:themeColor="text1"/>
              </w:rPr>
              <w:t xml:space="preserve"> </w:t>
            </w:r>
          </w:p>
        </w:tc>
        <w:tc>
          <w:tcPr>
            <w:tcW w:w="66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0.00%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bl>
    <w:p w:rsidR="00AD3A6F">
      <w:pPr>
        <w:autoSpaceDE w:val="0"/>
        <w:autoSpaceDN w:val="0"/>
        <w:adjustRightInd w:val="0"/>
        <w:spacing w:line="280" w:lineRule="exact"/>
        <w:jc w:val="left"/>
        <w:rPr>
          <w:rFonts w:ascii="方正仿宋简体" w:eastAsia="方正仿宋简体" w:hAnsi="方正仿宋简体" w:cs="方正仿宋简体"/>
          <w:iCs/>
          <w:color w:val="000000" w:themeColor="text1"/>
        </w:rPr>
      </w:pPr>
      <w:r>
        <w:rPr>
          <w:rFonts w:ascii="方正仿宋简体" w:eastAsia="方正仿宋简体" w:hAnsi="方正仿宋简体" w:cs="方正仿宋简体" w:hint="eastAsia"/>
          <w:iCs/>
          <w:color w:val="000000" w:themeColor="text1"/>
        </w:rPr>
        <w:t>注：本基金</w:t>
      </w:r>
      <w:r>
        <w:rPr>
          <w:rFonts w:ascii="方正仿宋简体" w:eastAsia="方正仿宋简体" w:hAnsi="方正仿宋简体" w:cs="方正仿宋简体" w:hint="eastAsia"/>
          <w:iCs/>
          <w:color w:val="000000" w:themeColor="text1"/>
        </w:rPr>
        <w:t>C</w:t>
      </w:r>
      <w:r>
        <w:rPr>
          <w:rFonts w:ascii="方正仿宋简体" w:eastAsia="方正仿宋简体" w:hAnsi="方正仿宋简体" w:cs="方正仿宋简体" w:hint="eastAsia"/>
          <w:iCs/>
          <w:color w:val="000000" w:themeColor="text1"/>
        </w:rPr>
        <w:t>类基金份额在投资者认购</w:t>
      </w:r>
      <w:r>
        <w:rPr>
          <w:rFonts w:ascii="方正仿宋简体" w:eastAsia="方正仿宋简体" w:hAnsi="方正仿宋简体" w:cs="方正仿宋简体" w:hint="eastAsia"/>
          <w:iCs/>
          <w:color w:val="000000" w:themeColor="text1"/>
        </w:rPr>
        <w:t>/</w:t>
      </w:r>
      <w:r>
        <w:rPr>
          <w:rFonts w:ascii="方正仿宋简体" w:eastAsia="方正仿宋简体" w:hAnsi="方正仿宋简体" w:cs="方正仿宋简体" w:hint="eastAsia"/>
          <w:iCs/>
          <w:color w:val="000000" w:themeColor="text1"/>
        </w:rPr>
        <w:t>申购时不收取认购</w:t>
      </w:r>
      <w:r>
        <w:rPr>
          <w:rFonts w:ascii="方正仿宋简体" w:eastAsia="方正仿宋简体" w:hAnsi="方正仿宋简体" w:cs="方正仿宋简体" w:hint="eastAsia"/>
          <w:iCs/>
          <w:color w:val="000000" w:themeColor="text1"/>
        </w:rPr>
        <w:t>/</w:t>
      </w:r>
      <w:r>
        <w:rPr>
          <w:rFonts w:ascii="方正仿宋简体" w:eastAsia="方正仿宋简体" w:hAnsi="方正仿宋简体" w:cs="方正仿宋简体" w:hint="eastAsia"/>
          <w:iCs/>
          <w:color w:val="000000" w:themeColor="text1"/>
        </w:rPr>
        <w:t>申购费用，在持有期间计提销售服务费并按规定收取或返还。</w:t>
      </w:r>
    </w:p>
    <w:p w:rsidR="00AD3A6F">
      <w:pPr>
        <w:pStyle w:val="ListParagraph"/>
        <w:numPr>
          <w:ilvl w:val="0"/>
          <w:numId w:val="3"/>
        </w:numPr>
        <w:spacing w:line="34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基金运作相关费用</w:t>
      </w:r>
    </w:p>
    <w:p w:rsidR="00AD3A6F">
      <w:pPr>
        <w:autoSpaceDE w:val="0"/>
        <w:autoSpaceDN w:val="0"/>
        <w:adjustRightInd w:val="0"/>
        <w:spacing w:line="280" w:lineRule="exact"/>
        <w:jc w:val="left"/>
        <w:rPr>
          <w:rFonts w:ascii="方正仿宋简体" w:eastAsia="方正仿宋简体" w:hAnsi="方正仿宋简体" w:cs="方正仿宋简体"/>
          <w:iCs/>
        </w:rPr>
      </w:pPr>
      <w:r>
        <w:rPr>
          <w:rFonts w:ascii="方正仿宋简体" w:eastAsia="方正仿宋简体" w:hint="eastAsia"/>
        </w:rPr>
        <w:t>以下</w:t>
      </w:r>
      <w:r>
        <w:rPr>
          <w:rFonts w:ascii="方正仿宋简体" w:eastAsia="方正仿宋简体" w:hAnsi="方正仿宋简体" w:cs="方正仿宋简体" w:hint="eastAsia"/>
          <w:iCs/>
        </w:rPr>
        <w:t>费用将从基金资产中扣除：</w:t>
      </w:r>
    </w:p>
    <w:tbl>
      <w:tblPr>
        <w:tblW w:w="5001" w:type="pct"/>
        <w:tblBorders>
          <w:top w:val="single" w:sz="4" w:space="0" w:color="000000"/>
          <w:bottom w:val="single" w:sz="4" w:space="0" w:color="000000"/>
          <w:insideH w:val="dashSmallGap" w:sz="4" w:space="0" w:color="808080" w:themeColor="background1" w:themeShade="80"/>
        </w:tblBorders>
        <w:tblLook w:val="0000"/>
      </w:tblPr>
      <w:tblGrid>
        <w:gridCol w:w="1477"/>
        <w:gridCol w:w="3527"/>
        <w:gridCol w:w="3520"/>
      </w:tblGrid>
      <w:tr w:rsidTr="000D2645">
        <w:tblPrEx>
          <w:tblW w:w="5001" w:type="pct"/>
          <w:tblBorders>
            <w:top w:val="single" w:sz="4" w:space="0" w:color="000000"/>
            <w:bottom w:val="single" w:sz="4" w:space="0" w:color="000000"/>
            <w:insideH w:val="dashSmallGap" w:sz="4" w:space="0" w:color="808080" w:themeColor="background1" w:themeShade="80"/>
          </w:tblBorders>
          <w:tblLook w:val="0000"/>
        </w:tblPrEx>
        <w:trPr>
          <w:trHeight w:val="454"/>
        </w:trPr>
        <w:tc>
          <w:tcPr>
            <w:tcW w:w="866" w:type="pct"/>
            <w:vAlign w:val="center"/>
          </w:tcPr>
          <w:p w:rsidR="00AD3A6F">
            <w:pPr>
              <w:spacing w:line="280" w:lineRule="exact"/>
              <w:rPr>
                <w:rFonts w:ascii="方正仿宋简体" w:eastAsia="方正仿宋简体" w:hAnsi="方正仿宋简体" w:cs="方正仿宋简体"/>
                <w:b/>
                <w:bCs/>
              </w:rPr>
            </w:pPr>
            <w:r>
              <w:rPr>
                <w:rFonts w:ascii="方正仿宋简体" w:eastAsia="方正仿宋简体" w:hAnsi="方正仿宋简体" w:cs="方正仿宋简体" w:hint="eastAsia"/>
                <w:b/>
                <w:bCs/>
                <w:iCs/>
              </w:rPr>
              <w:t>费用类别</w:t>
            </w:r>
          </w:p>
        </w:tc>
        <w:tc>
          <w:tcPr>
            <w:tcW w:w="2069" w:type="pct"/>
            <w:vAlign w:val="center"/>
          </w:tcPr>
          <w:p w:rsidR="00AD3A6F">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收费方式</w:t>
            </w:r>
            <w:r>
              <w:rPr>
                <w:rFonts w:ascii="方正仿宋简体" w:eastAsia="方正仿宋简体" w:hAnsi="方正仿宋简体" w:cs="方正仿宋简体" w:hint="eastAsia"/>
                <w:b/>
                <w:bCs/>
                <w:iCs/>
              </w:rPr>
              <w:t>/</w:t>
            </w:r>
            <w:r>
              <w:rPr>
                <w:rFonts w:ascii="方正仿宋简体" w:eastAsia="方正仿宋简体" w:hAnsi="方正仿宋简体" w:cs="方正仿宋简体" w:hint="eastAsia"/>
                <w:b/>
                <w:bCs/>
                <w:iCs/>
              </w:rPr>
              <w:t>年费率或金额</w:t>
            </w:r>
          </w:p>
        </w:tc>
        <w:tc>
          <w:tcPr>
            <w:tcW w:w="2065" w:type="pct"/>
            <w:tcBorders>
              <w:bottom w:val="dashSmallGap" w:sz="4" w:space="0" w:color="808080" w:themeColor="background1" w:themeShade="80"/>
            </w:tcBorders>
            <w:vAlign w:val="center"/>
          </w:tcPr>
          <w:p w:rsidR="00AD3A6F">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收取</w:t>
            </w:r>
            <w:r w:rsidR="00A73782">
              <w:rPr>
                <w:rFonts w:ascii="方正仿宋简体" w:eastAsia="方正仿宋简体" w:hAnsi="方正仿宋简体" w:cs="方正仿宋简体" w:hint="eastAsia"/>
                <w:b/>
                <w:bCs/>
                <w:iCs/>
              </w:rPr>
              <w:t>方</w:t>
            </w:r>
          </w:p>
        </w:tc>
      </w:tr>
      <w:tr w:rsidTr="000D2645">
        <w:tblPrEx>
          <w:tblW w:w="5001" w:type="pct"/>
          <w:tblLook w:val="0000"/>
        </w:tblPrEx>
        <w:trPr>
          <w:trHeight w:val="454"/>
        </w:trPr>
        <w:tc>
          <w:tcPr>
            <w:tcW w:w="866" w:type="pct"/>
            <w:vAlign w:val="center"/>
          </w:tcPr>
          <w:p w:rsidR="000D2645">
            <w:pPr>
              <w:spacing w:line="280" w:lineRule="exact"/>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管理费</w:t>
            </w:r>
          </w:p>
        </w:tc>
        <w:tc>
          <w:tcPr>
            <w:tcW w:w="2069" w:type="pct"/>
            <w:vAlign w:val="center"/>
          </w:tcPr>
          <w:p w:rsidR="000D2645">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年费率</w:t>
            </w:r>
            <w:r>
              <w:rPr>
                <w:rFonts w:ascii="方正仿宋简体" w:eastAsia="方正仿宋简体" w:hAnsi="方正仿宋简体" w:cs="方正仿宋简体" w:hint="eastAsia"/>
                <w:bCs/>
                <w:iCs/>
              </w:rPr>
              <w:t xml:space="preserve">1.20% </w:t>
            </w:r>
          </w:p>
        </w:tc>
        <w:tc>
          <w:tcPr>
            <w:tcW w:w="2065" w:type="pct"/>
            <w:tcBorders>
              <w:top w:val="dashSmallGap" w:sz="4" w:space="0" w:color="808080" w:themeColor="background1" w:themeShade="80"/>
            </w:tcBorders>
            <w:vAlign w:val="center"/>
          </w:tcPr>
          <w:p w:rsidR="000D2645" w:rsidP="000D2645">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基金管理人</w:t>
            </w:r>
            <w:r>
              <w:rPr>
                <w:rFonts w:ascii="方正仿宋简体" w:eastAsia="方正仿宋简体" w:hAnsi="方正仿宋简体" w:cs="方正仿宋简体" w:hint="eastAsia"/>
                <w:bCs/>
                <w:iCs/>
              </w:rPr>
              <w:t>、销售机构</w:t>
            </w:r>
            <w:bookmarkStart w:id="0" w:name="_GoBack"/>
            <w:bookmarkEnd w:id="0"/>
          </w:p>
        </w:tc>
      </w:tr>
      <w:tr w:rsidTr="000D2645">
        <w:tblPrEx>
          <w:tblW w:w="5001" w:type="pct"/>
          <w:tblLook w:val="0000"/>
        </w:tblPrEx>
        <w:trPr>
          <w:trHeight w:val="454"/>
        </w:trPr>
        <w:tc>
          <w:tcPr>
            <w:tcW w:w="866" w:type="pct"/>
            <w:vAlign w:val="center"/>
          </w:tcPr>
          <w:p w:rsidR="00AD3A6F">
            <w:pPr>
              <w:spacing w:line="280" w:lineRule="exact"/>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托管费</w:t>
            </w:r>
          </w:p>
        </w:tc>
        <w:tc>
          <w:tcPr>
            <w:tcW w:w="2069" w:type="pct"/>
            <w:vAlign w:val="center"/>
          </w:tcPr>
          <w:p w:rsidR="00AD3A6F">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年费率</w:t>
            </w:r>
            <w:r>
              <w:rPr>
                <w:rFonts w:ascii="方正仿宋简体" w:eastAsia="方正仿宋简体" w:hAnsiTheme="minorEastAsia" w:cs="方正仿宋简体" w:hint="eastAsia"/>
                <w:bCs/>
                <w:iCs/>
              </w:rPr>
              <w:t xml:space="preserve">0.20% </w:t>
            </w:r>
          </w:p>
        </w:tc>
        <w:tc>
          <w:tcPr>
            <w:tcW w:w="2065" w:type="pct"/>
            <w:vAlign w:val="center"/>
          </w:tcPr>
          <w:p w:rsidR="00AD3A6F">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基金托管人</w:t>
            </w:r>
          </w:p>
        </w:tc>
      </w:tr>
      <w:tr w:rsidTr="000D2645">
        <w:tblPrEx>
          <w:tblW w:w="5001" w:type="pct"/>
          <w:tblLook w:val="0000"/>
        </w:tblPrEx>
        <w:trPr>
          <w:trHeight w:val="454"/>
        </w:trPr>
        <w:tc>
          <w:tcPr>
            <w:tcW w:w="866" w:type="pct"/>
            <w:vAlign w:val="center"/>
          </w:tcPr>
          <w:p w:rsidR="00AD3A6F">
            <w:pPr>
              <w:spacing w:line="280" w:lineRule="exact"/>
              <w:rPr>
                <w:rFonts w:ascii="方正仿宋简体" w:eastAsia="方正仿宋简体" w:hAnsi="方正仿宋简体" w:cs="方正仿宋简体"/>
                <w:iCs/>
              </w:rPr>
            </w:pPr>
            <w:r>
              <w:rPr>
                <w:rFonts w:ascii="方正仿宋简体" w:eastAsia="方正仿宋简体" w:hAnsi="方正仿宋简体" w:cs="方正仿宋简体" w:hint="eastAsia"/>
                <w:iCs/>
              </w:rPr>
              <w:t>销售服务费</w:t>
            </w:r>
          </w:p>
        </w:tc>
        <w:tc>
          <w:tcPr>
            <w:tcW w:w="2069" w:type="pct"/>
            <w:vAlign w:val="center"/>
          </w:tcPr>
          <w:p w:rsidR="00AD3A6F">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年费率</w:t>
            </w:r>
            <w:r>
              <w:rPr>
                <w:rFonts w:ascii="方正仿宋简体" w:eastAsia="方正仿宋简体" w:hAnsiTheme="minorEastAsia" w:cs="方正仿宋简体" w:hint="eastAsia"/>
                <w:bCs/>
                <w:iCs/>
              </w:rPr>
              <w:t xml:space="preserve">0.40% </w:t>
            </w:r>
          </w:p>
        </w:tc>
        <w:tc>
          <w:tcPr>
            <w:tcW w:w="2065" w:type="pct"/>
            <w:vAlign w:val="center"/>
          </w:tcPr>
          <w:p w:rsidR="00AD3A6F">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销售机构</w:t>
            </w:r>
          </w:p>
        </w:tc>
      </w:tr>
      <w:tr w:rsidTr="000D2645">
        <w:tblPrEx>
          <w:tblW w:w="5001" w:type="pct"/>
          <w:tblLook w:val="0000"/>
        </w:tblPrEx>
        <w:trPr>
          <w:trHeight w:val="454"/>
        </w:trPr>
        <w:tc>
          <w:tcPr>
            <w:tcW w:w="866" w:type="pct"/>
            <w:vAlign w:val="center"/>
          </w:tcPr>
          <w:p w:rsidR="00AD3A6F">
            <w:pPr>
              <w:spacing w:line="280" w:lineRule="exact"/>
              <w:rPr>
                <w:rFonts w:ascii="方正仿宋简体" w:eastAsia="方正仿宋简体" w:hAnsi="方正仿宋简体" w:cs="方正仿宋简体"/>
                <w:iCs/>
              </w:rPr>
            </w:pPr>
            <w:r>
              <w:rPr>
                <w:rFonts w:ascii="方正仿宋简体" w:eastAsia="方正仿宋简体" w:hAnsi="方正仿宋简体" w:cs="方正仿宋简体" w:hint="eastAsia"/>
                <w:iCs/>
              </w:rPr>
              <w:t>其他费用</w:t>
            </w:r>
          </w:p>
        </w:tc>
        <w:tc>
          <w:tcPr>
            <w:tcW w:w="2069" w:type="pct"/>
            <w:vAlign w:val="center"/>
          </w:tcPr>
          <w:p w:rsidR="00AD3A6F">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详见招募说明书的基金费用与税收章节。</w:t>
            </w:r>
            <w:r>
              <w:rPr>
                <w:rFonts w:ascii="方正仿宋简体" w:eastAsia="方正仿宋简体" w:hAnsiTheme="minorEastAsia" w:cs="方正仿宋简体" w:hint="eastAsia"/>
                <w:bCs/>
                <w:iCs/>
              </w:rPr>
              <w:t xml:space="preserve">  </w:t>
            </w:r>
          </w:p>
        </w:tc>
        <w:tc>
          <w:tcPr>
            <w:tcW w:w="2065" w:type="pct"/>
            <w:vAlign w:val="center"/>
          </w:tcPr>
          <w:p w:rsidR="00AD3A6F">
            <w:pPr>
              <w:spacing w:line="280" w:lineRule="exact"/>
              <w:jc w:val="center"/>
              <w:rPr>
                <w:rFonts w:ascii="方正仿宋简体" w:eastAsia="方正仿宋简体" w:hAnsiTheme="minorEastAsia" w:cs="方正仿宋简体"/>
                <w:bCs/>
                <w:iCs/>
              </w:rPr>
            </w:pPr>
          </w:p>
        </w:tc>
      </w:tr>
    </w:tbl>
    <w:p w:rsidR="00AD3A6F" w:rsidRPr="0086475C">
      <w:pPr>
        <w:autoSpaceDE w:val="0"/>
        <w:autoSpaceDN w:val="0"/>
        <w:adjustRightInd w:val="0"/>
        <w:spacing w:line="280" w:lineRule="exact"/>
        <w:jc w:val="left"/>
        <w:rPr>
          <w:rFonts w:ascii="方正仿宋简体" w:eastAsia="方正仿宋简体" w:hAnsi="方正仿宋简体" w:cs="方正仿宋简体"/>
          <w:bCs/>
          <w:iCs/>
        </w:rPr>
      </w:pPr>
      <w:r w:rsidRPr="003F6076">
        <w:rPr>
          <w:rFonts w:ascii="方正仿宋简体" w:eastAsia="方正仿宋简体" w:hAnsi="方正仿宋简体" w:cs="方正仿宋简体" w:hint="eastAsia"/>
          <w:bCs/>
          <w:iCs/>
        </w:rPr>
        <w:t>注：</w:t>
      </w:r>
      <w:r w:rsidRPr="003F6076">
        <w:rPr>
          <w:rFonts w:ascii="方正仿宋简体" w:eastAsia="方正仿宋简体" w:hAnsi="方正仿宋简体" w:cs="方正仿宋简体" w:hint="eastAsia"/>
          <w:bCs/>
          <w:iCs/>
        </w:rPr>
        <w:t>1</w:t>
      </w:r>
      <w:r w:rsidRPr="003F6076">
        <w:rPr>
          <w:rFonts w:ascii="方正仿宋简体" w:eastAsia="方正仿宋简体" w:hAnsi="方正仿宋简体" w:cs="方正仿宋简体" w:hint="eastAsia"/>
          <w:bCs/>
          <w:iCs/>
        </w:rPr>
        <w:t>、本基金交易证券、基金等产生的费用和税负，按实际发生额从基金资产扣除。</w:t>
      </w:r>
      <w:r w:rsidRPr="003F6076">
        <w:rPr>
          <w:rFonts w:ascii="方正仿宋简体" w:eastAsia="方正仿宋简体" w:hAnsi="方正仿宋简体" w:cs="方正仿宋简体" w:hint="eastAsia"/>
          <w:bCs/>
          <w:iCs/>
        </w:rPr>
        <w:t>2</w:t>
      </w:r>
      <w:r w:rsidRPr="003F6076">
        <w:rPr>
          <w:rFonts w:ascii="方正仿宋简体" w:eastAsia="方正仿宋简体" w:hAnsi="方正仿宋简体" w:cs="方正仿宋简体" w:hint="eastAsia"/>
          <w:bCs/>
          <w:iCs/>
        </w:rPr>
        <w:t>、对于通过基金管理人或其基金销售子公司投资的</w:t>
      </w:r>
      <w:r w:rsidRPr="003F6076">
        <w:rPr>
          <w:rFonts w:ascii="方正仿宋简体" w:eastAsia="方正仿宋简体" w:hAnsi="方正仿宋简体" w:cs="方正仿宋简体" w:hint="eastAsia"/>
          <w:bCs/>
          <w:iCs/>
        </w:rPr>
        <w:t>C</w:t>
      </w:r>
      <w:r w:rsidRPr="003F6076">
        <w:rPr>
          <w:rFonts w:ascii="方正仿宋简体" w:eastAsia="方正仿宋简体" w:hAnsi="方正仿宋简体" w:cs="方正仿宋简体" w:hint="eastAsia"/>
          <w:bCs/>
          <w:iCs/>
        </w:rPr>
        <w:t>类基金份额计提的销售服务费，在投资者赎回基金份额或基金合同终止时，随赎回款（或清算款）一并返还给投资者；对于转换转出业务，销售服务费将作为转换转出份额对应的款项一并划转至转换转入的基金。对于通过其他销售机构投资、持续持有期限不足一年（即</w:t>
      </w:r>
      <w:r w:rsidRPr="003F6076">
        <w:rPr>
          <w:rFonts w:ascii="方正仿宋简体" w:eastAsia="方正仿宋简体" w:hAnsi="方正仿宋简体" w:cs="方正仿宋简体" w:hint="eastAsia"/>
          <w:bCs/>
          <w:iCs/>
        </w:rPr>
        <w:t>365</w:t>
      </w:r>
      <w:r w:rsidRPr="003F6076">
        <w:rPr>
          <w:rFonts w:ascii="方正仿宋简体" w:eastAsia="方正仿宋简体" w:hAnsi="方正仿宋简体" w:cs="方正仿宋简体" w:hint="eastAsia"/>
          <w:bCs/>
          <w:iCs/>
        </w:rPr>
        <w:t>天，下同）的</w:t>
      </w:r>
      <w:r w:rsidRPr="003F6076">
        <w:rPr>
          <w:rFonts w:ascii="方正仿宋简体" w:eastAsia="方正仿宋简体" w:hAnsi="方正仿宋简体" w:cs="方正仿宋简体" w:hint="eastAsia"/>
          <w:bCs/>
          <w:iCs/>
        </w:rPr>
        <w:t>C</w:t>
      </w:r>
      <w:r w:rsidRPr="003F6076">
        <w:rPr>
          <w:rFonts w:ascii="方正仿宋简体" w:eastAsia="方正仿宋简体" w:hAnsi="方正仿宋简体" w:cs="方正仿宋简体" w:hint="eastAsia"/>
          <w:bCs/>
          <w:iCs/>
        </w:rPr>
        <w:t>类基金份额计提的销售服务费，支付给销售机构；持续持有期限达到或超过一年的</w:t>
      </w:r>
      <w:r w:rsidRPr="003F6076">
        <w:rPr>
          <w:rFonts w:ascii="方正仿宋简体" w:eastAsia="方正仿宋简体" w:hAnsi="方正仿宋简体" w:cs="方正仿宋简体" w:hint="eastAsia"/>
          <w:bCs/>
          <w:iCs/>
        </w:rPr>
        <w:t>C</w:t>
      </w:r>
      <w:r w:rsidRPr="003F6076">
        <w:rPr>
          <w:rFonts w:ascii="方正仿宋简体" w:eastAsia="方正仿宋简体" w:hAnsi="方正仿宋简体" w:cs="方正仿宋简体" w:hint="eastAsia"/>
          <w:bCs/>
          <w:iCs/>
        </w:rPr>
        <w:t>类基金份额继续计提的销售服务费，在投资者赎回基金份额或基金</w:t>
      </w:r>
      <w:r w:rsidRPr="003F6076">
        <w:rPr>
          <w:rFonts w:ascii="方正仿宋简体" w:eastAsia="方正仿宋简体" w:hAnsi="方正仿宋简体" w:cs="方正仿宋简体" w:hint="eastAsia"/>
          <w:bCs/>
          <w:iCs/>
        </w:rPr>
        <w:t>合同终止时，随赎回款（或清算款）一并返还给投资者，对于转换转出业务，销售服务费将作为转换转出份额对应的款项一并划转至转换转入的基金。详见招募说明书的基金费用与税收章节。</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风险揭示与重要提示</w:t>
      </w:r>
    </w:p>
    <w:p w:rsidR="00AD3A6F">
      <w:pPr>
        <w:spacing w:line="280" w:lineRule="exact"/>
        <w:outlineLvl w:val="1"/>
        <w:rPr>
          <w:rFonts w:ascii="方正仿宋简体" w:eastAsia="方正仿宋简体" w:hAnsi="宋体"/>
          <w:color w:val="0000FF"/>
          <w:kern w:val="0"/>
          <w:sz w:val="18"/>
        </w:rPr>
      </w:pPr>
      <w:r>
        <w:rPr>
          <w:rFonts w:ascii="方正仿宋简体" w:eastAsia="方正仿宋简体" w:hAnsi="方正仿宋简体" w:cs="方正仿宋简体" w:hint="eastAsia"/>
          <w:b/>
          <w:bCs/>
          <w:iCs/>
          <w:sz w:val="24"/>
          <w:szCs w:val="24"/>
        </w:rPr>
        <w:t>（一）风险揭示</w:t>
      </w:r>
    </w:p>
    <w:p w:rsidR="00AD3A6F">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b/>
          <w:bCs/>
          <w:iCs/>
        </w:rPr>
        <w:t>本基金不提供任何保证。投资者可能损失投资本金。</w:t>
      </w:r>
    </w:p>
    <w:p w:rsidR="00AD3A6F">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投资有风险，投资者购买基金时应认真阅读本基金的《招募说明书》等销售文件。</w:t>
      </w:r>
    </w:p>
    <w:p w:rsidR="00AD3A6F">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投资本基金可能遇到的特有风险包括但不限于：（</w:t>
      </w:r>
      <w:r>
        <w:rPr>
          <w:rFonts w:ascii="方正仿宋简体" w:eastAsia="方正仿宋简体" w:hAnsi="方正仿宋简体" w:cs="方正仿宋简体" w:hint="eastAsia"/>
          <w:iCs/>
        </w:rPr>
        <w:t>1</w:t>
      </w:r>
      <w:r>
        <w:rPr>
          <w:rFonts w:ascii="方正仿宋简体" w:eastAsia="方正仿宋简体" w:hAnsi="方正仿宋简体" w:cs="方正仿宋简体" w:hint="eastAsia"/>
          <w:iCs/>
        </w:rPr>
        <w:t>）本基金股票资产仓位偏高而面临的资产配置风险；（</w:t>
      </w:r>
      <w:r>
        <w:rPr>
          <w:rFonts w:ascii="方正仿宋简体" w:eastAsia="方正仿宋简体" w:hAnsi="方正仿宋简体" w:cs="方正仿宋简体" w:hint="eastAsia"/>
          <w:iCs/>
        </w:rPr>
        <w:t>2</w:t>
      </w:r>
      <w:r>
        <w:rPr>
          <w:rFonts w:ascii="方正仿宋简体" w:eastAsia="方正仿宋简体" w:hAnsi="方正仿宋简体" w:cs="方正仿宋简体" w:hint="eastAsia"/>
          <w:iCs/>
        </w:rPr>
        <w:t>）消费主题相关股票集中度较高的风险；（</w:t>
      </w:r>
      <w:r>
        <w:rPr>
          <w:rFonts w:ascii="方正仿宋简体" w:eastAsia="方正仿宋简体" w:hAnsi="方正仿宋简体" w:cs="方正仿宋简体" w:hint="eastAsia"/>
          <w:iCs/>
        </w:rPr>
        <w:t>3</w:t>
      </w:r>
      <w:r>
        <w:rPr>
          <w:rFonts w:ascii="方正仿宋简体" w:eastAsia="方正仿宋简体" w:hAnsi="方正仿宋简体" w:cs="方正仿宋简体" w:hint="eastAsia"/>
          <w:iCs/>
        </w:rPr>
        <w:t>）本基金投资范围包括内地与香港股票市场交易互联互</w:t>
      </w:r>
      <w:r>
        <w:rPr>
          <w:rFonts w:ascii="方正仿宋简体" w:eastAsia="方正仿宋简体" w:hAnsi="方正仿宋简体" w:cs="方正仿宋简体" w:hint="eastAsia"/>
          <w:iCs/>
        </w:rPr>
        <w:t>通机制允许买卖的香港证券市场股票而面临的香港股票市场及港股通机制带来的风险；（</w:t>
      </w:r>
      <w:r>
        <w:rPr>
          <w:rFonts w:ascii="方正仿宋简体" w:eastAsia="方正仿宋简体" w:hAnsi="方正仿宋简体" w:cs="方正仿宋简体" w:hint="eastAsia"/>
          <w:iCs/>
        </w:rPr>
        <w:t>4</w:t>
      </w:r>
      <w:r>
        <w:rPr>
          <w:rFonts w:ascii="方正仿宋简体" w:eastAsia="方正仿宋简体" w:hAnsi="方正仿宋简体" w:cs="方正仿宋简体" w:hint="eastAsia"/>
          <w:iCs/>
        </w:rPr>
        <w:t>）本基金投资范围包括股指期货、国债期货、股票期权等金融衍生品以及科创板股票、北交所股票、存托凭证、资产支持证券等特殊品种而面临的其他额外风险。此外，本基金还将面临市场风险、流动性风险（包括但不限于特定投资标的流动性较差风险、巨额赎回风险、启用摆动定价或侧袋机制等流动性风险管理工具带来的风险等）、管理风险、税收风险、本基金法律文件中涉及基金风险特征的表述与销售机构对基金的风险评级可能不一致的风险及其他风险等。本基金的特有风险及一般</w:t>
      </w:r>
      <w:r>
        <w:rPr>
          <w:rFonts w:ascii="方正仿宋简体" w:eastAsia="方正仿宋简体" w:hAnsi="方正仿宋简体" w:cs="方正仿宋简体" w:hint="eastAsia"/>
          <w:iCs/>
        </w:rPr>
        <w:t>风险详见招募说明书的“风险揭示”部分。</w:t>
      </w:r>
    </w:p>
    <w:p w:rsidR="00AD3A6F">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本基金场内投资采用证券公司交易和结算模式，即本基金参与证券交易所场内投资部分将通过基金管理人选定的证券经纪机构进行场内交易，并由选定的证券经纪机构作为结算参与人代理本基金进行结算，该种交易和结算模式可能增加本基金投资运作过程中的信息系统风险、操作风险、交易指令传输和资金使用效率降低的风险、无法完成当日估值的风险、交易结算风险、基金投资非公开信息泄露的风险等。</w:t>
      </w:r>
    </w:p>
    <w:p w:rsidR="00AD3A6F">
      <w:pPr>
        <w:spacing w:line="280" w:lineRule="exact"/>
        <w:outlineLvl w:val="1"/>
        <w:rPr>
          <w:rFonts w:ascii="方正仿宋简体" w:eastAsia="方正仿宋简体" w:hAnsi="方正仿宋简体" w:cs="方正仿宋简体"/>
          <w:b/>
          <w:iCs/>
          <w:sz w:val="22"/>
          <w:szCs w:val="24"/>
        </w:rPr>
      </w:pPr>
      <w:r>
        <w:rPr>
          <w:rFonts w:ascii="方正仿宋简体" w:eastAsia="方正仿宋简体" w:hAnsi="方正仿宋简体" w:cs="方正仿宋简体" w:hint="eastAsia"/>
          <w:b/>
          <w:iCs/>
          <w:sz w:val="24"/>
          <w:szCs w:val="24"/>
        </w:rPr>
        <w:t>（二）重要提示</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r>
        <w:rPr>
          <w:rFonts w:ascii="方正仿宋简体" w:eastAsia="方正仿宋简体" w:hAnsi="方正仿宋简体" w:cs="方正仿宋简体" w:hint="eastAsia"/>
          <w:b/>
          <w:bCs/>
          <w:iCs/>
        </w:rPr>
        <w:t>各方当事人因《基金合同》而产生的或与《基金合同》有关的一切争议应尽量通过协商、调解途径解决，如经友好协商未能解决的最终将通过仲裁方式处理，详见《基金合同》</w:t>
      </w:r>
      <w:r>
        <w:rPr>
          <w:rFonts w:ascii="方正仿宋简体" w:eastAsia="方正仿宋简体" w:hAnsi="方正仿宋简体" w:cs="方正仿宋简体" w:hint="eastAsia"/>
          <w:iCs/>
        </w:rPr>
        <w:t>。</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基金产品资料概要信息发生重大变更的，基金管理人将在三个工作</w:t>
      </w:r>
      <w:r>
        <w:rPr>
          <w:rFonts w:ascii="方正仿宋简体" w:eastAsia="方正仿宋简体" w:hAnsi="方正仿宋简体" w:cs="方正仿宋简体" w:hint="eastAsia"/>
          <w:iCs/>
        </w:rPr>
        <w:t>日内更新，其他信息发生变更的，基金管理人每年更新一次。因此，本文件内容相比基金的实际情况可能存在一定的滞后，如需及时、准确获取基金的相关信息，敬请同时关注基金管理人发布的相关临时公告等。</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其他资料查询方式</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以下资料详见基金管理人网站</w:t>
      </w:r>
      <w:r>
        <w:rPr>
          <w:rFonts w:ascii="方正仿宋简体" w:eastAsia="方正仿宋简体" w:hAnsi="方正仿宋简体" w:cs="方正仿宋简体" w:hint="eastAsia"/>
          <w:iCs/>
        </w:rPr>
        <w:t>[www.efunds.com.cn][</w:t>
      </w:r>
      <w:r>
        <w:rPr>
          <w:rFonts w:ascii="方正仿宋简体" w:eastAsia="方正仿宋简体" w:hAnsi="方正仿宋简体" w:cs="方正仿宋简体" w:hint="eastAsia"/>
          <w:iCs/>
        </w:rPr>
        <w:t>客服电话</w:t>
      </w:r>
      <w:r>
        <w:rPr>
          <w:rFonts w:ascii="方正仿宋简体" w:eastAsia="方正仿宋简体" w:hAnsi="方正仿宋简体" w:cs="方正仿宋简体" w:hint="eastAsia"/>
          <w:iCs/>
        </w:rPr>
        <w:t>:4008818088]</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1</w:t>
      </w:r>
      <w:r>
        <w:rPr>
          <w:rFonts w:ascii="方正仿宋简体" w:eastAsia="方正仿宋简体" w:hAnsi="方正仿宋简体" w:cs="方正仿宋简体" w:hint="eastAsia"/>
          <w:iCs/>
        </w:rPr>
        <w:t>、基金合同、托管协议、招募说明书</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2</w:t>
      </w:r>
      <w:r>
        <w:rPr>
          <w:rFonts w:ascii="方正仿宋简体" w:eastAsia="方正仿宋简体" w:hAnsi="方正仿宋简体" w:cs="方正仿宋简体" w:hint="eastAsia"/>
          <w:iCs/>
        </w:rPr>
        <w:t>、定期报告，包括基金季度报告、中期报告和年度报告</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3</w:t>
      </w:r>
      <w:r>
        <w:rPr>
          <w:rFonts w:ascii="方正仿宋简体" w:eastAsia="方正仿宋简体" w:hAnsi="方正仿宋简体" w:cs="方正仿宋简体" w:hint="eastAsia"/>
          <w:iCs/>
        </w:rPr>
        <w:t>、基金份额净值</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4</w:t>
      </w:r>
      <w:r>
        <w:rPr>
          <w:rFonts w:ascii="方正仿宋简体" w:eastAsia="方正仿宋简体" w:hAnsi="方正仿宋简体" w:cs="方正仿宋简体" w:hint="eastAsia"/>
          <w:iCs/>
        </w:rPr>
        <w:t>、基金销售机构及联系方式</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5</w:t>
      </w:r>
      <w:r>
        <w:rPr>
          <w:rFonts w:ascii="方正仿宋简体" w:eastAsia="方正仿宋简体" w:hAnsi="方正仿宋简体" w:cs="方正仿宋简体" w:hint="eastAsia"/>
          <w:iCs/>
        </w:rPr>
        <w:t>、其他重要资料</w:t>
      </w:r>
    </w:p>
    <w:sectPr>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auto"/>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方正黑体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5751033"/>
      <w:docPartObj>
        <w:docPartGallery w:val="Page Numbers (Bottom of Page)"/>
        <w:docPartUnique/>
      </w:docPartObj>
    </w:sdtPr>
    <w:sdtContent>
      <w:sdt>
        <w:sdtPr>
          <w:id w:val="98381352"/>
          <w:docPartObj>
            <w:docPartGallery w:val="Page Numbers (Top of Page)"/>
            <w:docPartUnique/>
          </w:docPartObj>
        </w:sdtPr>
        <w:sdtContent>
          <w:p w:rsidR="00575F3B" w:rsidP="0025315A">
            <w:pPr>
              <w:pStyle w:val="Foote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sdtContent>
      </w:sdt>
    </w:sdtContent>
  </w:sdt>
  <w:p w:rsidR="00575F3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8E6770"/>
    <w:multiLevelType w:val="hybridMultilevel"/>
    <w:tmpl w:val="C2F49F6C"/>
    <w:lvl w:ilvl="0">
      <w:start w:val="1"/>
      <w:numFmt w:val="japaneseCounting"/>
      <w:lvlText w:val="（%1）"/>
      <w:lvlJc w:val="left"/>
      <w:pPr>
        <w:ind w:left="765" w:hanging="76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2">
    <w:nsid w:val="7D0D3582"/>
    <w:multiLevelType w:val="hybridMultilevel"/>
    <w:tmpl w:val="256C1A40"/>
    <w:lvl w:ilvl="0">
      <w:start w:val="1"/>
      <w:numFmt w:val="chineseCountingThousand"/>
      <w:suff w:val="space"/>
      <w:lvlText w:val="(%1)"/>
      <w:lvlJc w:val="left"/>
      <w:pPr>
        <w:ind w:left="284" w:hanging="284"/>
      </w:pPr>
      <w:rPr>
        <w:rFonts w:eastAsia="宋体" w:asciiTheme="minorEastAsia" w:hAnsiTheme="minorEastAsia" w:hint="eastAsia"/>
        <w:b/>
      </w:rPr>
    </w:lvl>
    <w:lvl w:ilvl="1">
      <w:start w:val="1"/>
      <w:numFmt w:val="decimal"/>
      <w:lvlText w:val="%2、"/>
      <w:lvlJc w:val="left"/>
      <w:pPr>
        <w:ind w:left="780" w:hanging="36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卢春玲">
    <w15:presenceInfo w15:providerId="None" w15:userId="卢春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14B"/>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3D4"/>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4C1"/>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076"/>
    <w:rsid w:val="003F6D43"/>
    <w:rsid w:val="003F6EF3"/>
    <w:rsid w:val="00401E99"/>
    <w:rsid w:val="00402B28"/>
    <w:rsid w:val="00403885"/>
    <w:rsid w:val="00407D4D"/>
    <w:rsid w:val="004103D9"/>
    <w:rsid w:val="004106A5"/>
    <w:rsid w:val="00411B1E"/>
    <w:rsid w:val="00411C1F"/>
    <w:rsid w:val="00415142"/>
    <w:rsid w:val="00416169"/>
    <w:rsid w:val="00417B28"/>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B66B0"/>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A2F"/>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5F3B"/>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222"/>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33D6"/>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122BD"/>
    <w:rsid w:val="00812E6B"/>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0FC9"/>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475C"/>
    <w:rsid w:val="00867328"/>
    <w:rsid w:val="00867C31"/>
    <w:rsid w:val="00870140"/>
    <w:rsid w:val="00870A51"/>
    <w:rsid w:val="00872076"/>
    <w:rsid w:val="00872D80"/>
    <w:rsid w:val="0087307E"/>
    <w:rsid w:val="0087384F"/>
    <w:rsid w:val="00873A0F"/>
    <w:rsid w:val="008740C8"/>
    <w:rsid w:val="008745A1"/>
    <w:rsid w:val="008746AF"/>
    <w:rsid w:val="0087523D"/>
    <w:rsid w:val="00875CA5"/>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5B2E"/>
    <w:rsid w:val="00A26951"/>
    <w:rsid w:val="00A26A19"/>
    <w:rsid w:val="00A27367"/>
    <w:rsid w:val="00A27633"/>
    <w:rsid w:val="00A27965"/>
    <w:rsid w:val="00A279C5"/>
    <w:rsid w:val="00A30298"/>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EF4"/>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6614"/>
    <w:rsid w:val="00BF00D2"/>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2D7E"/>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40A4"/>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27EE9"/>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3DE5"/>
    <w:rsid w:val="00E76179"/>
    <w:rsid w:val="00E76E2F"/>
    <w:rsid w:val="00E76F50"/>
    <w:rsid w:val="00E800CB"/>
    <w:rsid w:val="00E83176"/>
    <w:rsid w:val="00E833FE"/>
    <w:rsid w:val="00E860A2"/>
    <w:rsid w:val="00E878A0"/>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3062E"/>
    <w:rsid w:val="00F31D45"/>
    <w:rsid w:val="00F327CF"/>
    <w:rsid w:val="00F3394C"/>
    <w:rsid w:val="00F33EAB"/>
    <w:rsid w:val="00F344DE"/>
    <w:rsid w:val="00F35135"/>
    <w:rsid w:val="00F35DFB"/>
    <w:rsid w:val="00F363C5"/>
    <w:rsid w:val="00F377ED"/>
    <w:rsid w:val="00F37CF5"/>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48D9"/>
    <w:rsid w:val="00FE681A"/>
    <w:rsid w:val="00FF13E8"/>
    <w:rsid w:val="00FF1656"/>
    <w:rsid w:val="00FF25D4"/>
    <w:rsid w:val="00FF4D13"/>
    <w:rsid w:val="00FF6A3D"/>
  </w:rsids>
  <w:docVars>
    <w:docVar w:name="Disclosure_Version" w:val="true"/>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5C69772D-C4D6-430F-8A91-8AF07134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7CB"/>
    <w:pPr>
      <w:widowControl w:val="0"/>
      <w:jc w:val="both"/>
    </w:pPr>
  </w:style>
  <w:style w:type="paragraph" w:styleId="Heading1">
    <w:name w:val="heading 1"/>
    <w:basedOn w:val="Normal"/>
    <w:next w:val="Normal"/>
    <w:link w:val="1Char"/>
    <w:uiPriority w:val="9"/>
    <w:qFormat/>
    <w:rsid w:val="0006758E"/>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753"/>
    <w:pPr>
      <w:ind w:firstLine="420" w:firstLineChars="200"/>
    </w:pPr>
  </w:style>
  <w:style w:type="table" w:styleId="TableGrid">
    <w:name w:val="Table Grid"/>
    <w:basedOn w:val="TableNormal"/>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Char"/>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92395F"/>
    <w:rPr>
      <w:sz w:val="18"/>
      <w:szCs w:val="18"/>
    </w:rPr>
  </w:style>
  <w:style w:type="paragraph" w:styleId="Footer">
    <w:name w:val="footer"/>
    <w:basedOn w:val="Normal"/>
    <w:link w:val="Char0"/>
    <w:uiPriority w:val="99"/>
    <w:unhideWhenUsed/>
    <w:rsid w:val="0092395F"/>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92395F"/>
    <w:rPr>
      <w:sz w:val="18"/>
      <w:szCs w:val="18"/>
    </w:rPr>
  </w:style>
  <w:style w:type="paragraph" w:styleId="BalloonText">
    <w:name w:val="Balloon Text"/>
    <w:basedOn w:val="Normal"/>
    <w:link w:val="Char1"/>
    <w:uiPriority w:val="99"/>
    <w:semiHidden/>
    <w:unhideWhenUsed/>
    <w:rsid w:val="000676AA"/>
    <w:rPr>
      <w:sz w:val="18"/>
      <w:szCs w:val="18"/>
    </w:rPr>
  </w:style>
  <w:style w:type="character" w:customStyle="1" w:styleId="Char1">
    <w:name w:val="批注框文本 Char"/>
    <w:basedOn w:val="DefaultParagraphFont"/>
    <w:link w:val="BalloonText"/>
    <w:uiPriority w:val="99"/>
    <w:semiHidden/>
    <w:rsid w:val="000676AA"/>
    <w:rPr>
      <w:sz w:val="18"/>
      <w:szCs w:val="18"/>
    </w:rPr>
  </w:style>
  <w:style w:type="character" w:styleId="PlaceholderText">
    <w:name w:val="Placeholder Text"/>
    <w:basedOn w:val="DefaultParagraphFont"/>
    <w:uiPriority w:val="99"/>
    <w:semiHidden/>
    <w:rsid w:val="008B7E39"/>
    <w:rPr>
      <w:color w:val="808080"/>
    </w:rPr>
  </w:style>
  <w:style w:type="character" w:styleId="FootnoteReference">
    <w:name w:val="footnote reference"/>
    <w:unhideWhenUsed/>
    <w:qFormat/>
    <w:rsid w:val="00CC22C3"/>
    <w:rPr>
      <w:rFonts w:ascii="Times New Roman" w:eastAsia="宋体" w:hAnsi="Times New Roman" w:cs="Times New Roman"/>
      <w:vertAlign w:val="superscript"/>
    </w:rPr>
  </w:style>
  <w:style w:type="paragraph" w:styleId="FootnoteText">
    <w:name w:val="footnote text"/>
    <w:basedOn w:val="Normal"/>
    <w:link w:val="Char2"/>
    <w:unhideWhenUsed/>
    <w:qFormat/>
    <w:rsid w:val="00CC22C3"/>
    <w:pPr>
      <w:snapToGrid w:val="0"/>
      <w:jc w:val="left"/>
    </w:pPr>
    <w:rPr>
      <w:rFonts w:ascii="Calibri" w:eastAsia="宋体" w:hAnsi="Calibri" w:cs="Times New Roman"/>
      <w:sz w:val="18"/>
      <w:szCs w:val="24"/>
    </w:rPr>
  </w:style>
  <w:style w:type="character" w:customStyle="1" w:styleId="Char2">
    <w:name w:val="脚注文本 Char"/>
    <w:basedOn w:val="DefaultParagraphFont"/>
    <w:link w:val="FootnoteText"/>
    <w:qFormat/>
    <w:rsid w:val="00CC22C3"/>
    <w:rPr>
      <w:rFonts w:ascii="Calibri" w:eastAsia="宋体" w:hAnsi="Calibri" w:cs="Times New Roman"/>
      <w:sz w:val="18"/>
      <w:szCs w:val="24"/>
    </w:rPr>
  </w:style>
  <w:style w:type="character" w:customStyle="1" w:styleId="1Char">
    <w:name w:val="标题 1 Char"/>
    <w:basedOn w:val="DefaultParagraphFont"/>
    <w:link w:val="Heading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8BF8A-738E-4FB6-A0E8-6C1B4606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