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088DB8" w14:textId="77777777" w:rsidR="00C41073" w:rsidRDefault="00C41073">
      <w:pPr>
        <w:tabs>
          <w:tab w:val="left" w:pos="6660"/>
        </w:tabs>
        <w:spacing w:line="360" w:lineRule="auto"/>
        <w:jc w:val="center"/>
        <w:rPr>
          <w:bCs/>
          <w:sz w:val="44"/>
        </w:rPr>
      </w:pPr>
    </w:p>
    <w:p w14:paraId="3D318E15" w14:textId="77777777" w:rsidR="00C41073" w:rsidRDefault="006B1422">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312484FC" w14:textId="77777777" w:rsidR="00C41073" w:rsidRDefault="006B1422">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05EC8027" w14:textId="77777777" w:rsidR="00C41073" w:rsidRDefault="00C41073">
      <w:pPr>
        <w:jc w:val="center"/>
        <w:rPr>
          <w:b/>
          <w:sz w:val="52"/>
        </w:rPr>
      </w:pPr>
    </w:p>
    <w:p w14:paraId="5CFCFA55" w14:textId="77777777" w:rsidR="00C41073" w:rsidRDefault="00C41073">
      <w:pPr>
        <w:rPr>
          <w:b/>
        </w:rPr>
      </w:pPr>
    </w:p>
    <w:p w14:paraId="701C887C" w14:textId="77777777" w:rsidR="00C41073" w:rsidRDefault="00C41073" w:rsidP="00B5655B">
      <w:pPr>
        <w:rPr>
          <w:b/>
          <w:sz w:val="52"/>
        </w:rPr>
      </w:pPr>
    </w:p>
    <w:p w14:paraId="11ACF5AF" w14:textId="77777777" w:rsidR="00C41073" w:rsidRPr="00B5655B" w:rsidRDefault="006B1422">
      <w:pPr>
        <w:jc w:val="center"/>
        <w:rPr>
          <w:rFonts w:ascii="宋体" w:hAnsi="宋体"/>
          <w:b/>
          <w:sz w:val="36"/>
          <w:szCs w:val="36"/>
        </w:rPr>
      </w:pPr>
      <w:bookmarkStart w:id="0" w:name="_Toc123112262"/>
      <w:bookmarkStart w:id="1" w:name="_Toc123112223"/>
      <w:bookmarkStart w:id="2" w:name="_Toc123701382"/>
      <w:bookmarkStart w:id="3" w:name="_Toc139991725"/>
      <w:bookmarkStart w:id="4" w:name="_Toc139992300"/>
      <w:r w:rsidRPr="00B5655B">
        <w:rPr>
          <w:rFonts w:ascii="宋体" w:hAnsi="宋体"/>
          <w:b/>
          <w:sz w:val="36"/>
          <w:szCs w:val="36"/>
        </w:rPr>
        <w:t>汇添富沪深300自由现金流指数型证券投资基金</w:t>
      </w:r>
    </w:p>
    <w:p w14:paraId="3359FF22" w14:textId="77777777" w:rsidR="00C41073" w:rsidRPr="00B5655B" w:rsidRDefault="006B1422">
      <w:pPr>
        <w:jc w:val="center"/>
        <w:rPr>
          <w:b/>
          <w:sz w:val="36"/>
          <w:szCs w:val="36"/>
        </w:rPr>
      </w:pPr>
      <w:r w:rsidRPr="00B5655B">
        <w:rPr>
          <w:rFonts w:ascii="宋体" w:hAnsi="宋体" w:hint="eastAsia"/>
          <w:b/>
          <w:sz w:val="36"/>
          <w:szCs w:val="36"/>
        </w:rPr>
        <w:t>基金合同</w:t>
      </w:r>
      <w:bookmarkEnd w:id="0"/>
      <w:bookmarkEnd w:id="1"/>
      <w:bookmarkEnd w:id="2"/>
      <w:bookmarkEnd w:id="3"/>
      <w:bookmarkEnd w:id="4"/>
    </w:p>
    <w:p w14:paraId="1E9D9CE9" w14:textId="77777777" w:rsidR="00C41073" w:rsidRDefault="00C41073">
      <w:pPr>
        <w:jc w:val="center"/>
        <w:rPr>
          <w:b/>
          <w:sz w:val="52"/>
        </w:rPr>
      </w:pPr>
    </w:p>
    <w:p w14:paraId="26DFB967" w14:textId="77777777" w:rsidR="00851E90" w:rsidRDefault="00851E90">
      <w:pPr>
        <w:jc w:val="center"/>
        <w:rPr>
          <w:b/>
          <w:sz w:val="52"/>
        </w:rPr>
      </w:pPr>
    </w:p>
    <w:p w14:paraId="6FD85DA9" w14:textId="77777777" w:rsidR="00851E90" w:rsidRDefault="00851E90">
      <w:pPr>
        <w:jc w:val="center"/>
        <w:rPr>
          <w:b/>
          <w:sz w:val="52"/>
        </w:rPr>
      </w:pPr>
    </w:p>
    <w:p w14:paraId="1A07D82B" w14:textId="77777777" w:rsidR="00851E90" w:rsidRDefault="00851E90">
      <w:pPr>
        <w:jc w:val="center"/>
        <w:rPr>
          <w:b/>
          <w:sz w:val="52"/>
        </w:rPr>
      </w:pPr>
    </w:p>
    <w:p w14:paraId="5A8E13E7" w14:textId="77777777" w:rsidR="00851E90" w:rsidRDefault="00851E90">
      <w:pPr>
        <w:jc w:val="center"/>
        <w:rPr>
          <w:b/>
          <w:sz w:val="52"/>
        </w:rPr>
      </w:pPr>
    </w:p>
    <w:p w14:paraId="179E7A55" w14:textId="77777777" w:rsidR="00851E90" w:rsidRDefault="00851E90">
      <w:pPr>
        <w:jc w:val="center"/>
        <w:rPr>
          <w:b/>
          <w:sz w:val="52"/>
        </w:rPr>
      </w:pPr>
    </w:p>
    <w:p w14:paraId="35C7DA8F" w14:textId="77777777" w:rsidR="00851E90" w:rsidRDefault="00851E90">
      <w:pPr>
        <w:jc w:val="center"/>
        <w:rPr>
          <w:b/>
          <w:sz w:val="52"/>
        </w:rPr>
      </w:pPr>
    </w:p>
    <w:p w14:paraId="1F995D28" w14:textId="77777777" w:rsidR="00C41073" w:rsidRDefault="00C41073">
      <w:pPr>
        <w:jc w:val="center"/>
        <w:rPr>
          <w:b/>
          <w:sz w:val="52"/>
        </w:rPr>
      </w:pPr>
    </w:p>
    <w:p w14:paraId="59977815" w14:textId="77777777" w:rsidR="00C41073" w:rsidRDefault="006B1422">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22E6B272" w14:textId="77777777" w:rsidR="00C41073" w:rsidRPr="00B5655B" w:rsidRDefault="006B1422">
      <w:pPr>
        <w:jc w:val="center"/>
        <w:rPr>
          <w:b/>
          <w:sz w:val="30"/>
          <w:szCs w:val="30"/>
        </w:rPr>
      </w:pPr>
      <w:bookmarkStart w:id="5" w:name="_Toc123701383"/>
      <w:bookmarkStart w:id="6" w:name="_Toc123112224"/>
      <w:bookmarkStart w:id="7" w:name="_Toc139991726"/>
      <w:bookmarkStart w:id="8" w:name="_Toc139992301"/>
      <w:bookmarkStart w:id="9" w:name="_Toc123112263"/>
      <w:r w:rsidRPr="00B5655B">
        <w:rPr>
          <w:rFonts w:hint="eastAsia"/>
          <w:b/>
          <w:sz w:val="30"/>
          <w:szCs w:val="30"/>
        </w:rPr>
        <w:t>基金管理人：</w:t>
      </w:r>
      <w:bookmarkEnd w:id="5"/>
      <w:bookmarkEnd w:id="6"/>
      <w:bookmarkEnd w:id="7"/>
      <w:bookmarkEnd w:id="8"/>
      <w:bookmarkEnd w:id="9"/>
      <w:r w:rsidRPr="00B5655B">
        <w:rPr>
          <w:rFonts w:hint="eastAsia"/>
          <w:b/>
          <w:sz w:val="30"/>
          <w:szCs w:val="30"/>
        </w:rPr>
        <w:t>汇添富基金管理股份有限公司</w:t>
      </w:r>
    </w:p>
    <w:p w14:paraId="075879B6" w14:textId="77777777" w:rsidR="00C41073" w:rsidRPr="00B5655B" w:rsidRDefault="006B1422">
      <w:pPr>
        <w:jc w:val="center"/>
        <w:rPr>
          <w:b/>
          <w:sz w:val="30"/>
          <w:szCs w:val="30"/>
        </w:rPr>
      </w:pPr>
      <w:bookmarkStart w:id="10" w:name="_Toc139991727"/>
      <w:bookmarkStart w:id="11" w:name="_Toc123112264"/>
      <w:bookmarkStart w:id="12" w:name="_Toc139992302"/>
      <w:bookmarkStart w:id="13" w:name="_Toc123112225"/>
      <w:bookmarkStart w:id="14" w:name="_Toc123701384"/>
      <w:r w:rsidRPr="00B5655B">
        <w:rPr>
          <w:rFonts w:hint="eastAsia"/>
          <w:b/>
          <w:sz w:val="30"/>
          <w:szCs w:val="30"/>
        </w:rPr>
        <w:t>基金托管人：</w:t>
      </w:r>
      <w:bookmarkEnd w:id="10"/>
      <w:bookmarkEnd w:id="11"/>
      <w:bookmarkEnd w:id="12"/>
      <w:bookmarkEnd w:id="13"/>
      <w:bookmarkEnd w:id="14"/>
      <w:r w:rsidRPr="00B5655B">
        <w:rPr>
          <w:rFonts w:hint="eastAsia"/>
          <w:b/>
          <w:sz w:val="30"/>
          <w:szCs w:val="30"/>
        </w:rPr>
        <w:t>中国工商银行股份有限公司</w:t>
      </w:r>
    </w:p>
    <w:p w14:paraId="6841FABB" w14:textId="77777777" w:rsidR="00C41073" w:rsidRDefault="00C41073">
      <w:pPr>
        <w:jc w:val="center"/>
        <w:rPr>
          <w:b/>
          <w:sz w:val="30"/>
        </w:rPr>
      </w:pPr>
      <w:bookmarkStart w:id="15" w:name="_Toc139991729"/>
      <w:bookmarkStart w:id="16" w:name="_Toc123112266"/>
      <w:bookmarkStart w:id="17" w:name="_Toc123701386"/>
      <w:bookmarkStart w:id="18" w:name="_Toc123112227"/>
    </w:p>
    <w:p w14:paraId="463CB9F1" w14:textId="77777777" w:rsidR="00C41073" w:rsidRDefault="00C41073">
      <w:pPr>
        <w:jc w:val="center"/>
        <w:rPr>
          <w:b/>
          <w:sz w:val="30"/>
        </w:rPr>
      </w:pPr>
    </w:p>
    <w:p w14:paraId="22B61C82" w14:textId="77777777" w:rsidR="00C41073" w:rsidRDefault="00C41073">
      <w:pPr>
        <w:jc w:val="center"/>
        <w:rPr>
          <w:b/>
          <w:bCs/>
          <w:sz w:val="30"/>
        </w:rPr>
      </w:pPr>
    </w:p>
    <w:p w14:paraId="55EF8A91" w14:textId="77777777" w:rsidR="00C41073" w:rsidRDefault="00C41073">
      <w:pPr>
        <w:jc w:val="center"/>
        <w:rPr>
          <w:rFonts w:ascii="宋体"/>
          <w:b/>
          <w:bCs/>
          <w:sz w:val="30"/>
        </w:rPr>
      </w:pPr>
    </w:p>
    <w:p w14:paraId="3669EC68" w14:textId="77777777" w:rsidR="00C41073" w:rsidRDefault="00C41073">
      <w:pPr>
        <w:jc w:val="center"/>
        <w:rPr>
          <w:rFonts w:ascii="宋体"/>
          <w:b/>
          <w:bCs/>
          <w:sz w:val="30"/>
        </w:rPr>
        <w:sectPr w:rsidR="00C41073">
          <w:footerReference w:type="default" r:id="rId8"/>
          <w:pgSz w:w="11906" w:h="16838"/>
          <w:pgMar w:top="1440" w:right="1800" w:bottom="1440" w:left="1800" w:header="851" w:footer="992" w:gutter="0"/>
          <w:cols w:space="720"/>
          <w:docGrid w:type="lines" w:linePitch="312"/>
        </w:sectPr>
      </w:pPr>
      <w:bookmarkStart w:id="19" w:name="_Toc123112229"/>
      <w:bookmarkStart w:id="20" w:name="_Toc23386"/>
      <w:bookmarkStart w:id="21" w:name="_Toc32639"/>
      <w:bookmarkStart w:id="22" w:name="_Toc26897"/>
      <w:bookmarkStart w:id="23" w:name="_Toc4867"/>
      <w:bookmarkStart w:id="24" w:name="_Toc139991730"/>
      <w:bookmarkStart w:id="25" w:name="_Toc123112268"/>
      <w:bookmarkStart w:id="26" w:name="_Toc4966"/>
      <w:bookmarkStart w:id="27" w:name="_Toc15517"/>
      <w:bookmarkStart w:id="28" w:name="_Toc30935"/>
      <w:bookmarkStart w:id="29" w:name="_Toc233456271"/>
      <w:bookmarkStart w:id="30" w:name="_Toc8727"/>
      <w:bookmarkStart w:id="31" w:name="_Toc6306"/>
      <w:bookmarkStart w:id="32" w:name="_Toc29629"/>
      <w:bookmarkStart w:id="33" w:name="_Toc141703880"/>
      <w:bookmarkStart w:id="34" w:name="_Toc123701389"/>
      <w:bookmarkEnd w:id="15"/>
      <w:bookmarkEnd w:id="16"/>
      <w:bookmarkEnd w:id="17"/>
      <w:bookmarkEnd w:id="18"/>
    </w:p>
    <w:p w14:paraId="64386E1C" w14:textId="77777777" w:rsidR="00C41073" w:rsidRDefault="006B1422">
      <w:pPr>
        <w:autoSpaceDE w:val="0"/>
        <w:autoSpaceDN w:val="0"/>
        <w:adjustRightInd w:val="0"/>
        <w:spacing w:line="360" w:lineRule="auto"/>
        <w:ind w:firstLineChars="200" w:firstLine="482"/>
        <w:jc w:val="center"/>
        <w:rPr>
          <w:rFonts w:ascii="宋体" w:hAnsi="宋体" w:cs="宋体"/>
          <w:b/>
          <w:sz w:val="24"/>
        </w:rPr>
      </w:pPr>
      <w:r>
        <w:rPr>
          <w:rStyle w:val="read"/>
          <w:rFonts w:ascii="宋体" w:hAnsi="宋体" w:cs="宋体"/>
          <w:b/>
          <w:sz w:val="24"/>
        </w:rPr>
        <w:lastRenderedPageBreak/>
        <w:t>目录</w:t>
      </w:r>
    </w:p>
    <w:p w14:paraId="541D675E" w14:textId="2D0A34DA" w:rsidR="00C41073" w:rsidRDefault="006B1422">
      <w:pPr>
        <w:pStyle w:val="10"/>
        <w:rPr>
          <w:rFonts w:asciiTheme="minorHAnsi" w:hAnsiTheme="minorHAnsi"/>
          <w:noProof/>
        </w:rPr>
      </w:pPr>
      <w:r>
        <w:rPr>
          <w:rStyle w:val="read"/>
          <w:rFonts w:ascii="宋体" w:hAnsi="宋体" w:cs="宋体"/>
          <w:b/>
          <w:sz w:val="24"/>
        </w:rPr>
        <w:fldChar w:fldCharType="begin"/>
      </w:r>
      <w:r>
        <w:rPr>
          <w:rStyle w:val="read"/>
          <w:rFonts w:ascii="宋体" w:hAnsi="宋体" w:cs="宋体"/>
          <w:b/>
          <w:sz w:val="24"/>
        </w:rPr>
        <w:instrText>TOC \o "1-1" \h \z \u</w:instrText>
      </w:r>
      <w:r>
        <w:rPr>
          <w:rStyle w:val="read"/>
          <w:rFonts w:ascii="宋体" w:hAnsi="宋体" w:cs="宋体"/>
          <w:b/>
          <w:sz w:val="24"/>
        </w:rPr>
        <w:fldChar w:fldCharType="separate"/>
      </w:r>
      <w:hyperlink w:anchor="_Toc256000000" w:history="1">
        <w:r>
          <w:rPr>
            <w:rStyle w:val="af0"/>
            <w:noProof/>
          </w:rPr>
          <w:t>第一部分</w:t>
        </w:r>
        <w:r>
          <w:rPr>
            <w:rStyle w:val="af0"/>
            <w:noProof/>
          </w:rPr>
          <w:t xml:space="preserve">  </w:t>
        </w:r>
        <w:r>
          <w:rPr>
            <w:rStyle w:val="af0"/>
            <w:noProof/>
          </w:rPr>
          <w:t>前言</w:t>
        </w:r>
        <w:r>
          <w:rPr>
            <w:noProof/>
          </w:rPr>
          <w:tab/>
        </w:r>
        <w:r>
          <w:rPr>
            <w:noProof/>
          </w:rPr>
          <w:fldChar w:fldCharType="begin"/>
        </w:r>
        <w:r>
          <w:rPr>
            <w:noProof/>
          </w:rPr>
          <w:instrText xml:space="preserve"> PAGEREF _Toc256000000 \h </w:instrText>
        </w:r>
        <w:r>
          <w:rPr>
            <w:noProof/>
          </w:rPr>
        </w:r>
        <w:r>
          <w:rPr>
            <w:noProof/>
          </w:rPr>
          <w:fldChar w:fldCharType="separate"/>
        </w:r>
        <w:r w:rsidR="00C445BE">
          <w:rPr>
            <w:noProof/>
          </w:rPr>
          <w:t>2</w:t>
        </w:r>
        <w:r>
          <w:rPr>
            <w:noProof/>
          </w:rPr>
          <w:fldChar w:fldCharType="end"/>
        </w:r>
      </w:hyperlink>
    </w:p>
    <w:p w14:paraId="33D0CCE8" w14:textId="7B9A5879" w:rsidR="00C41073" w:rsidRDefault="00084B88">
      <w:pPr>
        <w:pStyle w:val="10"/>
        <w:rPr>
          <w:rFonts w:asciiTheme="minorHAnsi" w:hAnsiTheme="minorHAnsi"/>
          <w:noProof/>
        </w:rPr>
      </w:pPr>
      <w:hyperlink w:anchor="_Toc256000001" w:history="1">
        <w:r w:rsidR="006B1422">
          <w:rPr>
            <w:rStyle w:val="af0"/>
            <w:noProof/>
          </w:rPr>
          <w:t>第二部分</w:t>
        </w:r>
        <w:r w:rsidR="006B1422">
          <w:rPr>
            <w:rStyle w:val="af0"/>
            <w:noProof/>
          </w:rPr>
          <w:t xml:space="preserve">  </w:t>
        </w:r>
        <w:r w:rsidR="006B1422">
          <w:rPr>
            <w:rStyle w:val="af0"/>
            <w:noProof/>
          </w:rPr>
          <w:t>释义</w:t>
        </w:r>
        <w:r w:rsidR="006B1422">
          <w:rPr>
            <w:noProof/>
          </w:rPr>
          <w:tab/>
        </w:r>
        <w:r w:rsidR="006B1422">
          <w:rPr>
            <w:noProof/>
          </w:rPr>
          <w:fldChar w:fldCharType="begin"/>
        </w:r>
        <w:r w:rsidR="006B1422">
          <w:rPr>
            <w:noProof/>
          </w:rPr>
          <w:instrText xml:space="preserve"> PAGEREF _Toc256000001 \h </w:instrText>
        </w:r>
        <w:r w:rsidR="006B1422">
          <w:rPr>
            <w:noProof/>
          </w:rPr>
        </w:r>
        <w:r w:rsidR="006B1422">
          <w:rPr>
            <w:noProof/>
          </w:rPr>
          <w:fldChar w:fldCharType="separate"/>
        </w:r>
        <w:r w:rsidR="00C445BE">
          <w:rPr>
            <w:noProof/>
          </w:rPr>
          <w:t>4</w:t>
        </w:r>
        <w:r w:rsidR="006B1422">
          <w:rPr>
            <w:noProof/>
          </w:rPr>
          <w:fldChar w:fldCharType="end"/>
        </w:r>
      </w:hyperlink>
    </w:p>
    <w:p w14:paraId="45EB5D01" w14:textId="6B412386" w:rsidR="00C41073" w:rsidRDefault="00084B88">
      <w:pPr>
        <w:pStyle w:val="10"/>
        <w:rPr>
          <w:rFonts w:asciiTheme="minorHAnsi" w:hAnsiTheme="minorHAnsi"/>
          <w:noProof/>
        </w:rPr>
      </w:pPr>
      <w:hyperlink w:anchor="_Toc256000002" w:history="1">
        <w:r w:rsidR="006B1422">
          <w:rPr>
            <w:rStyle w:val="af0"/>
            <w:noProof/>
          </w:rPr>
          <w:t>第三部分</w:t>
        </w:r>
        <w:r w:rsidR="006B1422">
          <w:rPr>
            <w:rStyle w:val="af0"/>
            <w:noProof/>
          </w:rPr>
          <w:t xml:space="preserve">  </w:t>
        </w:r>
        <w:r w:rsidR="006B1422">
          <w:rPr>
            <w:rStyle w:val="af0"/>
            <w:noProof/>
          </w:rPr>
          <w:t>基金的基本情况</w:t>
        </w:r>
        <w:r w:rsidR="006B1422">
          <w:rPr>
            <w:noProof/>
          </w:rPr>
          <w:tab/>
        </w:r>
        <w:r w:rsidR="006B1422">
          <w:rPr>
            <w:noProof/>
          </w:rPr>
          <w:fldChar w:fldCharType="begin"/>
        </w:r>
        <w:r w:rsidR="006B1422">
          <w:rPr>
            <w:noProof/>
          </w:rPr>
          <w:instrText xml:space="preserve"> PAGEREF _Toc256000002 \h </w:instrText>
        </w:r>
        <w:r w:rsidR="006B1422">
          <w:rPr>
            <w:noProof/>
          </w:rPr>
        </w:r>
        <w:r w:rsidR="006B1422">
          <w:rPr>
            <w:noProof/>
          </w:rPr>
          <w:fldChar w:fldCharType="separate"/>
        </w:r>
        <w:r w:rsidR="00C445BE">
          <w:rPr>
            <w:noProof/>
          </w:rPr>
          <w:t>10</w:t>
        </w:r>
        <w:r w:rsidR="006B1422">
          <w:rPr>
            <w:noProof/>
          </w:rPr>
          <w:fldChar w:fldCharType="end"/>
        </w:r>
      </w:hyperlink>
    </w:p>
    <w:p w14:paraId="3FC525BE" w14:textId="3CFCB867" w:rsidR="00C41073" w:rsidRDefault="00084B88">
      <w:pPr>
        <w:pStyle w:val="10"/>
        <w:rPr>
          <w:rFonts w:asciiTheme="minorHAnsi" w:hAnsiTheme="minorHAnsi"/>
          <w:noProof/>
        </w:rPr>
      </w:pPr>
      <w:hyperlink w:anchor="_Toc256000003" w:history="1">
        <w:r w:rsidR="006B1422">
          <w:rPr>
            <w:rStyle w:val="af0"/>
            <w:noProof/>
          </w:rPr>
          <w:t>第四部分</w:t>
        </w:r>
        <w:r w:rsidR="006B1422">
          <w:rPr>
            <w:rStyle w:val="af0"/>
            <w:noProof/>
          </w:rPr>
          <w:t xml:space="preserve">  </w:t>
        </w:r>
        <w:r w:rsidR="006B1422">
          <w:rPr>
            <w:rStyle w:val="af0"/>
            <w:noProof/>
          </w:rPr>
          <w:t>基金份额的发售</w:t>
        </w:r>
        <w:r w:rsidR="006B1422">
          <w:rPr>
            <w:noProof/>
          </w:rPr>
          <w:tab/>
        </w:r>
        <w:r w:rsidR="006B1422">
          <w:rPr>
            <w:noProof/>
          </w:rPr>
          <w:fldChar w:fldCharType="begin"/>
        </w:r>
        <w:r w:rsidR="006B1422">
          <w:rPr>
            <w:noProof/>
          </w:rPr>
          <w:instrText xml:space="preserve"> PAGEREF _Toc256000003 \h </w:instrText>
        </w:r>
        <w:r w:rsidR="006B1422">
          <w:rPr>
            <w:noProof/>
          </w:rPr>
        </w:r>
        <w:r w:rsidR="006B1422">
          <w:rPr>
            <w:noProof/>
          </w:rPr>
          <w:fldChar w:fldCharType="separate"/>
        </w:r>
        <w:r w:rsidR="00C445BE">
          <w:rPr>
            <w:noProof/>
          </w:rPr>
          <w:t>12</w:t>
        </w:r>
        <w:r w:rsidR="006B1422">
          <w:rPr>
            <w:noProof/>
          </w:rPr>
          <w:fldChar w:fldCharType="end"/>
        </w:r>
      </w:hyperlink>
    </w:p>
    <w:p w14:paraId="47655133" w14:textId="463B1079" w:rsidR="00C41073" w:rsidRDefault="00084B88">
      <w:pPr>
        <w:pStyle w:val="10"/>
        <w:rPr>
          <w:rFonts w:asciiTheme="minorHAnsi" w:hAnsiTheme="minorHAnsi"/>
          <w:noProof/>
        </w:rPr>
      </w:pPr>
      <w:hyperlink w:anchor="_Toc256000004" w:history="1">
        <w:r w:rsidR="006B1422">
          <w:rPr>
            <w:rStyle w:val="af0"/>
            <w:noProof/>
          </w:rPr>
          <w:t>第五部分</w:t>
        </w:r>
        <w:r w:rsidR="006B1422">
          <w:rPr>
            <w:rStyle w:val="af0"/>
            <w:noProof/>
          </w:rPr>
          <w:t xml:space="preserve">  </w:t>
        </w:r>
        <w:r w:rsidR="006B1422">
          <w:rPr>
            <w:rStyle w:val="af0"/>
            <w:noProof/>
          </w:rPr>
          <w:t>基金备案</w:t>
        </w:r>
        <w:r w:rsidR="006B1422">
          <w:rPr>
            <w:noProof/>
          </w:rPr>
          <w:tab/>
        </w:r>
        <w:r w:rsidR="006B1422">
          <w:rPr>
            <w:noProof/>
          </w:rPr>
          <w:fldChar w:fldCharType="begin"/>
        </w:r>
        <w:r w:rsidR="006B1422">
          <w:rPr>
            <w:noProof/>
          </w:rPr>
          <w:instrText xml:space="preserve"> PAGEREF _Toc256000004 \h </w:instrText>
        </w:r>
        <w:r w:rsidR="006B1422">
          <w:rPr>
            <w:noProof/>
          </w:rPr>
        </w:r>
        <w:r w:rsidR="006B1422">
          <w:rPr>
            <w:noProof/>
          </w:rPr>
          <w:fldChar w:fldCharType="separate"/>
        </w:r>
        <w:r w:rsidR="00C445BE">
          <w:rPr>
            <w:noProof/>
          </w:rPr>
          <w:t>14</w:t>
        </w:r>
        <w:r w:rsidR="006B1422">
          <w:rPr>
            <w:noProof/>
          </w:rPr>
          <w:fldChar w:fldCharType="end"/>
        </w:r>
      </w:hyperlink>
    </w:p>
    <w:p w14:paraId="739DB18E" w14:textId="62F3CF9E" w:rsidR="00C41073" w:rsidRDefault="00084B88">
      <w:pPr>
        <w:pStyle w:val="10"/>
        <w:rPr>
          <w:rFonts w:asciiTheme="minorHAnsi" w:hAnsiTheme="minorHAnsi"/>
          <w:noProof/>
        </w:rPr>
      </w:pPr>
      <w:hyperlink w:anchor="_Toc256000005" w:history="1">
        <w:r w:rsidR="006B1422">
          <w:rPr>
            <w:rStyle w:val="af0"/>
            <w:noProof/>
          </w:rPr>
          <w:t>第六部分</w:t>
        </w:r>
        <w:r w:rsidR="006B1422">
          <w:rPr>
            <w:rStyle w:val="af0"/>
            <w:noProof/>
          </w:rPr>
          <w:t xml:space="preserve">  </w:t>
        </w:r>
        <w:r w:rsidR="006B1422">
          <w:rPr>
            <w:rStyle w:val="af0"/>
            <w:noProof/>
          </w:rPr>
          <w:t>基金份额的申购与赎回</w:t>
        </w:r>
        <w:r w:rsidR="006B1422">
          <w:rPr>
            <w:noProof/>
          </w:rPr>
          <w:tab/>
        </w:r>
        <w:r w:rsidR="006B1422">
          <w:rPr>
            <w:noProof/>
          </w:rPr>
          <w:fldChar w:fldCharType="begin"/>
        </w:r>
        <w:r w:rsidR="006B1422">
          <w:rPr>
            <w:noProof/>
          </w:rPr>
          <w:instrText xml:space="preserve"> PAGEREF _Toc256000005 \h </w:instrText>
        </w:r>
        <w:r w:rsidR="006B1422">
          <w:rPr>
            <w:noProof/>
          </w:rPr>
        </w:r>
        <w:r w:rsidR="006B1422">
          <w:rPr>
            <w:noProof/>
          </w:rPr>
          <w:fldChar w:fldCharType="separate"/>
        </w:r>
        <w:r w:rsidR="00C445BE">
          <w:rPr>
            <w:noProof/>
          </w:rPr>
          <w:t>15</w:t>
        </w:r>
        <w:r w:rsidR="006B1422">
          <w:rPr>
            <w:noProof/>
          </w:rPr>
          <w:fldChar w:fldCharType="end"/>
        </w:r>
      </w:hyperlink>
    </w:p>
    <w:p w14:paraId="1B71FBCF" w14:textId="3E70BC30" w:rsidR="00C41073" w:rsidRDefault="00084B88">
      <w:pPr>
        <w:pStyle w:val="10"/>
        <w:rPr>
          <w:rFonts w:asciiTheme="minorHAnsi" w:hAnsiTheme="minorHAnsi"/>
          <w:noProof/>
        </w:rPr>
      </w:pPr>
      <w:hyperlink w:anchor="_Toc256000006" w:history="1">
        <w:r w:rsidR="006B1422">
          <w:rPr>
            <w:rStyle w:val="af0"/>
            <w:noProof/>
          </w:rPr>
          <w:t>第七部分</w:t>
        </w:r>
        <w:r w:rsidR="006B1422">
          <w:rPr>
            <w:rStyle w:val="af0"/>
            <w:noProof/>
          </w:rPr>
          <w:t xml:space="preserve">  </w:t>
        </w:r>
        <w:r w:rsidR="006B1422">
          <w:rPr>
            <w:rStyle w:val="af0"/>
            <w:noProof/>
          </w:rPr>
          <w:t>基金合同当事人及权利义务</w:t>
        </w:r>
        <w:r w:rsidR="006B1422">
          <w:rPr>
            <w:noProof/>
          </w:rPr>
          <w:tab/>
        </w:r>
        <w:r w:rsidR="006B1422">
          <w:rPr>
            <w:noProof/>
          </w:rPr>
          <w:fldChar w:fldCharType="begin"/>
        </w:r>
        <w:r w:rsidR="006B1422">
          <w:rPr>
            <w:noProof/>
          </w:rPr>
          <w:instrText xml:space="preserve"> PAGEREF _Toc256000006 \h </w:instrText>
        </w:r>
        <w:r w:rsidR="006B1422">
          <w:rPr>
            <w:noProof/>
          </w:rPr>
        </w:r>
        <w:r w:rsidR="006B1422">
          <w:rPr>
            <w:noProof/>
          </w:rPr>
          <w:fldChar w:fldCharType="separate"/>
        </w:r>
        <w:r w:rsidR="00C445BE">
          <w:rPr>
            <w:noProof/>
          </w:rPr>
          <w:t>25</w:t>
        </w:r>
        <w:r w:rsidR="006B1422">
          <w:rPr>
            <w:noProof/>
          </w:rPr>
          <w:fldChar w:fldCharType="end"/>
        </w:r>
      </w:hyperlink>
    </w:p>
    <w:p w14:paraId="11FA6D26" w14:textId="05F04479" w:rsidR="00C41073" w:rsidRDefault="00084B88">
      <w:pPr>
        <w:pStyle w:val="10"/>
        <w:rPr>
          <w:rFonts w:asciiTheme="minorHAnsi" w:hAnsiTheme="minorHAnsi"/>
          <w:noProof/>
        </w:rPr>
      </w:pPr>
      <w:hyperlink w:anchor="_Toc256000007" w:history="1">
        <w:r w:rsidR="006B1422">
          <w:rPr>
            <w:rStyle w:val="af0"/>
            <w:noProof/>
          </w:rPr>
          <w:t>第八部分</w:t>
        </w:r>
        <w:r w:rsidR="006B1422">
          <w:rPr>
            <w:rStyle w:val="af0"/>
            <w:noProof/>
          </w:rPr>
          <w:t xml:space="preserve">  </w:t>
        </w:r>
        <w:r w:rsidR="006B1422">
          <w:rPr>
            <w:rStyle w:val="af0"/>
            <w:noProof/>
          </w:rPr>
          <w:t>基金份额持有人大会</w:t>
        </w:r>
        <w:r w:rsidR="006B1422">
          <w:rPr>
            <w:noProof/>
          </w:rPr>
          <w:tab/>
        </w:r>
        <w:r w:rsidR="006B1422">
          <w:rPr>
            <w:noProof/>
          </w:rPr>
          <w:fldChar w:fldCharType="begin"/>
        </w:r>
        <w:r w:rsidR="006B1422">
          <w:rPr>
            <w:noProof/>
          </w:rPr>
          <w:instrText xml:space="preserve"> PAGEREF _Toc256000007 \h </w:instrText>
        </w:r>
        <w:r w:rsidR="006B1422">
          <w:rPr>
            <w:noProof/>
          </w:rPr>
        </w:r>
        <w:r w:rsidR="006B1422">
          <w:rPr>
            <w:noProof/>
          </w:rPr>
          <w:fldChar w:fldCharType="separate"/>
        </w:r>
        <w:r w:rsidR="00C445BE">
          <w:rPr>
            <w:noProof/>
          </w:rPr>
          <w:t>33</w:t>
        </w:r>
        <w:r w:rsidR="006B1422">
          <w:rPr>
            <w:noProof/>
          </w:rPr>
          <w:fldChar w:fldCharType="end"/>
        </w:r>
      </w:hyperlink>
    </w:p>
    <w:p w14:paraId="075F6FC4" w14:textId="6D7F90EC" w:rsidR="00C41073" w:rsidRDefault="00084B88">
      <w:pPr>
        <w:pStyle w:val="10"/>
        <w:rPr>
          <w:rFonts w:asciiTheme="minorHAnsi" w:hAnsiTheme="minorHAnsi"/>
          <w:noProof/>
        </w:rPr>
      </w:pPr>
      <w:hyperlink w:anchor="_Toc256000008" w:history="1">
        <w:r w:rsidR="006B1422">
          <w:rPr>
            <w:rStyle w:val="af0"/>
            <w:noProof/>
          </w:rPr>
          <w:t>第九部分</w:t>
        </w:r>
        <w:r w:rsidR="006B1422">
          <w:rPr>
            <w:rStyle w:val="af0"/>
            <w:noProof/>
          </w:rPr>
          <w:t xml:space="preserve">  </w:t>
        </w:r>
        <w:r w:rsidR="006B1422">
          <w:rPr>
            <w:rStyle w:val="af0"/>
            <w:noProof/>
          </w:rPr>
          <w:t>基金管理人、基金托管人的更换条件和程序</w:t>
        </w:r>
        <w:r w:rsidR="006B1422">
          <w:rPr>
            <w:noProof/>
          </w:rPr>
          <w:tab/>
        </w:r>
        <w:r w:rsidR="006B1422">
          <w:rPr>
            <w:noProof/>
          </w:rPr>
          <w:fldChar w:fldCharType="begin"/>
        </w:r>
        <w:r w:rsidR="006B1422">
          <w:rPr>
            <w:noProof/>
          </w:rPr>
          <w:instrText xml:space="preserve"> PAGEREF _Toc256000008 \h </w:instrText>
        </w:r>
        <w:r w:rsidR="006B1422">
          <w:rPr>
            <w:noProof/>
          </w:rPr>
        </w:r>
        <w:r w:rsidR="006B1422">
          <w:rPr>
            <w:noProof/>
          </w:rPr>
          <w:fldChar w:fldCharType="separate"/>
        </w:r>
        <w:r w:rsidR="00C445BE">
          <w:rPr>
            <w:noProof/>
          </w:rPr>
          <w:t>42</w:t>
        </w:r>
        <w:r w:rsidR="006B1422">
          <w:rPr>
            <w:noProof/>
          </w:rPr>
          <w:fldChar w:fldCharType="end"/>
        </w:r>
      </w:hyperlink>
    </w:p>
    <w:p w14:paraId="60E9214E" w14:textId="51E7AC10" w:rsidR="00C41073" w:rsidRDefault="00084B88">
      <w:pPr>
        <w:pStyle w:val="10"/>
        <w:rPr>
          <w:rFonts w:asciiTheme="minorHAnsi" w:hAnsiTheme="minorHAnsi"/>
          <w:noProof/>
        </w:rPr>
      </w:pPr>
      <w:hyperlink w:anchor="_Toc256000009" w:history="1">
        <w:r w:rsidR="006B1422">
          <w:rPr>
            <w:rStyle w:val="af0"/>
            <w:noProof/>
          </w:rPr>
          <w:t>第十部分</w:t>
        </w:r>
        <w:r w:rsidR="006B1422">
          <w:rPr>
            <w:rStyle w:val="af0"/>
            <w:noProof/>
          </w:rPr>
          <w:t xml:space="preserve">  </w:t>
        </w:r>
        <w:r w:rsidR="006B1422">
          <w:rPr>
            <w:rStyle w:val="af0"/>
            <w:noProof/>
          </w:rPr>
          <w:t>基金的托管</w:t>
        </w:r>
        <w:r w:rsidR="006B1422">
          <w:rPr>
            <w:noProof/>
          </w:rPr>
          <w:tab/>
        </w:r>
        <w:r w:rsidR="006B1422">
          <w:rPr>
            <w:noProof/>
          </w:rPr>
          <w:fldChar w:fldCharType="begin"/>
        </w:r>
        <w:r w:rsidR="006B1422">
          <w:rPr>
            <w:noProof/>
          </w:rPr>
          <w:instrText xml:space="preserve"> PAGEREF _Toc256000009 \h </w:instrText>
        </w:r>
        <w:r w:rsidR="006B1422">
          <w:rPr>
            <w:noProof/>
          </w:rPr>
        </w:r>
        <w:r w:rsidR="006B1422">
          <w:rPr>
            <w:noProof/>
          </w:rPr>
          <w:fldChar w:fldCharType="separate"/>
        </w:r>
        <w:r w:rsidR="00C445BE">
          <w:rPr>
            <w:noProof/>
          </w:rPr>
          <w:t>45</w:t>
        </w:r>
        <w:r w:rsidR="006B1422">
          <w:rPr>
            <w:noProof/>
          </w:rPr>
          <w:fldChar w:fldCharType="end"/>
        </w:r>
      </w:hyperlink>
    </w:p>
    <w:p w14:paraId="5C34F2B0" w14:textId="3FC0C53E" w:rsidR="00C41073" w:rsidRDefault="00084B88">
      <w:pPr>
        <w:pStyle w:val="10"/>
        <w:rPr>
          <w:rFonts w:asciiTheme="minorHAnsi" w:hAnsiTheme="minorHAnsi"/>
          <w:noProof/>
        </w:rPr>
      </w:pPr>
      <w:hyperlink w:anchor="_Toc256000010" w:history="1">
        <w:r w:rsidR="006B1422">
          <w:rPr>
            <w:rStyle w:val="af0"/>
            <w:noProof/>
          </w:rPr>
          <w:t>第十一部分</w:t>
        </w:r>
        <w:r w:rsidR="006B1422">
          <w:rPr>
            <w:rStyle w:val="af0"/>
            <w:noProof/>
          </w:rPr>
          <w:t xml:space="preserve">  </w:t>
        </w:r>
        <w:r w:rsidR="006B1422">
          <w:rPr>
            <w:rStyle w:val="af0"/>
            <w:noProof/>
          </w:rPr>
          <w:t>基金份额的登记</w:t>
        </w:r>
        <w:r w:rsidR="006B1422">
          <w:rPr>
            <w:noProof/>
          </w:rPr>
          <w:tab/>
        </w:r>
        <w:r w:rsidR="006B1422">
          <w:rPr>
            <w:noProof/>
          </w:rPr>
          <w:fldChar w:fldCharType="begin"/>
        </w:r>
        <w:r w:rsidR="006B1422">
          <w:rPr>
            <w:noProof/>
          </w:rPr>
          <w:instrText xml:space="preserve"> PAGEREF _Toc256000010 \h </w:instrText>
        </w:r>
        <w:r w:rsidR="006B1422">
          <w:rPr>
            <w:noProof/>
          </w:rPr>
        </w:r>
        <w:r w:rsidR="006B1422">
          <w:rPr>
            <w:noProof/>
          </w:rPr>
          <w:fldChar w:fldCharType="separate"/>
        </w:r>
        <w:r w:rsidR="00C445BE">
          <w:rPr>
            <w:noProof/>
          </w:rPr>
          <w:t>46</w:t>
        </w:r>
        <w:r w:rsidR="006B1422">
          <w:rPr>
            <w:noProof/>
          </w:rPr>
          <w:fldChar w:fldCharType="end"/>
        </w:r>
      </w:hyperlink>
    </w:p>
    <w:p w14:paraId="1A5D9B80" w14:textId="615BB6C9" w:rsidR="00C41073" w:rsidRDefault="00084B88">
      <w:pPr>
        <w:pStyle w:val="10"/>
        <w:rPr>
          <w:rFonts w:asciiTheme="minorHAnsi" w:hAnsiTheme="minorHAnsi"/>
          <w:noProof/>
        </w:rPr>
      </w:pPr>
      <w:hyperlink w:anchor="_Toc256000011" w:history="1">
        <w:r w:rsidR="006B1422">
          <w:rPr>
            <w:rStyle w:val="af0"/>
            <w:noProof/>
          </w:rPr>
          <w:t>第十二部分</w:t>
        </w:r>
        <w:r w:rsidR="006B1422">
          <w:rPr>
            <w:rStyle w:val="af0"/>
            <w:noProof/>
          </w:rPr>
          <w:t xml:space="preserve">  </w:t>
        </w:r>
        <w:r w:rsidR="006B1422">
          <w:rPr>
            <w:rStyle w:val="af0"/>
            <w:noProof/>
          </w:rPr>
          <w:t>基金的投资</w:t>
        </w:r>
        <w:r w:rsidR="006B1422">
          <w:rPr>
            <w:noProof/>
          </w:rPr>
          <w:tab/>
        </w:r>
        <w:r w:rsidR="006B1422">
          <w:rPr>
            <w:noProof/>
          </w:rPr>
          <w:fldChar w:fldCharType="begin"/>
        </w:r>
        <w:r w:rsidR="006B1422">
          <w:rPr>
            <w:noProof/>
          </w:rPr>
          <w:instrText xml:space="preserve"> PAGEREF _Toc256000011 \h </w:instrText>
        </w:r>
        <w:r w:rsidR="006B1422">
          <w:rPr>
            <w:noProof/>
          </w:rPr>
        </w:r>
        <w:r w:rsidR="006B1422">
          <w:rPr>
            <w:noProof/>
          </w:rPr>
          <w:fldChar w:fldCharType="separate"/>
        </w:r>
        <w:r w:rsidR="00C445BE">
          <w:rPr>
            <w:noProof/>
          </w:rPr>
          <w:t>48</w:t>
        </w:r>
        <w:r w:rsidR="006B1422">
          <w:rPr>
            <w:noProof/>
          </w:rPr>
          <w:fldChar w:fldCharType="end"/>
        </w:r>
      </w:hyperlink>
    </w:p>
    <w:p w14:paraId="7A405639" w14:textId="16802001" w:rsidR="00C41073" w:rsidRDefault="00084B88">
      <w:pPr>
        <w:pStyle w:val="10"/>
        <w:rPr>
          <w:rFonts w:asciiTheme="minorHAnsi" w:hAnsiTheme="minorHAnsi"/>
          <w:noProof/>
        </w:rPr>
      </w:pPr>
      <w:hyperlink w:anchor="_Toc256000012" w:history="1">
        <w:r w:rsidR="006B1422">
          <w:rPr>
            <w:rStyle w:val="af0"/>
            <w:noProof/>
          </w:rPr>
          <w:t>第十三部分</w:t>
        </w:r>
        <w:r w:rsidR="006B1422">
          <w:rPr>
            <w:rStyle w:val="af0"/>
            <w:noProof/>
          </w:rPr>
          <w:t xml:space="preserve">  </w:t>
        </w:r>
        <w:r w:rsidR="006B1422">
          <w:rPr>
            <w:rStyle w:val="af0"/>
            <w:noProof/>
          </w:rPr>
          <w:t>基金的财产</w:t>
        </w:r>
        <w:r w:rsidR="006B1422">
          <w:rPr>
            <w:noProof/>
          </w:rPr>
          <w:tab/>
        </w:r>
        <w:r w:rsidR="006B1422">
          <w:rPr>
            <w:noProof/>
          </w:rPr>
          <w:fldChar w:fldCharType="begin"/>
        </w:r>
        <w:r w:rsidR="006B1422">
          <w:rPr>
            <w:noProof/>
          </w:rPr>
          <w:instrText xml:space="preserve"> PAGEREF _Toc256000012 \h </w:instrText>
        </w:r>
        <w:r w:rsidR="006B1422">
          <w:rPr>
            <w:noProof/>
          </w:rPr>
        </w:r>
        <w:r w:rsidR="006B1422">
          <w:rPr>
            <w:noProof/>
          </w:rPr>
          <w:fldChar w:fldCharType="separate"/>
        </w:r>
        <w:r w:rsidR="00C445BE">
          <w:rPr>
            <w:noProof/>
          </w:rPr>
          <w:t>57</w:t>
        </w:r>
        <w:r w:rsidR="006B1422">
          <w:rPr>
            <w:noProof/>
          </w:rPr>
          <w:fldChar w:fldCharType="end"/>
        </w:r>
      </w:hyperlink>
    </w:p>
    <w:p w14:paraId="141A303B" w14:textId="4C5877D1" w:rsidR="00C41073" w:rsidRDefault="00084B88">
      <w:pPr>
        <w:pStyle w:val="10"/>
        <w:rPr>
          <w:rFonts w:asciiTheme="minorHAnsi" w:hAnsiTheme="minorHAnsi"/>
          <w:noProof/>
        </w:rPr>
      </w:pPr>
      <w:hyperlink w:anchor="_Toc256000013" w:history="1">
        <w:r w:rsidR="006B1422">
          <w:rPr>
            <w:rStyle w:val="af0"/>
            <w:noProof/>
          </w:rPr>
          <w:t>第十四部分</w:t>
        </w:r>
        <w:r w:rsidR="006B1422">
          <w:rPr>
            <w:rStyle w:val="af0"/>
            <w:noProof/>
          </w:rPr>
          <w:t xml:space="preserve">  </w:t>
        </w:r>
        <w:r w:rsidR="006B1422">
          <w:rPr>
            <w:rStyle w:val="af0"/>
            <w:noProof/>
          </w:rPr>
          <w:t>基金资产估值</w:t>
        </w:r>
        <w:r w:rsidR="006B1422">
          <w:rPr>
            <w:noProof/>
          </w:rPr>
          <w:tab/>
        </w:r>
        <w:r w:rsidR="006B1422">
          <w:rPr>
            <w:noProof/>
          </w:rPr>
          <w:fldChar w:fldCharType="begin"/>
        </w:r>
        <w:r w:rsidR="006B1422">
          <w:rPr>
            <w:noProof/>
          </w:rPr>
          <w:instrText xml:space="preserve"> PAGEREF _Toc256000013 \h </w:instrText>
        </w:r>
        <w:r w:rsidR="006B1422">
          <w:rPr>
            <w:noProof/>
          </w:rPr>
        </w:r>
        <w:r w:rsidR="006B1422">
          <w:rPr>
            <w:noProof/>
          </w:rPr>
          <w:fldChar w:fldCharType="separate"/>
        </w:r>
        <w:r w:rsidR="00C445BE">
          <w:rPr>
            <w:noProof/>
          </w:rPr>
          <w:t>58</w:t>
        </w:r>
        <w:r w:rsidR="006B1422">
          <w:rPr>
            <w:noProof/>
          </w:rPr>
          <w:fldChar w:fldCharType="end"/>
        </w:r>
      </w:hyperlink>
    </w:p>
    <w:p w14:paraId="07378271" w14:textId="78F96244" w:rsidR="00C41073" w:rsidRDefault="00084B88">
      <w:pPr>
        <w:pStyle w:val="10"/>
        <w:rPr>
          <w:rFonts w:asciiTheme="minorHAnsi" w:hAnsiTheme="minorHAnsi"/>
          <w:noProof/>
        </w:rPr>
      </w:pPr>
      <w:hyperlink w:anchor="_Toc256000014" w:history="1">
        <w:r w:rsidR="006B1422">
          <w:rPr>
            <w:rStyle w:val="af0"/>
            <w:noProof/>
          </w:rPr>
          <w:t>第十五部分</w:t>
        </w:r>
        <w:r w:rsidR="006B1422">
          <w:rPr>
            <w:rStyle w:val="af0"/>
            <w:noProof/>
          </w:rPr>
          <w:t xml:space="preserve">  </w:t>
        </w:r>
        <w:r w:rsidR="006B1422">
          <w:rPr>
            <w:rStyle w:val="af0"/>
            <w:noProof/>
          </w:rPr>
          <w:t>基金费用与税收</w:t>
        </w:r>
        <w:r w:rsidR="006B1422">
          <w:rPr>
            <w:noProof/>
          </w:rPr>
          <w:tab/>
        </w:r>
        <w:r w:rsidR="006B1422">
          <w:rPr>
            <w:noProof/>
          </w:rPr>
          <w:fldChar w:fldCharType="begin"/>
        </w:r>
        <w:r w:rsidR="006B1422">
          <w:rPr>
            <w:noProof/>
          </w:rPr>
          <w:instrText xml:space="preserve"> PAGEREF _Toc256000014 \h </w:instrText>
        </w:r>
        <w:r w:rsidR="006B1422">
          <w:rPr>
            <w:noProof/>
          </w:rPr>
        </w:r>
        <w:r w:rsidR="006B1422">
          <w:rPr>
            <w:noProof/>
          </w:rPr>
          <w:fldChar w:fldCharType="separate"/>
        </w:r>
        <w:r w:rsidR="00C445BE">
          <w:rPr>
            <w:noProof/>
          </w:rPr>
          <w:t>65</w:t>
        </w:r>
        <w:r w:rsidR="006B1422">
          <w:rPr>
            <w:noProof/>
          </w:rPr>
          <w:fldChar w:fldCharType="end"/>
        </w:r>
      </w:hyperlink>
    </w:p>
    <w:p w14:paraId="4EB9BB07" w14:textId="123BC6A3" w:rsidR="00C41073" w:rsidRDefault="00084B88">
      <w:pPr>
        <w:pStyle w:val="10"/>
        <w:rPr>
          <w:rFonts w:asciiTheme="minorHAnsi" w:hAnsiTheme="minorHAnsi"/>
          <w:noProof/>
        </w:rPr>
      </w:pPr>
      <w:hyperlink w:anchor="_Toc256000015" w:history="1">
        <w:r w:rsidR="006B1422">
          <w:rPr>
            <w:rStyle w:val="af0"/>
            <w:noProof/>
          </w:rPr>
          <w:t>第十六部分</w:t>
        </w:r>
        <w:r w:rsidR="006B1422">
          <w:rPr>
            <w:rStyle w:val="af0"/>
            <w:noProof/>
          </w:rPr>
          <w:t xml:space="preserve">  </w:t>
        </w:r>
        <w:r w:rsidR="006B1422">
          <w:rPr>
            <w:rStyle w:val="af0"/>
            <w:noProof/>
          </w:rPr>
          <w:t>基金的收益与分配</w:t>
        </w:r>
        <w:r w:rsidR="006B1422">
          <w:rPr>
            <w:noProof/>
          </w:rPr>
          <w:tab/>
        </w:r>
        <w:r w:rsidR="006B1422">
          <w:rPr>
            <w:noProof/>
          </w:rPr>
          <w:fldChar w:fldCharType="begin"/>
        </w:r>
        <w:r w:rsidR="006B1422">
          <w:rPr>
            <w:noProof/>
          </w:rPr>
          <w:instrText xml:space="preserve"> PAGEREF _Toc256000015 \h </w:instrText>
        </w:r>
        <w:r w:rsidR="006B1422">
          <w:rPr>
            <w:noProof/>
          </w:rPr>
        </w:r>
        <w:r w:rsidR="006B1422">
          <w:rPr>
            <w:noProof/>
          </w:rPr>
          <w:fldChar w:fldCharType="separate"/>
        </w:r>
        <w:r w:rsidR="00C445BE">
          <w:rPr>
            <w:noProof/>
          </w:rPr>
          <w:t>68</w:t>
        </w:r>
        <w:r w:rsidR="006B1422">
          <w:rPr>
            <w:noProof/>
          </w:rPr>
          <w:fldChar w:fldCharType="end"/>
        </w:r>
      </w:hyperlink>
    </w:p>
    <w:p w14:paraId="46A5CF4A" w14:textId="1A401F7A" w:rsidR="00C41073" w:rsidRDefault="00084B88">
      <w:pPr>
        <w:pStyle w:val="10"/>
        <w:rPr>
          <w:rFonts w:asciiTheme="minorHAnsi" w:hAnsiTheme="minorHAnsi"/>
          <w:noProof/>
        </w:rPr>
      </w:pPr>
      <w:hyperlink w:anchor="_Toc256000016" w:history="1">
        <w:r w:rsidR="006B1422">
          <w:rPr>
            <w:rStyle w:val="af0"/>
            <w:noProof/>
          </w:rPr>
          <w:t>第十七部分</w:t>
        </w:r>
        <w:r w:rsidR="006B1422">
          <w:rPr>
            <w:rStyle w:val="af0"/>
            <w:noProof/>
          </w:rPr>
          <w:t xml:space="preserve">  </w:t>
        </w:r>
        <w:r w:rsidR="006B1422">
          <w:rPr>
            <w:rStyle w:val="af0"/>
            <w:noProof/>
          </w:rPr>
          <w:t>基金的会计与审计</w:t>
        </w:r>
        <w:r w:rsidR="006B1422">
          <w:rPr>
            <w:noProof/>
          </w:rPr>
          <w:tab/>
        </w:r>
        <w:r w:rsidR="006B1422">
          <w:rPr>
            <w:noProof/>
          </w:rPr>
          <w:fldChar w:fldCharType="begin"/>
        </w:r>
        <w:r w:rsidR="006B1422">
          <w:rPr>
            <w:noProof/>
          </w:rPr>
          <w:instrText xml:space="preserve"> PAGEREF _Toc256000016 \h </w:instrText>
        </w:r>
        <w:r w:rsidR="006B1422">
          <w:rPr>
            <w:noProof/>
          </w:rPr>
        </w:r>
        <w:r w:rsidR="006B1422">
          <w:rPr>
            <w:noProof/>
          </w:rPr>
          <w:fldChar w:fldCharType="separate"/>
        </w:r>
        <w:r w:rsidR="00C445BE">
          <w:rPr>
            <w:noProof/>
          </w:rPr>
          <w:t>70</w:t>
        </w:r>
        <w:r w:rsidR="006B1422">
          <w:rPr>
            <w:noProof/>
          </w:rPr>
          <w:fldChar w:fldCharType="end"/>
        </w:r>
      </w:hyperlink>
    </w:p>
    <w:p w14:paraId="02B8FDCC" w14:textId="29045101" w:rsidR="00C41073" w:rsidRDefault="00084B88">
      <w:pPr>
        <w:pStyle w:val="10"/>
        <w:rPr>
          <w:rFonts w:asciiTheme="minorHAnsi" w:hAnsiTheme="minorHAnsi"/>
          <w:noProof/>
        </w:rPr>
      </w:pPr>
      <w:hyperlink w:anchor="_Toc256000017" w:history="1">
        <w:r w:rsidR="006B1422">
          <w:rPr>
            <w:rStyle w:val="af0"/>
            <w:noProof/>
          </w:rPr>
          <w:t>第十八部分</w:t>
        </w:r>
        <w:r w:rsidR="006B1422">
          <w:rPr>
            <w:rStyle w:val="af0"/>
            <w:noProof/>
          </w:rPr>
          <w:t xml:space="preserve">  </w:t>
        </w:r>
        <w:r w:rsidR="006B1422">
          <w:rPr>
            <w:rStyle w:val="af0"/>
            <w:noProof/>
          </w:rPr>
          <w:t>基金的信息披露</w:t>
        </w:r>
        <w:r w:rsidR="006B1422">
          <w:rPr>
            <w:noProof/>
          </w:rPr>
          <w:tab/>
        </w:r>
        <w:r w:rsidR="006B1422">
          <w:rPr>
            <w:noProof/>
          </w:rPr>
          <w:fldChar w:fldCharType="begin"/>
        </w:r>
        <w:r w:rsidR="006B1422">
          <w:rPr>
            <w:noProof/>
          </w:rPr>
          <w:instrText xml:space="preserve"> PAGEREF _Toc256000017 \h </w:instrText>
        </w:r>
        <w:r w:rsidR="006B1422">
          <w:rPr>
            <w:noProof/>
          </w:rPr>
        </w:r>
        <w:r w:rsidR="006B1422">
          <w:rPr>
            <w:noProof/>
          </w:rPr>
          <w:fldChar w:fldCharType="separate"/>
        </w:r>
        <w:r w:rsidR="00C445BE">
          <w:rPr>
            <w:noProof/>
          </w:rPr>
          <w:t>71</w:t>
        </w:r>
        <w:r w:rsidR="006B1422">
          <w:rPr>
            <w:noProof/>
          </w:rPr>
          <w:fldChar w:fldCharType="end"/>
        </w:r>
      </w:hyperlink>
    </w:p>
    <w:p w14:paraId="642C84F5" w14:textId="25A46A5B" w:rsidR="00C41073" w:rsidRDefault="00084B88">
      <w:pPr>
        <w:pStyle w:val="10"/>
        <w:rPr>
          <w:rFonts w:asciiTheme="minorHAnsi" w:hAnsiTheme="minorHAnsi"/>
          <w:noProof/>
        </w:rPr>
      </w:pPr>
      <w:hyperlink w:anchor="_Toc256000018" w:history="1">
        <w:r w:rsidR="006B1422">
          <w:rPr>
            <w:rStyle w:val="af0"/>
            <w:noProof/>
          </w:rPr>
          <w:t>第十九部分</w:t>
        </w:r>
        <w:r w:rsidR="006B1422">
          <w:rPr>
            <w:rStyle w:val="af0"/>
            <w:noProof/>
          </w:rPr>
          <w:t xml:space="preserve">  </w:t>
        </w:r>
        <w:r w:rsidR="006B1422">
          <w:rPr>
            <w:rStyle w:val="af0"/>
            <w:noProof/>
          </w:rPr>
          <w:t>基金合同的变更、终止与基金财产的清算</w:t>
        </w:r>
        <w:r w:rsidR="006B1422">
          <w:rPr>
            <w:noProof/>
          </w:rPr>
          <w:tab/>
        </w:r>
        <w:r w:rsidR="006B1422">
          <w:rPr>
            <w:noProof/>
          </w:rPr>
          <w:fldChar w:fldCharType="begin"/>
        </w:r>
        <w:r w:rsidR="006B1422">
          <w:rPr>
            <w:noProof/>
          </w:rPr>
          <w:instrText xml:space="preserve"> PAGEREF _Toc256000018 \h </w:instrText>
        </w:r>
        <w:r w:rsidR="006B1422">
          <w:rPr>
            <w:noProof/>
          </w:rPr>
        </w:r>
        <w:r w:rsidR="006B1422">
          <w:rPr>
            <w:noProof/>
          </w:rPr>
          <w:fldChar w:fldCharType="separate"/>
        </w:r>
        <w:r w:rsidR="00C445BE">
          <w:rPr>
            <w:noProof/>
          </w:rPr>
          <w:t>79</w:t>
        </w:r>
        <w:r w:rsidR="006B1422">
          <w:rPr>
            <w:noProof/>
          </w:rPr>
          <w:fldChar w:fldCharType="end"/>
        </w:r>
      </w:hyperlink>
    </w:p>
    <w:p w14:paraId="7BC7F46B" w14:textId="2F90FA7A" w:rsidR="00C41073" w:rsidRDefault="00084B88">
      <w:pPr>
        <w:pStyle w:val="10"/>
        <w:rPr>
          <w:rFonts w:asciiTheme="minorHAnsi" w:hAnsiTheme="minorHAnsi"/>
          <w:noProof/>
        </w:rPr>
      </w:pPr>
      <w:hyperlink w:anchor="_Toc256000019" w:history="1">
        <w:r w:rsidR="006B1422">
          <w:rPr>
            <w:rStyle w:val="af0"/>
            <w:noProof/>
          </w:rPr>
          <w:t>第二十部分</w:t>
        </w:r>
        <w:r w:rsidR="006B1422">
          <w:rPr>
            <w:rStyle w:val="af0"/>
            <w:noProof/>
          </w:rPr>
          <w:t xml:space="preserve">  </w:t>
        </w:r>
        <w:r w:rsidR="006B1422">
          <w:rPr>
            <w:rStyle w:val="af0"/>
            <w:noProof/>
          </w:rPr>
          <w:t>违约责任</w:t>
        </w:r>
        <w:r w:rsidR="006B1422">
          <w:rPr>
            <w:noProof/>
          </w:rPr>
          <w:tab/>
        </w:r>
        <w:r w:rsidR="006B1422">
          <w:rPr>
            <w:noProof/>
          </w:rPr>
          <w:fldChar w:fldCharType="begin"/>
        </w:r>
        <w:r w:rsidR="006B1422">
          <w:rPr>
            <w:noProof/>
          </w:rPr>
          <w:instrText xml:space="preserve"> PAGEREF _Toc256000019 \h </w:instrText>
        </w:r>
        <w:r w:rsidR="006B1422">
          <w:rPr>
            <w:noProof/>
          </w:rPr>
        </w:r>
        <w:r w:rsidR="006B1422">
          <w:rPr>
            <w:noProof/>
          </w:rPr>
          <w:fldChar w:fldCharType="separate"/>
        </w:r>
        <w:r w:rsidR="00C445BE">
          <w:rPr>
            <w:noProof/>
          </w:rPr>
          <w:t>81</w:t>
        </w:r>
        <w:r w:rsidR="006B1422">
          <w:rPr>
            <w:noProof/>
          </w:rPr>
          <w:fldChar w:fldCharType="end"/>
        </w:r>
      </w:hyperlink>
    </w:p>
    <w:p w14:paraId="23868438" w14:textId="67E5F6DB" w:rsidR="00C41073" w:rsidRDefault="00084B88">
      <w:pPr>
        <w:pStyle w:val="10"/>
        <w:rPr>
          <w:rFonts w:asciiTheme="minorHAnsi" w:hAnsiTheme="minorHAnsi"/>
          <w:noProof/>
        </w:rPr>
      </w:pPr>
      <w:hyperlink w:anchor="_Toc256000020" w:history="1">
        <w:r w:rsidR="006B1422">
          <w:rPr>
            <w:rStyle w:val="af0"/>
            <w:noProof/>
          </w:rPr>
          <w:t>第二十一部分</w:t>
        </w:r>
        <w:r w:rsidR="006B1422">
          <w:rPr>
            <w:rStyle w:val="af0"/>
            <w:noProof/>
          </w:rPr>
          <w:t xml:space="preserve">  </w:t>
        </w:r>
        <w:r w:rsidR="006B1422">
          <w:rPr>
            <w:rStyle w:val="af0"/>
            <w:noProof/>
          </w:rPr>
          <w:t>争议的处理和适用的法律</w:t>
        </w:r>
        <w:r w:rsidR="006B1422">
          <w:rPr>
            <w:noProof/>
          </w:rPr>
          <w:tab/>
        </w:r>
        <w:r w:rsidR="006B1422">
          <w:rPr>
            <w:noProof/>
          </w:rPr>
          <w:fldChar w:fldCharType="begin"/>
        </w:r>
        <w:r w:rsidR="006B1422">
          <w:rPr>
            <w:noProof/>
          </w:rPr>
          <w:instrText xml:space="preserve"> PAGEREF _Toc256000020 \h </w:instrText>
        </w:r>
        <w:r w:rsidR="006B1422">
          <w:rPr>
            <w:noProof/>
          </w:rPr>
        </w:r>
        <w:r w:rsidR="006B1422">
          <w:rPr>
            <w:noProof/>
          </w:rPr>
          <w:fldChar w:fldCharType="separate"/>
        </w:r>
        <w:r w:rsidR="00C445BE">
          <w:rPr>
            <w:noProof/>
          </w:rPr>
          <w:t>82</w:t>
        </w:r>
        <w:r w:rsidR="006B1422">
          <w:rPr>
            <w:noProof/>
          </w:rPr>
          <w:fldChar w:fldCharType="end"/>
        </w:r>
      </w:hyperlink>
    </w:p>
    <w:p w14:paraId="164DD695" w14:textId="7C3C15E8" w:rsidR="00C41073" w:rsidRDefault="00084B88">
      <w:pPr>
        <w:pStyle w:val="10"/>
        <w:rPr>
          <w:rFonts w:asciiTheme="minorHAnsi" w:hAnsiTheme="minorHAnsi"/>
          <w:noProof/>
        </w:rPr>
      </w:pPr>
      <w:hyperlink w:anchor="_Toc256000021" w:history="1">
        <w:r w:rsidR="006B1422">
          <w:rPr>
            <w:rStyle w:val="af0"/>
            <w:noProof/>
          </w:rPr>
          <w:t>第二十二部分</w:t>
        </w:r>
        <w:r w:rsidR="006B1422">
          <w:rPr>
            <w:rStyle w:val="af0"/>
            <w:noProof/>
          </w:rPr>
          <w:t xml:space="preserve">  </w:t>
        </w:r>
        <w:r w:rsidR="006B1422">
          <w:rPr>
            <w:rStyle w:val="af0"/>
            <w:noProof/>
          </w:rPr>
          <w:t>基金合同的效力</w:t>
        </w:r>
        <w:r w:rsidR="006B1422">
          <w:rPr>
            <w:noProof/>
          </w:rPr>
          <w:tab/>
        </w:r>
        <w:r w:rsidR="006B1422">
          <w:rPr>
            <w:noProof/>
          </w:rPr>
          <w:fldChar w:fldCharType="begin"/>
        </w:r>
        <w:r w:rsidR="006B1422">
          <w:rPr>
            <w:noProof/>
          </w:rPr>
          <w:instrText xml:space="preserve"> PAGEREF _Toc256000021 \h </w:instrText>
        </w:r>
        <w:r w:rsidR="006B1422">
          <w:rPr>
            <w:noProof/>
          </w:rPr>
        </w:r>
        <w:r w:rsidR="006B1422">
          <w:rPr>
            <w:noProof/>
          </w:rPr>
          <w:fldChar w:fldCharType="separate"/>
        </w:r>
        <w:r w:rsidR="00C445BE">
          <w:rPr>
            <w:noProof/>
          </w:rPr>
          <w:t>83</w:t>
        </w:r>
        <w:r w:rsidR="006B1422">
          <w:rPr>
            <w:noProof/>
          </w:rPr>
          <w:fldChar w:fldCharType="end"/>
        </w:r>
      </w:hyperlink>
    </w:p>
    <w:p w14:paraId="22B1034C" w14:textId="28216A22" w:rsidR="00C41073" w:rsidRDefault="00084B88">
      <w:pPr>
        <w:pStyle w:val="10"/>
        <w:rPr>
          <w:rFonts w:asciiTheme="minorHAnsi" w:hAnsiTheme="minorHAnsi"/>
          <w:noProof/>
        </w:rPr>
      </w:pPr>
      <w:hyperlink w:anchor="_Toc256000022" w:history="1">
        <w:r w:rsidR="006B1422">
          <w:rPr>
            <w:rStyle w:val="af0"/>
            <w:noProof/>
          </w:rPr>
          <w:t>第二十三部分</w:t>
        </w:r>
        <w:r w:rsidR="006B1422">
          <w:rPr>
            <w:rStyle w:val="af0"/>
            <w:noProof/>
          </w:rPr>
          <w:t xml:space="preserve">  </w:t>
        </w:r>
        <w:r w:rsidR="006B1422">
          <w:rPr>
            <w:rStyle w:val="af0"/>
            <w:noProof/>
          </w:rPr>
          <w:t>其他事项</w:t>
        </w:r>
        <w:r w:rsidR="006B1422">
          <w:rPr>
            <w:noProof/>
          </w:rPr>
          <w:tab/>
        </w:r>
        <w:r w:rsidR="006B1422">
          <w:rPr>
            <w:noProof/>
          </w:rPr>
          <w:fldChar w:fldCharType="begin"/>
        </w:r>
        <w:r w:rsidR="006B1422">
          <w:rPr>
            <w:noProof/>
          </w:rPr>
          <w:instrText xml:space="preserve"> PAGEREF _Toc256000022 \h </w:instrText>
        </w:r>
        <w:r w:rsidR="006B1422">
          <w:rPr>
            <w:noProof/>
          </w:rPr>
        </w:r>
        <w:r w:rsidR="006B1422">
          <w:rPr>
            <w:noProof/>
          </w:rPr>
          <w:fldChar w:fldCharType="separate"/>
        </w:r>
        <w:r w:rsidR="00C445BE">
          <w:rPr>
            <w:noProof/>
          </w:rPr>
          <w:t>84</w:t>
        </w:r>
        <w:r w:rsidR="006B1422">
          <w:rPr>
            <w:noProof/>
          </w:rPr>
          <w:fldChar w:fldCharType="end"/>
        </w:r>
      </w:hyperlink>
    </w:p>
    <w:p w14:paraId="453B467A" w14:textId="24F14FC7" w:rsidR="00C41073" w:rsidRDefault="00084B88">
      <w:pPr>
        <w:pStyle w:val="10"/>
        <w:rPr>
          <w:rFonts w:asciiTheme="minorHAnsi" w:hAnsiTheme="minorHAnsi"/>
          <w:noProof/>
        </w:rPr>
      </w:pPr>
      <w:hyperlink w:anchor="_Toc256000023" w:history="1">
        <w:r w:rsidR="006B1422">
          <w:rPr>
            <w:rStyle w:val="af0"/>
            <w:noProof/>
          </w:rPr>
          <w:t>第二十四部分</w:t>
        </w:r>
        <w:r w:rsidR="006B1422">
          <w:rPr>
            <w:rStyle w:val="af0"/>
            <w:noProof/>
          </w:rPr>
          <w:t xml:space="preserve">  </w:t>
        </w:r>
        <w:r w:rsidR="006B1422">
          <w:rPr>
            <w:rStyle w:val="af0"/>
            <w:noProof/>
          </w:rPr>
          <w:t>基金合同内容摘要</w:t>
        </w:r>
        <w:r w:rsidR="006B1422">
          <w:rPr>
            <w:noProof/>
          </w:rPr>
          <w:tab/>
        </w:r>
        <w:r w:rsidR="006B1422">
          <w:rPr>
            <w:noProof/>
          </w:rPr>
          <w:fldChar w:fldCharType="begin"/>
        </w:r>
        <w:r w:rsidR="006B1422">
          <w:rPr>
            <w:noProof/>
          </w:rPr>
          <w:instrText xml:space="preserve"> PAGEREF _Toc256000023 \h </w:instrText>
        </w:r>
        <w:r w:rsidR="006B1422">
          <w:rPr>
            <w:noProof/>
          </w:rPr>
        </w:r>
        <w:r w:rsidR="006B1422">
          <w:rPr>
            <w:noProof/>
          </w:rPr>
          <w:fldChar w:fldCharType="separate"/>
        </w:r>
        <w:r w:rsidR="00C445BE">
          <w:rPr>
            <w:noProof/>
          </w:rPr>
          <w:t>85</w:t>
        </w:r>
        <w:r w:rsidR="006B1422">
          <w:rPr>
            <w:noProof/>
          </w:rPr>
          <w:fldChar w:fldCharType="end"/>
        </w:r>
      </w:hyperlink>
    </w:p>
    <w:p w14:paraId="5949157C" w14:textId="77777777" w:rsidR="00C41073" w:rsidRDefault="006B1422">
      <w:pPr>
        <w:jc w:val="left"/>
        <w:rPr>
          <w:rStyle w:val="read"/>
          <w:rFonts w:ascii="宋体" w:hAnsi="宋体" w:cs="宋体"/>
          <w:b/>
          <w:sz w:val="24"/>
        </w:rPr>
        <w:sectPr w:rsidR="00C41073">
          <w:headerReference w:type="default" r:id="rId9"/>
          <w:footerReference w:type="default" r:id="rId10"/>
          <w:pgSz w:w="11906" w:h="16838"/>
          <w:pgMar w:top="1440" w:right="1800" w:bottom="1440" w:left="1800" w:header="851" w:footer="992" w:gutter="0"/>
          <w:pgNumType w:start="1"/>
          <w:cols w:space="720"/>
          <w:docGrid w:type="lines" w:linePitch="312"/>
        </w:sectPr>
      </w:pPr>
      <w:r>
        <w:rPr>
          <w:rStyle w:val="read"/>
          <w:rFonts w:ascii="宋体" w:hAnsi="宋体" w:cs="宋体"/>
          <w:b/>
          <w:sz w:val="24"/>
        </w:rPr>
        <w:fldChar w:fldCharType="end"/>
      </w:r>
      <w:bookmarkStart w:id="35" w:name="_Toc452127896"/>
      <w:bookmarkStart w:id="36" w:name="_Toc11660"/>
      <w:bookmarkStart w:id="37" w:name="_Toc2163435"/>
    </w:p>
    <w:p w14:paraId="3C8F0428" w14:textId="77777777" w:rsidR="00C41073" w:rsidRDefault="006B1422">
      <w:pPr>
        <w:pStyle w:val="1"/>
        <w:spacing w:before="0" w:after="0"/>
        <w:jc w:val="center"/>
        <w:rPr>
          <w:rFonts w:ascii="Times New Roman"/>
          <w:color w:val="auto"/>
          <w:sz w:val="30"/>
        </w:rPr>
      </w:pPr>
      <w:bookmarkStart w:id="38" w:name="_Toc139991731"/>
      <w:bookmarkStart w:id="39" w:name="_Toc2560000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9"/>
    </w:p>
    <w:p w14:paraId="559F568F" w14:textId="77777777" w:rsidR="00C41073" w:rsidRDefault="00C41073"/>
    <w:p w14:paraId="5CC8989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1692E799"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14:paraId="1CCB8D09"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rStyle w:val="custom"/>
          <w:rFonts w:ascii="宋体" w:hAnsi="宋体" w:cs="宋体"/>
          <w:kern w:val="0"/>
          <w:sz w:val="24"/>
          <w:szCs w:val="24"/>
        </w:rPr>
        <w:t>、《公开募集证券投资基金运作指引第3号——指数基金指引》（以下简称“《指数基金指引》”）</w:t>
      </w:r>
      <w:r>
        <w:rPr>
          <w:rFonts w:ascii="宋体" w:hAnsi="宋体" w:cs="宋体"/>
          <w:kern w:val="0"/>
          <w:sz w:val="24"/>
          <w:szCs w:val="24"/>
        </w:rPr>
        <w:t>和其他有关法律法规。</w:t>
      </w:r>
    </w:p>
    <w:p w14:paraId="47EE4B71"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14:paraId="1BD0F83B"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ACFC28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F669FBE"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三、汇添富沪深300自由现金流指数型证券投资基金</w:t>
      </w:r>
      <w:r>
        <w:rPr>
          <w:rFonts w:ascii="宋体" w:hAnsi="宋体" w:cs="宋体"/>
          <w:kern w:val="0"/>
          <w:sz w:val="24"/>
          <w:szCs w:val="24"/>
        </w:rPr>
        <w:t>由基金管理人依照《基金法》、基金合同及其他有关规定募集，并经中国证券监督管理委员会(以下简称“中国证监会”)注册。</w:t>
      </w:r>
    </w:p>
    <w:p w14:paraId="2F0B08AD"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中国证监会对本基金</w:t>
      </w:r>
      <w:r>
        <w:rPr>
          <w:rStyle w:val="custom"/>
          <w:rFonts w:ascii="宋体" w:hAnsi="宋体" w:cs="宋体"/>
          <w:kern w:val="0"/>
          <w:sz w:val="24"/>
          <w:szCs w:val="24"/>
        </w:rPr>
        <w:t>募集</w:t>
      </w:r>
      <w:r>
        <w:rPr>
          <w:rFonts w:ascii="宋体" w:hAnsi="宋体" w:cs="宋体"/>
          <w:kern w:val="0"/>
          <w:sz w:val="24"/>
          <w:szCs w:val="24"/>
        </w:rPr>
        <w:t>的注册，并不表明其对本基金的投资价值和市场前景做出实质性判断或保证，也不表明投资于本基金没有风险。</w:t>
      </w:r>
    </w:p>
    <w:p w14:paraId="5558A7B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452713A3"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投资者应当认真阅读基金招募说明书、基金合同、基金产品资料概要等信息披露文件，自主判断基金的投资价值，自主做出投资决策，自行承担投资风险。</w:t>
      </w:r>
    </w:p>
    <w:p w14:paraId="07292D3C"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51B9022E"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本基金按照中国法律法规成立并运作，若基金合同的内容与届时有效的法律法规的强制性规定不一致，应当以届时有效的法律法规的规定为准。</w:t>
      </w:r>
    </w:p>
    <w:p w14:paraId="41957F1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14:paraId="1F389FA5"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本基金单一投资者持有基金份额数不得达到或超过基金份额总数的50%，但在基金运作过程中因基金份额赎回等基金管理人无法予以控制的情形导致被动达到或超过50%的除外。法律法规或监管机构另有规定的，从其规定。</w:t>
      </w:r>
    </w:p>
    <w:p w14:paraId="5A51491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八、本基金为指数基金，投资者投资于本基金面临跟踪误差控制未达约定目标、指数编制机构停止服务、成份股停牌等潜在风险，详见本基金招募说明书。</w:t>
      </w:r>
      <w:r>
        <w:rPr>
          <w:rStyle w:val="custom"/>
          <w:rFonts w:ascii="宋体" w:hAnsi="宋体" w:cs="宋体"/>
          <w:kern w:val="0"/>
          <w:sz w:val="24"/>
          <w:szCs w:val="24"/>
        </w:rPr>
        <w:br w:type="page"/>
      </w:r>
    </w:p>
    <w:p w14:paraId="7B6CFFFE" w14:textId="77777777" w:rsidR="00C41073" w:rsidRDefault="006B1422">
      <w:pPr>
        <w:pStyle w:val="1"/>
        <w:spacing w:before="0" w:after="0"/>
        <w:jc w:val="center"/>
        <w:rPr>
          <w:rFonts w:ascii="Times New Roman"/>
          <w:color w:val="auto"/>
          <w:sz w:val="30"/>
        </w:rPr>
      </w:pPr>
      <w:bookmarkStart w:id="40" w:name="_Toc25600000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p>
    <w:p w14:paraId="1FA5A5EB" w14:textId="77777777" w:rsidR="00C41073" w:rsidRDefault="00C41073"/>
    <w:p w14:paraId="30DAD88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56B26B3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基金或本基金：指</w:t>
      </w:r>
      <w:r>
        <w:rPr>
          <w:rStyle w:val="custom"/>
          <w:rFonts w:ascii="宋体" w:hAnsi="宋体" w:cs="宋体"/>
          <w:kern w:val="0"/>
          <w:sz w:val="24"/>
          <w:szCs w:val="24"/>
        </w:rPr>
        <w:t>汇添富沪深300自由现金流指数型证券投资基金</w:t>
      </w:r>
    </w:p>
    <w:p w14:paraId="15C72C1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基金管理人：指汇添富基金管理股份有限公司</w:t>
      </w:r>
    </w:p>
    <w:p w14:paraId="14F245E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
          <w:rFonts w:ascii="宋体" w:hAnsi="宋体" w:cs="宋体"/>
          <w:kern w:val="0"/>
          <w:sz w:val="24"/>
          <w:szCs w:val="24"/>
        </w:rPr>
        <w:t>中国工商银行股份有限公司</w:t>
      </w:r>
    </w:p>
    <w:p w14:paraId="2D7115A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
          <w:rFonts w:ascii="宋体" w:hAnsi="宋体" w:cs="宋体"/>
          <w:kern w:val="0"/>
          <w:sz w:val="24"/>
          <w:szCs w:val="24"/>
        </w:rPr>
        <w:t>汇添富沪深300自由现金流指数型证券投资基金</w:t>
      </w:r>
      <w:r>
        <w:rPr>
          <w:rFonts w:ascii="宋体" w:hAnsi="宋体" w:cs="宋体"/>
          <w:kern w:val="0"/>
          <w:sz w:val="24"/>
          <w:szCs w:val="24"/>
        </w:rPr>
        <w:t>基金合同》及对本基金合同的任何有效修订和补充</w:t>
      </w:r>
    </w:p>
    <w:p w14:paraId="6657590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
          <w:rFonts w:ascii="宋体" w:hAnsi="宋体" w:cs="宋体"/>
          <w:kern w:val="0"/>
          <w:sz w:val="24"/>
          <w:szCs w:val="24"/>
        </w:rPr>
        <w:t>汇添富沪深300自由现金流指数型证券投资基金</w:t>
      </w:r>
      <w:r>
        <w:rPr>
          <w:rFonts w:ascii="宋体" w:hAnsi="宋体" w:cs="宋体"/>
          <w:kern w:val="0"/>
          <w:sz w:val="24"/>
          <w:szCs w:val="24"/>
        </w:rPr>
        <w:t>托管协议》及对该托管协议的任何有效修订和补充</w:t>
      </w:r>
    </w:p>
    <w:p w14:paraId="3FFEC9A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
          <w:rFonts w:ascii="宋体" w:hAnsi="宋体" w:cs="宋体"/>
          <w:kern w:val="0"/>
          <w:sz w:val="24"/>
          <w:szCs w:val="24"/>
        </w:rPr>
        <w:t>汇添富沪深300自由现金流指数型证券投资基金</w:t>
      </w:r>
      <w:r>
        <w:rPr>
          <w:rFonts w:ascii="宋体" w:hAnsi="宋体" w:cs="宋体"/>
          <w:kern w:val="0"/>
          <w:sz w:val="24"/>
          <w:szCs w:val="24"/>
        </w:rPr>
        <w:t>招募说明书》及其更新</w:t>
      </w:r>
    </w:p>
    <w:p w14:paraId="2C8A749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
          <w:rFonts w:ascii="宋体" w:hAnsi="宋体" w:cs="宋体"/>
          <w:kern w:val="0"/>
          <w:sz w:val="24"/>
          <w:szCs w:val="24"/>
        </w:rPr>
        <w:t>汇添富沪深300自由现金流指数型证券投资基金</w:t>
      </w:r>
      <w:r>
        <w:rPr>
          <w:rFonts w:ascii="宋体" w:hAnsi="宋体" w:cs="宋体"/>
          <w:kern w:val="0"/>
          <w:sz w:val="24"/>
          <w:szCs w:val="24"/>
        </w:rPr>
        <w:t>基金产品资料概要》及其更新</w:t>
      </w:r>
    </w:p>
    <w:p w14:paraId="56A7A0CB"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基金份额发售公告：指《汇添富沪深300自由现金流指数型证券投资基金基金份额发售公告》</w:t>
      </w:r>
    </w:p>
    <w:p w14:paraId="77D060B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101B259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7C7D2AD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14:paraId="68E0EA3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《信息披露办法》：指中国证监会2019年7月26日颁布、同年9月1</w:t>
      </w:r>
      <w:r>
        <w:rPr>
          <w:rFonts w:ascii="宋体" w:hAnsi="宋体" w:cs="宋体"/>
          <w:kern w:val="0"/>
          <w:sz w:val="24"/>
          <w:szCs w:val="24"/>
        </w:rPr>
        <w:lastRenderedPageBreak/>
        <w:t>日实施的，并经2020年3月20日中国证监会《关于修改部分证券期货规章的决定》修正的《公开募集证券投资基金信息披露管理办法》及颁布机关对其不时做出的修订</w:t>
      </w:r>
    </w:p>
    <w:p w14:paraId="1786531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《运作办法》：指中国证监会2014年7月7日颁布、同年8月8日实施的《公开募集证券投资基金运作管理办法》及颁布机关对其不时做出的修订</w:t>
      </w:r>
    </w:p>
    <w:p w14:paraId="172D7C2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14:paraId="4700E13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15、《指数基金指引》：指中国证监会2021年1月18日颁布、同年2月1日实施的《公开募集证券投资基金运作指引第3号——指数基金指引》及颁布机关对其不时做出的修订</w:t>
      </w:r>
    </w:p>
    <w:p w14:paraId="07CD279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16、标的指数：指沪深300自由现金流指数</w:t>
      </w:r>
    </w:p>
    <w:p w14:paraId="64759F0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中国证监会：指中国证券监督管理委员会</w:t>
      </w:r>
    </w:p>
    <w:p w14:paraId="0F63C0F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18、银行业监督管理机构：指中国人民银行和/或国家金融监督管理总局</w:t>
      </w:r>
    </w:p>
    <w:p w14:paraId="00EDA3C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基金合同当事人：指受基金合同约束，根据基金合同享有权利并承担义务的法律主体，包括基金管理人、基金托管人和基金份额持有人</w:t>
      </w:r>
    </w:p>
    <w:p w14:paraId="37B02AE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个人投资者：指依据有关法律法规规定可投资于证券投资基金的自然人</w:t>
      </w:r>
    </w:p>
    <w:p w14:paraId="7C69FF09"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0969E6E5"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ECBA4F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23、投资人、投资者：指个人投资者、机构投资者、合格境外投资者以及法律法规或中国证监会允许购买证券投资基金的其他投资人的合称</w:t>
      </w:r>
    </w:p>
    <w:p w14:paraId="2583DC3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基金份额持有人：指依基金合同和招募说明书合法取得基金份额的投资人</w:t>
      </w:r>
    </w:p>
    <w:p w14:paraId="4EA4E17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基金销售业务：指基金管理人或销售机构宣传推介基金，</w:t>
      </w:r>
      <w:r>
        <w:rPr>
          <w:rStyle w:val="custom"/>
          <w:rFonts w:ascii="宋体" w:hAnsi="宋体" w:cs="宋体"/>
          <w:kern w:val="0"/>
          <w:sz w:val="24"/>
          <w:szCs w:val="24"/>
        </w:rPr>
        <w:t>发售基金份额，</w:t>
      </w:r>
      <w:r>
        <w:rPr>
          <w:rFonts w:ascii="宋体" w:hAnsi="宋体" w:cs="宋体"/>
          <w:kern w:val="0"/>
          <w:sz w:val="24"/>
          <w:szCs w:val="24"/>
        </w:rPr>
        <w:lastRenderedPageBreak/>
        <w:t>办理基金份额的申购、赎回、转换、转托管及定期定额投资等业务</w:t>
      </w:r>
    </w:p>
    <w:p w14:paraId="266A226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26、销售机构：指汇添富基金管理股份有限公司以及符合《销售办法》和中国证监会规定的其他条件，取得基金销售业务资格并与基金管理人签订了基金销售服务协议，办理基金销售业务的机构</w:t>
      </w:r>
    </w:p>
    <w:p w14:paraId="50B71F5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1C3A167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登记机构：指办理登记业务的机构。基金的登记机构为汇添富基金管理股份有限公司或接受汇添富基金管理股份有限公司委托代为办理登记业务的机构</w:t>
      </w:r>
    </w:p>
    <w:p w14:paraId="7B7D70A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29、基金账户：指登记机构为投资人开立的、记录其持有的、基金管理人所管理的基金份额余额及其变动情况的账户</w:t>
      </w:r>
    </w:p>
    <w:p w14:paraId="1656CBA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30、</w:t>
      </w:r>
      <w:r>
        <w:rPr>
          <w:rFonts w:ascii="宋体" w:hAnsi="宋体" w:cs="宋体"/>
          <w:kern w:val="0"/>
          <w:sz w:val="24"/>
          <w:szCs w:val="24"/>
        </w:rPr>
        <w:t>基金交易账户：指销售机构为投资人开立的、记录投资人通过该销售机构办理</w:t>
      </w:r>
      <w:r>
        <w:rPr>
          <w:rStyle w:val="custom"/>
          <w:rFonts w:ascii="宋体" w:hAnsi="宋体" w:cs="宋体"/>
          <w:kern w:val="0"/>
          <w:sz w:val="24"/>
          <w:szCs w:val="24"/>
        </w:rPr>
        <w:t>认购、</w:t>
      </w:r>
      <w:r>
        <w:rPr>
          <w:rFonts w:ascii="宋体" w:hAnsi="宋体" w:cs="宋体"/>
          <w:kern w:val="0"/>
          <w:sz w:val="24"/>
          <w:szCs w:val="24"/>
        </w:rPr>
        <w:t>申购、赎回、转换、转托管及定期定额投资等业务而引起的基金份额变动及结余情况的账户</w:t>
      </w:r>
    </w:p>
    <w:p w14:paraId="1AD050A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31、</w:t>
      </w:r>
      <w:r>
        <w:rPr>
          <w:rFonts w:ascii="宋体" w:hAnsi="宋体" w:cs="宋体"/>
          <w:kern w:val="0"/>
          <w:sz w:val="24"/>
          <w:szCs w:val="24"/>
        </w:rPr>
        <w:t>基金合同生效日：</w:t>
      </w:r>
      <w:r>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14:paraId="44B25E2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基金合同终止日：指基金合同规定的基金合同终止事由出现后，基金财产清算完毕，清算结果报中国证监会备案并予以公告的日期</w:t>
      </w:r>
    </w:p>
    <w:p w14:paraId="09D3997A"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33、</w:t>
      </w:r>
      <w:r>
        <w:rPr>
          <w:rStyle w:val="custom"/>
          <w:rFonts w:ascii="宋体" w:hAnsi="宋体" w:cs="宋体"/>
          <w:kern w:val="0"/>
          <w:sz w:val="24"/>
          <w:szCs w:val="24"/>
        </w:rPr>
        <w:t>基金募集期：指自基金份额发售之日起至发售结束之日止的期间，最长不得超过3个月</w:t>
      </w:r>
    </w:p>
    <w:p w14:paraId="15B3887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存续期：指基金合同生效至终止之间的不定期期限</w:t>
      </w:r>
    </w:p>
    <w:p w14:paraId="2387A22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35、</w:t>
      </w:r>
      <w:r>
        <w:rPr>
          <w:rFonts w:ascii="宋体" w:hAnsi="宋体" w:cs="宋体"/>
          <w:kern w:val="0"/>
          <w:sz w:val="24"/>
          <w:szCs w:val="24"/>
        </w:rPr>
        <w:t>工作日：指上海证券交易所、深圳证券交易所的正常交易日</w:t>
      </w:r>
    </w:p>
    <w:p w14:paraId="2563EF2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36、</w:t>
      </w:r>
      <w:r>
        <w:rPr>
          <w:rFonts w:ascii="宋体" w:hAnsi="宋体" w:cs="宋体"/>
          <w:kern w:val="0"/>
          <w:sz w:val="24"/>
          <w:szCs w:val="24"/>
        </w:rPr>
        <w:t>T日：指销售机构在规定时间受理投资人申购、赎回或其他业务申请的开放日</w:t>
      </w:r>
    </w:p>
    <w:p w14:paraId="05DBA91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37、</w:t>
      </w:r>
      <w:r>
        <w:rPr>
          <w:rFonts w:ascii="宋体" w:hAnsi="宋体" w:cs="宋体"/>
          <w:kern w:val="0"/>
          <w:sz w:val="24"/>
          <w:szCs w:val="24"/>
        </w:rPr>
        <w:t>T+n日：指自T日起第n个工作日(不包含T日)</w:t>
      </w:r>
    </w:p>
    <w:p w14:paraId="56F2374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38、开放日：指为投资人办理基金份额申购、赎回或其他业务的工作日</w:t>
      </w:r>
    </w:p>
    <w:p w14:paraId="253FCF4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39、</w:t>
      </w:r>
      <w:r>
        <w:rPr>
          <w:rFonts w:ascii="宋体" w:hAnsi="宋体" w:cs="宋体"/>
          <w:kern w:val="0"/>
          <w:sz w:val="24"/>
          <w:szCs w:val="24"/>
        </w:rPr>
        <w:t>开放时间：指开放日基金接受申购、赎回或其他交易的时间段</w:t>
      </w:r>
    </w:p>
    <w:p w14:paraId="1BFE9B0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40、《业务规则》：指《汇添富基金管理股份有限公司开放式基金业务规则》，是规范基金管理人所管理的开放式证券投资基金登记方面的业务规则，由基金管理人和投资人共同遵守</w:t>
      </w:r>
    </w:p>
    <w:p w14:paraId="118E07AE"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41、</w:t>
      </w:r>
      <w:r>
        <w:rPr>
          <w:rStyle w:val="custom"/>
          <w:rFonts w:ascii="宋体" w:hAnsi="宋体" w:cs="宋体"/>
          <w:kern w:val="0"/>
          <w:sz w:val="24"/>
          <w:szCs w:val="24"/>
        </w:rPr>
        <w:t>认购：指在基金募集期内，投资人根据基金合同和招募说明书的规定申请购买基金份额的行为</w:t>
      </w:r>
    </w:p>
    <w:p w14:paraId="10C9512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42、申购：指基金合同生效后，投资人根据基金合同和招募说明书的规定申请购买基金份额的行为</w:t>
      </w:r>
    </w:p>
    <w:p w14:paraId="163B7F84"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43、赎回：指基金合同生效后，基金份额持有人按基金合同和招募说明书规定的条件要求将基金份额兑换为现金的行为</w:t>
      </w:r>
    </w:p>
    <w:p w14:paraId="0397BAD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44、</w:t>
      </w:r>
      <w:r>
        <w:rPr>
          <w:rFonts w:ascii="宋体" w:hAnsi="宋体" w:cs="宋体"/>
          <w:kern w:val="0"/>
          <w:sz w:val="24"/>
          <w:szCs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EE7229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45、转托管：指基金份额持有人在本基金的不同销售机构之间实施的变更所持基金份额销售机构的操作</w:t>
      </w:r>
    </w:p>
    <w:p w14:paraId="3427EBC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14:paraId="7A8E0098"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47、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34B9C15A"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48、</w:t>
      </w:r>
      <w:r>
        <w:rPr>
          <w:rFonts w:ascii="宋体" w:hAnsi="宋体" w:cs="宋体"/>
          <w:kern w:val="0"/>
          <w:sz w:val="24"/>
          <w:szCs w:val="24"/>
        </w:rPr>
        <w:t>收益评价日：指基金管理人计算本基金相对业绩比较基准的超额收益率和/或基金可供分配利润金额之日</w:t>
      </w:r>
    </w:p>
    <w:p w14:paraId="553B768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49、</w:t>
      </w:r>
      <w:r>
        <w:rPr>
          <w:rFonts w:ascii="宋体" w:hAnsi="宋体" w:cs="宋体"/>
          <w:kern w:val="0"/>
          <w:sz w:val="24"/>
          <w:szCs w:val="24"/>
        </w:rPr>
        <w:t>元：指人民币元</w:t>
      </w:r>
    </w:p>
    <w:p w14:paraId="653F1B44"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50、基金收益：指基金投资所得红利、股息、债券利息、买卖证券价差、银行存款利息、已实现的其他合法收入及因运用基金财产带来的成本和费用的节约</w:t>
      </w:r>
    </w:p>
    <w:p w14:paraId="4105F41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51、基金资产总值：指基金拥有的各类有价证券及票据价值、银行存款本息、基金应收申购款及其他资产的价值总和</w:t>
      </w:r>
    </w:p>
    <w:p w14:paraId="1C710D6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52、</w:t>
      </w:r>
      <w:r>
        <w:rPr>
          <w:rFonts w:ascii="宋体" w:hAnsi="宋体" w:cs="宋体"/>
          <w:kern w:val="0"/>
          <w:sz w:val="24"/>
          <w:szCs w:val="24"/>
        </w:rPr>
        <w:t>基金资产净值：指基金资产总值减去基金负债后的价值</w:t>
      </w:r>
    </w:p>
    <w:p w14:paraId="381B674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53、</w:t>
      </w:r>
      <w:r>
        <w:rPr>
          <w:rFonts w:ascii="宋体" w:hAnsi="宋体" w:cs="宋体"/>
          <w:kern w:val="0"/>
          <w:sz w:val="24"/>
          <w:szCs w:val="24"/>
        </w:rPr>
        <w:t>基金份额净值：指计算日基金资产净值除以计算日基金份额总数</w:t>
      </w:r>
    </w:p>
    <w:p w14:paraId="0E56FB1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54、</w:t>
      </w:r>
      <w:r>
        <w:rPr>
          <w:rFonts w:ascii="宋体" w:hAnsi="宋体" w:cs="宋体"/>
          <w:kern w:val="0"/>
          <w:sz w:val="24"/>
          <w:szCs w:val="24"/>
        </w:rPr>
        <w:t>基金资产估值：指计算评估基金资产和负债的价值，以确定基金资产净值和基金份额净值的过程</w:t>
      </w:r>
    </w:p>
    <w:p w14:paraId="39EBA6C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55、</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206AF392" w14:textId="77777777" w:rsidR="00C41073" w:rsidRDefault="006B1422">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56、基金份额类别：根据认购/申购费用、销售服务费收取方式等事项的不同，将基金份额分为不同的类别，各基金份额类别分别设置代码、计算公告基金份额净值和基金份额累计净值</w:t>
      </w:r>
    </w:p>
    <w:p w14:paraId="420EED7F" w14:textId="77777777" w:rsidR="00C41073" w:rsidRDefault="006B1422">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57、A类基金份额：指在投资者认购、申购时收取认购、申购费用，在赎回时根据持有期限收取赎回费用，但不从本类别基金财产中计提销售服务费的基金份额</w:t>
      </w:r>
    </w:p>
    <w:p w14:paraId="51BA0996" w14:textId="77777777" w:rsidR="00C41073" w:rsidRDefault="006B1422">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58、C类基金份额：指从本类别基金财产中计提销售服务费而不收取认购、申购费用，在赎回时根据持有期限收取赎回费用的基金份额</w:t>
      </w:r>
    </w:p>
    <w:p w14:paraId="690EA145"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59、销售服务费：指从基金财产中计提的，用于本基金市场推广、销售以及基金份额持有人服务的费用</w:t>
      </w:r>
    </w:p>
    <w:p w14:paraId="714DD5D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60、</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52118A0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61、</w:t>
      </w:r>
      <w:r>
        <w:rPr>
          <w:rFonts w:ascii="宋体" w:hAnsi="宋体" w:cs="宋体"/>
          <w:kern w:val="0"/>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14:paraId="05E8D7D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62、</w:t>
      </w:r>
      <w:r>
        <w:rPr>
          <w:rFonts w:ascii="宋体" w:hAnsi="宋体" w:cs="宋体"/>
          <w:kern w:val="0"/>
          <w:sz w:val="24"/>
          <w:szCs w:val="24"/>
        </w:rPr>
        <w:t>侧袋机制：指将基金投资组合中的特定资产从原有账户分离至一个专门</w:t>
      </w:r>
      <w:r>
        <w:rPr>
          <w:rFonts w:ascii="宋体" w:hAnsi="宋体" w:cs="宋体"/>
          <w:kern w:val="0"/>
          <w:sz w:val="24"/>
          <w:szCs w:val="24"/>
        </w:rPr>
        <w:lastRenderedPageBreak/>
        <w:t>账户进行处置清算，目的在于有效隔离并化解风险，确保投资者得到公平对待，属于流动性风险管理工具。侧袋机制实施期间，原有账户称为主袋账户，专门账户称为侧袋账户</w:t>
      </w:r>
    </w:p>
    <w:p w14:paraId="50ACBD13"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63、</w:t>
      </w:r>
      <w:r>
        <w:rPr>
          <w:rFonts w:ascii="宋体" w:hAnsi="宋体" w:cs="宋体"/>
          <w:kern w:val="0"/>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DDE72A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64、转融通证券出借业务：指本基金以一定费率通过证券交易所综合业务平台向中国证券金融股份有限公司出借证券，中国证券金融股份有限公司到期归还所借证券及相应权益补偿并支付费用的业务</w:t>
      </w:r>
    </w:p>
    <w:p w14:paraId="29E1F22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65、</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14:paraId="5C126D98" w14:textId="77777777" w:rsidR="00C41073" w:rsidRDefault="006B1422">
      <w:pPr>
        <w:pStyle w:val="1"/>
        <w:spacing w:before="0" w:after="0"/>
        <w:jc w:val="center"/>
        <w:rPr>
          <w:rFonts w:ascii="Times New Roman"/>
          <w:color w:val="auto"/>
          <w:sz w:val="30"/>
        </w:rPr>
      </w:pPr>
      <w:bookmarkStart w:id="41" w:name="_Toc25600000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End w:id="41"/>
    </w:p>
    <w:p w14:paraId="4A03545B" w14:textId="77777777" w:rsidR="00C41073" w:rsidRDefault="00C41073"/>
    <w:p w14:paraId="7CC815B9"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基金名称</w:t>
      </w:r>
    </w:p>
    <w:p w14:paraId="22F66547"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汇添富沪深300自由现金流指数型证券投资基金</w:t>
      </w:r>
    </w:p>
    <w:p w14:paraId="61980D10"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基金的类别</w:t>
      </w:r>
    </w:p>
    <w:p w14:paraId="213A0877" w14:textId="77777777" w:rsidR="00C41073" w:rsidRDefault="006B1422">
      <w:pPr>
        <w:pStyle w:val="div"/>
        <w:spacing w:line="360" w:lineRule="auto"/>
        <w:ind w:firstLine="480"/>
        <w:rPr>
          <w:rFonts w:eastAsia="Times New Roman"/>
          <w:kern w:val="0"/>
          <w:sz w:val="24"/>
          <w:szCs w:val="24"/>
        </w:rPr>
      </w:pPr>
      <w:r>
        <w:rPr>
          <w:rStyle w:val="custom"/>
          <w:rFonts w:ascii="宋体" w:hAnsi="宋体" w:cs="宋体"/>
          <w:kern w:val="0"/>
          <w:sz w:val="24"/>
          <w:szCs w:val="24"/>
        </w:rPr>
        <w:t>股票型证券投资基金</w:t>
      </w:r>
    </w:p>
    <w:p w14:paraId="4A63750D"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基金的运作方式</w:t>
      </w:r>
    </w:p>
    <w:p w14:paraId="648E59EC" w14:textId="77777777" w:rsidR="00C41073" w:rsidRDefault="006B1422">
      <w:pPr>
        <w:pStyle w:val="div"/>
        <w:spacing w:line="360" w:lineRule="auto"/>
        <w:ind w:firstLine="480"/>
        <w:rPr>
          <w:rFonts w:eastAsia="Times New Roman"/>
          <w:kern w:val="0"/>
          <w:sz w:val="24"/>
          <w:szCs w:val="24"/>
        </w:rPr>
      </w:pPr>
      <w:r>
        <w:rPr>
          <w:rStyle w:val="custom"/>
          <w:rFonts w:ascii="宋体" w:hAnsi="宋体" w:cs="宋体"/>
          <w:kern w:val="0"/>
          <w:sz w:val="24"/>
          <w:szCs w:val="24"/>
        </w:rPr>
        <w:t>契约型开放式</w:t>
      </w:r>
    </w:p>
    <w:p w14:paraId="441CA9A5"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基金的投资目标</w:t>
      </w:r>
    </w:p>
    <w:p w14:paraId="1AA502E6" w14:textId="77777777" w:rsidR="00C41073" w:rsidRDefault="006B1422">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本基金进行被动式指数化投资，紧密跟踪标的指数，追求跟踪偏离度和跟踪误差的最小化。</w:t>
      </w:r>
    </w:p>
    <w:p w14:paraId="476CF0DE" w14:textId="77777777" w:rsidR="00C41073" w:rsidRDefault="006B1422">
      <w:pPr>
        <w:pStyle w:val="div"/>
        <w:spacing w:line="360" w:lineRule="auto"/>
        <w:ind w:firstLine="480"/>
        <w:jc w:val="left"/>
        <w:rPr>
          <w:rFonts w:ascii="宋体" w:hAnsi="宋体" w:cs="宋体"/>
          <w:kern w:val="0"/>
          <w:sz w:val="24"/>
          <w:szCs w:val="24"/>
        </w:rPr>
      </w:pPr>
      <w:r>
        <w:rPr>
          <w:rFonts w:ascii="宋体" w:hAnsi="宋体" w:cs="宋体"/>
          <w:kern w:val="0"/>
          <w:sz w:val="24"/>
          <w:szCs w:val="24"/>
        </w:rPr>
        <w:t>五、基金的标的指数</w:t>
      </w:r>
    </w:p>
    <w:p w14:paraId="39616125" w14:textId="77777777" w:rsidR="00C41073" w:rsidRDefault="006B1422">
      <w:pPr>
        <w:pStyle w:val="div"/>
        <w:spacing w:line="360" w:lineRule="auto"/>
        <w:ind w:firstLine="480"/>
        <w:jc w:val="left"/>
        <w:rPr>
          <w:rFonts w:ascii="宋体" w:hAnsi="宋体" w:cs="宋体"/>
          <w:kern w:val="0"/>
          <w:sz w:val="24"/>
          <w:szCs w:val="24"/>
        </w:rPr>
      </w:pPr>
      <w:r>
        <w:rPr>
          <w:rFonts w:ascii="宋体" w:hAnsi="宋体" w:cs="宋体"/>
          <w:kern w:val="0"/>
          <w:sz w:val="24"/>
          <w:szCs w:val="24"/>
        </w:rPr>
        <w:t>沪深300自由现金流指数</w:t>
      </w:r>
    </w:p>
    <w:p w14:paraId="67D8A2E1" w14:textId="77777777" w:rsidR="00C41073" w:rsidRDefault="006B1422">
      <w:pPr>
        <w:pStyle w:val="div"/>
        <w:spacing w:line="360" w:lineRule="auto"/>
        <w:ind w:firstLine="480"/>
        <w:jc w:val="left"/>
        <w:rPr>
          <w:rFonts w:ascii="宋体" w:hAnsi="宋体" w:cs="宋体"/>
          <w:kern w:val="0"/>
          <w:sz w:val="24"/>
          <w:szCs w:val="24"/>
        </w:rPr>
      </w:pPr>
      <w:r>
        <w:rPr>
          <w:rFonts w:ascii="宋体" w:hAnsi="宋体" w:cs="宋体"/>
          <w:kern w:val="0"/>
          <w:sz w:val="24"/>
          <w:szCs w:val="24"/>
        </w:rPr>
        <w:t>六、基金的最低募集份额总额</w:t>
      </w:r>
    </w:p>
    <w:p w14:paraId="7CED74CA" w14:textId="77777777" w:rsidR="00C41073" w:rsidRDefault="006B1422">
      <w:pPr>
        <w:pStyle w:val="div"/>
        <w:spacing w:line="360" w:lineRule="auto"/>
        <w:ind w:firstLine="480"/>
        <w:jc w:val="left"/>
        <w:rPr>
          <w:rFonts w:ascii="宋体" w:hAnsi="宋体" w:cs="宋体"/>
          <w:kern w:val="0"/>
          <w:sz w:val="24"/>
          <w:szCs w:val="24"/>
        </w:rPr>
      </w:pPr>
      <w:r>
        <w:rPr>
          <w:rFonts w:ascii="宋体" w:hAnsi="宋体" w:cs="宋体"/>
          <w:kern w:val="0"/>
          <w:sz w:val="24"/>
          <w:szCs w:val="24"/>
        </w:rPr>
        <w:t>本基金的最低募集份额总额为2亿份。</w:t>
      </w:r>
    </w:p>
    <w:p w14:paraId="3CA66E88" w14:textId="77777777" w:rsidR="00C41073" w:rsidRDefault="006B1422">
      <w:pPr>
        <w:pStyle w:val="div"/>
        <w:spacing w:line="360" w:lineRule="auto"/>
        <w:ind w:firstLine="480"/>
        <w:jc w:val="left"/>
        <w:rPr>
          <w:rFonts w:ascii="宋体" w:hAnsi="宋体" w:cs="宋体"/>
          <w:kern w:val="0"/>
          <w:sz w:val="24"/>
          <w:szCs w:val="24"/>
        </w:rPr>
      </w:pPr>
      <w:r>
        <w:rPr>
          <w:rFonts w:ascii="宋体" w:hAnsi="宋体" w:cs="宋体"/>
          <w:kern w:val="0"/>
          <w:sz w:val="24"/>
          <w:szCs w:val="24"/>
        </w:rPr>
        <w:t>七、基金份额发售面值和认购费用</w:t>
      </w:r>
    </w:p>
    <w:p w14:paraId="57EB28B4" w14:textId="77777777" w:rsidR="00C41073" w:rsidRDefault="006B1422">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本基金基金份额发售面值为人民币1.00元。</w:t>
      </w:r>
    </w:p>
    <w:p w14:paraId="73855E4D" w14:textId="77777777" w:rsidR="00C41073" w:rsidRDefault="006B1422">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本基金C类基金份额不收取认购费，A类基金份额的认购费率按招募说明书及基金产品资料概要的规定执行。</w:t>
      </w:r>
    </w:p>
    <w:p w14:paraId="5E7F92CD"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基金存续期限</w:t>
      </w:r>
    </w:p>
    <w:p w14:paraId="5F2FB2CA" w14:textId="77777777" w:rsidR="00C41073" w:rsidRDefault="006B1422">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43EAD3F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九、基金份额类别设置</w:t>
      </w:r>
    </w:p>
    <w:p w14:paraId="22D16EE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本基金根据认购/申购费用、销售服务费收取方式等事项的不同，将基金份额分为不同的类别。</w:t>
      </w:r>
    </w:p>
    <w:p w14:paraId="5797C5FE" w14:textId="77777777" w:rsidR="00C41073" w:rsidRDefault="006B1422">
      <w:pPr>
        <w:pStyle w:val="div"/>
        <w:spacing w:line="360" w:lineRule="auto"/>
        <w:ind w:firstLine="420"/>
        <w:rPr>
          <w:rStyle w:val="custom"/>
          <w:rFonts w:ascii="宋体" w:hAnsi="宋体" w:cs="宋体"/>
          <w:kern w:val="0"/>
          <w:sz w:val="24"/>
          <w:szCs w:val="24"/>
        </w:rPr>
      </w:pPr>
      <w:r>
        <w:rPr>
          <w:rStyle w:val="custom"/>
          <w:rFonts w:eastAsia="Times New Roman"/>
          <w:kern w:val="0"/>
          <w:sz w:val="24"/>
          <w:szCs w:val="24"/>
        </w:rPr>
        <w:t>A</w:t>
      </w:r>
      <w:r>
        <w:rPr>
          <w:rStyle w:val="custom"/>
          <w:rFonts w:ascii="宋体" w:hAnsi="宋体" w:cs="宋体"/>
          <w:kern w:val="0"/>
          <w:sz w:val="24"/>
          <w:szCs w:val="24"/>
        </w:rPr>
        <w:t>类基金份额在投资者认购、申购时收取认购、申购费用，在赎回时根据持有期限收取赎回费用，但不从本类别基金财产中计提销售服务费；C类基金份额从本类别基金财产中计提销售服务费而不收取认购、申购费用，在赎回时根据持有期限收取赎回费用。</w:t>
      </w:r>
    </w:p>
    <w:p w14:paraId="74937EB5"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本基金A类、C类基金份额分别设置代码。由于基金费用的不同，本基金A</w:t>
      </w:r>
      <w:r>
        <w:rPr>
          <w:rStyle w:val="custom"/>
          <w:rFonts w:ascii="宋体" w:hAnsi="宋体" w:cs="宋体"/>
          <w:kern w:val="0"/>
          <w:sz w:val="24"/>
          <w:szCs w:val="24"/>
        </w:rPr>
        <w:lastRenderedPageBreak/>
        <w:t>类、C类基金份额将分别计算基金份额净值，计算公式为计算日各类别基金资产净值除以计算日发售在外的该类别基金份额总数。</w:t>
      </w:r>
    </w:p>
    <w:p w14:paraId="5970D30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可自行选择认购、申购的基金份额类别。有关基金份额类别的具体设置，费率水平等由基金管理人确定，并在招募说明书中公告。在不违反法律法规、基金合同的约定以及对基金份额持有人利益无实质性不利影响的情况下，经与基金托管人协商一致，在履行适当程序后基金管理人可</w:t>
      </w:r>
      <w:r>
        <w:rPr>
          <w:rFonts w:ascii="宋体" w:hAnsi="宋体" w:cs="宋体"/>
          <w:sz w:val="24"/>
          <w:szCs w:val="24"/>
        </w:rPr>
        <w:t>停止现有基金份额类别的销售</w:t>
      </w:r>
      <w:r>
        <w:rPr>
          <w:rFonts w:ascii="宋体" w:hAnsi="宋体" w:cs="宋体" w:hint="eastAsia"/>
          <w:sz w:val="24"/>
          <w:szCs w:val="24"/>
        </w:rPr>
        <w:t>、</w:t>
      </w:r>
      <w:r>
        <w:rPr>
          <w:rStyle w:val="custom"/>
          <w:rFonts w:ascii="宋体" w:hAnsi="宋体" w:cs="宋体"/>
          <w:kern w:val="0"/>
          <w:sz w:val="24"/>
          <w:szCs w:val="24"/>
        </w:rPr>
        <w:t>增加、减少或调整基金份额类别设置、对基金份额分类办法及规则进行调整并在调整实施之日前依照《信息披露办法》的有关规定在规定媒介上公告，不需要召开基金份额持有人大会。</w:t>
      </w:r>
    </w:p>
    <w:p w14:paraId="585B7A8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十、未来条件许可情况下的基金模式转换</w:t>
      </w:r>
    </w:p>
    <w:p w14:paraId="487914A4"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若本基金管理人同时管理同一标的指数的交易型开放式指数基金（ETF），则基金管理人在履行适当程序后可使本基金采取ETF联接基金模式并相应修改《基金合同》，届时无需召开基金份额持有人大会。</w:t>
      </w:r>
      <w:r>
        <w:rPr>
          <w:rStyle w:val="custom"/>
          <w:rFonts w:ascii="宋体" w:hAnsi="宋体" w:cs="宋体"/>
          <w:kern w:val="0"/>
          <w:sz w:val="24"/>
          <w:szCs w:val="24"/>
        </w:rPr>
        <w:br w:type="page"/>
      </w:r>
    </w:p>
    <w:p w14:paraId="6819B1DD" w14:textId="77777777" w:rsidR="00C41073" w:rsidRDefault="006B1422">
      <w:pPr>
        <w:pStyle w:val="1"/>
        <w:spacing w:before="0" w:after="0"/>
        <w:jc w:val="center"/>
        <w:rPr>
          <w:rFonts w:ascii="Times New Roman"/>
          <w:color w:val="auto"/>
          <w:sz w:val="30"/>
        </w:rPr>
      </w:pPr>
      <w:bookmarkStart w:id="42" w:name="_Toc2560000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42"/>
    </w:p>
    <w:p w14:paraId="3CC966C4" w14:textId="77777777" w:rsidR="00C41073" w:rsidRDefault="00C41073"/>
    <w:p w14:paraId="1578543C"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一、基金份额的发售时间、发售方式、发售对象</w:t>
      </w:r>
    </w:p>
    <w:p w14:paraId="44442BE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1、发售时间</w:t>
      </w:r>
    </w:p>
    <w:p w14:paraId="06554045"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14:paraId="0F8F5A81"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2、发售方式</w:t>
      </w:r>
    </w:p>
    <w:p w14:paraId="098FCCA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通过各销售机构的基金销售网点公开发售，各销售机构的具体名单见基金管理人网站届时公示的基金销售机构名录。</w:t>
      </w:r>
    </w:p>
    <w:p w14:paraId="6CA9CDB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3、发售对象</w:t>
      </w:r>
    </w:p>
    <w:p w14:paraId="4946038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1E0148DA"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二、基金份额的认购</w:t>
      </w:r>
    </w:p>
    <w:p w14:paraId="325496A2"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1、认购费用</w:t>
      </w:r>
    </w:p>
    <w:p w14:paraId="72238A9B"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本基金C类基金份额不收取认购费，A类基金份额的认购费率由基金管理人决定，并在招募说明书及基金产品资料概要中列示。基金认购费用不列入基金财产。</w:t>
      </w:r>
    </w:p>
    <w:p w14:paraId="588960A1"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2、募集期利息的处理方式</w:t>
      </w:r>
    </w:p>
    <w:p w14:paraId="294CF84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有效认购款项在募集期间产生的利息将折算为基金份额归基金份额持有人所有，其中利息转份额以登记机构的记录为准。</w:t>
      </w:r>
    </w:p>
    <w:p w14:paraId="08DE6676"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3、基金认购份额的计算</w:t>
      </w:r>
    </w:p>
    <w:p w14:paraId="570D711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基金认购份额具体的计算方法在招募说明书中列示。</w:t>
      </w:r>
    </w:p>
    <w:p w14:paraId="39B87059"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4、认购份额余额的处理方式</w:t>
      </w:r>
    </w:p>
    <w:p w14:paraId="73BADCD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认购份额（含利息折算的份额）的计算保留到小数点后2位，小数点2位以后的部分四舍五入，由此误差产生的收益或损失由基金财产承担。</w:t>
      </w:r>
    </w:p>
    <w:p w14:paraId="62B84F5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5、认购申请的确认</w:t>
      </w:r>
    </w:p>
    <w:p w14:paraId="53C8D86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w:t>
      </w:r>
      <w:r>
        <w:rPr>
          <w:rFonts w:ascii="宋体" w:hAnsi="宋体" w:cs="宋体"/>
          <w:kern w:val="0"/>
          <w:sz w:val="24"/>
          <w:szCs w:val="24"/>
        </w:rPr>
        <w:lastRenderedPageBreak/>
        <w:t>生的任何损失由投资者自行承担。</w:t>
      </w:r>
    </w:p>
    <w:p w14:paraId="5B21F347"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三、基金份额认购金额的限制</w:t>
      </w:r>
    </w:p>
    <w:p w14:paraId="407ED62A"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1、投资人认购时，需按销售机构规定的方式全额缴款。</w:t>
      </w:r>
    </w:p>
    <w:p w14:paraId="5CEAEE42"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2、基金管理人可以对每个基金交易账户的单笔最低认购金额进行限制，具体限制请参看招募说明书或相关公告。</w:t>
      </w:r>
    </w:p>
    <w:p w14:paraId="3BC3547C"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3、基金管理人可以对募集期间的单个投资人的累计认购金额进行限制，具体限制和处理方法请参看招募说明书或相关公告。</w:t>
      </w:r>
    </w:p>
    <w:p w14:paraId="4F8CF236"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4、基金管理人可以对募集期间的本基金募集规模设置上限。募集期内超过募集规模上限时，基金管理人可以采用比例确认或其他方式进行确认，具体办法参见基金份额发售公告或相关公告。</w:t>
      </w:r>
    </w:p>
    <w:p w14:paraId="6D34E14C"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5、投资人在募集期内可以多次认购基金份额，但已受理的认购申请不得撤销。</w:t>
      </w:r>
    </w:p>
    <w:p w14:paraId="20B41F17"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6、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ascii="宋体" w:hAnsi="宋体" w:cs="宋体"/>
          <w:kern w:val="0"/>
          <w:sz w:val="24"/>
          <w:szCs w:val="24"/>
        </w:rPr>
        <w:br w:type="page"/>
      </w:r>
    </w:p>
    <w:p w14:paraId="39198036" w14:textId="77777777" w:rsidR="00C41073" w:rsidRDefault="006B1422">
      <w:pPr>
        <w:pStyle w:val="1"/>
        <w:spacing w:before="0" w:after="0"/>
        <w:jc w:val="center"/>
        <w:rPr>
          <w:rFonts w:ascii="Times New Roman"/>
          <w:color w:val="auto"/>
          <w:sz w:val="30"/>
        </w:rPr>
      </w:pPr>
      <w:bookmarkStart w:id="43" w:name="_Toc25600000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43"/>
    </w:p>
    <w:p w14:paraId="22585CB4" w14:textId="77777777" w:rsidR="00C41073" w:rsidRDefault="00C41073"/>
    <w:p w14:paraId="32E92B00"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基金备案的条件</w:t>
      </w:r>
    </w:p>
    <w:p w14:paraId="36236F06"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86712B9"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545F901"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基金合同不能生效时募集资金的处理方式</w:t>
      </w:r>
    </w:p>
    <w:p w14:paraId="186E853D"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如果募集期限届满，未满足基金备案条件，基金管理人应当承担下列责任：</w:t>
      </w:r>
    </w:p>
    <w:p w14:paraId="62FA41F6"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1、以其固有财产承担因募集行为而产生的债务和费用；</w:t>
      </w:r>
    </w:p>
    <w:p w14:paraId="35C15B2D"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2、在基金募集期限届满后30日内返还投资者已缴纳的款项，并加计银行同期活期存款利息；</w:t>
      </w:r>
    </w:p>
    <w:p w14:paraId="55D39AE6" w14:textId="77777777" w:rsidR="00C41073" w:rsidRDefault="006B1422">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31EA435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基金存续期内的基金份额持有人数量和资产规模</w:t>
      </w:r>
    </w:p>
    <w:p w14:paraId="03256B7F"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4D999E49"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法律法规或中国证监会另有规定时，从其规定。</w:t>
      </w:r>
      <w:r>
        <w:rPr>
          <w:rStyle w:val="custom"/>
          <w:rFonts w:ascii="宋体" w:hAnsi="宋体" w:cs="宋体"/>
          <w:kern w:val="0"/>
          <w:sz w:val="24"/>
          <w:szCs w:val="24"/>
        </w:rPr>
        <w:br w:type="page"/>
      </w:r>
    </w:p>
    <w:p w14:paraId="195A2460" w14:textId="77777777" w:rsidR="00C41073" w:rsidRDefault="006B1422">
      <w:pPr>
        <w:pStyle w:val="1"/>
        <w:spacing w:before="0" w:after="0"/>
        <w:jc w:val="center"/>
        <w:rPr>
          <w:rFonts w:ascii="Times New Roman"/>
          <w:color w:val="auto"/>
          <w:sz w:val="30"/>
        </w:rPr>
      </w:pPr>
      <w:bookmarkStart w:id="44" w:name="_Toc25600000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44"/>
    </w:p>
    <w:p w14:paraId="323236CA" w14:textId="77777777" w:rsidR="00C41073" w:rsidRDefault="00C41073"/>
    <w:p w14:paraId="4B6CBAE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254AE96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的申购与赎回将通过销售机构进行。具体的销售机构将由基金管理人在招募说明书或其他相关公示中列明。基金管理人可根据情况变更或增减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45E8610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7EDEBF6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开放日及开放时间</w:t>
      </w:r>
    </w:p>
    <w:p w14:paraId="4262A4C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投资人在开放日办理基金份额的申购和赎回，</w:t>
      </w:r>
      <w:r>
        <w:rPr>
          <w:rFonts w:ascii="宋体" w:hAnsi="宋体" w:cs="宋体"/>
          <w:kern w:val="0"/>
          <w:sz w:val="24"/>
          <w:szCs w:val="24"/>
        </w:rPr>
        <w:t>具体办理时间为上海证券交易所、深圳证券交易所的正常交易日的交易时间，但基金管理人根据法律法规、中国证监会的要求或本基金合同的规定公告暂停申购、赎回时除外。开放日的具体业务办理时间在招募说明书或基金管理人届时发布的相关公告中载明。</w:t>
      </w:r>
    </w:p>
    <w:p w14:paraId="5D58E4A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36498E0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申购、赎回开始日及业务办理时间</w:t>
      </w:r>
    </w:p>
    <w:p w14:paraId="3EDA5977"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59A7098A"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14:paraId="7825CEC4"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5D7A3B06"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相应类别</w:t>
      </w:r>
      <w:r>
        <w:rPr>
          <w:rStyle w:val="custom"/>
          <w:rFonts w:ascii="宋体" w:hAnsi="宋体" w:cs="宋体"/>
          <w:kern w:val="0"/>
          <w:sz w:val="24"/>
          <w:szCs w:val="24"/>
        </w:rPr>
        <w:lastRenderedPageBreak/>
        <w:t>的基金份额申购、赎回的价格。</w:t>
      </w:r>
    </w:p>
    <w:p w14:paraId="35373EE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2375091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1、“未知价”原则，即申购、赎回价格以申请当日收市后计算的相应类别的基金份额净值为基准进行计算；</w:t>
      </w:r>
    </w:p>
    <w:p w14:paraId="5BE9D99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“金额申购、份额赎回”原则，即申购以金额申请，赎回以份额申请；</w:t>
      </w:r>
    </w:p>
    <w:p w14:paraId="354E79A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当日的申购与赎回申请可以在基金管理人规定的时间以内撤销；</w:t>
      </w:r>
    </w:p>
    <w:p w14:paraId="1E9F0F0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4、赎回遵循“先进先出”原则，即按照投资人认购、申购的先后次序进行顺序赎回；</w:t>
      </w:r>
    </w:p>
    <w:p w14:paraId="570F90C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办理申购、赎回业务时，应当遵循基金份额持有人利益优先原则，确保投资者的合法权益不受损害并得到公平对待。</w:t>
      </w:r>
    </w:p>
    <w:p w14:paraId="0B32D07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3774C78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1616DBB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申购和赎回的申请方式</w:t>
      </w:r>
    </w:p>
    <w:p w14:paraId="05F796E8"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0665083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申购和赎回的款项支付</w:t>
      </w:r>
    </w:p>
    <w:p w14:paraId="6CF80555"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01F17D4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本基金合同有关条款处理。</w:t>
      </w:r>
    </w:p>
    <w:p w14:paraId="2860AA5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遇交易所或交易市场数据传输延迟、通讯系统故障、银行数据交换系统故障或其他非基金管理人及基金托管人所能控制的因素影响业务处理流程，则赎回款</w:t>
      </w:r>
      <w:r>
        <w:rPr>
          <w:rFonts w:ascii="宋体" w:hAnsi="宋体" w:cs="宋体"/>
          <w:kern w:val="0"/>
          <w:sz w:val="24"/>
          <w:szCs w:val="24"/>
        </w:rPr>
        <w:lastRenderedPageBreak/>
        <w:t>项顺延至上述情形消除后的下一个工作日划出。</w:t>
      </w:r>
    </w:p>
    <w:p w14:paraId="1F73D4B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39B4BD7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申购和赎回申请的确认</w:t>
      </w:r>
    </w:p>
    <w:p w14:paraId="65D616A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6131333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378646D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355907C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338CAE1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基金管理人可以规定投资人首次申购和每次申购的最低金额以及每次赎回的最低份额，具体规定请参见招募说明书或相关公告。</w:t>
      </w:r>
    </w:p>
    <w:p w14:paraId="370097A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基金管理人可以规定投资人每个基金交易账户的最低基金份额余额，具体规定请参见招募说明书或相关公告。</w:t>
      </w:r>
    </w:p>
    <w:p w14:paraId="2CC6CAF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基金管理人可以规定单个投资人累计持有的基金份额上限，具体规定请参见招募说明书或相关公告。</w:t>
      </w:r>
    </w:p>
    <w:p w14:paraId="6164614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2F3F56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5、</w:t>
      </w:r>
      <w:r>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基金管理人可在法律法规允许的情况下，调整上述规定申购金额和赎回份额的数量限制或新增基金规模控制措施。基金管理人必须在调整实施前依照《信息披露办法》的有关规定在规定媒介上公告。</w:t>
      </w:r>
    </w:p>
    <w:p w14:paraId="441AFEE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申购和赎回的价格、费用及其用途</w:t>
      </w:r>
    </w:p>
    <w:p w14:paraId="5AB1FFD8"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1、本基金各类基金份额净值的计算，均保留到小数点后4位，小数点后第5位四舍五入，由此产生的收益或损失由基金财产承担。T日的各类基金份额净值在当天收市后计算，并根据基金合同的约定公告。</w:t>
      </w:r>
      <w:r>
        <w:rPr>
          <w:rFonts w:ascii="宋体" w:hAnsi="宋体" w:cs="宋体"/>
          <w:kern w:val="0"/>
          <w:sz w:val="24"/>
          <w:szCs w:val="24"/>
        </w:rPr>
        <w:t>遇特殊情况，</w:t>
      </w:r>
      <w:r>
        <w:rPr>
          <w:rFonts w:ascii="宋体" w:hAnsi="宋体" w:cs="宋体"/>
          <w:color w:val="000000"/>
          <w:kern w:val="0"/>
          <w:sz w:val="24"/>
          <w:szCs w:val="24"/>
        </w:rPr>
        <w:t>经履行适当程序</w:t>
      </w:r>
      <w:r>
        <w:rPr>
          <w:rFonts w:ascii="宋体" w:hAnsi="宋体" w:cs="宋体"/>
          <w:kern w:val="0"/>
          <w:sz w:val="24"/>
          <w:szCs w:val="24"/>
        </w:rPr>
        <w:t>，可以适当延迟计算或公告。</w:t>
      </w:r>
    </w:p>
    <w:p w14:paraId="79B0DB14"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本基金A类、C类基金份额将分别计算基金份额净值。</w:t>
      </w:r>
    </w:p>
    <w:p w14:paraId="10D197C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份额的计算及余额的处理方式：本基金申购份额的计算及余额的处理方式详见《招募说明书》。本基金的C类基金份额不收取申购费，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14:paraId="53B7D34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赎回金额的计算及处理方式：本基金赎回金额的计算及处理方式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14:paraId="4E322B6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4、A类基金份额的申购费用由申购A类基金份额的投资人承担，不列入基金财产。C类基金份额不收取申购费。</w:t>
      </w:r>
    </w:p>
    <w:p w14:paraId="75B806FA" w14:textId="77777777" w:rsidR="00C41073" w:rsidRDefault="006B1422">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p w14:paraId="2FF088A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本基金的申购费率、申购份额具体的计算方法、赎回费率、赎回金额具体的计算方法和收费方式由基金管理人根据基金合同的规定确定，并在招募说明</w:t>
      </w:r>
      <w:r>
        <w:rPr>
          <w:rFonts w:ascii="宋体" w:hAnsi="宋体" w:cs="宋体"/>
          <w:kern w:val="0"/>
          <w:sz w:val="24"/>
          <w:szCs w:val="24"/>
        </w:rPr>
        <w:lastRenderedPageBreak/>
        <w:t>书中列示。基金管理人可以在基金合同约定的范围内调整费率或收费方式，并最迟应于新的费率或收费方式实施日前依照《信息披露办法》的有关规定在规定媒介上公告。</w:t>
      </w:r>
    </w:p>
    <w:p w14:paraId="39B639D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1ED6C80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30C467D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拒绝或暂停申购的情形</w:t>
      </w:r>
    </w:p>
    <w:p w14:paraId="79D199BE"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发生下列情况时，基金管理人可拒绝或暂停接受投资人的申购申请：</w:t>
      </w:r>
    </w:p>
    <w:p w14:paraId="7904160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因不可抗力导致基金无法正常运作或者因不可抗力导致基金管理人无法接受投资人的申购申请。</w:t>
      </w:r>
    </w:p>
    <w:p w14:paraId="2CCD8B5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发生基金合同规定的暂停基金资产估值情况时，基金管理人可暂停接受投资人的申购申请。</w:t>
      </w:r>
    </w:p>
    <w:p w14:paraId="64686EF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1576B19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接受某笔或某些申购申请可能会影响或损害现有基金份额持有人利益时。</w:t>
      </w:r>
    </w:p>
    <w:p w14:paraId="05877A8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基金资产规模过大，使基金管理人无法找到合适的投资品种，或其他可能对基金业绩产生负面影响，或发生其他损害现有基金份额持有人利益的情形。</w:t>
      </w:r>
    </w:p>
    <w:p w14:paraId="39740E8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345EB64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14:paraId="3082813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8、基金管理人接受某笔或者某些申购申请有可能导致单一投资者持有基金</w:t>
      </w:r>
      <w:r>
        <w:rPr>
          <w:rStyle w:val="custom"/>
          <w:rFonts w:ascii="宋体" w:hAnsi="宋体" w:cs="宋体"/>
          <w:kern w:val="0"/>
          <w:sz w:val="24"/>
          <w:szCs w:val="24"/>
        </w:rPr>
        <w:lastRenderedPageBreak/>
        <w:t>份额的比例达到或者超过50%，或者变相规避50%集中度的情形。</w:t>
      </w:r>
    </w:p>
    <w:p w14:paraId="19A46EF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14:paraId="54415B2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10、指数编制机构或指数发布机构因异常情况使指数数据无法正常计算、计算错误或发布异常时。</w:t>
      </w:r>
    </w:p>
    <w:p w14:paraId="6A53098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法律法规规定或中国证监会认定的其他情形。</w:t>
      </w:r>
    </w:p>
    <w:p w14:paraId="0EA1BE37" w14:textId="77777777" w:rsidR="00C41073" w:rsidRDefault="006B1422">
      <w:pPr>
        <w:pStyle w:val="div"/>
        <w:widowControl/>
        <w:spacing w:line="360" w:lineRule="auto"/>
        <w:ind w:firstLine="480"/>
        <w:jc w:val="left"/>
        <w:rPr>
          <w:rFonts w:eastAsia="Times New Roman"/>
          <w:kern w:val="0"/>
          <w:sz w:val="24"/>
          <w:szCs w:val="24"/>
        </w:rPr>
      </w:pPr>
      <w:r>
        <w:rPr>
          <w:rStyle w:val="custom"/>
          <w:rFonts w:ascii="宋体" w:hAnsi="宋体" w:cs="宋体"/>
          <w:kern w:val="0"/>
          <w:sz w:val="24"/>
          <w:szCs w:val="24"/>
        </w:rPr>
        <w:t>发生除上述第4、7、8项暂停申购情形之一</w:t>
      </w:r>
      <w:r>
        <w:rPr>
          <w:rFonts w:ascii="宋体" w:hAnsi="宋体" w:cs="宋体"/>
          <w:kern w:val="0"/>
          <w:sz w:val="24"/>
          <w:szCs w:val="24"/>
        </w:rPr>
        <w:t>且基金管理人决定暂停接受投资人申购申请时，基金管理人应当根据有关规定在规定媒介上刊登暂停申购公告。如果投资人的申购申请被全部或部分拒绝的，被拒绝的申购款项将退还给投资人。</w:t>
      </w:r>
      <w:r>
        <w:rPr>
          <w:rStyle w:val="custom"/>
          <w:rFonts w:ascii="宋体" w:hAnsi="宋体" w:cs="宋体"/>
          <w:kern w:val="0"/>
          <w:sz w:val="24"/>
          <w:szCs w:val="24"/>
        </w:rPr>
        <w:t>在暂停申购的情况消除时，基金管理人应及时恢复申购业务的办理。</w:t>
      </w:r>
    </w:p>
    <w:p w14:paraId="6E0AF79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暂停赎回或延缓支付赎回款项的情形</w:t>
      </w:r>
    </w:p>
    <w:p w14:paraId="35C9D4E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发生下列情形时，基金管理人可暂停接受投资人的赎回申请或延缓支付赎回款项：</w:t>
      </w:r>
    </w:p>
    <w:p w14:paraId="1AFA0C8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因不可抗力导致基金管理人不能支付赎回款项。</w:t>
      </w:r>
    </w:p>
    <w:p w14:paraId="05BF194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发生基金合同规定的暂停基金资产估值情况时，基金管理人可暂停接受投资人的赎回申请或延缓支付赎回款项。</w:t>
      </w:r>
    </w:p>
    <w:p w14:paraId="0F3A16F5"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428F7E2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4、连续两个或两个以上开放日发生巨额赎回。</w:t>
      </w:r>
    </w:p>
    <w:p w14:paraId="15E6C2F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发生继续接受赎回申请将损害现有基金份额持有人利益的情形时，基金管理人可暂停接受基金份额持有人的赎回申请。</w:t>
      </w:r>
    </w:p>
    <w:p w14:paraId="50D2EED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4721E89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法律法规规定或中国证监会认定的其他情形。</w:t>
      </w:r>
    </w:p>
    <w:p w14:paraId="7AE539C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发生上述情形之一且基金管理人决定暂停赎回或延缓支付赎回款项时，基金管理人应在当日报中国证监会备案，已确认的赎回申请，基金管理人应足额支付；</w:t>
      </w:r>
      <w:r>
        <w:rPr>
          <w:rStyle w:val="custom"/>
          <w:rFonts w:ascii="宋体" w:hAnsi="宋体" w:cs="宋体"/>
          <w:kern w:val="0"/>
          <w:sz w:val="24"/>
          <w:szCs w:val="24"/>
        </w:rPr>
        <w:t>如暂时不能足额支付，应将可支付部分按单个账户申请量占申请总量的比例分配</w:t>
      </w:r>
      <w:r>
        <w:rPr>
          <w:rStyle w:val="custom"/>
          <w:rFonts w:ascii="宋体" w:hAnsi="宋体" w:cs="宋体"/>
          <w:kern w:val="0"/>
          <w:sz w:val="24"/>
          <w:szCs w:val="24"/>
        </w:rPr>
        <w:lastRenderedPageBreak/>
        <w:t>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46E58AD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巨额赎回的情形及处理方式</w:t>
      </w:r>
    </w:p>
    <w:p w14:paraId="6F0C18F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巨额赎回的认定</w:t>
      </w:r>
    </w:p>
    <w:p w14:paraId="3E26CB25"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714C1764"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2、巨额赎回的处理方式</w:t>
      </w:r>
    </w:p>
    <w:p w14:paraId="0F2A4613"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当基金出现巨额赎回时，基金管理人可以根据基金当时的资产组合状况决定全额赎回或部分延期赎回。</w:t>
      </w:r>
    </w:p>
    <w:p w14:paraId="63CF0C5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全额赎回：当基金管理人认为有能力支付投资人的全部赎回申请时，按正常赎回程序执行。</w:t>
      </w:r>
    </w:p>
    <w:p w14:paraId="191A0DE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p>
    <w:p w14:paraId="179305CC"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延期的赎回申请与下一开放日赎回申请一并处理，无优先权并以下一开放日的该类基金份额净值为基础计算赎回金额，以此类推，直到全部赎回为止。</w:t>
      </w:r>
    </w:p>
    <w:p w14:paraId="7E521828"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如投资人在提交赎回申请时未作明确选择，投资人未能赎回部分作自动延期赎回处理。</w:t>
      </w:r>
    </w:p>
    <w:p w14:paraId="2E75A77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bCs/>
          <w:kern w:val="0"/>
          <w:sz w:val="24"/>
          <w:szCs w:val="24"/>
        </w:rPr>
        <w:t>如发生单个开放日内单个基金份额持有人申请赎回的基金份额超过前一开放日的基金总份额的30%时，本基金管理人可以对该单个基金份额持有人超</w:t>
      </w:r>
      <w:r>
        <w:rPr>
          <w:rStyle w:val="custom"/>
          <w:rFonts w:ascii="宋体" w:hAnsi="宋体" w:cs="宋体"/>
          <w:bCs/>
          <w:kern w:val="0"/>
          <w:sz w:val="24"/>
          <w:szCs w:val="24"/>
        </w:rPr>
        <w:lastRenderedPageBreak/>
        <w:t>过30%比例的赎回申请实施延期办理。</w:t>
      </w:r>
    </w:p>
    <w:p w14:paraId="72A5B66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该单个基金份额持有人不超过30%比例的赎回申请，与当日其他赎回申请一起，按上述（1）、（2）方式处理。如下一开放日，该单一基金份额持有人剩余未赎回部分仍旧超出前一开放日基金总份额的30%时，继续按前述规则处理，直至该单一基金份额持有人单个开放日内申请赎回的基金份额占前一开放日基金总份额的比例低于30%。</w:t>
      </w:r>
    </w:p>
    <w:p w14:paraId="5A5450A8"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6FA72DF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B9A92D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3、巨额赎回的公告</w:t>
      </w:r>
    </w:p>
    <w:p w14:paraId="74008B6F"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14:paraId="53F2243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暂停申购或赎回的公告和重新开放申购或赎回的公告</w:t>
      </w:r>
    </w:p>
    <w:p w14:paraId="0B64852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发生上述暂停申购或赎回情况的，基金管理人应在规定期限内在规定媒介上刊登暂停公告。</w:t>
      </w:r>
    </w:p>
    <w:p w14:paraId="2A544EC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7F600C6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基金转换</w:t>
      </w:r>
    </w:p>
    <w:p w14:paraId="22C9986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AE862F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基金份额的转让</w:t>
      </w:r>
    </w:p>
    <w:p w14:paraId="302A46E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在法律法规允许且条件具备的情况下，且对基金份额持有人无实质性不利影</w:t>
      </w:r>
      <w:r>
        <w:rPr>
          <w:rFonts w:ascii="宋体" w:hAnsi="宋体" w:cs="宋体"/>
          <w:kern w:val="0"/>
          <w:sz w:val="24"/>
          <w:szCs w:val="24"/>
        </w:rPr>
        <w:lastRenderedPageBreak/>
        <w:t>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60EEA7D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基金的非交易过户</w:t>
      </w:r>
    </w:p>
    <w:p w14:paraId="3EAABFF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3793828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10280E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基金的转托管</w:t>
      </w:r>
    </w:p>
    <w:p w14:paraId="4818094A"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基金份额持有人可办理已持有基金份额在不同销售机构之间的转托管，基金销售机构可以按照规定的标准收取转托管费。</w:t>
      </w:r>
    </w:p>
    <w:p w14:paraId="5D2940E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定期定额投资计划</w:t>
      </w:r>
    </w:p>
    <w:p w14:paraId="12AB189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14:paraId="48DBF1D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基金份额的冻结和解冻</w:t>
      </w:r>
    </w:p>
    <w:p w14:paraId="38D97E6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0AD3F3B8"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14:paraId="00397E5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实施侧袋机制期间本基金的申购与赎回</w:t>
      </w:r>
    </w:p>
    <w:p w14:paraId="38B06E5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lastRenderedPageBreak/>
        <w:t>本基金实施侧袋机制的，本基金的申购和赎回安排详见招募说明书或相关公告。</w:t>
      </w:r>
    </w:p>
    <w:p w14:paraId="6385522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如相关法律法规允许基金管理人办理基金份额的质押业务或其他基金业务，基金管理人将制定和实施相应的业务规则。</w:t>
      </w:r>
    </w:p>
    <w:p w14:paraId="0CAC740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14:paraId="4EEC5203" w14:textId="77777777" w:rsidR="00C41073" w:rsidRDefault="006B1422">
      <w:pPr>
        <w:pStyle w:val="1"/>
        <w:spacing w:before="0" w:after="0"/>
        <w:jc w:val="center"/>
        <w:rPr>
          <w:rFonts w:ascii="Times New Roman"/>
          <w:color w:val="auto"/>
          <w:sz w:val="30"/>
        </w:rPr>
      </w:pPr>
      <w:bookmarkStart w:id="45" w:name="_Toc25600000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End w:id="45"/>
    </w:p>
    <w:p w14:paraId="5B1327A3" w14:textId="77777777" w:rsidR="00C41073" w:rsidRDefault="00C41073"/>
    <w:p w14:paraId="08E47D4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40A7815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751A7B7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名称：汇添富基金管理股份有限公司</w:t>
      </w:r>
    </w:p>
    <w:p w14:paraId="13FF644B" w14:textId="445503B6"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住所：</w:t>
      </w:r>
      <w:r w:rsidR="00315163" w:rsidRPr="00315163">
        <w:rPr>
          <w:rFonts w:ascii="宋体" w:hAnsi="宋体" w:cs="宋体" w:hint="eastAsia"/>
          <w:kern w:val="0"/>
          <w:sz w:val="24"/>
          <w:szCs w:val="24"/>
        </w:rPr>
        <w:t>上海市黄浦区外马路728号9楼</w:t>
      </w:r>
    </w:p>
    <w:p w14:paraId="47B73FA0" w14:textId="0C7C45CC"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法定代表人：</w:t>
      </w:r>
      <w:r w:rsidR="00315163" w:rsidRPr="00315163">
        <w:rPr>
          <w:rFonts w:ascii="宋体" w:hAnsi="宋体" w:cs="宋体" w:hint="eastAsia"/>
          <w:kern w:val="0"/>
          <w:sz w:val="24"/>
          <w:szCs w:val="24"/>
        </w:rPr>
        <w:t>鲁伟铭</w:t>
      </w:r>
    </w:p>
    <w:p w14:paraId="5C10C7AC"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设立日期：2005年2月3日</w:t>
      </w:r>
    </w:p>
    <w:p w14:paraId="0AC8F69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批准设立机关及批准设立文号：中国证监会证监基金字【2005】5号</w:t>
      </w:r>
    </w:p>
    <w:p w14:paraId="5AA7CD6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组织形式：股份有限公司</w:t>
      </w:r>
    </w:p>
    <w:p w14:paraId="7280A3A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注册资本：人民币132,724,224元</w:t>
      </w:r>
    </w:p>
    <w:p w14:paraId="4C12AAA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存续期限：持续经营</w:t>
      </w:r>
    </w:p>
    <w:p w14:paraId="032903F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5789B88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14:paraId="5979DE4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3352221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14:paraId="70F2985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25CAD5C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14:paraId="71776E6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14:paraId="0DD474F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14:paraId="2A96E22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796E7FC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14:paraId="1F29DDE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243389B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14:paraId="6837094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226C7DF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3728CF3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14:paraId="33A20EB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（13）在法律法规允许的前提下，为基金的利益依法为基金进行融资及转融通证券出借业务；</w:t>
      </w:r>
    </w:p>
    <w:p w14:paraId="6B1BD3A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14:paraId="2594997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14:paraId="50CF7F2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（16）在符合有关法律、法规的前提下，制订和调整有关基金认购、申购、赎回、转换、定期定额投资、转托管和非交易过户等业务规则；</w:t>
      </w:r>
    </w:p>
    <w:p w14:paraId="434E0C1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在法律法规和基金合同规定的范围内决定调整基金费率结构和收费方式；</w:t>
      </w:r>
    </w:p>
    <w:p w14:paraId="2432405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法律法规及中国证监会规定的和《基金合同》约定的其他权利。</w:t>
      </w:r>
    </w:p>
    <w:p w14:paraId="36DB4B1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15DC39A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w:t>
      </w:r>
      <w:r>
        <w:rPr>
          <w:rStyle w:val="custom"/>
          <w:rFonts w:ascii="宋体" w:hAnsi="宋体" w:cs="宋体"/>
          <w:kern w:val="0"/>
          <w:sz w:val="24"/>
          <w:szCs w:val="24"/>
        </w:rPr>
        <w:t>发售、</w:t>
      </w:r>
      <w:r>
        <w:rPr>
          <w:rFonts w:ascii="宋体" w:hAnsi="宋体" w:cs="宋体"/>
          <w:kern w:val="0"/>
          <w:sz w:val="24"/>
          <w:szCs w:val="24"/>
        </w:rPr>
        <w:t>申购、赎回和登记事宜；</w:t>
      </w:r>
    </w:p>
    <w:p w14:paraId="3C9D5B8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14:paraId="7BCDB81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14:paraId="1E1C26F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390FBF0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2C21301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除依据《基金法》、《基金合同》及其他有关规定外，不得利用基金财产为自己及任何第三人谋取利益，不得委托第三人运作基金财产；</w:t>
      </w:r>
    </w:p>
    <w:p w14:paraId="103E981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依法接受基金托管人的监督；</w:t>
      </w:r>
    </w:p>
    <w:p w14:paraId="4C5D1A2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w:t>
      </w:r>
      <w:r>
        <w:rPr>
          <w:rStyle w:val="custom"/>
          <w:rFonts w:ascii="宋体" w:hAnsi="宋体" w:cs="宋体"/>
          <w:kern w:val="0"/>
          <w:sz w:val="24"/>
          <w:szCs w:val="24"/>
        </w:rPr>
        <w:t>认购、</w:t>
      </w:r>
      <w:r>
        <w:rPr>
          <w:rFonts w:ascii="宋体" w:hAnsi="宋体" w:cs="宋体"/>
          <w:kern w:val="0"/>
          <w:sz w:val="24"/>
          <w:szCs w:val="24"/>
        </w:rPr>
        <w:t>申购、赎回和注销价格的方法符合《基金合同》等法律文件的规定，按有关规定计算并公告基金净值信息，确定基金份额申购、赎回的价格；</w:t>
      </w:r>
    </w:p>
    <w:p w14:paraId="2AC1DAD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14:paraId="69F4F6D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14:paraId="75AE91A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14:paraId="4516EE6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1BC43EA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52A5769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按规定受理申购与赎回申请，及时、足额支付赎回款项；</w:t>
      </w:r>
    </w:p>
    <w:p w14:paraId="30C2A55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364CEBF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40045C6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25901A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2BA14CA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66061BC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因违反《基金合同》导致基金财产的损失或损害基金份额持有人合法</w:t>
      </w:r>
      <w:r>
        <w:rPr>
          <w:rFonts w:ascii="宋体" w:hAnsi="宋体" w:cs="宋体"/>
          <w:kern w:val="0"/>
          <w:sz w:val="24"/>
          <w:szCs w:val="24"/>
        </w:rPr>
        <w:lastRenderedPageBreak/>
        <w:t>权益时，应当承担赔偿责任，其赔偿责任不因其退任而免除；</w:t>
      </w:r>
    </w:p>
    <w:p w14:paraId="136476D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14:paraId="1030C06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3951C0CD"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105E57B6" w14:textId="77777777" w:rsidR="00C41073" w:rsidRDefault="006B1422">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（24）</w:t>
      </w:r>
      <w:r>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基金管理人在募集期间未能达到基金的备案条件，《基金合同》不能生效，基金管理人承担全部募集费用，将已募集资金并加计银行同期活期存款利息在基金募集期结束后30日内退还基金认购人；</w:t>
      </w:r>
    </w:p>
    <w:p w14:paraId="0E578F6D"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14:paraId="502605D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建立并保存基金份额持有人名册；</w:t>
      </w:r>
    </w:p>
    <w:p w14:paraId="5DB9E5C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法律法规及中国证监会规定的和《基金合同》约定的其他义务。</w:t>
      </w:r>
    </w:p>
    <w:p w14:paraId="3FB0449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6843BA5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09501D2F"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名称：中国工商银行股份有限公司</w:t>
      </w:r>
    </w:p>
    <w:p w14:paraId="617C406E"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住所：北京市西城区复兴门内大街55号</w:t>
      </w:r>
    </w:p>
    <w:p w14:paraId="76C0AA2D"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Pr>
          <w:rFonts w:ascii="宋体" w:hAnsi="宋体" w:cs="宋体" w:hint="eastAsia"/>
          <w:kern w:val="0"/>
          <w:sz w:val="24"/>
          <w:szCs w:val="24"/>
        </w:rPr>
        <w:t>廖林</w:t>
      </w:r>
    </w:p>
    <w:p w14:paraId="584D87F7"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成立时间：1984年1月1日</w:t>
      </w:r>
    </w:p>
    <w:p w14:paraId="3166063E"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批准设立机关和批准设立文号：国务院《关于中国人民银行专门行使中央银行职能的决定》（国发[1983]146号）</w:t>
      </w:r>
    </w:p>
    <w:p w14:paraId="320A4780"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4F65BE35" w14:textId="168E4D12"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注册资本</w:t>
      </w:r>
      <w:bookmarkStart w:id="46" w:name="_GoBack"/>
      <w:bookmarkEnd w:id="46"/>
      <w:r>
        <w:rPr>
          <w:rFonts w:ascii="宋体" w:hAnsi="宋体" w:cs="宋体"/>
          <w:kern w:val="0"/>
          <w:sz w:val="24"/>
          <w:szCs w:val="24"/>
        </w:rPr>
        <w:t>：人民币</w:t>
      </w:r>
      <w:r w:rsidR="00AF246C" w:rsidRPr="00AF246C">
        <w:rPr>
          <w:rFonts w:ascii="宋体" w:hAnsi="宋体" w:cs="宋体"/>
          <w:kern w:val="0"/>
          <w:sz w:val="24"/>
          <w:szCs w:val="24"/>
        </w:rPr>
        <w:t>35,640,625.7089</w:t>
      </w:r>
      <w:r>
        <w:rPr>
          <w:rFonts w:ascii="宋体" w:hAnsi="宋体" w:cs="宋体"/>
          <w:color w:val="10000A"/>
          <w:kern w:val="0"/>
          <w:sz w:val="24"/>
          <w:szCs w:val="24"/>
        </w:rPr>
        <w:t>万</w:t>
      </w:r>
      <w:r>
        <w:rPr>
          <w:rFonts w:ascii="宋体" w:hAnsi="宋体" w:cs="宋体"/>
          <w:kern w:val="0"/>
          <w:sz w:val="24"/>
          <w:szCs w:val="24"/>
        </w:rPr>
        <w:t>元</w:t>
      </w:r>
    </w:p>
    <w:p w14:paraId="0D3EE6C0"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41271204"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基金托管资格批文及文号：中国证监会和中国人民银行证监基字【</w:t>
      </w:r>
      <w:r>
        <w:rPr>
          <w:rFonts w:eastAsia="Times New Roman"/>
          <w:kern w:val="0"/>
          <w:sz w:val="24"/>
          <w:szCs w:val="24"/>
        </w:rPr>
        <w:t>1998</w:t>
      </w:r>
      <w:r>
        <w:rPr>
          <w:rFonts w:ascii="宋体" w:hAnsi="宋体" w:cs="宋体"/>
          <w:kern w:val="0"/>
          <w:sz w:val="24"/>
          <w:szCs w:val="24"/>
        </w:rPr>
        <w:t>】</w:t>
      </w:r>
      <w:r>
        <w:rPr>
          <w:rFonts w:eastAsia="Times New Roman"/>
          <w:kern w:val="0"/>
          <w:sz w:val="24"/>
          <w:szCs w:val="24"/>
        </w:rPr>
        <w:t>3</w:t>
      </w:r>
      <w:r>
        <w:rPr>
          <w:rFonts w:ascii="宋体" w:hAnsi="宋体" w:cs="宋体"/>
          <w:kern w:val="0"/>
          <w:sz w:val="24"/>
          <w:szCs w:val="24"/>
        </w:rPr>
        <w:t>号</w:t>
      </w:r>
    </w:p>
    <w:p w14:paraId="12EAFB1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基金托管人的权利与义务</w:t>
      </w:r>
    </w:p>
    <w:p w14:paraId="5BB09BA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根据《基金法》、《运作办法》及其他有关规定，基金托管人的权利包</w:t>
      </w:r>
      <w:r>
        <w:rPr>
          <w:rFonts w:ascii="宋体" w:hAnsi="宋体" w:cs="宋体"/>
          <w:kern w:val="0"/>
          <w:sz w:val="24"/>
          <w:szCs w:val="24"/>
        </w:rPr>
        <w:lastRenderedPageBreak/>
        <w:t>括但不限于：</w:t>
      </w:r>
    </w:p>
    <w:p w14:paraId="2150CCE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自《基金合同》生效之日起，依法律法规和《基金合同》的规定安全保管基金财产；</w:t>
      </w:r>
    </w:p>
    <w:p w14:paraId="33D2B03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14:paraId="34BDE03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4FF32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w:t>
      </w:r>
      <w:r>
        <w:rPr>
          <w:rStyle w:val="custom"/>
          <w:rFonts w:ascii="宋体" w:hAnsi="宋体" w:cs="宋体" w:hint="eastAsia"/>
          <w:kern w:val="0"/>
          <w:sz w:val="24"/>
          <w:szCs w:val="24"/>
        </w:rPr>
        <w:t>、</w:t>
      </w:r>
      <w:r>
        <w:rPr>
          <w:rStyle w:val="custom"/>
          <w:rFonts w:ascii="宋体" w:hAnsi="宋体" w:cs="宋体"/>
          <w:kern w:val="0"/>
          <w:sz w:val="24"/>
          <w:szCs w:val="24"/>
        </w:rPr>
        <w:t>证券</w:t>
      </w:r>
      <w:r>
        <w:rPr>
          <w:rStyle w:val="custom"/>
          <w:rFonts w:ascii="宋体" w:hAnsi="宋体" w:cs="宋体"/>
          <w:sz w:val="24"/>
          <w:szCs w:val="24"/>
        </w:rPr>
        <w:t>账户</w:t>
      </w:r>
      <w:r>
        <w:rPr>
          <w:rStyle w:val="custom"/>
          <w:rFonts w:ascii="宋体" w:hAnsi="宋体" w:cs="宋体" w:hint="eastAsia"/>
          <w:sz w:val="24"/>
          <w:szCs w:val="24"/>
        </w:rPr>
        <w:t>和期货账户</w:t>
      </w:r>
      <w:r>
        <w:rPr>
          <w:rStyle w:val="custom"/>
          <w:rFonts w:ascii="宋体" w:hAnsi="宋体" w:cs="宋体"/>
          <w:kern w:val="0"/>
          <w:sz w:val="24"/>
          <w:szCs w:val="24"/>
        </w:rPr>
        <w:t>等投资所需账户，为基金办理证券、期货交易资金清算；</w:t>
      </w:r>
    </w:p>
    <w:p w14:paraId="5D2FF01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14:paraId="131A82C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14:paraId="7B18507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法律法规及中国证监会规定的和《基金合同》约定的其他权利。</w:t>
      </w:r>
    </w:p>
    <w:p w14:paraId="6ED3608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3E2A4A7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14:paraId="7778B9E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6D81F0D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D0090D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09C0646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34D8083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w:t>
      </w:r>
      <w:r>
        <w:rPr>
          <w:rFonts w:ascii="宋体" w:hAnsi="宋体" w:cs="宋体" w:hint="eastAsia"/>
          <w:kern w:val="0"/>
          <w:sz w:val="24"/>
          <w:szCs w:val="24"/>
        </w:rPr>
        <w:t>、</w:t>
      </w:r>
      <w:r>
        <w:rPr>
          <w:rFonts w:ascii="宋体" w:hAnsi="宋体" w:cs="宋体"/>
          <w:kern w:val="0"/>
          <w:sz w:val="24"/>
          <w:szCs w:val="24"/>
        </w:rPr>
        <w:t>证券</w:t>
      </w:r>
      <w:r>
        <w:rPr>
          <w:rStyle w:val="custom"/>
          <w:rFonts w:ascii="宋体" w:hAnsi="宋体" w:cs="宋体"/>
          <w:sz w:val="24"/>
          <w:szCs w:val="24"/>
        </w:rPr>
        <w:t>账户</w:t>
      </w:r>
      <w:r>
        <w:rPr>
          <w:rFonts w:ascii="宋体" w:hAnsi="宋体" w:cs="宋体"/>
          <w:sz w:val="24"/>
          <w:szCs w:val="24"/>
        </w:rPr>
        <w:t>和期货账户</w:t>
      </w:r>
      <w:r>
        <w:rPr>
          <w:rFonts w:ascii="宋体" w:hAnsi="宋体" w:cs="宋体"/>
          <w:kern w:val="0"/>
          <w:sz w:val="24"/>
          <w:szCs w:val="24"/>
        </w:rPr>
        <w:t>等投资所需账户，按照《基金合同》的约定，根据基金管理人的投资指令，及时办理清算、交割事宜；</w:t>
      </w:r>
    </w:p>
    <w:p w14:paraId="5EC05FE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w:t>
      </w:r>
      <w:r>
        <w:rPr>
          <w:rFonts w:ascii="宋体" w:hAnsi="宋体" w:cs="宋体"/>
          <w:kern w:val="0"/>
          <w:sz w:val="24"/>
          <w:szCs w:val="24"/>
        </w:rPr>
        <w:lastRenderedPageBreak/>
        <w:t>有规定外，在基金信息公开披露前予以保密，不得向他人泄露，但应监管机构、司法机关等有权机关的要求，或因审计、法律等外部专业顾问提供服务需要提供的情况除外；</w:t>
      </w:r>
    </w:p>
    <w:p w14:paraId="152B072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复核、审查基金管理人计算的基金资产净值、</w:t>
      </w:r>
      <w:r>
        <w:rPr>
          <w:rStyle w:val="custom"/>
          <w:rFonts w:ascii="宋体" w:hAnsi="宋体" w:cs="宋体"/>
          <w:kern w:val="0"/>
          <w:sz w:val="24"/>
          <w:szCs w:val="24"/>
        </w:rPr>
        <w:t>各类</w:t>
      </w:r>
      <w:r>
        <w:rPr>
          <w:rFonts w:ascii="宋体" w:hAnsi="宋体" w:cs="宋体"/>
          <w:kern w:val="0"/>
          <w:sz w:val="24"/>
          <w:szCs w:val="24"/>
        </w:rPr>
        <w:t>基金份额净值、基金份额申购、赎回价格；</w:t>
      </w:r>
    </w:p>
    <w:p w14:paraId="2EBEBA9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14:paraId="6608EEA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FB82E3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保存基金托管业务活动的记录、账册、报表和其他相关资料不少于法定最低期限；</w:t>
      </w:r>
    </w:p>
    <w:p w14:paraId="57D1107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建立并保存基金份额持有人名册；</w:t>
      </w:r>
    </w:p>
    <w:p w14:paraId="0A71E9C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14:paraId="4F21EF0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依据基金管理人的指令或有关规定向基金份额持有人支付基金收益和赎回款项；</w:t>
      </w:r>
    </w:p>
    <w:p w14:paraId="63DCA04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21FEE7B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4B0B47D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0ACFFB7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（18）面临解散、依法被撤销或者被依法宣告破产时，及时报告中国证监会和银行业监督管理机构，并通知基金管理人；</w:t>
      </w:r>
    </w:p>
    <w:p w14:paraId="67EDECF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2DA80A6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22A31ED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执行生效的基金份额持有人大会的决议；</w:t>
      </w:r>
    </w:p>
    <w:p w14:paraId="66E3757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（22）</w:t>
      </w:r>
      <w:r>
        <w:rPr>
          <w:rFonts w:ascii="宋体" w:hAnsi="宋体" w:cs="宋体"/>
          <w:kern w:val="0"/>
          <w:sz w:val="24"/>
          <w:szCs w:val="24"/>
        </w:rPr>
        <w:t>法律法规及中国证监会规定的和《基金合同》约定的其他义务。</w:t>
      </w:r>
    </w:p>
    <w:p w14:paraId="3F1D97F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基金份额持有人</w:t>
      </w:r>
    </w:p>
    <w:p w14:paraId="6D5BBAB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317E6F5"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同一类别内每份基金份额具有同等的合法权益。</w:t>
      </w:r>
    </w:p>
    <w:p w14:paraId="7704406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7927DC4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分享基金财产收益；</w:t>
      </w:r>
    </w:p>
    <w:p w14:paraId="093A6B6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参与分配清算后的剩余基金财产；</w:t>
      </w:r>
    </w:p>
    <w:p w14:paraId="21383A7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依法转让或者申请赎回其持有的基金份额；</w:t>
      </w:r>
    </w:p>
    <w:p w14:paraId="0528E45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按照规定要求召开基金份额持有人大会或者召集基金份额持有人大会；</w:t>
      </w:r>
    </w:p>
    <w:p w14:paraId="0CCBCA8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出席或者委派代表出席基金份额持有人大会，对基金份额持有人大会审议事项行使表决权；</w:t>
      </w:r>
    </w:p>
    <w:p w14:paraId="01253B0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查阅或者复制公开披露的基金信息资料；</w:t>
      </w:r>
    </w:p>
    <w:p w14:paraId="0C55D51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监督基金管理人的投资运作；</w:t>
      </w:r>
    </w:p>
    <w:p w14:paraId="53DD3FA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对基金管理人、基金托管人、基金服务机构损害其合法权益的行为依法提起诉讼或仲裁；</w:t>
      </w:r>
    </w:p>
    <w:p w14:paraId="69E0D78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法律法规及中国证监会规定的和《基金合同》约定的其他权利。</w:t>
      </w:r>
    </w:p>
    <w:p w14:paraId="71B8579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4804182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601ED50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19E0218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14:paraId="4671F3C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交纳基金</w:t>
      </w:r>
      <w:r>
        <w:rPr>
          <w:rStyle w:val="custom"/>
          <w:rFonts w:ascii="宋体" w:hAnsi="宋体" w:cs="宋体"/>
          <w:kern w:val="0"/>
          <w:sz w:val="24"/>
          <w:szCs w:val="24"/>
        </w:rPr>
        <w:t>认购、</w:t>
      </w:r>
      <w:r>
        <w:rPr>
          <w:rFonts w:ascii="宋体" w:hAnsi="宋体" w:cs="宋体"/>
          <w:kern w:val="0"/>
          <w:sz w:val="24"/>
          <w:szCs w:val="24"/>
        </w:rPr>
        <w:t>申购款项及法律法规和《基金合同》所规定的费用；</w:t>
      </w:r>
    </w:p>
    <w:p w14:paraId="1CA30A8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在其持有的基金份额范围内，承担基金亏损或者《基金合同》终止的有限责任；</w:t>
      </w:r>
    </w:p>
    <w:p w14:paraId="35D82EC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不从事任何有损基金及其他《基金合同》当事人合法权益的活动；</w:t>
      </w:r>
    </w:p>
    <w:p w14:paraId="4186FED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执行生效的基金份额持有人大会的决议；</w:t>
      </w:r>
    </w:p>
    <w:p w14:paraId="72EBCF6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14:paraId="5B7FA27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14:paraId="4A87999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遵守基金管理人、基金托管人、销售机构和登记机构的相关交易及业务规则；</w:t>
      </w:r>
    </w:p>
    <w:p w14:paraId="4F1C668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0F967B73" w14:textId="77777777" w:rsidR="00C41073" w:rsidRDefault="006B1422">
      <w:pPr>
        <w:pStyle w:val="1"/>
        <w:spacing w:before="0" w:after="0"/>
        <w:jc w:val="center"/>
        <w:rPr>
          <w:rFonts w:ascii="Times New Roman"/>
          <w:color w:val="auto"/>
          <w:sz w:val="30"/>
        </w:rPr>
      </w:pPr>
      <w:bookmarkStart w:id="47" w:name="_Toc25600000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47"/>
    </w:p>
    <w:p w14:paraId="1B0AB0EA" w14:textId="77777777" w:rsidR="00C41073" w:rsidRDefault="00C41073"/>
    <w:p w14:paraId="0431B51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01FCC9B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本基金份额持有人大会不设日常机构。</w:t>
      </w:r>
    </w:p>
    <w:p w14:paraId="59D21D5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召开事由</w:t>
      </w:r>
    </w:p>
    <w:p w14:paraId="6CBD23A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当出现或需要决定下列事由之一的，应当召开基金份额持有人大会，法律法规、中国证监会另有规定或基金合同另有约定的除外：</w:t>
      </w:r>
    </w:p>
    <w:p w14:paraId="2F0D5DE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14:paraId="2ED7AB8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14:paraId="22DB25C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更换基金托管人；</w:t>
      </w:r>
    </w:p>
    <w:p w14:paraId="4C44A8F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（4）转换基金运作方式；</w:t>
      </w:r>
    </w:p>
    <w:p w14:paraId="0113FB7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（5）调整基金管理人、基金托管人的报酬标准或提高销售服务费率；</w:t>
      </w:r>
    </w:p>
    <w:p w14:paraId="76A3640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14:paraId="7541C2F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14:paraId="76E1D30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14:paraId="506A78A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14:paraId="1FA3A44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63E1995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14:paraId="60C5B51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1BC11C8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法律法规、《基金合同》或中国证监会规定的其他应当召开基金份额持有人大会的事项。</w:t>
      </w:r>
    </w:p>
    <w:p w14:paraId="5A714E5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47D69EB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法律法规要求增加的基金费用的收取；</w:t>
      </w:r>
    </w:p>
    <w:p w14:paraId="0F93C72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（2）调整本基金的申购费率、调低销售服务费率或变更收费方式；</w:t>
      </w:r>
    </w:p>
    <w:p w14:paraId="334BA92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sz w:val="24"/>
          <w:szCs w:val="24"/>
        </w:rPr>
        <w:t>停止现有基金份额类别的销售或者</w:t>
      </w:r>
      <w:r>
        <w:rPr>
          <w:rFonts w:ascii="宋体" w:hAnsi="宋体" w:cs="宋体"/>
          <w:kern w:val="0"/>
          <w:sz w:val="24"/>
          <w:szCs w:val="24"/>
        </w:rPr>
        <w:t>增加、减少或调整基金份额类别设置或者调整基金份额分类办法及规则等；</w:t>
      </w:r>
    </w:p>
    <w:p w14:paraId="78A5781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（4）因相应的法律法规发生变动而应当对《基金合同》进行修改；</w:t>
      </w:r>
    </w:p>
    <w:p w14:paraId="7EFDD1C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（5）基金管理人和基金登记机构等调整或修改《业务规则》，包括但不限于有关基金认购、申购、赎回、转换、非交易过户、转托管等内容；</w:t>
      </w:r>
    </w:p>
    <w:p w14:paraId="6A6629E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对《基金合同》的修改对基金份额持有人利益无实质性不利影响或修改不涉及《基金合同》当事人权利义务关系发生重大变化；</w:t>
      </w:r>
    </w:p>
    <w:p w14:paraId="6C62053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hint="eastAsia"/>
          <w:sz w:val="24"/>
          <w:szCs w:val="24"/>
        </w:rPr>
        <w:t>在履行适当程序后</w:t>
      </w:r>
      <w:r>
        <w:rPr>
          <w:rFonts w:ascii="宋体" w:hAnsi="宋体" w:cs="宋体"/>
          <w:kern w:val="0"/>
          <w:sz w:val="24"/>
          <w:szCs w:val="24"/>
        </w:rPr>
        <w:t>基金推出新业务或服务；</w:t>
      </w:r>
    </w:p>
    <w:p w14:paraId="076FE73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基金管理人调整基金收益分配原则；</w:t>
      </w:r>
    </w:p>
    <w:p w14:paraId="6B057B0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（9）若本基金管理人同时管理同一标的指数的交易型开放式指数基金（ETF），履行适当程序后本基金可采取ETF联接基金模式并相应修改《基金合同》；</w:t>
      </w:r>
    </w:p>
    <w:p w14:paraId="4C4E6E4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按照法律法规和《基金合同》规定不需召开基金份额持有人大会的其他情形。</w:t>
      </w:r>
    </w:p>
    <w:p w14:paraId="77EA4C0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会议召集人及召集方式</w:t>
      </w:r>
    </w:p>
    <w:p w14:paraId="72736A0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除法律法规规定或《基金合同》另有约定外，基金份额持有人大会由基金管理人召集。</w:t>
      </w:r>
    </w:p>
    <w:p w14:paraId="50B7857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基金管理人未按规定召集或不能召集时，由基金托管人召集。</w:t>
      </w:r>
    </w:p>
    <w:p w14:paraId="2B87972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BBF394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w:t>
      </w:r>
      <w:r>
        <w:rPr>
          <w:rFonts w:ascii="宋体" w:hAnsi="宋体" w:cs="宋体"/>
          <w:kern w:val="0"/>
          <w:sz w:val="24"/>
          <w:szCs w:val="24"/>
        </w:rPr>
        <w:lastRenderedPageBreak/>
        <w:t>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204CE1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D62B01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基金份额持有人会议的召集人负责选择确定开会时间、地点、方式和权益登记日。</w:t>
      </w:r>
    </w:p>
    <w:p w14:paraId="5E09CEC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召开基金份额持有人大会的通知时间、通知内容、通知方式</w:t>
      </w:r>
    </w:p>
    <w:p w14:paraId="394F58A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召开基金份额持有人大会，召集人应于会议召开前30日，在规定媒介公告。基金份额持有人大会通知应至少载明以下内容：</w:t>
      </w:r>
    </w:p>
    <w:p w14:paraId="3408D1C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会议召开的时间、地点和会议形式；</w:t>
      </w:r>
    </w:p>
    <w:p w14:paraId="5164108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会议拟审议的事项、议事程序和表决方式；</w:t>
      </w:r>
    </w:p>
    <w:p w14:paraId="06DB4AC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有权出席基金份额持有人大会的基金份额持有人的权益登记日；</w:t>
      </w:r>
    </w:p>
    <w:p w14:paraId="25D0D3E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授权委托证明的内容要求（包括但不限于代理人身份，代理权限和代理有效期限等）、送达时间和地点；</w:t>
      </w:r>
    </w:p>
    <w:p w14:paraId="575DA79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会务常设联系人姓名及联系电话；</w:t>
      </w:r>
    </w:p>
    <w:p w14:paraId="3EF457C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出席会议者必须准备的文件和必须履行的手续；</w:t>
      </w:r>
    </w:p>
    <w:p w14:paraId="3ED83F0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召集人需要通知的其他事项。</w:t>
      </w:r>
    </w:p>
    <w:p w14:paraId="08F742F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0D1D46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rFonts w:ascii="宋体" w:hAnsi="宋体" w:cs="宋体"/>
          <w:kern w:val="0"/>
          <w:sz w:val="24"/>
          <w:szCs w:val="24"/>
        </w:rPr>
        <w:lastRenderedPageBreak/>
        <w:t>管理人或基金托管人拒不派代表对表决意见的计票进行监督的，不影响表决意见的计票效力。</w:t>
      </w:r>
    </w:p>
    <w:p w14:paraId="5CCD595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基金份额持有人出席会议的方式</w:t>
      </w:r>
    </w:p>
    <w:p w14:paraId="4CEA339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4FCA8D9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8A689E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8048D8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1B53EA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2130FCE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在同时符合以下条件时，通讯开会的方式视为有效：</w:t>
      </w:r>
    </w:p>
    <w:p w14:paraId="6F64311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会议召集人按《基金合同》约定公布会议通知后，在2个工作日内连续公布相关提示性公告；</w:t>
      </w:r>
    </w:p>
    <w:p w14:paraId="71BD4A0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w:t>
      </w:r>
      <w:r>
        <w:rPr>
          <w:rFonts w:ascii="宋体" w:hAnsi="宋体" w:cs="宋体"/>
          <w:kern w:val="0"/>
          <w:sz w:val="24"/>
          <w:szCs w:val="24"/>
        </w:rPr>
        <w:lastRenderedPageBreak/>
        <w:t>照会议通知规定的方式收取基金份额持有人的书面表决意见；基金托管人或基金管理人经通知不参加收取书面表决意见的，不影响表决效力；</w:t>
      </w:r>
    </w:p>
    <w:p w14:paraId="05CCD6D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1E59CA4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5B28C3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5DB911A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议事内容与程序</w:t>
      </w:r>
    </w:p>
    <w:p w14:paraId="1FE8575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议事内容及提案权</w:t>
      </w:r>
    </w:p>
    <w:p w14:paraId="2F6B8C9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BFDF4A5"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689F2BB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3D5CFA2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议事程序</w:t>
      </w:r>
    </w:p>
    <w:p w14:paraId="32F5688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0BB721D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0B9ADE9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4F59653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338D21E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485AB83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表决</w:t>
      </w:r>
    </w:p>
    <w:p w14:paraId="5B5913C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基金份额持有人所持每份基金份额有一票表决权。</w:t>
      </w:r>
    </w:p>
    <w:p w14:paraId="0357B8CC"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基金份额持有人大会决议分为一般决议和特别决议：</w:t>
      </w:r>
    </w:p>
    <w:p w14:paraId="575909E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DDCD72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特别决议，特别决议应当经参加大会的基金份额持有人或其代理人所持表决权的三分之二以上（含三分之二）通过方可做出。</w:t>
      </w:r>
    </w:p>
    <w:p w14:paraId="6C37BC67"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除《基金合同》另有约定外，转换基金运作方式、更换基金管理人或者基金托管人、终止《基金合同》、本基金与其他基金合并以特别决议通过方为有效。</w:t>
      </w:r>
    </w:p>
    <w:p w14:paraId="31439A3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基金份额持有人大会采取记名方式进行投票表决。</w:t>
      </w:r>
    </w:p>
    <w:p w14:paraId="097F8E3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Pr>
          <w:rFonts w:ascii="宋体" w:hAnsi="宋体" w:cs="宋体"/>
          <w:kern w:val="0"/>
          <w:sz w:val="24"/>
          <w:szCs w:val="24"/>
        </w:rPr>
        <w:lastRenderedPageBreak/>
        <w:t>的视为弃权表决，但应当计入出具书面意见的基金份额持有人所代表的基金份额总数。</w:t>
      </w:r>
    </w:p>
    <w:p w14:paraId="7D7EA458"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7E73CD2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计票</w:t>
      </w:r>
    </w:p>
    <w:p w14:paraId="3B928E3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0066924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7A05528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监票人应当在基金份额持有人表决后立即进行清点并由大会主持人当场公布计票结果。</w:t>
      </w:r>
    </w:p>
    <w:p w14:paraId="393CD8F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6E5D748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计票过程应由公证机关予以公证，基金管理人或基金托管人拒不出席大会的，不影响计票的效力。</w:t>
      </w:r>
    </w:p>
    <w:p w14:paraId="124CE46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2AE2BFC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7E2E00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生效与公告</w:t>
      </w:r>
    </w:p>
    <w:p w14:paraId="35BA082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3CD760D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基金份额持有人大会的决议自表决通过之日起生效。</w:t>
      </w:r>
    </w:p>
    <w:p w14:paraId="2DAAD31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0D7057D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29E7C2E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实施侧袋机制期间基金份额持有人大会的特殊约定</w:t>
      </w:r>
    </w:p>
    <w:p w14:paraId="3B2DF1CA"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CA1973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基金份额持有人行使提议权、召集权、提名权所需单独或合计代表相关基金份额10%以上（含10%）；</w:t>
      </w:r>
    </w:p>
    <w:p w14:paraId="0E33FC9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现场开会的到会者在权益登记日代表的基金份额不少于本基金在权益登记日相关基金份额的二分之一（含二分之一）；</w:t>
      </w:r>
    </w:p>
    <w:p w14:paraId="7B6E096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通讯开会的直接出具书面意见或授权他人代表出具书面意见的基金份额持有人所持有的基金份额不小于在权益登记日相关基金份额的二分之一（含二分之一）；</w:t>
      </w:r>
    </w:p>
    <w:p w14:paraId="476B27A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4DE1CD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现场开会由出席大会的基金份额持有人和代理人所持表决权的50%以上（含50%）选举产生一名基金份额持有人作为该次基金份额持有人大会的主持人；</w:t>
      </w:r>
    </w:p>
    <w:p w14:paraId="0805741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一般决议须经参加大会的基金份额持有人或其代理人所持表决权的二分之一以上（含二分之一）通过；</w:t>
      </w:r>
    </w:p>
    <w:p w14:paraId="5444813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特别决议应当经参加大会的基金份额持有人或其代理人所持表决权的三</w:t>
      </w:r>
      <w:r>
        <w:rPr>
          <w:rFonts w:ascii="宋体" w:hAnsi="宋体" w:cs="宋体"/>
          <w:kern w:val="0"/>
          <w:sz w:val="24"/>
          <w:szCs w:val="24"/>
        </w:rPr>
        <w:lastRenderedPageBreak/>
        <w:t>分之二以上（含三分之二）通过。</w:t>
      </w:r>
    </w:p>
    <w:p w14:paraId="631EA89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同一主侧袋账户内的每份基金份额具有平等的表决权。</w:t>
      </w:r>
    </w:p>
    <w:p w14:paraId="2A35D7B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宋体" w:hAnsi="宋体" w:cs="宋体"/>
          <w:kern w:val="0"/>
          <w:sz w:val="24"/>
          <w:szCs w:val="24"/>
        </w:rPr>
        <w:br w:type="page"/>
      </w:r>
    </w:p>
    <w:p w14:paraId="6EA11F74" w14:textId="77777777" w:rsidR="00C41073" w:rsidRDefault="006B1422">
      <w:pPr>
        <w:pStyle w:val="1"/>
        <w:spacing w:before="0" w:after="0"/>
        <w:jc w:val="center"/>
        <w:rPr>
          <w:rFonts w:ascii="Times New Roman"/>
          <w:color w:val="auto"/>
          <w:sz w:val="30"/>
        </w:rPr>
      </w:pPr>
      <w:bookmarkStart w:id="48" w:name="_Toc25600000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48"/>
    </w:p>
    <w:p w14:paraId="3640AA24" w14:textId="77777777" w:rsidR="00C41073" w:rsidRDefault="00C41073"/>
    <w:p w14:paraId="69CBEA7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基金管理人和基金托管人职责终止的情形</w:t>
      </w:r>
    </w:p>
    <w:p w14:paraId="4EEDAFD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基金管理人职责终止的情形</w:t>
      </w:r>
    </w:p>
    <w:p w14:paraId="0F7FAD3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有下列情形之一的，基金管理人职责终止：</w:t>
      </w:r>
    </w:p>
    <w:p w14:paraId="3023DB5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被依法取消基金管理资格；</w:t>
      </w:r>
    </w:p>
    <w:p w14:paraId="6AA338D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12C8FAA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4343E0D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1E1620C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基金托管人职责终止的情形</w:t>
      </w:r>
    </w:p>
    <w:p w14:paraId="51F354DE"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有下列情形之一的，基金托管人职责终止：</w:t>
      </w:r>
    </w:p>
    <w:p w14:paraId="7F0BB0C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被依法取消基金托管资格；</w:t>
      </w:r>
    </w:p>
    <w:p w14:paraId="7E8A6E6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1FB96B3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2752C6B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2D9E3AF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基金管理人和基金托管人的更换程序</w:t>
      </w:r>
    </w:p>
    <w:p w14:paraId="2A49D3F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基金管理人的更换程序</w:t>
      </w:r>
    </w:p>
    <w:p w14:paraId="6D54FB8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提名：新任基金管理人由基金托管人或由单独或合计持有10%以上（含10%）基金份额的基金份额持有人提名；</w:t>
      </w:r>
    </w:p>
    <w:p w14:paraId="7042333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36B4E38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临时基金管理人：新任基金管理人产生之前，由中国证监会指定临时基金管理人；</w:t>
      </w:r>
    </w:p>
    <w:p w14:paraId="548ABF8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备案：基金份额持有人大会更换基金管理人的决议须报中国证监会备案；</w:t>
      </w:r>
    </w:p>
    <w:p w14:paraId="69E2DBC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公告：基金管理人更换后，由基金托管人在更换基金管理人的基金份额持有人大会决议生效后2日内在规定媒介公告；</w:t>
      </w:r>
    </w:p>
    <w:p w14:paraId="3F159E6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交接：基金管理人职责终止的，基金管理人应妥善保管基金管理业务资料，及时向临时基金管理人或新任基金管理人办理基金管理业务的移交手续，临</w:t>
      </w:r>
      <w:r>
        <w:rPr>
          <w:rFonts w:ascii="宋体" w:hAnsi="宋体" w:cs="宋体"/>
          <w:kern w:val="0"/>
          <w:sz w:val="24"/>
          <w:szCs w:val="24"/>
        </w:rPr>
        <w:lastRenderedPageBreak/>
        <w:t>时基金管理人或新任基金管理人应及时接收。临时基金管理人或新任基金管理人应与基金托管人核对基金资产总值和基金资产净值；</w:t>
      </w:r>
    </w:p>
    <w:p w14:paraId="3B69E79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68E5C14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基金名称变更：基金管理人更换后，如果原任或新任基金管理人要求，应按其要求替换或删除基金名称中与原任基金管理人有关的名称字样。</w:t>
      </w:r>
    </w:p>
    <w:p w14:paraId="51358B1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基金托管人的更换程序</w:t>
      </w:r>
    </w:p>
    <w:p w14:paraId="0E254B8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提名：新任基金托管人由基金管理人或由单独或合计持有10%以上（含10%）基金份额的基金份额持有人提名；</w:t>
      </w:r>
    </w:p>
    <w:p w14:paraId="47CEEB3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8222B7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临时基金托管人：新任基金托管人产生之前，由中国证监会指定临时基金托管人；</w:t>
      </w:r>
    </w:p>
    <w:p w14:paraId="01E96A1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备案：基金份额持有人大会更换基金托管人的决议须报中国证监会备案；</w:t>
      </w:r>
    </w:p>
    <w:p w14:paraId="7296C3B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公告：基金托管人更换后，由基金管理人在更换基金托管人的基金份额持有人大会决议生效后2日内在规定媒介公告；</w:t>
      </w:r>
    </w:p>
    <w:p w14:paraId="1CE071B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基金资产净值；</w:t>
      </w:r>
    </w:p>
    <w:p w14:paraId="6977900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2ADC99B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基金管理人与基金托管人同时更换的条件和程序</w:t>
      </w:r>
    </w:p>
    <w:p w14:paraId="6C018DB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提名：如果基金管理人和基金托管人同时更换，由单独或合计持有基金总份额10%以上（含10%）的基金份额持有人提名新的基金管理人和基金托管人；</w:t>
      </w:r>
    </w:p>
    <w:p w14:paraId="12A5B07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基金管理人和基金托管人的更换分别按上述程序进行；</w:t>
      </w:r>
    </w:p>
    <w:p w14:paraId="796EC3A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3、</w:t>
      </w:r>
      <w:r>
        <w:rPr>
          <w:rFonts w:ascii="宋体" w:hAnsi="宋体" w:cs="宋体"/>
          <w:kern w:val="0"/>
          <w:sz w:val="24"/>
          <w:szCs w:val="24"/>
        </w:rPr>
        <w:t>公告：新任基金管理人和新任基金托管人应在更换基金管理人和基金托管人的基金份额持有人大会决议生效后2日内在规定媒介上联合公告。</w:t>
      </w:r>
    </w:p>
    <w:p w14:paraId="2955C1E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新任基金管理人或临时基金管理人接收基金管理业务，或新任基金托管人或临时基金托管人接收基金财产和基金托管业务前，原基金管理人或原基金托管人应依据法律法规和《基金合同》的约定继续履行相关职责，并保证不做出对基金份额持有人的利益造成损害的行为。原基金管理人或原基金托管人在继续履行相关职责期间，仍有权按照《基金合同》的约定收取基金管理费或基金托管费。</w:t>
      </w:r>
    </w:p>
    <w:p w14:paraId="59FB9C4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14:paraId="24A7D4FF" w14:textId="77777777" w:rsidR="00C41073" w:rsidRDefault="006B1422">
      <w:pPr>
        <w:pStyle w:val="1"/>
        <w:spacing w:before="0" w:after="0"/>
        <w:jc w:val="center"/>
        <w:rPr>
          <w:rFonts w:ascii="Times New Roman"/>
          <w:color w:val="auto"/>
          <w:sz w:val="30"/>
        </w:rPr>
      </w:pPr>
      <w:bookmarkStart w:id="49" w:name="_Toc25600000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49"/>
    </w:p>
    <w:p w14:paraId="55A2F5C1" w14:textId="77777777" w:rsidR="00C41073" w:rsidRDefault="00C41073"/>
    <w:p w14:paraId="67BAD30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053E1B7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3AB17ED9" w14:textId="77777777" w:rsidR="00C41073" w:rsidRDefault="006B1422">
      <w:pPr>
        <w:pStyle w:val="1"/>
        <w:spacing w:before="0" w:after="0"/>
        <w:jc w:val="center"/>
        <w:rPr>
          <w:rFonts w:ascii="Times New Roman"/>
          <w:color w:val="auto"/>
          <w:sz w:val="30"/>
        </w:rPr>
      </w:pPr>
      <w:bookmarkStart w:id="50" w:name="_Toc25600001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50"/>
    </w:p>
    <w:p w14:paraId="465C2F03" w14:textId="77777777" w:rsidR="00C41073" w:rsidRDefault="00C41073"/>
    <w:p w14:paraId="59845A4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基金份额的登记业务</w:t>
      </w:r>
    </w:p>
    <w:p w14:paraId="458968D5"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3878EF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基金登记业务办理机构</w:t>
      </w:r>
    </w:p>
    <w:p w14:paraId="42838C0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Pr>
          <w:rStyle w:val="custom"/>
          <w:rFonts w:ascii="宋体" w:hAnsi="宋体" w:cs="宋体"/>
          <w:kern w:val="0"/>
          <w:sz w:val="24"/>
          <w:szCs w:val="24"/>
        </w:rPr>
        <w:t>以明确基金管理人和代理机构在投资者基金账户管理、</w:t>
      </w:r>
      <w:r>
        <w:rPr>
          <w:rFonts w:ascii="宋体" w:hAnsi="宋体" w:cs="宋体"/>
          <w:kern w:val="0"/>
          <w:sz w:val="24"/>
          <w:szCs w:val="24"/>
        </w:rPr>
        <w:t>基金份额登记、清算及基金交易确认、发放红利、建立并保管基金份额持有人名册等事宜中的权利和义务，保护基金份额持有人的合法权益。</w:t>
      </w:r>
    </w:p>
    <w:p w14:paraId="4BA0495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基金登记机构的权利</w:t>
      </w:r>
    </w:p>
    <w:p w14:paraId="5F29F25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基金登记机构享有以下权利：</w:t>
      </w:r>
    </w:p>
    <w:p w14:paraId="67437AE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取得登记费；</w:t>
      </w:r>
    </w:p>
    <w:p w14:paraId="22CED4B3"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建立和管理投资者</w:t>
      </w:r>
      <w:r>
        <w:rPr>
          <w:rStyle w:val="custom"/>
          <w:rFonts w:ascii="宋体" w:hAnsi="宋体" w:cs="宋体"/>
          <w:kern w:val="0"/>
          <w:sz w:val="24"/>
          <w:szCs w:val="24"/>
        </w:rPr>
        <w:t>基金账户</w:t>
      </w:r>
      <w:r>
        <w:rPr>
          <w:rFonts w:ascii="宋体" w:hAnsi="宋体" w:cs="宋体"/>
          <w:kern w:val="0"/>
          <w:sz w:val="24"/>
          <w:szCs w:val="24"/>
        </w:rPr>
        <w:t>；</w:t>
      </w:r>
    </w:p>
    <w:p w14:paraId="73C2964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保管基金份额持有人开户资料、交易资料、基金份额持有人名册等；</w:t>
      </w:r>
    </w:p>
    <w:p w14:paraId="0B0B943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在法律法规允许的范围内，对登记业务的办理时间进行调整，并依照有关规定于开始实施前在规定媒介上公告；</w:t>
      </w:r>
    </w:p>
    <w:p w14:paraId="56427A1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法律法规及中国证监会规定的和《基金合同》约定的其他权利。</w:t>
      </w:r>
    </w:p>
    <w:p w14:paraId="4F51C7D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基金登记机构的义务</w:t>
      </w:r>
    </w:p>
    <w:p w14:paraId="0F6BC7D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基金登记机构承担以下义务：</w:t>
      </w:r>
    </w:p>
    <w:p w14:paraId="34DE42F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配备足够的专业人员办理本基金份额的登记业务；</w:t>
      </w:r>
    </w:p>
    <w:p w14:paraId="4DBB0E7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严格按照法律法规和《基金合同》规定的条件办理本基金份额的登记业务；</w:t>
      </w:r>
    </w:p>
    <w:p w14:paraId="1C26A8D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妥善保存登记数据，并将基金份额持有人名称、身份信息及基金份额明细等数据备份至中国证监会认定的机构。其保存期限自基金账户销户之日起不得少于20年；</w:t>
      </w:r>
    </w:p>
    <w:p w14:paraId="122765F8" w14:textId="77777777" w:rsidR="00C41073" w:rsidRDefault="006B1422">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4、</w:t>
      </w:r>
      <w:r>
        <w:rPr>
          <w:rFonts w:ascii="宋体" w:hAnsi="宋体" w:cs="宋体"/>
          <w:kern w:val="0"/>
          <w:sz w:val="24"/>
          <w:szCs w:val="24"/>
        </w:rPr>
        <w:t>对基金份额持有人的</w:t>
      </w:r>
      <w:r>
        <w:rPr>
          <w:rStyle w:val="custom"/>
          <w:rFonts w:ascii="宋体" w:hAnsi="宋体" w:cs="宋体"/>
          <w:kern w:val="0"/>
          <w:sz w:val="24"/>
          <w:szCs w:val="24"/>
        </w:rPr>
        <w:t>基金账户信息</w:t>
      </w:r>
      <w:r>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14:paraId="0C7FA13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按《基金合同》及招募说明书规定为投资者办理非交易过户业务、提供其他必要的服务；</w:t>
      </w:r>
    </w:p>
    <w:p w14:paraId="1759088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接受基金管理人的监督；</w:t>
      </w:r>
    </w:p>
    <w:p w14:paraId="4DA8464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4B9D16F1" w14:textId="77777777" w:rsidR="00C41073" w:rsidRDefault="006B1422">
      <w:pPr>
        <w:pStyle w:val="1"/>
        <w:spacing w:before="0" w:after="0"/>
        <w:jc w:val="center"/>
        <w:rPr>
          <w:rFonts w:ascii="Times New Roman"/>
          <w:color w:val="auto"/>
          <w:sz w:val="30"/>
        </w:rPr>
      </w:pPr>
      <w:bookmarkStart w:id="51" w:name="_Toc25600001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51"/>
    </w:p>
    <w:p w14:paraId="6485ECC5" w14:textId="77777777" w:rsidR="00C41073" w:rsidRDefault="00C41073"/>
    <w:p w14:paraId="00D93DE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29277AF7"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本基金进行被动式指数化投资，紧密跟踪标的指数，追求跟踪偏离度和跟踪误差的最小化。</w:t>
      </w:r>
    </w:p>
    <w:p w14:paraId="6AA51F3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5BAC2D67"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主要投资于标的指数成份股、备选成份股。为更好地实现投资目标，基金还可投资于包括国内依法发行上市的股票（含主板、创业板及其他经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w:t>
      </w:r>
      <w:r>
        <w:rPr>
          <w:rFonts w:ascii="宋体" w:hAnsi="宋体" w:cs="宋体"/>
          <w:kern w:val="0"/>
          <w:sz w:val="24"/>
          <w:szCs w:val="24"/>
        </w:rPr>
        <w:t>债券回购、同业存单、银行存款（包含协议存款、定期存款及其他银行存款）、货币市场工具以及法律法规或中国证监会允许基金投资的其他金融工具</w:t>
      </w:r>
      <w:r>
        <w:rPr>
          <w:rStyle w:val="custom"/>
          <w:rFonts w:ascii="宋体" w:hAnsi="宋体" w:cs="宋体"/>
          <w:kern w:val="0"/>
          <w:sz w:val="24"/>
          <w:szCs w:val="24"/>
        </w:rPr>
        <w:t>(</w:t>
      </w:r>
      <w:r>
        <w:rPr>
          <w:rFonts w:ascii="宋体" w:hAnsi="宋体" w:cs="宋体"/>
          <w:kern w:val="0"/>
          <w:sz w:val="24"/>
          <w:szCs w:val="24"/>
        </w:rPr>
        <w:t>但须符合中国证监会相关规定</w:t>
      </w:r>
      <w:r>
        <w:rPr>
          <w:rStyle w:val="custom"/>
          <w:rFonts w:ascii="宋体" w:hAnsi="宋体" w:cs="宋体"/>
          <w:kern w:val="0"/>
          <w:sz w:val="24"/>
          <w:szCs w:val="24"/>
        </w:rPr>
        <w:t>)</w:t>
      </w:r>
      <w:r>
        <w:rPr>
          <w:rFonts w:ascii="宋体" w:hAnsi="宋体" w:cs="宋体"/>
          <w:kern w:val="0"/>
          <w:sz w:val="24"/>
          <w:szCs w:val="24"/>
        </w:rPr>
        <w:t>。</w:t>
      </w:r>
    </w:p>
    <w:p w14:paraId="7756C073"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本基金还可根据法律法规参与融资及转融通证券出借业务。</w:t>
      </w:r>
    </w:p>
    <w:p w14:paraId="5621FB8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70BB5EB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基金的投资组合比例为：</w:t>
      </w:r>
      <w:r>
        <w:rPr>
          <w:rStyle w:val="custom"/>
          <w:rFonts w:ascii="宋体" w:hAnsi="宋体" w:cs="宋体"/>
          <w:kern w:val="0"/>
          <w:sz w:val="24"/>
          <w:szCs w:val="24"/>
        </w:rPr>
        <w:t>本基金投资于股票的资产不低于基金资产的90%，投资于标的指数成份股、备选成份股的资产的比例不低于非现金基金资产的80%。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其中现金不包括结算备付金、存出保证金、应收申购款等。</w:t>
      </w:r>
    </w:p>
    <w:p w14:paraId="5F2D187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6010C82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7EDC479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本基金采用被动式指数化投资方法，按照标的指数的成份股及其权重来构建基金的股票投资组合，并根据标的指数成份股及其权重的变动进行相应调整。</w:t>
      </w:r>
    </w:p>
    <w:p w14:paraId="63B3D64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当成份股发生配股、增发、分红等行为时，或因基金的申购和赎回等对本基</w:t>
      </w:r>
      <w:r>
        <w:rPr>
          <w:rStyle w:val="custom"/>
          <w:rFonts w:ascii="宋体" w:hAnsi="宋体" w:cs="宋体"/>
          <w:kern w:val="0"/>
          <w:sz w:val="24"/>
          <w:szCs w:val="24"/>
        </w:rPr>
        <w:lastRenderedPageBreak/>
        <w:t>金跟踪标的指数的效果可能带来影响时，或因某些特殊情况导致流动性不足时，或其他原因导致无法有效复制和跟踪标的指数时，基金管理人可以对投资组合管理进行适当变通和调整，以更好地实现本基金的投资目标。</w:t>
      </w:r>
    </w:p>
    <w:p w14:paraId="053155D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本基金力争日均跟踪偏离度的绝对值不超过0.35%，年跟踪误差不超过4%。</w:t>
      </w:r>
    </w:p>
    <w:p w14:paraId="50B5E07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6C71B94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1、股票投资策略</w:t>
      </w:r>
    </w:p>
    <w:p w14:paraId="61DED16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采用完全复制法来构建股票投资组合，并根据标的指数成份股组成及其权重的变动对其进行适时调整，以拟合、跟踪标的指数的收益表现。同时，本基金还将根据法律法规和基金合同中的投资比例限制、申购赎回变动情况、股票发生增发或配股、成份股停牌或因法律法规原因被限制投资、市场流动性不足等情况，对股票投资组合进行实时调整，以力争实现基金净值增长率与标的指数收益率之间的高度正相关和跟踪误差最小化。</w:t>
      </w:r>
    </w:p>
    <w:p w14:paraId="3C1373B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1）定期调整：根据标的指数的调整规则和备选股票的预期，对股票投资组合及时进行调整。</w:t>
      </w:r>
    </w:p>
    <w:p w14:paraId="514C236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2）不定期调整</w:t>
      </w:r>
    </w:p>
    <w:p w14:paraId="70F6148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A．当标的指数成份股发生增发、配股等股权变动而影响成份股在指数中权重的行为时，本基金将根据各成份股的权重变化及时调整股票投资组合；</w:t>
      </w:r>
    </w:p>
    <w:p w14:paraId="2B7E8C8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B．根据基金申购赎回情况，调整股票投资组合，以有效跟踪标的指数；</w:t>
      </w:r>
    </w:p>
    <w:p w14:paraId="30E12EA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C．根据法律、法规规定，成份股在标的指数中的权重因其他原因发生相应变化的，本基金可以对投资组合管理进行适当变通和调整，力求降低跟踪误差。</w:t>
      </w:r>
    </w:p>
    <w:p w14:paraId="49C82EF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2、存托凭证的投资策略</w:t>
      </w:r>
    </w:p>
    <w:p w14:paraId="1FBF63B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本基金投资存托凭证的策略依照上述境内上市交易的股票投资策略执行。</w:t>
      </w:r>
    </w:p>
    <w:p w14:paraId="0C61727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3、债券投资策略</w:t>
      </w:r>
    </w:p>
    <w:p w14:paraId="117048C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w:t>
      </w:r>
      <w:r>
        <w:rPr>
          <w:rStyle w:val="custom"/>
          <w:rFonts w:ascii="宋体" w:hAnsi="宋体" w:cs="宋体"/>
          <w:kern w:val="0"/>
          <w:sz w:val="24"/>
          <w:szCs w:val="24"/>
        </w:rPr>
        <w:lastRenderedPageBreak/>
        <w:t>判断、信用风险评估、现金管理等管理手段进行个券选择。</w:t>
      </w:r>
    </w:p>
    <w:p w14:paraId="1BA480B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4、可转债及可交换债投资策略</w:t>
      </w:r>
    </w:p>
    <w:p w14:paraId="10EB9DF7"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对于本基金中可转债的投资，本基金主要采用可转债相对价值分析策略。</w:t>
      </w:r>
    </w:p>
    <w:p w14:paraId="3A17D54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由于可转债兼具债性和股性，其投资风险和收益介于股票和债券之间，可转债相对价值分析策略通过分析不同市场环境下其股性和债性的相对价值，把握可转债的价值走向，选择相应券种，力争获取较高投资收益。</w:t>
      </w:r>
    </w:p>
    <w:p w14:paraId="3F5D3E9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次，在进行可转债筛选时，本基金还对可转债自身的基本面要素进行综合分析，这些基本面要素包括股性特征、债性特征、摊薄率、流动性等，形成对基础股票的价值评估。本基金将可转债自身的基本面分析和其基础股票的基本面分析结合在一起，最终确定投资的品种。</w:t>
      </w:r>
    </w:p>
    <w:p w14:paraId="7736D2C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0D406D9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5、资产支持证券投资策略</w:t>
      </w:r>
    </w:p>
    <w:p w14:paraId="7BB9F3B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14:paraId="27C822A7"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43E632B7"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6、股指期货投资策略</w:t>
      </w:r>
    </w:p>
    <w:p w14:paraId="71346C5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本基金投资股指期货将根据风险管理的原则，以套期保值为目的，充分考虑</w:t>
      </w:r>
      <w:r>
        <w:rPr>
          <w:rStyle w:val="custom"/>
          <w:rFonts w:ascii="宋体" w:hAnsi="宋体" w:cs="宋体"/>
          <w:kern w:val="0"/>
          <w:sz w:val="24"/>
          <w:szCs w:val="24"/>
        </w:rPr>
        <w:lastRenderedPageBreak/>
        <w:t>股指期货的收益性、流动性及风险性特征，运用股指期货对冲系统性风险、对冲特殊情况下的流动性风险，如大额申购赎回等，以降低交易成本和组合风险，提高投资效率。</w:t>
      </w:r>
    </w:p>
    <w:p w14:paraId="032D725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sz w:val="24"/>
          <w:szCs w:val="24"/>
        </w:rPr>
        <w:t>若相关法律法规和监管要求发生变化时，基金管理人股指期货投资管理从其最新规定，以符合上述法律法规和监管要求的变化。</w:t>
      </w:r>
    </w:p>
    <w:p w14:paraId="01875B2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7、国债期货投资策略</w:t>
      </w:r>
    </w:p>
    <w:p w14:paraId="40BFC254"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178EE9F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8、股票期权投资策略</w:t>
      </w:r>
    </w:p>
    <w:p w14:paraId="60B2DDE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w:t>
      </w:r>
      <w:r>
        <w:rPr>
          <w:rStyle w:val="custom"/>
          <w:rFonts w:ascii="宋体" w:hAnsi="宋体" w:cs="宋体"/>
          <w:sz w:val="24"/>
          <w:szCs w:val="24"/>
        </w:rPr>
        <w:t>若相关法律法规和监管要求发生变化时，基金管理人股票期权投资管理从其最新规定，以符合上述法律法规和监管要求的变化。</w:t>
      </w:r>
    </w:p>
    <w:p w14:paraId="48F7EF1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6A9B143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9、融资投资策略</w:t>
      </w:r>
    </w:p>
    <w:p w14:paraId="5A63BF9F"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p>
    <w:p w14:paraId="3FBB2CB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10、参与转融通证券出借业务策略</w:t>
      </w:r>
    </w:p>
    <w:p w14:paraId="0AAEA52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690164C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未来，随着投资工具的发展和丰富，本基金可在不改变投资目标和风险收益</w:t>
      </w:r>
      <w:r>
        <w:rPr>
          <w:rFonts w:ascii="宋体" w:hAnsi="宋体" w:cs="宋体"/>
          <w:kern w:val="0"/>
          <w:sz w:val="24"/>
          <w:szCs w:val="24"/>
        </w:rPr>
        <w:lastRenderedPageBreak/>
        <w:t>特征的前提下，相应调整和更新相关投资策略，并在招募说明书更新中公告。</w:t>
      </w:r>
    </w:p>
    <w:p w14:paraId="75845AA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71964DC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组合限制</w:t>
      </w:r>
    </w:p>
    <w:p w14:paraId="2E336DA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基金的投资组合应遵循以下限制：</w:t>
      </w:r>
    </w:p>
    <w:p w14:paraId="0602010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（1）本基金投资于股票的资产不低于基金资产的90%，投资于标的指数成份股、备选成份股的资产的比例不低于非现金基金资产的80%；</w:t>
      </w:r>
    </w:p>
    <w:p w14:paraId="15EE11D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其中现金不包括结算备付金、存出保证金和应收申购款等；</w:t>
      </w:r>
    </w:p>
    <w:p w14:paraId="692FCDC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（3）本基金投资于同一原始权益人的各类资产支持证券的比例，不得超过基金资产净值的10%；</w:t>
      </w:r>
    </w:p>
    <w:p w14:paraId="69F56517"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（4）本基金持有的全部资产支持证券，其市值不得超过基金资产净值的20%；</w:t>
      </w:r>
    </w:p>
    <w:p w14:paraId="0634067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（5）本基金持有的同一(指同一信用级别)资产支持证券的比例，不得超过该资产支持证券规模的10%；</w:t>
      </w:r>
    </w:p>
    <w:p w14:paraId="14E9A8C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（6）本基金管理人管理的全部基金投资于同一原始权益人的各类资产支持证券，不得超过其各类资产支持证券合计规模的10%；</w:t>
      </w:r>
    </w:p>
    <w:p w14:paraId="62FD8D92" w14:textId="77777777" w:rsidR="00C41073" w:rsidRDefault="006B1422">
      <w:pPr>
        <w:pStyle w:val="div"/>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（7）本基金应投资于信用级别评级为</w:t>
      </w:r>
      <w:r>
        <w:rPr>
          <w:rStyle w:val="custom"/>
          <w:rFonts w:eastAsia="Times New Roman"/>
          <w:kern w:val="0"/>
          <w:sz w:val="24"/>
          <w:szCs w:val="24"/>
        </w:rPr>
        <w:t>BBB</w:t>
      </w:r>
      <w:r>
        <w:rPr>
          <w:rStyle w:val="custom"/>
          <w:rFonts w:ascii="宋体" w:hAnsi="宋体" w:cs="宋体"/>
          <w:kern w:val="0"/>
          <w:sz w:val="24"/>
          <w:szCs w:val="24"/>
        </w:rPr>
        <w:t>以上</w:t>
      </w:r>
      <w:r>
        <w:rPr>
          <w:rStyle w:val="custom"/>
          <w:rFonts w:eastAsia="Times New Roman"/>
          <w:kern w:val="0"/>
          <w:sz w:val="24"/>
          <w:szCs w:val="24"/>
        </w:rPr>
        <w:t>(</w:t>
      </w:r>
      <w:r>
        <w:rPr>
          <w:rStyle w:val="custom"/>
          <w:rFonts w:ascii="宋体" w:hAnsi="宋体" w:cs="宋体"/>
          <w:kern w:val="0"/>
          <w:sz w:val="24"/>
          <w:szCs w:val="24"/>
        </w:rPr>
        <w:t>含</w:t>
      </w:r>
      <w:r>
        <w:rPr>
          <w:rStyle w:val="custom"/>
          <w:rFonts w:eastAsia="Times New Roman"/>
          <w:kern w:val="0"/>
          <w:sz w:val="24"/>
          <w:szCs w:val="24"/>
        </w:rPr>
        <w:t>BBB)</w:t>
      </w:r>
      <w:r>
        <w:rPr>
          <w:rStyle w:val="custom"/>
          <w:rFonts w:ascii="宋体" w:hAnsi="宋体" w:cs="宋体"/>
          <w:kern w:val="0"/>
          <w:sz w:val="24"/>
          <w:szCs w:val="24"/>
        </w:rPr>
        <w:t>的资产支持证券。基金持有资产支持证券期间，如果其信用等级下降、不再符合投资标准，应在评级报告发布之日起</w:t>
      </w:r>
      <w:r>
        <w:rPr>
          <w:rStyle w:val="custom"/>
          <w:rFonts w:eastAsia="Times New Roman"/>
          <w:kern w:val="0"/>
          <w:sz w:val="24"/>
          <w:szCs w:val="24"/>
        </w:rPr>
        <w:t>3</w:t>
      </w:r>
      <w:r>
        <w:rPr>
          <w:rStyle w:val="custom"/>
          <w:rFonts w:ascii="宋体" w:hAnsi="宋体" w:cs="宋体"/>
          <w:kern w:val="0"/>
          <w:sz w:val="24"/>
          <w:szCs w:val="24"/>
        </w:rPr>
        <w:t>个月内予以全部卖出；</w:t>
      </w:r>
    </w:p>
    <w:p w14:paraId="342D16B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（8）基金财产参与股票发行申购，本基金所申报的金额不超过本基金的总资产，本基金所申报的股票数量不超过拟发行股票公司本次发行股票的总量；</w:t>
      </w:r>
    </w:p>
    <w:p w14:paraId="40CD744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本基金主动投资于流动性受限资产的市值合计不得超过本基金资产净值的15%；因证券市场波动、</w:t>
      </w:r>
      <w:r>
        <w:rPr>
          <w:rStyle w:val="custom"/>
          <w:rFonts w:ascii="宋体" w:hAnsi="宋体" w:cs="宋体"/>
          <w:kern w:val="0"/>
          <w:sz w:val="24"/>
          <w:szCs w:val="24"/>
        </w:rPr>
        <w:t>上市公司股票停牌、</w:t>
      </w:r>
      <w:r>
        <w:rPr>
          <w:rFonts w:ascii="宋体" w:hAnsi="宋体" w:cs="宋体"/>
          <w:kern w:val="0"/>
          <w:sz w:val="24"/>
          <w:szCs w:val="24"/>
        </w:rPr>
        <w:t>基金规模变动等基金管理人之外的因素致使基金不符合该比例限制的，基金管理人不得主动新增流动性受限资产的投资；</w:t>
      </w:r>
    </w:p>
    <w:p w14:paraId="24F27CB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本基金与私募类证券资管产品及中国证监会认定的其他主体为交易对手开展逆回购交易的，可接受质押品的资质要求应当与本基金合同约定的投资范围保持一致；</w:t>
      </w:r>
    </w:p>
    <w:p w14:paraId="05A6754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（11）</w:t>
      </w:r>
      <w:r>
        <w:rPr>
          <w:rFonts w:ascii="宋体" w:hAnsi="宋体" w:cs="宋体"/>
          <w:kern w:val="0"/>
          <w:sz w:val="24"/>
          <w:szCs w:val="24"/>
        </w:rPr>
        <w:t>本基金资产总值不超过基金资产净值的140%；</w:t>
      </w:r>
    </w:p>
    <w:p w14:paraId="5DEE22F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（12）本基金参与股指期货和国债期货交易的，应当遵守下列要求：</w:t>
      </w:r>
    </w:p>
    <w:p w14:paraId="13C07FCE" w14:textId="77777777" w:rsidR="00C41073" w:rsidRDefault="006B1422">
      <w:pPr>
        <w:pStyle w:val="div"/>
        <w:spacing w:line="360" w:lineRule="auto"/>
        <w:ind w:firstLine="420"/>
        <w:jc w:val="left"/>
        <w:rPr>
          <w:rStyle w:val="custom"/>
          <w:rFonts w:ascii="宋体" w:hAnsi="宋体" w:cs="宋体"/>
          <w:kern w:val="0"/>
          <w:sz w:val="24"/>
          <w:szCs w:val="24"/>
        </w:rPr>
      </w:pPr>
      <w:r>
        <w:rPr>
          <w:rStyle w:val="custom"/>
          <w:rFonts w:eastAsia="Times New Roman"/>
          <w:kern w:val="0"/>
          <w:sz w:val="24"/>
          <w:szCs w:val="24"/>
        </w:rPr>
        <w:t>1</w:t>
      </w:r>
      <w:r>
        <w:rPr>
          <w:rStyle w:val="custom"/>
          <w:rFonts w:ascii="宋体" w:hAnsi="宋体" w:cs="宋体"/>
          <w:kern w:val="0"/>
          <w:sz w:val="24"/>
          <w:szCs w:val="24"/>
        </w:rPr>
        <w:t>）在任何交易日日终，持有的买入国债期货和股指期货合约价值与有价证券市值之和，不得超过基金资产净值的</w:t>
      </w:r>
      <w:r>
        <w:rPr>
          <w:rStyle w:val="custom"/>
          <w:rFonts w:eastAsia="Times New Roman"/>
          <w:kern w:val="0"/>
          <w:sz w:val="24"/>
          <w:szCs w:val="24"/>
        </w:rPr>
        <w:t>100%</w:t>
      </w:r>
      <w:r>
        <w:rPr>
          <w:rStyle w:val="custom"/>
          <w:rFonts w:ascii="宋体" w:hAnsi="宋体" w:cs="宋体"/>
          <w:kern w:val="0"/>
          <w:sz w:val="24"/>
          <w:szCs w:val="24"/>
        </w:rPr>
        <w:t>；其中，有价证券指股票、债券（不含到期日在一年以内的政府债券）、资产支持证券、买入返售金融资产（不含质押式回购）等；</w:t>
      </w:r>
    </w:p>
    <w:p w14:paraId="5AF3B10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1DBB71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750C64E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77886A9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（14）本基金参与融资的，每个交易日日终，本基金持有的融资买入股票与其他有价证券市值之和，不得超过基金资产净值的95%；</w:t>
      </w:r>
    </w:p>
    <w:p w14:paraId="476E910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w:t>
      </w:r>
      <w:r>
        <w:rPr>
          <w:rStyle w:val="custom"/>
          <w:rFonts w:ascii="宋体" w:hAnsi="宋体" w:cs="宋体"/>
          <w:kern w:val="0"/>
          <w:sz w:val="24"/>
          <w:szCs w:val="24"/>
        </w:rPr>
        <w:lastRenderedPageBreak/>
        <w:t>50%；证券出借的平均剩余期限不得超过30天，平均剩余期限按照市值加权平均计算；</w:t>
      </w:r>
    </w:p>
    <w:p w14:paraId="77BF8A5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（16）本基金投资存托凭证的比例限制依照境内上市交易的股票执行；</w:t>
      </w:r>
    </w:p>
    <w:p w14:paraId="0A2B3E0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法律法规及中国证监会规定的和《基金合同》约定的其他投资限制。</w:t>
      </w:r>
    </w:p>
    <w:p w14:paraId="185F0894" w14:textId="77777777" w:rsidR="00C41073" w:rsidRDefault="006B1422">
      <w:pPr>
        <w:pStyle w:val="div"/>
        <w:spacing w:line="360" w:lineRule="auto"/>
        <w:ind w:firstLine="420"/>
        <w:jc w:val="left"/>
        <w:rPr>
          <w:rStyle w:val="custom"/>
          <w:rFonts w:ascii="宋体" w:hAnsi="宋体" w:cs="宋体"/>
          <w:kern w:val="0"/>
          <w:sz w:val="24"/>
          <w:szCs w:val="24"/>
        </w:rPr>
      </w:pPr>
      <w:r>
        <w:rPr>
          <w:rFonts w:ascii="宋体" w:hAnsi="宋体" w:cs="宋体"/>
          <w:kern w:val="0"/>
          <w:sz w:val="24"/>
          <w:szCs w:val="24"/>
        </w:rPr>
        <w:t>除上述</w:t>
      </w:r>
      <w:r>
        <w:rPr>
          <w:rFonts w:ascii="宋体" w:hAnsi="宋体" w:cs="宋体" w:hint="eastAsia"/>
          <w:kern w:val="0"/>
          <w:sz w:val="24"/>
          <w:szCs w:val="24"/>
        </w:rPr>
        <w:t>第</w:t>
      </w:r>
      <w:r>
        <w:rPr>
          <w:rFonts w:ascii="宋体" w:hAnsi="宋体" w:cs="宋体"/>
          <w:kern w:val="0"/>
          <w:sz w:val="24"/>
          <w:szCs w:val="24"/>
        </w:rPr>
        <w:t>（2）、</w:t>
      </w:r>
      <w:r>
        <w:rPr>
          <w:rStyle w:val="custom"/>
          <w:rFonts w:ascii="宋体" w:hAnsi="宋体" w:cs="宋体"/>
          <w:kern w:val="0"/>
          <w:sz w:val="24"/>
          <w:szCs w:val="24"/>
        </w:rPr>
        <w:t>（7）、（9）</w:t>
      </w:r>
      <w:r>
        <w:rPr>
          <w:rFonts w:ascii="宋体" w:hAnsi="宋体" w:cs="宋体"/>
          <w:kern w:val="0"/>
          <w:sz w:val="24"/>
          <w:szCs w:val="24"/>
        </w:rPr>
        <w:t>、</w:t>
      </w:r>
      <w:r>
        <w:rPr>
          <w:rStyle w:val="custom"/>
          <w:rFonts w:ascii="宋体" w:hAnsi="宋体" w:cs="宋体"/>
          <w:kern w:val="0"/>
          <w:sz w:val="24"/>
          <w:szCs w:val="24"/>
        </w:rPr>
        <w:t>（10）</w:t>
      </w:r>
      <w:r>
        <w:rPr>
          <w:rFonts w:ascii="宋体" w:hAnsi="宋体" w:cs="宋体"/>
          <w:kern w:val="0"/>
          <w:sz w:val="24"/>
          <w:szCs w:val="24"/>
        </w:rPr>
        <w:t>、</w:t>
      </w:r>
      <w:r>
        <w:rPr>
          <w:rStyle w:val="custom"/>
          <w:rFonts w:ascii="宋体" w:hAnsi="宋体" w:cs="宋体"/>
          <w:kern w:val="0"/>
          <w:sz w:val="24"/>
          <w:szCs w:val="24"/>
        </w:rPr>
        <w:t>（15）</w:t>
      </w:r>
      <w:r>
        <w:rPr>
          <w:rFonts w:ascii="宋体" w:hAnsi="宋体" w:cs="宋体"/>
          <w:kern w:val="0"/>
          <w:sz w:val="24"/>
          <w:szCs w:val="24"/>
        </w:rPr>
        <w:t>项情形之外，</w:t>
      </w:r>
      <w:r>
        <w:rPr>
          <w:rStyle w:val="custom"/>
          <w:rFonts w:ascii="宋体" w:hAnsi="宋体" w:cs="宋体"/>
          <w:kern w:val="0"/>
          <w:sz w:val="24"/>
          <w:szCs w:val="24"/>
        </w:rPr>
        <w:t>因证券/期货市场波动、</w:t>
      </w:r>
      <w:r>
        <w:rPr>
          <w:rFonts w:ascii="宋体" w:hAnsi="宋体" w:cs="宋体"/>
          <w:kern w:val="0"/>
          <w:sz w:val="24"/>
          <w:szCs w:val="24"/>
        </w:rPr>
        <w:t>证券发行人合并</w:t>
      </w:r>
      <w:r>
        <w:rPr>
          <w:rStyle w:val="custom"/>
          <w:rFonts w:ascii="宋体" w:hAnsi="宋体" w:cs="宋体"/>
          <w:kern w:val="0"/>
          <w:sz w:val="24"/>
          <w:szCs w:val="24"/>
        </w:rPr>
        <w:t>、标的指数成份股调整、标的指数成份股流动性限制</w:t>
      </w:r>
      <w:r>
        <w:rPr>
          <w:rFonts w:ascii="宋体" w:hAnsi="宋体" w:cs="宋体"/>
          <w:kern w:val="0"/>
          <w:sz w:val="24"/>
          <w:szCs w:val="24"/>
        </w:rPr>
        <w:t>、基金规模变动等基金管理人之外的因素致使基金投资比例不符合上述规定投资比例的，基金管理人应当在</w:t>
      </w:r>
      <w:r>
        <w:rPr>
          <w:rStyle w:val="custom"/>
          <w:rFonts w:ascii="宋体" w:hAnsi="宋体" w:cs="宋体"/>
          <w:kern w:val="0"/>
          <w:sz w:val="24"/>
          <w:szCs w:val="24"/>
        </w:rPr>
        <w:t>10</w:t>
      </w:r>
      <w:r>
        <w:rPr>
          <w:rFonts w:ascii="宋体" w:hAnsi="宋体" w:cs="宋体"/>
          <w:kern w:val="0"/>
          <w:sz w:val="24"/>
          <w:szCs w:val="24"/>
        </w:rPr>
        <w:t>个交易日内进行调整，但中国证监会规定的特殊情形除外。</w:t>
      </w:r>
      <w:r>
        <w:rPr>
          <w:rStyle w:val="custom"/>
          <w:rFonts w:ascii="宋体" w:hAnsi="宋体" w:cs="宋体"/>
          <w:kern w:val="0"/>
          <w:sz w:val="24"/>
          <w:szCs w:val="24"/>
        </w:rPr>
        <w:t>因证券市场波动、证券发行人合并、基金规模变动等基金管理人之外的因素致使基金投资不符合第（15）项规定的，基金管理人不得新增出借业务。法律法规另有规定的从其规定。</w:t>
      </w:r>
    </w:p>
    <w:p w14:paraId="10D8C3B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6D86AC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1784B8A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禁止行为</w:t>
      </w:r>
    </w:p>
    <w:p w14:paraId="59AC6ACE"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468A4B0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承销证券；</w:t>
      </w:r>
    </w:p>
    <w:p w14:paraId="426C745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违反规定向他人贷款或者提供担保；</w:t>
      </w:r>
    </w:p>
    <w:p w14:paraId="55B783D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从事承担无限责任的投资；</w:t>
      </w:r>
    </w:p>
    <w:p w14:paraId="7C4AD52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14:paraId="5DE1376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向其基金管理人、基金托管人出资；</w:t>
      </w:r>
    </w:p>
    <w:p w14:paraId="24164CD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从事内幕交易、操纵证券交易价格及其他不正当的证券交易活动；</w:t>
      </w:r>
    </w:p>
    <w:p w14:paraId="068ED4B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法律、行政法规和中国证监会规定禁止的其他活动。</w:t>
      </w:r>
    </w:p>
    <w:p w14:paraId="30820BBA"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Pr>
          <w:rFonts w:ascii="宋体" w:hAnsi="宋体" w:cs="宋体"/>
          <w:kern w:val="0"/>
          <w:sz w:val="24"/>
          <w:szCs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08A35C"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4E6FAA2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五、标的指数和业绩比较基准</w:t>
      </w:r>
    </w:p>
    <w:p w14:paraId="2CDFA10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1、标的指数</w:t>
      </w:r>
    </w:p>
    <w:p w14:paraId="1A31D4A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本基金的标的指数为沪深300自由现金流指数。</w:t>
      </w:r>
    </w:p>
    <w:p w14:paraId="04B8B4BD"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3CFA598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自指数编制机构停止标的指数的编制及发布至解决方案确定期间，基金管理人应按照指数编制机构提供的最近一个交易日的指数信息遵循基金份额持有人利益优先原则维持基金投资运作。法律法规或监管机构另有规定的，从其规定。</w:t>
      </w:r>
    </w:p>
    <w:p w14:paraId="6B486F1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2、业绩比较基准</w:t>
      </w:r>
    </w:p>
    <w:p w14:paraId="54DAE5A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本基金的业绩比较基准为：沪深300自由现金流指数收益率×95%+银行人民币活期存款利率（税后）×5%</w:t>
      </w:r>
    </w:p>
    <w:p w14:paraId="6CA81958"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如本基金标的指数变化，则业绩比较基准中的标的指数将相应调整。业绩比较基准的调整根据标的指数的变更程序执行。</w:t>
      </w:r>
    </w:p>
    <w:p w14:paraId="07E1263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63845037"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本基金属于股票型基金，其预期的风险与收益高于混合型基金、债券型基金与货币市场基金。</w:t>
      </w:r>
    </w:p>
    <w:p w14:paraId="66064351"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同时本基金为指数基金，具有与标的指数相似的风险收益特征。</w:t>
      </w:r>
    </w:p>
    <w:p w14:paraId="1951658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14:paraId="62AFA8A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w:t>
      </w:r>
      <w:r>
        <w:rPr>
          <w:rStyle w:val="custom"/>
          <w:rFonts w:ascii="宋体" w:hAnsi="宋体" w:cs="宋体"/>
          <w:kern w:val="0"/>
          <w:sz w:val="24"/>
          <w:szCs w:val="24"/>
        </w:rPr>
        <w:lastRenderedPageBreak/>
        <w:t>护基金份额持有人的利益；</w:t>
      </w:r>
    </w:p>
    <w:p w14:paraId="07E50D1F"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2、不谋求对上市公司的控股；</w:t>
      </w:r>
    </w:p>
    <w:p w14:paraId="79350F9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14:paraId="03A2F51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p>
    <w:p w14:paraId="1DA1048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侧袋机制的实施和投资运作安排</w:t>
      </w:r>
    </w:p>
    <w:p w14:paraId="45370648"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AF8D93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侧袋机制实施期间，本部分约定的投资组合比例、投资策略、组合限制、业绩比较基准、风险收益特征等约定仅适用于主袋账户。</w:t>
      </w:r>
    </w:p>
    <w:p w14:paraId="67B0E8E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侧袋账户的实施条件、实施程序、运作安排、投资安排、特定资产的处置变现和支付等对投资者权益有重大影响的事项详见招募说明书的规定。</w:t>
      </w:r>
      <w:r>
        <w:rPr>
          <w:rFonts w:ascii="宋体" w:hAnsi="宋体" w:cs="宋体"/>
          <w:kern w:val="0"/>
          <w:sz w:val="24"/>
          <w:szCs w:val="24"/>
        </w:rPr>
        <w:br w:type="page"/>
      </w:r>
    </w:p>
    <w:p w14:paraId="08E366BF" w14:textId="77777777" w:rsidR="00C41073" w:rsidRDefault="006B1422">
      <w:pPr>
        <w:pStyle w:val="1"/>
        <w:spacing w:before="0" w:after="0"/>
        <w:jc w:val="center"/>
        <w:rPr>
          <w:rFonts w:ascii="Times New Roman"/>
          <w:color w:val="auto"/>
          <w:sz w:val="30"/>
        </w:rPr>
      </w:pPr>
      <w:bookmarkStart w:id="52" w:name="_Toc25600001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基金的财产</w:t>
      </w:r>
      <w:bookmarkEnd w:id="52"/>
    </w:p>
    <w:p w14:paraId="16E960CA" w14:textId="77777777" w:rsidR="00C41073" w:rsidRDefault="00C41073"/>
    <w:p w14:paraId="1232F01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基金资产总值</w:t>
      </w:r>
    </w:p>
    <w:p w14:paraId="47315981"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基金资产总值是指购买的各类有价证券及票据价值、银行存款本息和基金应收的申购基金款以及其他投资所形成的价值总和。</w:t>
      </w:r>
    </w:p>
    <w:p w14:paraId="4B4377B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基金资产净值</w:t>
      </w:r>
    </w:p>
    <w:p w14:paraId="765476C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基金资产净值是指基金资产总值减去基金负债后的价值。</w:t>
      </w:r>
    </w:p>
    <w:p w14:paraId="215CAAB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基金财产的账户</w:t>
      </w:r>
    </w:p>
    <w:p w14:paraId="7B0D4DB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486C857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基金财产的保管和处分</w:t>
      </w:r>
    </w:p>
    <w:p w14:paraId="0649AB8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3455C5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Pr>
          <w:rFonts w:ascii="宋体" w:hAnsi="宋体" w:cs="宋体"/>
          <w:kern w:val="0"/>
          <w:sz w:val="24"/>
          <w:szCs w:val="24"/>
        </w:rPr>
        <w:br w:type="page"/>
      </w:r>
    </w:p>
    <w:p w14:paraId="26F34AD9" w14:textId="77777777" w:rsidR="00C41073" w:rsidRDefault="006B1422">
      <w:pPr>
        <w:pStyle w:val="1"/>
        <w:spacing w:before="0" w:after="0"/>
        <w:jc w:val="center"/>
        <w:rPr>
          <w:rFonts w:ascii="Times New Roman"/>
          <w:color w:val="auto"/>
          <w:sz w:val="30"/>
        </w:rPr>
      </w:pPr>
      <w:bookmarkStart w:id="53" w:name="_Toc256000013"/>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53"/>
    </w:p>
    <w:p w14:paraId="5E8B1BE1" w14:textId="77777777" w:rsidR="00C41073" w:rsidRDefault="00C41073"/>
    <w:p w14:paraId="19B977A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一、估值日</w:t>
      </w:r>
    </w:p>
    <w:p w14:paraId="7B30379A"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14:paraId="03D20B6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二、估值对象</w:t>
      </w:r>
    </w:p>
    <w:p w14:paraId="2C0C3D05"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6C8DB10B"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三、估值原则</w:t>
      </w:r>
    </w:p>
    <w:p w14:paraId="12CDF71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028D368E"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E728919"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B028809"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B2986BA"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03227606"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四、估值方法</w:t>
      </w:r>
    </w:p>
    <w:p w14:paraId="5C167FBF"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1、证券交易所上市的有价证券的估值</w:t>
      </w:r>
    </w:p>
    <w:p w14:paraId="662FABBC"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DDC4AF9"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7352014"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6C1C6F23"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2、处于未上市期间的有价证券应区分如下情况处理：</w:t>
      </w:r>
    </w:p>
    <w:p w14:paraId="19E083AF"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55288EB0"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0FF6E609"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DE3908F"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6E2D74A5"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60E0CEB5"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2B66DDD5"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w:t>
      </w:r>
      <w:r>
        <w:rPr>
          <w:rFonts w:ascii="宋体" w:hAnsi="宋体" w:cs="宋体"/>
          <w:kern w:val="0"/>
          <w:sz w:val="24"/>
          <w:szCs w:val="24"/>
        </w:rPr>
        <w:lastRenderedPageBreak/>
        <w:t>回售登记期截止日（含当日）后未行使回售权的按照长待偿期所对应的价格进行估值；</w:t>
      </w:r>
    </w:p>
    <w:p w14:paraId="2458F352" w14:textId="77777777" w:rsidR="00C41073" w:rsidRDefault="006B1422">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eastAsia="Times New Roman"/>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037B5A73" w14:textId="77777777" w:rsidR="00C41073" w:rsidRDefault="006B1422">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E499019"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5、同一债券同时在两个或两个以上市场交易的，按债券所处的市场分别估值。</w:t>
      </w:r>
    </w:p>
    <w:p w14:paraId="5729C9E6"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6、</w:t>
      </w:r>
      <w:r>
        <w:rPr>
          <w:rFonts w:ascii="宋体" w:hAnsi="宋体" w:cs="宋体" w:hint="eastAsia"/>
          <w:sz w:val="24"/>
          <w:szCs w:val="24"/>
        </w:rPr>
        <w:t>持有的银行定期存款或通知存款以本金列示，按协议或合同利率逐日确认利息收入。</w:t>
      </w:r>
    </w:p>
    <w:p w14:paraId="79336CF2"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7、本基金投资股指期货合约，一般以股指期货估值日的结算价进行估值，估值当日无结算价的，且最近交易日后经济环境未发生重大变化的，采用最近交易日结算价估值。</w:t>
      </w:r>
    </w:p>
    <w:p w14:paraId="44E76B70" w14:textId="77777777" w:rsidR="00C41073" w:rsidRDefault="006B1422">
      <w:pPr>
        <w:pStyle w:val="div"/>
        <w:spacing w:line="360" w:lineRule="auto"/>
        <w:ind w:firstLine="420"/>
        <w:rPr>
          <w:rFonts w:ascii="宋体" w:hAnsi="宋体" w:cs="宋体"/>
          <w:kern w:val="0"/>
          <w:sz w:val="24"/>
          <w:szCs w:val="24"/>
        </w:rPr>
      </w:pPr>
      <w:r>
        <w:rPr>
          <w:rFonts w:ascii="宋体" w:hAnsi="宋体" w:cs="宋体" w:hint="eastAsia"/>
          <w:kern w:val="0"/>
          <w:sz w:val="24"/>
          <w:szCs w:val="24"/>
        </w:rPr>
        <w:t>8</w:t>
      </w:r>
      <w:r>
        <w:rPr>
          <w:rFonts w:ascii="宋体" w:hAnsi="宋体" w:cs="宋体"/>
          <w:kern w:val="0"/>
          <w:sz w:val="24"/>
          <w:szCs w:val="24"/>
        </w:rPr>
        <w:t>、本基金投资股票期权合约，一般以股票期权估值日的结算价进行估值，估值当日无结算价的，且最近交易日后经济环境未发生重大变化的，采用最近交易日结算价估值。</w:t>
      </w:r>
    </w:p>
    <w:p w14:paraId="7D117456" w14:textId="77777777" w:rsidR="00C41073" w:rsidRDefault="006B1422">
      <w:pPr>
        <w:pStyle w:val="div"/>
        <w:spacing w:line="360" w:lineRule="auto"/>
        <w:ind w:firstLine="420"/>
        <w:rPr>
          <w:rFonts w:ascii="宋体" w:hAnsi="宋体" w:cs="宋体"/>
          <w:kern w:val="0"/>
          <w:sz w:val="24"/>
          <w:szCs w:val="24"/>
        </w:rPr>
      </w:pPr>
      <w:r>
        <w:rPr>
          <w:rFonts w:ascii="宋体" w:hAnsi="宋体" w:cs="宋体" w:hint="eastAsia"/>
          <w:kern w:val="0"/>
          <w:sz w:val="24"/>
          <w:szCs w:val="24"/>
        </w:rPr>
        <w:t>9</w:t>
      </w:r>
      <w:r>
        <w:rPr>
          <w:rFonts w:ascii="宋体" w:hAnsi="宋体" w:cs="宋体"/>
          <w:kern w:val="0"/>
          <w:sz w:val="24"/>
          <w:szCs w:val="24"/>
        </w:rPr>
        <w:t>、本基金投资国债期货合约，一般以国债期货估值日的结算价进行估值，估值当日无结算价的，且最近交易日后经济环境未发生重大变化的，采用最近交易日结算价估值。</w:t>
      </w:r>
    </w:p>
    <w:p w14:paraId="21A9007A" w14:textId="77777777" w:rsidR="00C41073" w:rsidRDefault="006B1422">
      <w:pPr>
        <w:pStyle w:val="div"/>
        <w:spacing w:line="360" w:lineRule="auto"/>
        <w:ind w:firstLine="420"/>
        <w:rPr>
          <w:rFonts w:ascii="宋体" w:hAnsi="宋体" w:cs="宋体"/>
          <w:kern w:val="0"/>
          <w:sz w:val="24"/>
          <w:szCs w:val="24"/>
        </w:rPr>
      </w:pPr>
      <w:r>
        <w:rPr>
          <w:rFonts w:ascii="宋体" w:hAnsi="宋体" w:cs="宋体" w:hint="eastAsia"/>
          <w:kern w:val="0"/>
          <w:sz w:val="24"/>
          <w:szCs w:val="24"/>
        </w:rPr>
        <w:t>10</w:t>
      </w:r>
      <w:r>
        <w:rPr>
          <w:rFonts w:ascii="宋体" w:hAnsi="宋体" w:cs="宋体"/>
          <w:kern w:val="0"/>
          <w:sz w:val="24"/>
          <w:szCs w:val="24"/>
        </w:rPr>
        <w:t>、本基金参与融资和转融通证券出借业务的，按照相关法律法规和行业协会的相关规定进行估值。</w:t>
      </w:r>
    </w:p>
    <w:p w14:paraId="6B841E43"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1</w:t>
      </w:r>
      <w:r>
        <w:rPr>
          <w:rFonts w:ascii="宋体" w:hAnsi="宋体" w:cs="宋体"/>
          <w:kern w:val="0"/>
          <w:sz w:val="24"/>
          <w:szCs w:val="24"/>
        </w:rPr>
        <w:t>、本基金投资存托凭证的估值核算，依照境内上市交易的股票进行。</w:t>
      </w:r>
    </w:p>
    <w:p w14:paraId="4689D74B" w14:textId="77777777" w:rsidR="00C41073" w:rsidRDefault="006B1422">
      <w:pPr>
        <w:pStyle w:val="div"/>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2</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14:paraId="311521E7"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3</w:t>
      </w:r>
      <w:r>
        <w:rPr>
          <w:rFonts w:ascii="宋体" w:hAnsi="宋体" w:cs="宋体"/>
          <w:kern w:val="0"/>
          <w:sz w:val="24"/>
          <w:szCs w:val="24"/>
        </w:rPr>
        <w:t>、当发生大额申购或赎回情形时，基金管理人可以采用摆动定价机制，以</w:t>
      </w:r>
      <w:r>
        <w:rPr>
          <w:rFonts w:ascii="宋体" w:hAnsi="宋体" w:cs="宋体"/>
          <w:kern w:val="0"/>
          <w:sz w:val="24"/>
          <w:szCs w:val="24"/>
        </w:rPr>
        <w:lastRenderedPageBreak/>
        <w:t>确保基金估值的公平性。</w:t>
      </w:r>
    </w:p>
    <w:p w14:paraId="12C2639A"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4</w:t>
      </w:r>
      <w:r>
        <w:rPr>
          <w:rFonts w:ascii="宋体" w:hAnsi="宋体" w:cs="宋体"/>
          <w:kern w:val="0"/>
          <w:sz w:val="24"/>
          <w:szCs w:val="24"/>
        </w:rPr>
        <w:t>、相关法律法规以及监管部门有强制规定的，从其规定。如有新增事项，按国家最新规定估值。</w:t>
      </w:r>
    </w:p>
    <w:p w14:paraId="4673C5C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276BA3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7FD354F4"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五、估值程序</w:t>
      </w:r>
    </w:p>
    <w:p w14:paraId="696F0794" w14:textId="77777777" w:rsidR="00C41073" w:rsidRDefault="006B1422">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6382AB2E"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26EDEB90" w14:textId="77777777" w:rsidR="00C41073" w:rsidRDefault="006B1422">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1072C3B7"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六、估值错误的处理</w:t>
      </w:r>
    </w:p>
    <w:p w14:paraId="1DCAF32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14:paraId="0DDE4D4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本基金合同的当事人应按照以下约定处理：</w:t>
      </w:r>
    </w:p>
    <w:p w14:paraId="24473BD1"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1、估值错误类型</w:t>
      </w:r>
    </w:p>
    <w:p w14:paraId="5BCE7C0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w:t>
      </w:r>
      <w:r>
        <w:rPr>
          <w:rFonts w:ascii="宋体" w:hAnsi="宋体" w:cs="宋体"/>
          <w:kern w:val="0"/>
          <w:sz w:val="24"/>
          <w:szCs w:val="24"/>
        </w:rPr>
        <w:lastRenderedPageBreak/>
        <w:t>的责任人应当对由于该估值错误遭受损失当事人(“受损方”)的直接损失按下述“估值错误处理原则”给予赔偿，承担赔偿责任。</w:t>
      </w:r>
    </w:p>
    <w:p w14:paraId="1B7997E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22C52D9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2、估值错误处理原则</w:t>
      </w:r>
    </w:p>
    <w:p w14:paraId="0172EE4C"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12C976D"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16BA04D2"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957B18F"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14:paraId="3443A529"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3、估值错误处理程序</w:t>
      </w:r>
    </w:p>
    <w:p w14:paraId="2223EED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14:paraId="578E5285"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0A009CCD"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14:paraId="548C07D6"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（3）根据估值错误处理原则或当事人协商的方法由估值错误的责任方进行</w:t>
      </w:r>
      <w:r>
        <w:rPr>
          <w:rFonts w:ascii="宋体" w:hAnsi="宋体" w:cs="宋体"/>
          <w:kern w:val="0"/>
          <w:sz w:val="24"/>
          <w:szCs w:val="24"/>
        </w:rPr>
        <w:lastRenderedPageBreak/>
        <w:t>更正和赔偿损失；</w:t>
      </w:r>
    </w:p>
    <w:p w14:paraId="1B1592C2"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25ABD32D"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4、基金份额净值估值错误处理的方法如下：</w:t>
      </w:r>
    </w:p>
    <w:p w14:paraId="4BD12FC0"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3321C0C0"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30EC6416"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w:t>
      </w:r>
      <w:r>
        <w:rPr>
          <w:rFonts w:ascii="宋体" w:hAnsi="宋体"/>
          <w:sz w:val="24"/>
        </w:rPr>
        <w:t>在不违</w:t>
      </w:r>
      <w:r>
        <w:rPr>
          <w:rFonts w:ascii="宋体" w:hAnsi="宋体" w:hint="eastAsia"/>
          <w:sz w:val="24"/>
        </w:rPr>
        <w:t>反</w:t>
      </w:r>
      <w:r>
        <w:rPr>
          <w:rFonts w:ascii="宋体" w:hAnsi="宋体"/>
          <w:sz w:val="24"/>
        </w:rPr>
        <w:t>法律法规且不损害投资者利益的前提下，</w:t>
      </w:r>
      <w:r>
        <w:rPr>
          <w:rFonts w:ascii="宋体" w:hAnsi="宋体" w:cs="宋体"/>
          <w:kern w:val="0"/>
          <w:sz w:val="24"/>
          <w:szCs w:val="24"/>
        </w:rPr>
        <w:t>基金管理人和基金托管人应本着平等和保护基金份额持有人利益的原则进行协商。</w:t>
      </w:r>
    </w:p>
    <w:p w14:paraId="77C86DC4"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七、暂停估值的情形</w:t>
      </w:r>
    </w:p>
    <w:p w14:paraId="5F27E6DF" w14:textId="77777777" w:rsidR="00C41073" w:rsidRDefault="006B1422">
      <w:pPr>
        <w:pStyle w:val="div"/>
        <w:spacing w:line="360" w:lineRule="auto"/>
        <w:ind w:firstLine="42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18D0DDCB"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2、因不可抗力或其他情形致使基金管理人、基金托管人无法准确评估基金资产价值时；</w:t>
      </w:r>
    </w:p>
    <w:p w14:paraId="1FD973FD"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74437012"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4、法律法规规定、中国证监会和基金合同认定的其它情形。</w:t>
      </w:r>
    </w:p>
    <w:p w14:paraId="5A2F6776"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八、基金净值的确认</w:t>
      </w:r>
    </w:p>
    <w:p w14:paraId="67A0FCB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14:paraId="260B28E9"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九、实施侧袋机制期间的基金资产估值</w:t>
      </w:r>
    </w:p>
    <w:p w14:paraId="152D29D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本基金实施侧袋机制的，应根据本部分的约定对主袋账户资产进行估值并披露主袋账户的基金净值信息，暂停披露侧袋账户份额净值。</w:t>
      </w:r>
    </w:p>
    <w:p w14:paraId="00ABFE79"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十、特殊情形的处理</w:t>
      </w:r>
    </w:p>
    <w:p w14:paraId="614E0CBF" w14:textId="77777777" w:rsidR="00C41073" w:rsidRDefault="006B1422">
      <w:pPr>
        <w:pStyle w:val="div"/>
        <w:spacing w:line="360" w:lineRule="auto"/>
        <w:ind w:firstLine="420"/>
        <w:jc w:val="left"/>
        <w:rPr>
          <w:rFonts w:ascii="宋体" w:hAnsi="宋体" w:cs="宋体"/>
          <w:kern w:val="0"/>
          <w:sz w:val="24"/>
          <w:szCs w:val="24"/>
        </w:rPr>
      </w:pPr>
      <w:r>
        <w:rPr>
          <w:rFonts w:ascii="宋体" w:hAnsi="宋体" w:cs="宋体"/>
          <w:kern w:val="0"/>
          <w:sz w:val="24"/>
          <w:szCs w:val="24"/>
        </w:rPr>
        <w:t>1、基金管理人、基金托管人按本部分有关估值方法约定的第1</w:t>
      </w:r>
      <w:r>
        <w:rPr>
          <w:rFonts w:ascii="宋体" w:hAnsi="宋体" w:cs="宋体" w:hint="eastAsia"/>
          <w:kern w:val="0"/>
          <w:sz w:val="24"/>
          <w:szCs w:val="24"/>
        </w:rPr>
        <w:t>2</w:t>
      </w:r>
      <w:r>
        <w:rPr>
          <w:rFonts w:ascii="宋体" w:hAnsi="宋体" w:cs="宋体"/>
          <w:kern w:val="0"/>
          <w:sz w:val="24"/>
          <w:szCs w:val="24"/>
        </w:rPr>
        <w:t>项进行估值时，所造成的误差不作为基金资产估值错误处理。</w:t>
      </w:r>
    </w:p>
    <w:p w14:paraId="0A4BDC59"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由于证券/期货交易所、登记结算公司、指数编制机构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1B5102EC" w14:textId="77777777" w:rsidR="00C41073" w:rsidRDefault="006B1422">
      <w:pPr>
        <w:pStyle w:val="1"/>
        <w:spacing w:before="0" w:after="0"/>
        <w:jc w:val="center"/>
        <w:rPr>
          <w:rFonts w:ascii="Times New Roman"/>
          <w:color w:val="auto"/>
          <w:sz w:val="30"/>
        </w:rPr>
      </w:pPr>
      <w:bookmarkStart w:id="54" w:name="_Toc25600001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54"/>
    </w:p>
    <w:p w14:paraId="0DE9E13E" w14:textId="77777777" w:rsidR="00C41073" w:rsidRDefault="00C41073"/>
    <w:p w14:paraId="6072C244" w14:textId="77777777" w:rsidR="00C41073" w:rsidRDefault="006B1422">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基金费用的种类</w:t>
      </w:r>
    </w:p>
    <w:p w14:paraId="2D93942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11A67F4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3B6D4645"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6A2D947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《基金合同》生效后与基金相关的信息披露费用（但法律法规、中国证监会另有规定的除外）；</w:t>
      </w:r>
    </w:p>
    <w:p w14:paraId="71A66DE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《基金合同》生效后与基金相关的会计师费、律师费、仲裁费和诉讼费；</w:t>
      </w:r>
    </w:p>
    <w:p w14:paraId="18D41A3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基金份额持有人大会费用；</w:t>
      </w:r>
    </w:p>
    <w:p w14:paraId="1BFF0A1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7、基金的证券、期货等交易费用；</w:t>
      </w:r>
    </w:p>
    <w:p w14:paraId="2233318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基金的银行汇划费用；</w:t>
      </w:r>
    </w:p>
    <w:p w14:paraId="2100F19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基金的账户开户费用、账户维护费用；</w:t>
      </w:r>
    </w:p>
    <w:p w14:paraId="3C4057D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按照国家有关规定和《基金合同》约定，可以在基金财产中列支的其他费用。</w:t>
      </w:r>
    </w:p>
    <w:p w14:paraId="0B7698D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基金费用计提方法、计提标准和支付方式</w:t>
      </w:r>
    </w:p>
    <w:p w14:paraId="5FD3343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4488262F"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本基金的管理费按前一日基金资产净值的0.50%年费率计提。管理费的计算方法如下：</w:t>
      </w:r>
    </w:p>
    <w:p w14:paraId="362DB5F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H＝E×0.50%÷当年天数</w:t>
      </w:r>
    </w:p>
    <w:p w14:paraId="12AB676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H为每日应计提的基金管理费</w:t>
      </w:r>
    </w:p>
    <w:p w14:paraId="54A9BE1E"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0EEF627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w:t>
      </w:r>
      <w:r>
        <w:rPr>
          <w:rStyle w:val="custom"/>
          <w:rFonts w:ascii="宋体" w:hAnsi="宋体" w:cs="宋体"/>
          <w:kern w:val="0"/>
          <w:sz w:val="24"/>
          <w:szCs w:val="24"/>
        </w:rPr>
        <w:t>5</w:t>
      </w:r>
      <w:r>
        <w:rPr>
          <w:rFonts w:ascii="宋体" w:hAnsi="宋体" w:cs="宋体"/>
          <w:kern w:val="0"/>
          <w:sz w:val="24"/>
          <w:szCs w:val="24"/>
        </w:rPr>
        <w:t>个工作日内或不可抗力情形消除之日起</w:t>
      </w:r>
      <w:r>
        <w:rPr>
          <w:rStyle w:val="custom"/>
          <w:rFonts w:ascii="宋体" w:hAnsi="宋体" w:cs="宋体"/>
          <w:kern w:val="0"/>
          <w:sz w:val="24"/>
          <w:szCs w:val="24"/>
        </w:rPr>
        <w:t>5</w:t>
      </w:r>
      <w:r>
        <w:rPr>
          <w:rFonts w:ascii="宋体" w:hAnsi="宋体" w:cs="宋体"/>
          <w:kern w:val="0"/>
          <w:sz w:val="24"/>
          <w:szCs w:val="24"/>
        </w:rPr>
        <w:t>个工作日内支付。</w:t>
      </w:r>
    </w:p>
    <w:p w14:paraId="10A203D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327B26C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本基金的托管费按前一日基金资产净值的0.10%的年费率计提。托管费的计</w:t>
      </w:r>
      <w:r>
        <w:rPr>
          <w:rStyle w:val="custom"/>
          <w:rFonts w:ascii="宋体" w:hAnsi="宋体" w:cs="宋体"/>
          <w:kern w:val="0"/>
          <w:sz w:val="24"/>
          <w:szCs w:val="24"/>
        </w:rPr>
        <w:lastRenderedPageBreak/>
        <w:t>算方法如下：</w:t>
      </w:r>
    </w:p>
    <w:p w14:paraId="398C676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H＝E×0.10%÷当年天数</w:t>
      </w:r>
    </w:p>
    <w:p w14:paraId="5A68C27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H为每日应计提的基金托管费</w:t>
      </w:r>
    </w:p>
    <w:p w14:paraId="7FF8874C"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7C6B606C"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w:t>
      </w:r>
      <w:r>
        <w:rPr>
          <w:rStyle w:val="custom"/>
          <w:rFonts w:ascii="宋体" w:hAnsi="宋体" w:cs="宋体"/>
          <w:kern w:val="0"/>
          <w:sz w:val="24"/>
          <w:szCs w:val="24"/>
        </w:rPr>
        <w:t>5</w:t>
      </w:r>
      <w:r>
        <w:rPr>
          <w:rFonts w:ascii="宋体" w:hAnsi="宋体" w:cs="宋体"/>
          <w:kern w:val="0"/>
          <w:sz w:val="24"/>
          <w:szCs w:val="24"/>
        </w:rPr>
        <w:t>个工作日内或不可抗力情形消除之日起</w:t>
      </w:r>
      <w:r>
        <w:rPr>
          <w:rStyle w:val="custom"/>
          <w:rFonts w:ascii="宋体" w:hAnsi="宋体" w:cs="宋体"/>
          <w:kern w:val="0"/>
          <w:sz w:val="24"/>
          <w:szCs w:val="24"/>
        </w:rPr>
        <w:t>5</w:t>
      </w:r>
      <w:r>
        <w:rPr>
          <w:rFonts w:ascii="宋体" w:hAnsi="宋体" w:cs="宋体"/>
          <w:kern w:val="0"/>
          <w:sz w:val="24"/>
          <w:szCs w:val="24"/>
        </w:rPr>
        <w:t>个工作日内支付。</w:t>
      </w:r>
    </w:p>
    <w:p w14:paraId="3E5F0C24"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5F61931F" w14:textId="77777777" w:rsidR="00C41073" w:rsidRDefault="006B1422">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本基金A类基金份额不收取销售服务费，C类基金份额的销售服务费年费率为0.20%。</w:t>
      </w:r>
    </w:p>
    <w:p w14:paraId="3D56087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计算方法如下：</w:t>
      </w:r>
    </w:p>
    <w:p w14:paraId="2890A9C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H＝E×0.20%÷当年天数</w:t>
      </w:r>
    </w:p>
    <w:p w14:paraId="50CD451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H为C类基金份额每日应计提的销售服务费</w:t>
      </w:r>
    </w:p>
    <w:p w14:paraId="6DE0D72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E为C类基金份额前一日基金资产净值</w:t>
      </w:r>
    </w:p>
    <w:p w14:paraId="65ABC64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销售服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w:t>
      </w:r>
      <w:r>
        <w:rPr>
          <w:rStyle w:val="custom"/>
          <w:rFonts w:ascii="Calibri" w:eastAsia="Calibri" w:hAnsi="Calibri" w:cs="Calibri"/>
          <w:kern w:val="0"/>
          <w:sz w:val="24"/>
          <w:szCs w:val="24"/>
        </w:rPr>
        <w:t>5</w:t>
      </w:r>
      <w:r>
        <w:rPr>
          <w:rStyle w:val="custom"/>
          <w:rFonts w:ascii="宋体" w:hAnsi="宋体" w:cs="宋体"/>
          <w:kern w:val="0"/>
          <w:sz w:val="24"/>
          <w:szCs w:val="24"/>
        </w:rPr>
        <w:t>个工作日内或不可抗力情形消除之日起</w:t>
      </w:r>
      <w:r>
        <w:rPr>
          <w:rStyle w:val="custom"/>
          <w:rFonts w:ascii="Calibri" w:eastAsia="Calibri" w:hAnsi="Calibri" w:cs="Calibri"/>
          <w:kern w:val="0"/>
          <w:sz w:val="24"/>
          <w:szCs w:val="24"/>
        </w:rPr>
        <w:t>5</w:t>
      </w:r>
      <w:r>
        <w:rPr>
          <w:rStyle w:val="custom"/>
          <w:rFonts w:ascii="宋体" w:hAnsi="宋体" w:cs="宋体"/>
          <w:kern w:val="0"/>
          <w:sz w:val="24"/>
          <w:szCs w:val="24"/>
        </w:rPr>
        <w:t>个工作日内支付。</w:t>
      </w:r>
    </w:p>
    <w:p w14:paraId="09E3094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4</w:t>
      </w:r>
      <w:r>
        <w:rPr>
          <w:rFonts w:ascii="宋体" w:hAnsi="宋体" w:cs="宋体"/>
          <w:kern w:val="0"/>
          <w:sz w:val="24"/>
          <w:szCs w:val="24"/>
        </w:rPr>
        <w:t>－</w:t>
      </w:r>
      <w:r>
        <w:rPr>
          <w:rStyle w:val="custom"/>
          <w:rFonts w:ascii="宋体" w:hAnsi="宋体" w:cs="宋体"/>
          <w:kern w:val="0"/>
          <w:sz w:val="24"/>
          <w:szCs w:val="24"/>
        </w:rPr>
        <w:t>10</w:t>
      </w:r>
      <w:r>
        <w:rPr>
          <w:rFonts w:ascii="宋体" w:hAnsi="宋体" w:cs="宋体"/>
          <w:kern w:val="0"/>
          <w:sz w:val="24"/>
          <w:szCs w:val="24"/>
        </w:rPr>
        <w:t>项费用，根据有关法规及相应协议规定，按费用实际支出金额列入当期费用，由基金托管人从基金财产中支付。</w:t>
      </w:r>
    </w:p>
    <w:p w14:paraId="65E7E76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不列入基金费用的项目</w:t>
      </w:r>
    </w:p>
    <w:p w14:paraId="0CA5F30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下列费用不列入基金费用：</w:t>
      </w:r>
    </w:p>
    <w:p w14:paraId="5569106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基金管理人和基金托管人因未履行或未完全履行义务导致的费用支出或基金财产的损失；</w:t>
      </w:r>
    </w:p>
    <w:p w14:paraId="3AA66C5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基金管理人和基金托管人处理与基金运作无关的事项发生的费用；</w:t>
      </w:r>
    </w:p>
    <w:p w14:paraId="1D96752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《基金合同》生效前的相关费用；</w:t>
      </w:r>
    </w:p>
    <w:p w14:paraId="3018700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4、基金的指数许可使用费（该费用由基金管理人承担）；</w:t>
      </w:r>
    </w:p>
    <w:p w14:paraId="348F35E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其他根据相关法律法规及中国证监会的有关规定不得列入基金费用的项目。</w:t>
      </w:r>
    </w:p>
    <w:p w14:paraId="7513CBF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实施侧袋机制期间的基金费用</w:t>
      </w:r>
    </w:p>
    <w:p w14:paraId="13839B0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3ADFBB5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基金税收</w:t>
      </w:r>
    </w:p>
    <w:p w14:paraId="34235B0A"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4B686553" w14:textId="77777777" w:rsidR="00C41073" w:rsidRDefault="006B1422">
      <w:pPr>
        <w:pStyle w:val="1"/>
        <w:spacing w:before="0" w:after="0"/>
        <w:jc w:val="center"/>
        <w:rPr>
          <w:rFonts w:ascii="Times New Roman"/>
          <w:color w:val="auto"/>
          <w:sz w:val="30"/>
        </w:rPr>
      </w:pPr>
      <w:bookmarkStart w:id="55" w:name="_Toc25600001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基金的收益与分配</w:t>
      </w:r>
      <w:bookmarkEnd w:id="55"/>
    </w:p>
    <w:p w14:paraId="7F04010F" w14:textId="77777777" w:rsidR="00C41073" w:rsidRDefault="00C41073"/>
    <w:p w14:paraId="57A9897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基金利润的构成</w:t>
      </w:r>
    </w:p>
    <w:p w14:paraId="1E0BA58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3FD9D2D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基金可供分配利润</w:t>
      </w:r>
    </w:p>
    <w:p w14:paraId="227AF8D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62A955C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基金收益分配原则</w:t>
      </w:r>
    </w:p>
    <w:p w14:paraId="154C8EE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在符合有关基金分红条件的前提下，本基金可进行基金收益分配，若《基金合同》生效不满3个月可不进行收益分配；</w:t>
      </w:r>
    </w:p>
    <w:p w14:paraId="35141FEC"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C类基金份额分别选择不同的分红方式；若投资者不选择，本基金默认的收益分配方式是现金分红；</w:t>
      </w:r>
    </w:p>
    <w:p w14:paraId="491C1221" w14:textId="77777777" w:rsidR="00C41073" w:rsidRDefault="006B1422">
      <w:pPr>
        <w:pStyle w:val="div"/>
        <w:spacing w:line="360" w:lineRule="auto"/>
        <w:ind w:firstLine="420"/>
        <w:rPr>
          <w:rFonts w:eastAsia="Times New Roman"/>
          <w:kern w:val="0"/>
          <w:sz w:val="24"/>
          <w:szCs w:val="24"/>
        </w:rPr>
      </w:pPr>
      <w:r>
        <w:rPr>
          <w:rStyle w:val="serial-tag"/>
          <w:rFonts w:ascii="宋体" w:hAnsi="宋体" w:cs="宋体"/>
          <w:kern w:val="0"/>
          <w:sz w:val="24"/>
          <w:szCs w:val="24"/>
        </w:rPr>
        <w:t>3、</w:t>
      </w:r>
      <w:r>
        <w:rPr>
          <w:rFonts w:ascii="宋体" w:hAnsi="宋体" w:cs="宋体"/>
          <w:sz w:val="24"/>
          <w:szCs w:val="24"/>
        </w:rPr>
        <w:t>基金管理人可对基金相对业绩比较基准的超额收益率以及基金的可供分配利润进行评价，在符合基金收益分配条件下，基金管理人可进行收益分配</w:t>
      </w:r>
      <w:r>
        <w:rPr>
          <w:rFonts w:ascii="宋体" w:hAnsi="宋体" w:cs="宋体"/>
          <w:kern w:val="0"/>
          <w:sz w:val="24"/>
          <w:szCs w:val="24"/>
        </w:rPr>
        <w:t>；</w:t>
      </w:r>
    </w:p>
    <w:p w14:paraId="54F06650"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4</w:t>
      </w:r>
      <w:r>
        <w:rPr>
          <w:rStyle w:val="custom"/>
          <w:rFonts w:ascii="宋体" w:hAnsi="宋体" w:cs="宋体"/>
          <w:kern w:val="0"/>
          <w:sz w:val="24"/>
          <w:szCs w:val="24"/>
        </w:rPr>
        <w:t>、同一类别内每一基金份额享有同等分配权；</w:t>
      </w:r>
    </w:p>
    <w:p w14:paraId="2591DB3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hint="eastAsia"/>
          <w:kern w:val="0"/>
          <w:sz w:val="24"/>
          <w:szCs w:val="24"/>
        </w:rPr>
        <w:t>5</w:t>
      </w:r>
      <w:r>
        <w:rPr>
          <w:rStyle w:val="custom"/>
          <w:rFonts w:ascii="宋体" w:hAnsi="宋体" w:cs="宋体"/>
          <w:kern w:val="0"/>
          <w:sz w:val="24"/>
          <w:szCs w:val="24"/>
        </w:rPr>
        <w:t>、</w:t>
      </w:r>
      <w:r>
        <w:rPr>
          <w:rFonts w:ascii="宋体" w:hAnsi="宋体" w:cs="宋体"/>
          <w:kern w:val="0"/>
          <w:sz w:val="24"/>
          <w:szCs w:val="24"/>
        </w:rPr>
        <w:t>法律法规或监管机构另有规定的，从其规定。</w:t>
      </w:r>
    </w:p>
    <w:p w14:paraId="67947445"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453D755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收益分配方案</w:t>
      </w:r>
    </w:p>
    <w:p w14:paraId="61CBC1F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60DC99A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收益分配方案的确定、公告与实施</w:t>
      </w:r>
    </w:p>
    <w:p w14:paraId="0A00CBE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5B9C3EE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基金收益分配中发生的费用</w:t>
      </w:r>
    </w:p>
    <w:p w14:paraId="14251A47"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基金收益分配时所发生的银行转账或其他手续费用由投资者自行承担。当投</w:t>
      </w:r>
      <w:r>
        <w:rPr>
          <w:rStyle w:val="custom"/>
          <w:rFonts w:ascii="宋体" w:hAnsi="宋体" w:cs="宋体"/>
          <w:kern w:val="0"/>
          <w:sz w:val="24"/>
          <w:szCs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14:paraId="6E6DD5C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实施侧袋机制期间的收益分配</w:t>
      </w:r>
    </w:p>
    <w:p w14:paraId="06AF3825"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r>
        <w:rPr>
          <w:rFonts w:ascii="宋体" w:hAnsi="宋体" w:cs="宋体"/>
          <w:kern w:val="0"/>
          <w:sz w:val="24"/>
          <w:szCs w:val="24"/>
        </w:rPr>
        <w:br w:type="page"/>
      </w:r>
    </w:p>
    <w:p w14:paraId="0B0998DE" w14:textId="77777777" w:rsidR="00C41073" w:rsidRDefault="006B1422">
      <w:pPr>
        <w:pStyle w:val="1"/>
        <w:spacing w:before="0" w:after="0"/>
        <w:jc w:val="center"/>
        <w:rPr>
          <w:rFonts w:ascii="Times New Roman"/>
          <w:color w:val="auto"/>
          <w:sz w:val="30"/>
        </w:rPr>
      </w:pPr>
      <w:bookmarkStart w:id="56" w:name="_Toc25600001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基金的会计与审计</w:t>
      </w:r>
      <w:bookmarkEnd w:id="56"/>
    </w:p>
    <w:p w14:paraId="0A3A43AF" w14:textId="77777777" w:rsidR="00C41073" w:rsidRDefault="00C41073"/>
    <w:p w14:paraId="78434B8A"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一、基金会计政策</w:t>
      </w:r>
    </w:p>
    <w:p w14:paraId="48B5EB7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1、基金管理人为本基金的基金会计责任方；</w:t>
      </w:r>
    </w:p>
    <w:p w14:paraId="0616F14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2、基金的会计年度为公历年度的1月1日至12月31日；</w:t>
      </w:r>
      <w:r>
        <w:rPr>
          <w:rStyle w:val="custom"/>
          <w:rFonts w:ascii="宋体" w:hAnsi="宋体" w:cs="宋体"/>
          <w:kern w:val="0"/>
          <w:sz w:val="24"/>
          <w:szCs w:val="24"/>
        </w:rPr>
        <w:t>基金首次募集的会计年度按如下原则：如果《基金合同》生效少于2个月，可以并入下一个会计年度披露；</w:t>
      </w:r>
    </w:p>
    <w:p w14:paraId="3933CBD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3、基金核算以人民币为记账本位币，以人民币元为记账单位；</w:t>
      </w:r>
    </w:p>
    <w:p w14:paraId="13210CF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4、会计制度执行国家有关会计制度；</w:t>
      </w:r>
    </w:p>
    <w:p w14:paraId="75FC441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5、本基金独立建账、独立核算；</w:t>
      </w:r>
    </w:p>
    <w:p w14:paraId="69CCFBB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77E0D7A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14:paraId="07BEAC9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二、基金的年度审计</w:t>
      </w:r>
    </w:p>
    <w:p w14:paraId="38EEEA74"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40A52B5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2、会计师事务所更换经办注册会计师，应事先征得基金管理人同意。</w:t>
      </w:r>
    </w:p>
    <w:p w14:paraId="1B7BD80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791C872B" w14:textId="77777777" w:rsidR="00C41073" w:rsidRDefault="006B1422">
      <w:pPr>
        <w:pStyle w:val="1"/>
        <w:spacing w:before="0" w:after="0"/>
        <w:jc w:val="center"/>
        <w:rPr>
          <w:rFonts w:ascii="Times New Roman"/>
          <w:color w:val="auto"/>
          <w:sz w:val="30"/>
        </w:rPr>
      </w:pPr>
      <w:bookmarkStart w:id="57" w:name="_Toc25600001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基金的信息披露</w:t>
      </w:r>
      <w:bookmarkEnd w:id="57"/>
    </w:p>
    <w:p w14:paraId="567A8703" w14:textId="77777777" w:rsidR="00C41073" w:rsidRDefault="00C41073"/>
    <w:p w14:paraId="359A6AD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本基金的信息披露应符合《基金法》、《运作办法》、《信息披露办法》、《流动性风险管理规定》、《基金合同》及其他有关规定。相关法律法规关于信息披露的规定发生变化时，本基金从其最新规定。</w:t>
      </w:r>
    </w:p>
    <w:p w14:paraId="0000768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信息披露义务人</w:t>
      </w:r>
    </w:p>
    <w:p w14:paraId="2CD0893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572BD65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47CAE8C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4E50E8F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本基金信息披露义务人承诺公开披露的基金信息，不得有下列行为：</w:t>
      </w:r>
    </w:p>
    <w:p w14:paraId="1106414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虚假记载、误导性陈述或者重大遗漏；</w:t>
      </w:r>
    </w:p>
    <w:p w14:paraId="3803B3D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对证券投资业绩进行预测；</w:t>
      </w:r>
    </w:p>
    <w:p w14:paraId="0117E20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违规承诺收益或者承担损失；</w:t>
      </w:r>
    </w:p>
    <w:p w14:paraId="0C47F27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诋毁其他基金管理人、基金托管人或者基金销售机构；</w:t>
      </w:r>
    </w:p>
    <w:p w14:paraId="3F2DFF6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登载任何自然人、法人和非法人组织的祝贺性、恭维性或推荐性的文字；</w:t>
      </w:r>
    </w:p>
    <w:p w14:paraId="62ACB40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中国证监会禁止的其他行为。</w:t>
      </w:r>
    </w:p>
    <w:p w14:paraId="168448C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14:paraId="6BE84C3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本基金公开披露的信息采用阿拉伯数字；除特别说明外，货币单位为人民币元。</w:t>
      </w:r>
    </w:p>
    <w:p w14:paraId="49C0989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五、</w:t>
      </w:r>
      <w:r>
        <w:rPr>
          <w:rFonts w:ascii="宋体" w:hAnsi="宋体" w:cs="宋体"/>
          <w:kern w:val="0"/>
          <w:sz w:val="24"/>
          <w:szCs w:val="24"/>
        </w:rPr>
        <w:t>公开披露的基金信息</w:t>
      </w:r>
    </w:p>
    <w:p w14:paraId="7CABDFE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公开披露的基金信息包括：</w:t>
      </w:r>
    </w:p>
    <w:p w14:paraId="68B9A07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基金招募说明书、《基金合同》、基金托管协议、基金产品资料概要</w:t>
      </w:r>
    </w:p>
    <w:p w14:paraId="344D154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14:paraId="0C34F7F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基金招募说明书应当最大限度地披露影响基金投资者决策的全部事项，说明基金</w:t>
      </w:r>
      <w:r>
        <w:rPr>
          <w:rStyle w:val="custom"/>
          <w:rFonts w:ascii="宋体" w:hAnsi="宋体" w:cs="宋体"/>
          <w:kern w:val="0"/>
          <w:sz w:val="24"/>
          <w:szCs w:val="24"/>
        </w:rPr>
        <w:t>认购、</w:t>
      </w:r>
      <w:r>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7189B2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基金托管协议是界定基金托管人和基金管理人在基金财产保管及基金运作监督等活动中的权利、义务关系的法律文件。</w:t>
      </w:r>
    </w:p>
    <w:p w14:paraId="36056018"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744374A"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5F09B8B2"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基金份额发售公告</w:t>
      </w:r>
    </w:p>
    <w:p w14:paraId="12FF61F4"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基金管理人应当就基金份额发售的具体事宜编制基金份额发售公告，并在披露招募说明书的当日登载于规定媒介上。</w:t>
      </w:r>
    </w:p>
    <w:p w14:paraId="6A5D8695"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lastRenderedPageBreak/>
        <w:t>（三）</w:t>
      </w:r>
      <w:r>
        <w:rPr>
          <w:rStyle w:val="custom"/>
          <w:rFonts w:ascii="宋体" w:hAnsi="宋体" w:cs="宋体"/>
          <w:kern w:val="0"/>
          <w:sz w:val="24"/>
          <w:szCs w:val="24"/>
        </w:rPr>
        <w:t>《基金合同》生效公告</w:t>
      </w:r>
    </w:p>
    <w:p w14:paraId="21010422"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基金管理人应当在收到中国证监会确认文件的次日在规定媒介上登载《基金合同》生效公告。</w:t>
      </w:r>
    </w:p>
    <w:p w14:paraId="3F08457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基金净值信息</w:t>
      </w:r>
    </w:p>
    <w:p w14:paraId="3B5D0FFD"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7C3B3420"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064B99F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基金份额申购、赎回价格</w:t>
      </w:r>
    </w:p>
    <w:p w14:paraId="1D5DCF8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32EF362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基金定期报告，包括基金年度报告、基金中期报告和基金季度报告</w:t>
      </w:r>
    </w:p>
    <w:p w14:paraId="1DFC396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7033CF3B"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0EA1F2F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75F289D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《基金合同》生效不足2个月的，基金管理人可以不编制当期季度报告、中期报告或者年度报告。</w:t>
      </w:r>
    </w:p>
    <w:p w14:paraId="749E684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w:t>
      </w:r>
      <w:r>
        <w:rPr>
          <w:rFonts w:ascii="宋体" w:hAnsi="宋体" w:cs="宋体"/>
          <w:kern w:val="0"/>
          <w:sz w:val="24"/>
          <w:szCs w:val="24"/>
        </w:rPr>
        <w:lastRenderedPageBreak/>
        <w:t>持有份额变化情况及本基金的特有风险，中国证监会认定的特殊情形除外。</w:t>
      </w:r>
    </w:p>
    <w:p w14:paraId="7C1332B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078ECA3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临时报告</w:t>
      </w:r>
    </w:p>
    <w:p w14:paraId="0BEF769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7CA47E6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4D930F1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14:paraId="1DB5AF3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14:paraId="5E0F484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14:paraId="0B55160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更换基金管理人、基金托管人、基金份额登记机构，基金改聘会计师事务所；</w:t>
      </w:r>
    </w:p>
    <w:p w14:paraId="5A3AC78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1C05A71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基金管理人、基金托管人的法定名称、住所发生变更；</w:t>
      </w:r>
    </w:p>
    <w:p w14:paraId="1FE6F7E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14:paraId="7AC1A372" w14:textId="77777777" w:rsidR="00C41073" w:rsidRDefault="006B1422">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基金募集期延长或提前结束募集；</w:t>
      </w:r>
    </w:p>
    <w:p w14:paraId="71A84BA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14:paraId="606ABCE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14:paraId="79DDBA2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14:paraId="4A3BCBB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302885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w:t>
      </w:r>
      <w:r>
        <w:rPr>
          <w:rFonts w:ascii="宋体" w:hAnsi="宋体" w:cs="宋体"/>
          <w:kern w:val="0"/>
          <w:sz w:val="24"/>
          <w:szCs w:val="24"/>
        </w:rPr>
        <w:lastRenderedPageBreak/>
        <w:t>实际控制人或者与其有重大利害关系的公司发行的证券或者承销期内承销的证券，或者从事其他重大关联交易事项，但中国证监会另有规定的除外；</w:t>
      </w:r>
    </w:p>
    <w:p w14:paraId="4335442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14:paraId="6D8552C7"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15、管理费、托管费、销售服务费、申购费和赎回费等费用计提标准、计提方式和费率发生变更；</w:t>
      </w:r>
    </w:p>
    <w:p w14:paraId="2EC593B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16、某类基金份额净值估值错误达该类基金份额净值百分之零点五；</w:t>
      </w:r>
    </w:p>
    <w:p w14:paraId="6CC1351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17、本基金开始办理申购、赎回；</w:t>
      </w:r>
    </w:p>
    <w:p w14:paraId="4B1E8A1F"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18、本基金发生巨额赎回并延期办理；</w:t>
      </w:r>
    </w:p>
    <w:p w14:paraId="6DA5AE4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19、本基金连续发生巨额赎回并暂停接受赎回申请或延缓支付赎回款项；</w:t>
      </w:r>
    </w:p>
    <w:p w14:paraId="081C1D5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本基金暂停接受申购、赎回申请或者重新接受申购、赎回申请；</w:t>
      </w:r>
    </w:p>
    <w:p w14:paraId="399F093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21、本基金变更标的指数；</w:t>
      </w:r>
    </w:p>
    <w:p w14:paraId="2530948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调整基金份额类别的设置；</w:t>
      </w:r>
    </w:p>
    <w:p w14:paraId="53BF2FA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本基金推出新业务或服务；</w:t>
      </w:r>
    </w:p>
    <w:p w14:paraId="6893D20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发生涉及基金申购、赎回事项调整或潜在影响投资者赎回等重大事项时；</w:t>
      </w:r>
    </w:p>
    <w:p w14:paraId="09ECADB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基金管理人采用摆动定价机制进行估值；</w:t>
      </w:r>
    </w:p>
    <w:p w14:paraId="57D0D2D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01348282"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澄清公告</w:t>
      </w:r>
    </w:p>
    <w:p w14:paraId="567F5BE3"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EF5092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清算报告</w:t>
      </w:r>
    </w:p>
    <w:p w14:paraId="496DF65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14:paraId="1A9120B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基金份额持有人大会决议</w:t>
      </w:r>
    </w:p>
    <w:p w14:paraId="4CA182B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14:paraId="6B1FBB8E"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（十一）投资股指期货的信息披露</w:t>
      </w:r>
    </w:p>
    <w:p w14:paraId="3B6B2F12"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基金管理人在季度报告、中期报告、年度报告等定期报告和招募说明书(更</w:t>
      </w:r>
      <w:r>
        <w:rPr>
          <w:rStyle w:val="custom"/>
          <w:rFonts w:ascii="宋体" w:hAnsi="宋体" w:cs="宋体"/>
          <w:kern w:val="0"/>
          <w:sz w:val="24"/>
          <w:szCs w:val="24"/>
        </w:rPr>
        <w:lastRenderedPageBreak/>
        <w:t>新)等文件中披露股指期货交易情况，包括交易政策、持仓情况、损益情况、风险指标等，并充分揭示股指期货交易对基金总体风险的影响以及是否符合既定的交易政策和交易目标等。</w:t>
      </w:r>
    </w:p>
    <w:p w14:paraId="19F9A261"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（十二）投资国债期货的信息披露</w:t>
      </w:r>
    </w:p>
    <w:p w14:paraId="18D718B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0EDCD8AA"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（十三）投资股票期权的信息披露</w:t>
      </w:r>
    </w:p>
    <w:p w14:paraId="4970A89B"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2011AA7"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（十四）投资资产支持证券的信息披露</w:t>
      </w:r>
    </w:p>
    <w:p w14:paraId="7F68320F"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5B556EE6"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（十五）参与融资业务的信息披露</w:t>
      </w:r>
    </w:p>
    <w:p w14:paraId="778C4B49"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14:paraId="5C3138A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（十六）参与转融通证券出借业务的信息披露</w:t>
      </w:r>
    </w:p>
    <w:p w14:paraId="6756AEA3"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转融通证券出借业务交易的情况，包括投资策略、业务开展情况、损益情况、风险及管理情况，并就报告期内本基金参与转融通证券出借业务发生的重大关联交易事项做详细说明。</w:t>
      </w:r>
    </w:p>
    <w:p w14:paraId="037692D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实施侧袋机制期间的信息披露</w:t>
      </w:r>
    </w:p>
    <w:p w14:paraId="76ECCE1F"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本基金实施侧袋机制的，相关信息披露义务人应当根据法律法规、基金合同</w:t>
      </w:r>
      <w:r>
        <w:rPr>
          <w:rFonts w:ascii="宋体" w:hAnsi="宋体" w:cs="宋体"/>
          <w:kern w:val="0"/>
          <w:sz w:val="24"/>
          <w:szCs w:val="24"/>
        </w:rPr>
        <w:lastRenderedPageBreak/>
        <w:t>和招募说明书的规定进行信息披露，详见招募说明书的规定。</w:t>
      </w:r>
    </w:p>
    <w:p w14:paraId="75AC710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中国证监会规定的其他信息。</w:t>
      </w:r>
    </w:p>
    <w:p w14:paraId="7379C7E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暂停或延迟信息披露的情形</w:t>
      </w:r>
    </w:p>
    <w:p w14:paraId="21F5D995"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14:paraId="6FA8F0A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3F265552" w14:textId="77777777" w:rsidR="00C41073" w:rsidRDefault="006B1422">
      <w:pPr>
        <w:pStyle w:val="div"/>
        <w:spacing w:line="360" w:lineRule="auto"/>
        <w:ind w:firstLine="420"/>
        <w:jc w:val="left"/>
        <w:rPr>
          <w:rFonts w:ascii="宋体" w:hAnsi="宋体" w:cs="宋体"/>
          <w:sz w:val="24"/>
          <w:szCs w:val="24"/>
        </w:rPr>
      </w:pPr>
      <w:r>
        <w:rPr>
          <w:rStyle w:val="custom"/>
          <w:rFonts w:ascii="宋体" w:hAnsi="宋体" w:cs="宋体"/>
          <w:kern w:val="0"/>
          <w:sz w:val="24"/>
          <w:szCs w:val="24"/>
        </w:rPr>
        <w:t>3、</w:t>
      </w:r>
      <w:r>
        <w:rPr>
          <w:rFonts w:ascii="宋体" w:hAnsi="宋体" w:cs="宋体" w:hint="eastAsia"/>
          <w:sz w:val="24"/>
          <w:szCs w:val="24"/>
        </w:rPr>
        <w:t>当特定资产占前一估值日基金资产净值</w:t>
      </w:r>
      <w:r>
        <w:rPr>
          <w:rFonts w:hint="eastAsia"/>
          <w:sz w:val="24"/>
          <w:szCs w:val="24"/>
        </w:rPr>
        <w:t>50%</w:t>
      </w:r>
      <w:r>
        <w:rPr>
          <w:rFonts w:ascii="宋体" w:hAnsi="宋体" w:cs="宋体" w:hint="eastAsia"/>
          <w:sz w:val="24"/>
          <w:szCs w:val="24"/>
        </w:rPr>
        <w:t>以上的，经与基金托管人协商确认后，基金管理人应当暂停估值时；</w:t>
      </w:r>
    </w:p>
    <w:p w14:paraId="3CA40C6C" w14:textId="77777777" w:rsidR="00C41073" w:rsidRDefault="006B1422">
      <w:pPr>
        <w:pStyle w:val="div"/>
        <w:spacing w:line="360" w:lineRule="auto"/>
        <w:ind w:firstLine="420"/>
        <w:jc w:val="left"/>
        <w:rPr>
          <w:rFonts w:eastAsia="Times New Roman"/>
          <w:kern w:val="0"/>
          <w:sz w:val="24"/>
          <w:szCs w:val="24"/>
        </w:rPr>
      </w:pPr>
      <w:r>
        <w:rPr>
          <w:rFonts w:ascii="宋体" w:hAnsi="宋体" w:cs="宋体" w:hint="eastAsia"/>
          <w:sz w:val="24"/>
          <w:szCs w:val="24"/>
        </w:rPr>
        <w:t>4、</w:t>
      </w:r>
      <w:r>
        <w:rPr>
          <w:rFonts w:ascii="宋体" w:hAnsi="宋体" w:cs="宋体"/>
          <w:kern w:val="0"/>
          <w:sz w:val="24"/>
          <w:szCs w:val="24"/>
        </w:rPr>
        <w:t>法律法规规定、中国证监会或《基金合同》认定的其他情形。</w:t>
      </w:r>
    </w:p>
    <w:p w14:paraId="7C7D58B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信息披露事务管理</w:t>
      </w:r>
    </w:p>
    <w:p w14:paraId="6FC110E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5CB2AFE8"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4E133B76"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子确认。</w:t>
      </w:r>
    </w:p>
    <w:p w14:paraId="52DCF21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1401621"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29DA531"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w:t>
      </w:r>
      <w:r>
        <w:rPr>
          <w:rFonts w:ascii="宋体" w:hAnsi="宋体" w:cs="宋体"/>
          <w:kern w:val="0"/>
          <w:sz w:val="24"/>
          <w:szCs w:val="24"/>
        </w:rPr>
        <w:lastRenderedPageBreak/>
        <w:t>国证监会及自律规则的相关规定。前述自主披露如产生信息披露费用，该费用不得从基金财产中列支。</w:t>
      </w:r>
    </w:p>
    <w:p w14:paraId="44D6FAEE"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06654F4C"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信息披露文件的存放与查阅</w:t>
      </w:r>
    </w:p>
    <w:p w14:paraId="779FD5B2" w14:textId="77777777" w:rsidR="00C41073" w:rsidRDefault="006B1422">
      <w:pPr>
        <w:pStyle w:val="div"/>
        <w:spacing w:line="360" w:lineRule="auto"/>
        <w:ind w:firstLine="420"/>
        <w:rPr>
          <w:rFonts w:eastAsia="Times New Roman"/>
          <w:kern w:val="0"/>
          <w:sz w:val="24"/>
          <w:szCs w:val="24"/>
        </w:rPr>
      </w:pPr>
      <w:r>
        <w:rPr>
          <w:rStyle w:val="custom"/>
          <w:rFonts w:ascii="宋体" w:hAnsi="宋体" w:cs="宋体"/>
          <w:kern w:val="0"/>
          <w:sz w:val="24"/>
          <w:szCs w:val="24"/>
        </w:rPr>
        <w:t>依法必须披露的信息发布后，基金管理人、基金托管人应当按照相关法律法规规定将信息置备于各自住所，供社会公众查阅、复制。</w:t>
      </w:r>
      <w:r>
        <w:rPr>
          <w:rStyle w:val="custom"/>
          <w:rFonts w:ascii="宋体" w:hAnsi="宋体" w:cs="宋体"/>
          <w:kern w:val="0"/>
          <w:sz w:val="24"/>
          <w:szCs w:val="24"/>
        </w:rPr>
        <w:br w:type="page"/>
      </w:r>
    </w:p>
    <w:p w14:paraId="49D60B9E" w14:textId="77777777" w:rsidR="00C41073" w:rsidRDefault="006B1422">
      <w:pPr>
        <w:pStyle w:val="1"/>
        <w:spacing w:before="0" w:after="0"/>
        <w:jc w:val="center"/>
        <w:rPr>
          <w:rFonts w:ascii="Times New Roman"/>
          <w:color w:val="auto"/>
          <w:sz w:val="30"/>
        </w:rPr>
      </w:pPr>
      <w:bookmarkStart w:id="58" w:name="_Toc256000018"/>
      <w:r>
        <w:rPr>
          <w:rFonts w:ascii="Times New Roman"/>
          <w:color w:val="auto"/>
          <w:sz w:val="30"/>
        </w:rPr>
        <w:lastRenderedPageBreak/>
        <w:t>第十九部分</w:t>
      </w:r>
      <w:r>
        <w:rPr>
          <w:rFonts w:ascii="Times New Roman"/>
          <w:color w:val="auto"/>
          <w:sz w:val="30"/>
        </w:rPr>
        <w:t xml:space="preserve">  </w:t>
      </w:r>
      <w:r>
        <w:rPr>
          <w:rFonts w:ascii="Times New Roman"/>
          <w:color w:val="auto"/>
          <w:sz w:val="30"/>
        </w:rPr>
        <w:t>基金合同的变更、终止与基金财产的清算</w:t>
      </w:r>
      <w:bookmarkEnd w:id="58"/>
    </w:p>
    <w:p w14:paraId="33889347" w14:textId="77777777" w:rsidR="00C41073" w:rsidRDefault="00C41073"/>
    <w:p w14:paraId="1986CD5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《基金合同》的变更</w:t>
      </w:r>
    </w:p>
    <w:p w14:paraId="637FF4B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EDD061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关于《基金合同》变更的基金份额持有人大会决议自生效后方可执行，自决议生效后两日内在规定媒介公告。</w:t>
      </w:r>
    </w:p>
    <w:p w14:paraId="403ED3B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《基金合同》的终止事由</w:t>
      </w:r>
    </w:p>
    <w:p w14:paraId="454C813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有下列情形之一的，经履行相关程序后，《基金合同》应当终止：</w:t>
      </w:r>
    </w:p>
    <w:p w14:paraId="23054F1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14:paraId="1DB78C0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14:paraId="2583D99D" w14:textId="77777777" w:rsidR="00C41073" w:rsidRDefault="006B1422">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E40132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《基金合同》约定的其他情形；</w:t>
      </w:r>
    </w:p>
    <w:p w14:paraId="0B2CBFEE"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相关法律法规和中国证监会规定的其他情况。</w:t>
      </w:r>
    </w:p>
    <w:p w14:paraId="4ECBB65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基金财产的清算</w:t>
      </w:r>
    </w:p>
    <w:p w14:paraId="78203B17"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基金财产清算小组：自出现《基金合同》终止事由之日起30个工作日内成立清算小组，基金管理人组织基金财产清算小组并在中国证监会的监督下进行基金清算。</w:t>
      </w:r>
    </w:p>
    <w:p w14:paraId="0787E6B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3AB53B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14:paraId="5EB6C39B"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4、</w:t>
      </w:r>
      <w:r>
        <w:rPr>
          <w:rFonts w:ascii="宋体" w:hAnsi="宋体" w:cs="宋体"/>
          <w:kern w:val="0"/>
          <w:sz w:val="24"/>
          <w:szCs w:val="24"/>
        </w:rPr>
        <w:t>基金财产清算程序：</w:t>
      </w:r>
    </w:p>
    <w:p w14:paraId="247AF963"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《基金合同》终止情形出现时，由基金财产清算小组统一接管基金；</w:t>
      </w:r>
    </w:p>
    <w:p w14:paraId="1CBE09E8"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对基金财产和债权债务进行清理和确认；</w:t>
      </w:r>
    </w:p>
    <w:p w14:paraId="418ED2F0"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对基金财产进行估值和变现；</w:t>
      </w:r>
    </w:p>
    <w:p w14:paraId="1F3F09DF"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制作清算报告；</w:t>
      </w:r>
    </w:p>
    <w:p w14:paraId="506A6AD4"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聘请符合《中华人民共和国证券法》规定的会计师事务所对清算报告进行外部审计，聘请律师事务所对清算报告出具法律意见书；</w:t>
      </w:r>
    </w:p>
    <w:p w14:paraId="1D91376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将清算报告报中国证监会备案并公告；</w:t>
      </w:r>
    </w:p>
    <w:p w14:paraId="67077C4D"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对基金剩余财产进行分配。</w:t>
      </w:r>
    </w:p>
    <w:p w14:paraId="253888E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基金财产清算的期限为6个月，但因本基金所持证券的流动性受到限制而不能及时变现的，清算期限相应顺延。</w:t>
      </w:r>
    </w:p>
    <w:p w14:paraId="04E944EA"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清算费用</w:t>
      </w:r>
    </w:p>
    <w:p w14:paraId="0405789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60EEDE96"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基金财产清算剩余资产的分配</w:t>
      </w:r>
    </w:p>
    <w:p w14:paraId="46DE1C20"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w:t>
      </w:r>
      <w:r>
        <w:rPr>
          <w:rFonts w:ascii="宋体" w:hAnsi="宋体" w:cs="宋体" w:hint="eastAsia"/>
          <w:kern w:val="0"/>
          <w:sz w:val="24"/>
          <w:szCs w:val="24"/>
        </w:rPr>
        <w:t>各类</w:t>
      </w:r>
      <w:r>
        <w:rPr>
          <w:rFonts w:ascii="宋体" w:hAnsi="宋体" w:cs="宋体"/>
          <w:kern w:val="0"/>
          <w:sz w:val="24"/>
          <w:szCs w:val="24"/>
        </w:rPr>
        <w:t>基金份额比例进行分配。</w:t>
      </w:r>
    </w:p>
    <w:p w14:paraId="51E9C639"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基金财产清算的公告</w:t>
      </w:r>
    </w:p>
    <w:p w14:paraId="1066674E"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395D2B5"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基金财产清算账册及文件的保存</w:t>
      </w:r>
    </w:p>
    <w:p w14:paraId="65C14C82"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43A10080" w14:textId="77777777" w:rsidR="00C41073" w:rsidRDefault="006B1422">
      <w:pPr>
        <w:pStyle w:val="1"/>
        <w:spacing w:before="0" w:after="0"/>
        <w:jc w:val="center"/>
        <w:rPr>
          <w:rFonts w:ascii="Times New Roman"/>
          <w:color w:val="auto"/>
          <w:sz w:val="30"/>
        </w:rPr>
      </w:pPr>
      <w:bookmarkStart w:id="59" w:name="_Toc25600001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59"/>
    </w:p>
    <w:p w14:paraId="129D1036" w14:textId="77777777" w:rsidR="00C41073" w:rsidRDefault="00C41073"/>
    <w:p w14:paraId="2E8395B3"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0912C2B5"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1、不可抗力；</w:t>
      </w:r>
    </w:p>
    <w:p w14:paraId="2FC44297"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14:paraId="173B747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14:paraId="5EF002B9"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8A558F6"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w:t>
      </w:r>
      <w:r>
        <w:rPr>
          <w:rFonts w:hint="eastAsia"/>
          <w:sz w:val="24"/>
        </w:rPr>
        <w:t>或因前述原因未能避免或更正错误</w:t>
      </w:r>
      <w:r>
        <w:rPr>
          <w:rFonts w:ascii="宋体" w:hAnsi="宋体" w:cs="宋体"/>
          <w:kern w:val="0"/>
          <w:sz w:val="24"/>
          <w:szCs w:val="24"/>
        </w:rPr>
        <w:t>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14:paraId="3A52A278" w14:textId="77777777" w:rsidR="00C41073" w:rsidRDefault="006B1422">
      <w:pPr>
        <w:pStyle w:val="1"/>
        <w:spacing w:before="0" w:after="0"/>
        <w:jc w:val="center"/>
        <w:rPr>
          <w:rFonts w:ascii="Times New Roman"/>
          <w:color w:val="auto"/>
          <w:sz w:val="30"/>
        </w:rPr>
      </w:pPr>
      <w:bookmarkStart w:id="60" w:name="_Toc25600002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60"/>
    </w:p>
    <w:p w14:paraId="0F2FABEA" w14:textId="77777777" w:rsidR="00C41073" w:rsidRDefault="00C41073"/>
    <w:p w14:paraId="32E2ED1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w:t>
      </w:r>
      <w:r>
        <w:rPr>
          <w:rFonts w:ascii="宋体" w:hAnsi="宋体" w:cs="宋体" w:hint="eastAsia"/>
          <w:kern w:val="0"/>
          <w:sz w:val="24"/>
          <w:szCs w:val="24"/>
        </w:rPr>
        <w:t>中国国际经济贸易仲裁委员会</w:t>
      </w:r>
      <w:r>
        <w:rPr>
          <w:rFonts w:ascii="宋体" w:hAnsi="宋体" w:cs="宋体"/>
          <w:kern w:val="0"/>
          <w:sz w:val="24"/>
          <w:szCs w:val="24"/>
        </w:rPr>
        <w:t>，按照其届时有效的仲裁规则进行仲裁，仲裁地点为</w:t>
      </w:r>
      <w:r>
        <w:rPr>
          <w:rFonts w:ascii="宋体" w:hAnsi="宋体" w:cs="宋体" w:hint="eastAsia"/>
          <w:kern w:val="0"/>
          <w:sz w:val="24"/>
          <w:szCs w:val="24"/>
        </w:rPr>
        <w:t>北京市</w:t>
      </w:r>
      <w:r>
        <w:rPr>
          <w:rFonts w:ascii="宋体" w:hAnsi="宋体" w:cs="宋体"/>
          <w:kern w:val="0"/>
          <w:sz w:val="24"/>
          <w:szCs w:val="24"/>
        </w:rPr>
        <w:t>。仲裁裁决是终局的，对各方当事人均有约束力，除非仲裁裁决另有决定，仲裁费用由败诉方承担。</w:t>
      </w:r>
    </w:p>
    <w:p w14:paraId="46ADCD2A"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14A4A73E"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14:paraId="0BB0A6FB" w14:textId="77777777" w:rsidR="00C41073" w:rsidRDefault="006B1422">
      <w:pPr>
        <w:pStyle w:val="1"/>
        <w:spacing w:before="0" w:after="0"/>
        <w:jc w:val="center"/>
        <w:rPr>
          <w:rFonts w:ascii="Times New Roman"/>
          <w:color w:val="auto"/>
          <w:sz w:val="30"/>
        </w:rPr>
      </w:pPr>
      <w:bookmarkStart w:id="61" w:name="_Toc25600002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61"/>
    </w:p>
    <w:p w14:paraId="13029A2B" w14:textId="77777777" w:rsidR="00C41073" w:rsidRDefault="00C41073"/>
    <w:p w14:paraId="65E112D3"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069C1321" w14:textId="77777777" w:rsidR="00C41073" w:rsidRDefault="006B1422">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2C9690BD"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273B5B88"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2B334514"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68EDCD7B" w14:textId="77777777" w:rsidR="00C41073" w:rsidRDefault="006B1422">
      <w:pPr>
        <w:pStyle w:val="div"/>
        <w:spacing w:line="360" w:lineRule="auto"/>
        <w:ind w:firstLine="42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14:paraId="05F0D0E3" w14:textId="77777777" w:rsidR="00C41073" w:rsidRDefault="006B1422">
      <w:pPr>
        <w:pStyle w:val="1"/>
        <w:spacing w:before="0" w:after="0"/>
        <w:jc w:val="center"/>
        <w:rPr>
          <w:rFonts w:ascii="Times New Roman"/>
          <w:color w:val="auto"/>
          <w:sz w:val="30"/>
        </w:rPr>
      </w:pPr>
      <w:bookmarkStart w:id="62" w:name="_Toc256000022"/>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其他事项</w:t>
      </w:r>
      <w:bookmarkEnd w:id="62"/>
    </w:p>
    <w:p w14:paraId="028A48D8" w14:textId="77777777" w:rsidR="00C41073" w:rsidRDefault="00C41073"/>
    <w:p w14:paraId="0E1938AD" w14:textId="77777777" w:rsidR="00C41073" w:rsidRDefault="006B1422">
      <w:pPr>
        <w:pStyle w:val="div"/>
        <w:spacing w:line="360" w:lineRule="auto"/>
        <w:ind w:firstLine="42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14:paraId="381BC7BE" w14:textId="77777777" w:rsidR="00C41073" w:rsidRDefault="006B1422">
      <w:pPr>
        <w:pStyle w:val="1"/>
        <w:spacing w:before="0" w:after="0"/>
        <w:jc w:val="center"/>
        <w:rPr>
          <w:rFonts w:ascii="Times New Roman"/>
          <w:color w:val="auto"/>
          <w:sz w:val="30"/>
        </w:rPr>
      </w:pPr>
      <w:bookmarkStart w:id="63" w:name="_Toc256000023"/>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3"/>
      <w:r>
        <w:rPr>
          <w:rFonts w:ascii="Times New Roman"/>
          <w:color w:val="auto"/>
          <w:sz w:val="30"/>
        </w:rPr>
        <w:br/>
      </w:r>
    </w:p>
    <w:p w14:paraId="4369BADB"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09DBD29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7A30254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14:paraId="19DAC2E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14:paraId="19CEC41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14:paraId="0D40426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（3）依照《基金合同》收取基金管理费以及法律法规规定或中国证监会批准的其他费用；</w:t>
      </w:r>
    </w:p>
    <w:p w14:paraId="2DB2A27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14:paraId="77BD524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14:paraId="5777822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417B1DD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14:paraId="64CC97C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14:paraId="3A081A7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5BAB9C9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14:paraId="7E18544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14:paraId="415A19E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4A7222A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（13）在法律法规允许的前提下，为基金的利益依法为基金进行融资及转融通证券出借业务；</w:t>
      </w:r>
    </w:p>
    <w:p w14:paraId="563C249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14:paraId="1B96F895"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lastRenderedPageBreak/>
        <w:t>（15）选择、更换律师事务所、会计师事务所、证券经纪商、期货经纪机构或其他为基金提供服务的外部机构；</w:t>
      </w:r>
    </w:p>
    <w:p w14:paraId="1BD5442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（16）在符合有关法律、法规的前提下，制订和调整有关基金认购、申购、赎回、转换、定期定额投资、转托管和非交易过户等业务规则；</w:t>
      </w:r>
    </w:p>
    <w:p w14:paraId="4BC153F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（17）在法律法规和基金合同规定的范围内决定调整基金费率结构和收费方式；</w:t>
      </w:r>
    </w:p>
    <w:p w14:paraId="19F158B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（18）法律法规及中国证监会规定的和《基金合同》约定的其他权利。</w:t>
      </w:r>
    </w:p>
    <w:p w14:paraId="4FA73E9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14:paraId="49BDCB2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1C17164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14:paraId="41B0E4F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14:paraId="1B1ECFC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0343DED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2D6F1B7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75EB572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14:paraId="3B9F2B0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229565C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14:paraId="05ADEAC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14:paraId="52789A7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14:paraId="12FE0BB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5FAFFEE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14:paraId="6682210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（14）按规定受理申购与赎回申请，及时、足额支付赎回款项；</w:t>
      </w:r>
    </w:p>
    <w:p w14:paraId="0281173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143BB46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254885C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87FBD6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14:paraId="757B290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14:paraId="4979983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2E781AD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6EF4E8D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204A054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14:paraId="19AB5D3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w:t>
      </w:r>
      <w:r>
        <w:rPr>
          <w:rFonts w:ascii="宋体" w:hAnsi="宋体" w:cs="宋体"/>
          <w:kern w:val="0"/>
          <w:sz w:val="24"/>
          <w:szCs w:val="24"/>
        </w:rPr>
        <w:lastRenderedPageBreak/>
        <w:t>息在基金募集期结束后30日内退还基金认购人；</w:t>
      </w:r>
    </w:p>
    <w:p w14:paraId="66DBA49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（25）执行生效的基金份额持有人大会的决议；</w:t>
      </w:r>
    </w:p>
    <w:p w14:paraId="1D7C538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14:paraId="66105BB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（27）法律法规及中国证监会规定的和《基金合同》约定的其他义务。</w:t>
      </w:r>
    </w:p>
    <w:p w14:paraId="5B1B2F0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2269BC5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14:paraId="1249CF4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（1）自《基金合同》生效之日起，依法律法规和《基金合同》的规定安全保管基金财产；</w:t>
      </w:r>
    </w:p>
    <w:p w14:paraId="4613AE1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14:paraId="3582889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A1BB29"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（4）根据相关市场规则，为基金开设资金账户、证券账户和期货账户等投资所需账户，为基金办理证券、期货交易资金清算；</w:t>
      </w:r>
    </w:p>
    <w:p w14:paraId="1C2A6FF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14:paraId="6523351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14:paraId="3BFEC9D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（7）法律法规及中国证监会规定的和《基金合同》约定的其他权利。</w:t>
      </w:r>
    </w:p>
    <w:p w14:paraId="2F2BD3A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14:paraId="4BC8C7F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14:paraId="60A84CE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5343E57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D1F60E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w:t>
      </w:r>
      <w:r>
        <w:rPr>
          <w:rFonts w:ascii="宋体" w:hAnsi="宋体" w:cs="宋体"/>
          <w:kern w:val="0"/>
          <w:sz w:val="24"/>
          <w:szCs w:val="24"/>
        </w:rPr>
        <w:lastRenderedPageBreak/>
        <w:t>财产为自己及任何第三人谋取利益，不得委托第三人托管基金财产；</w:t>
      </w:r>
    </w:p>
    <w:p w14:paraId="309C444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（5）保管由基金管理人代表基金签订的与基金有关的重大合同及有关凭证；</w:t>
      </w:r>
    </w:p>
    <w:p w14:paraId="5FCC871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（6）按规定开设基金财产的资金账户、证券账户和期货账户等投资所需账户，按照《基金合同》的约定，根据基金管理人的投资指令，及时办理清算、交割事宜；</w:t>
      </w:r>
    </w:p>
    <w:p w14:paraId="3219937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30A6C1D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（8）复核、审查基金管理人计算的基金资产净值、各类基金份额净值、基金份额申购、赎回价格；</w:t>
      </w:r>
    </w:p>
    <w:p w14:paraId="0D431D4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14:paraId="007C116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6FD6BA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（11）保存基金托管业务活动的记录、账册、报表和其他相关资料不少于法定最低期限；</w:t>
      </w:r>
    </w:p>
    <w:p w14:paraId="3417D78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（12）建立并保存基金份额持有人名册；</w:t>
      </w:r>
    </w:p>
    <w:p w14:paraId="0C427F1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14:paraId="44CA259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（14）依据基金管理人的指令或有关规定向基金份额持有人支付基金收益和赎回款项；</w:t>
      </w:r>
    </w:p>
    <w:p w14:paraId="7C13000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4E6502D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14:paraId="6C49A96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14:paraId="1E580EB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（18）面临解散、依法被撤销或者被依法宣告破产时，及时报告中国证监会和银行业监督管理机构，并通知基金管理人；</w:t>
      </w:r>
    </w:p>
    <w:p w14:paraId="6361009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（19）因违反《基金合同》导致基金财产损失时，应承担赔偿责任，其赔偿责任不因其退任而免除；</w:t>
      </w:r>
    </w:p>
    <w:p w14:paraId="78042FC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3DBF3B4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14:paraId="752436E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（22）法律法规及中国证监会规定的和《基金合同》约定的其他义务。</w:t>
      </w:r>
    </w:p>
    <w:p w14:paraId="744AD02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0E651565"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8A2FE6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同一类别内每份基金份额具有同等的合法权益。</w:t>
      </w:r>
    </w:p>
    <w:p w14:paraId="4A5B575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14:paraId="520B9C5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02565D3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542D2F2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25EBA5B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5B98D69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2BA7C68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（6）查阅或者复制公开披露的基金信息资料；</w:t>
      </w:r>
    </w:p>
    <w:p w14:paraId="4A68C7F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（7）监督基金管理人的投资运作；</w:t>
      </w:r>
    </w:p>
    <w:p w14:paraId="0BFA319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603BA5D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（9）法律法规及中国证监会规定的和《基金合同》约定的其他权利。</w:t>
      </w:r>
    </w:p>
    <w:p w14:paraId="1AB41EE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2、根据《基金法》、《运作办法》及其他有关规定，基金份额持有人的义务包括但不限于：</w:t>
      </w:r>
    </w:p>
    <w:p w14:paraId="522D232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（1）认真阅读并遵守《基金合同》、《招募说明书》等信息披露文件；</w:t>
      </w:r>
    </w:p>
    <w:p w14:paraId="2DED234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（2）了解所投资基金产品，了解自身风险承受能力，自主判断基金的投资价值，自主做出投资决策，自行承担投资风险；</w:t>
      </w:r>
    </w:p>
    <w:p w14:paraId="4631C6F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（3）关注基金信息披露，及时行使权利和履行义务；</w:t>
      </w:r>
    </w:p>
    <w:p w14:paraId="3FF0F67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（4）交纳基金认购、申购款项及法律法规和《基金合同》所规定的费用；</w:t>
      </w:r>
    </w:p>
    <w:p w14:paraId="74C43F5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14:paraId="5E48228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14:paraId="61EF010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14:paraId="2A664DC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14:paraId="26EE2DA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（9）提供基金管理人和监管机构依法要求提供的信息，以及不时的更新和补充，并保证其真实性；</w:t>
      </w:r>
    </w:p>
    <w:p w14:paraId="440FBDD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（10）遵守基金管理人、基金托管人、销售机构和登记机构的相关交易及业务规则；</w:t>
      </w:r>
    </w:p>
    <w:p w14:paraId="56B7ADB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（11）法律法规及中国证监会规定的和《基金合同》约定的其他义务。</w:t>
      </w:r>
    </w:p>
    <w:p w14:paraId="5FB36608"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6247C53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42170E2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355303A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（一）召开事由</w:t>
      </w:r>
    </w:p>
    <w:p w14:paraId="791EC5B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4A30864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14:paraId="4CCE0ED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14:paraId="1E52B8D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14:paraId="126D7B6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（4）转换基金运作方式；</w:t>
      </w:r>
    </w:p>
    <w:p w14:paraId="5DB13BB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（5）调整基金管理人、基金托管人的报酬标准或提高销售服务费率；</w:t>
      </w:r>
    </w:p>
    <w:p w14:paraId="5499494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（6）变更基金类别；</w:t>
      </w:r>
    </w:p>
    <w:p w14:paraId="68A418F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（7）本基金与其他基金的合并；</w:t>
      </w:r>
    </w:p>
    <w:p w14:paraId="33C337F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（8）变更基金投资目标、范围或策略；</w:t>
      </w:r>
    </w:p>
    <w:p w14:paraId="3BBE7A1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（9）变更基金份额持有人大会程序；</w:t>
      </w:r>
    </w:p>
    <w:p w14:paraId="0567B08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14:paraId="1968E90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637D0E3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14:paraId="3B3385C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（13）法律法规、《基金合同》或中国证监会规定的其他应当召开基金份额持有人大会的事项。</w:t>
      </w:r>
    </w:p>
    <w:p w14:paraId="6E1EF94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21E6965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（1）法律法规要求增加的基金费用的收取；</w:t>
      </w:r>
    </w:p>
    <w:p w14:paraId="7B8C66B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（2）调整本基金的申购费率、调低销售服务费率或变更收费方式；</w:t>
      </w:r>
    </w:p>
    <w:p w14:paraId="4592DD3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（3）停止现有基金份额类别的销售或者增加、减少或调整基金份额类别设置或者调整基金份额分类办法及规则等；</w:t>
      </w:r>
    </w:p>
    <w:p w14:paraId="2F7B147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（4）因相应的法律法规发生变动而应当对《基金合同》进行修改；</w:t>
      </w:r>
    </w:p>
    <w:p w14:paraId="6E1EBEDD"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（5）基金管理人和基金登记机构等调整或修改《业务规则》，包括但不限于有关基金认购、申购、赎回、转换、非交易过户、转托管等内容；</w:t>
      </w:r>
    </w:p>
    <w:p w14:paraId="292AD28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3217C3A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（7）在履行适当程序后基金推出新业务或服务；</w:t>
      </w:r>
    </w:p>
    <w:p w14:paraId="2455209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（8）基金管理人调整基金收益分配原则；</w:t>
      </w:r>
    </w:p>
    <w:p w14:paraId="0947A08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（9）若本基金管理人同时管理同一标的指数的交易型开放式指数基金（ETF），履行适当程序后本基金可采取ETF联接基金模式并相应修改《基金合同》；</w:t>
      </w:r>
    </w:p>
    <w:p w14:paraId="0CF9A29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（10）按照法律法规和《基金合同》规定不需召开基金份额持有人大会的其他情形。</w:t>
      </w:r>
    </w:p>
    <w:p w14:paraId="38BD71E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（二）会议召集人及召集方式</w:t>
      </w:r>
    </w:p>
    <w:p w14:paraId="0F298FE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7EBF5CF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2、基金管理人未按规定召集或不能召集时，由基金托管人召集。</w:t>
      </w:r>
    </w:p>
    <w:p w14:paraId="1DC35BD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9A67CE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59815B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383D95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1A84428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（三）召开基金份额持有人大会的通知时间、通知内容、通知方式</w:t>
      </w:r>
    </w:p>
    <w:p w14:paraId="7477803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45FF29F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（1）会议召开的时间、地点和会议形式；</w:t>
      </w:r>
    </w:p>
    <w:p w14:paraId="69ABF34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（2）会议拟审议的事项、议事程序和表决方式；</w:t>
      </w:r>
    </w:p>
    <w:p w14:paraId="4E04EE1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079FB63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（4）授权委托证明的内容要求（包括但不限于代理人身份，代理权限和代理有效期限等）、送达时间和地点；</w:t>
      </w:r>
    </w:p>
    <w:p w14:paraId="48A010E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（5）会务常设联系人姓名及联系电话；</w:t>
      </w:r>
    </w:p>
    <w:p w14:paraId="733A158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（6）出席会议者必须准备的文件和必须履行的手续；</w:t>
      </w:r>
    </w:p>
    <w:p w14:paraId="1864D2B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（7）召集人需要通知的其他事项。</w:t>
      </w:r>
    </w:p>
    <w:p w14:paraId="14E755B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CB005D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2E000D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（四）基金份额持有人出席会议的方式</w:t>
      </w:r>
    </w:p>
    <w:p w14:paraId="18565FF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66C6ADA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AED1C6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02F9D6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w:t>
      </w:r>
      <w:r>
        <w:rPr>
          <w:rFonts w:ascii="宋体" w:hAnsi="宋体" w:cs="宋体"/>
          <w:kern w:val="0"/>
          <w:sz w:val="24"/>
          <w:szCs w:val="24"/>
        </w:rPr>
        <w:lastRenderedPageBreak/>
        <w:t>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EB3136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14:paraId="6D707C1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04255AB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71DC0D6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85B7B6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66950EB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4921D36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w:t>
      </w:r>
      <w:r>
        <w:rPr>
          <w:rFonts w:ascii="宋体" w:hAnsi="宋体" w:cs="宋体"/>
          <w:kern w:val="0"/>
          <w:sz w:val="24"/>
          <w:szCs w:val="24"/>
        </w:rPr>
        <w:lastRenderedPageBreak/>
        <w:t>会议程序比照现场开会和通讯方式开会的程序进行。</w:t>
      </w:r>
    </w:p>
    <w:p w14:paraId="1477DEB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（五）议事内容与程序</w:t>
      </w:r>
    </w:p>
    <w:p w14:paraId="6E39BF3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1、议事内容及提案权</w:t>
      </w:r>
    </w:p>
    <w:p w14:paraId="67D9EAE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69B847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284B47E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684D5F6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2、议事程序</w:t>
      </w:r>
    </w:p>
    <w:p w14:paraId="25C87DD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4B18F18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Pr>
          <w:rFonts w:ascii="宋体" w:hAnsi="宋体" w:cs="宋体" w:hint="eastAsia"/>
          <w:kern w:val="0"/>
          <w:sz w:val="24"/>
          <w:szCs w:val="24"/>
        </w:rPr>
        <w:t>（</w:t>
      </w:r>
      <w:r>
        <w:rPr>
          <w:rFonts w:ascii="宋体" w:hAnsi="宋体" w:cs="宋体"/>
          <w:kern w:val="0"/>
          <w:sz w:val="24"/>
          <w:szCs w:val="24"/>
        </w:rPr>
        <w:t>七</w:t>
      </w:r>
      <w:r>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32C748D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0EF3AAD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5DBB054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0B5D577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（六）表决</w:t>
      </w:r>
    </w:p>
    <w:p w14:paraId="069AE557"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77715887"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lastRenderedPageBreak/>
        <w:t>基金份额持有人大会决议分为一般决议和特别决议：</w:t>
      </w:r>
    </w:p>
    <w:p w14:paraId="6F0762B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F37C7B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14:paraId="691E637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除《基金合同》另有约定外，转换基金运作方式、更换基金管理人或者基金托管人、终止《基金合同》、本基金与其他基金合并以特别决议通过方为有效。</w:t>
      </w:r>
    </w:p>
    <w:p w14:paraId="01C937D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168B4F4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0A95AAA"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3B0C7CB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（七）计票</w:t>
      </w:r>
    </w:p>
    <w:p w14:paraId="5406E0A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5B872E0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0B34233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79B4F37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（3）如果会议主持人或基金份额持有人或代理人对于提交的表决结果有异议，可以在宣布表决结果后立即对所投票数要求进行重新清点。监票人应当进行</w:t>
      </w:r>
      <w:r>
        <w:rPr>
          <w:rFonts w:ascii="宋体" w:hAnsi="宋体" w:cs="宋体"/>
          <w:kern w:val="0"/>
          <w:sz w:val="24"/>
          <w:szCs w:val="24"/>
        </w:rPr>
        <w:lastRenderedPageBreak/>
        <w:t>重新清点，重新清点以一次为限。重新清点后，大会主持人应当当场公布重新清点结果。</w:t>
      </w:r>
    </w:p>
    <w:p w14:paraId="0B4D628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69495B5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2CBE50D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56FE2E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（八）生效与公告</w:t>
      </w:r>
    </w:p>
    <w:p w14:paraId="2782073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04BF637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5BFB787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313DECB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63612EC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（九）实施侧袋机制期间基金份额持有人大会的特殊约定</w:t>
      </w:r>
    </w:p>
    <w:p w14:paraId="30858727"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F3CFCF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1、基金份额持有人行使提议权、召集权、提名权所需单独或合计代表相关基金份额10%以上（含10%）；</w:t>
      </w:r>
    </w:p>
    <w:p w14:paraId="0570E9E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2、现场开会的到会者在权益登记日代表的基金份额不少于本基金在权益登记日相关基金份额的二分之一（含二分之一）；</w:t>
      </w:r>
    </w:p>
    <w:p w14:paraId="7081891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3、通讯开会的直接出具书面意见或授权他人代表出具书面意见的基金份额</w:t>
      </w:r>
      <w:r>
        <w:rPr>
          <w:rFonts w:ascii="宋体" w:hAnsi="宋体" w:cs="宋体"/>
          <w:kern w:val="0"/>
          <w:sz w:val="24"/>
          <w:szCs w:val="24"/>
        </w:rPr>
        <w:lastRenderedPageBreak/>
        <w:t>持有人所持有的基金份额不小于在权益登记日相关基金份额的二分之一（含二分之一）；</w:t>
      </w:r>
    </w:p>
    <w:p w14:paraId="525316B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EA96E6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723C955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609074B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492D732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同一主侧袋账户内的每份基金份额具有平等的表决权。</w:t>
      </w:r>
    </w:p>
    <w:p w14:paraId="27AF5CC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2EA5DCA9"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61E27E3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6507D61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202897A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4CBCC409"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6E3B5DC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22ADBF2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1、在符合有关基金分红条件的前提下，本基金可进行基金收益分配，若《基金合同》生效不满3个月可不进行收益分配；</w:t>
      </w:r>
    </w:p>
    <w:p w14:paraId="5EC800E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2、本基金收益分配方式分两种：现金分红与红利再投资，投资者可选择现</w:t>
      </w:r>
      <w:r>
        <w:rPr>
          <w:rFonts w:ascii="宋体" w:hAnsi="宋体" w:cs="宋体"/>
          <w:kern w:val="0"/>
          <w:sz w:val="24"/>
          <w:szCs w:val="24"/>
        </w:rPr>
        <w:lastRenderedPageBreak/>
        <w:t>金红利或将现金红利自动转为相应类别的基金份额进行再投资，基金份额持有人可对A类、C类基金份额分别选择不同的分红方式；若投资者不选择，本基金默认的收益分配方式是现金分红；</w:t>
      </w:r>
    </w:p>
    <w:p w14:paraId="3A94C8C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w:t>
      </w:r>
      <w:r>
        <w:rPr>
          <w:rFonts w:ascii="宋体" w:hAnsi="宋体" w:cs="宋体"/>
          <w:sz w:val="24"/>
          <w:szCs w:val="24"/>
        </w:rPr>
        <w:t>基金管理人可对基金相对业绩比较基准的超额收益率以及基金的可供分配利润进行评价，在符合基金收益分配条件下，基金管理人可进行收益分配</w:t>
      </w:r>
      <w:r>
        <w:rPr>
          <w:rFonts w:ascii="宋体" w:hAnsi="宋体" w:cs="宋体"/>
          <w:kern w:val="0"/>
          <w:sz w:val="24"/>
          <w:szCs w:val="24"/>
        </w:rPr>
        <w:t>；</w:t>
      </w:r>
    </w:p>
    <w:p w14:paraId="1B92D303" w14:textId="77777777" w:rsidR="00C41073" w:rsidRDefault="006B1422">
      <w:pPr>
        <w:spacing w:line="360" w:lineRule="auto"/>
        <w:ind w:firstLine="480"/>
        <w:rPr>
          <w:rFonts w:eastAsia="Times New Roman"/>
          <w:kern w:val="0"/>
          <w:sz w:val="24"/>
          <w:szCs w:val="24"/>
        </w:rPr>
      </w:pPr>
      <w:r>
        <w:rPr>
          <w:rFonts w:ascii="宋体" w:hAnsi="宋体" w:cs="宋体" w:hint="eastAsia"/>
          <w:kern w:val="0"/>
          <w:sz w:val="24"/>
          <w:szCs w:val="24"/>
        </w:rPr>
        <w:t>4</w:t>
      </w:r>
      <w:r>
        <w:rPr>
          <w:rFonts w:ascii="宋体" w:hAnsi="宋体" w:cs="宋体"/>
          <w:kern w:val="0"/>
          <w:sz w:val="24"/>
          <w:szCs w:val="24"/>
        </w:rPr>
        <w:t>、同一类别内每一基金份额享有同等分配权；</w:t>
      </w:r>
    </w:p>
    <w:p w14:paraId="431D35F5" w14:textId="77777777" w:rsidR="00C41073" w:rsidRDefault="006B1422">
      <w:pPr>
        <w:spacing w:line="360" w:lineRule="auto"/>
        <w:ind w:firstLine="480"/>
        <w:jc w:val="left"/>
        <w:rPr>
          <w:rFonts w:eastAsia="Times New Roman"/>
          <w:kern w:val="0"/>
          <w:sz w:val="24"/>
          <w:szCs w:val="24"/>
        </w:rPr>
      </w:pPr>
      <w:r>
        <w:rPr>
          <w:rFonts w:ascii="宋体" w:hAnsi="宋体" w:cs="宋体" w:hint="eastAsia"/>
          <w:kern w:val="0"/>
          <w:sz w:val="24"/>
          <w:szCs w:val="24"/>
        </w:rPr>
        <w:t>5</w:t>
      </w:r>
      <w:r>
        <w:rPr>
          <w:rFonts w:ascii="宋体" w:hAnsi="宋体" w:cs="宋体"/>
          <w:kern w:val="0"/>
          <w:sz w:val="24"/>
          <w:szCs w:val="24"/>
        </w:rPr>
        <w:t>、法律法规或监管机构另有规定的，从其规定。</w:t>
      </w:r>
    </w:p>
    <w:p w14:paraId="10F827C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6D0208B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1EE91C71"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497ACFE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7001EA81"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050FF43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6C01B20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7D350E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（七）实施侧袋机制期间的收益分配</w:t>
      </w:r>
    </w:p>
    <w:p w14:paraId="43E1AE3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本基金实施侧袋机制的，侧袋账户不进行收益分配，详见招募说明书的规定。</w:t>
      </w:r>
    </w:p>
    <w:p w14:paraId="7001FD0D"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7153BDE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4AF0A1B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412E730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1D0BEE0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3、销售服务费；</w:t>
      </w:r>
    </w:p>
    <w:p w14:paraId="5BEE554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4、《基金合同》生效后与基金相关的信息披露费用（但法律法规、中国证监会另有规定的除外）；</w:t>
      </w:r>
    </w:p>
    <w:p w14:paraId="2E87448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5、《基金合同》生效后与基金相关的会计师费、律师费、仲裁费和诉讼费；</w:t>
      </w:r>
    </w:p>
    <w:p w14:paraId="4C43995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6、基金份额持有人大会费用；</w:t>
      </w:r>
    </w:p>
    <w:p w14:paraId="130F118D"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7、基金的证券、期货等交易费用；</w:t>
      </w:r>
    </w:p>
    <w:p w14:paraId="12DDDDB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8、基金的银行汇划费用；</w:t>
      </w:r>
    </w:p>
    <w:p w14:paraId="266D526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9、基金的账户开户费用、账户维护费用；</w:t>
      </w:r>
    </w:p>
    <w:p w14:paraId="73A0AB4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10、按照国家有关规定和《基金合同》约定，可以在基金财产中列支的其他费用。</w:t>
      </w:r>
    </w:p>
    <w:p w14:paraId="69B554B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6901743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2163728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本基金的管理费按前一日基金资产净值的0.50%年费率计提。管理费的计算方法如下：</w:t>
      </w:r>
    </w:p>
    <w:p w14:paraId="26B0258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H＝E×0.50%÷当年天数</w:t>
      </w:r>
    </w:p>
    <w:p w14:paraId="663CE8C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H为每日应计提的基金管理费</w:t>
      </w:r>
    </w:p>
    <w:p w14:paraId="7C22B7C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4F72554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78D3098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7A146169"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本基金的托管费按前一日基金资产净值的0.10%的年费率计提。托管费的计算方法如下：</w:t>
      </w:r>
    </w:p>
    <w:p w14:paraId="195F0AF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H＝E×0.10%÷当年天数</w:t>
      </w:r>
    </w:p>
    <w:p w14:paraId="68765BF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14:paraId="5EA7F1A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39D60D6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4258885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lastRenderedPageBreak/>
        <w:t>3、销售服务费</w:t>
      </w:r>
    </w:p>
    <w:p w14:paraId="2AB548D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本基金A类基金份额不收取销售服务费，C类基金份额的销售服务费年费率为0.20%。</w:t>
      </w:r>
    </w:p>
    <w:p w14:paraId="478C3DC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计算方法如下：</w:t>
      </w:r>
    </w:p>
    <w:p w14:paraId="454B01C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H＝E×0.20%÷当年天数</w:t>
      </w:r>
    </w:p>
    <w:p w14:paraId="6A8C4409"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H为C类基金份额每日应计提的销售服务费</w:t>
      </w:r>
    </w:p>
    <w:p w14:paraId="36DEB6EA"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E为C类基金份额前一日基金资产净值</w:t>
      </w:r>
    </w:p>
    <w:p w14:paraId="52AB3E4A"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销售服务费每日计提，逐日累计至每月月末，按月支付，经基金管理人与基金托管人双方核对无误后，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p>
    <w:p w14:paraId="6817BCD1"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上述“</w:t>
      </w:r>
      <w:r>
        <w:rPr>
          <w:rFonts w:ascii="宋体" w:hAnsi="宋体" w:cs="宋体" w:hint="eastAsia"/>
          <w:kern w:val="0"/>
          <w:sz w:val="24"/>
          <w:szCs w:val="24"/>
        </w:rPr>
        <w:t>（</w:t>
      </w:r>
      <w:r>
        <w:rPr>
          <w:rFonts w:ascii="宋体" w:hAnsi="宋体" w:cs="宋体"/>
          <w:kern w:val="0"/>
          <w:sz w:val="24"/>
          <w:szCs w:val="24"/>
        </w:rPr>
        <w:t>一</w:t>
      </w:r>
      <w:r>
        <w:rPr>
          <w:rFonts w:ascii="宋体" w:hAnsi="宋体" w:cs="宋体" w:hint="eastAsia"/>
          <w:kern w:val="0"/>
          <w:sz w:val="24"/>
          <w:szCs w:val="24"/>
        </w:rPr>
        <w:t>）</w:t>
      </w:r>
      <w:r>
        <w:rPr>
          <w:rFonts w:ascii="宋体" w:hAnsi="宋体" w:cs="宋体"/>
          <w:kern w:val="0"/>
          <w:sz w:val="24"/>
          <w:szCs w:val="24"/>
        </w:rPr>
        <w:t>基金费用的种类”中第4－10项费用，根据有关法规及相应协议规定，按费用实际支出金额列入当期费用，由基金托管人从基金财产中支付。</w:t>
      </w:r>
    </w:p>
    <w:p w14:paraId="1A8078B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（三）不列入基金费用的项目</w:t>
      </w:r>
    </w:p>
    <w:p w14:paraId="52718A01"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下列费用不列入基金费用：</w:t>
      </w:r>
    </w:p>
    <w:p w14:paraId="40573FD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1、基金管理人和基金托管人因未履行或未完全履行义务导致的费用支出或基金财产的损失；</w:t>
      </w:r>
    </w:p>
    <w:p w14:paraId="42FEC9D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2、基金管理人和基金托管人处理与基金运作无关的事项发生的费用；</w:t>
      </w:r>
    </w:p>
    <w:p w14:paraId="52F8470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3、《基金合同》生效前的相关费用；</w:t>
      </w:r>
    </w:p>
    <w:p w14:paraId="02A8AAB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4、基金的指数许可使用费（该费用由基金管理人承担）；</w:t>
      </w:r>
    </w:p>
    <w:p w14:paraId="7E2E282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5、其他根据相关法律法规及中国证监会的有关规定不得列入基金费用的项目。</w:t>
      </w:r>
    </w:p>
    <w:p w14:paraId="00B271D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（四）实施侧袋机制期间的基金费用</w:t>
      </w:r>
    </w:p>
    <w:p w14:paraId="0024412D"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本基金实施侧袋机制的，与侧袋账户有关的费用可以从侧袋账户中列支，但应待侧袋账户资产变现后方可列支，有关费用可酌情收取或减免，但不得收取管理费，详见招募说明书的规定。</w:t>
      </w:r>
    </w:p>
    <w:p w14:paraId="0D51F59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（五）基金税收</w:t>
      </w:r>
    </w:p>
    <w:p w14:paraId="56A09FF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本基金运作过程中涉及的各纳税主体，其纳税义务按国家税收法律、法规执</w:t>
      </w:r>
      <w:r>
        <w:rPr>
          <w:rFonts w:ascii="宋体" w:hAnsi="宋体" w:cs="宋体"/>
          <w:kern w:val="0"/>
          <w:sz w:val="24"/>
          <w:szCs w:val="24"/>
        </w:rPr>
        <w:lastRenderedPageBreak/>
        <w:t>行。基金财产投资的相关税收，由基金份额持有人承担，基金管理人或者其他扣缴义务人按照国家有关税收征收的规定代扣代缴。</w:t>
      </w:r>
    </w:p>
    <w:p w14:paraId="1F65BFEC"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47B83D4D"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（一）投资范围</w:t>
      </w:r>
    </w:p>
    <w:p w14:paraId="18BD03A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主要投资于标的指数成份股、备选成份股。为更好地实现投资目标，基金还可投资于包括国内依法发行上市的股票（含主板、创业板及其他经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23493C8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本基金还可根据法律法规参与融资及转融通证券出借业务。</w:t>
      </w:r>
    </w:p>
    <w:p w14:paraId="088F275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1767265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的投资组合比例为：本基金投资于股票的资产不低于基金资产的90%，投资于标的指数成份股、备选成份股的资产的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0811A3A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4A41E79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（二）投资限制</w:t>
      </w:r>
    </w:p>
    <w:p w14:paraId="199320E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1、组合限制</w:t>
      </w:r>
    </w:p>
    <w:p w14:paraId="074710A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基金的投资组合应遵循以下限制：</w:t>
      </w:r>
    </w:p>
    <w:p w14:paraId="1E7B67B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（1）本基金投资于股票的资产不低于基金资产的90%，投资于标的指数成份股、备选成份股的资产的比例不低于非现金基金资产的80%；</w:t>
      </w:r>
    </w:p>
    <w:p w14:paraId="0FDA450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w:t>
      </w:r>
      <w:r>
        <w:rPr>
          <w:rFonts w:ascii="宋体" w:hAnsi="宋体" w:cs="宋体"/>
          <w:kern w:val="0"/>
          <w:sz w:val="24"/>
          <w:szCs w:val="24"/>
        </w:rPr>
        <w:lastRenderedPageBreak/>
        <w:t>合计不低于基金资产净值的5%。其中现金不包括结算备付金、存出保证金和应收申购款等；</w:t>
      </w:r>
    </w:p>
    <w:p w14:paraId="63912795"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（3）本基金投资于同一原始权益人的各类资产支持证券的比例，不得超过基金资产净值的10%；</w:t>
      </w:r>
    </w:p>
    <w:p w14:paraId="2B0D700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（4）本基金持有的全部资产支持证券，其市值不得超过基金资产净值的20%；</w:t>
      </w:r>
    </w:p>
    <w:p w14:paraId="426701D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（5）本基金持有的同一(指同一信用级别)资产支持证券的比例，不得超过该资产支持证券规模的10%；</w:t>
      </w:r>
    </w:p>
    <w:p w14:paraId="490F29E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（6）本基金管理人管理的全部基金投资于同一原始权益人的各类资产支持证券，不得超过其各类资产支持证券合计规模的10%；</w:t>
      </w:r>
    </w:p>
    <w:p w14:paraId="560D6F5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（7）本基金应投资于信用级别评级为BBB以上(含BBB)的资产支持证券。基金持有资产支持证券期间，如果其信用等级下降、不再符合投资标准，应在评级报告发布之日起3个月内予以全部卖出；</w:t>
      </w:r>
    </w:p>
    <w:p w14:paraId="19CEF05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（8）基金财产参与股票发行申购，本基金所申报的金额不超过本基金的总资产，本基金所申报的股票数量不超过拟发行股票公司本次发行股票的总量；</w:t>
      </w:r>
    </w:p>
    <w:p w14:paraId="13D3AD0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9）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944832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（10）本基金与私募类证券资管产品及中国证监会认定的其他主体为交易对手开展逆回购交易的，可接受质押品的资质要求应当与本基金合同约定的投资范围保持一致；</w:t>
      </w:r>
    </w:p>
    <w:p w14:paraId="4220F9F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（11）本基金资产总值不超过基金资产净值的140%；</w:t>
      </w:r>
    </w:p>
    <w:p w14:paraId="17D5EDC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（12）本基金参与股指期货和国债期货交易的，应当遵守下列要求：</w:t>
      </w:r>
    </w:p>
    <w:p w14:paraId="4984F0C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7B18FAC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w:t>
      </w:r>
      <w:r>
        <w:rPr>
          <w:rFonts w:ascii="宋体" w:hAnsi="宋体" w:cs="宋体"/>
          <w:kern w:val="0"/>
          <w:sz w:val="24"/>
          <w:szCs w:val="24"/>
        </w:rPr>
        <w:lastRenderedPageBreak/>
        <w:t>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0206A19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3CB3194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13）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124A68A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（14）本基金参与融资的，每个交易日日终，本基金持有的融资买入股票与其他有价证券市值之和，不得超过基金资产净值的95%；</w:t>
      </w:r>
    </w:p>
    <w:p w14:paraId="3293A931"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15）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1DBA143D"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（16）本基金投资存托凭证的比例限制依照境内上市交易的股票执行；</w:t>
      </w:r>
    </w:p>
    <w:p w14:paraId="1BF98E1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（17）法律法规及中国证监会规定的和《基金合同》约定的其他投资限制。</w:t>
      </w:r>
    </w:p>
    <w:p w14:paraId="1C30D67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除上述第（2）、（7）、（9）、（10）、（15）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w:t>
      </w:r>
      <w:r>
        <w:rPr>
          <w:rFonts w:ascii="宋体" w:hAnsi="宋体" w:cs="宋体"/>
          <w:kern w:val="0"/>
          <w:sz w:val="24"/>
          <w:szCs w:val="24"/>
        </w:rPr>
        <w:lastRenderedPageBreak/>
        <w:t>情形除外。因证券市场波动、证券发行人合并、基金规模变动等基金管理人之外的因素致使基金投资不符合第（15）项规定的，基金管理人不得新增出借业务。法律法规另有规定的从其规定。</w:t>
      </w:r>
    </w:p>
    <w:p w14:paraId="6486EB7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0C09ADE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0045208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2、禁止行为</w:t>
      </w:r>
    </w:p>
    <w:p w14:paraId="351DE6C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4D0D5F9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（1）承销证券；</w:t>
      </w:r>
    </w:p>
    <w:p w14:paraId="566DAEC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14:paraId="1E5DCC3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14:paraId="424CB75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（4）买卖其他基金份额，但是法律法规或中国证监会另有规定的除外；</w:t>
      </w:r>
    </w:p>
    <w:p w14:paraId="7A03FFE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（5）向其基金管理人、基金托管人出资；</w:t>
      </w:r>
    </w:p>
    <w:p w14:paraId="643739B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14:paraId="68517A7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14:paraId="7520FA1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B8F69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1EA2052C"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1D19540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（一）估值方法</w:t>
      </w:r>
    </w:p>
    <w:p w14:paraId="22149D7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1、证券交易所上市的有价证券的估值</w:t>
      </w:r>
    </w:p>
    <w:p w14:paraId="43062FB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lastRenderedPageBreak/>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59F4A36"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21455E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（3）交易所上市不存在活跃市场的有价证券，采用估值技术确定公允价值。</w:t>
      </w:r>
    </w:p>
    <w:p w14:paraId="5F9A1A6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14:paraId="419C777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22BA91DA"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52A406EE"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4140BD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3、以公允价值计量的固定收益品种</w:t>
      </w:r>
    </w:p>
    <w:p w14:paraId="6F37EFB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（1）对于已上市或已挂牌转让的不含权固定收益品种，选取第三方估值基准服务机构提供的相应品种当日的估值全价；</w:t>
      </w:r>
    </w:p>
    <w:p w14:paraId="20FB746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（2）对于已上市或已挂牌转让的含权固定收益品种，选取第三方估值基准服务机构提供的相应品种当日的唯一估值全价或推荐估值全价；</w:t>
      </w:r>
    </w:p>
    <w:p w14:paraId="435C7947"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79E09A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lastRenderedPageBreak/>
        <w:t>（4）对于未上市或未挂牌转让且不存在活跃市场的固定收益品种，应采用在当前情况下适用并且有足够可利用数据和其他信息支持的估值技术确定其公允价值。</w:t>
      </w:r>
    </w:p>
    <w:p w14:paraId="6C2B8483"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E435E2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5、同一债券同时在两个或两个以上市场交易的，按债券所处的市场分别估值。</w:t>
      </w:r>
    </w:p>
    <w:p w14:paraId="5B04AF15"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6、持有的银行定期存款或通知存款以本金列示，按协议或合同利率逐日确认利息收入。</w:t>
      </w:r>
    </w:p>
    <w:p w14:paraId="16F4D55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7、本基金投资股指期货合约，一般以股指期货估值日的结算价进行估值，估值当日无结算价的，且最近交易日后经济环境未发生重大变化的，采用最近交易日结算价估值。</w:t>
      </w:r>
    </w:p>
    <w:p w14:paraId="0534A295"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8、本基金投资股票期权合约，一般以股票期权估值日的结算价进行估值，估值当日无结算价的，且最近交易日后经济环境未发生重大变化的，采用最近交易日结算价估值。</w:t>
      </w:r>
    </w:p>
    <w:p w14:paraId="6BC4526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9、本基金投资国债期货合约，一般以国债期货估值日的结算价进行估值，估值当日无结算价的，且最近交易日后经济环境未发生重大变化的，采用最近交易日结算价估值。</w:t>
      </w:r>
    </w:p>
    <w:p w14:paraId="62460D6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10、本基金参与融资和转融通证券出借业务的，按照相关法律法规和行业协会的相关规定进行估值。</w:t>
      </w:r>
    </w:p>
    <w:p w14:paraId="6381CC1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11、本基金投资存托凭证的估值核算，依照境内上市交易的股票进行。</w:t>
      </w:r>
    </w:p>
    <w:p w14:paraId="4375195F"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3323FBEA"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517CEAB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w:t>
      </w:r>
      <w:r>
        <w:rPr>
          <w:rFonts w:ascii="宋体" w:hAnsi="宋体" w:cs="宋体"/>
          <w:kern w:val="0"/>
          <w:sz w:val="24"/>
          <w:szCs w:val="24"/>
        </w:rPr>
        <w:lastRenderedPageBreak/>
        <w:t>按国家最新规定估值。</w:t>
      </w:r>
    </w:p>
    <w:p w14:paraId="4B362F22"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5EF850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9FB4DB5"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（二）估值程序</w:t>
      </w:r>
    </w:p>
    <w:p w14:paraId="4D11C3E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4F95FE08"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基金管理人每个估值日计算基金资产净值及各类基金份额净值，并按规定公告。</w:t>
      </w:r>
    </w:p>
    <w:p w14:paraId="665B875D"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319E64FA"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288D042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（一）《基金合同》的变更</w:t>
      </w:r>
    </w:p>
    <w:p w14:paraId="7AB478C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DFC19A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14:paraId="501F404B"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14:paraId="239A3AF9"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有下列情形之一的，经履行相关程序后，《基金合同》应当终止：</w:t>
      </w:r>
    </w:p>
    <w:p w14:paraId="6217DAD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1、基金份额持有人大会决定终止的；</w:t>
      </w:r>
    </w:p>
    <w:p w14:paraId="480BF70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2、基金管理人、基金托管人职责终止，在6个月内没有新基金管理人、新基金托管人承接的；</w:t>
      </w:r>
    </w:p>
    <w:p w14:paraId="296F8277"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22FEEF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4、《基金合同》约定的其他情形；</w:t>
      </w:r>
    </w:p>
    <w:p w14:paraId="5C028E5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5、相关法律法规和中国证监会规定的其他情况。</w:t>
      </w:r>
    </w:p>
    <w:p w14:paraId="3F23F34D"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（三）基金财产的清算</w:t>
      </w:r>
    </w:p>
    <w:p w14:paraId="2B0BF88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392EBC5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2D936E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390B818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4、基金财产清算程序：</w:t>
      </w:r>
    </w:p>
    <w:p w14:paraId="48698F0E"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（1）《基金合同》终止情形出现时，由基金财产清算小组统一接管基金；</w:t>
      </w:r>
    </w:p>
    <w:p w14:paraId="74EE1980"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（2）对基金财产和债权债务进行清理和确认；</w:t>
      </w:r>
    </w:p>
    <w:p w14:paraId="424DFACC"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（3）对基金财产进行估值和变现；</w:t>
      </w:r>
    </w:p>
    <w:p w14:paraId="63557AB8"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（4）制作清算报告；</w:t>
      </w:r>
    </w:p>
    <w:p w14:paraId="15F054E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77889CA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（6）将清算报告报中国证监会备案并公告；</w:t>
      </w:r>
    </w:p>
    <w:p w14:paraId="409F33B2"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（7）对基金剩余财产进行分配。</w:t>
      </w:r>
    </w:p>
    <w:p w14:paraId="22397647"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076B15D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（四）清算费用</w:t>
      </w:r>
    </w:p>
    <w:p w14:paraId="67B3D25B"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lastRenderedPageBreak/>
        <w:t>清算费用是指基金财产清算小组在进行基金财产清算过程中发生的所有合理费用，清算费用由基金财产清算小组优先从基金剩余财产中支付。</w:t>
      </w:r>
    </w:p>
    <w:p w14:paraId="6D5BCC2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（五）基金财产清算剩余资产的分配</w:t>
      </w:r>
    </w:p>
    <w:p w14:paraId="0FA417C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依据基金财产清算的分配方案，将基金财产清算后的全部剩余资产扣除基金财产清算费用、交纳所欠税款并清偿基金债务后，按基金份额持有人持有的各类基金份额比例进行分配。</w:t>
      </w:r>
    </w:p>
    <w:p w14:paraId="72120F66"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14:paraId="09EBF8F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1DA5AA3"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14:paraId="051EE3A4"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p>
    <w:p w14:paraId="1494A2B7"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6EFB601C"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用由败诉方承担。</w:t>
      </w:r>
    </w:p>
    <w:p w14:paraId="41ED490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7ABB01BF"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14:paraId="0A13403D" w14:textId="77777777" w:rsidR="00C41073" w:rsidRDefault="006B1422">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14:paraId="26155050" w14:textId="77777777" w:rsidR="00C41073" w:rsidRDefault="006B1422">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0194B425"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063FB271"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lastRenderedPageBreak/>
        <w:t>2、《基金合同》的有效期自其生效之日起至基金财产清算结果报中国证监会备案并公告之日止。</w:t>
      </w:r>
    </w:p>
    <w:p w14:paraId="514F5DE9"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2D3C0CB4" w14:textId="77777777" w:rsidR="00C41073" w:rsidRDefault="006B1422">
      <w:pPr>
        <w:spacing w:line="360" w:lineRule="auto"/>
        <w:ind w:firstLine="48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207315FC" w14:textId="19813576" w:rsidR="00C41073" w:rsidRDefault="006B1422" w:rsidP="00B5655B">
      <w:pPr>
        <w:spacing w:line="360" w:lineRule="auto"/>
        <w:ind w:firstLine="480"/>
        <w:jc w:val="left"/>
        <w:rPr>
          <w:bCs/>
        </w:rPr>
      </w:pPr>
      <w:r>
        <w:rPr>
          <w:rFonts w:ascii="宋体" w:hAnsi="宋体" w:cs="宋体"/>
          <w:kern w:val="0"/>
          <w:sz w:val="24"/>
          <w:szCs w:val="24"/>
        </w:rPr>
        <w:t>5、《基金合同》可印制成册，供投资者在基金管理人、基金托管人、销售机构的办公场所和营业场所查阅。</w:t>
      </w:r>
    </w:p>
    <w:sectPr w:rsidR="00C41073" w:rsidSect="00B5655B">
      <w:headerReference w:type="default" r:id="rId11"/>
      <w:footerReference w:type="default" r:id="rId12"/>
      <w:pgSz w:w="11906" w:h="16838"/>
      <w:pgMar w:top="1440" w:right="1800" w:bottom="1440" w:left="1800" w:header="851" w:footer="992"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2CE24" w14:textId="77777777" w:rsidR="00143960" w:rsidRDefault="00143960">
      <w:r>
        <w:separator/>
      </w:r>
    </w:p>
  </w:endnote>
  <w:endnote w:type="continuationSeparator" w:id="0">
    <w:p w14:paraId="796C8D2F" w14:textId="77777777" w:rsidR="00143960" w:rsidRDefault="0014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ABE1" w14:textId="77777777" w:rsidR="00C41073" w:rsidRDefault="00C41073">
    <w:pPr>
      <w:pStyle w:val="a9"/>
      <w:jc w:val="center"/>
      <w:rPr>
        <w:color w:val="000000" w:themeColor="text1"/>
        <w14:shadow w14:blurRad="38100" w14:dist="19050" w14:dir="2700000" w14:sx="100000" w14:sy="100000" w14:kx="0" w14:ky="0" w14:algn="tl">
          <w14:schemeClr w14:val="dk1">
            <w14:alpha w14:val="60000"/>
          </w14:schemeClr>
        </w14:shad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898770"/>
    </w:sdtPr>
    <w:sdtEndPr/>
    <w:sdtContent>
      <w:p w14:paraId="0C1EEC69" w14:textId="77777777" w:rsidR="00C41073" w:rsidRDefault="006B1422">
        <w:pPr>
          <w:pStyle w:val="a9"/>
          <w:jc w:val="center"/>
        </w:pPr>
        <w:r>
          <w:fldChar w:fldCharType="begin"/>
        </w:r>
        <w:r>
          <w:instrText>PAGE   \* MERGEFORMAT</w:instrText>
        </w:r>
        <w:r>
          <w:fldChar w:fldCharType="separate"/>
        </w:r>
        <w:r w:rsidR="00B5655B" w:rsidRPr="00B5655B">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10662"/>
      <w:docPartObj>
        <w:docPartGallery w:val="Page Numbers (Bottom of Page)"/>
        <w:docPartUnique/>
      </w:docPartObj>
    </w:sdtPr>
    <w:sdtEndPr/>
    <w:sdtContent>
      <w:p w14:paraId="56EBCD70" w14:textId="23B8985B" w:rsidR="006103F2" w:rsidRDefault="006103F2">
        <w:pPr>
          <w:pStyle w:val="a9"/>
          <w:jc w:val="center"/>
        </w:pPr>
        <w:r>
          <w:fldChar w:fldCharType="begin"/>
        </w:r>
        <w:r>
          <w:instrText>PAGE   \* MERGEFORMAT</w:instrText>
        </w:r>
        <w:r>
          <w:fldChar w:fldCharType="separate"/>
        </w:r>
        <w:r w:rsidR="00B5655B" w:rsidRPr="00B5655B">
          <w:rPr>
            <w:noProof/>
            <w:lang w:val="zh-CN"/>
          </w:rPr>
          <w:t>37</w:t>
        </w:r>
        <w:r>
          <w:fldChar w:fldCharType="end"/>
        </w:r>
      </w:p>
    </w:sdtContent>
  </w:sdt>
  <w:p w14:paraId="67362383" w14:textId="77777777" w:rsidR="00C41073" w:rsidRDefault="00C41073">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EA1CF" w14:textId="77777777" w:rsidR="00143960" w:rsidRDefault="00143960">
      <w:r>
        <w:separator/>
      </w:r>
    </w:p>
  </w:footnote>
  <w:footnote w:type="continuationSeparator" w:id="0">
    <w:p w14:paraId="58041AA5" w14:textId="77777777" w:rsidR="00143960" w:rsidRDefault="00143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EF61" w14:textId="77777777" w:rsidR="00C41073" w:rsidRDefault="006B1422">
    <w:pPr>
      <w:pStyle w:val="aa"/>
      <w:tabs>
        <w:tab w:val="clear" w:pos="4153"/>
      </w:tabs>
      <w:jc w:val="left"/>
    </w:pPr>
    <w:r>
      <w:t>汇添富沪深</w:t>
    </w:r>
    <w:r>
      <w:t>300</w:t>
    </w:r>
    <w:r>
      <w:t>自由现金流指数型证券投资基金</w:t>
    </w:r>
    <w:r>
      <w:tab/>
    </w:r>
    <w: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C7D8A" w14:textId="77777777" w:rsidR="00C41073" w:rsidRDefault="006B1422">
    <w:pPr>
      <w:pStyle w:val="aa"/>
      <w:tabs>
        <w:tab w:val="clear" w:pos="4153"/>
      </w:tabs>
      <w:jc w:val="left"/>
    </w:pPr>
    <w:r>
      <w:t>汇添富沪深</w:t>
    </w:r>
    <w:r>
      <w:t>300</w:t>
    </w:r>
    <w:r>
      <w:t>自由现金流指数型证券投资基金</w:t>
    </w:r>
    <w:r>
      <w:tab/>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43"/>
    <w:rsid w:val="00084B88"/>
    <w:rsid w:val="00101F60"/>
    <w:rsid w:val="0014255D"/>
    <w:rsid w:val="00143960"/>
    <w:rsid w:val="001565A7"/>
    <w:rsid w:val="001E2D75"/>
    <w:rsid w:val="002C4231"/>
    <w:rsid w:val="00315163"/>
    <w:rsid w:val="0032352C"/>
    <w:rsid w:val="003A6826"/>
    <w:rsid w:val="004573A1"/>
    <w:rsid w:val="004F44E2"/>
    <w:rsid w:val="00501841"/>
    <w:rsid w:val="005674B0"/>
    <w:rsid w:val="005F598F"/>
    <w:rsid w:val="00603585"/>
    <w:rsid w:val="006103F2"/>
    <w:rsid w:val="006B1422"/>
    <w:rsid w:val="00782964"/>
    <w:rsid w:val="00841543"/>
    <w:rsid w:val="00851E90"/>
    <w:rsid w:val="00890349"/>
    <w:rsid w:val="008B6F6F"/>
    <w:rsid w:val="009037FE"/>
    <w:rsid w:val="00972E88"/>
    <w:rsid w:val="009B1C4B"/>
    <w:rsid w:val="009D5E7F"/>
    <w:rsid w:val="00A2760C"/>
    <w:rsid w:val="00AF246C"/>
    <w:rsid w:val="00B00506"/>
    <w:rsid w:val="00B5655B"/>
    <w:rsid w:val="00B924AA"/>
    <w:rsid w:val="00C41073"/>
    <w:rsid w:val="00C445BE"/>
    <w:rsid w:val="00C77DDC"/>
    <w:rsid w:val="00D218CD"/>
    <w:rsid w:val="00DD5F9C"/>
    <w:rsid w:val="00DE5383"/>
    <w:rsid w:val="00E122EF"/>
    <w:rsid w:val="00E87430"/>
    <w:rsid w:val="00E9247E"/>
    <w:rsid w:val="00EE6459"/>
    <w:rsid w:val="00F4651C"/>
    <w:rsid w:val="00F83BE4"/>
    <w:rsid w:val="00F845BD"/>
    <w:rsid w:val="00FD4836"/>
    <w:rsid w:val="19A02BC9"/>
    <w:rsid w:val="20995E44"/>
    <w:rsid w:val="20DF3595"/>
    <w:rsid w:val="27FF28B2"/>
    <w:rsid w:val="424A311D"/>
    <w:rsid w:val="4B6F2370"/>
    <w:rsid w:val="613B1F8D"/>
    <w:rsid w:val="64885831"/>
    <w:rsid w:val="72EC3F1D"/>
    <w:rsid w:val="75FB1C4C"/>
    <w:rsid w:val="777F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6BA721-414B-42B2-832B-3FC0385B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pPr>
    <w:rPr>
      <w:sz w:val="22"/>
    </w:r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21">
    <w:name w:val="toc 2"/>
    <w:basedOn w:val="a"/>
    <w:next w:val="a"/>
    <w:autoRedefine/>
    <w:qFormat/>
    <w:pPr>
      <w:ind w:left="240"/>
    </w:pPr>
    <w:rPr>
      <w:sz w:val="22"/>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qFormat/>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Char0">
    <w:name w:val="正文文本 Char"/>
    <w:link w:val="a6"/>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3">
    <w:name w:val="标题 Char"/>
    <w:link w:val="ad"/>
    <w:qFormat/>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00">
    <w:name w:val="Char_0"/>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0">
    <w:name w:val="Char Char_0"/>
    <w:basedOn w:val="a"/>
    <w:qFormat/>
  </w:style>
  <w:style w:type="paragraph" w:customStyle="1" w:styleId="CharChar10">
    <w:name w:val="Char Char_1"/>
    <w:basedOn w:val="a"/>
    <w:qFormat/>
  </w:style>
  <w:style w:type="paragraph" w:customStyle="1" w:styleId="Char10">
    <w:name w:val="Char_1"/>
    <w:basedOn w:val="a"/>
    <w:qFormat/>
  </w:style>
  <w:style w:type="paragraph" w:customStyle="1" w:styleId="CharCharChar0">
    <w:name w:val="Char Char Char_0"/>
    <w:basedOn w:val="a"/>
    <w:qFormat/>
  </w:style>
  <w:style w:type="paragraph" w:customStyle="1" w:styleId="CharCharCharChar0">
    <w:name w:val="Char Char Char Char_0"/>
    <w:basedOn w:val="a"/>
    <w:qFormat/>
    <w:pPr>
      <w:tabs>
        <w:tab w:val="left" w:pos="360"/>
      </w:tabs>
    </w:pPr>
  </w:style>
  <w:style w:type="paragraph" w:customStyle="1" w:styleId="CharChar100">
    <w:name w:val="Char Char1_0"/>
    <w:basedOn w:val="a"/>
    <w:qFormat/>
  </w:style>
  <w:style w:type="paragraph" w:customStyle="1" w:styleId="CharChar2">
    <w:name w:val="Char Char_2"/>
    <w:basedOn w:val="a"/>
    <w:qFormat/>
  </w:style>
  <w:style w:type="paragraph" w:styleId="af5">
    <w:name w:val="List Paragraph"/>
    <w:basedOn w:val="a"/>
    <w:uiPriority w:val="34"/>
    <w:qFormat/>
    <w:pPr>
      <w:ind w:firstLineChars="200" w:firstLine="420"/>
    </w:pPr>
  </w:style>
  <w:style w:type="paragraph" w:customStyle="1" w:styleId="CharChar11">
    <w:name w:val="Char Char1_1"/>
    <w:basedOn w:val="a"/>
    <w:qFormat/>
  </w:style>
  <w:style w:type="paragraph" w:customStyle="1" w:styleId="Char20">
    <w:name w:val="Char_2"/>
    <w:basedOn w:val="a"/>
    <w:qFormat/>
  </w:style>
  <w:style w:type="paragraph" w:customStyle="1" w:styleId="CharChar12">
    <w:name w:val="Char Char1_2"/>
    <w:basedOn w:val="a"/>
    <w:qFormat/>
  </w:style>
  <w:style w:type="paragraph" w:customStyle="1" w:styleId="Char30">
    <w:name w:val="Char_3"/>
    <w:basedOn w:val="a"/>
    <w:qFormat/>
  </w:style>
  <w:style w:type="paragraph" w:customStyle="1" w:styleId="CharChar13">
    <w:name w:val="Char Char1_3"/>
    <w:basedOn w:val="a"/>
    <w:qFormat/>
  </w:style>
  <w:style w:type="paragraph" w:customStyle="1" w:styleId="Char40">
    <w:name w:val="Char_4"/>
    <w:basedOn w:val="a"/>
    <w:qFormat/>
  </w:style>
  <w:style w:type="paragraph" w:customStyle="1" w:styleId="CharChar3">
    <w:name w:val="Char Char_3"/>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character" w:customStyle="1" w:styleId="custom">
    <w:name w:val="custom"/>
    <w:basedOn w:val="a0"/>
    <w:qFormat/>
  </w:style>
  <w:style w:type="character" w:customStyle="1" w:styleId="serial-tag">
    <w:name w:val="serial-tag"/>
    <w:basedOn w:val="a0"/>
    <w:qFormat/>
  </w:style>
  <w:style w:type="character" w:customStyle="1" w:styleId="divCharacter">
    <w:name w:val="div Character"/>
    <w:basedOn w:val="a0"/>
    <w:qFormat/>
  </w:style>
  <w:style w:type="paragraph" w:customStyle="1" w:styleId="22">
    <w:name w:val="修订2"/>
    <w:hidden/>
    <w:uiPriority w:val="99"/>
    <w:semiHidden/>
    <w:qFormat/>
    <w:rPr>
      <w:kern w:val="2"/>
      <w:sz w:val="21"/>
    </w:rPr>
  </w:style>
  <w:style w:type="paragraph" w:customStyle="1" w:styleId="CharChar5">
    <w:name w:val="Char Char5"/>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6127-7A8A-4691-B5BB-6C728B1E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113</Pages>
  <Words>11464</Words>
  <Characters>65351</Characters>
  <Application>Microsoft Office Word</Application>
  <DocSecurity>0</DocSecurity>
  <Lines>544</Lines>
  <Paragraphs>153</Paragraphs>
  <ScaleCrop>false</ScaleCrop>
  <Company/>
  <LinksUpToDate>false</LinksUpToDate>
  <CharactersWithSpaces>76662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hezhongyu</dc:creator>
  <cp:lastModifiedBy>谭蓉</cp:lastModifiedBy>
  <cp:revision>46</cp:revision>
  <cp:lastPrinted>2020-07-16T11:58:00Z</cp:lastPrinted>
  <dcterms:created xsi:type="dcterms:W3CDTF">2020-07-09T02:06:00Z</dcterms:created>
  <dcterms:modified xsi:type="dcterms:W3CDTF">2025-12-12T00:57:00Z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EEC97F242FE547EB8F7349F2830176CC_13</vt:lpwstr>
  </property>
  <property fmtid="{D5CDD505-2E9C-101B-9397-08002B2CF9AE}" pid="3" name="KSOProductBuildVer">
    <vt:lpwstr>2052-12.8.2.18913</vt:lpwstr>
  </property>
</Properties>
</file>