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5D88" w14:textId="77777777" w:rsidR="00F82B4D" w:rsidRDefault="00467E37">
      <w:pPr>
        <w:adjustRightInd w:val="0"/>
        <w:snapToGrid w:val="0"/>
        <w:spacing w:line="360" w:lineRule="auto"/>
        <w:jc w:val="center"/>
        <w:rPr>
          <w:rFonts w:cs="Arial"/>
          <w:szCs w:val="21"/>
        </w:rPr>
        <w:sectPr w:rsidR="00F82B4D">
          <w:footerReference w:type="even" r:id="rId39"/>
          <w:type w:val="continuous"/>
          <w:pgSz w:w="11906" w:h="16838"/>
          <w:pgMar w:top="1418" w:right="1701" w:bottom="1418" w:left="1701" w:header="851" w:footer="992" w:gutter="0"/>
          <w:cols w:space="425"/>
          <w:docGrid w:type="lines" w:linePitch="312"/>
        </w:sectPr>
      </w:pPr>
      <w:bookmarkStart w:id="0" w:name="TITLE_765decababaa49e2a8dfd7458e24b387"/>
      <w:bookmarkStart w:id="1" w:name="OLE_LINK25"/>
      <w:r>
        <w:t xml:space="preserve"> </w:t>
      </w:r>
    </w:p>
    <w:p w14:paraId="029E351E" w14:textId="77777777" w:rsidR="00F82B4D" w:rsidRDefault="00467E37">
      <w:pPr>
        <w:adjustRightInd w:val="0"/>
        <w:snapToGrid w:val="0"/>
        <w:spacing w:line="360" w:lineRule="auto"/>
        <w:jc w:val="center"/>
        <w:rPr>
          <w:rFonts w:cs="Arial"/>
          <w:szCs w:val="21"/>
        </w:rPr>
      </w:pPr>
      <w:bookmarkStart w:id="2" w:name="CLAUSE_468ded6493c9462ebc131b865f5d7da2"/>
      <w:bookmarkEnd w:id="0"/>
      <w:r>
        <w:t xml:space="preserve"> </w:t>
      </w:r>
      <w:bookmarkStart w:id="3" w:name="CTS_468ded6493c9462ebc131b865f5d7da2"/>
      <w:bookmarkEnd w:id="3"/>
    </w:p>
    <w:p w14:paraId="0A68678A" w14:textId="77777777" w:rsidR="00F82B4D" w:rsidRDefault="00F82B4D">
      <w:pPr>
        <w:adjustRightInd w:val="0"/>
        <w:snapToGrid w:val="0"/>
        <w:spacing w:line="360" w:lineRule="auto"/>
        <w:jc w:val="center"/>
        <w:rPr>
          <w:rFonts w:cs="Arial"/>
          <w:szCs w:val="21"/>
        </w:rPr>
      </w:pPr>
    </w:p>
    <w:p w14:paraId="6258CFFB" w14:textId="77777777" w:rsidR="00F82B4D" w:rsidRDefault="00F82B4D">
      <w:pPr>
        <w:adjustRightInd w:val="0"/>
        <w:snapToGrid w:val="0"/>
        <w:spacing w:line="360" w:lineRule="auto"/>
        <w:jc w:val="center"/>
        <w:rPr>
          <w:rFonts w:cs="Arial"/>
          <w:szCs w:val="21"/>
        </w:rPr>
      </w:pPr>
    </w:p>
    <w:p w14:paraId="042FBF86" w14:textId="77777777" w:rsidR="00F82B4D" w:rsidRDefault="00F82B4D">
      <w:pPr>
        <w:adjustRightInd w:val="0"/>
        <w:snapToGrid w:val="0"/>
        <w:spacing w:line="360" w:lineRule="auto"/>
        <w:jc w:val="center"/>
        <w:rPr>
          <w:rFonts w:cs="Arial"/>
          <w:szCs w:val="21"/>
        </w:rPr>
      </w:pPr>
    </w:p>
    <w:p w14:paraId="36D318B9" w14:textId="77777777" w:rsidR="00F82B4D" w:rsidRDefault="00F82B4D">
      <w:pPr>
        <w:adjustRightInd w:val="0"/>
        <w:snapToGrid w:val="0"/>
        <w:spacing w:line="360" w:lineRule="auto"/>
        <w:jc w:val="center"/>
        <w:rPr>
          <w:rFonts w:cs="Arial"/>
          <w:szCs w:val="21"/>
        </w:rPr>
      </w:pPr>
    </w:p>
    <w:p w14:paraId="5B684F04" w14:textId="77777777" w:rsidR="00F82B4D" w:rsidRDefault="00467E37">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富国稳健添颐债券型证券投资基金</w:t>
      </w:r>
    </w:p>
    <w:p w14:paraId="4BAC362D" w14:textId="77777777" w:rsidR="00F82B4D" w:rsidRDefault="00467E37">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托管协议</w:t>
      </w:r>
    </w:p>
    <w:p w14:paraId="28A74181" w14:textId="77777777" w:rsidR="00F82B4D" w:rsidRDefault="00F82B4D">
      <w:pPr>
        <w:adjustRightInd w:val="0"/>
        <w:snapToGrid w:val="0"/>
        <w:spacing w:line="360" w:lineRule="auto"/>
        <w:jc w:val="center"/>
        <w:rPr>
          <w:rFonts w:ascii="黑体" w:eastAsia="黑体" w:hAnsi="黑体" w:cs="Arial"/>
          <w:b/>
          <w:szCs w:val="21"/>
        </w:rPr>
      </w:pPr>
    </w:p>
    <w:p w14:paraId="3388AD95" w14:textId="77777777" w:rsidR="00F82B4D" w:rsidRDefault="00F82B4D">
      <w:pPr>
        <w:adjustRightInd w:val="0"/>
        <w:snapToGrid w:val="0"/>
        <w:spacing w:line="360" w:lineRule="auto"/>
        <w:jc w:val="center"/>
        <w:rPr>
          <w:rFonts w:cs="Arial"/>
          <w:szCs w:val="21"/>
        </w:rPr>
      </w:pPr>
    </w:p>
    <w:p w14:paraId="1D77FE0E" w14:textId="77777777" w:rsidR="00F82B4D" w:rsidRDefault="00F82B4D">
      <w:pPr>
        <w:adjustRightInd w:val="0"/>
        <w:snapToGrid w:val="0"/>
        <w:spacing w:line="360" w:lineRule="auto"/>
        <w:jc w:val="center"/>
        <w:rPr>
          <w:rFonts w:cs="Arial"/>
          <w:szCs w:val="21"/>
        </w:rPr>
      </w:pPr>
    </w:p>
    <w:p w14:paraId="1F5A1928" w14:textId="77777777" w:rsidR="00F82B4D" w:rsidRDefault="00F82B4D">
      <w:pPr>
        <w:adjustRightInd w:val="0"/>
        <w:snapToGrid w:val="0"/>
        <w:spacing w:line="360" w:lineRule="auto"/>
        <w:jc w:val="center"/>
        <w:rPr>
          <w:rFonts w:cs="Arial"/>
          <w:szCs w:val="21"/>
        </w:rPr>
      </w:pPr>
    </w:p>
    <w:p w14:paraId="5E83E49A" w14:textId="77777777" w:rsidR="00F82B4D" w:rsidRDefault="00F82B4D">
      <w:pPr>
        <w:adjustRightInd w:val="0"/>
        <w:snapToGrid w:val="0"/>
        <w:spacing w:line="360" w:lineRule="auto"/>
        <w:jc w:val="center"/>
        <w:rPr>
          <w:rFonts w:cs="Arial"/>
          <w:szCs w:val="21"/>
        </w:rPr>
      </w:pPr>
    </w:p>
    <w:p w14:paraId="04E5D652" w14:textId="77777777" w:rsidR="00F82B4D" w:rsidRDefault="00F82B4D">
      <w:pPr>
        <w:adjustRightInd w:val="0"/>
        <w:snapToGrid w:val="0"/>
        <w:spacing w:line="360" w:lineRule="auto"/>
        <w:jc w:val="center"/>
        <w:rPr>
          <w:rFonts w:cs="Arial"/>
          <w:szCs w:val="21"/>
        </w:rPr>
      </w:pPr>
    </w:p>
    <w:p w14:paraId="005BAA43" w14:textId="77777777" w:rsidR="00F82B4D" w:rsidRDefault="00F82B4D">
      <w:pPr>
        <w:adjustRightInd w:val="0"/>
        <w:snapToGrid w:val="0"/>
        <w:spacing w:line="360" w:lineRule="auto"/>
        <w:jc w:val="center"/>
        <w:rPr>
          <w:rFonts w:cs="Arial"/>
          <w:szCs w:val="21"/>
        </w:rPr>
      </w:pPr>
    </w:p>
    <w:p w14:paraId="579F6EBB" w14:textId="77777777" w:rsidR="00F82B4D" w:rsidRDefault="00F82B4D">
      <w:pPr>
        <w:adjustRightInd w:val="0"/>
        <w:snapToGrid w:val="0"/>
        <w:spacing w:line="360" w:lineRule="auto"/>
        <w:jc w:val="center"/>
        <w:rPr>
          <w:rFonts w:cs="Arial"/>
          <w:szCs w:val="21"/>
        </w:rPr>
      </w:pPr>
    </w:p>
    <w:p w14:paraId="1A67E417" w14:textId="77777777" w:rsidR="00F82B4D" w:rsidRDefault="00F82B4D">
      <w:pPr>
        <w:adjustRightInd w:val="0"/>
        <w:snapToGrid w:val="0"/>
        <w:spacing w:line="360" w:lineRule="auto"/>
        <w:jc w:val="center"/>
        <w:rPr>
          <w:rFonts w:cs="Arial"/>
          <w:szCs w:val="21"/>
        </w:rPr>
      </w:pPr>
    </w:p>
    <w:p w14:paraId="1EA5F44A" w14:textId="77777777" w:rsidR="00F82B4D" w:rsidRDefault="00F82B4D">
      <w:pPr>
        <w:adjustRightInd w:val="0"/>
        <w:snapToGrid w:val="0"/>
        <w:spacing w:line="360" w:lineRule="auto"/>
        <w:jc w:val="center"/>
        <w:rPr>
          <w:rFonts w:cs="Arial"/>
          <w:szCs w:val="21"/>
        </w:rPr>
      </w:pPr>
    </w:p>
    <w:p w14:paraId="5F997B9F" w14:textId="77777777" w:rsidR="00F82B4D" w:rsidRDefault="00F82B4D">
      <w:pPr>
        <w:adjustRightInd w:val="0"/>
        <w:snapToGrid w:val="0"/>
        <w:spacing w:line="360" w:lineRule="auto"/>
        <w:jc w:val="center"/>
        <w:rPr>
          <w:rFonts w:cs="Arial"/>
          <w:szCs w:val="21"/>
        </w:rPr>
      </w:pPr>
    </w:p>
    <w:p w14:paraId="1E285A35" w14:textId="77777777" w:rsidR="00F82B4D" w:rsidRDefault="00F82B4D">
      <w:pPr>
        <w:adjustRightInd w:val="0"/>
        <w:snapToGrid w:val="0"/>
        <w:spacing w:line="360" w:lineRule="auto"/>
        <w:jc w:val="center"/>
        <w:rPr>
          <w:rFonts w:cs="Arial"/>
          <w:szCs w:val="21"/>
        </w:rPr>
      </w:pPr>
    </w:p>
    <w:p w14:paraId="0D1955C2" w14:textId="77777777" w:rsidR="00F82B4D" w:rsidRDefault="00F82B4D">
      <w:pPr>
        <w:adjustRightInd w:val="0"/>
        <w:snapToGrid w:val="0"/>
        <w:spacing w:line="360" w:lineRule="auto"/>
        <w:jc w:val="center"/>
        <w:rPr>
          <w:rFonts w:cs="Arial"/>
          <w:szCs w:val="21"/>
        </w:rPr>
      </w:pPr>
    </w:p>
    <w:p w14:paraId="1FFBB74A" w14:textId="77777777" w:rsidR="00F82B4D" w:rsidRDefault="00F82B4D">
      <w:pPr>
        <w:adjustRightInd w:val="0"/>
        <w:snapToGrid w:val="0"/>
        <w:spacing w:line="360" w:lineRule="auto"/>
        <w:jc w:val="center"/>
        <w:rPr>
          <w:rFonts w:cs="Arial"/>
          <w:szCs w:val="21"/>
        </w:rPr>
      </w:pPr>
    </w:p>
    <w:p w14:paraId="16B3541F" w14:textId="77777777" w:rsidR="00F82B4D" w:rsidRDefault="00F82B4D">
      <w:pPr>
        <w:adjustRightInd w:val="0"/>
        <w:snapToGrid w:val="0"/>
        <w:spacing w:line="360" w:lineRule="auto"/>
        <w:jc w:val="center"/>
        <w:rPr>
          <w:rFonts w:cs="Arial"/>
          <w:szCs w:val="21"/>
        </w:rPr>
      </w:pPr>
    </w:p>
    <w:p w14:paraId="78AEF29D" w14:textId="77777777" w:rsidR="00F82B4D" w:rsidRDefault="00F82B4D">
      <w:pPr>
        <w:adjustRightInd w:val="0"/>
        <w:snapToGrid w:val="0"/>
        <w:spacing w:line="360" w:lineRule="auto"/>
        <w:jc w:val="center"/>
        <w:rPr>
          <w:rFonts w:cs="Arial"/>
          <w:szCs w:val="21"/>
        </w:rPr>
      </w:pPr>
    </w:p>
    <w:p w14:paraId="6A9E6A91" w14:textId="77777777" w:rsidR="00F82B4D" w:rsidRDefault="00F82B4D">
      <w:pPr>
        <w:adjustRightInd w:val="0"/>
        <w:snapToGrid w:val="0"/>
        <w:spacing w:line="360" w:lineRule="auto"/>
        <w:jc w:val="center"/>
        <w:rPr>
          <w:rFonts w:cs="Arial"/>
          <w:szCs w:val="21"/>
        </w:rPr>
      </w:pPr>
    </w:p>
    <w:p w14:paraId="5A6B2E7E" w14:textId="77777777" w:rsidR="00F82B4D" w:rsidRDefault="00467E37">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基金管理人：富国基金管理有限公司</w:t>
      </w:r>
    </w:p>
    <w:p w14:paraId="5CE36E3D" w14:textId="77777777" w:rsidR="00F82B4D" w:rsidRDefault="00467E37">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基金托管人：招商银行股份有限公司</w:t>
      </w:r>
    </w:p>
    <w:p w14:paraId="1C090B87" w14:textId="77777777" w:rsidR="00F82B4D" w:rsidRDefault="00F82B4D">
      <w:pPr>
        <w:adjustRightInd w:val="0"/>
        <w:snapToGrid w:val="0"/>
        <w:spacing w:line="360" w:lineRule="auto"/>
        <w:jc w:val="center"/>
        <w:rPr>
          <w:rFonts w:cs="Arial"/>
          <w:szCs w:val="21"/>
        </w:rPr>
      </w:pPr>
    </w:p>
    <w:p w14:paraId="220C0D11" w14:textId="77777777" w:rsidR="00F82B4D" w:rsidRDefault="00F82B4D">
      <w:pPr>
        <w:adjustRightInd w:val="0"/>
        <w:snapToGrid w:val="0"/>
        <w:spacing w:line="360" w:lineRule="auto"/>
        <w:jc w:val="center"/>
        <w:rPr>
          <w:rFonts w:cs="Arial"/>
          <w:szCs w:val="21"/>
        </w:rPr>
      </w:pPr>
    </w:p>
    <w:p w14:paraId="435E028B" w14:textId="77777777" w:rsidR="00F82B4D" w:rsidRDefault="00F82B4D">
      <w:pPr>
        <w:adjustRightInd w:val="0"/>
        <w:snapToGrid w:val="0"/>
        <w:spacing w:line="360" w:lineRule="auto"/>
        <w:ind w:firstLineChars="1078" w:firstLine="2264"/>
        <w:rPr>
          <w:rFonts w:ascii="黑体" w:eastAsia="黑体" w:hAnsi="黑体" w:cs="Arial"/>
          <w:bCs/>
          <w:szCs w:val="21"/>
        </w:rPr>
      </w:pPr>
    </w:p>
    <w:p w14:paraId="08945F46" w14:textId="77777777" w:rsidR="00F82B4D" w:rsidRDefault="00F82B4D">
      <w:pPr>
        <w:adjustRightInd w:val="0"/>
        <w:snapToGrid w:val="0"/>
        <w:spacing w:line="360" w:lineRule="auto"/>
        <w:ind w:firstLine="2264"/>
        <w:jc w:val="center"/>
        <w:rPr>
          <w:szCs w:val="21"/>
        </w:rPr>
      </w:pPr>
    </w:p>
    <w:p w14:paraId="3F17AC90" w14:textId="77777777" w:rsidR="00F82B4D" w:rsidRDefault="00F82B4D">
      <w:pPr>
        <w:adjustRightInd w:val="0"/>
        <w:snapToGrid w:val="0"/>
        <w:spacing w:line="360" w:lineRule="auto"/>
        <w:rPr>
          <w:rFonts w:cs="Arial"/>
          <w:bCs/>
          <w:szCs w:val="21"/>
        </w:rPr>
      </w:pPr>
    </w:p>
    <w:bookmarkEnd w:id="2"/>
    <w:p w14:paraId="1FCEACEF" w14:textId="77777777" w:rsidR="00F82B4D" w:rsidRDefault="00F82B4D">
      <w:pPr>
        <w:adjustRightInd w:val="0"/>
        <w:snapToGrid w:val="0"/>
        <w:spacing w:line="360" w:lineRule="auto"/>
        <w:rPr>
          <w:rFonts w:cs="Arial"/>
          <w:bCs/>
          <w:szCs w:val="21"/>
        </w:rPr>
        <w:sectPr w:rsidR="00F82B4D">
          <w:type w:val="continuous"/>
          <w:pgSz w:w="11906" w:h="16838"/>
          <w:pgMar w:top="1418" w:right="1701" w:bottom="1418" w:left="1701" w:header="851" w:footer="992" w:gutter="0"/>
          <w:cols w:space="425"/>
          <w:docGrid w:type="lines" w:linePitch="312"/>
        </w:sectPr>
      </w:pPr>
    </w:p>
    <w:p w14:paraId="6A668CBE" w14:textId="77777777" w:rsidR="00F82B4D" w:rsidRDefault="00467E37">
      <w:pPr>
        <w:adjustRightInd w:val="0"/>
        <w:snapToGrid w:val="0"/>
        <w:spacing w:line="360" w:lineRule="auto"/>
        <w:rPr>
          <w:rFonts w:cs="Arial"/>
          <w:bCs/>
          <w:szCs w:val="21"/>
        </w:rPr>
      </w:pPr>
      <w:bookmarkStart w:id="4" w:name="CLAUSE_bd58dd527ca2412b839164a45ea933d0"/>
      <w:r>
        <w:lastRenderedPageBreak/>
        <w:t xml:space="preserve"> </w:t>
      </w:r>
      <w:bookmarkStart w:id="5" w:name="CTS_bd58dd527ca2412b839164a45ea933d0"/>
      <w:bookmarkEnd w:id="5"/>
    </w:p>
    <w:p w14:paraId="7B324B42" w14:textId="77777777" w:rsidR="00F82B4D" w:rsidRDefault="00467E37">
      <w:pPr>
        <w:spacing w:line="360" w:lineRule="auto"/>
        <w:jc w:val="center"/>
        <w:rPr>
          <w:rFonts w:ascii="宋体" w:hAnsi="宋体"/>
          <w:b/>
          <w:bCs/>
          <w:szCs w:val="21"/>
        </w:rPr>
      </w:pPr>
      <w:r>
        <w:rPr>
          <w:rFonts w:ascii="宋体" w:hAnsi="宋体" w:hint="eastAsia"/>
          <w:b/>
          <w:bCs/>
          <w:szCs w:val="21"/>
        </w:rPr>
        <w:t>目</w:t>
      </w:r>
      <w:r>
        <w:rPr>
          <w:rFonts w:ascii="宋体" w:hAnsi="宋体" w:hint="eastAsia"/>
          <w:b/>
          <w:bCs/>
          <w:szCs w:val="21"/>
        </w:rPr>
        <w:t xml:space="preserve">    </w:t>
      </w:r>
      <w:r>
        <w:rPr>
          <w:rFonts w:ascii="宋体" w:hAnsi="宋体" w:hint="eastAsia"/>
          <w:b/>
          <w:bCs/>
          <w:szCs w:val="21"/>
        </w:rPr>
        <w:t>录</w:t>
      </w:r>
    </w:p>
    <w:p w14:paraId="537E14F1" w14:textId="77777777" w:rsidR="00F82B4D" w:rsidRDefault="00467E37">
      <w:pPr>
        <w:pStyle w:val="TOC2"/>
        <w:rPr>
          <w:rFonts w:ascii="Calibri" w:hAnsi="Calibri"/>
        </w:rPr>
      </w:pPr>
      <w:r>
        <w:rPr>
          <w:rFonts w:ascii="宋体" w:hAnsi="宋体"/>
        </w:rPr>
        <w:fldChar w:fldCharType="begin"/>
      </w:r>
      <w:r>
        <w:rPr>
          <w:rFonts w:ascii="宋体" w:hAnsi="宋体"/>
        </w:rPr>
        <w:instrText xml:space="preserve"> TOC \o "1-2" \h \z </w:instrText>
      </w:r>
      <w:r>
        <w:rPr>
          <w:rFonts w:ascii="宋体" w:hAnsi="宋体"/>
        </w:rPr>
        <w:fldChar w:fldCharType="separate"/>
      </w:r>
      <w:hyperlink w:anchor="_Toc384992691" w:history="1">
        <w:r>
          <w:rPr>
            <w:rStyle w:val="af6"/>
            <w:rFonts w:ascii="宋体" w:hAnsi="宋体" w:hint="eastAsia"/>
            <w:szCs w:val="21"/>
          </w:rPr>
          <w:t>一、基金托管协议当事人</w:t>
        </w:r>
        <w:r>
          <w:tab/>
        </w:r>
        <w:r>
          <w:fldChar w:fldCharType="begin"/>
        </w:r>
        <w:r>
          <w:instrText xml:space="preserve"> PAGEREF _Toc384992691 \h </w:instrText>
        </w:r>
        <w:r>
          <w:fldChar w:fldCharType="separate"/>
        </w:r>
        <w:r>
          <w:t>4</w:t>
        </w:r>
        <w:r>
          <w:fldChar w:fldCharType="end"/>
        </w:r>
      </w:hyperlink>
    </w:p>
    <w:p w14:paraId="26F64608" w14:textId="77777777" w:rsidR="00F82B4D" w:rsidRDefault="00467E37">
      <w:pPr>
        <w:pStyle w:val="TOC2"/>
        <w:rPr>
          <w:rFonts w:ascii="Calibri" w:hAnsi="Calibri"/>
        </w:rPr>
      </w:pPr>
      <w:hyperlink w:anchor="_Toc384992692" w:history="1">
        <w:r>
          <w:rPr>
            <w:rStyle w:val="af6"/>
            <w:rFonts w:ascii="宋体" w:hAnsi="宋体" w:hint="eastAsia"/>
            <w:szCs w:val="21"/>
          </w:rPr>
          <w:t>二、基金托管协议的依据、目的和原则</w:t>
        </w:r>
        <w:r>
          <w:tab/>
        </w:r>
        <w:r>
          <w:fldChar w:fldCharType="begin"/>
        </w:r>
        <w:r>
          <w:instrText xml:space="preserve"> PAGEREF _Toc384992692 \h </w:instrText>
        </w:r>
        <w:r>
          <w:fldChar w:fldCharType="separate"/>
        </w:r>
        <w:r>
          <w:t>5</w:t>
        </w:r>
        <w:r>
          <w:fldChar w:fldCharType="end"/>
        </w:r>
      </w:hyperlink>
    </w:p>
    <w:p w14:paraId="50E96AA3" w14:textId="77777777" w:rsidR="00F82B4D" w:rsidRDefault="00467E37">
      <w:pPr>
        <w:pStyle w:val="TOC2"/>
        <w:rPr>
          <w:rFonts w:ascii="Calibri" w:hAnsi="Calibri"/>
        </w:rPr>
      </w:pPr>
      <w:hyperlink w:anchor="_Toc384992693" w:history="1">
        <w:r>
          <w:rPr>
            <w:rStyle w:val="af6"/>
            <w:rFonts w:ascii="宋体" w:hAnsi="宋体" w:hint="eastAsia"/>
            <w:szCs w:val="21"/>
          </w:rPr>
          <w:t>三、基金托管人对基金管理人的业务监督和核查</w:t>
        </w:r>
        <w:r>
          <w:tab/>
        </w:r>
        <w:r>
          <w:fldChar w:fldCharType="begin"/>
        </w:r>
        <w:r>
          <w:instrText xml:space="preserve"> PAGEREF _Toc384992693 \h </w:instrText>
        </w:r>
        <w:r>
          <w:fldChar w:fldCharType="separate"/>
        </w:r>
        <w:r>
          <w:t>6</w:t>
        </w:r>
        <w:r>
          <w:fldChar w:fldCharType="end"/>
        </w:r>
      </w:hyperlink>
    </w:p>
    <w:p w14:paraId="25ACBEDE" w14:textId="77777777" w:rsidR="00F82B4D" w:rsidRDefault="00467E37">
      <w:pPr>
        <w:pStyle w:val="TOC2"/>
        <w:rPr>
          <w:rFonts w:ascii="Calibri" w:hAnsi="Calibri"/>
        </w:rPr>
      </w:pPr>
      <w:hyperlink w:anchor="_Toc384992694" w:history="1">
        <w:r>
          <w:rPr>
            <w:rStyle w:val="af6"/>
            <w:rFonts w:ascii="宋体" w:hAnsi="宋体" w:hint="eastAsia"/>
            <w:szCs w:val="21"/>
          </w:rPr>
          <w:t>四、基金管理人对基金托管人的业务核查</w:t>
        </w:r>
        <w:r>
          <w:tab/>
        </w:r>
        <w:r>
          <w:fldChar w:fldCharType="begin"/>
        </w:r>
        <w:r>
          <w:instrText xml:space="preserve"> PAGEREF _Toc384992694 \h </w:instrText>
        </w:r>
        <w:r>
          <w:fldChar w:fldCharType="separate"/>
        </w:r>
        <w:r>
          <w:t>17</w:t>
        </w:r>
        <w:r>
          <w:fldChar w:fldCharType="end"/>
        </w:r>
      </w:hyperlink>
    </w:p>
    <w:p w14:paraId="6F230158" w14:textId="77777777" w:rsidR="00F82B4D" w:rsidRDefault="00467E37">
      <w:pPr>
        <w:pStyle w:val="TOC2"/>
        <w:rPr>
          <w:rFonts w:ascii="Calibri" w:hAnsi="Calibri"/>
        </w:rPr>
      </w:pPr>
      <w:hyperlink w:anchor="_Toc384992695" w:history="1">
        <w:r>
          <w:rPr>
            <w:rStyle w:val="af6"/>
            <w:rFonts w:ascii="宋体" w:hAnsi="宋体" w:hint="eastAsia"/>
            <w:szCs w:val="21"/>
          </w:rPr>
          <w:t>五、基金财产的保管</w:t>
        </w:r>
        <w:r>
          <w:tab/>
        </w:r>
        <w:r>
          <w:fldChar w:fldCharType="begin"/>
        </w:r>
        <w:r>
          <w:instrText xml:space="preserve"> PAGEREF _Toc384992695 \h </w:instrText>
        </w:r>
        <w:r>
          <w:fldChar w:fldCharType="separate"/>
        </w:r>
        <w:r>
          <w:t>18</w:t>
        </w:r>
        <w:r>
          <w:fldChar w:fldCharType="end"/>
        </w:r>
      </w:hyperlink>
    </w:p>
    <w:p w14:paraId="2CF77DBD" w14:textId="77777777" w:rsidR="00F82B4D" w:rsidRDefault="00467E37">
      <w:pPr>
        <w:pStyle w:val="TOC2"/>
        <w:rPr>
          <w:rFonts w:ascii="Calibri" w:hAnsi="Calibri"/>
        </w:rPr>
      </w:pPr>
      <w:hyperlink w:anchor="_Toc384992696" w:history="1">
        <w:r>
          <w:rPr>
            <w:rStyle w:val="af6"/>
            <w:rFonts w:ascii="宋体" w:hAnsi="宋体" w:hint="eastAsia"/>
            <w:szCs w:val="21"/>
          </w:rPr>
          <w:t>六、指令的发送、确认及执行</w:t>
        </w:r>
        <w:r>
          <w:tab/>
        </w:r>
        <w:r>
          <w:fldChar w:fldCharType="begin"/>
        </w:r>
        <w:r>
          <w:instrText xml:space="preserve"> PAGEREF _Toc384992696 \h </w:instrText>
        </w:r>
        <w:r>
          <w:fldChar w:fldCharType="separate"/>
        </w:r>
        <w:r>
          <w:t>21</w:t>
        </w:r>
        <w:r>
          <w:fldChar w:fldCharType="end"/>
        </w:r>
      </w:hyperlink>
    </w:p>
    <w:p w14:paraId="2D9F7D60" w14:textId="77777777" w:rsidR="00F82B4D" w:rsidRDefault="00467E37">
      <w:pPr>
        <w:pStyle w:val="TOC2"/>
        <w:rPr>
          <w:rFonts w:ascii="Calibri" w:hAnsi="Calibri"/>
        </w:rPr>
      </w:pPr>
      <w:hyperlink w:anchor="_Toc384992697" w:history="1">
        <w:r>
          <w:rPr>
            <w:rStyle w:val="af6"/>
            <w:rFonts w:ascii="宋体" w:hAnsi="宋体" w:hint="eastAsia"/>
            <w:szCs w:val="21"/>
          </w:rPr>
          <w:t>七、交易及清算交收安排</w:t>
        </w:r>
        <w:r>
          <w:tab/>
        </w:r>
        <w:r>
          <w:fldChar w:fldCharType="begin"/>
        </w:r>
        <w:r>
          <w:instrText xml:space="preserve"> PAGEREF _Toc384992697 \h </w:instrText>
        </w:r>
        <w:r>
          <w:fldChar w:fldCharType="separate"/>
        </w:r>
        <w:r>
          <w:t>25</w:t>
        </w:r>
        <w:r>
          <w:fldChar w:fldCharType="end"/>
        </w:r>
      </w:hyperlink>
    </w:p>
    <w:p w14:paraId="5A998AD0" w14:textId="77777777" w:rsidR="00F82B4D" w:rsidRDefault="00467E37">
      <w:pPr>
        <w:pStyle w:val="TOC2"/>
        <w:rPr>
          <w:rFonts w:ascii="Calibri" w:hAnsi="Calibri"/>
        </w:rPr>
      </w:pPr>
      <w:hyperlink w:anchor="_Toc384992698" w:history="1">
        <w:r>
          <w:rPr>
            <w:rStyle w:val="af6"/>
            <w:rFonts w:ascii="宋体" w:hAnsi="宋体" w:hint="eastAsia"/>
            <w:szCs w:val="21"/>
          </w:rPr>
          <w:t>八、基金资产净值计算、估值和会计核算</w:t>
        </w:r>
        <w:r>
          <w:tab/>
        </w:r>
        <w:r>
          <w:fldChar w:fldCharType="begin"/>
        </w:r>
        <w:r>
          <w:instrText xml:space="preserve"> PAGERE</w:instrText>
        </w:r>
        <w:r>
          <w:instrText xml:space="preserve">F _Toc384992698 \h </w:instrText>
        </w:r>
        <w:r>
          <w:fldChar w:fldCharType="separate"/>
        </w:r>
        <w:r>
          <w:t>28</w:t>
        </w:r>
        <w:r>
          <w:fldChar w:fldCharType="end"/>
        </w:r>
      </w:hyperlink>
    </w:p>
    <w:p w14:paraId="4F6F3D94" w14:textId="77777777" w:rsidR="00F82B4D" w:rsidRDefault="00467E37">
      <w:pPr>
        <w:pStyle w:val="TOC2"/>
        <w:rPr>
          <w:rFonts w:ascii="Calibri" w:hAnsi="Calibri"/>
        </w:rPr>
      </w:pPr>
      <w:hyperlink w:anchor="_Toc384992699" w:history="1">
        <w:r>
          <w:rPr>
            <w:rStyle w:val="af6"/>
            <w:rFonts w:ascii="宋体" w:hAnsi="宋体" w:hint="eastAsia"/>
            <w:szCs w:val="21"/>
          </w:rPr>
          <w:t>九、基金收益分配</w:t>
        </w:r>
        <w:r>
          <w:tab/>
        </w:r>
        <w:r>
          <w:fldChar w:fldCharType="begin"/>
        </w:r>
        <w:r>
          <w:instrText xml:space="preserve"> PAGEREF _Toc384992699 \h </w:instrText>
        </w:r>
        <w:r>
          <w:fldChar w:fldCharType="separate"/>
        </w:r>
        <w:r>
          <w:t>30</w:t>
        </w:r>
        <w:r>
          <w:fldChar w:fldCharType="end"/>
        </w:r>
      </w:hyperlink>
    </w:p>
    <w:p w14:paraId="799A45CE" w14:textId="77777777" w:rsidR="00F82B4D" w:rsidRDefault="00467E37">
      <w:pPr>
        <w:pStyle w:val="TOC2"/>
        <w:rPr>
          <w:rFonts w:ascii="Calibri" w:hAnsi="Calibri"/>
        </w:rPr>
      </w:pPr>
      <w:hyperlink w:anchor="_Toc384992700" w:history="1">
        <w:r>
          <w:rPr>
            <w:rStyle w:val="af6"/>
            <w:rFonts w:ascii="宋体" w:hAnsi="宋体" w:hint="eastAsia"/>
            <w:szCs w:val="21"/>
          </w:rPr>
          <w:t>十、基金信息披露</w:t>
        </w:r>
        <w:r>
          <w:tab/>
        </w:r>
        <w:r>
          <w:fldChar w:fldCharType="begin"/>
        </w:r>
        <w:r>
          <w:instrText xml:space="preserve"> PAGEREF _Toc384992700 \h </w:instrText>
        </w:r>
        <w:r>
          <w:fldChar w:fldCharType="separate"/>
        </w:r>
        <w:r>
          <w:t>31</w:t>
        </w:r>
        <w:r>
          <w:fldChar w:fldCharType="end"/>
        </w:r>
      </w:hyperlink>
    </w:p>
    <w:p w14:paraId="2E74F762" w14:textId="77777777" w:rsidR="00F82B4D" w:rsidRDefault="00467E37">
      <w:pPr>
        <w:pStyle w:val="TOC2"/>
        <w:rPr>
          <w:rFonts w:ascii="Calibri" w:hAnsi="Calibri"/>
        </w:rPr>
      </w:pPr>
      <w:hyperlink w:anchor="_Toc384992701" w:history="1">
        <w:r>
          <w:rPr>
            <w:rStyle w:val="af6"/>
            <w:rFonts w:ascii="宋体" w:hAnsi="宋体" w:hint="eastAsia"/>
            <w:szCs w:val="21"/>
          </w:rPr>
          <w:t>十一、基金费用</w:t>
        </w:r>
        <w:r>
          <w:tab/>
        </w:r>
        <w:r>
          <w:fldChar w:fldCharType="begin"/>
        </w:r>
        <w:r>
          <w:instrText xml:space="preserve"> PAGEREF _To</w:instrText>
        </w:r>
        <w:r>
          <w:instrText xml:space="preserve">c384992701 \h </w:instrText>
        </w:r>
        <w:r>
          <w:fldChar w:fldCharType="separate"/>
        </w:r>
        <w:r>
          <w:t>33</w:t>
        </w:r>
        <w:r>
          <w:fldChar w:fldCharType="end"/>
        </w:r>
      </w:hyperlink>
    </w:p>
    <w:p w14:paraId="584334B4" w14:textId="77777777" w:rsidR="00F82B4D" w:rsidRDefault="00467E37">
      <w:pPr>
        <w:pStyle w:val="TOC2"/>
        <w:rPr>
          <w:rFonts w:ascii="Calibri" w:hAnsi="Calibri"/>
        </w:rPr>
      </w:pPr>
      <w:hyperlink w:anchor="_Toc384992702" w:history="1">
        <w:r>
          <w:rPr>
            <w:rStyle w:val="af6"/>
            <w:rFonts w:ascii="宋体" w:hAnsi="宋体" w:hint="eastAsia"/>
            <w:szCs w:val="21"/>
          </w:rPr>
          <w:t>十二、基金份额持有人名册的保管</w:t>
        </w:r>
        <w:r>
          <w:tab/>
        </w:r>
        <w:r>
          <w:fldChar w:fldCharType="begin"/>
        </w:r>
        <w:r>
          <w:instrText xml:space="preserve"> PAGEREF _Toc384992702 \h </w:instrText>
        </w:r>
        <w:r>
          <w:fldChar w:fldCharType="separate"/>
        </w:r>
        <w:r>
          <w:t>34</w:t>
        </w:r>
        <w:r>
          <w:fldChar w:fldCharType="end"/>
        </w:r>
      </w:hyperlink>
    </w:p>
    <w:p w14:paraId="2549CFE2" w14:textId="77777777" w:rsidR="00F82B4D" w:rsidRDefault="00467E37">
      <w:pPr>
        <w:pStyle w:val="TOC2"/>
        <w:rPr>
          <w:rFonts w:ascii="Calibri" w:hAnsi="Calibri"/>
        </w:rPr>
      </w:pPr>
      <w:hyperlink w:anchor="_Toc384992703" w:history="1">
        <w:r>
          <w:rPr>
            <w:rStyle w:val="af6"/>
            <w:rFonts w:ascii="宋体" w:hAnsi="宋体" w:hint="eastAsia"/>
            <w:szCs w:val="21"/>
          </w:rPr>
          <w:t>十三、基金有关文件档案的保存</w:t>
        </w:r>
        <w:r>
          <w:tab/>
        </w:r>
        <w:r>
          <w:fldChar w:fldCharType="begin"/>
        </w:r>
        <w:r>
          <w:instrText xml:space="preserve"> PAGEREF _Toc384992703 \h </w:instrText>
        </w:r>
        <w:r>
          <w:fldChar w:fldCharType="separate"/>
        </w:r>
        <w:r>
          <w:t>35</w:t>
        </w:r>
        <w:r>
          <w:fldChar w:fldCharType="end"/>
        </w:r>
      </w:hyperlink>
    </w:p>
    <w:p w14:paraId="1BB8D98F" w14:textId="77777777" w:rsidR="00F82B4D" w:rsidRDefault="00467E37">
      <w:pPr>
        <w:pStyle w:val="TOC2"/>
        <w:rPr>
          <w:rFonts w:ascii="Calibri" w:hAnsi="Calibri"/>
        </w:rPr>
      </w:pPr>
      <w:hyperlink w:anchor="_Toc384992704" w:history="1">
        <w:r>
          <w:rPr>
            <w:rStyle w:val="af6"/>
            <w:rFonts w:ascii="宋体" w:hAnsi="宋体" w:hint="eastAsia"/>
            <w:szCs w:val="21"/>
          </w:rPr>
          <w:t>十四、基金管理人和基金托管人的更换</w:t>
        </w:r>
        <w:r>
          <w:tab/>
        </w:r>
        <w:r>
          <w:fldChar w:fldCharType="begin"/>
        </w:r>
        <w:r>
          <w:instrText xml:space="preserve"> PAGEREF _Toc384992704 \h </w:instrText>
        </w:r>
        <w:r>
          <w:fldChar w:fldCharType="separate"/>
        </w:r>
        <w:r>
          <w:t>36</w:t>
        </w:r>
        <w:r>
          <w:fldChar w:fldCharType="end"/>
        </w:r>
      </w:hyperlink>
    </w:p>
    <w:p w14:paraId="1D7F0F3B" w14:textId="77777777" w:rsidR="00F82B4D" w:rsidRDefault="00467E37">
      <w:pPr>
        <w:pStyle w:val="TOC2"/>
        <w:rPr>
          <w:rFonts w:ascii="Calibri" w:hAnsi="Calibri"/>
        </w:rPr>
      </w:pPr>
      <w:hyperlink w:anchor="_Toc384992705" w:history="1">
        <w:r>
          <w:rPr>
            <w:rStyle w:val="af6"/>
            <w:rFonts w:ascii="宋体" w:hAnsi="宋体" w:hint="eastAsia"/>
            <w:szCs w:val="21"/>
          </w:rPr>
          <w:t>十五、禁止行为</w:t>
        </w:r>
        <w:r>
          <w:tab/>
        </w:r>
        <w:r>
          <w:fldChar w:fldCharType="begin"/>
        </w:r>
        <w:r>
          <w:instrText xml:space="preserve"> PAGEREF _Toc384992705 \h </w:instrText>
        </w:r>
        <w:r>
          <w:fldChar w:fldCharType="separate"/>
        </w:r>
        <w:r>
          <w:t>37</w:t>
        </w:r>
        <w:r>
          <w:fldChar w:fldCharType="end"/>
        </w:r>
      </w:hyperlink>
    </w:p>
    <w:p w14:paraId="2E77FA77" w14:textId="77777777" w:rsidR="00F82B4D" w:rsidRDefault="00467E37">
      <w:pPr>
        <w:pStyle w:val="TOC2"/>
        <w:rPr>
          <w:rFonts w:ascii="Calibri" w:hAnsi="Calibri"/>
        </w:rPr>
      </w:pPr>
      <w:hyperlink w:anchor="_Toc384992706" w:history="1">
        <w:r>
          <w:rPr>
            <w:rStyle w:val="af6"/>
            <w:rFonts w:ascii="宋体" w:hAnsi="宋体" w:hint="eastAsia"/>
            <w:szCs w:val="21"/>
          </w:rPr>
          <w:t>十六、托管协议的变更、终止与基金财产的清算</w:t>
        </w:r>
        <w:r>
          <w:tab/>
        </w:r>
        <w:r>
          <w:fldChar w:fldCharType="begin"/>
        </w:r>
        <w:r>
          <w:instrText xml:space="preserve"> PAGEREF _Toc384992706 \h </w:instrText>
        </w:r>
        <w:r>
          <w:fldChar w:fldCharType="separate"/>
        </w:r>
        <w:r>
          <w:t>38</w:t>
        </w:r>
        <w:r>
          <w:fldChar w:fldCharType="end"/>
        </w:r>
      </w:hyperlink>
    </w:p>
    <w:p w14:paraId="4BD06B44" w14:textId="77777777" w:rsidR="00F82B4D" w:rsidRDefault="00467E37">
      <w:pPr>
        <w:pStyle w:val="TOC2"/>
        <w:rPr>
          <w:rFonts w:ascii="Calibri" w:hAnsi="Calibri"/>
        </w:rPr>
      </w:pPr>
      <w:hyperlink w:anchor="_Toc384992707" w:history="1">
        <w:r>
          <w:rPr>
            <w:rStyle w:val="af6"/>
            <w:rFonts w:ascii="宋体" w:hAnsi="宋体" w:hint="eastAsia"/>
            <w:szCs w:val="21"/>
          </w:rPr>
          <w:t>十七、违约责任</w:t>
        </w:r>
        <w:r>
          <w:tab/>
        </w:r>
        <w:r>
          <w:fldChar w:fldCharType="begin"/>
        </w:r>
        <w:r>
          <w:instrText xml:space="preserve"> PAGEREF _Toc384992707 \h </w:instrText>
        </w:r>
        <w:r>
          <w:fldChar w:fldCharType="separate"/>
        </w:r>
        <w:r>
          <w:t>39</w:t>
        </w:r>
        <w:r>
          <w:fldChar w:fldCharType="end"/>
        </w:r>
      </w:hyperlink>
    </w:p>
    <w:p w14:paraId="15AFE6D9" w14:textId="77777777" w:rsidR="00F82B4D" w:rsidRDefault="00467E37">
      <w:pPr>
        <w:pStyle w:val="TOC2"/>
        <w:rPr>
          <w:rFonts w:ascii="Calibri" w:hAnsi="Calibri"/>
        </w:rPr>
      </w:pPr>
      <w:hyperlink w:anchor="_Toc384992708" w:history="1">
        <w:r>
          <w:rPr>
            <w:rStyle w:val="af6"/>
            <w:rFonts w:ascii="宋体" w:hAnsi="宋体" w:hint="eastAsia"/>
            <w:szCs w:val="21"/>
          </w:rPr>
          <w:t>十八、争议解决方式</w:t>
        </w:r>
        <w:r>
          <w:tab/>
        </w:r>
        <w:r>
          <w:fldChar w:fldCharType="begin"/>
        </w:r>
        <w:r>
          <w:instrText xml:space="preserve"> PAGEREF _Toc384992708 \h </w:instrText>
        </w:r>
        <w:r>
          <w:fldChar w:fldCharType="separate"/>
        </w:r>
        <w:r>
          <w:t>40</w:t>
        </w:r>
        <w:r>
          <w:fldChar w:fldCharType="end"/>
        </w:r>
      </w:hyperlink>
    </w:p>
    <w:p w14:paraId="1837CFD4" w14:textId="77777777" w:rsidR="00F82B4D" w:rsidRDefault="00467E37">
      <w:pPr>
        <w:pStyle w:val="TOC2"/>
        <w:rPr>
          <w:rFonts w:ascii="Calibri" w:hAnsi="Calibri"/>
        </w:rPr>
      </w:pPr>
      <w:hyperlink w:anchor="_Toc384992709" w:history="1">
        <w:r>
          <w:rPr>
            <w:rStyle w:val="af6"/>
            <w:rFonts w:ascii="宋体" w:hAnsi="宋体" w:hint="eastAsia"/>
            <w:szCs w:val="21"/>
          </w:rPr>
          <w:t>十九、托管协议的效力</w:t>
        </w:r>
        <w:r>
          <w:tab/>
        </w:r>
        <w:r>
          <w:fldChar w:fldCharType="begin"/>
        </w:r>
        <w:r>
          <w:instrText xml:space="preserve"> PAGEREF _Toc384992709 \h </w:instrText>
        </w:r>
        <w:r>
          <w:fldChar w:fldCharType="separate"/>
        </w:r>
        <w:r>
          <w:t>41</w:t>
        </w:r>
        <w:r>
          <w:fldChar w:fldCharType="end"/>
        </w:r>
      </w:hyperlink>
    </w:p>
    <w:p w14:paraId="302CA5F3" w14:textId="77777777" w:rsidR="00F82B4D" w:rsidRDefault="00467E37">
      <w:pPr>
        <w:pStyle w:val="TOC2"/>
        <w:rPr>
          <w:rFonts w:ascii="Calibri" w:hAnsi="Calibri"/>
        </w:rPr>
      </w:pPr>
      <w:hyperlink w:anchor="_Toc384992710" w:history="1">
        <w:r>
          <w:rPr>
            <w:rStyle w:val="af6"/>
            <w:rFonts w:ascii="宋体" w:hAnsi="宋体" w:hint="eastAsia"/>
            <w:szCs w:val="21"/>
          </w:rPr>
          <w:t>二十、其他事项</w:t>
        </w:r>
        <w:r>
          <w:tab/>
        </w:r>
        <w:r>
          <w:fldChar w:fldCharType="begin"/>
        </w:r>
        <w:r>
          <w:instrText xml:space="preserve"> PAGEREF _Toc384992710 \h </w:instrText>
        </w:r>
        <w:r>
          <w:fldChar w:fldCharType="separate"/>
        </w:r>
        <w:r>
          <w:t>42</w:t>
        </w:r>
        <w:r>
          <w:fldChar w:fldCharType="end"/>
        </w:r>
      </w:hyperlink>
    </w:p>
    <w:p w14:paraId="3BE71C04" w14:textId="77777777" w:rsidR="00F82B4D" w:rsidRDefault="00467E37">
      <w:pPr>
        <w:pStyle w:val="TOC2"/>
        <w:rPr>
          <w:rFonts w:ascii="Calibri" w:hAnsi="Calibri"/>
        </w:rPr>
      </w:pPr>
      <w:hyperlink w:anchor="_Toc384992711" w:history="1">
        <w:r>
          <w:rPr>
            <w:rStyle w:val="af6"/>
            <w:rFonts w:ascii="宋体" w:hAnsi="宋体" w:hint="eastAsia"/>
            <w:szCs w:val="21"/>
          </w:rPr>
          <w:t>二十一、托管协议的签订</w:t>
        </w:r>
        <w:r>
          <w:tab/>
        </w:r>
        <w:r>
          <w:fldChar w:fldCharType="begin"/>
        </w:r>
        <w:r>
          <w:instrText xml:space="preserve"> PAGEREF _Toc384992711 \h </w:instrText>
        </w:r>
        <w:r>
          <w:fldChar w:fldCharType="separate"/>
        </w:r>
        <w:r>
          <w:t>43</w:t>
        </w:r>
        <w:r>
          <w:fldChar w:fldCharType="end"/>
        </w:r>
      </w:hyperlink>
    </w:p>
    <w:p w14:paraId="2C2A9CE5" w14:textId="77777777" w:rsidR="00F82B4D" w:rsidRDefault="00467E37">
      <w:pPr>
        <w:pStyle w:val="TOC1"/>
        <w:tabs>
          <w:tab w:val="right" w:leader="dot" w:pos="8494"/>
        </w:tabs>
        <w:ind w:firstLineChars="200" w:firstLine="420"/>
        <w:rPr>
          <w:rFonts w:ascii="Calibri" w:hAnsi="Calibri"/>
          <w:szCs w:val="21"/>
        </w:rPr>
      </w:pPr>
      <w:hyperlink w:anchor="_Toc384992712" w:history="1">
        <w:r>
          <w:rPr>
            <w:rStyle w:val="af6"/>
            <w:rFonts w:hint="eastAsia"/>
            <w:szCs w:val="21"/>
          </w:rPr>
          <w:t>附件：</w:t>
        </w:r>
        <w:r>
          <w:rPr>
            <w:rStyle w:val="af6"/>
            <w:rFonts w:ascii="宋体" w:hAnsi="宋体" w:hint="eastAsia"/>
            <w:szCs w:val="21"/>
          </w:rPr>
          <w:t>托管银行证券资金结算规定</w:t>
        </w:r>
        <w:r>
          <w:rPr>
            <w:szCs w:val="21"/>
          </w:rPr>
          <w:tab/>
        </w:r>
        <w:r>
          <w:rPr>
            <w:szCs w:val="21"/>
          </w:rPr>
          <w:fldChar w:fldCharType="begin"/>
        </w:r>
        <w:r>
          <w:rPr>
            <w:szCs w:val="21"/>
          </w:rPr>
          <w:instrText xml:space="preserve"> PAGEREF _Toc384992712 \h </w:instrText>
        </w:r>
        <w:r>
          <w:rPr>
            <w:szCs w:val="21"/>
          </w:rPr>
        </w:r>
        <w:r>
          <w:rPr>
            <w:szCs w:val="21"/>
          </w:rPr>
          <w:fldChar w:fldCharType="separate"/>
        </w:r>
        <w:r>
          <w:rPr>
            <w:szCs w:val="21"/>
          </w:rPr>
          <w:t>44</w:t>
        </w:r>
        <w:r>
          <w:rPr>
            <w:szCs w:val="21"/>
          </w:rPr>
          <w:fldChar w:fldCharType="end"/>
        </w:r>
      </w:hyperlink>
    </w:p>
    <w:p w14:paraId="79D1D60E" w14:textId="77777777" w:rsidR="00F82B4D" w:rsidRDefault="00467E37">
      <w:pPr>
        <w:spacing w:line="360" w:lineRule="auto"/>
        <w:rPr>
          <w:rFonts w:ascii="宋体" w:hAnsi="宋体"/>
          <w:szCs w:val="21"/>
        </w:rPr>
      </w:pPr>
      <w:r>
        <w:rPr>
          <w:rFonts w:ascii="宋体" w:hAnsi="宋体"/>
          <w:szCs w:val="21"/>
        </w:rPr>
        <w:fldChar w:fldCharType="end"/>
      </w:r>
    </w:p>
    <w:p w14:paraId="020DC143" w14:textId="77777777" w:rsidR="00F82B4D" w:rsidRDefault="00467E37">
      <w:pPr>
        <w:spacing w:line="360" w:lineRule="auto"/>
        <w:rPr>
          <w:rFonts w:ascii="宋体" w:hAnsi="宋体"/>
          <w:szCs w:val="21"/>
        </w:rPr>
      </w:pPr>
      <w:r>
        <w:rPr>
          <w:rFonts w:ascii="宋体" w:hAnsi="宋体"/>
          <w:szCs w:val="21"/>
        </w:rPr>
        <w:br w:type="page"/>
      </w:r>
    </w:p>
    <w:p w14:paraId="64BBE9A6" w14:textId="77777777" w:rsidR="00F82B4D" w:rsidRDefault="00467E37">
      <w:pPr>
        <w:widowControl/>
        <w:spacing w:line="360" w:lineRule="auto"/>
        <w:ind w:firstLineChars="200" w:firstLine="420"/>
        <w:rPr>
          <w:rFonts w:ascii="宋体" w:hAnsi="宋体" w:cs="Arial"/>
          <w:kern w:val="0"/>
          <w:szCs w:val="21"/>
        </w:rPr>
      </w:pPr>
      <w:r>
        <w:rPr>
          <w:rFonts w:ascii="宋体" w:hAnsi="宋体" w:cs="Arial" w:hint="eastAsia"/>
          <w:kern w:val="0"/>
          <w:szCs w:val="21"/>
        </w:rPr>
        <w:lastRenderedPageBreak/>
        <w:t>鉴于</w:t>
      </w:r>
      <w:r>
        <w:rPr>
          <w:rFonts w:ascii="宋体" w:hAnsi="宋体" w:cs="Arial" w:hint="eastAsia"/>
          <w:szCs w:val="21"/>
        </w:rPr>
        <w:t>富国基金管理有限公司</w:t>
      </w:r>
      <w:r>
        <w:rPr>
          <w:rFonts w:ascii="宋体" w:hAnsi="宋体" w:cs="Arial" w:hint="eastAsia"/>
          <w:kern w:val="0"/>
          <w:szCs w:val="21"/>
        </w:rPr>
        <w:t>系一家依照中国法律合法成立并有效存续的有限责任公司，按照相关法律法规的规定具备担任基金管理人的资格和能力，拟募集发行</w:t>
      </w:r>
      <w:r>
        <w:rPr>
          <w:rFonts w:ascii="宋体" w:hAnsi="宋体" w:cs="Arial" w:hint="eastAsia"/>
          <w:szCs w:val="21"/>
        </w:rPr>
        <w:t>富国稳健添颐债券型证券投资基金（以下简称“基金”或“本基金”）</w:t>
      </w:r>
      <w:r>
        <w:rPr>
          <w:rFonts w:ascii="宋体" w:hAnsi="宋体" w:cs="Arial" w:hint="eastAsia"/>
          <w:kern w:val="0"/>
          <w:szCs w:val="21"/>
        </w:rPr>
        <w:t>；</w:t>
      </w:r>
    </w:p>
    <w:p w14:paraId="17FF7BFF" w14:textId="77777777" w:rsidR="00F82B4D" w:rsidRDefault="00467E37">
      <w:pPr>
        <w:widowControl/>
        <w:spacing w:line="360" w:lineRule="auto"/>
        <w:ind w:firstLineChars="200" w:firstLine="420"/>
        <w:rPr>
          <w:rFonts w:ascii="宋体" w:hAnsi="宋体" w:cs="Arial"/>
          <w:kern w:val="0"/>
          <w:szCs w:val="21"/>
        </w:rPr>
      </w:pPr>
      <w:r>
        <w:rPr>
          <w:rFonts w:ascii="宋体" w:hAnsi="宋体" w:cs="Arial" w:hint="eastAsia"/>
          <w:kern w:val="0"/>
          <w:szCs w:val="21"/>
        </w:rPr>
        <w:t>鉴于招商银行股份有限公司系一家依照中国法律合法成立并有效存续的银行，按照相关法律法规的规定具备担任基金托管人的资格和能力；</w:t>
      </w:r>
    </w:p>
    <w:p w14:paraId="3F44A553" w14:textId="77777777" w:rsidR="00F82B4D" w:rsidRDefault="00467E37">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Pr>
          <w:rFonts w:ascii="宋体" w:hAnsi="宋体" w:cs="Arial" w:hint="eastAsia"/>
          <w:szCs w:val="21"/>
        </w:rPr>
        <w:t>富国基金管理有限公司</w:t>
      </w:r>
      <w:r>
        <w:rPr>
          <w:rFonts w:ascii="宋体" w:hAnsi="宋体" w:cs="Arial" w:hint="eastAsia"/>
          <w:kern w:val="0"/>
          <w:szCs w:val="21"/>
        </w:rPr>
        <w:t>拟担任</w:t>
      </w:r>
      <w:r>
        <w:rPr>
          <w:rFonts w:ascii="宋体" w:hAnsi="宋体" w:cs="Arial" w:hint="eastAsia"/>
          <w:szCs w:val="21"/>
        </w:rPr>
        <w:t>富国稳健添颐债券型证券投资基金</w:t>
      </w:r>
      <w:r>
        <w:rPr>
          <w:rFonts w:ascii="宋体" w:hAnsi="宋体" w:cs="Arial" w:hint="eastAsia"/>
          <w:kern w:val="0"/>
          <w:szCs w:val="21"/>
        </w:rPr>
        <w:t>的基金管理人，招商银行股份有限公司拟担任</w:t>
      </w:r>
      <w:r>
        <w:rPr>
          <w:rFonts w:ascii="宋体" w:hAnsi="宋体" w:cs="Arial" w:hint="eastAsia"/>
          <w:szCs w:val="21"/>
        </w:rPr>
        <w:t>富国稳健添颐债券型证券投资基金</w:t>
      </w:r>
      <w:r>
        <w:rPr>
          <w:rFonts w:ascii="宋体" w:hAnsi="宋体" w:cs="Arial" w:hint="eastAsia"/>
          <w:kern w:val="0"/>
          <w:szCs w:val="21"/>
        </w:rPr>
        <w:t>的基金托管人；</w:t>
      </w:r>
    </w:p>
    <w:p w14:paraId="47874A20" w14:textId="77777777" w:rsidR="00F82B4D" w:rsidRDefault="00467E37">
      <w:pPr>
        <w:widowControl/>
        <w:spacing w:line="360" w:lineRule="auto"/>
        <w:ind w:firstLineChars="200" w:firstLine="420"/>
        <w:rPr>
          <w:rFonts w:ascii="宋体" w:hAnsi="宋体" w:cs="Arial"/>
          <w:kern w:val="0"/>
          <w:szCs w:val="21"/>
        </w:rPr>
      </w:pPr>
      <w:r>
        <w:rPr>
          <w:rFonts w:ascii="宋体" w:hAnsi="宋体" w:cs="Arial" w:hint="eastAsia"/>
          <w:kern w:val="0"/>
          <w:szCs w:val="21"/>
        </w:rPr>
        <w:t>为明确</w:t>
      </w:r>
      <w:r>
        <w:rPr>
          <w:rFonts w:ascii="宋体" w:hAnsi="宋体" w:cs="Arial" w:hint="eastAsia"/>
          <w:szCs w:val="21"/>
        </w:rPr>
        <w:t>富国稳健添颐债券型证券投资基金</w:t>
      </w:r>
      <w:r>
        <w:rPr>
          <w:rFonts w:ascii="宋体" w:hAnsi="宋体" w:cs="Arial" w:hint="eastAsia"/>
          <w:kern w:val="0"/>
          <w:szCs w:val="21"/>
        </w:rPr>
        <w:t>的基金管理人和基金托管人</w:t>
      </w:r>
      <w:r>
        <w:rPr>
          <w:rFonts w:ascii="宋体" w:hAnsi="宋体" w:cs="Arial" w:hint="eastAsia"/>
          <w:kern w:val="0"/>
          <w:szCs w:val="21"/>
        </w:rPr>
        <w:t>之间的权利义务关系，特制订本托管协议；</w:t>
      </w:r>
    </w:p>
    <w:p w14:paraId="2C3399D3" w14:textId="77777777" w:rsidR="00F82B4D" w:rsidRDefault="00467E37">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除非另有约定，《</w:t>
      </w:r>
      <w:r>
        <w:rPr>
          <w:rFonts w:ascii="宋体" w:hAnsi="宋体" w:cs="Arial" w:hint="eastAsia"/>
          <w:szCs w:val="21"/>
        </w:rPr>
        <w:t>富国稳健添颐债券型证券投资基金</w:t>
      </w:r>
      <w:r>
        <w:rPr>
          <w:rFonts w:ascii="宋体" w:hAnsi="宋体" w:cs="Arial" w:hint="eastAsia"/>
          <w:kern w:val="0"/>
          <w:szCs w:val="21"/>
          <w:lang w:val="en-GB"/>
        </w:rPr>
        <w:t>基金合同》</w:t>
      </w:r>
      <w:r>
        <w:rPr>
          <w:rFonts w:ascii="宋体" w:hAnsi="宋体" w:cs="Arial" w:hint="eastAsia"/>
          <w:kern w:val="0"/>
          <w:szCs w:val="21"/>
          <w:lang w:val="en-GB"/>
        </w:rPr>
        <w:t>(</w:t>
      </w:r>
      <w:r>
        <w:rPr>
          <w:rFonts w:ascii="宋体" w:hAnsi="宋体" w:cs="Arial" w:hint="eastAsia"/>
          <w:kern w:val="0"/>
          <w:szCs w:val="21"/>
          <w:lang w:val="en-GB"/>
        </w:rPr>
        <w:t>以下简称“基金合同”或“《基金合同》”</w:t>
      </w:r>
      <w:r>
        <w:rPr>
          <w:rFonts w:ascii="宋体" w:hAnsi="宋体" w:cs="Arial" w:hint="eastAsia"/>
          <w:kern w:val="0"/>
          <w:szCs w:val="21"/>
          <w:lang w:val="en-GB"/>
        </w:rPr>
        <w:t>)</w:t>
      </w:r>
      <w:r>
        <w:rPr>
          <w:rFonts w:ascii="宋体" w:hAnsi="宋体" w:cs="Arial" w:hint="eastAsia"/>
          <w:kern w:val="0"/>
          <w:szCs w:val="21"/>
          <w:lang w:val="en-GB"/>
        </w:rPr>
        <w:t>中定义的术语在用于本托管协议时应具有相同的含义，若有抵触应以基金合同为准。</w:t>
      </w:r>
    </w:p>
    <w:p w14:paraId="52A0F237" w14:textId="77777777" w:rsidR="00F82B4D" w:rsidRDefault="00467E37">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若本基金实施侧袋机制的，侧袋机制实施期间的相关安排按照基金合同和招募说明书的规定执行。</w:t>
      </w:r>
    </w:p>
    <w:p w14:paraId="03791B86" w14:textId="77777777" w:rsidR="00F82B4D" w:rsidRDefault="00F82B4D">
      <w:pPr>
        <w:widowControl/>
        <w:spacing w:line="360" w:lineRule="auto"/>
        <w:ind w:firstLineChars="200" w:firstLine="420"/>
        <w:rPr>
          <w:rFonts w:ascii="宋体" w:hAnsi="宋体" w:cs="Arial"/>
          <w:kern w:val="0"/>
          <w:szCs w:val="21"/>
          <w:lang w:val="en-GB"/>
        </w:rPr>
      </w:pPr>
    </w:p>
    <w:p w14:paraId="58219A9A" w14:textId="77777777" w:rsidR="00F82B4D" w:rsidRDefault="00F82B4D">
      <w:pPr>
        <w:spacing w:line="360" w:lineRule="auto"/>
        <w:rPr>
          <w:rFonts w:ascii="宋体" w:hAnsi="宋体"/>
          <w:szCs w:val="21"/>
          <w:lang w:val="en-GB"/>
        </w:rPr>
      </w:pPr>
    </w:p>
    <w:p w14:paraId="1C34E542"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6" w:name="_Toc348082029"/>
      <w:bookmarkStart w:id="7" w:name="_Toc384992691"/>
      <w:r>
        <w:rPr>
          <w:rFonts w:ascii="宋体" w:eastAsia="宋体" w:hAnsi="宋体" w:hint="eastAsia"/>
          <w:sz w:val="21"/>
          <w:szCs w:val="21"/>
        </w:rPr>
        <w:lastRenderedPageBreak/>
        <w:t>一、基金托管协议当事人</w:t>
      </w:r>
      <w:bookmarkEnd w:id="6"/>
      <w:bookmarkEnd w:id="7"/>
    </w:p>
    <w:p w14:paraId="344BCA40" w14:textId="77777777" w:rsidR="00F82B4D" w:rsidRDefault="00467E37">
      <w:r>
        <w:rPr>
          <w:rFonts w:hint="eastAsia"/>
        </w:rPr>
        <w:t>（一）基金管理人（也可称资产管理人）</w:t>
      </w:r>
    </w:p>
    <w:p w14:paraId="5A9AD8B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名称：富国基金管理有限公司</w:t>
      </w:r>
    </w:p>
    <w:p w14:paraId="0178815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住所：中国（上海）自由贸易试验区世纪大道</w:t>
      </w:r>
      <w:r>
        <w:rPr>
          <w:rFonts w:ascii="宋体" w:hAnsi="宋体" w:cs="Arial"/>
          <w:szCs w:val="21"/>
        </w:rPr>
        <w:t>1196</w:t>
      </w:r>
      <w:r>
        <w:rPr>
          <w:rFonts w:ascii="宋体" w:hAnsi="宋体" w:cs="Arial"/>
          <w:szCs w:val="21"/>
        </w:rPr>
        <w:t>号世纪汇办公楼二座</w:t>
      </w:r>
      <w:r>
        <w:rPr>
          <w:rFonts w:ascii="宋体" w:hAnsi="宋体" w:cs="Arial"/>
          <w:szCs w:val="21"/>
        </w:rPr>
        <w:t>27-30</w:t>
      </w:r>
      <w:r>
        <w:rPr>
          <w:rFonts w:ascii="宋体" w:hAnsi="宋体" w:cs="Arial"/>
          <w:szCs w:val="21"/>
        </w:rPr>
        <w:t>层</w:t>
      </w:r>
    </w:p>
    <w:p w14:paraId="07064AB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法定代表人：裴长江</w:t>
      </w:r>
    </w:p>
    <w:p w14:paraId="176DD243"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成立时间：</w:t>
      </w:r>
      <w:r>
        <w:rPr>
          <w:rFonts w:ascii="宋体" w:hAnsi="宋体" w:cs="Arial"/>
          <w:szCs w:val="21"/>
        </w:rPr>
        <w:t>19</w:t>
      </w:r>
      <w:r>
        <w:rPr>
          <w:rFonts w:ascii="宋体" w:hAnsi="宋体" w:cs="Arial"/>
          <w:szCs w:val="21"/>
        </w:rPr>
        <w:t>99</w:t>
      </w:r>
      <w:r>
        <w:rPr>
          <w:rFonts w:ascii="宋体" w:hAnsi="宋体" w:cs="Arial"/>
          <w:szCs w:val="21"/>
        </w:rPr>
        <w:t>年</w:t>
      </w:r>
      <w:r>
        <w:rPr>
          <w:rFonts w:ascii="宋体" w:hAnsi="宋体" w:cs="Arial"/>
          <w:szCs w:val="21"/>
        </w:rPr>
        <w:t>4</w:t>
      </w:r>
      <w:r>
        <w:rPr>
          <w:rFonts w:ascii="宋体" w:hAnsi="宋体" w:cs="Arial"/>
          <w:szCs w:val="21"/>
        </w:rPr>
        <w:t>月</w:t>
      </w:r>
      <w:r>
        <w:rPr>
          <w:rFonts w:ascii="宋体" w:hAnsi="宋体" w:cs="Arial"/>
          <w:szCs w:val="21"/>
        </w:rPr>
        <w:t>13</w:t>
      </w:r>
      <w:r>
        <w:rPr>
          <w:rFonts w:ascii="宋体" w:hAnsi="宋体" w:cs="Arial"/>
          <w:szCs w:val="21"/>
        </w:rPr>
        <w:t>日</w:t>
      </w:r>
    </w:p>
    <w:p w14:paraId="6B2809A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批准设立机关：中国证券监督管理委员会</w:t>
      </w:r>
    </w:p>
    <w:p w14:paraId="7A071B6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批准设立文号：证监基金字【</w:t>
      </w:r>
      <w:r>
        <w:rPr>
          <w:rFonts w:ascii="宋体" w:hAnsi="宋体" w:cs="Arial"/>
          <w:szCs w:val="21"/>
        </w:rPr>
        <w:t>1999</w:t>
      </w:r>
      <w:r>
        <w:rPr>
          <w:rFonts w:ascii="宋体" w:hAnsi="宋体" w:cs="Arial"/>
          <w:szCs w:val="21"/>
        </w:rPr>
        <w:t>】</w:t>
      </w:r>
      <w:r>
        <w:rPr>
          <w:rFonts w:ascii="宋体" w:hAnsi="宋体" w:cs="Arial"/>
          <w:szCs w:val="21"/>
        </w:rPr>
        <w:t>11</w:t>
      </w:r>
      <w:r>
        <w:rPr>
          <w:rFonts w:ascii="宋体" w:hAnsi="宋体" w:cs="Arial"/>
          <w:szCs w:val="21"/>
        </w:rPr>
        <w:t>号</w:t>
      </w:r>
    </w:p>
    <w:p w14:paraId="7DB41F6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组织形式：有限责任公司</w:t>
      </w:r>
    </w:p>
    <w:p w14:paraId="0225A78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注册资本：</w:t>
      </w:r>
      <w:r>
        <w:rPr>
          <w:rFonts w:ascii="宋体" w:hAnsi="宋体" w:cs="Arial"/>
          <w:szCs w:val="21"/>
        </w:rPr>
        <w:t>5.2</w:t>
      </w:r>
      <w:r>
        <w:rPr>
          <w:rFonts w:ascii="宋体" w:hAnsi="宋体" w:cs="Arial"/>
          <w:szCs w:val="21"/>
        </w:rPr>
        <w:t>亿元人民币</w:t>
      </w:r>
    </w:p>
    <w:p w14:paraId="7998E2A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经营范围：公开募集证券投资基金管理、基金销售、特定客户资产管理</w:t>
      </w:r>
    </w:p>
    <w:p w14:paraId="793BD6C4" w14:textId="77777777" w:rsidR="00F82B4D" w:rsidRDefault="00467E37">
      <w:pPr>
        <w:spacing w:line="360" w:lineRule="auto"/>
        <w:ind w:firstLineChars="200" w:firstLine="420"/>
        <w:rPr>
          <w:rFonts w:hAnsi="宋体" w:cs="Arial"/>
        </w:rPr>
      </w:pPr>
      <w:r>
        <w:rPr>
          <w:rFonts w:ascii="宋体" w:hAnsi="宋体" w:cs="Arial" w:hint="eastAsia"/>
          <w:szCs w:val="21"/>
        </w:rPr>
        <w:t>存续期间：持续经营</w:t>
      </w:r>
    </w:p>
    <w:p w14:paraId="07AB13AB" w14:textId="77777777" w:rsidR="00F82B4D" w:rsidRDefault="00467E37">
      <w:r>
        <w:rPr>
          <w:rFonts w:hint="eastAsia"/>
        </w:rPr>
        <w:t>（二）基金托管人（也可称资产托管人）</w:t>
      </w:r>
    </w:p>
    <w:p w14:paraId="491E415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名称：招商银行股份有限公司</w:t>
      </w:r>
      <w:r>
        <w:rPr>
          <w:rFonts w:ascii="宋体" w:hAnsi="宋体" w:cs="Arial" w:hint="eastAsia"/>
          <w:szCs w:val="21"/>
        </w:rPr>
        <w:t>(</w:t>
      </w:r>
      <w:r>
        <w:rPr>
          <w:rFonts w:ascii="宋体" w:hAnsi="宋体" w:cs="Arial" w:hint="eastAsia"/>
          <w:szCs w:val="21"/>
        </w:rPr>
        <w:t>简称：招商银行</w:t>
      </w:r>
      <w:r>
        <w:rPr>
          <w:rFonts w:ascii="宋体" w:hAnsi="宋体" w:cs="Arial" w:hint="eastAsia"/>
          <w:szCs w:val="21"/>
        </w:rPr>
        <w:t>)</w:t>
      </w:r>
    </w:p>
    <w:p w14:paraId="28BD859E"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住所：深圳市深南大道</w:t>
      </w:r>
      <w:r>
        <w:rPr>
          <w:rFonts w:ascii="宋体" w:hAnsi="宋体" w:cs="Arial" w:hint="eastAsia"/>
          <w:szCs w:val="21"/>
        </w:rPr>
        <w:t>7088</w:t>
      </w:r>
      <w:r>
        <w:rPr>
          <w:rFonts w:ascii="宋体" w:hAnsi="宋体" w:cs="Arial" w:hint="eastAsia"/>
          <w:szCs w:val="21"/>
        </w:rPr>
        <w:t>号招商银行大厦</w:t>
      </w:r>
    </w:p>
    <w:p w14:paraId="09BBBE2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办公地址：深圳市深南大道</w:t>
      </w:r>
      <w:r>
        <w:rPr>
          <w:rFonts w:ascii="宋体" w:hAnsi="宋体" w:cs="Arial" w:hint="eastAsia"/>
          <w:szCs w:val="21"/>
        </w:rPr>
        <w:t>7088</w:t>
      </w:r>
      <w:r>
        <w:rPr>
          <w:rFonts w:ascii="宋体" w:hAnsi="宋体" w:cs="Arial" w:hint="eastAsia"/>
          <w:szCs w:val="21"/>
        </w:rPr>
        <w:t>号招商银行大厦</w:t>
      </w:r>
    </w:p>
    <w:p w14:paraId="027B1AD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邮政编码：</w:t>
      </w:r>
      <w:r>
        <w:rPr>
          <w:rFonts w:ascii="宋体" w:hAnsi="宋体" w:cs="Arial" w:hint="eastAsia"/>
          <w:szCs w:val="21"/>
        </w:rPr>
        <w:t>518040</w:t>
      </w:r>
    </w:p>
    <w:p w14:paraId="47C16BD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法定代表人：缪建民</w:t>
      </w:r>
    </w:p>
    <w:p w14:paraId="6252163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成立时间：</w:t>
      </w:r>
      <w:r>
        <w:rPr>
          <w:rFonts w:ascii="宋体" w:hAnsi="宋体" w:cs="Arial" w:hint="eastAsia"/>
          <w:szCs w:val="21"/>
        </w:rPr>
        <w:t>1987</w:t>
      </w:r>
      <w:r>
        <w:rPr>
          <w:rFonts w:ascii="宋体" w:hAnsi="宋体" w:cs="Arial" w:hint="eastAsia"/>
          <w:szCs w:val="21"/>
        </w:rPr>
        <w:t>年</w:t>
      </w:r>
      <w:r>
        <w:rPr>
          <w:rFonts w:ascii="宋体" w:hAnsi="宋体" w:cs="Arial" w:hint="eastAsia"/>
          <w:szCs w:val="21"/>
        </w:rPr>
        <w:t>4</w:t>
      </w:r>
      <w:r>
        <w:rPr>
          <w:rFonts w:ascii="宋体" w:hAnsi="宋体" w:cs="Arial" w:hint="eastAsia"/>
          <w:szCs w:val="21"/>
        </w:rPr>
        <w:t>月</w:t>
      </w:r>
      <w:r>
        <w:rPr>
          <w:rFonts w:ascii="宋体" w:hAnsi="宋体" w:cs="Arial" w:hint="eastAsia"/>
          <w:szCs w:val="21"/>
        </w:rPr>
        <w:t>8</w:t>
      </w:r>
      <w:r>
        <w:rPr>
          <w:rFonts w:ascii="宋体" w:hAnsi="宋体" w:cs="Arial" w:hint="eastAsia"/>
          <w:szCs w:val="21"/>
        </w:rPr>
        <w:t>日</w:t>
      </w:r>
    </w:p>
    <w:p w14:paraId="022BB61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基金托管业务批准文号：证监基金字</w:t>
      </w:r>
      <w:r>
        <w:rPr>
          <w:rFonts w:ascii="宋体" w:hAnsi="宋体" w:cs="Arial" w:hint="eastAsia"/>
          <w:szCs w:val="21"/>
        </w:rPr>
        <w:t>[2002]83</w:t>
      </w:r>
      <w:r>
        <w:rPr>
          <w:rFonts w:ascii="宋体" w:hAnsi="宋体" w:cs="Arial" w:hint="eastAsia"/>
          <w:szCs w:val="21"/>
        </w:rPr>
        <w:t>号</w:t>
      </w:r>
    </w:p>
    <w:p w14:paraId="61F5765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组织形式：股份有限公司</w:t>
      </w:r>
    </w:p>
    <w:p w14:paraId="20C97CE4"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注册资本：人民币</w:t>
      </w:r>
      <w:r>
        <w:rPr>
          <w:rFonts w:ascii="宋体" w:hAnsi="宋体" w:cs="Arial" w:hint="eastAsia"/>
          <w:szCs w:val="21"/>
        </w:rPr>
        <w:t>252.20</w:t>
      </w:r>
      <w:r>
        <w:rPr>
          <w:rFonts w:ascii="宋体" w:hAnsi="宋体" w:cs="Arial" w:hint="eastAsia"/>
          <w:szCs w:val="21"/>
        </w:rPr>
        <w:t>亿元</w:t>
      </w:r>
    </w:p>
    <w:p w14:paraId="6CC8F16B" w14:textId="77777777" w:rsidR="00F82B4D" w:rsidRDefault="00467E37">
      <w:pPr>
        <w:spacing w:line="360" w:lineRule="auto"/>
        <w:ind w:firstLineChars="200" w:firstLine="420"/>
        <w:rPr>
          <w:rFonts w:ascii="宋体" w:hAnsi="宋体"/>
          <w:szCs w:val="21"/>
        </w:rPr>
      </w:pPr>
      <w:r>
        <w:rPr>
          <w:rFonts w:ascii="宋体" w:hAnsi="宋体" w:cs="Arial" w:hint="eastAsia"/>
          <w:szCs w:val="21"/>
        </w:rPr>
        <w:t>存续期间：持续经营</w:t>
      </w:r>
    </w:p>
    <w:p w14:paraId="73E297B8"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8" w:name="_Toc384992692"/>
      <w:bookmarkStart w:id="9" w:name="_Toc348082030"/>
      <w:r>
        <w:rPr>
          <w:rFonts w:ascii="宋体" w:eastAsia="宋体" w:hAnsi="宋体" w:hint="eastAsia"/>
          <w:sz w:val="21"/>
          <w:szCs w:val="21"/>
        </w:rPr>
        <w:lastRenderedPageBreak/>
        <w:t>二、基金托管协议的依据、目的和原则</w:t>
      </w:r>
      <w:bookmarkEnd w:id="8"/>
      <w:bookmarkEnd w:id="9"/>
    </w:p>
    <w:p w14:paraId="56E365CE" w14:textId="77777777" w:rsidR="00F82B4D" w:rsidRDefault="00467E37">
      <w:pPr>
        <w:spacing w:line="360" w:lineRule="auto"/>
        <w:ind w:firstLineChars="200" w:firstLine="420"/>
        <w:rPr>
          <w:rFonts w:ascii="宋体" w:hAnsi="宋体"/>
          <w:szCs w:val="21"/>
        </w:rPr>
      </w:pPr>
      <w:r>
        <w:rPr>
          <w:rFonts w:ascii="宋体" w:hAnsi="宋体" w:cs="Arial" w:hint="eastAsia"/>
          <w:szCs w:val="21"/>
        </w:rPr>
        <w:t>（一）订立托管协议的依据</w:t>
      </w:r>
    </w:p>
    <w:p w14:paraId="6CC56254"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本协议依据《中华人民共和国证券投资基金法》</w:t>
      </w:r>
      <w:r>
        <w:rPr>
          <w:rFonts w:ascii="宋体" w:hAnsi="宋体" w:cs="Arial" w:hint="eastAsia"/>
          <w:szCs w:val="21"/>
        </w:rPr>
        <w:t>(</w:t>
      </w:r>
      <w:r>
        <w:rPr>
          <w:rFonts w:ascii="宋体" w:hAnsi="宋体" w:cs="Arial" w:hint="eastAsia"/>
          <w:szCs w:val="21"/>
        </w:rPr>
        <w:t>以下简称“《基金法》”</w:t>
      </w:r>
      <w:r>
        <w:rPr>
          <w:rFonts w:ascii="宋体" w:hAnsi="宋体" w:cs="Arial" w:hint="eastAsia"/>
          <w:szCs w:val="21"/>
        </w:rPr>
        <w:t>)</w:t>
      </w:r>
      <w:r>
        <w:rPr>
          <w:rFonts w:ascii="宋体" w:hAnsi="宋体" w:cs="Arial" w:hint="eastAsia"/>
          <w:szCs w:val="21"/>
        </w:rPr>
        <w:t>、《公开募集证券投资基金运作管理办法》（以下简称“《运作办法》”）、《公开募集开放式证券投资基金流动性风险管理规定》</w:t>
      </w:r>
      <w:r>
        <w:rPr>
          <w:rFonts w:cs="Arial" w:hint="eastAsia"/>
          <w:szCs w:val="21"/>
        </w:rPr>
        <w:t>（以下</w:t>
      </w:r>
      <w:r>
        <w:rPr>
          <w:rFonts w:cs="Arial"/>
          <w:szCs w:val="21"/>
        </w:rPr>
        <w:t>简称</w:t>
      </w:r>
      <w:r>
        <w:rPr>
          <w:rFonts w:ascii="宋体" w:hAnsi="宋体" w:cs="宋体"/>
          <w:szCs w:val="21"/>
        </w:rPr>
        <w:t>“</w:t>
      </w:r>
      <w:r>
        <w:rPr>
          <w:rFonts w:ascii="宋体" w:hAnsi="宋体" w:cs="宋体" w:hint="eastAsia"/>
          <w:szCs w:val="21"/>
        </w:rPr>
        <w:t>《流动性风险管理规定》</w:t>
      </w:r>
      <w:r>
        <w:rPr>
          <w:rFonts w:ascii="宋体" w:hAnsi="宋体" w:cs="宋体"/>
          <w:szCs w:val="21"/>
        </w:rPr>
        <w:t>”</w:t>
      </w:r>
      <w:r>
        <w:rPr>
          <w:rFonts w:cs="Arial" w:hint="eastAsia"/>
          <w:szCs w:val="21"/>
        </w:rPr>
        <w:t>）、《公开募集证券投资基金信息披露管理办法》（以下简称</w:t>
      </w:r>
      <w:r>
        <w:rPr>
          <w:rFonts w:ascii="宋体" w:hAnsi="宋体" w:cs="宋体"/>
          <w:szCs w:val="21"/>
        </w:rPr>
        <w:t>“</w:t>
      </w:r>
      <w:r>
        <w:rPr>
          <w:rFonts w:ascii="宋体" w:hAnsi="宋体" w:cs="宋体" w:hint="eastAsia"/>
          <w:szCs w:val="21"/>
        </w:rPr>
        <w:t>《信息披露办法》</w:t>
      </w:r>
      <w:r>
        <w:rPr>
          <w:rFonts w:ascii="宋体" w:hAnsi="宋体" w:cs="宋体"/>
          <w:szCs w:val="21"/>
        </w:rPr>
        <w:t>”</w:t>
      </w:r>
      <w:r>
        <w:rPr>
          <w:rFonts w:cs="Arial" w:hint="eastAsia"/>
          <w:szCs w:val="21"/>
        </w:rPr>
        <w:t>）、《公开募集证券投资基</w:t>
      </w:r>
      <w:r>
        <w:rPr>
          <w:rFonts w:cs="Arial" w:hint="eastAsia"/>
          <w:szCs w:val="21"/>
        </w:rPr>
        <w:t>金销售费用管理规定》</w:t>
      </w:r>
      <w:r>
        <w:rPr>
          <w:rFonts w:ascii="宋体" w:hAnsi="宋体" w:cs="Arial" w:hint="eastAsia"/>
          <w:szCs w:val="21"/>
        </w:rPr>
        <w:t>等有关法律法规、基金合同及其他有关规定制订。</w:t>
      </w:r>
    </w:p>
    <w:p w14:paraId="6B5A303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（二）订立托管协议的目的</w:t>
      </w:r>
    </w:p>
    <w:p w14:paraId="7DF7B56B" w14:textId="77777777" w:rsidR="00F82B4D" w:rsidRDefault="00467E37">
      <w:pPr>
        <w:spacing w:line="360" w:lineRule="auto"/>
        <w:ind w:firstLineChars="200" w:firstLine="420"/>
        <w:rPr>
          <w:rFonts w:ascii="宋体" w:hAnsi="宋体"/>
          <w:szCs w:val="21"/>
        </w:rPr>
      </w:pPr>
      <w:r>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2F7C02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（三）订立托管协议的原则</w:t>
      </w:r>
    </w:p>
    <w:p w14:paraId="15949DB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基金管理人和基金托管人本着平等自愿、诚实信用、充分保护基金份额持有人合法权益的原则，经协商一致，签订本协议。</w:t>
      </w:r>
    </w:p>
    <w:p w14:paraId="01738319" w14:textId="77777777" w:rsidR="00F82B4D" w:rsidRDefault="00F82B4D">
      <w:pPr>
        <w:spacing w:line="360" w:lineRule="auto"/>
        <w:rPr>
          <w:rFonts w:ascii="宋体" w:hAnsi="宋体"/>
          <w:szCs w:val="21"/>
        </w:rPr>
      </w:pPr>
    </w:p>
    <w:p w14:paraId="47791519"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 w:name="_Toc348082031"/>
      <w:bookmarkStart w:id="11" w:name="_Toc384992693"/>
      <w:r>
        <w:rPr>
          <w:rFonts w:ascii="宋体" w:eastAsia="宋体" w:hAnsi="宋体" w:hint="eastAsia"/>
          <w:sz w:val="21"/>
          <w:szCs w:val="21"/>
        </w:rPr>
        <w:lastRenderedPageBreak/>
        <w:t>三、基金托管人对基金管理人的业务监督和核查</w:t>
      </w:r>
      <w:bookmarkEnd w:id="10"/>
      <w:bookmarkEnd w:id="11"/>
    </w:p>
    <w:p w14:paraId="0B2B30B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一）基金托管人根据有关法律法规的规定以及《基金合同》的约定，对基金投资范围、投资比例、投资限制、关联方交易等进行监督。《基金合同》明确约定基金投资证券、基金选择标准的，基金管理人应事先或定期向基金托管人提供投资品种池，以便基金托管人对基金实际投资是否符合基金合同关于证券选择标准的约定进行监督。</w:t>
      </w:r>
    </w:p>
    <w:p w14:paraId="12F85FC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本基金的投资范围为：</w:t>
      </w:r>
    </w:p>
    <w:p w14:paraId="5D7F2ED5" w14:textId="77777777" w:rsidR="00F82B4D" w:rsidRDefault="00467E37">
      <w:pPr>
        <w:spacing w:line="360" w:lineRule="auto"/>
        <w:ind w:firstLineChars="200" w:firstLine="420"/>
        <w:rPr>
          <w:rFonts w:ascii="宋体" w:hAnsi="宋体" w:cs="Arial"/>
          <w:szCs w:val="21"/>
        </w:rPr>
      </w:pPr>
      <w:bookmarkStart w:id="12" w:name="OLE_LINK17"/>
      <w:bookmarkStart w:id="13" w:name="OLE_LINK18"/>
      <w:r>
        <w:rPr>
          <w:rFonts w:ascii="宋体" w:hAnsi="宋体" w:cs="Arial" w:hint="eastAsia"/>
          <w:szCs w:val="21"/>
        </w:rPr>
        <w:t>本基金的投资范围为具有良好流动</w:t>
      </w:r>
      <w:r>
        <w:rPr>
          <w:rFonts w:ascii="宋体" w:hAnsi="宋体" w:cs="Arial" w:hint="eastAsia"/>
          <w:szCs w:val="21"/>
        </w:rPr>
        <w:t>性的金融工具，包括国内依法发行上市的股票（包括主板、科创板、创业板以及其他经中国证监会允许发行的股票）、存托凭证、港股通标的证券（包括股票和</w:t>
      </w:r>
      <w:r>
        <w:rPr>
          <w:rFonts w:ascii="宋体" w:hAnsi="宋体" w:cs="Arial" w:hint="eastAsia"/>
          <w:szCs w:val="21"/>
        </w:rPr>
        <w:t>ETF</w:t>
      </w:r>
      <w:r>
        <w:rPr>
          <w:rFonts w:ascii="宋体" w:hAnsi="宋体" w:cs="Arial" w:hint="eastAsia"/>
          <w:szCs w:val="21"/>
        </w:rPr>
        <w:t>）、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w:t>
      </w:r>
      <w:r>
        <w:rPr>
          <w:rFonts w:ascii="宋体" w:hAnsi="宋体" w:cs="Arial" w:hint="eastAsia"/>
          <w:szCs w:val="21"/>
        </w:rPr>
        <w:t>金（包括全市场的股票型</w:t>
      </w:r>
      <w:r>
        <w:rPr>
          <w:rFonts w:ascii="宋体" w:hAnsi="宋体" w:cs="Arial" w:hint="eastAsia"/>
          <w:szCs w:val="21"/>
        </w:rPr>
        <w:t>ETF</w:t>
      </w:r>
      <w:r>
        <w:rPr>
          <w:rFonts w:ascii="宋体" w:hAnsi="宋体" w:cs="Arial" w:hint="eastAsia"/>
          <w:szCs w:val="21"/>
        </w:rPr>
        <w:t>、公开募集不动产投资信托基金（以下简称“公募</w:t>
      </w:r>
      <w:r>
        <w:rPr>
          <w:rFonts w:ascii="宋体" w:hAnsi="宋体" w:cs="Arial" w:hint="eastAsia"/>
          <w:szCs w:val="21"/>
        </w:rPr>
        <w:t>REIT</w:t>
      </w:r>
      <w:r>
        <w:rPr>
          <w:rFonts w:ascii="宋体" w:hAnsi="宋体" w:cs="Arial"/>
          <w:szCs w:val="21"/>
        </w:rPr>
        <w:t>s</w:t>
      </w:r>
      <w:r>
        <w:rPr>
          <w:rFonts w:ascii="宋体" w:hAnsi="宋体" w:cs="Arial" w:hint="eastAsia"/>
          <w:szCs w:val="21"/>
        </w:rPr>
        <w:t>”），以及基金管理人旗下的股票型基金、计入权益类资产的混合型基金，不含货币市场基金、</w:t>
      </w:r>
      <w:r>
        <w:rPr>
          <w:rFonts w:ascii="宋体" w:hAnsi="宋体" w:cs="Arial" w:hint="eastAsia"/>
          <w:szCs w:val="21"/>
        </w:rPr>
        <w:t>QDII</w:t>
      </w:r>
      <w:r>
        <w:rPr>
          <w:rFonts w:ascii="宋体" w:hAnsi="宋体" w:cs="Arial" w:hint="eastAsia"/>
          <w:szCs w:val="21"/>
        </w:rPr>
        <w:t>基金、香港互认基金、基金中基金和可投资其他基金的基金）等，以及法律法规或中国证监会允许投资的其他金融工具（但须符合中国证监会的相关规定）。</w:t>
      </w:r>
    </w:p>
    <w:p w14:paraId="3FC10102"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如法律法规或监管机构以后允许基金投资其他品种，基金管理人在履行适当程序后，可以将其纳入投资范围。</w:t>
      </w:r>
    </w:p>
    <w:bookmarkEnd w:id="12"/>
    <w:bookmarkEnd w:id="13"/>
    <w:p w14:paraId="6A50768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本基金各类品种的投资比例、投资限制为：</w:t>
      </w:r>
    </w:p>
    <w:p w14:paraId="2BDFF9DA" w14:textId="77777777" w:rsidR="00F82B4D" w:rsidRDefault="00467E37">
      <w:pPr>
        <w:spacing w:line="360" w:lineRule="auto"/>
        <w:ind w:firstLineChars="200" w:firstLine="420"/>
        <w:rPr>
          <w:rFonts w:ascii="宋体" w:hAnsi="宋体" w:cs="Arial"/>
          <w:szCs w:val="21"/>
        </w:rPr>
      </w:pPr>
      <w:bookmarkStart w:id="14" w:name="OLE_LINK20"/>
      <w:bookmarkStart w:id="15" w:name="OLE_LINK19"/>
      <w:r>
        <w:rPr>
          <w:rFonts w:ascii="宋体" w:hAnsi="宋体" w:cs="Arial" w:hint="eastAsia"/>
          <w:szCs w:val="21"/>
        </w:rPr>
        <w:t>本基金对债券资产的投资比例不低于基金资产的</w:t>
      </w:r>
      <w:r>
        <w:rPr>
          <w:rFonts w:ascii="宋体" w:hAnsi="宋体" w:cs="Arial" w:hint="eastAsia"/>
          <w:szCs w:val="21"/>
        </w:rPr>
        <w:t>80%</w:t>
      </w:r>
      <w:r>
        <w:rPr>
          <w:rFonts w:ascii="宋体" w:hAnsi="宋体" w:cs="Arial" w:hint="eastAsia"/>
          <w:szCs w:val="21"/>
        </w:rPr>
        <w:t>；本基金</w:t>
      </w:r>
      <w:r>
        <w:rPr>
          <w:rFonts w:ascii="宋体" w:hAnsi="宋体" w:cs="Arial" w:hint="eastAsia"/>
          <w:szCs w:val="21"/>
        </w:rPr>
        <w:t>对股票、存托凭证、股票型基金、混合型基金等权益类资产及可转换债券、分离交易可转换债券、可交换债券资产的合计投资比例</w:t>
      </w:r>
      <w:r>
        <w:rPr>
          <w:rFonts w:ascii="宋体" w:hAnsi="宋体" w:cs="Arial" w:hint="eastAsia"/>
          <w:szCs w:val="21"/>
        </w:rPr>
        <w:t>不超过基金资产的</w:t>
      </w:r>
      <w:r>
        <w:rPr>
          <w:rFonts w:ascii="宋体" w:hAnsi="宋体" w:cs="Arial" w:hint="eastAsia"/>
          <w:szCs w:val="21"/>
        </w:rPr>
        <w:t>20%</w:t>
      </w:r>
      <w:r>
        <w:rPr>
          <w:rFonts w:ascii="宋体" w:hAnsi="宋体" w:cs="Arial" w:hint="eastAsia"/>
          <w:szCs w:val="21"/>
        </w:rPr>
        <w:t>，其中投资于港股通标的股票的比例不超过股票资产的</w:t>
      </w:r>
      <w:r>
        <w:rPr>
          <w:rFonts w:ascii="宋体" w:hAnsi="宋体" w:cs="Arial" w:hint="eastAsia"/>
          <w:szCs w:val="21"/>
        </w:rPr>
        <w:t>50%</w:t>
      </w:r>
      <w:r>
        <w:rPr>
          <w:rFonts w:ascii="宋体" w:hAnsi="宋体" w:cs="Arial" w:hint="eastAsia"/>
          <w:szCs w:val="21"/>
        </w:rPr>
        <w:t>；本基金持有其他基金，其市值不超过基金资产净值的</w:t>
      </w:r>
      <w:r>
        <w:rPr>
          <w:rFonts w:ascii="宋体" w:hAnsi="宋体" w:cs="Arial" w:hint="eastAsia"/>
          <w:szCs w:val="21"/>
        </w:rPr>
        <w:t>10%</w:t>
      </w:r>
      <w:r>
        <w:rPr>
          <w:rFonts w:ascii="宋体" w:hAnsi="宋体" w:cs="Arial" w:hint="eastAsia"/>
          <w:szCs w:val="21"/>
        </w:rPr>
        <w:t>；每个交易日日终在扣除国债期货合约需缴纳的交易保证金后，本基金持有的现金或者到期日在一年以内的政府债券不低于基金资产净值的</w:t>
      </w:r>
      <w:r>
        <w:rPr>
          <w:rFonts w:ascii="宋体" w:hAnsi="宋体" w:cs="Arial" w:hint="eastAsia"/>
          <w:szCs w:val="21"/>
        </w:rPr>
        <w:t>5%</w:t>
      </w:r>
      <w:r>
        <w:rPr>
          <w:rFonts w:ascii="宋体" w:hAnsi="宋体" w:cs="Arial" w:hint="eastAsia"/>
          <w:szCs w:val="21"/>
        </w:rPr>
        <w:t>，其中现金不包括结算备付金、存出保证金、应收申购款等。其中，计入上述权益类资产的混合型基金需符合下列两个条件之一：</w:t>
      </w:r>
    </w:p>
    <w:p w14:paraId="4A80EDB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）基金合同约定股票及存</w:t>
      </w:r>
      <w:r>
        <w:rPr>
          <w:rFonts w:ascii="宋体" w:hAnsi="宋体" w:cs="Arial" w:hint="eastAsia"/>
          <w:szCs w:val="21"/>
        </w:rPr>
        <w:t>托凭证资产投资比例不低于基金资产</w:t>
      </w:r>
      <w:r>
        <w:rPr>
          <w:rFonts w:ascii="宋体" w:hAnsi="宋体" w:cs="Arial" w:hint="eastAsia"/>
          <w:szCs w:val="21"/>
        </w:rPr>
        <w:t>60%</w:t>
      </w:r>
      <w:r>
        <w:rPr>
          <w:rFonts w:ascii="宋体" w:hAnsi="宋体" w:cs="Arial" w:hint="eastAsia"/>
          <w:szCs w:val="21"/>
        </w:rPr>
        <w:t>的混合型基金；</w:t>
      </w:r>
    </w:p>
    <w:p w14:paraId="4F2D922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）根据基金披露的定期报告，最近四个季度中任一季度股票及存托凭证资产占基金资</w:t>
      </w:r>
      <w:r>
        <w:rPr>
          <w:rFonts w:ascii="宋体" w:hAnsi="宋体" w:cs="Arial" w:hint="eastAsia"/>
          <w:szCs w:val="21"/>
        </w:rPr>
        <w:lastRenderedPageBreak/>
        <w:t>产比例均不低于</w:t>
      </w:r>
      <w:r>
        <w:rPr>
          <w:rFonts w:ascii="宋体" w:hAnsi="宋体" w:cs="Arial" w:hint="eastAsia"/>
          <w:szCs w:val="21"/>
        </w:rPr>
        <w:t>60%</w:t>
      </w:r>
      <w:r>
        <w:rPr>
          <w:rFonts w:ascii="宋体" w:hAnsi="宋体" w:cs="Arial" w:hint="eastAsia"/>
          <w:szCs w:val="21"/>
        </w:rPr>
        <w:t>的混合型基金。</w:t>
      </w:r>
    </w:p>
    <w:p w14:paraId="36D0168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如法律法规或中国证监会变更投资品种的投资比例限制，基金管理人在履行适当程序后，可以调整上述投资品种的投资比例。</w:t>
      </w:r>
    </w:p>
    <w:bookmarkEnd w:id="14"/>
    <w:bookmarkEnd w:id="15"/>
    <w:p w14:paraId="76F789A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基金的投资组合应遵循以下限制：</w:t>
      </w:r>
    </w:p>
    <w:p w14:paraId="116919A6" w14:textId="77777777" w:rsidR="00F82B4D" w:rsidRDefault="00467E37">
      <w:pPr>
        <w:spacing w:line="360" w:lineRule="auto"/>
        <w:ind w:firstLineChars="200" w:firstLine="420"/>
        <w:rPr>
          <w:rFonts w:ascii="宋体" w:hAnsi="宋体" w:cs="Arial"/>
          <w:szCs w:val="21"/>
        </w:rPr>
      </w:pPr>
      <w:bookmarkStart w:id="16" w:name="OLE_LINK22"/>
      <w:bookmarkStart w:id="17" w:name="OLE_LINK21"/>
      <w:r>
        <w:rPr>
          <w:rFonts w:ascii="宋体" w:hAnsi="宋体" w:cs="Arial" w:hint="eastAsia"/>
          <w:szCs w:val="21"/>
        </w:rPr>
        <w:t>（</w:t>
      </w:r>
      <w:r>
        <w:rPr>
          <w:rFonts w:ascii="宋体" w:hAnsi="宋体" w:cs="Arial" w:hint="eastAsia"/>
          <w:szCs w:val="21"/>
        </w:rPr>
        <w:t>1</w:t>
      </w:r>
      <w:r>
        <w:rPr>
          <w:rFonts w:ascii="宋体" w:hAnsi="宋体" w:cs="Arial" w:hint="eastAsia"/>
          <w:szCs w:val="21"/>
        </w:rPr>
        <w:t>）本基金对债券资产的投资比例不低于基金资产的</w:t>
      </w:r>
      <w:r>
        <w:rPr>
          <w:rFonts w:ascii="宋体" w:hAnsi="宋体" w:cs="Arial" w:hint="eastAsia"/>
          <w:szCs w:val="21"/>
        </w:rPr>
        <w:t>80%</w:t>
      </w:r>
      <w:r>
        <w:rPr>
          <w:rFonts w:ascii="宋体" w:hAnsi="宋体" w:cs="Arial" w:hint="eastAsia"/>
          <w:szCs w:val="21"/>
        </w:rPr>
        <w:t>；本基金对股票、存托凭证、股票型基金、混合型基金等权益类资产及可转换债券、分离交易可转换债券、可交换债券资产的合计投资比例</w:t>
      </w:r>
      <w:r>
        <w:rPr>
          <w:rFonts w:ascii="宋体" w:hAnsi="宋体" w:cs="Arial" w:hint="eastAsia"/>
          <w:szCs w:val="21"/>
        </w:rPr>
        <w:t>不超过基金资产的</w:t>
      </w:r>
      <w:r>
        <w:rPr>
          <w:rFonts w:ascii="宋体" w:hAnsi="宋体" w:cs="Arial" w:hint="eastAsia"/>
          <w:szCs w:val="21"/>
        </w:rPr>
        <w:t>20%</w:t>
      </w:r>
      <w:r>
        <w:rPr>
          <w:rFonts w:ascii="宋体" w:hAnsi="宋体" w:cs="Arial" w:hint="eastAsia"/>
          <w:szCs w:val="21"/>
        </w:rPr>
        <w:t>，其中投资于港股通标的股票的比例不超过股票资产的</w:t>
      </w:r>
      <w:r>
        <w:rPr>
          <w:rFonts w:ascii="宋体" w:hAnsi="宋体" w:cs="Arial" w:hint="eastAsia"/>
          <w:szCs w:val="21"/>
        </w:rPr>
        <w:t>50%</w:t>
      </w:r>
      <w:r>
        <w:rPr>
          <w:rFonts w:ascii="宋体" w:hAnsi="宋体" w:cs="Arial" w:hint="eastAsia"/>
          <w:szCs w:val="21"/>
        </w:rPr>
        <w:t>；其中，计入上述权益类资产的混合型基金需符合下列两个条件之一：</w:t>
      </w:r>
    </w:p>
    <w:p w14:paraId="0809B58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）基金合同约定股票及存托凭证资产投资比例不低于基金资产</w:t>
      </w:r>
      <w:r>
        <w:rPr>
          <w:rFonts w:ascii="宋体" w:hAnsi="宋体" w:cs="Arial" w:hint="eastAsia"/>
          <w:szCs w:val="21"/>
        </w:rPr>
        <w:t>60%</w:t>
      </w:r>
      <w:r>
        <w:rPr>
          <w:rFonts w:ascii="宋体" w:hAnsi="宋体" w:cs="Arial" w:hint="eastAsia"/>
          <w:szCs w:val="21"/>
        </w:rPr>
        <w:t>的混合型基金；</w:t>
      </w:r>
    </w:p>
    <w:p w14:paraId="37BF0A0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）根据基金披露的定期报告，最近四个季度中任一季度股票及存托凭证资产占基金资产比例均不低于</w:t>
      </w:r>
      <w:r>
        <w:rPr>
          <w:rFonts w:ascii="宋体" w:hAnsi="宋体" w:cs="Arial" w:hint="eastAsia"/>
          <w:szCs w:val="21"/>
        </w:rPr>
        <w:t>60%</w:t>
      </w:r>
      <w:r>
        <w:rPr>
          <w:rFonts w:ascii="宋体" w:hAnsi="宋体" w:cs="Arial" w:hint="eastAsia"/>
          <w:szCs w:val="21"/>
        </w:rPr>
        <w:t>的混合型基金；</w:t>
      </w:r>
    </w:p>
    <w:bookmarkEnd w:id="16"/>
    <w:bookmarkEnd w:id="17"/>
    <w:p w14:paraId="36F17694"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w:t>
      </w:r>
      <w:r>
        <w:rPr>
          <w:rFonts w:ascii="宋体" w:hAnsi="宋体" w:cs="Arial" w:hint="eastAsia"/>
          <w:szCs w:val="21"/>
        </w:rPr>
        <w:t>本基金持有其他基金，其市值不超过基金资产净值的</w:t>
      </w:r>
      <w:r>
        <w:rPr>
          <w:rFonts w:ascii="宋体" w:hAnsi="宋体" w:cs="Arial" w:hint="eastAsia"/>
          <w:szCs w:val="21"/>
        </w:rPr>
        <w:t>10%</w:t>
      </w:r>
      <w:r>
        <w:rPr>
          <w:rFonts w:ascii="宋体" w:hAnsi="宋体" w:cs="Arial" w:hint="eastAsia"/>
          <w:szCs w:val="21"/>
        </w:rPr>
        <w:t>；</w:t>
      </w:r>
    </w:p>
    <w:p w14:paraId="685EEE2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）每个交易日日终在扣除国债期货合约需缴纳的交易保证金后，本基金持有的现金或者到期日在一年以内的政府债券不低于基金资产净值的</w:t>
      </w:r>
      <w:r>
        <w:rPr>
          <w:rFonts w:ascii="宋体" w:hAnsi="宋体" w:cs="Arial" w:hint="eastAsia"/>
          <w:szCs w:val="21"/>
        </w:rPr>
        <w:t>5%</w:t>
      </w:r>
      <w:r>
        <w:rPr>
          <w:rFonts w:ascii="宋体" w:hAnsi="宋体" w:cs="Arial" w:hint="eastAsia"/>
          <w:szCs w:val="21"/>
        </w:rPr>
        <w:t>，其中现金不包括结算备付金、存出保证金、应收申购款等；</w:t>
      </w:r>
    </w:p>
    <w:p w14:paraId="1CE2EE3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4</w:t>
      </w:r>
      <w:r>
        <w:rPr>
          <w:rFonts w:ascii="宋体" w:hAnsi="宋体" w:cs="Arial" w:hint="eastAsia"/>
          <w:szCs w:val="21"/>
        </w:rPr>
        <w:t>）本基金持有一家公司发行的证券（同一家公司在内地和香港同时上市的</w:t>
      </w:r>
      <w:r>
        <w:rPr>
          <w:rFonts w:ascii="宋体" w:hAnsi="宋体" w:cs="Arial" w:hint="eastAsia"/>
          <w:szCs w:val="21"/>
        </w:rPr>
        <w:t>A+H</w:t>
      </w:r>
      <w:r>
        <w:rPr>
          <w:rFonts w:ascii="宋体" w:hAnsi="宋体" w:cs="Arial" w:hint="eastAsia"/>
          <w:szCs w:val="21"/>
        </w:rPr>
        <w:t>股合计计算，但不包括本基金所投资的基金份额），其市值不超过基金资产净值的</w:t>
      </w:r>
      <w:r>
        <w:rPr>
          <w:rFonts w:ascii="宋体" w:hAnsi="宋体" w:cs="Arial" w:hint="eastAsia"/>
          <w:szCs w:val="21"/>
        </w:rPr>
        <w:t>10%</w:t>
      </w:r>
      <w:r>
        <w:rPr>
          <w:rFonts w:ascii="宋体" w:hAnsi="宋体" w:cs="Arial" w:hint="eastAsia"/>
          <w:szCs w:val="21"/>
        </w:rPr>
        <w:t>；</w:t>
      </w:r>
    </w:p>
    <w:p w14:paraId="48DA6A1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5</w:t>
      </w:r>
      <w:r>
        <w:rPr>
          <w:rFonts w:ascii="宋体" w:hAnsi="宋体" w:cs="Arial" w:hint="eastAsia"/>
          <w:szCs w:val="21"/>
        </w:rPr>
        <w:t>）本基金管理人管理的全部基金持有一家公司发行的证券（同一家公司在内地和香港同时上市的</w:t>
      </w:r>
      <w:r>
        <w:rPr>
          <w:rFonts w:ascii="宋体" w:hAnsi="宋体" w:cs="Arial" w:hint="eastAsia"/>
          <w:szCs w:val="21"/>
        </w:rPr>
        <w:t>A+H</w:t>
      </w:r>
      <w:r>
        <w:rPr>
          <w:rFonts w:ascii="宋体" w:hAnsi="宋体" w:cs="Arial" w:hint="eastAsia"/>
          <w:szCs w:val="21"/>
        </w:rPr>
        <w:t>股合计计算，但不包括</w:t>
      </w:r>
      <w:r>
        <w:rPr>
          <w:rFonts w:ascii="宋体" w:hAnsi="宋体" w:cs="Arial" w:hint="eastAsia"/>
          <w:szCs w:val="21"/>
        </w:rPr>
        <w:t>本基金所投资的基金份额），不超过该证券的</w:t>
      </w:r>
      <w:r>
        <w:rPr>
          <w:rFonts w:ascii="宋体" w:hAnsi="宋体" w:cs="Arial" w:hint="eastAsia"/>
          <w:szCs w:val="21"/>
        </w:rPr>
        <w:t>10%</w:t>
      </w:r>
      <w:r>
        <w:rPr>
          <w:rFonts w:ascii="宋体" w:hAnsi="宋体" w:cs="Arial" w:hint="eastAsia"/>
          <w:szCs w:val="21"/>
        </w:rPr>
        <w:t>；本基金管理人管理的全部开放式基金（包括开放式基金以及处于开放期的定期开放基金）持有一家上市公司发行的可流通股票，不得超过该上市公司可流通股票的</w:t>
      </w:r>
      <w:r>
        <w:rPr>
          <w:rFonts w:ascii="宋体" w:hAnsi="宋体" w:cs="Arial" w:hint="eastAsia"/>
          <w:szCs w:val="21"/>
        </w:rPr>
        <w:t>15%</w:t>
      </w:r>
      <w:r>
        <w:rPr>
          <w:rFonts w:ascii="宋体" w:hAnsi="宋体" w:cs="Arial" w:hint="eastAsia"/>
          <w:szCs w:val="21"/>
        </w:rPr>
        <w:t>；本基金管理人管理的全部投资组合持有一家上市公司发行的可流通股票，不得超过该上市公司可流通股票的</w:t>
      </w:r>
      <w:r>
        <w:rPr>
          <w:rFonts w:ascii="宋体" w:hAnsi="宋体" w:cs="Arial" w:hint="eastAsia"/>
          <w:szCs w:val="21"/>
        </w:rPr>
        <w:t>30%</w:t>
      </w:r>
      <w:r>
        <w:rPr>
          <w:rFonts w:ascii="宋体" w:hAnsi="宋体" w:cs="Arial" w:hint="eastAsia"/>
          <w:szCs w:val="21"/>
        </w:rPr>
        <w:t>；完全按照有关指数的构成比例进行证券投资的开放式基金以及中国证监会认定的特殊投资组合可不受前述比例限制；</w:t>
      </w:r>
    </w:p>
    <w:p w14:paraId="7E2586B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6</w:t>
      </w:r>
      <w:r>
        <w:rPr>
          <w:rFonts w:ascii="宋体" w:hAnsi="宋体" w:cs="Arial" w:hint="eastAsia"/>
          <w:szCs w:val="21"/>
        </w:rPr>
        <w:t>）本基金投资于同一原始权益人的各类资产支持证券的比例，不得超过基金资产净值的</w:t>
      </w:r>
      <w:r>
        <w:rPr>
          <w:rFonts w:ascii="宋体" w:hAnsi="宋体" w:cs="Arial" w:hint="eastAsia"/>
          <w:szCs w:val="21"/>
        </w:rPr>
        <w:t>10</w:t>
      </w:r>
      <w:r>
        <w:rPr>
          <w:rFonts w:ascii="宋体" w:hAnsi="宋体" w:cs="Arial" w:hint="eastAsia"/>
          <w:szCs w:val="21"/>
        </w:rPr>
        <w:t>％；</w:t>
      </w:r>
    </w:p>
    <w:p w14:paraId="00AF074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7</w:t>
      </w:r>
      <w:r>
        <w:rPr>
          <w:rFonts w:ascii="宋体" w:hAnsi="宋体" w:cs="Arial" w:hint="eastAsia"/>
          <w:szCs w:val="21"/>
        </w:rPr>
        <w:t>）本基金持有的</w:t>
      </w:r>
      <w:r>
        <w:rPr>
          <w:rFonts w:ascii="宋体" w:hAnsi="宋体" w:cs="Arial" w:hint="eastAsia"/>
          <w:szCs w:val="21"/>
        </w:rPr>
        <w:t>全部资产支持证券，其市值不得超过基金资产净值的</w:t>
      </w:r>
      <w:r>
        <w:rPr>
          <w:rFonts w:ascii="宋体" w:hAnsi="宋体" w:cs="Arial" w:hint="eastAsia"/>
          <w:szCs w:val="21"/>
        </w:rPr>
        <w:t>20</w:t>
      </w:r>
      <w:r>
        <w:rPr>
          <w:rFonts w:ascii="宋体" w:hAnsi="宋体" w:cs="Arial" w:hint="eastAsia"/>
          <w:szCs w:val="21"/>
        </w:rPr>
        <w:t>％；</w:t>
      </w:r>
    </w:p>
    <w:p w14:paraId="55B824E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8</w:t>
      </w:r>
      <w:r>
        <w:rPr>
          <w:rFonts w:ascii="宋体" w:hAnsi="宋体" w:cs="Arial" w:hint="eastAsia"/>
          <w:szCs w:val="21"/>
        </w:rPr>
        <w:t>）本基金持有的同一</w:t>
      </w:r>
      <w:r>
        <w:rPr>
          <w:rFonts w:ascii="宋体" w:hAnsi="宋体" w:cs="Arial" w:hint="eastAsia"/>
          <w:szCs w:val="21"/>
        </w:rPr>
        <w:t>(</w:t>
      </w:r>
      <w:r>
        <w:rPr>
          <w:rFonts w:ascii="宋体" w:hAnsi="宋体" w:cs="Arial" w:hint="eastAsia"/>
          <w:szCs w:val="21"/>
        </w:rPr>
        <w:t>指同一信用级别</w:t>
      </w:r>
      <w:r>
        <w:rPr>
          <w:rFonts w:ascii="宋体" w:hAnsi="宋体" w:cs="Arial" w:hint="eastAsia"/>
          <w:szCs w:val="21"/>
        </w:rPr>
        <w:t>)</w:t>
      </w:r>
      <w:r>
        <w:rPr>
          <w:rFonts w:ascii="宋体" w:hAnsi="宋体" w:cs="Arial" w:hint="eastAsia"/>
          <w:szCs w:val="21"/>
        </w:rPr>
        <w:t>资产支持证券的比例，不得超过该资产支持证券规模的</w:t>
      </w:r>
      <w:r>
        <w:rPr>
          <w:rFonts w:ascii="宋体" w:hAnsi="宋体" w:cs="Arial" w:hint="eastAsia"/>
          <w:szCs w:val="21"/>
        </w:rPr>
        <w:t>10</w:t>
      </w:r>
      <w:r>
        <w:rPr>
          <w:rFonts w:ascii="宋体" w:hAnsi="宋体" w:cs="Arial" w:hint="eastAsia"/>
          <w:szCs w:val="21"/>
        </w:rPr>
        <w:t>％；</w:t>
      </w:r>
    </w:p>
    <w:p w14:paraId="146CD5D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9</w:t>
      </w:r>
      <w:r>
        <w:rPr>
          <w:rFonts w:ascii="宋体" w:hAnsi="宋体" w:cs="Arial" w:hint="eastAsia"/>
          <w:szCs w:val="21"/>
        </w:rPr>
        <w:t>）本基金管理人管理的全部基金投资于同一原始权益人的各类资产支持证券，不得超</w:t>
      </w:r>
      <w:r>
        <w:rPr>
          <w:rFonts w:ascii="宋体" w:hAnsi="宋体" w:cs="Arial" w:hint="eastAsia"/>
          <w:szCs w:val="21"/>
        </w:rPr>
        <w:lastRenderedPageBreak/>
        <w:t>过其各类资产支持证券合计规模的</w:t>
      </w:r>
      <w:r>
        <w:rPr>
          <w:rFonts w:ascii="宋体" w:hAnsi="宋体" w:cs="Arial" w:hint="eastAsia"/>
          <w:szCs w:val="21"/>
        </w:rPr>
        <w:t>10</w:t>
      </w:r>
      <w:r>
        <w:rPr>
          <w:rFonts w:ascii="宋体" w:hAnsi="宋体" w:cs="Arial" w:hint="eastAsia"/>
          <w:szCs w:val="21"/>
        </w:rPr>
        <w:t>％；</w:t>
      </w:r>
    </w:p>
    <w:p w14:paraId="2E554EB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10</w:t>
      </w:r>
      <w:r>
        <w:rPr>
          <w:rFonts w:ascii="宋体" w:hAnsi="宋体" w:cs="Arial" w:hint="eastAsia"/>
          <w:szCs w:val="21"/>
        </w:rPr>
        <w:t>）本基金与私募类证券资管产品及中国证监会认定的其他主体为交易对手开展逆回购交易的，可接受质押品的资质要求应当与基金合同约定的投资范围保持一致；</w:t>
      </w:r>
    </w:p>
    <w:p w14:paraId="19B9644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11</w:t>
      </w:r>
      <w:r>
        <w:rPr>
          <w:rFonts w:ascii="宋体" w:hAnsi="宋体" w:cs="Arial" w:hint="eastAsia"/>
          <w:szCs w:val="21"/>
        </w:rPr>
        <w:t>）本基金不得持有信用保护卖方属性的信用衍生品，不得持有合约类信用衍生品；</w:t>
      </w:r>
    </w:p>
    <w:p w14:paraId="7848A832"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12</w:t>
      </w:r>
      <w:r>
        <w:rPr>
          <w:rFonts w:ascii="宋体" w:hAnsi="宋体" w:cs="Arial" w:hint="eastAsia"/>
          <w:szCs w:val="21"/>
        </w:rPr>
        <w:t>）本基金持有的信用衍生品的名义本金不得超过本基金对应受保护债券面值的</w:t>
      </w:r>
      <w:r>
        <w:rPr>
          <w:rFonts w:ascii="宋体" w:hAnsi="宋体" w:cs="Arial" w:hint="eastAsia"/>
          <w:szCs w:val="21"/>
        </w:rPr>
        <w:t>100%</w:t>
      </w:r>
      <w:r>
        <w:rPr>
          <w:rFonts w:ascii="宋体" w:hAnsi="宋体" w:cs="Arial" w:hint="eastAsia"/>
          <w:szCs w:val="21"/>
        </w:rPr>
        <w:t>；本基金投资于同一信用保护卖方的各类信用衍生品的名义本金合计不得超过基金资产净值的</w:t>
      </w:r>
      <w:r>
        <w:rPr>
          <w:rFonts w:ascii="宋体" w:hAnsi="宋体" w:cs="Arial" w:hint="eastAsia"/>
          <w:szCs w:val="21"/>
        </w:rPr>
        <w:t>10%</w:t>
      </w:r>
      <w:r>
        <w:rPr>
          <w:rFonts w:ascii="宋体" w:hAnsi="宋体" w:cs="Arial" w:hint="eastAsia"/>
          <w:szCs w:val="21"/>
        </w:rPr>
        <w:t>；</w:t>
      </w:r>
    </w:p>
    <w:p w14:paraId="16696D0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因证券、期货市场波动、证券发行人合并、基金规模变动等基金管理人之外的因素致使基金不符合前述（</w:t>
      </w:r>
      <w:r>
        <w:rPr>
          <w:rFonts w:ascii="宋体" w:hAnsi="宋体" w:cs="Arial" w:hint="eastAsia"/>
          <w:szCs w:val="21"/>
        </w:rPr>
        <w:t>12</w:t>
      </w:r>
      <w:r>
        <w:rPr>
          <w:rFonts w:ascii="宋体" w:hAnsi="宋体" w:cs="Arial" w:hint="eastAsia"/>
          <w:szCs w:val="21"/>
        </w:rPr>
        <w:t>）所规定比例限制的，基金管理人应在</w:t>
      </w:r>
      <w:r>
        <w:rPr>
          <w:rFonts w:ascii="宋体" w:hAnsi="宋体" w:cs="Arial" w:hint="eastAsia"/>
          <w:szCs w:val="21"/>
        </w:rPr>
        <w:t>3</w:t>
      </w:r>
      <w:r>
        <w:rPr>
          <w:rFonts w:ascii="宋体" w:hAnsi="宋体" w:cs="Arial" w:hint="eastAsia"/>
          <w:szCs w:val="21"/>
        </w:rPr>
        <w:t>个月之内进行调整；</w:t>
      </w:r>
    </w:p>
    <w:p w14:paraId="6589019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13</w:t>
      </w:r>
      <w:r>
        <w:rPr>
          <w:rFonts w:ascii="宋体" w:hAnsi="宋体" w:cs="Arial" w:hint="eastAsia"/>
          <w:szCs w:val="21"/>
        </w:rPr>
        <w:t>）基金资产总值不得超过基金资产净值的</w:t>
      </w:r>
      <w:r>
        <w:rPr>
          <w:rFonts w:ascii="宋体" w:hAnsi="宋体" w:cs="Arial" w:hint="eastAsia"/>
          <w:szCs w:val="21"/>
        </w:rPr>
        <w:t>140%</w:t>
      </w:r>
      <w:r>
        <w:rPr>
          <w:rFonts w:ascii="宋体" w:hAnsi="宋体" w:cs="Arial" w:hint="eastAsia"/>
          <w:szCs w:val="21"/>
        </w:rPr>
        <w:t>；</w:t>
      </w:r>
    </w:p>
    <w:p w14:paraId="540F838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14</w:t>
      </w:r>
      <w:r>
        <w:rPr>
          <w:rFonts w:ascii="宋体" w:hAnsi="宋体" w:cs="Arial" w:hint="eastAsia"/>
          <w:szCs w:val="21"/>
        </w:rPr>
        <w:t>）本基金参与国债期货交易，应当遵守下列要求：在任何交易日日终，持有的买入国债期货合约价值，不得超过基金资产净值的</w:t>
      </w:r>
      <w:r>
        <w:rPr>
          <w:rFonts w:ascii="宋体" w:hAnsi="宋体" w:cs="Arial" w:hint="eastAsia"/>
          <w:szCs w:val="21"/>
        </w:rPr>
        <w:t>15%</w:t>
      </w:r>
      <w:r>
        <w:rPr>
          <w:rFonts w:ascii="宋体" w:hAnsi="宋体" w:cs="Arial" w:hint="eastAsia"/>
          <w:szCs w:val="21"/>
        </w:rPr>
        <w:t>；在任何</w:t>
      </w:r>
      <w:r>
        <w:rPr>
          <w:rFonts w:ascii="宋体" w:hAnsi="宋体" w:cs="Arial" w:hint="eastAsia"/>
          <w:szCs w:val="21"/>
        </w:rPr>
        <w:t>交易日日终，持有的卖出国债期货合约价值不得超过基金持有的债券总市值的</w:t>
      </w:r>
      <w:r>
        <w:rPr>
          <w:rFonts w:ascii="宋体" w:hAnsi="宋体" w:cs="Arial" w:hint="eastAsia"/>
          <w:szCs w:val="21"/>
        </w:rPr>
        <w:t>30%</w:t>
      </w:r>
      <w:r>
        <w:rPr>
          <w:rFonts w:ascii="宋体" w:hAnsi="宋体" w:cs="Arial" w:hint="eastAsia"/>
          <w:szCs w:val="21"/>
        </w:rPr>
        <w:t>；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w:t>
      </w:r>
      <w:r>
        <w:rPr>
          <w:rFonts w:ascii="宋体" w:hAnsi="宋体" w:cs="Arial" w:hint="eastAsia"/>
          <w:szCs w:val="21"/>
        </w:rPr>
        <w:t>30%</w:t>
      </w:r>
      <w:r>
        <w:rPr>
          <w:rFonts w:ascii="宋体" w:hAnsi="宋体" w:cs="Arial" w:hint="eastAsia"/>
          <w:szCs w:val="21"/>
        </w:rPr>
        <w:t>；</w:t>
      </w:r>
    </w:p>
    <w:p w14:paraId="7234D0CA"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15</w:t>
      </w:r>
      <w:r>
        <w:rPr>
          <w:rFonts w:ascii="宋体" w:hAnsi="宋体" w:cs="Arial" w:hint="eastAsia"/>
          <w:szCs w:val="21"/>
        </w:rPr>
        <w:t>）本基金主动投资于流动性受限资产（含封闭运作基金、定期开放基金等）的市值合计不得超过基金资产净值的</w:t>
      </w:r>
      <w:r>
        <w:rPr>
          <w:rFonts w:ascii="宋体" w:hAnsi="宋体" w:cs="Arial" w:hint="eastAsia"/>
          <w:szCs w:val="21"/>
        </w:rPr>
        <w:t>15%</w:t>
      </w:r>
      <w:r>
        <w:rPr>
          <w:rFonts w:ascii="宋体" w:hAnsi="宋体" w:cs="Arial" w:hint="eastAsia"/>
          <w:szCs w:val="21"/>
        </w:rPr>
        <w:t>；因证券市场波动、上市公司股票停牌、基金规模变动等基金管理人之外的因素致使基金</w:t>
      </w:r>
      <w:r>
        <w:rPr>
          <w:rFonts w:ascii="宋体" w:hAnsi="宋体" w:cs="Arial" w:hint="eastAsia"/>
          <w:szCs w:val="21"/>
        </w:rPr>
        <w:t>不符合该比例限制的，基金管理人不得主动新增流动性受限资产的投资；</w:t>
      </w:r>
    </w:p>
    <w:p w14:paraId="6F3AC8E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16</w:t>
      </w:r>
      <w:r>
        <w:rPr>
          <w:rFonts w:ascii="宋体" w:hAnsi="宋体" w:cs="Arial" w:hint="eastAsia"/>
          <w:szCs w:val="21"/>
        </w:rPr>
        <w:t>）基金财产参与股票发行申购，本基金所申报的金额不超过本基金的总资产，本基金所申报的股票数量不超过拟发行股票公司本次发行股票的总量；</w:t>
      </w:r>
    </w:p>
    <w:p w14:paraId="3D3AE32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17</w:t>
      </w:r>
      <w:r>
        <w:rPr>
          <w:rFonts w:ascii="宋体" w:hAnsi="宋体" w:cs="Arial" w:hint="eastAsia"/>
          <w:szCs w:val="21"/>
        </w:rPr>
        <w:t>）本基金投资存托凭证的比例限制依照境内上市交易的股票执行，与境内上市交易的股票合并计算；</w:t>
      </w:r>
    </w:p>
    <w:p w14:paraId="1729D5F2"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18</w:t>
      </w:r>
      <w:r>
        <w:rPr>
          <w:rFonts w:ascii="宋体" w:hAnsi="宋体" w:cs="Arial" w:hint="eastAsia"/>
          <w:szCs w:val="21"/>
        </w:rPr>
        <w:t>）本基金管理人管理的全部基金（</w:t>
      </w:r>
      <w:r>
        <w:rPr>
          <w:rFonts w:ascii="宋体" w:hAnsi="宋体" w:cs="Arial" w:hint="eastAsia"/>
          <w:szCs w:val="21"/>
        </w:rPr>
        <w:t>ETF</w:t>
      </w:r>
      <w:r>
        <w:rPr>
          <w:rFonts w:ascii="宋体" w:hAnsi="宋体" w:cs="Arial" w:hint="eastAsia"/>
          <w:szCs w:val="21"/>
        </w:rPr>
        <w:t>联接基金除外）持有单只基金不得超过被投资基金净资产的</w:t>
      </w:r>
      <w:r>
        <w:rPr>
          <w:rFonts w:ascii="宋体" w:hAnsi="宋体" w:cs="Arial" w:hint="eastAsia"/>
          <w:szCs w:val="21"/>
        </w:rPr>
        <w:t>20%</w:t>
      </w:r>
      <w:r>
        <w:rPr>
          <w:rFonts w:ascii="宋体" w:hAnsi="宋体" w:cs="Arial" w:hint="eastAsia"/>
          <w:szCs w:val="21"/>
        </w:rPr>
        <w:t>，被投资基金净资产规模以最近定期报告披露的规模为准；</w:t>
      </w:r>
    </w:p>
    <w:p w14:paraId="3B0158EA"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19</w:t>
      </w:r>
      <w:r>
        <w:rPr>
          <w:rFonts w:ascii="宋体" w:hAnsi="宋体" w:cs="Arial" w:hint="eastAsia"/>
          <w:szCs w:val="21"/>
        </w:rPr>
        <w:t>）本基金不得持有具有复杂、衍生品性质的基金份额，包括</w:t>
      </w:r>
      <w:r>
        <w:rPr>
          <w:rFonts w:ascii="宋体" w:hAnsi="宋体" w:cs="Arial" w:hint="eastAsia"/>
          <w:szCs w:val="21"/>
        </w:rPr>
        <w:t>分级基金和中国证监会认定的其他基金份额；</w:t>
      </w:r>
    </w:p>
    <w:p w14:paraId="3DBCE51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20</w:t>
      </w:r>
      <w:r>
        <w:rPr>
          <w:rFonts w:ascii="宋体" w:hAnsi="宋体" w:cs="Arial" w:hint="eastAsia"/>
          <w:szCs w:val="21"/>
        </w:rPr>
        <w:t>）本基金投资其他基金时，被投资基金的运作期限应当不少于</w:t>
      </w:r>
      <w:r>
        <w:rPr>
          <w:rFonts w:ascii="宋体" w:hAnsi="宋体" w:cs="Arial" w:hint="eastAsia"/>
          <w:szCs w:val="21"/>
        </w:rPr>
        <w:t>1</w:t>
      </w:r>
      <w:r>
        <w:rPr>
          <w:rFonts w:ascii="宋体" w:hAnsi="宋体" w:cs="Arial" w:hint="eastAsia"/>
          <w:szCs w:val="21"/>
        </w:rPr>
        <w:t>年，最近定期报告披露的基金净资产应当不低于</w:t>
      </w:r>
      <w:r>
        <w:rPr>
          <w:rFonts w:ascii="宋体" w:hAnsi="宋体" w:cs="Arial" w:hint="eastAsia"/>
          <w:szCs w:val="21"/>
        </w:rPr>
        <w:t>1</w:t>
      </w:r>
      <w:r>
        <w:rPr>
          <w:rFonts w:ascii="宋体" w:hAnsi="宋体" w:cs="Arial" w:hint="eastAsia"/>
          <w:szCs w:val="21"/>
        </w:rPr>
        <w:t>亿元；</w:t>
      </w:r>
    </w:p>
    <w:p w14:paraId="12ADACA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lastRenderedPageBreak/>
        <w:t>（</w:t>
      </w:r>
      <w:r>
        <w:rPr>
          <w:rFonts w:ascii="宋体" w:hAnsi="宋体" w:cs="Arial" w:hint="eastAsia"/>
          <w:szCs w:val="21"/>
        </w:rPr>
        <w:t>21</w:t>
      </w:r>
      <w:r>
        <w:rPr>
          <w:rFonts w:ascii="宋体" w:hAnsi="宋体" w:cs="Arial" w:hint="eastAsia"/>
          <w:szCs w:val="21"/>
        </w:rPr>
        <w:t>）本基金不得持有基金中基金；</w:t>
      </w:r>
    </w:p>
    <w:p w14:paraId="2BC446F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22</w:t>
      </w:r>
      <w:r>
        <w:rPr>
          <w:rFonts w:ascii="宋体" w:hAnsi="宋体" w:cs="Arial" w:hint="eastAsia"/>
          <w:szCs w:val="21"/>
        </w:rPr>
        <w:t>）法律法规及中国证监会规定的和基金合同约定的其他投资限制。</w:t>
      </w:r>
    </w:p>
    <w:p w14:paraId="23E397E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因证券市场波动、基金规模变动等基金管理人之外的因素致使基金投资不符合上述（</w:t>
      </w:r>
      <w:r>
        <w:rPr>
          <w:rFonts w:ascii="宋体" w:hAnsi="宋体" w:cs="Arial" w:hint="eastAsia"/>
          <w:szCs w:val="21"/>
        </w:rPr>
        <w:t>18</w:t>
      </w:r>
      <w:r>
        <w:rPr>
          <w:rFonts w:ascii="宋体" w:hAnsi="宋体" w:cs="Arial" w:hint="eastAsia"/>
          <w:szCs w:val="21"/>
        </w:rPr>
        <w:t>）规定的投资比例的，基金管理人应当在</w:t>
      </w:r>
      <w:r>
        <w:rPr>
          <w:rFonts w:ascii="宋体" w:hAnsi="宋体" w:cs="Arial" w:hint="eastAsia"/>
          <w:szCs w:val="21"/>
        </w:rPr>
        <w:t>20</w:t>
      </w:r>
      <w:r>
        <w:rPr>
          <w:rFonts w:ascii="宋体" w:hAnsi="宋体" w:cs="Arial" w:hint="eastAsia"/>
          <w:szCs w:val="21"/>
        </w:rPr>
        <w:t>个交易日内进行调整，但中国证监会规定的特殊情形除外。除上述（</w:t>
      </w:r>
      <w:r>
        <w:rPr>
          <w:rFonts w:ascii="宋体" w:hAnsi="宋体" w:cs="Arial" w:hint="eastAsia"/>
          <w:szCs w:val="21"/>
        </w:rPr>
        <w:t>3</w:t>
      </w:r>
      <w:r>
        <w:rPr>
          <w:rFonts w:ascii="宋体" w:hAnsi="宋体" w:cs="Arial" w:hint="eastAsia"/>
          <w:szCs w:val="21"/>
        </w:rPr>
        <w:t>）、（</w:t>
      </w:r>
      <w:r>
        <w:rPr>
          <w:rFonts w:ascii="宋体" w:hAnsi="宋体" w:cs="Arial" w:hint="eastAsia"/>
          <w:szCs w:val="21"/>
        </w:rPr>
        <w:t>10</w:t>
      </w:r>
      <w:r>
        <w:rPr>
          <w:rFonts w:ascii="宋体" w:hAnsi="宋体" w:cs="Arial" w:hint="eastAsia"/>
          <w:szCs w:val="21"/>
        </w:rPr>
        <w:t>）、（</w:t>
      </w:r>
      <w:r>
        <w:rPr>
          <w:rFonts w:ascii="宋体" w:hAnsi="宋体" w:cs="Arial" w:hint="eastAsia"/>
          <w:szCs w:val="21"/>
        </w:rPr>
        <w:t>11</w:t>
      </w:r>
      <w:r>
        <w:rPr>
          <w:rFonts w:ascii="宋体" w:hAnsi="宋体" w:cs="Arial" w:hint="eastAsia"/>
          <w:szCs w:val="21"/>
        </w:rPr>
        <w:t>）、（</w:t>
      </w:r>
      <w:r>
        <w:rPr>
          <w:rFonts w:ascii="宋体" w:hAnsi="宋体" w:cs="Arial" w:hint="eastAsia"/>
          <w:szCs w:val="21"/>
        </w:rPr>
        <w:t>12</w:t>
      </w:r>
      <w:r>
        <w:rPr>
          <w:rFonts w:ascii="宋体" w:hAnsi="宋体" w:cs="Arial" w:hint="eastAsia"/>
          <w:szCs w:val="21"/>
        </w:rPr>
        <w:t>）、（</w:t>
      </w:r>
      <w:r>
        <w:rPr>
          <w:rFonts w:ascii="宋体" w:hAnsi="宋体" w:cs="Arial" w:hint="eastAsia"/>
          <w:szCs w:val="21"/>
        </w:rPr>
        <w:t>15</w:t>
      </w:r>
      <w:r>
        <w:rPr>
          <w:rFonts w:ascii="宋体" w:hAnsi="宋体" w:cs="Arial" w:hint="eastAsia"/>
          <w:szCs w:val="21"/>
        </w:rPr>
        <w:t>）、（</w:t>
      </w:r>
      <w:r>
        <w:rPr>
          <w:rFonts w:ascii="宋体" w:hAnsi="宋体" w:cs="Arial" w:hint="eastAsia"/>
          <w:szCs w:val="21"/>
        </w:rPr>
        <w:t>18</w:t>
      </w:r>
      <w:r>
        <w:rPr>
          <w:rFonts w:ascii="宋体" w:hAnsi="宋体" w:cs="Arial" w:hint="eastAsia"/>
          <w:szCs w:val="21"/>
        </w:rPr>
        <w:t>）情形之外，因证券、期货</w:t>
      </w:r>
      <w:r>
        <w:rPr>
          <w:rFonts w:ascii="宋体" w:hAnsi="宋体" w:cs="Arial" w:hint="eastAsia"/>
          <w:szCs w:val="21"/>
        </w:rPr>
        <w:t>市场波动、证券发行人合并、基金规模变动等基金管理人之外的因素致使基金投资比例不符合上述规定投资比例的，基金管理人应当在</w:t>
      </w:r>
      <w:r>
        <w:rPr>
          <w:rFonts w:ascii="宋体" w:hAnsi="宋体" w:cs="Arial" w:hint="eastAsia"/>
          <w:szCs w:val="21"/>
        </w:rPr>
        <w:t>10</w:t>
      </w:r>
      <w:r>
        <w:rPr>
          <w:rFonts w:ascii="宋体" w:hAnsi="宋体" w:cs="Arial" w:hint="eastAsia"/>
          <w:szCs w:val="21"/>
        </w:rPr>
        <w:t>个交易日内进行调整，但中国证监会规定的特殊情形除外。法律法规另有规定的，从其规定。</w:t>
      </w:r>
    </w:p>
    <w:p w14:paraId="6D480DE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基金管理人应当自基金合同生效之日起</w:t>
      </w:r>
      <w:r>
        <w:rPr>
          <w:rFonts w:ascii="宋体" w:hAnsi="宋体" w:cs="Arial" w:hint="eastAsia"/>
          <w:szCs w:val="21"/>
        </w:rPr>
        <w:t>6</w:t>
      </w:r>
      <w:r>
        <w:rPr>
          <w:rFonts w:ascii="宋体" w:hAnsi="宋体" w:cs="Arial"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004B2B1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法律法规或监管部门取消或变更上述限制，如适用于本基金，基金管理人在履行适当程序后，则本基金投资不再受相关限制或以变更后的规定为准。</w:t>
      </w:r>
    </w:p>
    <w:p w14:paraId="5EC10412"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本基金财产不得用于以下投资或者活动：</w:t>
      </w:r>
    </w:p>
    <w:p w14:paraId="2DC603E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）承销证券；</w:t>
      </w:r>
    </w:p>
    <w:p w14:paraId="2090833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）违反规定向他人贷款或者提供担保；</w:t>
      </w:r>
    </w:p>
    <w:p w14:paraId="6306CE10"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）从事承担无限责任的投资；</w:t>
      </w:r>
    </w:p>
    <w:p w14:paraId="171C2A0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）向其基金管理人、基金托管人出资；</w:t>
      </w:r>
    </w:p>
    <w:p w14:paraId="2E85562A"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5</w:t>
      </w:r>
      <w:r>
        <w:rPr>
          <w:rFonts w:ascii="宋体" w:hAnsi="宋体" w:cs="Arial" w:hint="eastAsia"/>
          <w:szCs w:val="21"/>
        </w:rPr>
        <w:t>）从事内幕交易、操纵证券交易价格及其他不正当的证券交易活动；</w:t>
      </w:r>
    </w:p>
    <w:p w14:paraId="4C475A4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6</w:t>
      </w:r>
      <w:r>
        <w:rPr>
          <w:rFonts w:ascii="宋体" w:hAnsi="宋体" w:cs="Arial" w:hint="eastAsia"/>
          <w:szCs w:val="21"/>
        </w:rPr>
        <w:t>）法律法规、中国证监会及基金合同规定禁止从事的其他行为。</w:t>
      </w:r>
    </w:p>
    <w:p w14:paraId="685E5703"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基金管理人运用基金财产买卖基金管理人、基金托管人及其控股股东、实际控制人或者</w:t>
      </w:r>
      <w:r>
        <w:rPr>
          <w:rFonts w:ascii="宋体" w:hAnsi="宋体" w:cs="Arial" w:hint="eastAsia"/>
          <w:szCs w:val="21"/>
        </w:rPr>
        <w:t>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63D016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本基金投资基金管理人或基金管理人关联方管理的基金的情况，不属于前述重大关联交易，但是应当按照法律法规</w:t>
      </w:r>
      <w:r>
        <w:rPr>
          <w:rFonts w:ascii="宋体" w:hAnsi="宋体" w:cs="Arial" w:hint="eastAsia"/>
          <w:szCs w:val="21"/>
        </w:rPr>
        <w:t>或监管规定的要求履行信息披露义务。</w:t>
      </w:r>
    </w:p>
    <w:p w14:paraId="6D6BBB2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如法律法规或监管部门取消或调整上述规定，基金管理人在履行适当程序后，本基金可不</w:t>
      </w:r>
      <w:r>
        <w:rPr>
          <w:rFonts w:ascii="宋体" w:hAnsi="宋体" w:cs="Arial" w:hint="eastAsia"/>
          <w:szCs w:val="21"/>
        </w:rPr>
        <w:lastRenderedPageBreak/>
        <w:t>受上述规定的限制或按调整后的规定执行，不需经基金份额持有人大会审议，但须提前公告。</w:t>
      </w:r>
    </w:p>
    <w:p w14:paraId="58F7FF9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w:t>
      </w:r>
      <w:r>
        <w:rPr>
          <w:rFonts w:ascii="宋体" w:hAnsi="宋体" w:cs="Arial" w:hint="eastAsia"/>
          <w:szCs w:val="21"/>
        </w:rPr>
        <w:t>银行存款，基金托管人可以拒绝执行，并通知基金管理人。</w:t>
      </w:r>
    </w:p>
    <w:p w14:paraId="3D143844"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本基金投资银行存款应符合如下规定：</w:t>
      </w:r>
    </w:p>
    <w:p w14:paraId="4BBF5355" w14:textId="77777777" w:rsidR="00F82B4D" w:rsidRDefault="00467E37">
      <w:pPr>
        <w:spacing w:line="360" w:lineRule="auto"/>
        <w:ind w:firstLineChars="200" w:firstLine="420"/>
        <w:rPr>
          <w:rFonts w:ascii="宋体" w:hAnsi="宋体"/>
        </w:rPr>
      </w:pPr>
      <w:r>
        <w:rPr>
          <w:rFonts w:ascii="宋体" w:hAnsi="宋体" w:cs="Arial" w:hint="eastAsia"/>
          <w:szCs w:val="21"/>
        </w:rPr>
        <w:t>1.</w:t>
      </w:r>
      <w:r>
        <w:rPr>
          <w:rFonts w:hAnsi="宋体"/>
        </w:rPr>
        <w:t>本基金投资</w:t>
      </w:r>
      <w:r>
        <w:rPr>
          <w:rFonts w:hAnsi="宋体" w:hint="eastAsia"/>
        </w:rPr>
        <w:t>于有固定期限银行存款</w:t>
      </w:r>
      <w:r>
        <w:rPr>
          <w:rFonts w:hAnsi="宋体"/>
        </w:rPr>
        <w:t>的比例不得超过基金资产净值的</w:t>
      </w:r>
      <w:r>
        <w:t>30</w:t>
      </w:r>
      <w:r>
        <w:rPr>
          <w:rFonts w:hAnsi="宋体"/>
        </w:rPr>
        <w:t>%</w:t>
      </w:r>
      <w:r>
        <w:rPr>
          <w:rFonts w:hAnsi="宋体"/>
        </w:rPr>
        <w:t>，</w:t>
      </w:r>
      <w:r>
        <w:rPr>
          <w:rFonts w:hAnsi="宋体" w:hint="eastAsia"/>
        </w:rPr>
        <w:t>但投资于有存款期限，</w:t>
      </w:r>
      <w:r>
        <w:rPr>
          <w:rFonts w:hAnsi="宋体"/>
        </w:rPr>
        <w:t>根据协议可提前支取的银行存款，不受</w:t>
      </w:r>
      <w:r>
        <w:rPr>
          <w:rFonts w:hAnsi="宋体" w:hint="eastAsia"/>
        </w:rPr>
        <w:t>上述比例</w:t>
      </w:r>
      <w:r>
        <w:rPr>
          <w:rFonts w:hAnsi="宋体"/>
        </w:rPr>
        <w:t>限制；</w:t>
      </w:r>
      <w:r>
        <w:rPr>
          <w:rFonts w:hAnsi="宋体" w:hint="eastAsia"/>
        </w:rPr>
        <w:t>投资于</w:t>
      </w:r>
      <w:r>
        <w:rPr>
          <w:rFonts w:hAnsi="宋体"/>
        </w:rPr>
        <w:t>具有基金托管</w:t>
      </w:r>
      <w:r>
        <w:rPr>
          <w:rFonts w:hAnsi="宋体" w:hint="eastAsia"/>
        </w:rPr>
        <w:t>人</w:t>
      </w:r>
      <w:r>
        <w:rPr>
          <w:rFonts w:hAnsi="宋体"/>
        </w:rPr>
        <w:t>资格的同一</w:t>
      </w:r>
      <w:r>
        <w:rPr>
          <w:rFonts w:hAnsi="宋体" w:hint="eastAsia"/>
        </w:rPr>
        <w:t>商业</w:t>
      </w:r>
      <w:r>
        <w:rPr>
          <w:rFonts w:hAnsi="宋体"/>
        </w:rPr>
        <w:t>银行</w:t>
      </w:r>
      <w:r>
        <w:rPr>
          <w:rFonts w:hAnsi="宋体" w:hint="eastAsia"/>
        </w:rPr>
        <w:t>的银行</w:t>
      </w:r>
      <w:r>
        <w:rPr>
          <w:rFonts w:hAnsi="宋体"/>
        </w:rPr>
        <w:t>存款</w:t>
      </w:r>
      <w:r>
        <w:rPr>
          <w:rFonts w:hAnsi="宋体" w:hint="eastAsia"/>
        </w:rPr>
        <w:t>、同业存单占基金资产净值的比例合计</w:t>
      </w:r>
      <w:r>
        <w:rPr>
          <w:rFonts w:hAnsi="宋体"/>
        </w:rPr>
        <w:t>不得超过</w:t>
      </w:r>
      <w:r>
        <w:t>20%</w:t>
      </w:r>
      <w:r>
        <w:rPr>
          <w:rFonts w:hAnsi="宋体"/>
        </w:rPr>
        <w:t>；</w:t>
      </w:r>
      <w:r>
        <w:rPr>
          <w:rFonts w:hAnsi="宋体" w:hint="eastAsia"/>
        </w:rPr>
        <w:t>投资于</w:t>
      </w:r>
      <w:r>
        <w:rPr>
          <w:rFonts w:hAnsi="宋体"/>
        </w:rPr>
        <w:t>不具有基金托管</w:t>
      </w:r>
      <w:r>
        <w:rPr>
          <w:rFonts w:hAnsi="宋体" w:hint="eastAsia"/>
        </w:rPr>
        <w:t>人</w:t>
      </w:r>
      <w:r>
        <w:rPr>
          <w:rFonts w:hAnsi="宋体"/>
        </w:rPr>
        <w:t>资格的同一商业银行的</w:t>
      </w:r>
      <w:r>
        <w:rPr>
          <w:rFonts w:hAnsi="宋体" w:hint="eastAsia"/>
        </w:rPr>
        <w:t>银行</w:t>
      </w:r>
      <w:r>
        <w:rPr>
          <w:rFonts w:hAnsi="宋体"/>
        </w:rPr>
        <w:t>存款</w:t>
      </w:r>
      <w:r>
        <w:rPr>
          <w:rFonts w:hAnsi="宋体" w:hint="eastAsia"/>
        </w:rPr>
        <w:t>、同业存单占基金资产净值的比例合计</w:t>
      </w:r>
      <w:r>
        <w:rPr>
          <w:rFonts w:hAnsi="宋体"/>
        </w:rPr>
        <w:t>不得超过</w:t>
      </w:r>
      <w:r>
        <w:t>5%</w:t>
      </w:r>
      <w:r>
        <w:rPr>
          <w:rFonts w:hAnsi="宋体"/>
        </w:rPr>
        <w:t>。</w:t>
      </w:r>
    </w:p>
    <w:p w14:paraId="05ECBA6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有关法律法规或监管部门制定或修改新的定期存款投资政策，基金管理人履行适当程序后，可相应调整投资组合限制的规定。</w:t>
      </w:r>
    </w:p>
    <w:p w14:paraId="65B89334"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szCs w:val="21"/>
        </w:rPr>
        <w:t>.</w:t>
      </w:r>
      <w:r>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74F4272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1</w:t>
      </w:r>
      <w:r>
        <w:rPr>
          <w:rFonts w:ascii="宋体" w:hAnsi="宋体" w:cs="Arial" w:hint="eastAsia"/>
          <w:szCs w:val="21"/>
        </w:rPr>
        <w:t>）基金管理人负责控制信用风险。信用风险主要包括存款银行的信用等级、存款银行的支付能力等涉及到存款银行选择方面的风险。因选择存款银行</w:t>
      </w:r>
      <w:r>
        <w:rPr>
          <w:rFonts w:ascii="宋体" w:hAnsi="宋体" w:cs="Arial" w:hint="eastAsia"/>
          <w:szCs w:val="21"/>
        </w:rPr>
        <w:t>不当造成基金财产损失的，不由基金托管人承担责任。</w:t>
      </w:r>
    </w:p>
    <w:p w14:paraId="558EE74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基金管理人负责控制流动性风险。因控制不力而造成的损失，基金托管人不承担责任。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64B35AE"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）基金管理人须加强内部风险控制制度的建设。如因基金管理人员工职务行为导致基金财产受到损失的，需由基金管理人承担由此造成的损失。</w:t>
      </w:r>
    </w:p>
    <w:p w14:paraId="6E57387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4</w:t>
      </w:r>
      <w:r>
        <w:rPr>
          <w:rFonts w:ascii="宋体" w:hAnsi="宋体" w:cs="Arial" w:hint="eastAsia"/>
          <w:szCs w:val="21"/>
        </w:rPr>
        <w:t>）基金管理人与</w:t>
      </w:r>
      <w:r>
        <w:rPr>
          <w:rFonts w:ascii="宋体" w:hAnsi="宋体" w:cs="Arial" w:hint="eastAsia"/>
          <w:szCs w:val="21"/>
        </w:rPr>
        <w:t>基金托管人在开展基金存款业务时，应严格遵守《基金法》、《运作办法》等有关法律法规，以及国家有关账户管理、利率管理、支付结算等的各项规定。</w:t>
      </w:r>
    </w:p>
    <w:p w14:paraId="231E086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（三）基金投资银行存款协议的签订、账户开设与管理、投资指令与资金划付、账目核对、</w:t>
      </w:r>
      <w:r>
        <w:rPr>
          <w:rFonts w:ascii="宋体" w:hAnsi="宋体" w:cs="Arial" w:hint="eastAsia"/>
          <w:szCs w:val="21"/>
        </w:rPr>
        <w:lastRenderedPageBreak/>
        <w:t>到期兑付、提前支取</w:t>
      </w:r>
    </w:p>
    <w:p w14:paraId="5235CCF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基金投资银行存款协议的签订</w:t>
      </w:r>
    </w:p>
    <w:p w14:paraId="7504B5E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50C37C7E"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）基金托管</w:t>
      </w:r>
      <w:r>
        <w:rPr>
          <w:rFonts w:ascii="宋体" w:hAnsi="宋体" w:cs="Arial" w:hint="eastAsia"/>
          <w:szCs w:val="21"/>
        </w:rPr>
        <w:t>人依据相关法规对《总体合作协议》和《存款协议书》的内容进行复核，审查存款银行资格等。</w:t>
      </w:r>
    </w:p>
    <w:p w14:paraId="768BC74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）基金管理人应在《存款协议书》中明确存款证实书或其他有效存款凭证的办理方式、邮寄地址、联系人和联系电话，以及存款证实书或其他有效凭证在邮寄过程中遗失后，存款余额的确认及兑付办法等。</w:t>
      </w:r>
    </w:p>
    <w:p w14:paraId="6B6A243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4</w:t>
      </w:r>
      <w:r>
        <w:rPr>
          <w:rFonts w:ascii="宋体" w:hAnsi="宋体" w:cs="Arial" w:hint="eastAsia"/>
          <w:szCs w:val="21"/>
        </w:rPr>
        <w:t>）由存款银行指定的存放存款的分支机构（以下简称“存款分支机构</w:t>
      </w:r>
      <w:r>
        <w:rPr>
          <w:rFonts w:ascii="宋体" w:hAnsi="宋体" w:cs="Arial"/>
          <w:szCs w:val="21"/>
        </w:rPr>
        <w:t>”</w:t>
      </w:r>
      <w:r>
        <w:rPr>
          <w:rFonts w:ascii="宋体" w:hAnsi="宋体" w:cs="Arial" w:hint="eastAsia"/>
          <w:szCs w:val="21"/>
        </w:rPr>
        <w:t>）寄送或上门交付存款证实书或其他有效存款凭证的，基金托管人可向存款分支机构的上级行发出存款余额询证函，存款分支机构及其上级行应予配合。</w:t>
      </w:r>
    </w:p>
    <w:p w14:paraId="61FC88B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5</w:t>
      </w:r>
      <w:r>
        <w:rPr>
          <w:rFonts w:ascii="宋体" w:hAnsi="宋体" w:cs="Arial" w:hint="eastAsia"/>
          <w:szCs w:val="21"/>
        </w:rPr>
        <w:t>）基金管理人应在《存款协议书》中规</w:t>
      </w:r>
      <w:r>
        <w:rPr>
          <w:rFonts w:ascii="宋体" w:hAnsi="宋体" w:cs="Arial" w:hint="eastAsia"/>
          <w:szCs w:val="21"/>
        </w:rPr>
        <w:t>定，基金存放到期或提前兑付的资金应全部划转到指定的基金托管账户，并在《存款协议书》写明账户名称和账号，未划入指定账户的，由存款银行承担一切责任。</w:t>
      </w:r>
    </w:p>
    <w:p w14:paraId="301648AC" w14:textId="77777777" w:rsidR="00F82B4D" w:rsidRDefault="00467E37">
      <w:pPr>
        <w:spacing w:line="480" w:lineRule="exact"/>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6</w:t>
      </w:r>
      <w:r>
        <w:rPr>
          <w:rFonts w:ascii="宋体" w:hAnsi="宋体" w:cs="Arial" w:hint="eastAsia"/>
          <w:szCs w:val="21"/>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61EEC70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7</w:t>
      </w:r>
      <w:r>
        <w:rPr>
          <w:rFonts w:ascii="宋体" w:hAnsi="宋体" w:cs="Arial" w:hint="eastAsia"/>
          <w:szCs w:val="21"/>
        </w:rPr>
        <w:t>）基金管理人应在《存款协议书》中规定，因定期存款产生的存单不得被质押或以任何方式被抵押，不得用于转让和背书。</w:t>
      </w:r>
    </w:p>
    <w:p w14:paraId="20570C0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基金投资银行存款时的账户开设与管理</w:t>
      </w:r>
    </w:p>
    <w:p w14:paraId="467514E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）基金投资于银行存款</w:t>
      </w:r>
      <w:r>
        <w:rPr>
          <w:rFonts w:ascii="宋体" w:hAnsi="宋体" w:cs="Arial" w:hint="eastAsia"/>
          <w:szCs w:val="21"/>
        </w:rPr>
        <w:t>时，基金管理人应当依据基金管理人与存款银行签订的《总体合作协议》、《存款协议书》等，以基金的名义在存款银行总行或授权分行指定的分支机构开立银行账户。</w:t>
      </w:r>
    </w:p>
    <w:p w14:paraId="14AFA9C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）基金投资于银行存款时的预留印鉴由基金托管人保管和使用。</w:t>
      </w:r>
    </w:p>
    <w:p w14:paraId="3210F230"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存款凭证传递、账目核对及到期兑付</w:t>
      </w:r>
    </w:p>
    <w:p w14:paraId="4F27EC6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lastRenderedPageBreak/>
        <w:t>（</w:t>
      </w:r>
      <w:r>
        <w:rPr>
          <w:rFonts w:ascii="宋体" w:hAnsi="宋体" w:cs="Arial" w:hint="eastAsia"/>
          <w:szCs w:val="21"/>
        </w:rPr>
        <w:t>1</w:t>
      </w:r>
      <w:r>
        <w:rPr>
          <w:rFonts w:ascii="宋体" w:hAnsi="宋体" w:cs="Arial" w:hint="eastAsia"/>
          <w:szCs w:val="21"/>
        </w:rPr>
        <w:t>）存款证实书等存款凭证传递</w:t>
      </w:r>
    </w:p>
    <w:p w14:paraId="49A645BA"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存款资金只能存放于存款银行总行或者其授权分行指定的分支机构。基金管理人应在《存款协议书》中规定，存款银行分支机构应为基金开具存款证实书或其他有效存款凭证（以下简称“存款凭证”），该存款凭证为基金存款确认或到期提款的有效凭证，且对应</w:t>
      </w:r>
      <w:r>
        <w:rPr>
          <w:rFonts w:ascii="宋体" w:hAnsi="宋体" w:cs="Arial" w:hint="eastAsia"/>
          <w:szCs w:val="21"/>
        </w:rPr>
        <w:t>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0ACDBD8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）存款凭证的遗失补办</w:t>
      </w:r>
    </w:p>
    <w:p w14:paraId="11EC8610"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存款凭证在邮寄过程中遗失的，由基金管理人向存款银行提出补办申请，基金管理人应督促存款银行尽快补办存款凭证，并按以上（</w:t>
      </w:r>
      <w:r>
        <w:rPr>
          <w:rFonts w:ascii="宋体" w:hAnsi="宋体" w:cs="Arial" w:hint="eastAsia"/>
          <w:szCs w:val="21"/>
        </w:rPr>
        <w:t>1</w:t>
      </w:r>
      <w:r>
        <w:rPr>
          <w:rFonts w:ascii="宋体" w:hAnsi="宋体" w:cs="Arial" w:hint="eastAsia"/>
          <w:szCs w:val="21"/>
        </w:rPr>
        <w:t>）的方式快递或上门交付至托管人，原存款凭证自动作废。</w:t>
      </w:r>
    </w:p>
    <w:p w14:paraId="39DFD91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w:t>
      </w:r>
      <w:r>
        <w:rPr>
          <w:rFonts w:ascii="宋体" w:hAnsi="宋体" w:cs="Arial" w:hint="eastAsia"/>
          <w:szCs w:val="21"/>
        </w:rPr>
        <w:t>账目核对</w:t>
      </w:r>
    </w:p>
    <w:p w14:paraId="5B9954C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每个工作日，基金管理人应与基金托管人核对各项银行存款投资余额及应计利息。</w:t>
      </w:r>
    </w:p>
    <w:p w14:paraId="245619F5" w14:textId="77777777" w:rsidR="00F82B4D" w:rsidRDefault="00467E37">
      <w:pPr>
        <w:spacing w:line="480" w:lineRule="exact"/>
        <w:ind w:firstLineChars="200" w:firstLine="420"/>
        <w:rPr>
          <w:rFonts w:ascii="宋体" w:hAnsi="宋体" w:cs="Arial"/>
          <w:szCs w:val="21"/>
        </w:rPr>
      </w:pPr>
      <w:r>
        <w:rPr>
          <w:rFonts w:ascii="宋体" w:hAnsi="宋体" w:cs="Arial" w:hint="eastAsia"/>
          <w:szCs w:val="21"/>
        </w:rPr>
        <w:t>基金管理人应在《存款协议书》中规定，对于存期超过</w:t>
      </w:r>
      <w:r>
        <w:rPr>
          <w:rFonts w:ascii="宋体" w:hAnsi="宋体" w:cs="Arial" w:hint="eastAsia"/>
          <w:szCs w:val="21"/>
        </w:rPr>
        <w:t>3</w:t>
      </w:r>
      <w:r>
        <w:rPr>
          <w:rFonts w:ascii="宋体" w:hAnsi="宋体" w:cs="Arial" w:hint="eastAsia"/>
          <w:szCs w:val="21"/>
        </w:rPr>
        <w:t>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162E804F" w14:textId="77777777" w:rsidR="00F82B4D" w:rsidRDefault="00467E37">
      <w:pPr>
        <w:spacing w:line="480" w:lineRule="exact"/>
        <w:ind w:firstLineChars="200" w:firstLine="420"/>
        <w:rPr>
          <w:rFonts w:ascii="宋体" w:hAnsi="宋体" w:cs="Arial"/>
          <w:szCs w:val="21"/>
        </w:rPr>
      </w:pPr>
      <w:r>
        <w:rPr>
          <w:rFonts w:ascii="宋体" w:hAnsi="宋体" w:cs="Arial" w:hint="eastAsia"/>
          <w:szCs w:val="21"/>
        </w:rPr>
        <w:t>存款银行应配合基金托管人对存款凭证的询证，并在询证函上加盖存款银行公章寄送至基金托管人指定联系人。</w:t>
      </w:r>
    </w:p>
    <w:p w14:paraId="10FD01F0"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4</w:t>
      </w:r>
      <w:r>
        <w:rPr>
          <w:rFonts w:ascii="宋体" w:hAnsi="宋体" w:cs="Arial" w:hint="eastAsia"/>
          <w:szCs w:val="21"/>
        </w:rPr>
        <w:t>）到期兑付</w:t>
      </w:r>
    </w:p>
    <w:p w14:paraId="5540003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基金管理人提前通知基金托管人通过快</w:t>
      </w:r>
      <w:r>
        <w:rPr>
          <w:rFonts w:ascii="宋体" w:hAnsi="宋体" w:cs="Arial" w:hint="eastAsia"/>
          <w:szCs w:val="21"/>
        </w:rPr>
        <w:t>递将存款凭证原件寄给存款银行分支机构指定的会计主管。存款银行未收到存款凭证原件的，应向基金托管人电话询问。存款到期前基金管理人与存款银行确认存款凭证收到并于到期日兑付存款本息事宜。</w:t>
      </w:r>
    </w:p>
    <w:p w14:paraId="1356433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F5E202C"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基金管理人应在《存款协议书》中规定，存款凭证在邮寄过程中遗失的，存款银行应立即通知基金托管人，基金托管人在原存款凭证复印件上加盖公章</w:t>
      </w:r>
      <w:r>
        <w:rPr>
          <w:rFonts w:ascii="宋体" w:hAnsi="宋体" w:cs="Arial" w:hint="eastAsia"/>
          <w:szCs w:val="21"/>
        </w:rPr>
        <w:t>并出具相关证明文件后，与存款</w:t>
      </w:r>
      <w:r>
        <w:rPr>
          <w:rFonts w:ascii="宋体" w:hAnsi="宋体" w:cs="Arial" w:hint="eastAsia"/>
          <w:szCs w:val="21"/>
        </w:rPr>
        <w:lastRenderedPageBreak/>
        <w:t>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09052DDA"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提前支取</w:t>
      </w:r>
    </w:p>
    <w:p w14:paraId="26BCAD0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如果在存款期限内，由于基金规模发生缩减的原因或者出于流动性管理的需要等原因，基金管理人可以提前支取全部或部分资金。</w:t>
      </w:r>
    </w:p>
    <w:p w14:paraId="2F46E58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提前支取的具体事项按照基金管理人与存款银行签订的《存款协议书》执行。</w:t>
      </w:r>
    </w:p>
    <w:p w14:paraId="4DE00272"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hint="eastAsia"/>
          <w:szCs w:val="21"/>
        </w:rPr>
        <w:t>基金投资银行存款的监督</w:t>
      </w:r>
    </w:p>
    <w:p w14:paraId="25CAB52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基金托管人发现基金管理人在进行存款投资时有违反有关法律法规的规定及《基金合同》的约定的行为，应及时以书面形式通知基金管理人在</w:t>
      </w:r>
      <w:r>
        <w:rPr>
          <w:rFonts w:ascii="宋体" w:hAnsi="宋体" w:cs="Arial"/>
          <w:szCs w:val="21"/>
        </w:rPr>
        <w:t>10</w:t>
      </w:r>
      <w:r>
        <w:rPr>
          <w:rFonts w:ascii="宋体" w:hAnsi="宋体" w:cs="Arial" w:hint="eastAsia"/>
          <w:szCs w:val="21"/>
        </w:rPr>
        <w:t>个交易日内纠正。基金管理人对基金托管人通知的违规事项未能在</w:t>
      </w:r>
      <w:r>
        <w:rPr>
          <w:rFonts w:ascii="宋体" w:hAnsi="宋体" w:cs="Arial"/>
          <w:szCs w:val="21"/>
        </w:rPr>
        <w:t>10</w:t>
      </w:r>
      <w:r>
        <w:rPr>
          <w:rFonts w:ascii="宋体" w:hAnsi="宋体" w:cs="Arial" w:hint="eastAsia"/>
          <w:szCs w:val="21"/>
        </w:rPr>
        <w:t>个交易日内纠正的，基金托管人应报告中国证监会。基金托管人发现基金管理人有重大违规行为，应立即报告中国证监会，同时通知基金管理人在</w:t>
      </w:r>
      <w:r>
        <w:rPr>
          <w:rFonts w:ascii="宋体" w:hAnsi="宋体" w:cs="Arial"/>
          <w:szCs w:val="21"/>
        </w:rPr>
        <w:t>10</w:t>
      </w:r>
      <w:r>
        <w:rPr>
          <w:rFonts w:ascii="宋体" w:hAnsi="宋体" w:cs="Arial" w:hint="eastAsia"/>
          <w:szCs w:val="21"/>
        </w:rPr>
        <w:t>个交易日内纠正或拒绝结算，若因基金管理人拒不执行造成基金财产损失的，相关损失由基金管理人承担，基金托管人不承担任何责任。</w:t>
      </w:r>
    </w:p>
    <w:p w14:paraId="6C94FFB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（四）基金托管人根据有关法律法规的规定及《基金合同》的约定，对基金管</w:t>
      </w:r>
      <w:r>
        <w:rPr>
          <w:rFonts w:ascii="宋体" w:hAnsi="宋体" w:cs="Arial" w:hint="eastAsia"/>
          <w:szCs w:val="21"/>
        </w:rPr>
        <w:t>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w:t>
      </w:r>
      <w:r>
        <w:rPr>
          <w:rFonts w:ascii="宋体" w:hAnsi="宋体" w:cs="Arial" w:hint="eastAsia"/>
          <w:szCs w:val="21"/>
        </w:rPr>
        <w:t>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cs="Arial"/>
          <w:szCs w:val="21"/>
        </w:rPr>
        <w:t>3</w:t>
      </w:r>
      <w:r>
        <w:rPr>
          <w:rFonts w:ascii="宋体" w:hAnsi="宋体" w:cs="Arial"/>
          <w:szCs w:val="21"/>
        </w:rPr>
        <w:t>个交易日内与基金托管人协商解决。</w:t>
      </w:r>
    </w:p>
    <w:p w14:paraId="2B23328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应向相关交易对手追偿。基金</w:t>
      </w:r>
      <w:r>
        <w:rPr>
          <w:rFonts w:ascii="宋体" w:hAnsi="宋体" w:cs="Arial" w:hint="eastAsia"/>
          <w:szCs w:val="21"/>
        </w:rPr>
        <w:t>托管人则根据银行间债券市场成交单对合同履行情况进行监督。如基金托管人事后发现基金管理人没有按照事先约定的交易对手进行交易时，基金托管人应及时提醒基金管理人，基金托管人不承</w:t>
      </w:r>
      <w:r>
        <w:rPr>
          <w:rFonts w:ascii="宋体" w:hAnsi="宋体" w:cs="Arial" w:hint="eastAsia"/>
          <w:szCs w:val="21"/>
        </w:rPr>
        <w:lastRenderedPageBreak/>
        <w:t>担由此造成的任何损失和责任。</w:t>
      </w:r>
    </w:p>
    <w:p w14:paraId="0056221D"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（五）本基金投资流通受限证券，应遵守《关于基金投资非公开发行股票等流通受限证券有关问题的通知》等有关监管规定。</w:t>
      </w:r>
    </w:p>
    <w:p w14:paraId="03676770"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流通受限证券包括由《上市公司证券发行注册管理办法》规范的非公开发行股票、公开发行股票网下配售部分等在发行时明确一定期限锁定期的可交易证券，不包括由于发布重大消息或其他原因而临时停牌的证券、已发行未</w:t>
      </w:r>
      <w:r>
        <w:rPr>
          <w:rFonts w:ascii="宋体" w:hAnsi="宋体" w:cs="Arial" w:hint="eastAsia"/>
          <w:szCs w:val="21"/>
        </w:rPr>
        <w:t>上市证券、回购交易中的质押券等流通受限证券。</w:t>
      </w:r>
    </w:p>
    <w:p w14:paraId="30F7F04F"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2CAC686"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本基金不得投资未经中国证监会批准的非公开发行证券。</w:t>
      </w:r>
    </w:p>
    <w:p w14:paraId="282EE2B4"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本基金不得投资有锁定期但锁定期不明确的证券。</w:t>
      </w:r>
    </w:p>
    <w:p w14:paraId="29BBD152"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55A0248"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9164AEE"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基金管理人对</w:t>
      </w:r>
      <w:r>
        <w:rPr>
          <w:rFonts w:ascii="宋体" w:hAnsi="宋体" w:cs="Arial" w:hint="eastAsia"/>
          <w:szCs w:val="21"/>
        </w:rPr>
        <w:t>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任何责任。</w:t>
      </w:r>
    </w:p>
    <w:p w14:paraId="3745423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w:t>
      </w:r>
      <w:r>
        <w:rPr>
          <w:rFonts w:ascii="宋体" w:hAnsi="宋体" w:cs="Arial" w:hint="eastAsia"/>
          <w:szCs w:val="21"/>
        </w:rPr>
        <w:t>认购款、资金划付时间等。基金管理人应保证上述信息的真实、完整，并应至少于拟执行投资指令前两个工作日将上述信息书面发至基金托管人，保证基金托管人有足够的时间进行审核。</w:t>
      </w:r>
    </w:p>
    <w:p w14:paraId="770A57E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由于基金管理人未及时提供有关证券的具体的必要的信息，致使托管人无法审核认购指令而影响认购款项划拨的，基金托管人免于承担责任。</w:t>
      </w:r>
    </w:p>
    <w:p w14:paraId="62DB8E03"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基金托管人依照法律法规、《基金合同》、《托管协议》审核基金管理人投资流通受限证</w:t>
      </w:r>
      <w:r>
        <w:rPr>
          <w:rFonts w:ascii="宋体" w:hAnsi="宋体" w:cs="Arial" w:hint="eastAsia"/>
          <w:szCs w:val="21"/>
        </w:rPr>
        <w:lastRenderedPageBreak/>
        <w:t>券的行为。如发现基金管理人违反了《基金合同》、《托管协议》以及其他相关法律法规的有关规定，应及时通知基金管理人，并呈报中国证监会，同时采取</w:t>
      </w:r>
      <w:r>
        <w:rPr>
          <w:rFonts w:ascii="宋体" w:hAnsi="宋体" w:cs="Arial" w:hint="eastAsia"/>
          <w:szCs w:val="21"/>
        </w:rPr>
        <w:t>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1BE3F969"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基金管理</w:t>
      </w:r>
      <w:r>
        <w:rPr>
          <w:rFonts w:ascii="宋体" w:hAnsi="宋体" w:cs="Arial" w:hint="eastAsia"/>
          <w:szCs w:val="21"/>
        </w:rPr>
        <w:t>人</w:t>
      </w:r>
      <w:r>
        <w:rPr>
          <w:rFonts w:ascii="宋体" w:hAnsi="宋体" w:cs="Arial"/>
          <w:szCs w:val="21"/>
        </w:rPr>
        <w:t>应在基金投资非公开发行股票后两个交易日内</w:t>
      </w:r>
      <w:r>
        <w:rPr>
          <w:rFonts w:ascii="宋体" w:hAnsi="宋体" w:cs="Arial" w:hint="eastAsia"/>
          <w:szCs w:val="21"/>
        </w:rPr>
        <w:t>，</w:t>
      </w:r>
      <w:r>
        <w:rPr>
          <w:rFonts w:ascii="宋体" w:hAnsi="宋体" w:cs="Arial"/>
          <w:szCs w:val="21"/>
        </w:rPr>
        <w:t>在中国证监会</w:t>
      </w:r>
      <w:r>
        <w:rPr>
          <w:rFonts w:ascii="宋体" w:hAnsi="宋体" w:cs="Arial" w:hint="eastAsia"/>
          <w:szCs w:val="21"/>
        </w:rPr>
        <w:t>规定</w:t>
      </w:r>
      <w:r>
        <w:rPr>
          <w:rFonts w:ascii="宋体" w:hAnsi="宋体" w:cs="Arial"/>
          <w:szCs w:val="21"/>
        </w:rPr>
        <w:t>媒介披露所投资非公开发行股票的名称、数量、总成本、账面价值</w:t>
      </w:r>
      <w:r>
        <w:rPr>
          <w:rFonts w:ascii="宋体" w:hAnsi="宋体" w:cs="Arial" w:hint="eastAsia"/>
          <w:szCs w:val="21"/>
        </w:rPr>
        <w:t>，</w:t>
      </w:r>
      <w:r>
        <w:rPr>
          <w:rFonts w:ascii="宋体" w:hAnsi="宋体" w:cs="Arial"/>
          <w:szCs w:val="21"/>
        </w:rPr>
        <w:t>以及总成本和账面价值占基金资产净值的比例、锁定期等信息。</w:t>
      </w:r>
    </w:p>
    <w:p w14:paraId="13E3EF57"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（六）基金管理人应当对投资中期票据业务进行研究，认真评估中期票据投资业务的风险，本着审慎、</w:t>
      </w:r>
      <w:r>
        <w:rPr>
          <w:rFonts w:ascii="宋体" w:hAnsi="宋体" w:cs="Arial" w:hint="eastAsia"/>
          <w:szCs w:val="21"/>
        </w:rPr>
        <w:t>勤勉尽责的原则进行中期票据的投资业务，并应符合法律法规及监管机构的相关规定。</w:t>
      </w:r>
    </w:p>
    <w:p w14:paraId="2A6186F1"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7A829713" w14:textId="77777777" w:rsidR="00F82B4D" w:rsidRDefault="00467E37">
      <w:pPr>
        <w:spacing w:line="360" w:lineRule="auto"/>
        <w:ind w:firstLineChars="200" w:firstLine="420"/>
        <w:rPr>
          <w:rFonts w:ascii="宋体" w:hAnsi="宋体"/>
        </w:rPr>
      </w:pPr>
      <w:r>
        <w:rPr>
          <w:rFonts w:ascii="宋体" w:hAnsi="宋体" w:cs="Arial" w:hint="eastAsia"/>
          <w:szCs w:val="21"/>
        </w:rPr>
        <w:t>（八）</w:t>
      </w:r>
      <w:r>
        <w:rPr>
          <w:rFonts w:ascii="宋体" w:hAnsi="宋体" w:hint="eastAsia"/>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w:t>
      </w:r>
      <w:r>
        <w:rPr>
          <w:rFonts w:ascii="宋体" w:hAnsi="宋体" w:hint="eastAsia"/>
        </w:rPr>
        <w:t>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7EEAB7B3"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w:t>
      </w:r>
      <w:r>
        <w:rPr>
          <w:rFonts w:ascii="宋体" w:hAnsi="宋体" w:cs="Arial" w:hint="eastAsia"/>
          <w:szCs w:val="21"/>
        </w:rPr>
        <w:t>管人的疑义进行解释或举证；对基金托管人按照法律法规、基金合同和本托管协议的要求需向中国证监会报送基金监督报告的事项，基金管理人应积极配合提供相关数据资料和制度等。</w:t>
      </w:r>
    </w:p>
    <w:p w14:paraId="0D963B5A"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576F9FC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（十一）当基金持有特定资产且存在或潜在大额赎回申请时，根据最大限度保护基金份额</w:t>
      </w:r>
      <w:r>
        <w:rPr>
          <w:rFonts w:ascii="宋体" w:hAnsi="宋体" w:cs="Arial" w:hint="eastAsia"/>
          <w:szCs w:val="21"/>
        </w:rPr>
        <w:lastRenderedPageBreak/>
        <w:t>持有人利益的原则，基金管理人经与基金托管人协商一致，</w:t>
      </w:r>
      <w:r>
        <w:rPr>
          <w:rFonts w:ascii="宋体" w:hAnsi="宋体" w:cs="Arial" w:hint="eastAsia"/>
          <w:szCs w:val="21"/>
        </w:rPr>
        <w:t>并咨询会计师事务所意见后，可以依照法律法规及基金合同的约定启用侧袋机制，无需召开基金份额持有人大会审议。</w:t>
      </w:r>
    </w:p>
    <w:p w14:paraId="70512B9E"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侧袋机制的具体规则依照相关法律法规的规定和基金合同的约定执行。</w:t>
      </w:r>
    </w:p>
    <w:p w14:paraId="7503518B"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（十二）基金托管人发现基金管理人有重大违规行为，应及时报告中国证监会，同时通知基金管理人限期纠正。</w:t>
      </w:r>
    </w:p>
    <w:p w14:paraId="1B5C3929" w14:textId="77777777" w:rsidR="00F82B4D" w:rsidRDefault="00467E37">
      <w:pPr>
        <w:pStyle w:val="2"/>
        <w:spacing w:beforeLines="100" w:before="312" w:afterLines="50" w:after="156" w:line="360" w:lineRule="auto"/>
        <w:jc w:val="center"/>
        <w:rPr>
          <w:rFonts w:ascii="宋体" w:eastAsia="宋体" w:hAnsi="宋体"/>
          <w:sz w:val="21"/>
          <w:szCs w:val="21"/>
        </w:rPr>
      </w:pPr>
      <w:bookmarkStart w:id="18" w:name="_Toc89163368"/>
      <w:bookmarkStart w:id="19" w:name="_Toc120435783"/>
      <w:bookmarkStart w:id="20" w:name="_Toc86225291"/>
      <w:bookmarkStart w:id="21" w:name="_Toc118972648"/>
      <w:bookmarkStart w:id="22" w:name="_Toc86649722"/>
      <w:bookmarkStart w:id="23" w:name="_Toc86737929"/>
      <w:bookmarkStart w:id="24" w:name="_Toc110830492"/>
      <w:bookmarkStart w:id="25" w:name="_Toc110761796"/>
      <w:bookmarkStart w:id="26" w:name="_Toc118774803"/>
      <w:bookmarkStart w:id="27" w:name="_Toc118212950"/>
      <w:bookmarkStart w:id="28" w:name="_Toc119402710"/>
      <w:bookmarkStart w:id="29" w:name="_Toc86727355"/>
      <w:bookmarkStart w:id="30" w:name="_Toc86223242"/>
      <w:bookmarkStart w:id="31" w:name="_Toc108512358"/>
      <w:bookmarkStart w:id="32" w:name="_Toc86726439"/>
      <w:bookmarkStart w:id="33" w:name="_Toc110765660"/>
      <w:r>
        <w:rPr>
          <w:rFonts w:ascii="宋体" w:eastAsia="宋体" w:hAnsi="宋体"/>
          <w:sz w:val="21"/>
          <w:szCs w:val="21"/>
        </w:rPr>
        <w:br w:type="page"/>
      </w:r>
      <w:bookmarkStart w:id="34" w:name="_Toc384992694"/>
      <w:bookmarkStart w:id="35" w:name="_Toc348082032"/>
      <w:r>
        <w:rPr>
          <w:rFonts w:ascii="宋体" w:eastAsia="宋体" w:hAnsi="宋体" w:hint="eastAsia"/>
          <w:sz w:val="21"/>
          <w:szCs w:val="21"/>
        </w:rPr>
        <w:lastRenderedPageBreak/>
        <w:t>四、基金管理人对基金托管人的业务核查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C09908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55FA01C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w:t>
      </w:r>
      <w:r>
        <w:rPr>
          <w:rFonts w:ascii="宋体" w:hAnsi="宋体" w:cs="Arial" w:hint="eastAsia"/>
          <w:szCs w:val="21"/>
        </w:rPr>
        <w:t>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73220EDE"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7CA15EF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（四）基金管理人发现基金托管人</w:t>
      </w:r>
      <w:r>
        <w:rPr>
          <w:rFonts w:ascii="宋体" w:hAnsi="宋体" w:cs="Arial" w:hint="eastAsia"/>
          <w:szCs w:val="21"/>
        </w:rPr>
        <w:t>有重大违规行为，应及时报告中国证监会，同时通知基金托管人限期纠正，并将纠正结果报告中国证监会。</w:t>
      </w:r>
    </w:p>
    <w:p w14:paraId="55C547E7" w14:textId="77777777" w:rsidR="00F82B4D" w:rsidRDefault="00F82B4D">
      <w:pPr>
        <w:spacing w:line="360" w:lineRule="auto"/>
        <w:rPr>
          <w:rFonts w:ascii="宋体" w:hAnsi="宋体"/>
          <w:szCs w:val="21"/>
        </w:rPr>
      </w:pPr>
    </w:p>
    <w:p w14:paraId="0C6453D8" w14:textId="77777777" w:rsidR="00F82B4D" w:rsidRDefault="00467E37">
      <w:pPr>
        <w:pStyle w:val="2"/>
        <w:spacing w:beforeLines="100" w:before="312" w:afterLines="50" w:after="156" w:line="360" w:lineRule="auto"/>
        <w:jc w:val="center"/>
        <w:rPr>
          <w:rFonts w:ascii="宋体" w:eastAsia="宋体" w:hAnsi="宋体"/>
          <w:sz w:val="21"/>
          <w:szCs w:val="21"/>
        </w:rPr>
      </w:pPr>
      <w:bookmarkStart w:id="36" w:name="_Toc110761797"/>
      <w:bookmarkStart w:id="37" w:name="_Toc118972649"/>
      <w:bookmarkStart w:id="38" w:name="_Toc108512359"/>
      <w:bookmarkStart w:id="39" w:name="_Toc110830493"/>
      <w:bookmarkStart w:id="40" w:name="_Toc84133786"/>
      <w:bookmarkStart w:id="41" w:name="_Toc84234435"/>
      <w:bookmarkStart w:id="42" w:name="_Toc86225292"/>
      <w:bookmarkStart w:id="43" w:name="_Toc86727356"/>
      <w:bookmarkStart w:id="44" w:name="_Toc118212951"/>
      <w:bookmarkStart w:id="45" w:name="_Toc118774804"/>
      <w:bookmarkStart w:id="46" w:name="_Toc86649723"/>
      <w:bookmarkStart w:id="47" w:name="_Toc110765661"/>
      <w:bookmarkStart w:id="48" w:name="_Toc84234388"/>
      <w:bookmarkStart w:id="49" w:name="_Toc119402711"/>
      <w:bookmarkStart w:id="50" w:name="_Toc89163369"/>
      <w:bookmarkStart w:id="51" w:name="_Toc120435784"/>
      <w:bookmarkStart w:id="52" w:name="_Toc86737930"/>
      <w:bookmarkStart w:id="53" w:name="_Toc86726440"/>
      <w:bookmarkStart w:id="54" w:name="_Toc86223243"/>
      <w:bookmarkStart w:id="55" w:name="_Toc86204789"/>
      <w:r>
        <w:rPr>
          <w:rFonts w:ascii="宋体" w:eastAsia="宋体" w:hAnsi="宋体"/>
          <w:sz w:val="21"/>
          <w:szCs w:val="21"/>
        </w:rPr>
        <w:br w:type="page"/>
      </w:r>
      <w:bookmarkStart w:id="56" w:name="_Toc348082033"/>
      <w:bookmarkStart w:id="57" w:name="_Toc384992695"/>
      <w:r>
        <w:rPr>
          <w:rFonts w:ascii="宋体" w:eastAsia="宋体" w:hAnsi="宋体" w:hint="eastAsia"/>
          <w:sz w:val="21"/>
          <w:szCs w:val="21"/>
        </w:rPr>
        <w:lastRenderedPageBreak/>
        <w:t>五、基金财产的保管</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FF140A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（一）基金财产保管的原则</w:t>
      </w:r>
    </w:p>
    <w:p w14:paraId="654A804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基金财产应独立于基金管理人、基金托管人的固有财产。</w:t>
      </w:r>
    </w:p>
    <w:p w14:paraId="762787B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基金托管人应安全保管基金财产。</w:t>
      </w:r>
    </w:p>
    <w:p w14:paraId="658D8D1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基金托管人按照规定开设基金财产投资所需的相关账户。</w:t>
      </w:r>
    </w:p>
    <w:p w14:paraId="026A3B2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基金托管人对所托管的不同基金财产分别设置账户，确保基金财产的完整与独立。</w:t>
      </w:r>
    </w:p>
    <w:p w14:paraId="406CA09C"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hint="eastAsia"/>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225A5F2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6.</w:t>
      </w:r>
      <w:r>
        <w:rPr>
          <w:rFonts w:ascii="宋体" w:hAnsi="宋体" w:cs="Arial" w:hint="eastAsia"/>
          <w:szCs w:val="21"/>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w:t>
      </w:r>
      <w:r>
        <w:rPr>
          <w:rFonts w:ascii="宋体" w:hAnsi="宋体" w:cs="Arial" w:hint="eastAsia"/>
          <w:szCs w:val="21"/>
        </w:rPr>
        <w:t>助。</w:t>
      </w:r>
    </w:p>
    <w:p w14:paraId="0001744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7.</w:t>
      </w:r>
      <w:r>
        <w:rPr>
          <w:rFonts w:ascii="宋体" w:hAnsi="宋体" w:cs="Arial" w:hint="eastAsia"/>
          <w:szCs w:val="21"/>
        </w:rPr>
        <w:t>基金</w:t>
      </w:r>
      <w:r>
        <w:rPr>
          <w:rFonts w:ascii="宋体" w:hAnsi="宋体" w:hint="eastAsia"/>
          <w:szCs w:val="21"/>
        </w:rPr>
        <w:t>托管人对因为</w:t>
      </w:r>
      <w:r>
        <w:rPr>
          <w:rFonts w:ascii="宋体" w:hAnsi="宋体" w:cs="Arial" w:hint="eastAsia"/>
          <w:szCs w:val="21"/>
        </w:rPr>
        <w:t>基金</w:t>
      </w:r>
      <w:r>
        <w:rPr>
          <w:rFonts w:ascii="宋体" w:hAnsi="宋体" w:hint="eastAsia"/>
          <w:szCs w:val="21"/>
        </w:rPr>
        <w:t>管理人投资产生的存放或存管在</w:t>
      </w:r>
      <w:r>
        <w:rPr>
          <w:rFonts w:ascii="宋体" w:hAnsi="宋体" w:cs="Arial" w:hint="eastAsia"/>
          <w:szCs w:val="21"/>
        </w:rPr>
        <w:t>基金</w:t>
      </w:r>
      <w:r>
        <w:rPr>
          <w:rFonts w:ascii="宋体" w:hAnsi="宋体" w:hint="eastAsia"/>
          <w:szCs w:val="21"/>
        </w:rPr>
        <w:t>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52D5723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8.</w:t>
      </w:r>
      <w:r>
        <w:rPr>
          <w:rFonts w:ascii="宋体" w:hAnsi="宋体" w:cs="Arial" w:hint="eastAsia"/>
          <w:szCs w:val="21"/>
        </w:rPr>
        <w:t>除依据法律法规和基金合同的规定外，基金托管人不得委托第三人托管基金财产。</w:t>
      </w:r>
    </w:p>
    <w:p w14:paraId="618CC12A"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（二）基金募集期间及募集资金的验资</w:t>
      </w:r>
    </w:p>
    <w:p w14:paraId="6FDB4DA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基金募集期间募集的资金应开立“基金募集专户”。该账户由基金管理人开立并管理。</w:t>
      </w:r>
    </w:p>
    <w:p w14:paraId="4B3E36D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w:t>
      </w:r>
      <w:r>
        <w:rPr>
          <w:rFonts w:ascii="宋体" w:hAnsi="宋体" w:cs="Arial" w:hint="eastAsia"/>
          <w:szCs w:val="21"/>
        </w:rPr>
        <w:t>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Pr>
          <w:rFonts w:cs="Arial" w:hint="eastAsia"/>
          <w:szCs w:val="21"/>
        </w:rPr>
        <w:t>符合《中华人民共和国证券法》规定</w:t>
      </w:r>
      <w:r>
        <w:rPr>
          <w:rFonts w:ascii="宋体" w:hAnsi="宋体" w:cs="Arial" w:hint="eastAsia"/>
          <w:szCs w:val="21"/>
        </w:rPr>
        <w:t>的会计师事务所进行验资，出具验资报告。出具的验资报告由参加验资的</w:t>
      </w:r>
      <w:r>
        <w:rPr>
          <w:rFonts w:ascii="宋体" w:hAnsi="宋体" w:cs="Arial" w:hint="eastAsia"/>
          <w:szCs w:val="21"/>
        </w:rPr>
        <w:t>2</w:t>
      </w:r>
      <w:r>
        <w:rPr>
          <w:rFonts w:ascii="宋体" w:hAnsi="宋体" w:cs="Arial" w:hint="eastAsia"/>
          <w:szCs w:val="21"/>
        </w:rPr>
        <w:t>名或</w:t>
      </w:r>
      <w:r>
        <w:rPr>
          <w:rFonts w:ascii="宋体" w:hAnsi="宋体" w:cs="Arial" w:hint="eastAsia"/>
          <w:szCs w:val="21"/>
        </w:rPr>
        <w:t>2</w:t>
      </w:r>
      <w:r>
        <w:rPr>
          <w:rFonts w:ascii="宋体" w:hAnsi="宋体" w:cs="Arial" w:hint="eastAsia"/>
          <w:szCs w:val="21"/>
        </w:rPr>
        <w:t>名以上中国注册会计师签字方为有效。</w:t>
      </w:r>
    </w:p>
    <w:p w14:paraId="2CCA9AA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若基金募集期限届满，未能达到基金合同生效的条件，由基金管理人按规定办理退款等事宜，基金托管人应当予以必要的协助和配合。</w:t>
      </w:r>
    </w:p>
    <w:p w14:paraId="739C4D5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（三）基金资金账</w:t>
      </w:r>
      <w:r>
        <w:rPr>
          <w:rFonts w:ascii="宋体" w:hAnsi="宋体" w:cs="Arial" w:hint="eastAsia"/>
          <w:szCs w:val="21"/>
        </w:rPr>
        <w:t>户的开立和管理</w:t>
      </w:r>
    </w:p>
    <w:p w14:paraId="4E4EE2E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托管人以本基金的名义在其营业机构开立基金的资金账户（也可称为“托管账户”），保管基金的银行存款，并根据基金管理人的指令办理资金收付。托管账户名称应为“富国稳健添颐债券型证券投资基金”，预留印鉴为基金托管人印章。</w:t>
      </w:r>
    </w:p>
    <w:p w14:paraId="4364C1D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基金资金账户的开立和使用，限于满足开展本基金业务的需要。基金托管人和基金管理人不得假借本基金的名义开立任何其他银行账户；亦不得使用基金的任何账户进行本基金业</w:t>
      </w:r>
      <w:r>
        <w:rPr>
          <w:rFonts w:ascii="宋体" w:hAnsi="宋体" w:cs="Arial" w:hint="eastAsia"/>
          <w:szCs w:val="21"/>
        </w:rPr>
        <w:lastRenderedPageBreak/>
        <w:t>务以外的活动。</w:t>
      </w:r>
    </w:p>
    <w:p w14:paraId="0B6C445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基金资金账户的开立和管理应符合法律法规及银行业监督管理机构的有关规定。</w:t>
      </w:r>
    </w:p>
    <w:p w14:paraId="5386C08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（四）基金证券账户和结算</w:t>
      </w:r>
      <w:r>
        <w:rPr>
          <w:rFonts w:ascii="宋体" w:hAnsi="宋体" w:cs="Arial" w:hint="eastAsia"/>
          <w:szCs w:val="21"/>
        </w:rPr>
        <w:t>备付金账户的开立和管理</w:t>
      </w:r>
    </w:p>
    <w:p w14:paraId="7393FB3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基金托管人在中国证券登记结算有限责任公司为基金开立基金托管人与基金联名的证券账户。</w:t>
      </w:r>
    </w:p>
    <w:p w14:paraId="0F194B7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870F00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基金证券账户的开立和证券账户卡的保管由基金托管人负责，账户资产的管理和运用由基金管理人负责。</w:t>
      </w:r>
    </w:p>
    <w:p w14:paraId="7FB4B6D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基金托管人以基金托管人的名义在中国证券登记结算有限责任公司开立结算备付金账户，并代表所托管的基金完成与中国证券登</w:t>
      </w:r>
      <w:r>
        <w:rPr>
          <w:rFonts w:ascii="宋体" w:hAnsi="宋体" w:cs="Arial" w:hint="eastAsia"/>
          <w:szCs w:val="21"/>
        </w:rPr>
        <w:t>记结算有限责任公司的一级法人清算工作，基金管理人应予以积极协助。结算备付金、结算保证金等的收取按照中国证券登记结算有限责任公司的规定执行。</w:t>
      </w:r>
    </w:p>
    <w:p w14:paraId="52D7842A"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hint="eastAsia"/>
          <w:szCs w:val="21"/>
        </w:rPr>
        <w:t>若中国证监会或其他监管机构在本托管协议订立日之后允许基金从事其他投资品种的投资业务，涉及相关账户的开立、使用的，</w:t>
      </w:r>
      <w:r>
        <w:rPr>
          <w:rFonts w:ascii="宋体" w:hAnsi="宋体" w:cs="Arial" w:hint="eastAsia"/>
          <w:color w:val="000000"/>
          <w:szCs w:val="21"/>
        </w:rPr>
        <w:t>按有关规定开立、使用并管理；</w:t>
      </w:r>
      <w:r>
        <w:rPr>
          <w:rFonts w:ascii="宋体" w:hAnsi="宋体" w:cs="Arial" w:hint="eastAsia"/>
          <w:szCs w:val="21"/>
        </w:rPr>
        <w:t>若无相关规定，则基金托管人比照上述关于账户开立、使用的规定执行。</w:t>
      </w:r>
    </w:p>
    <w:p w14:paraId="30F6174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（五）债券托管账户的开设和管理</w:t>
      </w:r>
    </w:p>
    <w:p w14:paraId="6BE8A8D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基金合同生效后，基金托管人根据中国人民银行、中央国债登记结算有限责任公司和银行间市场清算所股份有限公司的有关规定，以基金的名义在</w:t>
      </w:r>
      <w:r>
        <w:rPr>
          <w:rFonts w:hint="eastAsia"/>
        </w:rPr>
        <w:t>银行间市场登记结算机构</w:t>
      </w:r>
      <w:r>
        <w:rPr>
          <w:rFonts w:ascii="宋体" w:hAnsi="宋体" w:cs="Arial" w:hint="eastAsia"/>
          <w:szCs w:val="21"/>
        </w:rPr>
        <w:t>开立债券托管账户，并代表基金进行银行间市场债券的结算。</w:t>
      </w:r>
    </w:p>
    <w:p w14:paraId="57A2C92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（六）其他账户的开立和管理</w:t>
      </w:r>
    </w:p>
    <w:p w14:paraId="1B0ABC4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基金管理人根据投资需要按照规定开立期货保证金账户及期货交易编码等，</w:t>
      </w:r>
      <w:r>
        <w:rPr>
          <w:rFonts w:ascii="宋体" w:hAnsi="宋体" w:hint="eastAsia"/>
          <w:szCs w:val="21"/>
        </w:rPr>
        <w:t>基金托管人按照规定开立期货结算账户等投资所需账户。</w:t>
      </w:r>
      <w:r>
        <w:rPr>
          <w:rFonts w:ascii="宋体" w:hAnsi="宋体" w:cs="Arial" w:hint="eastAsia"/>
          <w:szCs w:val="21"/>
        </w:rPr>
        <w:t>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05E68A2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784DB14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因业务发展需要而开立的其他账户，可以根据法律法规和基金合同的规定，由基金管理人协助基金托管人按照有关法律法规和本协议的约定协</w:t>
      </w:r>
      <w:r>
        <w:rPr>
          <w:rFonts w:ascii="宋体" w:hAnsi="宋体" w:cs="Arial" w:hint="eastAsia"/>
          <w:szCs w:val="21"/>
        </w:rPr>
        <w:t>商后开立。新账户按有关规定使用并管理。</w:t>
      </w:r>
    </w:p>
    <w:p w14:paraId="5797182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法律法规等有关规定对相关账户的开立和管理另有规定的，从其规定办理。</w:t>
      </w:r>
    </w:p>
    <w:p w14:paraId="5A8794D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（七）基金财产投资的有关有价凭证等的保管</w:t>
      </w:r>
    </w:p>
    <w:p w14:paraId="1E651CA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w:t>
      </w:r>
      <w:r>
        <w:rPr>
          <w:rFonts w:ascii="宋体" w:hAnsi="宋体" w:cs="Arial" w:hint="eastAsia"/>
          <w:szCs w:val="21"/>
        </w:rPr>
        <w:t>的有价凭证不承担保管责任。</w:t>
      </w:r>
    </w:p>
    <w:p w14:paraId="2808D66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（八）与基金财产有关的重大合同的保管</w:t>
      </w:r>
    </w:p>
    <w:p w14:paraId="7616464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w:t>
      </w:r>
      <w:r>
        <w:rPr>
          <w:rFonts w:ascii="宋体" w:hAnsi="宋体" w:hint="eastAsia"/>
          <w:szCs w:val="21"/>
        </w:rPr>
        <w:t>因基金管理人发送的合同传真件与事后送达的合同原件不一致所造成的后果，由基金管理人负责。</w:t>
      </w:r>
      <w:r>
        <w:rPr>
          <w:rFonts w:ascii="宋体" w:hAnsi="宋体" w:cs="Arial" w:hint="eastAsia"/>
          <w:szCs w:val="21"/>
        </w:rPr>
        <w:t>重大合同的保管期限不少于法律法规规定的最低期</w:t>
      </w:r>
      <w:r>
        <w:rPr>
          <w:rFonts w:ascii="宋体" w:hAnsi="宋体" w:cs="Arial" w:hint="eastAsia"/>
          <w:szCs w:val="21"/>
        </w:rPr>
        <w:t>限。</w:t>
      </w:r>
    </w:p>
    <w:p w14:paraId="4F92B3E2"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4A0BD7D1" w14:textId="77777777" w:rsidR="00F82B4D" w:rsidRDefault="00F82B4D">
      <w:pPr>
        <w:spacing w:line="360" w:lineRule="auto"/>
        <w:ind w:firstLine="420"/>
        <w:rPr>
          <w:rFonts w:ascii="宋体" w:hAnsi="宋体"/>
          <w:szCs w:val="21"/>
        </w:rPr>
      </w:pPr>
    </w:p>
    <w:p w14:paraId="43634A49" w14:textId="77777777" w:rsidR="00F82B4D" w:rsidRDefault="00467E37">
      <w:pPr>
        <w:pStyle w:val="2"/>
        <w:spacing w:beforeLines="100" w:before="312" w:afterLines="50" w:after="156" w:line="360" w:lineRule="auto"/>
        <w:jc w:val="center"/>
        <w:rPr>
          <w:rFonts w:ascii="宋体" w:eastAsia="宋体" w:hAnsi="宋体"/>
          <w:sz w:val="21"/>
          <w:szCs w:val="21"/>
        </w:rPr>
      </w:pPr>
      <w:bookmarkStart w:id="58" w:name="_Toc89163370"/>
      <w:bookmarkStart w:id="59" w:name="_Toc86726441"/>
      <w:bookmarkStart w:id="60" w:name="_Toc118212952"/>
      <w:bookmarkStart w:id="61" w:name="_Toc86737931"/>
      <w:bookmarkStart w:id="62" w:name="_Toc84133787"/>
      <w:bookmarkStart w:id="63" w:name="_Toc110765662"/>
      <w:bookmarkStart w:id="64" w:name="_Toc110830494"/>
      <w:bookmarkStart w:id="65" w:name="_Toc110761798"/>
      <w:bookmarkStart w:id="66" w:name="_Toc108512360"/>
      <w:bookmarkStart w:id="67" w:name="_Toc84234389"/>
      <w:bookmarkStart w:id="68" w:name="_Toc84234436"/>
      <w:bookmarkStart w:id="69" w:name="_Toc120435785"/>
      <w:bookmarkStart w:id="70" w:name="_Toc118972650"/>
      <w:bookmarkStart w:id="71" w:name="_Toc86649724"/>
      <w:bookmarkStart w:id="72" w:name="_Toc86223244"/>
      <w:bookmarkStart w:id="73" w:name="_Toc86727357"/>
      <w:bookmarkStart w:id="74" w:name="_Toc86225293"/>
      <w:bookmarkStart w:id="75" w:name="_Toc118774805"/>
      <w:bookmarkStart w:id="76" w:name="_Toc119402712"/>
      <w:bookmarkStart w:id="77" w:name="_Toc86204790"/>
      <w:r>
        <w:rPr>
          <w:rFonts w:ascii="宋体" w:eastAsia="宋体" w:hAnsi="宋体"/>
          <w:sz w:val="21"/>
          <w:szCs w:val="21"/>
        </w:rPr>
        <w:br w:type="page"/>
      </w:r>
      <w:bookmarkStart w:id="78" w:name="_Toc384992696"/>
      <w:bookmarkStart w:id="79" w:name="_Toc348082034"/>
      <w:r>
        <w:rPr>
          <w:rFonts w:ascii="宋体" w:eastAsia="宋体" w:hAnsi="宋体" w:hint="eastAsia"/>
          <w:sz w:val="21"/>
          <w:szCs w:val="21"/>
        </w:rPr>
        <w:lastRenderedPageBreak/>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325B8CC"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692F41A0" w14:textId="77777777" w:rsidR="00F82B4D" w:rsidRDefault="00467E37">
      <w:pPr>
        <w:adjustRightInd w:val="0"/>
        <w:snapToGrid w:val="0"/>
        <w:spacing w:line="360" w:lineRule="auto"/>
        <w:ind w:firstLineChars="200" w:firstLine="420"/>
        <w:jc w:val="left"/>
        <w:rPr>
          <w:rFonts w:ascii="宋体" w:hAnsi="宋体"/>
          <w:szCs w:val="21"/>
        </w:rPr>
      </w:pPr>
      <w:r>
        <w:rPr>
          <w:rFonts w:ascii="宋体" w:hAnsi="宋体" w:hint="eastAsia"/>
          <w:szCs w:val="21"/>
        </w:rPr>
        <w:t>基金管理人发送的指令包括电子指令和纸质指令。</w:t>
      </w:r>
    </w:p>
    <w:p w14:paraId="54F576F5" w14:textId="77777777" w:rsidR="00F82B4D" w:rsidRDefault="00467E37">
      <w:pPr>
        <w:adjustRightInd w:val="0"/>
        <w:snapToGrid w:val="0"/>
        <w:spacing w:line="360" w:lineRule="auto"/>
        <w:ind w:firstLineChars="200" w:firstLine="420"/>
        <w:jc w:val="left"/>
        <w:rPr>
          <w:rFonts w:ascii="宋体" w:hAnsi="宋体"/>
          <w:szCs w:val="21"/>
        </w:rPr>
      </w:pPr>
      <w:r>
        <w:rPr>
          <w:rFonts w:ascii="宋体" w:hAnsi="宋体" w:hint="eastAsia"/>
          <w:szCs w:val="21"/>
        </w:rPr>
        <w:t>电子指令包括基金管理人发送的电子指令（采用电子报文传送的电子指令、网上托管银行管理人客户端</w:t>
      </w:r>
      <w:r>
        <w:rPr>
          <w:rFonts w:ascii="宋体" w:hAnsi="宋体" w:hint="eastAsia"/>
          <w:szCs w:val="21"/>
        </w:rPr>
        <w:t>录入的电子指令）、自动产生的电子指令（网上托管银行托管人端根据预先设定的业务规则自动产生的电子指令）。管理人在启用电子指令前应使用传真或其他与基金托管人协商一致的方式向基金托管人发出启用函。启用函应注明启用的业务类型、启用日期等。启用函应加盖基金管理人公司公章。</w:t>
      </w:r>
    </w:p>
    <w:p w14:paraId="67E17B0E" w14:textId="77777777" w:rsidR="00F82B4D" w:rsidRDefault="00467E37">
      <w:pPr>
        <w:adjustRightInd w:val="0"/>
        <w:snapToGrid w:val="0"/>
        <w:spacing w:line="360" w:lineRule="auto"/>
        <w:ind w:firstLine="560"/>
        <w:jc w:val="left"/>
        <w:rPr>
          <w:rFonts w:ascii="宋体" w:hAnsi="宋体"/>
          <w:szCs w:val="21"/>
        </w:rPr>
      </w:pPr>
      <w:r>
        <w:rPr>
          <w:rFonts w:ascii="宋体" w:hAnsi="宋体" w:hint="eastAsia"/>
          <w:szCs w:val="21"/>
        </w:rPr>
        <w:t>基金管理人在</w:t>
      </w:r>
      <w:r>
        <w:rPr>
          <w:rFonts w:ascii="宋体" w:hAnsi="宋体"/>
          <w:szCs w:val="21"/>
        </w:rPr>
        <w:t>发送纸质指令前，</w:t>
      </w:r>
      <w:r>
        <w:rPr>
          <w:rFonts w:ascii="宋体" w:hAnsi="宋体" w:hint="eastAsia"/>
          <w:szCs w:val="21"/>
        </w:rPr>
        <w:t>应</w:t>
      </w:r>
      <w:r>
        <w:rPr>
          <w:rFonts w:ascii="宋体" w:hAnsi="宋体"/>
          <w:szCs w:val="21"/>
        </w:rPr>
        <w:t>出具</w:t>
      </w:r>
      <w:r>
        <w:rPr>
          <w:rFonts w:ascii="宋体" w:hAnsi="宋体" w:hint="eastAsia"/>
          <w:szCs w:val="21"/>
        </w:rPr>
        <w:t>传真</w:t>
      </w:r>
      <w:r>
        <w:rPr>
          <w:rFonts w:ascii="宋体" w:hAnsi="宋体"/>
          <w:szCs w:val="21"/>
        </w:rPr>
        <w:t>指令</w:t>
      </w:r>
      <w:r>
        <w:rPr>
          <w:rFonts w:ascii="宋体" w:hAnsi="宋体" w:hint="eastAsia"/>
          <w:szCs w:val="21"/>
        </w:rPr>
        <w:t>启用</w:t>
      </w:r>
      <w:r>
        <w:rPr>
          <w:rFonts w:ascii="宋体" w:hAnsi="宋体"/>
          <w:szCs w:val="21"/>
        </w:rPr>
        <w:t>函，</w:t>
      </w:r>
      <w:r>
        <w:rPr>
          <w:rFonts w:ascii="宋体" w:hAnsi="宋体" w:hint="eastAsia"/>
          <w:szCs w:val="21"/>
        </w:rPr>
        <w:t>注明发送传真</w:t>
      </w:r>
      <w:r>
        <w:rPr>
          <w:rFonts w:ascii="宋体" w:hAnsi="宋体"/>
          <w:szCs w:val="21"/>
        </w:rPr>
        <w:t>的传真号</w:t>
      </w:r>
      <w:r>
        <w:rPr>
          <w:rFonts w:ascii="宋体" w:hAnsi="宋体" w:hint="eastAsia"/>
          <w:szCs w:val="21"/>
        </w:rPr>
        <w:t>、</w:t>
      </w:r>
      <w:r>
        <w:rPr>
          <w:rFonts w:ascii="宋体" w:hAnsi="宋体"/>
          <w:szCs w:val="21"/>
        </w:rPr>
        <w:t>发送指令附件的邮箱</w:t>
      </w:r>
      <w:r>
        <w:rPr>
          <w:rFonts w:ascii="宋体" w:hAnsi="宋体" w:hint="eastAsia"/>
          <w:szCs w:val="21"/>
        </w:rPr>
        <w:t>地址以及</w:t>
      </w:r>
      <w:r>
        <w:rPr>
          <w:rFonts w:ascii="宋体" w:hAnsi="宋体"/>
          <w:szCs w:val="21"/>
        </w:rPr>
        <w:t>指令确认人员及其联系方式</w:t>
      </w:r>
      <w:r>
        <w:rPr>
          <w:rFonts w:ascii="宋体" w:hAnsi="宋体" w:hint="eastAsia"/>
          <w:szCs w:val="21"/>
        </w:rPr>
        <w:t>。</w:t>
      </w:r>
    </w:p>
    <w:p w14:paraId="503AB10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（一）基金管理人对发送指令人员的书面授权</w:t>
      </w:r>
    </w:p>
    <w:p w14:paraId="76A778A5" w14:textId="77777777" w:rsidR="00F82B4D" w:rsidRDefault="00467E37">
      <w:pPr>
        <w:autoSpaceDE w:val="0"/>
        <w:autoSpaceDN w:val="0"/>
        <w:adjustRightInd w:val="0"/>
        <w:snapToGrid w:val="0"/>
        <w:spacing w:line="360" w:lineRule="auto"/>
        <w:ind w:firstLineChars="200" w:firstLine="420"/>
        <w:rPr>
          <w:rFonts w:ascii="宋体" w:hAnsi="宋体" w:cs="Arial"/>
          <w:szCs w:val="21"/>
        </w:rPr>
      </w:pPr>
      <w:r>
        <w:rPr>
          <w:rFonts w:ascii="宋体" w:hAnsi="宋体" w:hint="eastAsia"/>
          <w:szCs w:val="21"/>
        </w:rPr>
        <w:t>授权通知的内容：基金管理人</w:t>
      </w:r>
      <w:r>
        <w:rPr>
          <w:rFonts w:ascii="宋体" w:hAnsi="宋体" w:cs="Arial" w:hint="eastAsia"/>
          <w:szCs w:val="21"/>
        </w:rPr>
        <w:t>应</w:t>
      </w:r>
      <w:r>
        <w:rPr>
          <w:rFonts w:ascii="宋体" w:hAnsi="宋体" w:hint="eastAsia"/>
          <w:szCs w:val="21"/>
        </w:rPr>
        <w:t>事先向基金托管人</w:t>
      </w:r>
      <w:r>
        <w:rPr>
          <w:rFonts w:ascii="宋体" w:hAnsi="宋体" w:cs="Arial" w:hint="eastAsia"/>
          <w:szCs w:val="21"/>
        </w:rPr>
        <w:t>提供书面授权</w:t>
      </w:r>
      <w:r>
        <w:rPr>
          <w:rFonts w:ascii="宋体" w:hAnsi="宋体" w:hint="eastAsia"/>
          <w:szCs w:val="21"/>
        </w:rPr>
        <w:t>通知（以下简称“授权通知”），指定指令的被授权人员及被授权印鉴，授权通知的</w:t>
      </w:r>
      <w:r>
        <w:rPr>
          <w:rFonts w:ascii="宋体" w:hAnsi="宋体" w:cs="Arial" w:hint="eastAsia"/>
          <w:szCs w:val="21"/>
        </w:rPr>
        <w:t>内容包括被授权人</w:t>
      </w:r>
      <w:r>
        <w:rPr>
          <w:rFonts w:ascii="宋体" w:hAnsi="宋体" w:hint="eastAsia"/>
          <w:szCs w:val="21"/>
        </w:rPr>
        <w:t>的</w:t>
      </w:r>
      <w:r>
        <w:rPr>
          <w:rFonts w:ascii="宋体" w:hAnsi="宋体" w:cs="Arial" w:hint="eastAsia"/>
          <w:szCs w:val="21"/>
        </w:rPr>
        <w:t>名单、</w:t>
      </w:r>
      <w:r>
        <w:rPr>
          <w:rFonts w:ascii="宋体" w:hAnsi="宋体" w:hint="eastAsia"/>
          <w:szCs w:val="21"/>
        </w:rPr>
        <w:t>签章样本、权限和</w:t>
      </w:r>
      <w:r>
        <w:rPr>
          <w:rFonts w:ascii="宋体" w:hAnsi="宋体" w:cs="Arial" w:hint="eastAsia"/>
          <w:szCs w:val="21"/>
        </w:rPr>
        <w:t>预留印鉴</w:t>
      </w:r>
      <w:r>
        <w:rPr>
          <w:rFonts w:ascii="宋体" w:hAnsi="宋体" w:hint="eastAsia"/>
          <w:szCs w:val="21"/>
        </w:rPr>
        <w:t>。</w:t>
      </w:r>
      <w:r>
        <w:rPr>
          <w:rFonts w:ascii="宋体" w:hAnsi="宋体" w:cs="Arial" w:hint="eastAsia"/>
          <w:szCs w:val="21"/>
        </w:rPr>
        <w:t>授权</w:t>
      </w:r>
      <w:r>
        <w:rPr>
          <w:rFonts w:ascii="宋体" w:hAnsi="宋体" w:hint="eastAsia"/>
          <w:szCs w:val="21"/>
        </w:rPr>
        <w:t>通知</w:t>
      </w:r>
      <w:r>
        <w:rPr>
          <w:rFonts w:ascii="宋体" w:hAnsi="宋体" w:cs="Arial" w:hint="eastAsia"/>
          <w:szCs w:val="21"/>
        </w:rPr>
        <w:t>应</w:t>
      </w:r>
      <w:r>
        <w:rPr>
          <w:rFonts w:ascii="宋体" w:hAnsi="宋体" w:hint="eastAsia"/>
          <w:szCs w:val="21"/>
        </w:rPr>
        <w:t>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理人在此后三个工作日内将授权通知的正本送交基金托管人。授权通知正本</w:t>
      </w:r>
      <w:r>
        <w:rPr>
          <w:rFonts w:ascii="宋体" w:hAnsi="宋体" w:hint="eastAsia"/>
          <w:szCs w:val="21"/>
        </w:rPr>
        <w:t>内容与基金托管人收到的传真不一致的，以基金托管人收到的传真为准。</w:t>
      </w:r>
    </w:p>
    <w:p w14:paraId="11CC36DF" w14:textId="77777777" w:rsidR="00F82B4D" w:rsidRDefault="00467E37">
      <w:pPr>
        <w:tabs>
          <w:tab w:val="left" w:pos="1260"/>
        </w:tabs>
        <w:adjustRightInd w:val="0"/>
        <w:snapToGrid w:val="0"/>
        <w:spacing w:line="360" w:lineRule="auto"/>
        <w:ind w:firstLineChars="200" w:firstLine="420"/>
        <w:rPr>
          <w:rFonts w:ascii="宋体" w:hAnsi="宋体" w:cs="Arial"/>
          <w:szCs w:val="21"/>
        </w:rPr>
      </w:pPr>
      <w:r>
        <w:rPr>
          <w:rFonts w:ascii="宋体" w:hAnsi="宋体" w:hint="eastAsia"/>
          <w:szCs w:val="21"/>
        </w:rPr>
        <w:t>基金管理人</w:t>
      </w:r>
      <w:r>
        <w:rPr>
          <w:rFonts w:ascii="宋体" w:hAnsi="宋体" w:cs="Arial" w:hint="eastAsia"/>
          <w:szCs w:val="21"/>
        </w:rPr>
        <w:t>和</w:t>
      </w:r>
      <w:r>
        <w:rPr>
          <w:rFonts w:ascii="宋体" w:hAnsi="宋体" w:hint="eastAsia"/>
          <w:szCs w:val="21"/>
        </w:rPr>
        <w:t>基金托管人</w:t>
      </w:r>
      <w:r>
        <w:rPr>
          <w:rFonts w:ascii="宋体" w:hAnsi="宋体" w:cs="Arial" w:hint="eastAsia"/>
          <w:szCs w:val="21"/>
        </w:rPr>
        <w:t>对授权</w:t>
      </w:r>
      <w:r>
        <w:rPr>
          <w:rFonts w:ascii="宋体" w:hAnsi="宋体" w:hint="eastAsia"/>
          <w:szCs w:val="21"/>
        </w:rPr>
        <w:t>通知</w:t>
      </w:r>
      <w:r>
        <w:rPr>
          <w:rFonts w:ascii="宋体" w:hAnsi="宋体" w:cs="Arial" w:hint="eastAsia"/>
          <w:szCs w:val="21"/>
        </w:rPr>
        <w:t>负有保密义务，其内容不得向</w:t>
      </w:r>
      <w:r>
        <w:rPr>
          <w:rFonts w:ascii="宋体" w:hAnsi="宋体" w:hint="eastAsia"/>
          <w:szCs w:val="21"/>
        </w:rPr>
        <w:t>授权人、</w:t>
      </w:r>
      <w:r>
        <w:rPr>
          <w:rFonts w:ascii="宋体" w:hAnsi="宋体" w:cs="Arial" w:hint="eastAsia"/>
          <w:szCs w:val="21"/>
        </w:rPr>
        <w:t>被授权人及相关操作人员以外的任何人</w:t>
      </w:r>
      <w:r>
        <w:rPr>
          <w:rFonts w:ascii="宋体" w:hAnsi="宋体" w:hint="eastAsia"/>
          <w:szCs w:val="21"/>
        </w:rPr>
        <w:t>泄露</w:t>
      </w:r>
      <w:r>
        <w:rPr>
          <w:rFonts w:ascii="宋体" w:hAnsi="宋体" w:cs="Arial" w:hint="eastAsia"/>
          <w:szCs w:val="21"/>
        </w:rPr>
        <w:t>，但法律法规另有规定或有权机关另有要求的除外。</w:t>
      </w:r>
    </w:p>
    <w:p w14:paraId="6261D64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（二）指令的内容</w:t>
      </w:r>
    </w:p>
    <w:p w14:paraId="5E65AC9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投资</w:t>
      </w:r>
      <w:r>
        <w:rPr>
          <w:rFonts w:ascii="宋体" w:hAnsi="宋体" w:hint="eastAsia"/>
          <w:szCs w:val="21"/>
        </w:rPr>
        <w:t>指令是在管理本基金时，基金管理人向基金托管人发出的交易成交单、交易指令及</w:t>
      </w:r>
      <w:r>
        <w:rPr>
          <w:rFonts w:ascii="宋体" w:hAnsi="宋体" w:cs="Arial" w:hint="eastAsia"/>
          <w:szCs w:val="21"/>
        </w:rPr>
        <w:t>资金划拨</w:t>
      </w:r>
      <w:r>
        <w:rPr>
          <w:rFonts w:ascii="宋体" w:hAnsi="宋体" w:hint="eastAsia"/>
          <w:szCs w:val="21"/>
        </w:rPr>
        <w:t>类指令（以下简称“指令”）。</w:t>
      </w:r>
      <w:r>
        <w:rPr>
          <w:rFonts w:ascii="宋体" w:hAnsi="宋体" w:cs="Arial" w:hint="eastAsia"/>
          <w:szCs w:val="21"/>
        </w:rPr>
        <w:t>指令</w:t>
      </w:r>
      <w:r>
        <w:rPr>
          <w:rFonts w:ascii="宋体" w:hAnsi="宋体" w:hint="eastAsia"/>
          <w:szCs w:val="21"/>
        </w:rPr>
        <w:t>应</w:t>
      </w:r>
      <w:r>
        <w:rPr>
          <w:rFonts w:ascii="宋体" w:hAnsi="宋体" w:cs="Arial" w:hint="eastAsia"/>
          <w:szCs w:val="21"/>
        </w:rPr>
        <w:t>加盖预留印鉴并由被授权人签章。</w:t>
      </w:r>
      <w:r>
        <w:rPr>
          <w:rFonts w:ascii="宋体" w:hAnsi="宋体" w:hint="eastAsia"/>
          <w:szCs w:val="21"/>
        </w:rPr>
        <w:t>基金管理人发给基金托管人的资金划拨类指令应写明款项事由、时间、金额、出款和收款账户信息等。</w:t>
      </w:r>
    </w:p>
    <w:p w14:paraId="7D9B1E6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（三）指令的发送、确认及执行的时间和程序</w:t>
      </w:r>
    </w:p>
    <w:p w14:paraId="42EA57CB"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1.</w:t>
      </w:r>
      <w:r>
        <w:rPr>
          <w:rFonts w:ascii="宋体" w:hAnsi="宋体" w:cs="Arial" w:hint="eastAsia"/>
          <w:szCs w:val="21"/>
        </w:rPr>
        <w:t>指令的发送</w:t>
      </w:r>
      <w:r>
        <w:rPr>
          <w:rFonts w:ascii="宋体" w:hAnsi="宋体" w:hint="eastAsia"/>
          <w:szCs w:val="21"/>
        </w:rPr>
        <w:t>：基金管理人</w:t>
      </w:r>
      <w:r>
        <w:rPr>
          <w:rFonts w:ascii="宋体" w:hAnsi="宋体" w:cs="Arial" w:hint="eastAsia"/>
          <w:szCs w:val="21"/>
        </w:rPr>
        <w:t>应按照</w:t>
      </w:r>
      <w:r>
        <w:rPr>
          <w:rFonts w:ascii="宋体" w:hAnsi="宋体" w:hint="eastAsia"/>
          <w:szCs w:val="21"/>
        </w:rPr>
        <w:t>相关</w:t>
      </w:r>
      <w:r>
        <w:rPr>
          <w:rFonts w:ascii="宋体" w:hAnsi="宋体" w:cs="Arial" w:hint="eastAsia"/>
          <w:szCs w:val="21"/>
        </w:rPr>
        <w:t>法律法规</w:t>
      </w:r>
      <w:r>
        <w:rPr>
          <w:rFonts w:ascii="宋体" w:hAnsi="宋体" w:hint="eastAsia"/>
          <w:szCs w:val="21"/>
        </w:rPr>
        <w:t>以及本</w:t>
      </w:r>
      <w:r>
        <w:rPr>
          <w:rFonts w:ascii="宋体" w:hAnsi="宋体" w:cs="Arial" w:hint="eastAsia"/>
          <w:szCs w:val="21"/>
        </w:rPr>
        <w:t>协议的规定，在其合法的经营权限和交易权限</w:t>
      </w:r>
      <w:r>
        <w:rPr>
          <w:rFonts w:ascii="宋体" w:hAnsi="宋体" w:hint="eastAsia"/>
          <w:szCs w:val="21"/>
        </w:rPr>
        <w:t>内依照授权</w:t>
      </w:r>
      <w:r>
        <w:rPr>
          <w:rFonts w:ascii="宋体" w:hAnsi="宋体" w:cs="Arial" w:hint="eastAsia"/>
          <w:szCs w:val="21"/>
        </w:rPr>
        <w:t>通知</w:t>
      </w:r>
      <w:r>
        <w:rPr>
          <w:rFonts w:ascii="宋体" w:hAnsi="宋体" w:hint="eastAsia"/>
          <w:szCs w:val="21"/>
        </w:rPr>
        <w:t>的授权用传真方式或其他基金托管人和基金管理人认可的方式向基金托管人发送。基金管理人在发送指令时，应确保相关出款账户有足够的资金余额，并为基金托管人留出执行指令所必需的时间。</w:t>
      </w:r>
    </w:p>
    <w:p w14:paraId="3336E2AF"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对于新股、新债申购等网下公开发行业务，基金管理人应于网下申购缴款日的</w:t>
      </w:r>
      <w:r>
        <w:rPr>
          <w:rFonts w:ascii="宋体" w:hAnsi="宋体" w:hint="eastAsia"/>
          <w:szCs w:val="21"/>
        </w:rPr>
        <w:t>10:00</w:t>
      </w:r>
      <w:r>
        <w:rPr>
          <w:rFonts w:ascii="宋体" w:hAnsi="宋体" w:hint="eastAsia"/>
          <w:szCs w:val="21"/>
        </w:rPr>
        <w:t>前将指令发送给基金托管</w:t>
      </w:r>
      <w:r>
        <w:rPr>
          <w:rFonts w:ascii="宋体" w:hAnsi="宋体" w:hint="eastAsia"/>
          <w:szCs w:val="21"/>
        </w:rPr>
        <w:t>人。</w:t>
      </w:r>
    </w:p>
    <w:p w14:paraId="5BA3288B"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对于期货出入金业务，基金管理人应于交易日期货出入金截止时间前</w:t>
      </w:r>
      <w:r>
        <w:rPr>
          <w:rFonts w:ascii="宋体" w:hAnsi="宋体" w:hint="eastAsia"/>
          <w:szCs w:val="21"/>
        </w:rPr>
        <w:t>2</w:t>
      </w:r>
      <w:r>
        <w:rPr>
          <w:rFonts w:ascii="宋体" w:hAnsi="宋体" w:hint="eastAsia"/>
          <w:szCs w:val="21"/>
        </w:rPr>
        <w:t>小时将期货出入</w:t>
      </w:r>
      <w:r>
        <w:rPr>
          <w:rFonts w:ascii="宋体" w:hAnsi="宋体" w:hint="eastAsia"/>
          <w:szCs w:val="21"/>
        </w:rPr>
        <w:lastRenderedPageBreak/>
        <w:t>金指令发送至基金托管人。</w:t>
      </w:r>
    </w:p>
    <w:p w14:paraId="1D573597"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对于场内业务，首次进行场内交易前基金管理人应与基金托管人确认已完成交易单元和股东代码设置后方可进行。</w:t>
      </w:r>
    </w:p>
    <w:p w14:paraId="35AF9435"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对于银行间业务，如需发送银行间成交单或者划款指令的，基金管理人应于交易日</w:t>
      </w:r>
      <w:r>
        <w:rPr>
          <w:rFonts w:ascii="宋体" w:hAnsi="宋体" w:hint="eastAsia"/>
          <w:szCs w:val="21"/>
        </w:rPr>
        <w:t>15:00</w:t>
      </w:r>
      <w:r>
        <w:rPr>
          <w:rFonts w:ascii="宋体" w:hAnsi="宋体" w:hint="eastAsia"/>
          <w:szCs w:val="21"/>
        </w:rPr>
        <w:t>前将银行间成交单及相关划款指令发送至基金托管人。基金管理人应与基金托管人确认基金托管人已完成证书和权限设置后方可进行本基金的银行间交易。</w:t>
      </w:r>
    </w:p>
    <w:p w14:paraId="2BD5917E"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对于指定时间出款的交易指令，基金管理人应提前</w:t>
      </w:r>
      <w:r>
        <w:rPr>
          <w:rFonts w:ascii="宋体" w:hAnsi="宋体" w:hint="eastAsia"/>
          <w:szCs w:val="21"/>
        </w:rPr>
        <w:t>2</w:t>
      </w:r>
      <w:r>
        <w:rPr>
          <w:rFonts w:ascii="宋体" w:hAnsi="宋体" w:hint="eastAsia"/>
          <w:szCs w:val="21"/>
        </w:rPr>
        <w:t>小时将指令发送至基金托管人；对于基金</w:t>
      </w:r>
      <w:r>
        <w:rPr>
          <w:rFonts w:ascii="宋体" w:hAnsi="宋体" w:hint="eastAsia"/>
          <w:szCs w:val="21"/>
        </w:rPr>
        <w:t>管理人于</w:t>
      </w:r>
      <w:r>
        <w:rPr>
          <w:rFonts w:ascii="宋体" w:hAnsi="宋体" w:hint="eastAsia"/>
          <w:szCs w:val="21"/>
        </w:rPr>
        <w:t>15:00</w:t>
      </w:r>
      <w:r>
        <w:rPr>
          <w:rFonts w:ascii="宋体" w:hAnsi="宋体" w:hint="eastAsia"/>
          <w:szCs w:val="21"/>
        </w:rPr>
        <w:t>以后发送至基金托管人的指令，基金托管人不保证当日出款。</w:t>
      </w:r>
    </w:p>
    <w:p w14:paraId="3B3B5941"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2.</w:t>
      </w:r>
      <w:r>
        <w:rPr>
          <w:rFonts w:ascii="宋体" w:hAnsi="宋体" w:cs="Arial" w:hint="eastAsia"/>
          <w:szCs w:val="21"/>
        </w:rPr>
        <w:t>指令的确认</w:t>
      </w:r>
      <w:r>
        <w:rPr>
          <w:rFonts w:ascii="宋体" w:hAnsi="宋体" w:hint="eastAsia"/>
          <w:szCs w:val="21"/>
        </w:rPr>
        <w:t>：基金管理人有义务在发送指令后与基金托管人进行电话确认。对于依照“授权通知”发出的指令，基金管理人不得否认其效力。</w:t>
      </w:r>
    </w:p>
    <w:p w14:paraId="6EDBDB37"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3.</w:t>
      </w:r>
      <w:r>
        <w:rPr>
          <w:rFonts w:ascii="宋体" w:hAnsi="宋体" w:hint="eastAsia"/>
          <w:szCs w:val="21"/>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0375CD90"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正常情况下由基金托管人依据基金管理人发出的出入金指令，通过期货结算银行银期转账系统进行出入金操作。</w:t>
      </w:r>
    </w:p>
    <w:p w14:paraId="595BB519" w14:textId="77777777" w:rsidR="00F82B4D" w:rsidRDefault="00467E37">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当结算银</w:t>
      </w:r>
      <w:r>
        <w:rPr>
          <w:rFonts w:ascii="宋体" w:hAnsi="宋体" w:hint="eastAsia"/>
          <w:szCs w:val="21"/>
        </w:rPr>
        <w:t>行银期转账系统出现故障等其他紧急情况时，基金管理人可以使用非银期转账手工出入金。</w:t>
      </w:r>
    </w:p>
    <w:p w14:paraId="2E3F6B3B" w14:textId="77777777" w:rsidR="00F82B4D" w:rsidRDefault="00467E37">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再发送指令给基金托管人，由基金托管人依据基金管理人提供的划款指令通过结算银行的网银系统划往基金托管账户。</w:t>
      </w:r>
    </w:p>
    <w:p w14:paraId="52018688"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执行完期货出金或入金的操作后，基金管理人应通过其交易系统或终端系统查询出金划出情况和入金到账情况。</w:t>
      </w:r>
    </w:p>
    <w:p w14:paraId="1F92EFEB"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在指令未执行的前提下，若基金管理人撤销</w:t>
      </w:r>
      <w:r>
        <w:rPr>
          <w:rFonts w:ascii="宋体" w:hAnsi="宋体" w:hint="eastAsia"/>
          <w:szCs w:val="21"/>
        </w:rPr>
        <w:t>指令，基金管理人应在原指令上注明“作废”、</w:t>
      </w:r>
      <w:r>
        <w:rPr>
          <w:rFonts w:ascii="宋体" w:hAnsi="宋体"/>
          <w:szCs w:val="21"/>
        </w:rPr>
        <w:t>“</w:t>
      </w:r>
      <w:r>
        <w:rPr>
          <w:rFonts w:ascii="宋体" w:hAnsi="宋体"/>
          <w:szCs w:val="21"/>
        </w:rPr>
        <w:t>废</w:t>
      </w:r>
      <w:r>
        <w:rPr>
          <w:rFonts w:ascii="宋体" w:hAnsi="宋体"/>
          <w:szCs w:val="21"/>
        </w:rPr>
        <w:t>”</w:t>
      </w:r>
      <w:r>
        <w:rPr>
          <w:rFonts w:ascii="宋体" w:hAnsi="宋体"/>
          <w:szCs w:val="21"/>
        </w:rPr>
        <w:t>等字样</w:t>
      </w:r>
      <w:r>
        <w:rPr>
          <w:rFonts w:ascii="宋体" w:hAnsi="宋体" w:hint="eastAsia"/>
          <w:szCs w:val="21"/>
        </w:rPr>
        <w:t>并加盖预留印鉴及被授权人签章后传真给基金托管人，并电话通知基金托管人</w:t>
      </w:r>
      <w:r>
        <w:rPr>
          <w:rFonts w:ascii="宋体" w:hAnsi="宋体" w:cs="Arial" w:hint="eastAsia"/>
          <w:szCs w:val="21"/>
        </w:rPr>
        <w:t>。</w:t>
      </w:r>
    </w:p>
    <w:p w14:paraId="630ABC0C" w14:textId="77777777" w:rsidR="00F82B4D" w:rsidRDefault="00467E37">
      <w:pPr>
        <w:pStyle w:val="a8"/>
        <w:spacing w:line="360" w:lineRule="auto"/>
        <w:ind w:firstLine="420"/>
        <w:rPr>
          <w:rFonts w:ascii="宋体" w:eastAsia="宋体" w:hAnsi="宋体"/>
          <w:sz w:val="21"/>
          <w:szCs w:val="21"/>
        </w:rPr>
      </w:pPr>
      <w:r>
        <w:rPr>
          <w:rFonts w:ascii="宋体" w:eastAsia="宋体" w:hAnsi="宋体" w:hint="eastAsia"/>
          <w:sz w:val="21"/>
          <w:szCs w:val="21"/>
        </w:rPr>
        <w:t>（四）基金管理人发送错误指令的情形和处理程序</w:t>
      </w:r>
    </w:p>
    <w:p w14:paraId="2DDD029C"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1.</w:t>
      </w:r>
      <w:r>
        <w:rPr>
          <w:rFonts w:ascii="宋体" w:hAnsi="宋体" w:cs="Arial" w:hint="eastAsia"/>
          <w:szCs w:val="21"/>
        </w:rPr>
        <w:t>基金管理人发送错误指令的情形包括指令发送人员无权或超越权限发送指令，指令不能辨识或要素不全导致无法执行等情形</w:t>
      </w:r>
      <w:r>
        <w:rPr>
          <w:rFonts w:ascii="宋体" w:hAnsi="宋体" w:hint="eastAsia"/>
          <w:szCs w:val="21"/>
        </w:rPr>
        <w:t>。</w:t>
      </w:r>
    </w:p>
    <w:p w14:paraId="12B9E3E1"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当基金托管人认为所接收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0067F3FA"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（五）基金托管人依照法律法规暂缓、拒绝执行指令的情形和处理程序</w:t>
      </w:r>
    </w:p>
    <w:p w14:paraId="2F076B01"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基金托管人发现基金管理人发送的指令有</w:t>
      </w:r>
      <w:r>
        <w:rPr>
          <w:rFonts w:ascii="宋体" w:hAnsi="宋体" w:hint="eastAsia"/>
          <w:szCs w:val="21"/>
        </w:rPr>
        <w:t>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Cs w:val="21"/>
        </w:rPr>
        <w:t>10</w:t>
      </w:r>
      <w:r>
        <w:rPr>
          <w:rFonts w:ascii="宋体" w:hAnsi="宋体"/>
          <w:szCs w:val="21"/>
        </w:rPr>
        <w:t>个工作日内纠正，并报告中国证监会</w:t>
      </w:r>
      <w:r>
        <w:rPr>
          <w:rFonts w:ascii="宋体" w:hAnsi="宋体" w:hint="eastAsia"/>
          <w:szCs w:val="21"/>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w:t>
      </w:r>
      <w:r>
        <w:rPr>
          <w:rFonts w:ascii="宋体" w:hAnsi="宋体" w:hint="eastAsia"/>
          <w:szCs w:val="21"/>
        </w:rPr>
        <w:t>托管人免于承担责任。</w:t>
      </w:r>
    </w:p>
    <w:p w14:paraId="4AA0CD2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（六）基金托管人未按照基金管理人指令执行的处理方法</w:t>
      </w:r>
    </w:p>
    <w:p w14:paraId="15EAED1E"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对于基金管理人的有效指令和通知，除非违反法律法规、基金合同、托管协议或具有第（四）项所述错误，基金托管人不得无故拒绝或拖延执行，否则应就基金或基金管理人由此产生的损失负赔偿责任。</w:t>
      </w:r>
    </w:p>
    <w:p w14:paraId="7097683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除因故意或过失致使基金、基金管理人的利益受到损害而负赔偿责任外，基金托管人对执行基金管理人的合法指令对基金财产造成的损失不承担赔偿责任。</w:t>
      </w:r>
    </w:p>
    <w:p w14:paraId="7B8621C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（七）更换被授权人员的程序</w:t>
      </w:r>
    </w:p>
    <w:p w14:paraId="63C9DB3A" w14:textId="77777777" w:rsidR="00F82B4D" w:rsidRDefault="00467E37">
      <w:pPr>
        <w:autoSpaceDE w:val="0"/>
        <w:autoSpaceDN w:val="0"/>
        <w:adjustRightInd w:val="0"/>
        <w:snapToGrid w:val="0"/>
        <w:spacing w:line="360" w:lineRule="auto"/>
        <w:ind w:firstLineChars="200" w:firstLine="420"/>
        <w:rPr>
          <w:rFonts w:ascii="宋体" w:hAnsi="宋体" w:cs="Arial"/>
          <w:szCs w:val="21"/>
        </w:rPr>
      </w:pPr>
      <w:r>
        <w:rPr>
          <w:rFonts w:ascii="宋体" w:hAnsi="宋体" w:hint="eastAsia"/>
          <w:szCs w:val="21"/>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w:t>
      </w:r>
      <w:r>
        <w:rPr>
          <w:rFonts w:ascii="宋体" w:hAnsi="宋体" w:hint="eastAsia"/>
          <w:szCs w:val="21"/>
        </w:rPr>
        <w:t>。基金管理人在此后三个工作日内将被授权人变更通知的正本送交基金托管人。变更通知书书面正本内容与基金托管人收到的传真不一致的，以基金托管人收到的传真为准。</w:t>
      </w:r>
    </w:p>
    <w:p w14:paraId="51EC327C"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基金托管人更换接收基金管理人指令的人员，应提前通知基金管理人。</w:t>
      </w:r>
    </w:p>
    <w:p w14:paraId="6D59A6E5" w14:textId="77777777" w:rsidR="00F82B4D" w:rsidRDefault="00467E37">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（八）指令的</w:t>
      </w:r>
      <w:r>
        <w:rPr>
          <w:rFonts w:ascii="宋体" w:hAnsi="宋体" w:hint="eastAsia"/>
          <w:szCs w:val="21"/>
        </w:rPr>
        <w:t>保管</w:t>
      </w:r>
    </w:p>
    <w:p w14:paraId="236495F4" w14:textId="77777777" w:rsidR="00F82B4D" w:rsidRDefault="00467E37">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指令若以传真形式发出，则正本由基金管理人保管，基金托管人保管指令传真件。当两者不一致时，以基金托管人收到的指令传真件为准。</w:t>
      </w:r>
    </w:p>
    <w:p w14:paraId="64D987BB" w14:textId="77777777" w:rsidR="00F82B4D" w:rsidRDefault="00467E37">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（九）</w:t>
      </w:r>
      <w:r>
        <w:rPr>
          <w:rFonts w:ascii="宋体" w:hAnsi="宋体" w:hint="eastAsia"/>
          <w:szCs w:val="21"/>
        </w:rPr>
        <w:t>相关责任</w:t>
      </w:r>
    </w:p>
    <w:p w14:paraId="083905D3" w14:textId="77777777" w:rsidR="00F82B4D" w:rsidRDefault="00467E37">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对</w:t>
      </w:r>
      <w:r>
        <w:rPr>
          <w:rFonts w:ascii="宋体" w:hAnsi="宋体" w:hint="eastAsia"/>
          <w:szCs w:val="21"/>
        </w:rPr>
        <w:t>基金管理人在没有充足资金的情况下向基金托管人发出的指令致使资金未能及时清算所</w:t>
      </w:r>
      <w:r>
        <w:rPr>
          <w:rFonts w:ascii="宋体" w:hAnsi="宋体" w:cs="Arial" w:hint="eastAsia"/>
          <w:szCs w:val="21"/>
        </w:rPr>
        <w:t>造成的损失</w:t>
      </w:r>
      <w:r>
        <w:rPr>
          <w:rFonts w:ascii="宋体" w:hAnsi="宋体" w:hint="eastAsia"/>
          <w:szCs w:val="21"/>
        </w:rPr>
        <w:t>由基金管理人</w:t>
      </w:r>
      <w:r>
        <w:rPr>
          <w:rFonts w:ascii="宋体" w:hAnsi="宋体" w:cs="Arial" w:hint="eastAsia"/>
          <w:szCs w:val="21"/>
        </w:rPr>
        <w:t>承担</w:t>
      </w:r>
      <w:r>
        <w:rPr>
          <w:rFonts w:ascii="宋体" w:hAnsi="宋体" w:hint="eastAsia"/>
          <w:szCs w:val="21"/>
        </w:rPr>
        <w:t>。因基金管理人原因造成的传输不及</w:t>
      </w:r>
      <w:r>
        <w:rPr>
          <w:rFonts w:ascii="宋体" w:hAnsi="宋体" w:hint="eastAsia"/>
          <w:szCs w:val="21"/>
        </w:rPr>
        <w:t>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14:paraId="0EA130E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hint="eastAsia"/>
          <w:szCs w:val="21"/>
        </w:rPr>
        <w:lastRenderedPageBreak/>
        <w:t>基金托管人根据本协议相关规定履行形式审核职责，如果基金管理人的指令存在事实上未经授权、欺诈、伪造或未能及时提供授权通知等情形，基</w:t>
      </w:r>
      <w:r>
        <w:rPr>
          <w:rFonts w:ascii="宋体" w:hAnsi="宋体" w:hint="eastAsia"/>
          <w:szCs w:val="21"/>
        </w:rPr>
        <w:t>金托管人不承担因执行有关指令或拒绝执行有关指令而给基金管理人或基金资产或任何第三方带来的损失，全部责任由基金管理人承担，但基金托管人未按本协议约定尽形式审核义务执行指令而造成损失的情形除外</w:t>
      </w:r>
      <w:r>
        <w:rPr>
          <w:rFonts w:ascii="宋体" w:hAnsi="宋体" w:cs="Arial" w:hint="eastAsia"/>
          <w:szCs w:val="21"/>
        </w:rPr>
        <w:t>。</w:t>
      </w:r>
    </w:p>
    <w:p w14:paraId="58DE62DD" w14:textId="77777777" w:rsidR="00F82B4D" w:rsidRDefault="00F82B4D">
      <w:pPr>
        <w:adjustRightInd w:val="0"/>
        <w:spacing w:line="360" w:lineRule="auto"/>
        <w:contextualSpacing/>
        <w:rPr>
          <w:rFonts w:ascii="宋体" w:hAnsi="宋体" w:cs="Arial"/>
          <w:szCs w:val="21"/>
        </w:rPr>
      </w:pPr>
    </w:p>
    <w:p w14:paraId="66839AAA" w14:textId="77777777" w:rsidR="00F82B4D" w:rsidRDefault="00467E37">
      <w:pPr>
        <w:pStyle w:val="2"/>
        <w:spacing w:beforeLines="100" w:before="312" w:afterLines="50" w:after="156" w:line="360" w:lineRule="auto"/>
        <w:jc w:val="center"/>
        <w:rPr>
          <w:rFonts w:ascii="宋体" w:eastAsia="宋体" w:hAnsi="宋体"/>
          <w:sz w:val="21"/>
          <w:szCs w:val="21"/>
        </w:rPr>
      </w:pPr>
      <w:bookmarkStart w:id="80" w:name="_Toc86649725"/>
      <w:bookmarkStart w:id="81" w:name="_Toc84133788"/>
      <w:bookmarkStart w:id="82" w:name="_Toc84234390"/>
      <w:bookmarkStart w:id="83" w:name="_Toc110761799"/>
      <w:bookmarkStart w:id="84" w:name="_Toc120435786"/>
      <w:bookmarkStart w:id="85" w:name="_Toc118774806"/>
      <w:bookmarkStart w:id="86" w:name="_Toc119402713"/>
      <w:bookmarkStart w:id="87" w:name="_Toc86204791"/>
      <w:bookmarkStart w:id="88" w:name="_Toc86726442"/>
      <w:bookmarkStart w:id="89" w:name="_Toc108512361"/>
      <w:bookmarkStart w:id="90" w:name="_Toc86225294"/>
      <w:bookmarkStart w:id="91" w:name="_Toc89163371"/>
      <w:bookmarkStart w:id="92" w:name="_Toc86223245"/>
      <w:bookmarkStart w:id="93" w:name="_Toc86737932"/>
      <w:bookmarkStart w:id="94" w:name="_Toc86727358"/>
      <w:bookmarkStart w:id="95" w:name="_Toc110830495"/>
      <w:bookmarkStart w:id="96" w:name="_Toc110765663"/>
      <w:bookmarkStart w:id="97" w:name="_Toc118212953"/>
      <w:bookmarkStart w:id="98" w:name="_Toc84234437"/>
      <w:bookmarkStart w:id="99" w:name="_Toc118972651"/>
      <w:r>
        <w:rPr>
          <w:rFonts w:ascii="宋体" w:eastAsia="宋体" w:hAnsi="宋体"/>
          <w:sz w:val="21"/>
          <w:szCs w:val="21"/>
        </w:rPr>
        <w:br w:type="page"/>
      </w:r>
      <w:bookmarkStart w:id="100" w:name="_Toc348082035"/>
      <w:bookmarkStart w:id="101" w:name="_Toc384992697"/>
      <w:r>
        <w:rPr>
          <w:rFonts w:ascii="宋体" w:eastAsia="宋体" w:hAnsi="宋体" w:hint="eastAsia"/>
          <w:sz w:val="21"/>
          <w:szCs w:val="21"/>
        </w:rPr>
        <w:lastRenderedPageBreak/>
        <w:t>七、交易及清算交收安排</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1D1588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（一）选择代理证券、期货买卖的证券、期货经营机构</w:t>
      </w:r>
    </w:p>
    <w:p w14:paraId="373F0F8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基金管理人应设计选择代理证券买卖的证券经营机构的标准和程序，并</w:t>
      </w:r>
      <w:r>
        <w:rPr>
          <w:rFonts w:ascii="宋体" w:hAnsi="宋体" w:hint="eastAsia"/>
          <w:szCs w:val="21"/>
        </w:rPr>
        <w:t>按照有关合同和规定行使基金财产投资权利而应承担的义务，包括但不限于选择经纪商及投资标的等</w:t>
      </w:r>
      <w:r>
        <w:rPr>
          <w:rFonts w:ascii="宋体" w:hAnsi="宋体" w:cs="Arial" w:hint="eastAsia"/>
          <w:szCs w:val="21"/>
        </w:rPr>
        <w:t>。基金管理人负责选择代理本基金证券买卖的证券经营机构，使用其交易单元作为基金的交易单元。</w:t>
      </w:r>
      <w:r>
        <w:rPr>
          <w:rFonts w:ascii="宋体" w:hAnsi="宋体" w:cs="Arial" w:hint="eastAsia"/>
          <w:szCs w:val="21"/>
        </w:rPr>
        <w:t>基金管理人和被选中的证券经营机构签订委托（或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0943CD58"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2.</w:t>
      </w:r>
      <w:r>
        <w:rPr>
          <w:rFonts w:ascii="宋体" w:hAnsi="宋体" w:cs="Arial" w:hint="eastAsia"/>
          <w:szCs w:val="21"/>
        </w:rPr>
        <w:t>基金管理人负责选择代理本基金期货交易的期货经纪机构，并与其签订期货经纪合同，其他</w:t>
      </w:r>
      <w:r>
        <w:rPr>
          <w:rFonts w:ascii="宋体" w:hAnsi="宋体" w:cs="Arial" w:hint="eastAsia"/>
          <w:szCs w:val="21"/>
        </w:rPr>
        <w:t>事宜根据法律法规、《基金合同》的相关规定执行，若无明确规定的，可参照有关证券买卖、证券经营机构选择的规则执行。</w:t>
      </w:r>
    </w:p>
    <w:p w14:paraId="092962E4"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）基金管理人所选择的期货公司负责办理委托资产的期货交易的清算交割。</w:t>
      </w:r>
    </w:p>
    <w:p w14:paraId="13C387F8"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4F43DEFA"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正常情况下当日交易结算报告的发送时间应在交易</w:t>
      </w:r>
      <w:r>
        <w:rPr>
          <w:rFonts w:ascii="宋体" w:hAnsi="宋体" w:hint="eastAsia"/>
          <w:szCs w:val="21"/>
        </w:rPr>
        <w:t>日当日的</w:t>
      </w:r>
      <w:r>
        <w:rPr>
          <w:rFonts w:ascii="宋体" w:hAnsi="宋体" w:hint="eastAsia"/>
          <w:szCs w:val="21"/>
        </w:rPr>
        <w:t>17</w:t>
      </w:r>
      <w:r>
        <w:rPr>
          <w:rFonts w:ascii="宋体" w:hAnsi="宋体" w:hint="eastAsia"/>
          <w:szCs w:val="21"/>
        </w:rPr>
        <w:t>：</w:t>
      </w:r>
      <w:r>
        <w:rPr>
          <w:rFonts w:ascii="宋体" w:hAnsi="宋体" w:hint="eastAsia"/>
          <w:szCs w:val="21"/>
        </w:rPr>
        <w:t>00</w:t>
      </w:r>
      <w:r>
        <w:rPr>
          <w:rFonts w:ascii="宋体" w:hAnsi="宋体" w:hint="eastAsia"/>
          <w:szCs w:val="21"/>
        </w:rPr>
        <w:t>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79CE0B43" w14:textId="77777777" w:rsidR="00F82B4D" w:rsidRDefault="00467E3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）基金管理人应责成其选择的期货公司对发送的数据的准确性、完整性、真实性负责。</w:t>
      </w:r>
    </w:p>
    <w:p w14:paraId="7092FF8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hint="eastAsia"/>
          <w:szCs w:val="21"/>
        </w:rPr>
        <w:t>由于交易结算报告的记载事项出现与实际交易结果和权益不符造成本基金估值计算错误的，应由基金管理人负责向数据发送方追偿，</w:t>
      </w:r>
      <w:r>
        <w:rPr>
          <w:rFonts w:ascii="宋体" w:hAnsi="宋体" w:hint="eastAsia"/>
          <w:szCs w:val="21"/>
        </w:rPr>
        <w:t>基金托管人不承担责任。</w:t>
      </w:r>
    </w:p>
    <w:p w14:paraId="5260BC9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（二）基金投资证券后的清算交收安排</w:t>
      </w:r>
    </w:p>
    <w:p w14:paraId="642F1C9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Tahoma" w:hint="eastAsia"/>
          <w:color w:val="000000"/>
          <w:szCs w:val="21"/>
        </w:rPr>
        <w:t>基金管理人和基金托管人在基金财产场内</w:t>
      </w:r>
      <w:r>
        <w:rPr>
          <w:rFonts w:ascii="宋体" w:hAnsi="宋体" w:hint="eastAsia"/>
          <w:color w:val="000000"/>
          <w:szCs w:val="21"/>
        </w:rPr>
        <w:t>清算交收及相关风险</w:t>
      </w:r>
      <w:r>
        <w:rPr>
          <w:rFonts w:ascii="宋体" w:hAnsi="宋体" w:cs="Tahoma" w:hint="eastAsia"/>
          <w:color w:val="000000"/>
          <w:szCs w:val="21"/>
        </w:rPr>
        <w:t>控制方面的职责按照附件《托管银行证券资金结算规定》的要求</w:t>
      </w:r>
      <w:r>
        <w:rPr>
          <w:rFonts w:ascii="宋体" w:hAnsi="宋体" w:hint="eastAsia"/>
          <w:color w:val="000000"/>
          <w:szCs w:val="21"/>
        </w:rPr>
        <w:t>执行。</w:t>
      </w:r>
    </w:p>
    <w:p w14:paraId="7E6951E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（三）基金申购、赎回和转换业务处理的基本规定</w:t>
      </w:r>
    </w:p>
    <w:p w14:paraId="297804D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基金份额申购、赎回、转换的确认、清算由基金管理人或其委托的登记机构负责。</w:t>
      </w:r>
    </w:p>
    <w:p w14:paraId="7C5E00DE"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基金管理人应将每个开放日的申购、赎回、转换开放式基金的数据传送给基金托管人。基金管理人应对传递的申购、赎回、转换开放式基金的数据真实性和准确性负责。基金托管人</w:t>
      </w:r>
      <w:r>
        <w:rPr>
          <w:rFonts w:ascii="宋体" w:hAnsi="宋体" w:cs="Arial" w:hint="eastAsia"/>
          <w:szCs w:val="21"/>
        </w:rPr>
        <w:lastRenderedPageBreak/>
        <w:t>应及时查收申购及转入资金的到账情况并根据基金管理人指令及时划付赎回及转出款项。</w:t>
      </w:r>
    </w:p>
    <w:p w14:paraId="3D544C4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基金管理人应保证本基金（或本基金管理人委托）的登记机构每个工作日</w:t>
      </w:r>
      <w:r>
        <w:rPr>
          <w:rFonts w:ascii="宋体" w:hAnsi="宋体" w:cs="Arial" w:hint="eastAsia"/>
          <w:szCs w:val="21"/>
        </w:rPr>
        <w:t>15:00</w:t>
      </w:r>
      <w:r>
        <w:rPr>
          <w:rFonts w:ascii="宋体" w:hAnsi="宋体" w:cs="Arial" w:hint="eastAsia"/>
          <w:szCs w:val="21"/>
        </w:rPr>
        <w:t>前向基金托管人发送前一开放日上述有关数据，并保证相关数据的准确、完整。</w:t>
      </w:r>
    </w:p>
    <w:p w14:paraId="65FEC43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登记机构应通过与基金管理人建立的系统发送有关数据，由基金管理人向基金托管人发送有关数据，如因各种原因，该系统无法正常</w:t>
      </w:r>
      <w:r>
        <w:rPr>
          <w:rFonts w:ascii="宋体" w:hAnsi="宋体" w:cs="Arial" w:hint="eastAsia"/>
          <w:szCs w:val="21"/>
        </w:rPr>
        <w:t>发送，双方可协商解决处理方式。基金管理人向基金托管人发送的数据，双方各自按有关规定保存。</w:t>
      </w:r>
    </w:p>
    <w:p w14:paraId="79BA40F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hint="eastAsia"/>
          <w:szCs w:val="21"/>
        </w:rPr>
        <w:t>如基金管理人委托其他机构办理本基金的登记业务，应保证上述相关事宜按时进行。否则，由基金管理人承担相应的责任。</w:t>
      </w:r>
    </w:p>
    <w:p w14:paraId="795ABBB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6.</w:t>
      </w:r>
      <w:r>
        <w:rPr>
          <w:rFonts w:ascii="宋体" w:hAnsi="宋体" w:cs="Arial" w:hint="eastAsia"/>
          <w:szCs w:val="21"/>
        </w:rPr>
        <w:t>关于清算专用账户的设立和管理</w:t>
      </w:r>
    </w:p>
    <w:p w14:paraId="28E024B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为满足申购、赎回、转换及分红资金汇划的需要，由基金管理人开立资金清算的专用账户，该账户由登记机构管理。</w:t>
      </w:r>
    </w:p>
    <w:p w14:paraId="39EC393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7.</w:t>
      </w:r>
      <w:r>
        <w:rPr>
          <w:rFonts w:ascii="宋体" w:hAnsi="宋体" w:cs="Arial" w:hint="eastAsia"/>
          <w:szCs w:val="21"/>
        </w:rPr>
        <w:t>对于基金申购、转换过程中产生的应收款，应由基金管理人负责与有关当事人确定到账日期并通知基金托管人，到账日应收款没有到达基金资金账户的，基金托管人应及时通知基金管理人采</w:t>
      </w:r>
      <w:r>
        <w:rPr>
          <w:rFonts w:ascii="宋体" w:hAnsi="宋体" w:cs="Arial" w:hint="eastAsia"/>
          <w:szCs w:val="21"/>
        </w:rPr>
        <w:t>取措施进行催收，由此造成基金损失的，基金管理人应负责向有关当事人追偿基金的损失，基金托管人应提供必要的协助。</w:t>
      </w:r>
    </w:p>
    <w:p w14:paraId="365D006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8.</w:t>
      </w:r>
      <w:r>
        <w:rPr>
          <w:rFonts w:ascii="宋体" w:hAnsi="宋体" w:cs="Arial" w:hint="eastAsia"/>
          <w:szCs w:val="21"/>
        </w:rPr>
        <w:t>赎回、转换资金划付规定</w:t>
      </w:r>
    </w:p>
    <w:p w14:paraId="28E5331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划付赎回款、转换转出款时，如基金资金账户有足够的资金，基金托管人应按时划付；因基金资金账户没有足够的资金，导致基金托管人不能按时划付，基金托管人应及时通知基金管理人，责任不由基金托管人承担，基金托管人不承担垫款义务。</w:t>
      </w:r>
    </w:p>
    <w:p w14:paraId="7BE560E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9.</w:t>
      </w:r>
      <w:r>
        <w:rPr>
          <w:rFonts w:ascii="宋体" w:hAnsi="宋体" w:cs="Arial" w:hint="eastAsia"/>
          <w:szCs w:val="21"/>
        </w:rPr>
        <w:t>资金指令</w:t>
      </w:r>
    </w:p>
    <w:p w14:paraId="29C45C0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除申购款项到达基金资金账户需双方按约定方式对账外，与投资有关的付款、赎回和分红资金划拨时，基金管理人需向基金托管人下达指令。</w:t>
      </w:r>
    </w:p>
    <w:p w14:paraId="6D0C7DF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资金指令的格式、</w:t>
      </w:r>
      <w:r>
        <w:rPr>
          <w:rFonts w:ascii="宋体" w:hAnsi="宋体" w:cs="Arial" w:hint="eastAsia"/>
          <w:szCs w:val="21"/>
        </w:rPr>
        <w:t>内容、发送、接收和确认方式等与投资指令相同。</w:t>
      </w:r>
    </w:p>
    <w:p w14:paraId="1348863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（四）资金净额结算</w:t>
      </w:r>
    </w:p>
    <w:p w14:paraId="60524CB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Pr>
          <w:rFonts w:ascii="宋体" w:hAnsi="宋体" w:cs="Arial" w:hint="eastAsia"/>
          <w:szCs w:val="21"/>
        </w:rPr>
        <w:t>15:00</w:t>
      </w:r>
      <w:r>
        <w:rPr>
          <w:rFonts w:ascii="宋体" w:hAnsi="宋体" w:cs="Arial" w:hint="eastAsia"/>
          <w:szCs w:val="21"/>
        </w:rPr>
        <w:t>之前从基金清算账户划往基金资金账户，基金管理人通过基金托管人提供的方式查询结果；当存在资金账户净应付额时，基金托管人按照基金管理人的划款指令将托管</w:t>
      </w:r>
      <w:r>
        <w:rPr>
          <w:rFonts w:ascii="宋体" w:hAnsi="宋体" w:cs="Arial" w:hint="eastAsia"/>
          <w:szCs w:val="21"/>
        </w:rPr>
        <w:t>账户净应付额在交收日及时划往基金清算账户，基金管理人通过基金托管人提供的方式查询结果。</w:t>
      </w:r>
    </w:p>
    <w:p w14:paraId="5054F22C" w14:textId="77777777" w:rsidR="00F82B4D" w:rsidRDefault="00467E37">
      <w:pPr>
        <w:adjustRightInd w:val="0"/>
        <w:snapToGrid w:val="0"/>
        <w:spacing w:line="360" w:lineRule="auto"/>
        <w:ind w:firstLineChars="200" w:firstLine="420"/>
        <w:rPr>
          <w:rFonts w:ascii="宋体" w:hAnsi="宋体" w:cs="Arial"/>
          <w:i/>
          <w:szCs w:val="21"/>
        </w:rPr>
      </w:pPr>
      <w:r>
        <w:rPr>
          <w:rFonts w:ascii="宋体" w:hAnsi="宋体" w:cs="Arial" w:hint="eastAsia"/>
          <w:szCs w:val="21"/>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w:t>
      </w:r>
      <w:r>
        <w:rPr>
          <w:rFonts w:ascii="宋体" w:hAnsi="宋体" w:cs="Arial" w:hint="eastAsia"/>
          <w:szCs w:val="21"/>
        </w:rPr>
        <w:lastRenderedPageBreak/>
        <w:t>管人不承担垫款义务。</w:t>
      </w:r>
    </w:p>
    <w:p w14:paraId="65DB73F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（五）基金现金分红</w:t>
      </w:r>
    </w:p>
    <w:p w14:paraId="2EFC15A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基金管理人确定分红方案通知基金托管人，双方核定后</w:t>
      </w:r>
      <w:r>
        <w:rPr>
          <w:rFonts w:ascii="宋体" w:hAnsi="宋体" w:hint="eastAsia"/>
          <w:szCs w:val="21"/>
        </w:rPr>
        <w:t>依照《信息披露办法》的有关规定在中国证监会规定媒介上公告</w:t>
      </w:r>
      <w:r>
        <w:rPr>
          <w:rFonts w:ascii="宋体" w:hAnsi="宋体" w:cs="Arial" w:hint="eastAsia"/>
          <w:szCs w:val="21"/>
        </w:rPr>
        <w:t>。</w:t>
      </w:r>
    </w:p>
    <w:p w14:paraId="17D89D5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基金托管人和基金管理人对</w:t>
      </w:r>
      <w:r>
        <w:rPr>
          <w:rFonts w:ascii="宋体" w:hAnsi="宋体" w:cs="Arial" w:hint="eastAsia"/>
          <w:szCs w:val="21"/>
        </w:rPr>
        <w:t>基金分红进行账务处理并核对后，基金管理人向基金托管人发送现金红利的划款指令，基金托管人应根据指令及时将分红款划往基金清算账户。</w:t>
      </w:r>
    </w:p>
    <w:p w14:paraId="6C18C00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基金管理人在下达指令时，应给基金托管人留出必需的划款时间。</w:t>
      </w:r>
    </w:p>
    <w:p w14:paraId="0C8B0FC8" w14:textId="77777777" w:rsidR="00F82B4D" w:rsidRDefault="00F82B4D">
      <w:pPr>
        <w:spacing w:line="360" w:lineRule="auto"/>
        <w:ind w:firstLine="480"/>
        <w:rPr>
          <w:rFonts w:ascii="宋体" w:hAnsi="宋体"/>
          <w:szCs w:val="21"/>
        </w:rPr>
      </w:pPr>
    </w:p>
    <w:p w14:paraId="4DE9134B" w14:textId="77777777" w:rsidR="00F82B4D" w:rsidRDefault="00F82B4D">
      <w:pPr>
        <w:adjustRightInd w:val="0"/>
        <w:snapToGrid w:val="0"/>
        <w:spacing w:line="360" w:lineRule="auto"/>
        <w:rPr>
          <w:rFonts w:ascii="宋体" w:hAnsi="宋体" w:cs="Arial"/>
          <w:szCs w:val="21"/>
        </w:rPr>
      </w:pPr>
    </w:p>
    <w:p w14:paraId="01960176"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2" w:name="_Toc348082036"/>
      <w:bookmarkStart w:id="103" w:name="_Toc384992698"/>
      <w:r>
        <w:rPr>
          <w:rFonts w:ascii="宋体" w:eastAsia="宋体" w:hAnsi="宋体" w:hint="eastAsia"/>
          <w:sz w:val="21"/>
          <w:szCs w:val="21"/>
        </w:rPr>
        <w:lastRenderedPageBreak/>
        <w:t>八、基金资产净值计算、估值和会计核算</w:t>
      </w:r>
      <w:bookmarkEnd w:id="102"/>
      <w:bookmarkEnd w:id="103"/>
    </w:p>
    <w:p w14:paraId="72C2BDD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（一）基金资产净值的计算、复核与完成的时间及程序</w:t>
      </w:r>
    </w:p>
    <w:p w14:paraId="33F9E73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基金资产净值</w:t>
      </w:r>
    </w:p>
    <w:p w14:paraId="152886B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基金资产净值是指基金资产总值减去基金负债后的价值。</w:t>
      </w:r>
    </w:p>
    <w:p w14:paraId="4EC4205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各类基金份额的基金份额净值是按照每个工作日闭市后，某类基金资产净值除以当日该类基金份额的余额数量计算，均精确到</w:t>
      </w:r>
      <w:r>
        <w:rPr>
          <w:rFonts w:ascii="宋体" w:hAnsi="宋体" w:cs="Arial" w:hint="eastAsia"/>
          <w:szCs w:val="21"/>
        </w:rPr>
        <w:t>0.0001</w:t>
      </w:r>
      <w:r>
        <w:rPr>
          <w:rFonts w:ascii="宋体" w:hAnsi="宋体" w:cs="Arial" w:hint="eastAsia"/>
          <w:szCs w:val="21"/>
        </w:rPr>
        <w:t>元，小数点后第五位四舍五入，由此产生的收益或损失由基金财产承担。基金管理人可以设立大额赎回情形下的净值精度应急调整机制。法律法规、监管机构、基金合同另有规定的，从其规定。</w:t>
      </w:r>
    </w:p>
    <w:p w14:paraId="5519CD5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w:t>
      </w:r>
      <w:r>
        <w:rPr>
          <w:rFonts w:ascii="宋体" w:hAnsi="宋体" w:cs="Arial" w:hint="eastAsia"/>
          <w:szCs w:val="21"/>
        </w:rPr>
        <w:t>以恢复，具体保留位数以届时公告为准。</w:t>
      </w:r>
    </w:p>
    <w:p w14:paraId="59E6BE9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基金管理人于每个工作日计算基金资产净值及各类基金份额净值，并按规定公告。</w:t>
      </w:r>
    </w:p>
    <w:p w14:paraId="0429C39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复核程序</w:t>
      </w:r>
    </w:p>
    <w:p w14:paraId="5140C4C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基金管理人每个工作日对基金资产进行估值后，将基金资产净值、各类基金份额净值发送基金托管人，经基金托管人复核无误后，由基金管理人按规定对外公布。</w:t>
      </w:r>
    </w:p>
    <w:p w14:paraId="3CC8FE99"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3.</w:t>
      </w:r>
      <w:r>
        <w:rPr>
          <w:rFonts w:ascii="宋体" w:hAnsi="宋体" w:hint="eastAsia"/>
          <w:szCs w:val="21"/>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w:t>
      </w:r>
      <w:r>
        <w:rPr>
          <w:rFonts w:ascii="宋体" w:hAnsi="宋体" w:hint="eastAsia"/>
          <w:szCs w:val="21"/>
        </w:rPr>
        <w:t>人对基金净值信息的计算结果对外予以公布。</w:t>
      </w:r>
    </w:p>
    <w:p w14:paraId="49F829F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（二）基金资产的估值</w:t>
      </w:r>
    </w:p>
    <w:p w14:paraId="506DB3C7" w14:textId="77777777" w:rsidR="00F82B4D" w:rsidRDefault="00467E37">
      <w:pPr>
        <w:adjustRightInd w:val="0"/>
        <w:snapToGrid w:val="0"/>
        <w:spacing w:line="360" w:lineRule="auto"/>
        <w:ind w:firstLineChars="200" w:firstLine="420"/>
        <w:rPr>
          <w:szCs w:val="21"/>
        </w:rPr>
      </w:pPr>
      <w:r>
        <w:rPr>
          <w:rFonts w:hint="eastAsia"/>
          <w:szCs w:val="21"/>
        </w:rPr>
        <w:t>基金管理人及基金托管人应当按照《基金合同》的约定进行估值。</w:t>
      </w:r>
    </w:p>
    <w:p w14:paraId="1B96C019" w14:textId="77777777" w:rsidR="00F82B4D" w:rsidRDefault="00467E37">
      <w:pPr>
        <w:adjustRightInd w:val="0"/>
        <w:snapToGrid w:val="0"/>
        <w:spacing w:line="360" w:lineRule="auto"/>
        <w:ind w:firstLineChars="200" w:firstLine="420"/>
        <w:rPr>
          <w:rStyle w:val="read"/>
          <w:rFonts w:ascii="宋体" w:hAnsi="宋体"/>
          <w:szCs w:val="21"/>
        </w:rPr>
      </w:pPr>
      <w:r>
        <w:rPr>
          <w:rStyle w:val="af7"/>
          <w:rFonts w:hint="eastAsia"/>
        </w:rPr>
        <w:t>由于本基金允许投资基金管理人旗下的开放式基金，基金管理人和基金托管人应根据已披露的基金份额净值或收盘价等信息对本基金进行估值。</w:t>
      </w:r>
      <w:r>
        <w:rPr>
          <w:rStyle w:val="read"/>
          <w:rFonts w:ascii="宋体" w:hAnsi="宋体" w:hint="eastAsia"/>
          <w:szCs w:val="21"/>
        </w:rPr>
        <w:t>如因基金管理人的份额净值错误或无法于约定时间披露份额净值导致的估值错误，相关责任由管理人承担。</w:t>
      </w:r>
    </w:p>
    <w:p w14:paraId="01543AA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（三）基金份额净值错误的处理方式</w:t>
      </w:r>
    </w:p>
    <w:p w14:paraId="175ADBA8" w14:textId="77777777" w:rsidR="00F82B4D" w:rsidRDefault="00467E37">
      <w:pPr>
        <w:adjustRightInd w:val="0"/>
        <w:snapToGrid w:val="0"/>
        <w:spacing w:line="360" w:lineRule="auto"/>
        <w:ind w:firstLineChars="200" w:firstLine="420"/>
        <w:rPr>
          <w:rFonts w:ascii="宋体" w:hAnsi="宋体" w:cs="Arial"/>
          <w:szCs w:val="21"/>
        </w:rPr>
      </w:pPr>
      <w:r>
        <w:rPr>
          <w:rFonts w:hint="eastAsia"/>
          <w:szCs w:val="21"/>
        </w:rPr>
        <w:t>基金管理人及基金托管人应当按照《基金合同》的约定处理份额净值错误。</w:t>
      </w:r>
    </w:p>
    <w:p w14:paraId="13A97E5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（四）基金会计制度</w:t>
      </w:r>
    </w:p>
    <w:p w14:paraId="6860D1C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按国家有关部门规定的会计制度执行。</w:t>
      </w:r>
    </w:p>
    <w:p w14:paraId="655D367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（五）基</w:t>
      </w:r>
      <w:r>
        <w:rPr>
          <w:rFonts w:ascii="宋体" w:hAnsi="宋体" w:cs="Arial" w:hint="eastAsia"/>
          <w:szCs w:val="21"/>
        </w:rPr>
        <w:t>金账册的建立</w:t>
      </w:r>
    </w:p>
    <w:p w14:paraId="43FE7F8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156FBFF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（六）基金财务报表与报告的编制和复核</w:t>
      </w:r>
    </w:p>
    <w:p w14:paraId="7B23BFEA"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1.</w:t>
      </w:r>
      <w:r>
        <w:rPr>
          <w:rFonts w:ascii="宋体" w:hAnsi="宋体" w:cs="Arial" w:hint="eastAsia"/>
          <w:szCs w:val="21"/>
        </w:rPr>
        <w:t>财务报表与报告的编制</w:t>
      </w:r>
    </w:p>
    <w:p w14:paraId="258670C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基金财务报表与报告由基金管理人编制，基金托管人复核。</w:t>
      </w:r>
    </w:p>
    <w:p w14:paraId="31A0D35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报表与报告的复核</w:t>
      </w:r>
    </w:p>
    <w:p w14:paraId="01D7822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基金托管人在收到基金管理人编制的基金财务报表与报告后，进行独立的复核。核对不符时，应及时通知基金管理人共同查出原因，进行调整，直至双方数据完全一致。</w:t>
      </w:r>
    </w:p>
    <w:p w14:paraId="43A9B13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财务报表</w:t>
      </w:r>
      <w:r>
        <w:rPr>
          <w:rFonts w:ascii="宋体" w:hAnsi="宋体" w:cs="Arial" w:hint="eastAsia"/>
          <w:szCs w:val="21"/>
        </w:rPr>
        <w:t>与报告的编制与复核时间安排</w:t>
      </w:r>
    </w:p>
    <w:p w14:paraId="6000860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基金管理人、基金托管人应当在每月结束后</w:t>
      </w:r>
      <w:r>
        <w:rPr>
          <w:rFonts w:ascii="宋体" w:hAnsi="宋体" w:cs="Arial" w:hint="eastAsia"/>
          <w:szCs w:val="21"/>
        </w:rPr>
        <w:t>5</w:t>
      </w:r>
      <w:r>
        <w:rPr>
          <w:rFonts w:ascii="宋体" w:hAnsi="宋体" w:cs="Arial" w:hint="eastAsia"/>
          <w:szCs w:val="21"/>
        </w:rPr>
        <w:t>个工作日内完成月度报表的编制及复核；在季度结束之日起</w:t>
      </w:r>
      <w:r>
        <w:rPr>
          <w:rFonts w:ascii="宋体" w:hAnsi="宋体" w:cs="Arial" w:hint="eastAsia"/>
          <w:szCs w:val="21"/>
        </w:rPr>
        <w:t>15</w:t>
      </w:r>
      <w:r>
        <w:rPr>
          <w:rFonts w:ascii="宋体" w:hAnsi="宋体" w:cs="Arial" w:hint="eastAsia"/>
          <w:szCs w:val="21"/>
        </w:rPr>
        <w:t>个工作日内完成基金季度报告的编制及复核；在上半年结束之日起</w:t>
      </w:r>
      <w:r>
        <w:rPr>
          <w:rFonts w:ascii="宋体" w:hAnsi="宋体" w:cs="Arial" w:hint="eastAsia"/>
          <w:szCs w:val="21"/>
        </w:rPr>
        <w:t>2</w:t>
      </w:r>
      <w:r>
        <w:rPr>
          <w:rFonts w:ascii="宋体" w:hAnsi="宋体" w:cs="Arial" w:hint="eastAsia"/>
          <w:szCs w:val="21"/>
        </w:rPr>
        <w:t>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w:t>
      </w:r>
      <w:r>
        <w:rPr>
          <w:rFonts w:cs="Arial" w:hint="eastAsia"/>
          <w:szCs w:val="21"/>
        </w:rPr>
        <w:t>符合《中华人民共和国证券法》规定</w:t>
      </w:r>
      <w:r>
        <w:rPr>
          <w:rFonts w:ascii="宋体" w:hAnsi="宋体" w:cs="Arial" w:hint="eastAsia"/>
          <w:szCs w:val="21"/>
        </w:rPr>
        <w:t>的会计师事务所审计。基金合同生效不足两个月的，基金</w:t>
      </w:r>
      <w:r>
        <w:rPr>
          <w:rFonts w:ascii="宋体" w:hAnsi="宋体" w:cs="Arial" w:hint="eastAsia"/>
          <w:szCs w:val="21"/>
        </w:rPr>
        <w:t>管理人可以不编制当期季度报告、中期报告或者年度报告。</w:t>
      </w:r>
    </w:p>
    <w:p w14:paraId="0F221BA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（七）在有需要时，基金管理人应每季度向基金托管人提供基金业绩比较基准的基础数据和编制结果。</w:t>
      </w:r>
    </w:p>
    <w:p w14:paraId="2A8C759E" w14:textId="77777777" w:rsidR="00F82B4D" w:rsidRDefault="00F82B4D">
      <w:pPr>
        <w:ind w:firstLineChars="200" w:firstLine="420"/>
        <w:rPr>
          <w:rFonts w:ascii="宋体" w:hAnsi="宋体" w:cs="Arial"/>
          <w:szCs w:val="21"/>
        </w:rPr>
      </w:pPr>
    </w:p>
    <w:p w14:paraId="698909F5" w14:textId="77777777" w:rsidR="00F82B4D" w:rsidRDefault="00467E37">
      <w:pPr>
        <w:pStyle w:val="2"/>
        <w:spacing w:beforeLines="100" w:before="312" w:afterLines="50" w:after="156" w:line="360" w:lineRule="auto"/>
        <w:jc w:val="center"/>
        <w:rPr>
          <w:rFonts w:ascii="宋体" w:eastAsia="宋体" w:hAnsi="宋体"/>
          <w:sz w:val="21"/>
          <w:szCs w:val="21"/>
        </w:rPr>
      </w:pPr>
      <w:r>
        <w:br w:type="page"/>
      </w:r>
      <w:bookmarkStart w:id="104" w:name="_Toc348082037"/>
      <w:bookmarkStart w:id="105" w:name="_Toc384992699"/>
      <w:r>
        <w:rPr>
          <w:rFonts w:ascii="宋体" w:eastAsia="宋体" w:hAnsi="宋体" w:hint="eastAsia"/>
          <w:sz w:val="21"/>
          <w:szCs w:val="21"/>
        </w:rPr>
        <w:lastRenderedPageBreak/>
        <w:t>九、基金收益分配</w:t>
      </w:r>
      <w:bookmarkEnd w:id="104"/>
      <w:bookmarkEnd w:id="105"/>
    </w:p>
    <w:p w14:paraId="494FFADB" w14:textId="77777777" w:rsidR="00F82B4D" w:rsidRDefault="00467E37">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基金管理人与基金托管人按照《基金合同》的约定处理基金收益分配。</w:t>
      </w:r>
    </w:p>
    <w:p w14:paraId="1C579142" w14:textId="77777777" w:rsidR="00F82B4D" w:rsidRDefault="00F82B4D">
      <w:pPr>
        <w:adjustRightInd w:val="0"/>
        <w:snapToGrid w:val="0"/>
        <w:spacing w:line="360" w:lineRule="auto"/>
        <w:rPr>
          <w:rFonts w:ascii="宋体" w:hAnsi="宋体" w:cs="Arial"/>
          <w:szCs w:val="21"/>
        </w:rPr>
      </w:pPr>
    </w:p>
    <w:p w14:paraId="666C4174"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6" w:name="_Toc384992700"/>
      <w:bookmarkStart w:id="107" w:name="_Toc348082038"/>
      <w:r>
        <w:rPr>
          <w:rFonts w:ascii="宋体" w:eastAsia="宋体" w:hAnsi="宋体" w:hint="eastAsia"/>
          <w:sz w:val="21"/>
          <w:szCs w:val="21"/>
        </w:rPr>
        <w:lastRenderedPageBreak/>
        <w:t>十、基金信息披露</w:t>
      </w:r>
      <w:bookmarkEnd w:id="106"/>
      <w:bookmarkEnd w:id="107"/>
    </w:p>
    <w:p w14:paraId="6217ECFC"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（一）保密义务</w:t>
      </w:r>
    </w:p>
    <w:p w14:paraId="4AEB645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4374A9C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非因基金管理人和基金托管人的原因导致保密信息被披露、泄露或公开；</w:t>
      </w:r>
    </w:p>
    <w:p w14:paraId="6DA136A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基金管理人和基金托管人为遵守和服从法院判决或裁定、仲裁裁决或中国证监会等监管机构的</w:t>
      </w:r>
      <w:r>
        <w:rPr>
          <w:rFonts w:ascii="宋体" w:hAnsi="宋体" w:cs="Arial" w:hint="eastAsia"/>
          <w:szCs w:val="21"/>
        </w:rPr>
        <w:t>命令、决定所做出的信息披露或公开；</w:t>
      </w:r>
    </w:p>
    <w:p w14:paraId="5CBA102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因审计、法律等专业服务向外部专业顾问提供信息，并要求专业顾问遵守保密义务。</w:t>
      </w:r>
    </w:p>
    <w:p w14:paraId="6909F18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（二）信息披露的内容</w:t>
      </w:r>
    </w:p>
    <w:p w14:paraId="3D8451B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侧袋机制期间的信息披露、中国证监会规定的其他信息。基金年度报告需经符合《中华人民共和国证券法》规定的</w:t>
      </w:r>
      <w:r>
        <w:rPr>
          <w:rFonts w:ascii="宋体" w:hAnsi="宋体" w:cs="Arial" w:hint="eastAsia"/>
          <w:szCs w:val="21"/>
        </w:rPr>
        <w:t>会计师事务所审计后，方可披露。</w:t>
      </w:r>
    </w:p>
    <w:p w14:paraId="18409D4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01DD4EB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w:t>
      </w:r>
      <w:r>
        <w:rPr>
          <w:rFonts w:ascii="宋体" w:hAnsi="宋体" w:cs="Arial" w:hint="eastAsia"/>
          <w:szCs w:val="21"/>
        </w:rPr>
        <w:t>净资产比例大小排序的前</w:t>
      </w:r>
      <w:r>
        <w:rPr>
          <w:rFonts w:ascii="宋体" w:hAnsi="宋体" w:cs="Arial" w:hint="eastAsia"/>
          <w:szCs w:val="21"/>
        </w:rPr>
        <w:t>10</w:t>
      </w:r>
      <w:r>
        <w:rPr>
          <w:rFonts w:ascii="宋体" w:hAnsi="宋体" w:cs="Arial" w:hint="eastAsia"/>
          <w:szCs w:val="21"/>
        </w:rPr>
        <w:t>名资产支持证券明细。</w:t>
      </w:r>
    </w:p>
    <w:p w14:paraId="222140E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基金管理人应在季度报告、中期报告、年度报告等定期报告和招募说明书（更新）等文件中披露本基金参与港股通交易的相关情况。</w:t>
      </w:r>
    </w:p>
    <w:p w14:paraId="70C3E53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263E47A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本基金投资存托凭证的信息披露依照境内上市交易的股票执行。</w:t>
      </w:r>
    </w:p>
    <w:p w14:paraId="3E4F9A2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基金管理人应在季度报告、中期报告、年度报告等定期报告和招募说明书（更</w:t>
      </w:r>
      <w:r>
        <w:rPr>
          <w:rFonts w:ascii="宋体" w:hAnsi="宋体" w:cs="Arial" w:hint="eastAsia"/>
          <w:szCs w:val="21"/>
        </w:rPr>
        <w:t>新）等文件中披露所持基金的以下相关情况，包括（</w:t>
      </w:r>
      <w:r>
        <w:rPr>
          <w:rFonts w:ascii="宋体" w:hAnsi="宋体" w:cs="Arial" w:hint="eastAsia"/>
          <w:szCs w:val="21"/>
        </w:rPr>
        <w:t>1</w:t>
      </w:r>
      <w:r>
        <w:rPr>
          <w:rFonts w:ascii="宋体" w:hAnsi="宋体" w:cs="Arial" w:hint="eastAsia"/>
          <w:szCs w:val="21"/>
        </w:rPr>
        <w:t>）投资政策、持仓情况、损益情况、净值披露时间等。（</w:t>
      </w:r>
      <w:r>
        <w:rPr>
          <w:rFonts w:ascii="宋体" w:hAnsi="宋体" w:cs="Arial" w:hint="eastAsia"/>
          <w:szCs w:val="21"/>
        </w:rPr>
        <w:t>2</w:t>
      </w:r>
      <w:r>
        <w:rPr>
          <w:rFonts w:ascii="宋体" w:hAnsi="宋体" w:cs="Arial" w:hint="eastAsia"/>
          <w:szCs w:val="21"/>
        </w:rPr>
        <w:t>）交易及持有基金产生的费用，包括申购费、赎回费、销售服务费、管理费、托管费等，招募说明书中应当列明计算方法并举例说明。（</w:t>
      </w:r>
      <w:r>
        <w:rPr>
          <w:rFonts w:ascii="宋体" w:hAnsi="宋体" w:cs="Arial" w:hint="eastAsia"/>
          <w:szCs w:val="21"/>
        </w:rPr>
        <w:t>3</w:t>
      </w:r>
      <w:r>
        <w:rPr>
          <w:rFonts w:ascii="宋体" w:hAnsi="宋体" w:cs="Arial" w:hint="eastAsia"/>
          <w:szCs w:val="21"/>
        </w:rPr>
        <w:t>）本基金持有的基金发生的重大影响事件，如</w:t>
      </w:r>
      <w:r>
        <w:rPr>
          <w:rFonts w:ascii="宋体" w:hAnsi="宋体" w:cs="Arial" w:hint="eastAsia"/>
          <w:szCs w:val="21"/>
        </w:rPr>
        <w:lastRenderedPageBreak/>
        <w:t>转换运作方式、与其他基金合并、终止基金合同以及召开基金份额持有人大会等。（</w:t>
      </w:r>
      <w:r>
        <w:rPr>
          <w:rFonts w:ascii="宋体" w:hAnsi="宋体" w:cs="Arial" w:hint="eastAsia"/>
          <w:szCs w:val="21"/>
        </w:rPr>
        <w:t>4</w:t>
      </w:r>
      <w:r>
        <w:rPr>
          <w:rFonts w:ascii="宋体" w:hAnsi="宋体" w:cs="Arial" w:hint="eastAsia"/>
          <w:szCs w:val="21"/>
        </w:rPr>
        <w:t>）本基金投资于基金管理人以及基金管理人关联方所管理基金的情况。</w:t>
      </w:r>
    </w:p>
    <w:p w14:paraId="0ED889E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（三）基金托管人和基金管理人在信息披露中的职责和信息披露程序</w:t>
      </w:r>
    </w:p>
    <w:p w14:paraId="242F3950"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职责</w:t>
      </w:r>
    </w:p>
    <w:p w14:paraId="42B6761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基金托管人和基金管理人在信息披露过程中</w:t>
      </w:r>
      <w:r>
        <w:rPr>
          <w:rFonts w:ascii="宋体" w:hAnsi="宋体" w:cs="Arial" w:hint="eastAsia"/>
          <w:szCs w:val="21"/>
        </w:rPr>
        <w:t>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6CDD743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基金管理人和基金托管人应积极配合、互相监督，保证其履行按照法定方式和限时披露的义务。</w:t>
      </w:r>
    </w:p>
    <w:p w14:paraId="06C0921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中国证监会规定的时间内，将应予披露的基金信息通过符合中国证监会规定条件的全国性报刊及《信息披露办法》规定的互联网网站等规定媒介披露。根据法律法规应由基金托管人公开披露的信息，基金托管人在规定</w:t>
      </w:r>
      <w:r>
        <w:rPr>
          <w:rFonts w:ascii="宋体" w:hAnsi="宋体" w:cs="Arial" w:hint="eastAsia"/>
          <w:szCs w:val="21"/>
        </w:rPr>
        <w:t>媒介公开披露。</w:t>
      </w:r>
    </w:p>
    <w:p w14:paraId="24B0444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当出现下述情况时，基金管理人和基金托管人可暂停或延迟披露基金相关信息：</w:t>
      </w:r>
    </w:p>
    <w:p w14:paraId="193766A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）基金投资所涉及的证券、期货交易市场或外汇市场遇法定节假日或因其他原因暂停营业时；</w:t>
      </w:r>
    </w:p>
    <w:p w14:paraId="7D69E3D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）因不可抗力或其他情形致使基金管理人、基金托管人无法准确评估基金资产价值或无法进行信息披露时；</w:t>
      </w:r>
    </w:p>
    <w:p w14:paraId="6257954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）当特定资产占前一估值日基金资产净值</w:t>
      </w:r>
      <w:r>
        <w:rPr>
          <w:rFonts w:ascii="宋体" w:hAnsi="宋体" w:cs="Arial" w:hint="eastAsia"/>
          <w:szCs w:val="21"/>
        </w:rPr>
        <w:t>50%</w:t>
      </w:r>
      <w:r>
        <w:rPr>
          <w:rFonts w:ascii="宋体" w:hAnsi="宋体" w:cs="Arial" w:hint="eastAsia"/>
          <w:szCs w:val="21"/>
        </w:rPr>
        <w:t>以上的，经与基金托管人协商确认后暂停估值的；</w:t>
      </w:r>
    </w:p>
    <w:p w14:paraId="55060E7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）法律法规、基金合同或中国证监会规定的情况。</w:t>
      </w:r>
    </w:p>
    <w:p w14:paraId="6465F75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程序</w:t>
      </w:r>
    </w:p>
    <w:p w14:paraId="36CEDE6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39381EA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信息文本的存放</w:t>
      </w:r>
    </w:p>
    <w:p w14:paraId="38FC5D02" w14:textId="77777777" w:rsidR="00F82B4D" w:rsidRDefault="00467E37">
      <w:pPr>
        <w:pStyle w:val="a0"/>
        <w:adjustRightInd w:val="0"/>
        <w:snapToGrid w:val="0"/>
        <w:spacing w:line="360" w:lineRule="auto"/>
        <w:rPr>
          <w:rFonts w:ascii="宋体" w:hAnsi="宋体" w:cs="Arial"/>
          <w:szCs w:val="21"/>
        </w:rPr>
      </w:pPr>
      <w:r>
        <w:rPr>
          <w:rFonts w:ascii="宋体" w:hAnsi="宋体" w:cs="Arial" w:hint="eastAsia"/>
          <w:szCs w:val="21"/>
        </w:rPr>
        <w:t>予以披露的信息文本，存放在基金管理人</w:t>
      </w:r>
      <w:r>
        <w:rPr>
          <w:rFonts w:ascii="宋体" w:hAnsi="宋体" w:cs="Arial" w:hint="eastAsia"/>
          <w:szCs w:val="21"/>
        </w:rPr>
        <w:t>/</w:t>
      </w:r>
      <w:r>
        <w:rPr>
          <w:rFonts w:ascii="宋体" w:hAnsi="宋体" w:cs="Arial" w:hint="eastAsia"/>
          <w:szCs w:val="21"/>
        </w:rPr>
        <w:t>基金托管人处，投资者可以免费查阅。在支付工本费后可在合理时间获得上述文件的复制件或复印件。基金管理人和基金托管人应保证文本的内容与所公告的内容完全一致。</w:t>
      </w:r>
    </w:p>
    <w:p w14:paraId="4488F0FD" w14:textId="77777777" w:rsidR="00F82B4D" w:rsidRDefault="00F82B4D">
      <w:pPr>
        <w:pStyle w:val="a0"/>
        <w:spacing w:line="360" w:lineRule="auto"/>
        <w:ind w:firstLineChars="0" w:firstLine="0"/>
        <w:rPr>
          <w:rFonts w:ascii="宋体" w:hAnsi="宋体" w:cs="Arial"/>
          <w:szCs w:val="21"/>
        </w:rPr>
      </w:pPr>
    </w:p>
    <w:p w14:paraId="5491FCE4"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8" w:name="_Toc384992701"/>
      <w:bookmarkStart w:id="109" w:name="_Toc348082039"/>
      <w:r>
        <w:rPr>
          <w:rFonts w:ascii="宋体" w:eastAsia="宋体" w:hAnsi="宋体" w:hint="eastAsia"/>
          <w:sz w:val="21"/>
          <w:szCs w:val="21"/>
        </w:rPr>
        <w:lastRenderedPageBreak/>
        <w:t>十一、基金费用</w:t>
      </w:r>
      <w:bookmarkEnd w:id="108"/>
      <w:bookmarkEnd w:id="109"/>
    </w:p>
    <w:p w14:paraId="7F9F8EA4" w14:textId="77777777" w:rsidR="00F82B4D" w:rsidRDefault="00467E37">
      <w:pPr>
        <w:adjustRightInd w:val="0"/>
        <w:snapToGrid w:val="0"/>
        <w:spacing w:line="360" w:lineRule="auto"/>
        <w:ind w:firstLineChars="200" w:firstLine="420"/>
        <w:rPr>
          <w:rFonts w:ascii="宋体" w:hAnsi="宋体"/>
          <w:szCs w:val="21"/>
        </w:rPr>
      </w:pPr>
      <w:r>
        <w:rPr>
          <w:rFonts w:hint="eastAsia"/>
          <w:szCs w:val="21"/>
        </w:rPr>
        <w:t>（</w:t>
      </w:r>
      <w:r>
        <w:rPr>
          <w:szCs w:val="21"/>
        </w:rPr>
        <w:t>一）</w:t>
      </w:r>
      <w:r>
        <w:rPr>
          <w:rFonts w:ascii="宋体" w:hAnsi="宋体" w:hint="eastAsia"/>
          <w:szCs w:val="21"/>
        </w:rPr>
        <w:t>基金托管费的计提方法、计提标准和支付方式如下：</w:t>
      </w:r>
    </w:p>
    <w:p w14:paraId="27302549" w14:textId="77777777" w:rsidR="00F82B4D" w:rsidRDefault="00467E37">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本基金对基金财产中持有的本基金托管人自身托管的基金部分不收取托管费。本基金的托管费按前一日除基金托管人托管的基金外的基金资产净值的</w:t>
      </w:r>
      <w:r>
        <w:rPr>
          <w:rFonts w:ascii="宋体" w:hAnsi="宋体" w:cs="Arial" w:hint="eastAsia"/>
          <w:szCs w:val="21"/>
        </w:rPr>
        <w:t>0.15%</w:t>
      </w:r>
      <w:r>
        <w:rPr>
          <w:rFonts w:ascii="宋体" w:hAnsi="宋体" w:cs="Arial" w:hint="eastAsia"/>
          <w:szCs w:val="21"/>
        </w:rPr>
        <w:t>的年费率计提。托管费的计算方法如下：</w:t>
      </w:r>
    </w:p>
    <w:p w14:paraId="7D133729" w14:textId="77777777" w:rsidR="00F82B4D" w:rsidRDefault="00467E37">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H</w:t>
      </w:r>
      <w:r>
        <w:rPr>
          <w:rFonts w:ascii="宋体" w:hAnsi="宋体" w:cs="Arial" w:hint="eastAsia"/>
          <w:szCs w:val="21"/>
        </w:rPr>
        <w:t>＝</w:t>
      </w:r>
      <w:r>
        <w:rPr>
          <w:rFonts w:ascii="宋体" w:hAnsi="宋体" w:cs="Arial" w:hint="eastAsia"/>
          <w:szCs w:val="21"/>
        </w:rPr>
        <w:t>E</w:t>
      </w:r>
      <w:r>
        <w:rPr>
          <w:rFonts w:ascii="宋体" w:hAnsi="宋体" w:cs="Arial" w:hint="eastAsia"/>
          <w:szCs w:val="21"/>
        </w:rPr>
        <w:t>×</w:t>
      </w:r>
      <w:r>
        <w:rPr>
          <w:rFonts w:ascii="宋体" w:hAnsi="宋体" w:cs="Arial" w:hint="eastAsia"/>
          <w:szCs w:val="21"/>
        </w:rPr>
        <w:t>0.15%</w:t>
      </w:r>
      <w:r>
        <w:rPr>
          <w:rFonts w:ascii="宋体" w:hAnsi="宋体" w:cs="Arial" w:hint="eastAsia"/>
          <w:szCs w:val="21"/>
        </w:rPr>
        <w:t>÷当年天数</w:t>
      </w:r>
    </w:p>
    <w:p w14:paraId="65381156" w14:textId="77777777" w:rsidR="00F82B4D" w:rsidRDefault="00467E37">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H</w:t>
      </w:r>
      <w:r>
        <w:rPr>
          <w:rFonts w:ascii="宋体" w:hAnsi="宋体" w:cs="Arial" w:hint="eastAsia"/>
          <w:szCs w:val="21"/>
        </w:rPr>
        <w:t>为每日应计提的基金托管费</w:t>
      </w:r>
    </w:p>
    <w:p w14:paraId="32FDEA62" w14:textId="77777777" w:rsidR="00F82B4D" w:rsidRDefault="00467E37">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E</w:t>
      </w:r>
      <w:r>
        <w:rPr>
          <w:rFonts w:ascii="宋体" w:hAnsi="宋体" w:cs="Arial" w:hint="eastAsia"/>
          <w:szCs w:val="21"/>
        </w:rPr>
        <w:t>为前一日的基金资产净值减去持有基金托管人托管基金的基金资产净值</w:t>
      </w:r>
    </w:p>
    <w:p w14:paraId="521578C8" w14:textId="77777777" w:rsidR="00F82B4D" w:rsidRDefault="00467E37">
      <w:pPr>
        <w:adjustRightInd w:val="0"/>
        <w:snapToGrid w:val="0"/>
        <w:spacing w:line="360" w:lineRule="auto"/>
        <w:ind w:firstLineChars="200" w:firstLine="420"/>
        <w:jc w:val="left"/>
        <w:rPr>
          <w:rFonts w:ascii="宋体" w:hAnsi="宋体" w:cs="Arial"/>
          <w:szCs w:val="21"/>
        </w:rPr>
      </w:pPr>
      <w:bookmarkStart w:id="110" w:name="OLE_LINK23"/>
      <w:bookmarkStart w:id="111" w:name="OLE_LINK24"/>
      <w:r>
        <w:rPr>
          <w:rFonts w:ascii="宋体" w:hAnsi="宋体" w:cs="Arial" w:hint="eastAsia"/>
          <w:szCs w:val="21"/>
        </w:rPr>
        <w:t>基金托管费每日计提，逐日累计至每月月末，按月支付，经基金管理人与基金托管人双方核对无误后，基金托管人按照与基金管理人协商一致的方式于次月首日起</w:t>
      </w:r>
      <w:r>
        <w:rPr>
          <w:rFonts w:ascii="宋体" w:hAnsi="宋体" w:cs="Arial" w:hint="eastAsia"/>
          <w:szCs w:val="21"/>
        </w:rPr>
        <w:t>5</w:t>
      </w:r>
      <w:r>
        <w:rPr>
          <w:rFonts w:ascii="宋体" w:hAnsi="宋体" w:cs="Arial" w:hint="eastAsia"/>
          <w:szCs w:val="21"/>
        </w:rPr>
        <w:t>个工作日内从基金财产中一次性支取。若遇法定节假日、公休假或不可抗力</w:t>
      </w:r>
      <w:r>
        <w:rPr>
          <w:rFonts w:ascii="宋体" w:hAnsi="宋体" w:cs="Arial" w:hint="eastAsia"/>
          <w:szCs w:val="21"/>
        </w:rPr>
        <w:t>等，支付日期顺延。</w:t>
      </w:r>
      <w:r>
        <w:rPr>
          <w:rFonts w:ascii="宋体" w:hAnsi="宋体" w:cs="Arial"/>
          <w:szCs w:val="21"/>
        </w:rPr>
        <w:t xml:space="preserve"> </w:t>
      </w:r>
      <w:bookmarkStart w:id="112" w:name="CTS_608c7338e08f4004a54213593452c4e8"/>
      <w:bookmarkEnd w:id="112"/>
    </w:p>
    <w:bookmarkEnd w:id="110"/>
    <w:bookmarkEnd w:id="111"/>
    <w:p w14:paraId="1CC77FED" w14:textId="77777777" w:rsidR="00F82B4D" w:rsidRDefault="00467E37">
      <w:pPr>
        <w:adjustRightInd w:val="0"/>
        <w:snapToGrid w:val="0"/>
        <w:spacing w:line="360" w:lineRule="auto"/>
        <w:ind w:firstLineChars="200" w:firstLine="420"/>
        <w:rPr>
          <w:rFonts w:ascii="宋体" w:hAnsi="宋体"/>
          <w:color w:val="000000"/>
          <w:szCs w:val="21"/>
        </w:rPr>
      </w:pPr>
      <w:r>
        <w:rPr>
          <w:rFonts w:hint="eastAsia"/>
          <w:szCs w:val="21"/>
        </w:rPr>
        <w:t>（</w:t>
      </w:r>
      <w:r>
        <w:rPr>
          <w:szCs w:val="21"/>
        </w:rPr>
        <w:t>二）</w:t>
      </w:r>
      <w:r>
        <w:rPr>
          <w:rFonts w:hint="eastAsia"/>
          <w:szCs w:val="21"/>
        </w:rPr>
        <w:t>基</w:t>
      </w:r>
      <w:r>
        <w:rPr>
          <w:rFonts w:hAnsi="宋体" w:hint="eastAsia"/>
          <w:szCs w:val="21"/>
        </w:rPr>
        <w:t>金其他费用按照《基金合同》的约定计提和支付</w:t>
      </w:r>
      <w:r>
        <w:rPr>
          <w:rFonts w:ascii="宋体" w:hAnsi="宋体" w:hint="eastAsia"/>
          <w:color w:val="000000"/>
          <w:szCs w:val="21"/>
        </w:rPr>
        <w:t>。</w:t>
      </w:r>
    </w:p>
    <w:p w14:paraId="2C8376D3" w14:textId="77777777" w:rsidR="00F82B4D" w:rsidRDefault="00F82B4D">
      <w:pPr>
        <w:adjustRightInd w:val="0"/>
        <w:snapToGrid w:val="0"/>
        <w:spacing w:line="360" w:lineRule="auto"/>
        <w:ind w:firstLineChars="200" w:firstLine="420"/>
        <w:rPr>
          <w:rFonts w:ascii="宋体" w:hAnsi="宋体"/>
          <w:color w:val="000000"/>
          <w:szCs w:val="21"/>
        </w:rPr>
      </w:pPr>
    </w:p>
    <w:p w14:paraId="4A723A51" w14:textId="77777777" w:rsidR="00F82B4D" w:rsidRDefault="00467E37">
      <w:pPr>
        <w:pStyle w:val="2"/>
        <w:spacing w:beforeLines="100" w:before="312" w:afterLines="50" w:after="156" w:line="360" w:lineRule="auto"/>
        <w:ind w:firstLineChars="250" w:firstLine="527"/>
        <w:jc w:val="center"/>
        <w:rPr>
          <w:rFonts w:ascii="宋体" w:eastAsia="宋体" w:hAnsi="宋体"/>
          <w:sz w:val="21"/>
          <w:szCs w:val="21"/>
        </w:rPr>
      </w:pPr>
      <w:r>
        <w:rPr>
          <w:rFonts w:ascii="宋体" w:eastAsia="宋体" w:hAnsi="宋体"/>
          <w:sz w:val="21"/>
          <w:szCs w:val="21"/>
        </w:rPr>
        <w:br w:type="page"/>
      </w:r>
      <w:bookmarkStart w:id="113" w:name="_Toc348082040"/>
      <w:bookmarkStart w:id="114" w:name="_Toc384992702"/>
      <w:r>
        <w:rPr>
          <w:rFonts w:ascii="宋体" w:eastAsia="宋体" w:hAnsi="宋体" w:hint="eastAsia"/>
          <w:sz w:val="21"/>
          <w:szCs w:val="21"/>
        </w:rPr>
        <w:lastRenderedPageBreak/>
        <w:t>十二、基金份额持有人名册的保管</w:t>
      </w:r>
      <w:bookmarkEnd w:id="113"/>
      <w:bookmarkEnd w:id="114"/>
    </w:p>
    <w:p w14:paraId="1B34221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少于法律法规规定的最低期限。如不能妥善保管，则按相关法律法规承担责任。</w:t>
      </w:r>
    </w:p>
    <w:p w14:paraId="3A0BF4EA"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在基金托管人要求或编制中期报告和年度报告前，基金管理人应将有关资料送交基金托管人，不得无故拒绝或延误提供，并保证其的真实性、准</w:t>
      </w:r>
      <w:r>
        <w:rPr>
          <w:rFonts w:ascii="宋体" w:hAnsi="宋体" w:cs="Arial" w:hint="eastAsia"/>
          <w:szCs w:val="21"/>
        </w:rPr>
        <w:t>确性和完整性。基金管理人和托管人不得将所保管的基金份额持有人名册用于基金托管业务以外的其他用途，并应遵守保密义务。</w:t>
      </w:r>
    </w:p>
    <w:p w14:paraId="77BF8FD1" w14:textId="77777777" w:rsidR="00F82B4D" w:rsidRDefault="00467E37">
      <w:pPr>
        <w:pStyle w:val="2"/>
        <w:spacing w:beforeLines="100" w:before="312" w:afterLines="50" w:after="156" w:line="360" w:lineRule="auto"/>
        <w:ind w:firstLine="480"/>
        <w:jc w:val="center"/>
        <w:rPr>
          <w:sz w:val="21"/>
          <w:szCs w:val="21"/>
        </w:rPr>
      </w:pPr>
      <w:r>
        <w:rPr>
          <w:rFonts w:ascii="宋体" w:hAnsi="宋体"/>
          <w:b w:val="0"/>
          <w:sz w:val="21"/>
          <w:szCs w:val="21"/>
        </w:rPr>
        <w:br w:type="page"/>
      </w:r>
      <w:bookmarkStart w:id="115" w:name="_Toc348082041"/>
      <w:bookmarkStart w:id="116" w:name="_Toc384992703"/>
      <w:r>
        <w:rPr>
          <w:rFonts w:ascii="宋体" w:eastAsia="宋体" w:hAnsi="宋体" w:hint="eastAsia"/>
          <w:sz w:val="21"/>
          <w:szCs w:val="21"/>
        </w:rPr>
        <w:lastRenderedPageBreak/>
        <w:t>十三、基金有关文件档案的保存</w:t>
      </w:r>
      <w:bookmarkEnd w:id="115"/>
      <w:bookmarkEnd w:id="116"/>
    </w:p>
    <w:p w14:paraId="0AFD4AD4" w14:textId="77777777" w:rsidR="00F82B4D" w:rsidRDefault="00467E3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（一）档案保存</w:t>
      </w:r>
    </w:p>
    <w:p w14:paraId="322C4AE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保管。保存期限不少于法律法规规定的最低期限。</w:t>
      </w:r>
    </w:p>
    <w:p w14:paraId="68428058" w14:textId="77777777" w:rsidR="00F82B4D" w:rsidRDefault="00467E3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（二）合同档案的建立</w:t>
      </w:r>
    </w:p>
    <w:p w14:paraId="5A42968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基金管理人签署重大合同文本后，应及时将合同文本正本送达基金托管人处。</w:t>
      </w:r>
    </w:p>
    <w:p w14:paraId="479645E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基金管理人应及时将与本基金账务处理、资金划拨等有关的合同、协议传真或通过双方认可的其他方式发送至基金托管人。</w:t>
      </w:r>
    </w:p>
    <w:p w14:paraId="6B03E4D0" w14:textId="77777777" w:rsidR="00F82B4D" w:rsidRDefault="00467E3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（三）变更与协助</w:t>
      </w:r>
    </w:p>
    <w:p w14:paraId="0F6DE71E" w14:textId="77777777" w:rsidR="00F82B4D" w:rsidRDefault="00467E37">
      <w:pPr>
        <w:adjustRightInd w:val="0"/>
        <w:snapToGrid w:val="0"/>
        <w:spacing w:line="360" w:lineRule="auto"/>
        <w:ind w:firstLineChars="200" w:firstLine="420"/>
        <w:rPr>
          <w:rFonts w:ascii="宋体" w:hAnsi="宋体"/>
          <w:b/>
          <w:bCs/>
          <w:szCs w:val="21"/>
        </w:rPr>
      </w:pPr>
      <w:r>
        <w:rPr>
          <w:rFonts w:ascii="宋体" w:hAnsi="宋体" w:cs="Arial" w:hint="eastAsia"/>
          <w:szCs w:val="21"/>
        </w:rPr>
        <w:t>若基金管理人</w:t>
      </w:r>
      <w:r>
        <w:rPr>
          <w:rFonts w:ascii="宋体" w:hAnsi="宋体" w:cs="Arial" w:hint="eastAsia"/>
          <w:szCs w:val="21"/>
        </w:rPr>
        <w:t>/</w:t>
      </w:r>
      <w:r>
        <w:rPr>
          <w:rFonts w:ascii="宋体" w:hAnsi="宋体" w:cs="Arial" w:hint="eastAsia"/>
          <w:szCs w:val="21"/>
        </w:rPr>
        <w:t>基金托管人发生变更，未变更的一方有义务协助变更后的接任人接收相应文件。</w:t>
      </w:r>
    </w:p>
    <w:p w14:paraId="06481E94" w14:textId="77777777" w:rsidR="00F82B4D" w:rsidRDefault="00467E3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（四）基金管理人和基金托管人应按各自职责完整保存原始凭证、记账凭证、基金账册、交易记录和重要合同等，承担保密义务并保存不少于法律法规规定的最低期限。</w:t>
      </w:r>
    </w:p>
    <w:p w14:paraId="17C9BB7B" w14:textId="77777777" w:rsidR="00F82B4D" w:rsidRDefault="00F82B4D">
      <w:pPr>
        <w:adjustRightInd w:val="0"/>
        <w:snapToGrid w:val="0"/>
        <w:spacing w:line="360" w:lineRule="auto"/>
        <w:rPr>
          <w:rFonts w:ascii="宋体" w:hAnsi="宋体"/>
          <w:szCs w:val="21"/>
        </w:rPr>
      </w:pPr>
    </w:p>
    <w:p w14:paraId="312A1B80"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7" w:name="_Toc384992704"/>
      <w:bookmarkStart w:id="118" w:name="_Toc348082042"/>
      <w:r>
        <w:rPr>
          <w:rFonts w:ascii="宋体" w:eastAsia="宋体" w:hAnsi="宋体" w:hint="eastAsia"/>
          <w:sz w:val="21"/>
          <w:szCs w:val="21"/>
        </w:rPr>
        <w:lastRenderedPageBreak/>
        <w:t>十四、基金管理人和基金托管人的更换</w:t>
      </w:r>
      <w:bookmarkEnd w:id="117"/>
      <w:bookmarkEnd w:id="118"/>
    </w:p>
    <w:p w14:paraId="376DD1B8" w14:textId="77777777" w:rsidR="00F82B4D" w:rsidRDefault="00467E37">
      <w:pPr>
        <w:spacing w:line="360" w:lineRule="auto"/>
        <w:ind w:firstLine="420"/>
        <w:rPr>
          <w:rFonts w:ascii="宋体" w:hAnsi="宋体"/>
          <w:kern w:val="0"/>
          <w:szCs w:val="21"/>
        </w:rPr>
      </w:pPr>
      <w:r>
        <w:rPr>
          <w:rFonts w:ascii="宋体" w:hAnsi="宋体" w:hint="eastAsia"/>
          <w:szCs w:val="21"/>
        </w:rPr>
        <w:t>（一）</w:t>
      </w:r>
      <w:r>
        <w:rPr>
          <w:rFonts w:ascii="宋体" w:hAnsi="宋体"/>
          <w:kern w:val="0"/>
          <w:szCs w:val="21"/>
        </w:rPr>
        <w:t>基金管理人职责终止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应妥善保管基金管理业务资料，</w:t>
      </w:r>
      <w:r>
        <w:rPr>
          <w:rFonts w:ascii="宋体" w:hAnsi="宋体" w:cs="Arial" w:hint="eastAsia"/>
          <w:szCs w:val="21"/>
        </w:rPr>
        <w:t>保证不做出对基金份额持有人的利益造成损害的行为，</w:t>
      </w:r>
      <w:r>
        <w:rPr>
          <w:rFonts w:ascii="宋体" w:hAnsi="宋体" w:hint="eastAsia"/>
          <w:kern w:val="0"/>
          <w:szCs w:val="21"/>
        </w:rPr>
        <w:t>并与新任基金管理人或临时基金管理人</w:t>
      </w:r>
      <w:r>
        <w:rPr>
          <w:rFonts w:ascii="宋体" w:hAnsi="宋体"/>
          <w:kern w:val="0"/>
          <w:szCs w:val="21"/>
        </w:rPr>
        <w:t>及时办理基金管理业务的移交手续。</w:t>
      </w:r>
      <w:r>
        <w:rPr>
          <w:rFonts w:ascii="宋体" w:hAnsi="宋体" w:hint="eastAsia"/>
          <w:kern w:val="0"/>
          <w:szCs w:val="21"/>
        </w:rPr>
        <w:t>基金托管人应给予积极配合，并与新任基金管理人或临时基金管理人核对</w:t>
      </w:r>
      <w:r>
        <w:rPr>
          <w:rFonts w:ascii="宋体" w:hAnsi="宋体" w:hint="eastAsia"/>
          <w:kern w:val="0"/>
          <w:szCs w:val="21"/>
        </w:rPr>
        <w:t>基金资产总值和基金资产净值。</w:t>
      </w:r>
    </w:p>
    <w:p w14:paraId="0B135FFB" w14:textId="77777777" w:rsidR="00F82B4D" w:rsidRDefault="00467E37">
      <w:pPr>
        <w:spacing w:line="360" w:lineRule="auto"/>
        <w:ind w:firstLine="420"/>
        <w:rPr>
          <w:rFonts w:ascii="宋体" w:hAnsi="宋体"/>
          <w:kern w:val="0"/>
          <w:szCs w:val="21"/>
        </w:rPr>
      </w:pPr>
      <w:r>
        <w:rPr>
          <w:rFonts w:ascii="宋体" w:hAnsi="宋体" w:hint="eastAsia"/>
          <w:szCs w:val="21"/>
        </w:rPr>
        <w:t>（二）</w:t>
      </w:r>
      <w:r>
        <w:rPr>
          <w:rFonts w:ascii="宋体" w:hAnsi="宋体"/>
          <w:kern w:val="0"/>
          <w:szCs w:val="21"/>
        </w:rPr>
        <w:t>基金托管人职责终止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应妥善保管基金财产和基金托管业务资料，</w:t>
      </w:r>
      <w:r>
        <w:rPr>
          <w:rFonts w:ascii="宋体" w:hAnsi="宋体" w:cs="Arial" w:hint="eastAsia"/>
          <w:szCs w:val="21"/>
        </w:rPr>
        <w:t>保证不做出对基金份额持有人的利益造成损害的行为，</w:t>
      </w:r>
      <w:r>
        <w:rPr>
          <w:rFonts w:ascii="宋体" w:hAnsi="宋体" w:hint="eastAsia"/>
          <w:kern w:val="0"/>
          <w:szCs w:val="21"/>
        </w:rPr>
        <w:t>并与新任基金托管人或临时基金托管人</w:t>
      </w:r>
      <w:r>
        <w:rPr>
          <w:rFonts w:ascii="宋体" w:hAnsi="宋体"/>
          <w:kern w:val="0"/>
          <w:szCs w:val="21"/>
        </w:rPr>
        <w:t>及时办理基金财产和基金托管业务的移交手续。</w:t>
      </w:r>
      <w:r>
        <w:rPr>
          <w:rFonts w:ascii="宋体" w:hAnsi="宋体" w:hint="eastAsia"/>
          <w:kern w:val="0"/>
          <w:szCs w:val="21"/>
        </w:rPr>
        <w:t>基金管理人应给予积极配合，并与新任基金托管人或临时基金托管人核对基金资产总值和基金资产净值。</w:t>
      </w:r>
    </w:p>
    <w:p w14:paraId="0155D563" w14:textId="77777777" w:rsidR="00F82B4D" w:rsidRDefault="00467E37">
      <w:pPr>
        <w:spacing w:line="360" w:lineRule="auto"/>
        <w:ind w:firstLine="420"/>
        <w:rPr>
          <w:rFonts w:ascii="宋体" w:hAnsi="宋体" w:cs="Arial"/>
          <w:szCs w:val="21"/>
        </w:rPr>
      </w:pPr>
      <w:r>
        <w:rPr>
          <w:rFonts w:ascii="宋体" w:hAnsi="宋体" w:hint="eastAsia"/>
          <w:kern w:val="0"/>
          <w:szCs w:val="21"/>
        </w:rPr>
        <w:t>（三）其他事宜见基金合同的相关约定。</w:t>
      </w:r>
    </w:p>
    <w:p w14:paraId="54E7E917" w14:textId="77777777" w:rsidR="00F82B4D" w:rsidRDefault="00F82B4D">
      <w:pPr>
        <w:adjustRightInd w:val="0"/>
        <w:snapToGrid w:val="0"/>
        <w:spacing w:line="360" w:lineRule="auto"/>
        <w:rPr>
          <w:rFonts w:ascii="宋体" w:hAnsi="宋体" w:cs="Arial"/>
          <w:szCs w:val="21"/>
        </w:rPr>
      </w:pPr>
    </w:p>
    <w:p w14:paraId="5FE6050D"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9" w:name="_Toc348082043"/>
      <w:bookmarkStart w:id="120" w:name="_Toc384992705"/>
      <w:r>
        <w:rPr>
          <w:rFonts w:ascii="宋体" w:eastAsia="宋体" w:hAnsi="宋体" w:hint="eastAsia"/>
          <w:sz w:val="21"/>
          <w:szCs w:val="21"/>
        </w:rPr>
        <w:lastRenderedPageBreak/>
        <w:t>十五、禁止行为</w:t>
      </w:r>
      <w:bookmarkEnd w:id="119"/>
      <w:bookmarkEnd w:id="120"/>
    </w:p>
    <w:p w14:paraId="165CA60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本协议当事人禁止从事的行为，包括但不限于：</w:t>
      </w:r>
    </w:p>
    <w:p w14:paraId="7B5A405E" w14:textId="77777777" w:rsidR="00F82B4D" w:rsidRDefault="00467E37">
      <w:pPr>
        <w:spacing w:line="360" w:lineRule="auto"/>
        <w:ind w:firstLineChars="200" w:firstLine="420"/>
        <w:rPr>
          <w:rFonts w:ascii="宋体" w:hAnsi="宋体"/>
          <w:szCs w:val="21"/>
        </w:rPr>
      </w:pPr>
      <w:r>
        <w:rPr>
          <w:rFonts w:ascii="宋体" w:hAnsi="宋体" w:hint="eastAsia"/>
          <w:szCs w:val="21"/>
        </w:rPr>
        <w:t>（一）基金管理人、基金托管人将其固有财产或者他人财产混同于基金财产从事证券投资。</w:t>
      </w:r>
    </w:p>
    <w:p w14:paraId="50645095" w14:textId="77777777" w:rsidR="00F82B4D" w:rsidRDefault="00467E37">
      <w:pPr>
        <w:spacing w:line="360" w:lineRule="auto"/>
        <w:ind w:firstLineChars="200" w:firstLine="420"/>
        <w:rPr>
          <w:rFonts w:ascii="宋体" w:hAnsi="宋体"/>
          <w:szCs w:val="21"/>
        </w:rPr>
      </w:pPr>
      <w:r>
        <w:rPr>
          <w:rFonts w:ascii="宋体" w:hAnsi="宋体" w:hint="eastAsia"/>
          <w:szCs w:val="21"/>
        </w:rPr>
        <w:t>（二）基金管理人不公平地对待其管理的不同基金财产，基金托管人不公平地对待其托管的不同基金财产。</w:t>
      </w:r>
    </w:p>
    <w:p w14:paraId="3374367A" w14:textId="77777777" w:rsidR="00F82B4D" w:rsidRDefault="00467E37">
      <w:pPr>
        <w:spacing w:line="360" w:lineRule="auto"/>
        <w:ind w:firstLineChars="200" w:firstLine="420"/>
        <w:rPr>
          <w:rFonts w:ascii="宋体" w:hAnsi="宋体"/>
          <w:szCs w:val="21"/>
        </w:rPr>
      </w:pPr>
      <w:r>
        <w:rPr>
          <w:rFonts w:ascii="宋体" w:hAnsi="宋体" w:hint="eastAsia"/>
          <w:szCs w:val="21"/>
        </w:rPr>
        <w:t>（三）基金管理人、基金托管人利用基金财产或者职务之便为基金份额持有人以外的第三人牟取利益。</w:t>
      </w:r>
    </w:p>
    <w:p w14:paraId="0C5AB1B4" w14:textId="77777777" w:rsidR="00F82B4D" w:rsidRDefault="00467E37">
      <w:pPr>
        <w:spacing w:line="360" w:lineRule="auto"/>
        <w:ind w:firstLineChars="200" w:firstLine="420"/>
        <w:rPr>
          <w:rFonts w:ascii="宋体" w:hAnsi="宋体"/>
          <w:szCs w:val="21"/>
        </w:rPr>
      </w:pPr>
      <w:r>
        <w:rPr>
          <w:rFonts w:ascii="宋体" w:hAnsi="宋体" w:hint="eastAsia"/>
          <w:szCs w:val="21"/>
        </w:rPr>
        <w:t>（四）基金管理人、基金托管人向基金份额持有人违规承诺收益或者承担损失。</w:t>
      </w:r>
    </w:p>
    <w:p w14:paraId="0E5FEF8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（五）基金管理人、基金托管人对他人泄漏基金运作和管理过程中任何尚未按法律法规规定的方式公开披露的信息。</w:t>
      </w:r>
    </w:p>
    <w:p w14:paraId="1174DD2C" w14:textId="77777777" w:rsidR="00F82B4D" w:rsidRDefault="00467E37">
      <w:pPr>
        <w:pStyle w:val="a8"/>
        <w:spacing w:line="360" w:lineRule="auto"/>
        <w:ind w:firstLine="420"/>
        <w:rPr>
          <w:rFonts w:ascii="宋体" w:eastAsia="宋体" w:hAnsi="宋体" w:cs="Arial"/>
          <w:sz w:val="21"/>
          <w:szCs w:val="21"/>
        </w:rPr>
      </w:pPr>
      <w:r>
        <w:rPr>
          <w:rFonts w:ascii="宋体" w:eastAsia="宋体" w:hAnsi="宋体" w:cs="Arial" w:hint="eastAsia"/>
          <w:sz w:val="21"/>
          <w:szCs w:val="21"/>
        </w:rPr>
        <w:t>（六）基金管理人在没有充足资金的情况下向基金托管人发出投资指令和付款指令，或违规向基金托管人发出指令。</w:t>
      </w:r>
    </w:p>
    <w:p w14:paraId="4B558D4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（七）基金管理人、基金托管人在行政上、财务上不独立，其高级管理人员和其他从业人员相互兼职。</w:t>
      </w:r>
    </w:p>
    <w:p w14:paraId="2C1950F5" w14:textId="77777777" w:rsidR="00F82B4D" w:rsidRDefault="00467E37">
      <w:pPr>
        <w:spacing w:line="360" w:lineRule="auto"/>
        <w:ind w:firstLineChars="200" w:firstLine="420"/>
        <w:rPr>
          <w:rFonts w:ascii="宋体" w:hAnsi="宋体" w:cs="Arial"/>
          <w:szCs w:val="21"/>
        </w:rPr>
      </w:pPr>
      <w:r>
        <w:rPr>
          <w:rFonts w:ascii="宋体" w:hAnsi="宋体" w:cs="Arial" w:hint="eastAsia"/>
          <w:szCs w:val="21"/>
        </w:rPr>
        <w:t>（八）基金托管人私自动用或处分基金财产，根据基金管理人的合法指令、基金合同或托管协议的规定进行处分的除外。</w:t>
      </w:r>
    </w:p>
    <w:p w14:paraId="62438604" w14:textId="77777777" w:rsidR="00F82B4D" w:rsidRDefault="00467E37">
      <w:pPr>
        <w:spacing w:line="360" w:lineRule="auto"/>
        <w:ind w:firstLineChars="200" w:firstLine="420"/>
        <w:rPr>
          <w:rFonts w:ascii="宋体" w:hAnsi="宋体"/>
          <w:szCs w:val="21"/>
        </w:rPr>
      </w:pPr>
      <w:r>
        <w:rPr>
          <w:rFonts w:ascii="宋体" w:hAnsi="宋体" w:cs="Arial" w:hint="eastAsia"/>
          <w:szCs w:val="21"/>
        </w:rPr>
        <w:t>（九）法律法规和基金合同禁止的其他行为，以及</w:t>
      </w:r>
      <w:r>
        <w:rPr>
          <w:rFonts w:ascii="宋体" w:hAnsi="宋体" w:hint="eastAsia"/>
          <w:szCs w:val="21"/>
        </w:rPr>
        <w:t>依照法律、行政法规有关规定，由</w:t>
      </w:r>
      <w:r>
        <w:rPr>
          <w:rFonts w:ascii="宋体" w:hAnsi="宋体" w:cs="Arial" w:hint="eastAsia"/>
          <w:szCs w:val="21"/>
        </w:rPr>
        <w:t>中国证监会</w:t>
      </w:r>
      <w:r>
        <w:rPr>
          <w:rFonts w:ascii="宋体" w:hAnsi="宋体" w:hint="eastAsia"/>
          <w:szCs w:val="21"/>
        </w:rPr>
        <w:t>规定禁止基金管理人、基金托管人从事的其他行为。</w:t>
      </w:r>
    </w:p>
    <w:p w14:paraId="53793E70"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hAnsi="宋体"/>
          <w:b w:val="0"/>
          <w:sz w:val="21"/>
          <w:szCs w:val="21"/>
        </w:rPr>
        <w:br w:type="page"/>
      </w:r>
      <w:bookmarkStart w:id="121" w:name="_Toc384992706"/>
      <w:bookmarkStart w:id="122" w:name="_Toc348082044"/>
      <w:r>
        <w:rPr>
          <w:rFonts w:ascii="宋体" w:eastAsia="宋体" w:hAnsi="宋体" w:hint="eastAsia"/>
          <w:sz w:val="21"/>
          <w:szCs w:val="21"/>
        </w:rPr>
        <w:lastRenderedPageBreak/>
        <w:t>十六、托管协议的变更、终止与基金财产的清算</w:t>
      </w:r>
      <w:bookmarkEnd w:id="121"/>
      <w:bookmarkEnd w:id="122"/>
    </w:p>
    <w:p w14:paraId="6D5D399C"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（一）托管协议的变更程序</w:t>
      </w:r>
    </w:p>
    <w:p w14:paraId="2C77F73B"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本协议双方当事人经协商一致，可以对协议进行修改。修改后的新协议，其内容不得与基金合同的规定有任何冲突。基金托</w:t>
      </w:r>
      <w:r>
        <w:rPr>
          <w:rFonts w:ascii="宋体" w:hAnsi="宋体" w:cs="Arial" w:hint="eastAsia"/>
          <w:szCs w:val="21"/>
        </w:rPr>
        <w:t>管协议的变更需履行适当程序。</w:t>
      </w:r>
    </w:p>
    <w:p w14:paraId="1154591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（二）基金托管协议终止的情形</w:t>
      </w:r>
    </w:p>
    <w:p w14:paraId="6BEAAC3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、《基金合同》终止；</w:t>
      </w:r>
    </w:p>
    <w:p w14:paraId="24DD59D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、基金托管人因解散、破产、撤销等事由，不能继续担任基金托管人的职务，而在</w:t>
      </w:r>
      <w:r>
        <w:rPr>
          <w:rFonts w:ascii="宋体" w:hAnsi="宋体" w:cs="Arial" w:hint="eastAsia"/>
          <w:szCs w:val="21"/>
        </w:rPr>
        <w:t>6</w:t>
      </w:r>
      <w:r>
        <w:rPr>
          <w:rFonts w:ascii="宋体" w:hAnsi="宋体" w:cs="Arial" w:hint="eastAsia"/>
          <w:szCs w:val="21"/>
        </w:rPr>
        <w:t>个月内无其他适当的托管机构承接其原有权利义务；</w:t>
      </w:r>
    </w:p>
    <w:p w14:paraId="5ACBD522"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hint="eastAsia"/>
          <w:szCs w:val="21"/>
        </w:rPr>
        <w:t>、基金管理人因解散、破产、撤销等事由，不能继续担任基金管理人的职务，而在</w:t>
      </w:r>
      <w:r>
        <w:rPr>
          <w:rFonts w:ascii="宋体" w:hAnsi="宋体" w:cs="Arial" w:hint="eastAsia"/>
          <w:szCs w:val="21"/>
        </w:rPr>
        <w:t>6</w:t>
      </w:r>
      <w:r>
        <w:rPr>
          <w:rFonts w:ascii="宋体" w:hAnsi="宋体" w:cs="Arial" w:hint="eastAsia"/>
          <w:szCs w:val="21"/>
        </w:rPr>
        <w:t>个月内无其他适当的基金管理公司承接其原有权利义务；</w:t>
      </w:r>
    </w:p>
    <w:p w14:paraId="58BC5F41"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、发生法律法规或《基金合同》规定的其他终止事项。</w:t>
      </w:r>
    </w:p>
    <w:p w14:paraId="4D9F1BA7"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（三）基金财产的清算</w:t>
      </w:r>
    </w:p>
    <w:p w14:paraId="6BF4A3BE" w14:textId="77777777" w:rsidR="00F82B4D" w:rsidRDefault="00467E37">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基金管理人与基金托管人按照《基金合同》的约定处理基金财产的清算。</w:t>
      </w:r>
    </w:p>
    <w:p w14:paraId="233A9434" w14:textId="77777777" w:rsidR="00F82B4D" w:rsidRDefault="00F82B4D">
      <w:pPr>
        <w:adjustRightInd w:val="0"/>
        <w:snapToGrid w:val="0"/>
        <w:spacing w:line="360" w:lineRule="auto"/>
        <w:rPr>
          <w:rFonts w:ascii="宋体" w:hAnsi="宋体" w:cs="Arial"/>
          <w:szCs w:val="21"/>
        </w:rPr>
      </w:pPr>
    </w:p>
    <w:p w14:paraId="19546330"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3" w:name="_Toc348082045"/>
      <w:bookmarkStart w:id="124" w:name="_Toc384992707"/>
      <w:r>
        <w:rPr>
          <w:rFonts w:ascii="宋体" w:eastAsia="宋体" w:hAnsi="宋体" w:hint="eastAsia"/>
          <w:sz w:val="21"/>
          <w:szCs w:val="21"/>
        </w:rPr>
        <w:lastRenderedPageBreak/>
        <w:t>十七、违约责任</w:t>
      </w:r>
      <w:bookmarkEnd w:id="123"/>
      <w:bookmarkEnd w:id="124"/>
    </w:p>
    <w:p w14:paraId="556DE92D"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Pr>
          <w:rFonts w:ascii="宋体" w:hAnsi="宋体" w:cs="Arial"/>
          <w:szCs w:val="21"/>
        </w:rPr>
        <w:t>基金管理人</w:t>
      </w:r>
      <w:r>
        <w:rPr>
          <w:rFonts w:ascii="宋体" w:hAnsi="宋体" w:cs="Arial"/>
          <w:szCs w:val="21"/>
        </w:rPr>
        <w:t>、基金托管人</w:t>
      </w:r>
      <w:r>
        <w:rPr>
          <w:rFonts w:ascii="宋体" w:hAnsi="宋体" w:cs="Arial" w:hint="eastAsia"/>
          <w:szCs w:val="21"/>
        </w:rPr>
        <w:t>不</w:t>
      </w:r>
      <w:r>
        <w:rPr>
          <w:rFonts w:ascii="宋体" w:hAnsi="宋体" w:cs="Arial"/>
          <w:szCs w:val="21"/>
        </w:rPr>
        <w:t>履行</w:t>
      </w:r>
      <w:r>
        <w:rPr>
          <w:rFonts w:ascii="宋体" w:hAnsi="宋体" w:cs="Arial" w:hint="eastAsia"/>
          <w:szCs w:val="21"/>
        </w:rPr>
        <w:t>本协议或履行本协议不符合约定的，应当承担违约责任。</w:t>
      </w:r>
    </w:p>
    <w:p w14:paraId="74973AC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Pr>
          <w:rFonts w:ascii="宋体" w:hAnsi="宋体" w:cs="Arial"/>
          <w:szCs w:val="21"/>
        </w:rPr>
        <w:t>基金管理人、基金托管人在履行各自职责的过程中，违反</w:t>
      </w:r>
      <w:r>
        <w:rPr>
          <w:rFonts w:ascii="宋体" w:hAnsi="宋体" w:cs="Arial" w:hint="eastAsia"/>
          <w:szCs w:val="21"/>
        </w:rPr>
        <w:t>《基金法》等法律法规的规定、《基金合同》和本托管协议</w:t>
      </w:r>
      <w:r>
        <w:rPr>
          <w:rFonts w:ascii="宋体" w:hAnsi="宋体" w:cs="Arial"/>
          <w:szCs w:val="21"/>
        </w:rPr>
        <w:t>约定，给基金财产或者基金份额持有人造成损害的，应当分别对各自的行为依法承担赔偿责任；因共同行为给基金财产或者基金份额持有人造成损害的，应当</w:t>
      </w:r>
      <w:r>
        <w:rPr>
          <w:rFonts w:ascii="宋体" w:hAnsi="宋体" w:cs="Arial" w:hint="eastAsia"/>
          <w:szCs w:val="21"/>
        </w:rPr>
        <w:t>承担连带赔偿责任，对损失的赔偿，仅限于直接损失。一方承担连带责任后有权根据另一方过错程度向另一方追偿</w:t>
      </w:r>
      <w:r>
        <w:rPr>
          <w:rFonts w:ascii="宋体" w:hAnsi="宋体" w:cs="Arial"/>
          <w:szCs w:val="21"/>
        </w:rPr>
        <w:t>。</w:t>
      </w:r>
    </w:p>
    <w:p w14:paraId="68B7303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（三）一方当事人违约，给另一方当事人或基金财产造成损失的，应就直接损失进行赔偿，另一方当事人有权利及义务代表基金向违约方追偿。但是如发生下列情况，当事人免责：</w:t>
      </w:r>
    </w:p>
    <w:p w14:paraId="56C2CB35"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、基金管理人及基金托管人按照当时有效的法律法规或中国证监会的规定作为或不作为而造成的损失等；</w:t>
      </w:r>
    </w:p>
    <w:p w14:paraId="09FAA6C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、基金管理人由于按照《基金合同》规定的投资原则而行使或不行使其投资权而造成的损失等；</w:t>
      </w:r>
    </w:p>
    <w:p w14:paraId="6FDD7ADB" w14:textId="77777777" w:rsidR="00F82B4D" w:rsidRDefault="00467E37">
      <w:pPr>
        <w:adjustRightInd w:val="0"/>
        <w:snapToGrid w:val="0"/>
        <w:spacing w:line="360" w:lineRule="auto"/>
        <w:ind w:firstLineChars="200" w:firstLine="420"/>
        <w:rPr>
          <w:rFonts w:hAnsi="宋体" w:cs="Arial"/>
          <w:szCs w:val="21"/>
        </w:rPr>
      </w:pPr>
      <w:r>
        <w:rPr>
          <w:rFonts w:ascii="宋体" w:hAnsi="宋体" w:cs="Arial" w:hint="eastAsia"/>
          <w:szCs w:val="21"/>
        </w:rPr>
        <w:t>3</w:t>
      </w:r>
      <w:r>
        <w:rPr>
          <w:rFonts w:ascii="宋体" w:hAnsi="宋体" w:cs="Arial" w:hint="eastAsia"/>
          <w:szCs w:val="21"/>
        </w:rPr>
        <w:t>、</w:t>
      </w:r>
      <w:r>
        <w:rPr>
          <w:rFonts w:hAnsi="宋体" w:cs="Arial" w:hint="eastAsia"/>
          <w:szCs w:val="21"/>
        </w:rPr>
        <w:t>非因基金管理人、基金托管人的故意或重大过失造成的计算机系统故障、网络故障、通讯故障、电力故障、计算机病毒攻击及其它意外事故，所导致的损失等；</w:t>
      </w:r>
    </w:p>
    <w:p w14:paraId="1EBF1DD8"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hint="eastAsia"/>
          <w:szCs w:val="21"/>
        </w:rPr>
        <w:t>、不可抗力。</w:t>
      </w:r>
    </w:p>
    <w:p w14:paraId="24E8ABB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（四）</w:t>
      </w:r>
      <w:r>
        <w:rPr>
          <w:rFonts w:ascii="宋体" w:hAnsi="宋体" w:cs="Arial" w:hint="eastAsia"/>
          <w:szCs w:val="21"/>
        </w:rPr>
        <w:t>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D10EA9F"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5D058664"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（六）由于基金管理人、基金托管人不可控制的因素导致业务出现差错，基金管理人和基金托管人虽然已经</w:t>
      </w:r>
      <w:r>
        <w:rPr>
          <w:rFonts w:ascii="宋体" w:hAnsi="宋体" w:cs="Arial" w:hint="eastAsia"/>
          <w:szCs w:val="21"/>
        </w:rPr>
        <w:t>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8017FBF" w14:textId="77777777" w:rsidR="00F82B4D" w:rsidRDefault="00F82B4D">
      <w:pPr>
        <w:adjustRightInd w:val="0"/>
        <w:snapToGrid w:val="0"/>
        <w:spacing w:line="360" w:lineRule="auto"/>
        <w:ind w:firstLineChars="200" w:firstLine="422"/>
        <w:rPr>
          <w:rFonts w:ascii="宋体" w:hAnsi="宋体"/>
          <w:b/>
          <w:szCs w:val="21"/>
        </w:rPr>
      </w:pPr>
    </w:p>
    <w:p w14:paraId="2C8E9EED" w14:textId="77777777" w:rsidR="00F82B4D" w:rsidRDefault="00F82B4D">
      <w:pPr>
        <w:adjustRightInd w:val="0"/>
        <w:snapToGrid w:val="0"/>
        <w:spacing w:line="360" w:lineRule="auto"/>
        <w:ind w:firstLineChars="200" w:firstLine="420"/>
        <w:rPr>
          <w:rFonts w:ascii="宋体" w:hAnsi="宋体" w:cs="Arial"/>
          <w:szCs w:val="21"/>
        </w:rPr>
      </w:pPr>
    </w:p>
    <w:p w14:paraId="7673AA15" w14:textId="77777777" w:rsidR="00F82B4D" w:rsidRDefault="00F82B4D">
      <w:pPr>
        <w:adjustRightInd w:val="0"/>
        <w:snapToGrid w:val="0"/>
        <w:spacing w:line="360" w:lineRule="auto"/>
        <w:ind w:firstLineChars="200" w:firstLine="420"/>
        <w:rPr>
          <w:rFonts w:ascii="宋体" w:hAnsi="宋体" w:cs="Arial"/>
          <w:szCs w:val="21"/>
        </w:rPr>
      </w:pPr>
    </w:p>
    <w:p w14:paraId="4E50EC7A" w14:textId="77777777" w:rsidR="00F82B4D" w:rsidRDefault="00F82B4D">
      <w:pPr>
        <w:adjustRightInd w:val="0"/>
        <w:snapToGrid w:val="0"/>
        <w:spacing w:line="360" w:lineRule="auto"/>
        <w:ind w:firstLineChars="200" w:firstLine="420"/>
        <w:rPr>
          <w:rFonts w:ascii="宋体" w:hAnsi="宋体" w:cs="Arial"/>
          <w:szCs w:val="21"/>
        </w:rPr>
      </w:pPr>
    </w:p>
    <w:p w14:paraId="118CE01C" w14:textId="77777777" w:rsidR="00F82B4D" w:rsidRDefault="00F82B4D">
      <w:pPr>
        <w:adjustRightInd w:val="0"/>
        <w:snapToGrid w:val="0"/>
        <w:spacing w:line="360" w:lineRule="auto"/>
        <w:ind w:firstLineChars="200" w:firstLine="420"/>
        <w:rPr>
          <w:rFonts w:ascii="宋体" w:hAnsi="宋体" w:cs="Arial"/>
          <w:szCs w:val="21"/>
        </w:rPr>
      </w:pPr>
    </w:p>
    <w:p w14:paraId="647E5934" w14:textId="77777777" w:rsidR="00F82B4D" w:rsidRDefault="00F82B4D">
      <w:pPr>
        <w:adjustRightInd w:val="0"/>
        <w:snapToGrid w:val="0"/>
        <w:spacing w:line="360" w:lineRule="auto"/>
        <w:ind w:firstLineChars="200" w:firstLine="420"/>
        <w:rPr>
          <w:rFonts w:ascii="宋体" w:hAnsi="宋体" w:cs="Arial"/>
          <w:szCs w:val="21"/>
        </w:rPr>
      </w:pPr>
    </w:p>
    <w:p w14:paraId="5E310139" w14:textId="77777777" w:rsidR="00F82B4D" w:rsidRDefault="00F82B4D">
      <w:pPr>
        <w:adjustRightInd w:val="0"/>
        <w:snapToGrid w:val="0"/>
        <w:spacing w:line="360" w:lineRule="auto"/>
        <w:ind w:firstLineChars="200" w:firstLine="420"/>
        <w:rPr>
          <w:rFonts w:ascii="宋体" w:hAnsi="宋体" w:cs="Arial"/>
          <w:szCs w:val="21"/>
        </w:rPr>
      </w:pPr>
    </w:p>
    <w:p w14:paraId="1908BFAD" w14:textId="77777777" w:rsidR="00F82B4D" w:rsidRDefault="00F82B4D">
      <w:pPr>
        <w:adjustRightInd w:val="0"/>
        <w:snapToGrid w:val="0"/>
        <w:spacing w:line="360" w:lineRule="auto"/>
        <w:ind w:firstLineChars="200" w:firstLine="420"/>
        <w:rPr>
          <w:rFonts w:ascii="宋体" w:hAnsi="宋体" w:cs="Arial"/>
          <w:szCs w:val="21"/>
        </w:rPr>
      </w:pPr>
    </w:p>
    <w:p w14:paraId="7FAE0CC3" w14:textId="77777777" w:rsidR="00F82B4D" w:rsidRDefault="00F82B4D">
      <w:pPr>
        <w:adjustRightInd w:val="0"/>
        <w:snapToGrid w:val="0"/>
        <w:spacing w:line="360" w:lineRule="auto"/>
        <w:ind w:firstLineChars="200" w:firstLine="420"/>
        <w:rPr>
          <w:rFonts w:ascii="宋体" w:hAnsi="宋体" w:cs="Arial"/>
          <w:szCs w:val="21"/>
        </w:rPr>
      </w:pPr>
    </w:p>
    <w:p w14:paraId="532C8887" w14:textId="77777777" w:rsidR="00F82B4D" w:rsidRDefault="00467E37">
      <w:pPr>
        <w:pStyle w:val="2"/>
        <w:spacing w:beforeLines="100" w:before="312" w:afterLines="50" w:after="156" w:line="360" w:lineRule="auto"/>
        <w:jc w:val="center"/>
        <w:rPr>
          <w:rFonts w:ascii="宋体" w:eastAsia="宋体" w:hAnsi="宋体"/>
          <w:sz w:val="21"/>
          <w:szCs w:val="21"/>
        </w:rPr>
      </w:pPr>
      <w:bookmarkStart w:id="125" w:name="_Toc384992708"/>
      <w:bookmarkStart w:id="126" w:name="_Toc348082046"/>
      <w:r>
        <w:rPr>
          <w:rFonts w:ascii="宋体" w:eastAsia="宋体" w:hAnsi="宋体" w:hint="eastAsia"/>
          <w:sz w:val="21"/>
          <w:szCs w:val="21"/>
        </w:rPr>
        <w:t>十八、争议解决方式</w:t>
      </w:r>
      <w:bookmarkEnd w:id="125"/>
      <w:bookmarkEnd w:id="126"/>
    </w:p>
    <w:p w14:paraId="6E7E8E43" w14:textId="77777777" w:rsidR="00F82B4D" w:rsidRDefault="00467E37">
      <w:pPr>
        <w:adjustRightInd w:val="0"/>
        <w:snapToGrid w:val="0"/>
        <w:spacing w:line="360" w:lineRule="auto"/>
        <w:ind w:firstLineChars="200" w:firstLine="422"/>
        <w:rPr>
          <w:rFonts w:ascii="宋体" w:hAnsi="宋体" w:cs="Arial"/>
          <w:b/>
          <w:bCs/>
          <w:szCs w:val="21"/>
        </w:rPr>
      </w:pPr>
      <w:r>
        <w:rPr>
          <w:rFonts w:ascii="宋体" w:hAnsi="宋体" w:cs="Arial" w:hint="eastAsia"/>
          <w:b/>
          <w:bCs/>
          <w:szCs w:val="21"/>
        </w:rPr>
        <w:t>双方当事人同意，因本协议而产生的或与本协议有关的一切争议，如经友好协商未能解决的，均应将争议提交深圳国际仲裁院，按照深圳国际仲裁院届时有效的仲裁规则进行仲裁。仲裁地点为深圳市。仲裁裁决是终局的，对双方当事人均有约束力，除非仲裁裁决另有规定，仲裁费用由败诉方承担。</w:t>
      </w:r>
    </w:p>
    <w:p w14:paraId="08249DC6" w14:textId="77777777" w:rsidR="00F82B4D" w:rsidRDefault="00467E37">
      <w:pPr>
        <w:adjustRightInd w:val="0"/>
        <w:snapToGrid w:val="0"/>
        <w:spacing w:line="360" w:lineRule="auto"/>
        <w:ind w:firstLineChars="200" w:firstLine="422"/>
        <w:rPr>
          <w:rFonts w:ascii="宋体" w:hAnsi="宋体" w:cs="Arial"/>
          <w:b/>
          <w:bCs/>
          <w:szCs w:val="21"/>
        </w:rPr>
      </w:pPr>
      <w:r>
        <w:rPr>
          <w:rFonts w:ascii="宋体" w:hAnsi="宋体" w:cs="Arial" w:hint="eastAsia"/>
          <w:b/>
          <w:bCs/>
          <w:szCs w:val="21"/>
        </w:rPr>
        <w:t>争议处理期间，</w:t>
      </w:r>
      <w:r>
        <w:rPr>
          <w:rFonts w:ascii="宋体" w:hAnsi="宋体" w:cs="Arial" w:hint="eastAsia"/>
          <w:b/>
          <w:bCs/>
          <w:szCs w:val="21"/>
        </w:rPr>
        <w:t>双方当事人应恪守基金管理人和基金托管人职责，各自继续忠实、勤勉、尽责地履行基金合同和本托管协议规定的义务，维护基金份额持有人的合法权益。</w:t>
      </w:r>
    </w:p>
    <w:p w14:paraId="7FC56B19" w14:textId="77777777" w:rsidR="00F82B4D" w:rsidRDefault="00467E37">
      <w:pPr>
        <w:adjustRightInd w:val="0"/>
        <w:snapToGrid w:val="0"/>
        <w:spacing w:line="360" w:lineRule="auto"/>
        <w:ind w:firstLineChars="200" w:firstLine="422"/>
        <w:rPr>
          <w:rFonts w:ascii="宋体" w:hAnsi="宋体" w:cs="Arial"/>
          <w:b/>
          <w:bCs/>
          <w:szCs w:val="21"/>
        </w:rPr>
      </w:pPr>
      <w:r>
        <w:rPr>
          <w:rFonts w:ascii="宋体" w:hAnsi="宋体" w:cs="Arial" w:hint="eastAsia"/>
          <w:b/>
          <w:bCs/>
          <w:szCs w:val="21"/>
        </w:rPr>
        <w:t>本协议受中华人民共和国法律（为本协议之目的，不含港澳台立法）管辖。</w:t>
      </w:r>
    </w:p>
    <w:p w14:paraId="53AAAACC" w14:textId="77777777" w:rsidR="00F82B4D" w:rsidRDefault="00F82B4D">
      <w:pPr>
        <w:adjustRightInd w:val="0"/>
        <w:snapToGrid w:val="0"/>
        <w:spacing w:line="360" w:lineRule="auto"/>
        <w:rPr>
          <w:rFonts w:ascii="宋体" w:hAnsi="宋体" w:cs="Arial"/>
          <w:szCs w:val="21"/>
        </w:rPr>
      </w:pPr>
    </w:p>
    <w:p w14:paraId="556732BE"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7" w:name="_Toc348082047"/>
      <w:bookmarkStart w:id="128" w:name="_Toc384992709"/>
      <w:r>
        <w:rPr>
          <w:rFonts w:ascii="宋体" w:eastAsia="宋体" w:hAnsi="宋体" w:hint="eastAsia"/>
          <w:sz w:val="21"/>
          <w:szCs w:val="21"/>
        </w:rPr>
        <w:lastRenderedPageBreak/>
        <w:t>十九、托管协议的效力</w:t>
      </w:r>
      <w:bookmarkEnd w:id="127"/>
      <w:bookmarkEnd w:id="128"/>
    </w:p>
    <w:p w14:paraId="73128CAB"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双方对托管协议的效力约定如下：</w:t>
      </w:r>
    </w:p>
    <w:p w14:paraId="29AB80AC"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在向中国证监会申请发售基金份额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3374066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14:paraId="05264E93"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（三）托管协议自生效之日起对托管协议当事人具有同等的法律约束力。</w:t>
      </w:r>
    </w:p>
    <w:p w14:paraId="29A116E0" w14:textId="77777777" w:rsidR="00F82B4D" w:rsidRDefault="00467E37">
      <w:pPr>
        <w:adjustRightInd w:val="0"/>
        <w:snapToGrid w:val="0"/>
        <w:spacing w:line="360" w:lineRule="auto"/>
        <w:ind w:firstLineChars="200" w:firstLine="420"/>
        <w:rPr>
          <w:rFonts w:ascii="宋体" w:hAnsi="宋体"/>
          <w:szCs w:val="21"/>
        </w:rPr>
      </w:pPr>
      <w:r>
        <w:rPr>
          <w:rFonts w:ascii="宋体" w:hAnsi="宋体" w:cs="Arial" w:hint="eastAsia"/>
          <w:szCs w:val="21"/>
        </w:rPr>
        <w:t>（四）本协议一式</w:t>
      </w:r>
      <w:r>
        <w:rPr>
          <w:rFonts w:hint="eastAsia"/>
          <w:szCs w:val="21"/>
        </w:rPr>
        <w:t>三</w:t>
      </w:r>
      <w:r>
        <w:rPr>
          <w:rFonts w:ascii="宋体" w:hAnsi="宋体" w:cs="Arial" w:hint="eastAsia"/>
          <w:szCs w:val="21"/>
        </w:rPr>
        <w:t>份，协议双方各持一份，由基金管理人根据需要上报</w:t>
      </w:r>
      <w:r>
        <w:rPr>
          <w:rFonts w:ascii="宋体" w:hAnsi="宋体" w:cs="Arial" w:hint="eastAsia"/>
          <w:szCs w:val="21"/>
        </w:rPr>
        <w:t>监管机构一份，每份具有同等法律效力。</w:t>
      </w:r>
    </w:p>
    <w:p w14:paraId="23F74F11" w14:textId="77777777" w:rsidR="00F82B4D" w:rsidRDefault="00F82B4D">
      <w:pPr>
        <w:adjustRightInd w:val="0"/>
        <w:snapToGrid w:val="0"/>
        <w:spacing w:line="360" w:lineRule="auto"/>
        <w:rPr>
          <w:rFonts w:ascii="宋体" w:hAnsi="宋体" w:cs="Arial"/>
          <w:szCs w:val="21"/>
        </w:rPr>
      </w:pPr>
    </w:p>
    <w:p w14:paraId="61A101C9"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9" w:name="_Toc384992710"/>
      <w:bookmarkStart w:id="130" w:name="_Toc348082048"/>
      <w:r>
        <w:rPr>
          <w:rFonts w:ascii="宋体" w:eastAsia="宋体" w:hAnsi="宋体" w:hint="eastAsia"/>
          <w:sz w:val="21"/>
          <w:szCs w:val="21"/>
        </w:rPr>
        <w:lastRenderedPageBreak/>
        <w:t>二十、其他事项</w:t>
      </w:r>
      <w:bookmarkEnd w:id="129"/>
      <w:bookmarkEnd w:id="130"/>
    </w:p>
    <w:p w14:paraId="78CE6836"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如发生有权司法机关依法冻结基金份额持有人的基金份额时，基金管理人应予以配合，承担司法协助义务。</w:t>
      </w:r>
    </w:p>
    <w:p w14:paraId="2180EAE9"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除本协议有明确定义外，本协议的用语定义适用基金合同的约定。本协议未尽事宜，当事人依据基金合同、有关法律法规等规定协商办理。</w:t>
      </w:r>
    </w:p>
    <w:p w14:paraId="69C0B9E5" w14:textId="77777777" w:rsidR="00F82B4D" w:rsidRDefault="00467E37">
      <w:pPr>
        <w:adjustRightInd w:val="0"/>
        <w:snapToGrid w:val="0"/>
        <w:spacing w:line="360" w:lineRule="auto"/>
        <w:ind w:firstLineChars="200" w:firstLine="420"/>
        <w:rPr>
          <w:rFonts w:ascii="宋体" w:hAnsi="宋体"/>
          <w:bCs/>
          <w:szCs w:val="21"/>
        </w:rPr>
      </w:pPr>
      <w:r>
        <w:rPr>
          <w:rFonts w:ascii="宋体" w:hAnsi="宋体" w:hint="eastAsia"/>
          <w:bCs/>
          <w:szCs w:val="21"/>
        </w:rPr>
        <w:t>本协议附件构成本协议不可分割的组成部分。</w:t>
      </w:r>
    </w:p>
    <w:p w14:paraId="21A86A73" w14:textId="77777777" w:rsidR="00F82B4D" w:rsidRDefault="00467E3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31" w:name="_Toc384992711"/>
      <w:bookmarkStart w:id="132" w:name="_Toc348082049"/>
      <w:r>
        <w:rPr>
          <w:rFonts w:ascii="宋体" w:eastAsia="宋体" w:hAnsi="宋体" w:hint="eastAsia"/>
          <w:sz w:val="21"/>
          <w:szCs w:val="21"/>
        </w:rPr>
        <w:lastRenderedPageBreak/>
        <w:t>二十一、托管协议的签订</w:t>
      </w:r>
      <w:bookmarkEnd w:id="131"/>
      <w:bookmarkEnd w:id="132"/>
    </w:p>
    <w:p w14:paraId="5508729A" w14:textId="77777777" w:rsidR="00F82B4D" w:rsidRDefault="00467E37">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本协议双方当事人盖章以及双方法定代表人或授权代表签章、签订地、签订日</w:t>
      </w:r>
    </w:p>
    <w:p w14:paraId="402159F5" w14:textId="77777777" w:rsidR="00F82B4D" w:rsidRDefault="00F82B4D">
      <w:pPr>
        <w:adjustRightInd w:val="0"/>
        <w:snapToGrid w:val="0"/>
        <w:spacing w:line="360" w:lineRule="auto"/>
        <w:ind w:firstLineChars="200" w:firstLine="420"/>
        <w:rPr>
          <w:rFonts w:ascii="宋体" w:hAnsi="宋体" w:cs="Arial"/>
          <w:szCs w:val="21"/>
        </w:rPr>
      </w:pPr>
    </w:p>
    <w:p w14:paraId="5A84E7F1" w14:textId="77777777" w:rsidR="00F82B4D" w:rsidRDefault="00467E37">
      <w:pPr>
        <w:rPr>
          <w:szCs w:val="21"/>
        </w:rPr>
      </w:pPr>
      <w:r>
        <w:rPr>
          <w:rFonts w:ascii="宋体" w:hAnsi="宋体" w:cs="Arial"/>
          <w:szCs w:val="21"/>
        </w:rPr>
        <w:br w:type="page"/>
      </w:r>
    </w:p>
    <w:p w14:paraId="37C2DD85" w14:textId="77777777" w:rsidR="00F82B4D" w:rsidRDefault="00467E37">
      <w:pPr>
        <w:pStyle w:val="1"/>
        <w:ind w:firstLine="480"/>
        <w:jc w:val="center"/>
        <w:rPr>
          <w:rFonts w:ascii="宋体" w:hAnsi="宋体"/>
          <w:sz w:val="21"/>
          <w:szCs w:val="21"/>
        </w:rPr>
      </w:pPr>
      <w:bookmarkStart w:id="133" w:name="_Toc384992712"/>
      <w:r>
        <w:rPr>
          <w:rFonts w:hint="eastAsia"/>
          <w:sz w:val="21"/>
          <w:szCs w:val="21"/>
        </w:rPr>
        <w:lastRenderedPageBreak/>
        <w:t>附件：</w:t>
      </w:r>
      <w:r>
        <w:rPr>
          <w:rFonts w:ascii="宋体" w:hAnsi="宋体" w:hint="eastAsia"/>
          <w:sz w:val="21"/>
          <w:szCs w:val="21"/>
        </w:rPr>
        <w:t>托管银行证券资金结算规定</w:t>
      </w:r>
      <w:bookmarkEnd w:id="133"/>
    </w:p>
    <w:p w14:paraId="49B91068" w14:textId="77777777" w:rsidR="00F82B4D" w:rsidRDefault="00F82B4D">
      <w:pPr>
        <w:ind w:firstLineChars="202" w:firstLine="424"/>
        <w:rPr>
          <w:szCs w:val="21"/>
        </w:rPr>
      </w:pPr>
    </w:p>
    <w:p w14:paraId="5BB73E7F" w14:textId="77777777" w:rsidR="00F82B4D" w:rsidRDefault="00467E37">
      <w:pPr>
        <w:spacing w:line="360" w:lineRule="auto"/>
        <w:ind w:firstLineChars="202" w:firstLine="424"/>
        <w:rPr>
          <w:szCs w:val="21"/>
        </w:rPr>
      </w:pPr>
      <w:r>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1FE56A60" w14:textId="77777777" w:rsidR="00F82B4D" w:rsidRDefault="00467E37">
      <w:pPr>
        <w:spacing w:line="360" w:lineRule="auto"/>
        <w:ind w:firstLineChars="202" w:firstLine="424"/>
        <w:rPr>
          <w:szCs w:val="21"/>
        </w:rPr>
      </w:pPr>
      <w:r>
        <w:rPr>
          <w:rFonts w:hint="eastAsia"/>
          <w:szCs w:val="21"/>
        </w:rPr>
        <w:t>第一条</w:t>
      </w:r>
      <w:r>
        <w:rPr>
          <w:rFonts w:hint="eastAsia"/>
          <w:szCs w:val="21"/>
        </w:rPr>
        <w:t xml:space="preserve">  </w:t>
      </w:r>
      <w:r>
        <w:rPr>
          <w:rFonts w:hint="eastAsia"/>
          <w:szCs w:val="21"/>
        </w:rPr>
        <w:t>资产托管人系经中国证监会、国家金融监督管理</w:t>
      </w:r>
      <w:r>
        <w:rPr>
          <w:rFonts w:hint="eastAsia"/>
          <w:szCs w:val="21"/>
        </w:rPr>
        <w:t>总局及其他相关部门核准具备证券投资基金、保险资产、企业年金基金以及其他与结算公司结算业务相关的托管业务资格的商业银行；资产管理人系经中国证监会、国家金融监督管理总局批准设立的证券公司、基金管理公司、保险公司、保险资产管理公司等投资管理机构。</w:t>
      </w:r>
    </w:p>
    <w:p w14:paraId="3F2EAF5B" w14:textId="77777777" w:rsidR="00F82B4D" w:rsidRDefault="00467E37">
      <w:pPr>
        <w:spacing w:line="360" w:lineRule="auto"/>
        <w:ind w:firstLineChars="202" w:firstLine="424"/>
        <w:rPr>
          <w:szCs w:val="21"/>
        </w:rPr>
      </w:pPr>
      <w:r>
        <w:rPr>
          <w:rFonts w:hint="eastAsia"/>
          <w:szCs w:val="21"/>
        </w:rPr>
        <w:t>第二条</w:t>
      </w:r>
      <w:r>
        <w:rPr>
          <w:rFonts w:hint="eastAsia"/>
          <w:szCs w:val="21"/>
        </w:rPr>
        <w:t xml:space="preserve">  </w:t>
      </w:r>
      <w:r>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w:t>
      </w:r>
      <w:r>
        <w:rPr>
          <w:rFonts w:hint="eastAsia"/>
          <w:szCs w:val="21"/>
        </w:rPr>
        <w:t>理人应当按照资产托管人提供的清算结果，按时履行交收义务，并承担对资产托管人的最终交收责任。</w:t>
      </w:r>
    </w:p>
    <w:p w14:paraId="7D09FEA9" w14:textId="77777777" w:rsidR="00F82B4D" w:rsidRDefault="00467E37">
      <w:pPr>
        <w:spacing w:line="360" w:lineRule="auto"/>
        <w:ind w:firstLineChars="202" w:firstLine="424"/>
        <w:rPr>
          <w:szCs w:val="21"/>
        </w:rPr>
      </w:pPr>
      <w:r>
        <w:rPr>
          <w:rFonts w:hint="eastAsia"/>
          <w:szCs w:val="21"/>
        </w:rPr>
        <w:t>第三条</w:t>
      </w:r>
      <w:r>
        <w:rPr>
          <w:rFonts w:hint="eastAsia"/>
          <w:szCs w:val="21"/>
        </w:rPr>
        <w:t xml:space="preserve">  </w:t>
      </w:r>
      <w:r>
        <w:rPr>
          <w:rFonts w:hint="eastAsia"/>
          <w:szCs w:val="21"/>
        </w:rPr>
        <w:t>资产管理人和资产托管人同意遵守结算公司制定的业务规则。</w:t>
      </w:r>
    </w:p>
    <w:p w14:paraId="037B99FA" w14:textId="77777777" w:rsidR="00F82B4D" w:rsidRDefault="00467E37">
      <w:pPr>
        <w:spacing w:line="360" w:lineRule="auto"/>
        <w:ind w:firstLineChars="202" w:firstLine="424"/>
        <w:rPr>
          <w:szCs w:val="21"/>
        </w:rPr>
      </w:pPr>
      <w:r>
        <w:rPr>
          <w:rFonts w:hint="eastAsia"/>
          <w:szCs w:val="21"/>
        </w:rPr>
        <w:t>第四条</w:t>
      </w:r>
      <w:r>
        <w:rPr>
          <w:rFonts w:hint="eastAsia"/>
          <w:szCs w:val="21"/>
        </w:rPr>
        <w:t xml:space="preserve">  </w:t>
      </w:r>
      <w:r>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37CEB39C" w14:textId="77777777" w:rsidR="00F82B4D" w:rsidRDefault="00467E37">
      <w:pPr>
        <w:spacing w:line="360" w:lineRule="auto"/>
        <w:ind w:firstLineChars="202" w:firstLine="424"/>
        <w:rPr>
          <w:szCs w:val="21"/>
        </w:rPr>
      </w:pPr>
      <w:r>
        <w:rPr>
          <w:rFonts w:hint="eastAsia"/>
          <w:szCs w:val="21"/>
        </w:rPr>
        <w:t>第五条</w:t>
      </w:r>
      <w:r>
        <w:rPr>
          <w:rFonts w:hint="eastAsia"/>
          <w:szCs w:val="21"/>
        </w:rPr>
        <w:t xml:space="preserve">  </w:t>
      </w:r>
      <w:r>
        <w:rPr>
          <w:rFonts w:hint="eastAsia"/>
          <w:szCs w:val="21"/>
        </w:rPr>
        <w:t>资产托管人依据交易清算日（</w:t>
      </w:r>
      <w:r>
        <w:rPr>
          <w:rFonts w:hint="eastAsia"/>
          <w:szCs w:val="21"/>
        </w:rPr>
        <w:t>T</w:t>
      </w:r>
      <w:r>
        <w:rPr>
          <w:rFonts w:hint="eastAsia"/>
          <w:szCs w:val="21"/>
        </w:rPr>
        <w:t>日）清算结果，按照结算业务规则，与结算公司完成最终不可撤销的证券与资金交收处理；同时在规定时限内，与资产管理人完成不可撤销的证券、资金交收处理。</w:t>
      </w:r>
    </w:p>
    <w:p w14:paraId="0FCD2C76" w14:textId="77777777" w:rsidR="00F82B4D" w:rsidRDefault="00467E37">
      <w:pPr>
        <w:spacing w:line="360" w:lineRule="auto"/>
        <w:ind w:firstLineChars="202" w:firstLine="424"/>
        <w:rPr>
          <w:szCs w:val="21"/>
        </w:rPr>
      </w:pPr>
      <w:r>
        <w:rPr>
          <w:rFonts w:hint="eastAsia"/>
          <w:szCs w:val="21"/>
        </w:rPr>
        <w:t>第六条</w:t>
      </w:r>
      <w:r>
        <w:rPr>
          <w:rFonts w:hint="eastAsia"/>
          <w:szCs w:val="21"/>
        </w:rPr>
        <w:t xml:space="preserve">  </w:t>
      </w:r>
      <w:r>
        <w:rPr>
          <w:rFonts w:hint="eastAsia"/>
          <w:szCs w:val="21"/>
        </w:rPr>
        <w:t>资产管理人管理资产交收违约应遵循谁过错谁赔偿的原则。</w:t>
      </w:r>
    </w:p>
    <w:p w14:paraId="4D2F549A" w14:textId="77777777" w:rsidR="00F82B4D" w:rsidRDefault="00467E37">
      <w:pPr>
        <w:spacing w:line="360" w:lineRule="auto"/>
        <w:ind w:firstLineChars="202" w:firstLine="424"/>
        <w:rPr>
          <w:szCs w:val="21"/>
        </w:rPr>
      </w:pPr>
      <w:r>
        <w:rPr>
          <w:rFonts w:hint="eastAsia"/>
          <w:szCs w:val="21"/>
        </w:rPr>
        <w:t>（一）因资产管理人头寸匡算错误等资产管理人原因导致的交收违约实际损失，由资产管理人承担。</w:t>
      </w:r>
    </w:p>
    <w:p w14:paraId="2BCD7874" w14:textId="77777777" w:rsidR="00F82B4D" w:rsidRDefault="00467E37">
      <w:pPr>
        <w:spacing w:line="360" w:lineRule="auto"/>
        <w:ind w:firstLineChars="202" w:firstLine="424"/>
        <w:rPr>
          <w:szCs w:val="21"/>
        </w:rPr>
      </w:pPr>
      <w:r>
        <w:rPr>
          <w:rFonts w:hint="eastAsia"/>
          <w:szCs w:val="21"/>
        </w:rPr>
        <w:t>（二）因资产托管人操作失误等资产托管人原因导致的交收违约实际损失，由资产托管人承担。</w:t>
      </w:r>
    </w:p>
    <w:p w14:paraId="0492D22F" w14:textId="77777777" w:rsidR="00F82B4D" w:rsidRDefault="00467E37">
      <w:pPr>
        <w:spacing w:line="360" w:lineRule="auto"/>
        <w:ind w:firstLineChars="202" w:firstLine="424"/>
        <w:rPr>
          <w:szCs w:val="21"/>
        </w:rPr>
      </w:pPr>
      <w:r>
        <w:rPr>
          <w:rFonts w:hint="eastAsia"/>
          <w:szCs w:val="21"/>
        </w:rPr>
        <w:lastRenderedPageBreak/>
        <w:t>（三）由第三方过错导致的交收违约损失，按照最大程度保护资产管理人管理托管资产持有人合法权益的原则，</w:t>
      </w:r>
      <w:r>
        <w:rPr>
          <w:rFonts w:hint="eastAsia"/>
          <w:szCs w:val="21"/>
        </w:rPr>
        <w:t>由双方协商处理，并由双方共同承担向第三方追偿的责任。</w:t>
      </w:r>
    </w:p>
    <w:p w14:paraId="0F9618F6" w14:textId="77777777" w:rsidR="00F82B4D" w:rsidRDefault="00467E37">
      <w:pPr>
        <w:spacing w:line="360" w:lineRule="auto"/>
        <w:ind w:firstLineChars="202" w:firstLine="424"/>
        <w:rPr>
          <w:szCs w:val="21"/>
        </w:rPr>
      </w:pPr>
      <w:r>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0C485E93" w14:textId="77777777" w:rsidR="00F82B4D" w:rsidRDefault="00467E37">
      <w:pPr>
        <w:spacing w:line="360" w:lineRule="auto"/>
        <w:ind w:firstLineChars="202" w:firstLine="424"/>
        <w:rPr>
          <w:szCs w:val="21"/>
        </w:rPr>
      </w:pPr>
      <w:r>
        <w:rPr>
          <w:rFonts w:hint="eastAsia"/>
          <w:szCs w:val="21"/>
        </w:rPr>
        <w:t>若资产管理人过错且利用自有资金或按照中国证监会规定使用风险准备金垫付资金交收透支，由此产生的收</w:t>
      </w:r>
      <w:r>
        <w:rPr>
          <w:rFonts w:hint="eastAsia"/>
          <w:szCs w:val="21"/>
        </w:rPr>
        <w:t>益归托管资产，由此产生的实际损失由资产管理人承担。</w:t>
      </w:r>
    </w:p>
    <w:p w14:paraId="4F60F2A3" w14:textId="77777777" w:rsidR="00F82B4D" w:rsidRDefault="00467E37">
      <w:pPr>
        <w:spacing w:line="360" w:lineRule="auto"/>
        <w:ind w:firstLineChars="202" w:firstLine="424"/>
        <w:rPr>
          <w:szCs w:val="21"/>
        </w:rPr>
      </w:pPr>
      <w:r>
        <w:rPr>
          <w:rFonts w:hint="eastAsia"/>
          <w:szCs w:val="21"/>
        </w:rPr>
        <w:t>第七条</w:t>
      </w:r>
      <w:r>
        <w:rPr>
          <w:rFonts w:hint="eastAsia"/>
          <w:szCs w:val="21"/>
        </w:rPr>
        <w:t xml:space="preserve">  </w:t>
      </w:r>
      <w:r>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非交易涉及的资金和证券交收业务。</w:t>
      </w:r>
    </w:p>
    <w:p w14:paraId="55492AC2" w14:textId="77777777" w:rsidR="00F82B4D" w:rsidRDefault="00467E37">
      <w:pPr>
        <w:spacing w:line="360" w:lineRule="auto"/>
        <w:ind w:firstLineChars="202" w:firstLine="424"/>
        <w:rPr>
          <w:szCs w:val="21"/>
        </w:rPr>
      </w:pPr>
      <w:r>
        <w:rPr>
          <w:rFonts w:hint="eastAsia"/>
          <w:szCs w:val="21"/>
        </w:rPr>
        <w:t>第八条</w:t>
      </w:r>
      <w:r>
        <w:rPr>
          <w:rFonts w:hint="eastAsia"/>
          <w:szCs w:val="21"/>
        </w:rPr>
        <w:t xml:space="preserve">  </w:t>
      </w:r>
      <w:r>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w:t>
      </w:r>
      <w:r>
        <w:rPr>
          <w:rFonts w:hint="eastAsia"/>
          <w:szCs w:val="21"/>
        </w:rPr>
        <w:t>的其他书面协议或约定执行。</w:t>
      </w:r>
    </w:p>
    <w:p w14:paraId="72FA429E" w14:textId="77777777" w:rsidR="00F82B4D" w:rsidRDefault="00467E37">
      <w:pPr>
        <w:spacing w:line="360" w:lineRule="auto"/>
        <w:ind w:firstLineChars="202" w:firstLine="424"/>
        <w:rPr>
          <w:szCs w:val="21"/>
        </w:rPr>
      </w:pPr>
      <w:r>
        <w:rPr>
          <w:rFonts w:hint="eastAsia"/>
          <w:szCs w:val="21"/>
        </w:rPr>
        <w:t>若资产管理人管理资产结算备付金账户日末余额低于其最低结算备付金限额的，资产管理人应于规定时间内补足款项。</w:t>
      </w:r>
    </w:p>
    <w:p w14:paraId="05DAA80E" w14:textId="77777777" w:rsidR="00F82B4D" w:rsidRDefault="00467E37">
      <w:pPr>
        <w:spacing w:line="360" w:lineRule="auto"/>
        <w:ind w:firstLineChars="202" w:firstLine="424"/>
        <w:rPr>
          <w:szCs w:val="21"/>
        </w:rPr>
      </w:pPr>
      <w:r>
        <w:rPr>
          <w:rFonts w:hint="eastAsia"/>
          <w:szCs w:val="21"/>
        </w:rPr>
        <w:t>第九条</w:t>
      </w:r>
      <w:r>
        <w:rPr>
          <w:rFonts w:hint="eastAsia"/>
          <w:szCs w:val="21"/>
        </w:rPr>
        <w:t xml:space="preserve">  </w:t>
      </w:r>
      <w:r>
        <w:rPr>
          <w:rFonts w:hint="eastAsia"/>
          <w:szCs w:val="21"/>
        </w:rPr>
        <w:t>资产托管人收到结算公司按照与结算银行商定利率计付的结算备付金（含最低备付金）、结算保证金等资金利息后，于收息当日向资产管理人管理资产支付。</w:t>
      </w:r>
    </w:p>
    <w:p w14:paraId="306DCFEB" w14:textId="77777777" w:rsidR="00F82B4D" w:rsidRDefault="00467E37">
      <w:pPr>
        <w:spacing w:line="360" w:lineRule="auto"/>
        <w:ind w:firstLineChars="202" w:firstLine="424"/>
        <w:rPr>
          <w:szCs w:val="21"/>
        </w:rPr>
      </w:pPr>
      <w:r>
        <w:rPr>
          <w:rFonts w:hint="eastAsia"/>
          <w:szCs w:val="21"/>
        </w:rPr>
        <w:t>第十条</w:t>
      </w:r>
      <w:r>
        <w:rPr>
          <w:rFonts w:hint="eastAsia"/>
          <w:szCs w:val="21"/>
        </w:rPr>
        <w:t xml:space="preserve">  </w:t>
      </w:r>
      <w:r>
        <w:rPr>
          <w:rFonts w:hint="eastAsia"/>
          <w:szCs w:val="21"/>
        </w:rPr>
        <w:t>资产托管人于交易清算日（</w:t>
      </w:r>
      <w:r>
        <w:rPr>
          <w:rFonts w:hint="eastAsia"/>
          <w:szCs w:val="21"/>
        </w:rPr>
        <w:t>T</w:t>
      </w:r>
      <w:r>
        <w:rPr>
          <w:rFonts w:hint="eastAsia"/>
          <w:szCs w:val="21"/>
        </w:rPr>
        <w:t>日），根据结算公司按照证券交易成交结果计算的资金清算数据和证券清算数据以及非交易清算数据，分别用以计算资产管理人管理资产资金和证券的应收或应付净额，形成资产管理人当日交易清算结果。资产托管人应</w:t>
      </w:r>
      <w:r>
        <w:rPr>
          <w:rFonts w:hint="eastAsia"/>
          <w:szCs w:val="21"/>
        </w:rPr>
        <w:t>及时、高效、安全地完成托管资产的证券交易资金清算交收，对于结算公司已退还各托管资产的交收资金应及时计入各托管资产的银行账户。</w:t>
      </w:r>
    </w:p>
    <w:p w14:paraId="7FCE3200" w14:textId="77777777" w:rsidR="00F82B4D" w:rsidRDefault="00467E37">
      <w:pPr>
        <w:spacing w:line="360" w:lineRule="auto"/>
        <w:ind w:firstLineChars="202" w:firstLine="424"/>
        <w:rPr>
          <w:szCs w:val="21"/>
        </w:rPr>
      </w:pPr>
      <w:r>
        <w:rPr>
          <w:rFonts w:hint="eastAsia"/>
          <w:szCs w:val="21"/>
        </w:rPr>
        <w:t>第十一条</w:t>
      </w:r>
      <w:r>
        <w:rPr>
          <w:rFonts w:hint="eastAsia"/>
          <w:szCs w:val="21"/>
        </w:rPr>
        <w:t xml:space="preserve"> </w:t>
      </w:r>
      <w:r>
        <w:rPr>
          <w:rFonts w:hint="eastAsia"/>
          <w:szCs w:val="21"/>
        </w:rPr>
        <w:t>资产托管人完成托管资产清算后，对于交收日可能发生透支的情况，应及时与资产管理人沟通。</w:t>
      </w:r>
    </w:p>
    <w:p w14:paraId="24611CB8" w14:textId="77777777" w:rsidR="00F82B4D" w:rsidRDefault="00467E37">
      <w:pPr>
        <w:spacing w:line="360" w:lineRule="auto"/>
        <w:ind w:firstLineChars="202" w:firstLine="424"/>
        <w:rPr>
          <w:szCs w:val="21"/>
        </w:rPr>
      </w:pPr>
      <w:r>
        <w:rPr>
          <w:rFonts w:hint="eastAsia"/>
          <w:szCs w:val="21"/>
        </w:rPr>
        <w:t>资产托管人于交收日（</w:t>
      </w:r>
      <w:r>
        <w:rPr>
          <w:rFonts w:hint="eastAsia"/>
          <w:szCs w:val="21"/>
        </w:rPr>
        <w:t>T+1</w:t>
      </w:r>
      <w:r>
        <w:rPr>
          <w:rFonts w:hint="eastAsia"/>
          <w:szCs w:val="21"/>
        </w:rPr>
        <w:t>日）根据交易所或结算公司数据计算的资产管理人</w:t>
      </w:r>
      <w:r>
        <w:rPr>
          <w:rFonts w:hint="eastAsia"/>
          <w:szCs w:val="21"/>
        </w:rPr>
        <w:t>T</w:t>
      </w:r>
      <w:r>
        <w:rPr>
          <w:rFonts w:hint="eastAsia"/>
          <w:szCs w:val="21"/>
        </w:rPr>
        <w:t>日交易清算结果，完成资产管理人管理资产资金、证券的交收。</w:t>
      </w:r>
    </w:p>
    <w:p w14:paraId="3C9775EB" w14:textId="77777777" w:rsidR="00F82B4D" w:rsidRDefault="00467E37">
      <w:pPr>
        <w:spacing w:line="360" w:lineRule="auto"/>
        <w:ind w:firstLineChars="202" w:firstLine="424"/>
        <w:rPr>
          <w:szCs w:val="21"/>
        </w:rPr>
      </w:pPr>
      <w:r>
        <w:rPr>
          <w:rFonts w:hint="eastAsia"/>
          <w:szCs w:val="21"/>
        </w:rPr>
        <w:t>第十二条</w:t>
      </w:r>
      <w:r>
        <w:rPr>
          <w:rFonts w:hint="eastAsia"/>
          <w:szCs w:val="21"/>
        </w:rPr>
        <w:t xml:space="preserve">  </w:t>
      </w:r>
      <w:r>
        <w:rPr>
          <w:rFonts w:hint="eastAsia"/>
          <w:szCs w:val="21"/>
        </w:rPr>
        <w:t>资产管理人对资产托管人提供的清算数据存有异议，应及时与资产托管人沟</w:t>
      </w:r>
      <w:r>
        <w:rPr>
          <w:rFonts w:hint="eastAsia"/>
          <w:szCs w:val="21"/>
        </w:rPr>
        <w:lastRenderedPageBreak/>
        <w:t>通，但资产管理人不得因此拒绝履行或延迟履行当日的交收义务。经双方核实，确属资产托管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19937F42" w14:textId="77777777" w:rsidR="00F82B4D" w:rsidRDefault="00467E37">
      <w:pPr>
        <w:spacing w:line="360" w:lineRule="auto"/>
        <w:ind w:firstLineChars="202" w:firstLine="424"/>
        <w:rPr>
          <w:szCs w:val="21"/>
        </w:rPr>
      </w:pPr>
      <w:r>
        <w:rPr>
          <w:rFonts w:hint="eastAsia"/>
          <w:szCs w:val="21"/>
        </w:rPr>
        <w:t>第十三条　为确保资产托管人与结算公司的正常交收，不影响资产托管人所有托管资产的正常</w:t>
      </w:r>
      <w:r>
        <w:rPr>
          <w:rFonts w:hint="eastAsia"/>
          <w:szCs w:val="21"/>
        </w:rPr>
        <w:t>运作，正常情况下，交易日（</w:t>
      </w:r>
      <w:r>
        <w:rPr>
          <w:rFonts w:hint="eastAsia"/>
          <w:szCs w:val="21"/>
        </w:rPr>
        <w:t>T</w:t>
      </w:r>
      <w:r>
        <w:rPr>
          <w:rFonts w:hint="eastAsia"/>
          <w:szCs w:val="21"/>
        </w:rPr>
        <w:t>日）日终资产管理人应保证其管理的各托管资产资金账户有足够的资金可完成与结算公司于交收日（</w:t>
      </w:r>
      <w:r>
        <w:rPr>
          <w:rFonts w:hint="eastAsia"/>
          <w:szCs w:val="21"/>
        </w:rPr>
        <w:t>T+1</w:t>
      </w:r>
      <w:r>
        <w:rPr>
          <w:rFonts w:hint="eastAsia"/>
          <w:szCs w:val="21"/>
        </w:rPr>
        <w:t>日）的资金交收。</w:t>
      </w:r>
    </w:p>
    <w:p w14:paraId="4A85B402" w14:textId="77777777" w:rsidR="00F82B4D" w:rsidRDefault="00467E37">
      <w:pPr>
        <w:spacing w:line="360" w:lineRule="auto"/>
        <w:ind w:firstLineChars="202" w:firstLine="424"/>
        <w:rPr>
          <w:szCs w:val="21"/>
        </w:rPr>
      </w:pPr>
      <w:r>
        <w:rPr>
          <w:rFonts w:hint="eastAsia"/>
          <w:szCs w:val="21"/>
        </w:rPr>
        <w:t>第十四条</w:t>
      </w:r>
      <w:r>
        <w:rPr>
          <w:rFonts w:hint="eastAsia"/>
          <w:szCs w:val="21"/>
        </w:rPr>
        <w:t xml:space="preserve">  </w:t>
      </w:r>
      <w:r>
        <w:rPr>
          <w:rFonts w:hint="eastAsia"/>
          <w:szCs w:val="21"/>
        </w:rPr>
        <w:t>若资产管理人管理资产资金账户</w:t>
      </w:r>
      <w:r>
        <w:rPr>
          <w:rFonts w:hint="eastAsia"/>
          <w:szCs w:val="21"/>
        </w:rPr>
        <w:t>T</w:t>
      </w:r>
      <w:r>
        <w:rPr>
          <w:rFonts w:hint="eastAsia"/>
          <w:szCs w:val="21"/>
        </w:rPr>
        <w:t>日余额无法满足</w:t>
      </w:r>
      <w:r>
        <w:rPr>
          <w:rFonts w:hint="eastAsia"/>
          <w:szCs w:val="21"/>
        </w:rPr>
        <w:t>T+1</w:t>
      </w:r>
      <w:r>
        <w:rPr>
          <w:rFonts w:hint="eastAsia"/>
          <w:szCs w:val="21"/>
        </w:rPr>
        <w:t>日交收要求时，资产管理人应按照《托管协议》或操作备忘录中约定的时点补足金额，未有约定的，应于</w:t>
      </w:r>
      <w:r>
        <w:rPr>
          <w:rFonts w:hint="eastAsia"/>
          <w:szCs w:val="21"/>
        </w:rPr>
        <w:t>T+1</w:t>
      </w:r>
      <w:r>
        <w:rPr>
          <w:rFonts w:hint="eastAsia"/>
          <w:szCs w:val="21"/>
        </w:rPr>
        <w:t>日</w:t>
      </w:r>
      <w:r>
        <w:rPr>
          <w:rFonts w:hint="eastAsia"/>
          <w:szCs w:val="21"/>
        </w:rPr>
        <w:t>12</w:t>
      </w:r>
      <w:r>
        <w:rPr>
          <w:rFonts w:hint="eastAsia"/>
          <w:szCs w:val="21"/>
        </w:rPr>
        <w:t>：</w:t>
      </w:r>
      <w:r>
        <w:rPr>
          <w:rFonts w:hint="eastAsia"/>
          <w:szCs w:val="21"/>
        </w:rPr>
        <w:t>00</w:t>
      </w:r>
      <w:r>
        <w:rPr>
          <w:rFonts w:hint="eastAsia"/>
          <w:szCs w:val="21"/>
        </w:rPr>
        <w:t>前补足金额，确保资产托管人及时完成清算交收。对于创新产品，补足金额的时点可在托管协议或其他文件中约定。</w:t>
      </w:r>
    </w:p>
    <w:p w14:paraId="065790F0" w14:textId="77777777" w:rsidR="00F82B4D" w:rsidRDefault="00467E37">
      <w:pPr>
        <w:spacing w:line="360" w:lineRule="auto"/>
        <w:ind w:firstLineChars="202" w:firstLine="424"/>
        <w:rPr>
          <w:szCs w:val="21"/>
        </w:rPr>
      </w:pPr>
      <w:r>
        <w:rPr>
          <w:rFonts w:hint="eastAsia"/>
          <w:szCs w:val="21"/>
        </w:rPr>
        <w:t>第十五条</w:t>
      </w:r>
      <w:r>
        <w:rPr>
          <w:rFonts w:hint="eastAsia"/>
          <w:szCs w:val="21"/>
        </w:rPr>
        <w:t xml:space="preserve">  </w:t>
      </w:r>
      <w:r>
        <w:rPr>
          <w:rFonts w:hint="eastAsia"/>
          <w:szCs w:val="21"/>
        </w:rPr>
        <w:t>资产管理人未按本规定第十四条约定时限补足透支金额，其行为构成资产管理人资金交收违约，</w:t>
      </w:r>
      <w:r>
        <w:rPr>
          <w:rFonts w:hint="eastAsia"/>
          <w:szCs w:val="21"/>
        </w:rPr>
        <w:t>资产托管人依法按以下方式处理，且资产管理人应予以配合：</w:t>
      </w:r>
    </w:p>
    <w:p w14:paraId="6860035A" w14:textId="77777777" w:rsidR="00F82B4D" w:rsidRDefault="00467E37">
      <w:pPr>
        <w:spacing w:line="360" w:lineRule="auto"/>
        <w:ind w:firstLineChars="202" w:firstLine="424"/>
        <w:rPr>
          <w:szCs w:val="21"/>
        </w:rPr>
      </w:pPr>
      <w:r>
        <w:rPr>
          <w:rFonts w:hint="eastAsia"/>
          <w:szCs w:val="21"/>
        </w:rPr>
        <w:t>（一）资产管理人应在不晚于结算公司规定的时点前两个小时向资产托管人书面指定托管资产证券账户内相当于透支金额价值</w:t>
      </w:r>
      <w:r>
        <w:rPr>
          <w:rFonts w:hint="eastAsia"/>
          <w:szCs w:val="21"/>
        </w:rPr>
        <w:t>120%</w:t>
      </w:r>
      <w:r>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466D8E6E" w14:textId="77777777" w:rsidR="00F82B4D" w:rsidRDefault="00467E37">
      <w:pPr>
        <w:spacing w:line="360" w:lineRule="auto"/>
        <w:ind w:firstLineChars="202" w:firstLine="424"/>
        <w:rPr>
          <w:szCs w:val="21"/>
        </w:rPr>
      </w:pPr>
      <w:r>
        <w:rPr>
          <w:rFonts w:hint="eastAsia"/>
          <w:szCs w:val="21"/>
        </w:rPr>
        <w:t>资产托管人可向结算公司申请，由结算公司协助将相关交收履约担保物予以冻结，资产管理人应向资产托管人出具同意结</w:t>
      </w:r>
      <w:r>
        <w:rPr>
          <w:rFonts w:hint="eastAsia"/>
          <w:szCs w:val="21"/>
        </w:rPr>
        <w:t>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73FDD9AA" w14:textId="77777777" w:rsidR="00F82B4D" w:rsidRDefault="00467E37">
      <w:pPr>
        <w:spacing w:line="360" w:lineRule="auto"/>
        <w:ind w:firstLineChars="202" w:firstLine="424"/>
        <w:rPr>
          <w:szCs w:val="21"/>
        </w:rPr>
      </w:pPr>
      <w:r>
        <w:rPr>
          <w:rFonts w:hint="eastAsia"/>
          <w:szCs w:val="21"/>
        </w:rPr>
        <w:t>（二）资产管理人于</w:t>
      </w:r>
      <w:r>
        <w:rPr>
          <w:rFonts w:hint="eastAsia"/>
          <w:szCs w:val="21"/>
        </w:rPr>
        <w:t>T+2</w:t>
      </w:r>
      <w:r>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w:t>
      </w:r>
      <w:r>
        <w:rPr>
          <w:rFonts w:hint="eastAsia"/>
          <w:szCs w:val="21"/>
        </w:rPr>
        <w:t>，但须及时书面通知资产管理人。</w:t>
      </w:r>
    </w:p>
    <w:p w14:paraId="6C944870" w14:textId="77777777" w:rsidR="00F82B4D" w:rsidRDefault="00467E37">
      <w:pPr>
        <w:spacing w:line="360" w:lineRule="auto"/>
        <w:ind w:firstLineChars="202" w:firstLine="424"/>
        <w:rPr>
          <w:szCs w:val="21"/>
        </w:rPr>
      </w:pPr>
      <w:r>
        <w:rPr>
          <w:rFonts w:hint="eastAsia"/>
          <w:szCs w:val="21"/>
        </w:rPr>
        <w:t>（三）证券处置产生的资金，如相关交易尚未完成交收的，应首先用于完成交收，不足部分资产管理人及时补足。</w:t>
      </w:r>
    </w:p>
    <w:p w14:paraId="0FABF04B" w14:textId="77777777" w:rsidR="00F82B4D" w:rsidRDefault="00467E37">
      <w:pPr>
        <w:spacing w:line="360" w:lineRule="auto"/>
        <w:ind w:firstLineChars="202" w:firstLine="424"/>
        <w:rPr>
          <w:szCs w:val="21"/>
        </w:rPr>
      </w:pPr>
      <w:r>
        <w:rPr>
          <w:rFonts w:hint="eastAsia"/>
          <w:szCs w:val="21"/>
        </w:rPr>
        <w:t>第十六条</w:t>
      </w:r>
      <w:r>
        <w:rPr>
          <w:rFonts w:hint="eastAsia"/>
          <w:szCs w:val="21"/>
        </w:rPr>
        <w:t xml:space="preserve">  </w:t>
      </w:r>
      <w:r>
        <w:rPr>
          <w:rFonts w:hint="eastAsia"/>
          <w:szCs w:val="21"/>
        </w:rPr>
        <w:t>资产管理人知晓并确认，资产管理人管理资产中用于融资回购的债券将作为</w:t>
      </w:r>
      <w:r>
        <w:rPr>
          <w:rFonts w:hint="eastAsia"/>
          <w:szCs w:val="21"/>
        </w:rPr>
        <w:lastRenderedPageBreak/>
        <w:t>资产托管人相关结算备付金账户偿还融资回购到期购回款的质押券，若资产管理人债券回购交收违约，结算公司依法对质押券进行处置，但须及时书面通知资产管理人。资产管理人应就债券回购交收违约后结算公司对质押券的处置以及资产管理人委托人或受托人所应承担的委托债券投资风险，预先书面告知资产管理人委托人或受托人，并由</w:t>
      </w:r>
      <w:r>
        <w:rPr>
          <w:rFonts w:hint="eastAsia"/>
          <w:szCs w:val="21"/>
        </w:rPr>
        <w:t>资产管理人委托人或受托人签字确认。委托人或受托人与资产托管人、资产管理人签署的合同、操作备忘录等法律文件中有相关内容的，视为确认。</w:t>
      </w:r>
    </w:p>
    <w:p w14:paraId="522E2D9C" w14:textId="77777777" w:rsidR="00F82B4D" w:rsidRDefault="00467E37">
      <w:pPr>
        <w:spacing w:line="360" w:lineRule="auto"/>
        <w:ind w:firstLineChars="202" w:firstLine="424"/>
        <w:rPr>
          <w:szCs w:val="21"/>
        </w:rPr>
      </w:pPr>
      <w:r>
        <w:rPr>
          <w:rFonts w:hint="eastAsia"/>
          <w:szCs w:val="21"/>
        </w:rPr>
        <w:t>第十七条　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509894A2" w14:textId="77777777" w:rsidR="00F82B4D" w:rsidRDefault="00467E37">
      <w:pPr>
        <w:spacing w:line="360" w:lineRule="auto"/>
        <w:ind w:firstLineChars="202" w:firstLine="424"/>
        <w:rPr>
          <w:szCs w:val="21"/>
        </w:rPr>
      </w:pPr>
      <w:r>
        <w:rPr>
          <w:rFonts w:hint="eastAsia"/>
          <w:szCs w:val="21"/>
        </w:rPr>
        <w:t>第十八条</w:t>
      </w:r>
      <w:r>
        <w:rPr>
          <w:rFonts w:hint="eastAsia"/>
          <w:szCs w:val="21"/>
        </w:rPr>
        <w:t xml:space="preserve"> </w:t>
      </w:r>
      <w:r>
        <w:rPr>
          <w:rFonts w:hint="eastAsia"/>
          <w:szCs w:val="21"/>
        </w:rPr>
        <w:t xml:space="preserve"> </w:t>
      </w:r>
      <w:r>
        <w:rPr>
          <w:rFonts w:hint="eastAsia"/>
          <w:szCs w:val="21"/>
        </w:rPr>
        <w:t>因资产管理人原因发生资金交收违约时，资产托管人依法采取以下风险管理措施，但须提前书面通知资产管理人：</w:t>
      </w:r>
    </w:p>
    <w:p w14:paraId="088AF853" w14:textId="77777777" w:rsidR="00F82B4D" w:rsidRDefault="00467E37">
      <w:pPr>
        <w:spacing w:line="360" w:lineRule="auto"/>
        <w:ind w:firstLineChars="202" w:firstLine="424"/>
        <w:rPr>
          <w:szCs w:val="21"/>
        </w:rPr>
      </w:pPr>
      <w:r>
        <w:rPr>
          <w:rFonts w:hint="eastAsia"/>
          <w:szCs w:val="21"/>
        </w:rPr>
        <w:t>（一）</w:t>
      </w:r>
      <w:r>
        <w:rPr>
          <w:rFonts w:hint="eastAsia"/>
          <w:szCs w:val="21"/>
        </w:rPr>
        <w:tab/>
      </w:r>
      <w:r>
        <w:rPr>
          <w:rFonts w:hint="eastAsia"/>
          <w:szCs w:val="21"/>
        </w:rPr>
        <w:t>按照结算公司标准计收违约资金的利息和违约金；</w:t>
      </w:r>
    </w:p>
    <w:p w14:paraId="56654A17" w14:textId="77777777" w:rsidR="00F82B4D" w:rsidRDefault="00467E37">
      <w:pPr>
        <w:spacing w:line="360" w:lineRule="auto"/>
        <w:ind w:firstLineChars="202" w:firstLine="424"/>
        <w:rPr>
          <w:szCs w:val="21"/>
        </w:rPr>
      </w:pPr>
      <w:r>
        <w:rPr>
          <w:rFonts w:hint="eastAsia"/>
          <w:szCs w:val="21"/>
        </w:rPr>
        <w:t>（二）</w:t>
      </w:r>
      <w:r>
        <w:rPr>
          <w:rFonts w:hint="eastAsia"/>
          <w:szCs w:val="21"/>
        </w:rPr>
        <w:tab/>
      </w:r>
      <w:r>
        <w:rPr>
          <w:rFonts w:hint="eastAsia"/>
          <w:szCs w:val="21"/>
        </w:rPr>
        <w:t>按结算公司标准调高资产管理人管理资产的最低备付金或结算保证金比例；</w:t>
      </w:r>
      <w:r>
        <w:rPr>
          <w:rFonts w:hint="eastAsia"/>
          <w:szCs w:val="21"/>
        </w:rPr>
        <w:t xml:space="preserve"> </w:t>
      </w:r>
    </w:p>
    <w:p w14:paraId="06D82834" w14:textId="77777777" w:rsidR="00F82B4D" w:rsidRDefault="00467E37">
      <w:pPr>
        <w:spacing w:line="360" w:lineRule="auto"/>
        <w:ind w:firstLineChars="202" w:firstLine="424"/>
        <w:rPr>
          <w:szCs w:val="21"/>
        </w:rPr>
      </w:pPr>
      <w:r>
        <w:rPr>
          <w:rFonts w:hint="eastAsia"/>
          <w:szCs w:val="21"/>
        </w:rPr>
        <w:t>（三）</w:t>
      </w:r>
      <w:r>
        <w:rPr>
          <w:rFonts w:hint="eastAsia"/>
          <w:szCs w:val="21"/>
        </w:rPr>
        <w:tab/>
      </w:r>
      <w:r>
        <w:rPr>
          <w:rFonts w:hint="eastAsia"/>
          <w:szCs w:val="21"/>
        </w:rPr>
        <w:t>报告监管部门及结算公司；</w:t>
      </w:r>
    </w:p>
    <w:p w14:paraId="2D8B102F" w14:textId="77777777" w:rsidR="00F82B4D" w:rsidRDefault="00467E37">
      <w:pPr>
        <w:spacing w:line="360" w:lineRule="auto"/>
        <w:ind w:firstLineChars="202" w:firstLine="424"/>
        <w:rPr>
          <w:szCs w:val="21"/>
        </w:rPr>
      </w:pPr>
      <w:r>
        <w:rPr>
          <w:rFonts w:hint="eastAsia"/>
          <w:szCs w:val="21"/>
        </w:rPr>
        <w:t>（四）</w:t>
      </w:r>
      <w:r>
        <w:rPr>
          <w:rFonts w:hint="eastAsia"/>
          <w:szCs w:val="21"/>
        </w:rPr>
        <w:tab/>
      </w:r>
      <w:r>
        <w:rPr>
          <w:rFonts w:hint="eastAsia"/>
          <w:szCs w:val="21"/>
        </w:rPr>
        <w:t>按照结算公司业务规则向结算公司申报暂停资产管理人的相关结算业务；</w:t>
      </w:r>
    </w:p>
    <w:p w14:paraId="4AF8A4E1" w14:textId="77777777" w:rsidR="00F82B4D" w:rsidRDefault="00467E37">
      <w:pPr>
        <w:spacing w:line="360" w:lineRule="auto"/>
        <w:ind w:firstLineChars="202" w:firstLine="424"/>
        <w:rPr>
          <w:szCs w:val="21"/>
        </w:rPr>
      </w:pPr>
      <w:r>
        <w:rPr>
          <w:rFonts w:hint="eastAsia"/>
          <w:szCs w:val="21"/>
        </w:rPr>
        <w:t>（五）</w:t>
      </w:r>
      <w:r>
        <w:rPr>
          <w:rFonts w:hint="eastAsia"/>
          <w:szCs w:val="21"/>
        </w:rPr>
        <w:tab/>
      </w:r>
      <w:r>
        <w:rPr>
          <w:rFonts w:hint="eastAsia"/>
          <w:szCs w:val="21"/>
        </w:rPr>
        <w:t>根据监管部门或结算公司要求采取的其他措施。</w:t>
      </w:r>
    </w:p>
    <w:p w14:paraId="3FDA225B" w14:textId="77777777" w:rsidR="00F82B4D" w:rsidRDefault="00467E37">
      <w:pPr>
        <w:spacing w:line="360" w:lineRule="auto"/>
        <w:ind w:firstLineChars="202" w:firstLine="424"/>
        <w:rPr>
          <w:szCs w:val="21"/>
        </w:rPr>
      </w:pPr>
      <w:r>
        <w:rPr>
          <w:rFonts w:hint="eastAsia"/>
          <w:szCs w:val="21"/>
        </w:rPr>
        <w:t>第十九条　如因资产管理人原因造成资产托管人对结算公司出现违约情形时，结算公司实施相关风险管理措施引发的后果由资产管理人自行承担，由此造成资产管理人管理资产及资产托管人实际损失，资产管理人应负责赔偿。</w:t>
      </w:r>
    </w:p>
    <w:p w14:paraId="2E64D600" w14:textId="77777777" w:rsidR="00F82B4D" w:rsidRDefault="00467E37">
      <w:pPr>
        <w:spacing w:line="360" w:lineRule="auto"/>
        <w:ind w:firstLineChars="202" w:firstLine="424"/>
        <w:rPr>
          <w:szCs w:val="21"/>
        </w:rPr>
      </w:pPr>
      <w:r>
        <w:rPr>
          <w:rFonts w:hint="eastAsia"/>
          <w:szCs w:val="21"/>
        </w:rPr>
        <w:t>如因资产托管人原因造成未及时将资产管理人应收资金支付给资产管理人或未及时委托证券登记结算机构将资产管理人应收证券划付到资产管理人证券账户的，资产托管人应当对资产管理人承担违约责任；如因资产托管人原因造成对结算公司交收违约的，相应后果由资产托管人承担。以上造成的托管资产及资产管理人的实际损失，资产托管人应负责赔偿</w:t>
      </w:r>
      <w:r>
        <w:rPr>
          <w:rFonts w:hint="eastAsia"/>
          <w:szCs w:val="21"/>
        </w:rPr>
        <w:t>。</w:t>
      </w:r>
    </w:p>
    <w:p w14:paraId="6D7288C7" w14:textId="77777777" w:rsidR="00F82B4D" w:rsidRDefault="00467E37">
      <w:pPr>
        <w:spacing w:line="360" w:lineRule="auto"/>
        <w:ind w:firstLineChars="202" w:firstLine="424"/>
        <w:rPr>
          <w:szCs w:val="21"/>
        </w:rPr>
      </w:pPr>
      <w:r>
        <w:rPr>
          <w:rFonts w:hint="eastAsia"/>
          <w:szCs w:val="21"/>
        </w:rPr>
        <w:t>第二十条</w:t>
      </w:r>
      <w:r>
        <w:rPr>
          <w:rFonts w:hint="eastAsia"/>
          <w:szCs w:val="21"/>
        </w:rPr>
        <w:t xml:space="preserve">  </w:t>
      </w:r>
      <w:r>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5DF61EC5" w14:textId="77777777" w:rsidR="00F82B4D" w:rsidRDefault="00467E37">
      <w:pPr>
        <w:spacing w:line="360" w:lineRule="auto"/>
        <w:ind w:firstLineChars="202" w:firstLine="424"/>
        <w:rPr>
          <w:szCs w:val="21"/>
        </w:rPr>
      </w:pPr>
      <w:r>
        <w:rPr>
          <w:rFonts w:hint="eastAsia"/>
          <w:szCs w:val="21"/>
        </w:rPr>
        <w:t>第二十一条</w:t>
      </w:r>
      <w:r>
        <w:rPr>
          <w:rFonts w:hint="eastAsia"/>
          <w:szCs w:val="21"/>
        </w:rPr>
        <w:t xml:space="preserve">  </w:t>
      </w:r>
      <w:r>
        <w:rPr>
          <w:rFonts w:hint="eastAsia"/>
          <w:szCs w:val="21"/>
        </w:rPr>
        <w:t>如果协议的一方或双方因不可抗力不能履行本规定时，可根据不可抗力的</w:t>
      </w:r>
      <w:r>
        <w:rPr>
          <w:rFonts w:hint="eastAsia"/>
          <w:szCs w:val="21"/>
        </w:rPr>
        <w:lastRenderedPageBreak/>
        <w:t>影响部分或全部免除责任。不可抗力是指资产托管人或资产管理人不能预见、不可避免、不能克服的客观情况。任何一方因不可抗力不能履行本规定时，应及时通知对方并在合理期限内提供受到不可</w:t>
      </w:r>
      <w:r>
        <w:rPr>
          <w:rFonts w:hint="eastAsia"/>
          <w:szCs w:val="21"/>
        </w:rPr>
        <w:t>抗力影响的证明，并采取适当措施防止损失的扩大。</w:t>
      </w:r>
    </w:p>
    <w:p w14:paraId="46075BBC" w14:textId="77777777" w:rsidR="00F82B4D" w:rsidRDefault="00467E37">
      <w:pPr>
        <w:spacing w:line="360" w:lineRule="auto"/>
        <w:ind w:firstLineChars="202" w:firstLine="424"/>
        <w:rPr>
          <w:szCs w:val="21"/>
        </w:rPr>
      </w:pPr>
      <w:r>
        <w:rPr>
          <w:rFonts w:hint="eastAsia"/>
          <w:szCs w:val="21"/>
        </w:rPr>
        <w:t>第二十二条</w:t>
      </w:r>
      <w:r>
        <w:rPr>
          <w:rFonts w:hint="eastAsia"/>
          <w:szCs w:val="21"/>
        </w:rPr>
        <w:t xml:space="preserve">  </w:t>
      </w:r>
      <w:r>
        <w:rPr>
          <w:rFonts w:hint="eastAsia"/>
          <w:szCs w:val="21"/>
        </w:rPr>
        <w:t>本规定适用于现在及以后由资产管理人管理、资产托管人托管的所有业务品种。</w:t>
      </w:r>
    </w:p>
    <w:p w14:paraId="235711EB" w14:textId="77777777" w:rsidR="00F82B4D" w:rsidRDefault="00467E37">
      <w:pPr>
        <w:spacing w:line="360" w:lineRule="auto"/>
        <w:ind w:firstLineChars="202" w:firstLine="424"/>
        <w:rPr>
          <w:szCs w:val="21"/>
        </w:rPr>
      </w:pPr>
      <w:r>
        <w:rPr>
          <w:rFonts w:hint="eastAsia"/>
          <w:szCs w:val="21"/>
        </w:rPr>
        <w:t>第二十三条</w:t>
      </w:r>
      <w:r>
        <w:rPr>
          <w:rFonts w:hint="eastAsia"/>
          <w:szCs w:val="21"/>
        </w:rPr>
        <w:t xml:space="preserve">   </w:t>
      </w:r>
      <w:r>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bookmarkEnd w:id="4"/>
    <w:p w14:paraId="5E5716F2" w14:textId="77777777" w:rsidR="00F82B4D" w:rsidRDefault="00467E37">
      <w:pPr>
        <w:widowControl/>
        <w:jc w:val="left"/>
        <w:rPr>
          <w:rFonts w:ascii="宋体" w:hAnsi="宋体" w:cs="Arial"/>
          <w:szCs w:val="21"/>
        </w:rPr>
      </w:pPr>
      <w:r>
        <w:rPr>
          <w:rFonts w:ascii="宋体" w:hAnsi="宋体" w:cs="Arial"/>
          <w:szCs w:val="21"/>
        </w:rPr>
        <w:br w:type="page"/>
      </w:r>
    </w:p>
    <w:p w14:paraId="4E18330E" w14:textId="77777777" w:rsidR="00F82B4D" w:rsidRDefault="00467E37">
      <w:pPr>
        <w:spacing w:line="360" w:lineRule="auto"/>
        <w:ind w:right="26"/>
        <w:rPr>
          <w:rFonts w:ascii="宋体" w:hAnsi="宋体"/>
        </w:rPr>
      </w:pPr>
      <w:r>
        <w:rPr>
          <w:rFonts w:ascii="宋体" w:hAnsi="宋体" w:hint="eastAsia"/>
        </w:rPr>
        <w:lastRenderedPageBreak/>
        <w:t>（本页为《富国稳健添颐债券型证券投资基金托管协议》签署页，无正文）</w:t>
      </w:r>
    </w:p>
    <w:p w14:paraId="116B8491" w14:textId="77777777" w:rsidR="00F82B4D" w:rsidRDefault="00F82B4D">
      <w:pPr>
        <w:spacing w:line="360" w:lineRule="auto"/>
        <w:rPr>
          <w:rFonts w:ascii="宋体" w:hAnsi="宋体"/>
        </w:rPr>
      </w:pPr>
    </w:p>
    <w:p w14:paraId="64C97867" w14:textId="77777777" w:rsidR="00F82B4D" w:rsidRDefault="00F82B4D">
      <w:pPr>
        <w:spacing w:line="360" w:lineRule="auto"/>
        <w:rPr>
          <w:rFonts w:ascii="宋体" w:hAnsi="宋体"/>
        </w:rPr>
      </w:pPr>
    </w:p>
    <w:p w14:paraId="201CFD6F" w14:textId="77777777" w:rsidR="00F82B4D" w:rsidRDefault="00467E37">
      <w:pPr>
        <w:spacing w:line="360" w:lineRule="auto"/>
        <w:ind w:right="26"/>
        <w:rPr>
          <w:rFonts w:ascii="宋体" w:hAnsi="宋体"/>
        </w:rPr>
      </w:pPr>
      <w:r>
        <w:rPr>
          <w:rFonts w:ascii="宋体" w:hAnsi="宋体" w:hint="eastAsia"/>
        </w:rPr>
        <w:t>基金管理人：富国基金管理有限</w:t>
      </w:r>
      <w:r>
        <w:rPr>
          <w:rFonts w:ascii="宋体" w:hAnsi="宋体" w:hint="eastAsia"/>
        </w:rPr>
        <w:t>公司（盖章）</w:t>
      </w:r>
    </w:p>
    <w:p w14:paraId="13334206" w14:textId="77777777" w:rsidR="00F82B4D" w:rsidRDefault="00F82B4D">
      <w:pPr>
        <w:spacing w:line="360" w:lineRule="auto"/>
        <w:ind w:right="26"/>
        <w:rPr>
          <w:rFonts w:ascii="宋体" w:hAnsi="宋体"/>
        </w:rPr>
      </w:pPr>
    </w:p>
    <w:p w14:paraId="3078AA96" w14:textId="77777777" w:rsidR="00F82B4D" w:rsidRDefault="00F82B4D">
      <w:pPr>
        <w:spacing w:line="360" w:lineRule="auto"/>
        <w:ind w:right="26"/>
        <w:rPr>
          <w:rFonts w:ascii="宋体" w:hAnsi="宋体"/>
        </w:rPr>
      </w:pPr>
    </w:p>
    <w:p w14:paraId="2034FE22" w14:textId="77777777" w:rsidR="00F82B4D" w:rsidRDefault="00467E37">
      <w:pPr>
        <w:spacing w:line="360" w:lineRule="auto"/>
        <w:ind w:right="26"/>
        <w:rPr>
          <w:rFonts w:ascii="宋体" w:hAnsi="宋体"/>
        </w:rPr>
      </w:pPr>
      <w:r>
        <w:rPr>
          <w:rFonts w:ascii="宋体" w:hAnsi="宋体" w:hint="eastAsia"/>
        </w:rPr>
        <w:t>法定代表人或授权代表：</w:t>
      </w:r>
      <w:r>
        <w:rPr>
          <w:rFonts w:ascii="宋体" w:hAnsi="宋体" w:hint="eastAsia"/>
        </w:rPr>
        <w:t xml:space="preserve">                   </w:t>
      </w:r>
    </w:p>
    <w:p w14:paraId="2C061653" w14:textId="77777777" w:rsidR="00F82B4D" w:rsidRDefault="00F82B4D">
      <w:pPr>
        <w:spacing w:line="360" w:lineRule="auto"/>
        <w:ind w:right="26"/>
        <w:rPr>
          <w:rFonts w:ascii="宋体" w:hAnsi="宋体"/>
        </w:rPr>
      </w:pPr>
    </w:p>
    <w:p w14:paraId="00933BEF" w14:textId="77777777" w:rsidR="00F82B4D" w:rsidRDefault="00F82B4D">
      <w:pPr>
        <w:spacing w:line="360" w:lineRule="auto"/>
        <w:ind w:right="26"/>
        <w:rPr>
          <w:rFonts w:ascii="宋体" w:hAnsi="宋体"/>
        </w:rPr>
      </w:pPr>
    </w:p>
    <w:p w14:paraId="2B6EE1C5" w14:textId="77777777" w:rsidR="00F82B4D" w:rsidRDefault="00F82B4D">
      <w:pPr>
        <w:spacing w:line="360" w:lineRule="auto"/>
        <w:ind w:right="26"/>
        <w:rPr>
          <w:rFonts w:ascii="宋体" w:hAnsi="宋体"/>
        </w:rPr>
      </w:pPr>
    </w:p>
    <w:p w14:paraId="57D800E8" w14:textId="77777777" w:rsidR="00F82B4D" w:rsidRDefault="00F82B4D">
      <w:pPr>
        <w:spacing w:line="360" w:lineRule="auto"/>
        <w:ind w:right="26"/>
        <w:rPr>
          <w:rFonts w:ascii="宋体" w:hAnsi="宋体"/>
        </w:rPr>
      </w:pPr>
    </w:p>
    <w:p w14:paraId="14A7AE6C" w14:textId="77777777" w:rsidR="00F82B4D" w:rsidRDefault="00F82B4D">
      <w:pPr>
        <w:spacing w:line="360" w:lineRule="auto"/>
        <w:ind w:right="26"/>
        <w:rPr>
          <w:rFonts w:ascii="宋体" w:hAnsi="宋体"/>
        </w:rPr>
      </w:pPr>
    </w:p>
    <w:p w14:paraId="7FDB10D7" w14:textId="77777777" w:rsidR="00F82B4D" w:rsidRDefault="00467E37">
      <w:pPr>
        <w:spacing w:line="360" w:lineRule="auto"/>
        <w:ind w:right="26"/>
        <w:rPr>
          <w:rFonts w:ascii="宋体" w:hAnsi="宋体"/>
        </w:rPr>
      </w:pPr>
      <w:r>
        <w:rPr>
          <w:rFonts w:ascii="宋体" w:hAnsi="宋体" w:hint="eastAsia"/>
        </w:rPr>
        <w:t>基金托管人：招商银行股份有限公司（盖章）</w:t>
      </w:r>
    </w:p>
    <w:p w14:paraId="1221FD5F" w14:textId="77777777" w:rsidR="00F82B4D" w:rsidRDefault="00F82B4D">
      <w:pPr>
        <w:spacing w:line="360" w:lineRule="auto"/>
        <w:ind w:right="26"/>
        <w:rPr>
          <w:rFonts w:ascii="宋体" w:hAnsi="宋体"/>
        </w:rPr>
      </w:pPr>
    </w:p>
    <w:p w14:paraId="3D01E354" w14:textId="77777777" w:rsidR="00F82B4D" w:rsidRDefault="00F82B4D">
      <w:pPr>
        <w:spacing w:line="360" w:lineRule="auto"/>
        <w:ind w:right="26"/>
        <w:rPr>
          <w:rFonts w:ascii="宋体" w:hAnsi="宋体"/>
        </w:rPr>
      </w:pPr>
    </w:p>
    <w:p w14:paraId="0C7AE1BD" w14:textId="77777777" w:rsidR="00F82B4D" w:rsidRDefault="00467E37">
      <w:pPr>
        <w:spacing w:line="360" w:lineRule="auto"/>
        <w:ind w:right="26"/>
        <w:rPr>
          <w:rFonts w:ascii="宋体" w:hAnsi="宋体"/>
        </w:rPr>
      </w:pPr>
      <w:r>
        <w:rPr>
          <w:rFonts w:ascii="宋体" w:hAnsi="宋体" w:hint="eastAsia"/>
        </w:rPr>
        <w:t>法定代表人或授权代表：</w:t>
      </w:r>
      <w:r>
        <w:rPr>
          <w:rFonts w:ascii="宋体" w:hAnsi="宋体" w:hint="eastAsia"/>
        </w:rPr>
        <w:t xml:space="preserve">                   </w:t>
      </w:r>
    </w:p>
    <w:p w14:paraId="6132C96E" w14:textId="77777777" w:rsidR="00F82B4D" w:rsidRDefault="00F82B4D">
      <w:pPr>
        <w:spacing w:line="360" w:lineRule="auto"/>
        <w:ind w:right="26"/>
        <w:rPr>
          <w:rFonts w:ascii="宋体" w:hAnsi="宋体"/>
          <w:b/>
          <w:szCs w:val="28"/>
        </w:rPr>
      </w:pPr>
    </w:p>
    <w:p w14:paraId="74665C85" w14:textId="77777777" w:rsidR="00F82B4D" w:rsidRDefault="00F82B4D">
      <w:pPr>
        <w:spacing w:line="360" w:lineRule="auto"/>
        <w:ind w:right="26"/>
        <w:rPr>
          <w:rFonts w:ascii="宋体" w:hAnsi="宋体"/>
          <w:b/>
          <w:szCs w:val="28"/>
        </w:rPr>
      </w:pPr>
    </w:p>
    <w:p w14:paraId="15F8592C" w14:textId="77777777" w:rsidR="00F82B4D" w:rsidRDefault="00F82B4D">
      <w:pPr>
        <w:spacing w:line="360" w:lineRule="auto"/>
        <w:ind w:right="26"/>
        <w:rPr>
          <w:rFonts w:ascii="宋体" w:hAnsi="宋体"/>
          <w:b/>
          <w:szCs w:val="28"/>
        </w:rPr>
      </w:pPr>
    </w:p>
    <w:p w14:paraId="7381B463" w14:textId="77777777" w:rsidR="00F82B4D" w:rsidRDefault="00F82B4D">
      <w:pPr>
        <w:spacing w:line="360" w:lineRule="auto"/>
        <w:ind w:right="26"/>
        <w:rPr>
          <w:rFonts w:ascii="宋体" w:hAnsi="宋体"/>
          <w:b/>
          <w:szCs w:val="28"/>
        </w:rPr>
      </w:pPr>
    </w:p>
    <w:p w14:paraId="51F23E23" w14:textId="77777777" w:rsidR="00F82B4D" w:rsidRDefault="00F82B4D">
      <w:pPr>
        <w:spacing w:line="360" w:lineRule="auto"/>
        <w:ind w:right="26"/>
        <w:rPr>
          <w:rFonts w:ascii="宋体" w:hAnsi="宋体"/>
          <w:b/>
          <w:szCs w:val="28"/>
        </w:rPr>
      </w:pPr>
    </w:p>
    <w:p w14:paraId="5546AE70" w14:textId="77777777" w:rsidR="00F82B4D" w:rsidRDefault="00F82B4D">
      <w:pPr>
        <w:spacing w:line="360" w:lineRule="auto"/>
        <w:ind w:right="26"/>
        <w:rPr>
          <w:rFonts w:ascii="宋体" w:hAnsi="宋体"/>
          <w:b/>
          <w:szCs w:val="28"/>
        </w:rPr>
      </w:pPr>
    </w:p>
    <w:p w14:paraId="139EE3D8" w14:textId="77777777" w:rsidR="00F82B4D" w:rsidRDefault="00467E37">
      <w:pPr>
        <w:adjustRightInd w:val="0"/>
        <w:snapToGrid w:val="0"/>
        <w:spacing w:line="360" w:lineRule="auto"/>
      </w:pPr>
      <w:r>
        <w:rPr>
          <w:rFonts w:hint="eastAsia"/>
        </w:rPr>
        <w:t>签订日：</w:t>
      </w:r>
    </w:p>
    <w:p w14:paraId="51979130" w14:textId="77777777" w:rsidR="00F82B4D" w:rsidRDefault="00467E37">
      <w:pPr>
        <w:adjustRightInd w:val="0"/>
        <w:snapToGrid w:val="0"/>
        <w:spacing w:line="360" w:lineRule="auto"/>
        <w:rPr>
          <w:rFonts w:ascii="宋体" w:hAnsi="宋体" w:cs="Arial"/>
          <w:sz w:val="18"/>
          <w:szCs w:val="21"/>
        </w:rPr>
      </w:pPr>
      <w:r>
        <w:rPr>
          <w:rFonts w:hint="eastAsia"/>
        </w:rPr>
        <w:t>签订地：</w:t>
      </w:r>
    </w:p>
    <w:bookmarkEnd w:id="1"/>
    <w:p w14:paraId="3EA9AF5C" w14:textId="77777777" w:rsidR="00F82B4D" w:rsidRDefault="00F82B4D">
      <w:pPr>
        <w:adjustRightInd w:val="0"/>
        <w:snapToGrid w:val="0"/>
        <w:spacing w:line="360" w:lineRule="auto"/>
        <w:ind w:firstLineChars="200" w:firstLine="420"/>
        <w:rPr>
          <w:rFonts w:ascii="宋体" w:hAnsi="宋体" w:cs="Arial"/>
          <w:szCs w:val="21"/>
        </w:rPr>
      </w:pPr>
    </w:p>
    <w:sectPr w:rsidR="00F82B4D">
      <w:headerReference w:type="default" r:id="rId40"/>
      <w:footerReference w:type="default" r:id="rId4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0BB5" w14:textId="77777777" w:rsidR="00467E37" w:rsidRDefault="00467E37">
      <w:r>
        <w:separator/>
      </w:r>
    </w:p>
  </w:endnote>
  <w:endnote w:type="continuationSeparator" w:id="0">
    <w:p w14:paraId="56F4F156" w14:textId="77777777" w:rsidR="00467E37" w:rsidRDefault="0046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方正仿宋简体">
    <w:altName w:val="Arial Unicode MS"/>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F46F" w14:textId="77777777" w:rsidR="00F82B4D" w:rsidRDefault="00467E37">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A701872" w14:textId="77777777" w:rsidR="00F82B4D" w:rsidRDefault="00F82B4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34D4" w14:textId="77777777" w:rsidR="00F82B4D" w:rsidRDefault="00467E37">
    <w:pPr>
      <w:pStyle w:val="ac"/>
      <w:jc w:val="center"/>
    </w:pPr>
    <w:r>
      <w:fldChar w:fldCharType="begin"/>
    </w:r>
    <w:r>
      <w:instrText xml:space="preserve"> PAGE   \* MERGEFORMAT </w:instrText>
    </w:r>
    <w:r>
      <w:fldChar w:fldCharType="separate"/>
    </w:r>
    <w:r>
      <w:t>34</w:t>
    </w:r>
    <w:r>
      <w:fldChar w:fldCharType="end"/>
    </w:r>
  </w:p>
  <w:p w14:paraId="238B78BE" w14:textId="77777777" w:rsidR="00F82B4D" w:rsidRDefault="00F82B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1B23D" w14:textId="77777777" w:rsidR="00467E37" w:rsidRDefault="00467E37">
      <w:r>
        <w:separator/>
      </w:r>
    </w:p>
  </w:footnote>
  <w:footnote w:type="continuationSeparator" w:id="0">
    <w:p w14:paraId="53DFD47F" w14:textId="77777777" w:rsidR="00467E37" w:rsidRDefault="0046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6EA1" w14:textId="77777777" w:rsidR="00F82B4D" w:rsidRDefault="00467E37">
    <w:pPr>
      <w:pStyle w:val="ae"/>
      <w:jc w:val="right"/>
    </w:pPr>
    <w:r>
      <w:rPr>
        <w:rFonts w:ascii="宋体" w:hAnsi="宋体" w:hint="eastAsia"/>
      </w:rPr>
      <w:t>富国稳健添颐债券型证券投资基金托管协议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0ZDhkN2RhYWIzNTI3N2IwOTZmMjBmMGM2MDgyNDcifQ=="/>
  </w:docVars>
  <w:rsids>
    <w:rsidRoot w:val="00DC7E74"/>
    <w:rsid w:val="00001AB6"/>
    <w:rsid w:val="00001E42"/>
    <w:rsid w:val="00002977"/>
    <w:rsid w:val="00003DDD"/>
    <w:rsid w:val="00004215"/>
    <w:rsid w:val="00004BB1"/>
    <w:rsid w:val="00006969"/>
    <w:rsid w:val="00007C2F"/>
    <w:rsid w:val="00010125"/>
    <w:rsid w:val="0001044F"/>
    <w:rsid w:val="00012845"/>
    <w:rsid w:val="00014D21"/>
    <w:rsid w:val="00016A01"/>
    <w:rsid w:val="00017201"/>
    <w:rsid w:val="00022D6C"/>
    <w:rsid w:val="00023EE9"/>
    <w:rsid w:val="00024205"/>
    <w:rsid w:val="00027D10"/>
    <w:rsid w:val="00031A4E"/>
    <w:rsid w:val="00031D78"/>
    <w:rsid w:val="00031D96"/>
    <w:rsid w:val="00035F02"/>
    <w:rsid w:val="00041EA9"/>
    <w:rsid w:val="00042898"/>
    <w:rsid w:val="000441B2"/>
    <w:rsid w:val="00045017"/>
    <w:rsid w:val="00045690"/>
    <w:rsid w:val="00046DB8"/>
    <w:rsid w:val="00047948"/>
    <w:rsid w:val="00047EDD"/>
    <w:rsid w:val="00051D3A"/>
    <w:rsid w:val="00052827"/>
    <w:rsid w:val="00052BEE"/>
    <w:rsid w:val="00052D58"/>
    <w:rsid w:val="00053108"/>
    <w:rsid w:val="00064429"/>
    <w:rsid w:val="00064E77"/>
    <w:rsid w:val="00065FB9"/>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FA8"/>
    <w:rsid w:val="0009016D"/>
    <w:rsid w:val="00090707"/>
    <w:rsid w:val="00091E90"/>
    <w:rsid w:val="0009373C"/>
    <w:rsid w:val="00095055"/>
    <w:rsid w:val="00097239"/>
    <w:rsid w:val="000A1593"/>
    <w:rsid w:val="000A1777"/>
    <w:rsid w:val="000A20C8"/>
    <w:rsid w:val="000B0239"/>
    <w:rsid w:val="000B3268"/>
    <w:rsid w:val="000B6AA8"/>
    <w:rsid w:val="000C065F"/>
    <w:rsid w:val="000C100E"/>
    <w:rsid w:val="000C1D2F"/>
    <w:rsid w:val="000C1FA6"/>
    <w:rsid w:val="000C26FF"/>
    <w:rsid w:val="000C5514"/>
    <w:rsid w:val="000C5A20"/>
    <w:rsid w:val="000C6767"/>
    <w:rsid w:val="000C68E7"/>
    <w:rsid w:val="000C6D15"/>
    <w:rsid w:val="000C6E67"/>
    <w:rsid w:val="000C6FAD"/>
    <w:rsid w:val="000D187D"/>
    <w:rsid w:val="000D38A7"/>
    <w:rsid w:val="000D7E47"/>
    <w:rsid w:val="000E35CB"/>
    <w:rsid w:val="000E6573"/>
    <w:rsid w:val="000E7A07"/>
    <w:rsid w:val="000E7A28"/>
    <w:rsid w:val="000F2B08"/>
    <w:rsid w:val="000F3A96"/>
    <w:rsid w:val="000F6D18"/>
    <w:rsid w:val="00101318"/>
    <w:rsid w:val="00101B58"/>
    <w:rsid w:val="00102071"/>
    <w:rsid w:val="00103FE7"/>
    <w:rsid w:val="0010485A"/>
    <w:rsid w:val="001051B2"/>
    <w:rsid w:val="00105310"/>
    <w:rsid w:val="00110704"/>
    <w:rsid w:val="00113B59"/>
    <w:rsid w:val="00115064"/>
    <w:rsid w:val="00117512"/>
    <w:rsid w:val="0011783B"/>
    <w:rsid w:val="00120287"/>
    <w:rsid w:val="00120ABE"/>
    <w:rsid w:val="00120E91"/>
    <w:rsid w:val="00121AA0"/>
    <w:rsid w:val="00124047"/>
    <w:rsid w:val="00126670"/>
    <w:rsid w:val="00130A39"/>
    <w:rsid w:val="00130A50"/>
    <w:rsid w:val="00130F6B"/>
    <w:rsid w:val="00131569"/>
    <w:rsid w:val="00132D3A"/>
    <w:rsid w:val="00133130"/>
    <w:rsid w:val="00133414"/>
    <w:rsid w:val="0013367F"/>
    <w:rsid w:val="00134CB2"/>
    <w:rsid w:val="00135008"/>
    <w:rsid w:val="0013548F"/>
    <w:rsid w:val="00135F72"/>
    <w:rsid w:val="001362F3"/>
    <w:rsid w:val="00136679"/>
    <w:rsid w:val="00140CFC"/>
    <w:rsid w:val="0014493F"/>
    <w:rsid w:val="00144970"/>
    <w:rsid w:val="001451B1"/>
    <w:rsid w:val="0014596D"/>
    <w:rsid w:val="00146246"/>
    <w:rsid w:val="00153191"/>
    <w:rsid w:val="00153CD2"/>
    <w:rsid w:val="0015665A"/>
    <w:rsid w:val="00156A3F"/>
    <w:rsid w:val="00160684"/>
    <w:rsid w:val="00160700"/>
    <w:rsid w:val="00161DD2"/>
    <w:rsid w:val="00170A79"/>
    <w:rsid w:val="00172530"/>
    <w:rsid w:val="0017370E"/>
    <w:rsid w:val="00174565"/>
    <w:rsid w:val="001748DD"/>
    <w:rsid w:val="00175369"/>
    <w:rsid w:val="00176684"/>
    <w:rsid w:val="00182D88"/>
    <w:rsid w:val="00185465"/>
    <w:rsid w:val="00185825"/>
    <w:rsid w:val="00185AD1"/>
    <w:rsid w:val="0018653A"/>
    <w:rsid w:val="00187473"/>
    <w:rsid w:val="0019194A"/>
    <w:rsid w:val="001945D9"/>
    <w:rsid w:val="001945E4"/>
    <w:rsid w:val="001961E4"/>
    <w:rsid w:val="00197C29"/>
    <w:rsid w:val="001A27BB"/>
    <w:rsid w:val="001A31BA"/>
    <w:rsid w:val="001A4014"/>
    <w:rsid w:val="001A4100"/>
    <w:rsid w:val="001B07DD"/>
    <w:rsid w:val="001B3B5D"/>
    <w:rsid w:val="001C044F"/>
    <w:rsid w:val="001C0471"/>
    <w:rsid w:val="001C2010"/>
    <w:rsid w:val="001C2A8E"/>
    <w:rsid w:val="001C3C95"/>
    <w:rsid w:val="001C5B7E"/>
    <w:rsid w:val="001C7718"/>
    <w:rsid w:val="001D0D88"/>
    <w:rsid w:val="001D25D0"/>
    <w:rsid w:val="001D45F9"/>
    <w:rsid w:val="001D4655"/>
    <w:rsid w:val="001D46C2"/>
    <w:rsid w:val="001D4E66"/>
    <w:rsid w:val="001D5CCB"/>
    <w:rsid w:val="001D6367"/>
    <w:rsid w:val="001D695B"/>
    <w:rsid w:val="001D747C"/>
    <w:rsid w:val="001E5F15"/>
    <w:rsid w:val="001F01C7"/>
    <w:rsid w:val="001F0F63"/>
    <w:rsid w:val="001F2D81"/>
    <w:rsid w:val="001F31FB"/>
    <w:rsid w:val="001F4169"/>
    <w:rsid w:val="001F6924"/>
    <w:rsid w:val="001F6F44"/>
    <w:rsid w:val="002009F5"/>
    <w:rsid w:val="00200A19"/>
    <w:rsid w:val="002019B6"/>
    <w:rsid w:val="00201FEC"/>
    <w:rsid w:val="00206847"/>
    <w:rsid w:val="002071A9"/>
    <w:rsid w:val="00212E34"/>
    <w:rsid w:val="00215314"/>
    <w:rsid w:val="00216CAA"/>
    <w:rsid w:val="002215D2"/>
    <w:rsid w:val="00221872"/>
    <w:rsid w:val="00222341"/>
    <w:rsid w:val="002306C9"/>
    <w:rsid w:val="00231B62"/>
    <w:rsid w:val="002330CA"/>
    <w:rsid w:val="002332D3"/>
    <w:rsid w:val="00234248"/>
    <w:rsid w:val="00237AD7"/>
    <w:rsid w:val="0024032B"/>
    <w:rsid w:val="00242261"/>
    <w:rsid w:val="00242944"/>
    <w:rsid w:val="00242E69"/>
    <w:rsid w:val="00246B69"/>
    <w:rsid w:val="00247986"/>
    <w:rsid w:val="00247FC1"/>
    <w:rsid w:val="00251882"/>
    <w:rsid w:val="0026065F"/>
    <w:rsid w:val="002627A6"/>
    <w:rsid w:val="002631C1"/>
    <w:rsid w:val="00264E66"/>
    <w:rsid w:val="00267009"/>
    <w:rsid w:val="00267B52"/>
    <w:rsid w:val="00271A77"/>
    <w:rsid w:val="0027530F"/>
    <w:rsid w:val="002759C1"/>
    <w:rsid w:val="00275EA7"/>
    <w:rsid w:val="00276CBA"/>
    <w:rsid w:val="00280546"/>
    <w:rsid w:val="00285E1A"/>
    <w:rsid w:val="0028655B"/>
    <w:rsid w:val="0028792C"/>
    <w:rsid w:val="00287B07"/>
    <w:rsid w:val="00287DD6"/>
    <w:rsid w:val="00291ACE"/>
    <w:rsid w:val="00292831"/>
    <w:rsid w:val="00292A48"/>
    <w:rsid w:val="0029563B"/>
    <w:rsid w:val="002961C9"/>
    <w:rsid w:val="002A0B4E"/>
    <w:rsid w:val="002A0BF6"/>
    <w:rsid w:val="002A27EC"/>
    <w:rsid w:val="002A2BDE"/>
    <w:rsid w:val="002A3C8D"/>
    <w:rsid w:val="002A790E"/>
    <w:rsid w:val="002A7E73"/>
    <w:rsid w:val="002B11CF"/>
    <w:rsid w:val="002B19DD"/>
    <w:rsid w:val="002B2AD4"/>
    <w:rsid w:val="002B3129"/>
    <w:rsid w:val="002B7266"/>
    <w:rsid w:val="002B7527"/>
    <w:rsid w:val="002C06EA"/>
    <w:rsid w:val="002C27E5"/>
    <w:rsid w:val="002C2B27"/>
    <w:rsid w:val="002C5E9A"/>
    <w:rsid w:val="002C6520"/>
    <w:rsid w:val="002C6DF2"/>
    <w:rsid w:val="002C7C3C"/>
    <w:rsid w:val="002D155A"/>
    <w:rsid w:val="002D1D4F"/>
    <w:rsid w:val="002E05C3"/>
    <w:rsid w:val="002E3DED"/>
    <w:rsid w:val="002E46D7"/>
    <w:rsid w:val="002E54B5"/>
    <w:rsid w:val="002E68C1"/>
    <w:rsid w:val="002E73AA"/>
    <w:rsid w:val="002F1E2E"/>
    <w:rsid w:val="002F2074"/>
    <w:rsid w:val="002F211E"/>
    <w:rsid w:val="002F2D31"/>
    <w:rsid w:val="002F3F6D"/>
    <w:rsid w:val="002F66B1"/>
    <w:rsid w:val="002F68F6"/>
    <w:rsid w:val="003026F5"/>
    <w:rsid w:val="00306429"/>
    <w:rsid w:val="003123ED"/>
    <w:rsid w:val="003137F2"/>
    <w:rsid w:val="0031445C"/>
    <w:rsid w:val="003154CF"/>
    <w:rsid w:val="00317638"/>
    <w:rsid w:val="00320987"/>
    <w:rsid w:val="00322A50"/>
    <w:rsid w:val="00323511"/>
    <w:rsid w:val="0032522B"/>
    <w:rsid w:val="00330221"/>
    <w:rsid w:val="00330931"/>
    <w:rsid w:val="003336F7"/>
    <w:rsid w:val="00334F74"/>
    <w:rsid w:val="003369A7"/>
    <w:rsid w:val="00342DF8"/>
    <w:rsid w:val="003431C7"/>
    <w:rsid w:val="00344922"/>
    <w:rsid w:val="00345036"/>
    <w:rsid w:val="00346335"/>
    <w:rsid w:val="00346EED"/>
    <w:rsid w:val="0035076C"/>
    <w:rsid w:val="003532E6"/>
    <w:rsid w:val="00353894"/>
    <w:rsid w:val="00355528"/>
    <w:rsid w:val="003571CB"/>
    <w:rsid w:val="00360142"/>
    <w:rsid w:val="00360FE3"/>
    <w:rsid w:val="003659AF"/>
    <w:rsid w:val="00371CDD"/>
    <w:rsid w:val="003726C2"/>
    <w:rsid w:val="00383076"/>
    <w:rsid w:val="00390B6D"/>
    <w:rsid w:val="003936BA"/>
    <w:rsid w:val="0039673F"/>
    <w:rsid w:val="003979A1"/>
    <w:rsid w:val="003A1410"/>
    <w:rsid w:val="003A2D4C"/>
    <w:rsid w:val="003A30E5"/>
    <w:rsid w:val="003A4F07"/>
    <w:rsid w:val="003A6B7B"/>
    <w:rsid w:val="003A726C"/>
    <w:rsid w:val="003B1C76"/>
    <w:rsid w:val="003B4B60"/>
    <w:rsid w:val="003B5DEA"/>
    <w:rsid w:val="003C02BF"/>
    <w:rsid w:val="003C0916"/>
    <w:rsid w:val="003C104A"/>
    <w:rsid w:val="003C29ED"/>
    <w:rsid w:val="003C511A"/>
    <w:rsid w:val="003C5DC5"/>
    <w:rsid w:val="003C756C"/>
    <w:rsid w:val="003D226E"/>
    <w:rsid w:val="003D3A28"/>
    <w:rsid w:val="003D49AD"/>
    <w:rsid w:val="003D4BBC"/>
    <w:rsid w:val="003D5389"/>
    <w:rsid w:val="003D56EC"/>
    <w:rsid w:val="003D7BA3"/>
    <w:rsid w:val="003D7F68"/>
    <w:rsid w:val="003E0139"/>
    <w:rsid w:val="003E0AD5"/>
    <w:rsid w:val="003E16F3"/>
    <w:rsid w:val="003E21A2"/>
    <w:rsid w:val="003E46C5"/>
    <w:rsid w:val="003F010C"/>
    <w:rsid w:val="003F397E"/>
    <w:rsid w:val="003F663A"/>
    <w:rsid w:val="003F784C"/>
    <w:rsid w:val="004008A7"/>
    <w:rsid w:val="00401C64"/>
    <w:rsid w:val="004038C3"/>
    <w:rsid w:val="00405405"/>
    <w:rsid w:val="00405438"/>
    <w:rsid w:val="0040587F"/>
    <w:rsid w:val="00407577"/>
    <w:rsid w:val="0040782C"/>
    <w:rsid w:val="00407946"/>
    <w:rsid w:val="00411088"/>
    <w:rsid w:val="00412D2C"/>
    <w:rsid w:val="00413681"/>
    <w:rsid w:val="004142E4"/>
    <w:rsid w:val="00423845"/>
    <w:rsid w:val="004255F7"/>
    <w:rsid w:val="00425D01"/>
    <w:rsid w:val="004265DC"/>
    <w:rsid w:val="004275E3"/>
    <w:rsid w:val="00427FD7"/>
    <w:rsid w:val="00430FE4"/>
    <w:rsid w:val="00431AC3"/>
    <w:rsid w:val="00431F66"/>
    <w:rsid w:val="004324F7"/>
    <w:rsid w:val="00434945"/>
    <w:rsid w:val="004359C6"/>
    <w:rsid w:val="004365D5"/>
    <w:rsid w:val="004377F3"/>
    <w:rsid w:val="00437913"/>
    <w:rsid w:val="00440182"/>
    <w:rsid w:val="00440E3A"/>
    <w:rsid w:val="0044103D"/>
    <w:rsid w:val="00442664"/>
    <w:rsid w:val="00443C07"/>
    <w:rsid w:val="0044539E"/>
    <w:rsid w:val="0044748B"/>
    <w:rsid w:val="00450FE9"/>
    <w:rsid w:val="004535FF"/>
    <w:rsid w:val="00455436"/>
    <w:rsid w:val="004607BB"/>
    <w:rsid w:val="004610F6"/>
    <w:rsid w:val="00461F61"/>
    <w:rsid w:val="00464303"/>
    <w:rsid w:val="00467DCB"/>
    <w:rsid w:val="00467E37"/>
    <w:rsid w:val="00470498"/>
    <w:rsid w:val="00470E62"/>
    <w:rsid w:val="00470E6D"/>
    <w:rsid w:val="0047119A"/>
    <w:rsid w:val="00472E48"/>
    <w:rsid w:val="00473B5C"/>
    <w:rsid w:val="00475541"/>
    <w:rsid w:val="00476249"/>
    <w:rsid w:val="0048026F"/>
    <w:rsid w:val="00485735"/>
    <w:rsid w:val="00486012"/>
    <w:rsid w:val="0048671F"/>
    <w:rsid w:val="0048715E"/>
    <w:rsid w:val="00492BCA"/>
    <w:rsid w:val="00493296"/>
    <w:rsid w:val="004933B6"/>
    <w:rsid w:val="00493DC8"/>
    <w:rsid w:val="00494817"/>
    <w:rsid w:val="004A4931"/>
    <w:rsid w:val="004B0ED0"/>
    <w:rsid w:val="004B144E"/>
    <w:rsid w:val="004B2C2F"/>
    <w:rsid w:val="004B31DB"/>
    <w:rsid w:val="004B6573"/>
    <w:rsid w:val="004B68FA"/>
    <w:rsid w:val="004B752C"/>
    <w:rsid w:val="004B7C6E"/>
    <w:rsid w:val="004C007C"/>
    <w:rsid w:val="004C2330"/>
    <w:rsid w:val="004C37D5"/>
    <w:rsid w:val="004C5801"/>
    <w:rsid w:val="004C707D"/>
    <w:rsid w:val="004D2553"/>
    <w:rsid w:val="004D2A62"/>
    <w:rsid w:val="004D2E26"/>
    <w:rsid w:val="004D2FCF"/>
    <w:rsid w:val="004D5ACC"/>
    <w:rsid w:val="004E0F7D"/>
    <w:rsid w:val="004E1291"/>
    <w:rsid w:val="004E14CC"/>
    <w:rsid w:val="004E1760"/>
    <w:rsid w:val="004E3B88"/>
    <w:rsid w:val="004E7184"/>
    <w:rsid w:val="004F42C1"/>
    <w:rsid w:val="004F494F"/>
    <w:rsid w:val="004F6344"/>
    <w:rsid w:val="005035CF"/>
    <w:rsid w:val="00503D3F"/>
    <w:rsid w:val="00504AC5"/>
    <w:rsid w:val="00505AC7"/>
    <w:rsid w:val="00511C6C"/>
    <w:rsid w:val="005143A9"/>
    <w:rsid w:val="00515D94"/>
    <w:rsid w:val="0051636B"/>
    <w:rsid w:val="00521B52"/>
    <w:rsid w:val="0052319D"/>
    <w:rsid w:val="005248B6"/>
    <w:rsid w:val="00526015"/>
    <w:rsid w:val="00526FCA"/>
    <w:rsid w:val="00527783"/>
    <w:rsid w:val="00527B02"/>
    <w:rsid w:val="00541673"/>
    <w:rsid w:val="005451F9"/>
    <w:rsid w:val="005502D9"/>
    <w:rsid w:val="00550F23"/>
    <w:rsid w:val="00552216"/>
    <w:rsid w:val="00552B4E"/>
    <w:rsid w:val="00556EE6"/>
    <w:rsid w:val="00562DD1"/>
    <w:rsid w:val="005630A4"/>
    <w:rsid w:val="00563A96"/>
    <w:rsid w:val="00564D50"/>
    <w:rsid w:val="005660EE"/>
    <w:rsid w:val="0056678C"/>
    <w:rsid w:val="00570215"/>
    <w:rsid w:val="00570851"/>
    <w:rsid w:val="00571B4A"/>
    <w:rsid w:val="00580351"/>
    <w:rsid w:val="00580A4E"/>
    <w:rsid w:val="005822B8"/>
    <w:rsid w:val="00582659"/>
    <w:rsid w:val="00583F43"/>
    <w:rsid w:val="005849A4"/>
    <w:rsid w:val="00586675"/>
    <w:rsid w:val="00587C97"/>
    <w:rsid w:val="00591E65"/>
    <w:rsid w:val="0059219C"/>
    <w:rsid w:val="00593932"/>
    <w:rsid w:val="00594383"/>
    <w:rsid w:val="00594A4C"/>
    <w:rsid w:val="005A06D7"/>
    <w:rsid w:val="005A41FF"/>
    <w:rsid w:val="005A4FC8"/>
    <w:rsid w:val="005A7140"/>
    <w:rsid w:val="005B060E"/>
    <w:rsid w:val="005B0BDC"/>
    <w:rsid w:val="005B1738"/>
    <w:rsid w:val="005B240C"/>
    <w:rsid w:val="005B4925"/>
    <w:rsid w:val="005B6483"/>
    <w:rsid w:val="005B66FD"/>
    <w:rsid w:val="005B685B"/>
    <w:rsid w:val="005B6A9D"/>
    <w:rsid w:val="005C0810"/>
    <w:rsid w:val="005C2546"/>
    <w:rsid w:val="005C4FF8"/>
    <w:rsid w:val="005C7F22"/>
    <w:rsid w:val="005D3BFB"/>
    <w:rsid w:val="005D58AE"/>
    <w:rsid w:val="005D6727"/>
    <w:rsid w:val="005D7F1C"/>
    <w:rsid w:val="005E339E"/>
    <w:rsid w:val="005E385B"/>
    <w:rsid w:val="005E6E86"/>
    <w:rsid w:val="005F0EBB"/>
    <w:rsid w:val="005F20E0"/>
    <w:rsid w:val="005F288F"/>
    <w:rsid w:val="005F2B6C"/>
    <w:rsid w:val="005F2BCB"/>
    <w:rsid w:val="005F3385"/>
    <w:rsid w:val="005F3898"/>
    <w:rsid w:val="005F3B5B"/>
    <w:rsid w:val="005F3CC2"/>
    <w:rsid w:val="005F3E7C"/>
    <w:rsid w:val="005F625F"/>
    <w:rsid w:val="006007F2"/>
    <w:rsid w:val="0060476E"/>
    <w:rsid w:val="006054A8"/>
    <w:rsid w:val="00607523"/>
    <w:rsid w:val="006100CE"/>
    <w:rsid w:val="0061136C"/>
    <w:rsid w:val="006114C3"/>
    <w:rsid w:val="00611B88"/>
    <w:rsid w:val="00611C3D"/>
    <w:rsid w:val="00611F48"/>
    <w:rsid w:val="00613F8A"/>
    <w:rsid w:val="00613FA0"/>
    <w:rsid w:val="00615452"/>
    <w:rsid w:val="00615A06"/>
    <w:rsid w:val="00615FBA"/>
    <w:rsid w:val="00621321"/>
    <w:rsid w:val="006256CA"/>
    <w:rsid w:val="0063025C"/>
    <w:rsid w:val="00630D2C"/>
    <w:rsid w:val="0063393F"/>
    <w:rsid w:val="00635FBE"/>
    <w:rsid w:val="00644B26"/>
    <w:rsid w:val="006475D5"/>
    <w:rsid w:val="006520C3"/>
    <w:rsid w:val="00652128"/>
    <w:rsid w:val="00652650"/>
    <w:rsid w:val="00652DBF"/>
    <w:rsid w:val="00652F6B"/>
    <w:rsid w:val="006552ED"/>
    <w:rsid w:val="00660A76"/>
    <w:rsid w:val="00663B13"/>
    <w:rsid w:val="00667E4B"/>
    <w:rsid w:val="00670B94"/>
    <w:rsid w:val="00672A62"/>
    <w:rsid w:val="00673714"/>
    <w:rsid w:val="0067725F"/>
    <w:rsid w:val="00677614"/>
    <w:rsid w:val="00681481"/>
    <w:rsid w:val="00683A15"/>
    <w:rsid w:val="006841EB"/>
    <w:rsid w:val="00685EC8"/>
    <w:rsid w:val="006914E9"/>
    <w:rsid w:val="00691621"/>
    <w:rsid w:val="0069385D"/>
    <w:rsid w:val="00694C3B"/>
    <w:rsid w:val="006975FC"/>
    <w:rsid w:val="0069780E"/>
    <w:rsid w:val="006A0311"/>
    <w:rsid w:val="006A2CB1"/>
    <w:rsid w:val="006A4448"/>
    <w:rsid w:val="006A54A7"/>
    <w:rsid w:val="006B42CE"/>
    <w:rsid w:val="006B61D0"/>
    <w:rsid w:val="006B6A5C"/>
    <w:rsid w:val="006B7B59"/>
    <w:rsid w:val="006C7BF9"/>
    <w:rsid w:val="006C7C04"/>
    <w:rsid w:val="006D2279"/>
    <w:rsid w:val="006D3416"/>
    <w:rsid w:val="006D5FE6"/>
    <w:rsid w:val="006D62EB"/>
    <w:rsid w:val="006E463B"/>
    <w:rsid w:val="006E56FE"/>
    <w:rsid w:val="006E5ECE"/>
    <w:rsid w:val="006E7E3E"/>
    <w:rsid w:val="006F1996"/>
    <w:rsid w:val="006F2AD7"/>
    <w:rsid w:val="006F2C40"/>
    <w:rsid w:val="00700658"/>
    <w:rsid w:val="00701585"/>
    <w:rsid w:val="007030BF"/>
    <w:rsid w:val="00703FD5"/>
    <w:rsid w:val="0070609D"/>
    <w:rsid w:val="007124F5"/>
    <w:rsid w:val="0071396E"/>
    <w:rsid w:val="00717934"/>
    <w:rsid w:val="00722A46"/>
    <w:rsid w:val="007244D7"/>
    <w:rsid w:val="00724ED5"/>
    <w:rsid w:val="00725F0B"/>
    <w:rsid w:val="00731589"/>
    <w:rsid w:val="007328E1"/>
    <w:rsid w:val="00732CE8"/>
    <w:rsid w:val="00734A9B"/>
    <w:rsid w:val="00735EE5"/>
    <w:rsid w:val="0074155D"/>
    <w:rsid w:val="00741591"/>
    <w:rsid w:val="00746CAE"/>
    <w:rsid w:val="00752925"/>
    <w:rsid w:val="0075647E"/>
    <w:rsid w:val="00756BF1"/>
    <w:rsid w:val="00756E58"/>
    <w:rsid w:val="00757919"/>
    <w:rsid w:val="00757EF2"/>
    <w:rsid w:val="0076074D"/>
    <w:rsid w:val="0076471D"/>
    <w:rsid w:val="007662C0"/>
    <w:rsid w:val="00766662"/>
    <w:rsid w:val="00766773"/>
    <w:rsid w:val="00766CC7"/>
    <w:rsid w:val="00766F04"/>
    <w:rsid w:val="0077494E"/>
    <w:rsid w:val="00774D42"/>
    <w:rsid w:val="00775103"/>
    <w:rsid w:val="007765A0"/>
    <w:rsid w:val="007801DE"/>
    <w:rsid w:val="00780560"/>
    <w:rsid w:val="00781111"/>
    <w:rsid w:val="0078152B"/>
    <w:rsid w:val="0078195F"/>
    <w:rsid w:val="00785A06"/>
    <w:rsid w:val="007861DB"/>
    <w:rsid w:val="0078628A"/>
    <w:rsid w:val="00787792"/>
    <w:rsid w:val="007911F6"/>
    <w:rsid w:val="00792AAD"/>
    <w:rsid w:val="00793C1F"/>
    <w:rsid w:val="007958B2"/>
    <w:rsid w:val="00796B3C"/>
    <w:rsid w:val="00796DD2"/>
    <w:rsid w:val="00797097"/>
    <w:rsid w:val="00797644"/>
    <w:rsid w:val="007A351B"/>
    <w:rsid w:val="007A3F9F"/>
    <w:rsid w:val="007A6E8B"/>
    <w:rsid w:val="007A70EE"/>
    <w:rsid w:val="007B0E25"/>
    <w:rsid w:val="007B2DFC"/>
    <w:rsid w:val="007B2E8E"/>
    <w:rsid w:val="007B2EB0"/>
    <w:rsid w:val="007B4881"/>
    <w:rsid w:val="007B65FA"/>
    <w:rsid w:val="007B6A4E"/>
    <w:rsid w:val="007C0329"/>
    <w:rsid w:val="007C1033"/>
    <w:rsid w:val="007C2FCC"/>
    <w:rsid w:val="007C6CD5"/>
    <w:rsid w:val="007C7465"/>
    <w:rsid w:val="007D2175"/>
    <w:rsid w:val="007D56E4"/>
    <w:rsid w:val="007D5C10"/>
    <w:rsid w:val="007D6E65"/>
    <w:rsid w:val="007E1AC2"/>
    <w:rsid w:val="007E53FF"/>
    <w:rsid w:val="007E6F7F"/>
    <w:rsid w:val="007E7A88"/>
    <w:rsid w:val="007F0197"/>
    <w:rsid w:val="007F0C87"/>
    <w:rsid w:val="007F64C0"/>
    <w:rsid w:val="0080033D"/>
    <w:rsid w:val="00800858"/>
    <w:rsid w:val="00800A9F"/>
    <w:rsid w:val="00801335"/>
    <w:rsid w:val="00805F2E"/>
    <w:rsid w:val="00805F42"/>
    <w:rsid w:val="00806BB3"/>
    <w:rsid w:val="00806BE9"/>
    <w:rsid w:val="00807072"/>
    <w:rsid w:val="00807401"/>
    <w:rsid w:val="00810803"/>
    <w:rsid w:val="00810902"/>
    <w:rsid w:val="00811A25"/>
    <w:rsid w:val="00811F94"/>
    <w:rsid w:val="00812583"/>
    <w:rsid w:val="00813A33"/>
    <w:rsid w:val="008150CF"/>
    <w:rsid w:val="00815297"/>
    <w:rsid w:val="00820A94"/>
    <w:rsid w:val="00820CC6"/>
    <w:rsid w:val="0082124A"/>
    <w:rsid w:val="00821961"/>
    <w:rsid w:val="00822FD6"/>
    <w:rsid w:val="0082507C"/>
    <w:rsid w:val="008268A7"/>
    <w:rsid w:val="00826953"/>
    <w:rsid w:val="008274A4"/>
    <w:rsid w:val="008300DC"/>
    <w:rsid w:val="00830F1B"/>
    <w:rsid w:val="00832DBF"/>
    <w:rsid w:val="008334AE"/>
    <w:rsid w:val="00833B52"/>
    <w:rsid w:val="00836508"/>
    <w:rsid w:val="00836E06"/>
    <w:rsid w:val="00842A4E"/>
    <w:rsid w:val="0084364F"/>
    <w:rsid w:val="0084367A"/>
    <w:rsid w:val="00843C14"/>
    <w:rsid w:val="008460EA"/>
    <w:rsid w:val="00846296"/>
    <w:rsid w:val="0085196D"/>
    <w:rsid w:val="00852396"/>
    <w:rsid w:val="00854772"/>
    <w:rsid w:val="0085557E"/>
    <w:rsid w:val="00856A0D"/>
    <w:rsid w:val="00860E5A"/>
    <w:rsid w:val="008632B4"/>
    <w:rsid w:val="00863871"/>
    <w:rsid w:val="00863F31"/>
    <w:rsid w:val="00870568"/>
    <w:rsid w:val="0087067E"/>
    <w:rsid w:val="00870727"/>
    <w:rsid w:val="0088000D"/>
    <w:rsid w:val="00880D4D"/>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2160"/>
    <w:rsid w:val="008B35A5"/>
    <w:rsid w:val="008B3600"/>
    <w:rsid w:val="008B4216"/>
    <w:rsid w:val="008C01B9"/>
    <w:rsid w:val="008C0FCB"/>
    <w:rsid w:val="008C115C"/>
    <w:rsid w:val="008C343F"/>
    <w:rsid w:val="008C596B"/>
    <w:rsid w:val="008C5AA4"/>
    <w:rsid w:val="008C6C17"/>
    <w:rsid w:val="008D1B5E"/>
    <w:rsid w:val="008D2326"/>
    <w:rsid w:val="008D251D"/>
    <w:rsid w:val="008D3DBB"/>
    <w:rsid w:val="008D40D7"/>
    <w:rsid w:val="008D4F83"/>
    <w:rsid w:val="008E5A7C"/>
    <w:rsid w:val="008E5E09"/>
    <w:rsid w:val="008E6C96"/>
    <w:rsid w:val="008F2631"/>
    <w:rsid w:val="008F2B93"/>
    <w:rsid w:val="008F61C4"/>
    <w:rsid w:val="00900BD8"/>
    <w:rsid w:val="009045B4"/>
    <w:rsid w:val="009045D9"/>
    <w:rsid w:val="0090529F"/>
    <w:rsid w:val="00907862"/>
    <w:rsid w:val="0090792E"/>
    <w:rsid w:val="00907D99"/>
    <w:rsid w:val="00910249"/>
    <w:rsid w:val="00911103"/>
    <w:rsid w:val="00912F9F"/>
    <w:rsid w:val="00913B61"/>
    <w:rsid w:val="0092043E"/>
    <w:rsid w:val="009207A4"/>
    <w:rsid w:val="00921C43"/>
    <w:rsid w:val="00921F94"/>
    <w:rsid w:val="00923A95"/>
    <w:rsid w:val="00925601"/>
    <w:rsid w:val="00925CD6"/>
    <w:rsid w:val="009261AE"/>
    <w:rsid w:val="00926997"/>
    <w:rsid w:val="00926B86"/>
    <w:rsid w:val="00934410"/>
    <w:rsid w:val="00935656"/>
    <w:rsid w:val="00941099"/>
    <w:rsid w:val="009428D7"/>
    <w:rsid w:val="009447D8"/>
    <w:rsid w:val="00944BA7"/>
    <w:rsid w:val="009454F9"/>
    <w:rsid w:val="0094778B"/>
    <w:rsid w:val="00947C3B"/>
    <w:rsid w:val="00950757"/>
    <w:rsid w:val="00950F26"/>
    <w:rsid w:val="00952965"/>
    <w:rsid w:val="00952B6F"/>
    <w:rsid w:val="00953D84"/>
    <w:rsid w:val="00954499"/>
    <w:rsid w:val="00954EED"/>
    <w:rsid w:val="009556C6"/>
    <w:rsid w:val="00955893"/>
    <w:rsid w:val="00957CFA"/>
    <w:rsid w:val="009615C7"/>
    <w:rsid w:val="00961AF3"/>
    <w:rsid w:val="00962DED"/>
    <w:rsid w:val="00963283"/>
    <w:rsid w:val="00966A97"/>
    <w:rsid w:val="00966E0D"/>
    <w:rsid w:val="0097088C"/>
    <w:rsid w:val="009712E9"/>
    <w:rsid w:val="00971C82"/>
    <w:rsid w:val="00971F2C"/>
    <w:rsid w:val="0097249F"/>
    <w:rsid w:val="0097369D"/>
    <w:rsid w:val="00977F16"/>
    <w:rsid w:val="00980FD0"/>
    <w:rsid w:val="00981211"/>
    <w:rsid w:val="00982B83"/>
    <w:rsid w:val="00983463"/>
    <w:rsid w:val="0098566E"/>
    <w:rsid w:val="00985BCB"/>
    <w:rsid w:val="00987B0E"/>
    <w:rsid w:val="0099009F"/>
    <w:rsid w:val="0099216A"/>
    <w:rsid w:val="00996942"/>
    <w:rsid w:val="009969AC"/>
    <w:rsid w:val="009A3982"/>
    <w:rsid w:val="009A3A62"/>
    <w:rsid w:val="009A3ED6"/>
    <w:rsid w:val="009A4C7F"/>
    <w:rsid w:val="009A6455"/>
    <w:rsid w:val="009B2078"/>
    <w:rsid w:val="009B26B2"/>
    <w:rsid w:val="009B3884"/>
    <w:rsid w:val="009B41D2"/>
    <w:rsid w:val="009B4212"/>
    <w:rsid w:val="009B57E0"/>
    <w:rsid w:val="009C08FE"/>
    <w:rsid w:val="009C3F7E"/>
    <w:rsid w:val="009C4AAE"/>
    <w:rsid w:val="009C4DE8"/>
    <w:rsid w:val="009C6D89"/>
    <w:rsid w:val="009C7626"/>
    <w:rsid w:val="009D0F20"/>
    <w:rsid w:val="009D78E5"/>
    <w:rsid w:val="009E1242"/>
    <w:rsid w:val="009E2853"/>
    <w:rsid w:val="009E411C"/>
    <w:rsid w:val="009E59D7"/>
    <w:rsid w:val="009E5B23"/>
    <w:rsid w:val="009F0F8E"/>
    <w:rsid w:val="009F1F57"/>
    <w:rsid w:val="009F25A2"/>
    <w:rsid w:val="009F3FE1"/>
    <w:rsid w:val="009F53A5"/>
    <w:rsid w:val="009F7D62"/>
    <w:rsid w:val="00A01902"/>
    <w:rsid w:val="00A01C18"/>
    <w:rsid w:val="00A04270"/>
    <w:rsid w:val="00A0506D"/>
    <w:rsid w:val="00A063D0"/>
    <w:rsid w:val="00A101E3"/>
    <w:rsid w:val="00A10943"/>
    <w:rsid w:val="00A13F97"/>
    <w:rsid w:val="00A14D82"/>
    <w:rsid w:val="00A15F89"/>
    <w:rsid w:val="00A16593"/>
    <w:rsid w:val="00A21CE1"/>
    <w:rsid w:val="00A233F7"/>
    <w:rsid w:val="00A246A9"/>
    <w:rsid w:val="00A26AB3"/>
    <w:rsid w:val="00A27125"/>
    <w:rsid w:val="00A27BEE"/>
    <w:rsid w:val="00A32231"/>
    <w:rsid w:val="00A352A1"/>
    <w:rsid w:val="00A36248"/>
    <w:rsid w:val="00A37F3C"/>
    <w:rsid w:val="00A41504"/>
    <w:rsid w:val="00A419E5"/>
    <w:rsid w:val="00A42B46"/>
    <w:rsid w:val="00A47A31"/>
    <w:rsid w:val="00A47A6A"/>
    <w:rsid w:val="00A50139"/>
    <w:rsid w:val="00A5644B"/>
    <w:rsid w:val="00A56793"/>
    <w:rsid w:val="00A6202F"/>
    <w:rsid w:val="00A620DD"/>
    <w:rsid w:val="00A62BB2"/>
    <w:rsid w:val="00A64BBA"/>
    <w:rsid w:val="00A7031D"/>
    <w:rsid w:val="00A723EA"/>
    <w:rsid w:val="00A73353"/>
    <w:rsid w:val="00A76AC9"/>
    <w:rsid w:val="00A807F1"/>
    <w:rsid w:val="00A81138"/>
    <w:rsid w:val="00A83D75"/>
    <w:rsid w:val="00A84AB9"/>
    <w:rsid w:val="00A85E58"/>
    <w:rsid w:val="00A86DBF"/>
    <w:rsid w:val="00A90182"/>
    <w:rsid w:val="00A903EA"/>
    <w:rsid w:val="00A93209"/>
    <w:rsid w:val="00A932AB"/>
    <w:rsid w:val="00A93473"/>
    <w:rsid w:val="00A96A42"/>
    <w:rsid w:val="00AA062D"/>
    <w:rsid w:val="00AA0844"/>
    <w:rsid w:val="00AA30E5"/>
    <w:rsid w:val="00AA3CE7"/>
    <w:rsid w:val="00AA44BE"/>
    <w:rsid w:val="00AA7E18"/>
    <w:rsid w:val="00AB09A1"/>
    <w:rsid w:val="00AB1D9C"/>
    <w:rsid w:val="00AB3D14"/>
    <w:rsid w:val="00AB4940"/>
    <w:rsid w:val="00AB5BB2"/>
    <w:rsid w:val="00AB65AE"/>
    <w:rsid w:val="00AC32FA"/>
    <w:rsid w:val="00AC54D8"/>
    <w:rsid w:val="00AC5911"/>
    <w:rsid w:val="00AC7BE3"/>
    <w:rsid w:val="00AD065B"/>
    <w:rsid w:val="00AD397F"/>
    <w:rsid w:val="00AD57B5"/>
    <w:rsid w:val="00AD5CF0"/>
    <w:rsid w:val="00AE0A46"/>
    <w:rsid w:val="00AE2549"/>
    <w:rsid w:val="00AE27C3"/>
    <w:rsid w:val="00AE2D7D"/>
    <w:rsid w:val="00AE2EB7"/>
    <w:rsid w:val="00AE4C6E"/>
    <w:rsid w:val="00AE7F08"/>
    <w:rsid w:val="00AF2353"/>
    <w:rsid w:val="00AF29BA"/>
    <w:rsid w:val="00AF29CE"/>
    <w:rsid w:val="00AF65AC"/>
    <w:rsid w:val="00B0090E"/>
    <w:rsid w:val="00B00B62"/>
    <w:rsid w:val="00B03923"/>
    <w:rsid w:val="00B06D85"/>
    <w:rsid w:val="00B112C7"/>
    <w:rsid w:val="00B1198E"/>
    <w:rsid w:val="00B17397"/>
    <w:rsid w:val="00B204A8"/>
    <w:rsid w:val="00B21114"/>
    <w:rsid w:val="00B21652"/>
    <w:rsid w:val="00B2251C"/>
    <w:rsid w:val="00B23116"/>
    <w:rsid w:val="00B23A73"/>
    <w:rsid w:val="00B23FF4"/>
    <w:rsid w:val="00B25AA6"/>
    <w:rsid w:val="00B30863"/>
    <w:rsid w:val="00B32C0D"/>
    <w:rsid w:val="00B3304D"/>
    <w:rsid w:val="00B3563B"/>
    <w:rsid w:val="00B361BB"/>
    <w:rsid w:val="00B368D9"/>
    <w:rsid w:val="00B37C57"/>
    <w:rsid w:val="00B37D2D"/>
    <w:rsid w:val="00B4022D"/>
    <w:rsid w:val="00B448AB"/>
    <w:rsid w:val="00B44EEC"/>
    <w:rsid w:val="00B5336D"/>
    <w:rsid w:val="00B544D6"/>
    <w:rsid w:val="00B61804"/>
    <w:rsid w:val="00B6183B"/>
    <w:rsid w:val="00B6306F"/>
    <w:rsid w:val="00B7051B"/>
    <w:rsid w:val="00B70B29"/>
    <w:rsid w:val="00B71C1F"/>
    <w:rsid w:val="00B7390E"/>
    <w:rsid w:val="00B74B7A"/>
    <w:rsid w:val="00B76A3B"/>
    <w:rsid w:val="00B80807"/>
    <w:rsid w:val="00B839FC"/>
    <w:rsid w:val="00B859F1"/>
    <w:rsid w:val="00B85DA7"/>
    <w:rsid w:val="00B862CC"/>
    <w:rsid w:val="00B86630"/>
    <w:rsid w:val="00B87DE0"/>
    <w:rsid w:val="00B90D94"/>
    <w:rsid w:val="00B924D6"/>
    <w:rsid w:val="00B93FC3"/>
    <w:rsid w:val="00B9518F"/>
    <w:rsid w:val="00B95CFC"/>
    <w:rsid w:val="00B96881"/>
    <w:rsid w:val="00B96B55"/>
    <w:rsid w:val="00BA10C2"/>
    <w:rsid w:val="00BA6A0F"/>
    <w:rsid w:val="00BB0623"/>
    <w:rsid w:val="00BB204F"/>
    <w:rsid w:val="00BB76FF"/>
    <w:rsid w:val="00BB7F82"/>
    <w:rsid w:val="00BC005C"/>
    <w:rsid w:val="00BC1462"/>
    <w:rsid w:val="00BC2AB2"/>
    <w:rsid w:val="00BC4F68"/>
    <w:rsid w:val="00BC66EB"/>
    <w:rsid w:val="00BC751E"/>
    <w:rsid w:val="00BD0295"/>
    <w:rsid w:val="00BD0B92"/>
    <w:rsid w:val="00BD27C8"/>
    <w:rsid w:val="00BD2D7E"/>
    <w:rsid w:val="00BD310C"/>
    <w:rsid w:val="00BD3A23"/>
    <w:rsid w:val="00BD4FD3"/>
    <w:rsid w:val="00BE1FE7"/>
    <w:rsid w:val="00BE2CEC"/>
    <w:rsid w:val="00BE32ED"/>
    <w:rsid w:val="00BE3691"/>
    <w:rsid w:val="00BE4978"/>
    <w:rsid w:val="00BE4A3A"/>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5231"/>
    <w:rsid w:val="00C242E8"/>
    <w:rsid w:val="00C267AD"/>
    <w:rsid w:val="00C312FC"/>
    <w:rsid w:val="00C329D4"/>
    <w:rsid w:val="00C342C2"/>
    <w:rsid w:val="00C34FE9"/>
    <w:rsid w:val="00C35D67"/>
    <w:rsid w:val="00C405A7"/>
    <w:rsid w:val="00C41223"/>
    <w:rsid w:val="00C44C70"/>
    <w:rsid w:val="00C451DC"/>
    <w:rsid w:val="00C45B44"/>
    <w:rsid w:val="00C46966"/>
    <w:rsid w:val="00C479DB"/>
    <w:rsid w:val="00C47B80"/>
    <w:rsid w:val="00C5361F"/>
    <w:rsid w:val="00C55A43"/>
    <w:rsid w:val="00C60E74"/>
    <w:rsid w:val="00C631C2"/>
    <w:rsid w:val="00C73BD5"/>
    <w:rsid w:val="00C7566F"/>
    <w:rsid w:val="00C77CA7"/>
    <w:rsid w:val="00C77D41"/>
    <w:rsid w:val="00C8101F"/>
    <w:rsid w:val="00C81E26"/>
    <w:rsid w:val="00C82637"/>
    <w:rsid w:val="00C82765"/>
    <w:rsid w:val="00C8304B"/>
    <w:rsid w:val="00C83466"/>
    <w:rsid w:val="00C85813"/>
    <w:rsid w:val="00C861CA"/>
    <w:rsid w:val="00C928F5"/>
    <w:rsid w:val="00C92F34"/>
    <w:rsid w:val="00C9303A"/>
    <w:rsid w:val="00C937F0"/>
    <w:rsid w:val="00C94905"/>
    <w:rsid w:val="00C9700D"/>
    <w:rsid w:val="00CA13E6"/>
    <w:rsid w:val="00CA2396"/>
    <w:rsid w:val="00CA2560"/>
    <w:rsid w:val="00CB174C"/>
    <w:rsid w:val="00CB2207"/>
    <w:rsid w:val="00CB2D8D"/>
    <w:rsid w:val="00CB3718"/>
    <w:rsid w:val="00CB40E0"/>
    <w:rsid w:val="00CB5002"/>
    <w:rsid w:val="00CB5BC9"/>
    <w:rsid w:val="00CB6149"/>
    <w:rsid w:val="00CB6A95"/>
    <w:rsid w:val="00CB72F1"/>
    <w:rsid w:val="00CC13D2"/>
    <w:rsid w:val="00CC227F"/>
    <w:rsid w:val="00CC2A6E"/>
    <w:rsid w:val="00CC4287"/>
    <w:rsid w:val="00CC4451"/>
    <w:rsid w:val="00CC4D5E"/>
    <w:rsid w:val="00CC7F18"/>
    <w:rsid w:val="00CD012C"/>
    <w:rsid w:val="00CD15F0"/>
    <w:rsid w:val="00CD4109"/>
    <w:rsid w:val="00CD5FFC"/>
    <w:rsid w:val="00CE276D"/>
    <w:rsid w:val="00CE606A"/>
    <w:rsid w:val="00CE6D88"/>
    <w:rsid w:val="00CE7CC4"/>
    <w:rsid w:val="00CF070D"/>
    <w:rsid w:val="00CF2FDE"/>
    <w:rsid w:val="00CF5676"/>
    <w:rsid w:val="00CF6DD7"/>
    <w:rsid w:val="00CF7C44"/>
    <w:rsid w:val="00D04EBF"/>
    <w:rsid w:val="00D076A4"/>
    <w:rsid w:val="00D07AD8"/>
    <w:rsid w:val="00D1282F"/>
    <w:rsid w:val="00D13508"/>
    <w:rsid w:val="00D13AC5"/>
    <w:rsid w:val="00D16D15"/>
    <w:rsid w:val="00D16FD0"/>
    <w:rsid w:val="00D204A6"/>
    <w:rsid w:val="00D20847"/>
    <w:rsid w:val="00D219DF"/>
    <w:rsid w:val="00D21EC3"/>
    <w:rsid w:val="00D227AC"/>
    <w:rsid w:val="00D235CA"/>
    <w:rsid w:val="00D2395F"/>
    <w:rsid w:val="00D24A96"/>
    <w:rsid w:val="00D2621F"/>
    <w:rsid w:val="00D27602"/>
    <w:rsid w:val="00D31034"/>
    <w:rsid w:val="00D31995"/>
    <w:rsid w:val="00D334B4"/>
    <w:rsid w:val="00D34969"/>
    <w:rsid w:val="00D3594C"/>
    <w:rsid w:val="00D370AA"/>
    <w:rsid w:val="00D40578"/>
    <w:rsid w:val="00D429DC"/>
    <w:rsid w:val="00D438F7"/>
    <w:rsid w:val="00D46506"/>
    <w:rsid w:val="00D47B40"/>
    <w:rsid w:val="00D51987"/>
    <w:rsid w:val="00D520A3"/>
    <w:rsid w:val="00D52FBC"/>
    <w:rsid w:val="00D531CD"/>
    <w:rsid w:val="00D55C41"/>
    <w:rsid w:val="00D572C8"/>
    <w:rsid w:val="00D64D49"/>
    <w:rsid w:val="00D664D8"/>
    <w:rsid w:val="00D748CF"/>
    <w:rsid w:val="00D74CE7"/>
    <w:rsid w:val="00D7640E"/>
    <w:rsid w:val="00D766FD"/>
    <w:rsid w:val="00D76F14"/>
    <w:rsid w:val="00D81BE8"/>
    <w:rsid w:val="00D86069"/>
    <w:rsid w:val="00D867A9"/>
    <w:rsid w:val="00D86FA8"/>
    <w:rsid w:val="00D871F7"/>
    <w:rsid w:val="00D879AD"/>
    <w:rsid w:val="00D90928"/>
    <w:rsid w:val="00D911DB"/>
    <w:rsid w:val="00D948D4"/>
    <w:rsid w:val="00D94926"/>
    <w:rsid w:val="00D94A1E"/>
    <w:rsid w:val="00D950C6"/>
    <w:rsid w:val="00D954A3"/>
    <w:rsid w:val="00D95676"/>
    <w:rsid w:val="00D95DCA"/>
    <w:rsid w:val="00D95EFC"/>
    <w:rsid w:val="00D969F7"/>
    <w:rsid w:val="00D97B45"/>
    <w:rsid w:val="00DA31C9"/>
    <w:rsid w:val="00DA3242"/>
    <w:rsid w:val="00DA4514"/>
    <w:rsid w:val="00DA4D85"/>
    <w:rsid w:val="00DA5F3F"/>
    <w:rsid w:val="00DA614E"/>
    <w:rsid w:val="00DB2644"/>
    <w:rsid w:val="00DB3BE4"/>
    <w:rsid w:val="00DB4AE5"/>
    <w:rsid w:val="00DB7853"/>
    <w:rsid w:val="00DC0A3E"/>
    <w:rsid w:val="00DC0C3C"/>
    <w:rsid w:val="00DC18DD"/>
    <w:rsid w:val="00DC3796"/>
    <w:rsid w:val="00DC6DDF"/>
    <w:rsid w:val="00DC6EC1"/>
    <w:rsid w:val="00DC7E74"/>
    <w:rsid w:val="00DD0660"/>
    <w:rsid w:val="00DD25A5"/>
    <w:rsid w:val="00DD363B"/>
    <w:rsid w:val="00DD568D"/>
    <w:rsid w:val="00DE0439"/>
    <w:rsid w:val="00DE112B"/>
    <w:rsid w:val="00DE3AEE"/>
    <w:rsid w:val="00DE4F7C"/>
    <w:rsid w:val="00DE6098"/>
    <w:rsid w:val="00DE6BFF"/>
    <w:rsid w:val="00DE7E91"/>
    <w:rsid w:val="00DF00F4"/>
    <w:rsid w:val="00DF2440"/>
    <w:rsid w:val="00DF2AB8"/>
    <w:rsid w:val="00DF3717"/>
    <w:rsid w:val="00DF4957"/>
    <w:rsid w:val="00DF4EE0"/>
    <w:rsid w:val="00DF75D4"/>
    <w:rsid w:val="00E039FE"/>
    <w:rsid w:val="00E062AD"/>
    <w:rsid w:val="00E1062A"/>
    <w:rsid w:val="00E12670"/>
    <w:rsid w:val="00E12CDB"/>
    <w:rsid w:val="00E13C85"/>
    <w:rsid w:val="00E140DB"/>
    <w:rsid w:val="00E15472"/>
    <w:rsid w:val="00E16F85"/>
    <w:rsid w:val="00E17B79"/>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401CD"/>
    <w:rsid w:val="00E4548E"/>
    <w:rsid w:val="00E50C47"/>
    <w:rsid w:val="00E510E5"/>
    <w:rsid w:val="00E51C8F"/>
    <w:rsid w:val="00E60BC8"/>
    <w:rsid w:val="00E64E60"/>
    <w:rsid w:val="00E65A90"/>
    <w:rsid w:val="00E66929"/>
    <w:rsid w:val="00E678B6"/>
    <w:rsid w:val="00E75929"/>
    <w:rsid w:val="00E77DD3"/>
    <w:rsid w:val="00E80CAD"/>
    <w:rsid w:val="00E83907"/>
    <w:rsid w:val="00E8496F"/>
    <w:rsid w:val="00E86C77"/>
    <w:rsid w:val="00E870E0"/>
    <w:rsid w:val="00E8764F"/>
    <w:rsid w:val="00E90D07"/>
    <w:rsid w:val="00E922A1"/>
    <w:rsid w:val="00E9435F"/>
    <w:rsid w:val="00E954BF"/>
    <w:rsid w:val="00E957BA"/>
    <w:rsid w:val="00E96121"/>
    <w:rsid w:val="00E96960"/>
    <w:rsid w:val="00EA0B55"/>
    <w:rsid w:val="00EA0C8B"/>
    <w:rsid w:val="00EA0DD1"/>
    <w:rsid w:val="00EA12B6"/>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4397"/>
    <w:rsid w:val="00EC6E75"/>
    <w:rsid w:val="00ED1B91"/>
    <w:rsid w:val="00ED20F2"/>
    <w:rsid w:val="00ED2A25"/>
    <w:rsid w:val="00ED3B44"/>
    <w:rsid w:val="00ED4113"/>
    <w:rsid w:val="00ED4121"/>
    <w:rsid w:val="00ED7203"/>
    <w:rsid w:val="00ED77EF"/>
    <w:rsid w:val="00ED7805"/>
    <w:rsid w:val="00EE0F73"/>
    <w:rsid w:val="00EE1299"/>
    <w:rsid w:val="00EE1700"/>
    <w:rsid w:val="00EE227F"/>
    <w:rsid w:val="00EE2F7F"/>
    <w:rsid w:val="00EE448F"/>
    <w:rsid w:val="00EE7D18"/>
    <w:rsid w:val="00EF303D"/>
    <w:rsid w:val="00EF3E4E"/>
    <w:rsid w:val="00EF475E"/>
    <w:rsid w:val="00F06A78"/>
    <w:rsid w:val="00F07ADC"/>
    <w:rsid w:val="00F11433"/>
    <w:rsid w:val="00F1286B"/>
    <w:rsid w:val="00F13963"/>
    <w:rsid w:val="00F13999"/>
    <w:rsid w:val="00F13BAB"/>
    <w:rsid w:val="00F13BD3"/>
    <w:rsid w:val="00F1403C"/>
    <w:rsid w:val="00F15A80"/>
    <w:rsid w:val="00F22C9F"/>
    <w:rsid w:val="00F25338"/>
    <w:rsid w:val="00F27F44"/>
    <w:rsid w:val="00F30148"/>
    <w:rsid w:val="00F316D9"/>
    <w:rsid w:val="00F32397"/>
    <w:rsid w:val="00F32EB2"/>
    <w:rsid w:val="00F33824"/>
    <w:rsid w:val="00F34C94"/>
    <w:rsid w:val="00F35823"/>
    <w:rsid w:val="00F415E7"/>
    <w:rsid w:val="00F440CF"/>
    <w:rsid w:val="00F44562"/>
    <w:rsid w:val="00F4628E"/>
    <w:rsid w:val="00F47E8C"/>
    <w:rsid w:val="00F50E48"/>
    <w:rsid w:val="00F524FE"/>
    <w:rsid w:val="00F5262B"/>
    <w:rsid w:val="00F528D3"/>
    <w:rsid w:val="00F52F1C"/>
    <w:rsid w:val="00F5388A"/>
    <w:rsid w:val="00F54F9A"/>
    <w:rsid w:val="00F57D27"/>
    <w:rsid w:val="00F604C2"/>
    <w:rsid w:val="00F60907"/>
    <w:rsid w:val="00F63BAD"/>
    <w:rsid w:val="00F647BA"/>
    <w:rsid w:val="00F64C0B"/>
    <w:rsid w:val="00F65136"/>
    <w:rsid w:val="00F66D91"/>
    <w:rsid w:val="00F67A52"/>
    <w:rsid w:val="00F67FD3"/>
    <w:rsid w:val="00F708B2"/>
    <w:rsid w:val="00F74CBB"/>
    <w:rsid w:val="00F75AB4"/>
    <w:rsid w:val="00F75C2F"/>
    <w:rsid w:val="00F82B4D"/>
    <w:rsid w:val="00F84435"/>
    <w:rsid w:val="00F848C5"/>
    <w:rsid w:val="00F84B55"/>
    <w:rsid w:val="00F85DBF"/>
    <w:rsid w:val="00F85F32"/>
    <w:rsid w:val="00F87F1A"/>
    <w:rsid w:val="00F90DB7"/>
    <w:rsid w:val="00F90E9F"/>
    <w:rsid w:val="00F913BD"/>
    <w:rsid w:val="00F927EF"/>
    <w:rsid w:val="00F94F04"/>
    <w:rsid w:val="00F9534F"/>
    <w:rsid w:val="00F95FF6"/>
    <w:rsid w:val="00FA0E11"/>
    <w:rsid w:val="00FA103C"/>
    <w:rsid w:val="00FA20C5"/>
    <w:rsid w:val="00FA6503"/>
    <w:rsid w:val="00FA7884"/>
    <w:rsid w:val="00FB27EB"/>
    <w:rsid w:val="00FB5D8D"/>
    <w:rsid w:val="00FB7B1C"/>
    <w:rsid w:val="00FB7F4F"/>
    <w:rsid w:val="00FC0DF4"/>
    <w:rsid w:val="00FC1F16"/>
    <w:rsid w:val="00FC6337"/>
    <w:rsid w:val="00FD0442"/>
    <w:rsid w:val="00FD08AE"/>
    <w:rsid w:val="00FD2D65"/>
    <w:rsid w:val="00FD520D"/>
    <w:rsid w:val="00FD5FFF"/>
    <w:rsid w:val="00FD74C1"/>
    <w:rsid w:val="00FE0DC9"/>
    <w:rsid w:val="00FE13D9"/>
    <w:rsid w:val="00FE1AF1"/>
    <w:rsid w:val="00FE2BF6"/>
    <w:rsid w:val="00FE67A8"/>
    <w:rsid w:val="00FE7849"/>
    <w:rsid w:val="00FE792D"/>
    <w:rsid w:val="00FF1C53"/>
    <w:rsid w:val="01BA55B1"/>
    <w:rsid w:val="05F72B03"/>
    <w:rsid w:val="072D77D5"/>
    <w:rsid w:val="07A6150C"/>
    <w:rsid w:val="15D95D65"/>
    <w:rsid w:val="21AB75EA"/>
    <w:rsid w:val="28416FDE"/>
    <w:rsid w:val="28BE0CCF"/>
    <w:rsid w:val="2AF666B1"/>
    <w:rsid w:val="396F6210"/>
    <w:rsid w:val="476B6906"/>
    <w:rsid w:val="502F5BB5"/>
    <w:rsid w:val="51C80EB3"/>
    <w:rsid w:val="56D02DB9"/>
    <w:rsid w:val="6C3D04F6"/>
    <w:rsid w:val="777F2232"/>
    <w:rsid w:val="7AB3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1F83AF-969B-4F5B-AA9D-C828F4FB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TOC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semiHidden/>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link w:val="aa"/>
    <w:qFormat/>
    <w:rPr>
      <w:rFonts w:ascii="宋体" w:hAnsi="Courier New"/>
      <w:szCs w:val="21"/>
    </w:rPr>
  </w:style>
  <w:style w:type="paragraph" w:styleId="TOC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lang w:val="zh-CN"/>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uiPriority w:val="39"/>
    <w:qFormat/>
    <w:pPr>
      <w:tabs>
        <w:tab w:val="right" w:leader="dot" w:pos="8494"/>
      </w:tabs>
      <w:spacing w:line="360" w:lineRule="auto"/>
      <w:ind w:leftChars="200" w:left="420"/>
    </w:pPr>
  </w:style>
  <w:style w:type="paragraph" w:styleId="TOC9">
    <w:name w:val="toc 9"/>
    <w:basedOn w:val="a"/>
    <w:next w:val="a"/>
    <w:semiHidden/>
    <w:qFormat/>
    <w:pPr>
      <w:ind w:leftChars="1600" w:left="3360"/>
    </w:pPr>
  </w:style>
  <w:style w:type="paragraph" w:styleId="af0">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
    <w:link w:val="af2"/>
    <w:qFormat/>
    <w:pPr>
      <w:spacing w:before="240" w:after="60"/>
      <w:jc w:val="center"/>
      <w:outlineLvl w:val="0"/>
    </w:pPr>
    <w:rPr>
      <w:rFonts w:ascii="Arial" w:hAnsi="Arial"/>
      <w:b/>
      <w:bCs/>
      <w:sz w:val="32"/>
      <w:szCs w:val="32"/>
      <w:lang w:val="zh-CN"/>
    </w:rPr>
  </w:style>
  <w:style w:type="paragraph" w:styleId="af3">
    <w:name w:val="annotation subject"/>
    <w:basedOn w:val="a5"/>
    <w:next w:val="a5"/>
    <w:semiHidden/>
    <w:qFormat/>
    <w:rPr>
      <w:b/>
      <w:bCs/>
    </w:rPr>
  </w:style>
  <w:style w:type="character" w:styleId="af4">
    <w:name w:val="Strong"/>
    <w:uiPriority w:val="22"/>
    <w:qFormat/>
    <w:rPr>
      <w:b/>
      <w:bCs/>
    </w:rPr>
  </w:style>
  <w:style w:type="character" w:styleId="af5">
    <w:name w:val="page number"/>
    <w:basedOn w:val="a1"/>
    <w:qFormat/>
  </w:style>
  <w:style w:type="character" w:styleId="af6">
    <w:name w:val="Hyperlink"/>
    <w:uiPriority w:val="99"/>
    <w:qFormat/>
    <w:rPr>
      <w:color w:val="0000FF"/>
      <w:u w:val="single"/>
    </w:rPr>
  </w:style>
  <w:style w:type="character" w:styleId="af7">
    <w:name w:val="annotation reference"/>
    <w:uiPriority w:val="99"/>
    <w:semiHidden/>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1">
    <w:name w:val="已访问的超链接1"/>
    <w:qFormat/>
    <w:rPr>
      <w:color w:val="800080"/>
      <w:u w:val="single"/>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qFormat/>
    <w:rPr>
      <w:rFonts w:eastAsia="宋体"/>
      <w:kern w:val="2"/>
      <w:sz w:val="21"/>
      <w:szCs w:val="24"/>
      <w:lang w:val="en-US" w:eastAsia="zh-CN" w:bidi="ar-SA"/>
    </w:rPr>
  </w:style>
  <w:style w:type="paragraph" w:customStyle="1" w:styleId="12">
    <w:name w:val="修订1"/>
    <w:hidden/>
    <w:uiPriority w:val="99"/>
    <w:semiHidden/>
    <w:qFormat/>
    <w:rPr>
      <w:kern w:val="2"/>
      <w:sz w:val="21"/>
      <w:szCs w:val="24"/>
    </w:rPr>
  </w:style>
  <w:style w:type="character" w:customStyle="1" w:styleId="af2">
    <w:name w:val="标题 字符"/>
    <w:link w:val="af1"/>
    <w:qFormat/>
    <w:rPr>
      <w:rFonts w:ascii="Arial" w:hAnsi="Arial" w:cs="Arial"/>
      <w:b/>
      <w:bCs/>
      <w:kern w:val="2"/>
      <w:sz w:val="32"/>
      <w:szCs w:val="32"/>
    </w:rPr>
  </w:style>
  <w:style w:type="character" w:customStyle="1" w:styleId="ad">
    <w:name w:val="页脚 字符"/>
    <w:link w:val="ac"/>
    <w:uiPriority w:val="99"/>
    <w:qFormat/>
    <w:rPr>
      <w:kern w:val="2"/>
      <w:sz w:val="18"/>
      <w:szCs w:val="18"/>
    </w:rPr>
  </w:style>
  <w:style w:type="character" w:customStyle="1" w:styleId="af">
    <w:name w:val="页眉 字符"/>
    <w:link w:val="ae"/>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character" w:customStyle="1" w:styleId="aa">
    <w:name w:val="纯文本 字符"/>
    <w:basedOn w:val="a1"/>
    <w:link w:val="a9"/>
    <w:qFormat/>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E6AF-BE0F-4F7E-82FE-DC8C33FD9EF3}">
  <ds:schemaRefs>
    <ds:schemaRef ds:uri="http://schemas.openxmlformats.org/officeDocument/2006/bibliography"/>
  </ds:schemaRefs>
</ds:datastoreItem>
</file>

<file path=customXml/itemProps10.xml><?xml version="1.0" encoding="utf-8"?>
<ds:datastoreItem xmlns:ds="http://schemas.openxmlformats.org/officeDocument/2006/customXml" ds:itemID="{31D1C469-A651-485C-ABC9-C04EB2EA35D5}">
  <ds:schemaRefs>
    <ds:schemaRef ds:uri="http://schemas.openxmlformats.org/officeDocument/2006/bibliography"/>
  </ds:schemaRefs>
</ds:datastoreItem>
</file>

<file path=customXml/itemProps11.xml><?xml version="1.0" encoding="utf-8"?>
<ds:datastoreItem xmlns:ds="http://schemas.openxmlformats.org/officeDocument/2006/customXml" ds:itemID="{A6AF2893-6163-4F21-9780-73FE652D01A2}">
  <ds:schemaRefs>
    <ds:schemaRef ds:uri="http://schemas.openxmlformats.org/officeDocument/2006/bibliography"/>
  </ds:schemaRefs>
</ds:datastoreItem>
</file>

<file path=customXml/itemProps12.xml><?xml version="1.0" encoding="utf-8"?>
<ds:datastoreItem xmlns:ds="http://schemas.openxmlformats.org/officeDocument/2006/customXml" ds:itemID="{28B24780-0BB8-4672-9A3A-FB5490D7C3A2}">
  <ds:schemaRefs>
    <ds:schemaRef ds:uri="http://schemas.openxmlformats.org/officeDocument/2006/bibliography"/>
  </ds:schemaRefs>
</ds:datastoreItem>
</file>

<file path=customXml/itemProps13.xml><?xml version="1.0" encoding="utf-8"?>
<ds:datastoreItem xmlns:ds="http://schemas.openxmlformats.org/officeDocument/2006/customXml" ds:itemID="{3E1C4137-5B8C-4325-9B36-999B091712CE}">
  <ds:schemaRefs>
    <ds:schemaRef ds:uri="http://schemas.openxmlformats.org/officeDocument/2006/bibliography"/>
  </ds:schemaRefs>
</ds:datastoreItem>
</file>

<file path=customXml/itemProps14.xml><?xml version="1.0" encoding="utf-8"?>
<ds:datastoreItem xmlns:ds="http://schemas.openxmlformats.org/officeDocument/2006/customXml" ds:itemID="{E1ACE332-4668-4CA2-A803-6669363C1232}">
  <ds:schemaRefs>
    <ds:schemaRef ds:uri="http://schemas.openxmlformats.org/officeDocument/2006/bibliography"/>
  </ds:schemaRefs>
</ds:datastoreItem>
</file>

<file path=customXml/itemProps15.xml><?xml version="1.0" encoding="utf-8"?>
<ds:datastoreItem xmlns:ds="http://schemas.openxmlformats.org/officeDocument/2006/customXml" ds:itemID="{92332D1B-7113-4276-B7D9-F9F13C40E189}">
  <ds:schemaRefs>
    <ds:schemaRef ds:uri="http://schemas.openxmlformats.org/officeDocument/2006/bibliography"/>
  </ds:schemaRefs>
</ds:datastoreItem>
</file>

<file path=customXml/itemProps16.xml><?xml version="1.0" encoding="utf-8"?>
<ds:datastoreItem xmlns:ds="http://schemas.openxmlformats.org/officeDocument/2006/customXml" ds:itemID="{2061C660-AAE6-4DBD-A9D3-C8DA7485F9A3}">
  <ds:schemaRefs>
    <ds:schemaRef ds:uri="http://schemas.openxmlformats.org/officeDocument/2006/bibliography"/>
  </ds:schemaRefs>
</ds:datastoreItem>
</file>

<file path=customXml/itemProps17.xml><?xml version="1.0" encoding="utf-8"?>
<ds:datastoreItem xmlns:ds="http://schemas.openxmlformats.org/officeDocument/2006/customXml" ds:itemID="{E70F83A9-0D87-4EA0-9157-197A64C19A59}">
  <ds:schemaRefs>
    <ds:schemaRef ds:uri="http://schemas.openxmlformats.org/officeDocument/2006/bibliography"/>
  </ds:schemaRefs>
</ds:datastoreItem>
</file>

<file path=customXml/itemProps18.xml><?xml version="1.0" encoding="utf-8"?>
<ds:datastoreItem xmlns:ds="http://schemas.openxmlformats.org/officeDocument/2006/customXml" ds:itemID="{F72E4881-7A28-465A-BABA-C4DF8C36F30E}">
  <ds:schemaRefs>
    <ds:schemaRef ds:uri="http://schemas.openxmlformats.org/officeDocument/2006/bibliography"/>
  </ds:schemaRefs>
</ds:datastoreItem>
</file>

<file path=customXml/itemProps19.xml><?xml version="1.0" encoding="utf-8"?>
<ds:datastoreItem xmlns:ds="http://schemas.openxmlformats.org/officeDocument/2006/customXml" ds:itemID="{83C80269-7B80-4977-8D5F-2295C65B87F4}">
  <ds:schemaRefs>
    <ds:schemaRef ds:uri="http://schemas.openxmlformats.org/officeDocument/2006/bibliography"/>
  </ds:schemaRefs>
</ds:datastoreItem>
</file>

<file path=customXml/itemProps2.xml><?xml version="1.0" encoding="utf-8"?>
<ds:datastoreItem xmlns:ds="http://schemas.openxmlformats.org/officeDocument/2006/customXml" ds:itemID="{9CE0ACEF-F83E-472E-B553-2D813AFA2A0A}">
  <ds:schemaRefs>
    <ds:schemaRef ds:uri="http://schemas.openxmlformats.org/officeDocument/2006/bibliography"/>
  </ds:schemaRefs>
</ds:datastoreItem>
</file>

<file path=customXml/itemProps20.xml><?xml version="1.0" encoding="utf-8"?>
<ds:datastoreItem xmlns:ds="http://schemas.openxmlformats.org/officeDocument/2006/customXml" ds:itemID="{6620DF1C-C17D-45E1-9C10-1873A4BBB366}">
  <ds:schemaRefs>
    <ds:schemaRef ds:uri="http://schemas.openxmlformats.org/officeDocument/2006/bibliography"/>
  </ds:schemaRefs>
</ds:datastoreItem>
</file>

<file path=customXml/itemProps21.xml><?xml version="1.0" encoding="utf-8"?>
<ds:datastoreItem xmlns:ds="http://schemas.openxmlformats.org/officeDocument/2006/customXml" ds:itemID="{1DBF1C2B-E674-4EF3-A9B7-5D38CCC0143F}">
  <ds:schemaRefs>
    <ds:schemaRef ds:uri="http://schemas.openxmlformats.org/officeDocument/2006/bibliography"/>
  </ds:schemaRefs>
</ds:datastoreItem>
</file>

<file path=customXml/itemProps22.xml><?xml version="1.0" encoding="utf-8"?>
<ds:datastoreItem xmlns:ds="http://schemas.openxmlformats.org/officeDocument/2006/customXml" ds:itemID="{13BD0E04-603B-4631-9123-8A9BF447C9D5}">
  <ds:schemaRefs>
    <ds:schemaRef ds:uri="http://schemas.openxmlformats.org/officeDocument/2006/bibliography"/>
  </ds:schemaRefs>
</ds:datastoreItem>
</file>

<file path=customXml/itemProps23.xml><?xml version="1.0" encoding="utf-8"?>
<ds:datastoreItem xmlns:ds="http://schemas.openxmlformats.org/officeDocument/2006/customXml" ds:itemID="{3D30DEA4-FE38-4ACB-A769-D6EC62E64779}">
  <ds:schemaRefs>
    <ds:schemaRef ds:uri="http://schemas.openxmlformats.org/officeDocument/2006/bibliography"/>
  </ds:schemaRefs>
</ds:datastoreItem>
</file>

<file path=customXml/itemProps24.xml><?xml version="1.0" encoding="utf-8"?>
<ds:datastoreItem xmlns:ds="http://schemas.openxmlformats.org/officeDocument/2006/customXml" ds:itemID="{FD5BB81C-EF22-4682-AE69-385310DE6416}">
  <ds:schemaRefs>
    <ds:schemaRef ds:uri="http://schemas.openxmlformats.org/officeDocument/2006/bibliography"/>
  </ds:schemaRefs>
</ds:datastoreItem>
</file>

<file path=customXml/itemProps25.xml><?xml version="1.0" encoding="utf-8"?>
<ds:datastoreItem xmlns:ds="http://schemas.openxmlformats.org/officeDocument/2006/customXml" ds:itemID="{F3E1D39F-3B9B-446C-B4FE-2CF4539C76F3}">
  <ds:schemaRefs>
    <ds:schemaRef ds:uri="http://schemas.openxmlformats.org/officeDocument/2006/bibliography"/>
  </ds:schemaRefs>
</ds:datastoreItem>
</file>

<file path=customXml/itemProps26.xml><?xml version="1.0" encoding="utf-8"?>
<ds:datastoreItem xmlns:ds="http://schemas.openxmlformats.org/officeDocument/2006/customXml" ds:itemID="{DF4C1648-AC83-40E9-BBDD-B2748060A624}">
  <ds:schemaRefs>
    <ds:schemaRef ds:uri="http://schemas.openxmlformats.org/officeDocument/2006/bibliography"/>
  </ds:schemaRefs>
</ds:datastoreItem>
</file>

<file path=customXml/itemProps27.xml><?xml version="1.0" encoding="utf-8"?>
<ds:datastoreItem xmlns:ds="http://schemas.openxmlformats.org/officeDocument/2006/customXml" ds:itemID="{4E2C09FE-50AA-4304-81CC-AE9EDC726373}">
  <ds:schemaRefs>
    <ds:schemaRef ds:uri="http://schemas.openxmlformats.org/officeDocument/2006/bibliography"/>
  </ds:schemaRefs>
</ds:datastoreItem>
</file>

<file path=customXml/itemProps28.xml><?xml version="1.0" encoding="utf-8"?>
<ds:datastoreItem xmlns:ds="http://schemas.openxmlformats.org/officeDocument/2006/customXml" ds:itemID="{207E61A0-CC66-47D2-8BCF-DEB5F872BA3D}">
  <ds:schemaRefs>
    <ds:schemaRef ds:uri="http://schemas.openxmlformats.org/officeDocument/2006/bibliography"/>
  </ds:schemaRefs>
</ds:datastoreItem>
</file>

<file path=customXml/itemProps29.xml><?xml version="1.0" encoding="utf-8"?>
<ds:datastoreItem xmlns:ds="http://schemas.openxmlformats.org/officeDocument/2006/customXml" ds:itemID="{46F38210-20A4-4F71-9CF8-17973EABEBED}">
  <ds:schemaRefs>
    <ds:schemaRef ds:uri="http://schemas.openxmlformats.org/officeDocument/2006/bibliography"/>
  </ds:schemaRefs>
</ds:datastoreItem>
</file>

<file path=customXml/itemProps3.xml><?xml version="1.0" encoding="utf-8"?>
<ds:datastoreItem xmlns:ds="http://schemas.openxmlformats.org/officeDocument/2006/customXml" ds:itemID="{A484AB5F-6AE4-4784-B050-E68CCCCEF681}">
  <ds:schemaRefs>
    <ds:schemaRef ds:uri="http://schemas.openxmlformats.org/officeDocument/2006/bibliography"/>
  </ds:schemaRefs>
</ds:datastoreItem>
</file>

<file path=customXml/itemProps30.xml><?xml version="1.0" encoding="utf-8"?>
<ds:datastoreItem xmlns:ds="http://schemas.openxmlformats.org/officeDocument/2006/customXml" ds:itemID="{F109A0D2-D81A-47E5-869A-B85DB6372634}">
  <ds:schemaRefs>
    <ds:schemaRef ds:uri="http://schemas.openxmlformats.org/officeDocument/2006/bibliography"/>
  </ds:schemaRefs>
</ds:datastoreItem>
</file>

<file path=customXml/itemProps31.xml><?xml version="1.0" encoding="utf-8"?>
<ds:datastoreItem xmlns:ds="http://schemas.openxmlformats.org/officeDocument/2006/customXml" ds:itemID="{C8D91C9C-5602-4368-A233-45A3682EFF3F}">
  <ds:schemaRefs>
    <ds:schemaRef ds:uri="http://schemas.openxmlformats.org/officeDocument/2006/bibliography"/>
  </ds:schemaRefs>
</ds:datastoreItem>
</file>

<file path=customXml/itemProps32.xml><?xml version="1.0" encoding="utf-8"?>
<ds:datastoreItem xmlns:ds="http://schemas.openxmlformats.org/officeDocument/2006/customXml" ds:itemID="{A45317EF-A609-49DC-86B9-0806303D0DA7}">
  <ds:schemaRefs>
    <ds:schemaRef ds:uri="http://schemas.openxmlformats.org/officeDocument/2006/bibliography"/>
  </ds:schemaRefs>
</ds:datastoreItem>
</file>

<file path=customXml/itemProps33.xml><?xml version="1.0" encoding="utf-8"?>
<ds:datastoreItem xmlns:ds="http://schemas.openxmlformats.org/officeDocument/2006/customXml" ds:itemID="{539FF3D3-CC93-46F7-82E7-B23E8ACA1F95}">
  <ds:schemaRefs>
    <ds:schemaRef ds:uri="http://schemas.openxmlformats.org/officeDocument/2006/bibliography"/>
  </ds:schemaRefs>
</ds:datastoreItem>
</file>

<file path=customXml/itemProps4.xml><?xml version="1.0" encoding="utf-8"?>
<ds:datastoreItem xmlns:ds="http://schemas.openxmlformats.org/officeDocument/2006/customXml" ds:itemID="{740ADCA9-F5DE-43FA-AF35-2C39E78D3B4A}">
  <ds:schemaRefs>
    <ds:schemaRef ds:uri="http://schemas.openxmlformats.org/officeDocument/2006/bibliography"/>
  </ds:schemaRefs>
</ds:datastoreItem>
</file>

<file path=customXml/itemProps5.xml><?xml version="1.0" encoding="utf-8"?>
<ds:datastoreItem xmlns:ds="http://schemas.openxmlformats.org/officeDocument/2006/customXml" ds:itemID="{46536667-514E-4660-B483-D6ECF1BF996D}">
  <ds:schemaRefs>
    <ds:schemaRef ds:uri="http://schemas.openxmlformats.org/officeDocument/2006/bibliography"/>
  </ds:schemaRefs>
</ds:datastoreItem>
</file>

<file path=customXml/itemProps6.xml><?xml version="1.0" encoding="utf-8"?>
<ds:datastoreItem xmlns:ds="http://schemas.openxmlformats.org/officeDocument/2006/customXml" ds:itemID="{8B3C2F42-13D0-4DCE-8D12-AC041E34DEB6}">
  <ds:schemaRefs>
    <ds:schemaRef ds:uri="http://schemas.openxmlformats.org/officeDocument/2006/bibliography"/>
  </ds:schemaRefs>
</ds:datastoreItem>
</file>

<file path=customXml/itemProps7.xml><?xml version="1.0" encoding="utf-8"?>
<ds:datastoreItem xmlns:ds="http://schemas.openxmlformats.org/officeDocument/2006/customXml" ds:itemID="{CFDC193D-D443-43FD-8F33-2DFF23CD1713}">
  <ds:schemaRefs>
    <ds:schemaRef ds:uri="http://schemas.openxmlformats.org/officeDocument/2006/bibliography"/>
  </ds:schemaRefs>
</ds:datastoreItem>
</file>

<file path=customXml/itemProps8.xml><?xml version="1.0" encoding="utf-8"?>
<ds:datastoreItem xmlns:ds="http://schemas.openxmlformats.org/officeDocument/2006/customXml" ds:itemID="{2503D291-6148-4981-ABA1-112A6356FE0D}">
  <ds:schemaRefs>
    <ds:schemaRef ds:uri="http://schemas.openxmlformats.org/officeDocument/2006/bibliography"/>
  </ds:schemaRefs>
</ds:datastoreItem>
</file>

<file path=customXml/itemProps9.xml><?xml version="1.0" encoding="utf-8"?>
<ds:datastoreItem xmlns:ds="http://schemas.openxmlformats.org/officeDocument/2006/customXml" ds:itemID="{FDAF00F8-40B5-4E08-B9D0-F78E4236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5081</Words>
  <Characters>28964</Characters>
  <Application>Microsoft Office Word</Application>
  <DocSecurity>0</DocSecurity>
  <Lines>241</Lines>
  <Paragraphs>67</Paragraphs>
  <ScaleCrop>false</ScaleCrop>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马天蕊</cp:lastModifiedBy>
  <cp:revision>2</cp:revision>
  <cp:lastPrinted>2021-12-29T09:40:00Z</cp:lastPrinted>
  <dcterms:created xsi:type="dcterms:W3CDTF">2026-04-16T07:39:00Z</dcterms:created>
  <dcterms:modified xsi:type="dcterms:W3CDTF">2026-04-16T07:39:00Z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ProductBuildVer">
    <vt:lpwstr>2052-12.1.0.25225</vt:lpwstr>
  </property>
  <property fmtid="{D5CDD505-2E9C-101B-9397-08002B2CF9AE}" pid="5" name="ICV">
    <vt:lpwstr>C1FA968A49554F949895069FE6431D53</vt:lpwstr>
  </property>
  <property fmtid="{D5CDD505-2E9C-101B-9397-08002B2CF9AE}" pid="6" name="KSOTemplateDocerSaveRecord">
    <vt:lpwstr>eyJoZGlkIjoiMjEwNzU4NjYzODM2MzYzYzM4MTc0ZWU1M2ZiYjZkYWIiLCJ1c2VySWQiOiIzNDAxMTI0MjMifQ==</vt:lpwstr>
  </property>
</Properties>
</file>