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9A553" w14:textId="77777777" w:rsidR="00D70538" w:rsidRDefault="00B50EAD">
      <w:pPr>
        <w:adjustRightInd w:val="0"/>
        <w:snapToGrid w:val="0"/>
        <w:jc w:val="center"/>
        <w:rPr>
          <w:rFonts w:ascii="宋体" w:eastAsia="宋体" w:hAnsi="宋体" w:cs="方正黑体简体"/>
          <w:b/>
          <w:bCs/>
          <w:iCs/>
          <w:sz w:val="30"/>
          <w:szCs w:val="30"/>
        </w:rPr>
      </w:pPr>
      <w:r>
        <w:rPr>
          <w:rFonts w:ascii="宋体" w:eastAsia="宋体" w:hAnsi="宋体" w:cs="方正黑体简体"/>
          <w:b/>
          <w:bCs/>
          <w:iCs/>
          <w:sz w:val="30"/>
          <w:szCs w:val="30"/>
        </w:rPr>
        <w:t>富国稳健添颐债券型证券投资基金（</w:t>
      </w:r>
      <w:r>
        <w:rPr>
          <w:rFonts w:ascii="宋体" w:eastAsia="宋体" w:hAnsi="宋体" w:cs="方正黑体简体"/>
          <w:b/>
          <w:bCs/>
          <w:iCs/>
          <w:sz w:val="30"/>
          <w:szCs w:val="30"/>
        </w:rPr>
        <w:t>C</w:t>
      </w:r>
      <w:r>
        <w:rPr>
          <w:rFonts w:ascii="宋体" w:eastAsia="宋体" w:hAnsi="宋体" w:cs="方正黑体简体"/>
          <w:b/>
          <w:bCs/>
          <w:iCs/>
          <w:sz w:val="30"/>
          <w:szCs w:val="30"/>
        </w:rPr>
        <w:t>类份额）基金产品资料概要</w:t>
      </w:r>
    </w:p>
    <w:p w14:paraId="02C808B8" w14:textId="77777777" w:rsidR="00084FBF" w:rsidRPr="00A14942" w:rsidRDefault="00AD6E2B" w:rsidP="0043556E">
      <w:pPr>
        <w:adjustRightInd w:val="0"/>
        <w:snapToGrid w:val="0"/>
        <w:jc w:val="right"/>
        <w:rPr>
          <w:rFonts w:ascii="宋体" w:eastAsia="宋体" w:hAnsi="宋体" w:cs="方正仿宋简体"/>
          <w:iCs/>
          <w:color w:val="FF0000"/>
          <w:sz w:val="21"/>
          <w:szCs w:val="21"/>
        </w:rPr>
      </w:pPr>
      <w:r>
        <w:rPr>
          <w:rFonts w:ascii="宋体" w:eastAsia="宋体" w:hAnsi="宋体" w:hint="eastAsia"/>
          <w:sz w:val="21"/>
          <w:szCs w:val="21"/>
        </w:rPr>
        <w:t>2026年04月02日</w:t>
      </w:r>
      <w:r w:rsidR="0043556E" w:rsidRPr="00A14942">
        <w:rPr>
          <w:rFonts w:ascii="宋体" w:eastAsia="宋体" w:hAnsi="宋体" w:hint="eastAsia"/>
          <w:sz w:val="21"/>
          <w:szCs w:val="21"/>
        </w:rPr>
        <w:t>（</w:t>
      </w:r>
      <w:r w:rsidR="0043556E" w:rsidRPr="00A14942">
        <w:rPr>
          <w:rFonts w:ascii="宋体" w:eastAsia="宋体" w:hAnsi="宋体" w:cs="方正仿宋简体" w:hint="eastAsia"/>
          <w:iCs/>
          <w:sz w:val="21"/>
          <w:szCs w:val="21"/>
        </w:rPr>
        <w:t>信息截至：</w:t>
      </w:r>
      <w:r>
        <w:rPr>
          <w:rFonts w:ascii="宋体" w:eastAsia="宋体" w:hAnsi="宋体" w:cs="方正仿宋简体" w:hint="eastAsia"/>
          <w:iCs/>
          <w:sz w:val="21"/>
          <w:szCs w:val="21"/>
        </w:rPr>
        <w:t>2026年04月01日</w:t>
      </w:r>
      <w:r w:rsidR="0043556E" w:rsidRPr="00A14942">
        <w:rPr>
          <w:rFonts w:ascii="宋体" w:eastAsia="宋体" w:hAnsi="宋体" w:hint="eastAsia"/>
          <w:sz w:val="21"/>
          <w:szCs w:val="21"/>
        </w:rPr>
        <w:t>）</w:t>
      </w:r>
    </w:p>
    <w:p w14:paraId="4F032AB9" w14:textId="77777777" w:rsidR="00DE25AF" w:rsidRPr="00A14942" w:rsidRDefault="004E7FF3" w:rsidP="00084FBF">
      <w:pPr>
        <w:adjustRightInd w:val="0"/>
        <w:snapToGrid w:val="0"/>
        <w:jc w:val="center"/>
        <w:rPr>
          <w:rFonts w:ascii="宋体" w:eastAsia="宋体" w:hAnsi="宋体" w:cs="方正黑体简体"/>
          <w:b/>
          <w:bCs/>
          <w:iCs/>
          <w:sz w:val="24"/>
          <w:szCs w:val="21"/>
        </w:rPr>
      </w:pPr>
      <w:r w:rsidRPr="00A14942">
        <w:rPr>
          <w:rFonts w:ascii="宋体" w:eastAsia="宋体" w:hAnsi="宋体" w:cs="方正黑体简体" w:hint="eastAsia"/>
          <w:b/>
          <w:bCs/>
          <w:iCs/>
          <w:sz w:val="24"/>
          <w:szCs w:val="21"/>
        </w:rPr>
        <w:t>本概要提供本基金的重要信息，是招募说明书的一部分。作出投资决定前，请阅读完整的招募说明书等销售文件。</w:t>
      </w:r>
    </w:p>
    <w:p w14:paraId="478AD7AC" w14:textId="77777777" w:rsidR="006F366F" w:rsidRPr="00F50507" w:rsidRDefault="006F366F" w:rsidP="00F50507">
      <w:pPr>
        <w:pStyle w:val="1"/>
      </w:pPr>
      <w:r w:rsidRPr="00F50507">
        <w:rPr>
          <w:rFonts w:hint="eastAsia"/>
        </w:rPr>
        <w:t>产品概况</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rsidR="00D70538" w14:paraId="405D6D1F" w14:textId="77777777">
        <w:trPr>
          <w:trHeight w:val="340"/>
          <w:jc w:val="center"/>
        </w:trPr>
        <w:tc>
          <w:tcPr>
            <w:tcW w:w="1757" w:type="dxa"/>
            <w:shd w:val="clear" w:color="auto" w:fill="auto"/>
            <w:vAlign w:val="center"/>
          </w:tcPr>
          <w:p w14:paraId="3480B182" w14:textId="77777777" w:rsidR="00D70538" w:rsidRDefault="00B50EAD">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基金简称</w:t>
            </w:r>
          </w:p>
        </w:tc>
        <w:tc>
          <w:tcPr>
            <w:tcW w:w="2887" w:type="dxa"/>
            <w:shd w:val="clear" w:color="auto" w:fill="auto"/>
            <w:vAlign w:val="center"/>
          </w:tcPr>
          <w:p w14:paraId="4826A1C4" w14:textId="77777777" w:rsidR="00D70538" w:rsidRDefault="00B50EAD">
            <w:pPr>
              <w:adjustRightInd w:val="0"/>
              <w:snapToGrid w:val="0"/>
              <w:rPr>
                <w:rFonts w:ascii="宋体" w:eastAsia="宋体" w:hAnsi="宋体" w:cs="方正仿宋简体"/>
                <w:iCs/>
                <w:sz w:val="21"/>
                <w:szCs w:val="21"/>
              </w:rPr>
            </w:pPr>
            <w:r>
              <w:rPr>
                <w:rFonts w:ascii="宋体" w:eastAsia="宋体" w:hAnsi="宋体"/>
                <w:kern w:val="0"/>
                <w:sz w:val="21"/>
                <w:szCs w:val="21"/>
              </w:rPr>
              <w:t>富国稳健添颐债券</w:t>
            </w:r>
          </w:p>
        </w:tc>
        <w:tc>
          <w:tcPr>
            <w:tcW w:w="1701" w:type="dxa"/>
            <w:shd w:val="clear" w:color="auto" w:fill="auto"/>
            <w:vAlign w:val="center"/>
          </w:tcPr>
          <w:p w14:paraId="0D18B85E" w14:textId="77777777" w:rsidR="00D70538" w:rsidRDefault="00B50EAD">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基金代码</w:t>
            </w:r>
          </w:p>
        </w:tc>
        <w:tc>
          <w:tcPr>
            <w:tcW w:w="2835" w:type="dxa"/>
            <w:shd w:val="clear" w:color="auto" w:fill="auto"/>
            <w:vAlign w:val="center"/>
          </w:tcPr>
          <w:p w14:paraId="0865B1AA" w14:textId="77777777" w:rsidR="00D70538" w:rsidRDefault="00B50EAD">
            <w:pPr>
              <w:adjustRightInd w:val="0"/>
              <w:snapToGrid w:val="0"/>
              <w:rPr>
                <w:rFonts w:ascii="宋体" w:eastAsia="宋体" w:hAnsi="宋体" w:cs="方正仿宋简体"/>
                <w:iCs/>
                <w:sz w:val="21"/>
                <w:szCs w:val="21"/>
              </w:rPr>
            </w:pPr>
            <w:r>
              <w:rPr>
                <w:rFonts w:ascii="宋体" w:eastAsia="宋体" w:hAnsi="宋体" w:hint="eastAsia"/>
                <w:kern w:val="0"/>
                <w:sz w:val="21"/>
                <w:szCs w:val="21"/>
              </w:rPr>
              <w:t>027078</w:t>
            </w:r>
          </w:p>
        </w:tc>
      </w:tr>
      <w:tr w:rsidR="00D70538" w14:paraId="6C8A71EC" w14:textId="77777777">
        <w:trPr>
          <w:trHeight w:val="340"/>
          <w:jc w:val="center"/>
        </w:trPr>
        <w:tc>
          <w:tcPr>
            <w:tcW w:w="1757" w:type="dxa"/>
            <w:shd w:val="clear" w:color="auto" w:fill="auto"/>
            <w:vAlign w:val="center"/>
          </w:tcPr>
          <w:p w14:paraId="5B301819" w14:textId="77777777" w:rsidR="00D70538" w:rsidRDefault="00B50EAD">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份额简称</w:t>
            </w:r>
          </w:p>
        </w:tc>
        <w:tc>
          <w:tcPr>
            <w:tcW w:w="2887" w:type="dxa"/>
            <w:shd w:val="clear" w:color="auto" w:fill="auto"/>
            <w:vAlign w:val="center"/>
          </w:tcPr>
          <w:p w14:paraId="5F196F1E" w14:textId="77777777" w:rsidR="00D70538" w:rsidRDefault="00B50EAD">
            <w:pPr>
              <w:adjustRightInd w:val="0"/>
              <w:snapToGrid w:val="0"/>
              <w:rPr>
                <w:rFonts w:ascii="宋体" w:eastAsia="宋体" w:hAnsi="宋体"/>
                <w:kern w:val="0"/>
                <w:sz w:val="21"/>
                <w:szCs w:val="21"/>
              </w:rPr>
            </w:pPr>
            <w:r>
              <w:rPr>
                <w:rFonts w:ascii="宋体" w:eastAsia="宋体" w:hAnsi="宋体" w:hint="eastAsia"/>
                <w:kern w:val="0"/>
                <w:sz w:val="21"/>
                <w:szCs w:val="21"/>
              </w:rPr>
              <w:t>富国稳健添颐债券</w:t>
            </w:r>
            <w:r>
              <w:rPr>
                <w:rFonts w:ascii="宋体" w:eastAsia="宋体" w:hAnsi="宋体" w:hint="eastAsia"/>
                <w:kern w:val="0"/>
                <w:sz w:val="21"/>
                <w:szCs w:val="21"/>
              </w:rPr>
              <w:t>C</w:t>
            </w:r>
          </w:p>
        </w:tc>
        <w:tc>
          <w:tcPr>
            <w:tcW w:w="1701" w:type="dxa"/>
            <w:shd w:val="clear" w:color="auto" w:fill="auto"/>
            <w:vAlign w:val="center"/>
          </w:tcPr>
          <w:p w14:paraId="6DC8AB49" w14:textId="77777777" w:rsidR="00D70538" w:rsidRDefault="00B50EAD">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份额代码</w:t>
            </w:r>
          </w:p>
        </w:tc>
        <w:tc>
          <w:tcPr>
            <w:tcW w:w="2835" w:type="dxa"/>
            <w:shd w:val="clear" w:color="auto" w:fill="auto"/>
            <w:vAlign w:val="center"/>
          </w:tcPr>
          <w:p w14:paraId="4660041C" w14:textId="77777777" w:rsidR="00D70538" w:rsidRDefault="00B50EAD">
            <w:pPr>
              <w:adjustRightInd w:val="0"/>
              <w:snapToGrid w:val="0"/>
              <w:rPr>
                <w:rFonts w:ascii="宋体" w:eastAsia="宋体" w:hAnsi="宋体"/>
                <w:kern w:val="0"/>
                <w:sz w:val="21"/>
                <w:szCs w:val="21"/>
              </w:rPr>
            </w:pPr>
            <w:r>
              <w:rPr>
                <w:rFonts w:ascii="宋体" w:eastAsia="宋体" w:hAnsi="宋体" w:hint="eastAsia"/>
                <w:kern w:val="0"/>
                <w:sz w:val="21"/>
                <w:szCs w:val="21"/>
              </w:rPr>
              <w:t>027079</w:t>
            </w:r>
          </w:p>
        </w:tc>
      </w:tr>
      <w:tr w:rsidR="00D70538" w14:paraId="302029C7" w14:textId="77777777">
        <w:trPr>
          <w:trHeight w:val="340"/>
          <w:jc w:val="center"/>
        </w:trPr>
        <w:tc>
          <w:tcPr>
            <w:tcW w:w="1757" w:type="dxa"/>
            <w:shd w:val="clear" w:color="auto" w:fill="auto"/>
            <w:vAlign w:val="center"/>
          </w:tcPr>
          <w:p w14:paraId="16415D14" w14:textId="77777777" w:rsidR="00D70538" w:rsidRDefault="00B50EAD">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基金管理人</w:t>
            </w:r>
          </w:p>
        </w:tc>
        <w:tc>
          <w:tcPr>
            <w:tcW w:w="2887" w:type="dxa"/>
            <w:shd w:val="clear" w:color="auto" w:fill="auto"/>
            <w:vAlign w:val="center"/>
          </w:tcPr>
          <w:p w14:paraId="649C82EF" w14:textId="77777777" w:rsidR="00D70538" w:rsidRDefault="00B50EAD">
            <w:pPr>
              <w:adjustRightInd w:val="0"/>
              <w:snapToGrid w:val="0"/>
              <w:rPr>
                <w:rFonts w:ascii="宋体" w:eastAsia="宋体" w:hAnsi="宋体" w:cs="方正仿宋简体"/>
                <w:iCs/>
                <w:sz w:val="21"/>
                <w:szCs w:val="21"/>
              </w:rPr>
            </w:pPr>
            <w:r>
              <w:rPr>
                <w:rFonts w:ascii="宋体" w:eastAsia="宋体" w:hAnsi="宋体" w:hint="eastAsia"/>
                <w:kern w:val="0"/>
                <w:sz w:val="21"/>
                <w:szCs w:val="21"/>
              </w:rPr>
              <w:t>富国基金管理有限公司</w:t>
            </w:r>
          </w:p>
        </w:tc>
        <w:tc>
          <w:tcPr>
            <w:tcW w:w="1701" w:type="dxa"/>
            <w:shd w:val="clear" w:color="auto" w:fill="auto"/>
            <w:vAlign w:val="center"/>
          </w:tcPr>
          <w:p w14:paraId="6357ED47" w14:textId="77777777" w:rsidR="00D70538" w:rsidRDefault="00B50EAD">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基金托管人</w:t>
            </w:r>
          </w:p>
        </w:tc>
        <w:tc>
          <w:tcPr>
            <w:tcW w:w="2835" w:type="dxa"/>
            <w:shd w:val="clear" w:color="auto" w:fill="auto"/>
            <w:vAlign w:val="center"/>
          </w:tcPr>
          <w:p w14:paraId="3F36B08F" w14:textId="77777777" w:rsidR="00D70538" w:rsidRDefault="00B50EAD">
            <w:pPr>
              <w:adjustRightInd w:val="0"/>
              <w:snapToGrid w:val="0"/>
              <w:rPr>
                <w:rFonts w:ascii="宋体" w:eastAsia="宋体" w:hAnsi="宋体" w:cs="方正仿宋简体"/>
                <w:iCs/>
                <w:sz w:val="21"/>
                <w:szCs w:val="21"/>
              </w:rPr>
            </w:pPr>
            <w:r>
              <w:rPr>
                <w:rFonts w:ascii="宋体" w:eastAsia="宋体" w:hAnsi="宋体" w:hint="eastAsia"/>
                <w:kern w:val="0"/>
                <w:sz w:val="21"/>
                <w:szCs w:val="21"/>
              </w:rPr>
              <w:t>招商银行股份有限公司</w:t>
            </w:r>
          </w:p>
        </w:tc>
      </w:tr>
      <w:tr w:rsidR="00D70538" w14:paraId="66C3F374" w14:textId="77777777">
        <w:trPr>
          <w:trHeight w:val="340"/>
          <w:jc w:val="center"/>
        </w:trPr>
        <w:tc>
          <w:tcPr>
            <w:tcW w:w="1757" w:type="dxa"/>
            <w:shd w:val="clear" w:color="auto" w:fill="auto"/>
            <w:vAlign w:val="center"/>
          </w:tcPr>
          <w:p w14:paraId="5CEF8A3D" w14:textId="77777777" w:rsidR="00D70538" w:rsidRDefault="00B50EAD">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基金合同生效日</w:t>
            </w:r>
          </w:p>
        </w:tc>
        <w:tc>
          <w:tcPr>
            <w:tcW w:w="2887" w:type="dxa"/>
            <w:shd w:val="clear" w:color="auto" w:fill="auto"/>
            <w:vAlign w:val="center"/>
          </w:tcPr>
          <w:p w14:paraId="6C9722EB" w14:textId="77777777" w:rsidR="00D70538" w:rsidRDefault="00B50EAD">
            <w:pPr>
              <w:adjustRightInd w:val="0"/>
              <w:snapToGrid w:val="0"/>
              <w:rPr>
                <w:rFonts w:ascii="宋体" w:eastAsia="宋体" w:hAnsi="宋体" w:cs="方正仿宋简体"/>
                <w:iCs/>
                <w:sz w:val="21"/>
                <w:szCs w:val="21"/>
              </w:rPr>
            </w:pPr>
            <w:r>
              <w:rPr>
                <w:rFonts w:ascii="宋体" w:eastAsia="宋体" w:hAnsi="宋体"/>
                <w:kern w:val="0"/>
                <w:sz w:val="21"/>
                <w:szCs w:val="21"/>
              </w:rPr>
              <w:t>－</w:t>
            </w:r>
          </w:p>
        </w:tc>
        <w:tc>
          <w:tcPr>
            <w:tcW w:w="1701" w:type="dxa"/>
            <w:shd w:val="clear" w:color="auto" w:fill="auto"/>
            <w:vAlign w:val="center"/>
          </w:tcPr>
          <w:p w14:paraId="7D238CA0" w14:textId="77777777" w:rsidR="00D70538" w:rsidRDefault="00B50EAD">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基金类型</w:t>
            </w:r>
          </w:p>
        </w:tc>
        <w:tc>
          <w:tcPr>
            <w:tcW w:w="2835" w:type="dxa"/>
            <w:shd w:val="clear" w:color="auto" w:fill="auto"/>
            <w:vAlign w:val="center"/>
          </w:tcPr>
          <w:p w14:paraId="57D6CEAF" w14:textId="77777777" w:rsidR="00D70538" w:rsidRDefault="00B50EAD">
            <w:pPr>
              <w:adjustRightInd w:val="0"/>
              <w:snapToGrid w:val="0"/>
              <w:rPr>
                <w:rFonts w:ascii="宋体" w:eastAsia="宋体" w:hAnsi="宋体" w:cs="方正仿宋简体"/>
                <w:iCs/>
                <w:sz w:val="21"/>
                <w:szCs w:val="21"/>
              </w:rPr>
            </w:pPr>
            <w:r>
              <w:rPr>
                <w:rFonts w:ascii="宋体" w:eastAsia="宋体" w:hAnsi="宋体" w:hint="eastAsia"/>
                <w:kern w:val="0"/>
                <w:sz w:val="21"/>
                <w:szCs w:val="21"/>
              </w:rPr>
              <w:t>债券型</w:t>
            </w:r>
          </w:p>
        </w:tc>
      </w:tr>
      <w:tr w:rsidR="00D70538" w14:paraId="55B7E9AD" w14:textId="77777777">
        <w:trPr>
          <w:trHeight w:val="340"/>
          <w:jc w:val="center"/>
        </w:trPr>
        <w:tc>
          <w:tcPr>
            <w:tcW w:w="1757" w:type="dxa"/>
            <w:shd w:val="clear" w:color="auto" w:fill="auto"/>
            <w:vAlign w:val="center"/>
          </w:tcPr>
          <w:p w14:paraId="065F87DB" w14:textId="77777777" w:rsidR="00D70538" w:rsidRDefault="00B50EAD">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运作方式</w:t>
            </w:r>
          </w:p>
        </w:tc>
        <w:tc>
          <w:tcPr>
            <w:tcW w:w="2887" w:type="dxa"/>
            <w:shd w:val="clear" w:color="auto" w:fill="auto"/>
            <w:vAlign w:val="center"/>
          </w:tcPr>
          <w:p w14:paraId="19EB8074" w14:textId="77777777" w:rsidR="00D70538" w:rsidRDefault="00B50EAD">
            <w:pPr>
              <w:adjustRightInd w:val="0"/>
              <w:snapToGrid w:val="0"/>
              <w:rPr>
                <w:rFonts w:ascii="宋体" w:eastAsia="宋体" w:hAnsi="宋体" w:cs="方正仿宋简体"/>
                <w:iCs/>
                <w:sz w:val="21"/>
                <w:szCs w:val="21"/>
              </w:rPr>
            </w:pPr>
            <w:r>
              <w:rPr>
                <w:rFonts w:ascii="宋体" w:eastAsia="宋体" w:hAnsi="宋体"/>
                <w:kern w:val="0"/>
                <w:sz w:val="21"/>
                <w:szCs w:val="21"/>
              </w:rPr>
              <w:t>普通开放式</w:t>
            </w:r>
          </w:p>
        </w:tc>
        <w:tc>
          <w:tcPr>
            <w:tcW w:w="1701" w:type="dxa"/>
            <w:shd w:val="clear" w:color="auto" w:fill="auto"/>
            <w:vAlign w:val="center"/>
          </w:tcPr>
          <w:p w14:paraId="7AAB95D7" w14:textId="77777777" w:rsidR="00D70538" w:rsidRDefault="00B50EAD">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开放频率</w:t>
            </w:r>
          </w:p>
        </w:tc>
        <w:tc>
          <w:tcPr>
            <w:tcW w:w="2835" w:type="dxa"/>
            <w:shd w:val="clear" w:color="auto" w:fill="auto"/>
            <w:vAlign w:val="center"/>
          </w:tcPr>
          <w:p w14:paraId="23A03FAF" w14:textId="77777777" w:rsidR="00D70538" w:rsidRDefault="00B50EAD">
            <w:pPr>
              <w:adjustRightInd w:val="0"/>
              <w:snapToGrid w:val="0"/>
              <w:rPr>
                <w:rFonts w:ascii="宋体" w:eastAsia="宋体" w:hAnsi="宋体" w:cs="方正仿宋简体"/>
                <w:iCs/>
                <w:sz w:val="21"/>
                <w:szCs w:val="21"/>
              </w:rPr>
            </w:pPr>
            <w:r>
              <w:rPr>
                <w:rFonts w:ascii="宋体" w:eastAsia="宋体" w:hAnsi="宋体" w:hint="eastAsia"/>
                <w:kern w:val="0"/>
                <w:sz w:val="21"/>
                <w:szCs w:val="21"/>
              </w:rPr>
              <w:t>每个开放日</w:t>
            </w:r>
          </w:p>
        </w:tc>
      </w:tr>
      <w:tr w:rsidR="00D70538" w14:paraId="23C47F0B" w14:textId="77777777">
        <w:trPr>
          <w:trHeight w:val="340"/>
          <w:jc w:val="center"/>
        </w:trPr>
        <w:tc>
          <w:tcPr>
            <w:tcW w:w="1757" w:type="dxa"/>
            <w:shd w:val="clear" w:color="auto" w:fill="auto"/>
            <w:vAlign w:val="center"/>
          </w:tcPr>
          <w:p w14:paraId="0B8C682B" w14:textId="77777777" w:rsidR="00D70538" w:rsidRDefault="00B50EAD">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交易币种</w:t>
            </w:r>
          </w:p>
        </w:tc>
        <w:tc>
          <w:tcPr>
            <w:tcW w:w="2887" w:type="dxa"/>
            <w:shd w:val="clear" w:color="auto" w:fill="auto"/>
            <w:vAlign w:val="center"/>
          </w:tcPr>
          <w:p w14:paraId="2484F6B1" w14:textId="77777777" w:rsidR="00D70538" w:rsidRDefault="00B50EAD">
            <w:pPr>
              <w:adjustRightInd w:val="0"/>
              <w:snapToGrid w:val="0"/>
              <w:rPr>
                <w:rFonts w:ascii="宋体" w:eastAsia="宋体" w:hAnsi="宋体" w:cs="方正仿宋简体"/>
                <w:iCs/>
                <w:sz w:val="21"/>
                <w:szCs w:val="21"/>
              </w:rPr>
            </w:pPr>
            <w:r>
              <w:rPr>
                <w:rFonts w:ascii="宋体" w:eastAsia="宋体" w:hAnsi="宋体" w:hint="eastAsia"/>
                <w:kern w:val="0"/>
                <w:sz w:val="21"/>
                <w:szCs w:val="21"/>
              </w:rPr>
              <w:t>人民币</w:t>
            </w:r>
          </w:p>
        </w:tc>
        <w:tc>
          <w:tcPr>
            <w:tcW w:w="1701" w:type="dxa"/>
            <w:shd w:val="clear" w:color="auto" w:fill="auto"/>
            <w:vAlign w:val="center"/>
          </w:tcPr>
          <w:p w14:paraId="1BF89934" w14:textId="77777777" w:rsidR="00A970AF" w:rsidRPr="004A1547" w:rsidRDefault="00A970AF" w:rsidP="00A14942">
            <w:pPr>
              <w:adjustRightInd w:val="0"/>
              <w:snapToGrid w:val="0"/>
              <w:rPr>
                <w:rFonts w:ascii="宋体" w:eastAsia="宋体" w:hAnsi="宋体" w:cs="方正仿宋简体"/>
                <w:iCs/>
                <w:sz w:val="21"/>
                <w:szCs w:val="21"/>
              </w:rPr>
            </w:pPr>
          </w:p>
        </w:tc>
        <w:tc>
          <w:tcPr>
            <w:tcW w:w="2835" w:type="dxa"/>
            <w:shd w:val="clear" w:color="auto" w:fill="auto"/>
            <w:vAlign w:val="center"/>
          </w:tcPr>
          <w:p w14:paraId="2B1A1C82" w14:textId="77777777" w:rsidR="00D70538" w:rsidRDefault="00D70538">
            <w:pPr>
              <w:adjustRightInd w:val="0"/>
              <w:snapToGrid w:val="0"/>
              <w:rPr>
                <w:rFonts w:ascii="宋体" w:eastAsia="宋体" w:hAnsi="宋体" w:cs="方正仿宋简体"/>
                <w:iCs/>
                <w:sz w:val="21"/>
                <w:szCs w:val="21"/>
              </w:rPr>
            </w:pPr>
          </w:p>
        </w:tc>
      </w:tr>
      <w:tr w:rsidR="00D70538" w14:paraId="30D7BF24" w14:textId="77777777">
        <w:trPr>
          <w:trHeight w:val="340"/>
          <w:jc w:val="center"/>
        </w:trPr>
        <w:tc>
          <w:tcPr>
            <w:tcW w:w="1757" w:type="dxa"/>
            <w:vMerge w:val="restart"/>
            <w:shd w:val="clear" w:color="auto" w:fill="auto"/>
            <w:vAlign w:val="center"/>
          </w:tcPr>
          <w:p w14:paraId="444A9E57" w14:textId="77777777" w:rsidR="00D70538" w:rsidRDefault="00B50EAD">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基金经理</w:t>
            </w:r>
          </w:p>
        </w:tc>
        <w:tc>
          <w:tcPr>
            <w:tcW w:w="2887" w:type="dxa"/>
            <w:vMerge w:val="restart"/>
            <w:shd w:val="clear" w:color="auto" w:fill="auto"/>
            <w:vAlign w:val="center"/>
          </w:tcPr>
          <w:p w14:paraId="7DA9452C" w14:textId="77777777" w:rsidR="00D70538" w:rsidRDefault="00B50EAD">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朱晨杰</w:t>
            </w:r>
          </w:p>
        </w:tc>
        <w:tc>
          <w:tcPr>
            <w:tcW w:w="1701" w:type="dxa"/>
            <w:shd w:val="clear" w:color="auto" w:fill="auto"/>
            <w:vAlign w:val="center"/>
          </w:tcPr>
          <w:p w14:paraId="61CF9375" w14:textId="77777777" w:rsidR="00D70538" w:rsidRDefault="00B50EAD">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任职日期</w:t>
            </w:r>
          </w:p>
        </w:tc>
        <w:tc>
          <w:tcPr>
            <w:tcW w:w="2835" w:type="dxa"/>
            <w:shd w:val="clear" w:color="auto" w:fill="auto"/>
            <w:vAlign w:val="center"/>
          </w:tcPr>
          <w:p w14:paraId="7358CDB0" w14:textId="77777777" w:rsidR="00D70538" w:rsidRDefault="00B50EAD">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w:t>
            </w:r>
          </w:p>
        </w:tc>
      </w:tr>
      <w:tr w:rsidR="00D70538" w14:paraId="3081BACD" w14:textId="77777777">
        <w:trPr>
          <w:trHeight w:val="340"/>
          <w:jc w:val="center"/>
        </w:trPr>
        <w:tc>
          <w:tcPr>
            <w:tcW w:w="1757" w:type="dxa"/>
            <w:vMerge/>
            <w:shd w:val="clear" w:color="auto" w:fill="auto"/>
            <w:vAlign w:val="center"/>
          </w:tcPr>
          <w:p w14:paraId="5FCC98A0" w14:textId="77777777" w:rsidR="00CB47DA" w:rsidRPr="00CB47DA" w:rsidRDefault="00CB47DA" w:rsidP="00BA5426">
            <w:pPr>
              <w:adjustRightInd w:val="0"/>
              <w:snapToGrid w:val="0"/>
              <w:rPr>
                <w:rFonts w:ascii="宋体" w:eastAsia="宋体" w:hAnsi="宋体" w:cs="方正仿宋简体"/>
                <w:iCs/>
                <w:sz w:val="21"/>
                <w:szCs w:val="21"/>
              </w:rPr>
            </w:pPr>
          </w:p>
        </w:tc>
        <w:tc>
          <w:tcPr>
            <w:tcW w:w="2887" w:type="dxa"/>
            <w:vMerge/>
            <w:shd w:val="clear" w:color="auto" w:fill="auto"/>
            <w:vAlign w:val="center"/>
          </w:tcPr>
          <w:p w14:paraId="47081614" w14:textId="77777777" w:rsidR="00CB47DA" w:rsidRPr="00CB47DA" w:rsidRDefault="00CB47DA" w:rsidP="00BA5426">
            <w:pPr>
              <w:adjustRightInd w:val="0"/>
              <w:snapToGrid w:val="0"/>
              <w:rPr>
                <w:rFonts w:ascii="宋体" w:eastAsia="宋体" w:hAnsi="宋体" w:cs="方正仿宋简体"/>
                <w:iCs/>
                <w:sz w:val="21"/>
                <w:szCs w:val="21"/>
              </w:rPr>
            </w:pPr>
          </w:p>
        </w:tc>
        <w:tc>
          <w:tcPr>
            <w:tcW w:w="1701" w:type="dxa"/>
            <w:shd w:val="clear" w:color="auto" w:fill="auto"/>
            <w:vAlign w:val="center"/>
          </w:tcPr>
          <w:p w14:paraId="1C43E2F2" w14:textId="77777777" w:rsidR="00D70538" w:rsidRDefault="00B50EAD">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证券从业日期</w:t>
            </w:r>
          </w:p>
        </w:tc>
        <w:tc>
          <w:tcPr>
            <w:tcW w:w="2835" w:type="dxa"/>
            <w:shd w:val="clear" w:color="auto" w:fill="auto"/>
            <w:vAlign w:val="center"/>
          </w:tcPr>
          <w:p w14:paraId="7366240B" w14:textId="77777777" w:rsidR="00D70538" w:rsidRDefault="00B50EAD">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2013</w:t>
            </w:r>
            <w:r>
              <w:rPr>
                <w:rFonts w:ascii="宋体" w:eastAsia="宋体" w:hAnsi="宋体" w:cs="方正仿宋简体" w:hint="eastAsia"/>
                <w:iCs/>
                <w:sz w:val="21"/>
                <w:szCs w:val="21"/>
              </w:rPr>
              <w:t>年</w:t>
            </w:r>
            <w:r>
              <w:rPr>
                <w:rFonts w:ascii="宋体" w:eastAsia="宋体" w:hAnsi="宋体" w:cs="方正仿宋简体" w:hint="eastAsia"/>
                <w:iCs/>
                <w:sz w:val="21"/>
                <w:szCs w:val="21"/>
              </w:rPr>
              <w:t>07</w:t>
            </w:r>
            <w:r>
              <w:rPr>
                <w:rFonts w:ascii="宋体" w:eastAsia="宋体" w:hAnsi="宋体" w:cs="方正仿宋简体" w:hint="eastAsia"/>
                <w:iCs/>
                <w:sz w:val="21"/>
                <w:szCs w:val="21"/>
              </w:rPr>
              <w:t>月</w:t>
            </w:r>
            <w:r>
              <w:rPr>
                <w:rFonts w:ascii="宋体" w:eastAsia="宋体" w:hAnsi="宋体" w:cs="方正仿宋简体" w:hint="eastAsia"/>
                <w:iCs/>
                <w:sz w:val="21"/>
                <w:szCs w:val="21"/>
              </w:rPr>
              <w:t>01</w:t>
            </w:r>
            <w:r>
              <w:rPr>
                <w:rFonts w:ascii="宋体" w:eastAsia="宋体" w:hAnsi="宋体" w:cs="方正仿宋简体" w:hint="eastAsia"/>
                <w:iCs/>
                <w:sz w:val="21"/>
                <w:szCs w:val="21"/>
              </w:rPr>
              <w:t>日</w:t>
            </w:r>
          </w:p>
        </w:tc>
      </w:tr>
    </w:tbl>
    <w:p w14:paraId="7BE8073C" w14:textId="77777777" w:rsidR="006F366F" w:rsidRPr="00A14942" w:rsidRDefault="006F366F" w:rsidP="00F50507">
      <w:pPr>
        <w:pStyle w:val="1"/>
      </w:pPr>
      <w:r w:rsidRPr="00A14942">
        <w:rPr>
          <w:rFonts w:hint="eastAsia"/>
        </w:rPr>
        <w:t>基金投资与净值表现</w:t>
      </w:r>
    </w:p>
    <w:p w14:paraId="0F6A94EB" w14:textId="77777777" w:rsidR="00BC4EFB" w:rsidRPr="00F50507" w:rsidRDefault="00BC4EFB" w:rsidP="00F50507">
      <w:pPr>
        <w:pStyle w:val="2"/>
      </w:pPr>
      <w:r w:rsidRPr="00F50507">
        <w:rPr>
          <w:rFonts w:hint="eastAsia"/>
        </w:rPr>
        <w:t>投资目标与投资策略</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423"/>
      </w:tblGrid>
      <w:tr w:rsidR="00D70538" w14:paraId="323C8C9F" w14:textId="77777777">
        <w:trPr>
          <w:trHeight w:val="340"/>
          <w:jc w:val="center"/>
        </w:trPr>
        <w:tc>
          <w:tcPr>
            <w:tcW w:w="1757" w:type="dxa"/>
            <w:shd w:val="clear" w:color="auto" w:fill="auto"/>
            <w:vAlign w:val="center"/>
          </w:tcPr>
          <w:p w14:paraId="06DFA243" w14:textId="77777777" w:rsidR="00D70538" w:rsidRDefault="00B50EAD">
            <w:pPr>
              <w:pStyle w:val="af4"/>
            </w:pPr>
            <w:r>
              <w:rPr>
                <w:rFonts w:hint="eastAsia"/>
              </w:rPr>
              <w:t>投资目标</w:t>
            </w:r>
          </w:p>
        </w:tc>
        <w:tc>
          <w:tcPr>
            <w:tcW w:w="7423" w:type="dxa"/>
            <w:shd w:val="clear" w:color="auto" w:fill="auto"/>
            <w:vAlign w:val="center"/>
          </w:tcPr>
          <w:p w14:paraId="4C60A23B" w14:textId="77777777" w:rsidR="00D70538" w:rsidRDefault="00B50EAD">
            <w:pPr>
              <w:pStyle w:val="af4"/>
            </w:pPr>
            <w:r>
              <w:rPr>
                <w:rFonts w:hint="eastAsia"/>
              </w:rPr>
              <w:t>本基金在保持资产流动性以及严格控制风险的基础上，通过积极主动的投资管理，力争为基金份额持有人创造高于业绩比较基准的投资收益。</w:t>
            </w:r>
          </w:p>
        </w:tc>
      </w:tr>
      <w:tr w:rsidR="00D70538" w14:paraId="27388CB2" w14:textId="77777777">
        <w:trPr>
          <w:trHeight w:val="340"/>
          <w:jc w:val="center"/>
        </w:trPr>
        <w:tc>
          <w:tcPr>
            <w:tcW w:w="1757" w:type="dxa"/>
            <w:shd w:val="clear" w:color="auto" w:fill="auto"/>
            <w:vAlign w:val="center"/>
          </w:tcPr>
          <w:p w14:paraId="57EB8BC6" w14:textId="77777777" w:rsidR="00D70538" w:rsidRDefault="00B50EAD">
            <w:pPr>
              <w:pStyle w:val="af4"/>
            </w:pPr>
            <w:r>
              <w:rPr>
                <w:rFonts w:hint="eastAsia"/>
              </w:rPr>
              <w:t>投资范围</w:t>
            </w:r>
          </w:p>
        </w:tc>
        <w:tc>
          <w:tcPr>
            <w:tcW w:w="7423" w:type="dxa"/>
            <w:shd w:val="clear" w:color="auto" w:fill="auto"/>
            <w:vAlign w:val="center"/>
          </w:tcPr>
          <w:p w14:paraId="025E06DF" w14:textId="77777777" w:rsidR="00D70538" w:rsidRDefault="00B50EAD">
            <w:pPr>
              <w:pStyle w:val="af4"/>
            </w:pPr>
            <w:r>
              <w:rPr>
                <w:rFonts w:hint="eastAsia"/>
              </w:rPr>
              <w:t>本基金的投资范围为具有良好流动性的金融工具，包括国内依法发行上市的股票（包括主板、科创板、创业板以及其他经中国证监会允许发行的股票）、存托凭证、港股通标的证券（包括股票和</w:t>
            </w:r>
            <w:r>
              <w:rPr>
                <w:rFonts w:hint="eastAsia"/>
              </w:rPr>
              <w:t>ETF</w:t>
            </w:r>
            <w:r>
              <w:rPr>
                <w:rFonts w:hint="eastAsia"/>
              </w:rPr>
              <w:t>）、债券（包括国债、地方政府债券、央行票据、金融债、企业债、公司债、次级债、可转换债券、分离交易可转换债券、可交换债券、短期融资券（含超短期融资券）、政府支持债券、政府支持机构债券、中期票据等）、资产支持证券、债券回购、银行存款（包括定期存款、协议存款、通知存款等）、同业存单、现金等货币市场工具、信用衍生品、国债期货、经中国证监会依法</w:t>
            </w:r>
            <w:r>
              <w:rPr>
                <w:rFonts w:hint="eastAsia"/>
              </w:rPr>
              <w:t>核准或注册的公开募集证券投资基金（包括全市场的股票型</w:t>
            </w:r>
            <w:r>
              <w:rPr>
                <w:rFonts w:hint="eastAsia"/>
              </w:rPr>
              <w:t>ETF</w:t>
            </w:r>
            <w:r>
              <w:rPr>
                <w:rFonts w:hint="eastAsia"/>
              </w:rPr>
              <w:t>、公开募集不动产投资信托基金（以下简称“公募</w:t>
            </w:r>
            <w:r>
              <w:rPr>
                <w:rFonts w:hint="eastAsia"/>
              </w:rPr>
              <w:t>REITs</w:t>
            </w:r>
            <w:r>
              <w:rPr>
                <w:rFonts w:hint="eastAsia"/>
              </w:rPr>
              <w:t>”），以及基金管理人旗下的股票型基金、计入权益类资产的混合型基金，不含货币市场基金、</w:t>
            </w:r>
            <w:r>
              <w:rPr>
                <w:rFonts w:hint="eastAsia"/>
              </w:rPr>
              <w:t>QDII</w:t>
            </w:r>
            <w:r>
              <w:rPr>
                <w:rFonts w:hint="eastAsia"/>
              </w:rPr>
              <w:t>基金、香港互认基金、基金中基金和可投资其他基金的基金）等，以及法律法规或中国证监会允许投资的其他金融工具（但须符合中国证监会的相关规定）。</w:t>
            </w:r>
          </w:p>
          <w:p w14:paraId="6C3A479D" w14:textId="77777777" w:rsidR="00D70538" w:rsidRDefault="00B50EAD">
            <w:pPr>
              <w:pStyle w:val="af4"/>
            </w:pPr>
            <w:r>
              <w:rPr>
                <w:rFonts w:hint="eastAsia"/>
              </w:rPr>
              <w:t>如法律法规或监管机构以后允许基金投资其他品种，基金管理人在履行适当程序后，可以将其纳入投资范围。</w:t>
            </w:r>
          </w:p>
          <w:p w14:paraId="12DA517E" w14:textId="77777777" w:rsidR="00D70538" w:rsidRDefault="00B50EAD">
            <w:pPr>
              <w:pStyle w:val="af4"/>
            </w:pPr>
            <w:r>
              <w:rPr>
                <w:rFonts w:hint="eastAsia"/>
              </w:rPr>
              <w:t>基金的投资组合比例为：</w:t>
            </w:r>
          </w:p>
          <w:p w14:paraId="5C751820" w14:textId="77777777" w:rsidR="00D70538" w:rsidRDefault="00B50EAD">
            <w:pPr>
              <w:pStyle w:val="af4"/>
            </w:pPr>
            <w:r>
              <w:rPr>
                <w:rFonts w:hint="eastAsia"/>
              </w:rPr>
              <w:t>本基金对债券资产的投资比例不低于基金资产的</w:t>
            </w:r>
            <w:r>
              <w:rPr>
                <w:rFonts w:hint="eastAsia"/>
              </w:rPr>
              <w:t>80</w:t>
            </w:r>
            <w:r>
              <w:rPr>
                <w:rFonts w:hint="eastAsia"/>
              </w:rPr>
              <w:t>%</w:t>
            </w:r>
            <w:r>
              <w:rPr>
                <w:rFonts w:hint="eastAsia"/>
              </w:rPr>
              <w:t>；本基金对股票、存托凭证、股票型基金、混合型基金等权益类资产及可转换债券、分离交易可转换债券、可交换债券资产的合计投资比例不超过基金资产的</w:t>
            </w:r>
            <w:r>
              <w:rPr>
                <w:rFonts w:hint="eastAsia"/>
              </w:rPr>
              <w:t>20%</w:t>
            </w:r>
            <w:r>
              <w:rPr>
                <w:rFonts w:hint="eastAsia"/>
              </w:rPr>
              <w:t>，其中投资于港股通标的股票的比例不超过股票资产的</w:t>
            </w:r>
            <w:r>
              <w:rPr>
                <w:rFonts w:hint="eastAsia"/>
              </w:rPr>
              <w:t>50%</w:t>
            </w:r>
            <w:r>
              <w:rPr>
                <w:rFonts w:hint="eastAsia"/>
              </w:rPr>
              <w:t>；本基金持有其他基金，其市值不超过基金资产净值的</w:t>
            </w:r>
            <w:r>
              <w:rPr>
                <w:rFonts w:hint="eastAsia"/>
              </w:rPr>
              <w:t>10%</w:t>
            </w:r>
            <w:r>
              <w:rPr>
                <w:rFonts w:hint="eastAsia"/>
              </w:rPr>
              <w:t>；每个交易日日终在扣除国债期货合约需缴纳的交易保证金后，本基金持有的现金或者到期日在一年以内的政府债券不低于基金资产净值的</w:t>
            </w:r>
            <w:r>
              <w:rPr>
                <w:rFonts w:hint="eastAsia"/>
              </w:rPr>
              <w:t>5%</w:t>
            </w:r>
            <w:r>
              <w:rPr>
                <w:rFonts w:hint="eastAsia"/>
              </w:rPr>
              <w:t>，其中现金不包括结算备付金、存出保证金、应收申购款等。其中，计入上述权益类资产的混合型基金需符合下列两个条件之一：</w:t>
            </w:r>
          </w:p>
          <w:p w14:paraId="132B7D29" w14:textId="77777777" w:rsidR="00D70538" w:rsidRDefault="00B50EAD">
            <w:pPr>
              <w:pStyle w:val="af4"/>
            </w:pPr>
            <w:r>
              <w:rPr>
                <w:rFonts w:hint="eastAsia"/>
              </w:rPr>
              <w:t>1</w:t>
            </w:r>
            <w:r>
              <w:rPr>
                <w:rFonts w:hint="eastAsia"/>
              </w:rPr>
              <w:t>、基金合同约定</w:t>
            </w:r>
            <w:r>
              <w:rPr>
                <w:rFonts w:hint="eastAsia"/>
              </w:rPr>
              <w:t>股票及存托凭证资产投资比例不低于基金资产</w:t>
            </w:r>
            <w:r>
              <w:rPr>
                <w:rFonts w:hint="eastAsia"/>
              </w:rPr>
              <w:t>60%</w:t>
            </w:r>
            <w:r>
              <w:rPr>
                <w:rFonts w:hint="eastAsia"/>
              </w:rPr>
              <w:t>的混合型基金；</w:t>
            </w:r>
          </w:p>
          <w:p w14:paraId="066D5934" w14:textId="77777777" w:rsidR="00D70538" w:rsidRDefault="00B50EAD">
            <w:pPr>
              <w:pStyle w:val="af4"/>
            </w:pPr>
            <w:r>
              <w:rPr>
                <w:rFonts w:hint="eastAsia"/>
              </w:rPr>
              <w:lastRenderedPageBreak/>
              <w:t>2</w:t>
            </w:r>
            <w:r>
              <w:rPr>
                <w:rFonts w:hint="eastAsia"/>
              </w:rPr>
              <w:t>、根据基金披露的定期报告，最近四个季度中任一季度股票及存托凭证资产占基金资产比例均不低于</w:t>
            </w:r>
            <w:r>
              <w:rPr>
                <w:rFonts w:hint="eastAsia"/>
              </w:rPr>
              <w:t>60%</w:t>
            </w:r>
            <w:r>
              <w:rPr>
                <w:rFonts w:hint="eastAsia"/>
              </w:rPr>
              <w:t>的混合型基金。</w:t>
            </w:r>
          </w:p>
          <w:p w14:paraId="2C03C20F" w14:textId="77777777" w:rsidR="00D70538" w:rsidRDefault="00B50EAD">
            <w:pPr>
              <w:pStyle w:val="af4"/>
            </w:pPr>
            <w:r>
              <w:rPr>
                <w:rFonts w:hint="eastAsia"/>
              </w:rPr>
              <w:t>如法律法规或中国证监会变更投资品种的投资比例限制，基金管理人在履行适当程序后，可以调整上述投资品种的投资比例。</w:t>
            </w:r>
          </w:p>
        </w:tc>
      </w:tr>
      <w:tr w:rsidR="00D70538" w14:paraId="091C5A35" w14:textId="77777777">
        <w:trPr>
          <w:trHeight w:val="340"/>
          <w:jc w:val="center"/>
        </w:trPr>
        <w:tc>
          <w:tcPr>
            <w:tcW w:w="1757" w:type="dxa"/>
            <w:shd w:val="clear" w:color="auto" w:fill="auto"/>
            <w:vAlign w:val="center"/>
          </w:tcPr>
          <w:p w14:paraId="3F7A5AF0" w14:textId="77777777" w:rsidR="00D70538" w:rsidRDefault="00B50EAD">
            <w:pPr>
              <w:pStyle w:val="af4"/>
            </w:pPr>
            <w:r>
              <w:rPr>
                <w:rFonts w:hint="eastAsia"/>
              </w:rPr>
              <w:lastRenderedPageBreak/>
              <w:t>主要投资策略</w:t>
            </w:r>
          </w:p>
        </w:tc>
        <w:tc>
          <w:tcPr>
            <w:tcW w:w="7423" w:type="dxa"/>
            <w:shd w:val="clear" w:color="auto" w:fill="auto"/>
            <w:vAlign w:val="center"/>
          </w:tcPr>
          <w:p w14:paraId="53FF6D99" w14:textId="77777777" w:rsidR="00D70538" w:rsidRDefault="00B50EAD">
            <w:pPr>
              <w:pStyle w:val="af4"/>
            </w:pPr>
            <w:r>
              <w:rPr>
                <w:rFonts w:hint="eastAsia"/>
              </w:rPr>
              <w:t>本基金采取稳健灵活的投资策略，力求在有效控制风险的基础上，获得基金资产的稳定增值；同时根据对权益类市场的趋势研判适度参与股票资产投资，力求提高基金总体收益率。主要投资策略包括：资产配置策略、债券等固定收益类资产</w:t>
            </w:r>
            <w:r>
              <w:rPr>
                <w:rFonts w:hint="eastAsia"/>
              </w:rPr>
              <w:t>的投资策略、动态收益增强策略、股票投资策略、港股通标的证券投资策略、基金投资策略、存托凭证投资策略、国债期货投资策略、信用衍生品投资策略。</w:t>
            </w:r>
          </w:p>
        </w:tc>
      </w:tr>
      <w:tr w:rsidR="00D70538" w14:paraId="26557CE2" w14:textId="77777777">
        <w:trPr>
          <w:trHeight w:val="340"/>
          <w:jc w:val="center"/>
        </w:trPr>
        <w:tc>
          <w:tcPr>
            <w:tcW w:w="1757" w:type="dxa"/>
            <w:shd w:val="clear" w:color="auto" w:fill="auto"/>
            <w:vAlign w:val="center"/>
          </w:tcPr>
          <w:p w14:paraId="1FBD4BA4" w14:textId="77777777" w:rsidR="00D70538" w:rsidRDefault="00B50EAD">
            <w:pPr>
              <w:pStyle w:val="af4"/>
            </w:pPr>
            <w:r>
              <w:rPr>
                <w:rFonts w:hint="eastAsia"/>
              </w:rPr>
              <w:t>业绩比较基准</w:t>
            </w:r>
          </w:p>
        </w:tc>
        <w:tc>
          <w:tcPr>
            <w:tcW w:w="7423" w:type="dxa"/>
            <w:shd w:val="clear" w:color="auto" w:fill="auto"/>
            <w:vAlign w:val="center"/>
          </w:tcPr>
          <w:p w14:paraId="3C0BA8BF" w14:textId="77777777" w:rsidR="00D70538" w:rsidRDefault="00B50EAD">
            <w:pPr>
              <w:pStyle w:val="af4"/>
            </w:pPr>
            <w:r>
              <w:rPr>
                <w:rFonts w:hint="eastAsia"/>
              </w:rPr>
              <w:t>中债综合全价（总值）指数收益率</w:t>
            </w:r>
            <w:r>
              <w:rPr>
                <w:rFonts w:hint="eastAsia"/>
              </w:rPr>
              <w:t>*82%+</w:t>
            </w:r>
            <w:r>
              <w:rPr>
                <w:rFonts w:hint="eastAsia"/>
              </w:rPr>
              <w:t>沪深</w:t>
            </w:r>
            <w:r>
              <w:rPr>
                <w:rFonts w:hint="eastAsia"/>
              </w:rPr>
              <w:t>300</w:t>
            </w:r>
            <w:r>
              <w:rPr>
                <w:rFonts w:hint="eastAsia"/>
              </w:rPr>
              <w:t>指数收益率</w:t>
            </w:r>
            <w:r>
              <w:rPr>
                <w:rFonts w:hint="eastAsia"/>
              </w:rPr>
              <w:t>*10%+</w:t>
            </w:r>
            <w:r>
              <w:rPr>
                <w:rFonts w:hint="eastAsia"/>
              </w:rPr>
              <w:t>恒生指数收益率</w:t>
            </w:r>
            <w:r>
              <w:rPr>
                <w:rFonts w:hint="eastAsia"/>
              </w:rPr>
              <w:t>*3%+</w:t>
            </w:r>
            <w:r>
              <w:rPr>
                <w:rFonts w:hint="eastAsia"/>
              </w:rPr>
              <w:t>活期存款基准利率</w:t>
            </w:r>
            <w:r>
              <w:rPr>
                <w:rFonts w:hint="eastAsia"/>
              </w:rPr>
              <w:t>*5%</w:t>
            </w:r>
          </w:p>
        </w:tc>
      </w:tr>
      <w:tr w:rsidR="00D70538" w14:paraId="5E51E5F9" w14:textId="77777777">
        <w:trPr>
          <w:trHeight w:val="340"/>
          <w:jc w:val="center"/>
        </w:trPr>
        <w:tc>
          <w:tcPr>
            <w:tcW w:w="1757" w:type="dxa"/>
            <w:shd w:val="clear" w:color="auto" w:fill="auto"/>
            <w:vAlign w:val="center"/>
          </w:tcPr>
          <w:p w14:paraId="38A4A73E" w14:textId="77777777" w:rsidR="00D70538" w:rsidRDefault="00B50EAD">
            <w:pPr>
              <w:pStyle w:val="af4"/>
            </w:pPr>
            <w:r>
              <w:rPr>
                <w:rFonts w:hint="eastAsia"/>
              </w:rPr>
              <w:t>风险收益特征</w:t>
            </w:r>
          </w:p>
        </w:tc>
        <w:tc>
          <w:tcPr>
            <w:tcW w:w="7423" w:type="dxa"/>
            <w:shd w:val="clear" w:color="auto" w:fill="auto"/>
            <w:vAlign w:val="center"/>
          </w:tcPr>
          <w:p w14:paraId="1FB0D7C2" w14:textId="77777777" w:rsidR="00D70538" w:rsidRDefault="00B50EAD">
            <w:pPr>
              <w:pStyle w:val="af4"/>
            </w:pPr>
            <w:r>
              <w:rPr>
                <w:rFonts w:hint="eastAsia"/>
              </w:rPr>
              <w:t>本基金为债券型基金，在通常情况下其预期收益及预期风险水平高于货币市场基金，低于股票型基金和混合型基金。本基金投资港股通标的证券的，需承担港股通机制下因投资环境、投资标的、市场制度以及交易规则等差异带来的特有风险。</w:t>
            </w:r>
          </w:p>
        </w:tc>
      </w:tr>
    </w:tbl>
    <w:p w14:paraId="06F059A7" w14:textId="77777777" w:rsidR="00CA1E41" w:rsidRPr="00CA1E41" w:rsidRDefault="00AD6E2B" w:rsidP="00CA1E4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注：详情请阅读《招募说明书》中“基金的投资”章节的相关内容。</w:t>
      </w:r>
    </w:p>
    <w:p w14:paraId="4DAC0720" w14:textId="77777777" w:rsidR="006F366F" w:rsidRPr="00A14942" w:rsidRDefault="006F366F" w:rsidP="00F50507">
      <w:pPr>
        <w:pStyle w:val="1"/>
      </w:pPr>
      <w:r w:rsidRPr="00A14942">
        <w:rPr>
          <w:rFonts w:hint="eastAsia"/>
        </w:rPr>
        <w:t>投资本基金涉及的费用</w:t>
      </w:r>
    </w:p>
    <w:p w14:paraId="5B9A3DF3" w14:textId="77777777" w:rsidR="00D5603D" w:rsidRPr="00645219" w:rsidRDefault="00A535E9" w:rsidP="00F50507">
      <w:pPr>
        <w:pStyle w:val="2"/>
      </w:pPr>
      <w:r w:rsidRPr="00645219">
        <w:rPr>
          <w:rFonts w:hint="eastAsia"/>
        </w:rPr>
        <w:t>基金销售相关费用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3046"/>
        <w:gridCol w:w="4129"/>
      </w:tblGrid>
      <w:tr w:rsidR="00D70538" w14:paraId="0E2D2F46" w14:textId="77777777">
        <w:trPr>
          <w:trHeight w:val="340"/>
          <w:jc w:val="center"/>
        </w:trPr>
        <w:tc>
          <w:tcPr>
            <w:tcW w:w="1092" w:type="pct"/>
            <w:shd w:val="clear" w:color="auto" w:fill="auto"/>
            <w:vAlign w:val="center"/>
          </w:tcPr>
          <w:p w14:paraId="47477FA0" w14:textId="77777777" w:rsidR="00D70538" w:rsidRDefault="00B50EAD">
            <w:pPr>
              <w:adjustRightInd w:val="0"/>
              <w:snapToGrid w:val="0"/>
              <w:jc w:val="center"/>
              <w:rPr>
                <w:rFonts w:ascii="宋体" w:eastAsia="宋体" w:hAnsi="宋体"/>
                <w:sz w:val="21"/>
              </w:rPr>
            </w:pPr>
            <w:r>
              <w:rPr>
                <w:rFonts w:ascii="宋体" w:eastAsia="宋体" w:hAnsi="宋体"/>
                <w:sz w:val="21"/>
              </w:rPr>
              <w:t>费用类型</w:t>
            </w:r>
          </w:p>
        </w:tc>
        <w:tc>
          <w:tcPr>
            <w:tcW w:w="1659" w:type="pct"/>
            <w:shd w:val="clear" w:color="auto" w:fill="auto"/>
            <w:vAlign w:val="center"/>
          </w:tcPr>
          <w:p w14:paraId="1CF7E9A1" w14:textId="77777777" w:rsidR="00D70538" w:rsidRDefault="00B50EAD">
            <w:pPr>
              <w:adjustRightInd w:val="0"/>
              <w:snapToGrid w:val="0"/>
              <w:jc w:val="center"/>
              <w:rPr>
                <w:rFonts w:ascii="宋体" w:eastAsia="宋体" w:hAnsi="宋体"/>
                <w:sz w:val="21"/>
              </w:rPr>
            </w:pPr>
            <w:r>
              <w:rPr>
                <w:rFonts w:ascii="宋体" w:eastAsia="宋体" w:hAnsi="宋体"/>
                <w:sz w:val="21"/>
              </w:rPr>
              <w:t>金额（</w:t>
            </w:r>
            <w:r>
              <w:rPr>
                <w:rFonts w:ascii="宋体" w:eastAsia="宋体" w:hAnsi="宋体"/>
                <w:sz w:val="21"/>
              </w:rPr>
              <w:t>M</w:t>
            </w:r>
            <w:r>
              <w:rPr>
                <w:rFonts w:ascii="宋体" w:eastAsia="宋体" w:hAnsi="宋体"/>
                <w:sz w:val="21"/>
              </w:rPr>
              <w:t>）</w:t>
            </w:r>
            <w:r>
              <w:rPr>
                <w:rFonts w:ascii="宋体" w:eastAsia="宋体" w:hAnsi="宋体"/>
                <w:sz w:val="21"/>
              </w:rPr>
              <w:t>/</w:t>
            </w:r>
            <w:r>
              <w:rPr>
                <w:rFonts w:ascii="宋体" w:eastAsia="宋体" w:hAnsi="宋体"/>
                <w:sz w:val="21"/>
              </w:rPr>
              <w:t>持有期限（</w:t>
            </w:r>
            <w:r>
              <w:rPr>
                <w:rFonts w:ascii="宋体" w:eastAsia="宋体" w:hAnsi="宋体"/>
                <w:sz w:val="21"/>
              </w:rPr>
              <w:t>N</w:t>
            </w:r>
            <w:r>
              <w:rPr>
                <w:rFonts w:ascii="宋体" w:eastAsia="宋体" w:hAnsi="宋体"/>
                <w:sz w:val="21"/>
              </w:rPr>
              <w:t>）</w:t>
            </w:r>
          </w:p>
        </w:tc>
        <w:tc>
          <w:tcPr>
            <w:tcW w:w="1125" w:type="pct"/>
            <w:shd w:val="clear" w:color="auto" w:fill="auto"/>
            <w:vAlign w:val="center"/>
          </w:tcPr>
          <w:p w14:paraId="6DCA8A6B" w14:textId="77777777" w:rsidR="00D70538" w:rsidRDefault="00B50EAD">
            <w:pPr>
              <w:adjustRightInd w:val="0"/>
              <w:snapToGrid w:val="0"/>
              <w:jc w:val="center"/>
              <w:rPr>
                <w:rFonts w:ascii="宋体" w:eastAsia="宋体" w:hAnsi="宋体"/>
                <w:sz w:val="21"/>
              </w:rPr>
            </w:pPr>
            <w:r>
              <w:rPr>
                <w:rFonts w:ascii="宋体" w:eastAsia="宋体" w:hAnsi="宋体"/>
                <w:sz w:val="21"/>
              </w:rPr>
              <w:t>费率</w:t>
            </w:r>
          </w:p>
        </w:tc>
      </w:tr>
      <w:tr w:rsidR="00D70538" w14:paraId="7C47F773" w14:textId="77777777">
        <w:trPr>
          <w:trHeight w:val="340"/>
          <w:jc w:val="center"/>
        </w:trPr>
        <w:tc>
          <w:tcPr>
            <w:tcW w:w="1092" w:type="pct"/>
            <w:vMerge w:val="restart"/>
            <w:shd w:val="clear" w:color="auto" w:fill="auto"/>
            <w:vAlign w:val="center"/>
          </w:tcPr>
          <w:p w14:paraId="767B4267" w14:textId="77777777" w:rsidR="00D70538" w:rsidRDefault="00B50EAD">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赎回费</w:t>
            </w:r>
          </w:p>
          <w:p w14:paraId="71AF6F89" w14:textId="77777777" w:rsidR="00D70538" w:rsidRDefault="00B50EAD">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（个人客户）</w:t>
            </w:r>
          </w:p>
        </w:tc>
        <w:tc>
          <w:tcPr>
            <w:tcW w:w="1659" w:type="pct"/>
            <w:shd w:val="clear" w:color="auto" w:fill="auto"/>
            <w:vAlign w:val="center"/>
          </w:tcPr>
          <w:p w14:paraId="7256E05D" w14:textId="77777777" w:rsidR="00D70538" w:rsidRDefault="00B50EAD">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N</w:t>
            </w:r>
            <w:r>
              <w:rPr>
                <w:rFonts w:ascii="宋体" w:eastAsia="宋体" w:hAnsi="宋体" w:cs="方正仿宋简体"/>
                <w:iCs/>
                <w:sz w:val="21"/>
                <w:szCs w:val="21"/>
              </w:rPr>
              <w:t>＜</w:t>
            </w:r>
            <w:r>
              <w:rPr>
                <w:rFonts w:ascii="宋体" w:eastAsia="宋体" w:hAnsi="宋体" w:cs="方正仿宋简体"/>
                <w:iCs/>
                <w:sz w:val="21"/>
                <w:szCs w:val="21"/>
              </w:rPr>
              <w:t>7</w:t>
            </w:r>
            <w:r>
              <w:rPr>
                <w:rFonts w:ascii="宋体" w:eastAsia="宋体" w:hAnsi="宋体" w:cs="方正仿宋简体"/>
                <w:iCs/>
                <w:sz w:val="21"/>
                <w:szCs w:val="21"/>
              </w:rPr>
              <w:t>天</w:t>
            </w:r>
          </w:p>
        </w:tc>
        <w:tc>
          <w:tcPr>
            <w:tcW w:w="2249" w:type="pct"/>
            <w:shd w:val="clear" w:color="auto" w:fill="auto"/>
            <w:vAlign w:val="center"/>
          </w:tcPr>
          <w:p w14:paraId="09EA4AE5" w14:textId="77777777" w:rsidR="00D70538" w:rsidRDefault="00B50EAD">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1.5%</w:t>
            </w:r>
          </w:p>
        </w:tc>
      </w:tr>
      <w:tr w:rsidR="00D70538" w14:paraId="610293AF" w14:textId="77777777">
        <w:trPr>
          <w:trHeight w:val="340"/>
          <w:jc w:val="center"/>
        </w:trPr>
        <w:tc>
          <w:tcPr>
            <w:tcW w:w="1092" w:type="pct"/>
            <w:vMerge/>
            <w:shd w:val="clear" w:color="auto" w:fill="auto"/>
            <w:vAlign w:val="center"/>
          </w:tcPr>
          <w:p w14:paraId="6FECE2D2" w14:textId="77777777" w:rsidR="00D70538" w:rsidRDefault="00D70538">
            <w:pPr>
              <w:adjustRightInd w:val="0"/>
              <w:snapToGrid w:val="0"/>
              <w:jc w:val="center"/>
              <w:rPr>
                <w:rFonts w:ascii="宋体" w:eastAsia="宋体" w:hAnsi="宋体" w:cs="方正仿宋简体"/>
                <w:iCs/>
                <w:sz w:val="21"/>
                <w:szCs w:val="21"/>
              </w:rPr>
            </w:pPr>
          </w:p>
        </w:tc>
        <w:tc>
          <w:tcPr>
            <w:tcW w:w="1659" w:type="pct"/>
            <w:shd w:val="clear" w:color="auto" w:fill="auto"/>
            <w:vAlign w:val="center"/>
          </w:tcPr>
          <w:p w14:paraId="6DC68FCB" w14:textId="77777777" w:rsidR="00D70538" w:rsidRDefault="00B50EAD">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N≥7</w:t>
            </w:r>
            <w:r>
              <w:rPr>
                <w:rFonts w:ascii="宋体" w:eastAsia="宋体" w:hAnsi="宋体" w:cs="方正仿宋简体"/>
                <w:iCs/>
                <w:sz w:val="21"/>
                <w:szCs w:val="21"/>
              </w:rPr>
              <w:t>天</w:t>
            </w:r>
          </w:p>
        </w:tc>
        <w:tc>
          <w:tcPr>
            <w:tcW w:w="2249" w:type="pct"/>
            <w:shd w:val="clear" w:color="auto" w:fill="auto"/>
            <w:vAlign w:val="center"/>
          </w:tcPr>
          <w:p w14:paraId="7587422C" w14:textId="77777777" w:rsidR="00D70538" w:rsidRDefault="00B50EAD">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0</w:t>
            </w:r>
          </w:p>
        </w:tc>
      </w:tr>
      <w:tr w:rsidR="00D70538" w14:paraId="4B569CF1" w14:textId="77777777">
        <w:trPr>
          <w:trHeight w:val="340"/>
          <w:jc w:val="center"/>
        </w:trPr>
        <w:tc>
          <w:tcPr>
            <w:tcW w:w="1092" w:type="pct"/>
            <w:vMerge w:val="restart"/>
            <w:shd w:val="clear" w:color="auto" w:fill="auto"/>
            <w:vAlign w:val="center"/>
          </w:tcPr>
          <w:p w14:paraId="3AE88A99" w14:textId="77777777" w:rsidR="00D70538" w:rsidRDefault="00B50EAD">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赎回费</w:t>
            </w:r>
          </w:p>
          <w:p w14:paraId="0619EA40" w14:textId="77777777" w:rsidR="00D70538" w:rsidRDefault="00B50EAD">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（机构客户）</w:t>
            </w:r>
          </w:p>
        </w:tc>
        <w:tc>
          <w:tcPr>
            <w:tcW w:w="1659" w:type="pct"/>
            <w:shd w:val="clear" w:color="auto" w:fill="auto"/>
            <w:vAlign w:val="center"/>
          </w:tcPr>
          <w:p w14:paraId="2B3C447C" w14:textId="77777777" w:rsidR="00D70538" w:rsidRDefault="00B50EAD">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N</w:t>
            </w:r>
            <w:r>
              <w:rPr>
                <w:rFonts w:ascii="宋体" w:eastAsia="宋体" w:hAnsi="宋体" w:cs="方正仿宋简体"/>
                <w:iCs/>
                <w:sz w:val="21"/>
                <w:szCs w:val="21"/>
              </w:rPr>
              <w:t>＜</w:t>
            </w:r>
            <w:r>
              <w:rPr>
                <w:rFonts w:ascii="宋体" w:eastAsia="宋体" w:hAnsi="宋体" w:cs="方正仿宋简体"/>
                <w:iCs/>
                <w:sz w:val="21"/>
                <w:szCs w:val="21"/>
              </w:rPr>
              <w:t>7</w:t>
            </w:r>
            <w:r>
              <w:rPr>
                <w:rFonts w:ascii="宋体" w:eastAsia="宋体" w:hAnsi="宋体" w:cs="方正仿宋简体"/>
                <w:iCs/>
                <w:sz w:val="21"/>
                <w:szCs w:val="21"/>
              </w:rPr>
              <w:t>天</w:t>
            </w:r>
          </w:p>
        </w:tc>
        <w:tc>
          <w:tcPr>
            <w:tcW w:w="2249" w:type="pct"/>
            <w:shd w:val="clear" w:color="auto" w:fill="auto"/>
            <w:vAlign w:val="center"/>
          </w:tcPr>
          <w:p w14:paraId="421C1B78" w14:textId="77777777" w:rsidR="00D70538" w:rsidRDefault="00B50EAD">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1.5%</w:t>
            </w:r>
          </w:p>
        </w:tc>
      </w:tr>
      <w:tr w:rsidR="00D70538" w14:paraId="14C5156C" w14:textId="77777777">
        <w:trPr>
          <w:trHeight w:val="340"/>
          <w:jc w:val="center"/>
        </w:trPr>
        <w:tc>
          <w:tcPr>
            <w:tcW w:w="1092" w:type="pct"/>
            <w:vMerge/>
            <w:shd w:val="clear" w:color="auto" w:fill="auto"/>
            <w:vAlign w:val="center"/>
          </w:tcPr>
          <w:p w14:paraId="54CF94ED" w14:textId="77777777" w:rsidR="00D70538" w:rsidRDefault="00D70538">
            <w:pPr>
              <w:adjustRightInd w:val="0"/>
              <w:snapToGrid w:val="0"/>
              <w:jc w:val="center"/>
              <w:rPr>
                <w:rFonts w:ascii="宋体" w:eastAsia="宋体" w:hAnsi="宋体" w:cs="方正仿宋简体"/>
                <w:iCs/>
                <w:sz w:val="21"/>
                <w:szCs w:val="21"/>
              </w:rPr>
            </w:pPr>
          </w:p>
        </w:tc>
        <w:tc>
          <w:tcPr>
            <w:tcW w:w="1659" w:type="pct"/>
            <w:shd w:val="clear" w:color="auto" w:fill="auto"/>
            <w:vAlign w:val="center"/>
          </w:tcPr>
          <w:p w14:paraId="3A913DF6" w14:textId="77777777" w:rsidR="00D70538" w:rsidRDefault="00B50EAD">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7≤N</w:t>
            </w:r>
            <w:r>
              <w:rPr>
                <w:rFonts w:ascii="宋体" w:eastAsia="宋体" w:hAnsi="宋体" w:cs="方正仿宋简体"/>
                <w:iCs/>
                <w:sz w:val="21"/>
                <w:szCs w:val="21"/>
              </w:rPr>
              <w:t>＜</w:t>
            </w:r>
            <w:r>
              <w:rPr>
                <w:rFonts w:ascii="宋体" w:eastAsia="宋体" w:hAnsi="宋体" w:cs="方正仿宋简体"/>
                <w:iCs/>
                <w:sz w:val="21"/>
                <w:szCs w:val="21"/>
              </w:rPr>
              <w:t>30</w:t>
            </w:r>
            <w:r>
              <w:rPr>
                <w:rFonts w:ascii="宋体" w:eastAsia="宋体" w:hAnsi="宋体" w:cs="方正仿宋简体"/>
                <w:iCs/>
                <w:sz w:val="21"/>
                <w:szCs w:val="21"/>
              </w:rPr>
              <w:t>天</w:t>
            </w:r>
          </w:p>
        </w:tc>
        <w:tc>
          <w:tcPr>
            <w:tcW w:w="2249" w:type="pct"/>
            <w:shd w:val="clear" w:color="auto" w:fill="auto"/>
            <w:vAlign w:val="center"/>
          </w:tcPr>
          <w:p w14:paraId="7102D57D" w14:textId="77777777" w:rsidR="00D70538" w:rsidRDefault="00B50EAD">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1.0%</w:t>
            </w:r>
          </w:p>
        </w:tc>
      </w:tr>
      <w:tr w:rsidR="00D70538" w14:paraId="04DF62A8" w14:textId="77777777">
        <w:trPr>
          <w:trHeight w:val="340"/>
          <w:jc w:val="center"/>
        </w:trPr>
        <w:tc>
          <w:tcPr>
            <w:tcW w:w="1092" w:type="pct"/>
            <w:vMerge/>
            <w:shd w:val="clear" w:color="auto" w:fill="auto"/>
            <w:vAlign w:val="center"/>
          </w:tcPr>
          <w:p w14:paraId="67D39132" w14:textId="77777777" w:rsidR="00D70538" w:rsidRDefault="00D70538">
            <w:pPr>
              <w:adjustRightInd w:val="0"/>
              <w:snapToGrid w:val="0"/>
              <w:jc w:val="center"/>
              <w:rPr>
                <w:rFonts w:ascii="宋体" w:eastAsia="宋体" w:hAnsi="宋体" w:cs="方正仿宋简体"/>
                <w:iCs/>
                <w:sz w:val="21"/>
                <w:szCs w:val="21"/>
              </w:rPr>
            </w:pPr>
          </w:p>
        </w:tc>
        <w:tc>
          <w:tcPr>
            <w:tcW w:w="1659" w:type="pct"/>
            <w:shd w:val="clear" w:color="auto" w:fill="auto"/>
            <w:vAlign w:val="center"/>
          </w:tcPr>
          <w:p w14:paraId="3A761783" w14:textId="77777777" w:rsidR="00D70538" w:rsidRDefault="00B50EAD">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N≥30</w:t>
            </w:r>
            <w:r>
              <w:rPr>
                <w:rFonts w:ascii="宋体" w:eastAsia="宋体" w:hAnsi="宋体" w:cs="方正仿宋简体"/>
                <w:iCs/>
                <w:sz w:val="21"/>
                <w:szCs w:val="21"/>
              </w:rPr>
              <w:t>天</w:t>
            </w:r>
          </w:p>
        </w:tc>
        <w:tc>
          <w:tcPr>
            <w:tcW w:w="2249" w:type="pct"/>
            <w:shd w:val="clear" w:color="auto" w:fill="auto"/>
            <w:vAlign w:val="center"/>
          </w:tcPr>
          <w:p w14:paraId="5F70C917" w14:textId="77777777" w:rsidR="00D70538" w:rsidRDefault="00B50EAD">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0</w:t>
            </w:r>
          </w:p>
        </w:tc>
      </w:tr>
    </w:tbl>
    <w:p w14:paraId="08D87EB5" w14:textId="77777777" w:rsidR="00D70538" w:rsidRDefault="00B50EAD">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注：本基金</w:t>
      </w:r>
      <w:r>
        <w:rPr>
          <w:rFonts w:ascii="宋体" w:eastAsia="宋体" w:hAnsi="宋体" w:cs="方正仿宋简体"/>
          <w:iCs/>
          <w:sz w:val="21"/>
          <w:szCs w:val="21"/>
        </w:rPr>
        <w:t>C</w:t>
      </w:r>
      <w:r>
        <w:rPr>
          <w:rFonts w:ascii="宋体" w:eastAsia="宋体" w:hAnsi="宋体" w:cs="方正仿宋简体"/>
          <w:iCs/>
          <w:sz w:val="21"/>
          <w:szCs w:val="21"/>
        </w:rPr>
        <w:t>类基金份额不收取认购、申购费用，赎回费用在投资者赎回基金过程中收取，赎回费全额计入基金财产。</w:t>
      </w:r>
    </w:p>
    <w:p w14:paraId="748197A7" w14:textId="77777777" w:rsidR="00956AC1" w:rsidRDefault="00A535E9" w:rsidP="00F50507">
      <w:pPr>
        <w:pStyle w:val="2"/>
      </w:pPr>
      <w:r w:rsidRPr="00A14942">
        <w:rPr>
          <w:rFonts w:hint="eastAsia"/>
        </w:rPr>
        <w:t>基金运作相关费用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4"/>
        <w:gridCol w:w="4867"/>
        <w:gridCol w:w="2169"/>
      </w:tblGrid>
      <w:tr w:rsidR="00D70538" w14:paraId="12BDE403" w14:textId="77777777">
        <w:trPr>
          <w:jc w:val="center"/>
        </w:trPr>
        <w:tc>
          <w:tcPr>
            <w:tcW w:w="1984" w:type="dxa"/>
            <w:shd w:val="clear" w:color="auto" w:fill="auto"/>
            <w:vAlign w:val="center"/>
          </w:tcPr>
          <w:p w14:paraId="2AA3E0D3" w14:textId="77777777" w:rsidR="00D70538" w:rsidRDefault="00B50EAD">
            <w:pPr>
              <w:adjustRightInd w:val="0"/>
              <w:snapToGrid w:val="0"/>
              <w:spacing w:beforeLines="10" w:before="43" w:line="264" w:lineRule="auto"/>
              <w:jc w:val="center"/>
              <w:rPr>
                <w:rFonts w:ascii="宋体" w:eastAsia="宋体" w:hAnsi="宋体"/>
                <w:sz w:val="21"/>
              </w:rPr>
            </w:pPr>
            <w:r>
              <w:rPr>
                <w:rFonts w:ascii="宋体" w:eastAsia="宋体" w:hAnsi="宋体"/>
                <w:sz w:val="21"/>
              </w:rPr>
              <w:t>费用类别</w:t>
            </w:r>
          </w:p>
        </w:tc>
        <w:tc>
          <w:tcPr>
            <w:tcW w:w="4707" w:type="dxa"/>
            <w:shd w:val="clear" w:color="auto" w:fill="auto"/>
            <w:vAlign w:val="center"/>
          </w:tcPr>
          <w:p w14:paraId="6BF4BB91" w14:textId="77777777" w:rsidR="00D70538" w:rsidRDefault="00B50EAD">
            <w:pPr>
              <w:adjustRightInd w:val="0"/>
              <w:snapToGrid w:val="0"/>
              <w:spacing w:beforeLines="10" w:before="43" w:line="264" w:lineRule="auto"/>
              <w:jc w:val="center"/>
              <w:rPr>
                <w:rFonts w:ascii="宋体" w:eastAsia="宋体" w:hAnsi="宋体"/>
                <w:sz w:val="21"/>
              </w:rPr>
            </w:pPr>
            <w:r>
              <w:rPr>
                <w:rFonts w:ascii="宋体" w:eastAsia="宋体" w:hAnsi="宋体"/>
                <w:sz w:val="21"/>
              </w:rPr>
              <w:t>年费率</w:t>
            </w:r>
            <w:r>
              <w:rPr>
                <w:rFonts w:ascii="宋体" w:eastAsia="宋体" w:hAnsi="宋体"/>
                <w:sz w:val="21"/>
              </w:rPr>
              <w:t>/</w:t>
            </w:r>
            <w:r>
              <w:rPr>
                <w:rFonts w:ascii="宋体" w:eastAsia="宋体" w:hAnsi="宋体"/>
                <w:sz w:val="21"/>
              </w:rPr>
              <w:t>收费方式</w:t>
            </w:r>
          </w:p>
        </w:tc>
        <w:tc>
          <w:tcPr>
            <w:tcW w:w="2098" w:type="dxa"/>
            <w:shd w:val="clear" w:color="auto" w:fill="auto"/>
            <w:vAlign w:val="center"/>
          </w:tcPr>
          <w:p w14:paraId="26CC9D5E" w14:textId="77777777" w:rsidR="00D70538" w:rsidRDefault="00B50EAD">
            <w:pPr>
              <w:adjustRightInd w:val="0"/>
              <w:snapToGrid w:val="0"/>
              <w:spacing w:beforeLines="10" w:before="43" w:line="264" w:lineRule="auto"/>
              <w:jc w:val="center"/>
              <w:rPr>
                <w:rFonts w:ascii="宋体" w:eastAsia="宋体" w:hAnsi="宋体"/>
                <w:sz w:val="21"/>
              </w:rPr>
            </w:pPr>
            <w:r>
              <w:rPr>
                <w:rFonts w:ascii="宋体" w:eastAsia="宋体" w:hAnsi="宋体" w:hint="eastAsia"/>
                <w:sz w:val="21"/>
              </w:rPr>
              <w:t>收取方</w:t>
            </w:r>
          </w:p>
        </w:tc>
      </w:tr>
      <w:tr w:rsidR="00D70538" w14:paraId="72CED0ED" w14:textId="77777777">
        <w:trPr>
          <w:jc w:val="center"/>
        </w:trPr>
        <w:tc>
          <w:tcPr>
            <w:tcW w:w="1984" w:type="dxa"/>
            <w:shd w:val="clear" w:color="auto" w:fill="auto"/>
            <w:vAlign w:val="center"/>
          </w:tcPr>
          <w:p w14:paraId="19E0F7CC" w14:textId="77777777" w:rsidR="00D70538" w:rsidRDefault="00B50EAD">
            <w:pPr>
              <w:adjustRightInd w:val="0"/>
              <w:snapToGrid w:val="0"/>
              <w:spacing w:beforeLines="10" w:before="43" w:line="264" w:lineRule="auto"/>
              <w:jc w:val="center"/>
              <w:rPr>
                <w:rFonts w:ascii="宋体" w:eastAsia="宋体" w:hAnsi="宋体"/>
                <w:sz w:val="21"/>
              </w:rPr>
            </w:pPr>
            <w:r>
              <w:rPr>
                <w:rFonts w:ascii="宋体" w:eastAsia="宋体" w:hAnsi="宋体"/>
                <w:sz w:val="21"/>
              </w:rPr>
              <w:t>管理费</w:t>
            </w:r>
          </w:p>
        </w:tc>
        <w:tc>
          <w:tcPr>
            <w:tcW w:w="4707" w:type="dxa"/>
            <w:shd w:val="clear" w:color="auto" w:fill="auto"/>
            <w:vAlign w:val="center"/>
          </w:tcPr>
          <w:p w14:paraId="668F0321" w14:textId="77777777" w:rsidR="00D70538" w:rsidRDefault="00B50EAD">
            <w:pPr>
              <w:adjustRightInd w:val="0"/>
              <w:snapToGrid w:val="0"/>
              <w:spacing w:beforeLines="10" w:before="43" w:line="264" w:lineRule="auto"/>
              <w:rPr>
                <w:rFonts w:ascii="宋体" w:eastAsia="宋体" w:hAnsi="宋体"/>
                <w:sz w:val="21"/>
              </w:rPr>
            </w:pPr>
            <w:r>
              <w:rPr>
                <w:rFonts w:ascii="宋体" w:eastAsia="宋体" w:hAnsi="宋体" w:hint="eastAsia"/>
                <w:sz w:val="21"/>
              </w:rPr>
              <w:t>0.60%</w:t>
            </w:r>
          </w:p>
        </w:tc>
        <w:tc>
          <w:tcPr>
            <w:tcW w:w="2098" w:type="dxa"/>
            <w:shd w:val="clear" w:color="auto" w:fill="auto"/>
            <w:vAlign w:val="center"/>
          </w:tcPr>
          <w:p w14:paraId="177807C5" w14:textId="77777777" w:rsidR="00D70538" w:rsidRDefault="00B50EAD">
            <w:pPr>
              <w:adjustRightInd w:val="0"/>
              <w:snapToGrid w:val="0"/>
              <w:spacing w:beforeLines="10" w:before="43" w:line="264" w:lineRule="auto"/>
              <w:rPr>
                <w:rFonts w:ascii="宋体" w:eastAsia="宋体" w:hAnsi="宋体"/>
                <w:sz w:val="21"/>
              </w:rPr>
            </w:pPr>
            <w:r>
              <w:rPr>
                <w:rFonts w:ascii="宋体" w:eastAsia="宋体" w:hAnsi="宋体" w:hint="eastAsia"/>
                <w:sz w:val="21"/>
              </w:rPr>
              <w:t>基金管理人、销售机构</w:t>
            </w:r>
          </w:p>
        </w:tc>
      </w:tr>
      <w:tr w:rsidR="00D70538" w14:paraId="6B8066ED" w14:textId="77777777">
        <w:trPr>
          <w:jc w:val="center"/>
        </w:trPr>
        <w:tc>
          <w:tcPr>
            <w:tcW w:w="1984" w:type="dxa"/>
            <w:shd w:val="clear" w:color="auto" w:fill="auto"/>
            <w:vAlign w:val="center"/>
          </w:tcPr>
          <w:p w14:paraId="0332156E" w14:textId="77777777" w:rsidR="00D70538" w:rsidRDefault="00B50EAD">
            <w:pPr>
              <w:adjustRightInd w:val="0"/>
              <w:snapToGrid w:val="0"/>
              <w:spacing w:beforeLines="10" w:before="43" w:line="264" w:lineRule="auto"/>
              <w:jc w:val="center"/>
              <w:rPr>
                <w:rFonts w:ascii="宋体" w:eastAsia="宋体" w:hAnsi="宋体"/>
                <w:sz w:val="21"/>
              </w:rPr>
            </w:pPr>
            <w:r>
              <w:rPr>
                <w:rFonts w:ascii="宋体" w:eastAsia="宋体" w:hAnsi="宋体"/>
                <w:sz w:val="21"/>
              </w:rPr>
              <w:t>托管费</w:t>
            </w:r>
          </w:p>
        </w:tc>
        <w:tc>
          <w:tcPr>
            <w:tcW w:w="4707" w:type="dxa"/>
            <w:shd w:val="clear" w:color="auto" w:fill="auto"/>
            <w:vAlign w:val="center"/>
          </w:tcPr>
          <w:p w14:paraId="336CBDDB" w14:textId="77777777" w:rsidR="00D70538" w:rsidRDefault="00B50EAD">
            <w:pPr>
              <w:adjustRightInd w:val="0"/>
              <w:snapToGrid w:val="0"/>
              <w:spacing w:beforeLines="10" w:before="43" w:line="264" w:lineRule="auto"/>
              <w:rPr>
                <w:rFonts w:ascii="宋体" w:eastAsia="宋体" w:hAnsi="宋体"/>
                <w:sz w:val="21"/>
              </w:rPr>
            </w:pPr>
            <w:r>
              <w:rPr>
                <w:rFonts w:ascii="宋体" w:eastAsia="宋体" w:hAnsi="宋体" w:hint="eastAsia"/>
                <w:sz w:val="21"/>
              </w:rPr>
              <w:t>0.15%</w:t>
            </w:r>
          </w:p>
        </w:tc>
        <w:tc>
          <w:tcPr>
            <w:tcW w:w="2098" w:type="dxa"/>
            <w:shd w:val="clear" w:color="auto" w:fill="auto"/>
            <w:vAlign w:val="center"/>
          </w:tcPr>
          <w:p w14:paraId="6DBC4A6F" w14:textId="77777777" w:rsidR="00D70538" w:rsidRDefault="00B50EAD">
            <w:pPr>
              <w:adjustRightInd w:val="0"/>
              <w:snapToGrid w:val="0"/>
              <w:spacing w:beforeLines="10" w:before="43" w:line="264" w:lineRule="auto"/>
              <w:rPr>
                <w:rFonts w:ascii="宋体" w:eastAsia="宋体" w:hAnsi="宋体"/>
                <w:sz w:val="21"/>
              </w:rPr>
            </w:pPr>
            <w:r>
              <w:rPr>
                <w:rFonts w:ascii="宋体" w:eastAsia="宋体" w:hAnsi="宋体" w:hint="eastAsia"/>
                <w:sz w:val="21"/>
              </w:rPr>
              <w:t>基金托管人</w:t>
            </w:r>
          </w:p>
        </w:tc>
      </w:tr>
      <w:tr w:rsidR="00D70538" w14:paraId="4A0CED33" w14:textId="77777777">
        <w:trPr>
          <w:jc w:val="center"/>
        </w:trPr>
        <w:tc>
          <w:tcPr>
            <w:tcW w:w="2073" w:type="dxa"/>
          </w:tcPr>
          <w:p w14:paraId="37F993CD" w14:textId="77777777" w:rsidR="00D70538" w:rsidRDefault="00B50EAD">
            <w:pPr>
              <w:adjustRightInd w:val="0"/>
              <w:snapToGrid w:val="0"/>
              <w:spacing w:beforeLines="10" w:before="43" w:line="264" w:lineRule="auto"/>
              <w:jc w:val="center"/>
            </w:pPr>
            <w:r>
              <w:rPr>
                <w:rFonts w:ascii="宋体" w:eastAsia="宋体" w:hAnsi="宋体"/>
                <w:sz w:val="21"/>
              </w:rPr>
              <w:t>销售服务费</w:t>
            </w:r>
          </w:p>
        </w:tc>
        <w:tc>
          <w:tcPr>
            <w:tcW w:w="4707" w:type="dxa"/>
            <w:shd w:val="clear" w:color="auto" w:fill="auto"/>
            <w:vAlign w:val="center"/>
          </w:tcPr>
          <w:p w14:paraId="7CA7E321" w14:textId="77777777" w:rsidR="00D70538" w:rsidRDefault="00B50EAD">
            <w:pPr>
              <w:adjustRightInd w:val="0"/>
              <w:snapToGrid w:val="0"/>
              <w:spacing w:beforeLines="10" w:before="43" w:line="264" w:lineRule="auto"/>
              <w:rPr>
                <w:rFonts w:ascii="宋体" w:eastAsia="宋体" w:hAnsi="宋体"/>
                <w:sz w:val="21"/>
              </w:rPr>
            </w:pPr>
            <w:r>
              <w:rPr>
                <w:rFonts w:ascii="宋体" w:eastAsia="宋体" w:hAnsi="宋体" w:hint="eastAsia"/>
                <w:sz w:val="21"/>
              </w:rPr>
              <w:t>0.20%</w:t>
            </w:r>
          </w:p>
        </w:tc>
        <w:tc>
          <w:tcPr>
            <w:tcW w:w="2098" w:type="dxa"/>
            <w:shd w:val="clear" w:color="auto" w:fill="auto"/>
            <w:vAlign w:val="center"/>
          </w:tcPr>
          <w:p w14:paraId="4FC16A04" w14:textId="77777777" w:rsidR="00D70538" w:rsidRDefault="00B50EAD">
            <w:pPr>
              <w:adjustRightInd w:val="0"/>
              <w:snapToGrid w:val="0"/>
              <w:spacing w:beforeLines="10" w:before="43" w:line="264" w:lineRule="auto"/>
              <w:rPr>
                <w:rFonts w:ascii="宋体" w:eastAsia="宋体" w:hAnsi="宋体"/>
                <w:sz w:val="21"/>
              </w:rPr>
            </w:pPr>
            <w:r>
              <w:rPr>
                <w:rFonts w:ascii="宋体" w:eastAsia="宋体" w:hAnsi="宋体" w:hint="eastAsia"/>
                <w:sz w:val="21"/>
              </w:rPr>
              <w:t>销售机构</w:t>
            </w:r>
          </w:p>
        </w:tc>
      </w:tr>
    </w:tbl>
    <w:p w14:paraId="6CF49DE2" w14:textId="77777777" w:rsidR="00D70538" w:rsidRDefault="00B50EAD">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w:t>
      </w:r>
      <w:r>
        <w:rPr>
          <w:rFonts w:ascii="宋体" w:eastAsia="宋体" w:hAnsi="宋体" w:cs="方正仿宋简体"/>
          <w:iCs/>
          <w:sz w:val="21"/>
          <w:szCs w:val="21"/>
        </w:rPr>
        <w:t>1</w:t>
      </w:r>
      <w:r>
        <w:rPr>
          <w:rFonts w:ascii="宋体" w:eastAsia="宋体" w:hAnsi="宋体" w:cs="方正仿宋简体"/>
          <w:iCs/>
          <w:sz w:val="21"/>
          <w:szCs w:val="21"/>
        </w:rPr>
        <w:t>）以上费用将从基金资产中扣除；本基金交易证券、基金等产生的费用和税负，按实际发生额从基金资产扣除。</w:t>
      </w:r>
    </w:p>
    <w:p w14:paraId="7F59D791" w14:textId="77777777" w:rsidR="00D70538" w:rsidRDefault="00B50EAD">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w:t>
      </w:r>
      <w:r>
        <w:rPr>
          <w:rFonts w:ascii="宋体" w:eastAsia="宋体" w:hAnsi="宋体" w:cs="方正仿宋简体"/>
          <w:iCs/>
          <w:sz w:val="21"/>
          <w:szCs w:val="21"/>
        </w:rPr>
        <w:t>2</w:t>
      </w:r>
      <w:r>
        <w:rPr>
          <w:rFonts w:ascii="宋体" w:eastAsia="宋体" w:hAnsi="宋体" w:cs="方正仿宋简体"/>
          <w:iCs/>
          <w:sz w:val="21"/>
          <w:szCs w:val="21"/>
        </w:rPr>
        <w:t>）本基金</w:t>
      </w:r>
      <w:r>
        <w:rPr>
          <w:rFonts w:ascii="宋体" w:eastAsia="宋体" w:hAnsi="宋体" w:cs="方正仿宋简体"/>
          <w:iCs/>
          <w:sz w:val="21"/>
          <w:szCs w:val="21"/>
        </w:rPr>
        <w:t>A</w:t>
      </w:r>
      <w:r>
        <w:rPr>
          <w:rFonts w:ascii="宋体" w:eastAsia="宋体" w:hAnsi="宋体" w:cs="方正仿宋简体"/>
          <w:iCs/>
          <w:sz w:val="21"/>
          <w:szCs w:val="21"/>
        </w:rPr>
        <w:t>类份额不收取销售服务费。对于投资者通过直销机构认购</w:t>
      </w:r>
      <w:r>
        <w:rPr>
          <w:rFonts w:ascii="宋体" w:eastAsia="宋体" w:hAnsi="宋体" w:cs="方正仿宋简体"/>
          <w:iCs/>
          <w:sz w:val="21"/>
          <w:szCs w:val="21"/>
        </w:rPr>
        <w:t>/</w:t>
      </w:r>
      <w:r>
        <w:rPr>
          <w:rFonts w:ascii="宋体" w:eastAsia="宋体" w:hAnsi="宋体" w:cs="方正仿宋简体"/>
          <w:iCs/>
          <w:sz w:val="21"/>
          <w:szCs w:val="21"/>
        </w:rPr>
        <w:t>申购的</w:t>
      </w:r>
      <w:r>
        <w:rPr>
          <w:rFonts w:ascii="宋体" w:eastAsia="宋体" w:hAnsi="宋体" w:cs="方正仿宋简体"/>
          <w:iCs/>
          <w:sz w:val="21"/>
          <w:szCs w:val="21"/>
        </w:rPr>
        <w:t>C</w:t>
      </w:r>
      <w:r>
        <w:rPr>
          <w:rFonts w:ascii="宋体" w:eastAsia="宋体" w:hAnsi="宋体" w:cs="方正仿宋简体"/>
          <w:iCs/>
          <w:sz w:val="21"/>
          <w:szCs w:val="21"/>
        </w:rPr>
        <w:t>类基金份额计提的销售服务费，以及通过代销机构认购</w:t>
      </w:r>
      <w:r>
        <w:rPr>
          <w:rFonts w:ascii="宋体" w:eastAsia="宋体" w:hAnsi="宋体" w:cs="方正仿宋简体"/>
          <w:iCs/>
          <w:sz w:val="21"/>
          <w:szCs w:val="21"/>
        </w:rPr>
        <w:t>/</w:t>
      </w:r>
      <w:r>
        <w:rPr>
          <w:rFonts w:ascii="宋体" w:eastAsia="宋体" w:hAnsi="宋体" w:cs="方正仿宋简体"/>
          <w:iCs/>
          <w:sz w:val="21"/>
          <w:szCs w:val="21"/>
        </w:rPr>
        <w:t>申购且持续持有期限超过一年（即</w:t>
      </w:r>
      <w:r>
        <w:rPr>
          <w:rFonts w:ascii="宋体" w:eastAsia="宋体" w:hAnsi="宋体" w:cs="方正仿宋简体"/>
          <w:iCs/>
          <w:sz w:val="21"/>
          <w:szCs w:val="21"/>
        </w:rPr>
        <w:t>365</w:t>
      </w:r>
      <w:r>
        <w:rPr>
          <w:rFonts w:ascii="宋体" w:eastAsia="宋体" w:hAnsi="宋体" w:cs="方正仿宋简体"/>
          <w:iCs/>
          <w:sz w:val="21"/>
          <w:szCs w:val="21"/>
        </w:rPr>
        <w:t>天）的</w:t>
      </w:r>
      <w:r>
        <w:rPr>
          <w:rFonts w:ascii="宋体" w:eastAsia="宋体" w:hAnsi="宋体" w:cs="方正仿宋简体"/>
          <w:iCs/>
          <w:sz w:val="21"/>
          <w:szCs w:val="21"/>
        </w:rPr>
        <w:t>C</w:t>
      </w:r>
      <w:r>
        <w:rPr>
          <w:rFonts w:ascii="宋体" w:eastAsia="宋体" w:hAnsi="宋体" w:cs="方正仿宋简体"/>
          <w:iCs/>
          <w:sz w:val="21"/>
          <w:szCs w:val="21"/>
        </w:rPr>
        <w:t>类基金份额超过一年继续计提的销售服务费，将在投资者赎回基金份额或基金合同终止时，随赎回款（或清算款）一并返还给投资者。</w:t>
      </w:r>
    </w:p>
    <w:p w14:paraId="34AFC83E" w14:textId="77777777" w:rsidR="008F585B" w:rsidRPr="008F585B" w:rsidRDefault="008F585B" w:rsidP="00C36380">
      <w:pPr>
        <w:pStyle w:val="1"/>
      </w:pPr>
      <w:r w:rsidRPr="008F585B">
        <w:rPr>
          <w:rFonts w:hint="eastAsia"/>
        </w:rPr>
        <w:t>风险揭示与重要提示</w:t>
      </w:r>
    </w:p>
    <w:p w14:paraId="56A1C205" w14:textId="77777777" w:rsidR="008F585B" w:rsidRPr="008F585B" w:rsidRDefault="008F585B" w:rsidP="00C36380">
      <w:pPr>
        <w:pStyle w:val="2"/>
      </w:pPr>
      <w:r w:rsidRPr="008F585B">
        <w:rPr>
          <w:rFonts w:hint="eastAsia"/>
        </w:rPr>
        <w:t>风险揭示</w:t>
      </w:r>
    </w:p>
    <w:p w14:paraId="169D2F4F"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lastRenderedPageBreak/>
        <w:t>本基金不提供任何保证。投资者可能损失投资本金。投资有风险，投资者购买基金时应认真阅读本基金的《招募说明书》等销售文件。</w:t>
      </w:r>
    </w:p>
    <w:p w14:paraId="272C95FC"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本基金投资中的风险包括：证券市场整体环境引发的系统性风险，个别证券特有的非</w:t>
      </w:r>
      <w:r>
        <w:rPr>
          <w:rFonts w:ascii="宋体" w:eastAsia="宋体" w:hAnsi="宋体" w:cs="方正仿宋简体"/>
          <w:iCs/>
          <w:sz w:val="21"/>
          <w:szCs w:val="21"/>
        </w:rPr>
        <w:t>系统性风险，大量赎回或暴跌导致的流动性风险，基金投资过程中产生的操作风险，因交收违约和投资债券引发的信用风险，基金投资对象与投资策略引致的特有风险等等。基金管理人提醒投资者基金投资的</w:t>
      </w:r>
      <w:r>
        <w:rPr>
          <w:rFonts w:ascii="宋体" w:eastAsia="宋体" w:hAnsi="宋体" w:cs="方正仿宋简体"/>
          <w:iCs/>
          <w:sz w:val="21"/>
          <w:szCs w:val="21"/>
        </w:rPr>
        <w:t>“</w:t>
      </w:r>
      <w:r>
        <w:rPr>
          <w:rFonts w:ascii="宋体" w:eastAsia="宋体" w:hAnsi="宋体" w:cs="方正仿宋简体"/>
          <w:iCs/>
          <w:sz w:val="21"/>
          <w:szCs w:val="21"/>
        </w:rPr>
        <w:t>买者自负</w:t>
      </w:r>
      <w:r>
        <w:rPr>
          <w:rFonts w:ascii="宋体" w:eastAsia="宋体" w:hAnsi="宋体" w:cs="方正仿宋简体"/>
          <w:iCs/>
          <w:sz w:val="21"/>
          <w:szCs w:val="21"/>
        </w:rPr>
        <w:t>”</w:t>
      </w:r>
      <w:r>
        <w:rPr>
          <w:rFonts w:ascii="宋体" w:eastAsia="宋体" w:hAnsi="宋体" w:cs="方正仿宋简体"/>
          <w:iCs/>
          <w:sz w:val="21"/>
          <w:szCs w:val="21"/>
        </w:rPr>
        <w:t>原则，在投资者作出投资决策后，基金运营状况与基金净值变化引致的投资风险，由投资者自行负责。</w:t>
      </w:r>
    </w:p>
    <w:p w14:paraId="7482A56F"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本基金的特有风险包括：</w:t>
      </w:r>
      <w:r>
        <w:rPr>
          <w:rFonts w:ascii="宋体" w:eastAsia="宋体" w:hAnsi="宋体" w:cs="方正仿宋简体"/>
          <w:iCs/>
          <w:sz w:val="21"/>
          <w:szCs w:val="21"/>
        </w:rPr>
        <w:t>1</w:t>
      </w:r>
      <w:r>
        <w:rPr>
          <w:rFonts w:ascii="宋体" w:eastAsia="宋体" w:hAnsi="宋体" w:cs="方正仿宋简体"/>
          <w:iCs/>
          <w:sz w:val="21"/>
          <w:szCs w:val="21"/>
        </w:rPr>
        <w:t>、本基金为债券型基金，对债券资产的投资比例不低于基金资产的</w:t>
      </w:r>
      <w:r>
        <w:rPr>
          <w:rFonts w:ascii="宋体" w:eastAsia="宋体" w:hAnsi="宋体" w:cs="方正仿宋简体"/>
          <w:iCs/>
          <w:sz w:val="21"/>
          <w:szCs w:val="21"/>
        </w:rPr>
        <w:t>80%</w:t>
      </w:r>
      <w:r>
        <w:rPr>
          <w:rFonts w:ascii="宋体" w:eastAsia="宋体" w:hAnsi="宋体" w:cs="方正仿宋简体"/>
          <w:iCs/>
          <w:sz w:val="21"/>
          <w:szCs w:val="21"/>
        </w:rPr>
        <w:t>，内地和港股通标的股票市场和债券市场的变化均会影响到基金业绩表现，基金净值表现因此可能受到影响。本基金管理人将发挥专业研究优势，加强对市场</w:t>
      </w:r>
      <w:r>
        <w:rPr>
          <w:rFonts w:ascii="宋体" w:eastAsia="宋体" w:hAnsi="宋体" w:cs="方正仿宋简体"/>
          <w:iCs/>
          <w:sz w:val="21"/>
          <w:szCs w:val="21"/>
        </w:rPr>
        <w:t>、证券基本面的深入研究，持续优化组合配置，以控制特定风险。</w:t>
      </w:r>
    </w:p>
    <w:p w14:paraId="531178B4"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w:t>
      </w:r>
      <w:r>
        <w:rPr>
          <w:rFonts w:ascii="宋体" w:eastAsia="宋体" w:hAnsi="宋体" w:cs="方正仿宋简体"/>
          <w:iCs/>
          <w:sz w:val="21"/>
          <w:szCs w:val="21"/>
        </w:rPr>
        <w:t>、资产支持证券投资风险</w:t>
      </w:r>
    </w:p>
    <w:p w14:paraId="60506216"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本基金可投资资产支持证券，资产支持证券在二级市场的成交流动性情况差异较大，投资者可能面临资产支持证券难以以合理价格变现进而遭受损失的情况。</w:t>
      </w:r>
    </w:p>
    <w:p w14:paraId="06CFD7E3"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w:t>
      </w:r>
      <w:r>
        <w:rPr>
          <w:rFonts w:ascii="宋体" w:eastAsia="宋体" w:hAnsi="宋体" w:cs="方正仿宋简体"/>
          <w:iCs/>
          <w:sz w:val="21"/>
          <w:szCs w:val="21"/>
        </w:rPr>
        <w:t>、国债期货投资风险</w:t>
      </w:r>
    </w:p>
    <w:p w14:paraId="6E99D689"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本基金投资范围包括国债期货，国债期货的投资可能面临市场风险、基差风险、流动性风险。</w:t>
      </w:r>
    </w:p>
    <w:p w14:paraId="1EC83304"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4</w:t>
      </w:r>
      <w:r>
        <w:rPr>
          <w:rFonts w:ascii="宋体" w:eastAsia="宋体" w:hAnsi="宋体" w:cs="方正仿宋简体"/>
          <w:iCs/>
          <w:sz w:val="21"/>
          <w:szCs w:val="21"/>
        </w:rPr>
        <w:t>、信用衍生品投资风险</w:t>
      </w:r>
    </w:p>
    <w:p w14:paraId="0159F401"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为对冲信用风险，本基金可能投资于信用衍生品。信用衍生品的投资可能面临流动性风险、偿付风险以及价格波动风险等。</w:t>
      </w:r>
    </w:p>
    <w:p w14:paraId="72F26BC7"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5</w:t>
      </w:r>
      <w:r>
        <w:rPr>
          <w:rFonts w:ascii="宋体" w:eastAsia="宋体" w:hAnsi="宋体" w:cs="方正仿宋简体"/>
          <w:iCs/>
          <w:sz w:val="21"/>
          <w:szCs w:val="21"/>
        </w:rPr>
        <w:t>、港股通标的证券投资风险</w:t>
      </w:r>
    </w:p>
    <w:p w14:paraId="591DB1F2"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w:t>
      </w:r>
      <w:r>
        <w:rPr>
          <w:rFonts w:ascii="宋体" w:eastAsia="宋体" w:hAnsi="宋体" w:cs="方正仿宋简体"/>
          <w:iCs/>
          <w:sz w:val="21"/>
          <w:szCs w:val="21"/>
        </w:rPr>
        <w:t>1</w:t>
      </w:r>
      <w:r>
        <w:rPr>
          <w:rFonts w:ascii="宋体" w:eastAsia="宋体" w:hAnsi="宋体" w:cs="方正仿宋简体"/>
          <w:iCs/>
          <w:sz w:val="21"/>
          <w:szCs w:val="21"/>
        </w:rPr>
        <w:t>）本基金可通过</w:t>
      </w:r>
      <w:r>
        <w:rPr>
          <w:rFonts w:ascii="宋体" w:eastAsia="宋体" w:hAnsi="宋体" w:cs="方正仿宋简体"/>
          <w:iCs/>
          <w:sz w:val="21"/>
          <w:szCs w:val="21"/>
        </w:rPr>
        <w:t>“</w:t>
      </w:r>
      <w:r>
        <w:rPr>
          <w:rFonts w:ascii="宋体" w:eastAsia="宋体" w:hAnsi="宋体" w:cs="方正仿宋简体"/>
          <w:iCs/>
          <w:sz w:val="21"/>
          <w:szCs w:val="21"/>
        </w:rPr>
        <w:t>港股通</w:t>
      </w:r>
      <w:r>
        <w:rPr>
          <w:rFonts w:ascii="宋体" w:eastAsia="宋体" w:hAnsi="宋体" w:cs="方正仿宋简体"/>
          <w:iCs/>
          <w:sz w:val="21"/>
          <w:szCs w:val="21"/>
        </w:rPr>
        <w:t>”</w:t>
      </w:r>
      <w:r>
        <w:rPr>
          <w:rFonts w:ascii="宋体" w:eastAsia="宋体" w:hAnsi="宋体" w:cs="方正仿宋简体"/>
          <w:iCs/>
          <w:sz w:val="21"/>
          <w:szCs w:val="21"/>
        </w:rPr>
        <w:t>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634071A5"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w:t>
      </w:r>
      <w:r>
        <w:rPr>
          <w:rFonts w:ascii="宋体" w:eastAsia="宋体" w:hAnsi="宋体" w:cs="方正仿宋简体"/>
          <w:iCs/>
          <w:sz w:val="21"/>
          <w:szCs w:val="21"/>
        </w:rPr>
        <w:t>2</w:t>
      </w:r>
      <w:r>
        <w:rPr>
          <w:rFonts w:ascii="宋体" w:eastAsia="宋体" w:hAnsi="宋体" w:cs="方正仿宋简体"/>
          <w:iCs/>
          <w:sz w:val="21"/>
          <w:szCs w:val="21"/>
        </w:rPr>
        <w:t>）香港市场交易规则有别于内地</w:t>
      </w:r>
      <w:r>
        <w:rPr>
          <w:rFonts w:ascii="宋体" w:eastAsia="宋体" w:hAnsi="宋体" w:cs="方正仿宋简体"/>
          <w:iCs/>
          <w:sz w:val="21"/>
          <w:szCs w:val="21"/>
        </w:rPr>
        <w:t xml:space="preserve"> A </w:t>
      </w:r>
      <w:r>
        <w:rPr>
          <w:rFonts w:ascii="宋体" w:eastAsia="宋体" w:hAnsi="宋体" w:cs="方正仿宋简体"/>
          <w:iCs/>
          <w:sz w:val="21"/>
          <w:szCs w:val="21"/>
        </w:rPr>
        <w:t>股市场规则，此外，在港股通下参与香港证券投资还将面临包括但不限于如下特殊风险：涨跌幅限制、交易日不同、临时停市、交易机制、代理投票、汇率风险、港股通每日额度限制等。</w:t>
      </w:r>
    </w:p>
    <w:p w14:paraId="3A54B3E3"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w:t>
      </w:r>
      <w:r>
        <w:rPr>
          <w:rFonts w:ascii="宋体" w:eastAsia="宋体" w:hAnsi="宋体" w:cs="方正仿宋简体"/>
          <w:iCs/>
          <w:sz w:val="21"/>
          <w:szCs w:val="21"/>
        </w:rPr>
        <w:t>3</w:t>
      </w:r>
      <w:r>
        <w:rPr>
          <w:rFonts w:ascii="宋体" w:eastAsia="宋体" w:hAnsi="宋体" w:cs="方正仿宋简体"/>
          <w:iCs/>
          <w:sz w:val="21"/>
          <w:szCs w:val="21"/>
        </w:rPr>
        <w:t>）本基金可根据投资策略需要</w:t>
      </w:r>
      <w:r>
        <w:rPr>
          <w:rFonts w:ascii="宋体" w:eastAsia="宋体" w:hAnsi="宋体" w:cs="方正仿宋简体"/>
          <w:iCs/>
          <w:sz w:val="21"/>
          <w:szCs w:val="21"/>
        </w:rPr>
        <w:t>或不同配置地市场环境的变化，选择将部分基金资产投资于港股通标的证券或选择不将基金资产投资于港股通标的证券，基金资产并非必然投资港股通标的证券。</w:t>
      </w:r>
    </w:p>
    <w:p w14:paraId="5E85E959"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w:t>
      </w:r>
      <w:r>
        <w:rPr>
          <w:rFonts w:ascii="宋体" w:eastAsia="宋体" w:hAnsi="宋体" w:cs="方正仿宋简体"/>
          <w:iCs/>
          <w:sz w:val="21"/>
          <w:szCs w:val="21"/>
        </w:rPr>
        <w:t>4</w:t>
      </w:r>
      <w:r>
        <w:rPr>
          <w:rFonts w:ascii="宋体" w:eastAsia="宋体" w:hAnsi="宋体" w:cs="方正仿宋简体"/>
          <w:iCs/>
          <w:sz w:val="21"/>
          <w:szCs w:val="21"/>
        </w:rPr>
        <w:t>）本基金投资范围包括港股通</w:t>
      </w:r>
      <w:r>
        <w:rPr>
          <w:rFonts w:ascii="宋体" w:eastAsia="宋体" w:hAnsi="宋体" w:cs="方正仿宋简体"/>
          <w:iCs/>
          <w:sz w:val="21"/>
          <w:szCs w:val="21"/>
        </w:rPr>
        <w:t>ETF</w:t>
      </w:r>
      <w:r>
        <w:rPr>
          <w:rFonts w:ascii="宋体" w:eastAsia="宋体" w:hAnsi="宋体" w:cs="方正仿宋简体"/>
          <w:iCs/>
          <w:sz w:val="21"/>
          <w:szCs w:val="21"/>
        </w:rPr>
        <w:t>，可能出现因港股通</w:t>
      </w:r>
      <w:r>
        <w:rPr>
          <w:rFonts w:ascii="宋体" w:eastAsia="宋体" w:hAnsi="宋体" w:cs="方正仿宋简体"/>
          <w:iCs/>
          <w:sz w:val="21"/>
          <w:szCs w:val="21"/>
        </w:rPr>
        <w:t>ETF</w:t>
      </w:r>
      <w:r>
        <w:rPr>
          <w:rFonts w:ascii="宋体" w:eastAsia="宋体" w:hAnsi="宋体" w:cs="方正仿宋简体"/>
          <w:iCs/>
          <w:sz w:val="21"/>
          <w:szCs w:val="21"/>
        </w:rPr>
        <w:t>跟踪标的指数成份证券大幅波动、流动性不佳、受有关场外结构化产品影响、交易异常情形等原因而引起价格较大波动、折溢价率和跟踪误差偏离合理区间等情形，从而导致本基金所持投资组合在资产估值上出现波动增大的风险。</w:t>
      </w:r>
    </w:p>
    <w:p w14:paraId="5255EC06"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6</w:t>
      </w:r>
      <w:r>
        <w:rPr>
          <w:rFonts w:ascii="宋体" w:eastAsia="宋体" w:hAnsi="宋体" w:cs="方正仿宋简体"/>
          <w:iCs/>
          <w:sz w:val="21"/>
          <w:szCs w:val="21"/>
        </w:rPr>
        <w:t>、存托凭证投资风险</w:t>
      </w:r>
    </w:p>
    <w:p w14:paraId="454C8336"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本基金若投资存托凭证，在承担境内上市交易股票投资的共同风险外，还将承担与存托凭证、</w:t>
      </w:r>
      <w:r>
        <w:rPr>
          <w:rFonts w:ascii="宋体" w:eastAsia="宋体" w:hAnsi="宋体" w:cs="方正仿宋简体"/>
          <w:iCs/>
          <w:sz w:val="21"/>
          <w:szCs w:val="21"/>
        </w:rPr>
        <w:t>创新企业发行、境外发行人以及交易机制相关的特有风险。</w:t>
      </w:r>
    </w:p>
    <w:p w14:paraId="23529113"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7</w:t>
      </w:r>
      <w:r>
        <w:rPr>
          <w:rFonts w:ascii="宋体" w:eastAsia="宋体" w:hAnsi="宋体" w:cs="方正仿宋简体"/>
          <w:iCs/>
          <w:sz w:val="21"/>
          <w:szCs w:val="21"/>
        </w:rPr>
        <w:t>、基金投资科创板股票的风险</w:t>
      </w:r>
    </w:p>
    <w:p w14:paraId="3194534E"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本基金可投资于科创板，若本基金投资于科创板股票，会面临科创板机制下因投资标的、市场制度以及交易规则等差异带来的特有风险。</w:t>
      </w:r>
    </w:p>
    <w:p w14:paraId="224CA32A"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8</w:t>
      </w:r>
      <w:r>
        <w:rPr>
          <w:rFonts w:ascii="宋体" w:eastAsia="宋体" w:hAnsi="宋体" w:cs="方正仿宋简体"/>
          <w:iCs/>
          <w:sz w:val="21"/>
          <w:szCs w:val="21"/>
        </w:rPr>
        <w:t>、基金投资其他基金的风险</w:t>
      </w:r>
    </w:p>
    <w:p w14:paraId="711C5533"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本基金可投资其他基金，包括全市场的股票型</w:t>
      </w:r>
      <w:r>
        <w:rPr>
          <w:rFonts w:ascii="宋体" w:eastAsia="宋体" w:hAnsi="宋体" w:cs="方正仿宋简体"/>
          <w:iCs/>
          <w:sz w:val="21"/>
          <w:szCs w:val="21"/>
        </w:rPr>
        <w:t>ETF</w:t>
      </w:r>
      <w:r>
        <w:rPr>
          <w:rFonts w:ascii="宋体" w:eastAsia="宋体" w:hAnsi="宋体" w:cs="方正仿宋简体"/>
          <w:iCs/>
          <w:sz w:val="21"/>
          <w:szCs w:val="21"/>
        </w:rPr>
        <w:t>、公募</w:t>
      </w:r>
      <w:r>
        <w:rPr>
          <w:rFonts w:ascii="宋体" w:eastAsia="宋体" w:hAnsi="宋体" w:cs="方正仿宋简体"/>
          <w:iCs/>
          <w:sz w:val="21"/>
          <w:szCs w:val="21"/>
        </w:rPr>
        <w:t>REITs</w:t>
      </w:r>
      <w:r>
        <w:rPr>
          <w:rFonts w:ascii="宋体" w:eastAsia="宋体" w:hAnsi="宋体" w:cs="方正仿宋简体"/>
          <w:iCs/>
          <w:sz w:val="21"/>
          <w:szCs w:val="21"/>
        </w:rPr>
        <w:t>及基金管理人旗下的股票型基金、计入权益类资产的混合型基金。本基金对被投资基金的评估具有一定的主观性，将在基金投资决策中给基金带来一定的不确定性的风险。本基金最终获取的回报与直接投资于其他基金获取的回报存在差异。</w:t>
      </w:r>
    </w:p>
    <w:p w14:paraId="66FD88A6"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9</w:t>
      </w:r>
      <w:r>
        <w:rPr>
          <w:rFonts w:ascii="宋体" w:eastAsia="宋体" w:hAnsi="宋体" w:cs="方正仿宋简体"/>
          <w:iCs/>
          <w:sz w:val="21"/>
          <w:szCs w:val="21"/>
        </w:rPr>
        <w:t>、</w:t>
      </w:r>
      <w:r>
        <w:rPr>
          <w:rFonts w:ascii="宋体" w:eastAsia="宋体" w:hAnsi="宋体" w:cs="方正仿宋简体"/>
          <w:iCs/>
          <w:sz w:val="21"/>
          <w:szCs w:val="21"/>
        </w:rPr>
        <w:t>公募</w:t>
      </w:r>
      <w:r>
        <w:rPr>
          <w:rFonts w:ascii="宋体" w:eastAsia="宋体" w:hAnsi="宋体" w:cs="方正仿宋简体"/>
          <w:iCs/>
          <w:sz w:val="21"/>
          <w:szCs w:val="21"/>
        </w:rPr>
        <w:t>REITs</w:t>
      </w:r>
      <w:r>
        <w:rPr>
          <w:rFonts w:ascii="宋体" w:eastAsia="宋体" w:hAnsi="宋体" w:cs="方正仿宋简体"/>
          <w:iCs/>
          <w:sz w:val="21"/>
          <w:szCs w:val="21"/>
        </w:rPr>
        <w:t>投资风险</w:t>
      </w:r>
    </w:p>
    <w:p w14:paraId="277043B7"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lastRenderedPageBreak/>
        <w:t>本基金投资公募</w:t>
      </w:r>
      <w:r>
        <w:rPr>
          <w:rFonts w:ascii="宋体" w:eastAsia="宋体" w:hAnsi="宋体" w:cs="方正仿宋简体"/>
          <w:iCs/>
          <w:sz w:val="21"/>
          <w:szCs w:val="21"/>
        </w:rPr>
        <w:t xml:space="preserve"> REITs </w:t>
      </w:r>
      <w:r>
        <w:rPr>
          <w:rFonts w:ascii="宋体" w:eastAsia="宋体" w:hAnsi="宋体" w:cs="方正仿宋简体"/>
          <w:iCs/>
          <w:sz w:val="21"/>
          <w:szCs w:val="21"/>
        </w:rPr>
        <w:t>可能面临的风险包括但不限于基金价格波动风险、不动产项目运营风险、基金份额交易价格折溢价风险、流动性风险、终止上市风险、政策调整风险、利益冲突风险。</w:t>
      </w:r>
    </w:p>
    <w:p w14:paraId="18E27D2E" w14:textId="77777777" w:rsidR="008F585B" w:rsidRPr="008F585B" w:rsidRDefault="008F585B" w:rsidP="00C36380">
      <w:pPr>
        <w:pStyle w:val="2"/>
      </w:pPr>
      <w:r w:rsidRPr="008F585B">
        <w:rPr>
          <w:rFonts w:hint="eastAsia"/>
        </w:rPr>
        <w:t>重要提示</w:t>
      </w:r>
    </w:p>
    <w:p w14:paraId="43E8FBF1"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中国证监会对本基金募集的注册</w:t>
      </w:r>
      <w:r>
        <w:rPr>
          <w:rFonts w:ascii="宋体" w:eastAsia="宋体" w:hAnsi="宋体" w:cs="方正仿宋简体"/>
          <w:iCs/>
          <w:sz w:val="21"/>
          <w:szCs w:val="21"/>
        </w:rPr>
        <w:t>/</w:t>
      </w:r>
      <w:r>
        <w:rPr>
          <w:rFonts w:ascii="宋体" w:eastAsia="宋体" w:hAnsi="宋体" w:cs="方正仿宋简体"/>
          <w:iCs/>
          <w:sz w:val="21"/>
          <w:szCs w:val="21"/>
        </w:rPr>
        <w:t>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p>
    <w:p w14:paraId="5C162929"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与本基金或基金合同相关的一切争议将提交位于深圳的深圳国际仲裁院仲裁，仲裁裁决是终局的，对仲裁各方当事人均具有约束力。</w:t>
      </w:r>
    </w:p>
    <w:p w14:paraId="5935F737"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定期公告等披露文件。</w:t>
      </w:r>
    </w:p>
    <w:p w14:paraId="0659D359" w14:textId="77777777" w:rsidR="008F585B" w:rsidRPr="008F585B" w:rsidRDefault="008F585B" w:rsidP="00C36380">
      <w:pPr>
        <w:pStyle w:val="1"/>
      </w:pPr>
      <w:r w:rsidRPr="008F585B">
        <w:rPr>
          <w:rFonts w:hint="eastAsia"/>
        </w:rPr>
        <w:t>其他资料查询方式</w:t>
      </w:r>
    </w:p>
    <w:p w14:paraId="3F0DB30E"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以下资料详见基金管理人网站（</w:t>
      </w:r>
      <w:r>
        <w:rPr>
          <w:rFonts w:ascii="宋体" w:eastAsia="宋体" w:hAnsi="宋体" w:cs="方正仿宋简体"/>
          <w:iCs/>
          <w:sz w:val="21"/>
          <w:szCs w:val="21"/>
        </w:rPr>
        <w:t>www.fullgoal.com.cn</w:t>
      </w:r>
      <w:r>
        <w:rPr>
          <w:rFonts w:ascii="宋体" w:eastAsia="宋体" w:hAnsi="宋体" w:cs="方正仿宋简体"/>
          <w:iCs/>
          <w:sz w:val="21"/>
          <w:szCs w:val="21"/>
        </w:rPr>
        <w:t>），客户服务热线：</w:t>
      </w:r>
      <w:r>
        <w:rPr>
          <w:rFonts w:ascii="宋体" w:eastAsia="宋体" w:hAnsi="宋体" w:cs="方正仿宋简体"/>
          <w:iCs/>
          <w:sz w:val="21"/>
          <w:szCs w:val="21"/>
        </w:rPr>
        <w:t>95105686</w:t>
      </w:r>
      <w:r>
        <w:rPr>
          <w:rFonts w:ascii="宋体" w:eastAsia="宋体" w:hAnsi="宋体" w:cs="方正仿宋简体"/>
          <w:iCs/>
          <w:sz w:val="21"/>
          <w:szCs w:val="21"/>
        </w:rPr>
        <w:t>，</w:t>
      </w:r>
      <w:r>
        <w:rPr>
          <w:rFonts w:ascii="宋体" w:eastAsia="宋体" w:hAnsi="宋体" w:cs="方正仿宋简体"/>
          <w:iCs/>
          <w:sz w:val="21"/>
          <w:szCs w:val="21"/>
        </w:rPr>
        <w:t>4008</w:t>
      </w:r>
      <w:r>
        <w:rPr>
          <w:rFonts w:ascii="宋体" w:eastAsia="宋体" w:hAnsi="宋体" w:cs="方正仿宋简体"/>
          <w:iCs/>
          <w:sz w:val="21"/>
          <w:szCs w:val="21"/>
        </w:rPr>
        <w:t>880688</w:t>
      </w:r>
      <w:r>
        <w:rPr>
          <w:rFonts w:ascii="宋体" w:eastAsia="宋体" w:hAnsi="宋体" w:cs="方正仿宋简体"/>
          <w:iCs/>
          <w:sz w:val="21"/>
          <w:szCs w:val="21"/>
        </w:rPr>
        <w:t>（全国统一，免长途话费）</w:t>
      </w:r>
    </w:p>
    <w:p w14:paraId="0B9B02FF"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w:t>
      </w:r>
      <w:r>
        <w:rPr>
          <w:rFonts w:ascii="宋体" w:eastAsia="宋体" w:hAnsi="宋体" w:cs="方正仿宋简体"/>
          <w:iCs/>
          <w:sz w:val="21"/>
          <w:szCs w:val="21"/>
        </w:rPr>
        <w:t>基金合同、托管协议、招募说明书</w:t>
      </w:r>
    </w:p>
    <w:p w14:paraId="54CE9B1F"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w:t>
      </w:r>
      <w:r>
        <w:rPr>
          <w:rFonts w:ascii="宋体" w:eastAsia="宋体" w:hAnsi="宋体" w:cs="方正仿宋简体"/>
          <w:iCs/>
          <w:sz w:val="21"/>
          <w:szCs w:val="21"/>
        </w:rPr>
        <w:t>定期报告，包括基金季度报告、中期报告和年度报告</w:t>
      </w:r>
    </w:p>
    <w:p w14:paraId="1521CDBB"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w:t>
      </w:r>
      <w:r>
        <w:rPr>
          <w:rFonts w:ascii="宋体" w:eastAsia="宋体" w:hAnsi="宋体" w:cs="方正仿宋简体"/>
          <w:iCs/>
          <w:sz w:val="21"/>
          <w:szCs w:val="21"/>
        </w:rPr>
        <w:t>基金份额净值</w:t>
      </w:r>
    </w:p>
    <w:p w14:paraId="4CDE2DC3"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4.</w:t>
      </w:r>
      <w:r>
        <w:rPr>
          <w:rFonts w:ascii="宋体" w:eastAsia="宋体" w:hAnsi="宋体" w:cs="方正仿宋简体"/>
          <w:iCs/>
          <w:sz w:val="21"/>
          <w:szCs w:val="21"/>
        </w:rPr>
        <w:t>基金销售机构及联系方式</w:t>
      </w:r>
    </w:p>
    <w:p w14:paraId="028E7FD7" w14:textId="77777777" w:rsidR="00D70538" w:rsidRDefault="00B50EAD">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5.</w:t>
      </w:r>
      <w:r>
        <w:rPr>
          <w:rFonts w:ascii="宋体" w:eastAsia="宋体" w:hAnsi="宋体" w:cs="方正仿宋简体"/>
          <w:iCs/>
          <w:sz w:val="21"/>
          <w:szCs w:val="21"/>
        </w:rPr>
        <w:t>其他重要资料</w:t>
      </w:r>
    </w:p>
    <w:sectPr w:rsidR="00D70538" w:rsidSect="00F50507">
      <w:footerReference w:type="default" r:id="rId7"/>
      <w:pgSz w:w="11906" w:h="16838"/>
      <w:pgMar w:top="1021" w:right="1474" w:bottom="1021" w:left="1474" w:header="851" w:footer="454"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50B46" w14:textId="77777777" w:rsidR="00B50EAD" w:rsidRDefault="00B50EAD" w:rsidP="00084FBF">
      <w:r>
        <w:separator/>
      </w:r>
    </w:p>
  </w:endnote>
  <w:endnote w:type="continuationSeparator" w:id="0">
    <w:p w14:paraId="51125E67" w14:textId="77777777" w:rsidR="00B50EAD" w:rsidRDefault="00B50EAD" w:rsidP="0008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仿宋简体">
    <w:altName w:val="Arial Unicode MS"/>
    <w:panose1 w:val="02000000000000000000"/>
    <w:charset w:val="86"/>
    <w:family w:val="auto"/>
    <w:pitch w:val="variable"/>
    <w:sig w:usb0="A00002BF" w:usb1="184F6CFA" w:usb2="00000012" w:usb3="00000000" w:csb0="00040001" w:csb1="00000000"/>
  </w:font>
  <w:font w:name="Tahoma">
    <w:panose1 w:val="020B0604030504040204"/>
    <w:charset w:val="00"/>
    <w:family w:val="swiss"/>
    <w:pitch w:val="variable"/>
    <w:sig w:usb0="E1002EFF" w:usb1="C000605B" w:usb2="00000029" w:usb3="00000000" w:csb0="000101FF" w:csb1="00000000"/>
  </w:font>
  <w:font w:name="方正黑体简体">
    <w:altName w:val="微软雅黑"/>
    <w:panose1 w:val="02000000000000000000"/>
    <w:charset w:val="86"/>
    <w:family w:val="auto"/>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040" w14:textId="77777777" w:rsidR="00953F87" w:rsidRDefault="00953F87">
    <w:pPr>
      <w:pStyle w:val="af2"/>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B6371">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B6371">
      <w:rPr>
        <w:b/>
        <w:bCs/>
        <w:noProof/>
      </w:rPr>
      <w:t>3</w:t>
    </w:r>
    <w:r>
      <w:rPr>
        <w:b/>
        <w:bCs/>
        <w:sz w:val="24"/>
        <w:szCs w:val="24"/>
      </w:rPr>
      <w:fldChar w:fldCharType="end"/>
    </w:r>
  </w:p>
  <w:p w14:paraId="4FFCB474" w14:textId="77777777" w:rsidR="00953F87" w:rsidRDefault="00953F8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89E74" w14:textId="77777777" w:rsidR="00B50EAD" w:rsidRDefault="00B50EAD" w:rsidP="00084FBF">
      <w:r>
        <w:separator/>
      </w:r>
    </w:p>
  </w:footnote>
  <w:footnote w:type="continuationSeparator" w:id="0">
    <w:p w14:paraId="0D7A4D48" w14:textId="77777777" w:rsidR="00B50EAD" w:rsidRDefault="00B50EAD" w:rsidP="00084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1E66571"/>
    <w:multiLevelType w:val="multilevel"/>
    <w:tmpl w:val="15721ABE"/>
    <w:lvl w:ilvl="0">
      <w:start w:val="1"/>
      <w:numFmt w:val="chineseCountingThousand"/>
      <w:pStyle w:val="1"/>
      <w:suff w:val="space"/>
      <w:lvlText w:val="%1、"/>
      <w:lvlJc w:val="left"/>
      <w:pPr>
        <w:ind w:left="0" w:firstLine="0"/>
      </w:pPr>
      <w:rPr>
        <w:rFonts w:hint="eastAsia"/>
      </w:rPr>
    </w:lvl>
    <w:lvl w:ilvl="1">
      <w:start w:val="1"/>
      <w:numFmt w:val="chineseCountingThousand"/>
      <w:pStyle w:val="2"/>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148B39D6"/>
    <w:multiLevelType w:val="hybridMultilevel"/>
    <w:tmpl w:val="E92CCC70"/>
    <w:lvl w:ilvl="0" w:tplc="5C21FE0E">
      <w:start w:val="2"/>
      <w:numFmt w:val="chineseCounting"/>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A76D66"/>
    <w:multiLevelType w:val="multilevel"/>
    <w:tmpl w:val="F000C7D6"/>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3D5E12D9"/>
    <w:multiLevelType w:val="hybridMultilevel"/>
    <w:tmpl w:val="8FE843C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5AC33CF0"/>
    <w:multiLevelType w:val="singleLevel"/>
    <w:tmpl w:val="5AC33CF0"/>
    <w:lvl w:ilvl="0">
      <w:start w:val="1"/>
      <w:numFmt w:val="chineseCounting"/>
      <w:suff w:val="nothing"/>
      <w:lvlText w:val="%1、"/>
      <w:lvlJc w:val="left"/>
    </w:lvl>
  </w:abstractNum>
  <w:abstractNum w:abstractNumId="6" w15:restartNumberingAfterBreak="0">
    <w:nsid w:val="5C21FE0E"/>
    <w:multiLevelType w:val="singleLevel"/>
    <w:tmpl w:val="5C21FE0E"/>
    <w:lvl w:ilvl="0">
      <w:start w:val="2"/>
      <w:numFmt w:val="chineseCounting"/>
      <w:suff w:val="nothing"/>
      <w:lvlText w:val="（%1）"/>
      <w:lvlJc w:val="left"/>
    </w:lvl>
  </w:abstractNum>
  <w:abstractNum w:abstractNumId="7" w15:restartNumberingAfterBreak="0">
    <w:nsid w:val="622E5A63"/>
    <w:multiLevelType w:val="hybridMultilevel"/>
    <w:tmpl w:val="3FBC99F8"/>
    <w:lvl w:ilvl="0" w:tplc="5C21FE0E">
      <w:start w:val="2"/>
      <w:numFmt w:val="chineseCounting"/>
      <w:lvlText w:val="（%1）"/>
      <w:lvlJc w:val="left"/>
      <w:pPr>
        <w:ind w:left="420" w:hanging="420"/>
      </w:pPr>
    </w:lvl>
    <w:lvl w:ilvl="1" w:tplc="F9CA7E8C">
      <w:start w:val="1"/>
      <w:numFmt w:val="decimal"/>
      <w:lvlText w:val="（%2）"/>
      <w:lvlJc w:val="left"/>
      <w:pPr>
        <w:ind w:left="704"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1C855BF"/>
    <w:multiLevelType w:val="hybridMultilevel"/>
    <w:tmpl w:val="6C2AEB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0"/>
  </w:num>
  <w:num w:numId="4">
    <w:abstractNumId w:val="1"/>
  </w:num>
  <w:num w:numId="5">
    <w:abstractNumId w:val="8"/>
  </w:num>
  <w:num w:numId="6">
    <w:abstractNumId w:val="2"/>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994"/>
    <w:rsid w:val="00022545"/>
    <w:rsid w:val="00023E7E"/>
    <w:rsid w:val="00036483"/>
    <w:rsid w:val="000459B5"/>
    <w:rsid w:val="00054D53"/>
    <w:rsid w:val="00055507"/>
    <w:rsid w:val="00064982"/>
    <w:rsid w:val="00066BCF"/>
    <w:rsid w:val="000675A4"/>
    <w:rsid w:val="000827C1"/>
    <w:rsid w:val="00084FBF"/>
    <w:rsid w:val="000865B1"/>
    <w:rsid w:val="000A3B4B"/>
    <w:rsid w:val="000A6B95"/>
    <w:rsid w:val="000A7B26"/>
    <w:rsid w:val="000B64A8"/>
    <w:rsid w:val="000C6242"/>
    <w:rsid w:val="000D070D"/>
    <w:rsid w:val="000D10B4"/>
    <w:rsid w:val="000D57C1"/>
    <w:rsid w:val="000E2AAC"/>
    <w:rsid w:val="000F5546"/>
    <w:rsid w:val="001000DB"/>
    <w:rsid w:val="00112B35"/>
    <w:rsid w:val="00120CE6"/>
    <w:rsid w:val="00124046"/>
    <w:rsid w:val="00124B97"/>
    <w:rsid w:val="00155DF6"/>
    <w:rsid w:val="00162500"/>
    <w:rsid w:val="00162B21"/>
    <w:rsid w:val="00165774"/>
    <w:rsid w:val="00190175"/>
    <w:rsid w:val="00196B69"/>
    <w:rsid w:val="001A1651"/>
    <w:rsid w:val="001A545B"/>
    <w:rsid w:val="001A7B4D"/>
    <w:rsid w:val="001C2BCE"/>
    <w:rsid w:val="001C35F9"/>
    <w:rsid w:val="001C64F1"/>
    <w:rsid w:val="001D1255"/>
    <w:rsid w:val="001E5192"/>
    <w:rsid w:val="002060B7"/>
    <w:rsid w:val="00206308"/>
    <w:rsid w:val="00217143"/>
    <w:rsid w:val="00237E86"/>
    <w:rsid w:val="00241330"/>
    <w:rsid w:val="002449E0"/>
    <w:rsid w:val="002500AA"/>
    <w:rsid w:val="002502EF"/>
    <w:rsid w:val="00257D13"/>
    <w:rsid w:val="00257D7C"/>
    <w:rsid w:val="002618FF"/>
    <w:rsid w:val="00275953"/>
    <w:rsid w:val="00297710"/>
    <w:rsid w:val="002B2574"/>
    <w:rsid w:val="002C27FD"/>
    <w:rsid w:val="002D0197"/>
    <w:rsid w:val="002D42AF"/>
    <w:rsid w:val="002D4A95"/>
    <w:rsid w:val="002D7116"/>
    <w:rsid w:val="002E2869"/>
    <w:rsid w:val="003134F0"/>
    <w:rsid w:val="00351815"/>
    <w:rsid w:val="0035634C"/>
    <w:rsid w:val="00360C64"/>
    <w:rsid w:val="0036593B"/>
    <w:rsid w:val="003A593D"/>
    <w:rsid w:val="003B7C3A"/>
    <w:rsid w:val="003C147C"/>
    <w:rsid w:val="003F7FAE"/>
    <w:rsid w:val="0042333C"/>
    <w:rsid w:val="0043556E"/>
    <w:rsid w:val="0046074E"/>
    <w:rsid w:val="00473EC1"/>
    <w:rsid w:val="0047537C"/>
    <w:rsid w:val="004A1547"/>
    <w:rsid w:val="004E7FF3"/>
    <w:rsid w:val="00532A3B"/>
    <w:rsid w:val="005354AA"/>
    <w:rsid w:val="005442CE"/>
    <w:rsid w:val="0055000C"/>
    <w:rsid w:val="0057007F"/>
    <w:rsid w:val="00583686"/>
    <w:rsid w:val="005925E3"/>
    <w:rsid w:val="005D322F"/>
    <w:rsid w:val="005E2DF2"/>
    <w:rsid w:val="005E5E27"/>
    <w:rsid w:val="005F5DD9"/>
    <w:rsid w:val="00617F04"/>
    <w:rsid w:val="006209A4"/>
    <w:rsid w:val="00625A98"/>
    <w:rsid w:val="00626941"/>
    <w:rsid w:val="00641C70"/>
    <w:rsid w:val="00644603"/>
    <w:rsid w:val="00645219"/>
    <w:rsid w:val="00653821"/>
    <w:rsid w:val="00663258"/>
    <w:rsid w:val="0066613E"/>
    <w:rsid w:val="00670ED5"/>
    <w:rsid w:val="00671DFC"/>
    <w:rsid w:val="00687CB7"/>
    <w:rsid w:val="00694559"/>
    <w:rsid w:val="006D17BF"/>
    <w:rsid w:val="006D1921"/>
    <w:rsid w:val="006D5811"/>
    <w:rsid w:val="006E5A42"/>
    <w:rsid w:val="006F1A17"/>
    <w:rsid w:val="006F366F"/>
    <w:rsid w:val="006F6CCD"/>
    <w:rsid w:val="00704EE8"/>
    <w:rsid w:val="007059E2"/>
    <w:rsid w:val="00712BE7"/>
    <w:rsid w:val="00731748"/>
    <w:rsid w:val="00742A36"/>
    <w:rsid w:val="00744E9B"/>
    <w:rsid w:val="00755994"/>
    <w:rsid w:val="00766DB6"/>
    <w:rsid w:val="00780D3C"/>
    <w:rsid w:val="0079300B"/>
    <w:rsid w:val="00797D09"/>
    <w:rsid w:val="007B613C"/>
    <w:rsid w:val="007C4CD9"/>
    <w:rsid w:val="007C59E6"/>
    <w:rsid w:val="007E11E4"/>
    <w:rsid w:val="007E4369"/>
    <w:rsid w:val="007F229D"/>
    <w:rsid w:val="007F2FCA"/>
    <w:rsid w:val="00803F3E"/>
    <w:rsid w:val="008225B1"/>
    <w:rsid w:val="00841786"/>
    <w:rsid w:val="00871193"/>
    <w:rsid w:val="00877150"/>
    <w:rsid w:val="0089091B"/>
    <w:rsid w:val="008C1DCE"/>
    <w:rsid w:val="008D1684"/>
    <w:rsid w:val="008D1C0D"/>
    <w:rsid w:val="008D51DC"/>
    <w:rsid w:val="008E5B4E"/>
    <w:rsid w:val="008F585B"/>
    <w:rsid w:val="00904A22"/>
    <w:rsid w:val="009230A7"/>
    <w:rsid w:val="009240F7"/>
    <w:rsid w:val="00935D26"/>
    <w:rsid w:val="00953F87"/>
    <w:rsid w:val="009548E7"/>
    <w:rsid w:val="00956AC1"/>
    <w:rsid w:val="00957AF4"/>
    <w:rsid w:val="0097286C"/>
    <w:rsid w:val="00972D0E"/>
    <w:rsid w:val="00987050"/>
    <w:rsid w:val="009935BF"/>
    <w:rsid w:val="009969A0"/>
    <w:rsid w:val="009A0575"/>
    <w:rsid w:val="009C3307"/>
    <w:rsid w:val="009F414C"/>
    <w:rsid w:val="009F438B"/>
    <w:rsid w:val="009F501F"/>
    <w:rsid w:val="00A14942"/>
    <w:rsid w:val="00A21AB8"/>
    <w:rsid w:val="00A3092D"/>
    <w:rsid w:val="00A35D5E"/>
    <w:rsid w:val="00A43181"/>
    <w:rsid w:val="00A535E9"/>
    <w:rsid w:val="00A61D1B"/>
    <w:rsid w:val="00A7537D"/>
    <w:rsid w:val="00A970AF"/>
    <w:rsid w:val="00AA31CE"/>
    <w:rsid w:val="00AB4BBA"/>
    <w:rsid w:val="00AB6371"/>
    <w:rsid w:val="00AC219B"/>
    <w:rsid w:val="00AC3F57"/>
    <w:rsid w:val="00AD6E2B"/>
    <w:rsid w:val="00AE6F8E"/>
    <w:rsid w:val="00B048B1"/>
    <w:rsid w:val="00B10F72"/>
    <w:rsid w:val="00B50EAD"/>
    <w:rsid w:val="00B71600"/>
    <w:rsid w:val="00BA35E1"/>
    <w:rsid w:val="00BB4F1D"/>
    <w:rsid w:val="00BC2891"/>
    <w:rsid w:val="00BC4EFB"/>
    <w:rsid w:val="00BD0F8C"/>
    <w:rsid w:val="00BD10F0"/>
    <w:rsid w:val="00BE07DA"/>
    <w:rsid w:val="00C2026D"/>
    <w:rsid w:val="00C21CFB"/>
    <w:rsid w:val="00C27B72"/>
    <w:rsid w:val="00C3471C"/>
    <w:rsid w:val="00C36380"/>
    <w:rsid w:val="00C50D1E"/>
    <w:rsid w:val="00C52A81"/>
    <w:rsid w:val="00C93F0E"/>
    <w:rsid w:val="00C94A07"/>
    <w:rsid w:val="00C95C66"/>
    <w:rsid w:val="00CA1E41"/>
    <w:rsid w:val="00CB47DA"/>
    <w:rsid w:val="00CB4871"/>
    <w:rsid w:val="00CB6C6F"/>
    <w:rsid w:val="00CC7F6D"/>
    <w:rsid w:val="00CF7532"/>
    <w:rsid w:val="00D117F8"/>
    <w:rsid w:val="00D13550"/>
    <w:rsid w:val="00D15F82"/>
    <w:rsid w:val="00D46EE2"/>
    <w:rsid w:val="00D5603D"/>
    <w:rsid w:val="00D70538"/>
    <w:rsid w:val="00D803DA"/>
    <w:rsid w:val="00D83A1C"/>
    <w:rsid w:val="00D964EC"/>
    <w:rsid w:val="00D97BE2"/>
    <w:rsid w:val="00DA42C1"/>
    <w:rsid w:val="00DB5927"/>
    <w:rsid w:val="00DC28DE"/>
    <w:rsid w:val="00DE25AF"/>
    <w:rsid w:val="00E114CB"/>
    <w:rsid w:val="00E12C12"/>
    <w:rsid w:val="00E16037"/>
    <w:rsid w:val="00E23FD3"/>
    <w:rsid w:val="00E26DA8"/>
    <w:rsid w:val="00E30200"/>
    <w:rsid w:val="00E316C6"/>
    <w:rsid w:val="00E337A7"/>
    <w:rsid w:val="00E53787"/>
    <w:rsid w:val="00E9097A"/>
    <w:rsid w:val="00EC1FD8"/>
    <w:rsid w:val="00EC6D81"/>
    <w:rsid w:val="00ED45C6"/>
    <w:rsid w:val="00EF3E83"/>
    <w:rsid w:val="00F01742"/>
    <w:rsid w:val="00F06215"/>
    <w:rsid w:val="00F216B8"/>
    <w:rsid w:val="00F24B93"/>
    <w:rsid w:val="00F2645B"/>
    <w:rsid w:val="00F26678"/>
    <w:rsid w:val="00F35B32"/>
    <w:rsid w:val="00F376D4"/>
    <w:rsid w:val="00F50507"/>
    <w:rsid w:val="00F562DC"/>
    <w:rsid w:val="00F62ED2"/>
    <w:rsid w:val="00F828D6"/>
    <w:rsid w:val="00F90BB2"/>
    <w:rsid w:val="00F974C8"/>
    <w:rsid w:val="00FA15EA"/>
    <w:rsid w:val="00FA5DC0"/>
    <w:rsid w:val="00FC384E"/>
    <w:rsid w:val="00FD37D2"/>
    <w:rsid w:val="00FE4D48"/>
    <w:rsid w:val="00FF5E45"/>
    <w:rsid w:val="00FF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419A5"/>
  <w15:chartTrackingRefBased/>
  <w15:docId w15:val="{6EB2F941-1B33-4964-90DD-F88A0C65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FBF"/>
    <w:pPr>
      <w:widowControl w:val="0"/>
      <w:jc w:val="both"/>
    </w:pPr>
    <w:rPr>
      <w:rFonts w:ascii="Times New Roman" w:eastAsia="方正仿宋简体" w:hAnsi="Times New Roman"/>
      <w:kern w:val="2"/>
      <w:sz w:val="32"/>
    </w:rPr>
  </w:style>
  <w:style w:type="paragraph" w:styleId="1">
    <w:name w:val="heading 1"/>
    <w:basedOn w:val="a"/>
    <w:next w:val="a"/>
    <w:link w:val="10"/>
    <w:uiPriority w:val="9"/>
    <w:qFormat/>
    <w:rsid w:val="00F50507"/>
    <w:pPr>
      <w:keepNext/>
      <w:keepLines/>
      <w:numPr>
        <w:numId w:val="4"/>
      </w:numPr>
      <w:adjustRightInd w:val="0"/>
      <w:snapToGrid w:val="0"/>
      <w:spacing w:beforeLines="30" w:before="130" w:afterLines="30" w:after="130"/>
      <w:outlineLvl w:val="0"/>
    </w:pPr>
    <w:rPr>
      <w:rFonts w:ascii="宋体" w:eastAsia="宋体" w:hAnsi="宋体"/>
      <w:b/>
      <w:bCs/>
      <w:kern w:val="44"/>
      <w:sz w:val="24"/>
      <w:szCs w:val="44"/>
    </w:rPr>
  </w:style>
  <w:style w:type="paragraph" w:styleId="2">
    <w:name w:val="heading 2"/>
    <w:basedOn w:val="a"/>
    <w:next w:val="a"/>
    <w:link w:val="20"/>
    <w:uiPriority w:val="9"/>
    <w:unhideWhenUsed/>
    <w:qFormat/>
    <w:rsid w:val="00F50507"/>
    <w:pPr>
      <w:numPr>
        <w:ilvl w:val="1"/>
        <w:numId w:val="4"/>
      </w:numPr>
      <w:adjustRightInd w:val="0"/>
      <w:snapToGrid w:val="0"/>
      <w:spacing w:beforeLines="20" w:before="87" w:afterLines="20" w:after="87"/>
      <w:outlineLvl w:val="1"/>
    </w:pPr>
    <w:rPr>
      <w:rFonts w:ascii="宋体" w:eastAsia="宋体" w:hAnsi="宋体" w:cs="方正仿宋简体"/>
      <w:b/>
      <w:i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文本 字符"/>
    <w:link w:val="a4"/>
    <w:qFormat/>
    <w:rsid w:val="00084FBF"/>
    <w:rPr>
      <w:sz w:val="18"/>
      <w:szCs w:val="24"/>
    </w:rPr>
  </w:style>
  <w:style w:type="character" w:styleId="a5">
    <w:name w:val="annotation reference"/>
    <w:uiPriority w:val="99"/>
    <w:unhideWhenUsed/>
    <w:rsid w:val="00084FBF"/>
    <w:rPr>
      <w:sz w:val="21"/>
      <w:szCs w:val="21"/>
    </w:rPr>
  </w:style>
  <w:style w:type="character" w:styleId="a6">
    <w:name w:val="footnote reference"/>
    <w:unhideWhenUsed/>
    <w:qFormat/>
    <w:rsid w:val="00084FBF"/>
    <w:rPr>
      <w:rFonts w:ascii="Times New Roman" w:eastAsia="宋体" w:hAnsi="Times New Roman" w:cs="Times New Roman"/>
      <w:vertAlign w:val="superscript"/>
    </w:rPr>
  </w:style>
  <w:style w:type="character" w:customStyle="1" w:styleId="a7">
    <w:name w:val="批注文字 字符"/>
    <w:link w:val="a8"/>
    <w:uiPriority w:val="99"/>
    <w:rsid w:val="00084FBF"/>
    <w:rPr>
      <w:rFonts w:ascii="Times New Roman" w:eastAsia="方正仿宋简体" w:hAnsi="Times New Roman"/>
      <w:sz w:val="32"/>
    </w:rPr>
  </w:style>
  <w:style w:type="paragraph" w:styleId="a4">
    <w:name w:val="footnote text"/>
    <w:basedOn w:val="a"/>
    <w:link w:val="a3"/>
    <w:unhideWhenUsed/>
    <w:qFormat/>
    <w:rsid w:val="00084FBF"/>
    <w:pPr>
      <w:snapToGrid w:val="0"/>
      <w:jc w:val="left"/>
    </w:pPr>
    <w:rPr>
      <w:rFonts w:ascii="Calibri" w:eastAsia="宋体" w:hAnsi="Calibri"/>
      <w:sz w:val="18"/>
      <w:szCs w:val="24"/>
    </w:rPr>
  </w:style>
  <w:style w:type="character" w:customStyle="1" w:styleId="Char1">
    <w:name w:val="脚注文本 Char1"/>
    <w:uiPriority w:val="99"/>
    <w:semiHidden/>
    <w:rsid w:val="00084FBF"/>
    <w:rPr>
      <w:rFonts w:ascii="Times New Roman" w:eastAsia="方正仿宋简体" w:hAnsi="Times New Roman" w:cs="Times New Roman"/>
      <w:sz w:val="18"/>
      <w:szCs w:val="18"/>
    </w:rPr>
  </w:style>
  <w:style w:type="paragraph" w:styleId="a8">
    <w:name w:val="annotation text"/>
    <w:basedOn w:val="a"/>
    <w:link w:val="a7"/>
    <w:uiPriority w:val="99"/>
    <w:unhideWhenUsed/>
    <w:rsid w:val="00084FBF"/>
    <w:pPr>
      <w:jc w:val="left"/>
    </w:pPr>
    <w:rPr>
      <w:szCs w:val="22"/>
    </w:rPr>
  </w:style>
  <w:style w:type="character" w:customStyle="1" w:styleId="Char10">
    <w:name w:val="批注文字 Char1"/>
    <w:uiPriority w:val="99"/>
    <w:semiHidden/>
    <w:rsid w:val="00084FBF"/>
    <w:rPr>
      <w:rFonts w:ascii="Times New Roman" w:eastAsia="方正仿宋简体" w:hAnsi="Times New Roman" w:cs="Times New Roman"/>
      <w:sz w:val="32"/>
      <w:szCs w:val="20"/>
    </w:rPr>
  </w:style>
  <w:style w:type="paragraph" w:styleId="a9">
    <w:name w:val="Balloon Text"/>
    <w:link w:val="aa"/>
    <w:uiPriority w:val="99"/>
    <w:semiHidden/>
    <w:unhideWhenUsed/>
    <w:rPr>
      <w:rFonts w:ascii="Tahoma" w:hAnsi="Tahoma" w:cs="Tahoma"/>
      <w:sz w:val="16"/>
      <w:szCs w:val="16"/>
    </w:rPr>
  </w:style>
  <w:style w:type="character" w:customStyle="1" w:styleId="Char">
    <w:name w:val="批注框文本 Char"/>
    <w:uiPriority w:val="99"/>
    <w:semiHidden/>
    <w:rsid w:val="00084FBF"/>
    <w:rPr>
      <w:rFonts w:ascii="Times New Roman" w:eastAsia="方正仿宋简体" w:hAnsi="Times New Roman" w:cs="Times New Roman"/>
      <w:sz w:val="18"/>
      <w:szCs w:val="18"/>
    </w:rPr>
  </w:style>
  <w:style w:type="paragraph" w:styleId="ab">
    <w:name w:val="List Paragraph"/>
    <w:basedOn w:val="a"/>
    <w:uiPriority w:val="34"/>
    <w:qFormat/>
    <w:rsid w:val="006F366F"/>
    <w:pPr>
      <w:ind w:firstLineChars="200" w:firstLine="420"/>
    </w:pPr>
  </w:style>
  <w:style w:type="table" w:styleId="ac">
    <w:name w:val="Table Grid"/>
    <w:basedOn w:val="a1"/>
    <w:uiPriority w:val="39"/>
    <w:rsid w:val="00803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641C70"/>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8"/>
    <w:next w:val="a8"/>
    <w:link w:val="af"/>
    <w:uiPriority w:val="99"/>
    <w:semiHidden/>
    <w:unhideWhenUsed/>
    <w:rsid w:val="00DC28DE"/>
    <w:rPr>
      <w:b/>
      <w:bCs/>
      <w:szCs w:val="20"/>
    </w:rPr>
  </w:style>
  <w:style w:type="character" w:customStyle="1" w:styleId="af">
    <w:name w:val="批注主题 字符"/>
    <w:link w:val="ae"/>
    <w:uiPriority w:val="99"/>
    <w:semiHidden/>
    <w:rsid w:val="00DC28DE"/>
    <w:rPr>
      <w:rFonts w:ascii="Times New Roman" w:eastAsia="方正仿宋简体" w:hAnsi="Times New Roman" w:cs="Times New Roman"/>
      <w:b/>
      <w:bCs/>
      <w:sz w:val="32"/>
      <w:szCs w:val="20"/>
    </w:rPr>
  </w:style>
  <w:style w:type="paragraph" w:styleId="af0">
    <w:name w:val="header"/>
    <w:basedOn w:val="a"/>
    <w:link w:val="af1"/>
    <w:uiPriority w:val="99"/>
    <w:unhideWhenUsed/>
    <w:rsid w:val="00953F87"/>
    <w:pPr>
      <w:pBdr>
        <w:bottom w:val="single" w:sz="6" w:space="1" w:color="auto"/>
      </w:pBdr>
      <w:tabs>
        <w:tab w:val="center" w:pos="4153"/>
        <w:tab w:val="right" w:pos="8306"/>
      </w:tabs>
      <w:snapToGrid w:val="0"/>
      <w:jc w:val="center"/>
    </w:pPr>
    <w:rPr>
      <w:sz w:val="18"/>
      <w:szCs w:val="18"/>
    </w:rPr>
  </w:style>
  <w:style w:type="character" w:customStyle="1" w:styleId="af1">
    <w:name w:val="页眉 字符"/>
    <w:link w:val="af0"/>
    <w:uiPriority w:val="99"/>
    <w:rsid w:val="00953F87"/>
    <w:rPr>
      <w:rFonts w:ascii="Times New Roman" w:eastAsia="方正仿宋简体" w:hAnsi="Times New Roman" w:cs="Times New Roman"/>
      <w:sz w:val="18"/>
      <w:szCs w:val="18"/>
    </w:rPr>
  </w:style>
  <w:style w:type="paragraph" w:styleId="af2">
    <w:name w:val="footer"/>
    <w:basedOn w:val="a"/>
    <w:link w:val="af3"/>
    <w:uiPriority w:val="99"/>
    <w:unhideWhenUsed/>
    <w:rsid w:val="00953F87"/>
    <w:pPr>
      <w:tabs>
        <w:tab w:val="center" w:pos="4153"/>
        <w:tab w:val="right" w:pos="8306"/>
      </w:tabs>
      <w:snapToGrid w:val="0"/>
      <w:jc w:val="left"/>
    </w:pPr>
    <w:rPr>
      <w:sz w:val="18"/>
      <w:szCs w:val="18"/>
    </w:rPr>
  </w:style>
  <w:style w:type="character" w:customStyle="1" w:styleId="af3">
    <w:name w:val="页脚 字符"/>
    <w:link w:val="af2"/>
    <w:uiPriority w:val="99"/>
    <w:rsid w:val="00953F87"/>
    <w:rPr>
      <w:rFonts w:ascii="Times New Roman" w:eastAsia="方正仿宋简体" w:hAnsi="Times New Roman" w:cs="Times New Roman"/>
      <w:sz w:val="18"/>
      <w:szCs w:val="18"/>
    </w:rPr>
  </w:style>
  <w:style w:type="character" w:customStyle="1" w:styleId="10">
    <w:name w:val="标题 1 字符"/>
    <w:link w:val="1"/>
    <w:uiPriority w:val="9"/>
    <w:rsid w:val="00F50507"/>
    <w:rPr>
      <w:rFonts w:ascii="宋体" w:hAnsi="宋体"/>
      <w:b/>
      <w:bCs/>
      <w:kern w:val="44"/>
      <w:sz w:val="24"/>
      <w:szCs w:val="44"/>
    </w:rPr>
  </w:style>
  <w:style w:type="character" w:customStyle="1" w:styleId="20">
    <w:name w:val="标题 2 字符"/>
    <w:link w:val="2"/>
    <w:uiPriority w:val="9"/>
    <w:rsid w:val="00F50507"/>
    <w:rPr>
      <w:rFonts w:ascii="宋体" w:hAnsi="宋体" w:cs="方正仿宋简体"/>
      <w:b/>
      <w:iCs/>
      <w:kern w:val="2"/>
      <w:sz w:val="22"/>
      <w:szCs w:val="24"/>
    </w:rPr>
  </w:style>
  <w:style w:type="paragraph" w:styleId="af4">
    <w:name w:val="No Spacing"/>
    <w:basedOn w:val="a"/>
    <w:uiPriority w:val="1"/>
    <w:qFormat/>
    <w:rsid w:val="00935D26"/>
    <w:pPr>
      <w:adjustRightInd w:val="0"/>
      <w:snapToGrid w:val="0"/>
      <w:spacing w:beforeLines="20" w:before="87" w:line="288" w:lineRule="auto"/>
      <w:contextualSpacing/>
    </w:pPr>
    <w:rPr>
      <w:rFonts w:ascii="宋体" w:eastAsia="宋体" w:hAnsi="宋体"/>
      <w:sz w:val="21"/>
    </w:rPr>
  </w:style>
  <w:style w:type="character" w:styleId="af5">
    <w:name w:val="Placeholder Text"/>
    <w:basedOn w:val="a0"/>
    <w:uiPriority w:val="99"/>
    <w:semiHidden/>
    <w:rsid w:val="00E26DA8"/>
    <w:rPr>
      <w:color w:val="808080"/>
    </w:rPr>
  </w:style>
  <w:style w:type="paragraph" w:styleId="TOC">
    <w:name w:val="TOC Heading"/>
    <w:uiPriority w:val="39"/>
    <w:semiHidden/>
    <w:unhideWhenUsed/>
    <w:qFormat/>
    <w:rPr>
      <w:lang w:eastAsia="ja-JP"/>
    </w:rPr>
  </w:style>
  <w:style w:type="paragraph" w:styleId="TOC1">
    <w:name w:val="toc 1"/>
    <w:autoRedefine/>
    <w:uiPriority w:val="39"/>
    <w:unhideWhenUsed/>
    <w:pPr>
      <w:spacing w:after="100"/>
    </w:pPr>
  </w:style>
  <w:style w:type="paragraph" w:styleId="TOC2">
    <w:name w:val="toc 2"/>
    <w:autoRedefine/>
    <w:uiPriority w:val="39"/>
    <w:unhideWhenUsed/>
    <w:pPr>
      <w:spacing w:after="100"/>
      <w:ind w:left="220"/>
    </w:pPr>
  </w:style>
  <w:style w:type="paragraph" w:styleId="TOC3">
    <w:name w:val="toc 3"/>
    <w:autoRedefine/>
    <w:uiPriority w:val="39"/>
    <w:unhideWhenUsed/>
    <w:pPr>
      <w:spacing w:after="100"/>
      <w:ind w:left="440"/>
    </w:pPr>
  </w:style>
  <w:style w:type="paragraph" w:styleId="TOC4">
    <w:name w:val="toc 4"/>
    <w:autoRedefine/>
    <w:uiPriority w:val="39"/>
    <w:unhideWhenUsed/>
    <w:pPr>
      <w:spacing w:after="100"/>
      <w:ind w:left="660"/>
    </w:pPr>
  </w:style>
  <w:style w:type="character" w:styleId="af6">
    <w:name w:val="Hyperlink"/>
    <w:uiPriority w:val="99"/>
    <w:unhideWhenUsed/>
    <w:rPr>
      <w:color w:val="0563C1" w:themeColor="hyperlink"/>
      <w:u w:val="single"/>
    </w:rPr>
  </w:style>
  <w:style w:type="character" w:customStyle="1" w:styleId="aa">
    <w:name w:val="批注框文本 字符"/>
    <w:link w:val="a9"/>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700016">
      <w:bodyDiv w:val="1"/>
      <w:marLeft w:val="0"/>
      <w:marRight w:val="0"/>
      <w:marTop w:val="0"/>
      <w:marBottom w:val="0"/>
      <w:divBdr>
        <w:top w:val="none" w:sz="0" w:space="0" w:color="auto"/>
        <w:left w:val="none" w:sz="0" w:space="0" w:color="auto"/>
        <w:bottom w:val="none" w:sz="0" w:space="0" w:color="auto"/>
        <w:right w:val="none" w:sz="0" w:space="0" w:color="auto"/>
      </w:divBdr>
    </w:div>
    <w:div w:id="620645865">
      <w:bodyDiv w:val="1"/>
      <w:marLeft w:val="0"/>
      <w:marRight w:val="0"/>
      <w:marTop w:val="0"/>
      <w:marBottom w:val="0"/>
      <w:divBdr>
        <w:top w:val="none" w:sz="0" w:space="0" w:color="auto"/>
        <w:left w:val="none" w:sz="0" w:space="0" w:color="auto"/>
        <w:bottom w:val="none" w:sz="0" w:space="0" w:color="auto"/>
        <w:right w:val="none" w:sz="0" w:space="0" w:color="auto"/>
      </w:divBdr>
    </w:div>
    <w:div w:id="1479300270">
      <w:bodyDiv w:val="1"/>
      <w:marLeft w:val="0"/>
      <w:marRight w:val="0"/>
      <w:marTop w:val="0"/>
      <w:marBottom w:val="0"/>
      <w:divBdr>
        <w:top w:val="none" w:sz="0" w:space="0" w:color="auto"/>
        <w:left w:val="none" w:sz="0" w:space="0" w:color="auto"/>
        <w:bottom w:val="none" w:sz="0" w:space="0" w:color="auto"/>
        <w:right w:val="none" w:sz="0" w:space="0" w:color="auto"/>
      </w:divBdr>
    </w:div>
    <w:div w:id="1489712282">
      <w:bodyDiv w:val="1"/>
      <w:marLeft w:val="0"/>
      <w:marRight w:val="0"/>
      <w:marTop w:val="0"/>
      <w:marBottom w:val="0"/>
      <w:divBdr>
        <w:top w:val="none" w:sz="0" w:space="0" w:color="auto"/>
        <w:left w:val="none" w:sz="0" w:space="0" w:color="auto"/>
        <w:bottom w:val="none" w:sz="0" w:space="0" w:color="auto"/>
        <w:right w:val="none" w:sz="0" w:space="0" w:color="auto"/>
      </w:divBdr>
    </w:div>
    <w:div w:id="15534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2522;&#37329;&#20135;&#21697;&#36164;&#26009;&#27010;&#35201;&#27169;&#26495;_C.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基金产品资料概要模板_C.dotx</Template>
  <TotalTime>0</TotalTime>
  <Pages>1</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马维娜</dc:creator>
  <cp:keywords/>
  <dc:description/>
  <cp:lastModifiedBy>马天蕊</cp:lastModifiedBy>
  <cp:revision>3</cp:revision>
  <dcterms:created xsi:type="dcterms:W3CDTF">2026-04-16T07:39:00Z</dcterms:created>
  <dcterms:modified xsi:type="dcterms:W3CDTF">2026-04-16T07:39:00Z</dcterms:modified>
</cp:coreProperties>
</file>